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883E6" w14:textId="15CE20E6" w:rsidR="00D50C1A" w:rsidRDefault="00650B87" w:rsidP="00735395">
      <w:pPr>
        <w:spacing w:line="360" w:lineRule="auto"/>
        <w:jc w:val="center"/>
        <w:outlineLvl w:val="0"/>
        <w:rPr>
          <w:rFonts w:ascii="Book Antiqua" w:hAnsi="Book Antiqua"/>
          <w:b/>
          <w:sz w:val="32"/>
          <w:lang w:val="en-IE"/>
        </w:rPr>
      </w:pPr>
      <w:r w:rsidRPr="00735395">
        <w:rPr>
          <w:rFonts w:ascii="Book Antiqua" w:hAnsi="Book Antiqua"/>
          <w:b/>
          <w:sz w:val="32"/>
          <w:lang w:val="en-IE"/>
        </w:rPr>
        <w:t xml:space="preserve">Shadow Constitutional Review: </w:t>
      </w:r>
      <w:r w:rsidR="00A77414" w:rsidRPr="00735395">
        <w:rPr>
          <w:rFonts w:ascii="Book Antiqua" w:hAnsi="Book Antiqua"/>
          <w:b/>
          <w:sz w:val="32"/>
          <w:lang w:val="en-IE"/>
        </w:rPr>
        <w:t xml:space="preserve">The Dark Side of </w:t>
      </w:r>
      <w:r w:rsidRPr="00735395">
        <w:rPr>
          <w:rFonts w:ascii="Book Antiqua" w:hAnsi="Book Antiqua"/>
          <w:b/>
          <w:sz w:val="32"/>
          <w:lang w:val="en-IE"/>
        </w:rPr>
        <w:t xml:space="preserve">Pre-Enactment </w:t>
      </w:r>
      <w:r w:rsidR="009D2EDE">
        <w:rPr>
          <w:rFonts w:ascii="Book Antiqua" w:hAnsi="Book Antiqua"/>
          <w:b/>
          <w:sz w:val="32"/>
          <w:lang w:val="en-IE"/>
        </w:rPr>
        <w:t xml:space="preserve">Political </w:t>
      </w:r>
      <w:r w:rsidRPr="00735395">
        <w:rPr>
          <w:rFonts w:ascii="Book Antiqua" w:hAnsi="Book Antiqua"/>
          <w:b/>
          <w:sz w:val="32"/>
          <w:lang w:val="en-IE"/>
        </w:rPr>
        <w:t>Review</w:t>
      </w:r>
      <w:r w:rsidR="00CA2A59">
        <w:rPr>
          <w:rFonts w:ascii="Book Antiqua" w:hAnsi="Book Antiqua"/>
          <w:b/>
          <w:sz w:val="32"/>
          <w:lang w:val="en-IE"/>
        </w:rPr>
        <w:t xml:space="preserve"> </w:t>
      </w:r>
      <w:r w:rsidR="00D4280A">
        <w:rPr>
          <w:rFonts w:ascii="Book Antiqua" w:hAnsi="Book Antiqua"/>
          <w:b/>
          <w:sz w:val="32"/>
          <w:lang w:val="en-IE"/>
        </w:rPr>
        <w:t>in Ireland and Japan</w:t>
      </w:r>
    </w:p>
    <w:p w14:paraId="1FD0C8EF" w14:textId="206317C3" w:rsidR="00380444" w:rsidRDefault="00380444" w:rsidP="00380444">
      <w:pPr>
        <w:spacing w:line="360" w:lineRule="auto"/>
        <w:outlineLvl w:val="0"/>
        <w:rPr>
          <w:rFonts w:ascii="Book Antiqua" w:hAnsi="Book Antiqua"/>
          <w:b/>
          <w:sz w:val="32"/>
          <w:lang w:val="en-IE"/>
        </w:rPr>
      </w:pPr>
      <w:r>
        <w:rPr>
          <w:rFonts w:ascii="Book Antiqua" w:hAnsi="Book Antiqua"/>
          <w:b/>
          <w:sz w:val="32"/>
          <w:lang w:val="en-IE"/>
        </w:rPr>
        <w:t>David Kenny</w:t>
      </w:r>
      <w:r>
        <w:rPr>
          <w:rStyle w:val="FootnoteReference"/>
          <w:rFonts w:ascii="Book Antiqua" w:hAnsi="Book Antiqua"/>
          <w:b/>
          <w:sz w:val="32"/>
          <w:lang w:val="en-IE"/>
        </w:rPr>
        <w:footnoteReference w:id="1"/>
      </w:r>
      <w:r>
        <w:rPr>
          <w:rFonts w:ascii="Book Antiqua" w:hAnsi="Book Antiqua"/>
          <w:b/>
          <w:sz w:val="32"/>
          <w:lang w:val="en-IE"/>
        </w:rPr>
        <w:t xml:space="preserve"> &amp; Conor Casey</w:t>
      </w:r>
      <w:r>
        <w:rPr>
          <w:rStyle w:val="FootnoteReference"/>
          <w:rFonts w:ascii="Book Antiqua" w:hAnsi="Book Antiqua"/>
          <w:b/>
          <w:sz w:val="32"/>
          <w:lang w:val="en-IE"/>
        </w:rPr>
        <w:footnoteReference w:id="2"/>
      </w:r>
    </w:p>
    <w:p w14:paraId="4D6008BE" w14:textId="77777777" w:rsidR="00D4758D" w:rsidRPr="00D50C1A" w:rsidRDefault="00D4758D" w:rsidP="00F603FC">
      <w:pPr>
        <w:spacing w:line="360" w:lineRule="auto"/>
        <w:rPr>
          <w:rFonts w:ascii="Book Antiqua" w:hAnsi="Book Antiqua"/>
          <w:sz w:val="20"/>
          <w:szCs w:val="20"/>
          <w:lang w:val="en-GB"/>
        </w:rPr>
      </w:pPr>
    </w:p>
    <w:p w14:paraId="2B7EF724" w14:textId="77777777" w:rsidR="0029000E" w:rsidRPr="00735395" w:rsidRDefault="0029000E" w:rsidP="00735395">
      <w:pPr>
        <w:spacing w:line="360" w:lineRule="auto"/>
        <w:jc w:val="both"/>
        <w:outlineLvl w:val="0"/>
        <w:rPr>
          <w:rFonts w:ascii="Book Antiqua" w:hAnsi="Book Antiqua"/>
          <w:b/>
          <w:sz w:val="28"/>
          <w:lang w:val="en-GB"/>
        </w:rPr>
      </w:pPr>
      <w:r w:rsidRPr="00735395">
        <w:rPr>
          <w:rFonts w:ascii="Book Antiqua" w:hAnsi="Book Antiqua"/>
          <w:b/>
          <w:sz w:val="28"/>
          <w:lang w:val="en-GB"/>
        </w:rPr>
        <w:t>Introduction</w:t>
      </w:r>
    </w:p>
    <w:p w14:paraId="6285E0DC" w14:textId="1EF6633A" w:rsidR="00056B3F" w:rsidRDefault="00313B3D" w:rsidP="00716219">
      <w:pPr>
        <w:spacing w:line="360" w:lineRule="auto"/>
        <w:jc w:val="both"/>
        <w:rPr>
          <w:rFonts w:ascii="Book Antiqua" w:hAnsi="Book Antiqua"/>
          <w:lang w:val="en-GB"/>
        </w:rPr>
      </w:pPr>
      <w:r>
        <w:rPr>
          <w:rFonts w:ascii="Book Antiqua" w:hAnsi="Book Antiqua"/>
          <w:lang w:val="en-GB"/>
        </w:rPr>
        <w:t>In recent years p</w:t>
      </w:r>
      <w:r w:rsidR="00002569">
        <w:rPr>
          <w:rFonts w:ascii="Book Antiqua" w:hAnsi="Book Antiqua"/>
          <w:lang w:val="en-GB"/>
        </w:rPr>
        <w:t xml:space="preserve">olitical constitutionalism </w:t>
      </w:r>
      <w:r>
        <w:rPr>
          <w:rFonts w:ascii="Book Antiqua" w:hAnsi="Book Antiqua"/>
          <w:lang w:val="en-GB"/>
        </w:rPr>
        <w:t>has become</w:t>
      </w:r>
      <w:r w:rsidR="00CA3281">
        <w:rPr>
          <w:rFonts w:ascii="Book Antiqua" w:hAnsi="Book Antiqua"/>
          <w:lang w:val="en-GB"/>
        </w:rPr>
        <w:t xml:space="preserve"> a topic of </w:t>
      </w:r>
      <w:r>
        <w:rPr>
          <w:rFonts w:ascii="Book Antiqua" w:hAnsi="Book Antiqua"/>
          <w:lang w:val="en-GB"/>
        </w:rPr>
        <w:t>increasing</w:t>
      </w:r>
      <w:r w:rsidR="00CA3281">
        <w:rPr>
          <w:rFonts w:ascii="Book Antiqua" w:hAnsi="Book Antiqua"/>
          <w:lang w:val="en-GB"/>
        </w:rPr>
        <w:t xml:space="preserve"> interest to scholars of </w:t>
      </w:r>
      <w:r w:rsidR="00E55E0C">
        <w:rPr>
          <w:rFonts w:ascii="Book Antiqua" w:hAnsi="Book Antiqua"/>
          <w:lang w:val="en-GB"/>
        </w:rPr>
        <w:t>comparative constitutional law.</w:t>
      </w:r>
      <w:r w:rsidR="004E0FB2">
        <w:rPr>
          <w:rStyle w:val="FootnoteReference"/>
          <w:rFonts w:ascii="Book Antiqua" w:hAnsi="Book Antiqua"/>
          <w:lang w:val="en-GB"/>
        </w:rPr>
        <w:footnoteReference w:id="3"/>
      </w:r>
      <w:r w:rsidR="00774286">
        <w:rPr>
          <w:rFonts w:ascii="Book Antiqua" w:hAnsi="Book Antiqua"/>
          <w:lang w:val="en-GB"/>
        </w:rPr>
        <w:t xml:space="preserve"> </w:t>
      </w:r>
      <w:r>
        <w:rPr>
          <w:rFonts w:ascii="Book Antiqua" w:hAnsi="Book Antiqua"/>
          <w:lang w:val="en-GB"/>
        </w:rPr>
        <w:t xml:space="preserve">One aspect of political constitutionalism which has received considerable attention </w:t>
      </w:r>
      <w:r w:rsidR="00F37211">
        <w:rPr>
          <w:rFonts w:ascii="Book Antiqua" w:hAnsi="Book Antiqua"/>
          <w:lang w:val="en-GB"/>
        </w:rPr>
        <w:t>is</w:t>
      </w:r>
      <w:r>
        <w:rPr>
          <w:rFonts w:ascii="Book Antiqua" w:hAnsi="Book Antiqua"/>
          <w:lang w:val="en-GB"/>
        </w:rPr>
        <w:t xml:space="preserve"> the presentation of v</w:t>
      </w:r>
      <w:r w:rsidR="00CA3281">
        <w:rPr>
          <w:rFonts w:ascii="Book Antiqua" w:hAnsi="Book Antiqua"/>
          <w:lang w:val="en-GB"/>
        </w:rPr>
        <w:t xml:space="preserve">arious examples of parliamentary and executive-led </w:t>
      </w:r>
      <w:r w:rsidR="00E9740A">
        <w:rPr>
          <w:rFonts w:ascii="Book Antiqua" w:hAnsi="Book Antiqua"/>
          <w:lang w:val="en-GB"/>
        </w:rPr>
        <w:t xml:space="preserve">pre-enactment </w:t>
      </w:r>
      <w:r w:rsidR="00CA3281">
        <w:rPr>
          <w:rFonts w:ascii="Book Antiqua" w:hAnsi="Book Antiqua"/>
          <w:lang w:val="en-GB"/>
        </w:rPr>
        <w:t>constitutional</w:t>
      </w:r>
      <w:r w:rsidR="00E37795">
        <w:rPr>
          <w:rFonts w:ascii="Book Antiqua" w:hAnsi="Book Antiqua"/>
          <w:lang w:val="en-GB"/>
        </w:rPr>
        <w:t>/political</w:t>
      </w:r>
      <w:r w:rsidR="00CA3281">
        <w:rPr>
          <w:rFonts w:ascii="Book Antiqua" w:hAnsi="Book Antiqua"/>
          <w:lang w:val="en-GB"/>
        </w:rPr>
        <w:t xml:space="preserve"> review </w:t>
      </w:r>
      <w:r w:rsidR="006A6085">
        <w:rPr>
          <w:rFonts w:ascii="Book Antiqua" w:hAnsi="Book Antiqua"/>
          <w:lang w:val="en-GB"/>
        </w:rPr>
        <w:t>as</w:t>
      </w:r>
      <w:r w:rsidR="001520B2">
        <w:rPr>
          <w:rFonts w:ascii="Book Antiqua" w:hAnsi="Book Antiqua"/>
          <w:lang w:val="en-GB"/>
        </w:rPr>
        <w:t xml:space="preserve"> a supplement for </w:t>
      </w:r>
      <w:r w:rsidR="00CA3281">
        <w:rPr>
          <w:rFonts w:ascii="Book Antiqua" w:hAnsi="Book Antiqua"/>
          <w:lang w:val="en-GB"/>
        </w:rPr>
        <w:t xml:space="preserve">– or </w:t>
      </w:r>
      <w:r w:rsidR="001520B2">
        <w:rPr>
          <w:rFonts w:ascii="Book Antiqua" w:hAnsi="Book Antiqua"/>
          <w:lang w:val="en-GB"/>
        </w:rPr>
        <w:t>an alternative to</w:t>
      </w:r>
      <w:r w:rsidR="00CA3281">
        <w:rPr>
          <w:rFonts w:ascii="Book Antiqua" w:hAnsi="Book Antiqua"/>
          <w:lang w:val="en-GB"/>
        </w:rPr>
        <w:t xml:space="preserve"> – judicial </w:t>
      </w:r>
      <w:r w:rsidR="00C53DF4">
        <w:rPr>
          <w:rFonts w:ascii="Book Antiqua" w:hAnsi="Book Antiqua"/>
          <w:lang w:val="en-GB"/>
        </w:rPr>
        <w:t>review.</w:t>
      </w:r>
      <w:r w:rsidR="00965F6F">
        <w:rPr>
          <w:rStyle w:val="FootnoteReference"/>
          <w:rFonts w:ascii="Book Antiqua" w:hAnsi="Book Antiqua"/>
          <w:lang w:val="en-GB"/>
        </w:rPr>
        <w:footnoteReference w:id="4"/>
      </w:r>
      <w:r w:rsidR="00C53DF4">
        <w:rPr>
          <w:rFonts w:ascii="Book Antiqua" w:hAnsi="Book Antiqua"/>
          <w:lang w:val="en-GB"/>
        </w:rPr>
        <w:t xml:space="preserve"> </w:t>
      </w:r>
      <w:r w:rsidR="006A6085">
        <w:rPr>
          <w:rFonts w:ascii="Book Antiqua" w:hAnsi="Book Antiqua"/>
        </w:rPr>
        <w:t xml:space="preserve">This </w:t>
      </w:r>
      <w:r w:rsidR="00E9740A">
        <w:rPr>
          <w:rFonts w:ascii="Book Antiqua" w:hAnsi="Book Antiqua"/>
        </w:rPr>
        <w:t xml:space="preserve">expression </w:t>
      </w:r>
      <w:r w:rsidR="006A6085">
        <w:rPr>
          <w:rFonts w:ascii="Book Antiqua" w:hAnsi="Book Antiqua"/>
        </w:rPr>
        <w:t xml:space="preserve">of political constitutionalism </w:t>
      </w:r>
      <w:r w:rsidR="00E9740A">
        <w:rPr>
          <w:rFonts w:ascii="Book Antiqua" w:hAnsi="Book Antiqua"/>
        </w:rPr>
        <w:t>has been variously suggested</w:t>
      </w:r>
      <w:r w:rsidR="006A6085">
        <w:rPr>
          <w:rFonts w:ascii="Book Antiqua" w:hAnsi="Book Antiqua"/>
        </w:rPr>
        <w:t xml:space="preserve"> as a measure to compliment “weak form” judicial review;</w:t>
      </w:r>
      <w:r w:rsidR="00F3734A" w:rsidRPr="00F3734A">
        <w:rPr>
          <w:rStyle w:val="FootnoteReference"/>
          <w:rFonts w:ascii="Book Antiqua" w:hAnsi="Book Antiqua"/>
        </w:rPr>
        <w:t xml:space="preserve"> </w:t>
      </w:r>
      <w:r w:rsidR="00F3734A">
        <w:rPr>
          <w:rStyle w:val="FootnoteReference"/>
          <w:rFonts w:ascii="Book Antiqua" w:hAnsi="Book Antiqua"/>
        </w:rPr>
        <w:footnoteReference w:id="5"/>
      </w:r>
      <w:r w:rsidR="006A6085">
        <w:rPr>
          <w:rFonts w:ascii="Book Antiqua" w:hAnsi="Book Antiqua"/>
        </w:rPr>
        <w:t xml:space="preserve"> to involve the political branches in a more active way in “strong form” review and perhaps to temper its effects;</w:t>
      </w:r>
      <w:r w:rsidR="006A6085">
        <w:rPr>
          <w:rStyle w:val="FootnoteReference"/>
          <w:rFonts w:ascii="Book Antiqua" w:hAnsi="Book Antiqua"/>
        </w:rPr>
        <w:footnoteReference w:id="6"/>
      </w:r>
      <w:r w:rsidR="006A6085">
        <w:rPr>
          <w:rFonts w:ascii="Book Antiqua" w:hAnsi="Book Antiqua"/>
        </w:rPr>
        <w:t xml:space="preserve"> or </w:t>
      </w:r>
      <w:r w:rsidR="00E9740A">
        <w:rPr>
          <w:rFonts w:ascii="Book Antiqua" w:hAnsi="Book Antiqua"/>
        </w:rPr>
        <w:t>as</w:t>
      </w:r>
      <w:r w:rsidR="006A6085">
        <w:rPr>
          <w:rFonts w:ascii="Book Antiqua" w:hAnsi="Book Antiqua"/>
        </w:rPr>
        <w:t xml:space="preserve"> a primary mechanism of vindicating constitutional norms, in a pure form of political and non-judicial constitutionalism.</w:t>
      </w:r>
      <w:r w:rsidR="006A6085">
        <w:rPr>
          <w:rStyle w:val="FootnoteReference"/>
          <w:rFonts w:ascii="Book Antiqua" w:hAnsi="Book Antiqua"/>
        </w:rPr>
        <w:footnoteReference w:id="7"/>
      </w:r>
      <w:r w:rsidR="006A6085">
        <w:rPr>
          <w:rFonts w:ascii="Book Antiqua" w:hAnsi="Book Antiqua"/>
          <w:lang w:val="en-GB"/>
        </w:rPr>
        <w:t xml:space="preserve"> </w:t>
      </w:r>
      <w:r w:rsidR="00C53DF4">
        <w:rPr>
          <w:rFonts w:ascii="Book Antiqua" w:hAnsi="Book Antiqua"/>
          <w:lang w:val="en-GB"/>
        </w:rPr>
        <w:t>A</w:t>
      </w:r>
      <w:r w:rsidR="00CB665D" w:rsidRPr="00A83949">
        <w:rPr>
          <w:rFonts w:ascii="Book Antiqua" w:hAnsi="Book Antiqua"/>
          <w:lang w:val="en-GB"/>
        </w:rPr>
        <w:t xml:space="preserve">ccounts </w:t>
      </w:r>
      <w:r w:rsidR="00832A45">
        <w:rPr>
          <w:rFonts w:ascii="Book Antiqua" w:hAnsi="Book Antiqua"/>
          <w:lang w:val="en-GB"/>
        </w:rPr>
        <w:t>in public law scholarship</w:t>
      </w:r>
      <w:r w:rsidR="00CB665D">
        <w:rPr>
          <w:rFonts w:ascii="Book Antiqua" w:hAnsi="Book Antiqua"/>
          <w:lang w:val="en-GB"/>
        </w:rPr>
        <w:t xml:space="preserve"> </w:t>
      </w:r>
      <w:r w:rsidR="00680451">
        <w:rPr>
          <w:rFonts w:ascii="Book Antiqua" w:hAnsi="Book Antiqua"/>
          <w:lang w:val="en-GB"/>
        </w:rPr>
        <w:t>frequently</w:t>
      </w:r>
      <w:r w:rsidR="00CB665D" w:rsidRPr="00A83949">
        <w:rPr>
          <w:rFonts w:ascii="Book Antiqua" w:hAnsi="Book Antiqua"/>
          <w:lang w:val="en-GB"/>
        </w:rPr>
        <w:t xml:space="preserve"> </w:t>
      </w:r>
      <w:r w:rsidR="00CB665D">
        <w:rPr>
          <w:rFonts w:ascii="Book Antiqua" w:hAnsi="Book Antiqua"/>
          <w:lang w:val="en-GB"/>
        </w:rPr>
        <w:t>suggest</w:t>
      </w:r>
      <w:r w:rsidR="00CB665D" w:rsidRPr="00A83949">
        <w:rPr>
          <w:rFonts w:ascii="Book Antiqua" w:hAnsi="Book Antiqua"/>
          <w:lang w:val="en-GB"/>
        </w:rPr>
        <w:t xml:space="preserve"> that pre-enactment review</w:t>
      </w:r>
      <w:r w:rsidR="00E9740A">
        <w:rPr>
          <w:rFonts w:ascii="Book Antiqua" w:hAnsi="Book Antiqua"/>
          <w:lang w:val="en-GB"/>
        </w:rPr>
        <w:t xml:space="preserve"> by the political branches</w:t>
      </w:r>
      <w:r w:rsidR="00CB665D" w:rsidRPr="00A83949">
        <w:rPr>
          <w:rFonts w:ascii="Book Antiqua" w:hAnsi="Book Antiqua"/>
          <w:lang w:val="en-GB"/>
        </w:rPr>
        <w:t xml:space="preserve"> instantiates several</w:t>
      </w:r>
      <w:r w:rsidR="00E1033B">
        <w:rPr>
          <w:rFonts w:ascii="Book Antiqua" w:hAnsi="Book Antiqua"/>
          <w:lang w:val="en-GB"/>
        </w:rPr>
        <w:t xml:space="preserve"> </w:t>
      </w:r>
      <w:r w:rsidR="00DF3FF2">
        <w:rPr>
          <w:rFonts w:ascii="Book Antiqua" w:hAnsi="Book Antiqua"/>
          <w:lang w:val="en-GB"/>
        </w:rPr>
        <w:t>normative benefits</w:t>
      </w:r>
      <w:r w:rsidR="002259EC">
        <w:rPr>
          <w:rFonts w:ascii="Book Antiqua" w:hAnsi="Book Antiqua"/>
          <w:lang w:val="en-GB"/>
        </w:rPr>
        <w:t>:</w:t>
      </w:r>
      <w:r w:rsidR="00CC11AE">
        <w:rPr>
          <w:rFonts w:ascii="Book Antiqua" w:hAnsi="Book Antiqua"/>
          <w:lang w:val="en-GB"/>
        </w:rPr>
        <w:t xml:space="preserve">  enhancing</w:t>
      </w:r>
      <w:r w:rsidR="00CB665D" w:rsidRPr="00A83949">
        <w:rPr>
          <w:rFonts w:ascii="Book Antiqua" w:hAnsi="Book Antiqua"/>
          <w:lang w:val="en-GB"/>
        </w:rPr>
        <w:t xml:space="preserve"> government </w:t>
      </w:r>
      <w:r w:rsidR="00CB665D" w:rsidRPr="003852F9">
        <w:rPr>
          <w:rFonts w:ascii="Book Antiqua" w:hAnsi="Book Antiqua"/>
          <w:lang w:val="en-GB"/>
        </w:rPr>
        <w:t>accountability</w:t>
      </w:r>
      <w:r w:rsidR="00CB665D" w:rsidRPr="00A83949">
        <w:rPr>
          <w:rFonts w:ascii="Book Antiqua" w:hAnsi="Book Antiqua"/>
          <w:lang w:val="en-GB"/>
        </w:rPr>
        <w:t xml:space="preserve"> by subjecting their decisions to constitutional </w:t>
      </w:r>
      <w:r w:rsidR="00E9508C">
        <w:rPr>
          <w:rFonts w:ascii="Book Antiqua" w:hAnsi="Book Antiqua"/>
          <w:lang w:val="en-GB"/>
        </w:rPr>
        <w:t xml:space="preserve">or </w:t>
      </w:r>
      <w:r w:rsidR="001520B2">
        <w:rPr>
          <w:rFonts w:ascii="Book Antiqua" w:hAnsi="Book Antiqua"/>
          <w:lang w:val="en-GB"/>
        </w:rPr>
        <w:t>rights-based</w:t>
      </w:r>
      <w:r w:rsidR="00CB665D" w:rsidRPr="00A83949">
        <w:rPr>
          <w:rFonts w:ascii="Book Antiqua" w:hAnsi="Book Antiqua"/>
          <w:lang w:val="en-GB"/>
        </w:rPr>
        <w:t xml:space="preserve"> scrutiny</w:t>
      </w:r>
      <w:r w:rsidR="00F3734A">
        <w:rPr>
          <w:rFonts w:ascii="Book Antiqua" w:hAnsi="Book Antiqua"/>
          <w:lang w:val="en-GB"/>
        </w:rPr>
        <w:t xml:space="preserve"> internally</w:t>
      </w:r>
      <w:r w:rsidR="00B738C8">
        <w:rPr>
          <w:rFonts w:ascii="Book Antiqua" w:hAnsi="Book Antiqua"/>
          <w:lang w:val="en-GB"/>
        </w:rPr>
        <w:t xml:space="preserve"> through executive </w:t>
      </w:r>
      <w:r w:rsidR="00E9508C">
        <w:rPr>
          <w:rFonts w:ascii="Book Antiqua" w:hAnsi="Book Antiqua"/>
          <w:lang w:val="en-GB"/>
        </w:rPr>
        <w:t>and</w:t>
      </w:r>
      <w:r w:rsidR="00F3734A">
        <w:rPr>
          <w:rFonts w:ascii="Book Antiqua" w:hAnsi="Book Antiqua"/>
          <w:lang w:val="en-GB"/>
        </w:rPr>
        <w:t>/or</w:t>
      </w:r>
      <w:r w:rsidR="00E9508C">
        <w:rPr>
          <w:rFonts w:ascii="Book Antiqua" w:hAnsi="Book Antiqua"/>
          <w:lang w:val="en-GB"/>
        </w:rPr>
        <w:t xml:space="preserve"> </w:t>
      </w:r>
      <w:r w:rsidR="0065648A">
        <w:rPr>
          <w:rFonts w:ascii="Book Antiqua" w:hAnsi="Book Antiqua"/>
          <w:lang w:val="en-GB"/>
        </w:rPr>
        <w:t>parliament</w:t>
      </w:r>
      <w:r w:rsidR="00E9508C">
        <w:rPr>
          <w:rFonts w:ascii="Book Antiqua" w:hAnsi="Book Antiqua"/>
          <w:lang w:val="en-GB"/>
        </w:rPr>
        <w:t>ary</w:t>
      </w:r>
      <w:r w:rsidR="002259EC">
        <w:rPr>
          <w:rFonts w:ascii="Book Antiqua" w:hAnsi="Book Antiqua"/>
          <w:lang w:val="en-GB"/>
        </w:rPr>
        <w:t>/</w:t>
      </w:r>
      <w:r w:rsidR="0065648A">
        <w:rPr>
          <w:rFonts w:ascii="Book Antiqua" w:hAnsi="Book Antiqua"/>
          <w:lang w:val="en-GB"/>
        </w:rPr>
        <w:t>public</w:t>
      </w:r>
      <w:r w:rsidR="00E9508C">
        <w:rPr>
          <w:rFonts w:ascii="Book Antiqua" w:hAnsi="Book Antiqua"/>
          <w:lang w:val="en-GB"/>
        </w:rPr>
        <w:t xml:space="preserve"> scrutiny</w:t>
      </w:r>
      <w:r w:rsidR="002259EC">
        <w:rPr>
          <w:rFonts w:ascii="Book Antiqua" w:hAnsi="Book Antiqua"/>
          <w:lang w:val="en-GB"/>
        </w:rPr>
        <w:t>;</w:t>
      </w:r>
      <w:r w:rsidR="00CB665D" w:rsidRPr="00A83949">
        <w:rPr>
          <w:rFonts w:ascii="Book Antiqua" w:hAnsi="Book Antiqua"/>
          <w:lang w:val="en-GB"/>
        </w:rPr>
        <w:t xml:space="preserve"> encourag</w:t>
      </w:r>
      <w:r w:rsidR="002259EC">
        <w:rPr>
          <w:rFonts w:ascii="Book Antiqua" w:hAnsi="Book Antiqua"/>
          <w:lang w:val="en-GB"/>
        </w:rPr>
        <w:t>ing</w:t>
      </w:r>
      <w:r w:rsidR="00CB665D" w:rsidRPr="00A83949">
        <w:rPr>
          <w:rFonts w:ascii="Book Antiqua" w:hAnsi="Book Antiqua"/>
          <w:lang w:val="en-GB"/>
        </w:rPr>
        <w:t xml:space="preserve"> </w:t>
      </w:r>
      <w:r w:rsidR="00B738C8">
        <w:rPr>
          <w:rFonts w:ascii="Book Antiqua" w:hAnsi="Book Antiqua"/>
          <w:lang w:val="en-GB"/>
        </w:rPr>
        <w:t>the</w:t>
      </w:r>
      <w:r w:rsidR="00CB665D" w:rsidRPr="00A83949">
        <w:rPr>
          <w:rFonts w:ascii="Book Antiqua" w:hAnsi="Book Antiqua"/>
          <w:lang w:val="en-GB"/>
        </w:rPr>
        <w:t xml:space="preserve"> political branches </w:t>
      </w:r>
      <w:r w:rsidR="002259EC">
        <w:rPr>
          <w:rFonts w:ascii="Book Antiqua" w:hAnsi="Book Antiqua"/>
          <w:lang w:val="en-GB"/>
        </w:rPr>
        <w:t xml:space="preserve">and the public </w:t>
      </w:r>
      <w:r w:rsidR="00CB665D" w:rsidRPr="00A83949">
        <w:rPr>
          <w:rFonts w:ascii="Book Antiqua" w:hAnsi="Book Antiqua"/>
          <w:lang w:val="en-GB"/>
        </w:rPr>
        <w:t xml:space="preserve">to </w:t>
      </w:r>
      <w:r w:rsidR="00832A45">
        <w:rPr>
          <w:rFonts w:ascii="Book Antiqua" w:hAnsi="Book Antiqua"/>
          <w:lang w:val="en-GB"/>
        </w:rPr>
        <w:t>be more</w:t>
      </w:r>
      <w:r w:rsidR="00CB665D" w:rsidRPr="00A83949">
        <w:rPr>
          <w:rFonts w:ascii="Book Antiqua" w:hAnsi="Book Antiqua"/>
          <w:lang w:val="en-GB"/>
        </w:rPr>
        <w:t xml:space="preserve"> </w:t>
      </w:r>
      <w:r w:rsidR="00CB665D" w:rsidRPr="00551798">
        <w:rPr>
          <w:rFonts w:ascii="Book Antiqua" w:hAnsi="Book Antiqua"/>
          <w:lang w:val="en-GB"/>
        </w:rPr>
        <w:t>rights-conscious</w:t>
      </w:r>
      <w:r w:rsidR="00DD7465">
        <w:rPr>
          <w:rFonts w:ascii="Book Antiqua" w:hAnsi="Book Antiqua"/>
          <w:lang w:val="en-GB"/>
        </w:rPr>
        <w:t>;</w:t>
      </w:r>
      <w:r w:rsidR="00CB665D" w:rsidRPr="00A83949">
        <w:rPr>
          <w:rFonts w:ascii="Book Antiqua" w:hAnsi="Book Antiqua"/>
          <w:lang w:val="en-GB"/>
        </w:rPr>
        <w:t xml:space="preserve"> </w:t>
      </w:r>
      <w:r w:rsidR="00DD7465">
        <w:rPr>
          <w:rFonts w:ascii="Book Antiqua" w:hAnsi="Book Antiqua"/>
          <w:lang w:val="en-GB"/>
        </w:rPr>
        <w:t xml:space="preserve">and </w:t>
      </w:r>
      <w:r w:rsidR="00CB665D" w:rsidRPr="00A83949">
        <w:rPr>
          <w:rFonts w:ascii="Book Antiqua" w:hAnsi="Book Antiqua"/>
          <w:lang w:val="en-GB"/>
        </w:rPr>
        <w:t>coher</w:t>
      </w:r>
      <w:r w:rsidR="00DD7465">
        <w:rPr>
          <w:rFonts w:ascii="Book Antiqua" w:hAnsi="Book Antiqua"/>
          <w:lang w:val="en-GB"/>
        </w:rPr>
        <w:t>ing</w:t>
      </w:r>
      <w:r w:rsidR="00CB665D" w:rsidRPr="00A83949">
        <w:rPr>
          <w:rFonts w:ascii="Book Antiqua" w:hAnsi="Book Antiqua"/>
          <w:lang w:val="en-GB"/>
        </w:rPr>
        <w:t xml:space="preserve"> democratic self-governance with constitutional or rights commitments </w:t>
      </w:r>
      <w:r w:rsidR="00DD7465">
        <w:rPr>
          <w:rFonts w:ascii="Book Antiqua" w:hAnsi="Book Antiqua"/>
          <w:lang w:val="en-GB"/>
        </w:rPr>
        <w:t xml:space="preserve">more effectively </w:t>
      </w:r>
      <w:r w:rsidR="00CB665D" w:rsidRPr="00A83949">
        <w:rPr>
          <w:rFonts w:ascii="Book Antiqua" w:hAnsi="Book Antiqua"/>
          <w:lang w:val="en-GB"/>
        </w:rPr>
        <w:t>than rel</w:t>
      </w:r>
      <w:r w:rsidR="00DD7465">
        <w:rPr>
          <w:rFonts w:ascii="Book Antiqua" w:hAnsi="Book Antiqua"/>
          <w:lang w:val="en-GB"/>
        </w:rPr>
        <w:t>iance</w:t>
      </w:r>
      <w:r w:rsidR="00CB665D" w:rsidRPr="00A83949">
        <w:rPr>
          <w:rFonts w:ascii="Book Antiqua" w:hAnsi="Book Antiqua"/>
          <w:lang w:val="en-GB"/>
        </w:rPr>
        <w:t xml:space="preserve"> on judicial review alone. </w:t>
      </w:r>
    </w:p>
    <w:p w14:paraId="58488742" w14:textId="77777777" w:rsidR="006A6085" w:rsidRDefault="006A6085" w:rsidP="00716219">
      <w:pPr>
        <w:spacing w:line="360" w:lineRule="auto"/>
        <w:jc w:val="both"/>
        <w:rPr>
          <w:rFonts w:ascii="Book Antiqua" w:hAnsi="Book Antiqua"/>
          <w:lang w:val="en-GB"/>
        </w:rPr>
      </w:pPr>
    </w:p>
    <w:p w14:paraId="52453C63" w14:textId="5E53F273" w:rsidR="003F328E" w:rsidRDefault="00CB665D" w:rsidP="007155D7">
      <w:pPr>
        <w:spacing w:line="360" w:lineRule="auto"/>
        <w:jc w:val="both"/>
        <w:rPr>
          <w:rFonts w:ascii="Book Antiqua" w:hAnsi="Book Antiqua"/>
          <w:lang w:val="en-GB"/>
        </w:rPr>
      </w:pPr>
      <w:r w:rsidRPr="00A83949">
        <w:rPr>
          <w:rFonts w:ascii="Book Antiqua" w:hAnsi="Book Antiqua"/>
          <w:lang w:val="en-GB"/>
        </w:rPr>
        <w:lastRenderedPageBreak/>
        <w:t>In practice,</w:t>
      </w:r>
      <w:r w:rsidR="00E9740A">
        <w:rPr>
          <w:rFonts w:ascii="Book Antiqua" w:hAnsi="Book Antiqua"/>
          <w:lang w:val="en-GB"/>
        </w:rPr>
        <w:t xml:space="preserve"> however,</w:t>
      </w:r>
      <w:r w:rsidRPr="00A83949">
        <w:rPr>
          <w:rFonts w:ascii="Book Antiqua" w:hAnsi="Book Antiqua"/>
          <w:lang w:val="en-GB"/>
        </w:rPr>
        <w:t xml:space="preserve"> </w:t>
      </w:r>
      <w:r w:rsidR="00291EF1">
        <w:rPr>
          <w:rFonts w:ascii="Book Antiqua" w:hAnsi="Book Antiqua"/>
          <w:lang w:val="en-GB"/>
        </w:rPr>
        <w:t>the realisation of these benefits has proved more difficult.</w:t>
      </w:r>
      <w:r w:rsidRPr="00A83949">
        <w:rPr>
          <w:rFonts w:ascii="Book Antiqua" w:hAnsi="Book Antiqua"/>
          <w:lang w:val="en-GB"/>
        </w:rPr>
        <w:t xml:space="preserve"> </w:t>
      </w:r>
      <w:r w:rsidR="007F357D">
        <w:rPr>
          <w:rFonts w:ascii="Book Antiqua" w:hAnsi="Book Antiqua"/>
          <w:lang w:val="en-GB"/>
        </w:rPr>
        <w:t xml:space="preserve">Achieving these </w:t>
      </w:r>
      <w:r w:rsidRPr="00A83949">
        <w:rPr>
          <w:rFonts w:ascii="Book Antiqua" w:hAnsi="Book Antiqua"/>
          <w:lang w:val="en-GB"/>
        </w:rPr>
        <w:t>benefits appears</w:t>
      </w:r>
      <w:r w:rsidR="003F1898">
        <w:rPr>
          <w:rFonts w:ascii="Book Antiqua" w:hAnsi="Book Antiqua"/>
          <w:lang w:val="en-GB"/>
        </w:rPr>
        <w:t xml:space="preserve"> contingent on </w:t>
      </w:r>
      <w:r w:rsidR="00291EF1" w:rsidRPr="00A83949">
        <w:rPr>
          <w:rFonts w:ascii="Book Antiqua" w:hAnsi="Book Antiqua"/>
          <w:lang w:val="en-GB"/>
        </w:rPr>
        <w:t>the broader political culture and institutional framework of the system pre-enactment review is embedded</w:t>
      </w:r>
      <w:r w:rsidR="00291EF1">
        <w:rPr>
          <w:rFonts w:ascii="Book Antiqua" w:hAnsi="Book Antiqua"/>
          <w:lang w:val="en-GB"/>
        </w:rPr>
        <w:t>. P</w:t>
      </w:r>
      <w:r w:rsidRPr="00A83949">
        <w:rPr>
          <w:rFonts w:ascii="Book Antiqua" w:hAnsi="Book Antiqua"/>
          <w:lang w:val="en-GB"/>
        </w:rPr>
        <w:t>re-enactment review in many systems represe</w:t>
      </w:r>
      <w:r w:rsidR="00CE768F">
        <w:rPr>
          <w:rFonts w:ascii="Book Antiqua" w:hAnsi="Book Antiqua"/>
          <w:lang w:val="en-GB"/>
        </w:rPr>
        <w:t xml:space="preserve">nts only a rough approximation </w:t>
      </w:r>
      <w:r w:rsidRPr="00A83949">
        <w:rPr>
          <w:rFonts w:ascii="Book Antiqua" w:hAnsi="Book Antiqua"/>
          <w:lang w:val="en-GB"/>
        </w:rPr>
        <w:t xml:space="preserve">of the ideal-type political review found in the </w:t>
      </w:r>
      <w:r w:rsidR="008C545C">
        <w:rPr>
          <w:rFonts w:ascii="Book Antiqua" w:hAnsi="Book Antiqua"/>
          <w:lang w:val="en-GB"/>
        </w:rPr>
        <w:t>theoretical accounts</w:t>
      </w:r>
      <w:r w:rsidR="00C72B5E">
        <w:rPr>
          <w:rFonts w:ascii="Book Antiqua" w:hAnsi="Book Antiqua"/>
          <w:lang w:val="en-GB"/>
        </w:rPr>
        <w:t>,</w:t>
      </w:r>
      <w:r w:rsidR="00E35C0C">
        <w:rPr>
          <w:rFonts w:ascii="Book Antiqua" w:hAnsi="Book Antiqua"/>
          <w:lang w:val="en-GB"/>
        </w:rPr>
        <w:t xml:space="preserve"> though</w:t>
      </w:r>
      <w:r w:rsidR="00E9701F">
        <w:rPr>
          <w:rFonts w:ascii="Book Antiqua" w:hAnsi="Book Antiqua"/>
          <w:lang w:val="en-GB"/>
        </w:rPr>
        <w:t xml:space="preserve"> well-implemented variants </w:t>
      </w:r>
      <w:r w:rsidR="005E20E2">
        <w:rPr>
          <w:rFonts w:ascii="Book Antiqua" w:hAnsi="Book Antiqua"/>
          <w:lang w:val="en-GB"/>
        </w:rPr>
        <w:t xml:space="preserve">can </w:t>
      </w:r>
      <w:r w:rsidR="00E9701F">
        <w:rPr>
          <w:rFonts w:ascii="Book Antiqua" w:hAnsi="Book Antiqua"/>
          <w:lang w:val="en-GB"/>
        </w:rPr>
        <w:t xml:space="preserve">provide </w:t>
      </w:r>
      <w:r w:rsidRPr="00A83949">
        <w:rPr>
          <w:rFonts w:ascii="Book Antiqua" w:hAnsi="Book Antiqua"/>
          <w:lang w:val="en-GB"/>
        </w:rPr>
        <w:t>important benefits</w:t>
      </w:r>
      <w:r>
        <w:rPr>
          <w:rFonts w:ascii="Book Antiqua" w:hAnsi="Book Antiqua"/>
          <w:lang w:val="en-GB"/>
        </w:rPr>
        <w:t>.</w:t>
      </w:r>
      <w:r w:rsidR="00542CB3">
        <w:rPr>
          <w:rFonts w:ascii="Book Antiqua" w:hAnsi="Book Antiqua"/>
          <w:lang w:val="en-GB"/>
        </w:rPr>
        <w:t xml:space="preserve"> </w:t>
      </w:r>
    </w:p>
    <w:p w14:paraId="0D4BF7F0" w14:textId="77777777" w:rsidR="003F328E" w:rsidRDefault="003F328E" w:rsidP="007155D7">
      <w:pPr>
        <w:spacing w:line="360" w:lineRule="auto"/>
        <w:jc w:val="both"/>
        <w:rPr>
          <w:rFonts w:ascii="Book Antiqua" w:hAnsi="Book Antiqua"/>
          <w:lang w:val="en-GB"/>
        </w:rPr>
      </w:pPr>
    </w:p>
    <w:p w14:paraId="48CD7908" w14:textId="5589041C" w:rsidR="000B344F" w:rsidRPr="007155D7" w:rsidRDefault="000A13FD" w:rsidP="007155D7">
      <w:pPr>
        <w:spacing w:line="360" w:lineRule="auto"/>
        <w:jc w:val="both"/>
        <w:rPr>
          <w:rFonts w:ascii="Book Antiqua" w:hAnsi="Book Antiqua"/>
          <w:lang w:val="en-GB"/>
        </w:rPr>
      </w:pPr>
      <w:r>
        <w:rPr>
          <w:rFonts w:ascii="Book Antiqua" w:hAnsi="Book Antiqua"/>
          <w:lang w:val="en-GB"/>
        </w:rPr>
        <w:t xml:space="preserve">However, </w:t>
      </w:r>
      <w:r w:rsidR="005A093A">
        <w:rPr>
          <w:rFonts w:ascii="Book Antiqua" w:hAnsi="Book Antiqua"/>
          <w:lang w:val="en-GB"/>
        </w:rPr>
        <w:t>the reality</w:t>
      </w:r>
      <w:r w:rsidR="00D47559">
        <w:rPr>
          <w:rFonts w:ascii="Book Antiqua" w:hAnsi="Book Antiqua"/>
          <w:lang w:val="en-GB"/>
        </w:rPr>
        <w:t xml:space="preserve"> of </w:t>
      </w:r>
      <w:r w:rsidR="00291EF1">
        <w:rPr>
          <w:rFonts w:ascii="Book Antiqua" w:hAnsi="Book Antiqua"/>
          <w:lang w:val="en-GB"/>
        </w:rPr>
        <w:t>pre-enactment</w:t>
      </w:r>
      <w:r w:rsidR="00D47559">
        <w:rPr>
          <w:rFonts w:ascii="Book Antiqua" w:hAnsi="Book Antiqua"/>
          <w:lang w:val="en-GB"/>
        </w:rPr>
        <w:t xml:space="preserve"> constitutional review </w:t>
      </w:r>
      <w:r w:rsidR="003F328E">
        <w:rPr>
          <w:rFonts w:ascii="Book Antiqua" w:hAnsi="Book Antiqua"/>
          <w:lang w:val="en-GB"/>
        </w:rPr>
        <w:t xml:space="preserve">is </w:t>
      </w:r>
      <w:r w:rsidR="00291EF1">
        <w:rPr>
          <w:rFonts w:ascii="Book Antiqua" w:hAnsi="Book Antiqua"/>
          <w:lang w:val="en-GB"/>
        </w:rPr>
        <w:t xml:space="preserve">more </w:t>
      </w:r>
      <w:r w:rsidR="00A63C31">
        <w:rPr>
          <w:rFonts w:ascii="Book Antiqua" w:hAnsi="Book Antiqua"/>
          <w:lang w:val="en-GB"/>
        </w:rPr>
        <w:t xml:space="preserve">diverse </w:t>
      </w:r>
      <w:r w:rsidR="00291EF1">
        <w:rPr>
          <w:rFonts w:ascii="Book Antiqua" w:hAnsi="Book Antiqua"/>
          <w:lang w:val="en-GB"/>
        </w:rPr>
        <w:t xml:space="preserve">even than this, and </w:t>
      </w:r>
      <w:r w:rsidR="00D47559">
        <w:rPr>
          <w:rFonts w:ascii="Book Antiqua" w:hAnsi="Book Antiqua"/>
          <w:lang w:val="en-GB"/>
        </w:rPr>
        <w:t>the full implications of its different forms and instantiations have not</w:t>
      </w:r>
      <w:r w:rsidR="003F328E">
        <w:rPr>
          <w:rFonts w:ascii="Book Antiqua" w:hAnsi="Book Antiqua"/>
          <w:lang w:val="en-GB"/>
        </w:rPr>
        <w:t xml:space="preserve"> yet</w:t>
      </w:r>
      <w:r w:rsidR="00D47559">
        <w:rPr>
          <w:rFonts w:ascii="Book Antiqua" w:hAnsi="Book Antiqua"/>
          <w:lang w:val="en-GB"/>
        </w:rPr>
        <w:t xml:space="preserve"> been teased out in the literature. </w:t>
      </w:r>
      <w:r w:rsidR="003F328E">
        <w:rPr>
          <w:rFonts w:ascii="Book Antiqua" w:hAnsi="Book Antiqua"/>
          <w:lang w:val="en-GB"/>
        </w:rPr>
        <w:t>Indeed</w:t>
      </w:r>
      <w:r w:rsidR="00C53DF4">
        <w:rPr>
          <w:rFonts w:ascii="Book Antiqua" w:hAnsi="Book Antiqua"/>
          <w:lang w:val="en-GB"/>
        </w:rPr>
        <w:t xml:space="preserve">, </w:t>
      </w:r>
      <w:r w:rsidR="001520B2">
        <w:rPr>
          <w:rFonts w:ascii="Book Antiqua" w:hAnsi="Book Antiqua"/>
          <w:lang w:val="en-GB"/>
        </w:rPr>
        <w:t>the experience</w:t>
      </w:r>
      <w:r w:rsidR="00291EF1">
        <w:rPr>
          <w:rFonts w:ascii="Book Antiqua" w:hAnsi="Book Antiqua"/>
          <w:lang w:val="en-GB"/>
        </w:rPr>
        <w:t xml:space="preserve"> of</w:t>
      </w:r>
      <w:r w:rsidR="001520B2">
        <w:rPr>
          <w:rFonts w:ascii="Book Antiqua" w:hAnsi="Book Antiqua"/>
          <w:lang w:val="en-GB"/>
        </w:rPr>
        <w:t xml:space="preserve"> certain systems</w:t>
      </w:r>
      <w:r w:rsidR="00B672B4">
        <w:rPr>
          <w:rFonts w:ascii="Book Antiqua" w:hAnsi="Book Antiqua"/>
          <w:lang w:val="en-GB"/>
        </w:rPr>
        <w:t>,</w:t>
      </w:r>
      <w:r w:rsidR="001520B2">
        <w:rPr>
          <w:rFonts w:ascii="Book Antiqua" w:hAnsi="Book Antiqua"/>
          <w:lang w:val="en-GB"/>
        </w:rPr>
        <w:t xml:space="preserve"> </w:t>
      </w:r>
      <w:r w:rsidR="00B672B4">
        <w:rPr>
          <w:rFonts w:ascii="Book Antiqua" w:hAnsi="Book Antiqua"/>
          <w:lang w:val="en-GB"/>
        </w:rPr>
        <w:t xml:space="preserve">which </w:t>
      </w:r>
      <w:r w:rsidR="001520B2">
        <w:rPr>
          <w:rFonts w:ascii="Book Antiqua" w:hAnsi="Book Antiqua"/>
          <w:lang w:val="en-GB"/>
        </w:rPr>
        <w:t>have not received great attention</w:t>
      </w:r>
      <w:r w:rsidR="00B672B4">
        <w:rPr>
          <w:rFonts w:ascii="Book Antiqua" w:hAnsi="Book Antiqua"/>
          <w:lang w:val="en-GB"/>
        </w:rPr>
        <w:t>,</w:t>
      </w:r>
      <w:r w:rsidR="001520B2">
        <w:rPr>
          <w:rFonts w:ascii="Book Antiqua" w:hAnsi="Book Antiqua"/>
          <w:lang w:val="en-GB"/>
        </w:rPr>
        <w:t xml:space="preserve"> </w:t>
      </w:r>
      <w:r w:rsidR="007F63D2">
        <w:rPr>
          <w:rFonts w:ascii="Book Antiqua" w:hAnsi="Book Antiqua"/>
          <w:lang w:val="en-GB"/>
        </w:rPr>
        <w:t>suggest</w:t>
      </w:r>
      <w:r w:rsidR="00CB665D">
        <w:rPr>
          <w:rFonts w:ascii="Book Antiqua" w:hAnsi="Book Antiqua"/>
          <w:lang w:val="en-GB"/>
        </w:rPr>
        <w:t xml:space="preserve"> there </w:t>
      </w:r>
      <w:r w:rsidR="00090166">
        <w:rPr>
          <w:rFonts w:ascii="Book Antiqua" w:hAnsi="Book Antiqua"/>
          <w:lang w:val="en-GB"/>
        </w:rPr>
        <w:t>is</w:t>
      </w:r>
      <w:r w:rsidR="00CB665D">
        <w:rPr>
          <w:rFonts w:ascii="Book Antiqua" w:hAnsi="Book Antiqua"/>
          <w:lang w:val="en-GB"/>
        </w:rPr>
        <w:t xml:space="preserve"> a darker side </w:t>
      </w:r>
      <w:r w:rsidR="002F5BB7">
        <w:rPr>
          <w:rFonts w:ascii="Book Antiqua" w:hAnsi="Book Antiqua"/>
          <w:lang w:val="en-GB"/>
        </w:rPr>
        <w:t>to pre-enactment</w:t>
      </w:r>
      <w:r w:rsidR="00933789">
        <w:rPr>
          <w:rFonts w:ascii="Book Antiqua" w:hAnsi="Book Antiqua"/>
          <w:lang w:val="en-GB"/>
        </w:rPr>
        <w:t xml:space="preserve"> </w:t>
      </w:r>
      <w:r w:rsidR="002F5BB7">
        <w:rPr>
          <w:rFonts w:ascii="Book Antiqua" w:hAnsi="Book Antiqua"/>
          <w:lang w:val="en-GB"/>
        </w:rPr>
        <w:t>review</w:t>
      </w:r>
      <w:r w:rsidR="00551798">
        <w:rPr>
          <w:rFonts w:ascii="Book Antiqua" w:hAnsi="Book Antiqua"/>
          <w:lang w:val="en-GB"/>
        </w:rPr>
        <w:t xml:space="preserve"> that</w:t>
      </w:r>
      <w:r w:rsidR="00D47559">
        <w:rPr>
          <w:rFonts w:ascii="Book Antiqua" w:hAnsi="Book Antiqua"/>
          <w:lang w:val="en-GB"/>
        </w:rPr>
        <w:t xml:space="preserve"> has been under</w:t>
      </w:r>
      <w:r w:rsidR="0060292A">
        <w:rPr>
          <w:rFonts w:ascii="Book Antiqua" w:hAnsi="Book Antiqua"/>
          <w:lang w:val="en-GB"/>
        </w:rPr>
        <w:t>-</w:t>
      </w:r>
      <w:r w:rsidR="00D47559">
        <w:rPr>
          <w:rFonts w:ascii="Book Antiqua" w:hAnsi="Book Antiqua"/>
          <w:lang w:val="en-GB"/>
        </w:rPr>
        <w:t>explored</w:t>
      </w:r>
      <w:r w:rsidR="002F5BB7">
        <w:rPr>
          <w:rFonts w:ascii="Book Antiqua" w:hAnsi="Book Antiqua"/>
          <w:lang w:val="en-GB"/>
        </w:rPr>
        <w:t>.</w:t>
      </w:r>
      <w:r w:rsidR="00D47559">
        <w:rPr>
          <w:rFonts w:ascii="Book Antiqua" w:hAnsi="Book Antiqua"/>
          <w:lang w:val="en-GB"/>
        </w:rPr>
        <w:t xml:space="preserve"> </w:t>
      </w:r>
      <w:r w:rsidR="005A093A">
        <w:rPr>
          <w:rFonts w:ascii="Book Antiqua" w:hAnsi="Book Antiqua"/>
          <w:lang w:val="en-GB"/>
        </w:rPr>
        <w:t>In this article, we consider the possibility that</w:t>
      </w:r>
      <w:r w:rsidR="00D47559">
        <w:rPr>
          <w:rFonts w:ascii="Book Antiqua" w:hAnsi="Book Antiqua"/>
          <w:lang w:val="en-GB"/>
        </w:rPr>
        <w:t xml:space="preserve"> n</w:t>
      </w:r>
      <w:r w:rsidR="002F5BB7">
        <w:rPr>
          <w:rFonts w:ascii="Book Antiqua" w:hAnsi="Book Antiqua"/>
          <w:lang w:val="en-GB"/>
        </w:rPr>
        <w:t xml:space="preserve">ot only </w:t>
      </w:r>
      <w:r w:rsidR="00551798">
        <w:rPr>
          <w:rFonts w:ascii="Book Antiqua" w:hAnsi="Book Antiqua"/>
          <w:lang w:val="en-GB"/>
        </w:rPr>
        <w:t>may</w:t>
      </w:r>
      <w:r w:rsidR="002F5BB7">
        <w:rPr>
          <w:rFonts w:ascii="Book Antiqua" w:hAnsi="Book Antiqua"/>
          <w:lang w:val="en-GB"/>
        </w:rPr>
        <w:t xml:space="preserve"> </w:t>
      </w:r>
      <w:r w:rsidR="00115043">
        <w:rPr>
          <w:rFonts w:ascii="Book Antiqua" w:hAnsi="Book Antiqua"/>
          <w:lang w:val="en-GB"/>
        </w:rPr>
        <w:t>pre-enactment review</w:t>
      </w:r>
      <w:r w:rsidR="002F5BB7">
        <w:rPr>
          <w:rFonts w:ascii="Book Antiqua" w:hAnsi="Book Antiqua"/>
          <w:lang w:val="en-GB"/>
        </w:rPr>
        <w:t xml:space="preserve"> fail to achieve the full benefits of ideal</w:t>
      </w:r>
      <w:r w:rsidR="001520B2">
        <w:rPr>
          <w:rFonts w:ascii="Book Antiqua" w:hAnsi="Book Antiqua"/>
          <w:lang w:val="en-GB"/>
        </w:rPr>
        <w:t>-</w:t>
      </w:r>
      <w:r w:rsidR="002F5BB7">
        <w:rPr>
          <w:rFonts w:ascii="Book Antiqua" w:hAnsi="Book Antiqua"/>
          <w:lang w:val="en-GB"/>
        </w:rPr>
        <w:t>type</w:t>
      </w:r>
      <w:r w:rsidR="00090166">
        <w:rPr>
          <w:rFonts w:ascii="Book Antiqua" w:hAnsi="Book Antiqua"/>
          <w:lang w:val="en-GB"/>
        </w:rPr>
        <w:t xml:space="preserve"> accounts</w:t>
      </w:r>
      <w:r w:rsidR="002F5BB7">
        <w:rPr>
          <w:rFonts w:ascii="Book Antiqua" w:hAnsi="Book Antiqua"/>
          <w:lang w:val="en-GB"/>
        </w:rPr>
        <w:t>,</w:t>
      </w:r>
      <w:r w:rsidR="005A093A">
        <w:rPr>
          <w:rFonts w:ascii="Book Antiqua" w:hAnsi="Book Antiqua"/>
          <w:lang w:val="en-GB"/>
        </w:rPr>
        <w:t xml:space="preserve"> but that</w:t>
      </w:r>
      <w:r w:rsidR="002F5BB7">
        <w:rPr>
          <w:rFonts w:ascii="Book Antiqua" w:hAnsi="Book Antiqua"/>
          <w:lang w:val="en-GB"/>
        </w:rPr>
        <w:t xml:space="preserve"> it can,</w:t>
      </w:r>
      <w:r w:rsidR="006A369A">
        <w:rPr>
          <w:rFonts w:ascii="Book Antiqua" w:hAnsi="Book Antiqua"/>
          <w:lang w:val="en-GB"/>
        </w:rPr>
        <w:t xml:space="preserve"> in certain contexts,</w:t>
      </w:r>
      <w:r w:rsidR="002F5BB7">
        <w:rPr>
          <w:rFonts w:ascii="Book Antiqua" w:hAnsi="Book Antiqua"/>
          <w:lang w:val="en-GB"/>
        </w:rPr>
        <w:t xml:space="preserve"> have </w:t>
      </w:r>
      <w:r w:rsidR="006A369A">
        <w:rPr>
          <w:rFonts w:ascii="Book Antiqua" w:hAnsi="Book Antiqua"/>
          <w:lang w:val="en-GB"/>
        </w:rPr>
        <w:t xml:space="preserve">serious negative consequences </w:t>
      </w:r>
      <w:r w:rsidR="00FF30D4">
        <w:rPr>
          <w:rFonts w:ascii="Book Antiqua" w:hAnsi="Book Antiqua"/>
          <w:lang w:val="en-GB"/>
        </w:rPr>
        <w:t>that</w:t>
      </w:r>
      <w:r w:rsidR="004B4330">
        <w:rPr>
          <w:rFonts w:ascii="Book Antiqua" w:hAnsi="Book Antiqua"/>
          <w:lang w:val="en-GB"/>
        </w:rPr>
        <w:t xml:space="preserve"> ironically</w:t>
      </w:r>
      <w:r w:rsidR="00FF30D4">
        <w:rPr>
          <w:rFonts w:ascii="Book Antiqua" w:hAnsi="Book Antiqua"/>
          <w:lang w:val="en-GB"/>
        </w:rPr>
        <w:t xml:space="preserve"> cut against many of the </w:t>
      </w:r>
      <w:r w:rsidR="000A7382">
        <w:rPr>
          <w:rFonts w:ascii="Book Antiqua" w:hAnsi="Book Antiqua"/>
          <w:lang w:val="en-GB"/>
        </w:rPr>
        <w:t>normative benefits</w:t>
      </w:r>
      <w:r w:rsidR="00B907FC">
        <w:rPr>
          <w:rFonts w:ascii="Book Antiqua" w:hAnsi="Book Antiqua"/>
          <w:lang w:val="en-GB"/>
        </w:rPr>
        <w:t xml:space="preserve"> </w:t>
      </w:r>
      <w:r w:rsidR="00313B3D">
        <w:rPr>
          <w:rFonts w:ascii="Book Antiqua" w:hAnsi="Book Antiqua"/>
          <w:lang w:val="en-GB"/>
        </w:rPr>
        <w:t>with which it is associated</w:t>
      </w:r>
      <w:r w:rsidR="00FF30D4">
        <w:rPr>
          <w:rFonts w:ascii="Book Antiqua" w:hAnsi="Book Antiqua"/>
          <w:lang w:val="en-GB"/>
        </w:rPr>
        <w:t xml:space="preserve">. </w:t>
      </w:r>
    </w:p>
    <w:p w14:paraId="74371868" w14:textId="77777777" w:rsidR="00AF26D1" w:rsidRDefault="00AF26D1" w:rsidP="00716219">
      <w:pPr>
        <w:spacing w:line="360" w:lineRule="auto"/>
        <w:jc w:val="both"/>
        <w:rPr>
          <w:rFonts w:ascii="Book Antiqua" w:hAnsi="Book Antiqua"/>
          <w:lang w:val="en-GB"/>
        </w:rPr>
      </w:pPr>
    </w:p>
    <w:p w14:paraId="4A9FC0B2" w14:textId="6ECBE30A" w:rsidR="001520B2" w:rsidRDefault="00A83949" w:rsidP="00313B3D">
      <w:pPr>
        <w:spacing w:line="360" w:lineRule="auto"/>
        <w:jc w:val="both"/>
        <w:rPr>
          <w:rFonts w:ascii="Book Antiqua" w:hAnsi="Book Antiqua"/>
          <w:lang w:val="en-GB"/>
        </w:rPr>
      </w:pPr>
      <w:r w:rsidRPr="00A83949">
        <w:rPr>
          <w:rFonts w:ascii="Book Antiqua" w:hAnsi="Book Antiqua"/>
          <w:lang w:val="en-GB"/>
        </w:rPr>
        <w:t xml:space="preserve">This article proceeds in </w:t>
      </w:r>
      <w:r w:rsidR="00277F87">
        <w:rPr>
          <w:rFonts w:ascii="Book Antiqua" w:hAnsi="Book Antiqua"/>
          <w:lang w:val="en-GB"/>
        </w:rPr>
        <w:t xml:space="preserve">three </w:t>
      </w:r>
      <w:r w:rsidRPr="00A83949">
        <w:rPr>
          <w:rFonts w:ascii="Book Antiqua" w:hAnsi="Book Antiqua"/>
          <w:lang w:val="en-GB"/>
        </w:rPr>
        <w:t xml:space="preserve">parts. </w:t>
      </w:r>
      <w:r w:rsidR="00602330">
        <w:rPr>
          <w:rFonts w:ascii="Book Antiqua" w:hAnsi="Book Antiqua"/>
          <w:lang w:val="en-GB"/>
        </w:rPr>
        <w:t>In p</w:t>
      </w:r>
      <w:r w:rsidR="00542CB3">
        <w:rPr>
          <w:rFonts w:ascii="Book Antiqua" w:hAnsi="Book Antiqua"/>
          <w:lang w:val="en-GB"/>
        </w:rPr>
        <w:t>art I</w:t>
      </w:r>
      <w:r w:rsidR="00602330">
        <w:rPr>
          <w:rFonts w:ascii="Book Antiqua" w:hAnsi="Book Antiqua"/>
          <w:lang w:val="en-GB"/>
        </w:rPr>
        <w:t xml:space="preserve">, we provide </w:t>
      </w:r>
      <w:r w:rsidRPr="00A83949">
        <w:rPr>
          <w:rFonts w:ascii="Book Antiqua" w:hAnsi="Book Antiqua"/>
          <w:lang w:val="en-GB"/>
        </w:rPr>
        <w:t>an overview of the concept of pre-enactment political review based on existing compar</w:t>
      </w:r>
      <w:r w:rsidR="00602330">
        <w:rPr>
          <w:rFonts w:ascii="Book Antiqua" w:hAnsi="Book Antiqua"/>
          <w:lang w:val="en-GB"/>
        </w:rPr>
        <w:t>ative and theoretical accounts, outlining</w:t>
      </w:r>
      <w:r w:rsidRPr="00A83949">
        <w:rPr>
          <w:rFonts w:ascii="Book Antiqua" w:hAnsi="Book Antiqua"/>
          <w:lang w:val="en-GB"/>
        </w:rPr>
        <w:t xml:space="preserve"> </w:t>
      </w:r>
      <w:r w:rsidR="007F1C0E">
        <w:rPr>
          <w:rFonts w:ascii="Book Antiqua" w:hAnsi="Book Antiqua"/>
          <w:lang w:val="en-GB"/>
        </w:rPr>
        <w:t>an ideal-type</w:t>
      </w:r>
      <w:r w:rsidRPr="00A83949">
        <w:rPr>
          <w:rFonts w:ascii="Book Antiqua" w:hAnsi="Book Antiqua"/>
          <w:lang w:val="en-GB"/>
        </w:rPr>
        <w:t xml:space="preserve"> </w:t>
      </w:r>
      <w:r w:rsidR="00D65D53">
        <w:rPr>
          <w:rFonts w:ascii="Book Antiqua" w:hAnsi="Book Antiqua"/>
          <w:lang w:val="en-GB"/>
        </w:rPr>
        <w:t>account</w:t>
      </w:r>
      <w:r w:rsidRPr="00A83949">
        <w:rPr>
          <w:rFonts w:ascii="Book Antiqua" w:hAnsi="Book Antiqua"/>
          <w:lang w:val="en-GB"/>
        </w:rPr>
        <w:t xml:space="preserve"> of pre-enactment review and the benefits associated with it.</w:t>
      </w:r>
      <w:r w:rsidR="00F03579">
        <w:rPr>
          <w:rFonts w:ascii="Book Antiqua" w:hAnsi="Book Antiqua"/>
          <w:lang w:val="en-GB"/>
        </w:rPr>
        <w:t xml:space="preserve"> </w:t>
      </w:r>
      <w:r w:rsidR="00013603">
        <w:rPr>
          <w:rFonts w:ascii="Book Antiqua" w:hAnsi="Book Antiqua"/>
          <w:lang w:val="en-GB"/>
        </w:rPr>
        <w:t>W</w:t>
      </w:r>
      <w:r w:rsidRPr="00A83949">
        <w:rPr>
          <w:rFonts w:ascii="Book Antiqua" w:hAnsi="Book Antiqua"/>
          <w:lang w:val="en-GB"/>
        </w:rPr>
        <w:t xml:space="preserve">e </w:t>
      </w:r>
      <w:r w:rsidR="00013603">
        <w:rPr>
          <w:rFonts w:ascii="Book Antiqua" w:hAnsi="Book Antiqua"/>
          <w:lang w:val="en-GB"/>
        </w:rPr>
        <w:t xml:space="preserve">then consider briefly the </w:t>
      </w:r>
      <w:r w:rsidR="004C3072">
        <w:rPr>
          <w:rFonts w:ascii="Book Antiqua" w:hAnsi="Book Antiqua"/>
          <w:lang w:val="en-GB"/>
        </w:rPr>
        <w:t>varying success</w:t>
      </w:r>
      <w:r w:rsidR="001520B2">
        <w:rPr>
          <w:rFonts w:ascii="Book Antiqua" w:hAnsi="Book Antiqua"/>
          <w:lang w:val="en-GB"/>
        </w:rPr>
        <w:t xml:space="preserve"> of </w:t>
      </w:r>
      <w:r w:rsidRPr="00A83949">
        <w:rPr>
          <w:rFonts w:ascii="Book Antiqua" w:hAnsi="Book Antiqua"/>
          <w:lang w:val="en-GB"/>
        </w:rPr>
        <w:t xml:space="preserve">pre-enactment review in </w:t>
      </w:r>
      <w:r w:rsidR="006962E2">
        <w:rPr>
          <w:rFonts w:ascii="Book Antiqua" w:hAnsi="Book Antiqua"/>
        </w:rPr>
        <w:t xml:space="preserve">Canada, New Zealand, </w:t>
      </w:r>
      <w:r w:rsidR="001520B2">
        <w:rPr>
          <w:rFonts w:ascii="Book Antiqua" w:hAnsi="Book Antiqua"/>
        </w:rPr>
        <w:t xml:space="preserve">and </w:t>
      </w:r>
      <w:r w:rsidR="004F512F" w:rsidRPr="00FD70FB">
        <w:rPr>
          <w:rFonts w:ascii="Book Antiqua" w:hAnsi="Book Antiqua"/>
        </w:rPr>
        <w:t>the United Kingdom</w:t>
      </w:r>
      <w:r w:rsidR="00EE1AF5">
        <w:rPr>
          <w:rFonts w:ascii="Book Antiqua" w:hAnsi="Book Antiqua"/>
        </w:rPr>
        <w:t xml:space="preserve">. </w:t>
      </w:r>
      <w:r w:rsidR="00481785">
        <w:rPr>
          <w:rFonts w:ascii="Book Antiqua" w:hAnsi="Book Antiqua"/>
          <w:lang w:val="en-GB"/>
        </w:rPr>
        <w:t xml:space="preserve">These examples </w:t>
      </w:r>
      <w:r w:rsidR="009541B7">
        <w:rPr>
          <w:rFonts w:ascii="Book Antiqua" w:hAnsi="Book Antiqua"/>
          <w:lang w:val="en-GB"/>
        </w:rPr>
        <w:t>illustrate the process falling short</w:t>
      </w:r>
      <w:r w:rsidR="00481785">
        <w:rPr>
          <w:rFonts w:ascii="Book Antiqua" w:hAnsi="Book Antiqua"/>
          <w:lang w:val="en-GB"/>
        </w:rPr>
        <w:t>,</w:t>
      </w:r>
      <w:r w:rsidR="009541B7">
        <w:rPr>
          <w:rFonts w:ascii="Book Antiqua" w:hAnsi="Book Antiqua"/>
          <w:lang w:val="en-GB"/>
        </w:rPr>
        <w:t xml:space="preserve"> </w:t>
      </w:r>
      <w:r w:rsidR="00481785">
        <w:rPr>
          <w:rFonts w:ascii="Book Antiqua" w:hAnsi="Book Antiqua"/>
          <w:lang w:val="en-GB"/>
        </w:rPr>
        <w:t xml:space="preserve">to varying degrees, </w:t>
      </w:r>
      <w:r w:rsidR="009541B7">
        <w:rPr>
          <w:rFonts w:ascii="Book Antiqua" w:hAnsi="Book Antiqua"/>
          <w:lang w:val="en-GB"/>
        </w:rPr>
        <w:t xml:space="preserve">of </w:t>
      </w:r>
      <w:r w:rsidR="004C3072">
        <w:rPr>
          <w:rFonts w:ascii="Book Antiqua" w:hAnsi="Book Antiqua"/>
          <w:lang w:val="en-GB"/>
        </w:rPr>
        <w:t>the ideal-</w:t>
      </w:r>
      <w:r w:rsidR="009541B7">
        <w:rPr>
          <w:rFonts w:ascii="Book Antiqua" w:hAnsi="Book Antiqua"/>
          <w:lang w:val="en-GB"/>
        </w:rPr>
        <w:t>type</w:t>
      </w:r>
      <w:r w:rsidR="004C3072">
        <w:rPr>
          <w:rFonts w:ascii="Book Antiqua" w:hAnsi="Book Antiqua"/>
          <w:lang w:val="en-GB"/>
        </w:rPr>
        <w:t xml:space="preserve"> accoun</w:t>
      </w:r>
      <w:r w:rsidR="00D366AE">
        <w:rPr>
          <w:rFonts w:ascii="Book Antiqua" w:hAnsi="Book Antiqua"/>
          <w:lang w:val="en-GB"/>
        </w:rPr>
        <w:t xml:space="preserve">t, which </w:t>
      </w:r>
      <w:r w:rsidR="00761CFA">
        <w:rPr>
          <w:rFonts w:ascii="Book Antiqua" w:hAnsi="Book Antiqua"/>
          <w:lang w:val="en-GB"/>
        </w:rPr>
        <w:t xml:space="preserve">provides </w:t>
      </w:r>
      <w:r w:rsidR="001520B2">
        <w:rPr>
          <w:rFonts w:ascii="Book Antiqua" w:hAnsi="Book Antiqua"/>
          <w:lang w:val="en-GB"/>
        </w:rPr>
        <w:t>crucial contrast to the accounts that follow in part II.</w:t>
      </w:r>
    </w:p>
    <w:p w14:paraId="1C6E4CFB" w14:textId="020A78EC" w:rsidR="001520B2" w:rsidRDefault="001520B2" w:rsidP="00313B3D">
      <w:pPr>
        <w:spacing w:line="360" w:lineRule="auto"/>
        <w:jc w:val="both"/>
        <w:rPr>
          <w:rFonts w:ascii="Book Antiqua" w:hAnsi="Book Antiqua"/>
          <w:lang w:val="en-GB"/>
        </w:rPr>
      </w:pPr>
    </w:p>
    <w:p w14:paraId="66CD9AAC" w14:textId="769E5C8B" w:rsidR="001520B2" w:rsidRDefault="001520B2" w:rsidP="00313B3D">
      <w:pPr>
        <w:spacing w:line="360" w:lineRule="auto"/>
        <w:jc w:val="both"/>
        <w:rPr>
          <w:rFonts w:ascii="Book Antiqua" w:hAnsi="Book Antiqua"/>
          <w:lang w:val="en-GB"/>
        </w:rPr>
      </w:pPr>
      <w:r>
        <w:rPr>
          <w:rFonts w:ascii="Book Antiqua" w:hAnsi="Book Antiqua"/>
          <w:lang w:val="en-GB"/>
        </w:rPr>
        <w:t>In part II, we consider two under</w:t>
      </w:r>
      <w:r w:rsidR="004C3072">
        <w:rPr>
          <w:rFonts w:ascii="Book Antiqua" w:hAnsi="Book Antiqua"/>
          <w:lang w:val="en-GB"/>
        </w:rPr>
        <w:t>-</w:t>
      </w:r>
      <w:r>
        <w:rPr>
          <w:rFonts w:ascii="Book Antiqua" w:hAnsi="Book Antiqua"/>
          <w:lang w:val="en-GB"/>
        </w:rPr>
        <w:t>e</w:t>
      </w:r>
      <w:r w:rsidR="004C3072">
        <w:rPr>
          <w:rFonts w:ascii="Book Antiqua" w:hAnsi="Book Antiqua"/>
          <w:lang w:val="en-GB"/>
        </w:rPr>
        <w:t>xamined and older examples of pre-enactmen</w:t>
      </w:r>
      <w:r>
        <w:rPr>
          <w:rFonts w:ascii="Book Antiqua" w:hAnsi="Book Antiqua"/>
          <w:lang w:val="en-GB"/>
        </w:rPr>
        <w:t xml:space="preserve">t review: </w:t>
      </w:r>
      <w:proofErr w:type="gramStart"/>
      <w:r w:rsidR="004D7EBF">
        <w:rPr>
          <w:rFonts w:ascii="Book Antiqua" w:hAnsi="Book Antiqua"/>
          <w:lang w:val="en-GB"/>
        </w:rPr>
        <w:t>the</w:t>
      </w:r>
      <w:proofErr w:type="gramEnd"/>
      <w:r w:rsidR="004D7EBF">
        <w:rPr>
          <w:rFonts w:ascii="Book Antiqua" w:hAnsi="Book Antiqua"/>
          <w:lang w:val="en-GB"/>
        </w:rPr>
        <w:t xml:space="preserve"> Cabinet Legislation Bureau in </w:t>
      </w:r>
      <w:r>
        <w:rPr>
          <w:rFonts w:ascii="Book Antiqua" w:hAnsi="Book Antiqua"/>
          <w:lang w:val="en-GB"/>
        </w:rPr>
        <w:t xml:space="preserve">Japan and </w:t>
      </w:r>
      <w:r w:rsidR="004D7EBF">
        <w:rPr>
          <w:rFonts w:ascii="Book Antiqua" w:hAnsi="Book Antiqua"/>
          <w:lang w:val="en-GB"/>
        </w:rPr>
        <w:t xml:space="preserve">the Attorney General in </w:t>
      </w:r>
      <w:r>
        <w:rPr>
          <w:rFonts w:ascii="Book Antiqua" w:hAnsi="Book Antiqua"/>
          <w:lang w:val="en-GB"/>
        </w:rPr>
        <w:t xml:space="preserve">Ireland. </w:t>
      </w:r>
      <w:r w:rsidR="004D7EBF">
        <w:rPr>
          <w:rFonts w:ascii="Book Antiqua" w:hAnsi="Book Antiqua"/>
          <w:lang w:val="en-GB"/>
        </w:rPr>
        <w:t>The Japanese practice has not been fully examined in the context of the debate on pre-enactment review and political constitutionalism. The Irish practice has hardly received any attention at all, even in Irish legal scholarship. Each case illustrates the dark side of pre-enactment constitutional review. Each process is only scantly grounded in constitutional text but has come to take on huge importance in the constitutional</w:t>
      </w:r>
      <w:r w:rsidR="004C3072">
        <w:rPr>
          <w:rFonts w:ascii="Book Antiqua" w:hAnsi="Book Antiqua"/>
          <w:lang w:val="en-GB"/>
        </w:rPr>
        <w:t xml:space="preserve"> order</w:t>
      </w:r>
      <w:r w:rsidR="004D7EBF">
        <w:rPr>
          <w:rFonts w:ascii="Book Antiqua" w:hAnsi="Book Antiqua"/>
          <w:lang w:val="en-GB"/>
        </w:rPr>
        <w:t xml:space="preserve">. Each is characterised by opacity and secrecy and has little or no </w:t>
      </w:r>
      <w:r w:rsidR="004D7EBF">
        <w:rPr>
          <w:rFonts w:ascii="Book Antiqua" w:hAnsi="Book Antiqua"/>
          <w:lang w:val="en-GB"/>
        </w:rPr>
        <w:lastRenderedPageBreak/>
        <w:t xml:space="preserve">substantive parliamentary or public involvement. Each has the potential to undermine </w:t>
      </w:r>
      <w:r w:rsidR="00602330">
        <w:rPr>
          <w:rFonts w:ascii="Book Antiqua" w:hAnsi="Book Antiqua"/>
          <w:lang w:val="en-GB"/>
        </w:rPr>
        <w:t>aspects of</w:t>
      </w:r>
      <w:r w:rsidR="004D7EBF">
        <w:rPr>
          <w:rFonts w:ascii="Book Antiqua" w:hAnsi="Book Antiqua"/>
          <w:lang w:val="en-GB"/>
        </w:rPr>
        <w:t xml:space="preserve"> the formal institution of judicial review. Each has the potential to impact negatively </w:t>
      </w:r>
      <w:r w:rsidR="004D7EBF" w:rsidRPr="00A83949">
        <w:rPr>
          <w:rFonts w:ascii="Book Antiqua" w:hAnsi="Book Antiqua"/>
          <w:lang w:val="en-GB"/>
        </w:rPr>
        <w:t xml:space="preserve">on </w:t>
      </w:r>
      <w:r w:rsidR="004D7EBF">
        <w:rPr>
          <w:rFonts w:ascii="Book Antiqua" w:hAnsi="Book Antiqua"/>
          <w:lang w:val="en-GB"/>
        </w:rPr>
        <w:t xml:space="preserve">the </w:t>
      </w:r>
      <w:r w:rsidR="004D7EBF" w:rsidRPr="00A83949">
        <w:rPr>
          <w:rFonts w:ascii="Book Antiqua" w:hAnsi="Book Antiqua"/>
          <w:lang w:val="en-GB"/>
        </w:rPr>
        <w:t>broader politico-legal culture.</w:t>
      </w:r>
      <w:r w:rsidR="00F02AED">
        <w:rPr>
          <w:rFonts w:ascii="Book Antiqua" w:hAnsi="Book Antiqua"/>
          <w:lang w:val="en-GB"/>
        </w:rPr>
        <w:t xml:space="preserve"> </w:t>
      </w:r>
    </w:p>
    <w:p w14:paraId="578BA8CF" w14:textId="77777777" w:rsidR="004D7EBF" w:rsidRDefault="004D7EBF" w:rsidP="00313B3D">
      <w:pPr>
        <w:spacing w:line="360" w:lineRule="auto"/>
        <w:jc w:val="both"/>
        <w:rPr>
          <w:rFonts w:ascii="Book Antiqua" w:hAnsi="Book Antiqua"/>
          <w:lang w:val="en-GB"/>
        </w:rPr>
      </w:pPr>
    </w:p>
    <w:p w14:paraId="5DEB4F83" w14:textId="345141F9" w:rsidR="00895A8A" w:rsidRDefault="004D7EBF" w:rsidP="00735395">
      <w:pPr>
        <w:spacing w:line="360" w:lineRule="auto"/>
        <w:jc w:val="both"/>
        <w:rPr>
          <w:rFonts w:ascii="Book Antiqua" w:hAnsi="Book Antiqua"/>
          <w:lang w:val="en-IE"/>
        </w:rPr>
      </w:pPr>
      <w:r>
        <w:rPr>
          <w:rFonts w:ascii="Book Antiqua" w:hAnsi="Book Antiqua"/>
          <w:lang w:val="en-GB"/>
        </w:rPr>
        <w:t xml:space="preserve">These examples </w:t>
      </w:r>
      <w:r w:rsidR="00F37211">
        <w:rPr>
          <w:rFonts w:ascii="Book Antiqua" w:hAnsi="Book Antiqua"/>
          <w:lang w:val="en-GB"/>
        </w:rPr>
        <w:t>suggest</w:t>
      </w:r>
      <w:r w:rsidR="00090166">
        <w:rPr>
          <w:rFonts w:ascii="Book Antiqua" w:hAnsi="Book Antiqua"/>
          <w:lang w:val="en-GB"/>
        </w:rPr>
        <w:t xml:space="preserve"> that not only </w:t>
      </w:r>
      <w:r w:rsidR="00A8754B">
        <w:rPr>
          <w:rFonts w:ascii="Book Antiqua" w:hAnsi="Book Antiqua"/>
          <w:lang w:val="en-GB"/>
        </w:rPr>
        <w:t>may</w:t>
      </w:r>
      <w:r w:rsidR="00090166">
        <w:rPr>
          <w:rFonts w:ascii="Book Antiqua" w:hAnsi="Book Antiqua"/>
          <w:lang w:val="en-GB"/>
        </w:rPr>
        <w:t xml:space="preserve"> pre-enactment review fail to achieve the full benefits of the ideal-type, it can also have</w:t>
      </w:r>
      <w:r w:rsidR="00864BD5">
        <w:rPr>
          <w:rFonts w:ascii="Book Antiqua" w:hAnsi="Book Antiqua"/>
          <w:lang w:val="en-GB"/>
        </w:rPr>
        <w:t xml:space="preserve"> negative</w:t>
      </w:r>
      <w:r w:rsidR="00090166">
        <w:rPr>
          <w:rFonts w:ascii="Book Antiqua" w:hAnsi="Book Antiqua"/>
          <w:lang w:val="en-GB"/>
        </w:rPr>
        <w:t xml:space="preserve"> consequences for the constitutional order </w:t>
      </w:r>
      <w:r w:rsidR="00B925AD">
        <w:rPr>
          <w:rFonts w:ascii="Book Antiqua" w:hAnsi="Book Antiqua"/>
          <w:lang w:val="en-GB"/>
        </w:rPr>
        <w:t xml:space="preserve">which run </w:t>
      </w:r>
      <w:r w:rsidR="00864BD5">
        <w:rPr>
          <w:rFonts w:ascii="Book Antiqua" w:hAnsi="Book Antiqua"/>
          <w:lang w:val="en-GB"/>
        </w:rPr>
        <w:t xml:space="preserve">directly </w:t>
      </w:r>
      <w:r w:rsidR="00090166">
        <w:rPr>
          <w:rFonts w:ascii="Book Antiqua" w:hAnsi="Book Antiqua"/>
          <w:lang w:val="en-GB"/>
        </w:rPr>
        <w:t xml:space="preserve">contrary to the goals of political constitutionalism. </w:t>
      </w:r>
      <w:r>
        <w:rPr>
          <w:rFonts w:ascii="Book Antiqua" w:hAnsi="Book Antiqua"/>
          <w:lang w:val="en-GB"/>
        </w:rPr>
        <w:t xml:space="preserve">We term this distinctive instantiation of pre-enactment </w:t>
      </w:r>
      <w:r w:rsidRPr="00A83949">
        <w:rPr>
          <w:rFonts w:ascii="Book Antiqua" w:hAnsi="Book Antiqua"/>
          <w:lang w:val="en-GB"/>
        </w:rPr>
        <w:t>review</w:t>
      </w:r>
      <w:r>
        <w:rPr>
          <w:rFonts w:ascii="Book Antiqua" w:hAnsi="Book Antiqua"/>
          <w:lang w:val="en-GB"/>
        </w:rPr>
        <w:t xml:space="preserve"> ‘</w:t>
      </w:r>
      <w:r w:rsidRPr="000762EA">
        <w:rPr>
          <w:rFonts w:ascii="Book Antiqua" w:hAnsi="Book Antiqua"/>
          <w:lang w:val="en-GB"/>
        </w:rPr>
        <w:t>shadow constitutional review’</w:t>
      </w:r>
      <w:r>
        <w:rPr>
          <w:rFonts w:ascii="Book Antiqua" w:hAnsi="Book Antiqua"/>
          <w:lang w:val="en-GB"/>
        </w:rPr>
        <w:t>.</w:t>
      </w:r>
      <w:r w:rsidR="00F02AED">
        <w:rPr>
          <w:rFonts w:ascii="Book Antiqua" w:hAnsi="Book Antiqua"/>
          <w:lang w:val="en-GB"/>
        </w:rPr>
        <w:t xml:space="preserve"> </w:t>
      </w:r>
      <w:r w:rsidR="00A83949" w:rsidRPr="00A83949">
        <w:rPr>
          <w:rFonts w:ascii="Book Antiqua" w:hAnsi="Book Antiqua"/>
          <w:lang w:val="en-GB"/>
        </w:rPr>
        <w:t>In part I</w:t>
      </w:r>
      <w:r w:rsidR="002D74F9">
        <w:rPr>
          <w:rFonts w:ascii="Book Antiqua" w:hAnsi="Book Antiqua"/>
          <w:lang w:val="en-GB"/>
        </w:rPr>
        <w:t>II</w:t>
      </w:r>
      <w:r w:rsidR="003F328E">
        <w:rPr>
          <w:rFonts w:ascii="Book Antiqua" w:hAnsi="Book Antiqua"/>
          <w:lang w:val="en-GB"/>
        </w:rPr>
        <w:t>,</w:t>
      </w:r>
      <w:r w:rsidR="00A83949" w:rsidRPr="00A83949">
        <w:rPr>
          <w:rFonts w:ascii="Book Antiqua" w:hAnsi="Book Antiqua"/>
          <w:lang w:val="en-GB"/>
        </w:rPr>
        <w:t xml:space="preserve"> w</w:t>
      </w:r>
      <w:r w:rsidR="00F02AED">
        <w:rPr>
          <w:rFonts w:ascii="Book Antiqua" w:hAnsi="Book Antiqua"/>
          <w:lang w:val="en-GB"/>
        </w:rPr>
        <w:t xml:space="preserve">e discuss the key features and </w:t>
      </w:r>
      <w:r w:rsidR="00864BD5">
        <w:rPr>
          <w:rFonts w:ascii="Book Antiqua" w:hAnsi="Book Antiqua"/>
          <w:lang w:val="en-GB"/>
        </w:rPr>
        <w:t>problems</w:t>
      </w:r>
      <w:r w:rsidR="00F02AED">
        <w:rPr>
          <w:rFonts w:ascii="Book Antiqua" w:hAnsi="Book Antiqua"/>
          <w:lang w:val="en-GB"/>
        </w:rPr>
        <w:t xml:space="preserve"> of this type of pre-enactment review</w:t>
      </w:r>
      <w:r w:rsidR="00864BD5">
        <w:rPr>
          <w:rFonts w:ascii="Book Antiqua" w:hAnsi="Book Antiqua"/>
          <w:lang w:val="en-GB"/>
        </w:rPr>
        <w:t>.</w:t>
      </w:r>
      <w:r w:rsidR="00E43655">
        <w:rPr>
          <w:rFonts w:ascii="Book Antiqua" w:hAnsi="Book Antiqua"/>
          <w:lang w:val="en-GB"/>
        </w:rPr>
        <w:t xml:space="preserve"> </w:t>
      </w:r>
      <w:r w:rsidR="0042394B">
        <w:rPr>
          <w:rFonts w:ascii="Book Antiqua" w:hAnsi="Book Antiqua"/>
          <w:lang w:val="en-GB"/>
        </w:rPr>
        <w:t>We do not argue that this makes the case against pre-enactment review</w:t>
      </w:r>
      <w:r w:rsidR="00864BD5">
        <w:rPr>
          <w:rFonts w:ascii="Book Antiqua" w:hAnsi="Book Antiqua"/>
          <w:lang w:val="en-GB"/>
        </w:rPr>
        <w:t xml:space="preserve"> or political </w:t>
      </w:r>
      <w:r w:rsidR="002A1188">
        <w:rPr>
          <w:rFonts w:ascii="Book Antiqua" w:hAnsi="Book Antiqua"/>
          <w:lang w:val="en-GB"/>
        </w:rPr>
        <w:t>constitutionalism</w:t>
      </w:r>
      <w:r w:rsidR="00761CFA">
        <w:rPr>
          <w:rFonts w:ascii="Book Antiqua" w:hAnsi="Book Antiqua"/>
          <w:lang w:val="en-GB"/>
        </w:rPr>
        <w:t xml:space="preserve"> </w:t>
      </w:r>
      <w:r w:rsidR="00761CFA" w:rsidRPr="00F603FC">
        <w:rPr>
          <w:rFonts w:ascii="Book Antiqua" w:hAnsi="Book Antiqua"/>
          <w:i/>
          <w:lang w:val="en-GB"/>
        </w:rPr>
        <w:t>per se</w:t>
      </w:r>
      <w:r w:rsidR="0042394B">
        <w:rPr>
          <w:rFonts w:ascii="Book Antiqua" w:hAnsi="Book Antiqua"/>
          <w:lang w:val="en-GB"/>
        </w:rPr>
        <w:t xml:space="preserve">. Instead, we think it shows </w:t>
      </w:r>
      <w:r w:rsidR="00C004F2">
        <w:rPr>
          <w:rFonts w:ascii="Book Antiqua" w:hAnsi="Book Antiqua"/>
          <w:lang w:val="en-GB"/>
        </w:rPr>
        <w:t xml:space="preserve">that </w:t>
      </w:r>
      <w:r w:rsidR="0042394B">
        <w:rPr>
          <w:rFonts w:ascii="Book Antiqua" w:hAnsi="Book Antiqua"/>
          <w:lang w:val="en-GB"/>
        </w:rPr>
        <w:t xml:space="preserve">this facet of </w:t>
      </w:r>
      <w:r w:rsidR="00C004F2">
        <w:rPr>
          <w:rFonts w:ascii="Book Antiqua" w:hAnsi="Book Antiqua"/>
          <w:lang w:val="en-GB"/>
        </w:rPr>
        <w:t>political constitutionalism is a more complex phenome</w:t>
      </w:r>
      <w:r w:rsidR="00F75478">
        <w:rPr>
          <w:rFonts w:ascii="Book Antiqua" w:hAnsi="Book Antiqua"/>
          <w:lang w:val="en-GB"/>
        </w:rPr>
        <w:t>non than might appear from the</w:t>
      </w:r>
      <w:r w:rsidR="00C004F2">
        <w:rPr>
          <w:rFonts w:ascii="Book Antiqua" w:hAnsi="Book Antiqua"/>
          <w:lang w:val="en-GB"/>
        </w:rPr>
        <w:t xml:space="preserve"> dominant</w:t>
      </w:r>
      <w:r w:rsidR="00F75478">
        <w:rPr>
          <w:rFonts w:ascii="Book Antiqua" w:hAnsi="Book Antiqua"/>
          <w:lang w:val="en-GB"/>
        </w:rPr>
        <w:t xml:space="preserve"> </w:t>
      </w:r>
      <w:r w:rsidR="00C004F2">
        <w:rPr>
          <w:rFonts w:ascii="Book Antiqua" w:hAnsi="Book Antiqua"/>
          <w:lang w:val="en-GB"/>
        </w:rPr>
        <w:t xml:space="preserve">accounts. </w:t>
      </w:r>
      <w:r w:rsidR="004F0D22">
        <w:rPr>
          <w:rFonts w:ascii="Book Antiqua" w:hAnsi="Book Antiqua"/>
          <w:lang w:val="en-IE"/>
        </w:rPr>
        <w:t>We</w:t>
      </w:r>
      <w:r w:rsidR="00F75478">
        <w:rPr>
          <w:rFonts w:ascii="Book Antiqua" w:hAnsi="Book Antiqua"/>
          <w:lang w:val="en-IE"/>
        </w:rPr>
        <w:t xml:space="preserve"> </w:t>
      </w:r>
      <w:r w:rsidR="004F0D22">
        <w:rPr>
          <w:rFonts w:ascii="Book Antiqua" w:hAnsi="Book Antiqua"/>
          <w:lang w:val="en-IE"/>
        </w:rPr>
        <w:t xml:space="preserve">hope </w:t>
      </w:r>
      <w:r w:rsidR="00AC7B67">
        <w:rPr>
          <w:rFonts w:ascii="Book Antiqua" w:hAnsi="Book Antiqua"/>
          <w:lang w:val="en-IE"/>
        </w:rPr>
        <w:t xml:space="preserve">this </w:t>
      </w:r>
      <w:r w:rsidR="004F0D22">
        <w:rPr>
          <w:rFonts w:ascii="Book Antiqua" w:hAnsi="Book Antiqua"/>
          <w:lang w:val="en-IE"/>
        </w:rPr>
        <w:t>account of</w:t>
      </w:r>
      <w:r w:rsidR="00E2552E">
        <w:rPr>
          <w:rFonts w:ascii="Book Antiqua" w:hAnsi="Book Antiqua"/>
          <w:lang w:val="en-IE"/>
        </w:rPr>
        <w:t xml:space="preserve"> shadow constitutional review</w:t>
      </w:r>
      <w:r w:rsidR="009834AD">
        <w:rPr>
          <w:rFonts w:ascii="Book Antiqua" w:hAnsi="Book Antiqua"/>
          <w:lang w:val="en-IE"/>
        </w:rPr>
        <w:t xml:space="preserve"> </w:t>
      </w:r>
      <w:r w:rsidR="00AC7B67">
        <w:rPr>
          <w:rFonts w:ascii="Book Antiqua" w:hAnsi="Book Antiqua"/>
          <w:lang w:val="en-IE"/>
        </w:rPr>
        <w:t xml:space="preserve">can </w:t>
      </w:r>
      <w:r w:rsidR="00E2552E">
        <w:rPr>
          <w:rFonts w:ascii="Book Antiqua" w:hAnsi="Book Antiqua"/>
          <w:lang w:val="en-IE"/>
        </w:rPr>
        <w:t xml:space="preserve">enrich comparative debate about the possibilities </w:t>
      </w:r>
      <w:r w:rsidR="00AC7B67">
        <w:rPr>
          <w:rFonts w:ascii="Book Antiqua" w:hAnsi="Book Antiqua"/>
          <w:lang w:val="en-IE"/>
        </w:rPr>
        <w:t xml:space="preserve">and </w:t>
      </w:r>
      <w:r w:rsidR="00E2552E">
        <w:rPr>
          <w:rFonts w:ascii="Book Antiqua" w:hAnsi="Book Antiqua"/>
          <w:lang w:val="en-IE"/>
        </w:rPr>
        <w:t xml:space="preserve">pitfalls of political constitutionalism and its expression </w:t>
      </w:r>
      <w:r w:rsidR="009074A0">
        <w:rPr>
          <w:rFonts w:ascii="Book Antiqua" w:hAnsi="Book Antiqua"/>
          <w:lang w:val="en-IE"/>
        </w:rPr>
        <w:t>through</w:t>
      </w:r>
      <w:r w:rsidR="00E2552E">
        <w:rPr>
          <w:rFonts w:ascii="Book Antiqua" w:hAnsi="Book Antiqua"/>
          <w:lang w:val="en-IE"/>
        </w:rPr>
        <w:t xml:space="preserve"> pre-enactment</w:t>
      </w:r>
      <w:r w:rsidR="000B344F">
        <w:rPr>
          <w:rFonts w:ascii="Book Antiqua" w:hAnsi="Book Antiqua"/>
          <w:lang w:val="en-IE"/>
        </w:rPr>
        <w:t xml:space="preserve"> political</w:t>
      </w:r>
      <w:r w:rsidR="00E2552E">
        <w:rPr>
          <w:rFonts w:ascii="Book Antiqua" w:hAnsi="Book Antiqua"/>
          <w:lang w:val="en-IE"/>
        </w:rPr>
        <w:t xml:space="preserve"> review.</w:t>
      </w:r>
    </w:p>
    <w:p w14:paraId="0AAD7C25" w14:textId="77777777" w:rsidR="005539BC" w:rsidRPr="009074A0" w:rsidRDefault="005539BC" w:rsidP="006A3845">
      <w:pPr>
        <w:spacing w:line="360" w:lineRule="auto"/>
        <w:jc w:val="both"/>
        <w:rPr>
          <w:rFonts w:ascii="Book Antiqua" w:hAnsi="Book Antiqua"/>
          <w:lang w:val="en-IE"/>
        </w:rPr>
      </w:pPr>
    </w:p>
    <w:p w14:paraId="4DB98D22" w14:textId="2C86C411" w:rsidR="007155D7" w:rsidRDefault="005E6010" w:rsidP="00A36A90">
      <w:pPr>
        <w:pStyle w:val="ListParagraph"/>
        <w:numPr>
          <w:ilvl w:val="0"/>
          <w:numId w:val="1"/>
        </w:numPr>
        <w:spacing w:line="360" w:lineRule="auto"/>
        <w:ind w:left="1077"/>
        <w:jc w:val="both"/>
        <w:outlineLvl w:val="0"/>
        <w:rPr>
          <w:rFonts w:ascii="Book Antiqua" w:hAnsi="Book Antiqua"/>
          <w:b/>
          <w:sz w:val="28"/>
          <w:lang w:val="en-GB"/>
        </w:rPr>
      </w:pPr>
      <w:r w:rsidRPr="00735395">
        <w:rPr>
          <w:rFonts w:ascii="Book Antiqua" w:hAnsi="Book Antiqua"/>
          <w:b/>
          <w:sz w:val="28"/>
          <w:lang w:val="en-GB"/>
        </w:rPr>
        <w:t>P</w:t>
      </w:r>
      <w:r w:rsidR="008210A1" w:rsidRPr="00735395">
        <w:rPr>
          <w:rFonts w:ascii="Book Antiqua" w:hAnsi="Book Antiqua"/>
          <w:b/>
          <w:sz w:val="28"/>
          <w:lang w:val="en-GB"/>
        </w:rPr>
        <w:t>olitical Constitutionalism and Pre-enactment C</w:t>
      </w:r>
      <w:r w:rsidRPr="00735395">
        <w:rPr>
          <w:rFonts w:ascii="Book Antiqua" w:hAnsi="Book Antiqua"/>
          <w:b/>
          <w:sz w:val="28"/>
          <w:lang w:val="en-GB"/>
        </w:rPr>
        <w:t xml:space="preserve">onstitutional </w:t>
      </w:r>
      <w:r w:rsidR="008210A1" w:rsidRPr="00735395">
        <w:rPr>
          <w:rFonts w:ascii="Book Antiqua" w:hAnsi="Book Antiqua"/>
          <w:b/>
          <w:sz w:val="28"/>
          <w:lang w:val="en-GB"/>
        </w:rPr>
        <w:t>R</w:t>
      </w:r>
      <w:r w:rsidRPr="00735395">
        <w:rPr>
          <w:rFonts w:ascii="Book Antiqua" w:hAnsi="Book Antiqua"/>
          <w:b/>
          <w:sz w:val="28"/>
          <w:lang w:val="en-GB"/>
        </w:rPr>
        <w:t>eview</w:t>
      </w:r>
      <w:r w:rsidR="00FF001A">
        <w:rPr>
          <w:rFonts w:ascii="Book Antiqua" w:hAnsi="Book Antiqua"/>
          <w:b/>
          <w:sz w:val="28"/>
          <w:lang w:val="en-GB"/>
        </w:rPr>
        <w:t>: Promise and Problems</w:t>
      </w:r>
    </w:p>
    <w:p w14:paraId="491C8AF5" w14:textId="689D4FD8" w:rsidR="000900C8" w:rsidRPr="00F603FC" w:rsidRDefault="000900C8" w:rsidP="00F603FC">
      <w:pPr>
        <w:spacing w:line="360" w:lineRule="auto"/>
        <w:jc w:val="both"/>
        <w:outlineLvl w:val="1"/>
        <w:rPr>
          <w:rFonts w:ascii="Book Antiqua" w:hAnsi="Book Antiqua"/>
          <w:b/>
          <w:sz w:val="28"/>
          <w:lang w:val="en-GB"/>
        </w:rPr>
      </w:pPr>
      <w:r>
        <w:rPr>
          <w:rFonts w:ascii="Book Antiqua" w:hAnsi="Book Antiqua"/>
          <w:u w:val="single"/>
        </w:rPr>
        <w:t xml:space="preserve">Promised </w:t>
      </w:r>
      <w:r w:rsidR="002B7A80">
        <w:rPr>
          <w:rFonts w:ascii="Book Antiqua" w:hAnsi="Book Antiqua"/>
          <w:u w:val="single"/>
        </w:rPr>
        <w:t>b</w:t>
      </w:r>
      <w:r>
        <w:rPr>
          <w:rFonts w:ascii="Book Antiqua" w:hAnsi="Book Antiqua"/>
          <w:u w:val="single"/>
        </w:rPr>
        <w:t xml:space="preserve">enefits of </w:t>
      </w:r>
      <w:r w:rsidR="002B7A80">
        <w:rPr>
          <w:rFonts w:ascii="Book Antiqua" w:hAnsi="Book Antiqua"/>
          <w:u w:val="single"/>
        </w:rPr>
        <w:t>political constitutionalism</w:t>
      </w:r>
    </w:p>
    <w:p w14:paraId="6CED8D5B" w14:textId="2C5CC281" w:rsidR="002B7A80" w:rsidRDefault="005E6010" w:rsidP="00D53566">
      <w:pPr>
        <w:spacing w:line="360" w:lineRule="auto"/>
        <w:jc w:val="both"/>
        <w:rPr>
          <w:rFonts w:ascii="Book Antiqua" w:hAnsi="Book Antiqua"/>
          <w:lang w:val="en-GB"/>
        </w:rPr>
      </w:pPr>
      <w:r>
        <w:rPr>
          <w:rFonts w:ascii="Book Antiqua" w:hAnsi="Book Antiqua"/>
        </w:rPr>
        <w:t xml:space="preserve">The concept of pre-enactment </w:t>
      </w:r>
      <w:r w:rsidR="00E37795">
        <w:rPr>
          <w:rFonts w:ascii="Book Antiqua" w:hAnsi="Book Antiqua"/>
        </w:rPr>
        <w:t>constitutional/political</w:t>
      </w:r>
      <w:r>
        <w:rPr>
          <w:rFonts w:ascii="Book Antiqua" w:hAnsi="Book Antiqua"/>
        </w:rPr>
        <w:t xml:space="preserve"> </w:t>
      </w:r>
      <w:r w:rsidRPr="00BF027B">
        <w:rPr>
          <w:rFonts w:ascii="Book Antiqua" w:hAnsi="Book Antiqua"/>
        </w:rPr>
        <w:t>review</w:t>
      </w:r>
      <w:r>
        <w:rPr>
          <w:rFonts w:ascii="Book Antiqua" w:hAnsi="Book Antiqua"/>
        </w:rPr>
        <w:t xml:space="preserve"> involves the political branches of government – the executive and/or legislative branch – assessing the interaction of proposed legislation or policy with fundamental constitutional</w:t>
      </w:r>
      <w:r w:rsidR="002E3850">
        <w:rPr>
          <w:rFonts w:ascii="Book Antiqua" w:hAnsi="Book Antiqua"/>
        </w:rPr>
        <w:t xml:space="preserve"> or statutory</w:t>
      </w:r>
      <w:r>
        <w:rPr>
          <w:rFonts w:ascii="Book Antiqua" w:hAnsi="Book Antiqua"/>
        </w:rPr>
        <w:t xml:space="preserve"> commitments.</w:t>
      </w:r>
      <w:r>
        <w:rPr>
          <w:rStyle w:val="FootnoteReference"/>
          <w:rFonts w:ascii="Book Antiqua" w:hAnsi="Book Antiqua"/>
        </w:rPr>
        <w:footnoteReference w:id="8"/>
      </w:r>
      <w:r>
        <w:rPr>
          <w:rFonts w:ascii="Book Antiqua" w:hAnsi="Book Antiqua"/>
        </w:rPr>
        <w:t xml:space="preserve"> </w:t>
      </w:r>
      <w:r w:rsidR="00D53566">
        <w:rPr>
          <w:rFonts w:ascii="Book Antiqua" w:hAnsi="Book Antiqua"/>
        </w:rPr>
        <w:t>Political pre-enactment review has several possible advantages</w:t>
      </w:r>
      <w:r w:rsidR="0029000E">
        <w:rPr>
          <w:rFonts w:ascii="Book Antiqua" w:hAnsi="Book Antiqua"/>
        </w:rPr>
        <w:t xml:space="preserve"> </w:t>
      </w:r>
      <w:r w:rsidR="00D53566" w:rsidRPr="00FD70FB">
        <w:rPr>
          <w:rFonts w:ascii="Book Antiqua" w:hAnsi="Book Antiqua"/>
          <w:lang w:val="en-GB"/>
        </w:rPr>
        <w:t xml:space="preserve">in an ideal-type account. </w:t>
      </w:r>
    </w:p>
    <w:p w14:paraId="02CC4581" w14:textId="77777777" w:rsidR="002B7A80" w:rsidRDefault="002B7A80" w:rsidP="00D53566">
      <w:pPr>
        <w:spacing w:line="360" w:lineRule="auto"/>
        <w:jc w:val="both"/>
        <w:rPr>
          <w:rFonts w:ascii="Book Antiqua" w:hAnsi="Book Antiqua"/>
        </w:rPr>
      </w:pPr>
    </w:p>
    <w:p w14:paraId="3BABD049" w14:textId="3E33AEDD" w:rsidR="00D53566" w:rsidRPr="00DF3338" w:rsidRDefault="00E31561" w:rsidP="00D53566">
      <w:pPr>
        <w:spacing w:line="360" w:lineRule="auto"/>
        <w:jc w:val="both"/>
        <w:rPr>
          <w:rFonts w:ascii="Book Antiqua" w:hAnsi="Book Antiqua"/>
          <w:lang w:val="en-GB"/>
        </w:rPr>
      </w:pPr>
      <w:r>
        <w:rPr>
          <w:rFonts w:ascii="Book Antiqua" w:hAnsi="Book Antiqua"/>
          <w:lang w:val="en-GB"/>
        </w:rPr>
        <w:t>First, s</w:t>
      </w:r>
      <w:r w:rsidR="00FE1C3C">
        <w:rPr>
          <w:rFonts w:ascii="Book Antiqua" w:hAnsi="Book Antiqua"/>
          <w:lang w:val="en-GB"/>
        </w:rPr>
        <w:t>everal commentators have</w:t>
      </w:r>
      <w:r w:rsidR="00124E53" w:rsidRPr="00FD70FB">
        <w:rPr>
          <w:rFonts w:ascii="Book Antiqua" w:hAnsi="Book Antiqua"/>
          <w:lang w:val="en-GB"/>
        </w:rPr>
        <w:t xml:space="preserve"> suggested that pre-enactment helps ensures that the </w:t>
      </w:r>
      <w:r w:rsidR="00124E53">
        <w:rPr>
          <w:rFonts w:ascii="Book Antiqua" w:hAnsi="Book Antiqua"/>
          <w:lang w:val="en-GB"/>
        </w:rPr>
        <w:t>political branches think and act</w:t>
      </w:r>
      <w:r w:rsidR="00124E53" w:rsidRPr="00FD70FB">
        <w:rPr>
          <w:rFonts w:ascii="Book Antiqua" w:hAnsi="Book Antiqua"/>
          <w:lang w:val="en-GB"/>
        </w:rPr>
        <w:t xml:space="preserve"> in a more rights-conscious way wh</w:t>
      </w:r>
      <w:r w:rsidR="00FE1C3C">
        <w:rPr>
          <w:rFonts w:ascii="Book Antiqua" w:hAnsi="Book Antiqua"/>
          <w:lang w:val="en-GB"/>
        </w:rPr>
        <w:t>en considering policy proposals.</w:t>
      </w:r>
      <w:r w:rsidR="00761CFA">
        <w:rPr>
          <w:rStyle w:val="FootnoteReference"/>
          <w:rFonts w:ascii="Book Antiqua" w:hAnsi="Book Antiqua"/>
        </w:rPr>
        <w:footnoteReference w:id="9"/>
      </w:r>
      <w:r w:rsidR="00761CFA" w:rsidRPr="00FD70FB">
        <w:rPr>
          <w:rFonts w:ascii="Book Antiqua" w:hAnsi="Book Antiqua"/>
          <w:lang w:val="en-GB"/>
        </w:rPr>
        <w:t xml:space="preserve"> </w:t>
      </w:r>
      <w:r w:rsidR="00FE1C3C">
        <w:rPr>
          <w:rFonts w:ascii="Book Antiqua" w:hAnsi="Book Antiqua"/>
        </w:rPr>
        <w:t>With increased</w:t>
      </w:r>
      <w:r w:rsidR="00124E53">
        <w:rPr>
          <w:rFonts w:ascii="Book Antiqua" w:hAnsi="Book Antiqua"/>
        </w:rPr>
        <w:t xml:space="preserve"> rights-consciousness amongst the political branches, inadvertent breaches of these norms created by information inadequacy will </w:t>
      </w:r>
      <w:r w:rsidR="00FE1C3C">
        <w:rPr>
          <w:rFonts w:ascii="Book Antiqua" w:hAnsi="Book Antiqua"/>
        </w:rPr>
        <w:lastRenderedPageBreak/>
        <w:t>be much less likely.</w:t>
      </w:r>
      <w:r w:rsidR="00124E53" w:rsidRPr="00FD70FB">
        <w:rPr>
          <w:rFonts w:ascii="Book Antiqua" w:hAnsi="Book Antiqua"/>
          <w:lang w:val="en-GB"/>
        </w:rPr>
        <w:t xml:space="preserve"> </w:t>
      </w:r>
      <w:r w:rsidR="00124E53">
        <w:rPr>
          <w:rFonts w:ascii="Book Antiqua" w:hAnsi="Book Antiqua"/>
          <w:lang w:val="en-GB"/>
        </w:rPr>
        <w:t>Pre-enactment review</w:t>
      </w:r>
      <w:r w:rsidR="00124E53" w:rsidRPr="00FD70FB">
        <w:rPr>
          <w:rFonts w:ascii="Book Antiqua" w:hAnsi="Book Antiqua"/>
          <w:lang w:val="en-GB"/>
        </w:rPr>
        <w:t xml:space="preserve"> </w:t>
      </w:r>
      <w:r w:rsidR="00F41538">
        <w:rPr>
          <w:rFonts w:ascii="Book Antiqua" w:hAnsi="Book Antiqua"/>
          <w:lang w:val="en-GB"/>
        </w:rPr>
        <w:t>achieves this</w:t>
      </w:r>
      <w:r w:rsidR="00124E53" w:rsidRPr="00FD70FB">
        <w:rPr>
          <w:rFonts w:ascii="Book Antiqua" w:hAnsi="Book Antiqua"/>
          <w:lang w:val="en-GB"/>
        </w:rPr>
        <w:t xml:space="preserve"> by structurally dispersing responsibility for rights review amongst all the branches of government. </w:t>
      </w:r>
      <w:r w:rsidR="000808A7">
        <w:rPr>
          <w:rFonts w:ascii="Book Antiqua" w:hAnsi="Book Antiqua"/>
          <w:lang w:val="en-GB"/>
        </w:rPr>
        <w:t xml:space="preserve"> </w:t>
      </w:r>
      <w:r w:rsidR="00070748">
        <w:rPr>
          <w:rFonts w:ascii="Book Antiqua" w:hAnsi="Book Antiqua"/>
          <w:lang w:val="en-GB"/>
        </w:rPr>
        <w:t xml:space="preserve">Dispersing responsibility for evaluating the justification of legislation from a rights perspective also has “the potential to offer more robust protection for rights” than relying on judicial review alone because </w:t>
      </w:r>
      <w:r w:rsidR="00070748">
        <w:rPr>
          <w:rFonts w:ascii="Book Antiqua" w:hAnsi="Book Antiqua"/>
        </w:rPr>
        <w:t>courts can typically check only a fraction of legislative activity.</w:t>
      </w:r>
      <w:r w:rsidR="00070748">
        <w:rPr>
          <w:rStyle w:val="FootnoteReference"/>
          <w:rFonts w:ascii="Book Antiqua" w:hAnsi="Book Antiqua"/>
        </w:rPr>
        <w:footnoteReference w:id="10"/>
      </w:r>
      <w:r w:rsidR="00070748">
        <w:rPr>
          <w:rFonts w:ascii="Book Antiqua" w:hAnsi="Book Antiqua"/>
        </w:rPr>
        <w:t xml:space="preserve"> </w:t>
      </w:r>
    </w:p>
    <w:p w14:paraId="03541DED" w14:textId="77777777" w:rsidR="00124E53" w:rsidRPr="00FD70FB" w:rsidRDefault="00124E53" w:rsidP="00124E53">
      <w:pPr>
        <w:spacing w:line="360" w:lineRule="auto"/>
        <w:jc w:val="both"/>
        <w:rPr>
          <w:rFonts w:ascii="Book Antiqua" w:hAnsi="Book Antiqua"/>
          <w:lang w:val="en-GB"/>
        </w:rPr>
      </w:pPr>
    </w:p>
    <w:p w14:paraId="23BB6A46" w14:textId="6A6F14B1" w:rsidR="00ED4360" w:rsidRPr="00992EA3" w:rsidRDefault="00CF02FF" w:rsidP="00ED4360">
      <w:pPr>
        <w:spacing w:line="360" w:lineRule="auto"/>
        <w:jc w:val="both"/>
        <w:rPr>
          <w:rFonts w:ascii="Book Antiqua" w:hAnsi="Book Antiqua"/>
          <w:lang w:val="en-GB"/>
        </w:rPr>
      </w:pPr>
      <w:r>
        <w:rPr>
          <w:rFonts w:ascii="Book Antiqua" w:hAnsi="Book Antiqua"/>
        </w:rPr>
        <w:t>Second</w:t>
      </w:r>
      <w:r w:rsidR="006D4A7D">
        <w:rPr>
          <w:rFonts w:ascii="Book Antiqua" w:hAnsi="Book Antiqua"/>
        </w:rPr>
        <w:t>l</w:t>
      </w:r>
      <w:r>
        <w:rPr>
          <w:rFonts w:ascii="Book Antiqua" w:hAnsi="Book Antiqua"/>
        </w:rPr>
        <w:t xml:space="preserve">y, </w:t>
      </w:r>
      <w:r w:rsidR="006D4A7D">
        <w:rPr>
          <w:rFonts w:ascii="Book Antiqua" w:hAnsi="Book Antiqua"/>
        </w:rPr>
        <w:t>p</w:t>
      </w:r>
      <w:r w:rsidR="00124E53">
        <w:rPr>
          <w:rFonts w:ascii="Book Antiqua" w:hAnsi="Book Antiqua"/>
        </w:rPr>
        <w:t xml:space="preserve">re-enactment review can provide for </w:t>
      </w:r>
      <w:r w:rsidR="00124E53" w:rsidRPr="00801782">
        <w:rPr>
          <w:rFonts w:ascii="Book Antiqua" w:hAnsi="Book Antiqua"/>
        </w:rPr>
        <w:t xml:space="preserve">broader </w:t>
      </w:r>
      <w:r w:rsidR="00124E53">
        <w:rPr>
          <w:rFonts w:ascii="Book Antiqua" w:hAnsi="Book Antiqua"/>
        </w:rPr>
        <w:t xml:space="preserve">constitutional </w:t>
      </w:r>
      <w:r w:rsidR="00124E53" w:rsidRPr="00801782">
        <w:rPr>
          <w:rFonts w:ascii="Book Antiqua" w:hAnsi="Book Antiqua"/>
        </w:rPr>
        <w:t>scrutiny of proposed political action</w:t>
      </w:r>
      <w:r w:rsidR="00124E53">
        <w:rPr>
          <w:rFonts w:ascii="Book Antiqua" w:hAnsi="Book Antiqua"/>
        </w:rPr>
        <w:t xml:space="preserve">, involving politicians and potentially the public in a discourse about how constitutional norms and the exigencies of politics should interact. </w:t>
      </w:r>
      <w:r w:rsidR="00A03DC7">
        <w:rPr>
          <w:rFonts w:ascii="Book Antiqua" w:hAnsi="Book Antiqua"/>
        </w:rPr>
        <w:t>Questions of constitutional compliance are not reducible to purely legalistic considerations, but also inevitably require political considerations to be taken into account.</w:t>
      </w:r>
      <w:r w:rsidR="00A03DC7">
        <w:rPr>
          <w:rStyle w:val="FootnoteReference"/>
          <w:rFonts w:ascii="Book Antiqua" w:hAnsi="Book Antiqua"/>
        </w:rPr>
        <w:footnoteReference w:id="11"/>
      </w:r>
      <w:r w:rsidR="00A03DC7">
        <w:rPr>
          <w:rFonts w:ascii="Book Antiqua" w:hAnsi="Book Antiqua"/>
        </w:rPr>
        <w:t xml:space="preserve"> </w:t>
      </w:r>
      <w:r w:rsidR="00124E53">
        <w:rPr>
          <w:rFonts w:ascii="Book Antiqua" w:hAnsi="Book Antiqua"/>
        </w:rPr>
        <w:t>The differen</w:t>
      </w:r>
      <w:r w:rsidR="00992EA3">
        <w:rPr>
          <w:rFonts w:ascii="Book Antiqua" w:hAnsi="Book Antiqua"/>
        </w:rPr>
        <w:t xml:space="preserve">t perspectives of the </w:t>
      </w:r>
      <w:r w:rsidR="007F1395">
        <w:rPr>
          <w:rFonts w:ascii="Book Antiqua" w:hAnsi="Book Antiqua"/>
        </w:rPr>
        <w:t xml:space="preserve">political </w:t>
      </w:r>
      <w:r w:rsidR="00992EA3">
        <w:rPr>
          <w:rFonts w:ascii="Book Antiqua" w:hAnsi="Book Antiqua"/>
        </w:rPr>
        <w:t>branches and the public</w:t>
      </w:r>
      <w:r w:rsidR="00124E53">
        <w:rPr>
          <w:rFonts w:ascii="Book Antiqua" w:hAnsi="Book Antiqua"/>
        </w:rPr>
        <w:t xml:space="preserve"> can allow for more viewpoints and perspectives on rights and constitutionalism to enter the discourse, rather than relying on </w:t>
      </w:r>
      <w:r w:rsidR="00124E53">
        <w:rPr>
          <w:rFonts w:ascii="Book Antiqua" w:hAnsi="Book Antiqua"/>
          <w:lang w:val="en-GB"/>
        </w:rPr>
        <w:t>judicial reasoning</w:t>
      </w:r>
      <w:r w:rsidR="00213DFD">
        <w:rPr>
          <w:rFonts w:ascii="Book Antiqua" w:hAnsi="Book Antiqua"/>
          <w:lang w:val="en-GB"/>
        </w:rPr>
        <w:t xml:space="preserve"> </w:t>
      </w:r>
      <w:r w:rsidR="00BC6165">
        <w:rPr>
          <w:rFonts w:ascii="Book Antiqua" w:hAnsi="Book Antiqua"/>
          <w:lang w:val="en-GB"/>
        </w:rPr>
        <w:t xml:space="preserve">and rhetoric </w:t>
      </w:r>
      <w:r w:rsidR="00213DFD">
        <w:rPr>
          <w:rFonts w:ascii="Book Antiqua" w:hAnsi="Book Antiqua"/>
          <w:lang w:val="en-GB"/>
        </w:rPr>
        <w:t>alone</w:t>
      </w:r>
      <w:r w:rsidR="00124E53">
        <w:rPr>
          <w:rFonts w:ascii="Book Antiqua" w:hAnsi="Book Antiqua"/>
        </w:rPr>
        <w:t>.</w:t>
      </w:r>
      <w:r w:rsidR="00A03DC7">
        <w:rPr>
          <w:rStyle w:val="FootnoteReference"/>
          <w:rFonts w:ascii="Book Antiqua" w:hAnsi="Book Antiqua"/>
        </w:rPr>
        <w:footnoteReference w:id="12"/>
      </w:r>
      <w:r w:rsidR="00124E53">
        <w:rPr>
          <w:rFonts w:ascii="Book Antiqua" w:hAnsi="Book Antiqua"/>
        </w:rPr>
        <w:t xml:space="preserve"> </w:t>
      </w:r>
      <w:r w:rsidR="00D6345A">
        <w:rPr>
          <w:rFonts w:ascii="Book Antiqua" w:hAnsi="Book Antiqua"/>
        </w:rPr>
        <w:t>T</w:t>
      </w:r>
      <w:r w:rsidR="00124E53" w:rsidRPr="00FD70FB">
        <w:rPr>
          <w:rFonts w:ascii="Book Antiqua" w:hAnsi="Book Antiqua"/>
        </w:rPr>
        <w:t xml:space="preserve">hose unenthusiastic about legal constitutionalism </w:t>
      </w:r>
      <w:r w:rsidR="00F41538">
        <w:rPr>
          <w:rFonts w:ascii="Book Antiqua" w:hAnsi="Book Antiqua"/>
        </w:rPr>
        <w:t xml:space="preserve">often </w:t>
      </w:r>
      <w:r w:rsidR="00124E53" w:rsidRPr="00FD70FB">
        <w:rPr>
          <w:rFonts w:ascii="Book Antiqua" w:hAnsi="Book Antiqua"/>
        </w:rPr>
        <w:t>contend that courts have a tendency to confront morally</w:t>
      </w:r>
      <w:r w:rsidR="007F1395">
        <w:rPr>
          <w:rFonts w:ascii="Book Antiqua" w:hAnsi="Book Antiqua"/>
        </w:rPr>
        <w:t>-</w:t>
      </w:r>
      <w:r w:rsidR="00124E53" w:rsidRPr="00FD70FB">
        <w:rPr>
          <w:rFonts w:ascii="Book Antiqua" w:hAnsi="Book Antiqua"/>
        </w:rPr>
        <w:t xml:space="preserve"> and politically</w:t>
      </w:r>
      <w:r w:rsidR="007F1395">
        <w:rPr>
          <w:rFonts w:ascii="Book Antiqua" w:hAnsi="Book Antiqua"/>
        </w:rPr>
        <w:t>-</w:t>
      </w:r>
      <w:r w:rsidR="00124E53" w:rsidRPr="00FD70FB">
        <w:rPr>
          <w:rFonts w:ascii="Book Antiqua" w:hAnsi="Book Antiqua"/>
        </w:rPr>
        <w:t>infused constitutional issues in legalistic</w:t>
      </w:r>
      <w:r w:rsidR="00603737">
        <w:rPr>
          <w:rFonts w:ascii="Book Antiqua" w:hAnsi="Book Antiqua"/>
        </w:rPr>
        <w:t xml:space="preserve"> terms, </w:t>
      </w:r>
      <w:r w:rsidR="00603737" w:rsidRPr="00FD70FB">
        <w:rPr>
          <w:rFonts w:ascii="Book Antiqua" w:hAnsi="Book Antiqua"/>
        </w:rPr>
        <w:t>reluctant to entertain the kinds of reasons and arguments that reasonable people would consider “indispensable for rational and responsible lawmaking.”</w:t>
      </w:r>
      <w:r w:rsidR="00603737" w:rsidRPr="00FD70FB">
        <w:rPr>
          <w:rStyle w:val="FootnoteReference"/>
          <w:rFonts w:ascii="Book Antiqua" w:hAnsi="Book Antiqua"/>
        </w:rPr>
        <w:footnoteReference w:id="13"/>
      </w:r>
      <w:r w:rsidR="00124E53" w:rsidRPr="00FD70FB">
        <w:rPr>
          <w:rFonts w:ascii="Book Antiqua" w:hAnsi="Book Antiqua"/>
        </w:rPr>
        <w:t xml:space="preserve"> </w:t>
      </w:r>
      <w:r w:rsidR="004A7640">
        <w:rPr>
          <w:rFonts w:ascii="Book Antiqua" w:hAnsi="Book Antiqua"/>
        </w:rPr>
        <w:t>For proponents of political constitutionalism, legislative reasoning</w:t>
      </w:r>
      <w:r w:rsidR="004A7640" w:rsidRPr="009F735B">
        <w:rPr>
          <w:rFonts w:ascii="Book Antiqua" w:hAnsi="Book Antiqua"/>
        </w:rPr>
        <w:t xml:space="preserve"> </w:t>
      </w:r>
      <w:r w:rsidR="003E3B84">
        <w:rPr>
          <w:rFonts w:ascii="Book Antiqua" w:hAnsi="Book Antiqua"/>
        </w:rPr>
        <w:t xml:space="preserve">is preferable as it is not </w:t>
      </w:r>
      <w:r w:rsidR="004A7640">
        <w:rPr>
          <w:rFonts w:ascii="Book Antiqua" w:hAnsi="Book Antiqua"/>
        </w:rPr>
        <w:t>“</w:t>
      </w:r>
      <w:r w:rsidR="004A7640" w:rsidRPr="009F735B">
        <w:rPr>
          <w:rFonts w:ascii="Book Antiqua" w:hAnsi="Book Antiqua"/>
        </w:rPr>
        <w:t>constrained by existing texts, doctrines, or precedents.</w:t>
      </w:r>
      <w:r w:rsidR="004A7640">
        <w:rPr>
          <w:rFonts w:ascii="Book Antiqua" w:hAnsi="Book Antiqua"/>
        </w:rPr>
        <w:t>”</w:t>
      </w:r>
      <w:r w:rsidR="004A7640">
        <w:rPr>
          <w:rStyle w:val="FootnoteReference"/>
          <w:rFonts w:ascii="Book Antiqua" w:hAnsi="Book Antiqua"/>
        </w:rPr>
        <w:footnoteReference w:id="14"/>
      </w:r>
      <w:r w:rsidR="004A7640">
        <w:rPr>
          <w:rFonts w:ascii="Book Antiqua" w:hAnsi="Book Antiqua"/>
        </w:rPr>
        <w:t xml:space="preserve"> </w:t>
      </w:r>
      <w:r w:rsidR="00CB2B53">
        <w:rPr>
          <w:rFonts w:ascii="Book Antiqua" w:hAnsi="Book Antiqua"/>
        </w:rPr>
        <w:t xml:space="preserve"> </w:t>
      </w:r>
      <w:r w:rsidR="00992EA3">
        <w:rPr>
          <w:rFonts w:ascii="Book Antiqua" w:hAnsi="Book Antiqua"/>
          <w:color w:val="000000" w:themeColor="text1"/>
        </w:rPr>
        <w:t>They</w:t>
      </w:r>
      <w:r w:rsidR="001A5BF0">
        <w:rPr>
          <w:rFonts w:ascii="Book Antiqua" w:hAnsi="Book Antiqua"/>
          <w:color w:val="000000" w:themeColor="text1"/>
        </w:rPr>
        <w:t xml:space="preserve"> also argue that </w:t>
      </w:r>
      <w:r w:rsidR="004F3A73">
        <w:rPr>
          <w:rFonts w:ascii="Book Antiqua" w:hAnsi="Book Antiqua"/>
        </w:rPr>
        <w:t xml:space="preserve">it makes little sense to </w:t>
      </w:r>
      <w:r w:rsidR="00ED4360">
        <w:rPr>
          <w:rFonts w:ascii="Book Antiqua" w:hAnsi="Book Antiqua"/>
        </w:rPr>
        <w:t xml:space="preserve">pretend judges have </w:t>
      </w:r>
      <w:r w:rsidR="004F3A73">
        <w:rPr>
          <w:rFonts w:ascii="Book Antiqua" w:hAnsi="Book Antiqua"/>
        </w:rPr>
        <w:t>“</w:t>
      </w:r>
      <w:r w:rsidR="00ED4360">
        <w:rPr>
          <w:rFonts w:ascii="Book Antiqua" w:hAnsi="Book Antiqua"/>
        </w:rPr>
        <w:t>superior or exclusive insights”</w:t>
      </w:r>
      <w:r w:rsidR="00ED4360">
        <w:rPr>
          <w:rStyle w:val="FootnoteReference"/>
          <w:rFonts w:ascii="Book Antiqua" w:hAnsi="Book Antiqua"/>
        </w:rPr>
        <w:footnoteReference w:id="15"/>
      </w:r>
      <w:r w:rsidR="00A32A0E">
        <w:rPr>
          <w:rFonts w:ascii="Book Antiqua" w:hAnsi="Book Antiqua"/>
        </w:rPr>
        <w:t xml:space="preserve"> to the deeply contested questions at the heart of </w:t>
      </w:r>
      <w:r w:rsidR="00DE5AF5">
        <w:rPr>
          <w:rFonts w:ascii="Book Antiqua" w:hAnsi="Book Antiqua"/>
        </w:rPr>
        <w:t>constitutional</w:t>
      </w:r>
      <w:r w:rsidR="00A32A0E">
        <w:rPr>
          <w:rFonts w:ascii="Book Antiqua" w:hAnsi="Book Antiqua"/>
        </w:rPr>
        <w:t xml:space="preserve"> </w:t>
      </w:r>
      <w:r w:rsidR="00DE5AF5">
        <w:rPr>
          <w:rFonts w:ascii="Book Antiqua" w:hAnsi="Book Antiqua"/>
        </w:rPr>
        <w:t xml:space="preserve">review, and that </w:t>
      </w:r>
      <w:r w:rsidR="00DE5AF5">
        <w:rPr>
          <w:rFonts w:ascii="Book Antiqua" w:hAnsi="Book Antiqua"/>
          <w:color w:val="000000" w:themeColor="text1"/>
        </w:rPr>
        <w:t>those question to not admit of accurate legalistic answers.</w:t>
      </w:r>
      <w:r w:rsidR="00ED4360">
        <w:rPr>
          <w:rFonts w:ascii="Book Antiqua" w:hAnsi="Book Antiqua"/>
        </w:rPr>
        <w:t xml:space="preserve"> </w:t>
      </w:r>
    </w:p>
    <w:p w14:paraId="792B3456" w14:textId="77777777" w:rsidR="00551798" w:rsidRPr="00ED4360" w:rsidRDefault="00551798" w:rsidP="00ED4360">
      <w:pPr>
        <w:spacing w:line="360" w:lineRule="auto"/>
        <w:jc w:val="both"/>
        <w:rPr>
          <w:rFonts w:ascii="Book Antiqua" w:hAnsi="Book Antiqua"/>
          <w:color w:val="000000" w:themeColor="text1"/>
        </w:rPr>
      </w:pPr>
    </w:p>
    <w:p w14:paraId="31FA6536" w14:textId="3E3AAC59" w:rsidR="00CE1721" w:rsidRPr="00CE1721" w:rsidRDefault="00233697" w:rsidP="00CE1721">
      <w:pPr>
        <w:spacing w:line="360" w:lineRule="auto"/>
        <w:jc w:val="both"/>
        <w:rPr>
          <w:rFonts w:ascii="Book Antiqua" w:eastAsia="Times New Roman" w:hAnsi="Book Antiqua"/>
          <w:color w:val="000000" w:themeColor="text1"/>
        </w:rPr>
      </w:pPr>
      <w:r>
        <w:rPr>
          <w:rFonts w:ascii="Book Antiqua" w:hAnsi="Book Antiqua"/>
        </w:rPr>
        <w:t>Thirdly, p</w:t>
      </w:r>
      <w:r w:rsidR="00791033" w:rsidRPr="00801782">
        <w:rPr>
          <w:rFonts w:ascii="Book Antiqua" w:hAnsi="Book Antiqua"/>
        </w:rPr>
        <w:t xml:space="preserve">olitical review </w:t>
      </w:r>
      <w:r w:rsidR="00270CDB">
        <w:rPr>
          <w:rFonts w:ascii="Book Antiqua" w:hAnsi="Book Antiqua"/>
        </w:rPr>
        <w:t>is</w:t>
      </w:r>
      <w:r w:rsidR="00791033">
        <w:rPr>
          <w:rFonts w:ascii="Book Antiqua" w:hAnsi="Book Antiqua"/>
        </w:rPr>
        <w:t xml:space="preserve"> </w:t>
      </w:r>
      <w:r w:rsidR="00992EA3">
        <w:rPr>
          <w:rFonts w:ascii="Book Antiqua" w:hAnsi="Book Antiqua"/>
        </w:rPr>
        <w:t xml:space="preserve">also </w:t>
      </w:r>
      <w:r w:rsidR="00791033">
        <w:rPr>
          <w:rFonts w:ascii="Book Antiqua" w:hAnsi="Book Antiqua"/>
        </w:rPr>
        <w:t>said to be a better way to cohere democratic self-governance with constitutional commitments</w:t>
      </w:r>
      <w:r w:rsidR="00D572E6">
        <w:rPr>
          <w:rFonts w:ascii="Book Antiqua" w:hAnsi="Book Antiqua"/>
        </w:rPr>
        <w:t xml:space="preserve">, </w:t>
      </w:r>
      <w:r w:rsidR="00CE1721">
        <w:rPr>
          <w:rFonts w:ascii="Book Antiqua" w:hAnsi="Book Antiqua"/>
          <w:color w:val="000000" w:themeColor="text1"/>
        </w:rPr>
        <w:t>provid</w:t>
      </w:r>
      <w:r w:rsidR="00D572E6">
        <w:rPr>
          <w:rFonts w:ascii="Book Antiqua" w:hAnsi="Book Antiqua"/>
          <w:color w:val="000000" w:themeColor="text1"/>
        </w:rPr>
        <w:t>ing</w:t>
      </w:r>
      <w:r w:rsidR="00CE1721">
        <w:rPr>
          <w:rFonts w:ascii="Book Antiqua" w:hAnsi="Book Antiqua"/>
          <w:color w:val="000000" w:themeColor="text1"/>
        </w:rPr>
        <w:t xml:space="preserve"> a means for greater</w:t>
      </w:r>
      <w:r w:rsidR="000625D4">
        <w:rPr>
          <w:rFonts w:ascii="Book Antiqua" w:hAnsi="Book Antiqua"/>
          <w:color w:val="000000" w:themeColor="text1"/>
        </w:rPr>
        <w:t xml:space="preserve"> </w:t>
      </w:r>
      <w:r w:rsidR="00CE1721">
        <w:rPr>
          <w:rFonts w:ascii="Book Antiqua" w:hAnsi="Book Antiqua"/>
          <w:color w:val="000000" w:themeColor="text1"/>
        </w:rPr>
        <w:t xml:space="preserve">popular </w:t>
      </w:r>
      <w:r w:rsidR="00CE1721">
        <w:rPr>
          <w:rFonts w:ascii="Book Antiqua" w:hAnsi="Book Antiqua"/>
          <w:color w:val="000000" w:themeColor="text1"/>
        </w:rPr>
        <w:lastRenderedPageBreak/>
        <w:t>engagement with shaping the scope and substance of</w:t>
      </w:r>
      <w:r w:rsidR="001763F3">
        <w:rPr>
          <w:rFonts w:ascii="Book Antiqua" w:hAnsi="Book Antiqua"/>
          <w:color w:val="000000" w:themeColor="text1"/>
        </w:rPr>
        <w:t xml:space="preserve"> rights and </w:t>
      </w:r>
      <w:r w:rsidR="00CE1721">
        <w:rPr>
          <w:rFonts w:ascii="Book Antiqua" w:hAnsi="Book Antiqua"/>
          <w:color w:val="000000" w:themeColor="text1"/>
        </w:rPr>
        <w:t>constitutional commitments</w:t>
      </w:r>
      <w:r w:rsidR="00CE1721" w:rsidRPr="003F5FF1">
        <w:rPr>
          <w:rFonts w:ascii="Book Antiqua" w:eastAsia="Times New Roman" w:hAnsi="Book Antiqua"/>
          <w:color w:val="000000" w:themeColor="text1"/>
        </w:rPr>
        <w:t>.</w:t>
      </w:r>
      <w:r w:rsidR="00CE1721" w:rsidRPr="003F5FF1">
        <w:rPr>
          <w:rStyle w:val="FootnoteReference"/>
          <w:rFonts w:ascii="Book Antiqua" w:hAnsi="Book Antiqua"/>
          <w:color w:val="000000" w:themeColor="text1"/>
        </w:rPr>
        <w:footnoteReference w:id="16"/>
      </w:r>
      <w:r w:rsidR="00CE1721" w:rsidRPr="003F5FF1">
        <w:rPr>
          <w:rFonts w:ascii="Book Antiqua" w:hAnsi="Book Antiqua"/>
          <w:color w:val="000000" w:themeColor="text1"/>
        </w:rPr>
        <w:t xml:space="preserve"> </w:t>
      </w:r>
      <w:r w:rsidR="00E95761">
        <w:rPr>
          <w:rFonts w:ascii="Book Antiqua" w:hAnsi="Book Antiqua"/>
          <w:color w:val="000000" w:themeColor="text1"/>
          <w:shd w:val="clear" w:color="auto" w:fill="FFFFFF"/>
        </w:rPr>
        <w:t xml:space="preserve">Instead of </w:t>
      </w:r>
      <w:r w:rsidR="00CE1721" w:rsidRPr="003F5FF1">
        <w:rPr>
          <w:rFonts w:ascii="Book Antiqua" w:hAnsi="Book Antiqua"/>
          <w:color w:val="000000" w:themeColor="text1"/>
          <w:lang w:val="en-GB"/>
        </w:rPr>
        <w:t>constitutional rights and values</w:t>
      </w:r>
      <w:r w:rsidR="00CE1721">
        <w:rPr>
          <w:rFonts w:ascii="Book Antiqua" w:hAnsi="Book Antiqua"/>
          <w:color w:val="000000" w:themeColor="text1"/>
          <w:lang w:val="en-GB"/>
        </w:rPr>
        <w:t xml:space="preserve"> </w:t>
      </w:r>
      <w:r w:rsidR="00E95761">
        <w:rPr>
          <w:rFonts w:ascii="Book Antiqua" w:hAnsi="Book Antiqua"/>
          <w:color w:val="000000" w:themeColor="text1"/>
          <w:lang w:val="en-GB"/>
        </w:rPr>
        <w:t xml:space="preserve">being </w:t>
      </w:r>
      <w:r w:rsidR="00CE1721" w:rsidRPr="003F5FF1">
        <w:rPr>
          <w:rFonts w:ascii="Book Antiqua" w:hAnsi="Book Antiqua"/>
          <w:color w:val="000000" w:themeColor="text1"/>
          <w:lang w:val="en-GB"/>
        </w:rPr>
        <w:t>the</w:t>
      </w:r>
      <w:r w:rsidR="00CE1721">
        <w:rPr>
          <w:rFonts w:ascii="Book Antiqua" w:hAnsi="Book Antiqua"/>
          <w:color w:val="000000" w:themeColor="text1"/>
          <w:lang w:val="en-GB"/>
        </w:rPr>
        <w:t xml:space="preserve"> sole</w:t>
      </w:r>
      <w:r w:rsidR="00CE1721" w:rsidRPr="003F5FF1">
        <w:rPr>
          <w:rFonts w:ascii="Book Antiqua" w:hAnsi="Book Antiqua"/>
          <w:color w:val="000000" w:themeColor="text1"/>
          <w:lang w:val="en-GB"/>
        </w:rPr>
        <w:t xml:space="preserve"> preserve of </w:t>
      </w:r>
      <w:r w:rsidR="000D760A">
        <w:rPr>
          <w:rFonts w:ascii="Book Antiqua" w:eastAsia="Times New Roman" w:hAnsi="Book Antiqua"/>
          <w:color w:val="000000" w:themeColor="text1"/>
        </w:rPr>
        <w:t>judges and elite lawyers</w:t>
      </w:r>
      <w:r w:rsidR="000D760A">
        <w:rPr>
          <w:rFonts w:ascii="Book Antiqua" w:hAnsi="Book Antiqua"/>
          <w:color w:val="000000" w:themeColor="text1"/>
          <w:lang w:val="en-GB"/>
        </w:rPr>
        <w:t xml:space="preserve"> with </w:t>
      </w:r>
      <w:r w:rsidR="005A4632">
        <w:rPr>
          <w:rFonts w:ascii="Book Antiqua" w:hAnsi="Book Antiqua"/>
          <w:color w:val="000000" w:themeColor="text1"/>
          <w:lang w:val="en-GB"/>
        </w:rPr>
        <w:t>formal</w:t>
      </w:r>
      <w:r w:rsidR="00CE1721">
        <w:rPr>
          <w:rFonts w:ascii="Book Antiqua" w:hAnsi="Book Antiqua"/>
          <w:color w:val="000000" w:themeColor="text1"/>
          <w:lang w:val="en-GB"/>
        </w:rPr>
        <w:t xml:space="preserve"> legal training</w:t>
      </w:r>
      <w:r w:rsidR="00E95761">
        <w:rPr>
          <w:rFonts w:ascii="Book Antiqua" w:hAnsi="Book Antiqua"/>
          <w:color w:val="000000" w:themeColor="text1"/>
          <w:lang w:val="en-GB"/>
        </w:rPr>
        <w:t xml:space="preserve">, </w:t>
      </w:r>
      <w:r w:rsidR="000D760A">
        <w:rPr>
          <w:rFonts w:ascii="Book Antiqua" w:hAnsi="Book Antiqua"/>
          <w:color w:val="000000" w:themeColor="text1"/>
          <w:lang w:val="en-GB"/>
        </w:rPr>
        <w:t xml:space="preserve">they become </w:t>
      </w:r>
      <w:r w:rsidR="00E95761">
        <w:rPr>
          <w:rFonts w:ascii="Book Antiqua" w:hAnsi="Book Antiqua"/>
          <w:color w:val="000000" w:themeColor="text1"/>
          <w:lang w:val="en-GB"/>
        </w:rPr>
        <w:t>something that</w:t>
      </w:r>
      <w:r w:rsidR="00BF58BB">
        <w:rPr>
          <w:rFonts w:ascii="Book Antiqua" w:hAnsi="Book Antiqua"/>
          <w:color w:val="000000" w:themeColor="text1"/>
          <w:lang w:val="en-GB"/>
        </w:rPr>
        <w:t xml:space="preserve"> </w:t>
      </w:r>
      <w:r w:rsidR="00CE1721" w:rsidRPr="003F5FF1">
        <w:rPr>
          <w:rFonts w:ascii="Book Antiqua" w:hAnsi="Book Antiqua"/>
          <w:color w:val="000000" w:themeColor="text1"/>
          <w:lang w:val="en-GB"/>
        </w:rPr>
        <w:t xml:space="preserve">a self-governing body politic can </w:t>
      </w:r>
      <w:r w:rsidR="00992EA3">
        <w:rPr>
          <w:rFonts w:ascii="Book Antiqua" w:hAnsi="Book Antiqua"/>
          <w:color w:val="000000" w:themeColor="text1"/>
          <w:lang w:val="en-GB"/>
        </w:rPr>
        <w:t xml:space="preserve">and should </w:t>
      </w:r>
      <w:r w:rsidR="00CE1721" w:rsidRPr="003F5FF1">
        <w:rPr>
          <w:rFonts w:ascii="Book Antiqua" w:hAnsi="Book Antiqua"/>
          <w:color w:val="000000" w:themeColor="text1"/>
          <w:lang w:val="en-GB"/>
        </w:rPr>
        <w:t>participate in and shape through the contestation and deliberation of democratic politics</w:t>
      </w:r>
      <w:r w:rsidR="00533093">
        <w:rPr>
          <w:rFonts w:ascii="Book Antiqua" w:hAnsi="Book Antiqua"/>
          <w:color w:val="000000" w:themeColor="text1"/>
          <w:lang w:val="en-GB"/>
        </w:rPr>
        <w:t>.</w:t>
      </w:r>
      <w:r w:rsidR="00CE1721" w:rsidRPr="003F5FF1">
        <w:rPr>
          <w:rFonts w:ascii="Book Antiqua" w:hAnsi="Book Antiqua"/>
          <w:color w:val="000000" w:themeColor="text1"/>
          <w:lang w:val="en-GB"/>
        </w:rPr>
        <w:t xml:space="preserve"> </w:t>
      </w:r>
    </w:p>
    <w:p w14:paraId="27FF5CC7" w14:textId="77777777" w:rsidR="00E91227" w:rsidRDefault="00E91227" w:rsidP="00716219">
      <w:pPr>
        <w:spacing w:line="360" w:lineRule="auto"/>
        <w:jc w:val="both"/>
        <w:rPr>
          <w:rFonts w:ascii="Book Antiqua" w:hAnsi="Book Antiqua"/>
          <w:lang w:val="en-GB"/>
        </w:rPr>
      </w:pPr>
    </w:p>
    <w:p w14:paraId="6BA36B37" w14:textId="522D6F29" w:rsidR="005E6010" w:rsidRPr="00791033" w:rsidRDefault="00877B58" w:rsidP="00716219">
      <w:pPr>
        <w:spacing w:line="360" w:lineRule="auto"/>
        <w:jc w:val="both"/>
        <w:rPr>
          <w:rFonts w:ascii="Book Antiqua" w:hAnsi="Book Antiqua"/>
        </w:rPr>
      </w:pPr>
      <w:r>
        <w:rPr>
          <w:rFonts w:ascii="Book Antiqua" w:hAnsi="Book Antiqua"/>
        </w:rPr>
        <w:t>Finally</w:t>
      </w:r>
      <w:r w:rsidR="00B46AE7">
        <w:rPr>
          <w:rFonts w:ascii="Book Antiqua" w:hAnsi="Book Antiqua"/>
        </w:rPr>
        <w:t>, p</w:t>
      </w:r>
      <w:r w:rsidR="007820A7">
        <w:rPr>
          <w:rFonts w:ascii="Book Antiqua" w:hAnsi="Book Antiqua"/>
        </w:rPr>
        <w:t>re-enactment review</w:t>
      </w:r>
      <w:r w:rsidR="00143636">
        <w:rPr>
          <w:rFonts w:ascii="Book Antiqua" w:hAnsi="Book Antiqua"/>
        </w:rPr>
        <w:t xml:space="preserve"> </w:t>
      </w:r>
      <w:r w:rsidR="00F44EAC">
        <w:rPr>
          <w:rFonts w:ascii="Book Antiqua" w:hAnsi="Book Antiqua"/>
        </w:rPr>
        <w:t xml:space="preserve">may be </w:t>
      </w:r>
      <w:r w:rsidR="00143636">
        <w:rPr>
          <w:rFonts w:ascii="Book Antiqua" w:hAnsi="Book Antiqua"/>
        </w:rPr>
        <w:t>more “collaborative” than ex-post override of court decisions by the political branches</w:t>
      </w:r>
      <w:r w:rsidR="00FF19DB">
        <w:rPr>
          <w:rFonts w:ascii="Book Antiqua" w:hAnsi="Book Antiqua"/>
        </w:rPr>
        <w:t>,</w:t>
      </w:r>
      <w:r w:rsidR="0044708A">
        <w:rPr>
          <w:rStyle w:val="FootnoteReference"/>
          <w:rFonts w:ascii="Book Antiqua" w:hAnsi="Book Antiqua"/>
        </w:rPr>
        <w:footnoteReference w:id="17"/>
      </w:r>
      <w:r w:rsidR="00143636">
        <w:rPr>
          <w:rFonts w:ascii="Book Antiqua" w:hAnsi="Book Antiqua"/>
        </w:rPr>
        <w:t xml:space="preserve"> allow</w:t>
      </w:r>
      <w:r w:rsidR="00FF19DB">
        <w:rPr>
          <w:rFonts w:ascii="Book Antiqua" w:hAnsi="Book Antiqua"/>
        </w:rPr>
        <w:t>ing</w:t>
      </w:r>
      <w:r w:rsidR="00143636">
        <w:rPr>
          <w:rFonts w:ascii="Book Antiqua" w:hAnsi="Book Antiqua"/>
        </w:rPr>
        <w:t xml:space="preserve"> the political branches </w:t>
      </w:r>
      <w:r w:rsidR="00FF19DB">
        <w:rPr>
          <w:rFonts w:ascii="Book Antiqua" w:hAnsi="Book Antiqua"/>
        </w:rPr>
        <w:t xml:space="preserve">to </w:t>
      </w:r>
      <w:r w:rsidR="00143636">
        <w:rPr>
          <w:rFonts w:ascii="Book Antiqua" w:hAnsi="Book Antiqua"/>
        </w:rPr>
        <w:t xml:space="preserve">assess these questions </w:t>
      </w:r>
      <w:r w:rsidR="009722DF">
        <w:rPr>
          <w:rFonts w:ascii="Book Antiqua" w:hAnsi="Book Antiqua"/>
        </w:rPr>
        <w:t xml:space="preserve">before a judgment has been rendered and they are left to have to face off somewhat </w:t>
      </w:r>
      <w:r w:rsidR="00AD459A">
        <w:rPr>
          <w:rFonts w:ascii="Book Antiqua" w:hAnsi="Book Antiqua"/>
        </w:rPr>
        <w:t>adversarially</w:t>
      </w:r>
      <w:r w:rsidR="009722DF">
        <w:rPr>
          <w:rFonts w:ascii="Book Antiqua" w:hAnsi="Book Antiqua"/>
        </w:rPr>
        <w:t xml:space="preserve"> against the judicial branch.</w:t>
      </w:r>
      <w:r w:rsidR="00AD459A">
        <w:rPr>
          <w:rFonts w:ascii="Book Antiqua" w:hAnsi="Book Antiqua"/>
        </w:rPr>
        <w:t xml:space="preserve"> </w:t>
      </w:r>
      <w:r w:rsidR="00791033">
        <w:rPr>
          <w:rFonts w:ascii="Book Antiqua" w:hAnsi="Book Antiqua"/>
        </w:rPr>
        <w:t>In a more prosaic</w:t>
      </w:r>
      <w:r w:rsidR="005E6010">
        <w:rPr>
          <w:rFonts w:ascii="Book Antiqua" w:hAnsi="Book Antiqua"/>
          <w:lang w:val="en-GB"/>
        </w:rPr>
        <w:t xml:space="preserve"> vein, </w:t>
      </w:r>
      <w:r w:rsidR="00791033">
        <w:rPr>
          <w:rFonts w:ascii="Book Antiqua" w:hAnsi="Book Antiqua"/>
          <w:lang w:val="en-GB"/>
        </w:rPr>
        <w:t xml:space="preserve">it could be said </w:t>
      </w:r>
      <w:r w:rsidR="005E6010">
        <w:rPr>
          <w:rFonts w:ascii="Book Antiqua" w:hAnsi="Book Antiqua"/>
          <w:lang w:val="en-GB"/>
        </w:rPr>
        <w:t xml:space="preserve">pre-enactment review </w:t>
      </w:r>
      <w:r w:rsidR="00791033">
        <w:rPr>
          <w:rFonts w:ascii="Book Antiqua" w:hAnsi="Book Antiqua"/>
          <w:lang w:val="en-GB"/>
        </w:rPr>
        <w:t xml:space="preserve">can act as a form of </w:t>
      </w:r>
      <w:r w:rsidR="005E6010">
        <w:rPr>
          <w:rFonts w:ascii="Book Antiqua" w:hAnsi="Book Antiqua"/>
          <w:lang w:val="en-GB"/>
        </w:rPr>
        <w:t xml:space="preserve">insurance against </w:t>
      </w:r>
      <w:r w:rsidR="00791033">
        <w:rPr>
          <w:rFonts w:ascii="Book Antiqua" w:hAnsi="Book Antiqua"/>
          <w:lang w:val="en-GB"/>
        </w:rPr>
        <w:t xml:space="preserve">the risks of </w:t>
      </w:r>
      <w:r w:rsidR="005E6010">
        <w:rPr>
          <w:rFonts w:ascii="Book Antiqua" w:hAnsi="Book Antiqua"/>
          <w:lang w:val="en-GB"/>
        </w:rPr>
        <w:t>subsequent judicial review, mak</w:t>
      </w:r>
      <w:r w:rsidR="003112D2">
        <w:rPr>
          <w:rFonts w:ascii="Book Antiqua" w:hAnsi="Book Antiqua"/>
          <w:lang w:val="en-GB"/>
        </w:rPr>
        <w:t>ing</w:t>
      </w:r>
      <w:r w:rsidR="005E6010">
        <w:rPr>
          <w:rFonts w:ascii="Book Antiqua" w:hAnsi="Book Antiqua"/>
          <w:lang w:val="en-GB"/>
        </w:rPr>
        <w:t xml:space="preserve"> bills </w:t>
      </w:r>
      <w:r w:rsidR="00791033">
        <w:rPr>
          <w:rFonts w:ascii="Book Antiqua" w:hAnsi="Book Antiqua"/>
          <w:lang w:val="en-GB"/>
        </w:rPr>
        <w:t xml:space="preserve">more </w:t>
      </w:r>
      <w:r w:rsidR="005E6010">
        <w:rPr>
          <w:rFonts w:ascii="Book Antiqua" w:hAnsi="Book Antiqua"/>
          <w:lang w:val="en-GB"/>
        </w:rPr>
        <w:t>“litigation proof” and avoid</w:t>
      </w:r>
      <w:r w:rsidR="003112D2">
        <w:rPr>
          <w:rFonts w:ascii="Book Antiqua" w:hAnsi="Book Antiqua"/>
          <w:lang w:val="en-GB"/>
        </w:rPr>
        <w:t>ing</w:t>
      </w:r>
      <w:r w:rsidR="005E6010">
        <w:rPr>
          <w:rFonts w:ascii="Book Antiqua" w:hAnsi="Book Antiqua"/>
          <w:lang w:val="en-GB"/>
        </w:rPr>
        <w:t xml:space="preserve"> the political embarrassment and disruption costs that might come with judicial invalidation or rebuke. </w:t>
      </w:r>
    </w:p>
    <w:p w14:paraId="2A8E31D4" w14:textId="77777777" w:rsidR="00AB23B1" w:rsidRDefault="00AB23B1" w:rsidP="00716219">
      <w:pPr>
        <w:spacing w:line="360" w:lineRule="auto"/>
        <w:jc w:val="both"/>
        <w:rPr>
          <w:rFonts w:ascii="Book Antiqua" w:hAnsi="Book Antiqua"/>
          <w:lang w:val="en-GB"/>
        </w:rPr>
      </w:pPr>
    </w:p>
    <w:p w14:paraId="6FC5A2C0" w14:textId="1570995F" w:rsidR="009C19A1" w:rsidRDefault="00CB7096" w:rsidP="00A36A90">
      <w:pPr>
        <w:spacing w:line="360" w:lineRule="auto"/>
        <w:jc w:val="both"/>
        <w:rPr>
          <w:rFonts w:ascii="Book Antiqua" w:hAnsi="Book Antiqua"/>
          <w:lang w:val="en-GB"/>
        </w:rPr>
      </w:pPr>
      <w:r>
        <w:rPr>
          <w:rFonts w:ascii="Book Antiqua" w:hAnsi="Book Antiqua"/>
          <w:lang w:val="en-GB"/>
        </w:rPr>
        <w:t xml:space="preserve">In an ideal model, </w:t>
      </w:r>
      <w:r w:rsidR="009C19A1">
        <w:rPr>
          <w:rFonts w:ascii="Book Antiqua" w:hAnsi="Book Antiqua"/>
          <w:lang w:val="en-GB"/>
        </w:rPr>
        <w:t xml:space="preserve">pre-enactment political review </w:t>
      </w:r>
      <w:r>
        <w:rPr>
          <w:rFonts w:ascii="Book Antiqua" w:hAnsi="Book Antiqua"/>
          <w:lang w:val="en-GB"/>
        </w:rPr>
        <w:t>offers the means to mediate between judicial supremacy and legislative supremacy – a constitutional Third Way.</w:t>
      </w:r>
      <w:r w:rsidR="009C19A1">
        <w:rPr>
          <w:rStyle w:val="FootnoteReference"/>
          <w:rFonts w:ascii="Book Antiqua" w:hAnsi="Book Antiqua"/>
          <w:lang w:val="en-GB"/>
        </w:rPr>
        <w:footnoteReference w:id="18"/>
      </w:r>
      <w:r w:rsidR="009C19A1">
        <w:rPr>
          <w:rFonts w:ascii="Book Antiqua" w:hAnsi="Book Antiqua"/>
          <w:lang w:val="en-GB"/>
        </w:rPr>
        <w:t xml:space="preserve"> </w:t>
      </w:r>
      <w:r w:rsidR="00F41538">
        <w:rPr>
          <w:rFonts w:ascii="Book Antiqua" w:hAnsi="Book Antiqua"/>
          <w:lang w:val="en-GB"/>
        </w:rPr>
        <w:t>While th</w:t>
      </w:r>
      <w:r w:rsidR="00301CAC">
        <w:rPr>
          <w:rFonts w:ascii="Book Antiqua" w:hAnsi="Book Antiqua"/>
          <w:lang w:val="en-GB"/>
        </w:rPr>
        <w:t>is</w:t>
      </w:r>
      <w:r w:rsidR="00F41538">
        <w:rPr>
          <w:rFonts w:ascii="Book Antiqua" w:hAnsi="Book Antiqua"/>
          <w:lang w:val="en-GB"/>
        </w:rPr>
        <w:t xml:space="preserve"> account makes a convincing case for its adoption,</w:t>
      </w:r>
      <w:r w:rsidR="009E0992">
        <w:rPr>
          <w:rFonts w:ascii="Book Antiqua" w:hAnsi="Book Antiqua"/>
          <w:lang w:val="en-GB"/>
        </w:rPr>
        <w:t xml:space="preserve"> the reality of</w:t>
      </w:r>
      <w:r w:rsidR="00791033">
        <w:rPr>
          <w:rFonts w:ascii="Book Antiqua" w:hAnsi="Book Antiqua"/>
          <w:lang w:val="en-GB"/>
        </w:rPr>
        <w:t xml:space="preserve"> pre-enactment political review is </w:t>
      </w:r>
      <w:r w:rsidR="00D85FF5">
        <w:rPr>
          <w:rFonts w:ascii="Book Antiqua" w:hAnsi="Book Antiqua"/>
          <w:lang w:val="en-GB"/>
        </w:rPr>
        <w:t>murkier</w:t>
      </w:r>
      <w:r w:rsidR="00301CAC">
        <w:rPr>
          <w:rFonts w:ascii="Book Antiqua" w:hAnsi="Book Antiqua"/>
          <w:lang w:val="en-GB"/>
        </w:rPr>
        <w:t xml:space="preserve"> than this ideal.</w:t>
      </w:r>
      <w:r w:rsidR="009F6E6D">
        <w:rPr>
          <w:rFonts w:ascii="Book Antiqua" w:hAnsi="Book Antiqua"/>
          <w:lang w:val="en-GB"/>
        </w:rPr>
        <w:t xml:space="preserve"> </w:t>
      </w:r>
      <w:proofErr w:type="gramStart"/>
      <w:r w:rsidR="001950E7">
        <w:rPr>
          <w:rFonts w:ascii="Book Antiqua" w:hAnsi="Book Antiqua"/>
          <w:lang w:val="en-GB"/>
        </w:rPr>
        <w:t>In reality, some</w:t>
      </w:r>
      <w:proofErr w:type="gramEnd"/>
      <w:r w:rsidR="001950E7">
        <w:rPr>
          <w:rFonts w:ascii="Book Antiqua" w:hAnsi="Book Antiqua"/>
          <w:lang w:val="en-GB"/>
        </w:rPr>
        <w:t xml:space="preserve"> </w:t>
      </w:r>
      <w:r w:rsidR="00FC4D6F">
        <w:rPr>
          <w:rFonts w:ascii="Book Antiqua" w:hAnsi="Book Antiqua"/>
          <w:lang w:val="en-GB"/>
        </w:rPr>
        <w:t xml:space="preserve">of </w:t>
      </w:r>
      <w:r w:rsidR="00301CAC">
        <w:rPr>
          <w:rFonts w:ascii="Book Antiqua" w:hAnsi="Book Antiqua"/>
          <w:lang w:val="en-GB"/>
        </w:rPr>
        <w:t xml:space="preserve">these </w:t>
      </w:r>
      <w:r w:rsidR="009E0992">
        <w:rPr>
          <w:rFonts w:ascii="Book Antiqua" w:hAnsi="Book Antiqua"/>
          <w:lang w:val="en-GB"/>
        </w:rPr>
        <w:t xml:space="preserve">benefits are illusory </w:t>
      </w:r>
      <w:r w:rsidR="00301CAC">
        <w:rPr>
          <w:rFonts w:ascii="Book Antiqua" w:hAnsi="Book Antiqua"/>
          <w:lang w:val="en-GB"/>
        </w:rPr>
        <w:t xml:space="preserve">or </w:t>
      </w:r>
      <w:r w:rsidR="009E0992">
        <w:rPr>
          <w:rFonts w:ascii="Book Antiqua" w:hAnsi="Book Antiqua"/>
          <w:lang w:val="en-GB"/>
        </w:rPr>
        <w:t>absent.</w:t>
      </w:r>
    </w:p>
    <w:p w14:paraId="5C858AF5" w14:textId="3E673EE3" w:rsidR="009E0992" w:rsidRDefault="009E0992" w:rsidP="00A36A90">
      <w:pPr>
        <w:spacing w:line="360" w:lineRule="auto"/>
        <w:jc w:val="both"/>
        <w:rPr>
          <w:rFonts w:ascii="Book Antiqua" w:hAnsi="Book Antiqua"/>
          <w:lang w:val="en-GB"/>
        </w:rPr>
      </w:pPr>
      <w:r>
        <w:rPr>
          <w:rFonts w:ascii="Book Antiqua" w:hAnsi="Book Antiqua"/>
          <w:lang w:val="en-GB"/>
        </w:rPr>
        <w:t xml:space="preserve"> </w:t>
      </w:r>
    </w:p>
    <w:p w14:paraId="19E45C4A" w14:textId="0E998BDD" w:rsidR="0069589D" w:rsidRPr="00F603FC" w:rsidRDefault="0069589D" w:rsidP="00F603FC">
      <w:pPr>
        <w:spacing w:line="360" w:lineRule="auto"/>
        <w:jc w:val="both"/>
        <w:outlineLvl w:val="1"/>
        <w:rPr>
          <w:rFonts w:ascii="Book Antiqua" w:hAnsi="Book Antiqua"/>
          <w:u w:val="single"/>
          <w:lang w:val="en-GB"/>
        </w:rPr>
      </w:pPr>
      <w:r w:rsidRPr="00F603FC">
        <w:rPr>
          <w:rFonts w:ascii="Book Antiqua" w:hAnsi="Book Antiqua"/>
          <w:u w:val="single"/>
          <w:lang w:val="en-GB"/>
        </w:rPr>
        <w:t>Common failings in implementing pre-enactment review</w:t>
      </w:r>
    </w:p>
    <w:p w14:paraId="09C2C0FD" w14:textId="673D7381" w:rsidR="00943CC4" w:rsidRDefault="001950E7" w:rsidP="001F6441">
      <w:pPr>
        <w:spacing w:line="360" w:lineRule="auto"/>
        <w:jc w:val="both"/>
        <w:rPr>
          <w:rFonts w:ascii="Book Antiqua" w:hAnsi="Book Antiqua"/>
          <w:lang w:val="en-GB"/>
        </w:rPr>
      </w:pPr>
      <w:r>
        <w:rPr>
          <w:rFonts w:ascii="Book Antiqua" w:hAnsi="Book Antiqua"/>
          <w:lang w:val="en-GB"/>
        </w:rPr>
        <w:t>P</w:t>
      </w:r>
      <w:r w:rsidR="008E1419">
        <w:rPr>
          <w:rFonts w:ascii="Book Antiqua" w:hAnsi="Book Antiqua"/>
          <w:lang w:val="en-GB"/>
        </w:rPr>
        <w:t>olitical constitutionalism and pre-enactment</w:t>
      </w:r>
      <w:r w:rsidR="00950FDA">
        <w:rPr>
          <w:rFonts w:ascii="Book Antiqua" w:hAnsi="Book Antiqua"/>
          <w:lang w:val="en-GB"/>
        </w:rPr>
        <w:t xml:space="preserve"> political</w:t>
      </w:r>
      <w:r w:rsidR="008E1419">
        <w:rPr>
          <w:rFonts w:ascii="Book Antiqua" w:hAnsi="Book Antiqua"/>
          <w:lang w:val="en-GB"/>
        </w:rPr>
        <w:t xml:space="preserve"> review </w:t>
      </w:r>
      <w:r w:rsidR="00BC0B32">
        <w:rPr>
          <w:rFonts w:ascii="Book Antiqua" w:hAnsi="Book Antiqua"/>
          <w:lang w:val="en-GB"/>
        </w:rPr>
        <w:t xml:space="preserve">have </w:t>
      </w:r>
      <w:r w:rsidR="00056B3F">
        <w:rPr>
          <w:rFonts w:ascii="Book Antiqua" w:hAnsi="Book Antiqua"/>
          <w:lang w:val="en-GB"/>
        </w:rPr>
        <w:t xml:space="preserve">been </w:t>
      </w:r>
      <w:r w:rsidR="009A33DF">
        <w:rPr>
          <w:rFonts w:ascii="Book Antiqua" w:hAnsi="Book Antiqua"/>
          <w:lang w:val="en-GB"/>
        </w:rPr>
        <w:t>implemented</w:t>
      </w:r>
      <w:r w:rsidR="00056B3F">
        <w:rPr>
          <w:rFonts w:ascii="Book Antiqua" w:hAnsi="Book Antiqua"/>
          <w:lang w:val="en-GB"/>
        </w:rPr>
        <w:t xml:space="preserve"> in </w:t>
      </w:r>
      <w:r w:rsidR="003F1DC3">
        <w:rPr>
          <w:rFonts w:ascii="Book Antiqua" w:hAnsi="Book Antiqua"/>
          <w:lang w:val="en-GB"/>
        </w:rPr>
        <w:t>many constitutional systems</w:t>
      </w:r>
      <w:r w:rsidR="00BC0B32">
        <w:rPr>
          <w:rFonts w:ascii="Book Antiqua" w:hAnsi="Book Antiqua"/>
          <w:lang w:val="en-GB"/>
        </w:rPr>
        <w:t>, and in practice, have failed to fully live up to the promise of the theory.</w:t>
      </w:r>
      <w:r w:rsidR="00FB2FAD">
        <w:rPr>
          <w:rFonts w:ascii="Book Antiqua" w:hAnsi="Book Antiqua"/>
          <w:lang w:val="en-GB"/>
        </w:rPr>
        <w:t xml:space="preserve"> </w:t>
      </w:r>
      <w:r w:rsidR="003C015B">
        <w:rPr>
          <w:rFonts w:ascii="Book Antiqua" w:hAnsi="Book Antiqua"/>
          <w:lang w:val="en-GB"/>
        </w:rPr>
        <w:t>Here, we examine briefly the</w:t>
      </w:r>
      <w:r w:rsidR="008E1419">
        <w:rPr>
          <w:rFonts w:ascii="Book Antiqua" w:hAnsi="Book Antiqua"/>
          <w:lang w:val="en-GB"/>
        </w:rPr>
        <w:t xml:space="preserve"> </w:t>
      </w:r>
      <w:r w:rsidR="003C015B">
        <w:rPr>
          <w:rFonts w:ascii="Book Antiqua" w:hAnsi="Book Antiqua"/>
          <w:lang w:val="en-GB"/>
        </w:rPr>
        <w:t xml:space="preserve">common failings of this institution in </w:t>
      </w:r>
      <w:r w:rsidR="008E1419">
        <w:rPr>
          <w:rFonts w:ascii="Book Antiqua" w:hAnsi="Book Antiqua"/>
          <w:lang w:val="en-GB"/>
        </w:rPr>
        <w:t>Canada, New Zealan</w:t>
      </w:r>
      <w:r w:rsidR="00050975">
        <w:rPr>
          <w:rFonts w:ascii="Book Antiqua" w:hAnsi="Book Antiqua"/>
          <w:lang w:val="en-GB"/>
        </w:rPr>
        <w:t xml:space="preserve">d, </w:t>
      </w:r>
      <w:r w:rsidR="009353C7">
        <w:rPr>
          <w:rFonts w:ascii="Book Antiqua" w:hAnsi="Book Antiqua"/>
          <w:lang w:val="en-GB"/>
        </w:rPr>
        <w:t xml:space="preserve">and </w:t>
      </w:r>
      <w:r w:rsidR="00050975">
        <w:rPr>
          <w:rFonts w:ascii="Book Antiqua" w:hAnsi="Book Antiqua"/>
          <w:lang w:val="en-GB"/>
        </w:rPr>
        <w:t>the UK</w:t>
      </w:r>
      <w:r>
        <w:rPr>
          <w:rFonts w:ascii="Book Antiqua" w:hAnsi="Book Antiqua"/>
          <w:lang w:val="en-GB"/>
        </w:rPr>
        <w:t>, which have</w:t>
      </w:r>
      <w:r w:rsidR="009353C7">
        <w:rPr>
          <w:rFonts w:ascii="Book Antiqua" w:hAnsi="Book Antiqua"/>
          <w:lang w:val="en-GB"/>
        </w:rPr>
        <w:t xml:space="preserve"> introduced this type of review alongside some institution of judicial review.</w:t>
      </w:r>
      <w:r w:rsidR="001F6441">
        <w:rPr>
          <w:rStyle w:val="FootnoteReference"/>
          <w:rFonts w:ascii="Book Antiqua" w:hAnsi="Book Antiqua"/>
          <w:lang w:val="en-GB"/>
        </w:rPr>
        <w:footnoteReference w:id="19"/>
      </w:r>
      <w:r w:rsidR="009353C7">
        <w:rPr>
          <w:rFonts w:ascii="Book Antiqua" w:hAnsi="Book Antiqua"/>
          <w:lang w:val="en-GB"/>
        </w:rPr>
        <w:t xml:space="preserve"> </w:t>
      </w:r>
      <w:r w:rsidR="001F6441">
        <w:rPr>
          <w:rFonts w:ascii="Book Antiqua" w:hAnsi="Book Antiqua"/>
          <w:lang w:val="en-GB"/>
        </w:rPr>
        <w:t>T</w:t>
      </w:r>
      <w:r w:rsidR="0029345A">
        <w:rPr>
          <w:rFonts w:ascii="Book Antiqua" w:hAnsi="Book Antiqua"/>
          <w:lang w:val="en-GB"/>
        </w:rPr>
        <w:t xml:space="preserve">hese failings </w:t>
      </w:r>
      <w:r w:rsidR="009353C7">
        <w:rPr>
          <w:rFonts w:ascii="Book Antiqua" w:hAnsi="Book Antiqua"/>
          <w:lang w:val="en-GB"/>
        </w:rPr>
        <w:t xml:space="preserve">will serve as a </w:t>
      </w:r>
      <w:r w:rsidR="009353C7">
        <w:rPr>
          <w:rFonts w:ascii="Book Antiqua" w:hAnsi="Book Antiqua"/>
          <w:lang w:val="en-GB"/>
        </w:rPr>
        <w:lastRenderedPageBreak/>
        <w:t xml:space="preserve">necessary contrast to the systems discussed in part II, that </w:t>
      </w:r>
      <w:r w:rsidR="007E5C24">
        <w:rPr>
          <w:rFonts w:ascii="Book Antiqua" w:hAnsi="Book Antiqua"/>
          <w:lang w:val="en-GB"/>
        </w:rPr>
        <w:t>are problematic</w:t>
      </w:r>
      <w:r w:rsidR="009353C7">
        <w:rPr>
          <w:rFonts w:ascii="Book Antiqua" w:hAnsi="Book Antiqua"/>
          <w:lang w:val="en-GB"/>
        </w:rPr>
        <w:t xml:space="preserve"> in a </w:t>
      </w:r>
      <w:r w:rsidR="007E5C24">
        <w:rPr>
          <w:rFonts w:ascii="Book Antiqua" w:hAnsi="Book Antiqua"/>
          <w:lang w:val="en-GB"/>
        </w:rPr>
        <w:t xml:space="preserve">deeper </w:t>
      </w:r>
      <w:r w:rsidR="009353C7">
        <w:rPr>
          <w:rFonts w:ascii="Book Antiqua" w:hAnsi="Book Antiqua"/>
          <w:lang w:val="en-GB"/>
        </w:rPr>
        <w:t xml:space="preserve">way.  </w:t>
      </w:r>
    </w:p>
    <w:p w14:paraId="0F1D9CC3" w14:textId="3B850A29" w:rsidR="00050975" w:rsidRPr="00F603FC" w:rsidRDefault="00050975" w:rsidP="00F603FC">
      <w:pPr>
        <w:spacing w:line="360" w:lineRule="auto"/>
        <w:jc w:val="both"/>
        <w:rPr>
          <w:rFonts w:ascii="Book Antiqua" w:hAnsi="Book Antiqua"/>
          <w:u w:val="single"/>
          <w:lang w:val="en-GB"/>
        </w:rPr>
      </w:pPr>
    </w:p>
    <w:p w14:paraId="5091FABF" w14:textId="25BD3606" w:rsidR="00794D28" w:rsidRDefault="00577F60" w:rsidP="007F5D55">
      <w:pPr>
        <w:spacing w:line="360" w:lineRule="auto"/>
        <w:jc w:val="both"/>
        <w:rPr>
          <w:rFonts w:ascii="Book Antiqua" w:hAnsi="Book Antiqua"/>
          <w:lang w:val="en-GB"/>
        </w:rPr>
      </w:pPr>
      <w:r>
        <w:rPr>
          <w:rFonts w:ascii="Book Antiqua" w:hAnsi="Book Antiqua"/>
          <w:color w:val="000000" w:themeColor="text1"/>
        </w:rPr>
        <w:t xml:space="preserve">In Canada, the </w:t>
      </w:r>
      <w:r w:rsidR="003F01C9" w:rsidRPr="007F5D55">
        <w:rPr>
          <w:rFonts w:ascii="Book Antiqua" w:hAnsi="Book Antiqua"/>
          <w:color w:val="000000" w:themeColor="text1"/>
        </w:rPr>
        <w:t>Minister</w:t>
      </w:r>
      <w:r w:rsidR="005A1DC0">
        <w:rPr>
          <w:rFonts w:ascii="Book Antiqua" w:hAnsi="Book Antiqua"/>
          <w:color w:val="000000" w:themeColor="text1"/>
        </w:rPr>
        <w:t xml:space="preserve"> for Justice</w:t>
      </w:r>
      <w:r w:rsidR="003F01C9" w:rsidRPr="007F5D55">
        <w:rPr>
          <w:rFonts w:ascii="Book Antiqua" w:hAnsi="Book Antiqua"/>
          <w:color w:val="000000" w:themeColor="text1"/>
        </w:rPr>
        <w:t xml:space="preserve"> has a statutory obligation to </w:t>
      </w:r>
      <w:r w:rsidR="003F01C9" w:rsidRPr="007F5D55">
        <w:rPr>
          <w:rFonts w:ascii="Book Antiqua" w:eastAsia="Times New Roman" w:hAnsi="Book Antiqua"/>
          <w:color w:val="000000" w:themeColor="text1"/>
          <w:shd w:val="clear" w:color="auto" w:fill="FFFFFF"/>
        </w:rPr>
        <w:t>examine every Bill introduced to the House of Common</w:t>
      </w:r>
      <w:r w:rsidR="008D5545">
        <w:rPr>
          <w:rFonts w:ascii="Book Antiqua" w:eastAsia="Times New Roman" w:hAnsi="Book Antiqua"/>
          <w:color w:val="000000" w:themeColor="text1"/>
          <w:shd w:val="clear" w:color="auto" w:fill="FFFFFF"/>
        </w:rPr>
        <w:t>s by the government</w:t>
      </w:r>
      <w:r w:rsidR="003F01C9" w:rsidRPr="007F5D55">
        <w:rPr>
          <w:rFonts w:ascii="Book Antiqua" w:eastAsia="Times New Roman" w:hAnsi="Book Antiqua"/>
          <w:color w:val="000000" w:themeColor="text1"/>
          <w:shd w:val="clear" w:color="auto" w:fill="FFFFFF"/>
        </w:rPr>
        <w:t>, and “to ascertain whether any of the provisions…are inconsistent with the purposes and provisions of the </w:t>
      </w:r>
      <w:r w:rsidR="003F01C9" w:rsidRPr="007F5D55">
        <w:rPr>
          <w:rFonts w:ascii="Book Antiqua" w:eastAsia="Times New Roman" w:hAnsi="Book Antiqua"/>
          <w:i/>
          <w:iCs/>
          <w:color w:val="000000" w:themeColor="text1"/>
          <w:shd w:val="clear" w:color="auto" w:fill="FFFFFF"/>
        </w:rPr>
        <w:t>Canadian Charter of Rights and Freedoms</w:t>
      </w:r>
      <w:r w:rsidR="003F01C9" w:rsidRPr="007F5D55">
        <w:rPr>
          <w:rFonts w:ascii="Book Antiqua" w:eastAsia="Times New Roman" w:hAnsi="Book Antiqua"/>
          <w:iCs/>
          <w:color w:val="000000" w:themeColor="text1"/>
          <w:shd w:val="clear" w:color="auto" w:fill="FFFFFF"/>
        </w:rPr>
        <w:t>”. Following review</w:t>
      </w:r>
      <w:r w:rsidR="005A1DC0">
        <w:rPr>
          <w:rFonts w:ascii="Book Antiqua" w:eastAsia="Times New Roman" w:hAnsi="Book Antiqua"/>
          <w:iCs/>
          <w:color w:val="000000" w:themeColor="text1"/>
          <w:shd w:val="clear" w:color="auto" w:fill="FFFFFF"/>
        </w:rPr>
        <w:t>,</w:t>
      </w:r>
      <w:r w:rsidR="003F01C9" w:rsidRPr="007F5D55">
        <w:rPr>
          <w:rFonts w:ascii="Book Antiqua" w:eastAsia="Times New Roman" w:hAnsi="Book Antiqua"/>
          <w:iCs/>
          <w:color w:val="000000" w:themeColor="text1"/>
          <w:shd w:val="clear" w:color="auto" w:fill="FFFFFF"/>
        </w:rPr>
        <w:t xml:space="preserve"> </w:t>
      </w:r>
      <w:r w:rsidR="003F01C9" w:rsidRPr="007F5D55">
        <w:rPr>
          <w:rFonts w:ascii="Book Antiqua" w:eastAsia="Times New Roman" w:hAnsi="Book Antiqua"/>
          <w:color w:val="000000" w:themeColor="text1"/>
          <w:shd w:val="clear" w:color="auto" w:fill="FFFFFF"/>
        </w:rPr>
        <w:t>the Minister “shall report any such inconsistency to the House of Commons at the first convenient opportunity.”</w:t>
      </w:r>
      <w:r w:rsidR="00F14FEA">
        <w:rPr>
          <w:rStyle w:val="FootnoteReference"/>
          <w:rFonts w:ascii="Book Antiqua" w:eastAsia="Times New Roman" w:hAnsi="Book Antiqua"/>
          <w:iCs/>
          <w:color w:val="000000" w:themeColor="text1"/>
          <w:shd w:val="clear" w:color="auto" w:fill="FFFFFF"/>
        </w:rPr>
        <w:footnoteReference w:id="20"/>
      </w:r>
      <w:r w:rsidR="003F01C9" w:rsidRPr="007F5D55">
        <w:rPr>
          <w:rFonts w:ascii="Book Antiqua" w:eastAsia="Times New Roman" w:hAnsi="Book Antiqua"/>
          <w:color w:val="000000" w:themeColor="text1"/>
          <w:shd w:val="clear" w:color="auto" w:fill="FFFFFF"/>
        </w:rPr>
        <w:t xml:space="preserve"> </w:t>
      </w:r>
      <w:r w:rsidR="003C2AEB">
        <w:rPr>
          <w:rFonts w:ascii="Book Antiqua" w:eastAsia="Times New Roman" w:hAnsi="Book Antiqua"/>
          <w:color w:val="000000" w:themeColor="text1"/>
          <w:shd w:val="clear" w:color="auto" w:fill="FFFFFF"/>
        </w:rPr>
        <w:t>The original expectation</w:t>
      </w:r>
      <w:r w:rsidR="00FA6E56">
        <w:rPr>
          <w:rFonts w:ascii="Book Antiqua" w:eastAsia="Times New Roman" w:hAnsi="Book Antiqua"/>
          <w:color w:val="000000" w:themeColor="text1"/>
          <w:shd w:val="clear" w:color="auto" w:fill="FFFFFF"/>
        </w:rPr>
        <w:t xml:space="preserve"> of those adopting pre-enactment review</w:t>
      </w:r>
      <w:r w:rsidR="003C2AEB">
        <w:rPr>
          <w:rFonts w:ascii="Book Antiqua" w:eastAsia="Times New Roman" w:hAnsi="Book Antiqua"/>
          <w:color w:val="000000" w:themeColor="text1"/>
          <w:shd w:val="clear" w:color="auto" w:fill="FFFFFF"/>
        </w:rPr>
        <w:t xml:space="preserve"> appeared to be that </w:t>
      </w:r>
      <w:r w:rsidR="00FA6E56">
        <w:rPr>
          <w:rFonts w:ascii="Book Antiqua" w:eastAsia="Times New Roman" w:hAnsi="Book Antiqua"/>
          <w:color w:val="000000" w:themeColor="text1"/>
          <w:shd w:val="clear" w:color="auto" w:fill="FFFFFF"/>
        </w:rPr>
        <w:t>this</w:t>
      </w:r>
      <w:r w:rsidR="003C2AEB">
        <w:rPr>
          <w:rFonts w:ascii="Book Antiqua" w:eastAsia="Times New Roman" w:hAnsi="Book Antiqua"/>
          <w:color w:val="000000" w:themeColor="text1"/>
          <w:shd w:val="clear" w:color="auto" w:fill="FFFFFF"/>
        </w:rPr>
        <w:t xml:space="preserve"> process would spur a rigorous</w:t>
      </w:r>
      <w:r w:rsidR="00FA6E56">
        <w:rPr>
          <w:rFonts w:ascii="Book Antiqua" w:eastAsia="Times New Roman" w:hAnsi="Book Antiqua"/>
          <w:color w:val="000000" w:themeColor="text1"/>
          <w:shd w:val="clear" w:color="auto" w:fill="FFFFFF"/>
        </w:rPr>
        <w:t xml:space="preserve"> internal</w:t>
      </w:r>
      <w:r w:rsidR="003C2AEB">
        <w:rPr>
          <w:rFonts w:ascii="Book Antiqua" w:eastAsia="Times New Roman" w:hAnsi="Book Antiqua"/>
          <w:color w:val="000000" w:themeColor="text1"/>
          <w:shd w:val="clear" w:color="auto" w:fill="FFFFFF"/>
        </w:rPr>
        <w:t xml:space="preserve"> evaluation of propose</w:t>
      </w:r>
      <w:r w:rsidR="00FA6E56">
        <w:rPr>
          <w:rFonts w:ascii="Book Antiqua" w:eastAsia="Times New Roman" w:hAnsi="Book Antiqua"/>
          <w:color w:val="000000" w:themeColor="text1"/>
          <w:shd w:val="clear" w:color="auto" w:fill="FFFFFF"/>
        </w:rPr>
        <w:t xml:space="preserve">d legislation by the executive and </w:t>
      </w:r>
      <w:r w:rsidR="003C2AEB">
        <w:rPr>
          <w:rFonts w:ascii="Book Antiqua" w:eastAsia="Times New Roman" w:hAnsi="Book Antiqua"/>
          <w:color w:val="000000" w:themeColor="text1"/>
          <w:shd w:val="clear" w:color="auto" w:fill="FFFFFF"/>
        </w:rPr>
        <w:t>a willingness to reconsider or revise bills in the event of an inconsistency</w:t>
      </w:r>
      <w:r w:rsidR="00FA6E56">
        <w:rPr>
          <w:rFonts w:ascii="Book Antiqua" w:eastAsia="Times New Roman" w:hAnsi="Book Antiqua"/>
          <w:color w:val="000000" w:themeColor="text1"/>
          <w:shd w:val="clear" w:color="auto" w:fill="FFFFFF"/>
        </w:rPr>
        <w:t xml:space="preserve"> by the cabinet, under scrutiny by a parliament with the </w:t>
      </w:r>
      <w:r w:rsidR="003C2AEB">
        <w:rPr>
          <w:rFonts w:ascii="Book Antiqua" w:eastAsia="Times New Roman" w:hAnsi="Book Antiqua"/>
          <w:color w:val="000000" w:themeColor="text1"/>
          <w:shd w:val="clear" w:color="auto" w:fill="FFFFFF"/>
        </w:rPr>
        <w:t>“capacity</w:t>
      </w:r>
      <w:r w:rsidR="00FA6E56">
        <w:rPr>
          <w:rFonts w:ascii="Book Antiqua" w:eastAsia="Times New Roman" w:hAnsi="Book Antiqua"/>
          <w:color w:val="000000" w:themeColor="text1"/>
          <w:shd w:val="clear" w:color="auto" w:fill="FFFFFF"/>
        </w:rPr>
        <w:t>”</w:t>
      </w:r>
      <w:r w:rsidR="003C2AEB">
        <w:rPr>
          <w:rFonts w:ascii="Book Antiqua" w:eastAsia="Times New Roman" w:hAnsi="Book Antiqua"/>
          <w:color w:val="000000" w:themeColor="text1"/>
          <w:shd w:val="clear" w:color="auto" w:fill="FFFFFF"/>
        </w:rPr>
        <w:t xml:space="preserve"> </w:t>
      </w:r>
      <w:r w:rsidR="00FA6E56">
        <w:rPr>
          <w:rFonts w:ascii="Book Antiqua" w:eastAsia="Times New Roman" w:hAnsi="Book Antiqua"/>
          <w:color w:val="000000" w:themeColor="text1"/>
          <w:shd w:val="clear" w:color="auto" w:fill="FFFFFF"/>
        </w:rPr>
        <w:t>and “</w:t>
      </w:r>
      <w:r w:rsidR="003C2AEB">
        <w:rPr>
          <w:rFonts w:ascii="Book Antiqua" w:eastAsia="Times New Roman" w:hAnsi="Book Antiqua"/>
          <w:color w:val="000000" w:themeColor="text1"/>
          <w:shd w:val="clear" w:color="auto" w:fill="FFFFFF"/>
        </w:rPr>
        <w:t>inclination</w:t>
      </w:r>
      <w:r w:rsidR="00FA6E56">
        <w:rPr>
          <w:rFonts w:ascii="Book Antiqua" w:eastAsia="Times New Roman" w:hAnsi="Book Antiqua"/>
          <w:color w:val="000000" w:themeColor="text1"/>
          <w:shd w:val="clear" w:color="auto" w:fill="FFFFFF"/>
        </w:rPr>
        <w:t>”</w:t>
      </w:r>
      <w:r w:rsidR="003C2AEB">
        <w:rPr>
          <w:rFonts w:ascii="Book Antiqua" w:eastAsia="Times New Roman" w:hAnsi="Book Antiqua"/>
          <w:color w:val="000000" w:themeColor="text1"/>
          <w:shd w:val="clear" w:color="auto" w:fill="FFFFFF"/>
        </w:rPr>
        <w:t xml:space="preserve"> parliament to evaluate bills from rights</w:t>
      </w:r>
      <w:r w:rsidR="00FA6E56">
        <w:rPr>
          <w:rFonts w:ascii="Book Antiqua" w:eastAsia="Times New Roman" w:hAnsi="Book Antiqua"/>
          <w:color w:val="000000" w:themeColor="text1"/>
          <w:shd w:val="clear" w:color="auto" w:fill="FFFFFF"/>
        </w:rPr>
        <w:t xml:space="preserve"> perspective</w:t>
      </w:r>
      <w:r w:rsidR="003C2AEB">
        <w:rPr>
          <w:rFonts w:ascii="Book Antiqua" w:eastAsia="Times New Roman" w:hAnsi="Book Antiqua"/>
          <w:color w:val="000000" w:themeColor="text1"/>
          <w:shd w:val="clear" w:color="auto" w:fill="FFFFFF"/>
        </w:rPr>
        <w:t>.</w:t>
      </w:r>
      <w:r w:rsidR="003C2AEB">
        <w:rPr>
          <w:rStyle w:val="FootnoteReference"/>
          <w:rFonts w:ascii="Book Antiqua" w:eastAsia="Times New Roman" w:hAnsi="Book Antiqua"/>
          <w:color w:val="000000" w:themeColor="text1"/>
          <w:shd w:val="clear" w:color="auto" w:fill="FFFFFF"/>
        </w:rPr>
        <w:footnoteReference w:id="21"/>
      </w:r>
      <w:r w:rsidR="00FA6E56">
        <w:rPr>
          <w:rFonts w:ascii="Book Antiqua" w:eastAsia="Times New Roman" w:hAnsi="Book Antiqua"/>
          <w:color w:val="000000" w:themeColor="text1"/>
          <w:shd w:val="clear" w:color="auto" w:fill="FFFFFF"/>
        </w:rPr>
        <w:t xml:space="preserve"> </w:t>
      </w:r>
      <w:r w:rsidR="00C979D4">
        <w:rPr>
          <w:rFonts w:ascii="Book Antiqua" w:hAnsi="Book Antiqua"/>
          <w:lang w:val="en-GB"/>
        </w:rPr>
        <w:t xml:space="preserve">However, in practice the Canadian experience of pre-enactment review has been characterised by features which </w:t>
      </w:r>
      <w:r w:rsidR="00AE1C61">
        <w:rPr>
          <w:rFonts w:ascii="Book Antiqua" w:hAnsi="Book Antiqua"/>
          <w:lang w:val="en-GB"/>
        </w:rPr>
        <w:t>only weakly match</w:t>
      </w:r>
      <w:r w:rsidR="00C979D4">
        <w:rPr>
          <w:rFonts w:ascii="Book Antiqua" w:hAnsi="Book Antiqua"/>
          <w:lang w:val="en-GB"/>
        </w:rPr>
        <w:t xml:space="preserve"> the values associated with political constitutionalism, </w:t>
      </w:r>
      <w:r w:rsidR="00E23FD9">
        <w:rPr>
          <w:rFonts w:ascii="Book Antiqua" w:hAnsi="Book Antiqua"/>
          <w:lang w:val="en-GB"/>
        </w:rPr>
        <w:t>including</w:t>
      </w:r>
      <w:r w:rsidR="00C979D4">
        <w:rPr>
          <w:rFonts w:ascii="Book Antiqua" w:hAnsi="Book Antiqua"/>
          <w:lang w:val="en-GB"/>
        </w:rPr>
        <w:t xml:space="preserve"> relatively low levels of parliamentary engagement </w:t>
      </w:r>
      <w:r w:rsidR="00AE1C61">
        <w:rPr>
          <w:rFonts w:ascii="Book Antiqua" w:hAnsi="Book Antiqua"/>
          <w:lang w:val="en-GB"/>
        </w:rPr>
        <w:t xml:space="preserve">with rights issues </w:t>
      </w:r>
      <w:r w:rsidR="00C979D4">
        <w:rPr>
          <w:rFonts w:ascii="Book Antiqua" w:hAnsi="Book Antiqua"/>
          <w:lang w:val="en-GB"/>
        </w:rPr>
        <w:t xml:space="preserve">and the emergence of a highly juridical form of executive review. </w:t>
      </w:r>
    </w:p>
    <w:p w14:paraId="70E6131E" w14:textId="77777777" w:rsidR="00AA21CA" w:rsidRDefault="00AA21CA" w:rsidP="007F5D55">
      <w:pPr>
        <w:spacing w:line="360" w:lineRule="auto"/>
        <w:jc w:val="both"/>
        <w:rPr>
          <w:rFonts w:ascii="Book Antiqua" w:hAnsi="Book Antiqua"/>
          <w:lang w:val="en-GB"/>
        </w:rPr>
      </w:pPr>
    </w:p>
    <w:p w14:paraId="4909BAA0" w14:textId="51F2F90D" w:rsidR="00C2758C" w:rsidRPr="00C979D4" w:rsidRDefault="00E5089E" w:rsidP="001B1082">
      <w:pPr>
        <w:spacing w:line="360" w:lineRule="auto"/>
        <w:jc w:val="both"/>
        <w:rPr>
          <w:rFonts w:ascii="Book Antiqua" w:hAnsi="Book Antiqua"/>
          <w:lang w:val="en-GB"/>
        </w:rPr>
      </w:pPr>
      <w:r>
        <w:rPr>
          <w:rFonts w:ascii="Book Antiqua" w:hAnsi="Book Antiqua"/>
          <w:lang w:val="en-GB"/>
        </w:rPr>
        <w:t>While t</w:t>
      </w:r>
      <w:r w:rsidR="00C979D4">
        <w:rPr>
          <w:rFonts w:ascii="Book Antiqua" w:hAnsi="Book Antiqua"/>
          <w:lang w:val="en-GB"/>
        </w:rPr>
        <w:t xml:space="preserve">he process of </w:t>
      </w:r>
      <w:r w:rsidR="00577B94">
        <w:rPr>
          <w:rFonts w:ascii="Book Antiqua" w:hAnsi="Book Antiqua"/>
          <w:lang w:val="en-GB"/>
        </w:rPr>
        <w:t xml:space="preserve">internal </w:t>
      </w:r>
      <w:r w:rsidR="00C979D4">
        <w:rPr>
          <w:rFonts w:ascii="Book Antiqua" w:hAnsi="Book Antiqua"/>
          <w:lang w:val="en-GB"/>
        </w:rPr>
        <w:t>executive review is</w:t>
      </w:r>
      <w:r w:rsidR="00A00F01">
        <w:rPr>
          <w:rFonts w:ascii="Book Antiqua" w:hAnsi="Book Antiqua"/>
          <w:lang w:val="en-GB"/>
        </w:rPr>
        <w:t xml:space="preserve"> now</w:t>
      </w:r>
      <w:r w:rsidR="00C979D4">
        <w:rPr>
          <w:rFonts w:ascii="Book Antiqua" w:hAnsi="Book Antiqua"/>
          <w:lang w:val="en-GB"/>
        </w:rPr>
        <w:t xml:space="preserve"> systemic and </w:t>
      </w:r>
      <w:r w:rsidR="00577B94">
        <w:rPr>
          <w:rFonts w:ascii="Book Antiqua" w:hAnsi="Book Antiqua"/>
          <w:lang w:val="en-GB"/>
        </w:rPr>
        <w:t>has changed the “political environment in which policies are conceptualised and drafted”</w:t>
      </w:r>
      <w:r w:rsidR="006F0034">
        <w:rPr>
          <w:rFonts w:ascii="Book Antiqua" w:hAnsi="Book Antiqua"/>
          <w:lang w:val="en-GB"/>
        </w:rPr>
        <w:t>,</w:t>
      </w:r>
      <w:r w:rsidR="00A00F01">
        <w:rPr>
          <w:rStyle w:val="FootnoteReference"/>
          <w:rFonts w:ascii="Book Antiqua" w:hAnsi="Book Antiqua"/>
          <w:lang w:val="en-GB"/>
        </w:rPr>
        <w:footnoteReference w:id="22"/>
      </w:r>
      <w:r w:rsidR="00A00F01">
        <w:rPr>
          <w:rFonts w:ascii="Book Antiqua" w:hAnsi="Book Antiqua"/>
          <w:lang w:val="en-GB"/>
        </w:rPr>
        <w:t xml:space="preserve"> it has done</w:t>
      </w:r>
      <w:r>
        <w:rPr>
          <w:rFonts w:ascii="Book Antiqua" w:hAnsi="Book Antiqua"/>
          <w:lang w:val="en-GB"/>
        </w:rPr>
        <w:t xml:space="preserve"> very</w:t>
      </w:r>
      <w:r w:rsidR="00A00F01">
        <w:rPr>
          <w:rFonts w:ascii="Book Antiqua" w:hAnsi="Book Antiqua"/>
          <w:lang w:val="en-GB"/>
        </w:rPr>
        <w:t xml:space="preserve"> little to facilitate robust engagement, scrutiny</w:t>
      </w:r>
      <w:r>
        <w:rPr>
          <w:rFonts w:ascii="Book Antiqua" w:hAnsi="Book Antiqua"/>
          <w:lang w:val="en-GB"/>
        </w:rPr>
        <w:t>,</w:t>
      </w:r>
      <w:r w:rsidR="00A00F01">
        <w:rPr>
          <w:rFonts w:ascii="Book Antiqua" w:hAnsi="Book Antiqua"/>
          <w:lang w:val="en-GB"/>
        </w:rPr>
        <w:t xml:space="preserve"> or review</w:t>
      </w:r>
      <w:r w:rsidR="00C12557">
        <w:rPr>
          <w:rFonts w:ascii="Book Antiqua" w:hAnsi="Book Antiqua"/>
          <w:lang w:val="en-GB"/>
        </w:rPr>
        <w:t xml:space="preserve"> </w:t>
      </w:r>
      <w:r w:rsidR="00C46383">
        <w:rPr>
          <w:rFonts w:ascii="Book Antiqua" w:hAnsi="Book Antiqua"/>
          <w:lang w:val="en-GB"/>
        </w:rPr>
        <w:t>of</w:t>
      </w:r>
      <w:r w:rsidR="00C12557">
        <w:rPr>
          <w:rFonts w:ascii="Book Antiqua" w:hAnsi="Book Antiqua"/>
          <w:lang w:val="en-GB"/>
        </w:rPr>
        <w:t xml:space="preserve"> Charter issues</w:t>
      </w:r>
      <w:r w:rsidR="00A00F01">
        <w:rPr>
          <w:rFonts w:ascii="Book Antiqua" w:hAnsi="Book Antiqua"/>
          <w:lang w:val="en-GB"/>
        </w:rPr>
        <w:t xml:space="preserve"> by parliament.</w:t>
      </w:r>
      <w:r w:rsidR="00A00F01">
        <w:rPr>
          <w:rStyle w:val="FootnoteReference"/>
          <w:rFonts w:ascii="Book Antiqua" w:hAnsi="Book Antiqua"/>
          <w:lang w:val="en-GB"/>
        </w:rPr>
        <w:footnoteReference w:id="23"/>
      </w:r>
      <w:r w:rsidR="00A00F01">
        <w:rPr>
          <w:rFonts w:ascii="Book Antiqua" w:hAnsi="Book Antiqua"/>
          <w:lang w:val="en-GB"/>
        </w:rPr>
        <w:t xml:space="preserve"> </w:t>
      </w:r>
      <w:r w:rsidR="00251C21">
        <w:rPr>
          <w:rFonts w:ascii="Book Antiqua" w:hAnsi="Book Antiqua"/>
          <w:lang w:val="en-GB"/>
        </w:rPr>
        <w:t>T</w:t>
      </w:r>
      <w:r>
        <w:rPr>
          <w:rFonts w:ascii="Book Antiqua" w:hAnsi="Book Antiqua"/>
          <w:lang w:val="en-GB"/>
        </w:rPr>
        <w:t>he secretive nature of the internal review process makes it difficult for parliament to second guess or challenge the executive’s determination on compatibility</w:t>
      </w:r>
      <w:r w:rsidR="00E043AF">
        <w:rPr>
          <w:rFonts w:ascii="Book Antiqua" w:hAnsi="Book Antiqua"/>
          <w:lang w:val="en-GB"/>
        </w:rPr>
        <w:t xml:space="preserve"> as</w:t>
      </w:r>
      <w:r>
        <w:rPr>
          <w:rFonts w:ascii="Book Antiqua" w:hAnsi="Book Antiqua"/>
          <w:lang w:val="en-GB"/>
        </w:rPr>
        <w:t xml:space="preserve"> too lax or conservative.</w:t>
      </w:r>
      <w:r w:rsidR="00D04A3B">
        <w:rPr>
          <w:rStyle w:val="FootnoteReference"/>
          <w:rFonts w:ascii="Book Antiqua" w:hAnsi="Book Antiqua"/>
          <w:lang w:val="en-GB"/>
        </w:rPr>
        <w:footnoteReference w:id="24"/>
      </w:r>
      <w:r w:rsidR="00725C84">
        <w:rPr>
          <w:rFonts w:ascii="Book Antiqua" w:hAnsi="Book Antiqua"/>
          <w:lang w:val="en-GB"/>
        </w:rPr>
        <w:t xml:space="preserve"> </w:t>
      </w:r>
      <w:r w:rsidR="00E043AF">
        <w:rPr>
          <w:rFonts w:ascii="Book Antiqua" w:hAnsi="Book Antiqua"/>
          <w:lang w:val="en-GB"/>
        </w:rPr>
        <w:t xml:space="preserve">There is also no </w:t>
      </w:r>
      <w:r w:rsidR="00C12557">
        <w:rPr>
          <w:rFonts w:ascii="Book Antiqua" w:hAnsi="Book Antiqua"/>
          <w:lang w:val="en-GB"/>
        </w:rPr>
        <w:t xml:space="preserve">sufficiently specialised and </w:t>
      </w:r>
      <w:r w:rsidR="00D139F9">
        <w:rPr>
          <w:rFonts w:ascii="Book Antiqua" w:hAnsi="Book Antiqua"/>
          <w:lang w:val="en-GB"/>
        </w:rPr>
        <w:t>well-resourced committee</w:t>
      </w:r>
      <w:r w:rsidR="00C12557">
        <w:rPr>
          <w:rFonts w:ascii="Book Antiqua" w:hAnsi="Book Antiqua"/>
          <w:lang w:val="en-GB"/>
        </w:rPr>
        <w:t xml:space="preserve"> dedicated to constitutional issues</w:t>
      </w:r>
      <w:r w:rsidR="00D139F9">
        <w:rPr>
          <w:rFonts w:ascii="Book Antiqua" w:hAnsi="Book Antiqua"/>
          <w:lang w:val="en-GB"/>
        </w:rPr>
        <w:t>.</w:t>
      </w:r>
      <w:r w:rsidR="00D139F9">
        <w:rPr>
          <w:rStyle w:val="FootnoteReference"/>
          <w:rFonts w:ascii="Book Antiqua" w:hAnsi="Book Antiqua"/>
          <w:lang w:val="en-GB"/>
        </w:rPr>
        <w:footnoteReference w:id="25"/>
      </w:r>
      <w:r w:rsidR="00826862" w:rsidRPr="006901E1">
        <w:rPr>
          <w:rFonts w:ascii="Book Antiqua" w:hAnsi="Book Antiqua"/>
          <w:lang w:val="en-GB"/>
        </w:rPr>
        <w:t xml:space="preserve"> </w:t>
      </w:r>
      <w:r w:rsidR="00826862">
        <w:rPr>
          <w:rFonts w:ascii="Book Antiqua" w:hAnsi="Book Antiqua"/>
          <w:lang w:val="en-GB"/>
        </w:rPr>
        <w:t xml:space="preserve">Parliament thus </w:t>
      </w:r>
      <w:r w:rsidR="00826862">
        <w:rPr>
          <w:rFonts w:ascii="Book Antiqua" w:hAnsi="Book Antiqua"/>
          <w:lang w:val="en-GB"/>
        </w:rPr>
        <w:lastRenderedPageBreak/>
        <w:t>remains “on the periphery”.</w:t>
      </w:r>
      <w:r w:rsidR="00826862">
        <w:rPr>
          <w:rStyle w:val="FootnoteReference"/>
          <w:rFonts w:ascii="Book Antiqua" w:hAnsi="Book Antiqua"/>
          <w:lang w:val="en-GB"/>
        </w:rPr>
        <w:footnoteReference w:id="26"/>
      </w:r>
      <w:r w:rsidR="004C3952">
        <w:rPr>
          <w:rFonts w:ascii="Book Antiqua" w:hAnsi="Book Antiqua"/>
          <w:lang w:val="en-GB"/>
        </w:rPr>
        <w:t xml:space="preserve"> </w:t>
      </w:r>
      <w:r w:rsidR="00826862">
        <w:rPr>
          <w:rFonts w:ascii="Book Antiqua" w:hAnsi="Book Antiqua"/>
          <w:lang w:val="en-GB"/>
        </w:rPr>
        <w:t xml:space="preserve">This </w:t>
      </w:r>
      <w:r w:rsidR="00826862">
        <w:rPr>
          <w:rFonts w:ascii="Book Antiqua" w:hAnsi="Book Antiqua"/>
          <w:color w:val="000000" w:themeColor="text1"/>
        </w:rPr>
        <w:t xml:space="preserve">might improve </w:t>
      </w:r>
      <w:r w:rsidR="00F24E74" w:rsidRPr="00FA6E56">
        <w:rPr>
          <w:rFonts w:ascii="Book Antiqua" w:hAnsi="Book Antiqua"/>
          <w:color w:val="000000" w:themeColor="text1"/>
        </w:rPr>
        <w:t xml:space="preserve">somewhat </w:t>
      </w:r>
      <w:r w:rsidR="00FC390E">
        <w:rPr>
          <w:rFonts w:ascii="Book Antiqua" w:hAnsi="Book Antiqua"/>
          <w:color w:val="000000" w:themeColor="text1"/>
        </w:rPr>
        <w:t>on foot of</w:t>
      </w:r>
      <w:r w:rsidR="00F24E74" w:rsidRPr="00FA6E56">
        <w:rPr>
          <w:rFonts w:ascii="Book Antiqua" w:hAnsi="Book Antiqua"/>
          <w:color w:val="000000" w:themeColor="text1"/>
        </w:rPr>
        <w:t xml:space="preserve"> the</w:t>
      </w:r>
      <w:r w:rsidR="00FC390E">
        <w:rPr>
          <w:rFonts w:ascii="Book Antiqua" w:hAnsi="Book Antiqua"/>
          <w:color w:val="000000" w:themeColor="text1"/>
        </w:rPr>
        <w:t xml:space="preserve"> </w:t>
      </w:r>
      <w:r w:rsidR="00F24E74" w:rsidRPr="00FA6E56">
        <w:rPr>
          <w:rFonts w:ascii="Book Antiqua" w:hAnsi="Book Antiqua"/>
          <w:color w:val="000000" w:themeColor="text1"/>
        </w:rPr>
        <w:t xml:space="preserve">introduction of a </w:t>
      </w:r>
      <w:r w:rsidR="00CE5BA2">
        <w:rPr>
          <w:rFonts w:ascii="Book Antiqua" w:hAnsi="Book Antiqua"/>
          <w:color w:val="000000" w:themeColor="text1"/>
        </w:rPr>
        <w:t>B</w:t>
      </w:r>
      <w:r w:rsidR="00F24E74" w:rsidRPr="00FA6E56">
        <w:rPr>
          <w:rFonts w:ascii="Book Antiqua" w:hAnsi="Book Antiqua"/>
          <w:color w:val="000000" w:themeColor="text1"/>
        </w:rPr>
        <w:t xml:space="preserve">ill </w:t>
      </w:r>
      <w:r w:rsidR="00FC390E">
        <w:rPr>
          <w:rFonts w:ascii="Book Antiqua" w:hAnsi="Book Antiqua"/>
          <w:color w:val="000000" w:themeColor="text1"/>
        </w:rPr>
        <w:t>aimed at</w:t>
      </w:r>
      <w:r w:rsidR="00F24E74" w:rsidRPr="00FA6E56">
        <w:rPr>
          <w:rFonts w:ascii="Book Antiqua" w:hAnsi="Book Antiqua"/>
          <w:color w:val="000000" w:themeColor="text1"/>
        </w:rPr>
        <w:t xml:space="preserve"> amend</w:t>
      </w:r>
      <w:r w:rsidR="00FC390E">
        <w:rPr>
          <w:rFonts w:ascii="Book Antiqua" w:hAnsi="Book Antiqua"/>
          <w:color w:val="000000" w:themeColor="text1"/>
        </w:rPr>
        <w:t>ing</w:t>
      </w:r>
      <w:r w:rsidR="00F24E74" w:rsidRPr="00FA6E56">
        <w:rPr>
          <w:rFonts w:ascii="Book Antiqua" w:hAnsi="Book Antiqua"/>
          <w:color w:val="000000" w:themeColor="text1"/>
        </w:rPr>
        <w:t xml:space="preserve"> the reporting duties of the Minister for Justice</w:t>
      </w:r>
      <w:r w:rsidR="005634F9">
        <w:rPr>
          <w:rFonts w:ascii="Book Antiqua" w:hAnsi="Book Antiqua"/>
          <w:color w:val="000000" w:themeColor="text1"/>
        </w:rPr>
        <w:t xml:space="preserve">, making it mandatory to publish statements about </w:t>
      </w:r>
      <w:r w:rsidR="005634F9" w:rsidRPr="00F603FC">
        <w:rPr>
          <w:rFonts w:ascii="Book Antiqua" w:hAnsi="Book Antiqua"/>
          <w:i/>
          <w:color w:val="000000" w:themeColor="text1"/>
        </w:rPr>
        <w:t>consistency</w:t>
      </w:r>
      <w:r w:rsidR="005634F9">
        <w:rPr>
          <w:rFonts w:ascii="Book Antiqua" w:hAnsi="Book Antiqua"/>
          <w:color w:val="000000" w:themeColor="text1"/>
        </w:rPr>
        <w:t xml:space="preserve">, not merely conclusions of </w:t>
      </w:r>
      <w:r w:rsidR="005634F9" w:rsidRPr="00F603FC">
        <w:rPr>
          <w:rFonts w:ascii="Book Antiqua" w:hAnsi="Book Antiqua"/>
          <w:i/>
          <w:color w:val="000000" w:themeColor="text1"/>
        </w:rPr>
        <w:t>inconsistency</w:t>
      </w:r>
      <w:r w:rsidR="005634F9">
        <w:rPr>
          <w:rFonts w:ascii="Book Antiqua" w:hAnsi="Book Antiqua"/>
          <w:i/>
          <w:color w:val="000000" w:themeColor="text1"/>
        </w:rPr>
        <w:t>.</w:t>
      </w:r>
      <w:r w:rsidR="001B1082" w:rsidRPr="00A12384">
        <w:rPr>
          <w:rStyle w:val="FootnoteReference"/>
          <w:rFonts w:ascii="Book Antiqua" w:eastAsia="Times New Roman" w:hAnsi="Book Antiqua"/>
          <w:color w:val="333333"/>
          <w:lang w:val="en"/>
        </w:rPr>
        <w:footnoteReference w:id="27"/>
      </w:r>
      <w:r w:rsidR="00F24E74" w:rsidRPr="00FA6E56">
        <w:rPr>
          <w:rFonts w:ascii="Book Antiqua" w:hAnsi="Book Antiqua"/>
          <w:color w:val="000000" w:themeColor="text1"/>
        </w:rPr>
        <w:t xml:space="preserve"> </w:t>
      </w:r>
      <w:r w:rsidR="001B1082" w:rsidRPr="00FC390E" w:rsidDel="001B1082">
        <w:rPr>
          <w:rFonts w:ascii="Book Antiqua" w:eastAsia="Times New Roman" w:hAnsi="Book Antiqua"/>
          <w:bCs/>
          <w:color w:val="333333"/>
          <w:lang w:val="en"/>
        </w:rPr>
        <w:t xml:space="preserve"> </w:t>
      </w:r>
    </w:p>
    <w:p w14:paraId="5C4EFA9D" w14:textId="77777777" w:rsidR="001C62CC" w:rsidRDefault="001C62CC" w:rsidP="00A36A90">
      <w:pPr>
        <w:spacing w:line="360" w:lineRule="auto"/>
        <w:jc w:val="both"/>
        <w:rPr>
          <w:rFonts w:ascii="Book Antiqua" w:eastAsia="Times New Roman" w:hAnsi="Book Antiqua"/>
          <w:b/>
          <w:color w:val="000000" w:themeColor="text1"/>
          <w:shd w:val="clear" w:color="auto" w:fill="FFFFFF"/>
        </w:rPr>
      </w:pPr>
    </w:p>
    <w:p w14:paraId="4F2BA453" w14:textId="3B2C0164" w:rsidR="00ED7E4B" w:rsidRDefault="005634F9" w:rsidP="00826862">
      <w:pPr>
        <w:spacing w:line="360" w:lineRule="auto"/>
        <w:jc w:val="both"/>
        <w:rPr>
          <w:rFonts w:ascii="Book Antiqua" w:hAnsi="Book Antiqua"/>
        </w:rPr>
      </w:pPr>
      <w:r>
        <w:rPr>
          <w:rFonts w:ascii="Book Antiqua" w:hAnsi="Book Antiqua"/>
        </w:rPr>
        <w:t xml:space="preserve">The Canadian example also shows little evidence of escaping the </w:t>
      </w:r>
      <w:r w:rsidR="00CA6BFF">
        <w:rPr>
          <w:rFonts w:ascii="Book Antiqua" w:hAnsi="Book Antiqua"/>
        </w:rPr>
        <w:t>limitations</w:t>
      </w:r>
      <w:r w:rsidR="00C2758C">
        <w:rPr>
          <w:rFonts w:ascii="Book Antiqua" w:hAnsi="Book Antiqua"/>
        </w:rPr>
        <w:t xml:space="preserve"> </w:t>
      </w:r>
      <w:r w:rsidR="003646DE">
        <w:rPr>
          <w:rFonts w:ascii="Book Antiqua" w:hAnsi="Book Antiqua"/>
        </w:rPr>
        <w:t>associated with</w:t>
      </w:r>
      <w:r w:rsidR="00C2758C">
        <w:rPr>
          <w:rFonts w:ascii="Book Antiqua" w:hAnsi="Book Antiqua"/>
        </w:rPr>
        <w:t xml:space="preserve"> judicial reasoning. </w:t>
      </w:r>
      <w:r w:rsidR="003F01C9" w:rsidRPr="007F5D55">
        <w:rPr>
          <w:rFonts w:ascii="Book Antiqua" w:hAnsi="Book Antiqua"/>
        </w:rPr>
        <w:t xml:space="preserve">Although the executive has a specified role over constitutional review at the pre-enactment stage, it largely accepts judicial interpretation of </w:t>
      </w:r>
      <w:r w:rsidR="003F01C9" w:rsidRPr="00735395">
        <w:rPr>
          <w:rFonts w:ascii="Book Antiqua" w:hAnsi="Book Antiqua"/>
        </w:rPr>
        <w:t>Charter</w:t>
      </w:r>
      <w:r w:rsidR="003F01C9" w:rsidRPr="007F5D55">
        <w:rPr>
          <w:rFonts w:ascii="Book Antiqua" w:hAnsi="Book Antiqua"/>
          <w:i/>
        </w:rPr>
        <w:t xml:space="preserve"> </w:t>
      </w:r>
      <w:r w:rsidR="00CA6BFF">
        <w:rPr>
          <w:rFonts w:ascii="Book Antiqua" w:hAnsi="Book Antiqua"/>
        </w:rPr>
        <w:t>commitments.</w:t>
      </w:r>
      <w:r w:rsidR="00826862">
        <w:rPr>
          <w:rFonts w:ascii="Book Antiqua" w:hAnsi="Book Antiqua"/>
        </w:rPr>
        <w:t xml:space="preserve"> Canadian pre-enactment review is dominated </w:t>
      </w:r>
      <w:r w:rsidR="00C762C3" w:rsidRPr="00794D28">
        <w:rPr>
          <w:rFonts w:ascii="Book Antiqua" w:hAnsi="Book Antiqua"/>
        </w:rPr>
        <w:t xml:space="preserve">by the </w:t>
      </w:r>
      <w:r w:rsidR="00C762C3">
        <w:rPr>
          <w:rFonts w:ascii="Book Antiqua" w:hAnsi="Book Antiqua"/>
        </w:rPr>
        <w:t>“</w:t>
      </w:r>
      <w:r w:rsidR="00C762C3" w:rsidRPr="00794D28">
        <w:rPr>
          <w:rFonts w:ascii="Book Antiqua" w:hAnsi="Book Antiqua"/>
        </w:rPr>
        <w:t>advice and influence of government lawyers who systematically assess bills</w:t>
      </w:r>
      <w:r w:rsidR="00F24E74">
        <w:rPr>
          <w:rFonts w:ascii="Book Antiqua" w:hAnsi="Book Antiqua"/>
        </w:rPr>
        <w:t>…</w:t>
      </w:r>
      <w:r w:rsidR="00C762C3" w:rsidRPr="00794D28">
        <w:rPr>
          <w:rFonts w:ascii="Book Antiqua" w:hAnsi="Book Antiqua"/>
        </w:rPr>
        <w:t xml:space="preserve"> based on their interpretation of relevant jurisprudence.”</w:t>
      </w:r>
      <w:r w:rsidR="00C352C0">
        <w:rPr>
          <w:rStyle w:val="FootnoteReference"/>
          <w:rFonts w:ascii="Book Antiqua" w:hAnsi="Book Antiqua"/>
        </w:rPr>
        <w:footnoteReference w:id="28"/>
      </w:r>
      <w:r w:rsidR="00C762C3" w:rsidRPr="00794D28">
        <w:rPr>
          <w:rFonts w:ascii="Book Antiqua" w:hAnsi="Book Antiqua"/>
        </w:rPr>
        <w:t xml:space="preserve"> </w:t>
      </w:r>
    </w:p>
    <w:p w14:paraId="7B019A8A" w14:textId="77777777" w:rsidR="00CE16AF" w:rsidRPr="00A36A90" w:rsidRDefault="00CE16AF" w:rsidP="00F603FC">
      <w:pPr>
        <w:rPr>
          <w:lang w:val="en-GB"/>
        </w:rPr>
      </w:pPr>
    </w:p>
    <w:p w14:paraId="64EEFF6D" w14:textId="39E4906C" w:rsidR="00794665" w:rsidRDefault="003F01C9" w:rsidP="008E096D">
      <w:pPr>
        <w:spacing w:line="360" w:lineRule="auto"/>
        <w:jc w:val="both"/>
        <w:rPr>
          <w:rFonts w:ascii="Book Antiqua" w:hAnsi="Book Antiqua"/>
        </w:rPr>
      </w:pPr>
      <w:r w:rsidRPr="00DA193D">
        <w:rPr>
          <w:rFonts w:ascii="Book Antiqua" w:hAnsi="Book Antiqua"/>
        </w:rPr>
        <w:t>New Zealand was the first jurisdiction to borrow the Canadian practice of political rights review</w:t>
      </w:r>
      <w:r w:rsidR="00644C92">
        <w:rPr>
          <w:rFonts w:ascii="Book Antiqua" w:hAnsi="Book Antiqua"/>
        </w:rPr>
        <w:t>, and displays similar failings</w:t>
      </w:r>
      <w:r w:rsidRPr="00DA193D">
        <w:rPr>
          <w:rFonts w:ascii="Book Antiqua" w:hAnsi="Book Antiqua"/>
        </w:rPr>
        <w:t>. Under the New Zealand Bill of Rights Act</w:t>
      </w:r>
      <w:r w:rsidR="003E0CBE">
        <w:rPr>
          <w:rFonts w:ascii="Book Antiqua" w:hAnsi="Book Antiqua"/>
        </w:rPr>
        <w:t xml:space="preserve"> (“</w:t>
      </w:r>
      <w:r w:rsidR="003E0CBE" w:rsidRPr="00A36A90">
        <w:rPr>
          <w:rFonts w:ascii="Book Antiqua" w:hAnsi="Book Antiqua"/>
        </w:rPr>
        <w:t>NZBORA</w:t>
      </w:r>
      <w:r w:rsidR="003E0CBE">
        <w:rPr>
          <w:rFonts w:ascii="Book Antiqua" w:hAnsi="Book Antiqua"/>
        </w:rPr>
        <w:t>”)</w:t>
      </w:r>
      <w:r w:rsidRPr="00DA193D">
        <w:rPr>
          <w:rFonts w:ascii="Book Antiqua" w:hAnsi="Book Antiqua"/>
        </w:rPr>
        <w:t xml:space="preserve">, rights would be protected by a mixture of political pre-enactment review and limited post-enactment judicial review. </w:t>
      </w:r>
      <w:r w:rsidR="000C76E6">
        <w:rPr>
          <w:rFonts w:ascii="Book Antiqua" w:hAnsi="Book Antiqua"/>
        </w:rPr>
        <w:t>S</w:t>
      </w:r>
      <w:r w:rsidRPr="00DA193D">
        <w:rPr>
          <w:rFonts w:ascii="Book Antiqua" w:hAnsi="Book Antiqua"/>
        </w:rPr>
        <w:t xml:space="preserve">ection 7 of the </w:t>
      </w:r>
      <w:r w:rsidR="003E0CBE">
        <w:rPr>
          <w:rFonts w:ascii="Book Antiqua" w:hAnsi="Book Antiqua"/>
        </w:rPr>
        <w:t>NZBORA</w:t>
      </w:r>
      <w:r w:rsidRPr="00DA193D">
        <w:rPr>
          <w:rFonts w:ascii="Book Antiqua" w:hAnsi="Book Antiqua"/>
        </w:rPr>
        <w:t xml:space="preserve"> requires that the Attorney-General </w:t>
      </w:r>
      <w:proofErr w:type="gramStart"/>
      <w:r w:rsidRPr="00DA193D">
        <w:rPr>
          <w:rFonts w:ascii="Book Antiqua" w:hAnsi="Book Antiqua"/>
        </w:rPr>
        <w:t>advise</w:t>
      </w:r>
      <w:proofErr w:type="gramEnd"/>
      <w:r w:rsidRPr="00DA193D">
        <w:rPr>
          <w:rFonts w:ascii="Book Antiqua" w:hAnsi="Book Antiqua"/>
        </w:rPr>
        <w:t xml:space="preserve"> parliament when bills are not consistent with its provisions. </w:t>
      </w:r>
      <w:r w:rsidR="008E096D">
        <w:rPr>
          <w:rFonts w:ascii="Book Antiqua" w:hAnsi="Book Antiqua"/>
        </w:rPr>
        <w:t>T</w:t>
      </w:r>
      <w:r w:rsidRPr="00DA193D">
        <w:rPr>
          <w:rFonts w:ascii="Book Antiqua" w:hAnsi="Book Antiqua"/>
          <w:shd w:val="clear" w:color="auto" w:fill="FFFFFF"/>
        </w:rPr>
        <w:t>he Attorney</w:t>
      </w:r>
      <w:r w:rsidR="00EC3E38">
        <w:rPr>
          <w:rFonts w:ascii="Book Antiqua" w:hAnsi="Book Antiqua"/>
          <w:shd w:val="clear" w:color="auto" w:fill="FFFFFF"/>
        </w:rPr>
        <w:t xml:space="preserve"> </w:t>
      </w:r>
      <w:r w:rsidRPr="00DA193D">
        <w:rPr>
          <w:rFonts w:ascii="Book Antiqua" w:hAnsi="Book Antiqua"/>
          <w:shd w:val="clear" w:color="auto" w:fill="FFFFFF"/>
        </w:rPr>
        <w:t>General certif</w:t>
      </w:r>
      <w:r w:rsidR="008E096D">
        <w:rPr>
          <w:rFonts w:ascii="Book Antiqua" w:hAnsi="Book Antiqua"/>
          <w:shd w:val="clear" w:color="auto" w:fill="FFFFFF"/>
        </w:rPr>
        <w:t>ies</w:t>
      </w:r>
      <w:r w:rsidRPr="00DA193D">
        <w:rPr>
          <w:rFonts w:ascii="Book Antiqua" w:hAnsi="Book Antiqua"/>
          <w:shd w:val="clear" w:color="auto" w:fill="FFFFFF"/>
        </w:rPr>
        <w:t xml:space="preserve"> the bill’s compatibility or outline reasons for its incompatibility under the reporting requirement of s.7.</w:t>
      </w:r>
      <w:r w:rsidR="008E096D">
        <w:rPr>
          <w:rFonts w:ascii="Book Antiqua" w:hAnsi="Book Antiqua"/>
          <w:shd w:val="clear" w:color="auto" w:fill="FFFFFF"/>
        </w:rPr>
        <w:t xml:space="preserve"> P</w:t>
      </w:r>
      <w:r w:rsidRPr="00DA193D">
        <w:rPr>
          <w:rFonts w:ascii="Book Antiqua" w:hAnsi="Book Antiqua"/>
          <w:shd w:val="clear" w:color="auto" w:fill="FFFFFF"/>
        </w:rPr>
        <w:t xml:space="preserve">arliamentary scrutiny </w:t>
      </w:r>
      <w:r w:rsidR="008E096D">
        <w:rPr>
          <w:rFonts w:ascii="Book Antiqua" w:hAnsi="Book Antiqua"/>
          <w:shd w:val="clear" w:color="auto" w:fill="FFFFFF"/>
        </w:rPr>
        <w:t xml:space="preserve">can </w:t>
      </w:r>
      <w:proofErr w:type="gramStart"/>
      <w:r w:rsidR="008E096D">
        <w:rPr>
          <w:rFonts w:ascii="Book Antiqua" w:hAnsi="Book Antiqua"/>
          <w:shd w:val="clear" w:color="auto" w:fill="FFFFFF"/>
        </w:rPr>
        <w:t xml:space="preserve">follow </w:t>
      </w:r>
      <w:r w:rsidRPr="00DA193D">
        <w:rPr>
          <w:rFonts w:ascii="Book Antiqua" w:hAnsi="Book Antiqua"/>
          <w:shd w:val="clear" w:color="auto" w:fill="FFFFFF"/>
        </w:rPr>
        <w:t>after</w:t>
      </w:r>
      <w:proofErr w:type="gramEnd"/>
      <w:r w:rsidRPr="00DA193D">
        <w:rPr>
          <w:rFonts w:ascii="Book Antiqua" w:hAnsi="Book Antiqua"/>
          <w:shd w:val="clear" w:color="auto" w:fill="FFFFFF"/>
        </w:rPr>
        <w:t xml:space="preserve"> a bill’s formal introduction to parliament. </w:t>
      </w:r>
      <w:r w:rsidR="00DA193D">
        <w:rPr>
          <w:rFonts w:ascii="Book Antiqua" w:hAnsi="Book Antiqua"/>
        </w:rPr>
        <w:t xml:space="preserve"> </w:t>
      </w:r>
      <w:r w:rsidR="009839B9">
        <w:rPr>
          <w:rFonts w:ascii="Book Antiqua" w:hAnsi="Book Antiqua"/>
          <w:shd w:val="clear" w:color="auto" w:fill="FFFFFF"/>
        </w:rPr>
        <w:t>T</w:t>
      </w:r>
      <w:r w:rsidR="009839B9" w:rsidRPr="00DA193D">
        <w:rPr>
          <w:rFonts w:ascii="Book Antiqua" w:hAnsi="Book Antiqua"/>
          <w:shd w:val="clear" w:color="auto" w:fill="FFFFFF"/>
        </w:rPr>
        <w:t>he government has since 2003 chosen to make available the advice provided to the Attorney-General on draft bills.</w:t>
      </w:r>
      <w:r w:rsidR="009839B9" w:rsidRPr="007626A0">
        <w:rPr>
          <w:rStyle w:val="FootnoteReference"/>
          <w:rFonts w:ascii="Book Antiqua" w:hAnsi="Book Antiqua"/>
          <w:shd w:val="clear" w:color="auto" w:fill="FFFFFF"/>
        </w:rPr>
        <w:footnoteReference w:id="29"/>
      </w:r>
    </w:p>
    <w:p w14:paraId="3244F1F0" w14:textId="77777777" w:rsidR="0092702F" w:rsidRDefault="0092702F" w:rsidP="00DA193D">
      <w:pPr>
        <w:spacing w:line="360" w:lineRule="auto"/>
        <w:jc w:val="both"/>
        <w:rPr>
          <w:rFonts w:ascii="Book Antiqua" w:hAnsi="Book Antiqua"/>
        </w:rPr>
      </w:pPr>
    </w:p>
    <w:p w14:paraId="6C06629F" w14:textId="75D04A63" w:rsidR="00794665" w:rsidRDefault="0092702F" w:rsidP="00DA193D">
      <w:pPr>
        <w:spacing w:line="360" w:lineRule="auto"/>
        <w:jc w:val="both"/>
        <w:rPr>
          <w:rFonts w:ascii="Book Antiqua" w:hAnsi="Book Antiqua"/>
          <w:shd w:val="clear" w:color="auto" w:fill="FFFFFF"/>
        </w:rPr>
      </w:pPr>
      <w:r>
        <w:rPr>
          <w:rFonts w:ascii="Book Antiqua" w:hAnsi="Book Antiqua"/>
        </w:rPr>
        <w:t>T</w:t>
      </w:r>
      <w:r w:rsidRPr="00DA193D">
        <w:rPr>
          <w:rFonts w:ascii="Book Antiqua" w:hAnsi="Book Antiqua"/>
          <w:shd w:val="clear" w:color="auto" w:fill="FFFFFF"/>
        </w:rPr>
        <w:t>he combination of tiers of executive review,</w:t>
      </w:r>
      <w:r>
        <w:rPr>
          <w:rFonts w:ascii="Book Antiqua" w:hAnsi="Book Antiqua"/>
          <w:shd w:val="clear" w:color="auto" w:fill="FFFFFF"/>
        </w:rPr>
        <w:t xml:space="preserve"> </w:t>
      </w:r>
      <w:r w:rsidRPr="00DA193D">
        <w:rPr>
          <w:rFonts w:ascii="Book Antiqua" w:hAnsi="Book Antiqua"/>
          <w:shd w:val="clear" w:color="auto" w:fill="FFFFFF"/>
        </w:rPr>
        <w:t xml:space="preserve">the s.7 reporting requirement, and the frequent publication of legal advice for bills considered consistent with the NZBORA for wider scrutiny all help ensure that rights implications are taken into </w:t>
      </w:r>
      <w:r>
        <w:rPr>
          <w:rFonts w:ascii="Book Antiqua" w:hAnsi="Book Antiqua"/>
          <w:shd w:val="clear" w:color="auto" w:fill="FFFFFF"/>
        </w:rPr>
        <w:t xml:space="preserve">serious </w:t>
      </w:r>
      <w:r w:rsidRPr="00DA193D">
        <w:rPr>
          <w:rFonts w:ascii="Book Antiqua" w:hAnsi="Book Antiqua"/>
          <w:shd w:val="clear" w:color="auto" w:fill="FFFFFF"/>
        </w:rPr>
        <w:t xml:space="preserve">account during the drafting process. </w:t>
      </w:r>
      <w:r>
        <w:rPr>
          <w:rFonts w:ascii="Book Antiqua" w:hAnsi="Book Antiqua"/>
          <w:shd w:val="clear" w:color="auto" w:fill="FFFFFF"/>
        </w:rPr>
        <w:t>Moreover, the s.7 reporting requirement</w:t>
      </w:r>
      <w:r w:rsidRPr="00DA193D">
        <w:rPr>
          <w:rFonts w:ascii="Book Antiqua" w:hAnsi="Book Antiqua"/>
          <w:shd w:val="clear" w:color="auto" w:fill="FFFFFF"/>
        </w:rPr>
        <w:t xml:space="preserve"> and the </w:t>
      </w:r>
      <w:r w:rsidRPr="00DA193D">
        <w:rPr>
          <w:rFonts w:ascii="Book Antiqua" w:hAnsi="Book Antiqua"/>
          <w:shd w:val="clear" w:color="auto" w:fill="FFFFFF"/>
        </w:rPr>
        <w:lastRenderedPageBreak/>
        <w:t>government’s willingness to</w:t>
      </w:r>
      <w:r>
        <w:rPr>
          <w:rFonts w:ascii="Book Antiqua" w:hAnsi="Book Antiqua"/>
          <w:shd w:val="clear" w:color="auto" w:fill="FFFFFF"/>
        </w:rPr>
        <w:t xml:space="preserve"> publicly</w:t>
      </w:r>
      <w:r w:rsidRPr="00DA193D">
        <w:rPr>
          <w:rFonts w:ascii="Book Antiqua" w:hAnsi="Book Antiqua"/>
          <w:shd w:val="clear" w:color="auto" w:fill="FFFFFF"/>
        </w:rPr>
        <w:t xml:space="preserve"> disclose the legal basis for its assessments also helps facilitate</w:t>
      </w:r>
      <w:r>
        <w:rPr>
          <w:rFonts w:ascii="Book Antiqua" w:hAnsi="Book Antiqua"/>
          <w:shd w:val="clear" w:color="auto" w:fill="FFFFFF"/>
        </w:rPr>
        <w:t xml:space="preserve"> greater transparency and</w:t>
      </w:r>
      <w:r w:rsidRPr="00DA193D">
        <w:rPr>
          <w:rFonts w:ascii="Book Antiqua" w:hAnsi="Book Antiqua"/>
          <w:shd w:val="clear" w:color="auto" w:fill="FFFFFF"/>
        </w:rPr>
        <w:t xml:space="preserve"> deliberation on rights issues</w:t>
      </w:r>
      <w:r>
        <w:rPr>
          <w:rFonts w:ascii="Book Antiqua" w:hAnsi="Book Antiqua"/>
          <w:shd w:val="clear" w:color="auto" w:fill="FFFFFF"/>
        </w:rPr>
        <w:t xml:space="preserve"> than if the process were highly confidential and secretive.</w:t>
      </w:r>
    </w:p>
    <w:p w14:paraId="68709D9E" w14:textId="78653459" w:rsidR="0092702F" w:rsidRDefault="0092702F" w:rsidP="00DA193D">
      <w:pPr>
        <w:spacing w:line="360" w:lineRule="auto"/>
        <w:jc w:val="both"/>
        <w:rPr>
          <w:rFonts w:ascii="Book Antiqua" w:hAnsi="Book Antiqua"/>
        </w:rPr>
      </w:pPr>
    </w:p>
    <w:p w14:paraId="67A3C7B0" w14:textId="04079001" w:rsidR="0092702F" w:rsidRDefault="0092702F" w:rsidP="00A03DC7">
      <w:pPr>
        <w:spacing w:line="360" w:lineRule="auto"/>
        <w:jc w:val="both"/>
        <w:rPr>
          <w:rFonts w:ascii="Book Antiqua" w:hAnsi="Book Antiqua"/>
        </w:rPr>
      </w:pPr>
      <w:r>
        <w:rPr>
          <w:rFonts w:ascii="Book Antiqua" w:hAnsi="Book Antiqua"/>
          <w:shd w:val="clear" w:color="auto" w:fill="FFFFFF"/>
        </w:rPr>
        <w:t xml:space="preserve">However, in </w:t>
      </w:r>
      <w:r w:rsidRPr="00A12384">
        <w:rPr>
          <w:rFonts w:ascii="Book Antiqua" w:hAnsi="Book Antiqua"/>
          <w:shd w:val="clear" w:color="auto" w:fill="FFFFFF"/>
        </w:rPr>
        <w:t>practice the efficacy of New Zealand’s system of pre-enactment review has been questioned. The fact that parliament has legislated in the face of an adverse section 7 reports 90% of the time has led some commentators to assert that the impact of the Bill of Rights on parliamentary behavior “is so minimal in nature as to be almost irrelevant”.</w:t>
      </w:r>
      <w:r w:rsidRPr="00A12384">
        <w:rPr>
          <w:rStyle w:val="FootnoteReference"/>
          <w:rFonts w:ascii="Book Antiqua" w:hAnsi="Book Antiqua"/>
          <w:shd w:val="clear" w:color="auto" w:fill="FFFFFF"/>
        </w:rPr>
        <w:footnoteReference w:id="30"/>
      </w:r>
      <w:r w:rsidRPr="00A12384">
        <w:rPr>
          <w:rFonts w:ascii="Book Antiqua" w:hAnsi="Book Antiqua"/>
          <w:shd w:val="clear" w:color="auto" w:fill="FFFFFF"/>
        </w:rPr>
        <w:t xml:space="preserve"> </w:t>
      </w:r>
      <w:r w:rsidRPr="00DA193D">
        <w:rPr>
          <w:rFonts w:ascii="Book Antiqua" w:hAnsi="Book Antiqua"/>
          <w:shd w:val="clear" w:color="auto" w:fill="FFFFFF"/>
        </w:rPr>
        <w:t>These lopsided figures are partly explained by the fact that if the executive enjoys a reliable majority then it can invariably whip its party deputies to vote in line with a bill, regardless of its rights implications</w:t>
      </w:r>
      <w:r>
        <w:rPr>
          <w:rFonts w:ascii="Book Antiqua" w:hAnsi="Book Antiqua"/>
          <w:shd w:val="clear" w:color="auto" w:fill="FFFFFF"/>
        </w:rPr>
        <w:t>.</w:t>
      </w:r>
      <w:r>
        <w:rPr>
          <w:rStyle w:val="FootnoteReference"/>
          <w:rFonts w:ascii="Book Antiqua" w:hAnsi="Book Antiqua"/>
        </w:rPr>
        <w:footnoteReference w:id="31"/>
      </w:r>
      <w:r>
        <w:rPr>
          <w:rFonts w:ascii="Book Antiqua" w:hAnsi="Book Antiqua"/>
        </w:rPr>
        <w:t xml:space="preserve"> Additionally, factors such as</w:t>
      </w:r>
      <w:r>
        <w:rPr>
          <w:rFonts w:ascii="Book Antiqua" w:hAnsi="Book Antiqua"/>
          <w:lang w:val="en-GB"/>
        </w:rPr>
        <w:t xml:space="preserve"> unicameralism and a lack of a strong parliamentary committee system may narrow the space for parliamentary contestation or review of executive policies which might implicate rights adversely.</w:t>
      </w:r>
      <w:r>
        <w:rPr>
          <w:rStyle w:val="FootnoteReference"/>
          <w:rFonts w:ascii="Book Antiqua" w:hAnsi="Book Antiqua"/>
          <w:lang w:val="en-GB"/>
        </w:rPr>
        <w:footnoteReference w:id="32"/>
      </w:r>
    </w:p>
    <w:p w14:paraId="0EC36B5C" w14:textId="77777777" w:rsidR="0092702F" w:rsidRDefault="0092702F" w:rsidP="00DA193D">
      <w:pPr>
        <w:spacing w:line="360" w:lineRule="auto"/>
        <w:jc w:val="both"/>
        <w:rPr>
          <w:rFonts w:ascii="Book Antiqua" w:hAnsi="Book Antiqua"/>
        </w:rPr>
      </w:pPr>
    </w:p>
    <w:p w14:paraId="1BB0C9A4" w14:textId="276CC2F0" w:rsidR="003F01C9" w:rsidRPr="00DA193D" w:rsidRDefault="003F01C9" w:rsidP="00DA193D">
      <w:pPr>
        <w:spacing w:line="360" w:lineRule="auto"/>
        <w:jc w:val="both"/>
        <w:rPr>
          <w:rFonts w:ascii="Book Antiqua" w:hAnsi="Book Antiqua"/>
        </w:rPr>
      </w:pPr>
      <w:r w:rsidRPr="00DA193D">
        <w:rPr>
          <w:rFonts w:ascii="Book Antiqua" w:hAnsi="Book Antiqua"/>
          <w:shd w:val="clear" w:color="auto" w:fill="FFFFFF"/>
        </w:rPr>
        <w:t xml:space="preserve">Like Canada, </w:t>
      </w:r>
      <w:r w:rsidRPr="00DA193D">
        <w:rPr>
          <w:rFonts w:ascii="Book Antiqua" w:hAnsi="Book Antiqua"/>
        </w:rPr>
        <w:t xml:space="preserve">the process for evaluating bills </w:t>
      </w:r>
      <w:r w:rsidR="00794665">
        <w:rPr>
          <w:rFonts w:ascii="Book Antiqua" w:hAnsi="Book Antiqua"/>
        </w:rPr>
        <w:t>by executive branch lawyers</w:t>
      </w:r>
      <w:r w:rsidR="00025974">
        <w:rPr>
          <w:rFonts w:ascii="Book Antiqua" w:hAnsi="Book Antiqua"/>
        </w:rPr>
        <w:t xml:space="preserve"> is court-mimicking,</w:t>
      </w:r>
      <w:r w:rsidRPr="00DA193D">
        <w:rPr>
          <w:rFonts w:ascii="Book Antiqua" w:hAnsi="Book Antiqua"/>
        </w:rPr>
        <w:t xml:space="preserve"> </w:t>
      </w:r>
      <w:r w:rsidR="00025974">
        <w:rPr>
          <w:rFonts w:ascii="Book Antiqua" w:hAnsi="Book Antiqua"/>
        </w:rPr>
        <w:t xml:space="preserve">having </w:t>
      </w:r>
      <w:r w:rsidRPr="00DA193D">
        <w:rPr>
          <w:rFonts w:ascii="Book Antiqua" w:hAnsi="Book Antiqua"/>
        </w:rPr>
        <w:t>been described as “highly legalistic” and involves Government lawyers basing their “assessments on interpretation of relevant jurisprudence and on expectations of what courts might say.”</w:t>
      </w:r>
      <w:r w:rsidR="003F754B">
        <w:rPr>
          <w:rStyle w:val="FootnoteReference"/>
          <w:rFonts w:ascii="Book Antiqua" w:hAnsi="Book Antiqua"/>
        </w:rPr>
        <w:footnoteReference w:id="33"/>
      </w:r>
      <w:r w:rsidRPr="00DA193D">
        <w:rPr>
          <w:rFonts w:ascii="Book Antiqua" w:hAnsi="Book Antiqua"/>
        </w:rPr>
        <w:t xml:space="preserve"> </w:t>
      </w:r>
    </w:p>
    <w:p w14:paraId="5C581591" w14:textId="3F30969E" w:rsidR="00121BA7" w:rsidRPr="00121BA7" w:rsidRDefault="00121BA7" w:rsidP="00FE2610">
      <w:pPr>
        <w:spacing w:line="360" w:lineRule="auto"/>
        <w:jc w:val="both"/>
        <w:rPr>
          <w:rFonts w:ascii="Book Antiqua" w:hAnsi="Book Antiqua"/>
        </w:rPr>
      </w:pPr>
    </w:p>
    <w:p w14:paraId="68D74239" w14:textId="1603184B" w:rsidR="003F01C9" w:rsidRPr="003A7B3F" w:rsidRDefault="00205D69" w:rsidP="00943CC4">
      <w:pPr>
        <w:spacing w:line="360" w:lineRule="auto"/>
        <w:jc w:val="both"/>
        <w:rPr>
          <w:rFonts w:ascii="Book Antiqua" w:hAnsi="Book Antiqua"/>
          <w:shd w:val="clear" w:color="auto" w:fill="FFFFFF"/>
        </w:rPr>
      </w:pPr>
      <w:r>
        <w:rPr>
          <w:rFonts w:ascii="Book Antiqua" w:hAnsi="Book Antiqua"/>
        </w:rPr>
        <w:t>In the UK,</w:t>
      </w:r>
      <w:r>
        <w:rPr>
          <w:rFonts w:ascii="Book Antiqua" w:hAnsi="Book Antiqua"/>
          <w:shd w:val="clear" w:color="auto" w:fill="FFFFFF"/>
        </w:rPr>
        <w:t xml:space="preserve"> u</w:t>
      </w:r>
      <w:r w:rsidR="003F01C9" w:rsidRPr="001A0E0F">
        <w:rPr>
          <w:rFonts w:ascii="Book Antiqua" w:hAnsi="Book Antiqua"/>
          <w:shd w:val="clear" w:color="auto" w:fill="FFFFFF"/>
        </w:rPr>
        <w:t xml:space="preserve">nder section 19 of the Human Rights Act 1998, a Minister is obliged to make a statement accompanying every bill </w:t>
      </w:r>
      <w:r w:rsidR="00F80F9D">
        <w:rPr>
          <w:rFonts w:ascii="Book Antiqua" w:hAnsi="Book Antiqua"/>
          <w:shd w:val="clear" w:color="auto" w:fill="FFFFFF"/>
        </w:rPr>
        <w:t>her</w:t>
      </w:r>
      <w:r w:rsidR="00F80F9D" w:rsidRPr="001A0E0F">
        <w:rPr>
          <w:rFonts w:ascii="Book Antiqua" w:hAnsi="Book Antiqua"/>
          <w:shd w:val="clear" w:color="auto" w:fill="FFFFFF"/>
        </w:rPr>
        <w:t xml:space="preserve"> </w:t>
      </w:r>
      <w:r w:rsidR="003F01C9" w:rsidRPr="001A0E0F">
        <w:rPr>
          <w:rFonts w:ascii="Book Antiqua" w:hAnsi="Book Antiqua"/>
          <w:shd w:val="clear" w:color="auto" w:fill="FFFFFF"/>
        </w:rPr>
        <w:t>department sponsors as to its rights compliance.</w:t>
      </w:r>
      <w:r w:rsidR="00684465">
        <w:rPr>
          <w:rFonts w:ascii="Book Antiqua" w:hAnsi="Book Antiqua"/>
          <w:shd w:val="clear" w:color="auto" w:fill="FFFFFF"/>
        </w:rPr>
        <w:t xml:space="preserve"> </w:t>
      </w:r>
      <w:r w:rsidR="003F01C9" w:rsidRPr="003A7B3F">
        <w:rPr>
          <w:rFonts w:ascii="Book Antiqua" w:hAnsi="Book Antiqua"/>
          <w:shd w:val="clear" w:color="auto" w:fill="FFFFFF"/>
        </w:rPr>
        <w:t>The process involves collaboration between the sponsoring departments’ legal and policy advisors with legal officers in the Attorney General’s Office, Cabinet’s Legislation Committee</w:t>
      </w:r>
      <w:r w:rsidR="00644F60">
        <w:rPr>
          <w:rFonts w:ascii="Book Antiqua" w:hAnsi="Book Antiqua"/>
          <w:shd w:val="clear" w:color="auto" w:fill="FFFFFF"/>
        </w:rPr>
        <w:t xml:space="preserve"> (“</w:t>
      </w:r>
      <w:r w:rsidR="00644F60" w:rsidRPr="00A36A90">
        <w:rPr>
          <w:rFonts w:ascii="Book Antiqua" w:hAnsi="Book Antiqua"/>
          <w:shd w:val="clear" w:color="auto" w:fill="FFFFFF"/>
        </w:rPr>
        <w:t>CLC</w:t>
      </w:r>
      <w:r w:rsidR="00644F60">
        <w:rPr>
          <w:rFonts w:ascii="Book Antiqua" w:hAnsi="Book Antiqua"/>
          <w:shd w:val="clear" w:color="auto" w:fill="FFFFFF"/>
        </w:rPr>
        <w:t>”)</w:t>
      </w:r>
      <w:r w:rsidR="003F01C9" w:rsidRPr="003A7B3F">
        <w:rPr>
          <w:rFonts w:ascii="Book Antiqua" w:hAnsi="Book Antiqua"/>
          <w:shd w:val="clear" w:color="auto" w:fill="FFFFFF"/>
        </w:rPr>
        <w:t>, and Ministry of Justice.</w:t>
      </w:r>
      <w:r w:rsidR="00D85776">
        <w:rPr>
          <w:rStyle w:val="FootnoteReference"/>
          <w:rFonts w:ascii="Book Antiqua" w:hAnsi="Book Antiqua"/>
          <w:shd w:val="clear" w:color="auto" w:fill="FFFFFF"/>
        </w:rPr>
        <w:footnoteReference w:id="34"/>
      </w:r>
      <w:r w:rsidR="003F01C9" w:rsidRPr="003A7B3F">
        <w:rPr>
          <w:rFonts w:ascii="Book Antiqua" w:hAnsi="Book Antiqua"/>
          <w:shd w:val="clear" w:color="auto" w:fill="FFFFFF"/>
        </w:rPr>
        <w:t xml:space="preserve"> Before clearing any bill for parliamentary scrutiny, </w:t>
      </w:r>
      <w:r w:rsidR="00644F60">
        <w:rPr>
          <w:rFonts w:ascii="Book Antiqua" w:hAnsi="Book Antiqua"/>
          <w:shd w:val="clear" w:color="auto" w:fill="FFFFFF"/>
        </w:rPr>
        <w:t>CLC</w:t>
      </w:r>
      <w:r w:rsidR="003F01C9" w:rsidRPr="003A7B3F">
        <w:rPr>
          <w:rFonts w:ascii="Book Antiqua" w:hAnsi="Book Antiqua"/>
          <w:shd w:val="clear" w:color="auto" w:fill="FFFFFF"/>
        </w:rPr>
        <w:t xml:space="preserve"> guidelines require that any bill must first be exposed to </w:t>
      </w:r>
      <w:r w:rsidR="003F01C9" w:rsidRPr="003A7B3F">
        <w:rPr>
          <w:rFonts w:ascii="Book Antiqua" w:hAnsi="Book Antiqua"/>
          <w:shd w:val="clear" w:color="auto" w:fill="FFFFFF"/>
        </w:rPr>
        <w:lastRenderedPageBreak/>
        <w:t>a “frank assessment”</w:t>
      </w:r>
      <w:r w:rsidR="003F01C9" w:rsidRPr="007626A0">
        <w:rPr>
          <w:rStyle w:val="FootnoteReference"/>
          <w:rFonts w:ascii="Book Antiqua" w:hAnsi="Book Antiqua"/>
          <w:shd w:val="clear" w:color="auto" w:fill="FFFFFF"/>
        </w:rPr>
        <w:footnoteReference w:id="35"/>
      </w:r>
      <w:r w:rsidR="003F01C9" w:rsidRPr="003A7B3F">
        <w:rPr>
          <w:rFonts w:ascii="Book Antiqua" w:hAnsi="Book Antiqua"/>
          <w:shd w:val="clear" w:color="auto" w:fill="FFFFFF"/>
        </w:rPr>
        <w:t xml:space="preserve"> of human rights considerations</w:t>
      </w:r>
      <w:r w:rsidR="00B94C5E" w:rsidRPr="003A7B3F">
        <w:rPr>
          <w:rFonts w:ascii="Book Antiqua" w:hAnsi="Book Antiqua"/>
        </w:rPr>
        <w:t>.</w:t>
      </w:r>
      <w:r w:rsidR="000E7C76">
        <w:rPr>
          <w:rStyle w:val="FootnoteReference"/>
          <w:rFonts w:ascii="Book Antiqua" w:hAnsi="Book Antiqua"/>
        </w:rPr>
        <w:footnoteReference w:id="36"/>
      </w:r>
      <w:r w:rsidR="00B94C5E" w:rsidRPr="003A7B3F">
        <w:rPr>
          <w:rFonts w:ascii="Book Antiqua" w:hAnsi="Book Antiqua"/>
        </w:rPr>
        <w:t xml:space="preserve"> </w:t>
      </w:r>
      <w:r w:rsidR="00B94C5E">
        <w:rPr>
          <w:rFonts w:ascii="Book Antiqua" w:hAnsi="Book Antiqua"/>
          <w:shd w:val="clear" w:color="auto" w:fill="FFFFFF"/>
        </w:rPr>
        <w:t>After this review is complete</w:t>
      </w:r>
      <w:r w:rsidR="00B3622C">
        <w:rPr>
          <w:rFonts w:ascii="Book Antiqua" w:hAnsi="Book Antiqua"/>
          <w:shd w:val="clear" w:color="auto" w:fill="FFFFFF"/>
        </w:rPr>
        <w:t>,</w:t>
      </w:r>
      <w:r w:rsidR="00B94C5E">
        <w:rPr>
          <w:rFonts w:ascii="Book Antiqua" w:hAnsi="Book Antiqua"/>
          <w:shd w:val="clear" w:color="auto" w:fill="FFFFFF"/>
        </w:rPr>
        <w:t xml:space="preserve"> bills are subject to further review by parliament, and </w:t>
      </w:r>
      <w:r w:rsidR="00B3622C">
        <w:rPr>
          <w:rFonts w:ascii="Book Antiqua" w:hAnsi="Book Antiqua"/>
          <w:shd w:val="clear" w:color="auto" w:fill="FFFFFF"/>
        </w:rPr>
        <w:t>when</w:t>
      </w:r>
      <w:r w:rsidR="00B94C5E">
        <w:rPr>
          <w:rFonts w:ascii="Book Antiqua" w:hAnsi="Book Antiqua"/>
          <w:shd w:val="clear" w:color="auto" w:fill="FFFFFF"/>
        </w:rPr>
        <w:t xml:space="preserve"> </w:t>
      </w:r>
      <w:r w:rsidR="003F01C9" w:rsidRPr="003A7B3F">
        <w:rPr>
          <w:rFonts w:ascii="Book Antiqua" w:hAnsi="Book Antiqua"/>
          <w:shd w:val="clear" w:color="auto" w:fill="FFFFFF"/>
        </w:rPr>
        <w:t xml:space="preserve">introduced may be accompanied </w:t>
      </w:r>
      <w:r w:rsidR="00B3622C">
        <w:rPr>
          <w:rFonts w:ascii="Book Antiqua" w:hAnsi="Book Antiqua"/>
          <w:shd w:val="clear" w:color="auto" w:fill="FFFFFF"/>
        </w:rPr>
        <w:t xml:space="preserve">not only by  a statement of compliance but </w:t>
      </w:r>
      <w:r w:rsidR="003F01C9" w:rsidRPr="003A7B3F">
        <w:rPr>
          <w:rFonts w:ascii="Book Antiqua" w:hAnsi="Book Antiqua"/>
          <w:shd w:val="clear" w:color="auto" w:fill="FFFFFF"/>
        </w:rPr>
        <w:t xml:space="preserve">by a human rights memorandum complete with a “fuller statement of reasons” </w:t>
      </w:r>
      <w:r w:rsidR="00B3622C">
        <w:rPr>
          <w:rFonts w:ascii="Book Antiqua" w:hAnsi="Book Antiqua"/>
          <w:shd w:val="clear" w:color="auto" w:fill="FFFFFF"/>
        </w:rPr>
        <w:t>for compliance</w:t>
      </w:r>
      <w:r w:rsidR="003F01C9" w:rsidRPr="003A7B3F">
        <w:rPr>
          <w:rFonts w:ascii="Book Antiqua" w:hAnsi="Book Antiqua"/>
          <w:shd w:val="clear" w:color="auto" w:fill="FFFFFF"/>
        </w:rPr>
        <w:t>.</w:t>
      </w:r>
      <w:r w:rsidR="003F01C9" w:rsidRPr="007626A0">
        <w:rPr>
          <w:rStyle w:val="FootnoteReference"/>
          <w:rFonts w:ascii="Book Antiqua" w:hAnsi="Book Antiqua"/>
          <w:shd w:val="clear" w:color="auto" w:fill="FFFFFF"/>
        </w:rPr>
        <w:footnoteReference w:id="37"/>
      </w:r>
      <w:r w:rsidR="003A7B3F">
        <w:rPr>
          <w:rFonts w:ascii="Book Antiqua" w:hAnsi="Book Antiqua"/>
          <w:shd w:val="clear" w:color="auto" w:fill="FFFFFF"/>
        </w:rPr>
        <w:t xml:space="preserve"> </w:t>
      </w:r>
    </w:p>
    <w:p w14:paraId="25146631" w14:textId="77777777" w:rsidR="003F01C9" w:rsidRPr="000034BB" w:rsidRDefault="003F01C9" w:rsidP="00716219">
      <w:pPr>
        <w:spacing w:line="360" w:lineRule="auto"/>
        <w:jc w:val="both"/>
        <w:rPr>
          <w:rFonts w:ascii="Book Antiqua" w:hAnsi="Book Antiqua"/>
          <w:shd w:val="clear" w:color="auto" w:fill="FFFFFF"/>
        </w:rPr>
      </w:pPr>
    </w:p>
    <w:p w14:paraId="37245255" w14:textId="4AEFDE92" w:rsidR="001313A4" w:rsidRDefault="00B3622C" w:rsidP="00F61022">
      <w:pPr>
        <w:spacing w:line="360" w:lineRule="auto"/>
        <w:jc w:val="both"/>
        <w:rPr>
          <w:rFonts w:ascii="Book Antiqua" w:hAnsi="Book Antiqua"/>
          <w:shd w:val="clear" w:color="auto" w:fill="FFFFFF"/>
        </w:rPr>
      </w:pPr>
      <w:r>
        <w:rPr>
          <w:rFonts w:ascii="Book Antiqua" w:hAnsi="Book Antiqua"/>
          <w:shd w:val="clear" w:color="auto" w:fill="FFFFFF"/>
        </w:rPr>
        <w:t xml:space="preserve">An </w:t>
      </w:r>
      <w:r w:rsidR="003F01C9" w:rsidRPr="003A7B3F">
        <w:rPr>
          <w:rFonts w:ascii="Book Antiqua" w:hAnsi="Book Antiqua"/>
          <w:shd w:val="clear" w:color="auto" w:fill="FFFFFF"/>
        </w:rPr>
        <w:t xml:space="preserve">innovative and significant institutional feature of the UK’s approach to pre-enactment scrutiny </w:t>
      </w:r>
      <w:r>
        <w:rPr>
          <w:rFonts w:ascii="Book Antiqua" w:hAnsi="Book Antiqua"/>
          <w:shd w:val="clear" w:color="auto" w:fill="FFFFFF"/>
        </w:rPr>
        <w:t>is</w:t>
      </w:r>
      <w:r w:rsidR="003F01C9" w:rsidRPr="003A7B3F">
        <w:rPr>
          <w:rFonts w:ascii="Book Antiqua" w:hAnsi="Book Antiqua"/>
          <w:shd w:val="clear" w:color="auto" w:fill="FFFFFF"/>
        </w:rPr>
        <w:t xml:space="preserve"> a permanent Joint Committee on Human Rights, wh</w:t>
      </w:r>
      <w:r>
        <w:rPr>
          <w:rFonts w:ascii="Book Antiqua" w:hAnsi="Book Antiqua"/>
          <w:shd w:val="clear" w:color="auto" w:fill="FFFFFF"/>
        </w:rPr>
        <w:t>ich</w:t>
      </w:r>
      <w:r w:rsidR="003F01C9" w:rsidRPr="003A7B3F">
        <w:rPr>
          <w:rFonts w:ascii="Book Antiqua" w:hAnsi="Book Antiqua"/>
          <w:shd w:val="clear" w:color="auto" w:fill="FFFFFF"/>
        </w:rPr>
        <w:t xml:space="preserve"> </w:t>
      </w:r>
      <w:r w:rsidR="003F01C9" w:rsidRPr="003A7B3F">
        <w:rPr>
          <w:rFonts w:ascii="Book Antiqua" w:hAnsi="Book Antiqua"/>
        </w:rPr>
        <w:t>must report to Parliament on the human rights implications of any bill</w:t>
      </w:r>
      <w:r w:rsidR="003F01C9" w:rsidRPr="003A7B3F">
        <w:rPr>
          <w:rFonts w:ascii="Book Antiqua" w:hAnsi="Book Antiqua"/>
          <w:shd w:val="clear" w:color="auto" w:fill="FFFFFF"/>
        </w:rPr>
        <w:t xml:space="preserve">. </w:t>
      </w:r>
      <w:r>
        <w:rPr>
          <w:rFonts w:ascii="Book Antiqua" w:hAnsi="Book Antiqua"/>
          <w:shd w:val="clear" w:color="auto" w:fill="FFFFFF"/>
        </w:rPr>
        <w:t>T</w:t>
      </w:r>
      <w:r w:rsidR="003F01C9" w:rsidRPr="003A7B3F">
        <w:rPr>
          <w:rFonts w:ascii="Book Antiqua" w:hAnsi="Book Antiqua"/>
          <w:shd w:val="clear" w:color="auto" w:fill="FFFFFF"/>
        </w:rPr>
        <w:t>he Commit</w:t>
      </w:r>
      <w:r w:rsidR="001A3A54">
        <w:rPr>
          <w:rFonts w:ascii="Book Antiqua" w:hAnsi="Book Antiqua"/>
          <w:shd w:val="clear" w:color="auto" w:fill="FFFFFF"/>
        </w:rPr>
        <w:t xml:space="preserve">tee is </w:t>
      </w:r>
      <w:r w:rsidR="003F01C9" w:rsidRPr="003A7B3F">
        <w:rPr>
          <w:rFonts w:ascii="Book Antiqua" w:hAnsi="Book Antiqua"/>
          <w:shd w:val="clear" w:color="auto" w:fill="FFFFFF"/>
        </w:rPr>
        <w:t>non-partisan and free from executive domination</w:t>
      </w:r>
      <w:r>
        <w:rPr>
          <w:rFonts w:ascii="Book Antiqua" w:hAnsi="Book Antiqua"/>
          <w:shd w:val="clear" w:color="auto" w:fill="FFFFFF"/>
        </w:rPr>
        <w:t>;</w:t>
      </w:r>
      <w:r w:rsidR="00576C7A">
        <w:rPr>
          <w:rFonts w:ascii="Book Antiqua" w:hAnsi="Book Antiqua"/>
          <w:shd w:val="clear" w:color="auto" w:fill="FFFFFF"/>
        </w:rPr>
        <w:t xml:space="preserve"> </w:t>
      </w:r>
      <w:r>
        <w:rPr>
          <w:rFonts w:ascii="Book Antiqua" w:hAnsi="Book Antiqua"/>
          <w:shd w:val="clear" w:color="auto" w:fill="FFFFFF"/>
        </w:rPr>
        <w:t xml:space="preserve">is </w:t>
      </w:r>
      <w:r w:rsidR="003F01C9" w:rsidRPr="003A7B3F">
        <w:rPr>
          <w:rFonts w:ascii="Book Antiqua" w:hAnsi="Book Antiqua"/>
          <w:shd w:val="clear" w:color="auto" w:fill="FFFFFF"/>
        </w:rPr>
        <w:t>exclusively dedicated</w:t>
      </w:r>
      <w:r w:rsidR="00576C7A">
        <w:rPr>
          <w:rFonts w:ascii="Book Antiqua" w:hAnsi="Book Antiqua"/>
          <w:shd w:val="clear" w:color="auto" w:fill="FFFFFF"/>
        </w:rPr>
        <w:t xml:space="preserve"> to</w:t>
      </w:r>
      <w:r w:rsidR="003F01C9" w:rsidRPr="003A7B3F">
        <w:rPr>
          <w:rFonts w:ascii="Book Antiqua" w:hAnsi="Book Antiqua"/>
          <w:shd w:val="clear" w:color="auto" w:fill="FFFFFF"/>
        </w:rPr>
        <w:t xml:space="preserve"> and specialized in </w:t>
      </w:r>
      <w:r w:rsidR="00576C7A">
        <w:rPr>
          <w:rFonts w:ascii="Book Antiqua" w:hAnsi="Book Antiqua"/>
          <w:shd w:val="clear" w:color="auto" w:fill="FFFFFF"/>
        </w:rPr>
        <w:t>human rights issues</w:t>
      </w:r>
      <w:r>
        <w:rPr>
          <w:rFonts w:ascii="Book Antiqua" w:hAnsi="Book Antiqua"/>
          <w:shd w:val="clear" w:color="auto" w:fill="FFFFFF"/>
        </w:rPr>
        <w:t>;</w:t>
      </w:r>
      <w:r w:rsidR="00576C7A">
        <w:rPr>
          <w:rFonts w:ascii="Book Antiqua" w:hAnsi="Book Antiqua"/>
          <w:shd w:val="clear" w:color="auto" w:fill="FFFFFF"/>
        </w:rPr>
        <w:t xml:space="preserve"> </w:t>
      </w:r>
      <w:r>
        <w:rPr>
          <w:rFonts w:ascii="Book Antiqua" w:hAnsi="Book Antiqua"/>
          <w:shd w:val="clear" w:color="auto" w:fill="FFFFFF"/>
        </w:rPr>
        <w:t xml:space="preserve">and is </w:t>
      </w:r>
      <w:r w:rsidR="003F01C9" w:rsidRPr="003A7B3F">
        <w:rPr>
          <w:rFonts w:ascii="Book Antiqua" w:hAnsi="Book Antiqua"/>
          <w:shd w:val="clear" w:color="auto" w:fill="FFFFFF"/>
        </w:rPr>
        <w:t xml:space="preserve">well-resourced and </w:t>
      </w:r>
      <w:r w:rsidR="00576C7A">
        <w:rPr>
          <w:rFonts w:ascii="Book Antiqua" w:hAnsi="Book Antiqua"/>
          <w:shd w:val="clear" w:color="auto" w:fill="FFFFFF"/>
        </w:rPr>
        <w:t>has</w:t>
      </w:r>
      <w:r w:rsidR="003F01C9" w:rsidRPr="003A7B3F">
        <w:rPr>
          <w:rFonts w:ascii="Book Antiqua" w:hAnsi="Book Antiqua"/>
          <w:shd w:val="clear" w:color="auto" w:fill="FFFFFF"/>
        </w:rPr>
        <w:t xml:space="preserve"> access to its own full-time legal advisors.</w:t>
      </w:r>
      <w:r w:rsidR="00874E2E" w:rsidRPr="007626A0">
        <w:rPr>
          <w:rStyle w:val="FootnoteReference"/>
          <w:rFonts w:ascii="Book Antiqua" w:hAnsi="Book Antiqua"/>
          <w:shd w:val="clear" w:color="auto" w:fill="FFFFFF"/>
        </w:rPr>
        <w:footnoteReference w:id="38"/>
      </w:r>
      <w:r w:rsidR="003F01C9" w:rsidRPr="003A7B3F">
        <w:rPr>
          <w:rFonts w:ascii="Book Antiqua" w:hAnsi="Book Antiqua"/>
          <w:shd w:val="clear" w:color="auto" w:fill="FFFFFF"/>
        </w:rPr>
        <w:t xml:space="preserve"> </w:t>
      </w:r>
      <w:r w:rsidR="008D55F4">
        <w:rPr>
          <w:rFonts w:ascii="Book Antiqua" w:hAnsi="Book Antiqua"/>
          <w:shd w:val="clear" w:color="auto" w:fill="FFFFFF"/>
        </w:rPr>
        <w:t>The Committee’s work has been praised</w:t>
      </w:r>
      <w:r w:rsidR="006F0034">
        <w:rPr>
          <w:rFonts w:ascii="Book Antiqua" w:hAnsi="Book Antiqua"/>
          <w:shd w:val="clear" w:color="auto" w:fill="FFFFFF"/>
        </w:rPr>
        <w:t>;</w:t>
      </w:r>
      <w:r w:rsidR="008D55F4">
        <w:rPr>
          <w:rFonts w:ascii="Book Antiqua" w:hAnsi="Book Antiqua"/>
          <w:shd w:val="clear" w:color="auto" w:fill="FFFFFF"/>
        </w:rPr>
        <w:t xml:space="preserve"> </w:t>
      </w:r>
      <w:r w:rsidR="001A3A54">
        <w:rPr>
          <w:rFonts w:ascii="Book Antiqua" w:hAnsi="Book Antiqua"/>
          <w:shd w:val="clear" w:color="auto" w:fill="FFFFFF"/>
        </w:rPr>
        <w:t>Aileen Kavanagh notes that</w:t>
      </w:r>
      <w:r w:rsidR="003F01C9" w:rsidRPr="003A7B3F">
        <w:rPr>
          <w:rFonts w:ascii="Book Antiqua" w:hAnsi="Book Antiqua"/>
          <w:shd w:val="clear" w:color="auto" w:fill="FFFFFF"/>
        </w:rPr>
        <w:t xml:space="preserve"> the</w:t>
      </w:r>
      <w:r w:rsidR="00576C7A">
        <w:rPr>
          <w:rFonts w:ascii="Book Antiqua" w:hAnsi="Book Antiqua"/>
          <w:shd w:val="clear" w:color="auto" w:fill="FFFFFF"/>
        </w:rPr>
        <w:t xml:space="preserve"> work of the C</w:t>
      </w:r>
      <w:r w:rsidR="003F01C9" w:rsidRPr="003A7B3F">
        <w:rPr>
          <w:rFonts w:ascii="Book Antiqua" w:hAnsi="Book Antiqua"/>
          <w:shd w:val="clear" w:color="auto" w:fill="FFFFFF"/>
        </w:rPr>
        <w:t>ommittee has become a settled part of the UK human rights landscape, earning an “excellent reputation for the quality” of its reports.</w:t>
      </w:r>
      <w:r w:rsidR="003F01C9">
        <w:rPr>
          <w:rStyle w:val="FootnoteReference"/>
          <w:rFonts w:ascii="Book Antiqua" w:hAnsi="Book Antiqua"/>
          <w:shd w:val="clear" w:color="auto" w:fill="FFFFFF"/>
        </w:rPr>
        <w:footnoteReference w:id="39"/>
      </w:r>
      <w:r w:rsidR="003F01C9" w:rsidRPr="003A7B3F">
        <w:rPr>
          <w:rFonts w:ascii="Book Antiqua" w:hAnsi="Book Antiqua"/>
          <w:shd w:val="clear" w:color="auto" w:fill="FFFFFF"/>
        </w:rPr>
        <w:t xml:space="preserve"> </w:t>
      </w:r>
      <w:r w:rsidR="004208F2">
        <w:rPr>
          <w:rFonts w:ascii="Book Antiqua" w:hAnsi="Book Antiqua"/>
          <w:shd w:val="clear" w:color="auto" w:fill="FFFFFF"/>
        </w:rPr>
        <w:t>Some suggest the robust scrutiny of the Committee and increased engagement by parliamentarians with its work has led to heightened</w:t>
      </w:r>
      <w:r w:rsidR="004208F2" w:rsidRPr="003A7B3F">
        <w:rPr>
          <w:rFonts w:ascii="Book Antiqua" w:hAnsi="Book Antiqua"/>
          <w:shd w:val="clear" w:color="auto" w:fill="FFFFFF"/>
        </w:rPr>
        <w:t xml:space="preserve"> executive interest in ameliorating the likelihood of a negative </w:t>
      </w:r>
      <w:r w:rsidR="004208F2">
        <w:rPr>
          <w:rFonts w:ascii="Book Antiqua" w:hAnsi="Book Antiqua"/>
          <w:shd w:val="clear" w:color="auto" w:fill="FFFFFF"/>
        </w:rPr>
        <w:t xml:space="preserve">Committee </w:t>
      </w:r>
      <w:r w:rsidR="004208F2" w:rsidRPr="003A7B3F">
        <w:rPr>
          <w:rFonts w:ascii="Book Antiqua" w:hAnsi="Book Antiqua"/>
          <w:shd w:val="clear" w:color="auto" w:fill="FFFFFF"/>
        </w:rPr>
        <w:t>report</w:t>
      </w:r>
      <w:r w:rsidR="004208F2">
        <w:rPr>
          <w:rFonts w:ascii="Book Antiqua" w:hAnsi="Book Antiqua"/>
          <w:shd w:val="clear" w:color="auto" w:fill="FFFFFF"/>
        </w:rPr>
        <w:t xml:space="preserve"> in the first instance</w:t>
      </w:r>
      <w:r w:rsidR="004208F2" w:rsidRPr="003A7B3F">
        <w:rPr>
          <w:rFonts w:ascii="Book Antiqua" w:hAnsi="Book Antiqua"/>
          <w:shd w:val="clear" w:color="auto" w:fill="FFFFFF"/>
        </w:rPr>
        <w:t>.</w:t>
      </w:r>
      <w:r w:rsidR="004208F2">
        <w:rPr>
          <w:rStyle w:val="FootnoteReference"/>
          <w:rFonts w:ascii="Book Antiqua" w:hAnsi="Book Antiqua"/>
          <w:shd w:val="clear" w:color="auto" w:fill="FFFFFF"/>
        </w:rPr>
        <w:footnoteReference w:id="40"/>
      </w:r>
    </w:p>
    <w:p w14:paraId="09C364A6" w14:textId="77777777" w:rsidR="001313A4" w:rsidRDefault="001313A4" w:rsidP="00F61022">
      <w:pPr>
        <w:spacing w:line="360" w:lineRule="auto"/>
        <w:jc w:val="both"/>
        <w:rPr>
          <w:rFonts w:ascii="Book Antiqua" w:hAnsi="Book Antiqua"/>
          <w:shd w:val="clear" w:color="auto" w:fill="FFFFFF"/>
        </w:rPr>
      </w:pPr>
    </w:p>
    <w:p w14:paraId="61E30526" w14:textId="44D26B67" w:rsidR="00AE1C61" w:rsidRDefault="001313A4" w:rsidP="00F61022">
      <w:pPr>
        <w:spacing w:line="360" w:lineRule="auto"/>
        <w:jc w:val="both"/>
        <w:rPr>
          <w:rFonts w:ascii="Book Antiqua" w:hAnsi="Book Antiqua"/>
          <w:shd w:val="clear" w:color="auto" w:fill="FFFFFF"/>
        </w:rPr>
      </w:pPr>
      <w:r>
        <w:rPr>
          <w:rFonts w:ascii="Book Antiqua" w:hAnsi="Book Antiqua"/>
          <w:shd w:val="clear" w:color="auto" w:fill="FFFFFF"/>
        </w:rPr>
        <w:t>However,</w:t>
      </w:r>
      <w:r w:rsidR="00127308">
        <w:rPr>
          <w:rFonts w:ascii="Book Antiqua" w:hAnsi="Book Antiqua"/>
          <w:shd w:val="clear" w:color="auto" w:fill="FFFFFF"/>
        </w:rPr>
        <w:t xml:space="preserve"> though arguably a more positive example than Canada and New Zealand, </w:t>
      </w:r>
      <w:r w:rsidR="005B4DF3">
        <w:rPr>
          <w:rFonts w:ascii="Book Antiqua" w:hAnsi="Book Antiqua"/>
          <w:shd w:val="clear" w:color="auto" w:fill="FFFFFF"/>
        </w:rPr>
        <w:t>certain</w:t>
      </w:r>
      <w:r w:rsidR="00127308">
        <w:rPr>
          <w:rFonts w:ascii="Book Antiqua" w:hAnsi="Book Antiqua"/>
          <w:shd w:val="clear" w:color="auto" w:fill="FFFFFF"/>
        </w:rPr>
        <w:t xml:space="preserve"> core failings are still evident in the UK example. </w:t>
      </w:r>
      <w:r w:rsidR="00127308">
        <w:rPr>
          <w:rFonts w:ascii="Book Antiqua" w:hAnsi="Book Antiqua"/>
        </w:rPr>
        <w:t xml:space="preserve">The </w:t>
      </w:r>
      <w:r w:rsidR="00127308" w:rsidRPr="003A7B3F">
        <w:rPr>
          <w:rFonts w:ascii="Book Antiqua" w:hAnsi="Book Antiqua"/>
        </w:rPr>
        <w:t xml:space="preserve">legal advice </w:t>
      </w:r>
      <w:r w:rsidR="00127308">
        <w:rPr>
          <w:rFonts w:ascii="Book Antiqua" w:hAnsi="Book Antiqua"/>
        </w:rPr>
        <w:t xml:space="preserve">on bills places very </w:t>
      </w:r>
      <w:r w:rsidR="00127308" w:rsidRPr="003A7B3F">
        <w:rPr>
          <w:rFonts w:ascii="Book Antiqua" w:hAnsi="Book Antiqua"/>
        </w:rPr>
        <w:t xml:space="preserve">heavy </w:t>
      </w:r>
      <w:r w:rsidR="00127308">
        <w:rPr>
          <w:rFonts w:ascii="Book Antiqua" w:hAnsi="Book Antiqua"/>
        </w:rPr>
        <w:t>focus</w:t>
      </w:r>
      <w:r w:rsidR="00127308" w:rsidRPr="003A7B3F">
        <w:rPr>
          <w:rFonts w:ascii="Book Antiqua" w:hAnsi="Book Antiqua"/>
        </w:rPr>
        <w:t xml:space="preserve"> </w:t>
      </w:r>
      <w:r w:rsidR="00127308">
        <w:rPr>
          <w:rFonts w:ascii="Book Antiqua" w:hAnsi="Book Antiqua"/>
        </w:rPr>
        <w:t>on</w:t>
      </w:r>
      <w:r w:rsidR="00127308" w:rsidRPr="003A7B3F">
        <w:rPr>
          <w:rFonts w:ascii="Book Antiqua" w:hAnsi="Book Antiqua"/>
        </w:rPr>
        <w:t xml:space="preserve"> legal interpretations of relevant jurisprudence.</w:t>
      </w:r>
      <w:r w:rsidR="00127308">
        <w:rPr>
          <w:rStyle w:val="FootnoteReference"/>
          <w:rFonts w:ascii="Book Antiqua" w:hAnsi="Book Antiqua"/>
        </w:rPr>
        <w:footnoteReference w:id="41"/>
      </w:r>
      <w:r>
        <w:rPr>
          <w:rFonts w:ascii="Book Antiqua" w:hAnsi="Book Antiqua"/>
          <w:shd w:val="clear" w:color="auto" w:fill="FFFFFF"/>
        </w:rPr>
        <w:t xml:space="preserve"> W</w:t>
      </w:r>
      <w:r w:rsidR="003F01C9" w:rsidRPr="003A7B3F">
        <w:rPr>
          <w:rFonts w:ascii="Book Antiqua" w:hAnsi="Book Antiqua"/>
          <w:shd w:val="clear" w:color="auto" w:fill="FFFFFF"/>
        </w:rPr>
        <w:t>estminster-style</w:t>
      </w:r>
      <w:r w:rsidR="00863E5E">
        <w:rPr>
          <w:rFonts w:ascii="Book Antiqua" w:hAnsi="Book Antiqua"/>
          <w:shd w:val="clear" w:color="auto" w:fill="FFFFFF"/>
        </w:rPr>
        <w:t xml:space="preserve"> </w:t>
      </w:r>
      <w:r w:rsidR="003F01C9" w:rsidRPr="003A7B3F">
        <w:rPr>
          <w:rFonts w:ascii="Book Antiqua" w:hAnsi="Book Antiqua"/>
          <w:shd w:val="clear" w:color="auto" w:fill="FFFFFF"/>
        </w:rPr>
        <w:t>systems</w:t>
      </w:r>
      <w:r w:rsidR="00863E5E">
        <w:rPr>
          <w:rFonts w:ascii="Book Antiqua" w:hAnsi="Book Antiqua"/>
          <w:shd w:val="clear" w:color="auto" w:fill="FFFFFF"/>
        </w:rPr>
        <w:t xml:space="preserve"> invariably </w:t>
      </w:r>
      <w:r w:rsidR="008A4A64">
        <w:rPr>
          <w:rFonts w:ascii="Book Antiqua" w:hAnsi="Book Antiqua"/>
          <w:shd w:val="clear" w:color="auto" w:fill="FFFFFF"/>
        </w:rPr>
        <w:t>have significant executive domina</w:t>
      </w:r>
      <w:r w:rsidR="00863E5E">
        <w:rPr>
          <w:rFonts w:ascii="Book Antiqua" w:hAnsi="Book Antiqua"/>
          <w:shd w:val="clear" w:color="auto" w:fill="FFFFFF"/>
        </w:rPr>
        <w:t>nce of the legislative process,</w:t>
      </w:r>
      <w:r w:rsidR="003F01C9" w:rsidRPr="007626A0">
        <w:rPr>
          <w:rStyle w:val="FootnoteReference"/>
          <w:rFonts w:ascii="Book Antiqua" w:hAnsi="Book Antiqua"/>
          <w:shd w:val="clear" w:color="auto" w:fill="FFFFFF"/>
        </w:rPr>
        <w:footnoteReference w:id="42"/>
      </w:r>
      <w:r w:rsidR="003F01C9" w:rsidRPr="003A7B3F">
        <w:rPr>
          <w:rFonts w:ascii="Book Antiqua" w:hAnsi="Book Antiqua"/>
          <w:shd w:val="clear" w:color="auto" w:fill="FFFFFF"/>
        </w:rPr>
        <w:t xml:space="preserve"> </w:t>
      </w:r>
      <w:r w:rsidR="00127308">
        <w:rPr>
          <w:rFonts w:ascii="Book Antiqua" w:hAnsi="Book Antiqua"/>
          <w:shd w:val="clear" w:color="auto" w:fill="FFFFFF"/>
        </w:rPr>
        <w:t xml:space="preserve"> </w:t>
      </w:r>
      <w:r w:rsidR="00863E5E">
        <w:rPr>
          <w:rFonts w:ascii="Book Antiqua" w:hAnsi="Book Antiqua"/>
          <w:shd w:val="clear" w:color="auto" w:fill="FFFFFF"/>
        </w:rPr>
        <w:t xml:space="preserve">and so </w:t>
      </w:r>
      <w:r w:rsidR="003F01C9" w:rsidRPr="003A7B3F">
        <w:rPr>
          <w:rFonts w:ascii="Book Antiqua" w:hAnsi="Book Antiqua"/>
          <w:shd w:val="clear" w:color="auto" w:fill="FFFFFF"/>
        </w:rPr>
        <w:t>the direct impact of committee deliberations on legislative outputs has remained “underwhelming” for some commentators.</w:t>
      </w:r>
      <w:r w:rsidR="003F01C9" w:rsidRPr="007626A0">
        <w:rPr>
          <w:rStyle w:val="FootnoteReference"/>
          <w:rFonts w:ascii="Book Antiqua" w:hAnsi="Book Antiqua"/>
          <w:shd w:val="clear" w:color="auto" w:fill="FFFFFF"/>
        </w:rPr>
        <w:footnoteReference w:id="43"/>
      </w:r>
      <w:r w:rsidR="003F01C9" w:rsidRPr="003A7B3F">
        <w:rPr>
          <w:rFonts w:ascii="Book Antiqua" w:hAnsi="Book Antiqua"/>
          <w:shd w:val="clear" w:color="auto" w:fill="FFFFFF"/>
        </w:rPr>
        <w:t xml:space="preserve"> </w:t>
      </w:r>
      <w:r w:rsidR="00121BA7">
        <w:rPr>
          <w:rFonts w:ascii="Book Antiqua" w:hAnsi="Book Antiqua"/>
          <w:shd w:val="clear" w:color="auto" w:fill="FFFFFF"/>
        </w:rPr>
        <w:t xml:space="preserve"> </w:t>
      </w:r>
    </w:p>
    <w:p w14:paraId="33ADFCDA" w14:textId="77777777" w:rsidR="00B80A78" w:rsidRDefault="00B80A78" w:rsidP="00716219">
      <w:pPr>
        <w:spacing w:line="360" w:lineRule="auto"/>
        <w:jc w:val="both"/>
        <w:rPr>
          <w:rFonts w:ascii="Book Antiqua" w:hAnsi="Book Antiqua"/>
          <w:shd w:val="clear" w:color="auto" w:fill="FFFFFF"/>
        </w:rPr>
      </w:pPr>
    </w:p>
    <w:p w14:paraId="34D9396C" w14:textId="058DCBE7" w:rsidR="00B80A78" w:rsidRPr="00735395" w:rsidRDefault="00B80A78" w:rsidP="00716219">
      <w:pPr>
        <w:spacing w:line="360" w:lineRule="auto"/>
        <w:jc w:val="both"/>
        <w:rPr>
          <w:rFonts w:ascii="Book Antiqua" w:hAnsi="Book Antiqua"/>
        </w:rPr>
      </w:pPr>
      <w:r>
        <w:rPr>
          <w:rFonts w:ascii="Book Antiqua" w:hAnsi="Book Antiqua"/>
          <w:lang w:val="en-GB"/>
        </w:rPr>
        <w:lastRenderedPageBreak/>
        <w:t xml:space="preserve">The foregoing analysis suggests several things. First, </w:t>
      </w:r>
      <w:r>
        <w:rPr>
          <w:rFonts w:ascii="Book Antiqua" w:hAnsi="Book Antiqua"/>
        </w:rPr>
        <w:t>w</w:t>
      </w:r>
      <w:r w:rsidRPr="00FD70FB">
        <w:rPr>
          <w:rFonts w:ascii="Book Antiqua" w:hAnsi="Book Antiqua"/>
        </w:rPr>
        <w:t>hen measured against the yardstick of its purported benefits, the success to which pre-enactment review has been implemen</w:t>
      </w:r>
      <w:r>
        <w:rPr>
          <w:rFonts w:ascii="Book Antiqua" w:hAnsi="Book Antiqua"/>
        </w:rPr>
        <w:t>ted has varied in these systems.</w:t>
      </w:r>
      <w:r w:rsidRPr="00FD70FB">
        <w:rPr>
          <w:rFonts w:ascii="Book Antiqua" w:hAnsi="Book Antiqua"/>
        </w:rPr>
        <w:t xml:space="preserve"> </w:t>
      </w:r>
      <w:r>
        <w:rPr>
          <w:rFonts w:ascii="Book Antiqua" w:hAnsi="Book Antiqua"/>
        </w:rPr>
        <w:t xml:space="preserve">Secondly, the success of the process in achieving these benefits </w:t>
      </w:r>
      <w:r w:rsidRPr="00FD70FB">
        <w:rPr>
          <w:rFonts w:ascii="Book Antiqua" w:hAnsi="Book Antiqua"/>
        </w:rPr>
        <w:t xml:space="preserve">appears </w:t>
      </w:r>
      <w:r w:rsidR="00CE726D">
        <w:rPr>
          <w:rFonts w:ascii="Book Antiqua" w:hAnsi="Book Antiqua"/>
        </w:rPr>
        <w:t xml:space="preserve">to turn not only on questions of implementation but on </w:t>
      </w:r>
      <w:r>
        <w:rPr>
          <w:rFonts w:ascii="Book Antiqua" w:hAnsi="Book Antiqua"/>
        </w:rPr>
        <w:t>broader political culture as well as</w:t>
      </w:r>
      <w:r w:rsidRPr="00FD70FB">
        <w:rPr>
          <w:rFonts w:ascii="Book Antiqua" w:hAnsi="Book Antiqua"/>
        </w:rPr>
        <w:t xml:space="preserve"> the institutional framework in which it is embedded.</w:t>
      </w:r>
      <w:r w:rsidR="00417760">
        <w:rPr>
          <w:rStyle w:val="FootnoteReference"/>
          <w:rFonts w:ascii="Book Antiqua" w:hAnsi="Book Antiqua"/>
          <w:lang w:val="en-GB"/>
        </w:rPr>
        <w:footnoteReference w:id="44"/>
      </w:r>
      <w:r w:rsidR="00CE726D">
        <w:rPr>
          <w:rFonts w:ascii="Book Antiqua" w:hAnsi="Book Antiqua"/>
        </w:rPr>
        <w:t xml:space="preserve"> Thirdly, the same failings seem to occur to different extents in all these systems: failure to break free of the judicial viewpoint and method; failure to develop a distinctive parliamentary discourse on rights;</w:t>
      </w:r>
      <w:r w:rsidR="00F414EA">
        <w:rPr>
          <w:rStyle w:val="FootnoteReference"/>
          <w:rFonts w:ascii="Book Antiqua" w:hAnsi="Book Antiqua"/>
        </w:rPr>
        <w:footnoteReference w:id="45"/>
      </w:r>
      <w:r w:rsidR="00CE726D">
        <w:rPr>
          <w:rFonts w:ascii="Book Antiqua" w:hAnsi="Book Antiqua"/>
        </w:rPr>
        <w:t xml:space="preserve"> and mixed success in empowering parliament on rights questions and increasing transparency.</w:t>
      </w:r>
    </w:p>
    <w:p w14:paraId="76B76419" w14:textId="77777777" w:rsidR="00E43655" w:rsidRDefault="00E43655" w:rsidP="00716219">
      <w:pPr>
        <w:spacing w:line="360" w:lineRule="auto"/>
        <w:jc w:val="both"/>
        <w:rPr>
          <w:rFonts w:ascii="Book Antiqua" w:hAnsi="Book Antiqua"/>
          <w:u w:val="single"/>
          <w:lang w:val="en-GB"/>
        </w:rPr>
      </w:pPr>
    </w:p>
    <w:p w14:paraId="4222D265" w14:textId="5E0F21A8" w:rsidR="00347E16" w:rsidRPr="00735395" w:rsidRDefault="00347E16" w:rsidP="00735395">
      <w:pPr>
        <w:spacing w:line="360" w:lineRule="auto"/>
        <w:ind w:left="357"/>
        <w:jc w:val="both"/>
        <w:outlineLvl w:val="0"/>
        <w:rPr>
          <w:rFonts w:ascii="Book Antiqua" w:hAnsi="Book Antiqua"/>
          <w:b/>
          <w:sz w:val="28"/>
          <w:lang w:val="en-GB"/>
        </w:rPr>
      </w:pPr>
      <w:r w:rsidRPr="00735395">
        <w:rPr>
          <w:rFonts w:ascii="Book Antiqua" w:hAnsi="Book Antiqua"/>
          <w:b/>
          <w:sz w:val="28"/>
          <w:lang w:val="en-GB"/>
        </w:rPr>
        <w:t>II</w:t>
      </w:r>
      <w:r w:rsidR="00843F82" w:rsidRPr="00735395">
        <w:rPr>
          <w:rFonts w:ascii="Book Antiqua" w:hAnsi="Book Antiqua"/>
          <w:b/>
          <w:sz w:val="28"/>
          <w:lang w:val="en-GB"/>
        </w:rPr>
        <w:t>.</w:t>
      </w:r>
      <w:r w:rsidRPr="00735395">
        <w:rPr>
          <w:rFonts w:ascii="Book Antiqua" w:hAnsi="Book Antiqua"/>
          <w:b/>
          <w:sz w:val="28"/>
          <w:lang w:val="en-GB"/>
        </w:rPr>
        <w:t xml:space="preserve"> </w:t>
      </w:r>
      <w:r w:rsidR="003F01C9" w:rsidRPr="00735395">
        <w:rPr>
          <w:rFonts w:ascii="Book Antiqua" w:hAnsi="Book Antiqua"/>
          <w:b/>
          <w:sz w:val="28"/>
          <w:lang w:val="en-GB"/>
        </w:rPr>
        <w:t>Japan</w:t>
      </w:r>
      <w:r w:rsidRPr="00735395">
        <w:rPr>
          <w:rFonts w:ascii="Book Antiqua" w:hAnsi="Book Antiqua"/>
          <w:b/>
          <w:sz w:val="28"/>
          <w:lang w:val="en-GB"/>
        </w:rPr>
        <w:t xml:space="preserve"> and Ireland and the dark side of political constitutionalism </w:t>
      </w:r>
    </w:p>
    <w:p w14:paraId="1E2CFA05" w14:textId="42F4DE9B" w:rsidR="00CE726D" w:rsidRDefault="00CE726D" w:rsidP="00347E16">
      <w:pPr>
        <w:spacing w:line="360" w:lineRule="auto"/>
        <w:jc w:val="both"/>
        <w:rPr>
          <w:rFonts w:ascii="Book Antiqua" w:eastAsia="Times New Roman" w:hAnsi="Book Antiqua"/>
        </w:rPr>
      </w:pPr>
      <w:r>
        <w:rPr>
          <w:rFonts w:ascii="Book Antiqua" w:eastAsia="Times New Roman" w:hAnsi="Book Antiqua"/>
        </w:rPr>
        <w:t xml:space="preserve">In this section, we examine two cases – Japan and Ireland – that suggest much deeper problems with pre-enactment review. </w:t>
      </w:r>
      <w:r w:rsidR="00660572">
        <w:rPr>
          <w:rFonts w:ascii="Book Antiqua" w:eastAsia="Times New Roman" w:hAnsi="Book Antiqua"/>
        </w:rPr>
        <w:t>These jurisdictions each have a hugely influential</w:t>
      </w:r>
      <w:r w:rsidR="00A03DC7">
        <w:rPr>
          <w:rFonts w:ascii="Book Antiqua" w:eastAsia="Times New Roman" w:hAnsi="Book Antiqua"/>
        </w:rPr>
        <w:t>, highly secretive</w:t>
      </w:r>
      <w:r w:rsidR="00660572">
        <w:rPr>
          <w:rFonts w:ascii="Book Antiqua" w:eastAsia="Times New Roman" w:hAnsi="Book Antiqua"/>
        </w:rPr>
        <w:t xml:space="preserve"> form of pre-enactment review by an adjunct of the executive that developed informally alongside strong-form judicial review. These </w:t>
      </w:r>
      <w:r>
        <w:rPr>
          <w:rFonts w:ascii="Book Antiqua" w:eastAsia="Times New Roman" w:hAnsi="Book Antiqua"/>
        </w:rPr>
        <w:t>examples have not been considered in detail in the literature on political constitutionalism. Perhaps this is because the</w:t>
      </w:r>
      <w:r w:rsidR="006F0034">
        <w:rPr>
          <w:rFonts w:ascii="Book Antiqua" w:eastAsia="Times New Roman" w:hAnsi="Book Antiqua"/>
        </w:rPr>
        <w:t>se</w:t>
      </w:r>
      <w:r>
        <w:rPr>
          <w:rFonts w:ascii="Book Antiqua" w:eastAsia="Times New Roman" w:hAnsi="Book Antiqua"/>
        </w:rPr>
        <w:t xml:space="preserve"> practice</w:t>
      </w:r>
      <w:r w:rsidR="006F0034">
        <w:rPr>
          <w:rFonts w:ascii="Book Antiqua" w:eastAsia="Times New Roman" w:hAnsi="Book Antiqua"/>
        </w:rPr>
        <w:t>s</w:t>
      </w:r>
      <w:r>
        <w:rPr>
          <w:rFonts w:ascii="Book Antiqua" w:eastAsia="Times New Roman" w:hAnsi="Book Antiqua"/>
        </w:rPr>
        <w:t xml:space="preserve"> predate recent focus on this topic in the context of New</w:t>
      </w:r>
      <w:r w:rsidR="00F16594">
        <w:rPr>
          <w:rFonts w:ascii="Book Antiqua" w:eastAsia="Times New Roman" w:hAnsi="Book Antiqua"/>
        </w:rPr>
        <w:t xml:space="preserve"> Commonwealth Constitutionalism.</w:t>
      </w:r>
      <w:r>
        <w:rPr>
          <w:rFonts w:ascii="Book Antiqua" w:eastAsia="Times New Roman" w:hAnsi="Book Antiqua"/>
        </w:rPr>
        <w:t xml:space="preserve"> Perhaps it is because the jurisdictions themselves have not had a great deal of critical analysis of the role of pre-enactment review</w:t>
      </w:r>
      <w:r w:rsidR="00560D44">
        <w:rPr>
          <w:rFonts w:ascii="Book Antiqua" w:eastAsia="Times New Roman" w:hAnsi="Book Antiqua"/>
        </w:rPr>
        <w:t xml:space="preserve"> that might bring the practices to the attention of scholars</w:t>
      </w:r>
      <w:r w:rsidR="00217867">
        <w:rPr>
          <w:rFonts w:ascii="Book Antiqua" w:eastAsia="Times New Roman" w:hAnsi="Book Antiqua"/>
        </w:rPr>
        <w:t>.</w:t>
      </w:r>
      <w:r w:rsidR="00F16594">
        <w:rPr>
          <w:rFonts w:ascii="Book Antiqua" w:eastAsia="Times New Roman" w:hAnsi="Book Antiqua"/>
        </w:rPr>
        <w:t xml:space="preserve"> </w:t>
      </w:r>
      <w:r w:rsidR="00217867">
        <w:rPr>
          <w:rFonts w:ascii="Book Antiqua" w:eastAsia="Times New Roman" w:hAnsi="Book Antiqua"/>
        </w:rPr>
        <w:t>T</w:t>
      </w:r>
      <w:r w:rsidR="00226DBD">
        <w:rPr>
          <w:rFonts w:ascii="Book Antiqua" w:eastAsia="Times New Roman" w:hAnsi="Book Antiqua"/>
        </w:rPr>
        <w:t>he Irish example</w:t>
      </w:r>
      <w:r w:rsidR="00E74D02">
        <w:rPr>
          <w:rFonts w:ascii="Book Antiqua" w:eastAsia="Times New Roman" w:hAnsi="Book Antiqua"/>
        </w:rPr>
        <w:t xml:space="preserve"> </w:t>
      </w:r>
      <w:r w:rsidR="00217867">
        <w:rPr>
          <w:rFonts w:ascii="Book Antiqua" w:eastAsia="Times New Roman" w:hAnsi="Book Antiqua"/>
        </w:rPr>
        <w:t xml:space="preserve">is </w:t>
      </w:r>
      <w:r w:rsidR="00E74D02">
        <w:rPr>
          <w:rFonts w:ascii="Book Antiqua" w:eastAsia="Times New Roman" w:hAnsi="Book Antiqua"/>
        </w:rPr>
        <w:t>particularly underexplored.</w:t>
      </w:r>
      <w:r>
        <w:rPr>
          <w:rFonts w:ascii="Book Antiqua" w:eastAsia="Times New Roman" w:hAnsi="Book Antiqua"/>
        </w:rPr>
        <w:t xml:space="preserve"> Whatever the reason for these examples being largely overlooked</w:t>
      </w:r>
      <w:r w:rsidR="00395C03">
        <w:rPr>
          <w:rFonts w:ascii="Book Antiqua" w:eastAsia="Times New Roman" w:hAnsi="Book Antiqua"/>
        </w:rPr>
        <w:t xml:space="preserve"> to date</w:t>
      </w:r>
      <w:r>
        <w:rPr>
          <w:rFonts w:ascii="Book Antiqua" w:eastAsia="Times New Roman" w:hAnsi="Book Antiqua"/>
        </w:rPr>
        <w:t>,</w:t>
      </w:r>
      <w:r w:rsidR="00395C03">
        <w:rPr>
          <w:rFonts w:ascii="Book Antiqua" w:eastAsia="Times New Roman" w:hAnsi="Book Antiqua"/>
        </w:rPr>
        <w:t xml:space="preserve"> we think they add an important dimension to this discussion and deserve proper consideration.</w:t>
      </w:r>
    </w:p>
    <w:p w14:paraId="6800E241" w14:textId="77777777" w:rsidR="001C62CC" w:rsidRDefault="001C62CC" w:rsidP="00A36A90">
      <w:pPr>
        <w:spacing w:line="360" w:lineRule="auto"/>
        <w:jc w:val="both"/>
        <w:rPr>
          <w:rFonts w:ascii="Book Antiqua" w:eastAsia="Times New Roman" w:hAnsi="Book Antiqua"/>
          <w:u w:val="single"/>
        </w:rPr>
      </w:pPr>
    </w:p>
    <w:p w14:paraId="19AE39D6" w14:textId="7E8C50B3" w:rsidR="00347E16" w:rsidRPr="00A36A90" w:rsidRDefault="00347E16" w:rsidP="00735395">
      <w:pPr>
        <w:spacing w:line="360" w:lineRule="auto"/>
        <w:jc w:val="both"/>
        <w:outlineLvl w:val="1"/>
        <w:rPr>
          <w:rFonts w:ascii="Book Antiqua" w:eastAsia="Times New Roman" w:hAnsi="Book Antiqua"/>
          <w:u w:val="single"/>
        </w:rPr>
      </w:pPr>
      <w:r w:rsidRPr="00347E16">
        <w:rPr>
          <w:rFonts w:ascii="Book Antiqua" w:eastAsia="Times New Roman" w:hAnsi="Book Antiqua"/>
          <w:u w:val="single"/>
        </w:rPr>
        <w:t>Japan</w:t>
      </w:r>
      <w:r>
        <w:rPr>
          <w:rFonts w:ascii="Book Antiqua" w:eastAsia="Times New Roman" w:hAnsi="Book Antiqua"/>
          <w:u w:val="single"/>
        </w:rPr>
        <w:t>’s Cabinet Legislation Bureau</w:t>
      </w:r>
    </w:p>
    <w:p w14:paraId="7B6572CA" w14:textId="7A23AB8A" w:rsidR="003F01C9" w:rsidRDefault="003F01C9" w:rsidP="00A36A90">
      <w:pPr>
        <w:spacing w:line="360" w:lineRule="auto"/>
        <w:jc w:val="both"/>
        <w:rPr>
          <w:rFonts w:ascii="Book Antiqua" w:hAnsi="Book Antiqua"/>
        </w:rPr>
      </w:pPr>
      <w:r w:rsidRPr="00121BA7">
        <w:rPr>
          <w:rFonts w:ascii="Book Antiqua" w:eastAsia="Times New Roman" w:hAnsi="Book Antiqua"/>
        </w:rPr>
        <w:t>The Cabinet Legislation Bureau (</w:t>
      </w:r>
      <w:r w:rsidR="00F17569">
        <w:rPr>
          <w:rFonts w:ascii="Book Antiqua" w:eastAsia="Times New Roman" w:hAnsi="Book Antiqua"/>
        </w:rPr>
        <w:t>“</w:t>
      </w:r>
      <w:r w:rsidRPr="00A36A90">
        <w:rPr>
          <w:rFonts w:ascii="Book Antiqua" w:eastAsia="Times New Roman" w:hAnsi="Book Antiqua"/>
        </w:rPr>
        <w:t>CLB</w:t>
      </w:r>
      <w:r w:rsidR="00F17569">
        <w:rPr>
          <w:rFonts w:ascii="Book Antiqua" w:eastAsia="Times New Roman" w:hAnsi="Book Antiqua"/>
        </w:rPr>
        <w:t>”</w:t>
      </w:r>
      <w:r w:rsidRPr="00121BA7">
        <w:rPr>
          <w:rFonts w:ascii="Book Antiqua" w:eastAsia="Times New Roman" w:hAnsi="Book Antiqua"/>
        </w:rPr>
        <w:t>) is charged with conducting the pre-enactment review of legislation in Japan</w:t>
      </w:r>
      <w:r w:rsidR="006E5AF1">
        <w:rPr>
          <w:rFonts w:ascii="Book Antiqua" w:eastAsia="Times New Roman" w:hAnsi="Book Antiqua"/>
        </w:rPr>
        <w:t>,</w:t>
      </w:r>
      <w:r>
        <w:rPr>
          <w:rStyle w:val="FootnoteReference"/>
          <w:rFonts w:ascii="Book Antiqua" w:eastAsia="Times New Roman" w:hAnsi="Book Antiqua"/>
        </w:rPr>
        <w:footnoteReference w:id="46"/>
      </w:r>
      <w:r w:rsidRPr="00121BA7">
        <w:rPr>
          <w:rFonts w:ascii="Book Antiqua" w:eastAsia="Times New Roman" w:hAnsi="Book Antiqua"/>
        </w:rPr>
        <w:t xml:space="preserve"> </w:t>
      </w:r>
      <w:r w:rsidR="006E5AF1">
        <w:rPr>
          <w:rFonts w:ascii="Book Antiqua" w:eastAsia="Times New Roman" w:hAnsi="Book Antiqua"/>
        </w:rPr>
        <w:t xml:space="preserve">and </w:t>
      </w:r>
      <w:r w:rsidR="00C648FD">
        <w:rPr>
          <w:rFonts w:ascii="Book Antiqua" w:eastAsia="Times New Roman" w:hAnsi="Book Antiqua"/>
        </w:rPr>
        <w:t>is a</w:t>
      </w:r>
      <w:r w:rsidRPr="00121BA7">
        <w:rPr>
          <w:rFonts w:ascii="Book Antiqua" w:eastAsia="Times New Roman" w:hAnsi="Book Antiqua"/>
        </w:rPr>
        <w:t xml:space="preserve"> key advisory organ to the government</w:t>
      </w:r>
      <w:r w:rsidR="00C648FD">
        <w:rPr>
          <w:rFonts w:ascii="Book Antiqua" w:eastAsia="Times New Roman" w:hAnsi="Book Antiqua"/>
        </w:rPr>
        <w:t xml:space="preserve"> over legal and constitutional affairs</w:t>
      </w:r>
      <w:r w:rsidRPr="00121BA7">
        <w:rPr>
          <w:rFonts w:ascii="Book Antiqua" w:eastAsia="Times New Roman" w:hAnsi="Book Antiqua"/>
        </w:rPr>
        <w:t xml:space="preserve">. </w:t>
      </w:r>
      <w:r w:rsidRPr="00121BA7">
        <w:rPr>
          <w:rFonts w:ascii="Book Antiqua" w:hAnsi="Book Antiqua"/>
        </w:rPr>
        <w:t>The Bureau consists of a director-</w:t>
      </w:r>
      <w:r w:rsidRPr="00121BA7">
        <w:rPr>
          <w:rFonts w:ascii="Book Antiqua" w:hAnsi="Book Antiqua"/>
        </w:rPr>
        <w:lastRenderedPageBreak/>
        <w:t xml:space="preserve">general, a deputy director-general, and four departments, as well as the General Affairs Office. </w:t>
      </w:r>
      <w:r w:rsidR="00CD7B22">
        <w:rPr>
          <w:rFonts w:ascii="Book Antiqua" w:hAnsi="Book Antiqua"/>
        </w:rPr>
        <w:t>Each</w:t>
      </w:r>
      <w:r w:rsidRPr="00121BA7">
        <w:rPr>
          <w:rFonts w:ascii="Book Antiqua" w:hAnsi="Book Antiqua"/>
        </w:rPr>
        <w:t xml:space="preserve"> department consist</w:t>
      </w:r>
      <w:r w:rsidR="00CD7B22">
        <w:rPr>
          <w:rFonts w:ascii="Book Antiqua" w:hAnsi="Book Antiqua"/>
        </w:rPr>
        <w:t>s</w:t>
      </w:r>
      <w:r w:rsidRPr="00121BA7">
        <w:rPr>
          <w:rFonts w:ascii="Book Antiqua" w:hAnsi="Book Antiqua"/>
        </w:rPr>
        <w:t xml:space="preserve"> of a department director and 5 or 6 </w:t>
      </w:r>
      <w:r w:rsidR="006E5AF1" w:rsidRPr="00121BA7">
        <w:rPr>
          <w:rFonts w:ascii="Book Antiqua" w:hAnsi="Book Antiqua"/>
        </w:rPr>
        <w:t>councilors</w:t>
      </w:r>
      <w:r w:rsidRPr="00121BA7">
        <w:rPr>
          <w:rFonts w:ascii="Book Antiqua" w:hAnsi="Book Antiqua"/>
        </w:rPr>
        <w:t xml:space="preserve">, along with a staff of several </w:t>
      </w:r>
      <w:r w:rsidR="00C648FD">
        <w:rPr>
          <w:rFonts w:ascii="Book Antiqua" w:hAnsi="Book Antiqua"/>
        </w:rPr>
        <w:t>clerical assistants</w:t>
      </w:r>
      <w:r w:rsidRPr="00121BA7">
        <w:rPr>
          <w:rFonts w:ascii="Book Antiqua" w:hAnsi="Book Antiqua"/>
        </w:rPr>
        <w:t>.</w:t>
      </w:r>
      <w:r>
        <w:rPr>
          <w:rStyle w:val="FootnoteReference"/>
          <w:rFonts w:ascii="Book Antiqua" w:hAnsi="Book Antiqua"/>
        </w:rPr>
        <w:footnoteReference w:id="47"/>
      </w:r>
      <w:r w:rsidRPr="00121BA7">
        <w:rPr>
          <w:rFonts w:ascii="Book Antiqua" w:hAnsi="Book Antiqua"/>
        </w:rPr>
        <w:t xml:space="preserve"> The </w:t>
      </w:r>
      <w:r w:rsidR="006E5AF1" w:rsidRPr="00121BA7">
        <w:rPr>
          <w:rFonts w:ascii="Book Antiqua" w:hAnsi="Book Antiqua"/>
        </w:rPr>
        <w:t>councilors</w:t>
      </w:r>
      <w:r w:rsidRPr="00121BA7">
        <w:rPr>
          <w:rFonts w:ascii="Book Antiqua" w:hAnsi="Book Antiqua"/>
        </w:rPr>
        <w:t xml:space="preserve"> within the review departments “represent the heart of the legislative review process” and are assigned to the Cabinet</w:t>
      </w:r>
      <w:r w:rsidR="009F06CB">
        <w:rPr>
          <w:rFonts w:ascii="Book Antiqua" w:hAnsi="Book Antiqua"/>
        </w:rPr>
        <w:t xml:space="preserve"> Legislation Bureau from other </w:t>
      </w:r>
      <w:r w:rsidRPr="00121BA7">
        <w:rPr>
          <w:rFonts w:ascii="Book Antiqua" w:hAnsi="Book Antiqua"/>
        </w:rPr>
        <w:t>ministries and agencies and</w:t>
      </w:r>
      <w:r w:rsidR="009F06CB">
        <w:rPr>
          <w:rFonts w:ascii="Book Antiqua" w:hAnsi="Book Antiqua"/>
        </w:rPr>
        <w:t xml:space="preserve"> include judges and prosecutors</w:t>
      </w:r>
      <w:r w:rsidRPr="00121BA7">
        <w:rPr>
          <w:rFonts w:ascii="Book Antiqua" w:hAnsi="Book Antiqua"/>
        </w:rPr>
        <w:t>.</w:t>
      </w:r>
      <w:r>
        <w:rPr>
          <w:rStyle w:val="FootnoteReference"/>
          <w:rFonts w:ascii="Book Antiqua" w:hAnsi="Book Antiqua"/>
        </w:rPr>
        <w:footnoteReference w:id="48"/>
      </w:r>
      <w:r w:rsidRPr="00121BA7">
        <w:rPr>
          <w:rFonts w:ascii="Book Antiqua" w:hAnsi="Book Antiqua"/>
        </w:rPr>
        <w:t xml:space="preserve"> </w:t>
      </w:r>
      <w:r w:rsidRPr="00121BA7">
        <w:rPr>
          <w:rFonts w:ascii="Book Antiqua" w:eastAsia="Times New Roman" w:hAnsi="Book Antiqua"/>
        </w:rPr>
        <w:t xml:space="preserve">Membership of the CLB is regarded as a demanding and elite appointment </w:t>
      </w:r>
      <w:r w:rsidR="00A03DC7">
        <w:rPr>
          <w:rFonts w:ascii="Book Antiqua" w:eastAsia="Times New Roman" w:hAnsi="Book Antiqua"/>
        </w:rPr>
        <w:t xml:space="preserve">(usually for three years) </w:t>
      </w:r>
      <w:r w:rsidRPr="00121BA7">
        <w:rPr>
          <w:rFonts w:ascii="Book Antiqua" w:eastAsia="Times New Roman" w:hAnsi="Book Antiqua"/>
        </w:rPr>
        <w:t xml:space="preserve">and a </w:t>
      </w:r>
      <w:r w:rsidR="00CD7B22">
        <w:rPr>
          <w:rFonts w:ascii="Book Antiqua" w:eastAsia="Times New Roman" w:hAnsi="Book Antiqua"/>
        </w:rPr>
        <w:t>key step on the career path of</w:t>
      </w:r>
      <w:r w:rsidRPr="00121BA7">
        <w:rPr>
          <w:rFonts w:ascii="Book Antiqua" w:eastAsia="Times New Roman" w:hAnsi="Book Antiqua"/>
        </w:rPr>
        <w:t xml:space="preserve"> top-flight government lawyer</w:t>
      </w:r>
      <w:r w:rsidR="00CD7B22">
        <w:rPr>
          <w:rFonts w:ascii="Book Antiqua" w:eastAsia="Times New Roman" w:hAnsi="Book Antiqua"/>
        </w:rPr>
        <w:t>s</w:t>
      </w:r>
      <w:r w:rsidRPr="00121BA7">
        <w:rPr>
          <w:rFonts w:ascii="Book Antiqua" w:eastAsia="Times New Roman" w:hAnsi="Book Antiqua"/>
        </w:rPr>
        <w:t>.</w:t>
      </w:r>
      <w:r>
        <w:rPr>
          <w:rStyle w:val="FootnoteReference"/>
          <w:rFonts w:ascii="Book Antiqua" w:hAnsi="Book Antiqua"/>
        </w:rPr>
        <w:footnoteReference w:id="49"/>
      </w:r>
    </w:p>
    <w:p w14:paraId="7DF1B7AD" w14:textId="77777777" w:rsidR="003F01C9" w:rsidRDefault="003F01C9" w:rsidP="00716219">
      <w:pPr>
        <w:spacing w:line="360" w:lineRule="auto"/>
        <w:ind w:firstLine="720"/>
        <w:jc w:val="both"/>
        <w:rPr>
          <w:rFonts w:ascii="Book Antiqua" w:eastAsia="Times New Roman" w:hAnsi="Book Antiqua"/>
        </w:rPr>
      </w:pPr>
    </w:p>
    <w:p w14:paraId="5DB3FE75" w14:textId="6AE9AFF5" w:rsidR="00C648FD" w:rsidRDefault="003F01C9" w:rsidP="00805C34">
      <w:pPr>
        <w:spacing w:line="360" w:lineRule="auto"/>
        <w:jc w:val="both"/>
        <w:rPr>
          <w:rFonts w:ascii="Book Antiqua" w:eastAsia="Times New Roman" w:hAnsi="Book Antiqua"/>
        </w:rPr>
      </w:pPr>
      <w:r w:rsidRPr="00121BA7">
        <w:rPr>
          <w:rFonts w:ascii="Book Antiqua" w:eastAsia="Times New Roman" w:hAnsi="Book Antiqua"/>
        </w:rPr>
        <w:t xml:space="preserve">The institution has two formal tasks: to provide opinions to the Prime Minister and the Cabinet on legal issues; </w:t>
      </w:r>
      <w:r w:rsidR="003F026A">
        <w:rPr>
          <w:rFonts w:ascii="Book Antiqua" w:eastAsia="Times New Roman" w:hAnsi="Book Antiqua"/>
        </w:rPr>
        <w:t>and</w:t>
      </w:r>
      <w:r w:rsidRPr="00121BA7">
        <w:rPr>
          <w:rFonts w:ascii="Book Antiqua" w:eastAsia="Times New Roman" w:hAnsi="Book Antiqua"/>
        </w:rPr>
        <w:t xml:space="preserve"> to examine drafts of all bills, regulations, Cabinet orders, and treaties for consistency with the constitution and legal precedents. The pre-enactment review undertaken by the CLB </w:t>
      </w:r>
      <w:r w:rsidR="00E05C66">
        <w:rPr>
          <w:rFonts w:ascii="Book Antiqua" w:eastAsia="Times New Roman" w:hAnsi="Book Antiqua"/>
        </w:rPr>
        <w:t>is said to take</w:t>
      </w:r>
      <w:r w:rsidRPr="00121BA7">
        <w:rPr>
          <w:rFonts w:ascii="Book Antiqua" w:eastAsia="Times New Roman" w:hAnsi="Book Antiqua"/>
        </w:rPr>
        <w:t xml:space="preserve"> the form of meticulous exam</w:t>
      </w:r>
      <w:r w:rsidR="00955291">
        <w:rPr>
          <w:rFonts w:ascii="Book Antiqua" w:eastAsia="Times New Roman" w:hAnsi="Book Antiqua"/>
        </w:rPr>
        <w:t>ination of every bill proposed for</w:t>
      </w:r>
      <w:r w:rsidRPr="00121BA7">
        <w:rPr>
          <w:rFonts w:ascii="Book Antiqua" w:hAnsi="Book Antiqua"/>
        </w:rPr>
        <w:t xml:space="preserve"> constitutionality.</w:t>
      </w:r>
      <w:r>
        <w:rPr>
          <w:rStyle w:val="FootnoteReference"/>
          <w:rFonts w:ascii="Book Antiqua" w:hAnsi="Book Antiqua"/>
        </w:rPr>
        <w:footnoteReference w:id="50"/>
      </w:r>
      <w:r w:rsidR="00CA26A6">
        <w:rPr>
          <w:rFonts w:ascii="Book Antiqua" w:hAnsi="Book Antiqua"/>
        </w:rPr>
        <w:t xml:space="preserve"> </w:t>
      </w:r>
      <w:r w:rsidR="00805C34">
        <w:rPr>
          <w:rFonts w:ascii="Book Antiqua" w:hAnsi="Book Antiqua"/>
        </w:rPr>
        <w:t xml:space="preserve">The </w:t>
      </w:r>
      <w:r w:rsidR="00CA26A6" w:rsidRPr="00121BA7">
        <w:rPr>
          <w:rFonts w:ascii="Book Antiqua" w:hAnsi="Book Antiqua"/>
        </w:rPr>
        <w:t>CLB's</w:t>
      </w:r>
      <w:r w:rsidR="00C648FD">
        <w:rPr>
          <w:rFonts w:ascii="Book Antiqua" w:hAnsi="Book Antiqua"/>
        </w:rPr>
        <w:t xml:space="preserve"> systemic</w:t>
      </w:r>
      <w:r w:rsidR="00CA26A6" w:rsidRPr="00121BA7">
        <w:rPr>
          <w:rFonts w:ascii="Book Antiqua" w:hAnsi="Book Antiqua"/>
        </w:rPr>
        <w:t xml:space="preserve"> pre-enactment </w:t>
      </w:r>
      <w:r w:rsidR="00955291">
        <w:rPr>
          <w:rFonts w:ascii="Book Antiqua" w:hAnsi="Book Antiqua"/>
        </w:rPr>
        <w:t>review is partly</w:t>
      </w:r>
      <w:r w:rsidR="00C648FD">
        <w:rPr>
          <w:rFonts w:ascii="Book Antiqua" w:hAnsi="Book Antiqua"/>
        </w:rPr>
        <w:t xml:space="preserve"> motivated out of a desire</w:t>
      </w:r>
      <w:r w:rsidR="00955291">
        <w:rPr>
          <w:rFonts w:ascii="Book Antiqua" w:hAnsi="Book Antiqua"/>
        </w:rPr>
        <w:t xml:space="preserve"> to </w:t>
      </w:r>
      <w:r w:rsidR="00CA26A6" w:rsidRPr="00121BA7">
        <w:rPr>
          <w:rFonts w:ascii="Book Antiqua" w:hAnsi="Book Antiqua"/>
        </w:rPr>
        <w:t xml:space="preserve">avoid the type of </w:t>
      </w:r>
      <w:r w:rsidR="00955291">
        <w:rPr>
          <w:rFonts w:ascii="Book Antiqua" w:hAnsi="Book Antiqua"/>
        </w:rPr>
        <w:t>“</w:t>
      </w:r>
      <w:r w:rsidR="00CA26A6" w:rsidRPr="00121BA7">
        <w:rPr>
          <w:rFonts w:ascii="Book Antiqua" w:hAnsi="Book Antiqua"/>
        </w:rPr>
        <w:t>legal confusion seen in the United States when legislative decisions are found to be unconstitutional by courts after their enactment.”</w:t>
      </w:r>
      <w:r w:rsidR="00CA26A6">
        <w:rPr>
          <w:rStyle w:val="FootnoteReference"/>
          <w:rFonts w:ascii="Book Antiqua" w:hAnsi="Book Antiqua"/>
        </w:rPr>
        <w:footnoteReference w:id="51"/>
      </w:r>
      <w:r w:rsidR="00CA26A6">
        <w:rPr>
          <w:rFonts w:ascii="Book Antiqua" w:eastAsia="Times New Roman" w:hAnsi="Book Antiqua"/>
        </w:rPr>
        <w:t xml:space="preserve"> </w:t>
      </w:r>
      <w:r w:rsidR="00CA26A6" w:rsidRPr="00121BA7">
        <w:rPr>
          <w:rFonts w:ascii="Book Antiqua" w:eastAsia="Times New Roman" w:hAnsi="Book Antiqua"/>
        </w:rPr>
        <w:t xml:space="preserve">While </w:t>
      </w:r>
      <w:r w:rsidR="005F6564">
        <w:rPr>
          <w:rFonts w:ascii="Book Antiqua" w:eastAsia="Times New Roman" w:hAnsi="Book Antiqua"/>
        </w:rPr>
        <w:t>the CLB’s systemic form of pre-enactment review has</w:t>
      </w:r>
      <w:r w:rsidR="00CA26A6" w:rsidRPr="00121BA7">
        <w:rPr>
          <w:rFonts w:ascii="Book Antiqua" w:eastAsia="Times New Roman" w:hAnsi="Book Antiqua"/>
        </w:rPr>
        <w:t xml:space="preserve"> no basis in constitutional text,</w:t>
      </w:r>
      <w:r w:rsidR="009F06CB">
        <w:rPr>
          <w:rFonts w:ascii="Book Antiqua" w:eastAsia="Times New Roman" w:hAnsi="Book Antiqua"/>
        </w:rPr>
        <w:t xml:space="preserve"> it has</w:t>
      </w:r>
      <w:r w:rsidR="009F06CB" w:rsidRPr="00121BA7">
        <w:rPr>
          <w:rFonts w:ascii="Book Antiqua" w:eastAsia="Times New Roman" w:hAnsi="Book Antiqua"/>
        </w:rPr>
        <w:t xml:space="preserve"> become a core feat</w:t>
      </w:r>
      <w:r w:rsidR="009F06CB">
        <w:rPr>
          <w:rFonts w:ascii="Book Antiqua" w:eastAsia="Times New Roman" w:hAnsi="Book Antiqua"/>
        </w:rPr>
        <w:t xml:space="preserve">ure of constitutional practice and </w:t>
      </w:r>
      <w:r w:rsidR="00CA26A6" w:rsidRPr="00121BA7">
        <w:rPr>
          <w:rFonts w:ascii="Book Antiqua" w:eastAsia="Times New Roman" w:hAnsi="Book Antiqua"/>
        </w:rPr>
        <w:t>the</w:t>
      </w:r>
      <w:r w:rsidR="00CA26A6">
        <w:rPr>
          <w:rFonts w:ascii="Book Antiqua" w:eastAsia="Times New Roman" w:hAnsi="Book Antiqua"/>
        </w:rPr>
        <w:t xml:space="preserve"> </w:t>
      </w:r>
      <w:r w:rsidR="00955291">
        <w:rPr>
          <w:rFonts w:ascii="Book Antiqua" w:eastAsia="Times New Roman" w:hAnsi="Book Antiqua"/>
        </w:rPr>
        <w:t xml:space="preserve">political force of </w:t>
      </w:r>
      <w:r w:rsidR="005F6564">
        <w:rPr>
          <w:rFonts w:ascii="Book Antiqua" w:eastAsia="Times New Roman" w:hAnsi="Book Antiqua"/>
        </w:rPr>
        <w:t>its</w:t>
      </w:r>
      <w:r w:rsidR="00CA26A6" w:rsidRPr="00121BA7">
        <w:rPr>
          <w:rFonts w:ascii="Book Antiqua" w:eastAsia="Times New Roman" w:hAnsi="Book Antiqua"/>
        </w:rPr>
        <w:t xml:space="preserve"> interpretations </w:t>
      </w:r>
      <w:r w:rsidR="00805C34">
        <w:rPr>
          <w:rFonts w:ascii="Book Antiqua" w:eastAsia="Times New Roman" w:hAnsi="Book Antiqua"/>
        </w:rPr>
        <w:t xml:space="preserve">is </w:t>
      </w:r>
      <w:r w:rsidR="005F6564">
        <w:rPr>
          <w:rFonts w:ascii="Book Antiqua" w:eastAsia="Times New Roman" w:hAnsi="Book Antiqua"/>
        </w:rPr>
        <w:t>considerable</w:t>
      </w:r>
      <w:r w:rsidR="009F06CB">
        <w:rPr>
          <w:rFonts w:ascii="Book Antiqua" w:eastAsia="Times New Roman" w:hAnsi="Book Antiqua"/>
        </w:rPr>
        <w:t>.</w:t>
      </w:r>
      <w:r w:rsidR="00FB6349">
        <w:rPr>
          <w:rStyle w:val="FootnoteReference"/>
          <w:rFonts w:ascii="Book Antiqua" w:eastAsia="Times New Roman" w:hAnsi="Book Antiqua"/>
        </w:rPr>
        <w:footnoteReference w:id="52"/>
      </w:r>
      <w:r w:rsidR="009F06CB">
        <w:rPr>
          <w:rFonts w:ascii="Book Antiqua" w:eastAsia="Times New Roman" w:hAnsi="Book Antiqua"/>
        </w:rPr>
        <w:t xml:space="preserve"> </w:t>
      </w:r>
      <w:r w:rsidR="005F6564">
        <w:rPr>
          <w:rFonts w:ascii="Book Antiqua" w:eastAsia="Times New Roman" w:hAnsi="Book Antiqua"/>
        </w:rPr>
        <w:t>Its</w:t>
      </w:r>
      <w:r w:rsidR="0076597C" w:rsidRPr="00121BA7">
        <w:rPr>
          <w:rFonts w:ascii="Book Antiqua" w:eastAsia="Times New Roman" w:hAnsi="Book Antiqua"/>
        </w:rPr>
        <w:t xml:space="preserve"> substantial influence has at times attracted political controversy precisely because of the fact the constitution mentions nothing about its advisory role.</w:t>
      </w:r>
      <w:r w:rsidR="0076597C">
        <w:rPr>
          <w:rStyle w:val="FootnoteReference"/>
          <w:rFonts w:ascii="Book Antiqua" w:eastAsia="Times New Roman" w:hAnsi="Book Antiqua"/>
        </w:rPr>
        <w:footnoteReference w:id="53"/>
      </w:r>
      <w:r w:rsidR="0076597C">
        <w:rPr>
          <w:rFonts w:ascii="Book Antiqua" w:eastAsia="Times New Roman" w:hAnsi="Book Antiqua"/>
        </w:rPr>
        <w:t xml:space="preserve"> </w:t>
      </w:r>
    </w:p>
    <w:p w14:paraId="743CDBF8" w14:textId="77777777" w:rsidR="00E05C66" w:rsidRPr="00A36A90" w:rsidRDefault="00E05C66" w:rsidP="00A36A90">
      <w:pPr>
        <w:rPr>
          <w:i/>
        </w:rPr>
      </w:pPr>
    </w:p>
    <w:p w14:paraId="1E48BD69" w14:textId="3F4B3388" w:rsidR="005C578E" w:rsidRPr="00F603FC" w:rsidRDefault="00BF0BA7" w:rsidP="00AF44F1">
      <w:pPr>
        <w:spacing w:line="360" w:lineRule="auto"/>
        <w:jc w:val="both"/>
        <w:rPr>
          <w:rFonts w:ascii="Book Antiqua" w:hAnsi="Book Antiqua"/>
        </w:rPr>
      </w:pPr>
      <w:r>
        <w:rPr>
          <w:rFonts w:ascii="Book Antiqua" w:eastAsia="Times New Roman" w:hAnsi="Book Antiqua"/>
        </w:rPr>
        <w:t>Given that</w:t>
      </w:r>
      <w:r w:rsidR="0006485A">
        <w:rPr>
          <w:rFonts w:ascii="Book Antiqua" w:eastAsia="Times New Roman" w:hAnsi="Book Antiqua"/>
        </w:rPr>
        <w:t xml:space="preserve"> the CLB </w:t>
      </w:r>
      <w:r>
        <w:rPr>
          <w:rFonts w:ascii="Book Antiqua" w:eastAsia="Times New Roman" w:hAnsi="Book Antiqua"/>
        </w:rPr>
        <w:t>is regarded</w:t>
      </w:r>
      <w:r w:rsidR="0006485A">
        <w:rPr>
          <w:rFonts w:ascii="Book Antiqua" w:eastAsia="Times New Roman" w:hAnsi="Book Antiqua"/>
        </w:rPr>
        <w:t xml:space="preserve"> </w:t>
      </w:r>
      <w:r>
        <w:rPr>
          <w:rFonts w:ascii="Book Antiqua" w:eastAsia="Times New Roman" w:hAnsi="Book Antiqua"/>
        </w:rPr>
        <w:t>as</w:t>
      </w:r>
      <w:r w:rsidR="0006485A">
        <w:rPr>
          <w:rFonts w:ascii="Book Antiqua" w:eastAsia="Times New Roman" w:hAnsi="Book Antiqua"/>
        </w:rPr>
        <w:t xml:space="preserve"> a “far more influential arbiter of the law than the Supreme Court”</w:t>
      </w:r>
      <w:r w:rsidR="0006485A">
        <w:rPr>
          <w:rStyle w:val="FootnoteReference"/>
          <w:rFonts w:ascii="Book Antiqua" w:eastAsia="Times New Roman" w:hAnsi="Book Antiqua"/>
        </w:rPr>
        <w:footnoteReference w:id="54"/>
      </w:r>
      <w:r w:rsidR="0006485A">
        <w:rPr>
          <w:rFonts w:ascii="Book Antiqua" w:eastAsia="Times New Roman" w:hAnsi="Book Antiqua"/>
        </w:rPr>
        <w:t xml:space="preserve"> it is no surprise that</w:t>
      </w:r>
      <w:r w:rsidR="0006485A" w:rsidRPr="00AF44F1">
        <w:rPr>
          <w:rFonts w:ascii="Book Antiqua" w:eastAsia="Times New Roman" w:hAnsi="Book Antiqua"/>
        </w:rPr>
        <w:t xml:space="preserve"> </w:t>
      </w:r>
      <w:r w:rsidR="0006485A">
        <w:rPr>
          <w:rFonts w:ascii="Book Antiqua" w:eastAsia="Times New Roman" w:hAnsi="Book Antiqua"/>
        </w:rPr>
        <w:t xml:space="preserve">its work </w:t>
      </w:r>
      <w:r w:rsidR="00A77F54">
        <w:rPr>
          <w:rFonts w:ascii="Book Antiqua" w:eastAsia="Times New Roman" w:hAnsi="Book Antiqua"/>
        </w:rPr>
        <w:t>heavily</w:t>
      </w:r>
      <w:r w:rsidR="0006485A" w:rsidRPr="00AF44F1">
        <w:rPr>
          <w:rFonts w:ascii="Book Antiqua" w:eastAsia="Times New Roman" w:hAnsi="Book Antiqua"/>
        </w:rPr>
        <w:t xml:space="preserve"> shape</w:t>
      </w:r>
      <w:r w:rsidR="00A77F54">
        <w:rPr>
          <w:rFonts w:ascii="Book Antiqua" w:eastAsia="Times New Roman" w:hAnsi="Book Antiqua"/>
        </w:rPr>
        <w:t>s</w:t>
      </w:r>
      <w:r w:rsidR="00C53E9A">
        <w:rPr>
          <w:rFonts w:ascii="Book Antiqua" w:eastAsia="Times New Roman" w:hAnsi="Book Antiqua"/>
        </w:rPr>
        <w:t xml:space="preserve"> executive </w:t>
      </w:r>
      <w:r w:rsidR="00C53E9A">
        <w:rPr>
          <w:rFonts w:ascii="Book Antiqua" w:eastAsia="Times New Roman" w:hAnsi="Book Antiqua"/>
        </w:rPr>
        <w:lastRenderedPageBreak/>
        <w:t>policy</w:t>
      </w:r>
      <w:r w:rsidR="0006485A" w:rsidRPr="00AF44F1">
        <w:rPr>
          <w:rFonts w:ascii="Book Antiqua" w:eastAsia="Times New Roman" w:hAnsi="Book Antiqua"/>
        </w:rPr>
        <w:t>making</w:t>
      </w:r>
      <w:r w:rsidR="0006485A">
        <w:rPr>
          <w:rFonts w:ascii="Book Antiqua" w:eastAsia="Times New Roman" w:hAnsi="Book Antiqua"/>
        </w:rPr>
        <w:t>.</w:t>
      </w:r>
      <w:r>
        <w:rPr>
          <w:rFonts w:ascii="Book Antiqua" w:eastAsia="Times New Roman" w:hAnsi="Book Antiqua"/>
        </w:rPr>
        <w:t xml:space="preserve"> </w:t>
      </w:r>
      <w:r w:rsidR="00BE5182">
        <w:rPr>
          <w:rFonts w:ascii="Book Antiqua" w:eastAsia="Times New Roman" w:hAnsi="Book Antiqua"/>
        </w:rPr>
        <w:t>D</w:t>
      </w:r>
      <w:r w:rsidR="00BE5182" w:rsidRPr="00AF44F1">
        <w:rPr>
          <w:rFonts w:ascii="Book Antiqua" w:eastAsia="Times New Roman" w:hAnsi="Book Antiqua"/>
        </w:rPr>
        <w:t>eterminations of the CLB are</w:t>
      </w:r>
      <w:r w:rsidR="00716666">
        <w:rPr>
          <w:rFonts w:ascii="Book Antiqua" w:eastAsia="Times New Roman" w:hAnsi="Book Antiqua"/>
        </w:rPr>
        <w:t xml:space="preserve"> said to be</w:t>
      </w:r>
      <w:r w:rsidR="00BE5182" w:rsidRPr="00AF44F1">
        <w:rPr>
          <w:rFonts w:ascii="Book Antiqua" w:eastAsia="Times New Roman" w:hAnsi="Book Antiqua"/>
        </w:rPr>
        <w:t xml:space="preserve"> generally regarded as </w:t>
      </w:r>
      <w:r w:rsidR="00BE5182" w:rsidRPr="00735395">
        <w:rPr>
          <w:rFonts w:ascii="Book Antiqua" w:eastAsia="Times New Roman" w:hAnsi="Book Antiqua"/>
        </w:rPr>
        <w:t>binding</w:t>
      </w:r>
      <w:r w:rsidR="00BE5182" w:rsidRPr="00AF44F1">
        <w:rPr>
          <w:rFonts w:ascii="Book Antiqua" w:eastAsia="Times New Roman" w:hAnsi="Book Antiqua"/>
        </w:rPr>
        <w:t xml:space="preserve"> </w:t>
      </w:r>
      <w:r w:rsidR="00BE5182">
        <w:rPr>
          <w:rFonts w:ascii="Book Antiqua" w:eastAsia="Times New Roman" w:hAnsi="Book Antiqua"/>
        </w:rPr>
        <w:t>by</w:t>
      </w:r>
      <w:r w:rsidR="00BE5182" w:rsidRPr="00AF44F1">
        <w:rPr>
          <w:rFonts w:ascii="Book Antiqua" w:eastAsia="Times New Roman" w:hAnsi="Book Antiqua"/>
        </w:rPr>
        <w:t xml:space="preserve"> the executive branch</w:t>
      </w:r>
      <w:r w:rsidR="008908C3">
        <w:rPr>
          <w:rFonts w:ascii="Book Antiqua" w:eastAsia="Times New Roman" w:hAnsi="Book Antiqua"/>
        </w:rPr>
        <w:t xml:space="preserve"> despite no clear constitutional basis for such a claim</w:t>
      </w:r>
      <w:r w:rsidR="00A01F6F">
        <w:rPr>
          <w:rFonts w:ascii="Book Antiqua" w:eastAsia="Times New Roman" w:hAnsi="Book Antiqua"/>
        </w:rPr>
        <w:t>.</w:t>
      </w:r>
      <w:r w:rsidR="00A34104">
        <w:rPr>
          <w:rStyle w:val="FootnoteReference"/>
          <w:rFonts w:ascii="Book Antiqua" w:eastAsia="Times New Roman" w:hAnsi="Book Antiqua"/>
        </w:rPr>
        <w:footnoteReference w:id="55"/>
      </w:r>
      <w:r w:rsidR="00BE5182">
        <w:rPr>
          <w:rFonts w:ascii="Book Antiqua" w:eastAsia="Times New Roman" w:hAnsi="Book Antiqua"/>
        </w:rPr>
        <w:t xml:space="preserve"> </w:t>
      </w:r>
      <w:r w:rsidR="00B96134">
        <w:rPr>
          <w:rFonts w:ascii="Book Antiqua" w:eastAsia="Times New Roman" w:hAnsi="Book Antiqua"/>
        </w:rPr>
        <w:t>I</w:t>
      </w:r>
      <w:r w:rsidR="005F6580">
        <w:rPr>
          <w:rFonts w:ascii="Book Antiqua" w:eastAsia="Times New Roman" w:hAnsi="Book Antiqua"/>
        </w:rPr>
        <w:t xml:space="preserve">t </w:t>
      </w:r>
      <w:r w:rsidR="00724512">
        <w:rPr>
          <w:rFonts w:ascii="Book Antiqua" w:eastAsia="Times New Roman" w:hAnsi="Book Antiqua"/>
        </w:rPr>
        <w:t xml:space="preserve">has been </w:t>
      </w:r>
      <w:r w:rsidR="002B2BBE">
        <w:rPr>
          <w:rFonts w:ascii="Book Antiqua" w:eastAsia="Times New Roman" w:hAnsi="Book Antiqua"/>
        </w:rPr>
        <w:t>said</w:t>
      </w:r>
      <w:r w:rsidR="0006485A">
        <w:rPr>
          <w:rFonts w:ascii="Book Antiqua" w:eastAsia="Times New Roman" w:hAnsi="Book Antiqua"/>
        </w:rPr>
        <w:t xml:space="preserve"> that </w:t>
      </w:r>
      <w:r w:rsidR="005F6564">
        <w:rPr>
          <w:rFonts w:ascii="Book Antiqua" w:eastAsia="Times New Roman" w:hAnsi="Book Antiqua"/>
        </w:rPr>
        <w:t>executive</w:t>
      </w:r>
      <w:r w:rsidR="0006485A">
        <w:rPr>
          <w:rFonts w:ascii="Book Antiqua" w:eastAsia="Times New Roman" w:hAnsi="Book Antiqua"/>
        </w:rPr>
        <w:t xml:space="preserve"> officials are </w:t>
      </w:r>
      <w:r w:rsidR="003D0724">
        <w:rPr>
          <w:rFonts w:ascii="Book Antiqua" w:eastAsia="Times New Roman" w:hAnsi="Book Antiqua"/>
        </w:rPr>
        <w:t xml:space="preserve">generally </w:t>
      </w:r>
      <w:r w:rsidR="005F6564">
        <w:rPr>
          <w:rFonts w:ascii="Book Antiqua" w:eastAsia="Times New Roman" w:hAnsi="Book Antiqua"/>
        </w:rPr>
        <w:t>more</w:t>
      </w:r>
      <w:r w:rsidR="0006485A">
        <w:rPr>
          <w:rFonts w:ascii="Book Antiqua" w:eastAsia="Times New Roman" w:hAnsi="Book Antiqua"/>
        </w:rPr>
        <w:t xml:space="preserve"> anxious visiting the CLB to </w:t>
      </w:r>
      <w:r w:rsidR="005F6564">
        <w:rPr>
          <w:rFonts w:ascii="Book Antiqua" w:eastAsia="Times New Roman" w:hAnsi="Book Antiqua"/>
        </w:rPr>
        <w:t>“</w:t>
      </w:r>
      <w:r w:rsidR="0006485A">
        <w:rPr>
          <w:rFonts w:ascii="Book Antiqua" w:eastAsia="Times New Roman" w:hAnsi="Book Antiqua"/>
        </w:rPr>
        <w:t>present and defend draft legislation than they are visiting the Minister of Finance to present and defend budget requests”.</w:t>
      </w:r>
      <w:r w:rsidR="008D7A42">
        <w:rPr>
          <w:rStyle w:val="FootnoteReference"/>
          <w:rFonts w:ascii="Book Antiqua" w:eastAsia="Times New Roman" w:hAnsi="Book Antiqua"/>
        </w:rPr>
        <w:footnoteReference w:id="56"/>
      </w:r>
      <w:r w:rsidR="00477540">
        <w:rPr>
          <w:rFonts w:ascii="Book Antiqua" w:eastAsia="Times New Roman" w:hAnsi="Book Antiqua"/>
        </w:rPr>
        <w:t xml:space="preserve"> </w:t>
      </w:r>
      <w:r w:rsidR="00BF7906">
        <w:rPr>
          <w:rFonts w:ascii="Book Antiqua" w:eastAsia="Times New Roman" w:hAnsi="Book Antiqua"/>
        </w:rPr>
        <w:t xml:space="preserve">The CLB </w:t>
      </w:r>
      <w:r w:rsidR="00A01F6F">
        <w:rPr>
          <w:rFonts w:ascii="Book Antiqua" w:eastAsia="Times New Roman" w:hAnsi="Book Antiqua"/>
        </w:rPr>
        <w:t xml:space="preserve">is, </w:t>
      </w:r>
      <w:r w:rsidR="00BF7906">
        <w:rPr>
          <w:rFonts w:ascii="Book Antiqua" w:eastAsia="Times New Roman" w:hAnsi="Book Antiqua"/>
        </w:rPr>
        <w:t xml:space="preserve">in effect, the gatekeeper of executive action in the Japanese legal order. </w:t>
      </w:r>
    </w:p>
    <w:p w14:paraId="70F1A638" w14:textId="77777777" w:rsidR="00FC4D6F" w:rsidRDefault="00FC4D6F" w:rsidP="00AF44F1">
      <w:pPr>
        <w:spacing w:line="360" w:lineRule="auto"/>
        <w:jc w:val="both"/>
        <w:rPr>
          <w:rFonts w:ascii="Book Antiqua" w:eastAsia="Times New Roman" w:hAnsi="Book Antiqua"/>
        </w:rPr>
      </w:pPr>
    </w:p>
    <w:p w14:paraId="35836F0F" w14:textId="27A8678E" w:rsidR="00F06F86" w:rsidRPr="00F603FC" w:rsidRDefault="00477540" w:rsidP="00F603FC">
      <w:pPr>
        <w:spacing w:line="360" w:lineRule="auto"/>
        <w:jc w:val="both"/>
        <w:rPr>
          <w:rFonts w:ascii="Book Antiqua" w:eastAsia="Times New Roman" w:hAnsi="Book Antiqua"/>
        </w:rPr>
      </w:pPr>
      <w:r>
        <w:rPr>
          <w:rFonts w:ascii="Book Antiqua" w:eastAsia="Times New Roman" w:hAnsi="Book Antiqua"/>
        </w:rPr>
        <w:t>A high-</w:t>
      </w:r>
      <w:r w:rsidR="00FC4D6F">
        <w:rPr>
          <w:rFonts w:ascii="Book Antiqua" w:eastAsia="Times New Roman" w:hAnsi="Book Antiqua"/>
        </w:rPr>
        <w:t xml:space="preserve">profile example of the CLB’s influence over </w:t>
      </w:r>
      <w:r w:rsidR="00AB3427">
        <w:rPr>
          <w:rFonts w:ascii="Book Antiqua" w:eastAsia="Times New Roman" w:hAnsi="Book Antiqua"/>
        </w:rPr>
        <w:t xml:space="preserve">important </w:t>
      </w:r>
      <w:r w:rsidR="00FC4D6F">
        <w:rPr>
          <w:rFonts w:ascii="Book Antiqua" w:eastAsia="Times New Roman" w:hAnsi="Book Antiqua"/>
        </w:rPr>
        <w:t xml:space="preserve">constitutional </w:t>
      </w:r>
      <w:r w:rsidR="00B3046A">
        <w:rPr>
          <w:rFonts w:ascii="Book Antiqua" w:eastAsia="Times New Roman" w:hAnsi="Book Antiqua"/>
        </w:rPr>
        <w:t xml:space="preserve">and </w:t>
      </w:r>
      <w:r w:rsidR="00FC4D6F">
        <w:rPr>
          <w:rFonts w:ascii="Book Antiqua" w:eastAsia="Times New Roman" w:hAnsi="Book Antiqua"/>
        </w:rPr>
        <w:t xml:space="preserve">political </w:t>
      </w:r>
      <w:r w:rsidR="00AB3427">
        <w:rPr>
          <w:rFonts w:ascii="Book Antiqua" w:eastAsia="Times New Roman" w:hAnsi="Book Antiqua"/>
        </w:rPr>
        <w:t xml:space="preserve">questions </w:t>
      </w:r>
      <w:r w:rsidR="006B52F4">
        <w:rPr>
          <w:rFonts w:ascii="Book Antiqua" w:eastAsia="Times New Roman" w:hAnsi="Book Antiqua"/>
        </w:rPr>
        <w:t>can be seen in</w:t>
      </w:r>
      <w:r>
        <w:rPr>
          <w:rFonts w:ascii="Book Antiqua" w:eastAsia="Times New Roman" w:hAnsi="Book Antiqua"/>
        </w:rPr>
        <w:t xml:space="preserve"> </w:t>
      </w:r>
      <w:r w:rsidR="00AB3427">
        <w:rPr>
          <w:rFonts w:ascii="Book Antiqua" w:eastAsia="Times New Roman" w:hAnsi="Book Antiqua"/>
        </w:rPr>
        <w:t>its role over</w:t>
      </w:r>
      <w:r w:rsidR="00B3046A">
        <w:rPr>
          <w:rFonts w:ascii="Book Antiqua" w:eastAsia="Times New Roman" w:hAnsi="Book Antiqua"/>
        </w:rPr>
        <w:t xml:space="preserve"> interpretation of Article 9 of the Japanese Constitution</w:t>
      </w:r>
      <w:r w:rsidR="00D4280A">
        <w:rPr>
          <w:rFonts w:ascii="Book Antiqua" w:eastAsia="Times New Roman" w:hAnsi="Book Antiqua"/>
        </w:rPr>
        <w:t>,</w:t>
      </w:r>
      <w:r w:rsidR="006B52F4">
        <w:rPr>
          <w:rFonts w:ascii="Book Antiqua" w:eastAsia="Times New Roman" w:hAnsi="Book Antiqua"/>
        </w:rPr>
        <w:t xml:space="preserve"> the war renunciation clause</w:t>
      </w:r>
      <w:r w:rsidR="00B3046A">
        <w:rPr>
          <w:rFonts w:ascii="Book Antiqua" w:eastAsia="Times New Roman" w:hAnsi="Book Antiqua"/>
        </w:rPr>
        <w:t xml:space="preserve">. </w:t>
      </w:r>
      <w:r w:rsidR="006E32B4" w:rsidRPr="00F603FC">
        <w:rPr>
          <w:rFonts w:ascii="Book Antiqua" w:eastAsia="Times New Roman" w:hAnsi="Book Antiqua"/>
        </w:rPr>
        <w:t xml:space="preserve">Article 9(1) </w:t>
      </w:r>
      <w:r w:rsidR="006B52F4">
        <w:rPr>
          <w:rFonts w:ascii="Book Antiqua" w:eastAsia="Times New Roman" w:hAnsi="Book Antiqua"/>
        </w:rPr>
        <w:t>provides</w:t>
      </w:r>
      <w:r w:rsidR="006E32B4" w:rsidRPr="00F603FC">
        <w:rPr>
          <w:rFonts w:ascii="Book Antiqua" w:eastAsia="Times New Roman" w:hAnsi="Book Antiqua"/>
        </w:rPr>
        <w:t>: “Aspiring sincerely to an international peace based on justice and order, the Japanese people forever renounce war as a sovereign right of the nation and the threat or use of force as means of settling international disputes.” Article 9(2) prohibits war potential: “In order to accomplish the aim of the preceding paragraph, land, sea, and air forces, as well as other war potential, will never be maintained. The right of belligerency of the</w:t>
      </w:r>
      <w:r w:rsidR="006E32B4" w:rsidRPr="006B52F4">
        <w:rPr>
          <w:rFonts w:ascii="Book Antiqua" w:eastAsia="Times New Roman" w:hAnsi="Book Antiqua"/>
        </w:rPr>
        <w:t xml:space="preserve"> state will not be recognized.”</w:t>
      </w:r>
      <w:r w:rsidR="00272EFA">
        <w:rPr>
          <w:rFonts w:ascii="Book Antiqua" w:eastAsia="Times New Roman" w:hAnsi="Book Antiqua"/>
        </w:rPr>
        <w:t xml:space="preserve"> </w:t>
      </w:r>
      <w:r w:rsidR="00E05D9F">
        <w:rPr>
          <w:rFonts w:ascii="Book Antiqua" w:hAnsi="Book Antiqua"/>
        </w:rPr>
        <w:t>Early</w:t>
      </w:r>
      <w:r w:rsidR="006F294B">
        <w:rPr>
          <w:rFonts w:ascii="Book Antiqua" w:hAnsi="Book Antiqua"/>
        </w:rPr>
        <w:t xml:space="preserve"> CLB interpretation of </w:t>
      </w:r>
      <w:r w:rsidR="006B52F4">
        <w:rPr>
          <w:rFonts w:ascii="Book Antiqua" w:hAnsi="Book Antiqua"/>
        </w:rPr>
        <w:t>these provisions</w:t>
      </w:r>
      <w:r w:rsidR="006F294B">
        <w:rPr>
          <w:rFonts w:ascii="Book Antiqua" w:hAnsi="Book Antiqua"/>
        </w:rPr>
        <w:t xml:space="preserve"> </w:t>
      </w:r>
      <w:r w:rsidR="004F2123">
        <w:rPr>
          <w:rFonts w:ascii="Book Antiqua" w:hAnsi="Book Antiqua"/>
        </w:rPr>
        <w:t>stipulated</w:t>
      </w:r>
      <w:r w:rsidR="006F294B">
        <w:rPr>
          <w:rFonts w:ascii="Book Antiqua" w:hAnsi="Book Antiqua"/>
        </w:rPr>
        <w:t xml:space="preserve"> that Japan had a right to self-defense and to maintain defence forces for this</w:t>
      </w:r>
      <w:r w:rsidR="006B52F4">
        <w:rPr>
          <w:rFonts w:ascii="Book Antiqua" w:hAnsi="Book Antiqua"/>
        </w:rPr>
        <w:t xml:space="preserve"> limited</w:t>
      </w:r>
      <w:r w:rsidR="006F294B">
        <w:rPr>
          <w:rFonts w:ascii="Book Antiqua" w:hAnsi="Book Antiqua"/>
        </w:rPr>
        <w:t xml:space="preserve"> purpose.</w:t>
      </w:r>
      <w:r w:rsidR="006F294B">
        <w:rPr>
          <w:rStyle w:val="FootnoteReference"/>
          <w:rFonts w:ascii="Book Antiqua" w:hAnsi="Book Antiqua"/>
        </w:rPr>
        <w:footnoteReference w:id="57"/>
      </w:r>
      <w:r w:rsidR="006B52F4">
        <w:rPr>
          <w:rFonts w:ascii="Book Antiqua" w:hAnsi="Book Antiqua"/>
        </w:rPr>
        <w:t xml:space="preserve"> T</w:t>
      </w:r>
      <w:r w:rsidR="005A5D4E">
        <w:rPr>
          <w:rFonts w:ascii="Book Antiqua" w:hAnsi="Book Antiqua"/>
        </w:rPr>
        <w:t>he</w:t>
      </w:r>
      <w:r w:rsidR="006F294B">
        <w:rPr>
          <w:rFonts w:ascii="Book Antiqua" w:hAnsi="Book Antiqua"/>
        </w:rPr>
        <w:t xml:space="preserve"> CLB</w:t>
      </w:r>
      <w:r w:rsidR="006B52F4">
        <w:rPr>
          <w:rFonts w:ascii="Book Antiqua" w:hAnsi="Book Antiqua"/>
        </w:rPr>
        <w:t xml:space="preserve"> additionally</w:t>
      </w:r>
      <w:r w:rsidR="006F294B">
        <w:rPr>
          <w:rFonts w:ascii="Book Antiqua" w:hAnsi="Book Antiqua"/>
        </w:rPr>
        <w:t xml:space="preserve"> advised that </w:t>
      </w:r>
      <w:r w:rsidR="004F2123">
        <w:rPr>
          <w:rFonts w:ascii="Book Antiqua" w:hAnsi="Book Antiqua"/>
        </w:rPr>
        <w:t xml:space="preserve">Article 9 </w:t>
      </w:r>
      <w:r w:rsidR="006F294B">
        <w:rPr>
          <w:rFonts w:ascii="Book Antiqua" w:hAnsi="Book Antiqua"/>
        </w:rPr>
        <w:t>prohibited the deployment of Japanese personnel overseas</w:t>
      </w:r>
      <w:r w:rsidR="00272EFA">
        <w:rPr>
          <w:rFonts w:ascii="Book Antiqua" w:hAnsi="Book Antiqua"/>
        </w:rPr>
        <w:t xml:space="preserve"> in a combat capacity</w:t>
      </w:r>
      <w:r w:rsidR="00097D61">
        <w:rPr>
          <w:rFonts w:ascii="Book Antiqua" w:hAnsi="Book Antiqua"/>
        </w:rPr>
        <w:t>,</w:t>
      </w:r>
      <w:r w:rsidR="006F294B">
        <w:rPr>
          <w:rFonts w:ascii="Book Antiqua" w:hAnsi="Book Antiqua"/>
        </w:rPr>
        <w:t xml:space="preserve"> or for the purpose</w:t>
      </w:r>
      <w:r w:rsidR="002A5019">
        <w:rPr>
          <w:rFonts w:ascii="Book Antiqua" w:hAnsi="Book Antiqua"/>
        </w:rPr>
        <w:t>s</w:t>
      </w:r>
      <w:r w:rsidR="006F294B">
        <w:rPr>
          <w:rFonts w:ascii="Book Antiqua" w:hAnsi="Book Antiqua"/>
        </w:rPr>
        <w:t xml:space="preserve"> of collective self-defense.</w:t>
      </w:r>
      <w:r w:rsidR="006F294B">
        <w:rPr>
          <w:rStyle w:val="FootnoteReference"/>
          <w:rFonts w:ascii="Book Antiqua" w:hAnsi="Book Antiqua"/>
        </w:rPr>
        <w:footnoteReference w:id="58"/>
      </w:r>
    </w:p>
    <w:p w14:paraId="607A5F02" w14:textId="77777777" w:rsidR="006F294B" w:rsidRDefault="006F294B" w:rsidP="00F603FC">
      <w:pPr>
        <w:spacing w:line="360" w:lineRule="auto"/>
        <w:jc w:val="both"/>
        <w:rPr>
          <w:rFonts w:ascii="Book Antiqua" w:hAnsi="Book Antiqua"/>
        </w:rPr>
      </w:pPr>
    </w:p>
    <w:p w14:paraId="163F4CD4" w14:textId="4DD1C8BB" w:rsidR="002510F4" w:rsidRPr="008D4F2F" w:rsidRDefault="00E46891" w:rsidP="002510F4">
      <w:pPr>
        <w:spacing w:line="360" w:lineRule="auto"/>
        <w:jc w:val="both"/>
        <w:rPr>
          <w:rFonts w:ascii="Book Antiqua" w:hAnsi="Book Antiqua"/>
        </w:rPr>
      </w:pPr>
      <w:r>
        <w:rPr>
          <w:rFonts w:ascii="Book Antiqua" w:hAnsi="Book Antiqua"/>
        </w:rPr>
        <w:t>The CLB’s</w:t>
      </w:r>
      <w:r w:rsidR="00097D61">
        <w:rPr>
          <w:rFonts w:ascii="Book Antiqua" w:hAnsi="Book Antiqua"/>
        </w:rPr>
        <w:t xml:space="preserve"> interpretation</w:t>
      </w:r>
      <w:r w:rsidR="00DB6826">
        <w:rPr>
          <w:rFonts w:ascii="Book Antiqua" w:hAnsi="Book Antiqua"/>
        </w:rPr>
        <w:t>s</w:t>
      </w:r>
      <w:r w:rsidR="00F06F86" w:rsidRPr="00F603FC">
        <w:rPr>
          <w:rFonts w:ascii="Book Antiqua" w:hAnsi="Book Antiqua"/>
        </w:rPr>
        <w:t xml:space="preserve"> </w:t>
      </w:r>
      <w:r w:rsidR="00DB6826">
        <w:rPr>
          <w:rFonts w:ascii="Book Antiqua" w:hAnsi="Book Antiqua"/>
        </w:rPr>
        <w:t>of Article 9 have</w:t>
      </w:r>
      <w:r w:rsidR="007D3176">
        <w:rPr>
          <w:rFonts w:ascii="Book Antiqua" w:hAnsi="Book Antiqua"/>
        </w:rPr>
        <w:t xml:space="preserve"> </w:t>
      </w:r>
      <w:r>
        <w:rPr>
          <w:rFonts w:ascii="Book Antiqua" w:hAnsi="Book Antiqua"/>
        </w:rPr>
        <w:t>faced occasional</w:t>
      </w:r>
      <w:r w:rsidR="004930FD">
        <w:rPr>
          <w:rFonts w:ascii="Book Antiqua" w:hAnsi="Book Antiqua"/>
        </w:rPr>
        <w:t>,</w:t>
      </w:r>
      <w:r>
        <w:rPr>
          <w:rFonts w:ascii="Book Antiqua" w:hAnsi="Book Antiqua"/>
        </w:rPr>
        <w:t xml:space="preserve"> intense political critique, </w:t>
      </w:r>
      <w:r w:rsidR="00097D61">
        <w:rPr>
          <w:rFonts w:ascii="Book Antiqua" w:hAnsi="Book Antiqua"/>
        </w:rPr>
        <w:t xml:space="preserve">with </w:t>
      </w:r>
      <w:r w:rsidR="00DB6826">
        <w:rPr>
          <w:rFonts w:ascii="Book Antiqua" w:hAnsi="Book Antiqua"/>
        </w:rPr>
        <w:t xml:space="preserve">some </w:t>
      </w:r>
      <w:r w:rsidR="000C42AF">
        <w:rPr>
          <w:rFonts w:ascii="Book Antiqua" w:hAnsi="Book Antiqua"/>
        </w:rPr>
        <w:t xml:space="preserve">conservative </w:t>
      </w:r>
      <w:r w:rsidR="008970E0">
        <w:rPr>
          <w:rFonts w:ascii="Book Antiqua" w:hAnsi="Book Antiqua"/>
        </w:rPr>
        <w:t>voices</w:t>
      </w:r>
      <w:r w:rsidR="007D3176">
        <w:rPr>
          <w:rFonts w:ascii="Book Antiqua" w:hAnsi="Book Antiqua"/>
        </w:rPr>
        <w:t xml:space="preserve"> </w:t>
      </w:r>
      <w:r w:rsidR="00097D61">
        <w:rPr>
          <w:rFonts w:ascii="Book Antiqua" w:hAnsi="Book Antiqua"/>
        </w:rPr>
        <w:t xml:space="preserve">calling for </w:t>
      </w:r>
      <w:r w:rsidR="00DB6826">
        <w:rPr>
          <w:rFonts w:ascii="Book Antiqua" w:hAnsi="Book Antiqua"/>
        </w:rPr>
        <w:t>it</w:t>
      </w:r>
      <w:r w:rsidR="00097D61">
        <w:rPr>
          <w:rFonts w:ascii="Book Antiqua" w:hAnsi="Book Antiqua"/>
        </w:rPr>
        <w:t xml:space="preserve"> to</w:t>
      </w:r>
      <w:r w:rsidR="00F06F86" w:rsidRPr="00F603FC">
        <w:rPr>
          <w:rFonts w:ascii="Book Antiqua" w:hAnsi="Book Antiqua"/>
        </w:rPr>
        <w:t xml:space="preserve"> alter its </w:t>
      </w:r>
      <w:r w:rsidR="00E81A68">
        <w:rPr>
          <w:rFonts w:ascii="Book Antiqua" w:hAnsi="Book Antiqua"/>
        </w:rPr>
        <w:t>position</w:t>
      </w:r>
      <w:r w:rsidR="004930FD">
        <w:rPr>
          <w:rFonts w:ascii="Book Antiqua" w:hAnsi="Book Antiqua"/>
        </w:rPr>
        <w:t>, which</w:t>
      </w:r>
      <w:r w:rsidR="00097D61">
        <w:rPr>
          <w:rFonts w:ascii="Book Antiqua" w:hAnsi="Book Antiqua"/>
        </w:rPr>
        <w:t xml:space="preserve"> </w:t>
      </w:r>
      <w:r>
        <w:rPr>
          <w:rFonts w:ascii="Book Antiqua" w:hAnsi="Book Antiqua"/>
        </w:rPr>
        <w:t>constituted</w:t>
      </w:r>
      <w:r w:rsidR="00272EFA">
        <w:rPr>
          <w:rFonts w:ascii="Book Antiqua" w:hAnsi="Book Antiqua"/>
        </w:rPr>
        <w:t xml:space="preserve"> </w:t>
      </w:r>
      <w:r w:rsidR="001A0148">
        <w:rPr>
          <w:rFonts w:ascii="Book Antiqua" w:hAnsi="Book Antiqua"/>
        </w:rPr>
        <w:t>a</w:t>
      </w:r>
      <w:r w:rsidR="00097D61">
        <w:rPr>
          <w:rFonts w:ascii="Book Antiqua" w:hAnsi="Book Antiqua"/>
        </w:rPr>
        <w:t xml:space="preserve"> </w:t>
      </w:r>
      <w:r w:rsidR="00457C65">
        <w:rPr>
          <w:rFonts w:ascii="Book Antiqua" w:hAnsi="Book Antiqua"/>
        </w:rPr>
        <w:t>rigid</w:t>
      </w:r>
      <w:r w:rsidR="00097D61">
        <w:rPr>
          <w:rFonts w:ascii="Book Antiqua" w:hAnsi="Book Antiqua"/>
        </w:rPr>
        <w:t xml:space="preserve"> </w:t>
      </w:r>
      <w:r w:rsidR="00457C65">
        <w:rPr>
          <w:rFonts w:ascii="Book Antiqua" w:hAnsi="Book Antiqua"/>
        </w:rPr>
        <w:t>fetter</w:t>
      </w:r>
      <w:r w:rsidR="007D3176" w:rsidRPr="00F603FC">
        <w:rPr>
          <w:rFonts w:ascii="Book Antiqua" w:hAnsi="Book Antiqua"/>
        </w:rPr>
        <w:t xml:space="preserve"> o</w:t>
      </w:r>
      <w:r w:rsidR="00457C65" w:rsidRPr="006B52F4">
        <w:rPr>
          <w:rFonts w:ascii="Book Antiqua" w:hAnsi="Book Antiqua"/>
        </w:rPr>
        <w:t>n</w:t>
      </w:r>
      <w:r w:rsidR="00097D61">
        <w:rPr>
          <w:rFonts w:ascii="Book Antiqua" w:hAnsi="Book Antiqua"/>
        </w:rPr>
        <w:t xml:space="preserve"> Japanese</w:t>
      </w:r>
      <w:r w:rsidR="007D3176" w:rsidRPr="00F603FC">
        <w:rPr>
          <w:rFonts w:ascii="Book Antiqua" w:hAnsi="Book Antiqua"/>
        </w:rPr>
        <w:t xml:space="preserve"> </w:t>
      </w:r>
      <w:r w:rsidR="008970E0">
        <w:rPr>
          <w:rFonts w:ascii="Book Antiqua" w:hAnsi="Book Antiqua"/>
        </w:rPr>
        <w:t>foreign policy</w:t>
      </w:r>
      <w:r w:rsidR="006E32B4" w:rsidRPr="006B52F4">
        <w:rPr>
          <w:rFonts w:ascii="Book Antiqua" w:hAnsi="Book Antiqua"/>
        </w:rPr>
        <w:t>.</w:t>
      </w:r>
      <w:r w:rsidR="006E32B4">
        <w:rPr>
          <w:rFonts w:ascii="Book Antiqua" w:hAnsi="Book Antiqua"/>
        </w:rPr>
        <w:t xml:space="preserve"> </w:t>
      </w:r>
      <w:r w:rsidR="006E32B4" w:rsidRPr="006B52F4">
        <w:rPr>
          <w:rFonts w:ascii="Book Antiqua" w:hAnsi="Book Antiqua"/>
        </w:rPr>
        <w:t>T</w:t>
      </w:r>
      <w:r w:rsidR="00F06F86" w:rsidRPr="00F603FC">
        <w:rPr>
          <w:rFonts w:ascii="Book Antiqua" w:hAnsi="Book Antiqua"/>
        </w:rPr>
        <w:t>he CLB</w:t>
      </w:r>
      <w:r w:rsidR="00DB6826">
        <w:rPr>
          <w:rFonts w:ascii="Book Antiqua" w:hAnsi="Book Antiqua"/>
        </w:rPr>
        <w:t xml:space="preserve"> traditionally</w:t>
      </w:r>
      <w:r w:rsidR="006B52F4">
        <w:rPr>
          <w:rFonts w:ascii="Book Antiqua" w:hAnsi="Book Antiqua"/>
        </w:rPr>
        <w:t xml:space="preserve"> </w:t>
      </w:r>
      <w:r w:rsidR="00F06F86" w:rsidRPr="00F603FC">
        <w:rPr>
          <w:rFonts w:ascii="Book Antiqua" w:hAnsi="Book Antiqua"/>
        </w:rPr>
        <w:t>resisted</w:t>
      </w:r>
      <w:r w:rsidR="00457C65">
        <w:rPr>
          <w:rFonts w:ascii="Book Antiqua" w:hAnsi="Book Antiqua"/>
        </w:rPr>
        <w:t xml:space="preserve"> </w:t>
      </w:r>
      <w:r w:rsidR="00710039">
        <w:rPr>
          <w:rFonts w:ascii="Book Antiqua" w:hAnsi="Book Antiqua"/>
        </w:rPr>
        <w:t>such calls</w:t>
      </w:r>
      <w:r w:rsidR="00F06F86" w:rsidRPr="00F603FC">
        <w:rPr>
          <w:rFonts w:ascii="Book Antiqua" w:hAnsi="Book Antiqua"/>
        </w:rPr>
        <w:t>,</w:t>
      </w:r>
      <w:r w:rsidR="00710039">
        <w:rPr>
          <w:rFonts w:ascii="Book Antiqua" w:hAnsi="Book Antiqua"/>
        </w:rPr>
        <w:t xml:space="preserve"> </w:t>
      </w:r>
      <w:r w:rsidR="006B52F4">
        <w:rPr>
          <w:rFonts w:ascii="Book Antiqua" w:hAnsi="Book Antiqua"/>
        </w:rPr>
        <w:t xml:space="preserve">robustly </w:t>
      </w:r>
      <w:r w:rsidR="00E81A68">
        <w:rPr>
          <w:rFonts w:ascii="Book Antiqua" w:hAnsi="Book Antiqua"/>
        </w:rPr>
        <w:t>adhering to</w:t>
      </w:r>
      <w:r w:rsidR="00710039">
        <w:rPr>
          <w:rFonts w:ascii="Book Antiqua" w:hAnsi="Book Antiqua"/>
        </w:rPr>
        <w:t xml:space="preserve"> what it </w:t>
      </w:r>
      <w:r w:rsidR="00DB6826">
        <w:rPr>
          <w:rFonts w:ascii="Book Antiqua" w:hAnsi="Book Antiqua"/>
        </w:rPr>
        <w:t>considered</w:t>
      </w:r>
      <w:r w:rsidR="00403F48">
        <w:rPr>
          <w:rFonts w:ascii="Book Antiqua" w:hAnsi="Book Antiqua"/>
        </w:rPr>
        <w:t xml:space="preserve"> the </w:t>
      </w:r>
      <w:r w:rsidR="00710039">
        <w:rPr>
          <w:rFonts w:ascii="Book Antiqua" w:hAnsi="Book Antiqua"/>
        </w:rPr>
        <w:t>correct</w:t>
      </w:r>
      <w:r w:rsidR="00403F48">
        <w:rPr>
          <w:rFonts w:ascii="Book Antiqua" w:hAnsi="Book Antiqua"/>
        </w:rPr>
        <w:t xml:space="preserve"> approach to constitutional </w:t>
      </w:r>
      <w:r w:rsidR="00FB4C94">
        <w:rPr>
          <w:rFonts w:ascii="Book Antiqua" w:hAnsi="Book Antiqua"/>
        </w:rPr>
        <w:t xml:space="preserve">interpretation. </w:t>
      </w:r>
      <w:r w:rsidR="00FB4C94">
        <w:rPr>
          <w:rFonts w:ascii="Book Antiqua" w:eastAsia="Times New Roman" w:hAnsi="Book Antiqua"/>
        </w:rPr>
        <w:t xml:space="preserve">In the words of </w:t>
      </w:r>
      <w:r w:rsidR="00FB4C94">
        <w:rPr>
          <w:rFonts w:ascii="Book Antiqua" w:hAnsi="Book Antiqua"/>
        </w:rPr>
        <w:t>one former Director</w:t>
      </w:r>
      <w:r w:rsidR="00FB4C94" w:rsidRPr="008D4F2F">
        <w:rPr>
          <w:rFonts w:ascii="Book Antiqua" w:hAnsi="Book Antiqua"/>
        </w:rPr>
        <w:t xml:space="preserve"> General</w:t>
      </w:r>
      <w:r w:rsidR="00FB4C94">
        <w:rPr>
          <w:rFonts w:ascii="Book Antiqua" w:hAnsi="Book Antiqua"/>
        </w:rPr>
        <w:t>,</w:t>
      </w:r>
      <w:r w:rsidR="00967222">
        <w:rPr>
          <w:rFonts w:ascii="Book Antiqua" w:hAnsi="Book Antiqua"/>
        </w:rPr>
        <w:t xml:space="preserve"> this </w:t>
      </w:r>
      <w:r w:rsidR="002A5019">
        <w:rPr>
          <w:rFonts w:ascii="Book Antiqua" w:hAnsi="Book Antiqua"/>
        </w:rPr>
        <w:t>involved accepting that</w:t>
      </w:r>
      <w:r w:rsidR="001A0148">
        <w:rPr>
          <w:rFonts w:ascii="Book Antiqua" w:hAnsi="Book Antiqua"/>
        </w:rPr>
        <w:t xml:space="preserve"> </w:t>
      </w:r>
      <w:r w:rsidR="002A5019">
        <w:rPr>
          <w:rFonts w:ascii="Book Antiqua" w:hAnsi="Book Antiqua"/>
        </w:rPr>
        <w:t>the</w:t>
      </w:r>
      <w:r w:rsidR="00FB4C94" w:rsidRPr="008D4F2F">
        <w:rPr>
          <w:rFonts w:ascii="Book Antiqua" w:hAnsi="Book Antiqua"/>
        </w:rPr>
        <w:t xml:space="preserve"> </w:t>
      </w:r>
      <w:r w:rsidR="00FB4C94">
        <w:rPr>
          <w:rFonts w:ascii="Book Antiqua" w:hAnsi="Book Antiqua"/>
        </w:rPr>
        <w:t>“</w:t>
      </w:r>
      <w:r w:rsidR="00FB4C94" w:rsidRPr="008D4F2F">
        <w:rPr>
          <w:rFonts w:ascii="Book Antiqua" w:hAnsi="Book Antiqua"/>
        </w:rPr>
        <w:t xml:space="preserve">law should be interpreted objectively, with </w:t>
      </w:r>
      <w:r w:rsidR="00FB4C94">
        <w:rPr>
          <w:rFonts w:ascii="Book Antiqua" w:hAnsi="Book Antiqua"/>
        </w:rPr>
        <w:t>only one meaning, and correctly”</w:t>
      </w:r>
      <w:r w:rsidR="00FB4C94" w:rsidRPr="008D4F2F">
        <w:rPr>
          <w:rFonts w:ascii="Book Antiqua" w:hAnsi="Book Antiqua"/>
        </w:rPr>
        <w:t xml:space="preserve"> and the </w:t>
      </w:r>
      <w:r w:rsidR="00FB4C94">
        <w:rPr>
          <w:rFonts w:ascii="Book Antiqua" w:hAnsi="Book Antiqua"/>
        </w:rPr>
        <w:t>“</w:t>
      </w:r>
      <w:r w:rsidR="00FB4C94" w:rsidRPr="008D4F2F">
        <w:rPr>
          <w:rFonts w:ascii="Book Antiqua" w:hAnsi="Book Antiqua"/>
        </w:rPr>
        <w:t>Executive branch must never change it indiscriminately</w:t>
      </w:r>
      <w:r w:rsidR="00FB4C94">
        <w:rPr>
          <w:rFonts w:ascii="Book Antiqua" w:hAnsi="Book Antiqua"/>
        </w:rPr>
        <w:t>”.</w:t>
      </w:r>
      <w:r w:rsidR="00FB4C94">
        <w:rPr>
          <w:rStyle w:val="FootnoteReference"/>
          <w:rFonts w:ascii="Book Antiqua" w:hAnsi="Book Antiqua"/>
        </w:rPr>
        <w:footnoteReference w:id="59"/>
      </w:r>
      <w:r w:rsidR="00FB4C94">
        <w:rPr>
          <w:rFonts w:ascii="Book Antiqua" w:hAnsi="Book Antiqua"/>
        </w:rPr>
        <w:t xml:space="preserve"> </w:t>
      </w:r>
      <w:r w:rsidR="00506678">
        <w:rPr>
          <w:rFonts w:ascii="Book Antiqua" w:hAnsi="Book Antiqua"/>
        </w:rPr>
        <w:t>Des</w:t>
      </w:r>
      <w:r w:rsidR="004B7066">
        <w:rPr>
          <w:rFonts w:ascii="Book Antiqua" w:hAnsi="Book Antiqua"/>
        </w:rPr>
        <w:t xml:space="preserve">pite </w:t>
      </w:r>
      <w:r w:rsidR="004B7066">
        <w:rPr>
          <w:rFonts w:ascii="Book Antiqua" w:hAnsi="Book Antiqua"/>
        </w:rPr>
        <w:lastRenderedPageBreak/>
        <w:t xml:space="preserve">controversy and disquiet </w:t>
      </w:r>
      <w:r w:rsidR="00F604AA">
        <w:rPr>
          <w:rFonts w:ascii="Book Antiqua" w:hAnsi="Book Antiqua"/>
        </w:rPr>
        <w:t xml:space="preserve">over the CLB’s </w:t>
      </w:r>
      <w:r w:rsidR="004930FD">
        <w:rPr>
          <w:rFonts w:ascii="Book Antiqua" w:hAnsi="Book Antiqua"/>
        </w:rPr>
        <w:t>interpretation</w:t>
      </w:r>
      <w:r w:rsidR="006D0FD1">
        <w:rPr>
          <w:rFonts w:ascii="Book Antiqua" w:hAnsi="Book Antiqua"/>
        </w:rPr>
        <w:t>,</w:t>
      </w:r>
      <w:r w:rsidR="00F604AA">
        <w:rPr>
          <w:rFonts w:ascii="Book Antiqua" w:hAnsi="Book Antiqua"/>
        </w:rPr>
        <w:t xml:space="preserve"> </w:t>
      </w:r>
      <w:r w:rsidR="005D39D4">
        <w:rPr>
          <w:rFonts w:ascii="Book Antiqua" w:hAnsi="Book Antiqua"/>
        </w:rPr>
        <w:t>it</w:t>
      </w:r>
      <w:r w:rsidR="004930FD">
        <w:rPr>
          <w:rFonts w:ascii="Book Antiqua" w:hAnsi="Book Antiqua"/>
        </w:rPr>
        <w:t xml:space="preserve"> was </w:t>
      </w:r>
      <w:r w:rsidR="00F604AA">
        <w:rPr>
          <w:rFonts w:ascii="Book Antiqua" w:hAnsi="Book Antiqua"/>
        </w:rPr>
        <w:t>broadly complied</w:t>
      </w:r>
      <w:r w:rsidR="003F34EE">
        <w:rPr>
          <w:rFonts w:ascii="Book Antiqua" w:hAnsi="Book Antiqua"/>
        </w:rPr>
        <w:t xml:space="preserve"> with</w:t>
      </w:r>
      <w:r w:rsidR="00F604AA">
        <w:rPr>
          <w:rFonts w:ascii="Book Antiqua" w:hAnsi="Book Antiqua"/>
        </w:rPr>
        <w:t xml:space="preserve"> </w:t>
      </w:r>
      <w:r w:rsidR="003F34EE">
        <w:rPr>
          <w:rFonts w:ascii="Book Antiqua" w:hAnsi="Book Antiqua"/>
        </w:rPr>
        <w:t xml:space="preserve">and </w:t>
      </w:r>
      <w:r w:rsidR="00F604AA">
        <w:rPr>
          <w:rFonts w:ascii="Book Antiqua" w:hAnsi="Book Antiqua"/>
        </w:rPr>
        <w:t>“</w:t>
      </w:r>
      <w:r w:rsidR="00F604AA" w:rsidRPr="008D4F2F">
        <w:rPr>
          <w:rFonts w:ascii="Book Antiqua" w:hAnsi="Book Antiqua"/>
        </w:rPr>
        <w:t>acknowledged by every government for close to sixty years</w:t>
      </w:r>
      <w:r w:rsidR="00F604AA">
        <w:rPr>
          <w:rFonts w:ascii="Book Antiqua" w:hAnsi="Book Antiqua"/>
        </w:rPr>
        <w:t>.”</w:t>
      </w:r>
      <w:r w:rsidR="00F604AA">
        <w:rPr>
          <w:rStyle w:val="FootnoteReference"/>
          <w:rFonts w:ascii="Book Antiqua" w:hAnsi="Book Antiqua"/>
        </w:rPr>
        <w:footnoteReference w:id="60"/>
      </w:r>
      <w:r w:rsidR="002510F4">
        <w:rPr>
          <w:rFonts w:ascii="Book Antiqua" w:hAnsi="Book Antiqua"/>
        </w:rPr>
        <w:t xml:space="preserve"> </w:t>
      </w:r>
      <w:r w:rsidR="00AE1C19">
        <w:rPr>
          <w:rFonts w:ascii="Book Antiqua" w:hAnsi="Book Antiqua"/>
        </w:rPr>
        <w:t>This</w:t>
      </w:r>
      <w:r w:rsidR="00BF56B9">
        <w:rPr>
          <w:rFonts w:ascii="Book Antiqua" w:hAnsi="Book Antiqua"/>
        </w:rPr>
        <w:t xml:space="preserve"> </w:t>
      </w:r>
      <w:r w:rsidR="00CE16AF">
        <w:rPr>
          <w:rFonts w:ascii="Book Antiqua" w:hAnsi="Book Antiqua"/>
        </w:rPr>
        <w:t>adherence</w:t>
      </w:r>
      <w:r w:rsidR="00BF56B9">
        <w:rPr>
          <w:rFonts w:ascii="Book Antiqua" w:hAnsi="Book Antiqua"/>
        </w:rPr>
        <w:t xml:space="preserve"> </w:t>
      </w:r>
      <w:r w:rsidR="00AE1C19">
        <w:rPr>
          <w:rFonts w:ascii="Book Antiqua" w:hAnsi="Book Antiqua"/>
        </w:rPr>
        <w:t>offers a good example of</w:t>
      </w:r>
      <w:r w:rsidR="00CE16AF">
        <w:rPr>
          <w:rFonts w:ascii="Book Antiqua" w:hAnsi="Book Antiqua"/>
        </w:rPr>
        <w:t xml:space="preserve"> how</w:t>
      </w:r>
      <w:r w:rsidR="00BF56B9">
        <w:rPr>
          <w:rFonts w:ascii="Book Antiqua" w:hAnsi="Book Antiqua"/>
        </w:rPr>
        <w:t xml:space="preserve"> </w:t>
      </w:r>
      <w:r w:rsidR="002510F4">
        <w:rPr>
          <w:rFonts w:ascii="Book Antiqua" w:hAnsi="Book Antiqua"/>
        </w:rPr>
        <w:t>CLB</w:t>
      </w:r>
      <w:r w:rsidR="002510F4" w:rsidRPr="008D4F2F">
        <w:rPr>
          <w:rFonts w:ascii="Book Antiqua" w:hAnsi="Book Antiqua"/>
        </w:rPr>
        <w:t xml:space="preserve"> interpretations </w:t>
      </w:r>
      <w:r w:rsidR="00BF56B9">
        <w:rPr>
          <w:rFonts w:ascii="Book Antiqua" w:hAnsi="Book Antiqua"/>
        </w:rPr>
        <w:t>become</w:t>
      </w:r>
      <w:r w:rsidR="002510F4" w:rsidRPr="008D4F2F">
        <w:rPr>
          <w:rFonts w:ascii="Book Antiqua" w:hAnsi="Book Antiqua"/>
        </w:rPr>
        <w:t xml:space="preserve"> </w:t>
      </w:r>
      <w:r w:rsidR="002510F4">
        <w:rPr>
          <w:rFonts w:ascii="Book Antiqua" w:hAnsi="Book Antiqua"/>
        </w:rPr>
        <w:t>“</w:t>
      </w:r>
      <w:r w:rsidR="002510F4" w:rsidRPr="008D4F2F">
        <w:rPr>
          <w:rFonts w:ascii="Book Antiqua" w:hAnsi="Book Antiqua"/>
        </w:rPr>
        <w:t>enshrined as—and legitimated by—</w:t>
      </w:r>
      <w:r w:rsidR="002510F4">
        <w:rPr>
          <w:rFonts w:ascii="Book Antiqua" w:hAnsi="Book Antiqua"/>
        </w:rPr>
        <w:t xml:space="preserve"> precedent</w:t>
      </w:r>
      <w:r w:rsidR="00BF56B9">
        <w:rPr>
          <w:rFonts w:ascii="Book Antiqua" w:hAnsi="Book Antiqua"/>
        </w:rPr>
        <w:t>”</w:t>
      </w:r>
      <w:r w:rsidR="002510F4" w:rsidRPr="008D4F2F">
        <w:rPr>
          <w:rFonts w:ascii="Book Antiqua" w:hAnsi="Book Antiqua"/>
        </w:rPr>
        <w:t xml:space="preserve"> </w:t>
      </w:r>
      <w:r w:rsidR="00BF56B9">
        <w:rPr>
          <w:rFonts w:ascii="Book Antiqua" w:hAnsi="Book Antiqua"/>
        </w:rPr>
        <w:t>and</w:t>
      </w:r>
      <w:r w:rsidR="004F63B1">
        <w:rPr>
          <w:rFonts w:ascii="Book Antiqua" w:hAnsi="Book Antiqua"/>
        </w:rPr>
        <w:t xml:space="preserve"> can</w:t>
      </w:r>
      <w:r w:rsidR="00BF56B9">
        <w:rPr>
          <w:rFonts w:ascii="Book Antiqua" w:hAnsi="Book Antiqua"/>
        </w:rPr>
        <w:t xml:space="preserve"> act as a</w:t>
      </w:r>
      <w:r w:rsidR="002510F4" w:rsidRPr="008D4F2F">
        <w:rPr>
          <w:rFonts w:ascii="Book Antiqua" w:hAnsi="Book Antiqua"/>
        </w:rPr>
        <w:t xml:space="preserve"> </w:t>
      </w:r>
      <w:r w:rsidR="002510F4">
        <w:rPr>
          <w:rFonts w:ascii="Book Antiqua" w:hAnsi="Book Antiqua"/>
        </w:rPr>
        <w:t>“</w:t>
      </w:r>
      <w:r w:rsidR="002510F4" w:rsidRPr="008D4F2F">
        <w:rPr>
          <w:rFonts w:ascii="Book Antiqua" w:hAnsi="Book Antiqua"/>
        </w:rPr>
        <w:t>powerful brake on major policy change</w:t>
      </w:r>
      <w:r w:rsidR="004F63B1">
        <w:rPr>
          <w:rFonts w:ascii="Book Antiqua" w:hAnsi="Book Antiqua"/>
        </w:rPr>
        <w:t>”</w:t>
      </w:r>
      <w:r w:rsidR="002510F4">
        <w:rPr>
          <w:rFonts w:ascii="Book Antiqua" w:hAnsi="Book Antiqua"/>
        </w:rPr>
        <w:t xml:space="preserve"> even in areas of acute political sensitivity such as national security</w:t>
      </w:r>
      <w:r w:rsidR="002510F4" w:rsidRPr="008D4F2F">
        <w:rPr>
          <w:rFonts w:ascii="Book Antiqua" w:hAnsi="Book Antiqua"/>
        </w:rPr>
        <w:t>.</w:t>
      </w:r>
      <w:r w:rsidR="002510F4">
        <w:rPr>
          <w:rStyle w:val="FootnoteReference"/>
          <w:rFonts w:ascii="Book Antiqua" w:hAnsi="Book Antiqua"/>
        </w:rPr>
        <w:footnoteReference w:id="61"/>
      </w:r>
      <w:r w:rsidR="00BF56B9">
        <w:rPr>
          <w:rFonts w:ascii="Book Antiqua" w:hAnsi="Book Antiqua"/>
        </w:rPr>
        <w:t xml:space="preserve"> </w:t>
      </w:r>
      <w:r w:rsidR="00360194">
        <w:rPr>
          <w:rFonts w:ascii="Book Antiqua" w:hAnsi="Book Antiqua"/>
        </w:rPr>
        <w:t>CLB</w:t>
      </w:r>
      <w:r w:rsidR="00BF56B9">
        <w:rPr>
          <w:rFonts w:ascii="Book Antiqua" w:hAnsi="Book Antiqua"/>
        </w:rPr>
        <w:t xml:space="preserve"> opinions </w:t>
      </w:r>
      <w:r w:rsidR="00BF56B9" w:rsidRPr="008D4F2F">
        <w:rPr>
          <w:rFonts w:ascii="Book Antiqua" w:hAnsi="Book Antiqua"/>
        </w:rPr>
        <w:t xml:space="preserve">effectively </w:t>
      </w:r>
      <w:r w:rsidR="004930FD">
        <w:rPr>
          <w:rFonts w:ascii="Book Antiqua" w:hAnsi="Book Antiqua"/>
        </w:rPr>
        <w:t xml:space="preserve">become </w:t>
      </w:r>
      <w:r w:rsidR="00BF56B9" w:rsidRPr="008D4F2F">
        <w:rPr>
          <w:rFonts w:ascii="Book Antiqua" w:hAnsi="Book Antiqua"/>
        </w:rPr>
        <w:t xml:space="preserve">Japanese </w:t>
      </w:r>
      <w:r w:rsidR="00BF56B9" w:rsidRPr="00F603FC">
        <w:rPr>
          <w:rFonts w:ascii="Book Antiqua" w:hAnsi="Book Antiqua"/>
          <w:i/>
        </w:rPr>
        <w:t>law</w:t>
      </w:r>
      <w:r w:rsidR="00BF56B9">
        <w:rPr>
          <w:rFonts w:ascii="Book Antiqua" w:hAnsi="Book Antiqua"/>
        </w:rPr>
        <w:t>.</w:t>
      </w:r>
    </w:p>
    <w:p w14:paraId="05690FC3" w14:textId="77777777" w:rsidR="002510F4" w:rsidRDefault="002510F4" w:rsidP="00F603FC">
      <w:pPr>
        <w:spacing w:line="360" w:lineRule="auto"/>
        <w:jc w:val="both"/>
        <w:rPr>
          <w:rFonts w:ascii="Book Antiqua" w:hAnsi="Book Antiqua"/>
        </w:rPr>
      </w:pPr>
    </w:p>
    <w:p w14:paraId="2E348262" w14:textId="5D109253" w:rsidR="005D428F" w:rsidRDefault="00521A4F" w:rsidP="00F603FC">
      <w:pPr>
        <w:spacing w:line="360" w:lineRule="auto"/>
        <w:jc w:val="both"/>
        <w:rPr>
          <w:rFonts w:ascii="Book Antiqua" w:eastAsia="Times New Roman" w:hAnsi="Book Antiqua"/>
        </w:rPr>
      </w:pPr>
      <w:r>
        <w:rPr>
          <w:rFonts w:ascii="Book Antiqua" w:hAnsi="Book Antiqua"/>
        </w:rPr>
        <w:t xml:space="preserve">The </w:t>
      </w:r>
      <w:r w:rsidR="00BF56B9">
        <w:rPr>
          <w:rFonts w:ascii="Book Antiqua" w:hAnsi="Book Antiqua"/>
        </w:rPr>
        <w:t>immense influence</w:t>
      </w:r>
      <w:r>
        <w:rPr>
          <w:rFonts w:ascii="Book Antiqua" w:hAnsi="Book Antiqua"/>
        </w:rPr>
        <w:t xml:space="preserve"> of the CLB’s interpretation</w:t>
      </w:r>
      <w:r w:rsidR="000B64B0">
        <w:rPr>
          <w:rFonts w:ascii="Book Antiqua" w:hAnsi="Book Antiqua"/>
        </w:rPr>
        <w:t>s</w:t>
      </w:r>
      <w:r w:rsidR="004930FD">
        <w:rPr>
          <w:rFonts w:ascii="Book Antiqua" w:hAnsi="Book Antiqua"/>
        </w:rPr>
        <w:t>—</w:t>
      </w:r>
      <w:r>
        <w:rPr>
          <w:rFonts w:ascii="Book Antiqua" w:hAnsi="Book Antiqua"/>
        </w:rPr>
        <w:t xml:space="preserve">and </w:t>
      </w:r>
      <w:r w:rsidR="000B64B0">
        <w:rPr>
          <w:rFonts w:ascii="Book Antiqua" w:hAnsi="Book Antiqua"/>
        </w:rPr>
        <w:t>their</w:t>
      </w:r>
      <w:r>
        <w:rPr>
          <w:rFonts w:ascii="Book Antiqua" w:hAnsi="Book Antiqua"/>
        </w:rPr>
        <w:t xml:space="preserve"> political </w:t>
      </w:r>
      <w:r w:rsidR="00BF56B9">
        <w:rPr>
          <w:rFonts w:ascii="Book Antiqua" w:hAnsi="Book Antiqua"/>
        </w:rPr>
        <w:t>importance</w:t>
      </w:r>
      <w:r w:rsidR="004930FD">
        <w:rPr>
          <w:rFonts w:ascii="Book Antiqua" w:hAnsi="Book Antiqua"/>
        </w:rPr>
        <w:t>—</w:t>
      </w:r>
      <w:r w:rsidR="00BF56B9">
        <w:rPr>
          <w:rFonts w:ascii="Book Antiqua" w:hAnsi="Book Antiqua"/>
        </w:rPr>
        <w:t xml:space="preserve"> is also </w:t>
      </w:r>
      <w:r w:rsidR="004930FD">
        <w:rPr>
          <w:rFonts w:ascii="Book Antiqua" w:hAnsi="Book Antiqua"/>
        </w:rPr>
        <w:t xml:space="preserve">seen in </w:t>
      </w:r>
      <w:r w:rsidR="00F31F07">
        <w:rPr>
          <w:rFonts w:ascii="Book Antiqua" w:hAnsi="Book Antiqua"/>
        </w:rPr>
        <w:t>the</w:t>
      </w:r>
      <w:r w:rsidR="00BF56B9">
        <w:rPr>
          <w:rFonts w:ascii="Book Antiqua" w:hAnsi="Book Antiqua"/>
        </w:rPr>
        <w:t xml:space="preserve"> controversy which emerged over </w:t>
      </w:r>
      <w:r w:rsidR="001A0148">
        <w:rPr>
          <w:rFonts w:ascii="Book Antiqua" w:hAnsi="Book Antiqua"/>
        </w:rPr>
        <w:t xml:space="preserve">recent </w:t>
      </w:r>
      <w:r w:rsidR="00BF56B9">
        <w:rPr>
          <w:rFonts w:ascii="Book Antiqua" w:hAnsi="Book Antiqua"/>
        </w:rPr>
        <w:t>attempts</w:t>
      </w:r>
      <w:r w:rsidR="001A0148">
        <w:rPr>
          <w:rFonts w:ascii="Book Antiqua" w:hAnsi="Book Antiqua"/>
        </w:rPr>
        <w:t xml:space="preserve"> by the executive</w:t>
      </w:r>
      <w:r w:rsidR="00BF56B9">
        <w:rPr>
          <w:rFonts w:ascii="Book Antiqua" w:hAnsi="Book Antiqua"/>
        </w:rPr>
        <w:t xml:space="preserve"> to reinterpret the scope of Article 9 contrary to longstanding precedent.</w:t>
      </w:r>
      <w:r w:rsidR="002A0743">
        <w:rPr>
          <w:rFonts w:ascii="Book Antiqua" w:hAnsi="Book Antiqua"/>
        </w:rPr>
        <w:t xml:space="preserve"> </w:t>
      </w:r>
      <w:r w:rsidR="004930FD">
        <w:rPr>
          <w:rFonts w:ascii="Book Antiqua" w:hAnsi="Book Antiqua"/>
        </w:rPr>
        <w:t>T</w:t>
      </w:r>
      <w:r w:rsidR="002A0743">
        <w:rPr>
          <w:rFonts w:ascii="Book Antiqua" w:hAnsi="Book Antiqua"/>
        </w:rPr>
        <w:t xml:space="preserve">he Liberal Democratic Party and Prime Minister Shinzo Abe </w:t>
      </w:r>
      <w:r w:rsidR="004930FD">
        <w:rPr>
          <w:rFonts w:ascii="Book Antiqua" w:hAnsi="Book Antiqua"/>
        </w:rPr>
        <w:t xml:space="preserve">have long sought </w:t>
      </w:r>
      <w:r w:rsidR="002A0743">
        <w:rPr>
          <w:rFonts w:ascii="Book Antiqua" w:hAnsi="Book Antiqua"/>
        </w:rPr>
        <w:t>to alter Article 9</w:t>
      </w:r>
      <w:r w:rsidR="006B52F4">
        <w:rPr>
          <w:rFonts w:ascii="Book Antiqua" w:hAnsi="Book Antiqua"/>
        </w:rPr>
        <w:t>’s</w:t>
      </w:r>
      <w:r w:rsidR="002A0743">
        <w:rPr>
          <w:rFonts w:ascii="Book Antiqua" w:hAnsi="Book Antiqua"/>
        </w:rPr>
        <w:t xml:space="preserve"> prohibition on collective self-defense. </w:t>
      </w:r>
      <w:r w:rsidR="00D729CE">
        <w:rPr>
          <w:rFonts w:ascii="Book Antiqua" w:hAnsi="Book Antiqua"/>
        </w:rPr>
        <w:t>Aware that it would be</w:t>
      </w:r>
      <w:r w:rsidR="00D729CE" w:rsidRPr="008D4F2F">
        <w:rPr>
          <w:rFonts w:ascii="Book Antiqua" w:hAnsi="Book Antiqua"/>
        </w:rPr>
        <w:t xml:space="preserve"> politically difficult</w:t>
      </w:r>
      <w:r w:rsidR="00D729CE">
        <w:rPr>
          <w:rFonts w:ascii="Book Antiqua" w:hAnsi="Book Antiqua"/>
        </w:rPr>
        <w:t xml:space="preserve"> </w:t>
      </w:r>
      <w:r w:rsidR="00D729CE" w:rsidRPr="008D4F2F">
        <w:rPr>
          <w:rFonts w:ascii="Book Antiqua" w:hAnsi="Book Antiqua"/>
        </w:rPr>
        <w:t>to attempt a constitutional amendment of Article 9 through the formal amendment</w:t>
      </w:r>
      <w:r w:rsidR="00D729CE">
        <w:rPr>
          <w:rFonts w:ascii="Book Antiqua" w:hAnsi="Book Antiqua"/>
        </w:rPr>
        <w:t xml:space="preserve"> </w:t>
      </w:r>
      <w:r w:rsidR="00D729CE" w:rsidRPr="008D4F2F">
        <w:rPr>
          <w:rFonts w:ascii="Book Antiqua" w:hAnsi="Book Antiqua"/>
        </w:rPr>
        <w:t xml:space="preserve">procedure of </w:t>
      </w:r>
      <w:r w:rsidR="00D729CE">
        <w:rPr>
          <w:rFonts w:ascii="Book Antiqua" w:hAnsi="Book Antiqua"/>
        </w:rPr>
        <w:t>outlined</w:t>
      </w:r>
      <w:r w:rsidR="00D729CE" w:rsidRPr="008D4F2F">
        <w:rPr>
          <w:rFonts w:ascii="Book Antiqua" w:hAnsi="Book Antiqua"/>
        </w:rPr>
        <w:t xml:space="preserve"> by Article 96, </w:t>
      </w:r>
      <w:r w:rsidR="00D729CE">
        <w:rPr>
          <w:rFonts w:ascii="Book Antiqua" w:hAnsi="Book Antiqua"/>
        </w:rPr>
        <w:t>the Cabinet</w:t>
      </w:r>
      <w:r w:rsidR="00D729CE" w:rsidRPr="008D4F2F">
        <w:rPr>
          <w:rFonts w:ascii="Book Antiqua" w:hAnsi="Book Antiqua"/>
        </w:rPr>
        <w:t xml:space="preserve"> </w:t>
      </w:r>
      <w:r w:rsidR="005A353D">
        <w:rPr>
          <w:rFonts w:ascii="Book Antiqua" w:hAnsi="Book Antiqua"/>
        </w:rPr>
        <w:t>shifted its efforts</w:t>
      </w:r>
      <w:r w:rsidR="00D729CE" w:rsidRPr="008D4F2F">
        <w:rPr>
          <w:rFonts w:ascii="Book Antiqua" w:hAnsi="Book Antiqua"/>
        </w:rPr>
        <w:t xml:space="preserve"> to modify</w:t>
      </w:r>
      <w:r w:rsidR="005A353D">
        <w:rPr>
          <w:rFonts w:ascii="Book Antiqua" w:hAnsi="Book Antiqua"/>
        </w:rPr>
        <w:t>ing</w:t>
      </w:r>
      <w:r w:rsidR="00D729CE" w:rsidRPr="008D4F2F">
        <w:rPr>
          <w:rFonts w:ascii="Book Antiqua" w:hAnsi="Book Antiqua"/>
        </w:rPr>
        <w:t xml:space="preserve"> the</w:t>
      </w:r>
      <w:r w:rsidR="00D729CE">
        <w:rPr>
          <w:rFonts w:ascii="Book Antiqua" w:hAnsi="Book Antiqua"/>
        </w:rPr>
        <w:t xml:space="preserve"> constitutional</w:t>
      </w:r>
      <w:r w:rsidR="00D729CE" w:rsidRPr="008D4F2F">
        <w:rPr>
          <w:rFonts w:ascii="Book Antiqua" w:hAnsi="Book Antiqua"/>
        </w:rPr>
        <w:t xml:space="preserve"> interpretation </w:t>
      </w:r>
      <w:r w:rsidR="006B52F4">
        <w:rPr>
          <w:rFonts w:ascii="Book Antiqua" w:hAnsi="Book Antiqua"/>
        </w:rPr>
        <w:t>prohibiting</w:t>
      </w:r>
      <w:r w:rsidR="00D729CE" w:rsidRPr="008D4F2F">
        <w:rPr>
          <w:rFonts w:ascii="Book Antiqua" w:hAnsi="Book Antiqua"/>
        </w:rPr>
        <w:t xml:space="preserve"> the right of</w:t>
      </w:r>
      <w:r w:rsidR="00D729CE">
        <w:rPr>
          <w:rFonts w:ascii="Book Antiqua" w:hAnsi="Book Antiqua"/>
        </w:rPr>
        <w:t xml:space="preserve"> </w:t>
      </w:r>
      <w:r w:rsidR="00D729CE" w:rsidRPr="008D4F2F">
        <w:rPr>
          <w:rFonts w:ascii="Book Antiqua" w:hAnsi="Book Antiqua"/>
        </w:rPr>
        <w:t>collective self-defense</w:t>
      </w:r>
      <w:r w:rsidR="002A0743">
        <w:rPr>
          <w:rFonts w:ascii="Book Antiqua" w:hAnsi="Book Antiqua"/>
        </w:rPr>
        <w:t xml:space="preserve"> consistently</w:t>
      </w:r>
      <w:r w:rsidR="00D729CE" w:rsidRPr="008D4F2F">
        <w:rPr>
          <w:rFonts w:ascii="Book Antiqua" w:hAnsi="Book Antiqua"/>
        </w:rPr>
        <w:t xml:space="preserve"> </w:t>
      </w:r>
      <w:r w:rsidR="00A26FFB">
        <w:rPr>
          <w:rFonts w:ascii="Book Antiqua" w:hAnsi="Book Antiqua"/>
        </w:rPr>
        <w:t>articulated</w:t>
      </w:r>
      <w:r w:rsidR="00D729CE" w:rsidRPr="008D4F2F">
        <w:rPr>
          <w:rFonts w:ascii="Book Antiqua" w:hAnsi="Book Antiqua"/>
        </w:rPr>
        <w:t xml:space="preserve"> by the CLB</w:t>
      </w:r>
      <w:r w:rsidR="00D729CE">
        <w:rPr>
          <w:rFonts w:ascii="Book Antiqua" w:hAnsi="Book Antiqua"/>
        </w:rPr>
        <w:t>.</w:t>
      </w:r>
      <w:r w:rsidR="00D729CE">
        <w:rPr>
          <w:rStyle w:val="FootnoteReference"/>
          <w:rFonts w:ascii="Book Antiqua" w:hAnsi="Book Antiqua"/>
        </w:rPr>
        <w:footnoteReference w:id="62"/>
      </w:r>
      <w:r w:rsidR="00BF56B9">
        <w:rPr>
          <w:rFonts w:ascii="Book Antiqua" w:eastAsia="Times New Roman" w:hAnsi="Book Antiqua"/>
        </w:rPr>
        <w:t xml:space="preserve"> To this end</w:t>
      </w:r>
      <w:r w:rsidR="00D729CE">
        <w:rPr>
          <w:rFonts w:ascii="Book Antiqua" w:eastAsia="Times New Roman" w:hAnsi="Book Antiqua"/>
        </w:rPr>
        <w:t>,</w:t>
      </w:r>
      <w:r w:rsidR="00BF56B9">
        <w:rPr>
          <w:rFonts w:ascii="Book Antiqua" w:eastAsia="Times New Roman" w:hAnsi="Book Antiqua"/>
        </w:rPr>
        <w:t xml:space="preserve"> the government established an </w:t>
      </w:r>
      <w:r w:rsidR="00BF56B9" w:rsidRPr="00F603FC">
        <w:rPr>
          <w:rFonts w:ascii="Book Antiqua" w:eastAsia="Times New Roman" w:hAnsi="Book Antiqua"/>
        </w:rPr>
        <w:t>ad hoc</w:t>
      </w:r>
      <w:r w:rsidR="00BF56B9">
        <w:rPr>
          <w:rFonts w:ascii="Book Antiqua" w:eastAsia="Times New Roman" w:hAnsi="Book Antiqua"/>
          <w:i/>
        </w:rPr>
        <w:t xml:space="preserve"> </w:t>
      </w:r>
      <w:r w:rsidR="00BF56B9">
        <w:rPr>
          <w:rFonts w:ascii="Book Antiqua" w:eastAsia="Times New Roman" w:hAnsi="Book Antiqua"/>
        </w:rPr>
        <w:t xml:space="preserve">advisory committee </w:t>
      </w:r>
      <w:r w:rsidR="00D729CE">
        <w:rPr>
          <w:rFonts w:ascii="Book Antiqua" w:eastAsia="Times New Roman" w:hAnsi="Book Antiqua"/>
        </w:rPr>
        <w:t>to advise on the possibility of a new interpretation.</w:t>
      </w:r>
      <w:r w:rsidR="00EA7E22" w:rsidRPr="00F603FC">
        <w:rPr>
          <w:rFonts w:ascii="Book Antiqua" w:eastAsia="Times New Roman" w:hAnsi="Book Antiqua"/>
        </w:rPr>
        <w:t xml:space="preserve"> </w:t>
      </w:r>
      <w:r w:rsidR="00BF56B9">
        <w:rPr>
          <w:rFonts w:ascii="Book Antiqua" w:eastAsia="Times New Roman" w:hAnsi="Book Antiqua"/>
        </w:rPr>
        <w:t>In</w:t>
      </w:r>
      <w:r w:rsidR="00EA7E22" w:rsidRPr="00F603FC">
        <w:rPr>
          <w:rFonts w:ascii="Book Antiqua" w:eastAsia="Times New Roman" w:hAnsi="Book Antiqua"/>
        </w:rPr>
        <w:t xml:space="preserve"> </w:t>
      </w:r>
      <w:r w:rsidR="00A26FFB" w:rsidRPr="006B52F4">
        <w:rPr>
          <w:rFonts w:ascii="Book Antiqua" w:eastAsia="Times New Roman" w:hAnsi="Book Antiqua"/>
        </w:rPr>
        <w:t>2014</w:t>
      </w:r>
      <w:r w:rsidR="00360194">
        <w:rPr>
          <w:rFonts w:ascii="Book Antiqua" w:eastAsia="Times New Roman" w:hAnsi="Book Antiqua"/>
        </w:rPr>
        <w:t xml:space="preserve"> this committee, </w:t>
      </w:r>
      <w:r w:rsidR="00D729CE">
        <w:rPr>
          <w:rFonts w:ascii="Book Antiqua" w:eastAsia="Times New Roman" w:hAnsi="Book Antiqua"/>
        </w:rPr>
        <w:t xml:space="preserve">the </w:t>
      </w:r>
      <w:r w:rsidR="00EA7E22" w:rsidRPr="00F603FC">
        <w:rPr>
          <w:rFonts w:ascii="Book Antiqua" w:eastAsia="Times New Roman" w:hAnsi="Book Antiqua"/>
        </w:rPr>
        <w:t>Advisory Panel on Reconstruction of the Legal Basis for Security</w:t>
      </w:r>
      <w:r w:rsidR="00360194">
        <w:rPr>
          <w:rFonts w:ascii="Book Antiqua" w:eastAsia="Times New Roman" w:hAnsi="Book Antiqua"/>
        </w:rPr>
        <w:t>,</w:t>
      </w:r>
      <w:r w:rsidR="00EA7E22" w:rsidRPr="00F603FC">
        <w:rPr>
          <w:rFonts w:ascii="Book Antiqua" w:eastAsia="Times New Roman" w:hAnsi="Book Antiqua"/>
        </w:rPr>
        <w:t xml:space="preserve"> submitted a report to the government supporting reinterpretation of Article 9</w:t>
      </w:r>
      <w:r w:rsidR="00A26FFB">
        <w:rPr>
          <w:rFonts w:ascii="Book Antiqua" w:eastAsia="Times New Roman" w:hAnsi="Book Antiqua"/>
        </w:rPr>
        <w:t>.</w:t>
      </w:r>
      <w:r w:rsidR="004930FD">
        <w:rPr>
          <w:rStyle w:val="FootnoteReference"/>
          <w:rFonts w:ascii="Book Antiqua" w:eastAsia="Times New Roman" w:hAnsi="Book Antiqua"/>
        </w:rPr>
        <w:footnoteReference w:id="63"/>
      </w:r>
      <w:r w:rsidR="00117A59">
        <w:rPr>
          <w:rFonts w:ascii="Book Antiqua" w:eastAsia="Times New Roman" w:hAnsi="Book Antiqua"/>
        </w:rPr>
        <w:t xml:space="preserve"> Around the same time</w:t>
      </w:r>
      <w:r w:rsidR="008A74A2">
        <w:rPr>
          <w:rFonts w:ascii="Book Antiqua" w:eastAsia="Times New Roman" w:hAnsi="Book Antiqua"/>
        </w:rPr>
        <w:t>,</w:t>
      </w:r>
      <w:r w:rsidR="00117A59">
        <w:rPr>
          <w:rFonts w:ascii="Book Antiqua" w:eastAsia="Times New Roman" w:hAnsi="Book Antiqua"/>
        </w:rPr>
        <w:t xml:space="preserve"> the Prime Minister controversially appointed a new head of</w:t>
      </w:r>
      <w:r w:rsidR="00DB6826">
        <w:rPr>
          <w:rFonts w:ascii="Book Antiqua" w:eastAsia="Times New Roman" w:hAnsi="Book Antiqua"/>
        </w:rPr>
        <w:t xml:space="preserve"> the</w:t>
      </w:r>
      <w:r w:rsidR="00117A59">
        <w:rPr>
          <w:rFonts w:ascii="Book Antiqua" w:eastAsia="Times New Roman" w:hAnsi="Book Antiqua"/>
        </w:rPr>
        <w:t xml:space="preserve"> CLB widely regarded </w:t>
      </w:r>
      <w:r w:rsidR="005A353D">
        <w:rPr>
          <w:rFonts w:ascii="Book Antiqua" w:eastAsia="Times New Roman" w:hAnsi="Book Antiqua"/>
        </w:rPr>
        <w:t>as sympathetic to</w:t>
      </w:r>
      <w:r w:rsidR="00117A59">
        <w:rPr>
          <w:rFonts w:ascii="Book Antiqua" w:eastAsia="Times New Roman" w:hAnsi="Book Antiqua"/>
        </w:rPr>
        <w:t xml:space="preserve"> the government’s stance on departing from</w:t>
      </w:r>
      <w:r w:rsidR="00542F9B">
        <w:rPr>
          <w:rFonts w:ascii="Book Antiqua" w:eastAsia="Times New Roman" w:hAnsi="Book Antiqua"/>
        </w:rPr>
        <w:t xml:space="preserve"> established</w:t>
      </w:r>
      <w:r w:rsidR="00117A59">
        <w:rPr>
          <w:rFonts w:ascii="Book Antiqua" w:eastAsia="Times New Roman" w:hAnsi="Book Antiqua"/>
        </w:rPr>
        <w:t xml:space="preserve"> </w:t>
      </w:r>
      <w:r w:rsidR="00DB6826">
        <w:rPr>
          <w:rFonts w:ascii="Book Antiqua" w:eastAsia="Times New Roman" w:hAnsi="Book Antiqua"/>
        </w:rPr>
        <w:t>CLB</w:t>
      </w:r>
      <w:r w:rsidR="00117A59">
        <w:rPr>
          <w:rFonts w:ascii="Book Antiqua" w:eastAsia="Times New Roman" w:hAnsi="Book Antiqua"/>
        </w:rPr>
        <w:t xml:space="preserve"> precedent.</w:t>
      </w:r>
      <w:r w:rsidR="002B1290">
        <w:rPr>
          <w:rStyle w:val="FootnoteReference"/>
          <w:rFonts w:ascii="Book Antiqua" w:eastAsia="Times New Roman" w:hAnsi="Book Antiqua"/>
        </w:rPr>
        <w:footnoteReference w:id="64"/>
      </w:r>
      <w:r w:rsidR="005A01A4">
        <w:rPr>
          <w:rFonts w:ascii="Book Antiqua" w:eastAsia="Times New Roman" w:hAnsi="Book Antiqua"/>
        </w:rPr>
        <w:t xml:space="preserve"> </w:t>
      </w:r>
    </w:p>
    <w:p w14:paraId="128364EB" w14:textId="77777777" w:rsidR="005D428F" w:rsidRDefault="005D428F" w:rsidP="00F603FC">
      <w:pPr>
        <w:spacing w:line="360" w:lineRule="auto"/>
        <w:jc w:val="both"/>
        <w:rPr>
          <w:rFonts w:ascii="Book Antiqua" w:eastAsia="Times New Roman" w:hAnsi="Book Antiqua"/>
        </w:rPr>
      </w:pPr>
    </w:p>
    <w:p w14:paraId="540FF3F8" w14:textId="4FA6A9C9" w:rsidR="00A97467" w:rsidRPr="00F603FC" w:rsidRDefault="005A01A4" w:rsidP="00F603FC">
      <w:pPr>
        <w:spacing w:line="360" w:lineRule="auto"/>
        <w:jc w:val="both"/>
        <w:rPr>
          <w:rFonts w:ascii="Book Antiqua" w:eastAsia="Times New Roman" w:hAnsi="Book Antiqua"/>
        </w:rPr>
      </w:pPr>
      <w:r>
        <w:rPr>
          <w:rFonts w:ascii="Book Antiqua" w:eastAsia="Times New Roman" w:hAnsi="Book Antiqua"/>
        </w:rPr>
        <w:t>Although the CLB</w:t>
      </w:r>
      <w:r w:rsidR="00360194">
        <w:rPr>
          <w:rFonts w:ascii="Book Antiqua" w:eastAsia="Times New Roman" w:hAnsi="Book Antiqua"/>
        </w:rPr>
        <w:t xml:space="preserve"> eventually</w:t>
      </w:r>
      <w:r>
        <w:rPr>
          <w:rFonts w:ascii="Book Antiqua" w:eastAsia="Times New Roman" w:hAnsi="Book Antiqua"/>
        </w:rPr>
        <w:t xml:space="preserve"> </w:t>
      </w:r>
      <w:r w:rsidR="00360194">
        <w:rPr>
          <w:rFonts w:ascii="Book Antiqua" w:eastAsia="Times New Roman" w:hAnsi="Book Antiqua"/>
        </w:rPr>
        <w:t>sanctioned</w:t>
      </w:r>
      <w:r>
        <w:rPr>
          <w:rFonts w:ascii="Book Antiqua" w:eastAsia="Times New Roman" w:hAnsi="Book Antiqua"/>
        </w:rPr>
        <w:t xml:space="preserve"> the cabinet’s new interpretation, </w:t>
      </w:r>
      <w:r w:rsidR="0033248B">
        <w:rPr>
          <w:rFonts w:ascii="Book Antiqua" w:eastAsia="Times New Roman" w:hAnsi="Book Antiqua"/>
        </w:rPr>
        <w:t xml:space="preserve">this </w:t>
      </w:r>
      <w:r w:rsidR="00542F9B">
        <w:rPr>
          <w:rFonts w:ascii="Book Antiqua" w:eastAsia="Times New Roman" w:hAnsi="Book Antiqua"/>
        </w:rPr>
        <w:t>was</w:t>
      </w:r>
      <w:r w:rsidR="0033248B">
        <w:rPr>
          <w:rFonts w:ascii="Book Antiqua" w:eastAsia="Times New Roman" w:hAnsi="Book Antiqua"/>
        </w:rPr>
        <w:t xml:space="preserve"> </w:t>
      </w:r>
      <w:r w:rsidR="006E1E5E">
        <w:rPr>
          <w:rFonts w:ascii="Book Antiqua" w:eastAsia="Times New Roman" w:hAnsi="Book Antiqua"/>
        </w:rPr>
        <w:t>viewed</w:t>
      </w:r>
      <w:r w:rsidR="0033248B">
        <w:rPr>
          <w:rFonts w:ascii="Book Antiqua" w:eastAsia="Times New Roman" w:hAnsi="Book Antiqua"/>
        </w:rPr>
        <w:t xml:space="preserve"> by many</w:t>
      </w:r>
      <w:r>
        <w:rPr>
          <w:rFonts w:ascii="Book Antiqua" w:eastAsia="Times New Roman" w:hAnsi="Book Antiqua"/>
        </w:rPr>
        <w:t xml:space="preserve"> </w:t>
      </w:r>
      <w:r w:rsidR="0033248B">
        <w:rPr>
          <w:rFonts w:ascii="Book Antiqua" w:eastAsia="Times New Roman" w:hAnsi="Book Antiqua"/>
        </w:rPr>
        <w:t>as</w:t>
      </w:r>
      <w:r>
        <w:rPr>
          <w:rFonts w:ascii="Book Antiqua" w:eastAsia="Times New Roman" w:hAnsi="Book Antiqua"/>
        </w:rPr>
        <w:t xml:space="preserve"> a rare </w:t>
      </w:r>
      <w:r w:rsidR="00360194">
        <w:rPr>
          <w:rFonts w:ascii="Book Antiqua" w:eastAsia="Times New Roman" w:hAnsi="Book Antiqua"/>
        </w:rPr>
        <w:t>instance</w:t>
      </w:r>
      <w:r>
        <w:rPr>
          <w:rFonts w:ascii="Book Antiqua" w:eastAsia="Times New Roman" w:hAnsi="Book Antiqua"/>
        </w:rPr>
        <w:t xml:space="preserve"> where intense political pressure</w:t>
      </w:r>
      <w:r w:rsidR="0033248B">
        <w:rPr>
          <w:rFonts w:ascii="Book Antiqua" w:eastAsia="Times New Roman" w:hAnsi="Book Antiqua"/>
        </w:rPr>
        <w:t xml:space="preserve"> exerted by the executive</w:t>
      </w:r>
      <w:r>
        <w:rPr>
          <w:rFonts w:ascii="Book Antiqua" w:eastAsia="Times New Roman" w:hAnsi="Book Antiqua"/>
        </w:rPr>
        <w:t xml:space="preserve"> helped nullify </w:t>
      </w:r>
      <w:r w:rsidR="00FB4C94">
        <w:rPr>
          <w:rFonts w:ascii="Book Antiqua" w:eastAsia="Times New Roman" w:hAnsi="Book Antiqua"/>
        </w:rPr>
        <w:t>bureaucratic</w:t>
      </w:r>
      <w:r w:rsidR="00967222">
        <w:rPr>
          <w:rFonts w:ascii="Book Antiqua" w:eastAsia="Times New Roman" w:hAnsi="Book Antiqua"/>
        </w:rPr>
        <w:t xml:space="preserve"> reluctance</w:t>
      </w:r>
      <w:r>
        <w:rPr>
          <w:rFonts w:ascii="Book Antiqua" w:eastAsia="Times New Roman" w:hAnsi="Book Antiqua"/>
        </w:rPr>
        <w:t xml:space="preserve"> to </w:t>
      </w:r>
      <w:r w:rsidR="0033248B">
        <w:rPr>
          <w:rFonts w:ascii="Book Antiqua" w:eastAsia="Times New Roman" w:hAnsi="Book Antiqua"/>
        </w:rPr>
        <w:t>alter</w:t>
      </w:r>
      <w:r w:rsidR="00021BAF">
        <w:rPr>
          <w:rFonts w:ascii="Book Antiqua" w:eastAsia="Times New Roman" w:hAnsi="Book Antiqua"/>
        </w:rPr>
        <w:t xml:space="preserve"> </w:t>
      </w:r>
      <w:r w:rsidR="0033248B">
        <w:rPr>
          <w:rFonts w:ascii="Book Antiqua" w:eastAsia="Times New Roman" w:hAnsi="Book Antiqua"/>
        </w:rPr>
        <w:t>long-standing precedent</w:t>
      </w:r>
      <w:r>
        <w:rPr>
          <w:rFonts w:ascii="Book Antiqua" w:eastAsia="Times New Roman" w:hAnsi="Book Antiqua"/>
        </w:rPr>
        <w:t xml:space="preserve">. </w:t>
      </w:r>
      <w:r>
        <w:rPr>
          <w:rFonts w:ascii="Book Antiqua" w:hAnsi="Book Antiqua"/>
        </w:rPr>
        <w:t xml:space="preserve">Indeed, </w:t>
      </w:r>
      <w:r>
        <w:rPr>
          <w:rFonts w:ascii="Book Antiqua" w:eastAsia="Times New Roman" w:hAnsi="Book Antiqua"/>
        </w:rPr>
        <w:t>t</w:t>
      </w:r>
      <w:r w:rsidR="00CF5772">
        <w:rPr>
          <w:rFonts w:ascii="Book Antiqua" w:eastAsia="Times New Roman" w:hAnsi="Book Antiqua"/>
        </w:rPr>
        <w:t>he</w:t>
      </w:r>
      <w:r w:rsidR="00DB6826">
        <w:rPr>
          <w:rFonts w:ascii="Book Antiqua" w:eastAsia="Times New Roman" w:hAnsi="Book Antiqua"/>
        </w:rPr>
        <w:t xml:space="preserve"> </w:t>
      </w:r>
      <w:r w:rsidR="00CF5772">
        <w:rPr>
          <w:rFonts w:ascii="Book Antiqua" w:eastAsia="Times New Roman" w:hAnsi="Book Antiqua"/>
        </w:rPr>
        <w:t xml:space="preserve">decision of the Abe government to </w:t>
      </w:r>
      <w:r w:rsidR="00906236">
        <w:rPr>
          <w:rFonts w:ascii="Book Antiqua" w:eastAsia="Times New Roman" w:hAnsi="Book Antiqua"/>
        </w:rPr>
        <w:t>abandon</w:t>
      </w:r>
      <w:r w:rsidR="00CF5772">
        <w:rPr>
          <w:rFonts w:ascii="Book Antiqua" w:eastAsia="Times New Roman" w:hAnsi="Book Antiqua"/>
        </w:rPr>
        <w:t xml:space="preserve"> </w:t>
      </w:r>
      <w:r w:rsidR="00A26FFB">
        <w:rPr>
          <w:rFonts w:ascii="Book Antiqua" w:eastAsia="Times New Roman" w:hAnsi="Book Antiqua"/>
        </w:rPr>
        <w:t>CLB</w:t>
      </w:r>
      <w:r w:rsidR="00021BAF">
        <w:rPr>
          <w:rFonts w:ascii="Book Antiqua" w:eastAsia="Times New Roman" w:hAnsi="Book Antiqua"/>
        </w:rPr>
        <w:t xml:space="preserve"> precedent</w:t>
      </w:r>
      <w:r w:rsidR="00CF5772">
        <w:rPr>
          <w:rFonts w:ascii="Book Antiqua" w:eastAsia="Times New Roman" w:hAnsi="Book Antiqua"/>
        </w:rPr>
        <w:t xml:space="preserve"> and </w:t>
      </w:r>
      <w:r>
        <w:rPr>
          <w:rFonts w:ascii="Book Antiqua" w:eastAsia="Times New Roman" w:hAnsi="Book Antiqua"/>
        </w:rPr>
        <w:t xml:space="preserve">effectively </w:t>
      </w:r>
      <w:r>
        <w:rPr>
          <w:rFonts w:ascii="Book Antiqua" w:eastAsia="Times New Roman" w:hAnsi="Book Antiqua"/>
        </w:rPr>
        <w:lastRenderedPageBreak/>
        <w:t>impose</w:t>
      </w:r>
      <w:r w:rsidR="00CF5772">
        <w:rPr>
          <w:rFonts w:ascii="Book Antiqua" w:eastAsia="Times New Roman" w:hAnsi="Book Antiqua"/>
        </w:rPr>
        <w:t xml:space="preserve"> its own</w:t>
      </w:r>
      <w:r w:rsidR="005D428F">
        <w:rPr>
          <w:rFonts w:ascii="Book Antiqua" w:eastAsia="Times New Roman" w:hAnsi="Book Antiqua"/>
        </w:rPr>
        <w:t xml:space="preserve"> more expansive</w:t>
      </w:r>
      <w:r w:rsidR="002A5019">
        <w:rPr>
          <w:rFonts w:ascii="Book Antiqua" w:eastAsia="Times New Roman" w:hAnsi="Book Antiqua"/>
        </w:rPr>
        <w:t xml:space="preserve"> constitutional</w:t>
      </w:r>
      <w:r w:rsidR="00CF5772">
        <w:rPr>
          <w:rFonts w:ascii="Book Antiqua" w:eastAsia="Times New Roman" w:hAnsi="Book Antiqua"/>
        </w:rPr>
        <w:t xml:space="preserve"> reinterpretation</w:t>
      </w:r>
      <w:r w:rsidR="00E06AF2">
        <w:rPr>
          <w:rFonts w:ascii="Book Antiqua" w:eastAsia="Times New Roman" w:hAnsi="Book Antiqua"/>
        </w:rPr>
        <w:t xml:space="preserve"> </w:t>
      </w:r>
      <w:r w:rsidR="00CF5772" w:rsidRPr="006B52F4">
        <w:rPr>
          <w:rFonts w:ascii="Book Antiqua" w:eastAsia="Times New Roman" w:hAnsi="Book Antiqua"/>
        </w:rPr>
        <w:t>was unprecedented</w:t>
      </w:r>
      <w:r w:rsidR="00264F6E" w:rsidRPr="00A6111F">
        <w:rPr>
          <w:rFonts w:ascii="Book Antiqua" w:eastAsia="Times New Roman" w:hAnsi="Book Antiqua"/>
        </w:rPr>
        <w:t>.</w:t>
      </w:r>
      <w:r w:rsidR="005D428F">
        <w:rPr>
          <w:rFonts w:ascii="Book Antiqua" w:eastAsia="Times New Roman" w:hAnsi="Book Antiqua"/>
        </w:rPr>
        <w:t xml:space="preserve"> </w:t>
      </w:r>
      <w:r w:rsidR="00D729CE">
        <w:rPr>
          <w:rFonts w:ascii="Book Antiqua" w:eastAsia="Times New Roman" w:hAnsi="Book Antiqua"/>
        </w:rPr>
        <w:t>In the words of</w:t>
      </w:r>
      <w:r w:rsidR="00905E95" w:rsidRPr="006B52F4">
        <w:rPr>
          <w:rFonts w:ascii="Book Antiqua" w:eastAsia="Times New Roman" w:hAnsi="Book Antiqua"/>
        </w:rPr>
        <w:t xml:space="preserve"> one </w:t>
      </w:r>
      <w:r w:rsidR="00E06AF2">
        <w:rPr>
          <w:rFonts w:ascii="Book Antiqua" w:eastAsia="Times New Roman" w:hAnsi="Book Antiqua"/>
        </w:rPr>
        <w:t>observer</w:t>
      </w:r>
      <w:r w:rsidR="00905E95" w:rsidRPr="006B52F4">
        <w:rPr>
          <w:rFonts w:ascii="Book Antiqua" w:eastAsia="Times New Roman" w:hAnsi="Book Antiqua"/>
        </w:rPr>
        <w:t>,</w:t>
      </w:r>
      <w:r w:rsidR="00E06AF2">
        <w:rPr>
          <w:rFonts w:ascii="Book Antiqua" w:hAnsi="Book Antiqua"/>
        </w:rPr>
        <w:t xml:space="preserve"> the </w:t>
      </w:r>
      <w:r w:rsidR="00905E95" w:rsidRPr="00F603FC">
        <w:rPr>
          <w:rFonts w:ascii="Book Antiqua" w:hAnsi="Book Antiqua"/>
        </w:rPr>
        <w:t>actions</w:t>
      </w:r>
      <w:r w:rsidR="00E06AF2">
        <w:rPr>
          <w:rFonts w:ascii="Book Antiqua" w:hAnsi="Book Antiqua"/>
        </w:rPr>
        <w:t xml:space="preserve"> of the executive represented a dramatic break from constitutional </w:t>
      </w:r>
      <w:r w:rsidR="00D729CE">
        <w:rPr>
          <w:rFonts w:ascii="Book Antiqua" w:hAnsi="Book Antiqua"/>
        </w:rPr>
        <w:t>convention, and</w:t>
      </w:r>
      <w:r w:rsidR="00E06AF2">
        <w:rPr>
          <w:rFonts w:ascii="Book Antiqua" w:hAnsi="Book Antiqua"/>
        </w:rPr>
        <w:t xml:space="preserve"> a subversion of</w:t>
      </w:r>
      <w:r w:rsidR="00905E95" w:rsidRPr="00F603FC">
        <w:rPr>
          <w:rFonts w:ascii="Book Antiqua" w:hAnsi="Book Antiqua"/>
        </w:rPr>
        <w:t xml:space="preserve"> the </w:t>
      </w:r>
      <w:r w:rsidR="00E06AF2">
        <w:rPr>
          <w:rFonts w:ascii="Book Antiqua" w:hAnsi="Book Antiqua"/>
        </w:rPr>
        <w:t>“</w:t>
      </w:r>
      <w:r w:rsidR="00905E95" w:rsidRPr="00F603FC">
        <w:rPr>
          <w:rFonts w:ascii="Book Antiqua" w:hAnsi="Book Antiqua"/>
        </w:rPr>
        <w:t xml:space="preserve">established framework for </w:t>
      </w:r>
      <w:r w:rsidR="00E06AF2" w:rsidRPr="006B52F4">
        <w:rPr>
          <w:rFonts w:ascii="Book Antiqua" w:hAnsi="Book Antiqua"/>
        </w:rPr>
        <w:t>interpreting the constitution</w:t>
      </w:r>
      <w:r w:rsidR="00E06AF2">
        <w:rPr>
          <w:rFonts w:ascii="Book Antiqua" w:hAnsi="Book Antiqua"/>
        </w:rPr>
        <w:t>”</w:t>
      </w:r>
      <w:r w:rsidR="00967222">
        <w:rPr>
          <w:rFonts w:ascii="Book Antiqua" w:hAnsi="Book Antiqua"/>
        </w:rPr>
        <w:t xml:space="preserve"> which in his opinion</w:t>
      </w:r>
      <w:r w:rsidR="00906236" w:rsidRPr="00906236">
        <w:rPr>
          <w:rFonts w:ascii="Book Antiqua" w:hAnsi="Book Antiqua"/>
        </w:rPr>
        <w:t xml:space="preserve"> </w:t>
      </w:r>
      <w:r w:rsidR="00906236">
        <w:rPr>
          <w:rFonts w:ascii="Book Antiqua" w:hAnsi="Book Antiqua"/>
        </w:rPr>
        <w:t>“</w:t>
      </w:r>
      <w:r w:rsidR="00905E95" w:rsidRPr="00F603FC">
        <w:rPr>
          <w:rFonts w:ascii="Book Antiqua" w:hAnsi="Book Antiqua"/>
        </w:rPr>
        <w:t>set a dangerous precedent.</w:t>
      </w:r>
      <w:r w:rsidR="00E06AF2">
        <w:rPr>
          <w:rFonts w:ascii="Book Antiqua" w:hAnsi="Book Antiqua"/>
        </w:rPr>
        <w:t>”</w:t>
      </w:r>
      <w:r w:rsidR="00905E95" w:rsidRPr="00F603FC">
        <w:rPr>
          <w:rStyle w:val="FootnoteReference"/>
          <w:rFonts w:ascii="Book Antiqua" w:hAnsi="Book Antiqua"/>
        </w:rPr>
        <w:footnoteReference w:id="65"/>
      </w:r>
      <w:r w:rsidR="005D428F">
        <w:rPr>
          <w:rFonts w:ascii="Book Antiqua" w:hAnsi="Book Antiqua"/>
        </w:rPr>
        <w:t xml:space="preserve"> </w:t>
      </w:r>
      <w:r w:rsidR="006B52F4">
        <w:rPr>
          <w:rFonts w:ascii="Book Antiqua" w:hAnsi="Book Antiqua"/>
        </w:rPr>
        <w:t>While</w:t>
      </w:r>
      <w:r w:rsidR="00A26FFB">
        <w:rPr>
          <w:rFonts w:ascii="Book Antiqua" w:hAnsi="Book Antiqua"/>
        </w:rPr>
        <w:t xml:space="preserve"> not express</w:t>
      </w:r>
      <w:r w:rsidR="006B52F4">
        <w:rPr>
          <w:rFonts w:ascii="Book Antiqua" w:hAnsi="Book Antiqua"/>
        </w:rPr>
        <w:t>ing</w:t>
      </w:r>
      <w:r w:rsidR="00A26FFB">
        <w:rPr>
          <w:rFonts w:ascii="Book Antiqua" w:hAnsi="Book Antiqua"/>
        </w:rPr>
        <w:t xml:space="preserve"> a view on the cogency or otherwise of</w:t>
      </w:r>
      <w:r w:rsidR="006B52F4">
        <w:rPr>
          <w:rFonts w:ascii="Book Antiqua" w:hAnsi="Book Antiqua"/>
        </w:rPr>
        <w:t xml:space="preserve"> this </w:t>
      </w:r>
      <w:r w:rsidR="00DB6826">
        <w:rPr>
          <w:rFonts w:ascii="Book Antiqua" w:hAnsi="Book Antiqua"/>
        </w:rPr>
        <w:t>re</w:t>
      </w:r>
      <w:r w:rsidR="00542F9B">
        <w:rPr>
          <w:rFonts w:ascii="Book Antiqua" w:hAnsi="Book Antiqua"/>
        </w:rPr>
        <w:t>interpretation</w:t>
      </w:r>
      <w:r w:rsidR="00906236">
        <w:rPr>
          <w:rFonts w:ascii="Book Antiqua" w:hAnsi="Book Antiqua"/>
        </w:rPr>
        <w:t>,</w:t>
      </w:r>
      <w:r w:rsidR="00A26FFB">
        <w:rPr>
          <w:rFonts w:ascii="Book Antiqua" w:hAnsi="Book Antiqua"/>
        </w:rPr>
        <w:t xml:space="preserve"> we suggest t</w:t>
      </w:r>
      <w:r w:rsidR="00E06AF2">
        <w:rPr>
          <w:rFonts w:ascii="Book Antiqua" w:hAnsi="Book Antiqua"/>
        </w:rPr>
        <w:t xml:space="preserve">his strident assessment along with similarly </w:t>
      </w:r>
      <w:r w:rsidR="00FB4C94">
        <w:rPr>
          <w:rFonts w:ascii="Book Antiqua" w:hAnsi="Book Antiqua"/>
        </w:rPr>
        <w:t>vocal</w:t>
      </w:r>
      <w:r w:rsidR="00E06AF2">
        <w:rPr>
          <w:rFonts w:ascii="Book Antiqua" w:hAnsi="Book Antiqua"/>
        </w:rPr>
        <w:t xml:space="preserve"> responses from large segments of the Japanese legal community</w:t>
      </w:r>
      <w:r w:rsidR="00E06AF2">
        <w:rPr>
          <w:rStyle w:val="FootnoteReference"/>
          <w:rFonts w:ascii="Book Antiqua" w:hAnsi="Book Antiqua"/>
        </w:rPr>
        <w:footnoteReference w:id="66"/>
      </w:r>
      <w:r w:rsidR="00E06AF2">
        <w:rPr>
          <w:rFonts w:ascii="Book Antiqua" w:hAnsi="Book Antiqua"/>
        </w:rPr>
        <w:t xml:space="preserve"> underscore</w:t>
      </w:r>
      <w:r w:rsidR="007741FE">
        <w:rPr>
          <w:rFonts w:ascii="Book Antiqua" w:hAnsi="Book Antiqua"/>
        </w:rPr>
        <w:t>s two things. First, it shows</w:t>
      </w:r>
      <w:r w:rsidR="00E06AF2">
        <w:rPr>
          <w:rFonts w:ascii="Book Antiqua" w:hAnsi="Book Antiqua"/>
        </w:rPr>
        <w:t xml:space="preserve"> the</w:t>
      </w:r>
      <w:r w:rsidR="00DA3417">
        <w:rPr>
          <w:rFonts w:ascii="Book Antiqua" w:hAnsi="Book Antiqua"/>
        </w:rPr>
        <w:t xml:space="preserve"> prestige and</w:t>
      </w:r>
      <w:r w:rsidR="00E06AF2">
        <w:rPr>
          <w:rFonts w:ascii="Book Antiqua" w:hAnsi="Book Antiqua"/>
        </w:rPr>
        <w:t xml:space="preserve"> immense influence wielded by the CLB over constitutional interpretation</w:t>
      </w:r>
      <w:r w:rsidR="00906236">
        <w:rPr>
          <w:rFonts w:ascii="Book Antiqua" w:hAnsi="Book Antiqua"/>
        </w:rPr>
        <w:t>,</w:t>
      </w:r>
      <w:r w:rsidR="00E06AF2">
        <w:rPr>
          <w:rFonts w:ascii="Book Antiqua" w:hAnsi="Book Antiqua"/>
        </w:rPr>
        <w:t xml:space="preserve"> and </w:t>
      </w:r>
      <w:r w:rsidR="000C42AF">
        <w:rPr>
          <w:rFonts w:ascii="Book Antiqua" w:hAnsi="Book Antiqua"/>
        </w:rPr>
        <w:t xml:space="preserve">the </w:t>
      </w:r>
      <w:r w:rsidR="006B52F4">
        <w:rPr>
          <w:rFonts w:ascii="Book Antiqua" w:hAnsi="Book Antiqua"/>
        </w:rPr>
        <w:t>scarcity</w:t>
      </w:r>
      <w:r w:rsidR="000C42AF">
        <w:rPr>
          <w:rFonts w:ascii="Book Antiqua" w:hAnsi="Book Antiqua"/>
        </w:rPr>
        <w:t xml:space="preserve"> of</w:t>
      </w:r>
      <w:r w:rsidR="006B52F4">
        <w:rPr>
          <w:rFonts w:ascii="Book Antiqua" w:hAnsi="Book Antiqua"/>
        </w:rPr>
        <w:t xml:space="preserve"> open</w:t>
      </w:r>
      <w:r w:rsidR="00906236">
        <w:rPr>
          <w:rFonts w:ascii="Book Antiqua" w:hAnsi="Book Antiqua"/>
        </w:rPr>
        <w:t xml:space="preserve"> political</w:t>
      </w:r>
      <w:r w:rsidR="00967222">
        <w:rPr>
          <w:rFonts w:ascii="Book Antiqua" w:hAnsi="Book Antiqua"/>
        </w:rPr>
        <w:t xml:space="preserve"> challenge</w:t>
      </w:r>
      <w:r w:rsidR="00E06AF2">
        <w:rPr>
          <w:rFonts w:ascii="Book Antiqua" w:hAnsi="Book Antiqua"/>
        </w:rPr>
        <w:t xml:space="preserve"> to its interpretive </w:t>
      </w:r>
      <w:r w:rsidR="000C42AF">
        <w:rPr>
          <w:rFonts w:ascii="Book Antiqua" w:hAnsi="Book Antiqua"/>
        </w:rPr>
        <w:t>authority</w:t>
      </w:r>
      <w:r w:rsidR="006B52F4">
        <w:rPr>
          <w:rFonts w:ascii="Book Antiqua" w:hAnsi="Book Antiqua"/>
        </w:rPr>
        <w:t>.</w:t>
      </w:r>
      <w:r w:rsidR="00A97467">
        <w:rPr>
          <w:rFonts w:ascii="Book Antiqua" w:hAnsi="Book Antiqua"/>
        </w:rPr>
        <w:t xml:space="preserve"> </w:t>
      </w:r>
      <w:r w:rsidR="00FB4C94">
        <w:rPr>
          <w:rFonts w:ascii="Book Antiqua" w:hAnsi="Book Antiqua"/>
        </w:rPr>
        <w:t xml:space="preserve">The </w:t>
      </w:r>
      <w:r w:rsidR="00A97467" w:rsidRPr="00F603FC">
        <w:rPr>
          <w:rFonts w:ascii="Book Antiqua" w:hAnsi="Book Antiqua"/>
        </w:rPr>
        <w:t>ultimate interpretative authority</w:t>
      </w:r>
      <w:r w:rsidR="00A97467">
        <w:rPr>
          <w:rFonts w:ascii="Book Antiqua" w:hAnsi="Book Antiqua"/>
        </w:rPr>
        <w:t xml:space="preserve"> in </w:t>
      </w:r>
      <w:r w:rsidR="00E670EC">
        <w:rPr>
          <w:rFonts w:ascii="Book Antiqua" w:hAnsi="Book Antiqua"/>
        </w:rPr>
        <w:t>Japanese</w:t>
      </w:r>
      <w:r w:rsidR="00A97467">
        <w:rPr>
          <w:rFonts w:ascii="Book Antiqua" w:hAnsi="Book Antiqua"/>
        </w:rPr>
        <w:t xml:space="preserve"> constitutionalism</w:t>
      </w:r>
      <w:r w:rsidR="00A97467" w:rsidRPr="00F603FC">
        <w:rPr>
          <w:rFonts w:ascii="Book Antiqua" w:hAnsi="Book Antiqua"/>
        </w:rPr>
        <w:t xml:space="preserve"> has</w:t>
      </w:r>
      <w:r w:rsidR="00FB4C94">
        <w:rPr>
          <w:rFonts w:ascii="Book Antiqua" w:hAnsi="Book Antiqua"/>
        </w:rPr>
        <w:t xml:space="preserve"> </w:t>
      </w:r>
      <w:r w:rsidR="00906236">
        <w:rPr>
          <w:rFonts w:ascii="Book Antiqua" w:hAnsi="Book Antiqua"/>
        </w:rPr>
        <w:t>typically</w:t>
      </w:r>
      <w:r w:rsidR="00A97467" w:rsidRPr="00F603FC">
        <w:rPr>
          <w:rFonts w:ascii="Book Antiqua" w:hAnsi="Book Antiqua"/>
        </w:rPr>
        <w:t xml:space="preserve"> not </w:t>
      </w:r>
      <w:r w:rsidR="00A97467">
        <w:rPr>
          <w:rFonts w:ascii="Book Antiqua" w:hAnsi="Book Antiqua"/>
        </w:rPr>
        <w:t>“</w:t>
      </w:r>
      <w:r w:rsidR="00A97467" w:rsidRPr="00F603FC">
        <w:rPr>
          <w:rFonts w:ascii="Book Antiqua" w:hAnsi="Book Antiqua"/>
        </w:rPr>
        <w:t>lain with bodies possessed</w:t>
      </w:r>
      <w:r w:rsidR="00A97467">
        <w:rPr>
          <w:rFonts w:ascii="Book Antiqua" w:hAnsi="Book Antiqua"/>
        </w:rPr>
        <w:t xml:space="preserve"> </w:t>
      </w:r>
      <w:r w:rsidR="00A97467" w:rsidRPr="00F603FC">
        <w:rPr>
          <w:rFonts w:ascii="Book Antiqua" w:hAnsi="Book Antiqua"/>
        </w:rPr>
        <w:t>of political constraints drawn from el</w:t>
      </w:r>
      <w:r w:rsidR="00FB4C94" w:rsidRPr="00FB4C94">
        <w:rPr>
          <w:rFonts w:ascii="Book Antiqua" w:hAnsi="Book Antiqua"/>
        </w:rPr>
        <w:t>ectoral legitimacy or authority</w:t>
      </w:r>
      <w:r w:rsidR="00B84A56">
        <w:rPr>
          <w:rFonts w:ascii="Book Antiqua" w:hAnsi="Book Antiqua"/>
        </w:rPr>
        <w:t>”</w:t>
      </w:r>
      <w:r w:rsidR="006234AA">
        <w:rPr>
          <w:rFonts w:ascii="Book Antiqua" w:hAnsi="Book Antiqua"/>
        </w:rPr>
        <w:t>;</w:t>
      </w:r>
      <w:r w:rsidR="00B84A56">
        <w:rPr>
          <w:rFonts w:ascii="Book Antiqua" w:hAnsi="Book Antiqua"/>
        </w:rPr>
        <w:t xml:space="preserve"> </w:t>
      </w:r>
      <w:r w:rsidR="00A97467" w:rsidRPr="00F603FC">
        <w:rPr>
          <w:rFonts w:ascii="Book Antiqua" w:hAnsi="Book Antiqua"/>
        </w:rPr>
        <w:t xml:space="preserve">the </w:t>
      </w:r>
      <w:r w:rsidR="00B84A56">
        <w:rPr>
          <w:rFonts w:ascii="Book Antiqua" w:hAnsi="Book Antiqua"/>
        </w:rPr>
        <w:t>“</w:t>
      </w:r>
      <w:r w:rsidR="00A97467" w:rsidRPr="00F603FC">
        <w:rPr>
          <w:rFonts w:ascii="Book Antiqua" w:hAnsi="Book Antiqua"/>
        </w:rPr>
        <w:t>dominant actors have proven to be an obscure bureaucratic body</w:t>
      </w:r>
      <w:r w:rsidR="00A97467">
        <w:rPr>
          <w:rFonts w:ascii="Book Antiqua" w:hAnsi="Book Antiqua"/>
        </w:rPr>
        <w:t>”</w:t>
      </w:r>
      <w:r w:rsidR="006B52F4">
        <w:rPr>
          <w:rFonts w:ascii="Book Antiqua" w:hAnsi="Book Antiqua"/>
        </w:rPr>
        <w:t xml:space="preserve"> </w:t>
      </w:r>
      <w:r w:rsidR="000542D5">
        <w:rPr>
          <w:rFonts w:ascii="Book Antiqua" w:hAnsi="Book Antiqua"/>
        </w:rPr>
        <w:t xml:space="preserve">staffed by </w:t>
      </w:r>
      <w:r w:rsidR="006B52F4">
        <w:rPr>
          <w:rFonts w:ascii="Book Antiqua" w:hAnsi="Book Antiqua"/>
        </w:rPr>
        <w:t>elite lawyers.</w:t>
      </w:r>
      <w:r w:rsidR="004930FD">
        <w:rPr>
          <w:rStyle w:val="FootnoteReference"/>
          <w:rFonts w:ascii="Book Antiqua" w:hAnsi="Book Antiqua"/>
        </w:rPr>
        <w:footnoteReference w:id="67"/>
      </w:r>
      <w:r w:rsidR="007741FE">
        <w:rPr>
          <w:rFonts w:ascii="Book Antiqua" w:hAnsi="Book Antiqua"/>
        </w:rPr>
        <w:t xml:space="preserve"> </w:t>
      </w:r>
      <w:r w:rsidR="00C13A0D">
        <w:rPr>
          <w:rFonts w:ascii="Book Antiqua" w:hAnsi="Book Antiqua"/>
        </w:rPr>
        <w:t>S</w:t>
      </w:r>
      <w:r w:rsidR="007741FE">
        <w:rPr>
          <w:rFonts w:ascii="Book Antiqua" w:hAnsi="Book Antiqua"/>
        </w:rPr>
        <w:t>econdly</w:t>
      </w:r>
      <w:r w:rsidR="00C13A0D">
        <w:rPr>
          <w:rFonts w:ascii="Book Antiqua" w:hAnsi="Book Antiqua"/>
        </w:rPr>
        <w:t>,</w:t>
      </w:r>
      <w:r w:rsidR="007741FE">
        <w:rPr>
          <w:rFonts w:ascii="Book Antiqua" w:hAnsi="Book Antiqua"/>
        </w:rPr>
        <w:t xml:space="preserve"> it raises the possibility</w:t>
      </w:r>
      <w:r w:rsidR="00C13A0D">
        <w:rPr>
          <w:rFonts w:ascii="Book Antiqua" w:hAnsi="Book Antiqua"/>
        </w:rPr>
        <w:t>—discussed further below—</w:t>
      </w:r>
      <w:r w:rsidR="007741FE">
        <w:rPr>
          <w:rFonts w:ascii="Book Antiqua" w:hAnsi="Book Antiqua"/>
        </w:rPr>
        <w:t>that the authority and respect afforded to this institution could be exploited by the executive</w:t>
      </w:r>
      <w:r w:rsidR="00C13A0D">
        <w:rPr>
          <w:rFonts w:ascii="Book Antiqua" w:hAnsi="Book Antiqua"/>
        </w:rPr>
        <w:t xml:space="preserve">. If it could manage to control or significantly influence the process, it could </w:t>
      </w:r>
      <w:r w:rsidR="007741FE">
        <w:rPr>
          <w:rFonts w:ascii="Book Antiqua" w:hAnsi="Book Antiqua"/>
        </w:rPr>
        <w:t xml:space="preserve">afford legitimacy to </w:t>
      </w:r>
      <w:r w:rsidR="00C13A0D">
        <w:rPr>
          <w:rFonts w:ascii="Book Antiqua" w:hAnsi="Book Antiqua"/>
        </w:rPr>
        <w:t xml:space="preserve">executive </w:t>
      </w:r>
      <w:r w:rsidR="007741FE">
        <w:rPr>
          <w:rFonts w:ascii="Book Antiqua" w:hAnsi="Book Antiqua"/>
        </w:rPr>
        <w:t xml:space="preserve">actions that might be </w:t>
      </w:r>
      <w:r w:rsidR="00C13A0D">
        <w:rPr>
          <w:rFonts w:ascii="Book Antiqua" w:hAnsi="Book Antiqua"/>
        </w:rPr>
        <w:t xml:space="preserve">constitutionally </w:t>
      </w:r>
      <w:r w:rsidR="007741FE">
        <w:rPr>
          <w:rFonts w:ascii="Book Antiqua" w:hAnsi="Book Antiqua"/>
        </w:rPr>
        <w:t>questionable</w:t>
      </w:r>
      <w:r w:rsidR="00C13A0D">
        <w:rPr>
          <w:rFonts w:ascii="Book Antiqua" w:hAnsi="Book Antiqua"/>
        </w:rPr>
        <w:t xml:space="preserve"> or be used to circumvent the formal amendment process</w:t>
      </w:r>
      <w:r w:rsidR="007741FE">
        <w:rPr>
          <w:rFonts w:ascii="Book Antiqua" w:hAnsi="Book Antiqua"/>
        </w:rPr>
        <w:t>.</w:t>
      </w:r>
      <w:r w:rsidR="00C13A0D">
        <w:rPr>
          <w:rStyle w:val="FootnoteReference"/>
          <w:rFonts w:ascii="Book Antiqua" w:hAnsi="Book Antiqua"/>
        </w:rPr>
        <w:footnoteReference w:id="68"/>
      </w:r>
    </w:p>
    <w:p w14:paraId="2BE2EE90" w14:textId="77777777" w:rsidR="005C578E" w:rsidRPr="006B52F4" w:rsidRDefault="005C578E" w:rsidP="006B52F4">
      <w:pPr>
        <w:spacing w:line="360" w:lineRule="auto"/>
        <w:jc w:val="both"/>
        <w:rPr>
          <w:rFonts w:ascii="Book Antiqua" w:eastAsia="Times New Roman" w:hAnsi="Book Antiqua"/>
        </w:rPr>
      </w:pPr>
    </w:p>
    <w:p w14:paraId="45CE6D89" w14:textId="16B8D24C" w:rsidR="006234AA" w:rsidRDefault="00724512" w:rsidP="006234AA">
      <w:pPr>
        <w:spacing w:line="360" w:lineRule="auto"/>
        <w:jc w:val="both"/>
        <w:rPr>
          <w:rFonts w:ascii="Book Antiqua" w:eastAsia="Times New Roman" w:hAnsi="Book Antiqua"/>
        </w:rPr>
      </w:pPr>
      <w:r>
        <w:rPr>
          <w:rFonts w:ascii="Book Antiqua" w:eastAsia="Times New Roman" w:hAnsi="Book Antiqua"/>
        </w:rPr>
        <w:t xml:space="preserve">The fact that the CLB has emerged as a </w:t>
      </w:r>
      <w:r w:rsidR="00A650E2">
        <w:rPr>
          <w:rFonts w:ascii="Book Antiqua" w:eastAsia="Times New Roman" w:hAnsi="Book Antiqua"/>
        </w:rPr>
        <w:t xml:space="preserve">review body </w:t>
      </w:r>
      <w:r>
        <w:rPr>
          <w:rFonts w:ascii="Book Antiqua" w:eastAsia="Times New Roman" w:hAnsi="Book Antiqua"/>
        </w:rPr>
        <w:t xml:space="preserve">with a </w:t>
      </w:r>
      <w:r>
        <w:rPr>
          <w:rFonts w:ascii="Book Antiqua" w:eastAsia="Times New Roman" w:hAnsi="Book Antiqua"/>
          <w:i/>
        </w:rPr>
        <w:t xml:space="preserve">de facto </w:t>
      </w:r>
      <w:r>
        <w:rPr>
          <w:rFonts w:ascii="Book Antiqua" w:eastAsia="Times New Roman" w:hAnsi="Book Antiqua"/>
        </w:rPr>
        <w:t xml:space="preserve">monopoly on interpreting the constitution has also </w:t>
      </w:r>
      <w:r w:rsidR="008D7A42">
        <w:rPr>
          <w:rFonts w:ascii="Book Antiqua" w:eastAsia="Times New Roman" w:hAnsi="Book Antiqua"/>
        </w:rPr>
        <w:t>had significant effects on the legislature</w:t>
      </w:r>
      <w:r w:rsidR="0050665D">
        <w:rPr>
          <w:rFonts w:ascii="Book Antiqua" w:eastAsia="Times New Roman" w:hAnsi="Book Antiqua"/>
        </w:rPr>
        <w:t xml:space="preserve"> given the fused nature of executive-parliamentary relations</w:t>
      </w:r>
      <w:r w:rsidR="00E6080B">
        <w:rPr>
          <w:rFonts w:ascii="Book Antiqua" w:eastAsia="Times New Roman" w:hAnsi="Book Antiqua"/>
        </w:rPr>
        <w:t xml:space="preserve"> and the fact </w:t>
      </w:r>
      <w:proofErr w:type="gramStart"/>
      <w:r w:rsidR="00E6080B">
        <w:rPr>
          <w:rFonts w:ascii="Book Antiqua" w:eastAsia="Times New Roman" w:hAnsi="Book Antiqua"/>
        </w:rPr>
        <w:t>the vast majority of</w:t>
      </w:r>
      <w:proofErr w:type="gramEnd"/>
      <w:r w:rsidR="00E6080B">
        <w:rPr>
          <w:rFonts w:ascii="Book Antiqua" w:eastAsia="Times New Roman" w:hAnsi="Book Antiqua"/>
        </w:rPr>
        <w:t xml:space="preserve"> laws issue from the cabinet</w:t>
      </w:r>
      <w:r>
        <w:rPr>
          <w:rFonts w:ascii="Book Antiqua" w:eastAsia="Times New Roman" w:hAnsi="Book Antiqua"/>
        </w:rPr>
        <w:t xml:space="preserve">. </w:t>
      </w:r>
      <w:r w:rsidR="006234AA">
        <w:rPr>
          <w:rFonts w:ascii="Book Antiqua" w:eastAsia="Times New Roman" w:hAnsi="Book Antiqua"/>
        </w:rPr>
        <w:t>A</w:t>
      </w:r>
      <w:r w:rsidR="00427EA0">
        <w:rPr>
          <w:rFonts w:ascii="Book Antiqua" w:eastAsia="Times New Roman" w:hAnsi="Book Antiqua"/>
        </w:rPr>
        <w:t xml:space="preserve"> CLB interpretation </w:t>
      </w:r>
      <w:r w:rsidR="006234AA">
        <w:rPr>
          <w:rFonts w:ascii="Book Antiqua" w:eastAsia="Times New Roman" w:hAnsi="Book Antiqua"/>
        </w:rPr>
        <w:t xml:space="preserve">helps the executive </w:t>
      </w:r>
      <w:r w:rsidR="00427EA0">
        <w:rPr>
          <w:rFonts w:ascii="Book Antiqua" w:eastAsia="Times New Roman" w:hAnsi="Book Antiqua"/>
        </w:rPr>
        <w:t>collateral</w:t>
      </w:r>
      <w:r w:rsidR="008E585C">
        <w:rPr>
          <w:rFonts w:ascii="Book Antiqua" w:eastAsia="Times New Roman" w:hAnsi="Book Antiqua"/>
        </w:rPr>
        <w:t>ize</w:t>
      </w:r>
      <w:r w:rsidR="00BE5182">
        <w:rPr>
          <w:rFonts w:ascii="Book Antiqua" w:eastAsia="Times New Roman" w:hAnsi="Book Antiqua"/>
        </w:rPr>
        <w:t xml:space="preserve"> a</w:t>
      </w:r>
      <w:r w:rsidR="005F6564">
        <w:rPr>
          <w:rFonts w:ascii="Book Antiqua" w:eastAsia="Times New Roman" w:hAnsi="Book Antiqua"/>
        </w:rPr>
        <w:t xml:space="preserve"> particular course of action</w:t>
      </w:r>
      <w:r w:rsidR="006234AA">
        <w:rPr>
          <w:rFonts w:ascii="Book Antiqua" w:eastAsia="Times New Roman" w:hAnsi="Book Antiqua"/>
        </w:rPr>
        <w:t>,</w:t>
      </w:r>
      <w:r w:rsidR="008E585C">
        <w:rPr>
          <w:rFonts w:ascii="Book Antiqua" w:eastAsia="Times New Roman" w:hAnsi="Book Antiqua"/>
        </w:rPr>
        <w:t xml:space="preserve"> </w:t>
      </w:r>
      <w:r w:rsidR="00E6080B">
        <w:rPr>
          <w:rFonts w:ascii="Book Antiqua" w:eastAsia="Times New Roman" w:hAnsi="Book Antiqua"/>
        </w:rPr>
        <w:t>shor</w:t>
      </w:r>
      <w:r w:rsidR="006234AA">
        <w:rPr>
          <w:rFonts w:ascii="Book Antiqua" w:eastAsia="Times New Roman" w:hAnsi="Book Antiqua"/>
        </w:rPr>
        <w:t>ing</w:t>
      </w:r>
      <w:r w:rsidR="00A72309">
        <w:rPr>
          <w:rFonts w:ascii="Book Antiqua" w:eastAsia="Times New Roman" w:hAnsi="Book Antiqua"/>
        </w:rPr>
        <w:t xml:space="preserve"> up </w:t>
      </w:r>
      <w:r w:rsidR="00E6080B">
        <w:rPr>
          <w:rFonts w:ascii="Book Antiqua" w:eastAsia="Times New Roman" w:hAnsi="Book Antiqua"/>
        </w:rPr>
        <w:t>its</w:t>
      </w:r>
      <w:r w:rsidR="00A72309">
        <w:rPr>
          <w:rFonts w:ascii="Book Antiqua" w:eastAsia="Times New Roman" w:hAnsi="Book Antiqua"/>
        </w:rPr>
        <w:t xml:space="preserve"> policy positions,</w:t>
      </w:r>
      <w:r w:rsidR="00BE5182">
        <w:rPr>
          <w:rFonts w:ascii="Book Antiqua" w:eastAsia="Times New Roman" w:hAnsi="Book Antiqua"/>
        </w:rPr>
        <w:t xml:space="preserve"> </w:t>
      </w:r>
      <w:r w:rsidR="006234AA">
        <w:rPr>
          <w:rFonts w:ascii="Book Antiqua" w:eastAsia="Times New Roman" w:hAnsi="Book Antiqua"/>
        </w:rPr>
        <w:t xml:space="preserve">and enabling them to dismiss changed they dislike </w:t>
      </w:r>
      <w:r w:rsidR="00427EA0">
        <w:rPr>
          <w:rFonts w:ascii="Book Antiqua" w:eastAsia="Times New Roman" w:hAnsi="Book Antiqua"/>
        </w:rPr>
        <w:t>as “unacceptable to the CLB”.</w:t>
      </w:r>
      <w:r w:rsidR="00427EA0">
        <w:rPr>
          <w:rStyle w:val="FootnoteReference"/>
          <w:rFonts w:ascii="Book Antiqua" w:eastAsia="Times New Roman" w:hAnsi="Book Antiqua"/>
        </w:rPr>
        <w:footnoteReference w:id="69"/>
      </w:r>
      <w:r>
        <w:rPr>
          <w:rFonts w:ascii="Book Antiqua" w:eastAsia="Times New Roman" w:hAnsi="Book Antiqua"/>
        </w:rPr>
        <w:t xml:space="preserve"> </w:t>
      </w:r>
      <w:r w:rsidR="006234AA">
        <w:rPr>
          <w:rFonts w:ascii="Book Antiqua" w:eastAsia="Times New Roman" w:hAnsi="Book Antiqua"/>
        </w:rPr>
        <w:t xml:space="preserve">The high degree of secrecy permeating the review process, and the fact that disclosure of CLB opinions is not a matter of course, inhibits the Diet’s ability to contest or second guess the constitutional positions of the executive. </w:t>
      </w:r>
    </w:p>
    <w:p w14:paraId="6227C46E" w14:textId="532B7904" w:rsidR="00724512" w:rsidRDefault="00724512" w:rsidP="00AF44F1">
      <w:pPr>
        <w:spacing w:line="360" w:lineRule="auto"/>
        <w:jc w:val="both"/>
        <w:rPr>
          <w:rFonts w:ascii="Book Antiqua" w:eastAsia="Times New Roman" w:hAnsi="Book Antiqua"/>
        </w:rPr>
      </w:pPr>
    </w:p>
    <w:p w14:paraId="421A1247" w14:textId="77777777" w:rsidR="00E426C9" w:rsidRPr="00400765" w:rsidRDefault="00E426C9" w:rsidP="00A36A90"/>
    <w:p w14:paraId="58EC7D6A" w14:textId="2FF627DE" w:rsidR="00FE176E" w:rsidRPr="00121BA7" w:rsidRDefault="00FC7D35" w:rsidP="00FE176E">
      <w:pPr>
        <w:spacing w:line="360" w:lineRule="auto"/>
        <w:jc w:val="both"/>
        <w:rPr>
          <w:rFonts w:ascii="Book Antiqua" w:eastAsia="Times New Roman" w:hAnsi="Book Antiqua"/>
        </w:rPr>
      </w:pPr>
      <w:r>
        <w:rPr>
          <w:rFonts w:ascii="Book Antiqua" w:eastAsia="Times New Roman" w:hAnsi="Book Antiqua"/>
        </w:rPr>
        <w:lastRenderedPageBreak/>
        <w:t>C</w:t>
      </w:r>
      <w:r w:rsidR="003F01C9" w:rsidRPr="00121BA7">
        <w:rPr>
          <w:rFonts w:ascii="Book Antiqua" w:eastAsia="Times New Roman" w:hAnsi="Book Antiqua"/>
        </w:rPr>
        <w:t>ontroversy</w:t>
      </w:r>
      <w:r w:rsidR="0076597C">
        <w:rPr>
          <w:rFonts w:ascii="Book Antiqua" w:eastAsia="Times New Roman" w:hAnsi="Book Antiqua"/>
        </w:rPr>
        <w:t xml:space="preserve"> has </w:t>
      </w:r>
      <w:r>
        <w:rPr>
          <w:rFonts w:ascii="Book Antiqua" w:eastAsia="Times New Roman" w:hAnsi="Book Antiqua"/>
        </w:rPr>
        <w:t xml:space="preserve">also </w:t>
      </w:r>
      <w:r w:rsidR="0076597C">
        <w:rPr>
          <w:rFonts w:ascii="Book Antiqua" w:eastAsia="Times New Roman" w:hAnsi="Book Antiqua"/>
        </w:rPr>
        <w:t xml:space="preserve">stemmed </w:t>
      </w:r>
      <w:r w:rsidR="003F01C9" w:rsidRPr="00121BA7">
        <w:rPr>
          <w:rFonts w:ascii="Book Antiqua" w:eastAsia="Times New Roman" w:hAnsi="Book Antiqua"/>
        </w:rPr>
        <w:t xml:space="preserve">from </w:t>
      </w:r>
      <w:r w:rsidR="00F00CCB">
        <w:rPr>
          <w:rFonts w:ascii="Book Antiqua" w:eastAsia="Times New Roman" w:hAnsi="Book Antiqua"/>
        </w:rPr>
        <w:t xml:space="preserve">the </w:t>
      </w:r>
      <w:r>
        <w:rPr>
          <w:rFonts w:ascii="Book Antiqua" w:eastAsia="Times New Roman" w:hAnsi="Book Antiqua"/>
        </w:rPr>
        <w:t>possible</w:t>
      </w:r>
      <w:r w:rsidRPr="00121BA7">
        <w:rPr>
          <w:rFonts w:ascii="Book Antiqua" w:eastAsia="Times New Roman" w:hAnsi="Book Antiqua"/>
        </w:rPr>
        <w:t xml:space="preserve"> </w:t>
      </w:r>
      <w:r w:rsidR="00B719C2">
        <w:rPr>
          <w:rFonts w:ascii="Book Antiqua" w:eastAsia="Times New Roman" w:hAnsi="Book Antiqua"/>
        </w:rPr>
        <w:t>relationship between</w:t>
      </w:r>
      <w:r w:rsidR="00F00CCB">
        <w:rPr>
          <w:rFonts w:ascii="Book Antiqua" w:eastAsia="Times New Roman" w:hAnsi="Book Antiqua"/>
        </w:rPr>
        <w:t xml:space="preserve"> the CLB</w:t>
      </w:r>
      <w:r w:rsidR="003F01C9" w:rsidRPr="00121BA7">
        <w:rPr>
          <w:rFonts w:ascii="Book Antiqua" w:eastAsia="Times New Roman" w:hAnsi="Book Antiqua"/>
        </w:rPr>
        <w:t xml:space="preserve"> </w:t>
      </w:r>
      <w:r w:rsidR="00B719C2">
        <w:rPr>
          <w:rFonts w:ascii="Book Antiqua" w:eastAsia="Times New Roman" w:hAnsi="Book Antiqua"/>
        </w:rPr>
        <w:t>and</w:t>
      </w:r>
      <w:r w:rsidR="003F01C9" w:rsidRPr="00121BA7">
        <w:rPr>
          <w:rFonts w:ascii="Book Antiqua" w:eastAsia="Times New Roman" w:hAnsi="Book Antiqua"/>
        </w:rPr>
        <w:t xml:space="preserve"> the Supreme Court</w:t>
      </w:r>
      <w:r w:rsidR="00400765">
        <w:rPr>
          <w:rFonts w:ascii="Book Antiqua" w:eastAsia="Times New Roman" w:hAnsi="Book Antiqua"/>
        </w:rPr>
        <w:t xml:space="preserve"> of Japan</w:t>
      </w:r>
      <w:r w:rsidR="003F01C9" w:rsidRPr="00121BA7">
        <w:rPr>
          <w:rFonts w:ascii="Book Antiqua" w:eastAsia="Times New Roman" w:hAnsi="Book Antiqua"/>
        </w:rPr>
        <w:t>’s</w:t>
      </w:r>
      <w:r w:rsidR="003D0724">
        <w:rPr>
          <w:rFonts w:ascii="Book Antiqua" w:eastAsia="Times New Roman" w:hAnsi="Book Antiqua"/>
        </w:rPr>
        <w:t xml:space="preserve"> high degree of</w:t>
      </w:r>
      <w:r w:rsidR="003F01C9" w:rsidRPr="00121BA7">
        <w:rPr>
          <w:rFonts w:ascii="Book Antiqua" w:eastAsia="Times New Roman" w:hAnsi="Book Antiqua"/>
        </w:rPr>
        <w:t xml:space="preserve"> judicial deference. </w:t>
      </w:r>
      <w:r w:rsidR="00FE176E" w:rsidRPr="00121BA7">
        <w:rPr>
          <w:rFonts w:ascii="Book Antiqua" w:eastAsia="Times New Roman" w:hAnsi="Book Antiqua"/>
        </w:rPr>
        <w:t xml:space="preserve">Japan’s formal constitutional arrangement </w:t>
      </w:r>
      <w:r w:rsidR="00400765">
        <w:rPr>
          <w:rFonts w:ascii="Book Antiqua" w:eastAsia="Times New Roman" w:hAnsi="Book Antiqua"/>
        </w:rPr>
        <w:t>include</w:t>
      </w:r>
      <w:r w:rsidR="00F00CCB">
        <w:rPr>
          <w:rFonts w:ascii="Book Antiqua" w:eastAsia="Times New Roman" w:hAnsi="Book Antiqua"/>
        </w:rPr>
        <w:t xml:space="preserve"> strong-form judicial review</w:t>
      </w:r>
      <w:r>
        <w:rPr>
          <w:rFonts w:ascii="Book Antiqua" w:eastAsia="Times New Roman" w:hAnsi="Book Antiqua"/>
        </w:rPr>
        <w:t>.</w:t>
      </w:r>
      <w:r w:rsidR="00FE176E">
        <w:rPr>
          <w:rStyle w:val="FootnoteReference"/>
          <w:rFonts w:ascii="Book Antiqua" w:eastAsia="Times New Roman" w:hAnsi="Book Antiqua"/>
        </w:rPr>
        <w:footnoteReference w:id="70"/>
      </w:r>
      <w:r w:rsidR="00FE176E" w:rsidRPr="00121BA7">
        <w:rPr>
          <w:rFonts w:ascii="Book Antiqua" w:hAnsi="Book Antiqua"/>
          <w:color w:val="000000" w:themeColor="text1"/>
          <w:lang w:val="en-GB"/>
        </w:rPr>
        <w:t xml:space="preserve"> </w:t>
      </w:r>
      <w:r w:rsidR="00FE176E" w:rsidRPr="00121BA7">
        <w:rPr>
          <w:rFonts w:ascii="Book Antiqua" w:eastAsia="Times New Roman" w:hAnsi="Book Antiqua"/>
        </w:rPr>
        <w:t>Despite having this authority</w:t>
      </w:r>
      <w:r w:rsidR="003D0724">
        <w:rPr>
          <w:rFonts w:ascii="Book Antiqua" w:eastAsia="Times New Roman" w:hAnsi="Book Antiqua"/>
        </w:rPr>
        <w:t>,</w:t>
      </w:r>
      <w:r w:rsidR="00FE176E" w:rsidRPr="00121BA7">
        <w:rPr>
          <w:rFonts w:ascii="Book Antiqua" w:eastAsia="Times New Roman" w:hAnsi="Book Antiqua"/>
        </w:rPr>
        <w:t xml:space="preserve"> the Supreme Court has consistently acted in a </w:t>
      </w:r>
      <w:r w:rsidR="00400765">
        <w:rPr>
          <w:rFonts w:ascii="Book Antiqua" w:eastAsia="Times New Roman" w:hAnsi="Book Antiqua"/>
        </w:rPr>
        <w:t>highly</w:t>
      </w:r>
      <w:r w:rsidR="00400765" w:rsidRPr="00121BA7">
        <w:rPr>
          <w:rFonts w:ascii="Book Antiqua" w:eastAsia="Times New Roman" w:hAnsi="Book Antiqua"/>
        </w:rPr>
        <w:t xml:space="preserve"> </w:t>
      </w:r>
      <w:r w:rsidR="00FE176E" w:rsidRPr="00121BA7">
        <w:rPr>
          <w:rFonts w:ascii="Book Antiqua" w:eastAsia="Times New Roman" w:hAnsi="Book Antiqua"/>
        </w:rPr>
        <w:t>deferential manner to</w:t>
      </w:r>
      <w:r w:rsidR="003D0724">
        <w:rPr>
          <w:rFonts w:ascii="Book Antiqua" w:eastAsia="Times New Roman" w:hAnsi="Book Antiqua"/>
        </w:rPr>
        <w:t>ward</w:t>
      </w:r>
      <w:r w:rsidR="00FE176E" w:rsidRPr="00121BA7">
        <w:rPr>
          <w:rFonts w:ascii="Book Antiqua" w:eastAsia="Times New Roman" w:hAnsi="Book Antiqua"/>
        </w:rPr>
        <w:t xml:space="preserve"> the political branches</w:t>
      </w:r>
      <w:r>
        <w:rPr>
          <w:rFonts w:ascii="Book Antiqua" w:eastAsia="Times New Roman" w:hAnsi="Book Antiqua"/>
        </w:rPr>
        <w:t>,</w:t>
      </w:r>
      <w:r w:rsidR="00FE176E" w:rsidRPr="00121BA7">
        <w:rPr>
          <w:rFonts w:ascii="Book Antiqua" w:eastAsia="Times New Roman" w:hAnsi="Book Antiqua"/>
        </w:rPr>
        <w:t xml:space="preserve"> </w:t>
      </w:r>
      <w:r>
        <w:rPr>
          <w:rFonts w:ascii="Book Antiqua" w:eastAsia="Times New Roman" w:hAnsi="Book Antiqua"/>
        </w:rPr>
        <w:t xml:space="preserve">being </w:t>
      </w:r>
      <w:r w:rsidR="00197FCA">
        <w:rPr>
          <w:rFonts w:ascii="Book Antiqua" w:eastAsia="Times New Roman" w:hAnsi="Book Antiqua"/>
        </w:rPr>
        <w:t xml:space="preserve">described as amongst </w:t>
      </w:r>
      <w:r w:rsidR="00FE176E" w:rsidRPr="00121BA7">
        <w:rPr>
          <w:rFonts w:ascii="Book Antiqua" w:eastAsia="Times New Roman" w:hAnsi="Book Antiqua"/>
        </w:rPr>
        <w:t>the most conserv</w:t>
      </w:r>
      <w:r w:rsidR="00197FCA">
        <w:rPr>
          <w:rFonts w:ascii="Book Antiqua" w:eastAsia="Times New Roman" w:hAnsi="Book Antiqua"/>
        </w:rPr>
        <w:t>ative and cautious in the world</w:t>
      </w:r>
      <w:r w:rsidR="00FE176E" w:rsidRPr="00121BA7">
        <w:rPr>
          <w:rFonts w:ascii="Book Antiqua" w:eastAsia="Times New Roman" w:hAnsi="Book Antiqua"/>
        </w:rPr>
        <w:t>.</w:t>
      </w:r>
      <w:r w:rsidR="00FE176E">
        <w:rPr>
          <w:rStyle w:val="FootnoteReference"/>
          <w:rFonts w:ascii="Book Antiqua" w:eastAsia="Times New Roman" w:hAnsi="Book Antiqua"/>
        </w:rPr>
        <w:footnoteReference w:id="71"/>
      </w:r>
      <w:r w:rsidR="00FE176E" w:rsidRPr="00121BA7">
        <w:rPr>
          <w:rFonts w:ascii="Book Antiqua" w:eastAsia="Times New Roman" w:hAnsi="Book Antiqua"/>
        </w:rPr>
        <w:t xml:space="preserve"> Since its establishment over six decades ago, the Court has struck down a handful of laws on constitutional grounds</w:t>
      </w:r>
      <w:r>
        <w:rPr>
          <w:rFonts w:ascii="Book Antiqua" w:eastAsia="Times New Roman" w:hAnsi="Book Antiqua"/>
        </w:rPr>
        <w:t xml:space="preserve">, and </w:t>
      </w:r>
      <w:r w:rsidR="00D92DFA" w:rsidRPr="00121BA7">
        <w:rPr>
          <w:rFonts w:ascii="Book Antiqua" w:eastAsia="Times New Roman" w:hAnsi="Book Antiqua"/>
        </w:rPr>
        <w:t>most</w:t>
      </w:r>
      <w:r>
        <w:rPr>
          <w:rFonts w:ascii="Book Antiqua" w:eastAsia="Times New Roman" w:hAnsi="Book Antiqua"/>
        </w:rPr>
        <w:t>ly</w:t>
      </w:r>
      <w:r w:rsidR="00FE176E" w:rsidRPr="00121BA7">
        <w:rPr>
          <w:rFonts w:ascii="Book Antiqua" w:eastAsia="Times New Roman" w:hAnsi="Book Antiqua"/>
        </w:rPr>
        <w:t xml:space="preserve"> these were private members bills sponsored by members of the Diet and not the government.</w:t>
      </w:r>
      <w:r w:rsidR="00FE176E">
        <w:rPr>
          <w:rStyle w:val="FootnoteReference"/>
          <w:rFonts w:ascii="Book Antiqua" w:eastAsia="Times New Roman" w:hAnsi="Book Antiqua"/>
        </w:rPr>
        <w:footnoteReference w:id="72"/>
      </w:r>
    </w:p>
    <w:p w14:paraId="668E7D4E" w14:textId="77777777" w:rsidR="00FE176E" w:rsidRDefault="00FE176E" w:rsidP="00121BA7">
      <w:pPr>
        <w:spacing w:line="360" w:lineRule="auto"/>
        <w:jc w:val="both"/>
        <w:rPr>
          <w:rFonts w:ascii="Book Antiqua" w:eastAsia="Times New Roman" w:hAnsi="Book Antiqua"/>
        </w:rPr>
      </w:pPr>
    </w:p>
    <w:p w14:paraId="11DF9F5D" w14:textId="2E90CCC7" w:rsidR="001400B2" w:rsidRDefault="003F01C9" w:rsidP="00121BA7">
      <w:pPr>
        <w:spacing w:line="360" w:lineRule="auto"/>
        <w:jc w:val="both"/>
        <w:rPr>
          <w:rFonts w:ascii="Book Antiqua" w:hAnsi="Book Antiqua"/>
        </w:rPr>
      </w:pPr>
      <w:r w:rsidRPr="00121BA7">
        <w:rPr>
          <w:rFonts w:ascii="Book Antiqua" w:eastAsia="Times New Roman" w:hAnsi="Book Antiqua"/>
        </w:rPr>
        <w:t>The</w:t>
      </w:r>
      <w:r w:rsidR="00FE7E17">
        <w:rPr>
          <w:rFonts w:ascii="Book Antiqua" w:eastAsia="Times New Roman" w:hAnsi="Book Antiqua"/>
        </w:rPr>
        <w:t xml:space="preserve"> work of the</w:t>
      </w:r>
      <w:r w:rsidRPr="00121BA7">
        <w:rPr>
          <w:rFonts w:ascii="Book Antiqua" w:eastAsia="Times New Roman" w:hAnsi="Book Antiqua"/>
        </w:rPr>
        <w:t xml:space="preserve"> CLB has been </w:t>
      </w:r>
      <w:r w:rsidR="00F00CCB">
        <w:rPr>
          <w:rFonts w:ascii="Book Antiqua" w:eastAsia="Times New Roman" w:hAnsi="Book Antiqua"/>
        </w:rPr>
        <w:t>singled out</w:t>
      </w:r>
      <w:r w:rsidRPr="00121BA7">
        <w:rPr>
          <w:rFonts w:ascii="Book Antiqua" w:eastAsia="Times New Roman" w:hAnsi="Book Antiqua"/>
        </w:rPr>
        <w:t xml:space="preserve"> as a potential </w:t>
      </w:r>
      <w:r w:rsidR="00F00CCB">
        <w:rPr>
          <w:rFonts w:ascii="Book Antiqua" w:eastAsia="Times New Roman" w:hAnsi="Book Antiqua"/>
        </w:rPr>
        <w:t>factor</w:t>
      </w:r>
      <w:r w:rsidRPr="00121BA7">
        <w:rPr>
          <w:rFonts w:ascii="Book Antiqua" w:eastAsia="Times New Roman" w:hAnsi="Book Antiqua"/>
        </w:rPr>
        <w:t xml:space="preserve"> </w:t>
      </w:r>
      <w:r w:rsidR="00AB6E49">
        <w:rPr>
          <w:rFonts w:ascii="Book Antiqua" w:eastAsia="Times New Roman" w:hAnsi="Book Antiqua"/>
        </w:rPr>
        <w:t>influencing</w:t>
      </w:r>
      <w:r w:rsidRPr="00121BA7">
        <w:rPr>
          <w:rFonts w:ascii="Book Antiqua" w:eastAsia="Times New Roman" w:hAnsi="Book Antiqua"/>
        </w:rPr>
        <w:t xml:space="preserve"> the Japanese Supreme Court’s reluctance to declare laws uncon</w:t>
      </w:r>
      <w:r w:rsidR="00D007AF">
        <w:rPr>
          <w:rFonts w:ascii="Book Antiqua" w:eastAsia="Times New Roman" w:hAnsi="Book Antiqua"/>
        </w:rPr>
        <w:t>stitutional, on the basis that</w:t>
      </w:r>
      <w:r w:rsidR="004E7F3E">
        <w:rPr>
          <w:rFonts w:ascii="Book Antiqua" w:eastAsia="Times New Roman" w:hAnsi="Book Antiqua"/>
        </w:rPr>
        <w:t xml:space="preserve"> it has “largely…</w:t>
      </w:r>
      <w:r w:rsidR="00400765">
        <w:rPr>
          <w:rFonts w:ascii="Book Antiqua" w:eastAsia="Times New Roman" w:hAnsi="Book Antiqua"/>
        </w:rPr>
        <w:t xml:space="preserve"> </w:t>
      </w:r>
      <w:r w:rsidR="004E7F3E" w:rsidRPr="00121BA7">
        <w:rPr>
          <w:rFonts w:ascii="Book Antiqua" w:eastAsia="Times New Roman" w:hAnsi="Book Antiqua"/>
        </w:rPr>
        <w:t>subsumed</w:t>
      </w:r>
      <w:r w:rsidR="004E7F3E">
        <w:rPr>
          <w:rFonts w:ascii="Book Antiqua" w:eastAsia="Times New Roman" w:hAnsi="Book Antiqua"/>
        </w:rPr>
        <w:t>”</w:t>
      </w:r>
      <w:r w:rsidR="004E7F3E">
        <w:rPr>
          <w:rStyle w:val="FootnoteReference"/>
          <w:rFonts w:ascii="Book Antiqua" w:eastAsia="Times New Roman" w:hAnsi="Book Antiqua"/>
        </w:rPr>
        <w:footnoteReference w:id="73"/>
      </w:r>
      <w:r w:rsidR="004E7F3E" w:rsidRPr="00121BA7">
        <w:rPr>
          <w:rFonts w:ascii="Book Antiqua" w:eastAsia="Times New Roman" w:hAnsi="Book Antiqua"/>
        </w:rPr>
        <w:t xml:space="preserve"> </w:t>
      </w:r>
      <w:r w:rsidRPr="00121BA7">
        <w:rPr>
          <w:rFonts w:ascii="Book Antiqua" w:eastAsia="Times New Roman" w:hAnsi="Book Antiqua"/>
        </w:rPr>
        <w:t xml:space="preserve">the oversight role </w:t>
      </w:r>
      <w:r w:rsidR="00F00CCB">
        <w:rPr>
          <w:rFonts w:ascii="Book Antiqua" w:eastAsia="Times New Roman" w:hAnsi="Book Antiqua"/>
        </w:rPr>
        <w:t>assigned</w:t>
      </w:r>
      <w:r w:rsidRPr="00121BA7">
        <w:rPr>
          <w:rFonts w:ascii="Book Antiqua" w:eastAsia="Times New Roman" w:hAnsi="Book Antiqua"/>
        </w:rPr>
        <w:t xml:space="preserve"> for the Court</w:t>
      </w:r>
      <w:r w:rsidR="00E95B23">
        <w:rPr>
          <w:rFonts w:ascii="Book Antiqua" w:eastAsia="Times New Roman" w:hAnsi="Book Antiqua"/>
        </w:rPr>
        <w:t xml:space="preserve">. </w:t>
      </w:r>
      <w:r w:rsidRPr="00121BA7">
        <w:rPr>
          <w:rFonts w:ascii="Book Antiqua" w:eastAsia="Times New Roman" w:hAnsi="Book Antiqua"/>
        </w:rPr>
        <w:t xml:space="preserve">One argument is that </w:t>
      </w:r>
      <w:r w:rsidRPr="00121BA7">
        <w:rPr>
          <w:rFonts w:ascii="Book Antiqua" w:hAnsi="Book Antiqua"/>
        </w:rPr>
        <w:t>the CLB “reviews government</w:t>
      </w:r>
      <w:r w:rsidRPr="00121BA7">
        <w:rPr>
          <w:rFonts w:ascii="Book Antiqua" w:eastAsia="Times New Roman" w:hAnsi="Book Antiqua"/>
        </w:rPr>
        <w:t xml:space="preserve"> </w:t>
      </w:r>
      <w:r w:rsidRPr="00121BA7">
        <w:rPr>
          <w:rFonts w:ascii="Book Antiqua" w:hAnsi="Book Antiqua"/>
        </w:rPr>
        <w:t>legislation so carefully prior to enactment that the SCJ is</w:t>
      </w:r>
      <w:r w:rsidRPr="00121BA7">
        <w:rPr>
          <w:rFonts w:ascii="Book Antiqua" w:eastAsia="Times New Roman" w:hAnsi="Book Antiqua"/>
        </w:rPr>
        <w:t xml:space="preserve"> </w:t>
      </w:r>
      <w:r w:rsidRPr="00121BA7">
        <w:rPr>
          <w:rFonts w:ascii="Book Antiqua" w:hAnsi="Book Antiqua"/>
        </w:rPr>
        <w:t xml:space="preserve">highly unlikely to find constitutional flaws in the final product”. </w:t>
      </w:r>
      <w:r w:rsidR="00476EEB" w:rsidRPr="00121BA7">
        <w:rPr>
          <w:rFonts w:ascii="Book Antiqua" w:eastAsia="Times New Roman" w:hAnsi="Book Antiqua"/>
        </w:rPr>
        <w:t xml:space="preserve">Some commentators </w:t>
      </w:r>
      <w:r w:rsidR="00476EEB">
        <w:rPr>
          <w:rFonts w:ascii="Book Antiqua" w:eastAsia="Times New Roman" w:hAnsi="Book Antiqua"/>
        </w:rPr>
        <w:t>suggest</w:t>
      </w:r>
      <w:r w:rsidR="00476EEB" w:rsidRPr="00121BA7">
        <w:rPr>
          <w:rFonts w:ascii="Book Antiqua" w:eastAsia="Times New Roman" w:hAnsi="Book Antiqua"/>
        </w:rPr>
        <w:t xml:space="preserve"> that</w:t>
      </w:r>
      <w:r w:rsidR="00FE3EC6">
        <w:rPr>
          <w:rFonts w:ascii="Book Antiqua" w:eastAsia="Times New Roman" w:hAnsi="Book Antiqua"/>
        </w:rPr>
        <w:t xml:space="preserve"> this </w:t>
      </w:r>
      <w:r w:rsidR="00BF6EAF">
        <w:rPr>
          <w:rFonts w:ascii="Book Antiqua" w:eastAsia="Times New Roman" w:hAnsi="Book Antiqua"/>
        </w:rPr>
        <w:t>is a</w:t>
      </w:r>
      <w:r w:rsidR="00400765">
        <w:rPr>
          <w:rFonts w:ascii="Book Antiqua" w:eastAsia="Times New Roman" w:hAnsi="Book Antiqua"/>
        </w:rPr>
        <w:t>n</w:t>
      </w:r>
      <w:r w:rsidR="00BF6EAF">
        <w:rPr>
          <w:rFonts w:ascii="Book Antiqua" w:eastAsia="Times New Roman" w:hAnsi="Book Antiqua"/>
        </w:rPr>
        <w:t xml:space="preserve"> idealistic </w:t>
      </w:r>
      <w:r w:rsidR="00B1692B">
        <w:rPr>
          <w:rFonts w:ascii="Book Antiqua" w:eastAsia="Times New Roman" w:hAnsi="Book Antiqua"/>
        </w:rPr>
        <w:t xml:space="preserve">explanation, </w:t>
      </w:r>
      <w:r w:rsidR="00A3329D">
        <w:rPr>
          <w:rFonts w:ascii="Book Antiqua" w:eastAsia="Times New Roman" w:hAnsi="Book Antiqua"/>
        </w:rPr>
        <w:t>and</w:t>
      </w:r>
      <w:r w:rsidR="00FA5629">
        <w:rPr>
          <w:rFonts w:ascii="Book Antiqua" w:eastAsia="Times New Roman" w:hAnsi="Book Antiqua"/>
        </w:rPr>
        <w:t xml:space="preserve"> attribute the Court’s behavior to more prosaic factors, such</w:t>
      </w:r>
      <w:r w:rsidR="00A3329D">
        <w:rPr>
          <w:rFonts w:ascii="Book Antiqua" w:eastAsia="Times New Roman" w:hAnsi="Book Antiqua"/>
        </w:rPr>
        <w:t xml:space="preserve"> </w:t>
      </w:r>
      <w:r w:rsidR="00FA5629">
        <w:rPr>
          <w:rFonts w:ascii="Book Antiqua" w:eastAsia="Times New Roman" w:hAnsi="Book Antiqua"/>
        </w:rPr>
        <w:t xml:space="preserve">as the </w:t>
      </w:r>
      <w:r w:rsidR="00476EEB" w:rsidRPr="00121BA7">
        <w:rPr>
          <w:rFonts w:ascii="Book Antiqua" w:eastAsia="Times New Roman" w:hAnsi="Book Antiqua"/>
        </w:rPr>
        <w:t>nature of the ties between the CLB and senior judiciary</w:t>
      </w:r>
      <w:r w:rsidR="00400765">
        <w:rPr>
          <w:rFonts w:ascii="Book Antiqua" w:eastAsia="Times New Roman" w:hAnsi="Book Antiqua"/>
        </w:rPr>
        <w:t>,</w:t>
      </w:r>
      <w:r w:rsidR="00F00CCB">
        <w:rPr>
          <w:rFonts w:ascii="Book Antiqua" w:hAnsi="Book Antiqua"/>
        </w:rPr>
        <w:t xml:space="preserve"> enhanc</w:t>
      </w:r>
      <w:r w:rsidR="00400765">
        <w:rPr>
          <w:rFonts w:ascii="Book Antiqua" w:hAnsi="Book Antiqua"/>
        </w:rPr>
        <w:t>ing</w:t>
      </w:r>
      <w:r w:rsidR="00F00CCB">
        <w:rPr>
          <w:rFonts w:ascii="Book Antiqua" w:hAnsi="Book Antiqua"/>
        </w:rPr>
        <w:t xml:space="preserve"> “</w:t>
      </w:r>
      <w:r w:rsidRPr="00121BA7">
        <w:rPr>
          <w:rFonts w:ascii="Book Antiqua" w:hAnsi="Book Antiqua"/>
        </w:rPr>
        <w:t>the CLB‘s ability to anticipate what the courts will find acceptable.”</w:t>
      </w:r>
      <w:r w:rsidR="004A1A30" w:rsidRPr="004A1A30">
        <w:rPr>
          <w:rStyle w:val="FootnoteReference"/>
          <w:rFonts w:ascii="Book Antiqua" w:hAnsi="Book Antiqua"/>
        </w:rPr>
        <w:t xml:space="preserve"> </w:t>
      </w:r>
      <w:r w:rsidR="00A3329D">
        <w:rPr>
          <w:rFonts w:ascii="Book Antiqua" w:hAnsi="Book Antiqua"/>
        </w:rPr>
        <w:t xml:space="preserve">It </w:t>
      </w:r>
      <w:r w:rsidRPr="00121BA7">
        <w:rPr>
          <w:rFonts w:ascii="Book Antiqua" w:hAnsi="Book Antiqua"/>
        </w:rPr>
        <w:t>may even be the case that members of the Supreme Court have found</w:t>
      </w:r>
      <w:r w:rsidR="00A3329D">
        <w:rPr>
          <w:rFonts w:ascii="Book Antiqua" w:hAnsi="Book Antiqua"/>
        </w:rPr>
        <w:t xml:space="preserve"> themselves in the</w:t>
      </w:r>
      <w:r w:rsidR="00FA5629">
        <w:rPr>
          <w:rFonts w:ascii="Book Antiqua" w:hAnsi="Book Antiqua"/>
        </w:rPr>
        <w:t xml:space="preserve"> awkward</w:t>
      </w:r>
      <w:r w:rsidR="00A3329D">
        <w:rPr>
          <w:rFonts w:ascii="Book Antiqua" w:hAnsi="Book Antiqua"/>
        </w:rPr>
        <w:t xml:space="preserve"> position of </w:t>
      </w:r>
      <w:r w:rsidRPr="00121BA7">
        <w:rPr>
          <w:rFonts w:ascii="Book Antiqua" w:hAnsi="Book Antiqua"/>
        </w:rPr>
        <w:t xml:space="preserve">deciding upon the constitutionality of legislation that </w:t>
      </w:r>
      <w:r w:rsidR="00A3329D">
        <w:rPr>
          <w:rFonts w:ascii="Book Antiqua" w:hAnsi="Book Antiqua"/>
        </w:rPr>
        <w:t>“</w:t>
      </w:r>
      <w:r w:rsidRPr="00121BA7">
        <w:rPr>
          <w:rFonts w:ascii="Book Antiqua" w:hAnsi="Book Antiqua"/>
        </w:rPr>
        <w:t>they had previously reviewed and approved as members of the CLB.”</w:t>
      </w:r>
      <w:r w:rsidR="00CC64E7">
        <w:rPr>
          <w:rStyle w:val="FootnoteReference"/>
          <w:rFonts w:ascii="Book Antiqua" w:hAnsi="Book Antiqua"/>
        </w:rPr>
        <w:footnoteReference w:id="74"/>
      </w:r>
    </w:p>
    <w:p w14:paraId="2BB035B6" w14:textId="77777777" w:rsidR="001400B2" w:rsidRDefault="001400B2" w:rsidP="00121BA7">
      <w:pPr>
        <w:spacing w:line="360" w:lineRule="auto"/>
        <w:jc w:val="both"/>
        <w:rPr>
          <w:rFonts w:ascii="Book Antiqua" w:hAnsi="Book Antiqua"/>
        </w:rPr>
      </w:pPr>
    </w:p>
    <w:p w14:paraId="70315D12" w14:textId="6534EBD9" w:rsidR="00D170FC" w:rsidRDefault="00F00CCB" w:rsidP="00121BA7">
      <w:pPr>
        <w:spacing w:line="360" w:lineRule="auto"/>
        <w:jc w:val="both"/>
        <w:rPr>
          <w:rFonts w:ascii="Book Antiqua" w:hAnsi="Book Antiqua"/>
        </w:rPr>
      </w:pPr>
      <w:r>
        <w:rPr>
          <w:rFonts w:ascii="Book Antiqua" w:hAnsi="Book Antiqua"/>
        </w:rPr>
        <w:t>Others go further and</w:t>
      </w:r>
      <w:r w:rsidR="00A3329D">
        <w:rPr>
          <w:rFonts w:ascii="Book Antiqua" w:hAnsi="Book Antiqua"/>
        </w:rPr>
        <w:t xml:space="preserve"> suggest</w:t>
      </w:r>
      <w:r w:rsidR="003F01C9" w:rsidRPr="00121BA7">
        <w:rPr>
          <w:rFonts w:ascii="Book Antiqua" w:hAnsi="Book Antiqua"/>
        </w:rPr>
        <w:t xml:space="preserve"> that the Supreme Court </w:t>
      </w:r>
      <w:r>
        <w:rPr>
          <w:rFonts w:ascii="Book Antiqua" w:hAnsi="Book Antiqua"/>
        </w:rPr>
        <w:t>is</w:t>
      </w:r>
      <w:r w:rsidR="003F01C9" w:rsidRPr="00121BA7">
        <w:rPr>
          <w:rFonts w:ascii="Book Antiqua" w:hAnsi="Book Antiqua"/>
        </w:rPr>
        <w:t xml:space="preserve"> “politically influenced” by the prior involvement of the CLB and that the Court is ultimately </w:t>
      </w:r>
      <w:r w:rsidR="002359E1">
        <w:rPr>
          <w:rFonts w:ascii="Book Antiqua" w:hAnsi="Book Antiqua"/>
        </w:rPr>
        <w:t>“</w:t>
      </w:r>
      <w:r w:rsidR="003F01C9" w:rsidRPr="00121BA7">
        <w:rPr>
          <w:rFonts w:ascii="Book Antiqua" w:hAnsi="Book Antiqua"/>
        </w:rPr>
        <w:t>taking political cues</w:t>
      </w:r>
      <w:r w:rsidR="00BF6EAF">
        <w:rPr>
          <w:rFonts w:ascii="Book Antiqua" w:hAnsi="Book Antiqua"/>
        </w:rPr>
        <w:t>”</w:t>
      </w:r>
      <w:r>
        <w:rPr>
          <w:rFonts w:ascii="Book Antiqua" w:hAnsi="Book Antiqua"/>
        </w:rPr>
        <w:t xml:space="preserve"> from their </w:t>
      </w:r>
      <w:r w:rsidR="0072760A">
        <w:rPr>
          <w:rFonts w:ascii="Book Antiqua" w:hAnsi="Book Antiqua"/>
          <w:i/>
        </w:rPr>
        <w:t>ex-</w:t>
      </w:r>
      <w:r>
        <w:rPr>
          <w:rFonts w:ascii="Book Antiqua" w:hAnsi="Book Antiqua"/>
          <w:i/>
        </w:rPr>
        <w:t>ante</w:t>
      </w:r>
      <w:r>
        <w:rPr>
          <w:rFonts w:ascii="Book Antiqua" w:hAnsi="Book Antiqua"/>
        </w:rPr>
        <w:t xml:space="preserve"> determinations</w:t>
      </w:r>
      <w:r w:rsidR="00BF6EAF">
        <w:rPr>
          <w:rFonts w:ascii="Book Antiqua" w:hAnsi="Book Antiqua"/>
        </w:rPr>
        <w:t>.</w:t>
      </w:r>
      <w:r>
        <w:rPr>
          <w:rFonts w:ascii="Book Antiqua" w:hAnsi="Book Antiqua"/>
        </w:rPr>
        <w:t xml:space="preserve"> </w:t>
      </w:r>
      <w:r w:rsidR="00D2213F">
        <w:rPr>
          <w:rFonts w:ascii="Book Antiqua" w:hAnsi="Book Antiqua"/>
        </w:rPr>
        <w:t>O</w:t>
      </w:r>
      <w:r>
        <w:rPr>
          <w:rFonts w:ascii="Book Antiqua" w:hAnsi="Book Antiqua"/>
        </w:rPr>
        <w:t>ne commentator</w:t>
      </w:r>
      <w:r w:rsidR="00BF6EAF">
        <w:rPr>
          <w:rFonts w:ascii="Book Antiqua" w:hAnsi="Book Antiqua"/>
        </w:rPr>
        <w:t xml:space="preserve"> suggests that the Court</w:t>
      </w:r>
      <w:r w:rsidR="00400765">
        <w:rPr>
          <w:rFonts w:ascii="Book Antiqua" w:hAnsi="Book Antiqua"/>
        </w:rPr>
        <w:t>’</w:t>
      </w:r>
      <w:r w:rsidR="00BF6EAF">
        <w:rPr>
          <w:rFonts w:ascii="Book Antiqua" w:hAnsi="Book Antiqua"/>
        </w:rPr>
        <w:t>s deference to these interpretations rises to a level</w:t>
      </w:r>
      <w:r w:rsidR="003F01C9" w:rsidRPr="00121BA7">
        <w:rPr>
          <w:rFonts w:ascii="Book Antiqua" w:hAnsi="Book Antiqua"/>
        </w:rPr>
        <w:t xml:space="preserve"> that undermine</w:t>
      </w:r>
      <w:r w:rsidR="00BF6EAF">
        <w:rPr>
          <w:rFonts w:ascii="Book Antiqua" w:hAnsi="Book Antiqua"/>
        </w:rPr>
        <w:t>s</w:t>
      </w:r>
      <w:r w:rsidR="003F01C9" w:rsidRPr="00121BA7">
        <w:rPr>
          <w:rFonts w:ascii="Book Antiqua" w:hAnsi="Book Antiqua"/>
        </w:rPr>
        <w:t xml:space="preserve"> its </w:t>
      </w:r>
      <w:r w:rsidR="00BF6EAF">
        <w:rPr>
          <w:rFonts w:ascii="Book Antiqua" w:hAnsi="Book Antiqua"/>
        </w:rPr>
        <w:t>“</w:t>
      </w:r>
      <w:r w:rsidR="003F01C9" w:rsidRPr="00121BA7">
        <w:rPr>
          <w:rFonts w:ascii="Book Antiqua" w:hAnsi="Book Antiqua"/>
        </w:rPr>
        <w:t>constitutional independence from the political branches.”</w:t>
      </w:r>
      <w:r w:rsidR="003F01C9">
        <w:rPr>
          <w:rStyle w:val="FootnoteReference"/>
          <w:rFonts w:ascii="Book Antiqua" w:hAnsi="Book Antiqua"/>
        </w:rPr>
        <w:footnoteReference w:id="75"/>
      </w:r>
      <w:r w:rsidR="00400765">
        <w:rPr>
          <w:rFonts w:ascii="Book Antiqua" w:hAnsi="Book Antiqua"/>
        </w:rPr>
        <w:t xml:space="preserve"> </w:t>
      </w:r>
      <w:r w:rsidR="003F01C9" w:rsidRPr="00121BA7">
        <w:rPr>
          <w:rFonts w:ascii="Book Antiqua" w:hAnsi="Book Antiqua"/>
        </w:rPr>
        <w:t xml:space="preserve">Law disputes this, citing interviews with </w:t>
      </w:r>
      <w:r w:rsidR="003F01C9" w:rsidRPr="00121BA7">
        <w:rPr>
          <w:rFonts w:ascii="Book Antiqua" w:hAnsi="Book Antiqua"/>
        </w:rPr>
        <w:lastRenderedPageBreak/>
        <w:t>former Supreme Court judges and clerks disclaiming the influence of the CLB on judicial decision making</w:t>
      </w:r>
      <w:r w:rsidR="00400765">
        <w:rPr>
          <w:rFonts w:ascii="Book Antiqua" w:hAnsi="Book Antiqua"/>
        </w:rPr>
        <w:t>,</w:t>
      </w:r>
      <w:r w:rsidR="003F01C9" w:rsidRPr="00121BA7">
        <w:rPr>
          <w:rFonts w:ascii="Book Antiqua" w:hAnsi="Book Antiqua"/>
        </w:rPr>
        <w:t xml:space="preserve"> </w:t>
      </w:r>
      <w:r w:rsidR="00400765">
        <w:rPr>
          <w:rFonts w:ascii="Book Antiqua" w:hAnsi="Book Antiqua"/>
        </w:rPr>
        <w:t xml:space="preserve">and </w:t>
      </w:r>
      <w:r>
        <w:rPr>
          <w:rFonts w:ascii="Book Antiqua" w:hAnsi="Book Antiqua"/>
        </w:rPr>
        <w:t>suggest</w:t>
      </w:r>
      <w:r w:rsidR="00400765">
        <w:rPr>
          <w:rFonts w:ascii="Book Antiqua" w:hAnsi="Book Antiqua"/>
        </w:rPr>
        <w:t>ing</w:t>
      </w:r>
      <w:r w:rsidR="00871C89">
        <w:rPr>
          <w:rFonts w:ascii="Book Antiqua" w:hAnsi="Book Antiqua"/>
        </w:rPr>
        <w:t xml:space="preserve"> </w:t>
      </w:r>
      <w:r w:rsidR="003F01C9" w:rsidRPr="00121BA7">
        <w:rPr>
          <w:rFonts w:ascii="Book Antiqua" w:hAnsi="Book Antiqua"/>
        </w:rPr>
        <w:t xml:space="preserve">the Court’s deference </w:t>
      </w:r>
      <w:r w:rsidR="00400765">
        <w:rPr>
          <w:rFonts w:ascii="Book Antiqua" w:hAnsi="Book Antiqua"/>
        </w:rPr>
        <w:t xml:space="preserve">derives from </w:t>
      </w:r>
      <w:r w:rsidR="003F01C9" w:rsidRPr="00121BA7">
        <w:rPr>
          <w:rFonts w:ascii="Book Antiqua" w:hAnsi="Book Antiqua"/>
        </w:rPr>
        <w:t xml:space="preserve">a hierarchical and institutionally conservative </w:t>
      </w:r>
      <w:r w:rsidR="00886077">
        <w:rPr>
          <w:rFonts w:ascii="Book Antiqua" w:hAnsi="Book Antiqua"/>
        </w:rPr>
        <w:t xml:space="preserve">judicial </w:t>
      </w:r>
      <w:r w:rsidR="003F01C9" w:rsidRPr="00121BA7">
        <w:rPr>
          <w:rFonts w:ascii="Book Antiqua" w:hAnsi="Book Antiqua"/>
        </w:rPr>
        <w:t>bureaucracy</w:t>
      </w:r>
      <w:r w:rsidR="00871C89">
        <w:rPr>
          <w:rFonts w:ascii="Book Antiqua" w:hAnsi="Book Antiqua"/>
        </w:rPr>
        <w:t>.</w:t>
      </w:r>
      <w:r w:rsidR="003F01C9">
        <w:rPr>
          <w:rStyle w:val="FootnoteReference"/>
          <w:rFonts w:ascii="Book Antiqua" w:hAnsi="Book Antiqua"/>
        </w:rPr>
        <w:footnoteReference w:id="76"/>
      </w:r>
      <w:r w:rsidR="004178DB">
        <w:rPr>
          <w:rFonts w:ascii="Book Antiqua" w:hAnsi="Book Antiqua"/>
        </w:rPr>
        <w:t xml:space="preserve"> Other scholars have highli</w:t>
      </w:r>
      <w:r w:rsidR="008B6824">
        <w:rPr>
          <w:rFonts w:ascii="Book Antiqua" w:hAnsi="Book Antiqua"/>
        </w:rPr>
        <w:t>ghted that</w:t>
      </w:r>
      <w:r w:rsidR="00C86053">
        <w:rPr>
          <w:rFonts w:ascii="Book Antiqua" w:hAnsi="Book Antiqua"/>
        </w:rPr>
        <w:t xml:space="preserve"> </w:t>
      </w:r>
      <w:r w:rsidR="002D5A56">
        <w:rPr>
          <w:rFonts w:ascii="Book Antiqua" w:hAnsi="Book Antiqua"/>
        </w:rPr>
        <w:t>the deferential outlook</w:t>
      </w:r>
      <w:r w:rsidR="00701A51">
        <w:rPr>
          <w:rFonts w:ascii="Book Antiqua" w:hAnsi="Book Antiqua"/>
        </w:rPr>
        <w:t xml:space="preserve"> of the Japanese judiciary has </w:t>
      </w:r>
      <w:r w:rsidR="00542F9B">
        <w:rPr>
          <w:rFonts w:ascii="Book Antiqua" w:hAnsi="Book Antiqua"/>
        </w:rPr>
        <w:t>un</w:t>
      </w:r>
      <w:r w:rsidR="00701A51">
        <w:rPr>
          <w:rFonts w:ascii="Book Antiqua" w:hAnsi="Book Antiqua"/>
        </w:rPr>
        <w:t>doubt</w:t>
      </w:r>
      <w:r w:rsidR="00542F9B">
        <w:rPr>
          <w:rFonts w:ascii="Book Antiqua" w:hAnsi="Book Antiqua"/>
        </w:rPr>
        <w:t>edly</w:t>
      </w:r>
      <w:r w:rsidR="00701A51">
        <w:rPr>
          <w:rFonts w:ascii="Book Antiqua" w:hAnsi="Book Antiqua"/>
        </w:rPr>
        <w:t xml:space="preserve"> been</w:t>
      </w:r>
      <w:r w:rsidR="00982EF9">
        <w:rPr>
          <w:rFonts w:ascii="Book Antiqua" w:hAnsi="Book Antiqua"/>
        </w:rPr>
        <w:t xml:space="preserve"> shaped by the </w:t>
      </w:r>
      <w:r w:rsidR="004D11C0">
        <w:rPr>
          <w:rFonts w:ascii="Book Antiqua" w:hAnsi="Book Antiqua"/>
        </w:rPr>
        <w:t>long-standing political dominance of the conservative LDP party</w:t>
      </w:r>
      <w:r w:rsidR="00C76B16">
        <w:rPr>
          <w:rFonts w:ascii="Book Antiqua" w:hAnsi="Book Antiqua"/>
        </w:rPr>
        <w:t xml:space="preserve">, through </w:t>
      </w:r>
      <w:r w:rsidR="004D11C0">
        <w:rPr>
          <w:rFonts w:ascii="Book Antiqua" w:hAnsi="Book Antiqua"/>
        </w:rPr>
        <w:t>its ability to staff the superior courts with appointees</w:t>
      </w:r>
      <w:r w:rsidR="00722D37">
        <w:rPr>
          <w:rFonts w:ascii="Book Antiqua" w:hAnsi="Book Antiqua"/>
        </w:rPr>
        <w:t xml:space="preserve"> un</w:t>
      </w:r>
      <w:r w:rsidR="00B56EB7">
        <w:rPr>
          <w:rFonts w:ascii="Book Antiqua" w:hAnsi="Book Antiqua"/>
        </w:rPr>
        <w:t>likely to break the mold</w:t>
      </w:r>
      <w:r w:rsidR="00CC5E2D">
        <w:rPr>
          <w:rFonts w:ascii="Book Antiqua" w:hAnsi="Book Antiqua"/>
        </w:rPr>
        <w:t xml:space="preserve"> of</w:t>
      </w:r>
      <w:r w:rsidR="00542F9B">
        <w:rPr>
          <w:rFonts w:ascii="Book Antiqua" w:hAnsi="Book Antiqua"/>
        </w:rPr>
        <w:t xml:space="preserve"> judicial</w:t>
      </w:r>
      <w:r w:rsidR="00CC5E2D">
        <w:rPr>
          <w:rFonts w:ascii="Book Antiqua" w:hAnsi="Book Antiqua"/>
        </w:rPr>
        <w:t xml:space="preserve"> nonintervention</w:t>
      </w:r>
      <w:r w:rsidR="00722D37">
        <w:rPr>
          <w:rFonts w:ascii="Book Antiqua" w:hAnsi="Book Antiqua"/>
        </w:rPr>
        <w:t>.</w:t>
      </w:r>
      <w:r w:rsidR="00B56EB7">
        <w:rPr>
          <w:rStyle w:val="FootnoteReference"/>
          <w:rFonts w:ascii="Book Antiqua" w:hAnsi="Book Antiqua"/>
        </w:rPr>
        <w:footnoteReference w:id="77"/>
      </w:r>
      <w:r w:rsidR="00722D37">
        <w:rPr>
          <w:rFonts w:ascii="Book Antiqua" w:hAnsi="Book Antiqua"/>
        </w:rPr>
        <w:t xml:space="preserve"> </w:t>
      </w:r>
      <w:r w:rsidR="00C13A0D">
        <w:rPr>
          <w:rFonts w:ascii="Book Antiqua" w:hAnsi="Book Antiqua"/>
        </w:rPr>
        <w:t xml:space="preserve">This is certainly a plausible account. </w:t>
      </w:r>
      <w:r w:rsidR="00871C89">
        <w:rPr>
          <w:rFonts w:ascii="Book Antiqua" w:hAnsi="Book Antiqua"/>
        </w:rPr>
        <w:t>Notwithstanding</w:t>
      </w:r>
      <w:r w:rsidR="003F01C9" w:rsidRPr="00121BA7">
        <w:rPr>
          <w:rFonts w:ascii="Book Antiqua" w:hAnsi="Book Antiqua"/>
        </w:rPr>
        <w:t xml:space="preserve"> </w:t>
      </w:r>
      <w:r w:rsidR="00886077">
        <w:rPr>
          <w:rFonts w:ascii="Book Antiqua" w:hAnsi="Book Antiqua"/>
        </w:rPr>
        <w:t>this</w:t>
      </w:r>
      <w:r w:rsidR="003F01C9" w:rsidRPr="00121BA7">
        <w:rPr>
          <w:rFonts w:ascii="Book Antiqua" w:hAnsi="Book Antiqua"/>
        </w:rPr>
        <w:t>, the potential</w:t>
      </w:r>
      <w:r w:rsidR="00BF6EAF">
        <w:rPr>
          <w:rFonts w:ascii="Book Antiqua" w:hAnsi="Book Antiqua"/>
        </w:rPr>
        <w:t>ly considerably</w:t>
      </w:r>
      <w:r w:rsidR="003F01C9" w:rsidRPr="00121BA7">
        <w:rPr>
          <w:rFonts w:ascii="Book Antiqua" w:hAnsi="Book Antiqua"/>
        </w:rPr>
        <w:t xml:space="preserve"> influence CLB interpretations have on judicial defer</w:t>
      </w:r>
      <w:r w:rsidR="00BF6EAF">
        <w:rPr>
          <w:rFonts w:ascii="Book Antiqua" w:hAnsi="Book Antiqua"/>
        </w:rPr>
        <w:t>ence is a recurring theme in Japanese constitutional</w:t>
      </w:r>
      <w:r w:rsidR="003F01C9" w:rsidRPr="00121BA7">
        <w:rPr>
          <w:rFonts w:ascii="Book Antiqua" w:hAnsi="Book Antiqua"/>
        </w:rPr>
        <w:t xml:space="preserve"> literature</w:t>
      </w:r>
      <w:r>
        <w:rPr>
          <w:rFonts w:ascii="Book Antiqua" w:hAnsi="Book Antiqua"/>
        </w:rPr>
        <w:t>,</w:t>
      </w:r>
      <w:r w:rsidR="003F01C9">
        <w:rPr>
          <w:rStyle w:val="FootnoteReference"/>
          <w:rFonts w:ascii="Book Antiqua" w:hAnsi="Book Antiqua"/>
        </w:rPr>
        <w:footnoteReference w:id="78"/>
      </w:r>
      <w:r>
        <w:rPr>
          <w:rFonts w:ascii="Book Antiqua" w:hAnsi="Book Antiqua"/>
        </w:rPr>
        <w:t xml:space="preserve"> and has even been </w:t>
      </w:r>
      <w:r w:rsidR="00CC7AAF">
        <w:rPr>
          <w:rFonts w:ascii="Book Antiqua" w:hAnsi="Book Antiqua"/>
        </w:rPr>
        <w:t>noted</w:t>
      </w:r>
      <w:r>
        <w:rPr>
          <w:rFonts w:ascii="Book Antiqua" w:hAnsi="Book Antiqua"/>
        </w:rPr>
        <w:t xml:space="preserve"> by</w:t>
      </w:r>
      <w:r w:rsidR="00ED49DD">
        <w:rPr>
          <w:rFonts w:ascii="Book Antiqua" w:hAnsi="Book Antiqua"/>
        </w:rPr>
        <w:t xml:space="preserve"> other</w:t>
      </w:r>
      <w:r>
        <w:rPr>
          <w:rFonts w:ascii="Book Antiqua" w:hAnsi="Book Antiqua"/>
        </w:rPr>
        <w:t xml:space="preserve"> </w:t>
      </w:r>
      <w:r w:rsidR="00ED49DD">
        <w:rPr>
          <w:rFonts w:ascii="Book Antiqua" w:hAnsi="Book Antiqua"/>
        </w:rPr>
        <w:t>Supreme Court judges.</w:t>
      </w:r>
      <w:r w:rsidR="00ED49DD">
        <w:rPr>
          <w:rStyle w:val="FootnoteReference"/>
          <w:rFonts w:ascii="Book Antiqua" w:hAnsi="Book Antiqua"/>
        </w:rPr>
        <w:footnoteReference w:id="79"/>
      </w:r>
      <w:r w:rsidR="00E966F4">
        <w:rPr>
          <w:rFonts w:ascii="Book Antiqua" w:hAnsi="Book Antiqua"/>
        </w:rPr>
        <w:t xml:space="preserve"> </w:t>
      </w:r>
      <w:r w:rsidR="00D2213F">
        <w:rPr>
          <w:rFonts w:ascii="Book Antiqua" w:hAnsi="Book Antiqua"/>
        </w:rPr>
        <w:t>Though we can perhaps never know the complex causal relationship</w:t>
      </w:r>
      <w:r w:rsidR="007C346B">
        <w:rPr>
          <w:rFonts w:ascii="Book Antiqua" w:hAnsi="Book Antiqua"/>
        </w:rPr>
        <w:t>s</w:t>
      </w:r>
      <w:r w:rsidR="00D2213F">
        <w:rPr>
          <w:rFonts w:ascii="Book Antiqua" w:hAnsi="Book Antiqua"/>
        </w:rPr>
        <w:t xml:space="preserve"> at play, </w:t>
      </w:r>
      <w:r w:rsidR="003F34EE">
        <w:rPr>
          <w:rFonts w:ascii="Book Antiqua" w:hAnsi="Book Antiqua"/>
        </w:rPr>
        <w:t>the fact that the</w:t>
      </w:r>
      <w:r w:rsidR="00D2213F">
        <w:rPr>
          <w:rFonts w:ascii="Book Antiqua" w:hAnsi="Book Antiqua"/>
        </w:rPr>
        <w:t xml:space="preserve"> CLB potentially plays a role in this is </w:t>
      </w:r>
      <w:r w:rsidR="00E966F4">
        <w:rPr>
          <w:rFonts w:ascii="Book Antiqua" w:hAnsi="Book Antiqua"/>
        </w:rPr>
        <w:t>significant.</w:t>
      </w:r>
    </w:p>
    <w:p w14:paraId="54AB0A64" w14:textId="77777777" w:rsidR="00416EAE" w:rsidRDefault="00416EAE" w:rsidP="00121BA7">
      <w:pPr>
        <w:spacing w:line="360" w:lineRule="auto"/>
        <w:jc w:val="both"/>
        <w:rPr>
          <w:rFonts w:ascii="Book Antiqua" w:hAnsi="Book Antiqua"/>
        </w:rPr>
      </w:pPr>
    </w:p>
    <w:p w14:paraId="6C7ADF90" w14:textId="681268BF" w:rsidR="00515D16" w:rsidRDefault="000B13D1" w:rsidP="00716219">
      <w:pPr>
        <w:spacing w:line="360" w:lineRule="auto"/>
        <w:jc w:val="both"/>
        <w:rPr>
          <w:rFonts w:ascii="Book Antiqua" w:hAnsi="Book Antiqua"/>
          <w:b/>
          <w:lang w:val="en-GB"/>
        </w:rPr>
      </w:pPr>
      <w:r w:rsidRPr="007458B5">
        <w:rPr>
          <w:rFonts w:ascii="Book Antiqua" w:hAnsi="Book Antiqua"/>
        </w:rPr>
        <w:t>Japan</w:t>
      </w:r>
      <w:r w:rsidR="00ED49DD" w:rsidRPr="007458B5">
        <w:rPr>
          <w:rFonts w:ascii="Book Antiqua" w:hAnsi="Book Antiqua"/>
        </w:rPr>
        <w:t>’s</w:t>
      </w:r>
      <w:r w:rsidR="0076597C" w:rsidRPr="007458B5">
        <w:rPr>
          <w:rFonts w:ascii="Book Antiqua" w:hAnsi="Book Antiqua"/>
        </w:rPr>
        <w:t xml:space="preserve"> form of</w:t>
      </w:r>
      <w:r w:rsidR="001B287C" w:rsidRPr="007458B5">
        <w:rPr>
          <w:rFonts w:ascii="Book Antiqua" w:hAnsi="Book Antiqua"/>
        </w:rPr>
        <w:t xml:space="preserve"> political</w:t>
      </w:r>
      <w:r w:rsidR="0076597C" w:rsidRPr="007458B5">
        <w:rPr>
          <w:rFonts w:ascii="Book Antiqua" w:hAnsi="Book Antiqua"/>
        </w:rPr>
        <w:t xml:space="preserve"> pre-enactment review</w:t>
      </w:r>
      <w:r w:rsidR="00582AC9" w:rsidRPr="007458B5">
        <w:rPr>
          <w:rFonts w:ascii="Book Antiqua" w:hAnsi="Book Antiqua"/>
        </w:rPr>
        <w:t xml:space="preserve"> is</w:t>
      </w:r>
      <w:r w:rsidR="0076597C" w:rsidRPr="007458B5">
        <w:rPr>
          <w:rFonts w:ascii="Book Antiqua" w:hAnsi="Book Antiqua"/>
        </w:rPr>
        <w:t xml:space="preserve"> interest</w:t>
      </w:r>
      <w:r w:rsidR="00505767" w:rsidRPr="007458B5">
        <w:rPr>
          <w:rFonts w:ascii="Book Antiqua" w:hAnsi="Book Antiqua"/>
        </w:rPr>
        <w:t>ing</w:t>
      </w:r>
      <w:r w:rsidR="0076597C" w:rsidRPr="007458B5">
        <w:rPr>
          <w:rFonts w:ascii="Book Antiqua" w:hAnsi="Book Antiqua"/>
        </w:rPr>
        <w:t xml:space="preserve"> for several reasons. </w:t>
      </w:r>
      <w:r w:rsidR="00D170FC" w:rsidRPr="007458B5">
        <w:rPr>
          <w:rFonts w:ascii="Book Antiqua" w:hAnsi="Book Antiqua"/>
        </w:rPr>
        <w:t>D</w:t>
      </w:r>
      <w:r w:rsidR="0076597C" w:rsidRPr="007458B5">
        <w:rPr>
          <w:rFonts w:ascii="Book Antiqua" w:hAnsi="Book Antiqua"/>
        </w:rPr>
        <w:t xml:space="preserve">espite </w:t>
      </w:r>
      <w:r w:rsidR="00ED49DD" w:rsidRPr="007458B5">
        <w:rPr>
          <w:rFonts w:ascii="Book Antiqua" w:hAnsi="Book Antiqua"/>
        </w:rPr>
        <w:t>having</w:t>
      </w:r>
      <w:r w:rsidR="0076597C" w:rsidRPr="007458B5">
        <w:rPr>
          <w:rFonts w:ascii="Book Antiqua" w:hAnsi="Book Antiqua"/>
        </w:rPr>
        <w:t xml:space="preserve"> no textual basis</w:t>
      </w:r>
      <w:r w:rsidR="00093C25" w:rsidRPr="007458B5">
        <w:rPr>
          <w:rFonts w:ascii="Book Antiqua" w:hAnsi="Book Antiqua"/>
        </w:rPr>
        <w:t xml:space="preserve"> in the constitution</w:t>
      </w:r>
      <w:r w:rsidR="00ED49DD" w:rsidRPr="007458B5">
        <w:rPr>
          <w:rFonts w:ascii="Book Antiqua" w:hAnsi="Book Antiqua"/>
        </w:rPr>
        <w:t xml:space="preserve">, it </w:t>
      </w:r>
      <w:r w:rsidR="002133D5" w:rsidRPr="007458B5">
        <w:rPr>
          <w:rFonts w:ascii="Book Antiqua" w:hAnsi="Book Antiqua"/>
        </w:rPr>
        <w:t>has</w:t>
      </w:r>
      <w:r w:rsidR="00ED49DD" w:rsidRPr="007458B5">
        <w:rPr>
          <w:rFonts w:ascii="Book Antiqua" w:hAnsi="Book Antiqua"/>
        </w:rPr>
        <w:t xml:space="preserve"> grown to play a </w:t>
      </w:r>
      <w:r w:rsidR="0076597C" w:rsidRPr="007458B5">
        <w:rPr>
          <w:rFonts w:ascii="Book Antiqua" w:hAnsi="Book Antiqua"/>
        </w:rPr>
        <w:t>strikingly influential ro</w:t>
      </w:r>
      <w:r w:rsidR="00505767" w:rsidRPr="007458B5">
        <w:rPr>
          <w:rFonts w:ascii="Book Antiqua" w:hAnsi="Book Antiqua"/>
        </w:rPr>
        <w:t>le in Japanese constitutional culture</w:t>
      </w:r>
      <w:r w:rsidR="0076597C" w:rsidRPr="007458B5">
        <w:rPr>
          <w:rFonts w:ascii="Book Antiqua" w:hAnsi="Book Antiqua"/>
        </w:rPr>
        <w:t xml:space="preserve">. </w:t>
      </w:r>
      <w:r w:rsidR="00EF24BB">
        <w:rPr>
          <w:rFonts w:ascii="Book Antiqua" w:hAnsi="Book Antiqua"/>
        </w:rPr>
        <w:t xml:space="preserve">It </w:t>
      </w:r>
      <w:r w:rsidR="00D170FC" w:rsidRPr="007458B5">
        <w:rPr>
          <w:rFonts w:ascii="Book Antiqua" w:hAnsi="Book Antiqua"/>
        </w:rPr>
        <w:t xml:space="preserve">has been associated with </w:t>
      </w:r>
      <w:r w:rsidR="004B477B" w:rsidRPr="007458B5">
        <w:rPr>
          <w:rFonts w:ascii="Book Antiqua" w:hAnsi="Book Antiqua"/>
          <w:lang w:val="en-GB"/>
        </w:rPr>
        <w:t>several distorting effects</w:t>
      </w:r>
      <w:r w:rsidR="00505767" w:rsidRPr="007458B5">
        <w:rPr>
          <w:rFonts w:ascii="Book Antiqua" w:hAnsi="Book Antiqua"/>
          <w:lang w:val="en-GB"/>
        </w:rPr>
        <w:t xml:space="preserve"> </w:t>
      </w:r>
      <w:r w:rsidR="00FA175F" w:rsidRPr="007458B5">
        <w:rPr>
          <w:rFonts w:ascii="Book Antiqua" w:hAnsi="Book Antiqua"/>
          <w:lang w:val="en-GB"/>
        </w:rPr>
        <w:t>on</w:t>
      </w:r>
      <w:r w:rsidR="00505767" w:rsidRPr="007458B5">
        <w:rPr>
          <w:rFonts w:ascii="Book Antiqua" w:hAnsi="Book Antiqua"/>
          <w:lang w:val="en-GB"/>
        </w:rPr>
        <w:t xml:space="preserve"> </w:t>
      </w:r>
      <w:r w:rsidR="00D170FC" w:rsidRPr="007458B5">
        <w:rPr>
          <w:rFonts w:ascii="Book Antiqua" w:hAnsi="Book Antiqua"/>
          <w:lang w:val="en-GB"/>
        </w:rPr>
        <w:t>its</w:t>
      </w:r>
      <w:r w:rsidR="00505767" w:rsidRPr="007458B5">
        <w:rPr>
          <w:rFonts w:ascii="Book Antiqua" w:hAnsi="Book Antiqua"/>
          <w:lang w:val="en-GB"/>
        </w:rPr>
        <w:t xml:space="preserve"> constitutional system</w:t>
      </w:r>
      <w:r w:rsidR="00886077">
        <w:rPr>
          <w:rFonts w:ascii="Book Antiqua" w:hAnsi="Book Antiqua"/>
          <w:lang w:val="en-GB"/>
        </w:rPr>
        <w:t>:</w:t>
      </w:r>
      <w:r w:rsidR="002359E1" w:rsidRPr="007458B5">
        <w:rPr>
          <w:rFonts w:ascii="Book Antiqua" w:hAnsi="Book Antiqua"/>
          <w:lang w:val="en-GB"/>
        </w:rPr>
        <w:t xml:space="preserve"> </w:t>
      </w:r>
      <w:r w:rsidR="00E426C9" w:rsidRPr="007458B5">
        <w:rPr>
          <w:rFonts w:ascii="Book Antiqua" w:hAnsi="Book Antiqua"/>
          <w:lang w:val="en-GB"/>
        </w:rPr>
        <w:t>garnering</w:t>
      </w:r>
      <w:r w:rsidR="00B662DC" w:rsidRPr="007458B5">
        <w:rPr>
          <w:rFonts w:ascii="Book Antiqua" w:hAnsi="Book Antiqua"/>
          <w:lang w:val="en-GB"/>
        </w:rPr>
        <w:t xml:space="preserve"> a</w:t>
      </w:r>
      <w:r w:rsidR="000B1618" w:rsidRPr="007458B5">
        <w:rPr>
          <w:rFonts w:ascii="Book Antiqua" w:hAnsi="Book Antiqua"/>
          <w:lang w:val="en-GB"/>
        </w:rPr>
        <w:t xml:space="preserve"> very</w:t>
      </w:r>
      <w:r w:rsidR="00B662DC" w:rsidRPr="007458B5">
        <w:rPr>
          <w:rFonts w:ascii="Book Antiqua" w:hAnsi="Book Antiqua"/>
          <w:lang w:val="en-GB"/>
        </w:rPr>
        <w:t xml:space="preserve"> sizeable</w:t>
      </w:r>
      <w:r w:rsidR="004B477B" w:rsidRPr="007458B5">
        <w:rPr>
          <w:rFonts w:ascii="Book Antiqua" w:hAnsi="Book Antiqua"/>
          <w:lang w:val="en-GB"/>
        </w:rPr>
        <w:t xml:space="preserve"> </w:t>
      </w:r>
      <w:r w:rsidR="00E426C9" w:rsidRPr="007458B5">
        <w:rPr>
          <w:rFonts w:ascii="Book Antiqua" w:hAnsi="Book Antiqua"/>
          <w:lang w:val="en-GB"/>
        </w:rPr>
        <w:t>role</w:t>
      </w:r>
      <w:r w:rsidR="00B662DC" w:rsidRPr="007458B5">
        <w:rPr>
          <w:rFonts w:ascii="Book Antiqua" w:hAnsi="Book Antiqua"/>
          <w:lang w:val="en-GB"/>
        </w:rPr>
        <w:t xml:space="preserve"> over</w:t>
      </w:r>
      <w:r w:rsidR="002359E1" w:rsidRPr="007458B5">
        <w:rPr>
          <w:rFonts w:ascii="Book Antiqua" w:hAnsi="Book Antiqua"/>
          <w:lang w:val="en-GB"/>
        </w:rPr>
        <w:t xml:space="preserve"> executive</w:t>
      </w:r>
      <w:r w:rsidR="00707985" w:rsidRPr="007458B5">
        <w:rPr>
          <w:rFonts w:ascii="Book Antiqua" w:hAnsi="Book Antiqua"/>
          <w:lang w:val="en-GB"/>
        </w:rPr>
        <w:t xml:space="preserve"> policy</w:t>
      </w:r>
      <w:r w:rsidR="002359E1" w:rsidRPr="007458B5">
        <w:rPr>
          <w:rFonts w:ascii="Book Antiqua" w:hAnsi="Book Antiqua"/>
          <w:lang w:val="en-GB"/>
        </w:rPr>
        <w:t xml:space="preserve"> formulation</w:t>
      </w:r>
      <w:r w:rsidR="00886077">
        <w:rPr>
          <w:rFonts w:ascii="Book Antiqua" w:hAnsi="Book Antiqua"/>
          <w:lang w:val="en-GB"/>
        </w:rPr>
        <w:t>;</w:t>
      </w:r>
      <w:r w:rsidR="00E464BC">
        <w:rPr>
          <w:rFonts w:ascii="Book Antiqua" w:hAnsi="Book Antiqua"/>
          <w:lang w:val="en-GB"/>
        </w:rPr>
        <w:t xml:space="preserve"> potentially</w:t>
      </w:r>
      <w:r w:rsidR="00707985" w:rsidRPr="007458B5">
        <w:rPr>
          <w:rFonts w:ascii="Book Antiqua" w:hAnsi="Book Antiqua"/>
          <w:lang w:val="en-GB"/>
        </w:rPr>
        <w:t xml:space="preserve"> </w:t>
      </w:r>
      <w:r w:rsidR="005F67AC" w:rsidRPr="007458B5">
        <w:rPr>
          <w:rFonts w:ascii="Book Antiqua" w:hAnsi="Book Antiqua"/>
          <w:lang w:val="en-GB"/>
        </w:rPr>
        <w:t>limiting</w:t>
      </w:r>
      <w:r w:rsidR="00707985" w:rsidRPr="007458B5">
        <w:rPr>
          <w:rFonts w:ascii="Book Antiqua" w:hAnsi="Book Antiqua"/>
          <w:lang w:val="en-GB"/>
        </w:rPr>
        <w:t xml:space="preserve"> parliament</w:t>
      </w:r>
      <w:r w:rsidR="005F67AC" w:rsidRPr="007458B5">
        <w:rPr>
          <w:rFonts w:ascii="Book Antiqua" w:hAnsi="Book Antiqua"/>
          <w:lang w:val="en-GB"/>
        </w:rPr>
        <w:t>’s</w:t>
      </w:r>
      <w:r w:rsidR="004B477B" w:rsidRPr="007458B5">
        <w:rPr>
          <w:rFonts w:ascii="Book Antiqua" w:hAnsi="Book Antiqua"/>
          <w:lang w:val="en-GB"/>
        </w:rPr>
        <w:t xml:space="preserve"> ability to </w:t>
      </w:r>
      <w:r w:rsidR="00AB14F3" w:rsidRPr="007458B5">
        <w:rPr>
          <w:rFonts w:ascii="Book Antiqua" w:hAnsi="Book Antiqua"/>
          <w:lang w:val="en-GB"/>
        </w:rPr>
        <w:t>contest or second-guess</w:t>
      </w:r>
      <w:r w:rsidR="004B477B" w:rsidRPr="007458B5">
        <w:rPr>
          <w:rFonts w:ascii="Book Antiqua" w:hAnsi="Book Antiqua"/>
          <w:lang w:val="en-GB"/>
        </w:rPr>
        <w:t xml:space="preserve"> </w:t>
      </w:r>
      <w:r w:rsidR="005F67AC" w:rsidRPr="007458B5">
        <w:rPr>
          <w:rFonts w:ascii="Book Antiqua" w:hAnsi="Book Antiqua"/>
          <w:lang w:val="en-GB"/>
        </w:rPr>
        <w:t>executive</w:t>
      </w:r>
      <w:r w:rsidR="004B477B" w:rsidRPr="007458B5">
        <w:rPr>
          <w:rFonts w:ascii="Book Antiqua" w:hAnsi="Book Antiqua"/>
          <w:lang w:val="en-GB"/>
        </w:rPr>
        <w:t xml:space="preserve"> determinations</w:t>
      </w:r>
      <w:r w:rsidR="005F67AC" w:rsidRPr="007458B5">
        <w:rPr>
          <w:rFonts w:ascii="Book Antiqua" w:hAnsi="Book Antiqua"/>
          <w:lang w:val="en-GB"/>
        </w:rPr>
        <w:t xml:space="preserve"> on constitutionality</w:t>
      </w:r>
      <w:r w:rsidR="00886077">
        <w:rPr>
          <w:rFonts w:ascii="Book Antiqua" w:hAnsi="Book Antiqua"/>
          <w:lang w:val="en-GB"/>
        </w:rPr>
        <w:t>;</w:t>
      </w:r>
      <w:r w:rsidR="00707985" w:rsidRPr="007458B5">
        <w:rPr>
          <w:rFonts w:ascii="Book Antiqua" w:hAnsi="Book Antiqua"/>
          <w:lang w:val="en-GB"/>
        </w:rPr>
        <w:t xml:space="preserve"> </w:t>
      </w:r>
      <w:r w:rsidR="00C13A0D">
        <w:rPr>
          <w:rFonts w:ascii="Book Antiqua" w:hAnsi="Book Antiqua"/>
          <w:lang w:val="en-GB"/>
        </w:rPr>
        <w:t xml:space="preserve">potentially being subject to misuse by the executive; </w:t>
      </w:r>
      <w:r w:rsidR="00707985" w:rsidRPr="007458B5">
        <w:rPr>
          <w:rFonts w:ascii="Book Antiqua" w:hAnsi="Book Antiqua"/>
          <w:lang w:val="en-GB"/>
        </w:rPr>
        <w:t>and</w:t>
      </w:r>
      <w:r w:rsidR="00E05C66" w:rsidRPr="007458B5">
        <w:rPr>
          <w:rFonts w:ascii="Book Antiqua" w:hAnsi="Book Antiqua"/>
          <w:lang w:val="en-GB"/>
        </w:rPr>
        <w:t xml:space="preserve"> perhaps</w:t>
      </w:r>
      <w:r w:rsidR="00707985" w:rsidRPr="007458B5">
        <w:rPr>
          <w:rFonts w:ascii="Book Antiqua" w:hAnsi="Book Antiqua"/>
          <w:lang w:val="en-GB"/>
        </w:rPr>
        <w:t xml:space="preserve"> disempowering the courts</w:t>
      </w:r>
      <w:r w:rsidR="00665278" w:rsidRPr="007458B5">
        <w:rPr>
          <w:rFonts w:ascii="Book Antiqua" w:hAnsi="Book Antiqua"/>
          <w:lang w:val="en-GB"/>
        </w:rPr>
        <w:t xml:space="preserve"> from exercising its</w:t>
      </w:r>
      <w:r w:rsidR="008E585C" w:rsidRPr="007458B5">
        <w:rPr>
          <w:rFonts w:ascii="Book Antiqua" w:hAnsi="Book Antiqua"/>
          <w:lang w:val="en-GB"/>
        </w:rPr>
        <w:t xml:space="preserve"> </w:t>
      </w:r>
      <w:r w:rsidR="000B1618" w:rsidRPr="007458B5">
        <w:rPr>
          <w:rFonts w:ascii="Book Antiqua" w:hAnsi="Book Antiqua"/>
          <w:lang w:val="en-GB"/>
        </w:rPr>
        <w:t>constitutionally allocated</w:t>
      </w:r>
      <w:r w:rsidR="00665278" w:rsidRPr="007458B5">
        <w:rPr>
          <w:rFonts w:ascii="Book Antiqua" w:hAnsi="Book Antiqua"/>
          <w:lang w:val="en-GB"/>
        </w:rPr>
        <w:t xml:space="preserve"> authority to review state action</w:t>
      </w:r>
      <w:r w:rsidR="00707985" w:rsidRPr="007458B5">
        <w:rPr>
          <w:rFonts w:ascii="Book Antiqua" w:hAnsi="Book Antiqua"/>
          <w:lang w:val="en-GB"/>
        </w:rPr>
        <w:t>.</w:t>
      </w:r>
      <w:r w:rsidR="002359E1" w:rsidRPr="007458B5">
        <w:rPr>
          <w:rFonts w:ascii="Book Antiqua" w:hAnsi="Book Antiqua"/>
          <w:lang w:val="en-GB"/>
        </w:rPr>
        <w:t xml:space="preserve"> </w:t>
      </w:r>
      <w:r w:rsidR="00886077">
        <w:rPr>
          <w:rFonts w:ascii="Book Antiqua" w:hAnsi="Book Antiqua"/>
          <w:lang w:val="en-GB"/>
        </w:rPr>
        <w:t xml:space="preserve">This form of </w:t>
      </w:r>
      <w:r w:rsidR="004B477B">
        <w:rPr>
          <w:rFonts w:ascii="Book Antiqua" w:hAnsi="Book Antiqua"/>
          <w:lang w:val="en-GB"/>
        </w:rPr>
        <w:t xml:space="preserve">pre-enactment review </w:t>
      </w:r>
      <w:r w:rsidR="00886077">
        <w:rPr>
          <w:rFonts w:ascii="Book Antiqua" w:hAnsi="Book Antiqua"/>
          <w:lang w:val="en-GB"/>
        </w:rPr>
        <w:t xml:space="preserve">seems to </w:t>
      </w:r>
      <w:r w:rsidR="00D87676">
        <w:rPr>
          <w:rFonts w:ascii="Book Antiqua" w:hAnsi="Book Antiqua"/>
          <w:lang w:val="en-GB"/>
        </w:rPr>
        <w:t>facilitate</w:t>
      </w:r>
      <w:r w:rsidR="004B477B">
        <w:rPr>
          <w:rFonts w:ascii="Book Antiqua" w:hAnsi="Book Antiqua"/>
          <w:lang w:val="en-GB"/>
        </w:rPr>
        <w:t xml:space="preserve"> a</w:t>
      </w:r>
      <w:r w:rsidR="00665278">
        <w:rPr>
          <w:rFonts w:ascii="Book Antiqua" w:hAnsi="Book Antiqua"/>
          <w:lang w:val="en-GB"/>
        </w:rPr>
        <w:t>n unelected</w:t>
      </w:r>
      <w:r w:rsidR="00D170FC">
        <w:rPr>
          <w:rFonts w:ascii="Book Antiqua" w:hAnsi="Book Antiqua"/>
          <w:lang w:val="en-GB"/>
        </w:rPr>
        <w:t xml:space="preserve"> and secretive</w:t>
      </w:r>
      <w:r w:rsidR="004B477B">
        <w:rPr>
          <w:rFonts w:ascii="Book Antiqua" w:hAnsi="Book Antiqua"/>
          <w:lang w:val="en-GB"/>
        </w:rPr>
        <w:t xml:space="preserve"> bureaucratic subset of the executive branch</w:t>
      </w:r>
      <w:r w:rsidR="00293485">
        <w:rPr>
          <w:rFonts w:ascii="Book Antiqua" w:hAnsi="Book Antiqua"/>
          <w:lang w:val="en-GB"/>
        </w:rPr>
        <w:t>—</w:t>
      </w:r>
      <w:r w:rsidR="00287C1A">
        <w:rPr>
          <w:rFonts w:ascii="Book Antiqua" w:hAnsi="Book Antiqua"/>
          <w:lang w:val="en-GB"/>
        </w:rPr>
        <w:t>using</w:t>
      </w:r>
      <w:r w:rsidR="004B477B">
        <w:rPr>
          <w:rFonts w:ascii="Book Antiqua" w:hAnsi="Book Antiqua"/>
          <w:lang w:val="en-GB"/>
        </w:rPr>
        <w:t xml:space="preserve"> tools of professional legal craft</w:t>
      </w:r>
      <w:r w:rsidR="00866A95">
        <w:rPr>
          <w:rFonts w:ascii="Book Antiqua" w:hAnsi="Book Antiqua"/>
          <w:lang w:val="en-GB"/>
        </w:rPr>
        <w:t xml:space="preserve"> and expertise</w:t>
      </w:r>
      <w:r w:rsidR="00293485">
        <w:rPr>
          <w:rFonts w:ascii="Book Antiqua" w:hAnsi="Book Antiqua"/>
          <w:lang w:val="en-GB"/>
        </w:rPr>
        <w:t>—</w:t>
      </w:r>
      <w:r w:rsidR="00287C1A">
        <w:rPr>
          <w:rFonts w:ascii="Book Antiqua" w:hAnsi="Book Antiqua"/>
          <w:lang w:val="en-GB"/>
        </w:rPr>
        <w:t>to</w:t>
      </w:r>
      <w:r w:rsidR="004B477B">
        <w:rPr>
          <w:rFonts w:ascii="Book Antiqua" w:hAnsi="Book Antiqua"/>
          <w:lang w:val="en-GB"/>
        </w:rPr>
        <w:t xml:space="preserve"> </w:t>
      </w:r>
      <w:r w:rsidR="00D87676">
        <w:rPr>
          <w:rFonts w:ascii="Book Antiqua" w:hAnsi="Book Antiqua"/>
          <w:lang w:val="en-GB"/>
        </w:rPr>
        <w:t>garner</w:t>
      </w:r>
      <w:r w:rsidR="004B477B">
        <w:rPr>
          <w:rFonts w:ascii="Book Antiqua" w:hAnsi="Book Antiqua"/>
          <w:lang w:val="en-GB"/>
        </w:rPr>
        <w:t xml:space="preserve"> considerable </w:t>
      </w:r>
      <w:r w:rsidR="009B26AF">
        <w:rPr>
          <w:rFonts w:ascii="Book Antiqua" w:hAnsi="Book Antiqua"/>
          <w:lang w:val="en-GB"/>
        </w:rPr>
        <w:t xml:space="preserve">and controversial </w:t>
      </w:r>
      <w:r w:rsidR="004B477B">
        <w:rPr>
          <w:rFonts w:ascii="Book Antiqua" w:hAnsi="Book Antiqua"/>
          <w:lang w:val="en-GB"/>
        </w:rPr>
        <w:t>influence over</w:t>
      </w:r>
      <w:r w:rsidR="00287C1A">
        <w:rPr>
          <w:rFonts w:ascii="Book Antiqua" w:hAnsi="Book Antiqua"/>
          <w:lang w:val="en-GB"/>
        </w:rPr>
        <w:t xml:space="preserve"> the </w:t>
      </w:r>
      <w:r w:rsidR="00D87676">
        <w:rPr>
          <w:rFonts w:ascii="Book Antiqua" w:hAnsi="Book Antiqua"/>
          <w:lang w:val="en-GB"/>
        </w:rPr>
        <w:t>functions</w:t>
      </w:r>
      <w:r w:rsidR="00287C1A">
        <w:rPr>
          <w:rFonts w:ascii="Book Antiqua" w:hAnsi="Book Antiqua"/>
          <w:lang w:val="en-GB"/>
        </w:rPr>
        <w:t xml:space="preserve"> of</w:t>
      </w:r>
      <w:r w:rsidR="004B477B">
        <w:rPr>
          <w:rFonts w:ascii="Book Antiqua" w:hAnsi="Book Antiqua"/>
          <w:lang w:val="en-GB"/>
        </w:rPr>
        <w:t xml:space="preserve"> the ele</w:t>
      </w:r>
      <w:r w:rsidR="00E426C9">
        <w:rPr>
          <w:rFonts w:ascii="Book Antiqua" w:hAnsi="Book Antiqua"/>
          <w:lang w:val="en-GB"/>
        </w:rPr>
        <w:t xml:space="preserve">cted branches </w:t>
      </w:r>
      <w:r w:rsidR="00E426C9" w:rsidRPr="00F603FC">
        <w:rPr>
          <w:rFonts w:ascii="Book Antiqua" w:hAnsi="Book Antiqua"/>
          <w:lang w:val="en-GB"/>
        </w:rPr>
        <w:t>and</w:t>
      </w:r>
      <w:r w:rsidR="00E426C9">
        <w:rPr>
          <w:rFonts w:ascii="Book Antiqua" w:hAnsi="Book Antiqua"/>
          <w:lang w:val="en-GB"/>
        </w:rPr>
        <w:t xml:space="preserve"> the judiciary. </w:t>
      </w:r>
      <w:r w:rsidR="00866A95">
        <w:rPr>
          <w:rFonts w:ascii="Book Antiqua" w:hAnsi="Book Antiqua"/>
          <w:lang w:val="en-GB"/>
        </w:rPr>
        <w:t>In return, it is unclear whether this</w:t>
      </w:r>
      <w:r w:rsidR="005A0444">
        <w:rPr>
          <w:rFonts w:ascii="Book Antiqua" w:hAnsi="Book Antiqua"/>
          <w:lang w:val="en-GB"/>
        </w:rPr>
        <w:t xml:space="preserve"> process</w:t>
      </w:r>
      <w:r w:rsidR="00866A95">
        <w:rPr>
          <w:rFonts w:ascii="Book Antiqua" w:hAnsi="Book Antiqua"/>
          <w:lang w:val="en-GB"/>
        </w:rPr>
        <w:t xml:space="preserve"> has ensured </w:t>
      </w:r>
      <w:r w:rsidR="00B42490">
        <w:rPr>
          <w:rFonts w:ascii="Book Antiqua" w:hAnsi="Book Antiqua"/>
          <w:lang w:val="en-GB"/>
        </w:rPr>
        <w:t>the</w:t>
      </w:r>
      <w:r w:rsidR="003A4DF1">
        <w:rPr>
          <w:rFonts w:ascii="Book Antiqua" w:hAnsi="Book Antiqua"/>
          <w:lang w:val="en-GB"/>
        </w:rPr>
        <w:t xml:space="preserve"> range of</w:t>
      </w:r>
      <w:r w:rsidR="00B42490">
        <w:rPr>
          <w:rFonts w:ascii="Book Antiqua" w:hAnsi="Book Antiqua"/>
          <w:lang w:val="en-GB"/>
        </w:rPr>
        <w:t xml:space="preserve"> </w:t>
      </w:r>
      <w:r w:rsidR="004C4426">
        <w:rPr>
          <w:rFonts w:ascii="Book Antiqua" w:hAnsi="Book Antiqua"/>
          <w:lang w:val="en-GB"/>
        </w:rPr>
        <w:t xml:space="preserve">normative benefits </w:t>
      </w:r>
      <w:r w:rsidR="009102D9">
        <w:rPr>
          <w:rFonts w:ascii="Book Antiqua" w:hAnsi="Book Antiqua"/>
          <w:lang w:val="en-GB"/>
        </w:rPr>
        <w:t>associated with the</w:t>
      </w:r>
      <w:r w:rsidR="004C4426">
        <w:rPr>
          <w:rFonts w:ascii="Book Antiqua" w:hAnsi="Book Antiqua"/>
          <w:lang w:val="en-GB"/>
        </w:rPr>
        <w:t xml:space="preserve"> ideal</w:t>
      </w:r>
      <w:r w:rsidR="00B42490">
        <w:rPr>
          <w:rFonts w:ascii="Book Antiqua" w:hAnsi="Book Antiqua"/>
          <w:lang w:val="en-GB"/>
        </w:rPr>
        <w:t>-</w:t>
      </w:r>
      <w:r w:rsidR="004C4426">
        <w:rPr>
          <w:rFonts w:ascii="Book Antiqua" w:hAnsi="Book Antiqua"/>
          <w:lang w:val="en-GB"/>
        </w:rPr>
        <w:t>type</w:t>
      </w:r>
      <w:r w:rsidR="009102D9">
        <w:rPr>
          <w:rFonts w:ascii="Book Antiqua" w:hAnsi="Book Antiqua"/>
          <w:lang w:val="en-GB"/>
        </w:rPr>
        <w:t xml:space="preserve"> account</w:t>
      </w:r>
      <w:r w:rsidR="00D2213F">
        <w:rPr>
          <w:rFonts w:ascii="Book Antiqua" w:hAnsi="Book Antiqua"/>
          <w:lang w:val="en-GB"/>
        </w:rPr>
        <w:t xml:space="preserve">, though it may, as discussed below, have the effect of keeping the Japanese state well within constitutional boundaries. </w:t>
      </w:r>
      <w:r w:rsidR="00FD4729">
        <w:rPr>
          <w:rFonts w:ascii="Book Antiqua" w:hAnsi="Book Antiqua"/>
          <w:lang w:val="en-GB"/>
        </w:rPr>
        <w:t>The Japanese experience</w:t>
      </w:r>
      <w:r w:rsidR="003426C5">
        <w:rPr>
          <w:rFonts w:ascii="Book Antiqua" w:hAnsi="Book Antiqua"/>
          <w:lang w:val="en-GB"/>
        </w:rPr>
        <w:t xml:space="preserve"> </w:t>
      </w:r>
      <w:r w:rsidR="00FD4729">
        <w:rPr>
          <w:rFonts w:ascii="Book Antiqua" w:hAnsi="Book Antiqua"/>
          <w:lang w:val="en-GB"/>
        </w:rPr>
        <w:t>highlights how political review</w:t>
      </w:r>
      <w:r w:rsidR="000A1C83">
        <w:rPr>
          <w:rFonts w:ascii="Book Antiqua" w:hAnsi="Book Antiqua"/>
          <w:lang w:val="en-GB"/>
        </w:rPr>
        <w:t xml:space="preserve"> </w:t>
      </w:r>
      <w:r w:rsidR="000A1C83">
        <w:rPr>
          <w:rFonts w:ascii="Book Antiqua" w:hAnsi="Book Antiqua"/>
          <w:lang w:val="en-GB"/>
        </w:rPr>
        <w:lastRenderedPageBreak/>
        <w:t>can</w:t>
      </w:r>
      <w:r w:rsidR="00FD4729">
        <w:rPr>
          <w:rFonts w:ascii="Book Antiqua" w:hAnsi="Book Antiqua"/>
          <w:lang w:val="en-GB"/>
        </w:rPr>
        <w:t xml:space="preserve"> in certain circumstances have </w:t>
      </w:r>
      <w:r w:rsidR="00886077">
        <w:rPr>
          <w:rFonts w:ascii="Book Antiqua" w:hAnsi="Book Antiqua"/>
          <w:lang w:val="en-GB"/>
        </w:rPr>
        <w:t xml:space="preserve">broad </w:t>
      </w:r>
      <w:r w:rsidR="00FD4729">
        <w:rPr>
          <w:rFonts w:ascii="Book Antiqua" w:hAnsi="Book Antiqua"/>
          <w:lang w:val="en-GB"/>
        </w:rPr>
        <w:t>effects on the constitutional order, some of which can cut contrary to the goals associated with political constitutionalism.</w:t>
      </w:r>
    </w:p>
    <w:p w14:paraId="5415F8AE" w14:textId="77777777" w:rsidR="009074A0" w:rsidRPr="003F01C9" w:rsidRDefault="009074A0" w:rsidP="00716219">
      <w:pPr>
        <w:spacing w:line="360" w:lineRule="auto"/>
        <w:jc w:val="both"/>
        <w:rPr>
          <w:rFonts w:ascii="Book Antiqua" w:hAnsi="Book Antiqua"/>
          <w:u w:val="single"/>
          <w:lang w:val="en-GB"/>
        </w:rPr>
      </w:pPr>
    </w:p>
    <w:p w14:paraId="3CE51BBC" w14:textId="5DD73F53" w:rsidR="0079240E" w:rsidRDefault="00FB6978" w:rsidP="00735395">
      <w:pPr>
        <w:outlineLvl w:val="1"/>
        <w:rPr>
          <w:lang w:val="en-IE"/>
        </w:rPr>
      </w:pPr>
      <w:r w:rsidRPr="00A36A90">
        <w:rPr>
          <w:rFonts w:ascii="Book Antiqua" w:hAnsi="Book Antiqua"/>
          <w:u w:val="single"/>
          <w:lang w:val="en-IE"/>
        </w:rPr>
        <w:t>The Irish Attorney General</w:t>
      </w:r>
      <w:r w:rsidR="00347E16" w:rsidRPr="00A36A90">
        <w:rPr>
          <w:rFonts w:ascii="Book Antiqua" w:hAnsi="Book Antiqua"/>
          <w:u w:val="single"/>
          <w:lang w:val="en-IE"/>
        </w:rPr>
        <w:t>’s Office</w:t>
      </w:r>
    </w:p>
    <w:p w14:paraId="0C078873" w14:textId="4B35EA01" w:rsidR="001D2AA1" w:rsidRDefault="007F1C25" w:rsidP="00735395">
      <w:pPr>
        <w:spacing w:line="360" w:lineRule="auto"/>
        <w:jc w:val="both"/>
        <w:rPr>
          <w:rFonts w:ascii="Book Antiqua" w:hAnsi="Book Antiqua"/>
          <w:lang w:val="en-IE"/>
        </w:rPr>
      </w:pPr>
      <w:r w:rsidRPr="007F1C25">
        <w:rPr>
          <w:rFonts w:ascii="Book Antiqua" w:hAnsi="Book Antiqua"/>
          <w:lang w:val="en-IE"/>
        </w:rPr>
        <w:t>Ireland has a textually entrenched system of strong</w:t>
      </w:r>
      <w:r w:rsidR="0095511F">
        <w:rPr>
          <w:rFonts w:ascii="Book Antiqua" w:hAnsi="Book Antiqua"/>
          <w:lang w:val="en-IE"/>
        </w:rPr>
        <w:t>-</w:t>
      </w:r>
      <w:r w:rsidRPr="007F1C25">
        <w:rPr>
          <w:rFonts w:ascii="Book Antiqua" w:hAnsi="Book Antiqua"/>
          <w:lang w:val="en-IE"/>
        </w:rPr>
        <w:t>form judicial review</w:t>
      </w:r>
      <w:r w:rsidR="0095511F">
        <w:rPr>
          <w:rFonts w:ascii="Book Antiqua" w:hAnsi="Book Antiqua"/>
          <w:lang w:val="en-IE"/>
        </w:rPr>
        <w:t>, with</w:t>
      </w:r>
      <w:r w:rsidR="004C1B7A">
        <w:rPr>
          <w:rFonts w:ascii="Book Antiqua" w:hAnsi="Book Antiqua"/>
          <w:lang w:val="en-IE"/>
        </w:rPr>
        <w:t xml:space="preserve"> </w:t>
      </w:r>
      <w:r w:rsidRPr="007F1C25">
        <w:rPr>
          <w:rFonts w:ascii="Book Antiqua" w:hAnsi="Book Antiqua"/>
          <w:i/>
          <w:lang w:val="en-IE"/>
        </w:rPr>
        <w:t>ex post</w:t>
      </w:r>
      <w:r w:rsidRPr="007F1C25">
        <w:rPr>
          <w:rFonts w:ascii="Book Antiqua" w:hAnsi="Book Antiqua"/>
          <w:lang w:val="en-IE"/>
        </w:rPr>
        <w:t xml:space="preserve"> review</w:t>
      </w:r>
      <w:r w:rsidR="0095511F">
        <w:rPr>
          <w:rFonts w:ascii="Book Antiqua" w:hAnsi="Book Antiqua"/>
          <w:lang w:val="en-IE"/>
        </w:rPr>
        <w:t xml:space="preserve"> and </w:t>
      </w:r>
      <w:r w:rsidRPr="007F1C25">
        <w:rPr>
          <w:rFonts w:ascii="Book Antiqua" w:hAnsi="Book Antiqua"/>
          <w:lang w:val="en-IE"/>
        </w:rPr>
        <w:t xml:space="preserve">a </w:t>
      </w:r>
      <w:r w:rsidR="004C1B7A">
        <w:rPr>
          <w:rFonts w:ascii="Book Antiqua" w:hAnsi="Book Antiqua"/>
          <w:lang w:val="en-IE"/>
        </w:rPr>
        <w:t>limited</w:t>
      </w:r>
      <w:r w:rsidR="00AB122E">
        <w:rPr>
          <w:rFonts w:ascii="Book Antiqua" w:hAnsi="Book Antiqua"/>
          <w:lang w:val="en-IE"/>
        </w:rPr>
        <w:t>,</w:t>
      </w:r>
      <w:r w:rsidR="004C1B7A" w:rsidRPr="007F1C25">
        <w:rPr>
          <w:rFonts w:ascii="Book Antiqua" w:hAnsi="Book Antiqua"/>
          <w:lang w:val="en-IE"/>
        </w:rPr>
        <w:t xml:space="preserve"> </w:t>
      </w:r>
      <w:r w:rsidR="00AB122E">
        <w:rPr>
          <w:rFonts w:ascii="Book Antiqua" w:hAnsi="Book Antiqua"/>
          <w:lang w:val="en-IE"/>
        </w:rPr>
        <w:t>rarely</w:t>
      </w:r>
      <w:r w:rsidR="0095511F">
        <w:rPr>
          <w:rFonts w:ascii="Book Antiqua" w:hAnsi="Book Antiqua"/>
          <w:lang w:val="en-IE"/>
        </w:rPr>
        <w:t xml:space="preserve">-used mechanism </w:t>
      </w:r>
      <w:r w:rsidRPr="007F1C25">
        <w:rPr>
          <w:rFonts w:ascii="Book Antiqua" w:hAnsi="Book Antiqua"/>
          <w:lang w:val="en-IE"/>
        </w:rPr>
        <w:t xml:space="preserve">for pre-enactment </w:t>
      </w:r>
      <w:r w:rsidRPr="00F603FC">
        <w:rPr>
          <w:rFonts w:ascii="Book Antiqua" w:hAnsi="Book Antiqua"/>
          <w:lang w:val="en-IE"/>
        </w:rPr>
        <w:t>judicial</w:t>
      </w:r>
      <w:r w:rsidRPr="007F1C25">
        <w:rPr>
          <w:rFonts w:ascii="Book Antiqua" w:hAnsi="Book Antiqua"/>
          <w:lang w:val="en-IE"/>
        </w:rPr>
        <w:t xml:space="preserve"> review.</w:t>
      </w:r>
      <w:r w:rsidR="0095511F">
        <w:rPr>
          <w:rStyle w:val="FootnoteReference"/>
          <w:rFonts w:ascii="Book Antiqua" w:hAnsi="Book Antiqua"/>
          <w:lang w:val="en-IE"/>
        </w:rPr>
        <w:footnoteReference w:id="80"/>
      </w:r>
      <w:r w:rsidRPr="007F1C25">
        <w:rPr>
          <w:rFonts w:ascii="Book Antiqua" w:hAnsi="Book Antiqua"/>
          <w:lang w:val="en-IE"/>
        </w:rPr>
        <w:t xml:space="preserve"> </w:t>
      </w:r>
      <w:r w:rsidR="00484742">
        <w:rPr>
          <w:rFonts w:ascii="Book Antiqua" w:hAnsi="Book Antiqua"/>
          <w:lang w:val="en-IE"/>
        </w:rPr>
        <w:t>T</w:t>
      </w:r>
      <w:r w:rsidR="00AB7775">
        <w:rPr>
          <w:rFonts w:ascii="Book Antiqua" w:hAnsi="Book Antiqua"/>
          <w:lang w:val="en-IE"/>
        </w:rPr>
        <w:t>his is accompanied</w:t>
      </w:r>
      <w:r w:rsidR="00AB122E">
        <w:rPr>
          <w:rFonts w:ascii="Book Antiqua" w:hAnsi="Book Antiqua"/>
          <w:lang w:val="en-IE"/>
        </w:rPr>
        <w:t xml:space="preserve"> by a mostly</w:t>
      </w:r>
      <w:r w:rsidR="00AB7775">
        <w:rPr>
          <w:rFonts w:ascii="Book Antiqua" w:hAnsi="Book Antiqua"/>
          <w:lang w:val="en-IE"/>
        </w:rPr>
        <w:t xml:space="preserve"> </w:t>
      </w:r>
      <w:r w:rsidR="00AB122E">
        <w:rPr>
          <w:rFonts w:ascii="Book Antiqua" w:hAnsi="Book Antiqua"/>
          <w:lang w:val="en-IE"/>
        </w:rPr>
        <w:t xml:space="preserve">non-textual </w:t>
      </w:r>
      <w:r w:rsidR="00AB7775">
        <w:rPr>
          <w:rFonts w:ascii="Book Antiqua" w:hAnsi="Book Antiqua"/>
          <w:lang w:val="en-IE"/>
        </w:rPr>
        <w:t xml:space="preserve">system of pre-enactment </w:t>
      </w:r>
      <w:r w:rsidR="00484742">
        <w:rPr>
          <w:rFonts w:ascii="Book Antiqua" w:hAnsi="Book Antiqua"/>
          <w:lang w:val="en-IE"/>
        </w:rPr>
        <w:t xml:space="preserve">political </w:t>
      </w:r>
      <w:r w:rsidR="00AB7775">
        <w:rPr>
          <w:rFonts w:ascii="Book Antiqua" w:hAnsi="Book Antiqua"/>
          <w:lang w:val="en-IE"/>
        </w:rPr>
        <w:t>review</w:t>
      </w:r>
      <w:r w:rsidR="00D322A9">
        <w:rPr>
          <w:rFonts w:ascii="Book Antiqua" w:hAnsi="Book Antiqua"/>
          <w:lang w:val="en-IE"/>
        </w:rPr>
        <w:t xml:space="preserve"> by the Attorney </w:t>
      </w:r>
      <w:r w:rsidR="00AB122E">
        <w:rPr>
          <w:rFonts w:ascii="Book Antiqua" w:hAnsi="Book Antiqua"/>
          <w:lang w:val="en-IE"/>
        </w:rPr>
        <w:t>General</w:t>
      </w:r>
      <w:r w:rsidR="00D322A9">
        <w:rPr>
          <w:rFonts w:ascii="Book Antiqua" w:hAnsi="Book Antiqua"/>
          <w:lang w:val="en-IE"/>
        </w:rPr>
        <w:t xml:space="preserve"> (AG)</w:t>
      </w:r>
      <w:r w:rsidR="00AB7775">
        <w:rPr>
          <w:rFonts w:ascii="Book Antiqua" w:hAnsi="Book Antiqua"/>
          <w:lang w:val="en-IE"/>
        </w:rPr>
        <w:t xml:space="preserve">. </w:t>
      </w:r>
      <w:r w:rsidR="001D2AA1">
        <w:rPr>
          <w:rFonts w:ascii="Book Antiqua" w:hAnsi="Book Antiqua"/>
          <w:lang w:val="en-IE"/>
        </w:rPr>
        <w:t xml:space="preserve">Despite its very significant influence and unusual features, it has not </w:t>
      </w:r>
      <w:r w:rsidR="00AB122E">
        <w:rPr>
          <w:rFonts w:ascii="Book Antiqua" w:hAnsi="Book Antiqua"/>
          <w:lang w:val="en-IE"/>
        </w:rPr>
        <w:t xml:space="preserve">featured in </w:t>
      </w:r>
      <w:r w:rsidR="00484742">
        <w:rPr>
          <w:rFonts w:ascii="Book Antiqua" w:hAnsi="Book Antiqua"/>
          <w:lang w:val="en-IE"/>
        </w:rPr>
        <w:t xml:space="preserve">comparative </w:t>
      </w:r>
      <w:r w:rsidR="001D2AA1">
        <w:rPr>
          <w:rFonts w:ascii="Book Antiqua" w:hAnsi="Book Antiqua"/>
          <w:lang w:val="en-IE"/>
        </w:rPr>
        <w:t>discussion</w:t>
      </w:r>
      <w:r w:rsidR="00484742">
        <w:rPr>
          <w:rFonts w:ascii="Book Antiqua" w:hAnsi="Book Antiqua"/>
          <w:lang w:val="en-IE"/>
        </w:rPr>
        <w:t>s</w:t>
      </w:r>
      <w:r w:rsidR="001D2AA1">
        <w:rPr>
          <w:rFonts w:ascii="Book Antiqua" w:hAnsi="Book Antiqua"/>
          <w:lang w:val="en-IE"/>
        </w:rPr>
        <w:t xml:space="preserve"> of pre-enactment review, and is a neglected topic even amongst Irish constitutional scholars.</w:t>
      </w:r>
    </w:p>
    <w:p w14:paraId="6029A5A1" w14:textId="77777777" w:rsidR="001D2AA1" w:rsidRDefault="001D2AA1" w:rsidP="00716219">
      <w:pPr>
        <w:spacing w:line="360" w:lineRule="auto"/>
        <w:jc w:val="both"/>
        <w:rPr>
          <w:rFonts w:ascii="Book Antiqua" w:hAnsi="Book Antiqua"/>
          <w:lang w:val="en-IE"/>
        </w:rPr>
      </w:pPr>
    </w:p>
    <w:p w14:paraId="51AEAB1E" w14:textId="1DB23280" w:rsidR="004725E1" w:rsidRDefault="00AB7775" w:rsidP="00CB5AC4">
      <w:pPr>
        <w:spacing w:line="360" w:lineRule="auto"/>
        <w:jc w:val="both"/>
        <w:rPr>
          <w:rFonts w:ascii="Book Antiqua" w:hAnsi="Book Antiqua"/>
          <w:lang w:val="en-IE"/>
        </w:rPr>
      </w:pPr>
      <w:r>
        <w:rPr>
          <w:rFonts w:ascii="Book Antiqua" w:hAnsi="Book Antiqua"/>
          <w:lang w:val="en-IE"/>
        </w:rPr>
        <w:t>T</w:t>
      </w:r>
      <w:r w:rsidR="007F1C25" w:rsidRPr="007F1C25">
        <w:rPr>
          <w:rFonts w:ascii="Book Antiqua" w:hAnsi="Book Antiqua"/>
          <w:lang w:val="en-IE"/>
        </w:rPr>
        <w:t xml:space="preserve">he </w:t>
      </w:r>
      <w:r>
        <w:rPr>
          <w:rFonts w:ascii="Book Antiqua" w:hAnsi="Book Antiqua"/>
          <w:lang w:val="en-IE"/>
        </w:rPr>
        <w:t xml:space="preserve">Constitution provides that the </w:t>
      </w:r>
      <w:r w:rsidR="007F1C25" w:rsidRPr="007F1C25">
        <w:rPr>
          <w:rFonts w:ascii="Book Antiqua" w:hAnsi="Book Antiqua"/>
          <w:lang w:val="en-IE"/>
        </w:rPr>
        <w:t>AG</w:t>
      </w:r>
      <w:r>
        <w:rPr>
          <w:rFonts w:ascii="Book Antiqua" w:hAnsi="Book Antiqua"/>
          <w:lang w:val="en-IE"/>
        </w:rPr>
        <w:t xml:space="preserve"> </w:t>
      </w:r>
      <w:r w:rsidR="007F1C25" w:rsidRPr="007F1C25">
        <w:rPr>
          <w:rFonts w:ascii="Book Antiqua" w:hAnsi="Book Antiqua"/>
          <w:lang w:val="en-IE"/>
        </w:rPr>
        <w:t>is “the adviser of the Government in matters of law and legal opinion”</w:t>
      </w:r>
      <w:r w:rsidR="004D7B6C">
        <w:rPr>
          <w:rFonts w:ascii="Book Antiqua" w:hAnsi="Book Antiqua"/>
          <w:lang w:val="en-IE"/>
        </w:rPr>
        <w:t>.</w:t>
      </w:r>
      <w:r w:rsidR="004D7B6C" w:rsidRPr="007F1C25">
        <w:rPr>
          <w:rStyle w:val="FootnoteReference"/>
          <w:rFonts w:ascii="Book Antiqua" w:hAnsi="Book Antiqua"/>
          <w:lang w:val="en-IE"/>
        </w:rPr>
        <w:footnoteReference w:id="81"/>
      </w:r>
      <w:r w:rsidR="004D7B6C">
        <w:rPr>
          <w:rFonts w:ascii="Book Antiqua" w:hAnsi="Book Antiqua"/>
          <w:lang w:val="en-IE"/>
        </w:rPr>
        <w:t xml:space="preserve"> W</w:t>
      </w:r>
      <w:r w:rsidR="00F20DA3">
        <w:rPr>
          <w:rFonts w:ascii="Book Antiqua" w:hAnsi="Book Antiqua"/>
          <w:lang w:val="en-IE"/>
        </w:rPr>
        <w:t xml:space="preserve">hile </w:t>
      </w:r>
      <w:r w:rsidR="00F20DA3" w:rsidRPr="007F1C25">
        <w:rPr>
          <w:rFonts w:ascii="Book Antiqua" w:hAnsi="Book Antiqua"/>
          <w:lang w:val="en-IE"/>
        </w:rPr>
        <w:t>said to be independent of government</w:t>
      </w:r>
      <w:r w:rsidR="00F20DA3">
        <w:rPr>
          <w:rFonts w:ascii="Book Antiqua" w:hAnsi="Book Antiqua"/>
          <w:lang w:val="en-IE"/>
        </w:rPr>
        <w:t xml:space="preserve">, the AG is </w:t>
      </w:r>
      <w:r w:rsidR="004D7B6C">
        <w:rPr>
          <w:rFonts w:ascii="Book Antiqua" w:hAnsi="Book Antiqua"/>
          <w:lang w:val="en-IE"/>
        </w:rPr>
        <w:t xml:space="preserve">very much </w:t>
      </w:r>
      <w:r w:rsidR="00F20DA3">
        <w:rPr>
          <w:rFonts w:ascii="Book Antiqua" w:hAnsi="Book Antiqua"/>
          <w:lang w:val="en-IE"/>
        </w:rPr>
        <w:t xml:space="preserve">the </w:t>
      </w:r>
      <w:r w:rsidR="004D7B6C">
        <w:rPr>
          <w:rFonts w:ascii="Book Antiqua" w:hAnsi="Book Antiqua"/>
          <w:lang w:val="en-IE"/>
        </w:rPr>
        <w:t xml:space="preserve">government’s—and not the </w:t>
      </w:r>
      <w:r w:rsidR="00F20DA3">
        <w:rPr>
          <w:rFonts w:ascii="Book Antiqua" w:hAnsi="Book Antiqua"/>
          <w:lang w:val="en-IE"/>
        </w:rPr>
        <w:t>parliament’s</w:t>
      </w:r>
      <w:r w:rsidR="004D7B6C">
        <w:rPr>
          <w:rFonts w:ascii="Book Antiqua" w:hAnsi="Book Antiqua"/>
          <w:lang w:val="en-IE"/>
        </w:rPr>
        <w:t>—</w:t>
      </w:r>
      <w:r w:rsidR="00F20DA3">
        <w:rPr>
          <w:rFonts w:ascii="Book Antiqua" w:hAnsi="Book Antiqua"/>
          <w:lang w:val="en-IE"/>
        </w:rPr>
        <w:t>advisor.</w:t>
      </w:r>
      <w:r w:rsidR="007F1C25" w:rsidRPr="007F1C25">
        <w:rPr>
          <w:rFonts w:ascii="Book Antiqua" w:hAnsi="Book Antiqua"/>
          <w:lang w:val="en-IE"/>
        </w:rPr>
        <w:t xml:space="preserve"> </w:t>
      </w:r>
      <w:r w:rsidR="004D7B6C">
        <w:rPr>
          <w:rFonts w:ascii="Book Antiqua" w:hAnsi="Book Antiqua"/>
          <w:lang w:val="en-IE"/>
        </w:rPr>
        <w:t>T</w:t>
      </w:r>
      <w:r w:rsidR="007F1C25" w:rsidRPr="007F1C25">
        <w:rPr>
          <w:rFonts w:ascii="Book Antiqua" w:hAnsi="Book Antiqua"/>
          <w:lang w:val="en-IE"/>
        </w:rPr>
        <w:t>he AG has a close relationship with the government</w:t>
      </w:r>
      <w:r w:rsidR="00CB5AC4">
        <w:rPr>
          <w:rFonts w:ascii="Book Antiqua" w:hAnsi="Book Antiqua"/>
          <w:lang w:val="en-IE"/>
        </w:rPr>
        <w:t>,</w:t>
      </w:r>
      <w:r w:rsidR="007F1C25" w:rsidRPr="007F1C25">
        <w:rPr>
          <w:rFonts w:ascii="Book Antiqua" w:hAnsi="Book Antiqua"/>
          <w:lang w:val="en-IE"/>
        </w:rPr>
        <w:t xml:space="preserve"> sit</w:t>
      </w:r>
      <w:r w:rsidR="00CB5AC4">
        <w:rPr>
          <w:rFonts w:ascii="Book Antiqua" w:hAnsi="Book Antiqua"/>
          <w:lang w:val="en-IE"/>
        </w:rPr>
        <w:t>ting</w:t>
      </w:r>
      <w:r w:rsidR="007F1C25" w:rsidRPr="007F1C25">
        <w:rPr>
          <w:rFonts w:ascii="Book Antiqua" w:hAnsi="Book Antiqua"/>
          <w:lang w:val="en-IE"/>
        </w:rPr>
        <w:t xml:space="preserve"> in Cabinet meetings</w:t>
      </w:r>
      <w:r w:rsidR="005B50AD">
        <w:rPr>
          <w:rFonts w:ascii="Book Antiqua" w:hAnsi="Book Antiqua"/>
          <w:lang w:val="en-IE"/>
        </w:rPr>
        <w:t xml:space="preserve"> and</w:t>
      </w:r>
      <w:r w:rsidR="007F1C25" w:rsidRPr="007F1C25">
        <w:rPr>
          <w:rFonts w:ascii="Book Antiqua" w:hAnsi="Book Antiqua"/>
          <w:lang w:val="en-IE"/>
        </w:rPr>
        <w:t xml:space="preserve"> appointed by</w:t>
      </w:r>
      <w:r w:rsidR="005B50AD">
        <w:rPr>
          <w:rFonts w:ascii="Book Antiqua" w:hAnsi="Book Antiqua"/>
          <w:lang w:val="en-IE"/>
        </w:rPr>
        <w:t>/</w:t>
      </w:r>
      <w:r w:rsidR="007F1C25" w:rsidRPr="007F1C25">
        <w:rPr>
          <w:rFonts w:ascii="Book Antiqua" w:hAnsi="Book Antiqua"/>
          <w:lang w:val="en-IE"/>
        </w:rPr>
        <w:t>serv</w:t>
      </w:r>
      <w:r w:rsidR="00CB5AC4">
        <w:rPr>
          <w:rFonts w:ascii="Book Antiqua" w:hAnsi="Book Antiqua"/>
          <w:lang w:val="en-IE"/>
        </w:rPr>
        <w:t>ing</w:t>
      </w:r>
      <w:r w:rsidR="007F1C25" w:rsidRPr="007F1C25">
        <w:rPr>
          <w:rFonts w:ascii="Book Antiqua" w:hAnsi="Book Antiqua"/>
          <w:lang w:val="en-IE"/>
        </w:rPr>
        <w:t xml:space="preserve"> at the pleasure of the government</w:t>
      </w:r>
      <w:r w:rsidR="005B50AD">
        <w:rPr>
          <w:rFonts w:ascii="Book Antiqua" w:hAnsi="Book Antiqua"/>
          <w:lang w:val="en-IE"/>
        </w:rPr>
        <w:t>.</w:t>
      </w:r>
      <w:r w:rsidR="007F1C25" w:rsidRPr="007F1C25">
        <w:rPr>
          <w:rStyle w:val="FootnoteReference"/>
          <w:rFonts w:ascii="Book Antiqua" w:hAnsi="Book Antiqua"/>
          <w:lang w:val="en-IE"/>
        </w:rPr>
        <w:footnoteReference w:id="82"/>
      </w:r>
      <w:r w:rsidR="007F1C25" w:rsidRPr="007F1C25">
        <w:rPr>
          <w:rFonts w:ascii="Book Antiqua" w:hAnsi="Book Antiqua"/>
          <w:lang w:val="en-IE"/>
        </w:rPr>
        <w:t xml:space="preserve"> </w:t>
      </w:r>
      <w:r w:rsidR="00493A0B">
        <w:rPr>
          <w:rFonts w:ascii="Book Antiqua" w:hAnsi="Book Antiqua"/>
          <w:lang w:val="en-IE"/>
        </w:rPr>
        <w:t>T</w:t>
      </w:r>
      <w:r w:rsidR="005B50AD">
        <w:rPr>
          <w:rFonts w:ascii="Book Antiqua" w:hAnsi="Book Antiqua"/>
          <w:lang w:val="en-IE"/>
        </w:rPr>
        <w:t xml:space="preserve">he AG is </w:t>
      </w:r>
      <w:r w:rsidR="00493A0B">
        <w:rPr>
          <w:rFonts w:ascii="Book Antiqua" w:hAnsi="Book Antiqua"/>
          <w:lang w:val="en-IE"/>
        </w:rPr>
        <w:t xml:space="preserve">usually </w:t>
      </w:r>
      <w:r w:rsidR="007F1C25" w:rsidRPr="007F1C25">
        <w:rPr>
          <w:rFonts w:ascii="Book Antiqua" w:hAnsi="Book Antiqua"/>
          <w:lang w:val="en-IE"/>
        </w:rPr>
        <w:t>a</w:t>
      </w:r>
      <w:r w:rsidR="00493A0B">
        <w:rPr>
          <w:rFonts w:ascii="Book Antiqua" w:hAnsi="Book Antiqua"/>
          <w:lang w:val="en-IE"/>
        </w:rPr>
        <w:t>n</w:t>
      </w:r>
      <w:r w:rsidR="007F1C25" w:rsidRPr="007F1C25">
        <w:rPr>
          <w:rFonts w:ascii="Book Antiqua" w:hAnsi="Book Antiqua"/>
          <w:lang w:val="en-IE"/>
        </w:rPr>
        <w:t xml:space="preserve"> </w:t>
      </w:r>
      <w:r w:rsidR="00493A0B">
        <w:rPr>
          <w:rFonts w:ascii="Book Antiqua" w:hAnsi="Book Antiqua"/>
          <w:lang w:val="en-IE"/>
        </w:rPr>
        <w:t>eminent lawyer</w:t>
      </w:r>
      <w:r w:rsidR="007F1C25" w:rsidRPr="007F1C25">
        <w:rPr>
          <w:rFonts w:ascii="Book Antiqua" w:hAnsi="Book Antiqua"/>
          <w:lang w:val="en-IE"/>
        </w:rPr>
        <w:t xml:space="preserve"> that was a member of, or has some political affiliation with, one of the parties in government.</w:t>
      </w:r>
      <w:r w:rsidR="007F1C25" w:rsidRPr="007F1C25">
        <w:rPr>
          <w:rStyle w:val="FootnoteReference"/>
          <w:rFonts w:ascii="Book Antiqua" w:hAnsi="Book Antiqua"/>
          <w:lang w:val="en-IE"/>
        </w:rPr>
        <w:footnoteReference w:id="83"/>
      </w:r>
      <w:r w:rsidR="007F1C25" w:rsidRPr="007F1C25">
        <w:rPr>
          <w:rFonts w:ascii="Book Antiqua" w:hAnsi="Book Antiqua"/>
          <w:lang w:val="en-IE"/>
        </w:rPr>
        <w:t xml:space="preserve"> </w:t>
      </w:r>
      <w:r w:rsidR="00CB5AC4" w:rsidRPr="007F1C25">
        <w:rPr>
          <w:rFonts w:ascii="Book Antiqua" w:hAnsi="Book Antiqua"/>
          <w:lang w:val="en-IE"/>
        </w:rPr>
        <w:t>The Attorney General acts a centralised provider of legal advice for the Cabinet</w:t>
      </w:r>
      <w:r w:rsidR="00F20DA3">
        <w:rPr>
          <w:rFonts w:ascii="Book Antiqua" w:hAnsi="Book Antiqua"/>
          <w:lang w:val="en-IE"/>
        </w:rPr>
        <w:t>,</w:t>
      </w:r>
      <w:r w:rsidR="00CB5AC4" w:rsidRPr="007F1C25">
        <w:rPr>
          <w:rFonts w:ascii="Book Antiqua" w:hAnsi="Book Antiqua"/>
          <w:lang w:val="en-IE"/>
        </w:rPr>
        <w:t xml:space="preserve"> government departments, </w:t>
      </w:r>
      <w:r w:rsidR="00F20DA3">
        <w:rPr>
          <w:rFonts w:ascii="Book Antiqua" w:hAnsi="Book Antiqua"/>
          <w:lang w:val="en-IE"/>
        </w:rPr>
        <w:t xml:space="preserve">and </w:t>
      </w:r>
      <w:r w:rsidR="00CB5AC4" w:rsidRPr="007F1C25">
        <w:rPr>
          <w:rFonts w:ascii="Book Antiqua" w:hAnsi="Book Antiqua"/>
          <w:lang w:val="en-IE"/>
        </w:rPr>
        <w:t>some core state agencies</w:t>
      </w:r>
      <w:r w:rsidR="00CB5AC4">
        <w:rPr>
          <w:rFonts w:ascii="Book Antiqua" w:hAnsi="Book Antiqua"/>
          <w:lang w:val="en-IE"/>
        </w:rPr>
        <w:t>, on all areas of law</w:t>
      </w:r>
      <w:r w:rsidR="00CB5AC4" w:rsidRPr="007F1C25">
        <w:rPr>
          <w:rFonts w:ascii="Book Antiqua" w:hAnsi="Book Antiqua"/>
          <w:lang w:val="en-IE"/>
        </w:rPr>
        <w:t>.</w:t>
      </w:r>
      <w:r w:rsidR="00CB5AC4" w:rsidRPr="007F1C25">
        <w:rPr>
          <w:rStyle w:val="FootnoteReference"/>
          <w:rFonts w:ascii="Book Antiqua" w:hAnsi="Book Antiqua"/>
          <w:lang w:val="en-IE"/>
        </w:rPr>
        <w:footnoteReference w:id="84"/>
      </w:r>
      <w:r w:rsidR="00CB5AC4">
        <w:rPr>
          <w:rFonts w:ascii="Book Antiqua" w:hAnsi="Book Antiqua"/>
          <w:lang w:val="en-IE"/>
        </w:rPr>
        <w:t xml:space="preserve"> </w:t>
      </w:r>
    </w:p>
    <w:p w14:paraId="2DF7EA32" w14:textId="77777777" w:rsidR="004725E1" w:rsidRDefault="004725E1" w:rsidP="00CB5AC4">
      <w:pPr>
        <w:spacing w:line="360" w:lineRule="auto"/>
        <w:jc w:val="both"/>
        <w:rPr>
          <w:rFonts w:ascii="Book Antiqua" w:hAnsi="Book Antiqua"/>
          <w:lang w:val="en-IE"/>
        </w:rPr>
      </w:pPr>
    </w:p>
    <w:p w14:paraId="288166F9" w14:textId="775EADB5" w:rsidR="007F1C25" w:rsidRPr="007F1C25" w:rsidRDefault="00CB5AC4" w:rsidP="00716219">
      <w:pPr>
        <w:spacing w:line="360" w:lineRule="auto"/>
        <w:jc w:val="both"/>
        <w:rPr>
          <w:rFonts w:ascii="Book Antiqua" w:hAnsi="Book Antiqua"/>
          <w:lang w:val="en-IE"/>
        </w:rPr>
      </w:pPr>
      <w:r>
        <w:rPr>
          <w:rFonts w:ascii="Book Antiqua" w:hAnsi="Book Antiqua"/>
          <w:lang w:val="en-IE"/>
        </w:rPr>
        <w:t>T</w:t>
      </w:r>
      <w:r w:rsidR="007F1C25" w:rsidRPr="007F1C25">
        <w:rPr>
          <w:rFonts w:ascii="Book Antiqua" w:hAnsi="Book Antiqua"/>
          <w:lang w:val="en-IE"/>
        </w:rPr>
        <w:t xml:space="preserve">he Advisory </w:t>
      </w:r>
      <w:proofErr w:type="spellStart"/>
      <w:r w:rsidR="007F1C25" w:rsidRPr="007F1C25">
        <w:rPr>
          <w:rFonts w:ascii="Book Antiqua" w:hAnsi="Book Antiqua"/>
          <w:lang w:val="en-IE"/>
        </w:rPr>
        <w:t>Counsel</w:t>
      </w:r>
      <w:proofErr w:type="spellEnd"/>
      <w:r>
        <w:rPr>
          <w:rFonts w:ascii="Book Antiqua" w:hAnsi="Book Antiqua"/>
          <w:lang w:val="en-IE"/>
        </w:rPr>
        <w:t xml:space="preserve"> </w:t>
      </w:r>
      <w:r w:rsidR="00F20DA3">
        <w:rPr>
          <w:rFonts w:ascii="Book Antiqua" w:hAnsi="Book Antiqua"/>
          <w:lang w:val="en-IE"/>
        </w:rPr>
        <w:t xml:space="preserve"> group in </w:t>
      </w:r>
      <w:r>
        <w:rPr>
          <w:rFonts w:ascii="Book Antiqua" w:hAnsi="Book Antiqua"/>
          <w:lang w:val="en-IE"/>
        </w:rPr>
        <w:t xml:space="preserve">the AG’s </w:t>
      </w:r>
      <w:r w:rsidR="00363E1A">
        <w:rPr>
          <w:rFonts w:ascii="Book Antiqua" w:hAnsi="Book Antiqua"/>
          <w:lang w:val="en-IE"/>
        </w:rPr>
        <w:t>O</w:t>
      </w:r>
      <w:r>
        <w:rPr>
          <w:rFonts w:ascii="Book Antiqua" w:hAnsi="Book Antiqua"/>
          <w:lang w:val="en-IE"/>
        </w:rPr>
        <w:t xml:space="preserve">ffice </w:t>
      </w:r>
      <w:r w:rsidR="00363E1A">
        <w:rPr>
          <w:rFonts w:ascii="Book Antiqua" w:hAnsi="Book Antiqua"/>
          <w:lang w:val="en-IE"/>
        </w:rPr>
        <w:t xml:space="preserve">is </w:t>
      </w:r>
      <w:r w:rsidR="007F1C25" w:rsidRPr="007F1C25">
        <w:rPr>
          <w:rFonts w:ascii="Book Antiqua" w:hAnsi="Book Antiqua"/>
          <w:lang w:val="en-IE"/>
        </w:rPr>
        <w:t xml:space="preserve">responsible for the provision of legal advice. </w:t>
      </w:r>
      <w:r>
        <w:rPr>
          <w:rFonts w:ascii="Book Antiqua" w:hAnsi="Book Antiqua"/>
          <w:lang w:val="en-IE"/>
        </w:rPr>
        <w:t xml:space="preserve">It </w:t>
      </w:r>
      <w:r w:rsidR="007F1C25" w:rsidRPr="007F1C25">
        <w:rPr>
          <w:rFonts w:ascii="Book Antiqua" w:hAnsi="Book Antiqua"/>
          <w:lang w:val="en-IE"/>
        </w:rPr>
        <w:t xml:space="preserve">has five </w:t>
      </w:r>
      <w:r w:rsidR="00F20DA3">
        <w:rPr>
          <w:rFonts w:ascii="Book Antiqua" w:hAnsi="Book Antiqua"/>
          <w:lang w:val="en-IE"/>
        </w:rPr>
        <w:t>sub-</w:t>
      </w:r>
      <w:r w:rsidR="007F1C25" w:rsidRPr="007F1C25">
        <w:rPr>
          <w:rFonts w:ascii="Book Antiqua" w:hAnsi="Book Antiqua"/>
          <w:lang w:val="en-IE"/>
        </w:rPr>
        <w:t>groups, that have a focus on particular specialised areas of law</w:t>
      </w:r>
      <w:r>
        <w:rPr>
          <w:rFonts w:ascii="Book Antiqua" w:hAnsi="Book Antiqua"/>
          <w:lang w:val="en-IE"/>
        </w:rPr>
        <w:t>,</w:t>
      </w:r>
      <w:r w:rsidR="007F1C25" w:rsidRPr="007F1C25">
        <w:rPr>
          <w:rStyle w:val="FootnoteReference"/>
          <w:rFonts w:ascii="Book Antiqua" w:hAnsi="Book Antiqua"/>
          <w:lang w:val="en-IE"/>
        </w:rPr>
        <w:footnoteReference w:id="85"/>
      </w:r>
      <w:r w:rsidR="007F1C25" w:rsidRPr="007F1C25">
        <w:rPr>
          <w:rFonts w:ascii="Book Antiqua" w:hAnsi="Book Antiqua"/>
          <w:lang w:val="en-IE"/>
        </w:rPr>
        <w:t xml:space="preserve"> </w:t>
      </w:r>
      <w:r>
        <w:rPr>
          <w:rFonts w:ascii="Book Antiqua" w:hAnsi="Book Antiqua"/>
          <w:lang w:val="en-IE"/>
        </w:rPr>
        <w:t xml:space="preserve">each </w:t>
      </w:r>
      <w:r w:rsidR="007F1C25" w:rsidRPr="007F1C25">
        <w:rPr>
          <w:rFonts w:ascii="Book Antiqua" w:hAnsi="Book Antiqua"/>
          <w:lang w:val="en-IE"/>
        </w:rPr>
        <w:t xml:space="preserve">staffed by </w:t>
      </w:r>
      <w:r>
        <w:rPr>
          <w:rFonts w:ascii="Book Antiqua" w:hAnsi="Book Antiqua"/>
          <w:lang w:val="en-IE"/>
        </w:rPr>
        <w:t xml:space="preserve">5-6 </w:t>
      </w:r>
      <w:r w:rsidR="007F1C25" w:rsidRPr="007F1C25">
        <w:rPr>
          <w:rFonts w:ascii="Book Antiqua" w:hAnsi="Book Antiqua"/>
          <w:lang w:val="en-IE"/>
        </w:rPr>
        <w:t>civil servants known as Advisory Counsel, who are generally former practicing lawyers of some years</w:t>
      </w:r>
      <w:r w:rsidR="00371E90">
        <w:rPr>
          <w:rFonts w:ascii="Book Antiqua" w:hAnsi="Book Antiqua"/>
          <w:lang w:val="en-IE"/>
        </w:rPr>
        <w:t>’</w:t>
      </w:r>
      <w:r w:rsidR="007F1C25" w:rsidRPr="007F1C25">
        <w:rPr>
          <w:rFonts w:ascii="Book Antiqua" w:hAnsi="Book Antiqua"/>
          <w:lang w:val="en-IE"/>
        </w:rPr>
        <w:t xml:space="preserve"> experience. </w:t>
      </w:r>
      <w:r w:rsidR="003B756E">
        <w:rPr>
          <w:rFonts w:ascii="Book Antiqua" w:hAnsi="Book Antiqua"/>
          <w:lang w:val="en-IE"/>
        </w:rPr>
        <w:t xml:space="preserve">All legislation and any </w:t>
      </w:r>
      <w:r w:rsidR="007F1C25" w:rsidRPr="007F1C25">
        <w:rPr>
          <w:rFonts w:ascii="Book Antiqua" w:hAnsi="Book Antiqua"/>
          <w:lang w:val="en-IE"/>
        </w:rPr>
        <w:t xml:space="preserve">policy proposal generated by </w:t>
      </w:r>
      <w:r w:rsidR="003B756E">
        <w:rPr>
          <w:rFonts w:ascii="Book Antiqua" w:hAnsi="Book Antiqua"/>
          <w:lang w:val="en-IE"/>
        </w:rPr>
        <w:t xml:space="preserve">government that has </w:t>
      </w:r>
      <w:r w:rsidR="007F1C25" w:rsidRPr="007F1C25">
        <w:rPr>
          <w:rFonts w:ascii="Book Antiqua" w:hAnsi="Book Antiqua"/>
          <w:lang w:val="en-IE"/>
        </w:rPr>
        <w:t>“any substantive constitutional or legal dimension”</w:t>
      </w:r>
      <w:r w:rsidR="003B756E">
        <w:rPr>
          <w:rFonts w:ascii="Book Antiqua" w:hAnsi="Book Antiqua"/>
          <w:lang w:val="en-IE"/>
        </w:rPr>
        <w:t xml:space="preserve"> will be sent to </w:t>
      </w:r>
      <w:r w:rsidR="007F1C25" w:rsidRPr="007F1C25">
        <w:rPr>
          <w:rFonts w:ascii="Book Antiqua" w:hAnsi="Book Antiqua"/>
          <w:lang w:val="en-IE"/>
        </w:rPr>
        <w:t xml:space="preserve">the </w:t>
      </w:r>
      <w:r w:rsidR="003B756E">
        <w:rPr>
          <w:rFonts w:ascii="Book Antiqua" w:hAnsi="Book Antiqua"/>
          <w:lang w:val="en-IE"/>
        </w:rPr>
        <w:t xml:space="preserve">AG’s </w:t>
      </w:r>
      <w:r w:rsidR="007F1C25" w:rsidRPr="007F1C25">
        <w:rPr>
          <w:rFonts w:ascii="Book Antiqua" w:hAnsi="Book Antiqua"/>
          <w:lang w:val="en-IE"/>
        </w:rPr>
        <w:t xml:space="preserve">Office </w:t>
      </w:r>
      <w:r w:rsidR="003B756E">
        <w:rPr>
          <w:rFonts w:ascii="Book Antiqua" w:hAnsi="Book Antiqua"/>
          <w:lang w:val="en-IE"/>
        </w:rPr>
        <w:t>for advice,</w:t>
      </w:r>
      <w:r w:rsidR="003B756E" w:rsidRPr="007F1C25">
        <w:rPr>
          <w:rStyle w:val="FootnoteReference"/>
          <w:rFonts w:ascii="Book Antiqua" w:hAnsi="Book Antiqua"/>
          <w:lang w:val="en-IE"/>
        </w:rPr>
        <w:footnoteReference w:id="86"/>
      </w:r>
      <w:r w:rsidR="003B756E">
        <w:rPr>
          <w:rFonts w:ascii="Book Antiqua" w:hAnsi="Book Antiqua"/>
          <w:lang w:val="en-IE"/>
        </w:rPr>
        <w:t xml:space="preserve"> and the AG</w:t>
      </w:r>
      <w:r w:rsidR="007F1C25" w:rsidRPr="007F1C25">
        <w:rPr>
          <w:rFonts w:ascii="Book Antiqua" w:hAnsi="Book Antiqua"/>
          <w:lang w:val="en-IE"/>
        </w:rPr>
        <w:t xml:space="preserve"> remains </w:t>
      </w:r>
      <w:r w:rsidR="007F1C25" w:rsidRPr="007F1C25">
        <w:rPr>
          <w:rFonts w:ascii="Book Antiqua" w:hAnsi="Book Antiqua"/>
          <w:lang w:val="en-IE"/>
        </w:rPr>
        <w:lastRenderedPageBreak/>
        <w:t xml:space="preserve">involved in an advisory capacity throughout the formulation of policy and the drafting and passage of legislation by government. Ireland is a Westminster-style parliamentary system that has, even  by the standards of such systems, an unusual level of executive dominance in the </w:t>
      </w:r>
      <w:proofErr w:type="spellStart"/>
      <w:r w:rsidR="007F1C25" w:rsidRPr="007F1C25">
        <w:rPr>
          <w:rFonts w:ascii="Book Antiqua" w:hAnsi="Book Antiqua"/>
          <w:lang w:val="en-IE"/>
        </w:rPr>
        <w:t>lawmaking</w:t>
      </w:r>
      <w:proofErr w:type="spellEnd"/>
      <w:r w:rsidR="007F1C25" w:rsidRPr="007F1C25">
        <w:rPr>
          <w:rFonts w:ascii="Book Antiqua" w:hAnsi="Book Antiqua"/>
          <w:lang w:val="en-IE"/>
        </w:rPr>
        <w:t xml:space="preserve"> process. Save in unusual circumstances of</w:t>
      </w:r>
      <w:r w:rsidR="00FA1AD8">
        <w:rPr>
          <w:rFonts w:ascii="Book Antiqua" w:hAnsi="Book Antiqua"/>
          <w:lang w:val="en-IE"/>
        </w:rPr>
        <w:t xml:space="preserve"> </w:t>
      </w:r>
      <w:r w:rsidR="007F1C25" w:rsidRPr="007F1C25">
        <w:rPr>
          <w:rFonts w:ascii="Book Antiqua" w:hAnsi="Book Antiqua"/>
          <w:lang w:val="en-IE"/>
        </w:rPr>
        <w:t xml:space="preserve">minority government, </w:t>
      </w:r>
      <w:r w:rsidR="00FA1AD8">
        <w:rPr>
          <w:rFonts w:ascii="Book Antiqua" w:hAnsi="Book Antiqua"/>
          <w:lang w:val="en-IE"/>
        </w:rPr>
        <w:t>very</w:t>
      </w:r>
      <w:r w:rsidR="00FA1AD8" w:rsidRPr="007F1C25">
        <w:rPr>
          <w:rFonts w:ascii="Book Antiqua" w:hAnsi="Book Antiqua"/>
          <w:lang w:val="en-IE"/>
        </w:rPr>
        <w:t xml:space="preserve"> </w:t>
      </w:r>
      <w:r w:rsidR="007F1C25" w:rsidRPr="007F1C25">
        <w:rPr>
          <w:rFonts w:ascii="Book Antiqua" w:hAnsi="Book Antiqua"/>
          <w:lang w:val="en-IE"/>
        </w:rPr>
        <w:t>few laws are passed that have not originated from</w:t>
      </w:r>
      <w:r w:rsidR="00FA1AD8">
        <w:rPr>
          <w:rFonts w:ascii="Book Antiqua" w:hAnsi="Book Antiqua"/>
          <w:lang w:val="en-IE"/>
        </w:rPr>
        <w:t xml:space="preserve">, and been </w:t>
      </w:r>
      <w:r w:rsidR="00F20DA3">
        <w:rPr>
          <w:rFonts w:ascii="Book Antiqua" w:hAnsi="Book Antiqua"/>
          <w:lang w:val="en-IE"/>
        </w:rPr>
        <w:t xml:space="preserve">strictly </w:t>
      </w:r>
      <w:r w:rsidR="00FA1AD8">
        <w:rPr>
          <w:rFonts w:ascii="Book Antiqua" w:hAnsi="Book Antiqua"/>
          <w:lang w:val="en-IE"/>
        </w:rPr>
        <w:t xml:space="preserve">controlled </w:t>
      </w:r>
      <w:r w:rsidR="00F20DA3">
        <w:rPr>
          <w:rFonts w:ascii="Book Antiqua" w:hAnsi="Book Antiqua"/>
          <w:lang w:val="en-IE"/>
        </w:rPr>
        <w:t xml:space="preserve">in parliament </w:t>
      </w:r>
      <w:r w:rsidR="00FA1AD8">
        <w:rPr>
          <w:rFonts w:ascii="Book Antiqua" w:hAnsi="Book Antiqua"/>
          <w:lang w:val="en-IE"/>
        </w:rPr>
        <w:t>by,</w:t>
      </w:r>
      <w:r w:rsidR="007F1C25" w:rsidRPr="007F1C25">
        <w:rPr>
          <w:rFonts w:ascii="Book Antiqua" w:hAnsi="Book Antiqua"/>
          <w:lang w:val="en-IE"/>
        </w:rPr>
        <w:t xml:space="preserve"> government</w:t>
      </w:r>
      <w:r w:rsidR="00FA1AD8">
        <w:rPr>
          <w:rFonts w:ascii="Book Antiqua" w:hAnsi="Book Antiqua"/>
          <w:lang w:val="en-IE"/>
        </w:rPr>
        <w:t>.</w:t>
      </w:r>
      <w:r w:rsidR="007F1C25" w:rsidRPr="007F1C25">
        <w:rPr>
          <w:rFonts w:ascii="Book Antiqua" w:hAnsi="Book Antiqua"/>
          <w:lang w:val="en-IE"/>
        </w:rPr>
        <w:t xml:space="preserve"> </w:t>
      </w:r>
      <w:r w:rsidR="006F5FDC">
        <w:rPr>
          <w:rFonts w:ascii="Book Antiqua" w:hAnsi="Book Antiqua"/>
          <w:lang w:val="en-IE"/>
        </w:rPr>
        <w:t>Therefore almost</w:t>
      </w:r>
      <w:r w:rsidR="007F1C25" w:rsidRPr="007F1C25">
        <w:rPr>
          <w:rFonts w:ascii="Book Antiqua" w:hAnsi="Book Antiqua"/>
          <w:lang w:val="en-IE"/>
        </w:rPr>
        <w:t xml:space="preserve"> all policymaking and </w:t>
      </w:r>
      <w:proofErr w:type="spellStart"/>
      <w:r w:rsidR="007F1C25" w:rsidRPr="007F1C25">
        <w:rPr>
          <w:rFonts w:ascii="Book Antiqua" w:hAnsi="Book Antiqua"/>
          <w:lang w:val="en-IE"/>
        </w:rPr>
        <w:t>lawmaking</w:t>
      </w:r>
      <w:proofErr w:type="spellEnd"/>
      <w:r w:rsidR="007F1C25" w:rsidRPr="007F1C25">
        <w:rPr>
          <w:rFonts w:ascii="Book Antiqua" w:hAnsi="Book Antiqua"/>
          <w:lang w:val="en-IE"/>
        </w:rPr>
        <w:t xml:space="preserve"> is done under the influence of the Attorney’s advice.</w:t>
      </w:r>
    </w:p>
    <w:p w14:paraId="07581ADA" w14:textId="77777777" w:rsidR="007F1C25" w:rsidRPr="007F1C25" w:rsidRDefault="007F1C25" w:rsidP="00716219">
      <w:pPr>
        <w:spacing w:line="360" w:lineRule="auto"/>
        <w:jc w:val="both"/>
        <w:rPr>
          <w:rFonts w:ascii="Book Antiqua" w:hAnsi="Book Antiqua"/>
          <w:lang w:val="en-IE"/>
        </w:rPr>
      </w:pPr>
    </w:p>
    <w:p w14:paraId="6E444D83" w14:textId="063AE8A0" w:rsidR="007F1C25" w:rsidRDefault="007F1C25" w:rsidP="00716219">
      <w:pPr>
        <w:spacing w:line="360" w:lineRule="auto"/>
        <w:jc w:val="both"/>
        <w:rPr>
          <w:rFonts w:ascii="Book Antiqua" w:hAnsi="Book Antiqua"/>
          <w:lang w:val="en-IE"/>
        </w:rPr>
      </w:pPr>
      <w:r w:rsidRPr="007F1C25">
        <w:rPr>
          <w:rFonts w:ascii="Book Antiqua" w:hAnsi="Book Antiqua"/>
          <w:lang w:val="en-IE"/>
        </w:rPr>
        <w:t>How this advice on constitutional issues is formulated is shrouded in secrecy, as the detailed internal workings of the office are not discussed publicly, and have been the subject of limited academic enquiry.</w:t>
      </w:r>
      <w:r w:rsidRPr="007F1C25">
        <w:rPr>
          <w:rStyle w:val="FootnoteReference"/>
          <w:rFonts w:ascii="Book Antiqua" w:hAnsi="Book Antiqua"/>
          <w:lang w:val="en-IE"/>
        </w:rPr>
        <w:footnoteReference w:id="87"/>
      </w:r>
      <w:r w:rsidRPr="007F1C25">
        <w:rPr>
          <w:rFonts w:ascii="Book Antiqua" w:hAnsi="Book Antiqua"/>
          <w:lang w:val="en-IE"/>
        </w:rPr>
        <w:t xml:space="preserve"> When advice is requested, a permanent advisory </w:t>
      </w:r>
      <w:proofErr w:type="spellStart"/>
      <w:r w:rsidRPr="007F1C25">
        <w:rPr>
          <w:rFonts w:ascii="Book Antiqua" w:hAnsi="Book Antiqua"/>
          <w:lang w:val="en-IE"/>
        </w:rPr>
        <w:t>counsel</w:t>
      </w:r>
      <w:proofErr w:type="spellEnd"/>
      <w:r w:rsidRPr="007F1C25">
        <w:rPr>
          <w:rFonts w:ascii="Book Antiqua" w:hAnsi="Book Antiqua"/>
          <w:lang w:val="en-IE"/>
        </w:rPr>
        <w:t xml:space="preserve"> (overseen generally by a senior member of the advisory </w:t>
      </w:r>
      <w:proofErr w:type="spellStart"/>
      <w:r w:rsidRPr="007F1C25">
        <w:rPr>
          <w:rFonts w:ascii="Book Antiqua" w:hAnsi="Book Antiqua"/>
          <w:lang w:val="en-IE"/>
        </w:rPr>
        <w:t>counsel</w:t>
      </w:r>
      <w:proofErr w:type="spellEnd"/>
      <w:r w:rsidRPr="007F1C25">
        <w:rPr>
          <w:rFonts w:ascii="Book Antiqua" w:hAnsi="Book Antiqua"/>
          <w:lang w:val="en-IE"/>
        </w:rPr>
        <w:t xml:space="preserve"> staff) researches the constitutional issues raised and helps the </w:t>
      </w:r>
      <w:r w:rsidR="0012238C">
        <w:rPr>
          <w:rFonts w:ascii="Book Antiqua" w:hAnsi="Book Antiqua"/>
          <w:lang w:val="en-IE"/>
        </w:rPr>
        <w:t>AG</w:t>
      </w:r>
      <w:r w:rsidR="0012238C" w:rsidRPr="007F1C25">
        <w:rPr>
          <w:rFonts w:ascii="Book Antiqua" w:hAnsi="Book Antiqua"/>
          <w:lang w:val="en-IE"/>
        </w:rPr>
        <w:t xml:space="preserve"> </w:t>
      </w:r>
      <w:r w:rsidRPr="007F1C25">
        <w:rPr>
          <w:rFonts w:ascii="Book Antiqua" w:hAnsi="Book Antiqua"/>
          <w:lang w:val="en-IE"/>
        </w:rPr>
        <w:t xml:space="preserve">in preparation of advice. </w:t>
      </w:r>
      <w:r w:rsidR="00C97D37">
        <w:rPr>
          <w:rFonts w:ascii="Book Antiqua" w:hAnsi="Book Antiqua"/>
          <w:lang w:val="en-IE"/>
        </w:rPr>
        <w:t>A</w:t>
      </w:r>
      <w:r w:rsidR="00C97D37" w:rsidRPr="007F1C25">
        <w:rPr>
          <w:rFonts w:ascii="Book Antiqua" w:hAnsi="Book Antiqua"/>
          <w:lang w:val="en-IE"/>
        </w:rPr>
        <w:t>ny matter that is “legally significant or novel, politically important, sensitive or financially valuable” must be brought directly to the attention of the Attorney General.</w:t>
      </w:r>
      <w:r w:rsidR="00C97D37" w:rsidRPr="00C97D37">
        <w:rPr>
          <w:rStyle w:val="FootnoteReference"/>
          <w:rFonts w:ascii="Book Antiqua" w:hAnsi="Book Antiqua"/>
          <w:lang w:val="en-IE"/>
        </w:rPr>
        <w:t xml:space="preserve"> </w:t>
      </w:r>
      <w:r w:rsidR="0012238C">
        <w:rPr>
          <w:rFonts w:ascii="Book Antiqua" w:hAnsi="Book Antiqua"/>
          <w:lang w:val="en-IE"/>
        </w:rPr>
        <w:t>Independent b</w:t>
      </w:r>
      <w:r w:rsidRPr="007F1C25">
        <w:rPr>
          <w:rFonts w:ascii="Book Antiqua" w:hAnsi="Book Antiqua"/>
          <w:lang w:val="en-IE"/>
        </w:rPr>
        <w:t xml:space="preserve">arristers are commonly employed to write opinions and give advice on particularly difficult or contested points of law to aid the </w:t>
      </w:r>
      <w:r w:rsidR="0012238C">
        <w:rPr>
          <w:rFonts w:ascii="Book Antiqua" w:hAnsi="Book Antiqua"/>
          <w:lang w:val="en-IE"/>
        </w:rPr>
        <w:t>AG</w:t>
      </w:r>
      <w:r w:rsidRPr="007F1C25">
        <w:rPr>
          <w:rFonts w:ascii="Book Antiqua" w:hAnsi="Book Antiqua"/>
          <w:lang w:val="en-IE"/>
        </w:rPr>
        <w:t>.</w:t>
      </w:r>
      <w:r w:rsidR="00E33E9E">
        <w:rPr>
          <w:rFonts w:ascii="Book Antiqua" w:hAnsi="Book Antiqua"/>
          <w:lang w:val="en-IE"/>
        </w:rPr>
        <w:t xml:space="preserve"> </w:t>
      </w:r>
      <w:r w:rsidRPr="007F1C25">
        <w:rPr>
          <w:rFonts w:ascii="Book Antiqua" w:hAnsi="Book Antiqua"/>
          <w:lang w:val="en-IE"/>
        </w:rPr>
        <w:t>Timelines for the provision of advice are often tight</w:t>
      </w:r>
      <w:r w:rsidR="00C97D37">
        <w:rPr>
          <w:rFonts w:ascii="Book Antiqua" w:hAnsi="Book Antiqua"/>
          <w:lang w:val="en-IE"/>
        </w:rPr>
        <w:t>.</w:t>
      </w:r>
      <w:r w:rsidRPr="007F1C25">
        <w:rPr>
          <w:rStyle w:val="FootnoteReference"/>
          <w:rFonts w:ascii="Book Antiqua" w:hAnsi="Book Antiqua"/>
          <w:lang w:val="en-IE"/>
        </w:rPr>
        <w:footnoteReference w:id="88"/>
      </w:r>
      <w:r w:rsidRPr="007F1C25">
        <w:rPr>
          <w:rFonts w:ascii="Book Antiqua" w:hAnsi="Book Antiqua"/>
          <w:lang w:val="en-IE"/>
        </w:rPr>
        <w:t xml:space="preserve"> </w:t>
      </w:r>
    </w:p>
    <w:p w14:paraId="51E9E0EC" w14:textId="77777777" w:rsidR="00546AFE" w:rsidRPr="007F1C25" w:rsidRDefault="00546AFE" w:rsidP="00716219">
      <w:pPr>
        <w:spacing w:line="360" w:lineRule="auto"/>
        <w:jc w:val="both"/>
        <w:rPr>
          <w:rFonts w:ascii="Book Antiqua" w:hAnsi="Book Antiqua"/>
          <w:lang w:val="en-IE"/>
        </w:rPr>
      </w:pPr>
    </w:p>
    <w:p w14:paraId="4D5E9566" w14:textId="550C9E12" w:rsidR="007F1C25" w:rsidRPr="007F1C25" w:rsidRDefault="007F1C25" w:rsidP="00716219">
      <w:pPr>
        <w:spacing w:line="360" w:lineRule="auto"/>
        <w:jc w:val="both"/>
        <w:rPr>
          <w:rFonts w:ascii="Book Antiqua" w:hAnsi="Book Antiqua"/>
          <w:lang w:val="en-IE"/>
        </w:rPr>
      </w:pPr>
      <w:r w:rsidRPr="007F1C25">
        <w:rPr>
          <w:rFonts w:ascii="Book Antiqua" w:hAnsi="Book Antiqua"/>
          <w:lang w:val="en-IE"/>
        </w:rPr>
        <w:t xml:space="preserve">Again, the practice of the </w:t>
      </w:r>
      <w:r w:rsidR="003471A6">
        <w:rPr>
          <w:rFonts w:ascii="Book Antiqua" w:hAnsi="Book Antiqua"/>
          <w:lang w:val="en-IE"/>
        </w:rPr>
        <w:t>AG</w:t>
      </w:r>
      <w:r w:rsidRPr="007F1C25">
        <w:rPr>
          <w:rFonts w:ascii="Book Antiqua" w:hAnsi="Book Antiqua"/>
          <w:lang w:val="en-IE"/>
        </w:rPr>
        <w:t xml:space="preserve"> in presenting advice to Cabinet is not publicly discussed, and it seems that the practice varies. The </w:t>
      </w:r>
      <w:r w:rsidR="003471A6">
        <w:rPr>
          <w:rFonts w:ascii="Book Antiqua" w:hAnsi="Book Antiqua"/>
          <w:lang w:val="en-IE"/>
        </w:rPr>
        <w:t xml:space="preserve">AG </w:t>
      </w:r>
      <w:r w:rsidRPr="007F1C25">
        <w:rPr>
          <w:rFonts w:ascii="Book Antiqua" w:hAnsi="Book Antiqua"/>
          <w:lang w:val="en-IE"/>
        </w:rPr>
        <w:t xml:space="preserve">will consider </w:t>
      </w:r>
      <w:r w:rsidR="003471A6">
        <w:rPr>
          <w:rFonts w:ascii="Book Antiqua" w:hAnsi="Book Antiqua"/>
          <w:lang w:val="en-IE"/>
        </w:rPr>
        <w:t xml:space="preserve">preparatory </w:t>
      </w:r>
      <w:r w:rsidRPr="007F1C25">
        <w:rPr>
          <w:rFonts w:ascii="Book Antiqua" w:hAnsi="Book Antiqua"/>
          <w:lang w:val="en-IE"/>
        </w:rPr>
        <w:t>work</w:t>
      </w:r>
      <w:r w:rsidR="003471A6">
        <w:rPr>
          <w:rFonts w:ascii="Book Antiqua" w:hAnsi="Book Antiqua"/>
          <w:lang w:val="en-IE"/>
        </w:rPr>
        <w:t xml:space="preserve"> by internal and external lawyers</w:t>
      </w:r>
      <w:r w:rsidRPr="007F1C25">
        <w:rPr>
          <w:rFonts w:ascii="Book Antiqua" w:hAnsi="Book Antiqua"/>
          <w:lang w:val="en-IE"/>
        </w:rPr>
        <w:t>, form an opinion in consultation with these advisors, and prepare materials for government on foot of this. It is not clear that there is any set form for how the advice is presented. Sometimes, advice will be incorporated into a policy memo or proposal that comes before Cabinet</w:t>
      </w:r>
      <w:r w:rsidR="003471A6">
        <w:rPr>
          <w:rFonts w:ascii="Book Antiqua" w:hAnsi="Book Antiqua"/>
          <w:lang w:val="en-IE"/>
        </w:rPr>
        <w:t>;</w:t>
      </w:r>
      <w:r w:rsidRPr="007F1C25">
        <w:rPr>
          <w:rFonts w:ascii="Book Antiqua" w:hAnsi="Book Antiqua"/>
          <w:lang w:val="en-IE"/>
        </w:rPr>
        <w:t xml:space="preserve"> </w:t>
      </w:r>
      <w:r w:rsidR="003471A6">
        <w:rPr>
          <w:rFonts w:ascii="Book Antiqua" w:hAnsi="Book Antiqua"/>
          <w:lang w:val="en-IE"/>
        </w:rPr>
        <w:t>s</w:t>
      </w:r>
      <w:r w:rsidRPr="007F1C25">
        <w:rPr>
          <w:rFonts w:ascii="Book Antiqua" w:hAnsi="Book Antiqua"/>
          <w:lang w:val="en-IE"/>
        </w:rPr>
        <w:t xml:space="preserve">ometimes, advice is given </w:t>
      </w:r>
      <w:r w:rsidRPr="00F603FC">
        <w:rPr>
          <w:rFonts w:ascii="Book Antiqua" w:hAnsi="Book Antiqua"/>
          <w:i/>
          <w:lang w:val="en-IE"/>
        </w:rPr>
        <w:t>viva voce</w:t>
      </w:r>
      <w:r w:rsidRPr="007F1C25">
        <w:rPr>
          <w:rFonts w:ascii="Book Antiqua" w:hAnsi="Book Antiqua"/>
          <w:lang w:val="en-IE"/>
        </w:rPr>
        <w:t xml:space="preserve"> at </w:t>
      </w:r>
      <w:r w:rsidR="00E9286B">
        <w:rPr>
          <w:rFonts w:ascii="Book Antiqua" w:hAnsi="Book Antiqua"/>
          <w:lang w:val="en-IE"/>
        </w:rPr>
        <w:t>Cabinet meetings</w:t>
      </w:r>
      <w:r w:rsidRPr="007F1C25">
        <w:rPr>
          <w:rFonts w:ascii="Book Antiqua" w:hAnsi="Book Antiqua"/>
          <w:lang w:val="en-IE"/>
        </w:rPr>
        <w:t xml:space="preserve">. With major and specific constitutional issues, the Attorney General may prepare a formal memorandum of advice for Cabinet. These can vary in length, detail, and focus depending on the preference of the particular government, the preference of the Attorney, the exigencies of the situation, etc. We can infer that </w:t>
      </w:r>
      <w:r w:rsidRPr="007F1C25">
        <w:rPr>
          <w:rFonts w:ascii="Book Antiqua" w:hAnsi="Book Antiqua"/>
          <w:lang w:val="en-IE"/>
        </w:rPr>
        <w:lastRenderedPageBreak/>
        <w:t xml:space="preserve">advice on constitutionality generally contains an assessment of the probability of a particular </w:t>
      </w:r>
      <w:r w:rsidR="00E9286B">
        <w:rPr>
          <w:rFonts w:ascii="Book Antiqua" w:hAnsi="Book Antiqua"/>
          <w:lang w:val="en-IE"/>
        </w:rPr>
        <w:t>bill</w:t>
      </w:r>
      <w:r w:rsidRPr="007F1C25">
        <w:rPr>
          <w:rFonts w:ascii="Book Antiqua" w:hAnsi="Book Antiqua"/>
          <w:lang w:val="en-IE"/>
        </w:rPr>
        <w:t xml:space="preserve"> being invalidated by the courts on constitutional grounds, having regard to the prevailing law and outlook of the courts.</w:t>
      </w:r>
      <w:r w:rsidRPr="007F1C25">
        <w:rPr>
          <w:rStyle w:val="FootnoteReference"/>
          <w:rFonts w:ascii="Book Antiqua" w:hAnsi="Book Antiqua"/>
          <w:lang w:val="en-IE"/>
        </w:rPr>
        <w:footnoteReference w:id="89"/>
      </w:r>
      <w:r w:rsidRPr="007F1C25">
        <w:rPr>
          <w:rFonts w:ascii="Book Antiqua" w:hAnsi="Book Antiqua"/>
          <w:lang w:val="en-IE"/>
        </w:rPr>
        <w:t xml:space="preserve"> Based on </w:t>
      </w:r>
      <w:r w:rsidR="001D2AA1">
        <w:rPr>
          <w:rFonts w:ascii="Book Antiqua" w:hAnsi="Book Antiqua"/>
          <w:lang w:val="en-IE"/>
        </w:rPr>
        <w:t>the AG’s</w:t>
      </w:r>
      <w:r w:rsidR="001D2AA1" w:rsidRPr="007F1C25">
        <w:rPr>
          <w:rFonts w:ascii="Book Antiqua" w:hAnsi="Book Antiqua"/>
          <w:lang w:val="en-IE"/>
        </w:rPr>
        <w:t xml:space="preserve"> </w:t>
      </w:r>
      <w:r w:rsidRPr="007F1C25">
        <w:rPr>
          <w:rFonts w:ascii="Book Antiqua" w:hAnsi="Book Antiqua"/>
          <w:lang w:val="en-IE"/>
        </w:rPr>
        <w:t>advice, the government will make decisions about what policies and enactments to pursue.</w:t>
      </w:r>
    </w:p>
    <w:p w14:paraId="642F392D" w14:textId="77777777" w:rsidR="008260A3" w:rsidRDefault="008260A3" w:rsidP="00716219">
      <w:pPr>
        <w:spacing w:line="360" w:lineRule="auto"/>
        <w:jc w:val="both"/>
        <w:rPr>
          <w:rFonts w:ascii="Book Antiqua" w:hAnsi="Book Antiqua"/>
          <w:lang w:val="en-IE"/>
        </w:rPr>
      </w:pPr>
    </w:p>
    <w:p w14:paraId="5E0E0D01" w14:textId="60190B7A" w:rsidR="007F1C25" w:rsidRDefault="00F62894" w:rsidP="00735395">
      <w:pPr>
        <w:spacing w:line="360" w:lineRule="auto"/>
        <w:jc w:val="both"/>
        <w:rPr>
          <w:rFonts w:ascii="Book Antiqua" w:hAnsi="Book Antiqua"/>
          <w:lang w:val="en-IE"/>
        </w:rPr>
      </w:pPr>
      <w:r>
        <w:rPr>
          <w:rFonts w:ascii="Book Antiqua" w:hAnsi="Book Antiqua"/>
          <w:lang w:val="en-IE"/>
        </w:rPr>
        <w:t>It</w:t>
      </w:r>
      <w:r w:rsidR="002E568A">
        <w:rPr>
          <w:rFonts w:ascii="Book Antiqua" w:hAnsi="Book Antiqua"/>
          <w:lang w:val="en-IE"/>
        </w:rPr>
        <w:t xml:space="preserve"> </w:t>
      </w:r>
      <w:r>
        <w:rPr>
          <w:rFonts w:ascii="Book Antiqua" w:hAnsi="Book Antiqua"/>
          <w:lang w:val="en-IE"/>
        </w:rPr>
        <w:t>seem</w:t>
      </w:r>
      <w:r w:rsidR="002E568A">
        <w:rPr>
          <w:rFonts w:ascii="Book Antiqua" w:hAnsi="Book Antiqua"/>
          <w:lang w:val="en-IE"/>
        </w:rPr>
        <w:t>s</w:t>
      </w:r>
      <w:r>
        <w:rPr>
          <w:rFonts w:ascii="Book Antiqua" w:hAnsi="Book Antiqua"/>
          <w:lang w:val="en-IE"/>
        </w:rPr>
        <w:t xml:space="preserve"> that the AG </w:t>
      </w:r>
      <w:r w:rsidR="00537B79">
        <w:rPr>
          <w:rFonts w:ascii="Book Antiqua" w:hAnsi="Book Antiqua"/>
          <w:lang w:val="en-IE"/>
        </w:rPr>
        <w:t>advice is not dis</w:t>
      </w:r>
      <w:r w:rsidR="00537B79" w:rsidRPr="007F1C25">
        <w:rPr>
          <w:rFonts w:ascii="Book Antiqua" w:hAnsi="Book Antiqua"/>
          <w:lang w:val="en-IE"/>
        </w:rPr>
        <w:t xml:space="preserve">similar </w:t>
      </w:r>
      <w:r w:rsidR="00363E1A">
        <w:rPr>
          <w:rFonts w:ascii="Book Antiqua" w:hAnsi="Book Antiqua"/>
          <w:lang w:val="en-IE"/>
        </w:rPr>
        <w:t xml:space="preserve">to </w:t>
      </w:r>
      <w:r w:rsidR="00537B79">
        <w:rPr>
          <w:rFonts w:ascii="Book Antiqua" w:hAnsi="Book Antiqua"/>
          <w:lang w:val="en-IE"/>
        </w:rPr>
        <w:t xml:space="preserve">what </w:t>
      </w:r>
      <w:r w:rsidR="00537B79" w:rsidRPr="007F1C25">
        <w:rPr>
          <w:rFonts w:ascii="Book Antiqua" w:hAnsi="Book Antiqua"/>
          <w:lang w:val="en-IE"/>
        </w:rPr>
        <w:t>practitioners would give clients</w:t>
      </w:r>
      <w:r w:rsidR="00537B79">
        <w:rPr>
          <w:rFonts w:ascii="Book Antiqua" w:hAnsi="Book Antiqua"/>
          <w:lang w:val="en-IE"/>
        </w:rPr>
        <w:t xml:space="preserve"> in constitutional matters, albeit somewhat more abstract</w:t>
      </w:r>
      <w:r w:rsidR="00537B79" w:rsidRPr="007F1C25">
        <w:rPr>
          <w:rFonts w:ascii="Book Antiqua" w:hAnsi="Book Antiqua"/>
          <w:lang w:val="en-IE"/>
        </w:rPr>
        <w:t xml:space="preserve">. </w:t>
      </w:r>
      <w:r w:rsidR="00B162F7" w:rsidRPr="007F1C25">
        <w:rPr>
          <w:rFonts w:ascii="Book Antiqua" w:hAnsi="Book Antiqua"/>
          <w:lang w:val="en-IE"/>
        </w:rPr>
        <w:t xml:space="preserve">This is unsurprising, in that Attorneys General have always been practicing barristers; the advisory </w:t>
      </w:r>
      <w:proofErr w:type="spellStart"/>
      <w:r w:rsidR="00B162F7" w:rsidRPr="007F1C25">
        <w:rPr>
          <w:rFonts w:ascii="Book Antiqua" w:hAnsi="Book Antiqua"/>
          <w:lang w:val="en-IE"/>
        </w:rPr>
        <w:t>counsel</w:t>
      </w:r>
      <w:proofErr w:type="spellEnd"/>
      <w:r w:rsidR="00B162F7" w:rsidRPr="007F1C25">
        <w:rPr>
          <w:rFonts w:ascii="Book Antiqua" w:hAnsi="Book Antiqua"/>
          <w:lang w:val="en-IE"/>
        </w:rPr>
        <w:t xml:space="preserve"> </w:t>
      </w:r>
      <w:r w:rsidR="00B162F7">
        <w:rPr>
          <w:rFonts w:ascii="Book Antiqua" w:hAnsi="Book Antiqua"/>
          <w:lang w:val="en-IE"/>
        </w:rPr>
        <w:t xml:space="preserve">are former </w:t>
      </w:r>
      <w:r w:rsidR="00B162F7" w:rsidRPr="007F1C25">
        <w:rPr>
          <w:rFonts w:ascii="Book Antiqua" w:hAnsi="Book Antiqua"/>
          <w:lang w:val="en-IE"/>
        </w:rPr>
        <w:t xml:space="preserve">practicing lawyers; and practicing barristers are regularly brought in to assist with constitutional advice. </w:t>
      </w:r>
      <w:r w:rsidR="00B162F7">
        <w:rPr>
          <w:rFonts w:ascii="Book Antiqua" w:hAnsi="Book Antiqua"/>
          <w:lang w:val="en-IE"/>
        </w:rPr>
        <w:t xml:space="preserve">But the effect is that the </w:t>
      </w:r>
      <w:r w:rsidR="007F1C25" w:rsidRPr="007F1C25">
        <w:rPr>
          <w:rFonts w:ascii="Book Antiqua" w:hAnsi="Book Antiqua"/>
          <w:lang w:val="en-IE"/>
        </w:rPr>
        <w:t xml:space="preserve">advice </w:t>
      </w:r>
      <w:r w:rsidR="00537B79">
        <w:rPr>
          <w:rFonts w:ascii="Book Antiqua" w:hAnsi="Book Antiqua"/>
          <w:lang w:val="en-IE"/>
        </w:rPr>
        <w:t xml:space="preserve">is </w:t>
      </w:r>
      <w:r w:rsidR="001D2AA1">
        <w:rPr>
          <w:rFonts w:ascii="Book Antiqua" w:hAnsi="Book Antiqua"/>
          <w:lang w:val="en-IE"/>
        </w:rPr>
        <w:t xml:space="preserve">court-mimicking, narrowly </w:t>
      </w:r>
      <w:r w:rsidR="007F1C25" w:rsidRPr="007F1C25">
        <w:rPr>
          <w:rFonts w:ascii="Book Antiqua" w:hAnsi="Book Antiqua"/>
          <w:lang w:val="en-IE"/>
        </w:rPr>
        <w:t xml:space="preserve">focussed on the judiciary and the likelihood of legislation being invalidated in judicial review. There is </w:t>
      </w:r>
      <w:r w:rsidR="008260A3">
        <w:rPr>
          <w:rFonts w:ascii="Book Antiqua" w:hAnsi="Book Antiqua"/>
          <w:lang w:val="en-IE"/>
        </w:rPr>
        <w:t>little</w:t>
      </w:r>
      <w:r w:rsidR="008260A3" w:rsidRPr="007F1C25">
        <w:rPr>
          <w:rFonts w:ascii="Book Antiqua" w:hAnsi="Book Antiqua"/>
          <w:lang w:val="en-IE"/>
        </w:rPr>
        <w:t xml:space="preserve"> </w:t>
      </w:r>
      <w:r w:rsidR="007F1C25" w:rsidRPr="007F1C25">
        <w:rPr>
          <w:rFonts w:ascii="Book Antiqua" w:hAnsi="Book Antiqua"/>
          <w:lang w:val="en-IE"/>
        </w:rPr>
        <w:t xml:space="preserve">evidence that the </w:t>
      </w:r>
      <w:r w:rsidR="008260A3">
        <w:rPr>
          <w:rFonts w:ascii="Book Antiqua" w:hAnsi="Book Antiqua"/>
          <w:lang w:val="en-IE"/>
        </w:rPr>
        <w:t>AG</w:t>
      </w:r>
      <w:r w:rsidR="008260A3" w:rsidRPr="007F1C25">
        <w:rPr>
          <w:rFonts w:ascii="Book Antiqua" w:hAnsi="Book Antiqua"/>
          <w:lang w:val="en-IE"/>
        </w:rPr>
        <w:t xml:space="preserve"> </w:t>
      </w:r>
      <w:r w:rsidR="007F1C25" w:rsidRPr="007F1C25">
        <w:rPr>
          <w:rFonts w:ascii="Book Antiqua" w:hAnsi="Book Antiqua"/>
          <w:lang w:val="en-IE"/>
        </w:rPr>
        <w:t>tries to consider issues of constitutionality in a less tactical, broader way, or encourage</w:t>
      </w:r>
      <w:r w:rsidR="001D2AA1">
        <w:rPr>
          <w:rFonts w:ascii="Book Antiqua" w:hAnsi="Book Antiqua"/>
          <w:lang w:val="en-IE"/>
        </w:rPr>
        <w:t>s</w:t>
      </w:r>
      <w:r w:rsidR="007F1C25" w:rsidRPr="007F1C25">
        <w:rPr>
          <w:rFonts w:ascii="Book Antiqua" w:hAnsi="Book Antiqua"/>
          <w:lang w:val="en-IE"/>
        </w:rPr>
        <w:t xml:space="preserve"> the </w:t>
      </w:r>
      <w:r w:rsidR="001D2AA1">
        <w:rPr>
          <w:rFonts w:ascii="Book Antiqua" w:hAnsi="Book Antiqua"/>
          <w:lang w:val="en-IE"/>
        </w:rPr>
        <w:t>political branches</w:t>
      </w:r>
      <w:r w:rsidR="001D2AA1" w:rsidRPr="007F1C25">
        <w:rPr>
          <w:rFonts w:ascii="Book Antiqua" w:hAnsi="Book Antiqua"/>
          <w:lang w:val="en-IE"/>
        </w:rPr>
        <w:t xml:space="preserve"> </w:t>
      </w:r>
      <w:r w:rsidR="007F1C25" w:rsidRPr="007F1C25">
        <w:rPr>
          <w:rFonts w:ascii="Book Antiqua" w:hAnsi="Book Antiqua"/>
          <w:lang w:val="en-IE"/>
        </w:rPr>
        <w:t xml:space="preserve">to form independent or distinct constitutional interpretations by virtue of </w:t>
      </w:r>
      <w:r w:rsidR="00537B79">
        <w:rPr>
          <w:rFonts w:ascii="Book Antiqua" w:hAnsi="Book Antiqua"/>
          <w:lang w:val="en-IE"/>
        </w:rPr>
        <w:t>their</w:t>
      </w:r>
      <w:r w:rsidR="007F1C25" w:rsidRPr="007F1C25">
        <w:rPr>
          <w:rFonts w:ascii="Book Antiqua" w:hAnsi="Book Antiqua"/>
          <w:lang w:val="en-IE"/>
        </w:rPr>
        <w:t xml:space="preserve"> institutional role. </w:t>
      </w:r>
    </w:p>
    <w:p w14:paraId="5C15B4DB" w14:textId="77777777" w:rsidR="007F1C25" w:rsidRPr="007F1C25" w:rsidRDefault="007F1C25" w:rsidP="00716219">
      <w:pPr>
        <w:spacing w:line="360" w:lineRule="auto"/>
        <w:jc w:val="both"/>
        <w:rPr>
          <w:rFonts w:ascii="Book Antiqua" w:hAnsi="Book Antiqua"/>
          <w:lang w:val="en-IE"/>
        </w:rPr>
      </w:pPr>
    </w:p>
    <w:p w14:paraId="4A027575" w14:textId="1FC4F145" w:rsidR="007F1C25" w:rsidRPr="007F1C25" w:rsidRDefault="00CC19FA" w:rsidP="00D322AA">
      <w:pPr>
        <w:spacing w:line="360" w:lineRule="auto"/>
        <w:jc w:val="both"/>
        <w:rPr>
          <w:rFonts w:ascii="Book Antiqua" w:hAnsi="Book Antiqua"/>
          <w:lang w:val="en-IE"/>
        </w:rPr>
      </w:pPr>
      <w:r>
        <w:rPr>
          <w:rFonts w:ascii="Book Antiqua" w:hAnsi="Book Antiqua"/>
          <w:lang w:val="en-IE"/>
        </w:rPr>
        <w:t>T</w:t>
      </w:r>
      <w:r w:rsidR="00575BD4" w:rsidRPr="00735395">
        <w:rPr>
          <w:rFonts w:ascii="Book Antiqua" w:hAnsi="Book Antiqua"/>
          <w:lang w:val="en-IE"/>
        </w:rPr>
        <w:t>he</w:t>
      </w:r>
      <w:r w:rsidR="00575BD4">
        <w:rPr>
          <w:rFonts w:ascii="Book Antiqua" w:hAnsi="Book Antiqua"/>
          <w:i/>
          <w:lang w:val="en-IE"/>
        </w:rPr>
        <w:t xml:space="preserve"> </w:t>
      </w:r>
      <w:r w:rsidR="007F1C25" w:rsidRPr="007F1C25">
        <w:rPr>
          <w:rFonts w:ascii="Book Antiqua" w:hAnsi="Book Antiqua"/>
          <w:lang w:val="en-IE"/>
        </w:rPr>
        <w:t xml:space="preserve">advice of the </w:t>
      </w:r>
      <w:r w:rsidR="00575BD4">
        <w:rPr>
          <w:rFonts w:ascii="Book Antiqua" w:hAnsi="Book Antiqua"/>
          <w:lang w:val="en-IE"/>
        </w:rPr>
        <w:t>AG</w:t>
      </w:r>
      <w:r w:rsidR="00575BD4" w:rsidRPr="007F1C25">
        <w:rPr>
          <w:rFonts w:ascii="Book Antiqua" w:hAnsi="Book Antiqua"/>
          <w:lang w:val="en-IE"/>
        </w:rPr>
        <w:t xml:space="preserve"> </w:t>
      </w:r>
      <w:r w:rsidR="007F1C25" w:rsidRPr="007F1C25">
        <w:rPr>
          <w:rFonts w:ascii="Book Antiqua" w:hAnsi="Book Antiqua"/>
          <w:lang w:val="en-IE"/>
        </w:rPr>
        <w:t xml:space="preserve">is </w:t>
      </w:r>
      <w:r w:rsidR="00D322AA">
        <w:rPr>
          <w:rFonts w:ascii="Book Antiqua" w:hAnsi="Book Antiqua"/>
          <w:lang w:val="en-IE"/>
        </w:rPr>
        <w:t xml:space="preserve">almost never </w:t>
      </w:r>
      <w:r w:rsidR="007F1C25" w:rsidRPr="007F1C25">
        <w:rPr>
          <w:rFonts w:ascii="Book Antiqua" w:hAnsi="Book Antiqua"/>
          <w:lang w:val="en-IE"/>
        </w:rPr>
        <w:t xml:space="preserve">published. The </w:t>
      </w:r>
      <w:r w:rsidR="007F1C25" w:rsidRPr="007F1C25">
        <w:rPr>
          <w:rFonts w:ascii="Book Antiqua" w:hAnsi="Book Antiqua"/>
          <w:i/>
          <w:lang w:val="en-IE"/>
        </w:rPr>
        <w:t xml:space="preserve">fact </w:t>
      </w:r>
      <w:r w:rsidR="007F1C25" w:rsidRPr="007F1C25">
        <w:rPr>
          <w:rFonts w:ascii="Book Antiqua" w:hAnsi="Book Antiqua"/>
          <w:lang w:val="en-IE"/>
        </w:rPr>
        <w:t xml:space="preserve">of the advice – that the AG has advised that some policy is constitutional or not – is often disclosed if the policy (or the failure to pursue it) is politically controversial and questioned in parliament. </w:t>
      </w:r>
      <w:r w:rsidR="001D2AA1">
        <w:rPr>
          <w:rFonts w:ascii="Book Antiqua" w:hAnsi="Book Antiqua"/>
          <w:lang w:val="en-IE"/>
        </w:rPr>
        <w:t>D</w:t>
      </w:r>
      <w:r w:rsidR="007F1C25" w:rsidRPr="007F1C25">
        <w:rPr>
          <w:rFonts w:ascii="Book Antiqua" w:hAnsi="Book Antiqua"/>
          <w:lang w:val="en-IE"/>
        </w:rPr>
        <w:t>etailed reason</w:t>
      </w:r>
      <w:r w:rsidR="001D2AA1">
        <w:rPr>
          <w:rFonts w:ascii="Book Antiqua" w:hAnsi="Book Antiqua"/>
          <w:lang w:val="en-IE"/>
        </w:rPr>
        <w:t>ing</w:t>
      </w:r>
      <w:r w:rsidR="007F1C25" w:rsidRPr="007F1C25">
        <w:rPr>
          <w:rFonts w:ascii="Book Antiqua" w:hAnsi="Book Antiqua"/>
          <w:lang w:val="en-IE"/>
        </w:rPr>
        <w:t xml:space="preserve"> or written advice is not released for parliamentarians to assess and scrutinise. The reason for this secrecy seems largely a matter of convention. The advice is subject to legal privilege, and so cannot be part of compelled disclosure in respect of court cases. Given that the </w:t>
      </w:r>
      <w:r w:rsidR="001D2AA1">
        <w:rPr>
          <w:rFonts w:ascii="Book Antiqua" w:hAnsi="Book Antiqua"/>
          <w:lang w:val="en-IE"/>
        </w:rPr>
        <w:t>AG</w:t>
      </w:r>
      <w:r w:rsidR="001D2AA1" w:rsidRPr="007F1C25">
        <w:rPr>
          <w:rFonts w:ascii="Book Antiqua" w:hAnsi="Book Antiqua"/>
          <w:lang w:val="en-IE"/>
        </w:rPr>
        <w:t xml:space="preserve"> </w:t>
      </w:r>
      <w:r w:rsidR="007F1C25" w:rsidRPr="007F1C25">
        <w:rPr>
          <w:rFonts w:ascii="Book Antiqua" w:hAnsi="Book Antiqua"/>
          <w:lang w:val="en-IE"/>
        </w:rPr>
        <w:t xml:space="preserve">often represents the State in important litigation and advises on same, this is </w:t>
      </w:r>
      <w:r w:rsidR="003F22F7">
        <w:rPr>
          <w:rFonts w:ascii="Book Antiqua" w:hAnsi="Book Antiqua"/>
          <w:lang w:val="en-IE"/>
        </w:rPr>
        <w:t>sometimes</w:t>
      </w:r>
      <w:r w:rsidR="003F22F7" w:rsidRPr="007F1C25">
        <w:rPr>
          <w:rFonts w:ascii="Book Antiqua" w:hAnsi="Book Antiqua"/>
          <w:lang w:val="en-IE"/>
        </w:rPr>
        <w:t xml:space="preserve"> </w:t>
      </w:r>
      <w:r w:rsidR="007F1C25" w:rsidRPr="007F1C25">
        <w:rPr>
          <w:rFonts w:ascii="Book Antiqua" w:hAnsi="Book Antiqua"/>
          <w:lang w:val="en-IE"/>
        </w:rPr>
        <w:t xml:space="preserve">necessary. But </w:t>
      </w:r>
      <w:r w:rsidR="001D2AA1">
        <w:rPr>
          <w:rFonts w:ascii="Book Antiqua" w:hAnsi="Book Antiqua"/>
          <w:lang w:val="en-IE"/>
        </w:rPr>
        <w:t xml:space="preserve">this </w:t>
      </w:r>
      <w:r w:rsidR="007F1C25" w:rsidRPr="007F1C25">
        <w:rPr>
          <w:rFonts w:ascii="Book Antiqua" w:hAnsi="Book Antiqua"/>
          <w:lang w:val="en-IE"/>
        </w:rPr>
        <w:t xml:space="preserve">privilege can be waived, and the </w:t>
      </w:r>
      <w:r w:rsidR="0023049C">
        <w:rPr>
          <w:rFonts w:ascii="Book Antiqua" w:hAnsi="Book Antiqua"/>
          <w:lang w:val="en-IE"/>
        </w:rPr>
        <w:t xml:space="preserve">litigious </w:t>
      </w:r>
      <w:r w:rsidR="007F1C25" w:rsidRPr="007F1C25">
        <w:rPr>
          <w:rFonts w:ascii="Book Antiqua" w:hAnsi="Book Antiqua"/>
          <w:lang w:val="en-IE"/>
        </w:rPr>
        <w:t xml:space="preserve">disadvantage of publishing advice to Cabinet on legislation is not very significant. The contemporary rationale </w:t>
      </w:r>
      <w:r w:rsidR="00542C76">
        <w:rPr>
          <w:rFonts w:ascii="Book Antiqua" w:hAnsi="Book Antiqua"/>
          <w:lang w:val="en-IE"/>
        </w:rPr>
        <w:t>for secrecy relates</w:t>
      </w:r>
      <w:r w:rsidR="007F1C25" w:rsidRPr="007F1C25">
        <w:rPr>
          <w:rFonts w:ascii="Book Antiqua" w:hAnsi="Book Antiqua"/>
          <w:lang w:val="en-IE"/>
        </w:rPr>
        <w:t xml:space="preserve"> to the confidentiality of cabinet meetings</w:t>
      </w:r>
      <w:r w:rsidR="00D322AA">
        <w:rPr>
          <w:rFonts w:ascii="Book Antiqua" w:hAnsi="Book Antiqua"/>
          <w:lang w:val="en-IE"/>
        </w:rPr>
        <w:t>:</w:t>
      </w:r>
      <w:r w:rsidR="007F1C25" w:rsidRPr="007F1C25">
        <w:rPr>
          <w:rFonts w:ascii="Book Antiqua" w:hAnsi="Book Antiqua"/>
          <w:lang w:val="en-IE"/>
        </w:rPr>
        <w:t xml:space="preserve"> </w:t>
      </w:r>
      <w:r w:rsidR="00D322AA">
        <w:rPr>
          <w:rFonts w:ascii="Book Antiqua" w:hAnsi="Book Antiqua"/>
          <w:lang w:val="en-IE"/>
        </w:rPr>
        <w:t>since d</w:t>
      </w:r>
      <w:r w:rsidR="007F1C25" w:rsidRPr="007F1C25">
        <w:rPr>
          <w:rFonts w:ascii="Book Antiqua" w:hAnsi="Book Antiqua"/>
          <w:lang w:val="en-IE"/>
        </w:rPr>
        <w:t>iscussions held at cabinet meetings are</w:t>
      </w:r>
      <w:r w:rsidR="00D322AA">
        <w:rPr>
          <w:rFonts w:ascii="Book Antiqua" w:hAnsi="Book Antiqua"/>
          <w:lang w:val="en-IE"/>
        </w:rPr>
        <w:t>, under the Constitution,</w:t>
      </w:r>
      <w:r w:rsidR="007F1C25" w:rsidRPr="007F1C25">
        <w:rPr>
          <w:rFonts w:ascii="Book Antiqua" w:hAnsi="Book Antiqua"/>
          <w:lang w:val="en-IE"/>
        </w:rPr>
        <w:t xml:space="preserve"> confidential</w:t>
      </w:r>
      <w:r w:rsidR="00D322AA">
        <w:rPr>
          <w:rFonts w:ascii="Book Antiqua" w:hAnsi="Book Antiqua"/>
          <w:lang w:val="en-IE"/>
        </w:rPr>
        <w:t>,</w:t>
      </w:r>
      <w:r w:rsidR="00542C76" w:rsidRPr="007F1C25">
        <w:rPr>
          <w:rStyle w:val="FootnoteReference"/>
          <w:rFonts w:ascii="Book Antiqua" w:hAnsi="Book Antiqua"/>
          <w:lang w:val="en-IE"/>
        </w:rPr>
        <w:footnoteReference w:id="90"/>
      </w:r>
      <w:r w:rsidR="007F1C25" w:rsidRPr="007F1C25">
        <w:rPr>
          <w:rFonts w:ascii="Book Antiqua" w:hAnsi="Book Antiqua"/>
          <w:lang w:val="en-IE"/>
        </w:rPr>
        <w:t xml:space="preserve"> the advice of the Attorney, which is used at cabinet meetings and influences decisions, cannot be published without breaching this </w:t>
      </w:r>
      <w:r w:rsidR="007F1C25" w:rsidRPr="007F1C25">
        <w:rPr>
          <w:rFonts w:ascii="Book Antiqua" w:hAnsi="Book Antiqua"/>
          <w:lang w:val="en-IE"/>
        </w:rPr>
        <w:lastRenderedPageBreak/>
        <w:t>confidentiality.</w:t>
      </w:r>
      <w:r w:rsidR="00D322AA" w:rsidRPr="007F1C25">
        <w:rPr>
          <w:rStyle w:val="FootnoteReference"/>
          <w:rFonts w:ascii="Book Antiqua" w:hAnsi="Book Antiqua"/>
          <w:lang w:val="en-IE"/>
        </w:rPr>
        <w:footnoteReference w:id="91"/>
      </w:r>
      <w:r w:rsidR="007F1C25" w:rsidRPr="007F1C25">
        <w:rPr>
          <w:rFonts w:ascii="Book Antiqua" w:hAnsi="Book Antiqua"/>
          <w:lang w:val="en-IE"/>
        </w:rPr>
        <w:t xml:space="preserve"> </w:t>
      </w:r>
      <w:r w:rsidR="00D322AA">
        <w:rPr>
          <w:rFonts w:ascii="Book Antiqua" w:hAnsi="Book Antiqua"/>
          <w:lang w:val="en-IE"/>
        </w:rPr>
        <w:t>There is very little basis for this assertion.</w:t>
      </w:r>
      <w:r w:rsidR="00575BD4" w:rsidRPr="007F1C25">
        <w:rPr>
          <w:rStyle w:val="FootnoteReference"/>
          <w:rFonts w:ascii="Book Antiqua" w:hAnsi="Book Antiqua"/>
          <w:lang w:val="en-IE"/>
        </w:rPr>
        <w:footnoteReference w:id="92"/>
      </w:r>
      <w:r w:rsidR="007F1C25" w:rsidRPr="007F1C25">
        <w:rPr>
          <w:rFonts w:ascii="Book Antiqua" w:hAnsi="Book Antiqua"/>
          <w:lang w:val="en-IE"/>
        </w:rPr>
        <w:t xml:space="preserve"> </w:t>
      </w:r>
      <w:r w:rsidR="00575BD4">
        <w:rPr>
          <w:rFonts w:ascii="Book Antiqua" w:hAnsi="Book Antiqua"/>
          <w:lang w:val="en-IE"/>
        </w:rPr>
        <w:t>Moreover</w:t>
      </w:r>
      <w:r w:rsidR="007F1C25" w:rsidRPr="007F1C25">
        <w:rPr>
          <w:rFonts w:ascii="Book Antiqua" w:hAnsi="Book Antiqua"/>
          <w:lang w:val="en-IE"/>
        </w:rPr>
        <w:t xml:space="preserve">, the </w:t>
      </w:r>
      <w:r w:rsidR="00A41C96">
        <w:rPr>
          <w:rFonts w:ascii="Book Antiqua" w:hAnsi="Book Antiqua"/>
          <w:lang w:val="en-IE"/>
        </w:rPr>
        <w:t>AG’s advice</w:t>
      </w:r>
      <w:r w:rsidR="007F1C25" w:rsidRPr="007F1C25">
        <w:rPr>
          <w:rFonts w:ascii="Book Antiqua" w:hAnsi="Book Antiqua"/>
          <w:lang w:val="en-IE"/>
        </w:rPr>
        <w:t xml:space="preserve"> has been published </w:t>
      </w:r>
      <w:r w:rsidR="00575BD4">
        <w:rPr>
          <w:rFonts w:ascii="Book Antiqua" w:hAnsi="Book Antiqua"/>
          <w:lang w:val="en-IE"/>
        </w:rPr>
        <w:t xml:space="preserve">whenever </w:t>
      </w:r>
      <w:r w:rsidR="007F1C25" w:rsidRPr="007F1C25">
        <w:rPr>
          <w:rFonts w:ascii="Book Antiqua" w:hAnsi="Book Antiqua"/>
          <w:lang w:val="en-IE"/>
        </w:rPr>
        <w:t xml:space="preserve">it </w:t>
      </w:r>
      <w:r w:rsidR="00363E1A">
        <w:rPr>
          <w:rFonts w:ascii="Book Antiqua" w:hAnsi="Book Antiqua"/>
          <w:lang w:val="en-IE"/>
        </w:rPr>
        <w:t xml:space="preserve">has </w:t>
      </w:r>
      <w:r w:rsidR="007F1C25" w:rsidRPr="007F1C25">
        <w:rPr>
          <w:rFonts w:ascii="Book Antiqua" w:hAnsi="Book Antiqua"/>
          <w:lang w:val="en-IE"/>
        </w:rPr>
        <w:t>suited the government to do so.</w:t>
      </w:r>
      <w:r w:rsidR="007159DF">
        <w:rPr>
          <w:rStyle w:val="FootnoteReference"/>
          <w:rFonts w:ascii="Book Antiqua" w:hAnsi="Book Antiqua"/>
          <w:lang w:val="en-IE"/>
        </w:rPr>
        <w:footnoteReference w:id="93"/>
      </w:r>
      <w:r w:rsidR="007F1C25" w:rsidRPr="007F1C25">
        <w:rPr>
          <w:rFonts w:ascii="Book Antiqua" w:hAnsi="Book Antiqua"/>
          <w:lang w:val="en-IE"/>
        </w:rPr>
        <w:t xml:space="preserve"> </w:t>
      </w:r>
      <w:r w:rsidR="007E602A">
        <w:rPr>
          <w:rFonts w:ascii="Book Antiqua" w:hAnsi="Book Antiqua"/>
          <w:lang w:val="en-IE"/>
        </w:rPr>
        <w:t>Most recently, in January 2018, a summary of the AG’s advice on the constitutional effects of removing or replacing Ireland’s constitutional prohibition on abortion was released by the government.</w:t>
      </w:r>
      <w:r w:rsidR="007E602A">
        <w:rPr>
          <w:rStyle w:val="FootnoteReference"/>
          <w:rFonts w:ascii="Book Antiqua" w:hAnsi="Book Antiqua"/>
          <w:lang w:val="en-IE"/>
        </w:rPr>
        <w:footnoteReference w:id="94"/>
      </w:r>
      <w:r w:rsidR="007E602A">
        <w:rPr>
          <w:rFonts w:ascii="Book Antiqua" w:hAnsi="Book Antiqua"/>
          <w:lang w:val="en-IE"/>
        </w:rPr>
        <w:t xml:space="preserve"> Even then, the Taoiseach described this action – inaccurately – as being unprecedented.</w:t>
      </w:r>
      <w:r w:rsidR="007E602A">
        <w:rPr>
          <w:rStyle w:val="FootnoteReference"/>
          <w:rFonts w:ascii="Book Antiqua" w:hAnsi="Book Antiqua"/>
          <w:lang w:val="en-IE"/>
        </w:rPr>
        <w:footnoteReference w:id="95"/>
      </w:r>
      <w:r w:rsidR="007F1C25" w:rsidRPr="007F1C25">
        <w:rPr>
          <w:rFonts w:ascii="Book Antiqua" w:hAnsi="Book Antiqua"/>
          <w:lang w:val="en-IE"/>
        </w:rPr>
        <w:t xml:space="preserve"> </w:t>
      </w:r>
    </w:p>
    <w:p w14:paraId="5B60DB66" w14:textId="77777777" w:rsidR="007F1C25" w:rsidRPr="007F1C25" w:rsidRDefault="007F1C25" w:rsidP="00716219">
      <w:pPr>
        <w:spacing w:line="360" w:lineRule="auto"/>
        <w:jc w:val="both"/>
        <w:rPr>
          <w:rFonts w:ascii="Book Antiqua" w:hAnsi="Book Antiqua"/>
          <w:lang w:val="en-IE"/>
        </w:rPr>
      </w:pPr>
    </w:p>
    <w:p w14:paraId="749D36D3" w14:textId="196F61F7" w:rsidR="007F1C25" w:rsidRPr="007F1C25" w:rsidRDefault="00A41C96" w:rsidP="00716219">
      <w:pPr>
        <w:spacing w:line="360" w:lineRule="auto"/>
        <w:jc w:val="both"/>
        <w:rPr>
          <w:rFonts w:ascii="Book Antiqua" w:hAnsi="Book Antiqua"/>
          <w:lang w:val="en-IE"/>
        </w:rPr>
      </w:pPr>
      <w:r>
        <w:rPr>
          <w:rFonts w:ascii="Book Antiqua" w:hAnsi="Book Antiqua"/>
          <w:lang w:val="en-IE"/>
        </w:rPr>
        <w:t>T</w:t>
      </w:r>
      <w:r w:rsidR="007F1C25" w:rsidRPr="007F1C25">
        <w:rPr>
          <w:rFonts w:ascii="Book Antiqua" w:hAnsi="Book Antiqua"/>
          <w:lang w:val="en-IE"/>
        </w:rPr>
        <w:t xml:space="preserve">his </w:t>
      </w:r>
      <w:r>
        <w:rPr>
          <w:rFonts w:ascii="Book Antiqua" w:hAnsi="Book Antiqua"/>
          <w:lang w:val="en-IE"/>
        </w:rPr>
        <w:t xml:space="preserve">great reluctance to publish the AG’s advice </w:t>
      </w:r>
      <w:r w:rsidR="007F1C25" w:rsidRPr="007F1C25">
        <w:rPr>
          <w:rFonts w:ascii="Book Antiqua" w:hAnsi="Book Antiqua"/>
          <w:lang w:val="en-IE"/>
        </w:rPr>
        <w:t>fits with a general inclination for government in Ireland to be “cagey and secretive”.</w:t>
      </w:r>
      <w:r w:rsidR="007F1C25" w:rsidRPr="007F1C25">
        <w:rPr>
          <w:rStyle w:val="FootnoteReference"/>
          <w:rFonts w:ascii="Book Antiqua" w:hAnsi="Book Antiqua"/>
          <w:lang w:val="en-IE"/>
        </w:rPr>
        <w:footnoteReference w:id="96"/>
      </w:r>
      <w:r>
        <w:rPr>
          <w:rFonts w:ascii="Book Antiqua" w:hAnsi="Book Antiqua"/>
          <w:lang w:val="en-IE"/>
        </w:rPr>
        <w:t xml:space="preserve"> </w:t>
      </w:r>
      <w:r w:rsidR="007F1C25" w:rsidRPr="007F1C25">
        <w:rPr>
          <w:rFonts w:ascii="Book Antiqua" w:hAnsi="Book Antiqua"/>
          <w:lang w:val="en-IE"/>
        </w:rPr>
        <w:t xml:space="preserve">This secrecy has several effects, </w:t>
      </w:r>
      <w:r w:rsidR="005E183A">
        <w:rPr>
          <w:rFonts w:ascii="Book Antiqua" w:hAnsi="Book Antiqua"/>
          <w:lang w:val="en-IE"/>
        </w:rPr>
        <w:t xml:space="preserve">perhaps the most significant of which is that </w:t>
      </w:r>
      <w:r w:rsidR="007F1C25" w:rsidRPr="007F1C25">
        <w:rPr>
          <w:rFonts w:ascii="Book Antiqua" w:hAnsi="Book Antiqua"/>
          <w:lang w:val="en-IE"/>
        </w:rPr>
        <w:t xml:space="preserve">that parliamentarians and the public cannot assess </w:t>
      </w:r>
      <w:r>
        <w:rPr>
          <w:rFonts w:ascii="Book Antiqua" w:hAnsi="Book Antiqua"/>
          <w:lang w:val="en-IE"/>
        </w:rPr>
        <w:t xml:space="preserve">the </w:t>
      </w:r>
      <w:r w:rsidR="007F1C25" w:rsidRPr="007F1C25">
        <w:rPr>
          <w:rFonts w:ascii="Book Antiqua" w:hAnsi="Book Antiqua"/>
          <w:lang w:val="en-IE"/>
        </w:rPr>
        <w:t>quality of AG’s advice or the sincerity of government’s stated reliance on it</w:t>
      </w:r>
      <w:r w:rsidR="005E183A">
        <w:rPr>
          <w:rFonts w:ascii="Book Antiqua" w:hAnsi="Book Antiqua"/>
          <w:lang w:val="en-IE"/>
        </w:rPr>
        <w:t>, or form their own views based on it</w:t>
      </w:r>
      <w:r w:rsidR="007F1C25" w:rsidRPr="007F1C25">
        <w:rPr>
          <w:rFonts w:ascii="Book Antiqua" w:hAnsi="Book Antiqua"/>
          <w:lang w:val="en-IE"/>
        </w:rPr>
        <w:t xml:space="preserve">. </w:t>
      </w:r>
    </w:p>
    <w:p w14:paraId="3009B6A5" w14:textId="77777777" w:rsidR="005A0444" w:rsidRPr="007F1C25" w:rsidRDefault="005A0444" w:rsidP="00716219">
      <w:pPr>
        <w:spacing w:line="360" w:lineRule="auto"/>
        <w:jc w:val="both"/>
        <w:rPr>
          <w:rFonts w:ascii="Book Antiqua" w:hAnsi="Book Antiqua"/>
          <w:lang w:val="en-IE"/>
        </w:rPr>
      </w:pPr>
    </w:p>
    <w:p w14:paraId="01A7D807" w14:textId="3A0E5F69" w:rsidR="007F1C25" w:rsidRPr="007F1C25" w:rsidRDefault="007F1C25" w:rsidP="00716219">
      <w:pPr>
        <w:spacing w:line="360" w:lineRule="auto"/>
        <w:jc w:val="both"/>
        <w:rPr>
          <w:rFonts w:ascii="Book Antiqua" w:hAnsi="Book Antiqua"/>
          <w:lang w:val="en-IE"/>
        </w:rPr>
      </w:pPr>
      <w:r w:rsidRPr="007F1C25">
        <w:rPr>
          <w:rFonts w:ascii="Book Antiqua" w:hAnsi="Book Antiqua"/>
          <w:lang w:val="en-IE"/>
        </w:rPr>
        <w:t xml:space="preserve">The Attorney General has long been held to act independently of government. But scepticism </w:t>
      </w:r>
      <w:r w:rsidR="00945C76">
        <w:rPr>
          <w:rFonts w:ascii="Book Antiqua" w:hAnsi="Book Antiqua"/>
          <w:lang w:val="en-IE"/>
        </w:rPr>
        <w:t xml:space="preserve">is often expressed </w:t>
      </w:r>
      <w:r w:rsidRPr="007F1C25">
        <w:rPr>
          <w:rFonts w:ascii="Book Antiqua" w:hAnsi="Book Antiqua"/>
          <w:lang w:val="en-IE"/>
        </w:rPr>
        <w:t>about the true independence of the office. One Supre</w:t>
      </w:r>
      <w:r w:rsidR="00BC22F8">
        <w:rPr>
          <w:rFonts w:ascii="Book Antiqua" w:hAnsi="Book Antiqua"/>
          <w:lang w:val="en-IE"/>
        </w:rPr>
        <w:t xml:space="preserve">me Court judge </w:t>
      </w:r>
      <w:r w:rsidRPr="007F1C25">
        <w:rPr>
          <w:rFonts w:ascii="Book Antiqua" w:hAnsi="Book Antiqua"/>
          <w:lang w:val="en-IE"/>
        </w:rPr>
        <w:t>noted that the manner in which the AG is appointed and terminated suggested that “he must be presumed to be acting with at least the tacit consent of the Government”.</w:t>
      </w:r>
      <w:r w:rsidRPr="007F1C25">
        <w:rPr>
          <w:rStyle w:val="FootnoteReference"/>
          <w:rFonts w:ascii="Book Antiqua" w:hAnsi="Book Antiqua"/>
          <w:lang w:val="en-IE"/>
        </w:rPr>
        <w:footnoteReference w:id="97"/>
      </w:r>
      <w:r w:rsidRPr="007F1C25">
        <w:rPr>
          <w:rFonts w:ascii="Book Antiqua" w:hAnsi="Book Antiqua"/>
          <w:lang w:val="en-IE"/>
        </w:rPr>
        <w:t xml:space="preserve"> Bradl</w:t>
      </w:r>
      <w:r w:rsidR="00E16C41">
        <w:rPr>
          <w:rFonts w:ascii="Book Antiqua" w:hAnsi="Book Antiqua"/>
          <w:lang w:val="en-IE"/>
        </w:rPr>
        <w:t>e</w:t>
      </w:r>
      <w:r w:rsidRPr="007F1C25">
        <w:rPr>
          <w:rFonts w:ascii="Book Antiqua" w:hAnsi="Book Antiqua"/>
          <w:lang w:val="en-IE"/>
        </w:rPr>
        <w:t xml:space="preserve">y called the </w:t>
      </w:r>
      <w:r w:rsidR="00CE113B">
        <w:rPr>
          <w:rFonts w:ascii="Book Antiqua" w:hAnsi="Book Antiqua"/>
          <w:lang w:val="en-IE"/>
        </w:rPr>
        <w:t>AG</w:t>
      </w:r>
      <w:r w:rsidR="00CE113B" w:rsidRPr="007F1C25">
        <w:rPr>
          <w:rFonts w:ascii="Book Antiqua" w:hAnsi="Book Antiqua"/>
          <w:lang w:val="en-IE"/>
        </w:rPr>
        <w:t xml:space="preserve"> </w:t>
      </w:r>
      <w:r w:rsidRPr="007F1C25">
        <w:rPr>
          <w:rFonts w:ascii="Book Antiqua" w:hAnsi="Book Antiqua"/>
          <w:lang w:val="en-IE"/>
        </w:rPr>
        <w:t>is a “political creature” because to “distinguish the political from the legal in this context is almost impossible”.</w:t>
      </w:r>
      <w:r w:rsidRPr="007F1C25">
        <w:rPr>
          <w:rStyle w:val="FootnoteReference"/>
          <w:rFonts w:ascii="Book Antiqua" w:hAnsi="Book Antiqua"/>
          <w:lang w:val="en-IE"/>
        </w:rPr>
        <w:footnoteReference w:id="98"/>
      </w:r>
      <w:r w:rsidR="00137438" w:rsidRPr="007F1C25">
        <w:rPr>
          <w:rFonts w:ascii="Book Antiqua" w:hAnsi="Book Antiqua"/>
          <w:lang w:val="en-IE"/>
        </w:rPr>
        <w:t xml:space="preserve"> </w:t>
      </w:r>
      <w:r w:rsidR="009D57AC" w:rsidRPr="007F1C25">
        <w:rPr>
          <w:rFonts w:ascii="Book Antiqua" w:hAnsi="Book Antiqua"/>
          <w:lang w:val="en-IE"/>
        </w:rPr>
        <w:t xml:space="preserve">Some acknowledge and defend the reality that the Attorney General must be a creature of politics to some degree, because the </w:t>
      </w:r>
      <w:r w:rsidR="009D57AC">
        <w:rPr>
          <w:rFonts w:ascii="Book Antiqua" w:hAnsi="Book Antiqua"/>
          <w:lang w:val="en-IE"/>
        </w:rPr>
        <w:t>AG</w:t>
      </w:r>
      <w:r w:rsidR="009D57AC" w:rsidRPr="007F1C25">
        <w:rPr>
          <w:rFonts w:ascii="Book Antiqua" w:hAnsi="Book Antiqua"/>
          <w:lang w:val="en-IE"/>
        </w:rPr>
        <w:t xml:space="preserve"> and government must have a close working relationship and </w:t>
      </w:r>
      <w:r w:rsidR="009D57AC" w:rsidRPr="007F1C25">
        <w:rPr>
          <w:rFonts w:ascii="Book Antiqua" w:hAnsi="Book Antiqua"/>
          <w:lang w:val="en-IE"/>
        </w:rPr>
        <w:lastRenderedPageBreak/>
        <w:t>have some similar outlook to government.</w:t>
      </w:r>
      <w:r w:rsidR="009D57AC" w:rsidRPr="007F1C25">
        <w:rPr>
          <w:rStyle w:val="FootnoteReference"/>
          <w:rFonts w:ascii="Book Antiqua" w:hAnsi="Book Antiqua"/>
          <w:lang w:val="en-IE"/>
        </w:rPr>
        <w:footnoteReference w:id="99"/>
      </w:r>
      <w:r w:rsidR="009D57AC">
        <w:rPr>
          <w:rFonts w:ascii="Book Antiqua" w:hAnsi="Book Antiqua"/>
          <w:lang w:val="en-IE"/>
        </w:rPr>
        <w:t xml:space="preserve"> But </w:t>
      </w:r>
      <w:r w:rsidR="00137438">
        <w:rPr>
          <w:rFonts w:ascii="Book Antiqua" w:hAnsi="Book Antiqua"/>
          <w:lang w:val="en-IE"/>
        </w:rPr>
        <w:t>t</w:t>
      </w:r>
      <w:r w:rsidR="002B1398">
        <w:rPr>
          <w:rFonts w:ascii="Book Antiqua" w:hAnsi="Book Antiqua"/>
          <w:lang w:val="en-IE"/>
        </w:rPr>
        <w:t>his raises the concern that t</w:t>
      </w:r>
      <w:r w:rsidRPr="007F1C25">
        <w:rPr>
          <w:rFonts w:ascii="Book Antiqua" w:hAnsi="Book Antiqua"/>
          <w:lang w:val="en-IE"/>
        </w:rPr>
        <w:t xml:space="preserve">he </w:t>
      </w:r>
      <w:r w:rsidR="00CE113B">
        <w:rPr>
          <w:rFonts w:ascii="Book Antiqua" w:hAnsi="Book Antiqua"/>
          <w:lang w:val="en-IE"/>
        </w:rPr>
        <w:t>AG</w:t>
      </w:r>
      <w:r w:rsidR="00CE113B" w:rsidRPr="007F1C25">
        <w:rPr>
          <w:rFonts w:ascii="Book Antiqua" w:hAnsi="Book Antiqua"/>
          <w:lang w:val="en-IE"/>
        </w:rPr>
        <w:t xml:space="preserve">’s </w:t>
      </w:r>
      <w:r w:rsidRPr="007F1C25">
        <w:rPr>
          <w:rFonts w:ascii="Book Antiqua" w:hAnsi="Book Antiqua"/>
          <w:lang w:val="en-IE"/>
        </w:rPr>
        <w:t>advice coul</w:t>
      </w:r>
      <w:r w:rsidR="009D57AC">
        <w:rPr>
          <w:rFonts w:ascii="Book Antiqua" w:hAnsi="Book Antiqua"/>
          <w:lang w:val="en-IE"/>
        </w:rPr>
        <w:t xml:space="preserve">d be in some sense partisan, or </w:t>
      </w:r>
      <w:r w:rsidRPr="007F1C25">
        <w:rPr>
          <w:rFonts w:ascii="Book Antiqua" w:hAnsi="Book Antiqua"/>
          <w:lang w:val="en-IE"/>
        </w:rPr>
        <w:t>could be portrayed by the government in a manner most politically convenient to it</w:t>
      </w:r>
      <w:r w:rsidR="00E63358">
        <w:rPr>
          <w:rFonts w:ascii="Book Antiqua" w:hAnsi="Book Antiqua"/>
          <w:lang w:val="en-IE"/>
        </w:rPr>
        <w:t>,</w:t>
      </w:r>
      <w:r w:rsidR="002B1398">
        <w:rPr>
          <w:rFonts w:ascii="Book Antiqua" w:hAnsi="Book Antiqua"/>
          <w:lang w:val="en-IE"/>
        </w:rPr>
        <w:t xml:space="preserve"> with the AG’s acquiescence</w:t>
      </w:r>
      <w:r w:rsidRPr="007F1C25">
        <w:rPr>
          <w:rFonts w:ascii="Book Antiqua" w:hAnsi="Book Antiqua"/>
          <w:lang w:val="en-IE"/>
        </w:rPr>
        <w:t>.</w:t>
      </w:r>
      <w:r w:rsidRPr="007F1C25">
        <w:rPr>
          <w:rStyle w:val="FootnoteReference"/>
          <w:rFonts w:ascii="Book Antiqua" w:hAnsi="Book Antiqua"/>
          <w:lang w:val="en-IE"/>
        </w:rPr>
        <w:footnoteReference w:id="100"/>
      </w:r>
    </w:p>
    <w:p w14:paraId="2D3C563C" w14:textId="77777777" w:rsidR="005B42A3" w:rsidRPr="007F1C25" w:rsidRDefault="005B42A3" w:rsidP="00716219">
      <w:pPr>
        <w:spacing w:line="360" w:lineRule="auto"/>
        <w:jc w:val="both"/>
        <w:rPr>
          <w:rFonts w:ascii="Book Antiqua" w:hAnsi="Book Antiqua"/>
          <w:lang w:val="en-IE"/>
        </w:rPr>
      </w:pPr>
    </w:p>
    <w:p w14:paraId="03612600" w14:textId="43947EF0" w:rsidR="00173680" w:rsidRDefault="007F1C25" w:rsidP="00716219">
      <w:pPr>
        <w:spacing w:line="360" w:lineRule="auto"/>
        <w:jc w:val="both"/>
        <w:rPr>
          <w:rFonts w:ascii="Book Antiqua" w:hAnsi="Book Antiqua"/>
          <w:lang w:val="en-IE"/>
        </w:rPr>
      </w:pPr>
      <w:r w:rsidRPr="007F1C25">
        <w:rPr>
          <w:rFonts w:ascii="Book Antiqua" w:hAnsi="Book Antiqua"/>
          <w:lang w:val="en-IE"/>
        </w:rPr>
        <w:t>Governments have long relied on the advice of the Attorney General to justify something done or not done</w:t>
      </w:r>
      <w:r w:rsidR="00173680">
        <w:rPr>
          <w:rFonts w:ascii="Book Antiqua" w:hAnsi="Book Antiqua"/>
          <w:lang w:val="en-IE"/>
        </w:rPr>
        <w:t>.</w:t>
      </w:r>
      <w:r w:rsidRPr="007F1C25">
        <w:rPr>
          <w:rFonts w:ascii="Book Antiqua" w:hAnsi="Book Antiqua"/>
          <w:lang w:val="en-IE"/>
        </w:rPr>
        <w:t xml:space="preserve"> </w:t>
      </w:r>
      <w:r w:rsidR="00173680">
        <w:rPr>
          <w:rFonts w:ascii="Book Antiqua" w:hAnsi="Book Antiqua"/>
          <w:lang w:val="en-IE"/>
        </w:rPr>
        <w:t>I</w:t>
      </w:r>
      <w:r w:rsidRPr="007F1C25">
        <w:rPr>
          <w:rFonts w:ascii="Book Antiqua" w:hAnsi="Book Antiqua"/>
          <w:lang w:val="en-IE"/>
        </w:rPr>
        <w:t xml:space="preserve">n recent years this seems to have become more frequent and more </w:t>
      </w:r>
      <w:r w:rsidR="00173680">
        <w:rPr>
          <w:rFonts w:ascii="Book Antiqua" w:hAnsi="Book Antiqua"/>
          <w:lang w:val="en-IE"/>
        </w:rPr>
        <w:t xml:space="preserve">prominent, and </w:t>
      </w:r>
      <w:r w:rsidRPr="007F1C25">
        <w:rPr>
          <w:rFonts w:ascii="Book Antiqua" w:hAnsi="Book Antiqua"/>
          <w:lang w:val="en-IE"/>
        </w:rPr>
        <w:t xml:space="preserve">the government </w:t>
      </w:r>
      <w:r w:rsidR="00173680">
        <w:rPr>
          <w:rFonts w:ascii="Book Antiqua" w:hAnsi="Book Antiqua"/>
          <w:lang w:val="en-IE"/>
        </w:rPr>
        <w:t xml:space="preserve">has </w:t>
      </w:r>
      <w:r w:rsidR="00363E1A">
        <w:rPr>
          <w:rFonts w:ascii="Book Antiqua" w:hAnsi="Book Antiqua"/>
          <w:lang w:val="en-IE"/>
        </w:rPr>
        <w:t xml:space="preserve">generally </w:t>
      </w:r>
      <w:r w:rsidRPr="007F1C25">
        <w:rPr>
          <w:rFonts w:ascii="Book Antiqua" w:hAnsi="Book Antiqua"/>
          <w:lang w:val="en-IE"/>
        </w:rPr>
        <w:t>refused to publish the advice</w:t>
      </w:r>
      <w:r w:rsidR="00173680">
        <w:rPr>
          <w:rFonts w:ascii="Book Antiqua" w:hAnsi="Book Antiqua"/>
          <w:lang w:val="en-IE"/>
        </w:rPr>
        <w:t>.</w:t>
      </w:r>
      <w:r w:rsidR="001856D8">
        <w:rPr>
          <w:rFonts w:ascii="Book Antiqua" w:hAnsi="Book Antiqua"/>
          <w:lang w:val="en-IE"/>
        </w:rPr>
        <w:t xml:space="preserve"> </w:t>
      </w:r>
      <w:r w:rsidR="00E811BF">
        <w:rPr>
          <w:rFonts w:ascii="Book Antiqua" w:hAnsi="Book Antiqua"/>
          <w:lang w:val="en-IE"/>
        </w:rPr>
        <w:t xml:space="preserve">Three </w:t>
      </w:r>
      <w:r w:rsidR="001856D8">
        <w:rPr>
          <w:rFonts w:ascii="Book Antiqua" w:hAnsi="Book Antiqua"/>
          <w:lang w:val="en-IE"/>
        </w:rPr>
        <w:t>high-profile examples merit discussion</w:t>
      </w:r>
      <w:r w:rsidR="00E811BF">
        <w:rPr>
          <w:rFonts w:ascii="Book Antiqua" w:hAnsi="Book Antiqua"/>
          <w:lang w:val="en-IE"/>
        </w:rPr>
        <w:t>: same-sex marriage, property rights, and abortion.</w:t>
      </w:r>
      <w:r w:rsidR="001856D8">
        <w:rPr>
          <w:rFonts w:ascii="Book Antiqua" w:hAnsi="Book Antiqua"/>
          <w:lang w:val="en-IE"/>
        </w:rPr>
        <w:t xml:space="preserve"> </w:t>
      </w:r>
    </w:p>
    <w:p w14:paraId="1BCEFD39" w14:textId="77777777" w:rsidR="00173680" w:rsidRDefault="00173680" w:rsidP="00716219">
      <w:pPr>
        <w:spacing w:line="360" w:lineRule="auto"/>
        <w:jc w:val="both"/>
        <w:rPr>
          <w:rFonts w:ascii="Book Antiqua" w:hAnsi="Book Antiqua"/>
          <w:lang w:val="en-IE"/>
        </w:rPr>
      </w:pPr>
    </w:p>
    <w:p w14:paraId="79B2F6FB" w14:textId="543AA76F" w:rsidR="004503E1" w:rsidRPr="004503E1" w:rsidRDefault="0008318C" w:rsidP="00716219">
      <w:pPr>
        <w:spacing w:line="360" w:lineRule="auto"/>
        <w:jc w:val="both"/>
        <w:rPr>
          <w:rFonts w:ascii="Book Antiqua" w:hAnsi="Book Antiqua"/>
          <w:lang w:val="en-IE"/>
        </w:rPr>
      </w:pPr>
      <w:r>
        <w:rPr>
          <w:rFonts w:ascii="Book Antiqua" w:hAnsi="Book Antiqua"/>
        </w:rPr>
        <w:t xml:space="preserve">In 2006 the issue of </w:t>
      </w:r>
      <w:r w:rsidR="00F50FA9">
        <w:rPr>
          <w:rFonts w:ascii="Book Antiqua" w:hAnsi="Book Antiqua"/>
        </w:rPr>
        <w:t xml:space="preserve">same-sex </w:t>
      </w:r>
      <w:r>
        <w:rPr>
          <w:rFonts w:ascii="Book Antiqua" w:hAnsi="Book Antiqua"/>
        </w:rPr>
        <w:t>marriage was gaining traction</w:t>
      </w:r>
      <w:r w:rsidR="00C160C8">
        <w:rPr>
          <w:rFonts w:ascii="Book Antiqua" w:hAnsi="Book Antiqua"/>
        </w:rPr>
        <w:t>.</w:t>
      </w:r>
      <w:r>
        <w:rPr>
          <w:rFonts w:ascii="Book Antiqua" w:hAnsi="Book Antiqua"/>
        </w:rPr>
        <w:t xml:space="preserve"> In response to calls for legislative reform</w:t>
      </w:r>
      <w:r w:rsidR="00C160C8">
        <w:rPr>
          <w:rFonts w:ascii="Book Antiqua" w:hAnsi="Book Antiqua"/>
        </w:rPr>
        <w:t>,</w:t>
      </w:r>
      <w:r>
        <w:rPr>
          <w:rFonts w:ascii="Book Antiqua" w:hAnsi="Book Antiqua"/>
        </w:rPr>
        <w:t xml:space="preserve"> t</w:t>
      </w:r>
      <w:r w:rsidR="004503E1" w:rsidRPr="005C33A4">
        <w:rPr>
          <w:rFonts w:ascii="Book Antiqua" w:eastAsia="Times New Roman" w:hAnsi="Book Antiqua"/>
        </w:rPr>
        <w:t xml:space="preserve">he Minister for Justice </w:t>
      </w:r>
      <w:r w:rsidR="00C160C8">
        <w:rPr>
          <w:rFonts w:ascii="Book Antiqua" w:eastAsia="Times New Roman" w:hAnsi="Book Antiqua"/>
        </w:rPr>
        <w:t>said</w:t>
      </w:r>
      <w:r w:rsidR="004503E1" w:rsidRPr="005C33A4">
        <w:rPr>
          <w:rFonts w:ascii="Book Antiqua" w:eastAsia="Times New Roman" w:hAnsi="Book Antiqua"/>
        </w:rPr>
        <w:t xml:space="preserve"> that the government could not legislate for same-sex </w:t>
      </w:r>
      <w:r w:rsidR="00C160C8" w:rsidRPr="005C33A4">
        <w:rPr>
          <w:rFonts w:ascii="Book Antiqua" w:eastAsia="Times New Roman" w:hAnsi="Book Antiqua"/>
        </w:rPr>
        <w:t xml:space="preserve">marriage </w:t>
      </w:r>
      <w:r w:rsidR="004503E1" w:rsidRPr="005C33A4">
        <w:rPr>
          <w:rFonts w:ascii="Book Antiqua" w:eastAsia="Times New Roman" w:hAnsi="Book Antiqua"/>
        </w:rPr>
        <w:t xml:space="preserve">as advice </w:t>
      </w:r>
      <w:r w:rsidR="00C160C8">
        <w:rPr>
          <w:rFonts w:ascii="Book Antiqua" w:eastAsia="Times New Roman" w:hAnsi="Book Antiqua"/>
        </w:rPr>
        <w:t xml:space="preserve">of </w:t>
      </w:r>
      <w:r w:rsidR="004503E1" w:rsidRPr="005C33A4">
        <w:rPr>
          <w:rFonts w:ascii="Book Antiqua" w:eastAsia="Times New Roman" w:hAnsi="Book Antiqua"/>
        </w:rPr>
        <w:t xml:space="preserve">the </w:t>
      </w:r>
      <w:r w:rsidR="00FC053A">
        <w:rPr>
          <w:rFonts w:ascii="Book Antiqua" w:eastAsia="Times New Roman" w:hAnsi="Book Antiqua"/>
        </w:rPr>
        <w:t xml:space="preserve">AG </w:t>
      </w:r>
      <w:r w:rsidR="004503E1" w:rsidRPr="005C33A4">
        <w:rPr>
          <w:rFonts w:ascii="Book Antiqua" w:eastAsia="Times New Roman" w:hAnsi="Book Antiqua"/>
        </w:rPr>
        <w:t>was that any such legislation would be unconstitutional</w:t>
      </w:r>
      <w:r w:rsidR="00C160C8">
        <w:rPr>
          <w:rFonts w:ascii="Book Antiqua" w:eastAsia="Times New Roman" w:hAnsi="Book Antiqua"/>
        </w:rPr>
        <w:t xml:space="preserve"> and a</w:t>
      </w:r>
      <w:r w:rsidR="004503E1" w:rsidRPr="005C33A4">
        <w:rPr>
          <w:rFonts w:ascii="Book Antiqua" w:eastAsia="Times New Roman" w:hAnsi="Book Antiqua"/>
        </w:rPr>
        <w:t xml:space="preserve"> constitutional referendum would be required.</w:t>
      </w:r>
      <w:r w:rsidR="004503E1" w:rsidRPr="005C33A4">
        <w:rPr>
          <w:rStyle w:val="FootnoteReference"/>
          <w:rFonts w:ascii="Book Antiqua" w:eastAsia="Times New Roman" w:hAnsi="Book Antiqua"/>
        </w:rPr>
        <w:footnoteReference w:id="101"/>
      </w:r>
      <w:r w:rsidR="00D431A8" w:rsidRPr="005C33A4">
        <w:rPr>
          <w:rFonts w:ascii="Book Antiqua" w:eastAsia="Times New Roman" w:hAnsi="Book Antiqua"/>
        </w:rPr>
        <w:t xml:space="preserve"> </w:t>
      </w:r>
      <w:r w:rsidR="001000A3">
        <w:rPr>
          <w:rFonts w:ascii="Book Antiqua" w:eastAsia="Times New Roman" w:hAnsi="Book Antiqua"/>
        </w:rPr>
        <w:t xml:space="preserve">This position was challenged </w:t>
      </w:r>
      <w:r w:rsidR="001856D8">
        <w:rPr>
          <w:rFonts w:ascii="Book Antiqua" w:eastAsia="Times New Roman" w:hAnsi="Book Antiqua"/>
        </w:rPr>
        <w:t>by some</w:t>
      </w:r>
      <w:r w:rsidR="001000A3">
        <w:rPr>
          <w:rFonts w:ascii="Book Antiqua" w:eastAsia="Times New Roman" w:hAnsi="Book Antiqua"/>
        </w:rPr>
        <w:t xml:space="preserve"> commentators</w:t>
      </w:r>
      <w:r w:rsidR="001856D8">
        <w:rPr>
          <w:rFonts w:ascii="Book Antiqua" w:eastAsia="Times New Roman" w:hAnsi="Book Antiqua"/>
        </w:rPr>
        <w:t xml:space="preserve"> arguing</w:t>
      </w:r>
      <w:r w:rsidR="001000A3">
        <w:rPr>
          <w:rFonts w:ascii="Book Antiqua" w:eastAsia="Times New Roman" w:hAnsi="Book Antiqua"/>
        </w:rPr>
        <w:t xml:space="preserve"> that there was nothing in the constitution </w:t>
      </w:r>
      <w:r>
        <w:rPr>
          <w:rFonts w:ascii="Book Antiqua" w:eastAsia="Times New Roman" w:hAnsi="Book Antiqua"/>
        </w:rPr>
        <w:t>precluding</w:t>
      </w:r>
      <w:r w:rsidR="001000A3">
        <w:rPr>
          <w:rFonts w:ascii="Book Antiqua" w:eastAsia="Times New Roman" w:hAnsi="Book Antiqua"/>
        </w:rPr>
        <w:t xml:space="preserve"> parliament from introducing same-sex marriage through legislation.</w:t>
      </w:r>
      <w:r w:rsidR="00057A4E">
        <w:rPr>
          <w:rStyle w:val="FootnoteReference"/>
          <w:rFonts w:ascii="Book Antiqua" w:eastAsia="Times New Roman" w:hAnsi="Book Antiqua"/>
        </w:rPr>
        <w:footnoteReference w:id="102"/>
      </w:r>
      <w:r w:rsidR="001000A3">
        <w:rPr>
          <w:rFonts w:ascii="Book Antiqua" w:eastAsia="Times New Roman" w:hAnsi="Book Antiqua"/>
        </w:rPr>
        <w:t xml:space="preserve"> Despite the contestability of the government’s </w:t>
      </w:r>
      <w:r>
        <w:rPr>
          <w:rFonts w:ascii="Book Antiqua" w:eastAsia="Times New Roman" w:hAnsi="Book Antiqua"/>
        </w:rPr>
        <w:t>position</w:t>
      </w:r>
      <w:r w:rsidR="001000A3">
        <w:rPr>
          <w:rFonts w:ascii="Book Antiqua" w:eastAsia="Times New Roman" w:hAnsi="Book Antiqua"/>
        </w:rPr>
        <w:t>, t</w:t>
      </w:r>
      <w:r w:rsidR="001000A3" w:rsidRPr="005C33A4">
        <w:rPr>
          <w:rFonts w:ascii="Book Antiqua" w:eastAsia="Times New Roman" w:hAnsi="Book Antiqua"/>
        </w:rPr>
        <w:t>he</w:t>
      </w:r>
      <w:r w:rsidR="00C36595">
        <w:rPr>
          <w:rFonts w:ascii="Book Antiqua" w:eastAsia="Times New Roman" w:hAnsi="Book Antiqua"/>
        </w:rPr>
        <w:t xml:space="preserve"> government stood behind its undisclosed legal advice and maintained its definitive position that constitutional change was necessary</w:t>
      </w:r>
      <w:r w:rsidR="001000A3">
        <w:rPr>
          <w:rFonts w:ascii="Book Antiqua" w:eastAsia="Times New Roman" w:hAnsi="Book Antiqua"/>
        </w:rPr>
        <w:t>.</w:t>
      </w:r>
    </w:p>
    <w:p w14:paraId="30642DC3" w14:textId="77777777" w:rsidR="007F1C25" w:rsidRPr="004503E1" w:rsidRDefault="007F1C25" w:rsidP="00716219">
      <w:pPr>
        <w:spacing w:line="360" w:lineRule="auto"/>
        <w:jc w:val="both"/>
        <w:rPr>
          <w:rFonts w:ascii="Book Antiqua" w:hAnsi="Book Antiqua"/>
          <w:lang w:val="en-IE"/>
        </w:rPr>
      </w:pPr>
    </w:p>
    <w:p w14:paraId="0E3C6E88" w14:textId="60B9E44A" w:rsidR="007F1C25" w:rsidRPr="007F1C25" w:rsidRDefault="007F1C25" w:rsidP="00716219">
      <w:pPr>
        <w:spacing w:line="360" w:lineRule="auto"/>
        <w:jc w:val="both"/>
        <w:rPr>
          <w:rFonts w:ascii="Book Antiqua" w:hAnsi="Book Antiqua"/>
          <w:lang w:val="en-IE"/>
        </w:rPr>
      </w:pPr>
      <w:r w:rsidRPr="007F1C25">
        <w:rPr>
          <w:rFonts w:ascii="Book Antiqua" w:hAnsi="Book Antiqua"/>
          <w:lang w:val="en-IE"/>
        </w:rPr>
        <w:t xml:space="preserve">The government that </w:t>
      </w:r>
      <w:r w:rsidR="007F41E1">
        <w:rPr>
          <w:rFonts w:ascii="Book Antiqua" w:hAnsi="Book Antiqua"/>
          <w:lang w:val="en-IE"/>
        </w:rPr>
        <w:t>held office</w:t>
      </w:r>
      <w:r w:rsidR="007F41E1" w:rsidRPr="007F1C25">
        <w:rPr>
          <w:rFonts w:ascii="Book Antiqua" w:hAnsi="Book Antiqua"/>
          <w:lang w:val="en-IE"/>
        </w:rPr>
        <w:t xml:space="preserve"> </w:t>
      </w:r>
      <w:r w:rsidRPr="007F1C25">
        <w:rPr>
          <w:rFonts w:ascii="Book Antiqua" w:hAnsi="Book Antiqua"/>
          <w:lang w:val="en-IE"/>
        </w:rPr>
        <w:t xml:space="preserve">from 2011-2016 declined to pursue </w:t>
      </w:r>
      <w:r w:rsidR="00173680">
        <w:rPr>
          <w:rFonts w:ascii="Book Antiqua" w:hAnsi="Book Antiqua"/>
          <w:lang w:val="en-IE"/>
        </w:rPr>
        <w:t>several</w:t>
      </w:r>
      <w:r w:rsidR="00173680" w:rsidRPr="007F1C25">
        <w:rPr>
          <w:rFonts w:ascii="Book Antiqua" w:hAnsi="Book Antiqua"/>
          <w:lang w:val="en-IE"/>
        </w:rPr>
        <w:t xml:space="preserve"> </w:t>
      </w:r>
      <w:r w:rsidRPr="007F1C25">
        <w:rPr>
          <w:rFonts w:ascii="Book Antiqua" w:hAnsi="Book Antiqua"/>
          <w:lang w:val="en-IE"/>
        </w:rPr>
        <w:t xml:space="preserve">policies </w:t>
      </w:r>
      <w:r w:rsidR="00173680">
        <w:rPr>
          <w:rFonts w:ascii="Book Antiqua" w:hAnsi="Book Antiqua"/>
          <w:lang w:val="en-IE"/>
        </w:rPr>
        <w:t>it</w:t>
      </w:r>
      <w:r w:rsidR="00173680" w:rsidRPr="007F1C25">
        <w:rPr>
          <w:rFonts w:ascii="Book Antiqua" w:hAnsi="Book Antiqua"/>
          <w:lang w:val="en-IE"/>
        </w:rPr>
        <w:t xml:space="preserve"> </w:t>
      </w:r>
      <w:r w:rsidR="008512D4">
        <w:rPr>
          <w:rFonts w:ascii="Book Antiqua" w:hAnsi="Book Antiqua"/>
          <w:lang w:val="en-IE"/>
        </w:rPr>
        <w:t xml:space="preserve">apparently strongly </w:t>
      </w:r>
      <w:r w:rsidRPr="007F1C25">
        <w:rPr>
          <w:rFonts w:ascii="Book Antiqua" w:hAnsi="Book Antiqua"/>
          <w:lang w:val="en-IE"/>
        </w:rPr>
        <w:t xml:space="preserve">wished to pursue on the basis that </w:t>
      </w:r>
      <w:r w:rsidR="00173680">
        <w:rPr>
          <w:rFonts w:ascii="Book Antiqua" w:hAnsi="Book Antiqua"/>
          <w:lang w:val="en-IE"/>
        </w:rPr>
        <w:t>it</w:t>
      </w:r>
      <w:r w:rsidR="00173680" w:rsidRPr="007F1C25">
        <w:rPr>
          <w:rFonts w:ascii="Book Antiqua" w:hAnsi="Book Antiqua"/>
          <w:lang w:val="en-IE"/>
        </w:rPr>
        <w:t xml:space="preserve"> </w:t>
      </w:r>
      <w:r w:rsidRPr="007F1C25">
        <w:rPr>
          <w:rFonts w:ascii="Book Antiqua" w:hAnsi="Book Antiqua"/>
          <w:lang w:val="en-IE"/>
        </w:rPr>
        <w:t xml:space="preserve">had been advised by the AG that the proposed measures violated constitutional property rights. This included nullification of upward only rent reviews in existing </w:t>
      </w:r>
      <w:r w:rsidR="00173680">
        <w:rPr>
          <w:rFonts w:ascii="Book Antiqua" w:hAnsi="Book Antiqua"/>
          <w:lang w:val="en-IE"/>
        </w:rPr>
        <w:t xml:space="preserve">commercial </w:t>
      </w:r>
      <w:r w:rsidRPr="007F1C25">
        <w:rPr>
          <w:rFonts w:ascii="Book Antiqua" w:hAnsi="Book Antiqua"/>
          <w:lang w:val="en-IE"/>
        </w:rPr>
        <w:t>leases</w:t>
      </w:r>
      <w:r w:rsidR="00A70EBC">
        <w:rPr>
          <w:rFonts w:ascii="Book Antiqua" w:hAnsi="Book Antiqua"/>
          <w:lang w:val="en-IE"/>
        </w:rPr>
        <w:t>;</w:t>
      </w:r>
      <w:r w:rsidRPr="007F1C25">
        <w:rPr>
          <w:rStyle w:val="FootnoteReference"/>
          <w:rFonts w:ascii="Book Antiqua" w:hAnsi="Book Antiqua"/>
          <w:lang w:val="en-IE"/>
        </w:rPr>
        <w:footnoteReference w:id="103"/>
      </w:r>
      <w:r w:rsidRPr="007F1C25">
        <w:rPr>
          <w:rFonts w:ascii="Book Antiqua" w:hAnsi="Book Antiqua"/>
          <w:lang w:val="en-IE"/>
        </w:rPr>
        <w:t xml:space="preserve"> allowing the Central Bank to cap mortgage interest rates</w:t>
      </w:r>
      <w:r w:rsidR="00A70EBC">
        <w:rPr>
          <w:rFonts w:ascii="Book Antiqua" w:hAnsi="Book Antiqua"/>
          <w:lang w:val="en-IE"/>
        </w:rPr>
        <w:t>;</w:t>
      </w:r>
      <w:r w:rsidRPr="007F1C25">
        <w:rPr>
          <w:rFonts w:ascii="Book Antiqua" w:hAnsi="Book Antiqua"/>
          <w:lang w:val="en-IE"/>
        </w:rPr>
        <w:t xml:space="preserve"> and a variety of other measures related to the housing and homelessness crisis such as protecting tenants from </w:t>
      </w:r>
      <w:r w:rsidRPr="007F1C25">
        <w:rPr>
          <w:rFonts w:ascii="Book Antiqua" w:hAnsi="Book Antiqua"/>
          <w:lang w:val="en-IE"/>
        </w:rPr>
        <w:lastRenderedPageBreak/>
        <w:t>evictions and regulating “vulture funds” that bou</w:t>
      </w:r>
      <w:r w:rsidR="003A63AE">
        <w:rPr>
          <w:rFonts w:ascii="Book Antiqua" w:hAnsi="Book Antiqua"/>
          <w:lang w:val="en-IE"/>
        </w:rPr>
        <w:t xml:space="preserve">ght property during the crash. One of the relevant </w:t>
      </w:r>
      <w:r w:rsidR="00084342">
        <w:rPr>
          <w:rFonts w:ascii="Book Antiqua" w:hAnsi="Book Antiqua"/>
          <w:lang w:val="en-IE"/>
        </w:rPr>
        <w:t>m</w:t>
      </w:r>
      <w:r w:rsidR="003A63AE">
        <w:rPr>
          <w:rFonts w:ascii="Book Antiqua" w:hAnsi="Book Antiqua"/>
          <w:lang w:val="en-IE"/>
        </w:rPr>
        <w:t xml:space="preserve">inisters </w:t>
      </w:r>
      <w:r w:rsidR="00084342">
        <w:rPr>
          <w:rFonts w:ascii="Book Antiqua" w:hAnsi="Book Antiqua"/>
          <w:lang w:val="en-IE"/>
        </w:rPr>
        <w:t>stated</w:t>
      </w:r>
      <w:r w:rsidRPr="007F1C25">
        <w:rPr>
          <w:rFonts w:ascii="Book Antiqua" w:hAnsi="Book Antiqua"/>
          <w:lang w:val="en-IE"/>
        </w:rPr>
        <w:t>, after the term of the government, that many measures he had wished to pursue to ease an emerging housing crisis were frustrated by constitutional property rights.</w:t>
      </w:r>
      <w:r w:rsidRPr="007F1C25">
        <w:rPr>
          <w:rStyle w:val="FootnoteReference"/>
          <w:rFonts w:ascii="Book Antiqua" w:hAnsi="Book Antiqua"/>
          <w:lang w:val="en-IE"/>
        </w:rPr>
        <w:footnoteReference w:id="104"/>
      </w:r>
      <w:r w:rsidRPr="007F1C25">
        <w:rPr>
          <w:rFonts w:ascii="Book Antiqua" w:hAnsi="Book Antiqua"/>
          <w:lang w:val="en-IE"/>
        </w:rPr>
        <w:t xml:space="preserve"> However, since these measures were never introduced, constitutional property rights did not stop </w:t>
      </w:r>
      <w:r w:rsidR="00602330">
        <w:rPr>
          <w:rFonts w:ascii="Book Antiqua" w:hAnsi="Book Antiqua"/>
          <w:lang w:val="en-IE"/>
        </w:rPr>
        <w:t>these</w:t>
      </w:r>
      <w:r w:rsidRPr="007F1C25">
        <w:rPr>
          <w:rFonts w:ascii="Book Antiqua" w:hAnsi="Book Antiqua"/>
          <w:lang w:val="en-IE"/>
        </w:rPr>
        <w:t xml:space="preserve"> measure</w:t>
      </w:r>
      <w:r w:rsidR="00602330">
        <w:rPr>
          <w:rFonts w:ascii="Book Antiqua" w:hAnsi="Book Antiqua"/>
          <w:lang w:val="en-IE"/>
        </w:rPr>
        <w:t>s</w:t>
      </w:r>
      <w:r w:rsidRPr="007F1C25">
        <w:rPr>
          <w:rFonts w:ascii="Book Antiqua" w:hAnsi="Book Antiqua"/>
          <w:lang w:val="en-IE"/>
        </w:rPr>
        <w:t xml:space="preserve">; the AG’s </w:t>
      </w:r>
      <w:r w:rsidRPr="00602330">
        <w:rPr>
          <w:rFonts w:ascii="Book Antiqua" w:hAnsi="Book Antiqua"/>
          <w:i/>
          <w:lang w:val="en-IE"/>
        </w:rPr>
        <w:t>advice</w:t>
      </w:r>
      <w:r w:rsidRPr="007F1C25">
        <w:rPr>
          <w:rFonts w:ascii="Book Antiqua" w:hAnsi="Book Antiqua"/>
          <w:lang w:val="en-IE"/>
        </w:rPr>
        <w:t xml:space="preserve"> about property rights did. In each of these cases, the views of the Attorney were questioned in some quarters as to their correctness.</w:t>
      </w:r>
      <w:r w:rsidRPr="007F1C25">
        <w:rPr>
          <w:rStyle w:val="FootnoteReference"/>
          <w:rFonts w:ascii="Book Antiqua" w:hAnsi="Book Antiqua"/>
          <w:lang w:val="en-IE"/>
        </w:rPr>
        <w:footnoteReference w:id="105"/>
      </w:r>
      <w:r w:rsidRPr="007F1C25">
        <w:rPr>
          <w:rFonts w:ascii="Book Antiqua" w:hAnsi="Book Antiqua"/>
          <w:lang w:val="en-IE"/>
        </w:rPr>
        <w:t xml:space="preserve"> </w:t>
      </w:r>
      <w:r w:rsidR="007B13FD">
        <w:rPr>
          <w:rFonts w:ascii="Book Antiqua" w:hAnsi="Book Antiqua"/>
          <w:lang w:val="en-IE"/>
        </w:rPr>
        <w:t>P</w:t>
      </w:r>
      <w:r w:rsidRPr="007F1C25">
        <w:rPr>
          <w:rFonts w:ascii="Book Antiqua" w:hAnsi="Book Antiqua"/>
          <w:lang w:val="en-IE"/>
        </w:rPr>
        <w:t>roperty rights in the Irish Constitution are highly qualified in the interests of the common good</w:t>
      </w:r>
      <w:r w:rsidR="007B13FD">
        <w:rPr>
          <w:rFonts w:ascii="Book Antiqua" w:hAnsi="Book Antiqua"/>
          <w:lang w:val="en-IE"/>
        </w:rPr>
        <w:t xml:space="preserve">. </w:t>
      </w:r>
      <w:r w:rsidR="00E811BF">
        <w:rPr>
          <w:rFonts w:ascii="Book Antiqua" w:hAnsi="Book Antiqua"/>
          <w:lang w:val="en-IE"/>
        </w:rPr>
        <w:t>Moreover,</w:t>
      </w:r>
      <w:r w:rsidR="00E811BF" w:rsidRPr="007F1C25">
        <w:rPr>
          <w:rFonts w:ascii="Book Antiqua" w:hAnsi="Book Antiqua"/>
          <w:lang w:val="en-IE"/>
        </w:rPr>
        <w:t xml:space="preserve"> the courts did not</w:t>
      </w:r>
      <w:r w:rsidR="00E811BF">
        <w:rPr>
          <w:rFonts w:ascii="Book Antiqua" w:hAnsi="Book Antiqua"/>
          <w:lang w:val="en-IE"/>
        </w:rPr>
        <w:t>,</w:t>
      </w:r>
      <w:r w:rsidR="00E811BF" w:rsidRPr="007F1C25">
        <w:rPr>
          <w:rFonts w:ascii="Book Antiqua" w:hAnsi="Book Antiqua"/>
          <w:lang w:val="en-IE"/>
        </w:rPr>
        <w:t xml:space="preserve"> during the period following Ireland’s financial crisis, invalidate </w:t>
      </w:r>
      <w:r w:rsidR="00E811BF">
        <w:rPr>
          <w:rFonts w:ascii="Book Antiqua" w:hAnsi="Book Antiqua"/>
          <w:lang w:val="en-IE"/>
        </w:rPr>
        <w:t xml:space="preserve">even </w:t>
      </w:r>
      <w:r w:rsidR="00E811BF" w:rsidRPr="007F1C25">
        <w:rPr>
          <w:rFonts w:ascii="Book Antiqua" w:hAnsi="Book Antiqua"/>
          <w:lang w:val="en-IE"/>
        </w:rPr>
        <w:t>measures that had severe restrictions on property rights that were taken to alleviate the problems the country faced</w:t>
      </w:r>
      <w:r w:rsidR="00E811BF">
        <w:rPr>
          <w:rFonts w:ascii="Book Antiqua" w:hAnsi="Book Antiqua"/>
          <w:lang w:val="en-IE"/>
        </w:rPr>
        <w:t>.</w:t>
      </w:r>
      <w:r w:rsidR="00E811BF" w:rsidRPr="00E811BF">
        <w:rPr>
          <w:rFonts w:ascii="Book Antiqua" w:hAnsi="Book Antiqua"/>
          <w:lang w:val="en-IE"/>
        </w:rPr>
        <w:t xml:space="preserve"> </w:t>
      </w:r>
      <w:r w:rsidR="00E811BF">
        <w:rPr>
          <w:rFonts w:ascii="Book Antiqua" w:hAnsi="Book Antiqua"/>
          <w:lang w:val="en-IE"/>
        </w:rPr>
        <w:t xml:space="preserve">This suggests </w:t>
      </w:r>
      <w:r w:rsidR="00E811BF" w:rsidRPr="007F1C25">
        <w:rPr>
          <w:rFonts w:ascii="Book Antiqua" w:hAnsi="Book Antiqua"/>
          <w:lang w:val="en-IE"/>
        </w:rPr>
        <w:t xml:space="preserve">that the </w:t>
      </w:r>
      <w:r w:rsidR="00E811BF">
        <w:rPr>
          <w:rFonts w:ascii="Book Antiqua" w:hAnsi="Book Antiqua"/>
          <w:lang w:val="en-IE"/>
        </w:rPr>
        <w:t xml:space="preserve">AG’s </w:t>
      </w:r>
      <w:r w:rsidR="00E811BF" w:rsidRPr="007F1C25">
        <w:rPr>
          <w:rFonts w:ascii="Book Antiqua" w:hAnsi="Book Antiqua"/>
          <w:lang w:val="en-IE"/>
        </w:rPr>
        <w:t>advice was conservative</w:t>
      </w:r>
      <w:r w:rsidRPr="007F1C25">
        <w:rPr>
          <w:rFonts w:ascii="Book Antiqua" w:hAnsi="Book Antiqua"/>
          <w:lang w:val="en-IE"/>
        </w:rPr>
        <w:t xml:space="preserve">. </w:t>
      </w:r>
    </w:p>
    <w:p w14:paraId="3F68FEF8" w14:textId="77777777" w:rsidR="007F1C25" w:rsidRPr="007F1C25" w:rsidRDefault="007F1C25" w:rsidP="00716219">
      <w:pPr>
        <w:spacing w:line="360" w:lineRule="auto"/>
        <w:jc w:val="both"/>
        <w:rPr>
          <w:rFonts w:ascii="Book Antiqua" w:hAnsi="Book Antiqua"/>
          <w:lang w:val="en-IE"/>
        </w:rPr>
      </w:pPr>
    </w:p>
    <w:p w14:paraId="3A0A4656" w14:textId="13F69ED6" w:rsidR="007F1C25" w:rsidRPr="007F1C25" w:rsidRDefault="007C6453" w:rsidP="00716219">
      <w:pPr>
        <w:spacing w:line="360" w:lineRule="auto"/>
        <w:jc w:val="both"/>
        <w:rPr>
          <w:rFonts w:ascii="Book Antiqua" w:hAnsi="Book Antiqua"/>
          <w:lang w:val="en-IE"/>
        </w:rPr>
      </w:pPr>
      <w:r>
        <w:rPr>
          <w:rFonts w:ascii="Book Antiqua" w:hAnsi="Book Antiqua"/>
          <w:lang w:val="en-IE"/>
        </w:rPr>
        <w:t>D</w:t>
      </w:r>
      <w:r w:rsidR="007F1C25" w:rsidRPr="007F1C25">
        <w:rPr>
          <w:rFonts w:ascii="Book Antiqua" w:hAnsi="Book Antiqua"/>
          <w:lang w:val="en-IE"/>
        </w:rPr>
        <w:t xml:space="preserve">uring the life of the same government, various </w:t>
      </w:r>
      <w:r w:rsidR="00084342">
        <w:rPr>
          <w:rFonts w:ascii="Book Antiqua" w:hAnsi="Book Antiqua"/>
          <w:lang w:val="en-IE"/>
        </w:rPr>
        <w:t>groups</w:t>
      </w:r>
      <w:r w:rsidR="007F1C25" w:rsidRPr="007F1C25">
        <w:rPr>
          <w:rFonts w:ascii="Book Antiqua" w:hAnsi="Book Antiqua"/>
          <w:lang w:val="en-IE"/>
        </w:rPr>
        <w:t xml:space="preserve"> called on the government to legislate </w:t>
      </w:r>
      <w:r w:rsidR="00084342">
        <w:rPr>
          <w:rFonts w:ascii="Book Antiqua" w:hAnsi="Book Antiqua"/>
          <w:lang w:val="en-IE"/>
        </w:rPr>
        <w:t>for</w:t>
      </w:r>
      <w:r w:rsidR="007F1C25" w:rsidRPr="007F1C25">
        <w:rPr>
          <w:rFonts w:ascii="Book Antiqua" w:hAnsi="Book Antiqua"/>
          <w:lang w:val="en-IE"/>
        </w:rPr>
        <w:t xml:space="preserve"> an exception to Ireland’s strict abortion laws </w:t>
      </w:r>
      <w:r w:rsidR="00084342">
        <w:rPr>
          <w:rFonts w:ascii="Book Antiqua" w:hAnsi="Book Antiqua"/>
          <w:lang w:val="en-IE"/>
        </w:rPr>
        <w:t>for cases</w:t>
      </w:r>
      <w:r w:rsidR="007F1C25" w:rsidRPr="007F1C25">
        <w:rPr>
          <w:rFonts w:ascii="Book Antiqua" w:hAnsi="Book Antiqua"/>
          <w:lang w:val="en-IE"/>
        </w:rPr>
        <w:t xml:space="preserve"> where infants would not live for any substantial period outside the womb. It was the advice of the Attorney General that this </w:t>
      </w:r>
      <w:r w:rsidR="00CC7D75">
        <w:rPr>
          <w:rFonts w:ascii="Book Antiqua" w:hAnsi="Book Antiqua"/>
          <w:lang w:val="en-IE"/>
        </w:rPr>
        <w:t>would be</w:t>
      </w:r>
      <w:r w:rsidR="007F1C25" w:rsidRPr="007F1C25">
        <w:rPr>
          <w:rFonts w:ascii="Book Antiqua" w:hAnsi="Book Antiqua"/>
          <w:lang w:val="en-IE"/>
        </w:rPr>
        <w:t xml:space="preserve"> unconstitutional by virtue of Ireland’s </w:t>
      </w:r>
      <w:r>
        <w:rPr>
          <w:rFonts w:ascii="Book Antiqua" w:hAnsi="Book Antiqua"/>
          <w:lang w:val="en-IE"/>
        </w:rPr>
        <w:t xml:space="preserve">constitutional </w:t>
      </w:r>
      <w:r w:rsidR="007F1C25" w:rsidRPr="007F1C25">
        <w:rPr>
          <w:rFonts w:ascii="Book Antiqua" w:hAnsi="Book Antiqua"/>
          <w:lang w:val="en-IE"/>
        </w:rPr>
        <w:t xml:space="preserve">protection for the right to life of the unborn. The government </w:t>
      </w:r>
      <w:r w:rsidR="00122C75">
        <w:rPr>
          <w:rFonts w:ascii="Book Antiqua" w:hAnsi="Book Antiqua"/>
          <w:lang w:val="en-IE"/>
        </w:rPr>
        <w:t>cited</w:t>
      </w:r>
      <w:r w:rsidR="00122C75" w:rsidRPr="007F1C25">
        <w:rPr>
          <w:rFonts w:ascii="Book Antiqua" w:hAnsi="Book Antiqua"/>
          <w:lang w:val="en-IE"/>
        </w:rPr>
        <w:t xml:space="preserve"> </w:t>
      </w:r>
      <w:r w:rsidR="007F1C25" w:rsidRPr="007F1C25">
        <w:rPr>
          <w:rFonts w:ascii="Book Antiqua" w:hAnsi="Book Antiqua"/>
          <w:lang w:val="en-IE"/>
        </w:rPr>
        <w:t>this advice as a reason for not including this in legislation on abortion passed in 2013,</w:t>
      </w:r>
      <w:r w:rsidR="00AE3A10">
        <w:rPr>
          <w:rFonts w:ascii="Book Antiqua" w:hAnsi="Book Antiqua"/>
          <w:lang w:val="en-IE"/>
        </w:rPr>
        <w:t xml:space="preserve"> </w:t>
      </w:r>
      <w:r w:rsidR="007F1C25" w:rsidRPr="007F1C25">
        <w:rPr>
          <w:rFonts w:ascii="Book Antiqua" w:hAnsi="Book Antiqua"/>
          <w:lang w:val="en-IE"/>
        </w:rPr>
        <w:t>and for voting down a private member’s bill on the subject in 2015.</w:t>
      </w:r>
      <w:r w:rsidR="007F1C25" w:rsidRPr="007F1C25">
        <w:rPr>
          <w:rStyle w:val="FootnoteReference"/>
          <w:rFonts w:ascii="Book Antiqua" w:hAnsi="Book Antiqua"/>
          <w:lang w:val="en-IE"/>
        </w:rPr>
        <w:footnoteReference w:id="106"/>
      </w:r>
      <w:r w:rsidR="007F1C25" w:rsidRPr="007F1C25">
        <w:rPr>
          <w:rFonts w:ascii="Book Antiqua" w:hAnsi="Book Antiqua"/>
          <w:lang w:val="en-IE"/>
        </w:rPr>
        <w:t xml:space="preserve"> The minority government that followed it used the same advice to vote down another private members bill in 2016. The advice </w:t>
      </w:r>
      <w:r>
        <w:rPr>
          <w:rFonts w:ascii="Book Antiqua" w:hAnsi="Book Antiqua"/>
          <w:lang w:val="en-IE"/>
        </w:rPr>
        <w:t xml:space="preserve">was never published. </w:t>
      </w:r>
    </w:p>
    <w:p w14:paraId="07D15B8A" w14:textId="77777777" w:rsidR="007F1C25" w:rsidRPr="007F1C25" w:rsidRDefault="007F1C25" w:rsidP="00716219">
      <w:pPr>
        <w:spacing w:line="360" w:lineRule="auto"/>
        <w:jc w:val="both"/>
        <w:rPr>
          <w:rFonts w:ascii="Book Antiqua" w:hAnsi="Book Antiqua"/>
          <w:lang w:val="en-IE"/>
        </w:rPr>
      </w:pPr>
    </w:p>
    <w:p w14:paraId="7C2D692B" w14:textId="14A25C30" w:rsidR="007F1C25" w:rsidRPr="007F1C25" w:rsidRDefault="007F1C25" w:rsidP="00716219">
      <w:pPr>
        <w:spacing w:line="360" w:lineRule="auto"/>
        <w:jc w:val="both"/>
        <w:rPr>
          <w:rFonts w:ascii="Book Antiqua" w:hAnsi="Book Antiqua"/>
          <w:lang w:val="en-IE"/>
        </w:rPr>
      </w:pPr>
      <w:r w:rsidRPr="007F1C25">
        <w:rPr>
          <w:rFonts w:ascii="Book Antiqua" w:hAnsi="Book Antiqua"/>
          <w:lang w:val="en-IE"/>
        </w:rPr>
        <w:t xml:space="preserve">The extent of the government’s reliance on this advice is problematic in several respects. First, </w:t>
      </w:r>
      <w:r w:rsidR="00CC7D75">
        <w:rPr>
          <w:rFonts w:ascii="Book Antiqua" w:hAnsi="Book Antiqua"/>
          <w:lang w:val="en-IE"/>
        </w:rPr>
        <w:t xml:space="preserve">during the 2015 debate about the abortion exemption, </w:t>
      </w:r>
      <w:r w:rsidR="00CC7D75" w:rsidRPr="007F1C25">
        <w:rPr>
          <w:rFonts w:ascii="Book Antiqua" w:hAnsi="Book Antiqua"/>
          <w:lang w:val="en-IE"/>
        </w:rPr>
        <w:t>a minster suggest</w:t>
      </w:r>
      <w:r w:rsidR="00CC7D75">
        <w:rPr>
          <w:rFonts w:ascii="Book Antiqua" w:hAnsi="Book Antiqua"/>
          <w:lang w:val="en-IE"/>
        </w:rPr>
        <w:t>ed</w:t>
      </w:r>
      <w:r w:rsidR="00CC7D75" w:rsidRPr="007F1C25">
        <w:rPr>
          <w:rFonts w:ascii="Book Antiqua" w:hAnsi="Book Antiqua"/>
          <w:lang w:val="en-IE"/>
        </w:rPr>
        <w:t xml:space="preserve"> that the government </w:t>
      </w:r>
      <w:r w:rsidR="00CC7D75" w:rsidRPr="00CC7D75">
        <w:rPr>
          <w:rFonts w:ascii="Book Antiqua" w:hAnsi="Book Antiqua"/>
          <w:i/>
          <w:lang w:val="en-IE"/>
        </w:rPr>
        <w:t>could not</w:t>
      </w:r>
      <w:r w:rsidR="00CC7D75" w:rsidRPr="007F1C25">
        <w:rPr>
          <w:rFonts w:ascii="Book Antiqua" w:hAnsi="Book Antiqua"/>
          <w:lang w:val="en-IE"/>
        </w:rPr>
        <w:t xml:space="preserve"> introduce any legislation if the AG had </w:t>
      </w:r>
      <w:r w:rsidR="00CC7D75" w:rsidRPr="007F1C25">
        <w:rPr>
          <w:rFonts w:ascii="Book Antiqua" w:hAnsi="Book Antiqua"/>
          <w:lang w:val="en-IE"/>
        </w:rPr>
        <w:lastRenderedPageBreak/>
        <w:t>advised that it was unconstitutional</w:t>
      </w:r>
      <w:r w:rsidR="00CC7D75">
        <w:rPr>
          <w:rFonts w:ascii="Book Antiqua" w:hAnsi="Book Antiqua"/>
          <w:lang w:val="en-IE"/>
        </w:rPr>
        <w:t xml:space="preserve">; i.e. that </w:t>
      </w:r>
      <w:r w:rsidRPr="007F1C25">
        <w:rPr>
          <w:rFonts w:ascii="Book Antiqua" w:hAnsi="Book Antiqua"/>
          <w:lang w:val="en-IE"/>
        </w:rPr>
        <w:t xml:space="preserve">the </w:t>
      </w:r>
      <w:r w:rsidR="007C6453">
        <w:rPr>
          <w:rFonts w:ascii="Book Antiqua" w:hAnsi="Book Antiqua"/>
          <w:lang w:val="en-IE"/>
        </w:rPr>
        <w:t>AG</w:t>
      </w:r>
      <w:r w:rsidR="00CC7D75">
        <w:rPr>
          <w:rFonts w:ascii="Book Antiqua" w:hAnsi="Book Antiqua"/>
          <w:lang w:val="en-IE"/>
        </w:rPr>
        <w:t>’s advice binds government.</w:t>
      </w:r>
      <w:r w:rsidR="005A7CE1">
        <w:rPr>
          <w:rFonts w:ascii="Book Antiqua" w:hAnsi="Book Antiqua"/>
          <w:lang w:val="en-IE"/>
        </w:rPr>
        <w:t xml:space="preserve"> This was also suggested in respect of the property rights measures.</w:t>
      </w:r>
      <w:r w:rsidR="007C6453">
        <w:rPr>
          <w:rFonts w:ascii="Book Antiqua" w:hAnsi="Book Antiqua"/>
          <w:lang w:val="en-IE"/>
        </w:rPr>
        <w:t xml:space="preserve"> </w:t>
      </w:r>
      <w:r w:rsidR="00BC6757">
        <w:rPr>
          <w:rFonts w:ascii="Book Antiqua" w:hAnsi="Book Antiqua"/>
          <w:lang w:val="en-IE"/>
        </w:rPr>
        <w:t xml:space="preserve">But </w:t>
      </w:r>
      <w:r w:rsidRPr="007F1C25">
        <w:rPr>
          <w:rFonts w:ascii="Book Antiqua" w:hAnsi="Book Antiqua"/>
          <w:lang w:val="en-IE"/>
        </w:rPr>
        <w:t xml:space="preserve">nothing in the Constitution </w:t>
      </w:r>
      <w:r w:rsidR="007C6453">
        <w:rPr>
          <w:rFonts w:ascii="Book Antiqua" w:hAnsi="Book Antiqua"/>
          <w:lang w:val="en-IE"/>
        </w:rPr>
        <w:t xml:space="preserve">gives </w:t>
      </w:r>
      <w:r w:rsidRPr="007F1C25">
        <w:rPr>
          <w:rFonts w:ascii="Book Antiqua" w:hAnsi="Book Antiqua"/>
          <w:lang w:val="en-IE"/>
        </w:rPr>
        <w:t xml:space="preserve">the </w:t>
      </w:r>
      <w:r w:rsidR="007C6453">
        <w:rPr>
          <w:rFonts w:ascii="Book Antiqua" w:hAnsi="Book Antiqua"/>
          <w:lang w:val="en-IE"/>
        </w:rPr>
        <w:t xml:space="preserve">AG power to </w:t>
      </w:r>
      <w:r w:rsidRPr="007F1C25">
        <w:rPr>
          <w:rFonts w:ascii="Book Antiqua" w:hAnsi="Book Antiqua"/>
          <w:lang w:val="en-IE"/>
        </w:rPr>
        <w:t>fetter government action</w:t>
      </w:r>
      <w:r w:rsidR="00CC7D75">
        <w:rPr>
          <w:rFonts w:ascii="Book Antiqua" w:hAnsi="Book Antiqua"/>
          <w:lang w:val="en-IE"/>
        </w:rPr>
        <w:t>, nor suggest that AG’s advice determines constitutionality</w:t>
      </w:r>
      <w:r w:rsidRPr="007F1C25">
        <w:rPr>
          <w:rFonts w:ascii="Book Antiqua" w:hAnsi="Book Antiqua"/>
          <w:lang w:val="en-IE"/>
        </w:rPr>
        <w:t>.</w:t>
      </w:r>
      <w:r w:rsidRPr="007F1C25">
        <w:rPr>
          <w:rStyle w:val="FootnoteReference"/>
          <w:rFonts w:ascii="Book Antiqua" w:hAnsi="Book Antiqua"/>
          <w:lang w:val="en-IE"/>
        </w:rPr>
        <w:footnoteReference w:id="107"/>
      </w:r>
      <w:r w:rsidRPr="007F1C25">
        <w:rPr>
          <w:rFonts w:ascii="Book Antiqua" w:hAnsi="Book Antiqua"/>
          <w:lang w:val="en-IE"/>
        </w:rPr>
        <w:t xml:space="preserve"> </w:t>
      </w:r>
      <w:r w:rsidR="00A47184" w:rsidRPr="007F1C25">
        <w:rPr>
          <w:rFonts w:ascii="Book Antiqua" w:hAnsi="Book Antiqua"/>
          <w:lang w:val="en-IE"/>
        </w:rPr>
        <w:t xml:space="preserve">The Cabinet </w:t>
      </w:r>
      <w:r w:rsidR="00A47184">
        <w:rPr>
          <w:rFonts w:ascii="Book Antiqua" w:hAnsi="Book Antiqua"/>
          <w:lang w:val="en-IE"/>
        </w:rPr>
        <w:t>has</w:t>
      </w:r>
      <w:r w:rsidR="00A47184" w:rsidRPr="007F1C25">
        <w:rPr>
          <w:rFonts w:ascii="Book Antiqua" w:hAnsi="Book Antiqua"/>
          <w:lang w:val="en-IE"/>
        </w:rPr>
        <w:t xml:space="preserve"> essentially ced</w:t>
      </w:r>
      <w:r w:rsidR="00A47184">
        <w:rPr>
          <w:rFonts w:ascii="Book Antiqua" w:hAnsi="Book Antiqua"/>
          <w:lang w:val="en-IE"/>
        </w:rPr>
        <w:t>ed</w:t>
      </w:r>
      <w:r w:rsidR="00A47184" w:rsidRPr="007F1C25">
        <w:rPr>
          <w:rFonts w:ascii="Book Antiqua" w:hAnsi="Book Antiqua"/>
          <w:lang w:val="en-IE"/>
        </w:rPr>
        <w:t xml:space="preserve"> its role, </w:t>
      </w:r>
      <w:r w:rsidR="00A47184">
        <w:rPr>
          <w:rFonts w:ascii="Book Antiqua" w:hAnsi="Book Antiqua"/>
          <w:lang w:val="en-IE"/>
        </w:rPr>
        <w:t xml:space="preserve">turning informal provision of </w:t>
      </w:r>
      <w:r w:rsidR="00A47184" w:rsidRPr="007F1C25">
        <w:rPr>
          <w:rFonts w:ascii="Book Antiqua" w:hAnsi="Book Antiqua"/>
          <w:lang w:val="en-IE"/>
        </w:rPr>
        <w:t xml:space="preserve">advice into </w:t>
      </w:r>
      <w:r w:rsidR="00A47184">
        <w:rPr>
          <w:rFonts w:ascii="Book Antiqua" w:hAnsi="Book Antiqua"/>
          <w:lang w:val="en-IE"/>
        </w:rPr>
        <w:t xml:space="preserve">binding </w:t>
      </w:r>
      <w:r w:rsidR="00A47184" w:rsidRPr="007F1C25">
        <w:rPr>
          <w:rFonts w:ascii="Book Antiqua" w:hAnsi="Book Antiqua"/>
          <w:lang w:val="en-IE"/>
        </w:rPr>
        <w:t>constitutional review.</w:t>
      </w:r>
      <w:r w:rsidR="00A47184">
        <w:rPr>
          <w:rFonts w:ascii="Book Antiqua" w:hAnsi="Book Antiqua"/>
          <w:lang w:val="en-IE"/>
        </w:rPr>
        <w:t xml:space="preserve"> </w:t>
      </w:r>
      <w:r w:rsidRPr="007F1C25">
        <w:rPr>
          <w:rFonts w:ascii="Book Antiqua" w:hAnsi="Book Antiqua"/>
          <w:lang w:val="en-IE"/>
        </w:rPr>
        <w:t>Secondly</w:t>
      </w:r>
      <w:r w:rsidR="007C6453">
        <w:rPr>
          <w:rFonts w:ascii="Book Antiqua" w:hAnsi="Book Antiqua"/>
          <w:lang w:val="en-IE"/>
        </w:rPr>
        <w:t xml:space="preserve">, because constitutional law is rarely clear cut, </w:t>
      </w:r>
      <w:r w:rsidRPr="007F1C25">
        <w:rPr>
          <w:rFonts w:ascii="Book Antiqua" w:hAnsi="Book Antiqua"/>
          <w:lang w:val="en-IE"/>
        </w:rPr>
        <w:t>the advice given by the Attorney General is highly qualified.</w:t>
      </w:r>
      <w:r w:rsidRPr="007F1C25">
        <w:rPr>
          <w:rStyle w:val="FootnoteReference"/>
          <w:rFonts w:ascii="Book Antiqua" w:hAnsi="Book Antiqua"/>
          <w:lang w:val="en-IE"/>
        </w:rPr>
        <w:footnoteReference w:id="108"/>
      </w:r>
      <w:r w:rsidR="007C6453">
        <w:rPr>
          <w:rFonts w:ascii="Book Antiqua" w:hAnsi="Book Antiqua"/>
          <w:lang w:val="en-IE"/>
        </w:rPr>
        <w:t xml:space="preserve"> </w:t>
      </w:r>
      <w:r w:rsidRPr="007F1C25">
        <w:rPr>
          <w:rFonts w:ascii="Book Antiqua" w:hAnsi="Book Antiqua"/>
          <w:lang w:val="en-IE"/>
        </w:rPr>
        <w:t xml:space="preserve">Despite this, the government presents the matters as if </w:t>
      </w:r>
      <w:r w:rsidR="00B80D06">
        <w:rPr>
          <w:rFonts w:ascii="Book Antiqua" w:hAnsi="Book Antiqua"/>
          <w:lang w:val="en-IE"/>
        </w:rPr>
        <w:t xml:space="preserve">settled </w:t>
      </w:r>
      <w:r w:rsidRPr="007F1C25">
        <w:rPr>
          <w:rFonts w:ascii="Book Antiqua" w:hAnsi="Book Antiqua"/>
          <w:lang w:val="en-IE"/>
        </w:rPr>
        <w:t xml:space="preserve">by the </w:t>
      </w:r>
      <w:r w:rsidR="00B80D06">
        <w:rPr>
          <w:rFonts w:ascii="Book Antiqua" w:hAnsi="Book Antiqua"/>
          <w:lang w:val="en-IE"/>
        </w:rPr>
        <w:t>AG</w:t>
      </w:r>
      <w:r w:rsidR="00B80D06" w:rsidRPr="007F1C25">
        <w:rPr>
          <w:rFonts w:ascii="Book Antiqua" w:hAnsi="Book Antiqua"/>
          <w:lang w:val="en-IE"/>
        </w:rPr>
        <w:t xml:space="preserve"> </w:t>
      </w:r>
      <w:r w:rsidRPr="007F1C25">
        <w:rPr>
          <w:rFonts w:ascii="Book Antiqua" w:hAnsi="Book Antiqua"/>
          <w:lang w:val="en-IE"/>
        </w:rPr>
        <w:t xml:space="preserve">with clear, decisive </w:t>
      </w:r>
      <w:r w:rsidR="00EA5B0B">
        <w:rPr>
          <w:rFonts w:ascii="Book Antiqua" w:hAnsi="Book Antiqua"/>
          <w:lang w:val="en-IE"/>
        </w:rPr>
        <w:t>pronouncements</w:t>
      </w:r>
      <w:r w:rsidR="00B80D06">
        <w:rPr>
          <w:rFonts w:ascii="Book Antiqua" w:hAnsi="Book Antiqua"/>
          <w:lang w:val="en-IE"/>
        </w:rPr>
        <w:t>.</w:t>
      </w:r>
      <w:r w:rsidRPr="007F1C25">
        <w:rPr>
          <w:rFonts w:ascii="Book Antiqua" w:hAnsi="Book Antiqua"/>
          <w:lang w:val="en-IE"/>
        </w:rPr>
        <w:t xml:space="preserve"> </w:t>
      </w:r>
      <w:r w:rsidR="00B80D06">
        <w:rPr>
          <w:rFonts w:ascii="Book Antiqua" w:hAnsi="Book Antiqua"/>
          <w:lang w:val="en-IE"/>
        </w:rPr>
        <w:t>W</w:t>
      </w:r>
      <w:r w:rsidRPr="007F1C25">
        <w:rPr>
          <w:rFonts w:ascii="Book Antiqua" w:hAnsi="Book Antiqua"/>
          <w:lang w:val="en-IE"/>
        </w:rPr>
        <w:t xml:space="preserve">ith the advice kept secret, there is no </w:t>
      </w:r>
      <w:r w:rsidR="007C6453">
        <w:rPr>
          <w:rFonts w:ascii="Book Antiqua" w:hAnsi="Book Antiqua"/>
          <w:lang w:val="en-IE"/>
        </w:rPr>
        <w:t>way to</w:t>
      </w:r>
      <w:r w:rsidR="007C6453" w:rsidRPr="007F1C25">
        <w:rPr>
          <w:rFonts w:ascii="Book Antiqua" w:hAnsi="Book Antiqua"/>
          <w:lang w:val="en-IE"/>
        </w:rPr>
        <w:t xml:space="preserve"> </w:t>
      </w:r>
      <w:r w:rsidR="007C6453">
        <w:rPr>
          <w:rFonts w:ascii="Book Antiqua" w:hAnsi="Book Antiqua"/>
          <w:lang w:val="en-IE"/>
        </w:rPr>
        <w:t xml:space="preserve">dispute </w:t>
      </w:r>
      <w:r w:rsidRPr="007F1C25">
        <w:rPr>
          <w:rFonts w:ascii="Book Antiqua" w:hAnsi="Book Antiqua"/>
          <w:lang w:val="en-IE"/>
        </w:rPr>
        <w:t>this.</w:t>
      </w:r>
    </w:p>
    <w:p w14:paraId="752892B3" w14:textId="77777777" w:rsidR="007F1C25" w:rsidRPr="007F1C25" w:rsidRDefault="007F1C25" w:rsidP="00716219">
      <w:pPr>
        <w:spacing w:line="360" w:lineRule="auto"/>
        <w:jc w:val="both"/>
        <w:rPr>
          <w:rFonts w:ascii="Book Antiqua" w:hAnsi="Book Antiqua"/>
          <w:lang w:val="en-IE"/>
        </w:rPr>
      </w:pPr>
    </w:p>
    <w:p w14:paraId="3090D570" w14:textId="04119CEE" w:rsidR="007F1C25" w:rsidRPr="007F1C25" w:rsidRDefault="007F1C25" w:rsidP="00716219">
      <w:pPr>
        <w:spacing w:line="360" w:lineRule="auto"/>
        <w:jc w:val="both"/>
        <w:rPr>
          <w:rFonts w:ascii="Book Antiqua" w:hAnsi="Book Antiqua"/>
          <w:lang w:val="en-IE"/>
        </w:rPr>
      </w:pPr>
      <w:r w:rsidRPr="007F1C25">
        <w:rPr>
          <w:rFonts w:ascii="Book Antiqua" w:hAnsi="Book Antiqua"/>
          <w:lang w:val="en-IE"/>
        </w:rPr>
        <w:t xml:space="preserve">Thirdly, </w:t>
      </w:r>
      <w:r w:rsidR="007C6453">
        <w:rPr>
          <w:rFonts w:ascii="Book Antiqua" w:hAnsi="Book Antiqua"/>
          <w:lang w:val="en-IE"/>
        </w:rPr>
        <w:t xml:space="preserve">and relatedly, </w:t>
      </w:r>
      <w:r w:rsidRPr="007F1C25">
        <w:rPr>
          <w:rFonts w:ascii="Book Antiqua" w:hAnsi="Book Antiqua"/>
          <w:lang w:val="en-IE"/>
        </w:rPr>
        <w:t xml:space="preserve">there is </w:t>
      </w:r>
      <w:r w:rsidR="007C6453">
        <w:rPr>
          <w:rFonts w:ascii="Book Antiqua" w:hAnsi="Book Antiqua"/>
          <w:lang w:val="en-IE"/>
        </w:rPr>
        <w:t>no</w:t>
      </w:r>
      <w:r w:rsidR="007C6453" w:rsidRPr="007F1C25">
        <w:rPr>
          <w:rFonts w:ascii="Book Antiqua" w:hAnsi="Book Antiqua"/>
          <w:lang w:val="en-IE"/>
        </w:rPr>
        <w:t xml:space="preserve"> </w:t>
      </w:r>
      <w:r w:rsidRPr="007F1C25">
        <w:rPr>
          <w:rFonts w:ascii="Book Antiqua" w:hAnsi="Book Antiqua"/>
          <w:lang w:val="en-IE"/>
        </w:rPr>
        <w:t xml:space="preserve">way of knowing if the government is </w:t>
      </w:r>
      <w:r w:rsidR="00EA5B0B">
        <w:rPr>
          <w:rFonts w:ascii="Book Antiqua" w:hAnsi="Book Antiqua"/>
          <w:lang w:val="en-IE"/>
        </w:rPr>
        <w:t>conveying</w:t>
      </w:r>
      <w:r w:rsidRPr="007F1C25">
        <w:rPr>
          <w:rFonts w:ascii="Book Antiqua" w:hAnsi="Book Antiqua"/>
          <w:lang w:val="en-IE"/>
        </w:rPr>
        <w:t xml:space="preserve"> the </w:t>
      </w:r>
      <w:r w:rsidR="00EA5B0B">
        <w:rPr>
          <w:rFonts w:ascii="Book Antiqua" w:hAnsi="Book Antiqua"/>
          <w:lang w:val="en-IE"/>
        </w:rPr>
        <w:t xml:space="preserve">nature of the </w:t>
      </w:r>
      <w:r w:rsidRPr="007F1C25">
        <w:rPr>
          <w:rFonts w:ascii="Book Antiqua" w:hAnsi="Book Antiqua"/>
          <w:lang w:val="en-IE"/>
        </w:rPr>
        <w:t xml:space="preserve">advice correctly, or if the government </w:t>
      </w:r>
      <w:r w:rsidR="00EA5B0B">
        <w:rPr>
          <w:rFonts w:ascii="Book Antiqua" w:hAnsi="Book Antiqua"/>
          <w:lang w:val="en-IE"/>
        </w:rPr>
        <w:t>is using</w:t>
      </w:r>
      <w:r w:rsidRPr="007F1C25">
        <w:rPr>
          <w:rFonts w:ascii="Book Antiqua" w:hAnsi="Book Antiqua"/>
          <w:lang w:val="en-IE"/>
        </w:rPr>
        <w:t xml:space="preserve"> the Attorney General as a political and rhetorical tool to explain and excuse inaction. This could happen if the </w:t>
      </w:r>
      <w:r w:rsidR="00FF1553">
        <w:rPr>
          <w:rFonts w:ascii="Book Antiqua" w:hAnsi="Book Antiqua"/>
          <w:lang w:val="en-IE"/>
        </w:rPr>
        <w:t>AG’s</w:t>
      </w:r>
      <w:r w:rsidR="00FF1553" w:rsidRPr="007F1C25">
        <w:rPr>
          <w:rFonts w:ascii="Book Antiqua" w:hAnsi="Book Antiqua"/>
          <w:lang w:val="en-IE"/>
        </w:rPr>
        <w:t xml:space="preserve"> </w:t>
      </w:r>
      <w:r w:rsidRPr="007F1C25">
        <w:rPr>
          <w:rFonts w:ascii="Book Antiqua" w:hAnsi="Book Antiqua"/>
          <w:lang w:val="en-IE"/>
        </w:rPr>
        <w:t>advice is qualified, but i</w:t>
      </w:r>
      <w:r w:rsidR="003F34EE">
        <w:rPr>
          <w:rFonts w:ascii="Book Antiqua" w:hAnsi="Book Antiqua"/>
          <w:lang w:val="en-IE"/>
        </w:rPr>
        <w:t>s</w:t>
      </w:r>
      <w:r w:rsidRPr="007F1C25">
        <w:rPr>
          <w:rFonts w:ascii="Book Antiqua" w:hAnsi="Book Antiqua"/>
          <w:lang w:val="en-IE"/>
        </w:rPr>
        <w:t xml:space="preserve"> put across as clear and certain, or if the </w:t>
      </w:r>
      <w:r w:rsidR="00FF1553">
        <w:rPr>
          <w:rFonts w:ascii="Book Antiqua" w:hAnsi="Book Antiqua"/>
          <w:lang w:val="en-IE"/>
        </w:rPr>
        <w:t>AG</w:t>
      </w:r>
      <w:r w:rsidRPr="007F1C25">
        <w:rPr>
          <w:rFonts w:ascii="Book Antiqua" w:hAnsi="Book Antiqua"/>
          <w:lang w:val="en-IE"/>
        </w:rPr>
        <w:t>, because of his or her close relationship with government, could allow the government’s agenda and desires to “unconsciously distort his judgment”.</w:t>
      </w:r>
      <w:r w:rsidRPr="007F1C25">
        <w:rPr>
          <w:rStyle w:val="FootnoteReference"/>
          <w:rFonts w:ascii="Book Antiqua" w:hAnsi="Book Antiqua"/>
          <w:lang w:val="en-IE"/>
        </w:rPr>
        <w:footnoteReference w:id="109"/>
      </w:r>
      <w:r w:rsidRPr="007F1C25">
        <w:rPr>
          <w:rFonts w:ascii="Book Antiqua" w:hAnsi="Book Antiqua"/>
          <w:lang w:val="en-IE"/>
        </w:rPr>
        <w:t xml:space="preserve"> </w:t>
      </w:r>
      <w:r w:rsidR="00A47184">
        <w:rPr>
          <w:rFonts w:ascii="Book Antiqua" w:hAnsi="Book Antiqua"/>
          <w:lang w:val="en-IE"/>
        </w:rPr>
        <w:t>T</w:t>
      </w:r>
      <w:r w:rsidR="00A47184" w:rsidRPr="007F1C25">
        <w:rPr>
          <w:rFonts w:ascii="Book Antiqua" w:hAnsi="Book Antiqua"/>
          <w:lang w:val="en-IE"/>
        </w:rPr>
        <w:t>here is a risk that constitutional law becomes a “pretext for legislative inaction”.</w:t>
      </w:r>
      <w:r w:rsidR="00A47184" w:rsidRPr="007F1C25">
        <w:rPr>
          <w:rStyle w:val="FootnoteReference"/>
          <w:rFonts w:ascii="Book Antiqua" w:hAnsi="Book Antiqua"/>
          <w:lang w:val="en-IE"/>
        </w:rPr>
        <w:footnoteReference w:id="110"/>
      </w:r>
      <w:r w:rsidR="00A47184">
        <w:rPr>
          <w:rFonts w:ascii="Book Antiqua" w:hAnsi="Book Antiqua"/>
          <w:lang w:val="en-IE"/>
        </w:rPr>
        <w:t xml:space="preserve"> </w:t>
      </w:r>
      <w:r w:rsidRPr="007F1C25">
        <w:rPr>
          <w:rFonts w:ascii="Book Antiqua" w:hAnsi="Book Antiqua"/>
          <w:lang w:val="en-IE"/>
        </w:rPr>
        <w:t xml:space="preserve">There is no direct evidence of this phenomenon in Ireland, but with the advice of the </w:t>
      </w:r>
      <w:r w:rsidR="00FF1553">
        <w:rPr>
          <w:rFonts w:ascii="Book Antiqua" w:hAnsi="Book Antiqua"/>
          <w:lang w:val="en-IE"/>
        </w:rPr>
        <w:t>AG</w:t>
      </w:r>
      <w:r w:rsidR="00FF1553" w:rsidRPr="007F1C25">
        <w:rPr>
          <w:rFonts w:ascii="Book Antiqua" w:hAnsi="Book Antiqua"/>
          <w:lang w:val="en-IE"/>
        </w:rPr>
        <w:t xml:space="preserve"> </w:t>
      </w:r>
      <w:r w:rsidRPr="007F1C25">
        <w:rPr>
          <w:rFonts w:ascii="Book Antiqua" w:hAnsi="Book Antiqua"/>
          <w:lang w:val="en-IE"/>
        </w:rPr>
        <w:t xml:space="preserve">kept secret, </w:t>
      </w:r>
      <w:r w:rsidR="00EA5B0B">
        <w:rPr>
          <w:rFonts w:ascii="Book Antiqua" w:hAnsi="Book Antiqua"/>
          <w:lang w:val="en-IE"/>
        </w:rPr>
        <w:t>this would be hard to detect</w:t>
      </w:r>
      <w:r w:rsidRPr="007F1C25">
        <w:rPr>
          <w:rFonts w:ascii="Book Antiqua" w:hAnsi="Book Antiqua"/>
          <w:lang w:val="en-IE"/>
        </w:rPr>
        <w:t>.</w:t>
      </w:r>
      <w:r w:rsidRPr="007F1C25">
        <w:rPr>
          <w:rStyle w:val="FootnoteReference"/>
          <w:rFonts w:ascii="Book Antiqua" w:hAnsi="Book Antiqua"/>
          <w:lang w:val="en-IE"/>
        </w:rPr>
        <w:footnoteReference w:id="111"/>
      </w:r>
      <w:r w:rsidRPr="007F1C25">
        <w:rPr>
          <w:rFonts w:ascii="Book Antiqua" w:hAnsi="Book Antiqua"/>
          <w:lang w:val="en-IE"/>
        </w:rPr>
        <w:t xml:space="preserve"> </w:t>
      </w:r>
    </w:p>
    <w:p w14:paraId="3F58FFA1" w14:textId="77777777" w:rsidR="007F1C25" w:rsidRPr="007F1C25" w:rsidRDefault="007F1C25" w:rsidP="00716219">
      <w:pPr>
        <w:spacing w:line="360" w:lineRule="auto"/>
        <w:jc w:val="both"/>
        <w:rPr>
          <w:rFonts w:ascii="Book Antiqua" w:hAnsi="Book Antiqua"/>
          <w:lang w:val="en-IE"/>
        </w:rPr>
      </w:pPr>
    </w:p>
    <w:p w14:paraId="5453AA70" w14:textId="7ABE0C9F" w:rsidR="007F1C25" w:rsidRPr="007F1C25" w:rsidRDefault="007F1C25" w:rsidP="00716219">
      <w:pPr>
        <w:spacing w:line="360" w:lineRule="auto"/>
        <w:jc w:val="both"/>
        <w:rPr>
          <w:rFonts w:ascii="Book Antiqua" w:hAnsi="Book Antiqua"/>
          <w:lang w:val="en-IE"/>
        </w:rPr>
      </w:pPr>
      <w:r w:rsidRPr="007F1C25">
        <w:rPr>
          <w:rFonts w:ascii="Book Antiqua" w:hAnsi="Book Antiqua"/>
          <w:lang w:val="en-IE"/>
        </w:rPr>
        <w:t xml:space="preserve">Finally, this has the effect of binding the entire parliament </w:t>
      </w:r>
      <w:r w:rsidR="00EA5B0B">
        <w:rPr>
          <w:rFonts w:ascii="Book Antiqua" w:hAnsi="Book Antiqua"/>
          <w:lang w:val="en-IE"/>
        </w:rPr>
        <w:t xml:space="preserve">to </w:t>
      </w:r>
      <w:r w:rsidRPr="007F1C25">
        <w:rPr>
          <w:rFonts w:ascii="Book Antiqua" w:hAnsi="Book Antiqua"/>
          <w:lang w:val="en-IE"/>
        </w:rPr>
        <w:t xml:space="preserve">the advice of one person. Legislators do not have </w:t>
      </w:r>
      <w:r w:rsidR="006268FC">
        <w:rPr>
          <w:rFonts w:ascii="Book Antiqua" w:hAnsi="Book Antiqua"/>
          <w:lang w:val="en-IE"/>
        </w:rPr>
        <w:t xml:space="preserve">good </w:t>
      </w:r>
      <w:r w:rsidRPr="007F1C25">
        <w:rPr>
          <w:rFonts w:ascii="Book Antiqua" w:hAnsi="Book Antiqua"/>
          <w:lang w:val="en-IE"/>
        </w:rPr>
        <w:t xml:space="preserve">access to </w:t>
      </w:r>
      <w:r w:rsidR="00DE3F17">
        <w:rPr>
          <w:rFonts w:ascii="Book Antiqua" w:hAnsi="Book Antiqua"/>
          <w:lang w:val="en-IE"/>
        </w:rPr>
        <w:t xml:space="preserve">independent </w:t>
      </w:r>
      <w:r w:rsidRPr="007F1C25">
        <w:rPr>
          <w:rFonts w:ascii="Book Antiqua" w:hAnsi="Book Antiqua"/>
          <w:lang w:val="en-IE"/>
        </w:rPr>
        <w:t xml:space="preserve">legal advice on the </w:t>
      </w:r>
      <w:r w:rsidRPr="007F1C25">
        <w:rPr>
          <w:rFonts w:ascii="Book Antiqua" w:hAnsi="Book Antiqua"/>
          <w:lang w:val="en-IE"/>
        </w:rPr>
        <w:lastRenderedPageBreak/>
        <w:t xml:space="preserve">constitutionality of bills. In practice, unless there is a minority government, the government uses the parliamentary whip to control a majority of votes to only </w:t>
      </w:r>
      <w:r w:rsidR="00DF77FC">
        <w:rPr>
          <w:rFonts w:ascii="Book Antiqua" w:hAnsi="Book Antiqua"/>
          <w:lang w:val="en-IE"/>
        </w:rPr>
        <w:t xml:space="preserve">pass </w:t>
      </w:r>
      <w:r w:rsidRPr="007F1C25">
        <w:rPr>
          <w:rFonts w:ascii="Book Antiqua" w:hAnsi="Book Antiqua"/>
          <w:lang w:val="en-IE"/>
        </w:rPr>
        <w:t xml:space="preserve">legislation </w:t>
      </w:r>
      <w:r w:rsidR="00DF77FC">
        <w:rPr>
          <w:rFonts w:ascii="Book Antiqua" w:hAnsi="Book Antiqua"/>
          <w:lang w:val="en-IE"/>
        </w:rPr>
        <w:t xml:space="preserve">of which </w:t>
      </w:r>
      <w:r w:rsidRPr="007F1C25">
        <w:rPr>
          <w:rFonts w:ascii="Book Antiqua" w:hAnsi="Book Antiqua"/>
          <w:lang w:val="en-IE"/>
        </w:rPr>
        <w:t>it approves.</w:t>
      </w:r>
      <w:r w:rsidRPr="007F1C25">
        <w:rPr>
          <w:rStyle w:val="FootnoteReference"/>
          <w:rFonts w:ascii="Book Antiqua" w:hAnsi="Book Antiqua"/>
          <w:lang w:val="en-IE"/>
        </w:rPr>
        <w:footnoteReference w:id="112"/>
      </w:r>
      <w:r w:rsidRPr="007F1C25">
        <w:rPr>
          <w:rFonts w:ascii="Book Antiqua" w:hAnsi="Book Antiqua"/>
          <w:lang w:val="en-IE"/>
        </w:rPr>
        <w:t xml:space="preserve"> If the government uncritically accepts the advice of the </w:t>
      </w:r>
      <w:r w:rsidR="002D567E">
        <w:rPr>
          <w:rFonts w:ascii="Book Antiqua" w:hAnsi="Book Antiqua"/>
          <w:lang w:val="en-IE"/>
        </w:rPr>
        <w:t>AG</w:t>
      </w:r>
      <w:r w:rsidRPr="007F1C25">
        <w:rPr>
          <w:rFonts w:ascii="Book Antiqua" w:hAnsi="Book Antiqua"/>
          <w:lang w:val="en-IE"/>
        </w:rPr>
        <w:t>, and feel</w:t>
      </w:r>
      <w:r w:rsidR="00EA5B0B">
        <w:rPr>
          <w:rFonts w:ascii="Book Antiqua" w:hAnsi="Book Antiqua"/>
          <w:lang w:val="en-IE"/>
        </w:rPr>
        <w:t>s</w:t>
      </w:r>
      <w:r w:rsidRPr="007F1C25">
        <w:rPr>
          <w:rFonts w:ascii="Book Antiqua" w:hAnsi="Book Antiqua"/>
          <w:lang w:val="en-IE"/>
        </w:rPr>
        <w:t xml:space="preserve"> it can </w:t>
      </w:r>
      <w:r w:rsidR="00EA5B0B">
        <w:rPr>
          <w:rFonts w:ascii="Book Antiqua" w:hAnsi="Book Antiqua"/>
          <w:lang w:val="en-IE"/>
        </w:rPr>
        <w:t>n</w:t>
      </w:r>
      <w:r w:rsidRPr="007F1C25">
        <w:rPr>
          <w:rFonts w:ascii="Book Antiqua" w:hAnsi="Book Antiqua"/>
          <w:lang w:val="en-IE"/>
        </w:rPr>
        <w:t>ever depart from it, the advice of one person</w:t>
      </w:r>
      <w:r w:rsidR="00994CAE">
        <w:rPr>
          <w:rFonts w:ascii="Book Antiqua" w:hAnsi="Book Antiqua"/>
          <w:lang w:val="en-IE"/>
        </w:rPr>
        <w:t xml:space="preserve"> –</w:t>
      </w:r>
      <w:r w:rsidRPr="007F1C25">
        <w:rPr>
          <w:rFonts w:ascii="Book Antiqua" w:hAnsi="Book Antiqua"/>
          <w:lang w:val="en-IE"/>
        </w:rPr>
        <w:t xml:space="preserve"> known in detail to only about 15 members</w:t>
      </w:r>
      <w:r w:rsidR="002D567E">
        <w:rPr>
          <w:rFonts w:ascii="Book Antiqua" w:hAnsi="Book Antiqua"/>
          <w:lang w:val="en-IE"/>
        </w:rPr>
        <w:t xml:space="preserve"> of parliament</w:t>
      </w:r>
      <w:r w:rsidR="00EA5B0B">
        <w:rPr>
          <w:rFonts w:ascii="Book Antiqua" w:hAnsi="Book Antiqua"/>
          <w:lang w:val="en-IE"/>
        </w:rPr>
        <w:t xml:space="preserve"> who comprise the C</w:t>
      </w:r>
      <w:r w:rsidR="00994CAE">
        <w:rPr>
          <w:rFonts w:ascii="Book Antiqua" w:hAnsi="Book Antiqua"/>
          <w:lang w:val="en-IE"/>
        </w:rPr>
        <w:t>abinet –</w:t>
      </w:r>
      <w:r w:rsidR="00EA5B0B">
        <w:rPr>
          <w:rFonts w:ascii="Book Antiqua" w:hAnsi="Book Antiqua"/>
          <w:lang w:val="en-IE"/>
        </w:rPr>
        <w:t xml:space="preserve"> </w:t>
      </w:r>
      <w:r w:rsidRPr="007F1C25">
        <w:rPr>
          <w:rFonts w:ascii="Book Antiqua" w:hAnsi="Book Antiqua"/>
          <w:lang w:val="en-IE"/>
        </w:rPr>
        <w:t>decide</w:t>
      </w:r>
      <w:r w:rsidR="00D06F0B">
        <w:rPr>
          <w:rFonts w:ascii="Book Antiqua" w:hAnsi="Book Antiqua"/>
          <w:lang w:val="en-IE"/>
        </w:rPr>
        <w:t>s</w:t>
      </w:r>
      <w:r w:rsidRPr="007F1C25">
        <w:rPr>
          <w:rFonts w:ascii="Book Antiqua" w:hAnsi="Book Antiqua"/>
          <w:lang w:val="en-IE"/>
        </w:rPr>
        <w:t xml:space="preserve"> </w:t>
      </w:r>
      <w:r w:rsidR="002D567E">
        <w:rPr>
          <w:rFonts w:ascii="Book Antiqua" w:hAnsi="Book Antiqua"/>
          <w:lang w:val="en-IE"/>
        </w:rPr>
        <w:t>all matters of constitutionality in the political process</w:t>
      </w:r>
      <w:r w:rsidRPr="007F1C25">
        <w:rPr>
          <w:rFonts w:ascii="Book Antiqua" w:hAnsi="Book Antiqua"/>
          <w:lang w:val="en-IE"/>
        </w:rPr>
        <w:t>.</w:t>
      </w:r>
    </w:p>
    <w:p w14:paraId="28BE7A8F" w14:textId="77777777" w:rsidR="007F1C25" w:rsidRPr="007F1C25" w:rsidRDefault="007F1C25" w:rsidP="00716219">
      <w:pPr>
        <w:spacing w:line="360" w:lineRule="auto"/>
        <w:jc w:val="both"/>
        <w:rPr>
          <w:rFonts w:ascii="Book Antiqua" w:hAnsi="Book Antiqua"/>
          <w:lang w:val="en-IE"/>
        </w:rPr>
      </w:pPr>
    </w:p>
    <w:p w14:paraId="47204541" w14:textId="67F737D4" w:rsidR="00E43B8B" w:rsidRDefault="007F1C25" w:rsidP="00735395">
      <w:pPr>
        <w:spacing w:line="360" w:lineRule="auto"/>
        <w:jc w:val="both"/>
        <w:rPr>
          <w:rFonts w:ascii="Book Antiqua" w:hAnsi="Book Antiqua"/>
          <w:lang w:val="en-IE"/>
        </w:rPr>
      </w:pPr>
      <w:r w:rsidRPr="007F1C25">
        <w:rPr>
          <w:rFonts w:ascii="Book Antiqua" w:hAnsi="Book Antiqua"/>
          <w:lang w:val="en-IE"/>
        </w:rPr>
        <w:t xml:space="preserve">All this adds up the </w:t>
      </w:r>
      <w:r w:rsidR="00106CF2">
        <w:rPr>
          <w:rFonts w:ascii="Book Antiqua" w:hAnsi="Book Antiqua"/>
          <w:lang w:val="en-IE"/>
        </w:rPr>
        <w:t>AG</w:t>
      </w:r>
      <w:r w:rsidR="00106CF2" w:rsidRPr="007F1C25">
        <w:rPr>
          <w:rFonts w:ascii="Book Antiqua" w:hAnsi="Book Antiqua"/>
          <w:lang w:val="en-IE"/>
        </w:rPr>
        <w:t xml:space="preserve"> </w:t>
      </w:r>
      <w:r w:rsidRPr="007F1C25">
        <w:rPr>
          <w:rFonts w:ascii="Book Antiqua" w:hAnsi="Book Antiqua"/>
          <w:lang w:val="en-IE"/>
        </w:rPr>
        <w:t>having, potentially, an extraordinarily powerful position</w:t>
      </w:r>
      <w:r w:rsidR="00106CF2">
        <w:rPr>
          <w:rFonts w:ascii="Book Antiqua" w:hAnsi="Book Antiqua"/>
          <w:lang w:val="en-IE"/>
        </w:rPr>
        <w:t>.</w:t>
      </w:r>
      <w:r w:rsidRPr="007F1C25">
        <w:rPr>
          <w:rFonts w:ascii="Book Antiqua" w:hAnsi="Book Antiqua"/>
          <w:lang w:val="en-IE"/>
        </w:rPr>
        <w:t xml:space="preserve"> As Bradley puts it, ironically this officer, supposedly independent of </w:t>
      </w:r>
      <w:r w:rsidR="00A52353">
        <w:rPr>
          <w:rFonts w:ascii="Book Antiqua" w:hAnsi="Book Antiqua"/>
          <w:lang w:val="en-IE"/>
        </w:rPr>
        <w:t>the Cabinet</w:t>
      </w:r>
      <w:r w:rsidRPr="007F1C25">
        <w:rPr>
          <w:rFonts w:ascii="Book Antiqua" w:hAnsi="Book Antiqua"/>
          <w:lang w:val="en-IE"/>
        </w:rPr>
        <w:t>, may be “the most influential of all those who sit around the cabinet table”, with influence that permeates the legal system.</w:t>
      </w:r>
      <w:r w:rsidRPr="007F1C25">
        <w:rPr>
          <w:rStyle w:val="FootnoteReference"/>
          <w:rFonts w:ascii="Book Antiqua" w:hAnsi="Book Antiqua"/>
          <w:lang w:val="en-IE"/>
        </w:rPr>
        <w:footnoteReference w:id="113"/>
      </w:r>
    </w:p>
    <w:p w14:paraId="1619713E" w14:textId="77777777" w:rsidR="00C10A4C" w:rsidRPr="00735395" w:rsidRDefault="00C10A4C" w:rsidP="00735395">
      <w:pPr>
        <w:spacing w:line="360" w:lineRule="auto"/>
        <w:jc w:val="both"/>
        <w:rPr>
          <w:rFonts w:ascii="Book Antiqua" w:hAnsi="Book Antiqua"/>
          <w:lang w:val="en-IE"/>
        </w:rPr>
      </w:pPr>
    </w:p>
    <w:p w14:paraId="5A6664BA" w14:textId="1225BAD4" w:rsidR="00BA109C" w:rsidRPr="00735395" w:rsidRDefault="00E43B8B" w:rsidP="00735395">
      <w:pPr>
        <w:spacing w:line="360" w:lineRule="auto"/>
        <w:ind w:left="357"/>
        <w:jc w:val="both"/>
        <w:outlineLvl w:val="0"/>
        <w:rPr>
          <w:rFonts w:ascii="Book Antiqua" w:hAnsi="Book Antiqua"/>
          <w:sz w:val="28"/>
          <w:u w:val="single"/>
          <w:lang w:val="en-GB"/>
        </w:rPr>
      </w:pPr>
      <w:r>
        <w:rPr>
          <w:rFonts w:ascii="Book Antiqua" w:hAnsi="Book Antiqua"/>
          <w:b/>
          <w:sz w:val="28"/>
          <w:lang w:val="en-GB"/>
        </w:rPr>
        <w:t>I</w:t>
      </w:r>
      <w:r w:rsidR="00943CC4">
        <w:rPr>
          <w:rFonts w:ascii="Book Antiqua" w:hAnsi="Book Antiqua"/>
          <w:b/>
          <w:sz w:val="28"/>
          <w:lang w:val="en-GB"/>
        </w:rPr>
        <w:t>II</w:t>
      </w:r>
      <w:r w:rsidRPr="00615C97">
        <w:rPr>
          <w:rFonts w:ascii="Book Antiqua" w:hAnsi="Book Antiqua"/>
          <w:b/>
          <w:sz w:val="28"/>
          <w:lang w:val="en-GB"/>
        </w:rPr>
        <w:t xml:space="preserve">. </w:t>
      </w:r>
      <w:r w:rsidR="00576B68" w:rsidRPr="00735395">
        <w:rPr>
          <w:rFonts w:ascii="Book Antiqua" w:hAnsi="Book Antiqua"/>
          <w:b/>
          <w:sz w:val="28"/>
          <w:lang w:val="en-GB"/>
        </w:rPr>
        <w:t xml:space="preserve">Shadow Constitutional Review: the dark side of political constitutionalism </w:t>
      </w:r>
    </w:p>
    <w:p w14:paraId="00534B15" w14:textId="64C53795" w:rsidR="00347E16" w:rsidRPr="00A36A90" w:rsidRDefault="00347E16" w:rsidP="00347E16">
      <w:pPr>
        <w:spacing w:line="360" w:lineRule="auto"/>
        <w:jc w:val="both"/>
        <w:rPr>
          <w:rFonts w:ascii="Book Antiqua" w:hAnsi="Book Antiqua"/>
          <w:lang w:val="en-GB"/>
        </w:rPr>
      </w:pPr>
      <w:r w:rsidRPr="00A36A90">
        <w:rPr>
          <w:rFonts w:ascii="Book Antiqua" w:hAnsi="Book Antiqua"/>
        </w:rPr>
        <w:t xml:space="preserve">When measured against the yardstick of its purported benefits, </w:t>
      </w:r>
      <w:r w:rsidR="00BD05E5">
        <w:rPr>
          <w:rFonts w:ascii="Book Antiqua" w:hAnsi="Book Antiqua"/>
          <w:lang w:val="en-GB"/>
        </w:rPr>
        <w:t>t</w:t>
      </w:r>
      <w:r w:rsidRPr="00A36A90">
        <w:rPr>
          <w:rFonts w:ascii="Book Antiqua" w:hAnsi="Book Antiqua"/>
          <w:lang w:val="en-GB"/>
        </w:rPr>
        <w:t xml:space="preserve">he diverse experience of </w:t>
      </w:r>
      <w:r w:rsidR="009F6625">
        <w:rPr>
          <w:rFonts w:ascii="Book Antiqua" w:hAnsi="Book Antiqua"/>
          <w:lang w:val="en-GB"/>
        </w:rPr>
        <w:t>the</w:t>
      </w:r>
      <w:r w:rsidR="009F6625" w:rsidRPr="00A36A90">
        <w:rPr>
          <w:rFonts w:ascii="Book Antiqua" w:hAnsi="Book Antiqua"/>
          <w:lang w:val="en-GB"/>
        </w:rPr>
        <w:t xml:space="preserve"> </w:t>
      </w:r>
      <w:r w:rsidRPr="00A36A90">
        <w:rPr>
          <w:rFonts w:ascii="Book Antiqua" w:hAnsi="Book Antiqua"/>
          <w:lang w:val="en-GB"/>
        </w:rPr>
        <w:t xml:space="preserve">systems </w:t>
      </w:r>
      <w:r w:rsidR="009F6625">
        <w:rPr>
          <w:rFonts w:ascii="Book Antiqua" w:hAnsi="Book Antiqua"/>
          <w:lang w:val="en-GB"/>
        </w:rPr>
        <w:t xml:space="preserve">canvassed in part </w:t>
      </w:r>
      <w:r w:rsidR="00602330">
        <w:rPr>
          <w:rFonts w:ascii="Book Antiqua" w:hAnsi="Book Antiqua"/>
          <w:lang w:val="en-GB"/>
        </w:rPr>
        <w:t>I</w:t>
      </w:r>
      <w:r w:rsidR="009F6625">
        <w:rPr>
          <w:rFonts w:ascii="Book Antiqua" w:hAnsi="Book Antiqua"/>
          <w:lang w:val="en-GB"/>
        </w:rPr>
        <w:t xml:space="preserve"> </w:t>
      </w:r>
      <w:r w:rsidRPr="00A36A90">
        <w:rPr>
          <w:rFonts w:ascii="Book Antiqua" w:hAnsi="Book Antiqua"/>
          <w:lang w:val="en-GB"/>
        </w:rPr>
        <w:t>suggests that pre-enactment review frequently fails to achieve the full benefits of the ideal-type. All jurisdictions fall short in terms of creating room for full and free moral and political deliberation over rights norms b</w:t>
      </w:r>
      <w:r w:rsidR="00B811F5">
        <w:rPr>
          <w:rFonts w:ascii="Book Antiqua" w:hAnsi="Book Antiqua"/>
          <w:lang w:val="en-GB"/>
        </w:rPr>
        <w:t>y the political branches, with</w:t>
      </w:r>
      <w:r w:rsidRPr="00A36A90">
        <w:rPr>
          <w:rFonts w:ascii="Book Antiqua" w:hAnsi="Book Antiqua"/>
          <w:lang w:val="en-GB"/>
        </w:rPr>
        <w:t xml:space="preserve"> court-mimicking approach</w:t>
      </w:r>
      <w:r w:rsidR="00B811F5">
        <w:rPr>
          <w:rFonts w:ascii="Book Antiqua" w:hAnsi="Book Antiqua"/>
          <w:lang w:val="en-GB"/>
        </w:rPr>
        <w:t>es increasing</w:t>
      </w:r>
      <w:r w:rsidRPr="00A36A90">
        <w:rPr>
          <w:rFonts w:ascii="Book Antiqua" w:hAnsi="Book Antiqua"/>
          <w:lang w:val="en-GB"/>
        </w:rPr>
        <w:t xml:space="preserve"> in the influence of </w:t>
      </w:r>
      <w:r w:rsidRPr="00735395">
        <w:rPr>
          <w:rFonts w:ascii="Book Antiqua" w:hAnsi="Book Antiqua"/>
          <w:lang w:val="en-GB"/>
        </w:rPr>
        <w:t>government lawyers</w:t>
      </w:r>
      <w:r w:rsidR="00B811F5">
        <w:rPr>
          <w:rFonts w:ascii="Book Antiqua" w:hAnsi="Book Antiqua"/>
          <w:lang w:val="en-GB"/>
        </w:rPr>
        <w:t xml:space="preserve"> and</w:t>
      </w:r>
      <w:r w:rsidRPr="00A36A90">
        <w:rPr>
          <w:rFonts w:ascii="Book Antiqua" w:hAnsi="Book Antiqua"/>
          <w:lang w:val="en-GB"/>
        </w:rPr>
        <w:t xml:space="preserve"> working to reduce the risk of adverse court findings.</w:t>
      </w:r>
      <w:r w:rsidR="002673BA">
        <w:rPr>
          <w:rFonts w:ascii="Book Antiqua" w:hAnsi="Book Antiqua"/>
          <w:lang w:val="en-GB"/>
        </w:rPr>
        <w:t xml:space="preserve"> </w:t>
      </w:r>
      <w:r w:rsidR="00B811F5">
        <w:rPr>
          <w:rFonts w:ascii="Book Antiqua" w:hAnsi="Book Antiqua"/>
          <w:lang w:val="en-GB"/>
        </w:rPr>
        <w:t>P</w:t>
      </w:r>
      <w:r w:rsidRPr="00A36A90">
        <w:rPr>
          <w:rFonts w:ascii="Book Antiqua" w:hAnsi="Book Antiqua"/>
          <w:lang w:val="en-GB"/>
        </w:rPr>
        <w:t>arliament</w:t>
      </w:r>
      <w:r w:rsidR="00A52353">
        <w:rPr>
          <w:rFonts w:ascii="Book Antiqua" w:hAnsi="Book Antiqua"/>
          <w:lang w:val="en-GB"/>
        </w:rPr>
        <w:t>’s</w:t>
      </w:r>
      <w:r w:rsidRPr="00A36A90">
        <w:rPr>
          <w:rFonts w:ascii="Book Antiqua" w:hAnsi="Book Antiqua"/>
          <w:lang w:val="en-GB"/>
        </w:rPr>
        <w:t xml:space="preserve"> </w:t>
      </w:r>
      <w:r w:rsidR="00B811F5">
        <w:rPr>
          <w:rFonts w:ascii="Book Antiqua" w:hAnsi="Book Antiqua"/>
          <w:lang w:val="en-GB"/>
        </w:rPr>
        <w:t xml:space="preserve">supposed </w:t>
      </w:r>
      <w:r w:rsidRPr="00A36A90">
        <w:rPr>
          <w:rFonts w:ascii="Book Antiqua" w:hAnsi="Book Antiqua"/>
          <w:lang w:val="en-GB"/>
        </w:rPr>
        <w:t>role protecting rights through subjecting government assessments to scrutiny and press</w:t>
      </w:r>
      <w:r w:rsidR="00A52353">
        <w:rPr>
          <w:rFonts w:ascii="Book Antiqua" w:hAnsi="Book Antiqua"/>
          <w:lang w:val="en-GB"/>
        </w:rPr>
        <w:t>ure</w:t>
      </w:r>
      <w:r w:rsidR="00B811F5">
        <w:rPr>
          <w:rFonts w:ascii="Book Antiqua" w:hAnsi="Book Antiqua"/>
          <w:lang w:val="en-GB"/>
        </w:rPr>
        <w:t xml:space="preserve"> is at best </w:t>
      </w:r>
      <w:r w:rsidRPr="00A36A90">
        <w:rPr>
          <w:rFonts w:ascii="Book Antiqua" w:hAnsi="Book Antiqua"/>
          <w:lang w:val="en-GB"/>
        </w:rPr>
        <w:t>modest</w:t>
      </w:r>
      <w:r w:rsidR="00B811F5">
        <w:rPr>
          <w:rFonts w:ascii="Book Antiqua" w:hAnsi="Book Antiqua"/>
          <w:lang w:val="en-GB"/>
        </w:rPr>
        <w:t>ly achieved.</w:t>
      </w:r>
      <w:r w:rsidRPr="00A36A90">
        <w:rPr>
          <w:rFonts w:ascii="Book Antiqua" w:hAnsi="Book Antiqua"/>
          <w:lang w:val="en-GB"/>
        </w:rPr>
        <w:t xml:space="preserve"> </w:t>
      </w:r>
      <w:r w:rsidR="00B811F5">
        <w:rPr>
          <w:rFonts w:ascii="Book Antiqua" w:hAnsi="Book Antiqua"/>
          <w:lang w:val="en-GB"/>
        </w:rPr>
        <w:t>The process does not alter</w:t>
      </w:r>
      <w:r w:rsidRPr="00A36A90">
        <w:rPr>
          <w:rFonts w:ascii="Book Antiqua" w:hAnsi="Book Antiqua"/>
          <w:lang w:val="en-GB"/>
        </w:rPr>
        <w:t xml:space="preserve"> the balance of power between parliament and the executive </w:t>
      </w:r>
      <w:proofErr w:type="gramStart"/>
      <w:r w:rsidRPr="00A36A90">
        <w:rPr>
          <w:rFonts w:ascii="Book Antiqua" w:hAnsi="Book Antiqua"/>
          <w:lang w:val="en-GB"/>
        </w:rPr>
        <w:t>so as to</w:t>
      </w:r>
      <w:proofErr w:type="gramEnd"/>
      <w:r w:rsidRPr="00A36A90">
        <w:rPr>
          <w:rFonts w:ascii="Book Antiqua" w:hAnsi="Book Antiqua"/>
          <w:lang w:val="en-GB"/>
        </w:rPr>
        <w:t xml:space="preserve"> enable the former to “marshal sufficient power to force government to justify or modify” adverse decisions</w:t>
      </w:r>
      <w:r w:rsidR="00AC4348">
        <w:rPr>
          <w:rFonts w:ascii="Book Antiqua" w:hAnsi="Book Antiqua"/>
          <w:lang w:val="en-GB"/>
        </w:rPr>
        <w:t xml:space="preserve"> on rights</w:t>
      </w:r>
      <w:r w:rsidRPr="00A36A90">
        <w:rPr>
          <w:rFonts w:ascii="Book Antiqua" w:hAnsi="Book Antiqua"/>
          <w:lang w:val="en-GB"/>
        </w:rPr>
        <w:t>.</w:t>
      </w:r>
      <w:r w:rsidR="00B36A3D" w:rsidRPr="00A36A90">
        <w:rPr>
          <w:rStyle w:val="FootnoteReference"/>
          <w:rFonts w:ascii="Book Antiqua" w:hAnsi="Book Antiqua"/>
          <w:lang w:val="en-GB"/>
        </w:rPr>
        <w:footnoteReference w:id="114"/>
      </w:r>
    </w:p>
    <w:p w14:paraId="167404B3" w14:textId="77777777" w:rsidR="00347E16" w:rsidRPr="00A36A90" w:rsidRDefault="00347E16" w:rsidP="00347E16">
      <w:pPr>
        <w:spacing w:line="360" w:lineRule="auto"/>
        <w:jc w:val="both"/>
        <w:rPr>
          <w:rFonts w:ascii="Book Antiqua" w:hAnsi="Book Antiqua"/>
          <w:lang w:val="en-GB"/>
        </w:rPr>
      </w:pPr>
    </w:p>
    <w:p w14:paraId="188FB971" w14:textId="734F4632" w:rsidR="0029767D" w:rsidRDefault="00347E16" w:rsidP="00347E16">
      <w:pPr>
        <w:spacing w:line="360" w:lineRule="auto"/>
        <w:jc w:val="both"/>
        <w:rPr>
          <w:rFonts w:ascii="Book Antiqua" w:hAnsi="Book Antiqua"/>
          <w:i/>
          <w:lang w:val="en-GB"/>
        </w:rPr>
      </w:pPr>
      <w:r w:rsidRPr="00A36A90">
        <w:rPr>
          <w:rFonts w:ascii="Book Antiqua" w:hAnsi="Book Antiqua"/>
          <w:lang w:val="en-GB"/>
        </w:rPr>
        <w:t xml:space="preserve">The Japanese </w:t>
      </w:r>
      <w:r w:rsidR="00897809">
        <w:rPr>
          <w:rFonts w:ascii="Book Antiqua" w:hAnsi="Book Antiqua"/>
          <w:lang w:val="en-GB"/>
        </w:rPr>
        <w:t xml:space="preserve">and Irish </w:t>
      </w:r>
      <w:r w:rsidRPr="00A36A90">
        <w:rPr>
          <w:rFonts w:ascii="Book Antiqua" w:hAnsi="Book Antiqua"/>
          <w:lang w:val="en-GB"/>
        </w:rPr>
        <w:t>example</w:t>
      </w:r>
      <w:r w:rsidR="00897809">
        <w:rPr>
          <w:rFonts w:ascii="Book Antiqua" w:hAnsi="Book Antiqua"/>
          <w:lang w:val="en-GB"/>
        </w:rPr>
        <w:t xml:space="preserve">s, however, are of a </w:t>
      </w:r>
      <w:r w:rsidRPr="00A36A90">
        <w:rPr>
          <w:rFonts w:ascii="Book Antiqua" w:hAnsi="Book Antiqua"/>
          <w:lang w:val="en-GB"/>
        </w:rPr>
        <w:t>different</w:t>
      </w:r>
      <w:r w:rsidR="00897809">
        <w:rPr>
          <w:rFonts w:ascii="Book Antiqua" w:hAnsi="Book Antiqua"/>
          <w:lang w:val="en-GB"/>
        </w:rPr>
        <w:t xml:space="preserve"> sort</w:t>
      </w:r>
      <w:r w:rsidRPr="00A36A90">
        <w:rPr>
          <w:rFonts w:ascii="Book Antiqua" w:hAnsi="Book Antiqua"/>
          <w:lang w:val="en-GB"/>
        </w:rPr>
        <w:t xml:space="preserve">, and </w:t>
      </w:r>
      <w:r w:rsidR="00897809" w:rsidRPr="00897809">
        <w:rPr>
          <w:rFonts w:ascii="Book Antiqua" w:hAnsi="Book Antiqua"/>
          <w:lang w:val="en-GB"/>
        </w:rPr>
        <w:t>highlight</w:t>
      </w:r>
      <w:r w:rsidRPr="00A36A90">
        <w:rPr>
          <w:rFonts w:ascii="Book Antiqua" w:hAnsi="Book Antiqua"/>
          <w:lang w:val="en-GB"/>
        </w:rPr>
        <w:t xml:space="preserve"> ways pre-enactment political review can veer </w:t>
      </w:r>
      <w:r w:rsidR="00193F83">
        <w:rPr>
          <w:rFonts w:ascii="Book Antiqua" w:hAnsi="Book Antiqua"/>
          <w:lang w:val="en-GB"/>
        </w:rPr>
        <w:t>far</w:t>
      </w:r>
      <w:r w:rsidRPr="00A36A90">
        <w:rPr>
          <w:rFonts w:ascii="Book Antiqua" w:hAnsi="Book Antiqua"/>
          <w:lang w:val="en-GB"/>
        </w:rPr>
        <w:t xml:space="preserve"> further from the</w:t>
      </w:r>
      <w:r w:rsidR="00897809" w:rsidRPr="00897809">
        <w:rPr>
          <w:rFonts w:ascii="Book Antiqua" w:hAnsi="Book Antiqua"/>
          <w:lang w:val="en-GB"/>
        </w:rPr>
        <w:t xml:space="preserve"> ideal-</w:t>
      </w:r>
      <w:r w:rsidRPr="00A36A90">
        <w:rPr>
          <w:rFonts w:ascii="Book Antiqua" w:hAnsi="Book Antiqua"/>
          <w:lang w:val="en-GB"/>
        </w:rPr>
        <w:t>type account</w:t>
      </w:r>
      <w:r w:rsidR="002673BA">
        <w:rPr>
          <w:rFonts w:ascii="Book Antiqua" w:hAnsi="Book Antiqua"/>
          <w:lang w:val="en-GB"/>
        </w:rPr>
        <w:t xml:space="preserve"> </w:t>
      </w:r>
      <w:r w:rsidR="002673BA" w:rsidRPr="000F7612">
        <w:rPr>
          <w:rFonts w:ascii="Book Antiqua" w:hAnsi="Book Antiqua"/>
          <w:lang w:val="en-GB"/>
        </w:rPr>
        <w:t xml:space="preserve">and </w:t>
      </w:r>
      <w:r w:rsidR="002673BA">
        <w:rPr>
          <w:rFonts w:ascii="Book Antiqua" w:hAnsi="Book Antiqua"/>
          <w:lang w:val="en-GB"/>
        </w:rPr>
        <w:lastRenderedPageBreak/>
        <w:t xml:space="preserve">even </w:t>
      </w:r>
      <w:r w:rsidR="002673BA" w:rsidRPr="000F7612">
        <w:rPr>
          <w:rFonts w:ascii="Book Antiqua" w:hAnsi="Book Antiqua"/>
          <w:lang w:val="en-GB"/>
        </w:rPr>
        <w:t xml:space="preserve">its </w:t>
      </w:r>
      <w:r w:rsidR="002673BA">
        <w:rPr>
          <w:rFonts w:ascii="Book Antiqua" w:hAnsi="Book Antiqua"/>
          <w:lang w:val="en-GB"/>
        </w:rPr>
        <w:t xml:space="preserve">functional </w:t>
      </w:r>
      <w:r w:rsidR="002673BA" w:rsidRPr="000F7612">
        <w:rPr>
          <w:rFonts w:ascii="Book Antiqua" w:hAnsi="Book Antiqua"/>
          <w:lang w:val="en-GB"/>
        </w:rPr>
        <w:t>approximations</w:t>
      </w:r>
      <w:r w:rsidR="002673BA">
        <w:rPr>
          <w:rFonts w:ascii="Book Antiqua" w:hAnsi="Book Antiqua"/>
          <w:lang w:val="en-GB"/>
        </w:rPr>
        <w:t xml:space="preserve"> in Canada, New Zealand, and the UK</w:t>
      </w:r>
      <w:r w:rsidRPr="00A36A90">
        <w:rPr>
          <w:rFonts w:ascii="Book Antiqua" w:hAnsi="Book Antiqua"/>
          <w:lang w:val="en-GB"/>
        </w:rPr>
        <w:t xml:space="preserve">. </w:t>
      </w:r>
      <w:r w:rsidR="00897809">
        <w:rPr>
          <w:rFonts w:ascii="Book Antiqua" w:hAnsi="Book Antiqua"/>
          <w:lang w:val="en-GB"/>
        </w:rPr>
        <w:t xml:space="preserve">These </w:t>
      </w:r>
      <w:r w:rsidRPr="00A36A90">
        <w:rPr>
          <w:rFonts w:ascii="Book Antiqua" w:hAnsi="Book Antiqua"/>
          <w:lang w:val="en-GB"/>
        </w:rPr>
        <w:t>case</w:t>
      </w:r>
      <w:r w:rsidR="00A43CC5">
        <w:rPr>
          <w:rFonts w:ascii="Book Antiqua" w:hAnsi="Book Antiqua"/>
          <w:lang w:val="en-GB"/>
        </w:rPr>
        <w:t>s</w:t>
      </w:r>
      <w:r w:rsidRPr="00A36A90">
        <w:rPr>
          <w:rFonts w:ascii="Book Antiqua" w:hAnsi="Book Antiqua"/>
          <w:lang w:val="en-GB"/>
        </w:rPr>
        <w:t xml:space="preserve"> constitute a distinctive </w:t>
      </w:r>
      <w:r w:rsidR="00897809">
        <w:rPr>
          <w:rFonts w:ascii="Book Antiqua" w:hAnsi="Book Antiqua"/>
          <w:lang w:val="en-GB"/>
        </w:rPr>
        <w:t xml:space="preserve">form </w:t>
      </w:r>
      <w:r w:rsidRPr="00A36A90">
        <w:rPr>
          <w:rFonts w:ascii="Book Antiqua" w:hAnsi="Book Antiqua"/>
          <w:lang w:val="en-GB"/>
        </w:rPr>
        <w:t>of political constitutional review</w:t>
      </w:r>
      <w:r w:rsidR="00AC4348">
        <w:rPr>
          <w:rFonts w:ascii="Book Antiqua" w:hAnsi="Book Antiqua"/>
          <w:lang w:val="en-GB"/>
        </w:rPr>
        <w:t>,</w:t>
      </w:r>
      <w:r w:rsidR="009D16AA">
        <w:rPr>
          <w:rFonts w:ascii="Book Antiqua" w:hAnsi="Book Antiqua"/>
          <w:lang w:val="en-GB"/>
        </w:rPr>
        <w:t xml:space="preserve"> </w:t>
      </w:r>
      <w:r w:rsidRPr="00A36A90">
        <w:rPr>
          <w:rFonts w:ascii="Book Antiqua" w:hAnsi="Book Antiqua"/>
          <w:lang w:val="en-GB"/>
        </w:rPr>
        <w:t>characterised by high levels of executive</w:t>
      </w:r>
      <w:r w:rsidR="00F93BB9">
        <w:rPr>
          <w:rFonts w:ascii="Book Antiqua" w:hAnsi="Book Antiqua"/>
          <w:lang w:val="en-GB"/>
        </w:rPr>
        <w:t>/bureaucratic</w:t>
      </w:r>
      <w:r w:rsidRPr="00A36A90">
        <w:rPr>
          <w:rFonts w:ascii="Book Antiqua" w:hAnsi="Book Antiqua"/>
          <w:lang w:val="en-GB"/>
        </w:rPr>
        <w:t xml:space="preserve"> control</w:t>
      </w:r>
      <w:r w:rsidR="002673BA">
        <w:rPr>
          <w:rFonts w:ascii="Book Antiqua" w:hAnsi="Book Antiqua"/>
          <w:lang w:val="en-GB"/>
        </w:rPr>
        <w:t>;</w:t>
      </w:r>
      <w:r w:rsidRPr="00A36A90">
        <w:rPr>
          <w:rFonts w:ascii="Book Antiqua" w:hAnsi="Book Antiqua"/>
          <w:lang w:val="en-GB"/>
        </w:rPr>
        <w:t xml:space="preserve"> opacity and secrecy</w:t>
      </w:r>
      <w:r w:rsidR="002673BA">
        <w:rPr>
          <w:rFonts w:ascii="Book Antiqua" w:hAnsi="Book Antiqua"/>
          <w:lang w:val="en-GB"/>
        </w:rPr>
        <w:t xml:space="preserve">; disempowering of parliament; </w:t>
      </w:r>
      <w:r w:rsidR="000D1961">
        <w:rPr>
          <w:rFonts w:ascii="Book Antiqua" w:hAnsi="Book Antiqua"/>
          <w:lang w:val="en-GB"/>
        </w:rPr>
        <w:t>potentially allow</w:t>
      </w:r>
      <w:r w:rsidR="00BF33DB">
        <w:rPr>
          <w:rFonts w:ascii="Book Antiqua" w:hAnsi="Book Antiqua"/>
          <w:lang w:val="en-GB"/>
        </w:rPr>
        <w:t>ing</w:t>
      </w:r>
      <w:r w:rsidR="000D1961">
        <w:rPr>
          <w:rFonts w:ascii="Book Antiqua" w:hAnsi="Book Antiqua"/>
          <w:lang w:val="en-GB"/>
        </w:rPr>
        <w:t xml:space="preserve"> for abuse by the executive; </w:t>
      </w:r>
      <w:r w:rsidR="002673BA">
        <w:rPr>
          <w:rFonts w:ascii="Book Antiqua" w:hAnsi="Book Antiqua"/>
          <w:lang w:val="en-GB"/>
        </w:rPr>
        <w:t xml:space="preserve">and </w:t>
      </w:r>
      <w:r w:rsidRPr="00A36A90">
        <w:rPr>
          <w:rFonts w:ascii="Book Antiqua" w:hAnsi="Book Antiqua"/>
          <w:lang w:val="en-GB"/>
        </w:rPr>
        <w:t>generat</w:t>
      </w:r>
      <w:r w:rsidR="002673BA">
        <w:rPr>
          <w:rFonts w:ascii="Book Antiqua" w:hAnsi="Book Antiqua"/>
          <w:lang w:val="en-GB"/>
        </w:rPr>
        <w:t>ing</w:t>
      </w:r>
      <w:r w:rsidRPr="00A36A90">
        <w:rPr>
          <w:rFonts w:ascii="Book Antiqua" w:hAnsi="Book Antiqua"/>
          <w:lang w:val="en-GB"/>
        </w:rPr>
        <w:t xml:space="preserve"> consequences contrary to the goals of political constitutionalism</w:t>
      </w:r>
      <w:r w:rsidR="00897809" w:rsidRPr="00897809">
        <w:rPr>
          <w:rFonts w:ascii="Book Antiqua" w:hAnsi="Book Antiqua"/>
          <w:lang w:val="en-GB"/>
        </w:rPr>
        <w:t xml:space="preserve">. </w:t>
      </w:r>
      <w:r w:rsidR="0029767D">
        <w:rPr>
          <w:rFonts w:ascii="Book Antiqua" w:hAnsi="Book Antiqua"/>
          <w:lang w:val="en-GB"/>
        </w:rPr>
        <w:t>We call this</w:t>
      </w:r>
      <w:r w:rsidR="0029767D" w:rsidRPr="0029767D">
        <w:rPr>
          <w:rFonts w:ascii="Book Antiqua" w:hAnsi="Book Antiqua"/>
          <w:lang w:val="en-GB"/>
        </w:rPr>
        <w:t xml:space="preserve"> </w:t>
      </w:r>
      <w:r w:rsidR="0029767D" w:rsidRPr="000F7612">
        <w:rPr>
          <w:rFonts w:ascii="Book Antiqua" w:hAnsi="Book Antiqua"/>
          <w:lang w:val="en-GB"/>
        </w:rPr>
        <w:t>phenomenon ‘</w:t>
      </w:r>
      <w:r w:rsidR="0029767D" w:rsidRPr="00A36A90">
        <w:rPr>
          <w:rFonts w:ascii="Book Antiqua" w:hAnsi="Book Antiqua"/>
          <w:lang w:val="en-GB"/>
        </w:rPr>
        <w:t>shadow constitutional</w:t>
      </w:r>
      <w:r w:rsidR="0029767D" w:rsidRPr="000F7612">
        <w:rPr>
          <w:rFonts w:ascii="Book Antiqua" w:hAnsi="Book Antiqua"/>
          <w:i/>
          <w:lang w:val="en-GB"/>
        </w:rPr>
        <w:t xml:space="preserve"> </w:t>
      </w:r>
      <w:r w:rsidR="0029767D" w:rsidRPr="00A36A90">
        <w:rPr>
          <w:rFonts w:ascii="Book Antiqua" w:hAnsi="Book Antiqua"/>
          <w:lang w:val="en-GB"/>
        </w:rPr>
        <w:t>review’</w:t>
      </w:r>
      <w:r w:rsidR="0072608F">
        <w:rPr>
          <w:rFonts w:ascii="Book Antiqua" w:hAnsi="Book Antiqua"/>
          <w:i/>
          <w:lang w:val="en-GB"/>
        </w:rPr>
        <w:t xml:space="preserve">, </w:t>
      </w:r>
      <w:r w:rsidR="0072608F">
        <w:rPr>
          <w:rFonts w:ascii="Book Antiqua" w:hAnsi="Book Antiqua"/>
          <w:lang w:val="en-GB"/>
        </w:rPr>
        <w:t xml:space="preserve">where the </w:t>
      </w:r>
      <w:r w:rsidR="0072608F" w:rsidRPr="00A83949">
        <w:rPr>
          <w:rFonts w:ascii="Book Antiqua" w:hAnsi="Book Antiqua"/>
          <w:lang w:val="en-GB"/>
        </w:rPr>
        <w:t xml:space="preserve">political review </w:t>
      </w:r>
      <w:r w:rsidR="0072608F">
        <w:rPr>
          <w:rFonts w:ascii="Book Antiqua" w:hAnsi="Book Antiqua"/>
          <w:lang w:val="en-GB"/>
        </w:rPr>
        <w:t>process effectively becomes a parallel and opaque mirror of judicial review.</w:t>
      </w:r>
    </w:p>
    <w:p w14:paraId="1DE4F461" w14:textId="77777777" w:rsidR="0029767D" w:rsidRDefault="0029767D" w:rsidP="00347E16">
      <w:pPr>
        <w:spacing w:line="360" w:lineRule="auto"/>
        <w:jc w:val="both"/>
        <w:rPr>
          <w:rFonts w:ascii="Book Antiqua" w:hAnsi="Book Antiqua"/>
          <w:lang w:val="en-GB"/>
        </w:rPr>
      </w:pPr>
    </w:p>
    <w:p w14:paraId="7BE516F9" w14:textId="4A567907" w:rsidR="00347E16" w:rsidRDefault="0029767D" w:rsidP="00347E16">
      <w:pPr>
        <w:spacing w:line="360" w:lineRule="auto"/>
        <w:jc w:val="both"/>
        <w:rPr>
          <w:rFonts w:ascii="Book Antiqua" w:hAnsi="Book Antiqua"/>
          <w:u w:val="single"/>
          <w:lang w:val="en-GB"/>
        </w:rPr>
      </w:pPr>
      <w:r>
        <w:rPr>
          <w:rFonts w:ascii="Book Antiqua" w:hAnsi="Book Antiqua"/>
          <w:lang w:val="en-GB"/>
        </w:rPr>
        <w:t xml:space="preserve">This term is apt because in each case, pre-enactment review has </w:t>
      </w:r>
      <w:r w:rsidR="00502062">
        <w:rPr>
          <w:rFonts w:ascii="Book Antiqua" w:hAnsi="Book Antiqua"/>
          <w:lang w:val="en-GB"/>
        </w:rPr>
        <w:t xml:space="preserve">effectively </w:t>
      </w:r>
      <w:r>
        <w:rPr>
          <w:rFonts w:ascii="Book Antiqua" w:hAnsi="Book Antiqua"/>
          <w:lang w:val="en-GB"/>
        </w:rPr>
        <w:t>created</w:t>
      </w:r>
      <w:r w:rsidR="00897809" w:rsidRPr="00897809">
        <w:rPr>
          <w:rFonts w:ascii="Book Antiqua" w:hAnsi="Book Antiqua"/>
          <w:lang w:val="en-GB"/>
        </w:rPr>
        <w:t xml:space="preserve"> an alternative system of constitutional </w:t>
      </w:r>
      <w:r w:rsidR="00897809">
        <w:rPr>
          <w:rFonts w:ascii="Book Antiqua" w:hAnsi="Book Antiqua"/>
          <w:lang w:val="en-GB"/>
        </w:rPr>
        <w:t>review</w:t>
      </w:r>
      <w:r w:rsidR="00897809" w:rsidRPr="00897809">
        <w:rPr>
          <w:rFonts w:ascii="Book Antiqua" w:hAnsi="Book Antiqua"/>
          <w:lang w:val="en-GB"/>
        </w:rPr>
        <w:t xml:space="preserve"> </w:t>
      </w:r>
      <w:r w:rsidR="00897809">
        <w:rPr>
          <w:rFonts w:ascii="Book Antiqua" w:hAnsi="Book Antiqua"/>
          <w:lang w:val="en-GB"/>
        </w:rPr>
        <w:t xml:space="preserve">which </w:t>
      </w:r>
      <w:r w:rsidR="00502062">
        <w:rPr>
          <w:rFonts w:ascii="Book Antiqua" w:hAnsi="Book Antiqua"/>
          <w:lang w:val="en-GB"/>
        </w:rPr>
        <w:t xml:space="preserve">may </w:t>
      </w:r>
      <w:r w:rsidR="00897809">
        <w:rPr>
          <w:rFonts w:ascii="Book Antiqua" w:hAnsi="Book Antiqua"/>
          <w:lang w:val="en-GB"/>
        </w:rPr>
        <w:t xml:space="preserve">even </w:t>
      </w:r>
      <w:r>
        <w:rPr>
          <w:rFonts w:ascii="Book Antiqua" w:hAnsi="Book Antiqua"/>
          <w:lang w:val="en-GB"/>
        </w:rPr>
        <w:t>hamper aspects of the judicial review process</w:t>
      </w:r>
      <w:r w:rsidR="00AC4348">
        <w:rPr>
          <w:rFonts w:ascii="Book Antiqua" w:hAnsi="Book Antiqua"/>
          <w:lang w:val="en-GB"/>
        </w:rPr>
        <w:t>,</w:t>
      </w:r>
      <w:r>
        <w:rPr>
          <w:rFonts w:ascii="Book Antiqua" w:hAnsi="Book Antiqua"/>
          <w:lang w:val="en-GB"/>
        </w:rPr>
        <w:t xml:space="preserve"> but lacks the democratic legitimacy and other </w:t>
      </w:r>
      <w:r w:rsidR="00AC4348">
        <w:rPr>
          <w:rFonts w:ascii="Book Antiqua" w:hAnsi="Book Antiqua"/>
          <w:lang w:val="en-GB"/>
        </w:rPr>
        <w:t xml:space="preserve">potential </w:t>
      </w:r>
      <w:r>
        <w:rPr>
          <w:rFonts w:ascii="Book Antiqua" w:hAnsi="Book Antiqua"/>
          <w:lang w:val="en-GB"/>
        </w:rPr>
        <w:t xml:space="preserve">advantages of </w:t>
      </w:r>
      <w:r w:rsidR="00AC4348">
        <w:rPr>
          <w:rFonts w:ascii="Book Antiqua" w:hAnsi="Book Antiqua"/>
          <w:lang w:val="en-GB"/>
        </w:rPr>
        <w:t xml:space="preserve">political </w:t>
      </w:r>
      <w:r>
        <w:rPr>
          <w:rFonts w:ascii="Book Antiqua" w:hAnsi="Book Antiqua"/>
          <w:lang w:val="en-GB"/>
        </w:rPr>
        <w:t>review.</w:t>
      </w:r>
      <w:r w:rsidR="00347E16" w:rsidRPr="00A36A90">
        <w:rPr>
          <w:rFonts w:ascii="Book Antiqua" w:hAnsi="Book Antiqua"/>
          <w:lang w:val="en-GB"/>
        </w:rPr>
        <w:t xml:space="preserve"> </w:t>
      </w:r>
      <w:r>
        <w:rPr>
          <w:rFonts w:ascii="Book Antiqua" w:hAnsi="Book Antiqua"/>
          <w:lang w:val="en-GB"/>
        </w:rPr>
        <w:t xml:space="preserve">Shadow constitutional review of this sort can </w:t>
      </w:r>
      <w:r w:rsidR="00347E16" w:rsidRPr="00A36A90">
        <w:rPr>
          <w:rFonts w:ascii="Book Antiqua" w:hAnsi="Book Antiqua"/>
          <w:lang w:val="en-GB"/>
        </w:rPr>
        <w:t>distort the functioning of actors in the constitutional order and alienate the constitution and rights issues from</w:t>
      </w:r>
      <w:r w:rsidR="00AC4348">
        <w:rPr>
          <w:rFonts w:ascii="Book Antiqua" w:hAnsi="Book Antiqua"/>
          <w:lang w:val="en-GB"/>
        </w:rPr>
        <w:t xml:space="preserve"> the politicians and the people.</w:t>
      </w:r>
      <w:r w:rsidR="00347E16" w:rsidRPr="00A36A90">
        <w:rPr>
          <w:rFonts w:ascii="Book Antiqua" w:hAnsi="Book Antiqua"/>
          <w:lang w:val="en-GB"/>
        </w:rPr>
        <w:t xml:space="preserve"> </w:t>
      </w:r>
    </w:p>
    <w:p w14:paraId="38B13E67" w14:textId="77777777" w:rsidR="00347E16" w:rsidRDefault="00347E16" w:rsidP="003B2957">
      <w:pPr>
        <w:spacing w:line="360" w:lineRule="auto"/>
        <w:jc w:val="both"/>
        <w:rPr>
          <w:rFonts w:ascii="Book Antiqua" w:hAnsi="Book Antiqua"/>
          <w:lang w:val="en-GB"/>
        </w:rPr>
      </w:pPr>
    </w:p>
    <w:p w14:paraId="2D6BEBF4" w14:textId="41082394" w:rsidR="00551087" w:rsidRDefault="003725A7" w:rsidP="003B2957">
      <w:pPr>
        <w:spacing w:line="360" w:lineRule="auto"/>
        <w:jc w:val="both"/>
        <w:rPr>
          <w:rFonts w:ascii="Book Antiqua" w:hAnsi="Book Antiqua"/>
          <w:lang w:val="en-GB"/>
        </w:rPr>
      </w:pPr>
      <w:r>
        <w:rPr>
          <w:rFonts w:ascii="Book Antiqua" w:hAnsi="Book Antiqua"/>
          <w:lang w:val="en-GB"/>
        </w:rPr>
        <w:t xml:space="preserve">Several key features stand out in </w:t>
      </w:r>
      <w:r w:rsidR="001A1040">
        <w:rPr>
          <w:rFonts w:ascii="Book Antiqua" w:hAnsi="Book Antiqua"/>
          <w:lang w:val="en-GB"/>
        </w:rPr>
        <w:t>Ireland</w:t>
      </w:r>
      <w:r>
        <w:rPr>
          <w:rFonts w:ascii="Book Antiqua" w:hAnsi="Book Antiqua"/>
          <w:lang w:val="en-GB"/>
        </w:rPr>
        <w:t xml:space="preserve"> and Japan’s</w:t>
      </w:r>
      <w:r w:rsidR="003B2957">
        <w:rPr>
          <w:rFonts w:ascii="Book Antiqua" w:hAnsi="Book Antiqua"/>
          <w:lang w:val="en-GB"/>
        </w:rPr>
        <w:t xml:space="preserve"> form</w:t>
      </w:r>
      <w:r w:rsidR="001A1040">
        <w:rPr>
          <w:rFonts w:ascii="Book Antiqua" w:hAnsi="Book Antiqua"/>
          <w:lang w:val="en-GB"/>
        </w:rPr>
        <w:t xml:space="preserve"> </w:t>
      </w:r>
      <w:r>
        <w:rPr>
          <w:rFonts w:ascii="Book Antiqua" w:hAnsi="Book Antiqua"/>
          <w:lang w:val="en-GB"/>
        </w:rPr>
        <w:t xml:space="preserve">of </w:t>
      </w:r>
      <w:r w:rsidR="001A1040">
        <w:rPr>
          <w:rFonts w:ascii="Book Antiqua" w:hAnsi="Book Antiqua"/>
          <w:lang w:val="en-GB"/>
        </w:rPr>
        <w:t>pre-enactment review</w:t>
      </w:r>
      <w:r w:rsidR="00551087">
        <w:rPr>
          <w:rFonts w:ascii="Book Antiqua" w:hAnsi="Book Antiqua"/>
          <w:lang w:val="en-GB"/>
        </w:rPr>
        <w:t>, though they differ in ext</w:t>
      </w:r>
      <w:r w:rsidR="00502062">
        <w:rPr>
          <w:rFonts w:ascii="Book Antiqua" w:hAnsi="Book Antiqua"/>
          <w:lang w:val="en-GB"/>
        </w:rPr>
        <w:t>ent and specifics in each place:</w:t>
      </w:r>
      <w:r w:rsidR="001A1040">
        <w:rPr>
          <w:rFonts w:ascii="Book Antiqua" w:hAnsi="Book Antiqua"/>
          <w:lang w:val="en-GB"/>
        </w:rPr>
        <w:t xml:space="preserve"> </w:t>
      </w:r>
    </w:p>
    <w:p w14:paraId="7CCCE811" w14:textId="77777777" w:rsidR="00551087" w:rsidRDefault="00551087" w:rsidP="003B2957">
      <w:pPr>
        <w:spacing w:line="360" w:lineRule="auto"/>
        <w:jc w:val="both"/>
        <w:rPr>
          <w:rFonts w:ascii="Book Antiqua" w:hAnsi="Book Antiqua"/>
          <w:lang w:val="en-GB"/>
        </w:rPr>
      </w:pPr>
    </w:p>
    <w:p w14:paraId="5BEFDDBE" w14:textId="06E28E80" w:rsidR="00551087" w:rsidRPr="00A36A90" w:rsidRDefault="00BA109C" w:rsidP="00A36A90">
      <w:pPr>
        <w:pStyle w:val="ListParagraph"/>
        <w:numPr>
          <w:ilvl w:val="0"/>
          <w:numId w:val="21"/>
        </w:numPr>
        <w:spacing w:line="360" w:lineRule="auto"/>
        <w:jc w:val="both"/>
        <w:rPr>
          <w:rFonts w:ascii="Book Antiqua" w:hAnsi="Book Antiqua"/>
          <w:lang w:val="en-GB"/>
        </w:rPr>
      </w:pPr>
      <w:r w:rsidRPr="00A36A90">
        <w:rPr>
          <w:rFonts w:ascii="Book Antiqua" w:hAnsi="Book Antiqua"/>
          <w:lang w:val="en-GB"/>
        </w:rPr>
        <w:t xml:space="preserve">a system of </w:t>
      </w:r>
      <w:r w:rsidR="00551087">
        <w:rPr>
          <w:rFonts w:ascii="Book Antiqua" w:hAnsi="Book Antiqua"/>
          <w:lang w:val="en-GB"/>
        </w:rPr>
        <w:t>advice</w:t>
      </w:r>
      <w:r w:rsidR="00602330">
        <w:rPr>
          <w:rFonts w:ascii="Book Antiqua" w:hAnsi="Book Antiqua"/>
          <w:lang w:val="en-GB"/>
        </w:rPr>
        <w:t>, with scant textual basis in the constitution, provided</w:t>
      </w:r>
      <w:r w:rsidR="00551087">
        <w:rPr>
          <w:rFonts w:ascii="Book Antiqua" w:hAnsi="Book Antiqua"/>
          <w:lang w:val="en-GB"/>
        </w:rPr>
        <w:t xml:space="preserve"> </w:t>
      </w:r>
      <w:r w:rsidR="00AC4348">
        <w:rPr>
          <w:rFonts w:ascii="Book Antiqua" w:hAnsi="Book Antiqua"/>
          <w:lang w:val="en-GB"/>
        </w:rPr>
        <w:t>by an</w:t>
      </w:r>
      <w:r w:rsidR="00E54CA8" w:rsidRPr="00E54CA8">
        <w:rPr>
          <w:rFonts w:ascii="Book Antiqua" w:hAnsi="Book Antiqua"/>
          <w:lang w:val="en-GB"/>
        </w:rPr>
        <w:t xml:space="preserve"> </w:t>
      </w:r>
      <w:r w:rsidR="00E54CA8">
        <w:rPr>
          <w:rFonts w:ascii="Book Antiqua" w:hAnsi="Book Antiqua"/>
          <w:lang w:val="en-GB"/>
        </w:rPr>
        <w:t>advisory adjunct of the executive</w:t>
      </w:r>
      <w:r w:rsidR="00551087">
        <w:rPr>
          <w:rFonts w:ascii="Book Antiqua" w:hAnsi="Book Antiqua"/>
          <w:lang w:val="en-GB"/>
        </w:rPr>
        <w:t>;</w:t>
      </w:r>
    </w:p>
    <w:p w14:paraId="6FECA060" w14:textId="712FFE37" w:rsidR="00551087" w:rsidRDefault="00BA109C" w:rsidP="00A36A90">
      <w:pPr>
        <w:pStyle w:val="ListParagraph"/>
        <w:numPr>
          <w:ilvl w:val="0"/>
          <w:numId w:val="21"/>
        </w:numPr>
        <w:spacing w:line="360" w:lineRule="auto"/>
        <w:jc w:val="both"/>
        <w:rPr>
          <w:rFonts w:ascii="Book Antiqua" w:hAnsi="Book Antiqua"/>
          <w:lang w:val="en-GB"/>
        </w:rPr>
      </w:pPr>
      <w:r w:rsidRPr="00A36A90">
        <w:rPr>
          <w:rFonts w:ascii="Book Antiqua" w:hAnsi="Book Antiqua"/>
          <w:lang w:val="en-GB"/>
        </w:rPr>
        <w:t xml:space="preserve"> an absence of transparency </w:t>
      </w:r>
      <w:r w:rsidR="00911E67">
        <w:rPr>
          <w:rFonts w:ascii="Book Antiqua" w:hAnsi="Book Antiqua"/>
          <w:lang w:val="en-GB"/>
        </w:rPr>
        <w:t xml:space="preserve">in the process of </w:t>
      </w:r>
      <w:r w:rsidR="00911E67" w:rsidRPr="00A36A90">
        <w:rPr>
          <w:rFonts w:ascii="Book Antiqua" w:hAnsi="Book Antiqua"/>
          <w:lang w:val="en-GB"/>
        </w:rPr>
        <w:t>the review</w:t>
      </w:r>
      <w:r w:rsidR="00911E67">
        <w:rPr>
          <w:rFonts w:ascii="Book Antiqua" w:hAnsi="Book Antiqua"/>
          <w:lang w:val="en-GB"/>
        </w:rPr>
        <w:t xml:space="preserve"> and in the substance, </w:t>
      </w:r>
      <w:r w:rsidRPr="00A36A90">
        <w:rPr>
          <w:rFonts w:ascii="Book Antiqua" w:hAnsi="Book Antiqua"/>
          <w:lang w:val="en-GB"/>
        </w:rPr>
        <w:t>norms and standards governing</w:t>
      </w:r>
      <w:r w:rsidR="00911E67">
        <w:rPr>
          <w:rFonts w:ascii="Book Antiqua" w:hAnsi="Book Antiqua"/>
          <w:lang w:val="en-GB"/>
        </w:rPr>
        <w:t xml:space="preserve"> it</w:t>
      </w:r>
      <w:r w:rsidRPr="00A36A90">
        <w:rPr>
          <w:rFonts w:ascii="Book Antiqua" w:hAnsi="Book Antiqua"/>
          <w:lang w:val="en-GB"/>
        </w:rPr>
        <w:t xml:space="preserve">; </w:t>
      </w:r>
    </w:p>
    <w:p w14:paraId="3A96A4F8" w14:textId="77777777" w:rsidR="002673BA" w:rsidRDefault="002673BA" w:rsidP="002673BA">
      <w:pPr>
        <w:pStyle w:val="ListParagraph"/>
        <w:numPr>
          <w:ilvl w:val="0"/>
          <w:numId w:val="21"/>
        </w:numPr>
        <w:spacing w:line="360" w:lineRule="auto"/>
        <w:jc w:val="both"/>
        <w:rPr>
          <w:rFonts w:ascii="Book Antiqua" w:hAnsi="Book Antiqua"/>
          <w:lang w:val="en-GB"/>
        </w:rPr>
      </w:pPr>
      <w:r>
        <w:rPr>
          <w:rFonts w:ascii="Book Antiqua" w:hAnsi="Book Antiqua"/>
          <w:lang w:val="en-GB"/>
        </w:rPr>
        <w:t>limited</w:t>
      </w:r>
      <w:r w:rsidRPr="000F7612">
        <w:rPr>
          <w:rFonts w:ascii="Book Antiqua" w:hAnsi="Book Antiqua"/>
          <w:lang w:val="en-GB"/>
        </w:rPr>
        <w:t xml:space="preserve"> disclosure </w:t>
      </w:r>
      <w:r>
        <w:rPr>
          <w:rFonts w:ascii="Book Antiqua" w:hAnsi="Book Antiqua"/>
          <w:lang w:val="en-GB"/>
        </w:rPr>
        <w:t xml:space="preserve">to the public </w:t>
      </w:r>
      <w:r w:rsidRPr="000F7612">
        <w:rPr>
          <w:rFonts w:ascii="Book Antiqua" w:hAnsi="Book Antiqua"/>
          <w:lang w:val="en-GB"/>
        </w:rPr>
        <w:t>of the legal justification for asserting compliance or non-compliance of a policy measure with the constitution;</w:t>
      </w:r>
    </w:p>
    <w:p w14:paraId="5938768B" w14:textId="5372FD76" w:rsidR="002673BA" w:rsidRPr="00F603FC" w:rsidRDefault="002673BA" w:rsidP="002673BA">
      <w:pPr>
        <w:pStyle w:val="ListParagraph"/>
        <w:numPr>
          <w:ilvl w:val="0"/>
          <w:numId w:val="21"/>
        </w:numPr>
        <w:spacing w:line="360" w:lineRule="auto"/>
        <w:jc w:val="both"/>
        <w:rPr>
          <w:rFonts w:ascii="Book Antiqua" w:hAnsi="Book Antiqua"/>
          <w:lang w:val="en-GB"/>
        </w:rPr>
      </w:pPr>
      <w:r w:rsidRPr="000F7612">
        <w:rPr>
          <w:rFonts w:ascii="Book Antiqua" w:hAnsi="Book Antiqua"/>
          <w:lang w:val="en-GB"/>
        </w:rPr>
        <w:t xml:space="preserve">a </w:t>
      </w:r>
      <w:r>
        <w:rPr>
          <w:rFonts w:ascii="Book Antiqua" w:hAnsi="Book Antiqua"/>
          <w:lang w:val="en-GB"/>
        </w:rPr>
        <w:t>consequent</w:t>
      </w:r>
      <w:r w:rsidR="000D1961">
        <w:rPr>
          <w:rFonts w:ascii="Book Antiqua" w:hAnsi="Book Antiqua"/>
          <w:lang w:val="en-GB"/>
        </w:rPr>
        <w:t>ly</w:t>
      </w:r>
      <w:r>
        <w:rPr>
          <w:rFonts w:ascii="Book Antiqua" w:hAnsi="Book Antiqua"/>
          <w:lang w:val="en-GB"/>
        </w:rPr>
        <w:t xml:space="preserve"> </w:t>
      </w:r>
      <w:r w:rsidRPr="000F7612">
        <w:rPr>
          <w:rFonts w:ascii="Book Antiqua" w:hAnsi="Book Antiqua"/>
          <w:lang w:val="en-GB"/>
        </w:rPr>
        <w:t xml:space="preserve">minimal role for parliamentary </w:t>
      </w:r>
      <w:r>
        <w:rPr>
          <w:rFonts w:ascii="Book Antiqua" w:hAnsi="Book Antiqua"/>
          <w:lang w:val="en-GB"/>
        </w:rPr>
        <w:t xml:space="preserve">or public </w:t>
      </w:r>
      <w:r w:rsidRPr="000F7612">
        <w:rPr>
          <w:rFonts w:ascii="Book Antiqua" w:hAnsi="Book Antiqua"/>
          <w:lang w:val="en-GB"/>
        </w:rPr>
        <w:t xml:space="preserve">contestation or scrutiny </w:t>
      </w:r>
      <w:r>
        <w:rPr>
          <w:rFonts w:ascii="Book Antiqua" w:hAnsi="Book Antiqua"/>
          <w:lang w:val="en-GB"/>
        </w:rPr>
        <w:t xml:space="preserve">of </w:t>
      </w:r>
      <w:r w:rsidRPr="000F7612">
        <w:rPr>
          <w:rFonts w:ascii="Book Antiqua" w:hAnsi="Book Antiqua"/>
          <w:lang w:val="en-GB"/>
        </w:rPr>
        <w:t>execut</w:t>
      </w:r>
      <w:r>
        <w:rPr>
          <w:rFonts w:ascii="Book Antiqua" w:hAnsi="Book Antiqua"/>
          <w:lang w:val="en-GB"/>
        </w:rPr>
        <w:t xml:space="preserve">ive review of constitutionality; </w:t>
      </w:r>
    </w:p>
    <w:p w14:paraId="4264C4FD" w14:textId="1AA262F9" w:rsidR="00551087" w:rsidRDefault="00551087" w:rsidP="00A36A90">
      <w:pPr>
        <w:pStyle w:val="ListParagraph"/>
        <w:numPr>
          <w:ilvl w:val="0"/>
          <w:numId w:val="21"/>
        </w:numPr>
        <w:spacing w:line="360" w:lineRule="auto"/>
        <w:jc w:val="both"/>
        <w:rPr>
          <w:rFonts w:ascii="Book Antiqua" w:hAnsi="Book Antiqua"/>
          <w:lang w:val="en-GB"/>
        </w:rPr>
      </w:pPr>
      <w:r>
        <w:rPr>
          <w:rFonts w:ascii="Book Antiqua" w:hAnsi="Book Antiqua"/>
          <w:lang w:val="en-GB"/>
        </w:rPr>
        <w:t xml:space="preserve">a high degree of court-mimicking in the provision of advice, and the </w:t>
      </w:r>
      <w:r w:rsidR="00BA109C" w:rsidRPr="00A36A90">
        <w:rPr>
          <w:rFonts w:ascii="Book Antiqua" w:hAnsi="Book Antiqua"/>
          <w:lang w:val="en-GB"/>
        </w:rPr>
        <w:t xml:space="preserve">uncertainty over whether the </w:t>
      </w:r>
      <w:r>
        <w:rPr>
          <w:rFonts w:ascii="Book Antiqua" w:hAnsi="Book Antiqua"/>
          <w:lang w:val="en-GB"/>
        </w:rPr>
        <w:t xml:space="preserve">advisors </w:t>
      </w:r>
      <w:r w:rsidR="00AC4348">
        <w:rPr>
          <w:rFonts w:ascii="Book Antiqua" w:hAnsi="Book Antiqua"/>
          <w:lang w:val="en-GB"/>
        </w:rPr>
        <w:t xml:space="preserve">shape or posit a new </w:t>
      </w:r>
      <w:r w:rsidR="00BA109C" w:rsidRPr="00A36A90">
        <w:rPr>
          <w:rFonts w:ascii="Book Antiqua" w:hAnsi="Book Antiqua"/>
          <w:lang w:val="en-GB"/>
        </w:rPr>
        <w:t xml:space="preserve">interpretation that </w:t>
      </w:r>
      <w:r w:rsidR="00AC4348">
        <w:rPr>
          <w:rFonts w:ascii="Book Antiqua" w:hAnsi="Book Antiqua"/>
          <w:lang w:val="en-GB"/>
        </w:rPr>
        <w:t xml:space="preserve">would </w:t>
      </w:r>
      <w:r w:rsidR="00BA109C" w:rsidRPr="00A36A90">
        <w:rPr>
          <w:rFonts w:ascii="Book Antiqua" w:hAnsi="Book Antiqua"/>
          <w:lang w:val="en-GB"/>
        </w:rPr>
        <w:t xml:space="preserve">anticipate </w:t>
      </w:r>
      <w:r w:rsidR="00AC4348">
        <w:rPr>
          <w:rFonts w:ascii="Book Antiqua" w:hAnsi="Book Antiqua"/>
          <w:lang w:val="en-GB"/>
        </w:rPr>
        <w:t xml:space="preserve">a change in </w:t>
      </w:r>
      <w:r w:rsidR="00BA109C" w:rsidRPr="00A36A90">
        <w:rPr>
          <w:rFonts w:ascii="Book Antiqua" w:hAnsi="Book Antiqua"/>
          <w:lang w:val="en-GB"/>
        </w:rPr>
        <w:t xml:space="preserve">or </w:t>
      </w:r>
      <w:r w:rsidR="00AC4348">
        <w:rPr>
          <w:rFonts w:ascii="Book Antiqua" w:hAnsi="Book Antiqua"/>
          <w:lang w:val="en-GB"/>
        </w:rPr>
        <w:t xml:space="preserve">markedly </w:t>
      </w:r>
      <w:r w:rsidR="00BA109C" w:rsidRPr="00A36A90">
        <w:rPr>
          <w:rFonts w:ascii="Book Antiqua" w:hAnsi="Book Antiqua"/>
          <w:lang w:val="en-GB"/>
        </w:rPr>
        <w:t xml:space="preserve">diverge from </w:t>
      </w:r>
      <w:r w:rsidR="00602330">
        <w:rPr>
          <w:rFonts w:ascii="Book Antiqua" w:hAnsi="Book Antiqua"/>
          <w:lang w:val="en-GB"/>
        </w:rPr>
        <w:t>court</w:t>
      </w:r>
      <w:r w:rsidR="00BA109C" w:rsidRPr="00A36A90">
        <w:rPr>
          <w:rFonts w:ascii="Book Antiqua" w:hAnsi="Book Antiqua"/>
          <w:lang w:val="en-GB"/>
        </w:rPr>
        <w:t xml:space="preserve"> precedent</w:t>
      </w:r>
      <w:r>
        <w:rPr>
          <w:rFonts w:ascii="Book Antiqua" w:hAnsi="Book Antiqua"/>
          <w:lang w:val="en-GB"/>
        </w:rPr>
        <w:t>;</w:t>
      </w:r>
    </w:p>
    <w:p w14:paraId="56C7310B" w14:textId="2D07C154" w:rsidR="00551087" w:rsidRDefault="00551087" w:rsidP="00A36A90">
      <w:pPr>
        <w:pStyle w:val="ListParagraph"/>
        <w:numPr>
          <w:ilvl w:val="0"/>
          <w:numId w:val="21"/>
        </w:numPr>
        <w:spacing w:line="360" w:lineRule="auto"/>
        <w:jc w:val="both"/>
        <w:rPr>
          <w:rFonts w:ascii="Book Antiqua" w:hAnsi="Book Antiqua"/>
          <w:lang w:val="en-GB"/>
        </w:rPr>
      </w:pPr>
      <w:r>
        <w:rPr>
          <w:rFonts w:ascii="Book Antiqua" w:hAnsi="Book Antiqua"/>
          <w:lang w:val="en-GB"/>
        </w:rPr>
        <w:t xml:space="preserve">the possibility of the </w:t>
      </w:r>
      <w:r w:rsidRPr="000F7612">
        <w:rPr>
          <w:rFonts w:ascii="Book Antiqua" w:hAnsi="Book Antiqua"/>
          <w:lang w:val="en-GB"/>
        </w:rPr>
        <w:t xml:space="preserve">executive </w:t>
      </w:r>
      <w:r>
        <w:rPr>
          <w:rFonts w:ascii="Book Antiqua" w:hAnsi="Book Antiqua"/>
          <w:lang w:val="en-GB"/>
        </w:rPr>
        <w:t>considering</w:t>
      </w:r>
      <w:r w:rsidRPr="000F7612">
        <w:rPr>
          <w:rFonts w:ascii="Book Antiqua" w:hAnsi="Book Antiqua"/>
          <w:lang w:val="en-GB"/>
        </w:rPr>
        <w:t xml:space="preserve"> itself </w:t>
      </w:r>
      <w:r w:rsidR="00911E67">
        <w:rPr>
          <w:rFonts w:ascii="Book Antiqua" w:hAnsi="Book Antiqua"/>
          <w:lang w:val="en-GB"/>
        </w:rPr>
        <w:t>entirely</w:t>
      </w:r>
      <w:r w:rsidR="00AC4348">
        <w:rPr>
          <w:rFonts w:ascii="Book Antiqua" w:hAnsi="Book Antiqua"/>
          <w:lang w:val="en-GB"/>
        </w:rPr>
        <w:t xml:space="preserve"> b</w:t>
      </w:r>
      <w:r w:rsidRPr="000F7612">
        <w:rPr>
          <w:rFonts w:ascii="Book Antiqua" w:hAnsi="Book Antiqua"/>
          <w:lang w:val="en-GB"/>
        </w:rPr>
        <w:t xml:space="preserve">ound </w:t>
      </w:r>
      <w:r>
        <w:rPr>
          <w:rFonts w:ascii="Book Antiqua" w:hAnsi="Book Antiqua"/>
          <w:lang w:val="en-GB"/>
        </w:rPr>
        <w:t xml:space="preserve">by </w:t>
      </w:r>
      <w:r w:rsidRPr="000F7612">
        <w:rPr>
          <w:rFonts w:ascii="Book Antiqua" w:hAnsi="Book Antiqua"/>
          <w:lang w:val="en-GB"/>
        </w:rPr>
        <w:t>the advice</w:t>
      </w:r>
      <w:r>
        <w:rPr>
          <w:rFonts w:ascii="Book Antiqua" w:hAnsi="Book Antiqua"/>
          <w:lang w:val="en-GB"/>
        </w:rPr>
        <w:t xml:space="preserve">, despite no </w:t>
      </w:r>
      <w:r w:rsidR="002673BA">
        <w:rPr>
          <w:rFonts w:ascii="Book Antiqua" w:hAnsi="Book Antiqua"/>
          <w:lang w:val="en-GB"/>
        </w:rPr>
        <w:t xml:space="preserve">such clear </w:t>
      </w:r>
      <w:r w:rsidR="00714E00">
        <w:rPr>
          <w:rFonts w:ascii="Book Antiqua" w:hAnsi="Book Antiqua"/>
          <w:lang w:val="en-GB"/>
        </w:rPr>
        <w:t xml:space="preserve">constitutional </w:t>
      </w:r>
      <w:r>
        <w:rPr>
          <w:rFonts w:ascii="Book Antiqua" w:hAnsi="Book Antiqua"/>
          <w:lang w:val="en-GB"/>
        </w:rPr>
        <w:t>restriction on executive action</w:t>
      </w:r>
      <w:r w:rsidRPr="000F7612">
        <w:rPr>
          <w:rFonts w:ascii="Book Antiqua" w:hAnsi="Book Antiqua"/>
          <w:lang w:val="en-GB"/>
        </w:rPr>
        <w:t>;</w:t>
      </w:r>
    </w:p>
    <w:p w14:paraId="5497BD77" w14:textId="1D908677" w:rsidR="000D1961" w:rsidRDefault="000D1961" w:rsidP="000D1961">
      <w:pPr>
        <w:pStyle w:val="ListParagraph"/>
        <w:numPr>
          <w:ilvl w:val="0"/>
          <w:numId w:val="21"/>
        </w:numPr>
        <w:spacing w:line="360" w:lineRule="auto"/>
        <w:jc w:val="both"/>
        <w:rPr>
          <w:rFonts w:ascii="Book Antiqua" w:hAnsi="Book Antiqua"/>
          <w:lang w:val="en-GB"/>
        </w:rPr>
      </w:pPr>
      <w:r>
        <w:rPr>
          <w:rFonts w:ascii="Book Antiqua" w:hAnsi="Book Antiqua"/>
          <w:lang w:val="en-GB"/>
        </w:rPr>
        <w:lastRenderedPageBreak/>
        <w:t xml:space="preserve">alternatively, the possibility of the executive claiming to be bound by independent legal advice while </w:t>
      </w:r>
      <w:proofErr w:type="gramStart"/>
      <w:r>
        <w:rPr>
          <w:rFonts w:ascii="Book Antiqua" w:hAnsi="Book Antiqua"/>
          <w:lang w:val="en-GB"/>
        </w:rPr>
        <w:t>actually manipulating</w:t>
      </w:r>
      <w:proofErr w:type="gramEnd"/>
      <w:r>
        <w:rPr>
          <w:rFonts w:ascii="Book Antiqua" w:hAnsi="Book Antiqua"/>
          <w:lang w:val="en-GB"/>
        </w:rPr>
        <w:t xml:space="preserve"> the process to achieve questionable ends; and </w:t>
      </w:r>
    </w:p>
    <w:p w14:paraId="69E4108F" w14:textId="519E5DDD" w:rsidR="00551087" w:rsidRPr="00F603FC" w:rsidRDefault="00551087" w:rsidP="000D1961">
      <w:pPr>
        <w:pStyle w:val="ListParagraph"/>
        <w:numPr>
          <w:ilvl w:val="0"/>
          <w:numId w:val="21"/>
        </w:numPr>
        <w:spacing w:line="360" w:lineRule="auto"/>
        <w:jc w:val="both"/>
        <w:rPr>
          <w:rFonts w:ascii="Book Antiqua" w:hAnsi="Book Antiqua"/>
          <w:lang w:val="en-GB"/>
        </w:rPr>
      </w:pPr>
      <w:r w:rsidRPr="00F603FC">
        <w:rPr>
          <w:rFonts w:ascii="Book Antiqua" w:hAnsi="Book Antiqua"/>
          <w:lang w:val="en-GB"/>
        </w:rPr>
        <w:t xml:space="preserve">a risk that the process distorts the </w:t>
      </w:r>
      <w:r w:rsidR="00602330" w:rsidRPr="00F603FC">
        <w:rPr>
          <w:rFonts w:ascii="Book Antiqua" w:hAnsi="Book Antiqua"/>
          <w:lang w:val="en-GB"/>
        </w:rPr>
        <w:t xml:space="preserve">institution of </w:t>
      </w:r>
      <w:r w:rsidRPr="00F603FC">
        <w:rPr>
          <w:rFonts w:ascii="Book Antiqua" w:hAnsi="Book Antiqua"/>
          <w:lang w:val="en-GB"/>
        </w:rPr>
        <w:t>judicial review.</w:t>
      </w:r>
    </w:p>
    <w:p w14:paraId="5102B3B8" w14:textId="77777777" w:rsidR="00800E28" w:rsidRDefault="00800E28" w:rsidP="00A36A90">
      <w:pPr>
        <w:pStyle w:val="ListParagraph"/>
        <w:spacing w:line="360" w:lineRule="auto"/>
        <w:ind w:left="1080"/>
        <w:jc w:val="both"/>
        <w:rPr>
          <w:rFonts w:ascii="Book Antiqua" w:hAnsi="Book Antiqua"/>
          <w:lang w:val="en-GB"/>
        </w:rPr>
      </w:pPr>
    </w:p>
    <w:p w14:paraId="47D42D1F" w14:textId="6154BDFE" w:rsidR="00551087" w:rsidRDefault="00551087" w:rsidP="00551087">
      <w:pPr>
        <w:spacing w:line="360" w:lineRule="auto"/>
        <w:jc w:val="both"/>
        <w:rPr>
          <w:rFonts w:ascii="Book Antiqua" w:hAnsi="Book Antiqua"/>
          <w:lang w:val="en-GB"/>
        </w:rPr>
      </w:pPr>
      <w:r>
        <w:rPr>
          <w:rFonts w:ascii="Book Antiqua" w:hAnsi="Book Antiqua"/>
          <w:lang w:val="en-GB"/>
        </w:rPr>
        <w:t xml:space="preserve">These factors combine to cause several </w:t>
      </w:r>
      <w:r w:rsidR="002673BA">
        <w:rPr>
          <w:rFonts w:ascii="Book Antiqua" w:hAnsi="Book Antiqua"/>
          <w:lang w:val="en-GB"/>
        </w:rPr>
        <w:t xml:space="preserve">significant </w:t>
      </w:r>
      <w:r w:rsidR="00602330">
        <w:rPr>
          <w:rFonts w:ascii="Book Antiqua" w:hAnsi="Book Antiqua"/>
          <w:lang w:val="en-GB"/>
        </w:rPr>
        <w:t>potential</w:t>
      </w:r>
      <w:r>
        <w:rPr>
          <w:rFonts w:ascii="Book Antiqua" w:hAnsi="Book Antiqua"/>
          <w:lang w:val="en-GB"/>
        </w:rPr>
        <w:t xml:space="preserve"> problems which we will now discuss. </w:t>
      </w:r>
      <w:r w:rsidR="00CD6F1A">
        <w:rPr>
          <w:rFonts w:ascii="Book Antiqua" w:hAnsi="Book Antiqua"/>
          <w:lang w:val="en-GB"/>
        </w:rPr>
        <w:t>There may be other instances of shadow review in other jurisdictions</w:t>
      </w:r>
      <w:r w:rsidR="00E54CA8">
        <w:rPr>
          <w:rFonts w:ascii="Book Antiqua" w:hAnsi="Book Antiqua"/>
          <w:lang w:val="en-GB"/>
        </w:rPr>
        <w:t>. It would be a worthwhile and interesting project to consider how formal and judicial</w:t>
      </w:r>
      <w:r w:rsidR="000D1961">
        <w:rPr>
          <w:rFonts w:ascii="Book Antiqua" w:hAnsi="Book Antiqua"/>
          <w:lang w:val="en-GB"/>
        </w:rPr>
        <w:t>/quasi-judicial</w:t>
      </w:r>
      <w:r w:rsidR="00E54CA8">
        <w:rPr>
          <w:rFonts w:ascii="Book Antiqua" w:hAnsi="Book Antiqua"/>
          <w:lang w:val="en-GB"/>
        </w:rPr>
        <w:t xml:space="preserve"> systems of abstract</w:t>
      </w:r>
      <w:r w:rsidR="00BF33DB">
        <w:rPr>
          <w:rFonts w:ascii="Book Antiqua" w:hAnsi="Book Antiqua"/>
          <w:lang w:val="en-GB"/>
        </w:rPr>
        <w:t xml:space="preserve">, </w:t>
      </w:r>
      <w:r w:rsidR="00BF33DB" w:rsidRPr="00F603FC">
        <w:rPr>
          <w:rFonts w:ascii="Book Antiqua" w:hAnsi="Book Antiqua"/>
          <w:i/>
          <w:lang w:val="en-GB"/>
        </w:rPr>
        <w:t>ex ante</w:t>
      </w:r>
      <w:r w:rsidR="00E54CA8">
        <w:rPr>
          <w:rFonts w:ascii="Book Antiqua" w:hAnsi="Book Antiqua"/>
          <w:lang w:val="en-GB"/>
        </w:rPr>
        <w:t xml:space="preserve"> review might play a similar role and to consider questions of their legitimacy, but this must await another occasion.</w:t>
      </w:r>
      <w:r w:rsidR="00E54CA8">
        <w:rPr>
          <w:rStyle w:val="FootnoteReference"/>
          <w:rFonts w:ascii="Book Antiqua" w:hAnsi="Book Antiqua"/>
          <w:lang w:val="en-GB"/>
        </w:rPr>
        <w:footnoteReference w:id="115"/>
      </w:r>
      <w:r w:rsidR="00CD6F1A">
        <w:rPr>
          <w:rFonts w:ascii="Book Antiqua" w:hAnsi="Book Antiqua"/>
          <w:lang w:val="en-GB"/>
        </w:rPr>
        <w:t xml:space="preserve"> </w:t>
      </w:r>
      <w:r w:rsidR="00FC5EC9">
        <w:rPr>
          <w:rFonts w:ascii="Book Antiqua" w:hAnsi="Book Antiqua"/>
          <w:lang w:val="en-GB"/>
        </w:rPr>
        <w:t>Also, t</w:t>
      </w:r>
      <w:r>
        <w:rPr>
          <w:rFonts w:ascii="Book Antiqua" w:hAnsi="Book Antiqua"/>
          <w:lang w:val="en-GB"/>
        </w:rPr>
        <w:t xml:space="preserve">o be clear, not </w:t>
      </w:r>
      <w:proofErr w:type="gramStart"/>
      <w:r>
        <w:rPr>
          <w:rFonts w:ascii="Book Antiqua" w:hAnsi="Book Antiqua"/>
          <w:lang w:val="en-GB"/>
        </w:rPr>
        <w:t>all of</w:t>
      </w:r>
      <w:proofErr w:type="gramEnd"/>
      <w:r>
        <w:rPr>
          <w:rFonts w:ascii="Book Antiqua" w:hAnsi="Book Antiqua"/>
          <w:lang w:val="en-GB"/>
        </w:rPr>
        <w:t xml:space="preserve"> these features might be necessary for shadow constitutional review to exist. </w:t>
      </w:r>
      <w:r w:rsidR="00CD6F1A">
        <w:rPr>
          <w:rFonts w:ascii="Book Antiqua" w:hAnsi="Book Antiqua"/>
          <w:lang w:val="en-GB"/>
        </w:rPr>
        <w:t>I</w:t>
      </w:r>
      <w:r>
        <w:rPr>
          <w:rFonts w:ascii="Book Antiqua" w:hAnsi="Book Antiqua"/>
          <w:lang w:val="en-GB"/>
        </w:rPr>
        <w:t>f several of these features combine to create a parallel review process that lacks parl</w:t>
      </w:r>
      <w:r w:rsidR="00911E67">
        <w:rPr>
          <w:rFonts w:ascii="Book Antiqua" w:hAnsi="Book Antiqua"/>
          <w:lang w:val="en-GB"/>
        </w:rPr>
        <w:t>iamentary and public engagement;</w:t>
      </w:r>
      <w:r>
        <w:rPr>
          <w:rFonts w:ascii="Book Antiqua" w:hAnsi="Book Antiqua"/>
          <w:lang w:val="en-GB"/>
        </w:rPr>
        <w:t xml:space="preserve"> concentrates power i</w:t>
      </w:r>
      <w:r w:rsidR="00911E67">
        <w:rPr>
          <w:rFonts w:ascii="Book Antiqua" w:hAnsi="Book Antiqua"/>
          <w:lang w:val="en-GB"/>
        </w:rPr>
        <w:t>n the executive or bureaucrats;</w:t>
      </w:r>
      <w:r>
        <w:rPr>
          <w:rFonts w:ascii="Book Antiqua" w:hAnsi="Book Antiqua"/>
          <w:lang w:val="en-GB"/>
        </w:rPr>
        <w:t xml:space="preserve"> and </w:t>
      </w:r>
      <w:r w:rsidR="00911E67">
        <w:rPr>
          <w:rFonts w:ascii="Book Antiqua" w:hAnsi="Book Antiqua"/>
          <w:lang w:val="en-GB"/>
        </w:rPr>
        <w:t xml:space="preserve">actively cuts against </w:t>
      </w:r>
      <w:r>
        <w:rPr>
          <w:rFonts w:ascii="Book Antiqua" w:hAnsi="Book Antiqua"/>
          <w:lang w:val="en-GB"/>
        </w:rPr>
        <w:t xml:space="preserve">the values that underlie </w:t>
      </w:r>
      <w:r w:rsidR="00911E67">
        <w:rPr>
          <w:rFonts w:ascii="Book Antiqua" w:hAnsi="Book Antiqua"/>
          <w:lang w:val="en-GB"/>
        </w:rPr>
        <w:t xml:space="preserve">political </w:t>
      </w:r>
      <w:r w:rsidR="000A5740">
        <w:rPr>
          <w:rFonts w:ascii="Book Antiqua" w:hAnsi="Book Antiqua"/>
          <w:lang w:val="en-GB"/>
        </w:rPr>
        <w:t>constitutionalism</w:t>
      </w:r>
      <w:r>
        <w:rPr>
          <w:rFonts w:ascii="Book Antiqua" w:hAnsi="Book Antiqua"/>
          <w:lang w:val="en-GB"/>
        </w:rPr>
        <w:t>, then shadow review may be said to exist.</w:t>
      </w:r>
    </w:p>
    <w:p w14:paraId="5854E087" w14:textId="77777777" w:rsidR="00361D46" w:rsidRDefault="00361D46" w:rsidP="00361D46">
      <w:pPr>
        <w:spacing w:line="360" w:lineRule="auto"/>
        <w:jc w:val="both"/>
        <w:rPr>
          <w:rFonts w:ascii="Book Antiqua" w:hAnsi="Book Antiqua"/>
          <w:u w:val="single"/>
          <w:lang w:val="en-GB"/>
        </w:rPr>
      </w:pPr>
    </w:p>
    <w:p w14:paraId="072865FF" w14:textId="23379CCC" w:rsidR="00361D46" w:rsidRPr="00050975" w:rsidRDefault="00361D46" w:rsidP="00361D46">
      <w:pPr>
        <w:spacing w:line="360" w:lineRule="auto"/>
        <w:jc w:val="both"/>
        <w:outlineLvl w:val="1"/>
        <w:rPr>
          <w:rFonts w:ascii="Book Antiqua" w:hAnsi="Book Antiqua"/>
          <w:lang w:val="en-GB"/>
        </w:rPr>
      </w:pPr>
      <w:r w:rsidRPr="00A36A90">
        <w:rPr>
          <w:rFonts w:ascii="Book Antiqua" w:hAnsi="Book Antiqua"/>
          <w:u w:val="single"/>
          <w:lang w:val="en-GB"/>
        </w:rPr>
        <w:t>Alienating the constitution from politics</w:t>
      </w:r>
    </w:p>
    <w:p w14:paraId="33DD999D" w14:textId="0B09942A" w:rsidR="00361D46" w:rsidRDefault="00361D46" w:rsidP="00361D46">
      <w:pPr>
        <w:spacing w:line="360" w:lineRule="auto"/>
        <w:jc w:val="both"/>
        <w:rPr>
          <w:rFonts w:ascii="Book Antiqua" w:hAnsi="Book Antiqua"/>
          <w:lang w:val="en-GB"/>
        </w:rPr>
      </w:pPr>
      <w:r>
        <w:rPr>
          <w:rFonts w:ascii="Book Antiqua" w:hAnsi="Book Antiqua"/>
          <w:lang w:val="en-GB"/>
        </w:rPr>
        <w:t>The Irish</w:t>
      </w:r>
      <w:r w:rsidR="008E1ED2">
        <w:rPr>
          <w:rFonts w:ascii="Book Antiqua" w:hAnsi="Book Antiqua"/>
          <w:lang w:val="en-GB"/>
        </w:rPr>
        <w:t xml:space="preserve"> and Japanese</w:t>
      </w:r>
      <w:r>
        <w:rPr>
          <w:rFonts w:ascii="Book Antiqua" w:hAnsi="Book Antiqua"/>
          <w:lang w:val="en-GB"/>
        </w:rPr>
        <w:t xml:space="preserve"> example</w:t>
      </w:r>
      <w:r w:rsidR="008E1ED2">
        <w:rPr>
          <w:rFonts w:ascii="Book Antiqua" w:hAnsi="Book Antiqua"/>
          <w:lang w:val="en-GB"/>
        </w:rPr>
        <w:t>s</w:t>
      </w:r>
      <w:r>
        <w:rPr>
          <w:rFonts w:ascii="Book Antiqua" w:hAnsi="Book Antiqua"/>
          <w:lang w:val="en-GB"/>
        </w:rPr>
        <w:t xml:space="preserve"> show how, counterintuitively, </w:t>
      </w:r>
      <w:r w:rsidR="008E1ED2">
        <w:rPr>
          <w:rFonts w:ascii="Book Antiqua" w:hAnsi="Book Antiqua"/>
          <w:lang w:val="en-GB"/>
        </w:rPr>
        <w:t xml:space="preserve">certain forms of </w:t>
      </w:r>
      <w:r>
        <w:rPr>
          <w:rFonts w:ascii="Book Antiqua" w:hAnsi="Book Antiqua"/>
          <w:lang w:val="en-GB"/>
        </w:rPr>
        <w:t xml:space="preserve">political constitutionalism can have the effect of alienating the constitution from politics rather than increasing political engagement. First, </w:t>
      </w:r>
      <w:r w:rsidR="008E1ED2">
        <w:rPr>
          <w:rFonts w:ascii="Book Antiqua" w:hAnsi="Book Antiqua"/>
          <w:lang w:val="en-GB"/>
        </w:rPr>
        <w:t xml:space="preserve">both systems </w:t>
      </w:r>
      <w:r w:rsidR="005234D9">
        <w:rPr>
          <w:rFonts w:ascii="Book Antiqua" w:hAnsi="Book Antiqua"/>
          <w:lang w:val="en-GB"/>
        </w:rPr>
        <w:t xml:space="preserve">appear to be </w:t>
      </w:r>
      <w:r w:rsidR="001275B7">
        <w:rPr>
          <w:rFonts w:ascii="Book Antiqua" w:hAnsi="Book Antiqua"/>
          <w:lang w:val="en-GB"/>
        </w:rPr>
        <w:t xml:space="preserve">doctrinal or </w:t>
      </w:r>
      <w:r>
        <w:rPr>
          <w:rFonts w:ascii="Book Antiqua" w:hAnsi="Book Antiqua"/>
          <w:lang w:val="en-GB"/>
        </w:rPr>
        <w:t>court-mimicking</w:t>
      </w:r>
      <w:r w:rsidR="008E1ED2">
        <w:rPr>
          <w:rFonts w:ascii="Book Antiqua" w:hAnsi="Book Antiqua"/>
          <w:lang w:val="en-GB"/>
        </w:rPr>
        <w:t>, showing little indication of developing a distinctive vision of the constitution,</w:t>
      </w:r>
      <w:r w:rsidRPr="00DD6C9D">
        <w:rPr>
          <w:rFonts w:ascii="Book Antiqua" w:hAnsi="Book Antiqua"/>
          <w:lang w:val="en-GB"/>
        </w:rPr>
        <w:t xml:space="preserve"> focus</w:t>
      </w:r>
      <w:r w:rsidR="008E1ED2">
        <w:rPr>
          <w:rFonts w:ascii="Book Antiqua" w:hAnsi="Book Antiqua"/>
          <w:lang w:val="en-GB"/>
        </w:rPr>
        <w:t>sing</w:t>
      </w:r>
      <w:r>
        <w:rPr>
          <w:rFonts w:ascii="Book Antiqua" w:hAnsi="Book Antiqua"/>
          <w:lang w:val="en-GB"/>
        </w:rPr>
        <w:t xml:space="preserve"> on predicting court behaviour</w:t>
      </w:r>
      <w:r w:rsidR="008E1ED2">
        <w:rPr>
          <w:rFonts w:ascii="Book Antiqua" w:hAnsi="Book Antiqua"/>
          <w:lang w:val="en-GB"/>
        </w:rPr>
        <w:t xml:space="preserve">. </w:t>
      </w:r>
      <w:r w:rsidR="00B21B0C">
        <w:rPr>
          <w:rFonts w:ascii="Book Antiqua" w:hAnsi="Book Antiqua"/>
          <w:lang w:val="en-GB"/>
        </w:rPr>
        <w:t>Advice</w:t>
      </w:r>
      <w:r w:rsidR="008E1ED2">
        <w:rPr>
          <w:rFonts w:ascii="Book Antiqua" w:hAnsi="Book Antiqua"/>
          <w:lang w:val="en-GB"/>
        </w:rPr>
        <w:t xml:space="preserve"> is </w:t>
      </w:r>
      <w:r w:rsidR="00B21B0C">
        <w:rPr>
          <w:rFonts w:ascii="Book Antiqua" w:hAnsi="Book Antiqua"/>
          <w:lang w:val="en-GB"/>
        </w:rPr>
        <w:t xml:space="preserve">legalistic and </w:t>
      </w:r>
      <w:r w:rsidR="008E1ED2">
        <w:rPr>
          <w:rFonts w:ascii="Book Antiqua" w:hAnsi="Book Antiqua"/>
          <w:lang w:val="en-GB"/>
        </w:rPr>
        <w:t xml:space="preserve">tactical rather than a discussion of </w:t>
      </w:r>
      <w:r w:rsidR="00BF33DB">
        <w:rPr>
          <w:rFonts w:ascii="Book Antiqua" w:hAnsi="Book Antiqua"/>
          <w:lang w:val="en-GB"/>
        </w:rPr>
        <w:t xml:space="preserve">broad constitutional </w:t>
      </w:r>
      <w:r w:rsidRPr="00DD6C9D">
        <w:rPr>
          <w:rFonts w:ascii="Book Antiqua" w:hAnsi="Book Antiqua"/>
          <w:lang w:val="en-GB"/>
        </w:rPr>
        <w:t xml:space="preserve">values, </w:t>
      </w:r>
      <w:r w:rsidR="00DE43FF">
        <w:rPr>
          <w:rFonts w:ascii="Book Antiqua" w:hAnsi="Book Antiqua"/>
          <w:lang w:val="en-GB"/>
        </w:rPr>
        <w:t>giving less scope for development of a distinctive vision of the constitution and its role</w:t>
      </w:r>
      <w:r w:rsidRPr="00DD6C9D">
        <w:rPr>
          <w:rFonts w:ascii="Book Antiqua" w:hAnsi="Book Antiqua"/>
          <w:lang w:val="en-GB"/>
        </w:rPr>
        <w:t>.</w:t>
      </w:r>
      <w:r>
        <w:rPr>
          <w:rFonts w:ascii="Book Antiqua" w:hAnsi="Book Antiqua"/>
          <w:lang w:val="en-GB"/>
        </w:rPr>
        <w:t xml:space="preserve"> This approach is </w:t>
      </w:r>
      <w:r w:rsidR="00DE43FF">
        <w:rPr>
          <w:rFonts w:ascii="Book Antiqua" w:hAnsi="Book Antiqua"/>
          <w:lang w:val="en-GB"/>
        </w:rPr>
        <w:t>un</w:t>
      </w:r>
      <w:r>
        <w:rPr>
          <w:rFonts w:ascii="Book Antiqua" w:hAnsi="Book Antiqua"/>
          <w:lang w:val="en-GB"/>
        </w:rPr>
        <w:t>likely to produce the deep political engagement with the constitution that optimistic accounts of pol</w:t>
      </w:r>
      <w:r w:rsidR="00DE43FF">
        <w:rPr>
          <w:rFonts w:ascii="Book Antiqua" w:hAnsi="Book Antiqua"/>
          <w:lang w:val="en-GB"/>
        </w:rPr>
        <w:t>itical constitutionalism suggest.</w:t>
      </w:r>
    </w:p>
    <w:p w14:paraId="575AFBCB" w14:textId="77777777" w:rsidR="00361D46" w:rsidRDefault="00361D46" w:rsidP="00361D46">
      <w:pPr>
        <w:spacing w:line="360" w:lineRule="auto"/>
        <w:jc w:val="both"/>
        <w:rPr>
          <w:rFonts w:ascii="Book Antiqua" w:hAnsi="Book Antiqua"/>
          <w:lang w:val="en-GB"/>
        </w:rPr>
      </w:pPr>
    </w:p>
    <w:p w14:paraId="587A79D4" w14:textId="757B9388" w:rsidR="00361D46" w:rsidRDefault="008E1ED2" w:rsidP="00361D46">
      <w:pPr>
        <w:spacing w:line="360" w:lineRule="auto"/>
        <w:jc w:val="both"/>
        <w:rPr>
          <w:rFonts w:ascii="Book Antiqua" w:hAnsi="Book Antiqua"/>
          <w:lang w:val="en-IE"/>
        </w:rPr>
      </w:pPr>
      <w:r>
        <w:rPr>
          <w:rFonts w:ascii="Book Antiqua" w:hAnsi="Book Antiqua"/>
          <w:lang w:val="en-IE"/>
        </w:rPr>
        <w:lastRenderedPageBreak/>
        <w:t xml:space="preserve">Of course, </w:t>
      </w:r>
      <w:r w:rsidR="005234D9">
        <w:rPr>
          <w:rFonts w:ascii="Book Antiqua" w:hAnsi="Book Antiqua"/>
          <w:lang w:val="en-IE"/>
        </w:rPr>
        <w:t xml:space="preserve">we have seen that </w:t>
      </w:r>
      <w:r>
        <w:rPr>
          <w:rFonts w:ascii="Book Antiqua" w:hAnsi="Book Antiqua"/>
          <w:lang w:val="en-IE"/>
        </w:rPr>
        <w:t>this is true of many other systems with pre-enactment review.</w:t>
      </w:r>
      <w:r w:rsidR="0064597F">
        <w:rPr>
          <w:rStyle w:val="FootnoteReference"/>
          <w:rFonts w:ascii="Book Antiqua" w:hAnsi="Book Antiqua"/>
          <w:lang w:val="en-IE"/>
        </w:rPr>
        <w:footnoteReference w:id="116"/>
      </w:r>
      <w:r>
        <w:rPr>
          <w:rFonts w:ascii="Book Antiqua" w:hAnsi="Book Antiqua"/>
          <w:lang w:val="en-IE"/>
        </w:rPr>
        <w:t xml:space="preserve"> </w:t>
      </w:r>
      <w:r w:rsidR="005234D9">
        <w:rPr>
          <w:rFonts w:ascii="Book Antiqua" w:hAnsi="Book Antiqua"/>
          <w:lang w:val="en-IE"/>
        </w:rPr>
        <w:t>But t</w:t>
      </w:r>
      <w:r w:rsidR="00361D46">
        <w:rPr>
          <w:rFonts w:ascii="Book Antiqua" w:hAnsi="Book Antiqua"/>
          <w:lang w:val="en-IE"/>
        </w:rPr>
        <w:t xml:space="preserve">he Irish </w:t>
      </w:r>
      <w:r>
        <w:rPr>
          <w:rFonts w:ascii="Book Antiqua" w:hAnsi="Book Antiqua"/>
          <w:lang w:val="en-IE"/>
        </w:rPr>
        <w:t xml:space="preserve">and Japanese examples go </w:t>
      </w:r>
      <w:r w:rsidR="00361D46">
        <w:rPr>
          <w:rFonts w:ascii="Book Antiqua" w:hAnsi="Book Antiqua"/>
          <w:lang w:val="en-IE"/>
        </w:rPr>
        <w:t>further</w:t>
      </w:r>
      <w:r>
        <w:rPr>
          <w:rFonts w:ascii="Book Antiqua" w:hAnsi="Book Antiqua"/>
          <w:lang w:val="en-IE"/>
        </w:rPr>
        <w:t xml:space="preserve">. In Japan, the advice of the CLB is not published, </w:t>
      </w:r>
      <w:r w:rsidR="00945A2F">
        <w:rPr>
          <w:rFonts w:ascii="Book Antiqua" w:hAnsi="Book Antiqua"/>
          <w:lang w:val="en-IE"/>
        </w:rPr>
        <w:t xml:space="preserve">though </w:t>
      </w:r>
      <w:r>
        <w:rPr>
          <w:rFonts w:ascii="Book Antiqua" w:hAnsi="Book Antiqua"/>
          <w:lang w:val="en-IE"/>
        </w:rPr>
        <w:t xml:space="preserve">it may </w:t>
      </w:r>
      <w:r w:rsidR="00945A2F">
        <w:rPr>
          <w:rFonts w:ascii="Book Antiqua" w:hAnsi="Book Antiqua"/>
          <w:lang w:val="en-IE"/>
        </w:rPr>
        <w:t xml:space="preserve">occasionally </w:t>
      </w:r>
      <w:r>
        <w:rPr>
          <w:rFonts w:ascii="Book Antiqua" w:hAnsi="Book Antiqua"/>
          <w:lang w:val="en-IE"/>
        </w:rPr>
        <w:t xml:space="preserve">be shown to the Diet if there is </w:t>
      </w:r>
      <w:r w:rsidR="00C020F4">
        <w:rPr>
          <w:rFonts w:ascii="Book Antiqua" w:hAnsi="Book Antiqua"/>
          <w:lang w:val="en-IE"/>
        </w:rPr>
        <w:t>controversy</w:t>
      </w:r>
      <w:r>
        <w:rPr>
          <w:rFonts w:ascii="Book Antiqua" w:hAnsi="Book Antiqua"/>
          <w:lang w:val="en-IE"/>
        </w:rPr>
        <w:t xml:space="preserve"> on the matter. In Ireland, the</w:t>
      </w:r>
      <w:r w:rsidR="00361D46" w:rsidRPr="00DD6C9D">
        <w:rPr>
          <w:rFonts w:ascii="Book Antiqua" w:hAnsi="Book Antiqua"/>
          <w:lang w:val="en-IE"/>
        </w:rPr>
        <w:t xml:space="preserve"> advice is </w:t>
      </w:r>
      <w:r>
        <w:rPr>
          <w:rFonts w:ascii="Book Antiqua" w:hAnsi="Book Antiqua"/>
          <w:lang w:val="en-IE"/>
        </w:rPr>
        <w:t xml:space="preserve">almost never </w:t>
      </w:r>
      <w:r w:rsidR="00361D46" w:rsidRPr="00DD6C9D">
        <w:rPr>
          <w:rFonts w:ascii="Book Antiqua" w:hAnsi="Book Antiqua"/>
          <w:lang w:val="en-IE"/>
        </w:rPr>
        <w:t>publish</w:t>
      </w:r>
      <w:r w:rsidR="00361D46">
        <w:rPr>
          <w:rFonts w:ascii="Book Antiqua" w:hAnsi="Book Antiqua"/>
          <w:lang w:val="en-IE"/>
        </w:rPr>
        <w:t>ed or shown to parliamentarians</w:t>
      </w:r>
      <w:r>
        <w:rPr>
          <w:rFonts w:ascii="Book Antiqua" w:hAnsi="Book Antiqua"/>
          <w:lang w:val="en-IE"/>
        </w:rPr>
        <w:t>, even when this is a matter of public concern and dispute</w:t>
      </w:r>
      <w:r w:rsidR="00361D46">
        <w:rPr>
          <w:rFonts w:ascii="Book Antiqua" w:hAnsi="Book Antiqua"/>
          <w:lang w:val="en-IE"/>
        </w:rPr>
        <w:t>.</w:t>
      </w:r>
      <w:r w:rsidR="00DE43FF">
        <w:rPr>
          <w:rFonts w:ascii="Book Antiqua" w:hAnsi="Book Antiqua"/>
          <w:lang w:val="en-IE"/>
        </w:rPr>
        <w:t xml:space="preserve"> These process</w:t>
      </w:r>
      <w:r w:rsidR="005234D9">
        <w:rPr>
          <w:rFonts w:ascii="Book Antiqua" w:hAnsi="Book Antiqua"/>
          <w:lang w:val="en-IE"/>
        </w:rPr>
        <w:t>es</w:t>
      </w:r>
      <w:r>
        <w:rPr>
          <w:rFonts w:ascii="Book Antiqua" w:hAnsi="Book Antiqua"/>
          <w:lang w:val="en-IE"/>
        </w:rPr>
        <w:t xml:space="preserve"> then, not only </w:t>
      </w:r>
      <w:r w:rsidR="005234D9">
        <w:rPr>
          <w:rFonts w:ascii="Book Antiqua" w:hAnsi="Book Antiqua"/>
          <w:lang w:val="en-IE"/>
        </w:rPr>
        <w:t xml:space="preserve">fail </w:t>
      </w:r>
      <w:r>
        <w:rPr>
          <w:rFonts w:ascii="Book Antiqua" w:hAnsi="Book Antiqua"/>
          <w:lang w:val="en-IE"/>
        </w:rPr>
        <w:t xml:space="preserve">to </w:t>
      </w:r>
      <w:r w:rsidR="00361D46" w:rsidRPr="00DD6C9D">
        <w:rPr>
          <w:rFonts w:ascii="Book Antiqua" w:hAnsi="Book Antiqua"/>
          <w:lang w:val="en-IE"/>
        </w:rPr>
        <w:t>empowe</w:t>
      </w:r>
      <w:r>
        <w:rPr>
          <w:rFonts w:ascii="Book Antiqua" w:hAnsi="Book Antiqua"/>
          <w:lang w:val="en-IE"/>
        </w:rPr>
        <w:t>r</w:t>
      </w:r>
      <w:r w:rsidR="00361D46" w:rsidRPr="00DD6C9D">
        <w:rPr>
          <w:rFonts w:ascii="Book Antiqua" w:hAnsi="Book Antiqua"/>
          <w:lang w:val="en-IE"/>
        </w:rPr>
        <w:t xml:space="preserve"> parliament </w:t>
      </w:r>
      <w:r>
        <w:rPr>
          <w:rFonts w:ascii="Book Antiqua" w:hAnsi="Book Antiqua"/>
          <w:lang w:val="en-IE"/>
        </w:rPr>
        <w:t xml:space="preserve">and the public </w:t>
      </w:r>
      <w:r w:rsidR="005234D9">
        <w:rPr>
          <w:rFonts w:ascii="Book Antiqua" w:hAnsi="Book Antiqua"/>
          <w:lang w:val="en-IE"/>
        </w:rPr>
        <w:t xml:space="preserve">to </w:t>
      </w:r>
      <w:r>
        <w:rPr>
          <w:rFonts w:ascii="Book Antiqua" w:hAnsi="Book Antiqua"/>
          <w:lang w:val="en-IE"/>
        </w:rPr>
        <w:t>hav</w:t>
      </w:r>
      <w:r w:rsidR="005234D9">
        <w:rPr>
          <w:rFonts w:ascii="Book Antiqua" w:hAnsi="Book Antiqua"/>
          <w:lang w:val="en-IE"/>
        </w:rPr>
        <w:t>e</w:t>
      </w:r>
      <w:r>
        <w:rPr>
          <w:rFonts w:ascii="Book Antiqua" w:hAnsi="Book Antiqua"/>
          <w:lang w:val="en-IE"/>
        </w:rPr>
        <w:t xml:space="preserve"> a </w:t>
      </w:r>
      <w:r w:rsidR="00361D46" w:rsidRPr="00DD6C9D">
        <w:rPr>
          <w:rFonts w:ascii="Book Antiqua" w:hAnsi="Book Antiqua"/>
          <w:lang w:val="en-IE"/>
        </w:rPr>
        <w:t>better or more effective debate on constitutionality</w:t>
      </w:r>
      <w:r>
        <w:rPr>
          <w:rFonts w:ascii="Book Antiqua" w:hAnsi="Book Antiqua"/>
          <w:lang w:val="en-IE"/>
        </w:rPr>
        <w:t xml:space="preserve"> but in fact make it </w:t>
      </w:r>
      <w:r w:rsidRPr="00F603FC">
        <w:rPr>
          <w:rFonts w:ascii="Book Antiqua" w:hAnsi="Book Antiqua"/>
          <w:i/>
          <w:lang w:val="en-IE"/>
        </w:rPr>
        <w:t>less</w:t>
      </w:r>
      <w:r>
        <w:rPr>
          <w:rFonts w:ascii="Book Antiqua" w:hAnsi="Book Antiqua"/>
          <w:lang w:val="en-IE"/>
        </w:rPr>
        <w:t xml:space="preserve"> likely that </w:t>
      </w:r>
      <w:r w:rsidR="0018588A">
        <w:rPr>
          <w:rFonts w:ascii="Book Antiqua" w:hAnsi="Book Antiqua"/>
          <w:lang w:val="en-IE"/>
        </w:rPr>
        <w:t xml:space="preserve">such a debate </w:t>
      </w:r>
      <w:r>
        <w:rPr>
          <w:rFonts w:ascii="Book Antiqua" w:hAnsi="Book Antiqua"/>
          <w:lang w:val="en-IE"/>
        </w:rPr>
        <w:t xml:space="preserve">will happen. That </w:t>
      </w:r>
      <w:r w:rsidR="00361D46" w:rsidRPr="00DD6C9D">
        <w:rPr>
          <w:rFonts w:ascii="Book Antiqua" w:hAnsi="Book Antiqua"/>
          <w:lang w:val="en-IE"/>
        </w:rPr>
        <w:t xml:space="preserve">the government </w:t>
      </w:r>
      <w:r>
        <w:rPr>
          <w:rFonts w:ascii="Book Antiqua" w:hAnsi="Book Antiqua"/>
          <w:lang w:val="en-IE"/>
        </w:rPr>
        <w:t xml:space="preserve">in each country </w:t>
      </w:r>
      <w:r w:rsidR="00361D46" w:rsidRPr="00DD6C9D">
        <w:rPr>
          <w:rFonts w:ascii="Book Antiqua" w:hAnsi="Book Antiqua"/>
          <w:lang w:val="en-IE"/>
        </w:rPr>
        <w:t>will tend to simply stand behind the advice</w:t>
      </w:r>
      <w:r>
        <w:rPr>
          <w:rFonts w:ascii="Book Antiqua" w:hAnsi="Book Antiqua"/>
          <w:lang w:val="en-IE"/>
        </w:rPr>
        <w:t xml:space="preserve"> and assert they are bound by it, alongside the reality of executive control of the legislature, </w:t>
      </w:r>
      <w:r w:rsidR="0018588A">
        <w:rPr>
          <w:rFonts w:ascii="Book Antiqua" w:hAnsi="Book Antiqua"/>
          <w:lang w:val="en-IE"/>
        </w:rPr>
        <w:t xml:space="preserve">likely </w:t>
      </w:r>
      <w:r w:rsidR="00361D46" w:rsidRPr="00DD6C9D">
        <w:rPr>
          <w:rFonts w:ascii="Book Antiqua" w:hAnsi="Book Antiqua"/>
          <w:lang w:val="en-IE"/>
        </w:rPr>
        <w:t>stifl</w:t>
      </w:r>
      <w:r w:rsidR="0018588A">
        <w:rPr>
          <w:rFonts w:ascii="Book Antiqua" w:hAnsi="Book Antiqua"/>
          <w:lang w:val="en-IE"/>
        </w:rPr>
        <w:t>es</w:t>
      </w:r>
      <w:r w:rsidR="00361D46" w:rsidRPr="00DD6C9D">
        <w:rPr>
          <w:rFonts w:ascii="Book Antiqua" w:hAnsi="Book Antiqua"/>
          <w:lang w:val="en-IE"/>
        </w:rPr>
        <w:t xml:space="preserve"> </w:t>
      </w:r>
      <w:r w:rsidR="0018588A">
        <w:rPr>
          <w:rFonts w:ascii="Book Antiqua" w:hAnsi="Book Antiqua"/>
          <w:lang w:val="en-IE"/>
        </w:rPr>
        <w:t xml:space="preserve">development of </w:t>
      </w:r>
      <w:r w:rsidR="00361D46" w:rsidRPr="00DD6C9D">
        <w:rPr>
          <w:rFonts w:ascii="Book Antiqua" w:hAnsi="Book Antiqua"/>
          <w:lang w:val="en-IE"/>
        </w:rPr>
        <w:t xml:space="preserve">a culture of parliamentary engagement with constitutional </w:t>
      </w:r>
      <w:r w:rsidR="00361D46">
        <w:rPr>
          <w:rFonts w:ascii="Book Antiqua" w:hAnsi="Book Antiqua"/>
          <w:lang w:val="en-IE"/>
        </w:rPr>
        <w:t>values and</w:t>
      </w:r>
      <w:r w:rsidR="00361D46" w:rsidRPr="00DD6C9D">
        <w:rPr>
          <w:rFonts w:ascii="Book Antiqua" w:hAnsi="Book Antiqua"/>
          <w:lang w:val="en-IE"/>
        </w:rPr>
        <w:t xml:space="preserve"> rights.</w:t>
      </w:r>
      <w:r w:rsidR="00361D46">
        <w:rPr>
          <w:rFonts w:ascii="Book Antiqua" w:hAnsi="Book Antiqua"/>
          <w:lang w:val="en-IE"/>
        </w:rPr>
        <w:t xml:space="preserve"> This variant of political constitutional review, far from empowering parliament, </w:t>
      </w:r>
      <w:r>
        <w:rPr>
          <w:rFonts w:ascii="Book Antiqua" w:hAnsi="Book Antiqua"/>
          <w:lang w:val="en-IE"/>
        </w:rPr>
        <w:t>detracts from</w:t>
      </w:r>
      <w:r w:rsidRPr="00DD6C9D">
        <w:rPr>
          <w:rFonts w:ascii="Book Antiqua" w:hAnsi="Book Antiqua"/>
          <w:lang w:val="en-IE"/>
        </w:rPr>
        <w:t xml:space="preserve"> </w:t>
      </w:r>
      <w:r w:rsidR="00361D46" w:rsidRPr="00DD6C9D">
        <w:rPr>
          <w:rFonts w:ascii="Book Antiqua" w:hAnsi="Book Antiqua"/>
          <w:lang w:val="en-IE"/>
        </w:rPr>
        <w:t>parliament</w:t>
      </w:r>
      <w:r>
        <w:rPr>
          <w:rFonts w:ascii="Book Antiqua" w:hAnsi="Book Antiqua"/>
          <w:lang w:val="en-IE"/>
        </w:rPr>
        <w:t>’s</w:t>
      </w:r>
      <w:r w:rsidR="00361D46" w:rsidRPr="00DD6C9D">
        <w:rPr>
          <w:rFonts w:ascii="Book Antiqua" w:hAnsi="Book Antiqua"/>
          <w:lang w:val="en-IE"/>
        </w:rPr>
        <w:t xml:space="preserve"> role in making </w:t>
      </w:r>
      <w:r w:rsidR="00361D46">
        <w:rPr>
          <w:rFonts w:ascii="Book Antiqua" w:hAnsi="Book Antiqua"/>
          <w:lang w:val="en-IE"/>
        </w:rPr>
        <w:t xml:space="preserve">constitutional </w:t>
      </w:r>
      <w:r w:rsidR="00361D46" w:rsidRPr="00DD6C9D">
        <w:rPr>
          <w:rFonts w:ascii="Book Antiqua" w:hAnsi="Book Antiqua"/>
          <w:lang w:val="en-IE"/>
        </w:rPr>
        <w:t>decisions</w:t>
      </w:r>
      <w:r w:rsidR="00361D46">
        <w:rPr>
          <w:rFonts w:ascii="Book Antiqua" w:hAnsi="Book Antiqua"/>
          <w:lang w:val="en-IE"/>
        </w:rPr>
        <w:t>.</w:t>
      </w:r>
      <w:r>
        <w:rPr>
          <w:rFonts w:ascii="Book Antiqua" w:hAnsi="Book Antiqua"/>
          <w:lang w:val="en-IE"/>
        </w:rPr>
        <w:t xml:space="preserve"> It does this with </w:t>
      </w:r>
      <w:r w:rsidR="0018588A">
        <w:rPr>
          <w:rFonts w:ascii="Book Antiqua" w:hAnsi="Book Antiqua"/>
          <w:lang w:val="en-IE"/>
        </w:rPr>
        <w:t xml:space="preserve">little </w:t>
      </w:r>
      <w:r>
        <w:rPr>
          <w:rFonts w:ascii="Book Antiqua" w:hAnsi="Book Antiqua"/>
          <w:lang w:val="en-IE"/>
        </w:rPr>
        <w:t xml:space="preserve">if any express </w:t>
      </w:r>
      <w:r w:rsidR="00BB645A">
        <w:rPr>
          <w:rFonts w:ascii="Book Antiqua" w:hAnsi="Book Antiqua"/>
          <w:lang w:val="en-IE"/>
        </w:rPr>
        <w:t>constitutional</w:t>
      </w:r>
      <w:r>
        <w:rPr>
          <w:rFonts w:ascii="Book Antiqua" w:hAnsi="Book Antiqua"/>
          <w:lang w:val="en-IE"/>
        </w:rPr>
        <w:t xml:space="preserve"> authorisation for the wielding of this power by unelected adjuncts of the executive.</w:t>
      </w:r>
      <w:r w:rsidR="00237BCA">
        <w:rPr>
          <w:rFonts w:ascii="Book Antiqua" w:hAnsi="Book Antiqua"/>
          <w:lang w:val="en-IE"/>
        </w:rPr>
        <w:t xml:space="preserve"> Since this practice and its secrecy </w:t>
      </w:r>
      <w:r w:rsidR="00D63AF4">
        <w:rPr>
          <w:rFonts w:ascii="Book Antiqua" w:hAnsi="Book Antiqua"/>
          <w:lang w:val="en-IE"/>
        </w:rPr>
        <w:t>are</w:t>
      </w:r>
      <w:r w:rsidR="00237BCA">
        <w:rPr>
          <w:rFonts w:ascii="Book Antiqua" w:hAnsi="Book Antiqua"/>
          <w:lang w:val="en-IE"/>
        </w:rPr>
        <w:t xml:space="preserve"> conventional rather than constitutionally mandated, there is no reason th</w:t>
      </w:r>
      <w:r w:rsidR="00BA19AB">
        <w:rPr>
          <w:rFonts w:ascii="Book Antiqua" w:hAnsi="Book Antiqua"/>
          <w:lang w:val="en-IE"/>
        </w:rPr>
        <w:t>at the Irish or Japanese system</w:t>
      </w:r>
      <w:r w:rsidR="00237BCA">
        <w:rPr>
          <w:rFonts w:ascii="Book Antiqua" w:hAnsi="Book Antiqua"/>
          <w:lang w:val="en-IE"/>
        </w:rPr>
        <w:t xml:space="preserve"> could not change and substantially improve </w:t>
      </w:r>
      <w:r w:rsidR="00BA19AB">
        <w:rPr>
          <w:rFonts w:ascii="Book Antiqua" w:hAnsi="Book Antiqua"/>
          <w:lang w:val="en-IE"/>
        </w:rPr>
        <w:t>its</w:t>
      </w:r>
      <w:r w:rsidR="00237BCA">
        <w:rPr>
          <w:rFonts w:ascii="Book Antiqua" w:hAnsi="Book Antiqua"/>
          <w:lang w:val="en-IE"/>
        </w:rPr>
        <w:t xml:space="preserve"> process by rendering </w:t>
      </w:r>
      <w:r w:rsidR="00BA19AB">
        <w:rPr>
          <w:rFonts w:ascii="Book Antiqua" w:hAnsi="Book Antiqua"/>
          <w:lang w:val="en-IE"/>
        </w:rPr>
        <w:t xml:space="preserve">it </w:t>
      </w:r>
      <w:r w:rsidR="00237BCA">
        <w:rPr>
          <w:rFonts w:ascii="Book Antiqua" w:hAnsi="Book Antiqua"/>
          <w:lang w:val="en-IE"/>
        </w:rPr>
        <w:t xml:space="preserve">far more transparent and engaging </w:t>
      </w:r>
      <w:r w:rsidR="00BA19AB">
        <w:rPr>
          <w:rFonts w:ascii="Book Antiqua" w:hAnsi="Book Antiqua"/>
          <w:lang w:val="en-IE"/>
        </w:rPr>
        <w:t>with</w:t>
      </w:r>
      <w:r w:rsidR="00237BCA">
        <w:rPr>
          <w:rFonts w:ascii="Book Antiqua" w:hAnsi="Book Antiqua"/>
          <w:lang w:val="en-IE"/>
        </w:rPr>
        <w:t xml:space="preserve"> parliament. But there is also little reason to expect such a cultural change.</w:t>
      </w:r>
    </w:p>
    <w:p w14:paraId="6D1F4C92" w14:textId="64C974D9" w:rsidR="00C020F4" w:rsidRDefault="00C020F4" w:rsidP="00361D46">
      <w:pPr>
        <w:spacing w:line="360" w:lineRule="auto"/>
        <w:jc w:val="both"/>
        <w:rPr>
          <w:rFonts w:ascii="Book Antiqua" w:hAnsi="Book Antiqua"/>
          <w:lang w:val="en-IE"/>
        </w:rPr>
      </w:pPr>
    </w:p>
    <w:p w14:paraId="1F9493C2" w14:textId="3103453C" w:rsidR="00C020F4" w:rsidRPr="00DD6C9D" w:rsidRDefault="00C020F4" w:rsidP="00361D46">
      <w:pPr>
        <w:spacing w:line="360" w:lineRule="auto"/>
        <w:jc w:val="both"/>
        <w:rPr>
          <w:rFonts w:ascii="Book Antiqua" w:hAnsi="Book Antiqua"/>
          <w:lang w:val="en-IE"/>
        </w:rPr>
      </w:pPr>
      <w:r>
        <w:rPr>
          <w:rFonts w:ascii="Book Antiqua" w:hAnsi="Book Antiqua"/>
          <w:lang w:val="en-IE"/>
        </w:rPr>
        <w:t xml:space="preserve">Finally, </w:t>
      </w:r>
      <w:r w:rsidR="00945A2F">
        <w:rPr>
          <w:rFonts w:ascii="Book Antiqua" w:hAnsi="Book Antiqua"/>
          <w:lang w:val="en-IE"/>
        </w:rPr>
        <w:t xml:space="preserve">this phenomenon </w:t>
      </w:r>
      <w:r>
        <w:rPr>
          <w:rFonts w:ascii="Book Antiqua" w:hAnsi="Book Antiqua"/>
          <w:lang w:val="en-IE"/>
        </w:rPr>
        <w:t xml:space="preserve">manifests </w:t>
      </w:r>
      <w:r w:rsidR="007A6B22">
        <w:rPr>
          <w:rFonts w:ascii="Book Antiqua" w:hAnsi="Book Antiqua"/>
          <w:lang w:val="en-IE"/>
        </w:rPr>
        <w:t>publicly through</w:t>
      </w:r>
      <w:r>
        <w:rPr>
          <w:rFonts w:ascii="Book Antiqua" w:hAnsi="Book Antiqua"/>
          <w:lang w:val="en-IE"/>
        </w:rPr>
        <w:t xml:space="preserve"> the constitution being </w:t>
      </w:r>
      <w:r w:rsidR="00945A2F">
        <w:rPr>
          <w:rFonts w:ascii="Book Antiqua" w:hAnsi="Book Antiqua"/>
          <w:lang w:val="en-IE"/>
        </w:rPr>
        <w:t xml:space="preserve">most regularly </w:t>
      </w:r>
      <w:r>
        <w:rPr>
          <w:rFonts w:ascii="Book Antiqua" w:hAnsi="Book Antiqua"/>
          <w:lang w:val="en-IE"/>
        </w:rPr>
        <w:t>cited as a reason not to act. This generally obstructionist character</w:t>
      </w:r>
      <w:r w:rsidR="00D600C7">
        <w:rPr>
          <w:rFonts w:ascii="Book Antiqua" w:hAnsi="Book Antiqua"/>
          <w:lang w:val="en-IE"/>
        </w:rPr>
        <w:t>—</w:t>
      </w:r>
      <w:r>
        <w:rPr>
          <w:rFonts w:ascii="Book Antiqua" w:hAnsi="Book Antiqua"/>
          <w:lang w:val="en-IE"/>
        </w:rPr>
        <w:t>which will be discussed in the next section</w:t>
      </w:r>
      <w:r w:rsidR="00D600C7">
        <w:rPr>
          <w:rFonts w:ascii="Book Antiqua" w:hAnsi="Book Antiqua"/>
          <w:lang w:val="en-IE"/>
        </w:rPr>
        <w:t>—</w:t>
      </w:r>
      <w:r>
        <w:rPr>
          <w:rFonts w:ascii="Book Antiqua" w:hAnsi="Book Antiqua"/>
          <w:lang w:val="en-IE"/>
        </w:rPr>
        <w:t>could have an effect on how the constitution is perceived by the public</w:t>
      </w:r>
      <w:r w:rsidR="00945A2F">
        <w:rPr>
          <w:rFonts w:ascii="Book Antiqua" w:hAnsi="Book Antiqua"/>
          <w:lang w:val="en-IE"/>
        </w:rPr>
        <w:t>. T</w:t>
      </w:r>
      <w:r>
        <w:rPr>
          <w:rFonts w:ascii="Book Antiqua" w:hAnsi="Book Antiqua"/>
          <w:lang w:val="en-IE"/>
        </w:rPr>
        <w:t xml:space="preserve">he </w:t>
      </w:r>
      <w:r w:rsidRPr="00680504">
        <w:rPr>
          <w:rFonts w:ascii="Book Antiqua" w:hAnsi="Book Antiqua"/>
          <w:lang w:val="en-IE"/>
        </w:rPr>
        <w:t xml:space="preserve">constitution </w:t>
      </w:r>
      <w:r>
        <w:rPr>
          <w:rFonts w:ascii="Book Antiqua" w:hAnsi="Book Antiqua"/>
          <w:lang w:val="en-IE"/>
        </w:rPr>
        <w:t xml:space="preserve">might be </w:t>
      </w:r>
      <w:r w:rsidRPr="00680504">
        <w:rPr>
          <w:rFonts w:ascii="Book Antiqua" w:hAnsi="Book Antiqua"/>
          <w:lang w:val="en-IE"/>
        </w:rPr>
        <w:t>seen as a disempowering force</w:t>
      </w:r>
      <w:r w:rsidR="00945A2F">
        <w:rPr>
          <w:rFonts w:ascii="Book Antiqua" w:hAnsi="Book Antiqua"/>
          <w:lang w:val="en-IE"/>
        </w:rPr>
        <w:t>:</w:t>
      </w:r>
      <w:r>
        <w:rPr>
          <w:rFonts w:ascii="Book Antiqua" w:hAnsi="Book Antiqua"/>
          <w:lang w:val="en-IE"/>
        </w:rPr>
        <w:t xml:space="preserve"> not a repository of rights and values</w:t>
      </w:r>
      <w:r w:rsidR="00945A2F">
        <w:rPr>
          <w:rFonts w:ascii="Book Antiqua" w:hAnsi="Book Antiqua"/>
          <w:lang w:val="en-IE"/>
        </w:rPr>
        <w:t xml:space="preserve"> and </w:t>
      </w:r>
      <w:r>
        <w:rPr>
          <w:rFonts w:ascii="Book Antiqua" w:hAnsi="Book Antiqua"/>
          <w:lang w:val="en-IE"/>
        </w:rPr>
        <w:t>foundation for governance</w:t>
      </w:r>
      <w:r w:rsidR="00945A2F">
        <w:rPr>
          <w:rFonts w:ascii="Book Antiqua" w:hAnsi="Book Antiqua"/>
          <w:lang w:val="en-IE"/>
        </w:rPr>
        <w:t xml:space="preserve"> and state action, </w:t>
      </w:r>
      <w:r>
        <w:rPr>
          <w:rFonts w:ascii="Book Antiqua" w:hAnsi="Book Antiqua"/>
          <w:lang w:val="en-IE"/>
        </w:rPr>
        <w:t xml:space="preserve"> but</w:t>
      </w:r>
      <w:r w:rsidR="009D1264">
        <w:rPr>
          <w:rFonts w:ascii="Book Antiqua" w:hAnsi="Book Antiqua"/>
          <w:lang w:val="en-IE"/>
        </w:rPr>
        <w:t xml:space="preserve"> as an </w:t>
      </w:r>
      <w:r w:rsidR="009D1264" w:rsidRPr="00F603FC">
        <w:rPr>
          <w:rFonts w:ascii="Book Antiqua" w:hAnsi="Book Antiqua"/>
          <w:i/>
          <w:lang w:val="en-IE"/>
        </w:rPr>
        <w:t>obstacle</w:t>
      </w:r>
      <w:r w:rsidR="009D1264">
        <w:rPr>
          <w:rFonts w:ascii="Book Antiqua" w:hAnsi="Book Antiqua"/>
          <w:lang w:val="en-IE"/>
        </w:rPr>
        <w:t xml:space="preserve"> to collective action.</w:t>
      </w:r>
      <w:r>
        <w:rPr>
          <w:rFonts w:ascii="Book Antiqua" w:hAnsi="Book Antiqua"/>
          <w:lang w:val="en-IE"/>
        </w:rPr>
        <w:t xml:space="preserve"> This may further alienate the public from the constitution.</w:t>
      </w:r>
    </w:p>
    <w:p w14:paraId="6DA0A71C" w14:textId="77777777" w:rsidR="00361D46" w:rsidRDefault="00361D46" w:rsidP="00361D46">
      <w:pPr>
        <w:spacing w:line="360" w:lineRule="auto"/>
        <w:jc w:val="both"/>
        <w:rPr>
          <w:rFonts w:ascii="Book Antiqua" w:hAnsi="Book Antiqua"/>
          <w:b/>
          <w:lang w:val="en-GB"/>
        </w:rPr>
      </w:pPr>
    </w:p>
    <w:p w14:paraId="346CB9DA" w14:textId="3B13E0B5" w:rsidR="008E1ED2" w:rsidRPr="00050975" w:rsidRDefault="008E1ED2" w:rsidP="008E1ED2">
      <w:pPr>
        <w:spacing w:line="360" w:lineRule="auto"/>
        <w:jc w:val="both"/>
        <w:outlineLvl w:val="1"/>
        <w:rPr>
          <w:rFonts w:ascii="Book Antiqua" w:hAnsi="Book Antiqua"/>
          <w:lang w:val="en-IE"/>
        </w:rPr>
      </w:pPr>
      <w:r w:rsidRPr="00A36A90">
        <w:rPr>
          <w:rFonts w:ascii="Book Antiqua" w:hAnsi="Book Antiqua"/>
          <w:u w:val="single"/>
          <w:lang w:val="en-IE"/>
        </w:rPr>
        <w:t>Obstruction and Policy Distortion</w:t>
      </w:r>
    </w:p>
    <w:p w14:paraId="4723DA02" w14:textId="4512425F" w:rsidR="005F1229" w:rsidRDefault="008E1ED2" w:rsidP="008E1ED2">
      <w:pPr>
        <w:spacing w:line="360" w:lineRule="auto"/>
        <w:jc w:val="both"/>
        <w:rPr>
          <w:rFonts w:ascii="Book Antiqua" w:hAnsi="Book Antiqua"/>
          <w:lang w:val="en-IE"/>
        </w:rPr>
      </w:pPr>
      <w:r>
        <w:rPr>
          <w:rFonts w:ascii="Book Antiqua" w:hAnsi="Book Antiqua"/>
          <w:lang w:val="en-IE"/>
        </w:rPr>
        <w:lastRenderedPageBreak/>
        <w:t xml:space="preserve">The effect of </w:t>
      </w:r>
      <w:r w:rsidR="005F1229">
        <w:rPr>
          <w:rFonts w:ascii="Book Antiqua" w:hAnsi="Book Antiqua"/>
          <w:lang w:val="en-IE"/>
        </w:rPr>
        <w:t xml:space="preserve">shadow review </w:t>
      </w:r>
      <w:r w:rsidR="005E4AA7">
        <w:rPr>
          <w:rFonts w:ascii="Book Antiqua" w:hAnsi="Book Antiqua"/>
          <w:lang w:val="en-IE"/>
        </w:rPr>
        <w:t>in our examples</w:t>
      </w:r>
      <w:r w:rsidR="005F1229">
        <w:rPr>
          <w:rFonts w:ascii="Book Antiqua" w:hAnsi="Book Antiqua"/>
          <w:lang w:val="en-IE"/>
        </w:rPr>
        <w:t xml:space="preserve"> is predominantly </w:t>
      </w:r>
      <w:r>
        <w:rPr>
          <w:rFonts w:ascii="Book Antiqua" w:hAnsi="Book Antiqua"/>
          <w:lang w:val="en-IE"/>
        </w:rPr>
        <w:t>negative</w:t>
      </w:r>
      <w:r w:rsidR="005F1229">
        <w:rPr>
          <w:rFonts w:ascii="Book Antiqua" w:hAnsi="Book Antiqua"/>
          <w:lang w:val="en-IE"/>
        </w:rPr>
        <w:t xml:space="preserve">, serving </w:t>
      </w:r>
      <w:r w:rsidR="005E4AA7">
        <w:rPr>
          <w:rFonts w:ascii="Book Antiqua" w:hAnsi="Book Antiqua"/>
          <w:lang w:val="en-IE"/>
        </w:rPr>
        <w:t xml:space="preserve">mainly </w:t>
      </w:r>
      <w:r w:rsidR="005F1229">
        <w:rPr>
          <w:rFonts w:ascii="Book Antiqua" w:hAnsi="Book Antiqua"/>
          <w:lang w:val="en-IE"/>
        </w:rPr>
        <w:t xml:space="preserve">as an additional </w:t>
      </w:r>
      <w:r>
        <w:rPr>
          <w:rFonts w:ascii="Book Antiqua" w:hAnsi="Book Antiqua"/>
          <w:lang w:val="en-IE"/>
        </w:rPr>
        <w:t>veto point</w:t>
      </w:r>
      <w:r w:rsidR="005F1229">
        <w:rPr>
          <w:rFonts w:ascii="Book Antiqua" w:hAnsi="Book Antiqua"/>
          <w:lang w:val="en-IE"/>
        </w:rPr>
        <w:t xml:space="preserve"> to</w:t>
      </w:r>
      <w:r>
        <w:rPr>
          <w:rFonts w:ascii="Book Antiqua" w:hAnsi="Book Antiqua"/>
          <w:lang w:val="en-IE"/>
        </w:rPr>
        <w:t xml:space="preserve"> stopping legislation and policy, rather than enabling it or encouraging it. </w:t>
      </w:r>
      <w:r w:rsidR="003A759A">
        <w:rPr>
          <w:rFonts w:ascii="Book Antiqua" w:hAnsi="Book Antiqua"/>
          <w:lang w:val="en-IE"/>
        </w:rPr>
        <w:t xml:space="preserve">Since the advice is </w:t>
      </w:r>
      <w:r w:rsidR="005E4AA7">
        <w:rPr>
          <w:rFonts w:ascii="Book Antiqua" w:hAnsi="Book Antiqua"/>
          <w:lang w:val="en-IE"/>
        </w:rPr>
        <w:t xml:space="preserve">apparently </w:t>
      </w:r>
      <w:r w:rsidR="00945A2F">
        <w:rPr>
          <w:rFonts w:ascii="Book Antiqua" w:hAnsi="Book Antiqua"/>
          <w:lang w:val="en-IE"/>
        </w:rPr>
        <w:t xml:space="preserve">considered </w:t>
      </w:r>
      <w:r w:rsidR="008F0AF1">
        <w:rPr>
          <w:rFonts w:ascii="Book Antiqua" w:hAnsi="Book Antiqua"/>
          <w:lang w:val="en-IE"/>
        </w:rPr>
        <w:t xml:space="preserve">to be </w:t>
      </w:r>
      <w:r w:rsidR="00A23F04">
        <w:rPr>
          <w:rFonts w:ascii="Book Antiqua" w:hAnsi="Book Antiqua"/>
          <w:lang w:val="en-IE"/>
        </w:rPr>
        <w:t>binding</w:t>
      </w:r>
      <w:r w:rsidR="003A759A">
        <w:rPr>
          <w:rFonts w:ascii="Book Antiqua" w:hAnsi="Book Antiqua"/>
          <w:lang w:val="en-IE"/>
        </w:rPr>
        <w:t xml:space="preserve"> </w:t>
      </w:r>
      <w:r w:rsidR="008F0AF1">
        <w:rPr>
          <w:rFonts w:ascii="Book Antiqua" w:hAnsi="Book Antiqua"/>
          <w:lang w:val="en-IE"/>
        </w:rPr>
        <w:t xml:space="preserve">on </w:t>
      </w:r>
      <w:r w:rsidR="003A759A">
        <w:rPr>
          <w:rFonts w:ascii="Book Antiqua" w:hAnsi="Book Antiqua"/>
          <w:lang w:val="en-IE"/>
        </w:rPr>
        <w:t>the executive in each place, advice that some measure is unconstitutional will likely be the end of a policy.</w:t>
      </w:r>
      <w:r w:rsidR="00024FC1">
        <w:rPr>
          <w:rFonts w:ascii="Book Antiqua" w:hAnsi="Book Antiqua"/>
          <w:lang w:val="en-IE"/>
        </w:rPr>
        <w:t xml:space="preserve"> Since the advice is lawyerly</w:t>
      </w:r>
      <w:r w:rsidR="003A759A">
        <w:rPr>
          <w:rFonts w:ascii="Book Antiqua" w:hAnsi="Book Antiqua"/>
          <w:lang w:val="en-IE"/>
        </w:rPr>
        <w:t xml:space="preserve"> and court-mimicking, it is likely to err on the side of caution</w:t>
      </w:r>
      <w:r w:rsidR="008F0AF1">
        <w:rPr>
          <w:rFonts w:ascii="Book Antiqua" w:hAnsi="Book Antiqua"/>
          <w:lang w:val="en-IE"/>
        </w:rPr>
        <w:t xml:space="preserve"> in hard or borderline cases</w:t>
      </w:r>
      <w:r w:rsidR="003A759A">
        <w:rPr>
          <w:rFonts w:ascii="Book Antiqua" w:hAnsi="Book Antiqua"/>
          <w:lang w:val="en-IE"/>
        </w:rPr>
        <w:t>.</w:t>
      </w:r>
      <w:r w:rsidR="00024FC1" w:rsidRPr="00024FC1">
        <w:rPr>
          <w:rFonts w:ascii="Book Antiqua" w:hAnsi="Book Antiqua"/>
          <w:lang w:val="en-IE"/>
        </w:rPr>
        <w:t xml:space="preserve"> </w:t>
      </w:r>
      <w:r w:rsidR="00024FC1">
        <w:rPr>
          <w:rFonts w:ascii="Book Antiqua" w:hAnsi="Book Antiqua"/>
          <w:lang w:val="en-IE"/>
        </w:rPr>
        <w:t>Its</w:t>
      </w:r>
      <w:r w:rsidR="00024FC1" w:rsidRPr="00D95C0D">
        <w:rPr>
          <w:rFonts w:ascii="Book Antiqua" w:hAnsi="Book Antiqua"/>
          <w:lang w:val="en-IE"/>
        </w:rPr>
        <w:t xml:space="preserve"> lawyerly </w:t>
      </w:r>
      <w:r w:rsidR="00024FC1">
        <w:rPr>
          <w:rFonts w:ascii="Book Antiqua" w:hAnsi="Book Antiqua"/>
          <w:lang w:val="en-IE"/>
        </w:rPr>
        <w:t xml:space="preserve">nature may also </w:t>
      </w:r>
      <w:r w:rsidR="00024FC1" w:rsidRPr="00D95C0D">
        <w:rPr>
          <w:rFonts w:ascii="Book Antiqua" w:hAnsi="Book Antiqua"/>
          <w:lang w:val="en-IE"/>
        </w:rPr>
        <w:t>perpetuate the idea of a constitutional law as</w:t>
      </w:r>
      <w:r w:rsidR="000521C7">
        <w:rPr>
          <w:rFonts w:ascii="Book Antiqua" w:hAnsi="Book Antiqua"/>
          <w:lang w:val="en-IE"/>
        </w:rPr>
        <w:t xml:space="preserve"> an</w:t>
      </w:r>
      <w:r w:rsidR="00024FC1" w:rsidRPr="00D95C0D">
        <w:rPr>
          <w:rFonts w:ascii="Book Antiqua" w:hAnsi="Book Antiqua"/>
          <w:lang w:val="en-IE"/>
        </w:rPr>
        <w:t xml:space="preserve"> expert</w:t>
      </w:r>
      <w:r w:rsidR="000521C7">
        <w:rPr>
          <w:rFonts w:ascii="Book Antiqua" w:hAnsi="Book Antiqua"/>
          <w:lang w:val="en-IE"/>
        </w:rPr>
        <w:t>ise</w:t>
      </w:r>
      <w:r w:rsidR="00024FC1" w:rsidRPr="00D95C0D">
        <w:rPr>
          <w:rFonts w:ascii="Book Antiqua" w:hAnsi="Book Antiqua"/>
          <w:lang w:val="en-IE"/>
        </w:rPr>
        <w:t xml:space="preserve"> t</w:t>
      </w:r>
      <w:r w:rsidR="00024FC1">
        <w:rPr>
          <w:rFonts w:ascii="Book Antiqua" w:hAnsi="Book Antiqua"/>
          <w:lang w:val="en-IE"/>
        </w:rPr>
        <w:t xml:space="preserve">hat </w:t>
      </w:r>
      <w:r w:rsidR="000521C7">
        <w:rPr>
          <w:rFonts w:ascii="Book Antiqua" w:hAnsi="Book Antiqua"/>
          <w:lang w:val="en-IE"/>
        </w:rPr>
        <w:t xml:space="preserve">provides </w:t>
      </w:r>
      <w:r w:rsidR="00024FC1">
        <w:rPr>
          <w:rFonts w:ascii="Book Antiqua" w:hAnsi="Book Antiqua"/>
          <w:lang w:val="en-IE"/>
        </w:rPr>
        <w:t xml:space="preserve">of technical answers, which </w:t>
      </w:r>
      <w:r w:rsidR="00945A2F">
        <w:rPr>
          <w:rFonts w:ascii="Book Antiqua" w:hAnsi="Book Antiqua"/>
          <w:lang w:val="en-IE"/>
        </w:rPr>
        <w:t xml:space="preserve">may </w:t>
      </w:r>
      <w:r w:rsidR="00024FC1">
        <w:rPr>
          <w:rFonts w:ascii="Book Antiqua" w:hAnsi="Book Antiqua"/>
          <w:lang w:val="en-IE"/>
        </w:rPr>
        <w:t xml:space="preserve">promote </w:t>
      </w:r>
      <w:r w:rsidR="008F0AF1">
        <w:rPr>
          <w:rFonts w:ascii="Book Antiqua" w:hAnsi="Book Antiqua"/>
          <w:lang w:val="en-IE"/>
        </w:rPr>
        <w:t xml:space="preserve">stricter </w:t>
      </w:r>
      <w:r w:rsidR="00024FC1">
        <w:rPr>
          <w:rFonts w:ascii="Book Antiqua" w:hAnsi="Book Antiqua"/>
          <w:lang w:val="en-IE"/>
        </w:rPr>
        <w:t>adherence to advice.</w:t>
      </w:r>
      <w:r w:rsidR="003A759A">
        <w:rPr>
          <w:rFonts w:ascii="Book Antiqua" w:hAnsi="Book Antiqua"/>
          <w:lang w:val="en-IE"/>
        </w:rPr>
        <w:t xml:space="preserve"> </w:t>
      </w:r>
      <w:r w:rsidR="0003158D">
        <w:rPr>
          <w:rFonts w:ascii="Book Antiqua" w:hAnsi="Book Antiqua"/>
          <w:lang w:val="en-IE"/>
        </w:rPr>
        <w:t>In Irela</w:t>
      </w:r>
      <w:r w:rsidR="003D6D17">
        <w:rPr>
          <w:rFonts w:ascii="Book Antiqua" w:hAnsi="Book Antiqua"/>
          <w:lang w:val="en-IE"/>
        </w:rPr>
        <w:t>nd and</w:t>
      </w:r>
      <w:r w:rsidR="0003158D">
        <w:rPr>
          <w:rFonts w:ascii="Book Antiqua" w:hAnsi="Book Antiqua"/>
          <w:lang w:val="en-IE"/>
        </w:rPr>
        <w:t xml:space="preserve"> Japan, it is clear that this advice does stop policies being pursued. </w:t>
      </w:r>
      <w:r w:rsidR="003A759A">
        <w:rPr>
          <w:rFonts w:ascii="Book Antiqua" w:hAnsi="Book Antiqua"/>
          <w:lang w:val="en-IE"/>
        </w:rPr>
        <w:t xml:space="preserve">In Ireland </w:t>
      </w:r>
      <w:r w:rsidR="00945A2F">
        <w:rPr>
          <w:rFonts w:ascii="Book Antiqua" w:hAnsi="Book Antiqua"/>
          <w:lang w:val="en-IE"/>
        </w:rPr>
        <w:t>in particular</w:t>
      </w:r>
      <w:r w:rsidR="0003158D">
        <w:rPr>
          <w:rFonts w:ascii="Book Antiqua" w:hAnsi="Book Antiqua"/>
          <w:lang w:val="en-IE"/>
        </w:rPr>
        <w:t xml:space="preserve"> </w:t>
      </w:r>
      <w:r w:rsidR="003A759A">
        <w:rPr>
          <w:rFonts w:ascii="Book Antiqua" w:hAnsi="Book Antiqua"/>
          <w:lang w:val="en-IE"/>
        </w:rPr>
        <w:t xml:space="preserve">there is evidence of the </w:t>
      </w:r>
      <w:r w:rsidR="003D6D17">
        <w:rPr>
          <w:rFonts w:ascii="Book Antiqua" w:hAnsi="Book Antiqua"/>
          <w:lang w:val="en-IE"/>
        </w:rPr>
        <w:t xml:space="preserve">AG’s </w:t>
      </w:r>
      <w:r w:rsidR="003A759A">
        <w:rPr>
          <w:rFonts w:ascii="Book Antiqua" w:hAnsi="Book Antiqua"/>
          <w:lang w:val="en-IE"/>
        </w:rPr>
        <w:t xml:space="preserve">advice </w:t>
      </w:r>
      <w:r w:rsidR="00A51EC7">
        <w:rPr>
          <w:rFonts w:ascii="Book Antiqua" w:hAnsi="Book Antiqua"/>
          <w:lang w:val="en-IE"/>
        </w:rPr>
        <w:t xml:space="preserve">being </w:t>
      </w:r>
      <w:r w:rsidR="003D6D17">
        <w:rPr>
          <w:rFonts w:ascii="Book Antiqua" w:hAnsi="Book Antiqua"/>
          <w:lang w:val="en-IE"/>
        </w:rPr>
        <w:t xml:space="preserve">overly </w:t>
      </w:r>
      <w:r w:rsidR="003A759A">
        <w:rPr>
          <w:rFonts w:ascii="Book Antiqua" w:hAnsi="Book Antiqua"/>
          <w:lang w:val="en-IE"/>
        </w:rPr>
        <w:t>conservative</w:t>
      </w:r>
      <w:r w:rsidR="00A51EC7">
        <w:rPr>
          <w:rFonts w:ascii="Book Antiqua" w:hAnsi="Book Antiqua"/>
          <w:lang w:val="en-IE"/>
        </w:rPr>
        <w:t>,</w:t>
      </w:r>
      <w:r w:rsidR="003A759A">
        <w:rPr>
          <w:rFonts w:ascii="Book Antiqua" w:hAnsi="Book Antiqua"/>
          <w:lang w:val="en-IE"/>
        </w:rPr>
        <w:t xml:space="preserve"> </w:t>
      </w:r>
      <w:r w:rsidR="00A51EC7">
        <w:rPr>
          <w:rFonts w:ascii="Book Antiqua" w:hAnsi="Book Antiqua"/>
          <w:lang w:val="en-IE"/>
        </w:rPr>
        <w:t xml:space="preserve">preventing the </w:t>
      </w:r>
      <w:r w:rsidR="003A759A">
        <w:rPr>
          <w:rFonts w:ascii="Book Antiqua" w:hAnsi="Book Antiqua"/>
          <w:lang w:val="en-IE"/>
        </w:rPr>
        <w:t xml:space="preserve">government from pursuing policies that were, at the very least, </w:t>
      </w:r>
      <w:r w:rsidR="003A759A" w:rsidRPr="00E104BC">
        <w:rPr>
          <w:rFonts w:ascii="Book Antiqua" w:hAnsi="Book Antiqua"/>
          <w:i/>
          <w:lang w:val="en-IE"/>
        </w:rPr>
        <w:t>arguably</w:t>
      </w:r>
      <w:r w:rsidR="003A759A">
        <w:rPr>
          <w:rFonts w:ascii="Book Antiqua" w:hAnsi="Book Antiqua"/>
          <w:lang w:val="en-IE"/>
        </w:rPr>
        <w:t xml:space="preserve"> constitutional</w:t>
      </w:r>
      <w:r w:rsidR="005E4AA7">
        <w:rPr>
          <w:rFonts w:ascii="Book Antiqua" w:hAnsi="Book Antiqua"/>
          <w:lang w:val="en-IE"/>
        </w:rPr>
        <w:t xml:space="preserve"> and which (at least in the case of property rights restrictions) the government </w:t>
      </w:r>
      <w:r w:rsidR="003D2E8E">
        <w:rPr>
          <w:rFonts w:ascii="Book Antiqua" w:hAnsi="Book Antiqua"/>
          <w:lang w:val="en-IE"/>
        </w:rPr>
        <w:t>strongly</w:t>
      </w:r>
      <w:r w:rsidR="005E4AA7">
        <w:rPr>
          <w:rFonts w:ascii="Book Antiqua" w:hAnsi="Book Antiqua"/>
          <w:lang w:val="en-IE"/>
        </w:rPr>
        <w:t xml:space="preserve"> wished to pursue</w:t>
      </w:r>
      <w:r w:rsidR="003A759A">
        <w:rPr>
          <w:rFonts w:ascii="Book Antiqua" w:hAnsi="Book Antiqua"/>
          <w:lang w:val="en-IE"/>
        </w:rPr>
        <w:t>.</w:t>
      </w:r>
    </w:p>
    <w:p w14:paraId="30450895" w14:textId="77777777" w:rsidR="008E1ED2" w:rsidRPr="00D95C0D" w:rsidRDefault="008E1ED2" w:rsidP="008E1ED2">
      <w:pPr>
        <w:spacing w:line="360" w:lineRule="auto"/>
        <w:jc w:val="both"/>
        <w:rPr>
          <w:rFonts w:ascii="Book Antiqua" w:hAnsi="Book Antiqua"/>
          <w:u w:val="single"/>
          <w:lang w:val="en-IE"/>
        </w:rPr>
      </w:pPr>
    </w:p>
    <w:p w14:paraId="3BA1E45D" w14:textId="0365455A" w:rsidR="008E1ED2" w:rsidRPr="00D95C0D" w:rsidRDefault="008E1ED2" w:rsidP="008E1ED2">
      <w:pPr>
        <w:spacing w:line="360" w:lineRule="auto"/>
        <w:jc w:val="both"/>
        <w:rPr>
          <w:rFonts w:ascii="Book Antiqua" w:hAnsi="Book Antiqua"/>
          <w:lang w:val="en-IE"/>
        </w:rPr>
      </w:pPr>
      <w:r w:rsidRPr="00D95C0D">
        <w:rPr>
          <w:rFonts w:ascii="Book Antiqua" w:hAnsi="Book Antiqua"/>
          <w:lang w:val="en-IE"/>
        </w:rPr>
        <w:t>It has long been noted that judicial review – particularly strong form review – will change the legislative process and its outputs. Tushnet calls this phenomenon “policy distortion”</w:t>
      </w:r>
      <w:r>
        <w:rPr>
          <w:rFonts w:ascii="Book Antiqua" w:hAnsi="Book Antiqua"/>
          <w:lang w:val="en-IE"/>
        </w:rPr>
        <w:t>, where the heavy incorporation by the political branches of judicially</w:t>
      </w:r>
      <w:r w:rsidR="002E442A">
        <w:rPr>
          <w:rFonts w:ascii="Book Antiqua" w:hAnsi="Book Antiqua"/>
          <w:lang w:val="en-IE"/>
        </w:rPr>
        <w:t>-</w:t>
      </w:r>
      <w:r>
        <w:rPr>
          <w:rFonts w:ascii="Book Antiqua" w:hAnsi="Book Antiqua"/>
          <w:lang w:val="en-IE"/>
        </w:rPr>
        <w:t xml:space="preserve">articulated constitutional norms into the </w:t>
      </w:r>
      <w:proofErr w:type="spellStart"/>
      <w:r>
        <w:rPr>
          <w:rFonts w:ascii="Book Antiqua" w:hAnsi="Book Antiqua"/>
          <w:lang w:val="en-IE"/>
        </w:rPr>
        <w:t>lawmaking</w:t>
      </w:r>
      <w:proofErr w:type="spellEnd"/>
      <w:r>
        <w:rPr>
          <w:rFonts w:ascii="Book Antiqua" w:hAnsi="Book Antiqua"/>
          <w:lang w:val="en-IE"/>
        </w:rPr>
        <w:t xml:space="preserve"> process supplants “legislative consideration of other arguably more important matters”</w:t>
      </w:r>
      <w:r w:rsidRPr="00D95C0D">
        <w:rPr>
          <w:rFonts w:ascii="Book Antiqua" w:hAnsi="Book Antiqua"/>
          <w:lang w:val="en-IE"/>
        </w:rPr>
        <w:t>.</w:t>
      </w:r>
      <w:r w:rsidRPr="00D95C0D">
        <w:rPr>
          <w:rStyle w:val="FootnoteReference"/>
          <w:rFonts w:ascii="Book Antiqua" w:hAnsi="Book Antiqua"/>
          <w:lang w:val="en-IE"/>
        </w:rPr>
        <w:footnoteReference w:id="117"/>
      </w:r>
      <w:r>
        <w:rPr>
          <w:rFonts w:ascii="Book Antiqua" w:hAnsi="Book Antiqua"/>
        </w:rPr>
        <w:t xml:space="preserve"> </w:t>
      </w:r>
      <w:r w:rsidR="003A759A">
        <w:rPr>
          <w:rFonts w:ascii="Book Antiqua" w:hAnsi="Book Antiqua"/>
          <w:lang w:val="en-IE"/>
        </w:rPr>
        <w:t xml:space="preserve">Shadow review </w:t>
      </w:r>
      <w:r w:rsidRPr="00D95C0D">
        <w:rPr>
          <w:rFonts w:ascii="Book Antiqua" w:hAnsi="Book Antiqua"/>
          <w:lang w:val="en-IE"/>
        </w:rPr>
        <w:t>exacerbate</w:t>
      </w:r>
      <w:r w:rsidR="003A759A">
        <w:rPr>
          <w:rFonts w:ascii="Book Antiqua" w:hAnsi="Book Antiqua"/>
          <w:lang w:val="en-IE"/>
        </w:rPr>
        <w:t>s</w:t>
      </w:r>
      <w:r w:rsidRPr="00D95C0D">
        <w:rPr>
          <w:rFonts w:ascii="Book Antiqua" w:hAnsi="Book Antiqua"/>
          <w:lang w:val="en-IE"/>
        </w:rPr>
        <w:t xml:space="preserve"> policy distortion.</w:t>
      </w:r>
      <w:r w:rsidR="003A759A">
        <w:rPr>
          <w:rStyle w:val="FootnoteReference"/>
          <w:rFonts w:ascii="Book Antiqua" w:hAnsi="Book Antiqua"/>
          <w:lang w:val="en-IE"/>
        </w:rPr>
        <w:footnoteReference w:id="118"/>
      </w:r>
      <w:r w:rsidRPr="00D95C0D">
        <w:rPr>
          <w:rFonts w:ascii="Book Antiqua" w:hAnsi="Book Antiqua"/>
          <w:lang w:val="en-IE"/>
        </w:rPr>
        <w:t xml:space="preserve"> </w:t>
      </w:r>
      <w:r w:rsidR="00BC3AA1">
        <w:rPr>
          <w:rFonts w:ascii="Book Antiqua" w:hAnsi="Book Antiqua"/>
          <w:lang w:val="en-IE"/>
        </w:rPr>
        <w:t xml:space="preserve">The Irish and Japanese examples are particularly problematic insofar as it is hard to describe the distortion as self-limitation: </w:t>
      </w:r>
      <w:r w:rsidRPr="00D95C0D">
        <w:rPr>
          <w:rFonts w:ascii="Book Antiqua" w:hAnsi="Book Antiqua"/>
          <w:lang w:val="en-IE"/>
        </w:rPr>
        <w:t>the legislature does not make the decision</w:t>
      </w:r>
      <w:r w:rsidR="00BC3AA1">
        <w:rPr>
          <w:rFonts w:ascii="Book Antiqua" w:hAnsi="Book Antiqua"/>
          <w:lang w:val="en-IE"/>
        </w:rPr>
        <w:t xml:space="preserve">, nor really does the </w:t>
      </w:r>
      <w:r w:rsidRPr="00D95C0D">
        <w:rPr>
          <w:rFonts w:ascii="Book Antiqua" w:hAnsi="Book Antiqua"/>
          <w:lang w:val="en-IE"/>
        </w:rPr>
        <w:t>executive</w:t>
      </w:r>
      <w:r w:rsidR="00BC3AA1">
        <w:rPr>
          <w:rFonts w:ascii="Book Antiqua" w:hAnsi="Book Antiqua"/>
          <w:lang w:val="en-IE"/>
        </w:rPr>
        <w:t xml:space="preserve">. The limitation is </w:t>
      </w:r>
      <w:r w:rsidR="00945A2F">
        <w:rPr>
          <w:rFonts w:ascii="Book Antiqua" w:hAnsi="Book Antiqua"/>
          <w:lang w:val="en-IE"/>
        </w:rPr>
        <w:t>seemingly</w:t>
      </w:r>
      <w:r w:rsidR="00945A2F">
        <w:rPr>
          <w:rStyle w:val="FootnoteReference"/>
          <w:rFonts w:ascii="Book Antiqua" w:hAnsi="Book Antiqua"/>
          <w:lang w:val="en-IE"/>
        </w:rPr>
        <w:footnoteReference w:id="119"/>
      </w:r>
      <w:r w:rsidR="00945A2F">
        <w:rPr>
          <w:rFonts w:ascii="Book Antiqua" w:hAnsi="Book Antiqua"/>
          <w:lang w:val="en-IE"/>
        </w:rPr>
        <w:t xml:space="preserve"> </w:t>
      </w:r>
      <w:r w:rsidR="00BC3AA1">
        <w:rPr>
          <w:rFonts w:ascii="Book Antiqua" w:hAnsi="Book Antiqua"/>
          <w:lang w:val="en-IE"/>
        </w:rPr>
        <w:t xml:space="preserve">imposed by </w:t>
      </w:r>
      <w:r w:rsidRPr="00D95C0D">
        <w:rPr>
          <w:rFonts w:ascii="Book Antiqua" w:hAnsi="Book Antiqua"/>
          <w:lang w:val="en-IE"/>
        </w:rPr>
        <w:t>the executive</w:t>
      </w:r>
      <w:r w:rsidR="00BC3AA1">
        <w:rPr>
          <w:rFonts w:ascii="Book Antiqua" w:hAnsi="Book Antiqua"/>
          <w:lang w:val="en-IE"/>
        </w:rPr>
        <w:t>’</w:t>
      </w:r>
      <w:r w:rsidRPr="00D95C0D">
        <w:rPr>
          <w:rFonts w:ascii="Book Antiqua" w:hAnsi="Book Antiqua"/>
          <w:lang w:val="en-IE"/>
        </w:rPr>
        <w:t>s legal adviser</w:t>
      </w:r>
      <w:r w:rsidR="00BC3AA1">
        <w:rPr>
          <w:rFonts w:ascii="Book Antiqua" w:hAnsi="Book Antiqua"/>
          <w:lang w:val="en-IE"/>
        </w:rPr>
        <w:t>s</w:t>
      </w:r>
      <w:r w:rsidRPr="00D95C0D">
        <w:rPr>
          <w:rFonts w:ascii="Book Antiqua" w:hAnsi="Book Antiqua"/>
          <w:lang w:val="en-IE"/>
        </w:rPr>
        <w:t xml:space="preserve">, </w:t>
      </w:r>
      <w:r w:rsidR="00BC3AA1">
        <w:rPr>
          <w:rFonts w:ascii="Book Antiqua" w:hAnsi="Book Antiqua"/>
          <w:lang w:val="en-IE"/>
        </w:rPr>
        <w:t>who</w:t>
      </w:r>
      <w:r w:rsidR="00203E2E">
        <w:rPr>
          <w:rFonts w:ascii="Book Antiqua" w:hAnsi="Book Antiqua"/>
          <w:lang w:val="en-IE"/>
        </w:rPr>
        <w:t>—</w:t>
      </w:r>
      <w:r w:rsidR="00BC3AA1">
        <w:rPr>
          <w:rFonts w:ascii="Book Antiqua" w:hAnsi="Book Antiqua"/>
          <w:lang w:val="en-IE"/>
        </w:rPr>
        <w:t>with little basis in the constitutional text</w:t>
      </w:r>
      <w:r w:rsidR="00203E2E">
        <w:rPr>
          <w:rFonts w:ascii="Book Antiqua" w:hAnsi="Book Antiqua"/>
          <w:lang w:val="en-IE"/>
        </w:rPr>
        <w:t>—</w:t>
      </w:r>
      <w:r w:rsidR="00BC3AA1">
        <w:rPr>
          <w:rFonts w:ascii="Book Antiqua" w:hAnsi="Book Antiqua"/>
          <w:lang w:val="en-IE"/>
        </w:rPr>
        <w:t xml:space="preserve">have taken on an </w:t>
      </w:r>
      <w:r w:rsidRPr="00D95C0D">
        <w:rPr>
          <w:rFonts w:ascii="Book Antiqua" w:hAnsi="Book Antiqua"/>
          <w:lang w:val="en-IE"/>
        </w:rPr>
        <w:t xml:space="preserve">authoritative </w:t>
      </w:r>
      <w:r w:rsidR="00BC3AA1">
        <w:rPr>
          <w:rFonts w:ascii="Book Antiqua" w:hAnsi="Book Antiqua"/>
          <w:lang w:val="en-IE"/>
        </w:rPr>
        <w:t xml:space="preserve">and central </w:t>
      </w:r>
      <w:r w:rsidRPr="00D95C0D">
        <w:rPr>
          <w:rFonts w:ascii="Book Antiqua" w:hAnsi="Book Antiqua"/>
          <w:lang w:val="en-IE"/>
        </w:rPr>
        <w:t xml:space="preserve">role in the </w:t>
      </w:r>
      <w:r w:rsidR="000E22C4">
        <w:rPr>
          <w:rFonts w:ascii="Book Antiqua" w:hAnsi="Book Antiqua"/>
          <w:lang w:val="en-IE"/>
        </w:rPr>
        <w:t>policymaking</w:t>
      </w:r>
      <w:r w:rsidRPr="00D95C0D">
        <w:rPr>
          <w:rFonts w:ascii="Book Antiqua" w:hAnsi="Book Antiqua"/>
          <w:lang w:val="en-IE"/>
        </w:rPr>
        <w:t xml:space="preserve"> process</w:t>
      </w:r>
      <w:r w:rsidR="00BC3AA1">
        <w:rPr>
          <w:rFonts w:ascii="Book Antiqua" w:hAnsi="Book Antiqua"/>
          <w:lang w:val="en-IE"/>
        </w:rPr>
        <w:t>.</w:t>
      </w:r>
    </w:p>
    <w:p w14:paraId="4CC28EB7" w14:textId="77777777" w:rsidR="008E1ED2" w:rsidRPr="00D95C0D" w:rsidRDefault="008E1ED2" w:rsidP="008E1ED2">
      <w:pPr>
        <w:spacing w:line="360" w:lineRule="auto"/>
        <w:jc w:val="both"/>
        <w:rPr>
          <w:rFonts w:ascii="Book Antiqua" w:hAnsi="Book Antiqua"/>
          <w:lang w:val="en-IE"/>
        </w:rPr>
      </w:pPr>
    </w:p>
    <w:p w14:paraId="4457D7D3" w14:textId="36D9E989" w:rsidR="005F0C06" w:rsidRDefault="000E22C4" w:rsidP="005F0C06">
      <w:pPr>
        <w:spacing w:line="360" w:lineRule="auto"/>
        <w:jc w:val="both"/>
        <w:rPr>
          <w:rFonts w:ascii="Book Antiqua" w:hAnsi="Book Antiqua"/>
          <w:lang w:val="en-IE"/>
        </w:rPr>
      </w:pPr>
      <w:r>
        <w:rPr>
          <w:rFonts w:ascii="Book Antiqua" w:hAnsi="Book Antiqua"/>
          <w:lang w:val="en-IE"/>
        </w:rPr>
        <w:lastRenderedPageBreak/>
        <w:t>I</w:t>
      </w:r>
      <w:r w:rsidR="00BC3AA1">
        <w:rPr>
          <w:rFonts w:ascii="Book Antiqua" w:hAnsi="Book Antiqua"/>
          <w:lang w:val="en-IE"/>
        </w:rPr>
        <w:t>t is hard to blame t</w:t>
      </w:r>
      <w:r w:rsidR="008E1ED2">
        <w:rPr>
          <w:rFonts w:ascii="Book Antiqua" w:hAnsi="Book Antiqua"/>
          <w:lang w:val="en-IE"/>
        </w:rPr>
        <w:t xml:space="preserve">his policy distortion on the </w:t>
      </w:r>
      <w:r w:rsidR="008E1ED2" w:rsidRPr="00735395">
        <w:rPr>
          <w:rFonts w:ascii="Book Antiqua" w:hAnsi="Book Antiqua"/>
          <w:lang w:val="en-IE"/>
        </w:rPr>
        <w:t>courts</w:t>
      </w:r>
      <w:r w:rsidR="00BC3AA1">
        <w:rPr>
          <w:rFonts w:ascii="Book Antiqua" w:hAnsi="Book Antiqua"/>
          <w:lang w:val="en-IE"/>
        </w:rPr>
        <w:t>.</w:t>
      </w:r>
      <w:r w:rsidR="008E1ED2">
        <w:rPr>
          <w:rFonts w:ascii="Book Antiqua" w:hAnsi="Book Antiqua"/>
          <w:lang w:val="en-IE"/>
        </w:rPr>
        <w:t xml:space="preserve"> </w:t>
      </w:r>
      <w:r w:rsidR="00BC3AA1">
        <w:rPr>
          <w:rFonts w:ascii="Book Antiqua" w:hAnsi="Book Antiqua"/>
          <w:lang w:val="en-IE"/>
        </w:rPr>
        <w:t xml:space="preserve">In </w:t>
      </w:r>
      <w:r w:rsidR="00E40D1A">
        <w:rPr>
          <w:rFonts w:ascii="Book Antiqua" w:hAnsi="Book Antiqua"/>
          <w:lang w:val="en-IE"/>
        </w:rPr>
        <w:t>each case</w:t>
      </w:r>
      <w:r w:rsidR="00BC3AA1">
        <w:rPr>
          <w:rFonts w:ascii="Book Antiqua" w:hAnsi="Book Antiqua"/>
          <w:lang w:val="en-IE"/>
        </w:rPr>
        <w:t xml:space="preserve">, </w:t>
      </w:r>
      <w:r w:rsidR="008E1ED2" w:rsidRPr="00D95C0D">
        <w:rPr>
          <w:rFonts w:ascii="Book Antiqua" w:hAnsi="Book Antiqua"/>
          <w:lang w:val="en-IE"/>
        </w:rPr>
        <w:t xml:space="preserve">the extent of policy distortion </w:t>
      </w:r>
      <w:r>
        <w:rPr>
          <w:rFonts w:ascii="Book Antiqua" w:hAnsi="Book Antiqua"/>
          <w:lang w:val="en-IE"/>
        </w:rPr>
        <w:t>seems</w:t>
      </w:r>
      <w:r w:rsidR="00BC3AA1" w:rsidRPr="00D95C0D">
        <w:rPr>
          <w:rFonts w:ascii="Book Antiqua" w:hAnsi="Book Antiqua"/>
          <w:lang w:val="en-IE"/>
        </w:rPr>
        <w:t xml:space="preserve"> </w:t>
      </w:r>
      <w:r w:rsidR="008E1ED2" w:rsidRPr="00D95C0D">
        <w:rPr>
          <w:rFonts w:ascii="Book Antiqua" w:hAnsi="Book Antiqua"/>
          <w:lang w:val="en-IE"/>
        </w:rPr>
        <w:t xml:space="preserve">out of line with the way that the courts handle constitutional questions. </w:t>
      </w:r>
      <w:r w:rsidR="00BC3AA1">
        <w:rPr>
          <w:rFonts w:ascii="Book Antiqua" w:hAnsi="Book Antiqua"/>
          <w:lang w:val="en-IE"/>
        </w:rPr>
        <w:t>As has been noted, the Japanese courts are highly deferential and almost never invalidate legislation.</w:t>
      </w:r>
      <w:r w:rsidR="003E1EBF">
        <w:rPr>
          <w:rFonts w:ascii="Book Antiqua" w:hAnsi="Book Antiqua"/>
          <w:lang w:val="en-IE"/>
        </w:rPr>
        <w:t xml:space="preserve"> It seems unlikely that the CLB is so perfect in fulfilment of its functions that no laws it has </w:t>
      </w:r>
      <w:r w:rsidR="00E40D1A">
        <w:rPr>
          <w:rFonts w:ascii="Book Antiqua" w:hAnsi="Book Antiqua"/>
          <w:lang w:val="en-IE"/>
        </w:rPr>
        <w:t xml:space="preserve">caused to be </w:t>
      </w:r>
      <w:r w:rsidR="003E1EBF">
        <w:rPr>
          <w:rFonts w:ascii="Book Antiqua" w:hAnsi="Book Antiqua"/>
          <w:lang w:val="en-IE"/>
        </w:rPr>
        <w:t xml:space="preserve">altered or </w:t>
      </w:r>
      <w:r w:rsidR="00E40D1A">
        <w:rPr>
          <w:rFonts w:ascii="Book Antiqua" w:hAnsi="Book Antiqua"/>
          <w:lang w:val="en-IE"/>
        </w:rPr>
        <w:t xml:space="preserve">abandoned </w:t>
      </w:r>
      <w:r w:rsidR="003E1EBF">
        <w:rPr>
          <w:rFonts w:ascii="Book Antiqua" w:hAnsi="Book Antiqua"/>
          <w:lang w:val="en-IE"/>
        </w:rPr>
        <w:t xml:space="preserve">would </w:t>
      </w:r>
      <w:r w:rsidR="00602330">
        <w:rPr>
          <w:rFonts w:ascii="Book Antiqua" w:hAnsi="Book Antiqua"/>
          <w:lang w:val="en-IE"/>
        </w:rPr>
        <w:t xml:space="preserve">not </w:t>
      </w:r>
      <w:r w:rsidR="003E1EBF">
        <w:rPr>
          <w:rFonts w:ascii="Book Antiqua" w:hAnsi="Book Antiqua"/>
          <w:lang w:val="en-IE"/>
        </w:rPr>
        <w:t xml:space="preserve">have passed muster </w:t>
      </w:r>
      <w:r w:rsidR="00602330">
        <w:rPr>
          <w:rFonts w:ascii="Book Antiqua" w:hAnsi="Book Antiqua"/>
          <w:lang w:val="en-IE"/>
        </w:rPr>
        <w:t>in their original form in front of</w:t>
      </w:r>
      <w:r w:rsidR="003E1EBF">
        <w:rPr>
          <w:rFonts w:ascii="Book Antiqua" w:hAnsi="Book Antiqua"/>
          <w:lang w:val="en-IE"/>
        </w:rPr>
        <w:t xml:space="preserve"> the</w:t>
      </w:r>
      <w:r w:rsidR="00E40D1A">
        <w:rPr>
          <w:rFonts w:ascii="Book Antiqua" w:hAnsi="Book Antiqua"/>
          <w:lang w:val="en-IE"/>
        </w:rPr>
        <w:t>se non-interventionist</w:t>
      </w:r>
      <w:r w:rsidR="003E1EBF">
        <w:rPr>
          <w:rFonts w:ascii="Book Antiqua" w:hAnsi="Book Antiqua"/>
          <w:lang w:val="en-IE"/>
        </w:rPr>
        <w:t xml:space="preserve"> courts. </w:t>
      </w:r>
      <w:r w:rsidR="007C6A45">
        <w:rPr>
          <w:rFonts w:ascii="Book Antiqua" w:hAnsi="Book Antiqua"/>
          <w:lang w:val="en-IE"/>
        </w:rPr>
        <w:t xml:space="preserve">It seems likely that </w:t>
      </w:r>
      <w:r w:rsidR="003E1EBF">
        <w:rPr>
          <w:rFonts w:ascii="Book Antiqua" w:hAnsi="Book Antiqua"/>
          <w:lang w:val="en-IE"/>
        </w:rPr>
        <w:t xml:space="preserve">policy distortion </w:t>
      </w:r>
      <w:r w:rsidR="007C6A45">
        <w:rPr>
          <w:rFonts w:ascii="Book Antiqua" w:hAnsi="Book Antiqua"/>
          <w:lang w:val="en-IE"/>
        </w:rPr>
        <w:t xml:space="preserve">here is </w:t>
      </w:r>
      <w:r w:rsidR="003E1EBF">
        <w:rPr>
          <w:rFonts w:ascii="Book Antiqua" w:hAnsi="Book Antiqua"/>
          <w:lang w:val="en-IE"/>
        </w:rPr>
        <w:t xml:space="preserve">more attributable to the CLB than the court. </w:t>
      </w:r>
      <w:r w:rsidR="008E1ED2" w:rsidRPr="00D95C0D">
        <w:rPr>
          <w:rFonts w:ascii="Book Antiqua" w:hAnsi="Book Antiqua"/>
          <w:lang w:val="en-IE"/>
        </w:rPr>
        <w:t>The Irish courts have been</w:t>
      </w:r>
      <w:r w:rsidR="00BC3AA1">
        <w:rPr>
          <w:rFonts w:ascii="Book Antiqua" w:hAnsi="Book Antiqua"/>
          <w:lang w:val="en-IE"/>
        </w:rPr>
        <w:t xml:space="preserve"> are</w:t>
      </w:r>
      <w:r w:rsidR="008E1ED2" w:rsidRPr="00D95C0D">
        <w:rPr>
          <w:rFonts w:ascii="Book Antiqua" w:hAnsi="Book Antiqua"/>
          <w:lang w:val="en-IE"/>
        </w:rPr>
        <w:t xml:space="preserve"> notably deferential to legislative judgment. The last 25 years</w:t>
      </w:r>
      <w:r w:rsidR="00BC3AA1">
        <w:rPr>
          <w:rFonts w:ascii="Book Antiqua" w:hAnsi="Book Antiqua"/>
          <w:lang w:val="en-IE"/>
        </w:rPr>
        <w:t xml:space="preserve"> – the period during which the distorting effect of</w:t>
      </w:r>
      <w:r w:rsidR="00BC3AA1" w:rsidRPr="00D95C0D">
        <w:rPr>
          <w:rFonts w:ascii="Book Antiqua" w:hAnsi="Book Antiqua"/>
          <w:lang w:val="en-IE"/>
        </w:rPr>
        <w:t xml:space="preserve"> the </w:t>
      </w:r>
      <w:r w:rsidR="00BC3AA1">
        <w:rPr>
          <w:rFonts w:ascii="Book Antiqua" w:hAnsi="Book Antiqua"/>
          <w:lang w:val="en-IE"/>
        </w:rPr>
        <w:t xml:space="preserve">AG’s </w:t>
      </w:r>
      <w:r w:rsidR="00BC3AA1" w:rsidRPr="00D95C0D">
        <w:rPr>
          <w:rFonts w:ascii="Book Antiqua" w:hAnsi="Book Antiqua"/>
          <w:lang w:val="en-IE"/>
        </w:rPr>
        <w:t>advice seems</w:t>
      </w:r>
      <w:r w:rsidR="00BC3AA1">
        <w:rPr>
          <w:rFonts w:ascii="Book Antiqua" w:hAnsi="Book Antiqua"/>
          <w:lang w:val="en-IE"/>
        </w:rPr>
        <w:t xml:space="preserve"> to have become more pronounced – </w:t>
      </w:r>
      <w:r w:rsidR="008E1ED2" w:rsidRPr="00D95C0D">
        <w:rPr>
          <w:rFonts w:ascii="Book Antiqua" w:hAnsi="Book Antiqua"/>
          <w:lang w:val="en-IE"/>
        </w:rPr>
        <w:t>are widely agreed to have been a time when the courts have been loath to intervene and invalidate laws</w:t>
      </w:r>
      <w:r w:rsidR="00F3697D">
        <w:rPr>
          <w:rFonts w:ascii="Book Antiqua" w:hAnsi="Book Antiqua"/>
          <w:lang w:val="en-IE"/>
        </w:rPr>
        <w:t>, particularly in controversial or contested areas</w:t>
      </w:r>
      <w:r w:rsidR="008E1ED2" w:rsidRPr="00D95C0D">
        <w:rPr>
          <w:rFonts w:ascii="Book Antiqua" w:hAnsi="Book Antiqua"/>
          <w:lang w:val="en-IE"/>
        </w:rPr>
        <w:t>.</w:t>
      </w:r>
      <w:r w:rsidR="008E1ED2" w:rsidRPr="00D95C0D">
        <w:rPr>
          <w:rStyle w:val="FootnoteReference"/>
          <w:rFonts w:ascii="Book Antiqua" w:hAnsi="Book Antiqua"/>
          <w:lang w:val="en-IE"/>
        </w:rPr>
        <w:footnoteReference w:id="120"/>
      </w:r>
      <w:r w:rsidR="00F3697D" w:rsidRPr="00D95C0D">
        <w:rPr>
          <w:rFonts w:ascii="Book Antiqua" w:hAnsi="Book Antiqua"/>
          <w:lang w:val="en-IE"/>
        </w:rPr>
        <w:t xml:space="preserve"> </w:t>
      </w:r>
      <w:r w:rsidR="008E1ED2" w:rsidRPr="00D95C0D">
        <w:rPr>
          <w:rFonts w:ascii="Book Antiqua" w:hAnsi="Book Antiqua"/>
          <w:lang w:val="en-IE"/>
        </w:rPr>
        <w:t xml:space="preserve">In this light, the apparent advice of the </w:t>
      </w:r>
      <w:r w:rsidR="00BC3AA1">
        <w:rPr>
          <w:rFonts w:ascii="Book Antiqua" w:hAnsi="Book Antiqua"/>
          <w:lang w:val="en-IE"/>
        </w:rPr>
        <w:t>AG</w:t>
      </w:r>
      <w:r w:rsidR="00BC3AA1" w:rsidRPr="00D95C0D">
        <w:rPr>
          <w:rFonts w:ascii="Book Antiqua" w:hAnsi="Book Antiqua"/>
          <w:lang w:val="en-IE"/>
        </w:rPr>
        <w:t xml:space="preserve"> </w:t>
      </w:r>
      <w:r w:rsidR="008E1ED2" w:rsidRPr="00D95C0D">
        <w:rPr>
          <w:rFonts w:ascii="Book Antiqua" w:hAnsi="Book Antiqua"/>
          <w:lang w:val="en-IE"/>
        </w:rPr>
        <w:t>that various contest</w:t>
      </w:r>
      <w:r w:rsidR="00BC3AA1">
        <w:rPr>
          <w:rFonts w:ascii="Book Antiqua" w:hAnsi="Book Antiqua"/>
          <w:lang w:val="en-IE"/>
        </w:rPr>
        <w:t>ed</w:t>
      </w:r>
      <w:r w:rsidR="008E1ED2" w:rsidRPr="00D95C0D">
        <w:rPr>
          <w:rFonts w:ascii="Book Antiqua" w:hAnsi="Book Antiqua"/>
          <w:lang w:val="en-IE"/>
        </w:rPr>
        <w:t xml:space="preserve"> constitutional matters are clear cut and very likely to result in invalidation of law seems at odds with the actual approach of the courts. </w:t>
      </w:r>
      <w:r w:rsidR="00B45629">
        <w:rPr>
          <w:rFonts w:ascii="Book Antiqua" w:hAnsi="Book Antiqua"/>
          <w:lang w:val="en-IE"/>
        </w:rPr>
        <w:t xml:space="preserve">This </w:t>
      </w:r>
      <w:r w:rsidR="00F3697D">
        <w:rPr>
          <w:rFonts w:ascii="Book Antiqua" w:hAnsi="Book Antiqua"/>
          <w:lang w:val="en-IE"/>
        </w:rPr>
        <w:t>policy distortion comes not from the courts</w:t>
      </w:r>
      <w:r w:rsidR="00B45629">
        <w:rPr>
          <w:rFonts w:ascii="Book Antiqua" w:hAnsi="Book Antiqua"/>
          <w:lang w:val="en-IE"/>
        </w:rPr>
        <w:t>,</w:t>
      </w:r>
      <w:r w:rsidR="00F3697D">
        <w:rPr>
          <w:rFonts w:ascii="Book Antiqua" w:hAnsi="Book Antiqua"/>
          <w:lang w:val="en-IE"/>
        </w:rPr>
        <w:t xml:space="preserve"> but from the pre-enactment review process.</w:t>
      </w:r>
    </w:p>
    <w:p w14:paraId="574F39A8" w14:textId="77777777" w:rsidR="001242C6" w:rsidRPr="00083341" w:rsidRDefault="001242C6" w:rsidP="005F0C06">
      <w:pPr>
        <w:spacing w:line="360" w:lineRule="auto"/>
        <w:jc w:val="both"/>
        <w:rPr>
          <w:rFonts w:ascii="Book Antiqua" w:hAnsi="Book Antiqua"/>
          <w:b/>
          <w:lang w:val="en-GB"/>
        </w:rPr>
      </w:pPr>
    </w:p>
    <w:p w14:paraId="43D52C56" w14:textId="30B98386" w:rsidR="0018634C" w:rsidRDefault="001242C6" w:rsidP="005F0C06">
      <w:pPr>
        <w:spacing w:line="360" w:lineRule="auto"/>
        <w:jc w:val="both"/>
        <w:rPr>
          <w:rFonts w:ascii="Book Antiqua" w:hAnsi="Book Antiqua"/>
        </w:rPr>
      </w:pPr>
      <w:r>
        <w:rPr>
          <w:rFonts w:ascii="Book Antiqua" w:hAnsi="Book Antiqua"/>
          <w:lang w:val="en-IE"/>
        </w:rPr>
        <w:t xml:space="preserve">A contrary view </w:t>
      </w:r>
      <w:r w:rsidR="00642ED0">
        <w:rPr>
          <w:rFonts w:ascii="Book Antiqua" w:hAnsi="Book Antiqua"/>
          <w:lang w:val="en-IE"/>
        </w:rPr>
        <w:t xml:space="preserve">would be that shadow review, as described here, is actually highly effective in keeping the political branches away from </w:t>
      </w:r>
      <w:r w:rsidR="0018634C">
        <w:rPr>
          <w:rFonts w:ascii="Book Antiqua" w:hAnsi="Book Antiqua"/>
          <w:lang w:val="en-IE"/>
        </w:rPr>
        <w:t>constitutionally suspect action.</w:t>
      </w:r>
      <w:r w:rsidR="0018634C">
        <w:rPr>
          <w:rStyle w:val="FootnoteReference"/>
          <w:rFonts w:ascii="Book Antiqua" w:hAnsi="Book Antiqua"/>
          <w:lang w:val="en-IE"/>
        </w:rPr>
        <w:footnoteReference w:id="121"/>
      </w:r>
      <w:r w:rsidR="0018634C">
        <w:rPr>
          <w:rFonts w:ascii="Book Antiqua" w:hAnsi="Book Antiqua"/>
          <w:lang w:val="en-IE"/>
        </w:rPr>
        <w:t xml:space="preserve"> Moreover, it might be said, constitutionalism is in essence </w:t>
      </w:r>
      <w:r w:rsidR="00945A2F" w:rsidRPr="00945A2F">
        <w:rPr>
          <w:rFonts w:ascii="Book Antiqua" w:hAnsi="Book Antiqua"/>
        </w:rPr>
        <w:t>negative</w:t>
      </w:r>
      <w:r w:rsidR="0018634C">
        <w:rPr>
          <w:rFonts w:ascii="Book Antiqua" w:hAnsi="Book Antiqua"/>
        </w:rPr>
        <w:t>,</w:t>
      </w:r>
      <w:r w:rsidR="00945A2F" w:rsidRPr="00945A2F">
        <w:rPr>
          <w:rFonts w:ascii="Book Antiqua" w:hAnsi="Book Antiqua"/>
        </w:rPr>
        <w:t xml:space="preserve"> biased toward protecting individual interests to the cost of pursuing collective interests</w:t>
      </w:r>
      <w:r w:rsidR="0018634C">
        <w:rPr>
          <w:rFonts w:ascii="Book Antiqua" w:hAnsi="Book Antiqua"/>
        </w:rPr>
        <w:t xml:space="preserve">, and invariably going to distort and obstruct policy. It is certainly a credible view, and the line between constitutional compliance and policy distortion is fluid and debatable. However, the </w:t>
      </w:r>
      <w:r w:rsidR="00BB3D0C">
        <w:rPr>
          <w:rFonts w:ascii="Book Antiqua" w:hAnsi="Book Antiqua"/>
        </w:rPr>
        <w:t>non-textual</w:t>
      </w:r>
      <w:r w:rsidR="0018634C">
        <w:rPr>
          <w:rFonts w:ascii="Book Antiqua" w:hAnsi="Book Antiqua"/>
        </w:rPr>
        <w:t xml:space="preserve"> nature of Japanese and Irish review </w:t>
      </w:r>
      <w:r w:rsidR="00880B40">
        <w:rPr>
          <w:rFonts w:ascii="Book Antiqua" w:hAnsi="Book Antiqua"/>
        </w:rPr>
        <w:t>exacerbates</w:t>
      </w:r>
      <w:r w:rsidR="0018634C">
        <w:rPr>
          <w:rFonts w:ascii="Book Antiqua" w:hAnsi="Book Antiqua"/>
        </w:rPr>
        <w:t xml:space="preserve"> the risk that this is an excessive </w:t>
      </w:r>
      <w:r w:rsidR="00BB3D0C">
        <w:rPr>
          <w:rFonts w:ascii="Book Antiqua" w:hAnsi="Book Antiqua"/>
        </w:rPr>
        <w:t xml:space="preserve">or improper </w:t>
      </w:r>
      <w:r w:rsidR="0018634C">
        <w:rPr>
          <w:rFonts w:ascii="Book Antiqua" w:hAnsi="Book Antiqua"/>
        </w:rPr>
        <w:t>check; there is some evidence in each system that the results are too conservative; and from the perspective of political constitutionalism, binding state action to a greater degree than necessary is a fault in legal constitutionalism that it is attempting to address. We would therefore maintain that shadow review in these case goes somewhat beyond effective constitutional restraint.</w:t>
      </w:r>
    </w:p>
    <w:p w14:paraId="4ED30BFD" w14:textId="77777777" w:rsidR="001242C6" w:rsidRDefault="001242C6" w:rsidP="005F0C06">
      <w:pPr>
        <w:spacing w:line="360" w:lineRule="auto"/>
        <w:jc w:val="both"/>
        <w:rPr>
          <w:rFonts w:ascii="Book Antiqua" w:hAnsi="Book Antiqua"/>
          <w:lang w:val="en-IE"/>
        </w:rPr>
      </w:pPr>
    </w:p>
    <w:p w14:paraId="560D9029" w14:textId="76A20307" w:rsidR="005F0C06" w:rsidRPr="00A36A90" w:rsidRDefault="00A20F4A" w:rsidP="00A36A90">
      <w:pPr>
        <w:spacing w:line="360" w:lineRule="auto"/>
        <w:jc w:val="both"/>
        <w:outlineLvl w:val="1"/>
        <w:rPr>
          <w:rFonts w:ascii="Book Antiqua" w:hAnsi="Book Antiqua"/>
          <w:b/>
          <w:lang w:val="en-IE"/>
        </w:rPr>
      </w:pPr>
      <w:r>
        <w:rPr>
          <w:rFonts w:ascii="Book Antiqua" w:hAnsi="Book Antiqua"/>
          <w:u w:val="single"/>
          <w:lang w:val="en-IE"/>
        </w:rPr>
        <w:t xml:space="preserve">Distorting judicial </w:t>
      </w:r>
      <w:r w:rsidR="005F0C06" w:rsidRPr="00A36A90">
        <w:rPr>
          <w:rFonts w:ascii="Book Antiqua" w:hAnsi="Book Antiqua"/>
          <w:u w:val="single"/>
          <w:lang w:val="en-IE"/>
        </w:rPr>
        <w:t xml:space="preserve">review </w:t>
      </w:r>
    </w:p>
    <w:p w14:paraId="00444F67" w14:textId="702B439D" w:rsidR="00062D05" w:rsidRDefault="005F0C06" w:rsidP="005F0C06">
      <w:pPr>
        <w:spacing w:line="360" w:lineRule="auto"/>
        <w:jc w:val="both"/>
        <w:rPr>
          <w:rFonts w:ascii="Book Antiqua" w:hAnsi="Book Antiqua"/>
          <w:lang w:val="en-IE"/>
        </w:rPr>
      </w:pPr>
      <w:r>
        <w:rPr>
          <w:rFonts w:ascii="Book Antiqua" w:hAnsi="Book Antiqua"/>
          <w:lang w:val="en-IE"/>
        </w:rPr>
        <w:lastRenderedPageBreak/>
        <w:t xml:space="preserve">Shadow review </w:t>
      </w:r>
      <w:r w:rsidR="003E1EBF">
        <w:rPr>
          <w:rFonts w:ascii="Book Antiqua" w:hAnsi="Book Antiqua"/>
          <w:lang w:val="en-IE"/>
        </w:rPr>
        <w:t xml:space="preserve">also risks allowing an </w:t>
      </w:r>
      <w:r w:rsidR="008B7238">
        <w:rPr>
          <w:rFonts w:ascii="Book Antiqua" w:hAnsi="Book Antiqua"/>
          <w:lang w:val="en-IE"/>
        </w:rPr>
        <w:t xml:space="preserve">informal, </w:t>
      </w:r>
      <w:r>
        <w:rPr>
          <w:rFonts w:ascii="Book Antiqua" w:hAnsi="Book Antiqua"/>
          <w:lang w:val="en-IE"/>
        </w:rPr>
        <w:t xml:space="preserve">political review </w:t>
      </w:r>
      <w:r w:rsidR="003E1EBF">
        <w:rPr>
          <w:rFonts w:ascii="Book Antiqua" w:hAnsi="Book Antiqua"/>
          <w:lang w:val="en-IE"/>
        </w:rPr>
        <w:t xml:space="preserve">process to distort </w:t>
      </w:r>
      <w:r w:rsidR="003F34EE">
        <w:rPr>
          <w:rFonts w:ascii="Book Antiqua" w:hAnsi="Book Antiqua"/>
          <w:lang w:val="en-IE"/>
        </w:rPr>
        <w:t xml:space="preserve">and </w:t>
      </w:r>
      <w:r w:rsidR="008B7238">
        <w:rPr>
          <w:rFonts w:ascii="Book Antiqua" w:hAnsi="Book Antiqua"/>
          <w:lang w:val="en-IE"/>
        </w:rPr>
        <w:t>undermine</w:t>
      </w:r>
      <w:r>
        <w:rPr>
          <w:rFonts w:ascii="Book Antiqua" w:hAnsi="Book Antiqua"/>
          <w:lang w:val="en-IE"/>
        </w:rPr>
        <w:t xml:space="preserve"> </w:t>
      </w:r>
      <w:r w:rsidR="008B7238">
        <w:rPr>
          <w:rFonts w:ascii="Book Antiqua" w:hAnsi="Book Antiqua"/>
          <w:lang w:val="en-IE"/>
        </w:rPr>
        <w:t>a</w:t>
      </w:r>
      <w:r>
        <w:rPr>
          <w:rFonts w:ascii="Book Antiqua" w:hAnsi="Book Antiqua"/>
          <w:lang w:val="en-IE"/>
        </w:rPr>
        <w:t xml:space="preserve"> formal </w:t>
      </w:r>
      <w:r w:rsidR="003F34EE">
        <w:rPr>
          <w:rFonts w:ascii="Book Antiqua" w:hAnsi="Book Antiqua"/>
          <w:lang w:val="en-IE"/>
        </w:rPr>
        <w:t xml:space="preserve">process of </w:t>
      </w:r>
      <w:r>
        <w:rPr>
          <w:rFonts w:ascii="Book Antiqua" w:hAnsi="Book Antiqua"/>
          <w:lang w:val="en-IE"/>
        </w:rPr>
        <w:t>judicial review.</w:t>
      </w:r>
      <w:r w:rsidR="000521C7">
        <w:rPr>
          <w:rFonts w:ascii="Book Antiqua" w:hAnsi="Book Antiqua"/>
          <w:lang w:val="en-IE"/>
        </w:rPr>
        <w:t xml:space="preserve"> While this is obviously of no concern to projects of political constitutionalism that seek to replace courts, it raises greater concerns for those who </w:t>
      </w:r>
      <w:r w:rsidR="002673BA">
        <w:rPr>
          <w:rFonts w:ascii="Book Antiqua" w:hAnsi="Book Antiqua"/>
          <w:lang w:val="en-IE"/>
        </w:rPr>
        <w:t>seek to make it a supplement to judicial oversight.</w:t>
      </w:r>
      <w:r w:rsidR="00A20F4A">
        <w:rPr>
          <w:rFonts w:ascii="Book Antiqua" w:hAnsi="Book Antiqua"/>
          <w:lang w:val="en-IE"/>
        </w:rPr>
        <w:t xml:space="preserve"> </w:t>
      </w:r>
      <w:r w:rsidR="00930669">
        <w:rPr>
          <w:rFonts w:ascii="Book Antiqua" w:hAnsi="Book Antiqua"/>
          <w:lang w:val="en-IE"/>
        </w:rPr>
        <w:t xml:space="preserve">It </w:t>
      </w:r>
      <w:r w:rsidR="00A20F4A">
        <w:rPr>
          <w:rFonts w:ascii="Book Antiqua" w:hAnsi="Book Antiqua"/>
          <w:lang w:val="en-IE"/>
        </w:rPr>
        <w:t xml:space="preserve">can happen in two ways: </w:t>
      </w:r>
      <w:r w:rsidR="00062D05">
        <w:rPr>
          <w:rFonts w:ascii="Book Antiqua" w:hAnsi="Book Antiqua"/>
          <w:lang w:val="en-IE"/>
        </w:rPr>
        <w:t xml:space="preserve">by </w:t>
      </w:r>
      <w:r w:rsidR="00BB57EE">
        <w:rPr>
          <w:rFonts w:ascii="Book Antiqua" w:hAnsi="Book Antiqua"/>
          <w:lang w:val="en-IE"/>
        </w:rPr>
        <w:t xml:space="preserve">influencing a </w:t>
      </w:r>
      <w:r w:rsidR="000540BF">
        <w:rPr>
          <w:rFonts w:ascii="Book Antiqua" w:hAnsi="Book Antiqua"/>
          <w:lang w:val="en-IE"/>
        </w:rPr>
        <w:t xml:space="preserve">subsequent </w:t>
      </w:r>
      <w:r w:rsidR="00062D05">
        <w:rPr>
          <w:rFonts w:ascii="Book Antiqua" w:hAnsi="Book Antiqua"/>
          <w:lang w:val="en-IE"/>
        </w:rPr>
        <w:t xml:space="preserve">judicial </w:t>
      </w:r>
      <w:r w:rsidR="00BB57EE">
        <w:rPr>
          <w:rFonts w:ascii="Book Antiqua" w:hAnsi="Book Antiqua"/>
          <w:lang w:val="en-IE"/>
        </w:rPr>
        <w:t xml:space="preserve">challenge </w:t>
      </w:r>
      <w:r w:rsidR="00873D11">
        <w:rPr>
          <w:rFonts w:ascii="Book Antiqua" w:hAnsi="Book Antiqua"/>
          <w:lang w:val="en-IE"/>
        </w:rPr>
        <w:t xml:space="preserve">in the case of advice that </w:t>
      </w:r>
      <w:r w:rsidR="008B7238">
        <w:rPr>
          <w:rFonts w:ascii="Book Antiqua" w:hAnsi="Book Antiqua"/>
          <w:lang w:val="en-IE"/>
        </w:rPr>
        <w:t xml:space="preserve">a </w:t>
      </w:r>
      <w:r w:rsidR="00873D11">
        <w:rPr>
          <w:rFonts w:ascii="Book Antiqua" w:hAnsi="Book Antiqua"/>
          <w:lang w:val="en-IE"/>
        </w:rPr>
        <w:t>law is constitutional</w:t>
      </w:r>
      <w:r w:rsidR="000540BF">
        <w:rPr>
          <w:rFonts w:ascii="Book Antiqua" w:hAnsi="Book Antiqua"/>
          <w:lang w:val="en-IE"/>
        </w:rPr>
        <w:t>;</w:t>
      </w:r>
      <w:r w:rsidR="00062D05">
        <w:rPr>
          <w:rFonts w:ascii="Book Antiqua" w:hAnsi="Book Antiqua"/>
          <w:lang w:val="en-IE"/>
        </w:rPr>
        <w:t xml:space="preserve"> or </w:t>
      </w:r>
      <w:r w:rsidR="00A20F4A">
        <w:rPr>
          <w:rFonts w:ascii="Book Antiqua" w:hAnsi="Book Antiqua"/>
          <w:lang w:val="en-IE"/>
        </w:rPr>
        <w:t>by</w:t>
      </w:r>
      <w:r w:rsidR="00062D05">
        <w:rPr>
          <w:rFonts w:ascii="Book Antiqua" w:hAnsi="Book Antiqua"/>
          <w:lang w:val="en-IE"/>
        </w:rPr>
        <w:t xml:space="preserve"> deny</w:t>
      </w:r>
      <w:r w:rsidR="00873D11">
        <w:rPr>
          <w:rFonts w:ascii="Book Antiqua" w:hAnsi="Book Antiqua"/>
          <w:lang w:val="en-IE"/>
        </w:rPr>
        <w:t>ing</w:t>
      </w:r>
      <w:r w:rsidR="00062D05">
        <w:rPr>
          <w:rFonts w:ascii="Book Antiqua" w:hAnsi="Book Antiqua"/>
          <w:lang w:val="en-IE"/>
        </w:rPr>
        <w:t xml:space="preserve"> courts the chance to determine constitutional issues</w:t>
      </w:r>
      <w:r w:rsidR="00873D11">
        <w:rPr>
          <w:rFonts w:ascii="Book Antiqua" w:hAnsi="Book Antiqua"/>
          <w:lang w:val="en-IE"/>
        </w:rPr>
        <w:t xml:space="preserve"> in the case of advice that a law is unconstitutional</w:t>
      </w:r>
      <w:r w:rsidR="00062D05">
        <w:rPr>
          <w:rFonts w:ascii="Book Antiqua" w:hAnsi="Book Antiqua"/>
          <w:lang w:val="en-IE"/>
        </w:rPr>
        <w:t>. The former is a concern in Japan; the latter is a concern in Ireland.</w:t>
      </w:r>
      <w:r>
        <w:rPr>
          <w:rFonts w:ascii="Book Antiqua" w:hAnsi="Book Antiqua"/>
          <w:lang w:val="en-IE"/>
        </w:rPr>
        <w:t xml:space="preserve"> </w:t>
      </w:r>
    </w:p>
    <w:p w14:paraId="09389020" w14:textId="59FDC19D" w:rsidR="00873D11" w:rsidRDefault="00873D11" w:rsidP="005F0C06">
      <w:pPr>
        <w:spacing w:line="360" w:lineRule="auto"/>
        <w:jc w:val="both"/>
        <w:rPr>
          <w:rFonts w:ascii="Book Antiqua" w:hAnsi="Book Antiqua"/>
          <w:lang w:val="en-IE"/>
        </w:rPr>
      </w:pPr>
    </w:p>
    <w:p w14:paraId="4D9F6590" w14:textId="7B1AEBFB" w:rsidR="0027361D" w:rsidRDefault="008B7238" w:rsidP="00735395">
      <w:pPr>
        <w:spacing w:line="360" w:lineRule="auto"/>
        <w:jc w:val="both"/>
        <w:rPr>
          <w:rFonts w:ascii="Book Antiqua" w:hAnsi="Book Antiqua"/>
        </w:rPr>
      </w:pPr>
      <w:r>
        <w:rPr>
          <w:rFonts w:ascii="Book Antiqua" w:hAnsi="Book Antiqua"/>
          <w:lang w:val="en-IE"/>
        </w:rPr>
        <w:t>T</w:t>
      </w:r>
      <w:r w:rsidR="00873D11">
        <w:rPr>
          <w:rFonts w:ascii="Book Antiqua" w:hAnsi="Book Antiqua"/>
          <w:lang w:val="en-IE"/>
        </w:rPr>
        <w:t xml:space="preserve">he fact </w:t>
      </w:r>
      <w:r>
        <w:rPr>
          <w:rFonts w:ascii="Book Antiqua" w:hAnsi="Book Antiqua"/>
          <w:lang w:val="en-IE"/>
        </w:rPr>
        <w:t>that</w:t>
      </w:r>
      <w:r w:rsidR="00873D11">
        <w:rPr>
          <w:rFonts w:ascii="Book Antiqua" w:hAnsi="Book Antiqua"/>
          <w:lang w:val="en-IE"/>
        </w:rPr>
        <w:t xml:space="preserve"> an esteemed body connected to the executive</w:t>
      </w:r>
      <w:r w:rsidR="00AD216B">
        <w:rPr>
          <w:rFonts w:ascii="Book Antiqua" w:hAnsi="Book Antiqua"/>
          <w:lang w:val="en-IE"/>
        </w:rPr>
        <w:t xml:space="preserve"> has endorsed a law’s constitutionality could distort court judgment on that question. This has never been raised in Ireland</w:t>
      </w:r>
      <w:r w:rsidR="00827503">
        <w:rPr>
          <w:rFonts w:ascii="Book Antiqua" w:hAnsi="Book Antiqua"/>
          <w:lang w:val="en-IE"/>
        </w:rPr>
        <w:t xml:space="preserve"> </w:t>
      </w:r>
      <w:r>
        <w:rPr>
          <w:rFonts w:ascii="Book Antiqua" w:hAnsi="Book Antiqua"/>
          <w:lang w:val="en-IE"/>
        </w:rPr>
        <w:t>but i</w:t>
      </w:r>
      <w:r w:rsidR="00AD216B">
        <w:rPr>
          <w:rFonts w:ascii="Book Antiqua" w:hAnsi="Book Antiqua"/>
          <w:lang w:val="en-IE"/>
        </w:rPr>
        <w:t xml:space="preserve">t has been </w:t>
      </w:r>
      <w:r w:rsidR="0096769D">
        <w:rPr>
          <w:rFonts w:ascii="Book Antiqua" w:hAnsi="Book Antiqua"/>
          <w:lang w:val="en-IE"/>
        </w:rPr>
        <w:t>suggested in Japan</w:t>
      </w:r>
      <w:r w:rsidR="00471667">
        <w:rPr>
          <w:rFonts w:ascii="Book Antiqua" w:hAnsi="Book Antiqua"/>
          <w:lang w:val="en-IE"/>
        </w:rPr>
        <w:t>.</w:t>
      </w:r>
      <w:r w:rsidR="0096769D">
        <w:rPr>
          <w:rFonts w:ascii="Book Antiqua" w:hAnsi="Book Antiqua"/>
          <w:lang w:val="en-IE"/>
        </w:rPr>
        <w:t xml:space="preserve"> </w:t>
      </w:r>
      <w:r w:rsidR="00C84488" w:rsidRPr="009A32BF">
        <w:rPr>
          <w:rFonts w:ascii="Book Antiqua" w:hAnsi="Book Antiqua"/>
        </w:rPr>
        <w:t>Samuels for example writes that “Japanese courts rarely question a CLB judgment</w:t>
      </w:r>
      <w:r w:rsidR="00C84488">
        <w:rPr>
          <w:rFonts w:ascii="Book Antiqua" w:hAnsi="Book Antiqua"/>
        </w:rPr>
        <w:t>…</w:t>
      </w:r>
      <w:r w:rsidR="00C84488" w:rsidRPr="009A32BF">
        <w:rPr>
          <w:rFonts w:ascii="Book Antiqua" w:hAnsi="Book Antiqua"/>
        </w:rPr>
        <w:t xml:space="preserve"> a century of practice and its enabling legislation gives the CLB authority to make such</w:t>
      </w:r>
      <w:r w:rsidR="00C84488" w:rsidRPr="009A32BF">
        <w:rPr>
          <w:rFonts w:ascii="Book Antiqua" w:hAnsi="Book Antiqua"/>
          <w:i/>
        </w:rPr>
        <w:t xml:space="preserve"> </w:t>
      </w:r>
      <w:r w:rsidR="00C84488" w:rsidRPr="009A32BF">
        <w:rPr>
          <w:rFonts w:ascii="Book Antiqua" w:hAnsi="Book Antiqua"/>
        </w:rPr>
        <w:t>judgments binding ex ante. Consequently, in practice, the CLB has been a far more influential arbiter of the law than the</w:t>
      </w:r>
      <w:r w:rsidR="00C84488" w:rsidRPr="009A32BF">
        <w:rPr>
          <w:rFonts w:ascii="Book Antiqua" w:hAnsi="Book Antiqua"/>
          <w:i/>
        </w:rPr>
        <w:t xml:space="preserve"> </w:t>
      </w:r>
      <w:r w:rsidR="00C84488" w:rsidRPr="009A32BF">
        <w:rPr>
          <w:rFonts w:ascii="Book Antiqua" w:hAnsi="Book Antiqua"/>
        </w:rPr>
        <w:t>Supreme Court.”</w:t>
      </w:r>
      <w:r w:rsidR="00C84488">
        <w:rPr>
          <w:rStyle w:val="FootnoteReference"/>
          <w:rFonts w:ascii="Book Antiqua" w:hAnsi="Book Antiqua"/>
        </w:rPr>
        <w:footnoteReference w:id="122"/>
      </w:r>
      <w:r w:rsidR="0027361D">
        <w:rPr>
          <w:rFonts w:ascii="Book Antiqua" w:hAnsi="Book Antiqua"/>
        </w:rPr>
        <w:t xml:space="preserve"> This would be of great concern in respect of the controversial reinterpretation of Article 9, discussed above, if the CLB’s endorsement would lead to judicial acquiescence.</w:t>
      </w:r>
    </w:p>
    <w:p w14:paraId="3C9C49E0" w14:textId="77777777" w:rsidR="0027361D" w:rsidRDefault="0027361D" w:rsidP="00735395">
      <w:pPr>
        <w:spacing w:line="360" w:lineRule="auto"/>
        <w:jc w:val="both"/>
        <w:rPr>
          <w:rFonts w:ascii="Book Antiqua" w:hAnsi="Book Antiqua"/>
        </w:rPr>
      </w:pPr>
    </w:p>
    <w:p w14:paraId="4AE5FA70" w14:textId="5695DE41" w:rsidR="0096769D" w:rsidRDefault="00C84488" w:rsidP="00735395">
      <w:pPr>
        <w:spacing w:line="360" w:lineRule="auto"/>
        <w:jc w:val="both"/>
        <w:rPr>
          <w:rFonts w:ascii="Book Antiqua" w:hAnsi="Book Antiqua"/>
          <w:lang w:val="en-IE"/>
        </w:rPr>
      </w:pPr>
      <w:r w:rsidRPr="009A32BF">
        <w:rPr>
          <w:rFonts w:ascii="Book Antiqua" w:hAnsi="Book Antiqua"/>
          <w:i/>
        </w:rPr>
        <w:t xml:space="preserve"> </w:t>
      </w:r>
      <w:r w:rsidR="00873D11">
        <w:rPr>
          <w:rFonts w:ascii="Book Antiqua" w:hAnsi="Book Antiqua"/>
          <w:lang w:val="en-IE"/>
        </w:rPr>
        <w:t xml:space="preserve">The idea of that the SCJ might be influenced by the </w:t>
      </w:r>
      <w:r w:rsidR="0096769D">
        <w:rPr>
          <w:rFonts w:ascii="Book Antiqua" w:hAnsi="Book Antiqua"/>
          <w:lang w:val="en-IE"/>
        </w:rPr>
        <w:t xml:space="preserve">CLB </w:t>
      </w:r>
      <w:r w:rsidR="00471667">
        <w:rPr>
          <w:rFonts w:ascii="Book Antiqua" w:hAnsi="Book Antiqua"/>
          <w:lang w:val="en-IE"/>
        </w:rPr>
        <w:t>is controversial</w:t>
      </w:r>
      <w:r w:rsidR="00477EC9">
        <w:rPr>
          <w:rFonts w:ascii="Book Antiqua" w:hAnsi="Book Antiqua"/>
          <w:lang w:val="en-IE"/>
        </w:rPr>
        <w:t>, however</w:t>
      </w:r>
      <w:r w:rsidR="00471667">
        <w:rPr>
          <w:rFonts w:ascii="Book Antiqua" w:hAnsi="Book Antiqua"/>
          <w:lang w:val="en-IE"/>
        </w:rPr>
        <w:t xml:space="preserve">. It </w:t>
      </w:r>
      <w:r w:rsidR="0096769D">
        <w:rPr>
          <w:rFonts w:ascii="Book Antiqua" w:hAnsi="Book Antiqua"/>
          <w:lang w:val="en-IE"/>
        </w:rPr>
        <w:t>was firmly and clearly denied by judges and clerks interviewed by</w:t>
      </w:r>
      <w:r w:rsidR="00761E0D">
        <w:rPr>
          <w:rFonts w:ascii="Book Antiqua" w:hAnsi="Book Antiqua"/>
          <w:lang w:val="en-IE"/>
        </w:rPr>
        <w:t xml:space="preserve"> Professor</w:t>
      </w:r>
      <w:r w:rsidR="0096769D">
        <w:rPr>
          <w:rFonts w:ascii="Book Antiqua" w:hAnsi="Book Antiqua"/>
          <w:lang w:val="en-IE"/>
        </w:rPr>
        <w:t xml:space="preserve"> Law</w:t>
      </w:r>
      <w:r w:rsidR="00611067">
        <w:rPr>
          <w:rFonts w:ascii="Book Antiqua" w:hAnsi="Book Antiqua"/>
          <w:lang w:val="en-IE"/>
        </w:rPr>
        <w:t xml:space="preserve">. </w:t>
      </w:r>
      <w:r w:rsidR="00611067" w:rsidRPr="00611067">
        <w:rPr>
          <w:rFonts w:ascii="Book Antiqua" w:hAnsi="Book Antiqua"/>
        </w:rPr>
        <w:t xml:space="preserve">One Justice </w:t>
      </w:r>
      <w:r w:rsidR="00611067">
        <w:rPr>
          <w:rFonts w:ascii="Book Antiqua" w:hAnsi="Book Antiqua"/>
        </w:rPr>
        <w:t xml:space="preserve">deemed </w:t>
      </w:r>
      <w:r w:rsidR="00611067" w:rsidRPr="00611067">
        <w:rPr>
          <w:rFonts w:ascii="Book Antiqua" w:hAnsi="Book Antiqua"/>
        </w:rPr>
        <w:t xml:space="preserve">it “too extreme” to </w:t>
      </w:r>
      <w:r w:rsidR="00611067">
        <w:rPr>
          <w:rFonts w:ascii="Book Antiqua" w:hAnsi="Book Antiqua"/>
        </w:rPr>
        <w:t xml:space="preserve">say </w:t>
      </w:r>
      <w:r w:rsidR="00611067" w:rsidRPr="00611067">
        <w:rPr>
          <w:rFonts w:ascii="Book Antiqua" w:hAnsi="Book Antiqua"/>
        </w:rPr>
        <w:t>that the SCJ hesitates to strike down laws simply because they have been reviewed by the CLB</w:t>
      </w:r>
      <w:r w:rsidR="00611067">
        <w:rPr>
          <w:rFonts w:ascii="Book Antiqua" w:hAnsi="Book Antiqua"/>
        </w:rPr>
        <w:t xml:space="preserve">, while another </w:t>
      </w:r>
      <w:r w:rsidR="00611067" w:rsidRPr="00611067">
        <w:rPr>
          <w:rFonts w:ascii="Book Antiqua" w:hAnsi="Book Antiqua"/>
        </w:rPr>
        <w:t>“stated more blun</w:t>
      </w:r>
      <w:r w:rsidR="00611067">
        <w:rPr>
          <w:rFonts w:ascii="Book Antiqua" w:hAnsi="Book Antiqua"/>
        </w:rPr>
        <w:t xml:space="preserve">tly that the CLB‘s views </w:t>
      </w:r>
      <w:r w:rsidR="00611067" w:rsidRPr="0041135F">
        <w:rPr>
          <w:rFonts w:ascii="Book Antiqua" w:hAnsi="Book Antiqua"/>
        </w:rPr>
        <w:t xml:space="preserve">carry </w:t>
      </w:r>
      <w:r w:rsidR="0041135F" w:rsidRPr="0041135F">
        <w:rPr>
          <w:rFonts w:ascii="Book Antiqua" w:hAnsi="Book Antiqua"/>
        </w:rPr>
        <w:t>“</w:t>
      </w:r>
      <w:r w:rsidR="00611067" w:rsidRPr="0041135F">
        <w:rPr>
          <w:rFonts w:ascii="Book Antiqua" w:hAnsi="Book Antiqua"/>
        </w:rPr>
        <w:t>no influence</w:t>
      </w:r>
      <w:r w:rsidR="00F65D85">
        <w:rPr>
          <w:rFonts w:ascii="Book Antiqua" w:hAnsi="Book Antiqua"/>
        </w:rPr>
        <w:t>”</w:t>
      </w:r>
      <w:r w:rsidR="00611067" w:rsidRPr="0041135F">
        <w:rPr>
          <w:rFonts w:ascii="Book Antiqua" w:hAnsi="Book Antiqua"/>
        </w:rPr>
        <w:t xml:space="preserve"> with</w:t>
      </w:r>
      <w:r w:rsidR="00611067" w:rsidRPr="00611067">
        <w:rPr>
          <w:rFonts w:ascii="Book Antiqua" w:hAnsi="Book Antiqua"/>
        </w:rPr>
        <w:t xml:space="preserve"> the Court.</w:t>
      </w:r>
      <w:r w:rsidR="00611067">
        <w:rPr>
          <w:rFonts w:ascii="Book Antiqua" w:hAnsi="Book Antiqua"/>
        </w:rPr>
        <w:t>”</w:t>
      </w:r>
      <w:r w:rsidR="00611067">
        <w:rPr>
          <w:rStyle w:val="FootnoteReference"/>
          <w:rFonts w:ascii="Book Antiqua" w:hAnsi="Book Antiqua"/>
        </w:rPr>
        <w:footnoteReference w:id="123"/>
      </w:r>
      <w:r w:rsidR="00611067" w:rsidRPr="00611067">
        <w:rPr>
          <w:rFonts w:ascii="Book Antiqua" w:hAnsi="Book Antiqua"/>
        </w:rPr>
        <w:t xml:space="preserve"> </w:t>
      </w:r>
      <w:r w:rsidR="008C24F7">
        <w:rPr>
          <w:rFonts w:ascii="Book Antiqua" w:hAnsi="Book Antiqua"/>
          <w:lang w:val="en-IE"/>
        </w:rPr>
        <w:t>It i</w:t>
      </w:r>
      <w:r w:rsidR="0096769D">
        <w:rPr>
          <w:rFonts w:ascii="Book Antiqua" w:hAnsi="Book Antiqua"/>
          <w:lang w:val="en-IE"/>
        </w:rPr>
        <w:t>s difficult to know</w:t>
      </w:r>
      <w:r w:rsidR="008C24F7">
        <w:rPr>
          <w:rFonts w:ascii="Book Antiqua" w:hAnsi="Book Antiqua"/>
          <w:lang w:val="en-IE"/>
        </w:rPr>
        <w:t xml:space="preserve"> w</w:t>
      </w:r>
      <w:r w:rsidR="00477EC9">
        <w:rPr>
          <w:rFonts w:ascii="Book Antiqua" w:hAnsi="Book Antiqua"/>
          <w:lang w:val="en-IE"/>
        </w:rPr>
        <w:t xml:space="preserve">hat </w:t>
      </w:r>
      <w:r w:rsidR="0096769D">
        <w:rPr>
          <w:rFonts w:ascii="Book Antiqua" w:hAnsi="Book Antiqua"/>
          <w:lang w:val="en-IE"/>
        </w:rPr>
        <w:t xml:space="preserve">weight </w:t>
      </w:r>
      <w:r w:rsidR="00A2467E">
        <w:rPr>
          <w:rFonts w:ascii="Book Antiqua" w:hAnsi="Book Antiqua"/>
          <w:lang w:val="en-IE"/>
        </w:rPr>
        <w:t xml:space="preserve">should be given to </w:t>
      </w:r>
      <w:r w:rsidR="0096769D">
        <w:rPr>
          <w:rFonts w:ascii="Book Antiqua" w:hAnsi="Book Antiqua"/>
          <w:lang w:val="en-IE"/>
        </w:rPr>
        <w:t>judges’ descriptions of their own practice</w:t>
      </w:r>
      <w:r w:rsidR="008C24F7">
        <w:rPr>
          <w:rFonts w:ascii="Book Antiqua" w:hAnsi="Book Antiqua"/>
          <w:lang w:val="en-IE"/>
        </w:rPr>
        <w:t>;</w:t>
      </w:r>
      <w:r w:rsidR="0096769D">
        <w:rPr>
          <w:rFonts w:ascii="Book Antiqua" w:hAnsi="Book Antiqua"/>
          <w:lang w:val="en-IE"/>
        </w:rPr>
        <w:t xml:space="preserve"> </w:t>
      </w:r>
      <w:r w:rsidR="008C24F7">
        <w:rPr>
          <w:rFonts w:ascii="Book Antiqua" w:hAnsi="Book Antiqua"/>
          <w:lang w:val="en-IE"/>
        </w:rPr>
        <w:t>t</w:t>
      </w:r>
      <w:r w:rsidR="0096769D">
        <w:rPr>
          <w:rFonts w:ascii="Book Antiqua" w:hAnsi="Book Antiqua"/>
          <w:lang w:val="en-IE"/>
        </w:rPr>
        <w:t>hey may not wish to admit in interviews that the CLB is influential, or they may be subconsciously influenced by the CLB’s status even though they deny it even to themselves.</w:t>
      </w:r>
      <w:r w:rsidR="00A2467E">
        <w:rPr>
          <w:rStyle w:val="FootnoteReference"/>
          <w:rFonts w:ascii="Book Antiqua" w:hAnsi="Book Antiqua"/>
          <w:lang w:val="en-IE"/>
        </w:rPr>
        <w:footnoteReference w:id="124"/>
      </w:r>
      <w:r w:rsidR="00DE1FF2" w:rsidRPr="00DE1FF2">
        <w:rPr>
          <w:rFonts w:ascii="Book Antiqua" w:hAnsi="Book Antiqua"/>
          <w:lang w:val="en-IE"/>
        </w:rPr>
        <w:t xml:space="preserve"> </w:t>
      </w:r>
      <w:r w:rsidR="00DE1FF2">
        <w:rPr>
          <w:rFonts w:ascii="Book Antiqua" w:hAnsi="Book Antiqua"/>
          <w:lang w:val="en-IE"/>
        </w:rPr>
        <w:t>The truth of this matter is difficult to establish. That conflicting views exist suggests at least that this is a risk of shadow review.</w:t>
      </w:r>
    </w:p>
    <w:p w14:paraId="3534F1B4" w14:textId="77777777" w:rsidR="00062D05" w:rsidRDefault="00062D05" w:rsidP="005F0C06">
      <w:pPr>
        <w:spacing w:line="360" w:lineRule="auto"/>
        <w:jc w:val="both"/>
        <w:rPr>
          <w:rFonts w:ascii="Book Antiqua" w:hAnsi="Book Antiqua"/>
          <w:lang w:val="en-IE"/>
        </w:rPr>
      </w:pPr>
    </w:p>
    <w:p w14:paraId="48B61D14" w14:textId="1E51D37E" w:rsidR="005F0C06" w:rsidRDefault="005F0C06" w:rsidP="005F0C06">
      <w:pPr>
        <w:spacing w:line="360" w:lineRule="auto"/>
        <w:jc w:val="both"/>
        <w:rPr>
          <w:rFonts w:ascii="Book Antiqua" w:hAnsi="Book Antiqua"/>
          <w:lang w:val="en-IE"/>
        </w:rPr>
      </w:pPr>
      <w:r>
        <w:rPr>
          <w:rFonts w:ascii="Book Antiqua" w:hAnsi="Book Antiqua"/>
          <w:lang w:val="en-IE"/>
        </w:rPr>
        <w:lastRenderedPageBreak/>
        <w:t xml:space="preserve">If </w:t>
      </w:r>
      <w:r w:rsidR="00062D05">
        <w:rPr>
          <w:rFonts w:ascii="Book Antiqua" w:hAnsi="Book Antiqua"/>
          <w:lang w:val="en-IE"/>
        </w:rPr>
        <w:t xml:space="preserve">shadow </w:t>
      </w:r>
      <w:r>
        <w:rPr>
          <w:rFonts w:ascii="Book Antiqua" w:hAnsi="Book Antiqua"/>
          <w:lang w:val="en-IE"/>
        </w:rPr>
        <w:t>review is obstructive of legalisation and policy</w:t>
      </w:r>
      <w:r w:rsidR="00062D05">
        <w:rPr>
          <w:rFonts w:ascii="Book Antiqua" w:hAnsi="Book Antiqua"/>
          <w:lang w:val="en-IE"/>
        </w:rPr>
        <w:t xml:space="preserve"> in practice</w:t>
      </w:r>
      <w:r>
        <w:rPr>
          <w:rFonts w:ascii="Book Antiqua" w:hAnsi="Book Antiqua"/>
          <w:lang w:val="en-IE"/>
        </w:rPr>
        <w:t xml:space="preserve">, then </w:t>
      </w:r>
      <w:r w:rsidR="00A71E41">
        <w:rPr>
          <w:rFonts w:ascii="Book Antiqua" w:hAnsi="Book Antiqua"/>
          <w:lang w:val="en-IE"/>
        </w:rPr>
        <w:t xml:space="preserve">obviously </w:t>
      </w:r>
      <w:r w:rsidR="00062D05">
        <w:rPr>
          <w:rFonts w:ascii="Book Antiqua" w:hAnsi="Book Antiqua"/>
          <w:lang w:val="en-IE"/>
        </w:rPr>
        <w:t xml:space="preserve">such </w:t>
      </w:r>
      <w:r>
        <w:rPr>
          <w:rFonts w:ascii="Book Antiqua" w:hAnsi="Book Antiqua"/>
          <w:lang w:val="en-IE"/>
        </w:rPr>
        <w:t>legislation and policy is never passed and never reviewed by the courts. Borderline constitutional question</w:t>
      </w:r>
      <w:r w:rsidR="008C24F7">
        <w:rPr>
          <w:rFonts w:ascii="Book Antiqua" w:hAnsi="Book Antiqua"/>
          <w:lang w:val="en-IE"/>
        </w:rPr>
        <w:t>s</w:t>
      </w:r>
      <w:r>
        <w:rPr>
          <w:rFonts w:ascii="Book Antiqua" w:hAnsi="Book Antiqua"/>
          <w:lang w:val="en-IE"/>
        </w:rPr>
        <w:t xml:space="preserve">, instead of being </w:t>
      </w:r>
      <w:r w:rsidR="008C24F7">
        <w:rPr>
          <w:rFonts w:ascii="Book Antiqua" w:hAnsi="Book Antiqua"/>
          <w:lang w:val="en-IE"/>
        </w:rPr>
        <w:t>subject to judicial pronouncement</w:t>
      </w:r>
      <w:r>
        <w:rPr>
          <w:rFonts w:ascii="Book Antiqua" w:hAnsi="Book Antiqua"/>
          <w:lang w:val="en-IE"/>
        </w:rPr>
        <w:t>, are resolved in this informal</w:t>
      </w:r>
      <w:r w:rsidR="00230DC3">
        <w:rPr>
          <w:rFonts w:ascii="Book Antiqua" w:hAnsi="Book Antiqua"/>
          <w:lang w:val="en-IE"/>
        </w:rPr>
        <w:t>,</w:t>
      </w:r>
      <w:r>
        <w:rPr>
          <w:rFonts w:ascii="Book Antiqua" w:hAnsi="Book Antiqua"/>
          <w:lang w:val="en-IE"/>
        </w:rPr>
        <w:t xml:space="preserve"> non-judicial process, and we are denied precedents and potential “collaboration” between courts and the political branches in respect of legislative sequels.</w:t>
      </w:r>
      <w:r>
        <w:rPr>
          <w:rStyle w:val="FootnoteReference"/>
          <w:rFonts w:ascii="Book Antiqua" w:hAnsi="Book Antiqua"/>
          <w:lang w:val="en-IE"/>
        </w:rPr>
        <w:footnoteReference w:id="125"/>
      </w:r>
      <w:r>
        <w:rPr>
          <w:rFonts w:ascii="Book Antiqua" w:hAnsi="Book Antiqua"/>
          <w:lang w:val="en-IE"/>
        </w:rPr>
        <w:t xml:space="preserve"> </w:t>
      </w:r>
      <w:r w:rsidR="008C24F7">
        <w:rPr>
          <w:rFonts w:ascii="Book Antiqua" w:hAnsi="Book Antiqua"/>
          <w:lang w:val="en-IE"/>
        </w:rPr>
        <w:t>S</w:t>
      </w:r>
      <w:r>
        <w:rPr>
          <w:rFonts w:ascii="Book Antiqua" w:hAnsi="Book Antiqua"/>
          <w:lang w:val="en-IE"/>
        </w:rPr>
        <w:t>hadow review declar</w:t>
      </w:r>
      <w:r w:rsidR="008C24F7">
        <w:rPr>
          <w:rFonts w:ascii="Book Antiqua" w:hAnsi="Book Antiqua"/>
          <w:lang w:val="en-IE"/>
        </w:rPr>
        <w:t>es</w:t>
      </w:r>
      <w:r>
        <w:rPr>
          <w:rFonts w:ascii="Book Antiqua" w:hAnsi="Book Antiqua"/>
          <w:lang w:val="en-IE"/>
        </w:rPr>
        <w:t xml:space="preserve"> the game over </w:t>
      </w:r>
      <w:r w:rsidR="00A71E41">
        <w:rPr>
          <w:rFonts w:ascii="Book Antiqua" w:hAnsi="Book Antiqua"/>
          <w:lang w:val="en-IE"/>
        </w:rPr>
        <w:t>before it has</w:t>
      </w:r>
      <w:r>
        <w:rPr>
          <w:rFonts w:ascii="Book Antiqua" w:hAnsi="Book Antiqua"/>
          <w:lang w:val="en-IE"/>
        </w:rPr>
        <w:t xml:space="preserve"> begun</w:t>
      </w:r>
      <w:r w:rsidR="008C24F7">
        <w:rPr>
          <w:rFonts w:ascii="Book Antiqua" w:hAnsi="Book Antiqua"/>
          <w:lang w:val="en-IE"/>
        </w:rPr>
        <w:t>, and this distorts</w:t>
      </w:r>
      <w:r w:rsidR="00955327">
        <w:rPr>
          <w:rFonts w:ascii="Book Antiqua" w:hAnsi="Book Antiqua"/>
          <w:lang w:val="en-IE"/>
        </w:rPr>
        <w:t xml:space="preserve"> the</w:t>
      </w:r>
      <w:r w:rsidR="008C24F7">
        <w:rPr>
          <w:rFonts w:ascii="Book Antiqua" w:hAnsi="Book Antiqua"/>
          <w:lang w:val="en-IE"/>
        </w:rPr>
        <w:t xml:space="preserve"> role of the judiciary and judicial review</w:t>
      </w:r>
      <w:r w:rsidR="00D94459">
        <w:rPr>
          <w:rFonts w:ascii="Book Antiqua" w:hAnsi="Book Antiqua"/>
          <w:lang w:val="en-IE"/>
        </w:rPr>
        <w:t>.</w:t>
      </w:r>
      <w:r w:rsidR="00AD7D52">
        <w:rPr>
          <w:rFonts w:ascii="Book Antiqua" w:hAnsi="Book Antiqua"/>
          <w:lang w:val="en-IE"/>
        </w:rPr>
        <w:t xml:space="preserve"> </w:t>
      </w:r>
    </w:p>
    <w:p w14:paraId="3D79E234" w14:textId="77777777" w:rsidR="00554A77" w:rsidRDefault="00554A77" w:rsidP="005F0C06">
      <w:pPr>
        <w:spacing w:line="360" w:lineRule="auto"/>
        <w:jc w:val="both"/>
        <w:rPr>
          <w:rFonts w:ascii="Book Antiqua" w:hAnsi="Book Antiqua"/>
          <w:lang w:val="en-IE"/>
        </w:rPr>
      </w:pPr>
    </w:p>
    <w:p w14:paraId="2F47F849" w14:textId="0E966518" w:rsidR="00994875" w:rsidRDefault="00062D05" w:rsidP="00994875">
      <w:pPr>
        <w:spacing w:line="360" w:lineRule="auto"/>
        <w:jc w:val="both"/>
        <w:rPr>
          <w:rFonts w:ascii="Book Antiqua" w:hAnsi="Book Antiqua"/>
          <w:lang w:val="en-IE"/>
        </w:rPr>
      </w:pPr>
      <w:r>
        <w:rPr>
          <w:rFonts w:ascii="Book Antiqua" w:hAnsi="Book Antiqua"/>
          <w:lang w:val="en-IE"/>
        </w:rPr>
        <w:t>This is probably not of great concern in Japan</w:t>
      </w:r>
      <w:r w:rsidR="00930669">
        <w:rPr>
          <w:rFonts w:ascii="Book Antiqua" w:hAnsi="Book Antiqua"/>
          <w:lang w:val="en-IE"/>
        </w:rPr>
        <w:t>;</w:t>
      </w:r>
      <w:r w:rsidR="00994875">
        <w:rPr>
          <w:rFonts w:ascii="Book Antiqua" w:hAnsi="Book Antiqua"/>
          <w:lang w:val="en-IE"/>
        </w:rPr>
        <w:t xml:space="preserve"> </w:t>
      </w:r>
      <w:r w:rsidR="00930669">
        <w:rPr>
          <w:rFonts w:ascii="Book Antiqua" w:hAnsi="Book Antiqua"/>
          <w:lang w:val="en-IE"/>
        </w:rPr>
        <w:t>e</w:t>
      </w:r>
      <w:r w:rsidR="00994875">
        <w:rPr>
          <w:rFonts w:ascii="Book Antiqua" w:hAnsi="Book Antiqua"/>
          <w:lang w:val="en-IE"/>
        </w:rPr>
        <w:t xml:space="preserve">ven if given the chance to review such laws, the SCJ is unlikely to </w:t>
      </w:r>
      <w:r w:rsidR="00AD7D52">
        <w:rPr>
          <w:rFonts w:ascii="Book Antiqua" w:hAnsi="Book Antiqua"/>
          <w:lang w:val="en-IE"/>
        </w:rPr>
        <w:t>find laws to be unconstitutionality with any regularity</w:t>
      </w:r>
      <w:r w:rsidR="00994875">
        <w:rPr>
          <w:rFonts w:ascii="Book Antiqua" w:hAnsi="Book Antiqua"/>
          <w:lang w:val="en-IE"/>
        </w:rPr>
        <w:t>.</w:t>
      </w:r>
      <w:r>
        <w:rPr>
          <w:rFonts w:ascii="Book Antiqua" w:hAnsi="Book Antiqua"/>
          <w:lang w:val="en-IE"/>
        </w:rPr>
        <w:t xml:space="preserve"> </w:t>
      </w:r>
      <w:r w:rsidR="005F0C06">
        <w:rPr>
          <w:rFonts w:ascii="Book Antiqua" w:hAnsi="Book Antiqua"/>
          <w:lang w:val="en-IE"/>
        </w:rPr>
        <w:t xml:space="preserve">In Ireland, </w:t>
      </w:r>
      <w:r>
        <w:rPr>
          <w:rFonts w:ascii="Book Antiqua" w:hAnsi="Book Antiqua"/>
          <w:lang w:val="en-IE"/>
        </w:rPr>
        <w:t xml:space="preserve">however, it is a problem. </w:t>
      </w:r>
      <w:r w:rsidR="00930669">
        <w:rPr>
          <w:rFonts w:ascii="Book Antiqua" w:hAnsi="Book Antiqua"/>
          <w:lang w:val="en-IE"/>
        </w:rPr>
        <w:t xml:space="preserve">Constitutional law is developed in response to the cases presented. </w:t>
      </w:r>
      <w:r w:rsidR="00994875">
        <w:rPr>
          <w:rFonts w:ascii="Book Antiqua" w:hAnsi="Book Antiqua"/>
          <w:lang w:val="en-IE"/>
        </w:rPr>
        <w:t>If the AG’s advice results in a policy never being pursued, the courts are denied the chance to weigh in on that issue.</w:t>
      </w:r>
      <w:r w:rsidR="00D94459">
        <w:rPr>
          <w:rFonts w:ascii="Book Antiqua" w:hAnsi="Book Antiqua"/>
          <w:lang w:val="en-IE"/>
        </w:rPr>
        <w:t xml:space="preserve"> These issues are likely to </w:t>
      </w:r>
      <w:r w:rsidR="00FD6361">
        <w:rPr>
          <w:rFonts w:ascii="Book Antiqua" w:hAnsi="Book Antiqua"/>
          <w:lang w:val="en-IE"/>
        </w:rPr>
        <w:t xml:space="preserve">be </w:t>
      </w:r>
      <w:r w:rsidR="00D94459">
        <w:rPr>
          <w:rFonts w:ascii="Book Antiqua" w:hAnsi="Book Antiqua"/>
          <w:lang w:val="en-IE"/>
        </w:rPr>
        <w:t xml:space="preserve">some of the most important, contested constitutional </w:t>
      </w:r>
      <w:r w:rsidR="00FD6361">
        <w:rPr>
          <w:rFonts w:ascii="Book Antiqua" w:hAnsi="Book Antiqua"/>
          <w:lang w:val="en-IE"/>
        </w:rPr>
        <w:t>questions</w:t>
      </w:r>
      <w:r w:rsidR="00D94459">
        <w:rPr>
          <w:rFonts w:ascii="Book Antiqua" w:hAnsi="Book Antiqua"/>
          <w:lang w:val="en-IE"/>
        </w:rPr>
        <w:t>.</w:t>
      </w:r>
      <w:r w:rsidR="00994875">
        <w:rPr>
          <w:rFonts w:ascii="Book Antiqua" w:hAnsi="Book Antiqua"/>
          <w:lang w:val="en-IE"/>
        </w:rPr>
        <w:t xml:space="preserve"> If advice </w:t>
      </w:r>
      <w:r w:rsidR="00FD6361">
        <w:rPr>
          <w:rFonts w:ascii="Book Antiqua" w:hAnsi="Book Antiqua"/>
          <w:lang w:val="en-IE"/>
        </w:rPr>
        <w:t xml:space="preserve">is </w:t>
      </w:r>
      <w:r w:rsidR="00994875">
        <w:rPr>
          <w:rFonts w:ascii="Book Antiqua" w:hAnsi="Book Antiqua"/>
          <w:lang w:val="en-IE"/>
        </w:rPr>
        <w:t>based on misapprehension</w:t>
      </w:r>
      <w:r w:rsidR="00FD6361">
        <w:rPr>
          <w:rFonts w:ascii="Book Antiqua" w:hAnsi="Book Antiqua"/>
          <w:lang w:val="en-IE"/>
        </w:rPr>
        <w:t>s</w:t>
      </w:r>
      <w:r w:rsidR="00994875">
        <w:rPr>
          <w:rFonts w:ascii="Book Antiqua" w:hAnsi="Book Antiqua"/>
          <w:lang w:val="en-IE"/>
        </w:rPr>
        <w:t xml:space="preserve"> of the courts’ outlook or incorrect reading</w:t>
      </w:r>
      <w:r w:rsidR="00FD6361">
        <w:rPr>
          <w:rFonts w:ascii="Book Antiqua" w:hAnsi="Book Antiqua"/>
          <w:lang w:val="en-IE"/>
        </w:rPr>
        <w:t>s</w:t>
      </w:r>
      <w:r w:rsidR="00994875">
        <w:rPr>
          <w:rFonts w:ascii="Book Antiqua" w:hAnsi="Book Antiqua"/>
          <w:lang w:val="en-IE"/>
        </w:rPr>
        <w:t xml:space="preserve"> of precedent, the courts are not given a chance to correct </w:t>
      </w:r>
      <w:r w:rsidR="00FD6361">
        <w:rPr>
          <w:rFonts w:ascii="Book Antiqua" w:hAnsi="Book Antiqua"/>
          <w:lang w:val="en-IE"/>
        </w:rPr>
        <w:t xml:space="preserve">these </w:t>
      </w:r>
      <w:r w:rsidR="00873D11">
        <w:rPr>
          <w:rFonts w:ascii="Book Antiqua" w:hAnsi="Book Antiqua"/>
          <w:lang w:val="en-IE"/>
        </w:rPr>
        <w:t>or reconsider the case law in the</w:t>
      </w:r>
      <w:r w:rsidR="00FD6361">
        <w:rPr>
          <w:rFonts w:ascii="Book Antiqua" w:hAnsi="Book Antiqua"/>
          <w:lang w:val="en-IE"/>
        </w:rPr>
        <w:t>se</w:t>
      </w:r>
      <w:r w:rsidR="00873D11">
        <w:rPr>
          <w:rFonts w:ascii="Book Antiqua" w:hAnsi="Book Antiqua"/>
          <w:lang w:val="en-IE"/>
        </w:rPr>
        <w:t xml:space="preserve"> area</w:t>
      </w:r>
      <w:r w:rsidR="00FD6361">
        <w:rPr>
          <w:rFonts w:ascii="Book Antiqua" w:hAnsi="Book Antiqua"/>
          <w:lang w:val="en-IE"/>
        </w:rPr>
        <w:t>s</w:t>
      </w:r>
      <w:r w:rsidR="00873D11">
        <w:rPr>
          <w:rFonts w:ascii="Book Antiqua" w:hAnsi="Book Antiqua"/>
          <w:lang w:val="en-IE"/>
        </w:rPr>
        <w:t xml:space="preserve">. </w:t>
      </w:r>
    </w:p>
    <w:p w14:paraId="334BCC8A" w14:textId="77777777" w:rsidR="00873D11" w:rsidRDefault="00873D11" w:rsidP="00994875">
      <w:pPr>
        <w:spacing w:line="360" w:lineRule="auto"/>
        <w:jc w:val="both"/>
        <w:rPr>
          <w:rFonts w:ascii="Book Antiqua" w:hAnsi="Book Antiqua"/>
          <w:lang w:val="en-IE"/>
        </w:rPr>
      </w:pPr>
    </w:p>
    <w:p w14:paraId="4A57227E" w14:textId="62C94F62" w:rsidR="005F0C06" w:rsidRDefault="00062D05" w:rsidP="005F0C06">
      <w:pPr>
        <w:spacing w:line="360" w:lineRule="auto"/>
        <w:jc w:val="both"/>
        <w:rPr>
          <w:rFonts w:ascii="Book Antiqua" w:hAnsi="Book Antiqua"/>
          <w:lang w:val="en-IE"/>
        </w:rPr>
      </w:pPr>
      <w:r>
        <w:rPr>
          <w:rFonts w:ascii="Book Antiqua" w:hAnsi="Book Antiqua"/>
          <w:lang w:val="en-IE"/>
        </w:rPr>
        <w:t>T</w:t>
      </w:r>
      <w:r w:rsidR="005F0C06">
        <w:rPr>
          <w:rFonts w:ascii="Book Antiqua" w:hAnsi="Book Antiqua"/>
          <w:lang w:val="en-IE"/>
        </w:rPr>
        <w:t>here has been an increasingly strong reliance on the Attorney General’s advice at the same time that there has been a marked decrease in use of the pre-enactment judicial review procedure in Article 26.</w:t>
      </w:r>
      <w:r w:rsidR="005F0C06">
        <w:rPr>
          <w:rStyle w:val="FootnoteReference"/>
          <w:rFonts w:ascii="Book Antiqua" w:hAnsi="Book Antiqua"/>
          <w:lang w:val="en-IE"/>
        </w:rPr>
        <w:footnoteReference w:id="126"/>
      </w:r>
      <w:r w:rsidR="005F0C06">
        <w:rPr>
          <w:rFonts w:ascii="Book Antiqua" w:hAnsi="Book Antiqua"/>
          <w:lang w:val="en-IE"/>
        </w:rPr>
        <w:t xml:space="preserve"> If the President requests it, the Supreme Court will consider the constitutionality of any bill before the president signs it. The last such reference was decided in 2005; no bills have been referred in the thirteen years since</w:t>
      </w:r>
      <w:r w:rsidR="00930669">
        <w:rPr>
          <w:rFonts w:ascii="Book Antiqua" w:hAnsi="Book Antiqua"/>
          <w:lang w:val="en-IE"/>
        </w:rPr>
        <w:t xml:space="preserve"> despite many controversial bills being passed</w:t>
      </w:r>
      <w:r w:rsidR="005F0C06">
        <w:rPr>
          <w:rFonts w:ascii="Book Antiqua" w:hAnsi="Book Antiqua"/>
          <w:lang w:val="en-IE"/>
        </w:rPr>
        <w:t>.</w:t>
      </w:r>
      <w:r w:rsidR="00994875">
        <w:rPr>
          <w:rFonts w:ascii="Book Antiqua" w:hAnsi="Book Antiqua"/>
          <w:lang w:val="en-IE"/>
        </w:rPr>
        <w:t xml:space="preserve"> The reference is a robust procedure;</w:t>
      </w:r>
      <w:r w:rsidR="005F0C06">
        <w:rPr>
          <w:rFonts w:ascii="Book Antiqua" w:hAnsi="Book Antiqua"/>
          <w:lang w:val="en-IE"/>
        </w:rPr>
        <w:t xml:space="preserve"> </w:t>
      </w:r>
      <w:r w:rsidR="00994875">
        <w:rPr>
          <w:rFonts w:ascii="Book Antiqua" w:hAnsi="Book Antiqua"/>
          <w:lang w:val="en-IE"/>
        </w:rPr>
        <w:t>i</w:t>
      </w:r>
      <w:r w:rsidR="005F0C06">
        <w:rPr>
          <w:rFonts w:ascii="Book Antiqua" w:hAnsi="Book Antiqua"/>
          <w:lang w:val="en-IE"/>
        </w:rPr>
        <w:t xml:space="preserve">n the thirteen years </w:t>
      </w:r>
      <w:r w:rsidR="00994875">
        <w:rPr>
          <w:rFonts w:ascii="Book Antiqua" w:hAnsi="Book Antiqua"/>
          <w:lang w:val="en-IE"/>
        </w:rPr>
        <w:t>leading up to the last reference</w:t>
      </w:r>
      <w:r w:rsidR="005F0C06">
        <w:rPr>
          <w:rFonts w:ascii="Book Antiqua" w:hAnsi="Book Antiqua"/>
          <w:lang w:val="en-IE"/>
        </w:rPr>
        <w:t>, seven such references were made</w:t>
      </w:r>
      <w:r w:rsidR="00994875">
        <w:rPr>
          <w:rFonts w:ascii="Book Antiqua" w:hAnsi="Book Antiqua"/>
          <w:lang w:val="en-IE"/>
        </w:rPr>
        <w:t>, and four resulted in the law being held to be invalid.</w:t>
      </w:r>
      <w:r w:rsidR="00994875">
        <w:rPr>
          <w:rStyle w:val="FootnoteReference"/>
          <w:rFonts w:ascii="Book Antiqua" w:hAnsi="Book Antiqua"/>
          <w:lang w:val="en-IE"/>
        </w:rPr>
        <w:footnoteReference w:id="127"/>
      </w:r>
      <w:r w:rsidR="005F0C06">
        <w:rPr>
          <w:rFonts w:ascii="Book Antiqua" w:hAnsi="Book Antiqua"/>
          <w:lang w:val="en-IE"/>
        </w:rPr>
        <w:t xml:space="preserve"> </w:t>
      </w:r>
      <w:r w:rsidR="001B276B">
        <w:rPr>
          <w:rFonts w:ascii="Book Antiqua" w:hAnsi="Book Antiqua"/>
          <w:lang w:val="en-IE"/>
        </w:rPr>
        <w:t>T</w:t>
      </w:r>
      <w:r w:rsidR="00994875">
        <w:rPr>
          <w:rFonts w:ascii="Book Antiqua" w:hAnsi="Book Antiqua"/>
          <w:lang w:val="en-IE"/>
        </w:rPr>
        <w:t xml:space="preserve">here </w:t>
      </w:r>
      <w:r w:rsidR="005F0C06">
        <w:rPr>
          <w:rFonts w:ascii="Book Antiqua" w:hAnsi="Book Antiqua"/>
          <w:lang w:val="en-IE"/>
        </w:rPr>
        <w:t>are several reasons that the procedure may have become disfavoured</w:t>
      </w:r>
      <w:r w:rsidR="00994875">
        <w:rPr>
          <w:rFonts w:ascii="Book Antiqua" w:hAnsi="Book Antiqua"/>
          <w:lang w:val="en-IE"/>
        </w:rPr>
        <w:t>,</w:t>
      </w:r>
      <w:r w:rsidR="00994875">
        <w:rPr>
          <w:rStyle w:val="FootnoteReference"/>
          <w:rFonts w:ascii="Book Antiqua" w:hAnsi="Book Antiqua"/>
          <w:lang w:val="en-IE"/>
        </w:rPr>
        <w:footnoteReference w:id="128"/>
      </w:r>
      <w:r w:rsidR="00994875">
        <w:rPr>
          <w:rFonts w:ascii="Book Antiqua" w:hAnsi="Book Antiqua"/>
          <w:lang w:val="en-IE"/>
        </w:rPr>
        <w:t xml:space="preserve"> b</w:t>
      </w:r>
      <w:r w:rsidR="005F0C06">
        <w:rPr>
          <w:rFonts w:ascii="Book Antiqua" w:hAnsi="Book Antiqua"/>
          <w:lang w:val="en-IE"/>
        </w:rPr>
        <w:t xml:space="preserve">ut it </w:t>
      </w:r>
      <w:r w:rsidR="00930669">
        <w:rPr>
          <w:rFonts w:ascii="Book Antiqua" w:hAnsi="Book Antiqua"/>
          <w:lang w:val="en-IE"/>
        </w:rPr>
        <w:t xml:space="preserve">might </w:t>
      </w:r>
      <w:r w:rsidR="005F0C06">
        <w:rPr>
          <w:rFonts w:ascii="Book Antiqua" w:hAnsi="Book Antiqua"/>
          <w:lang w:val="en-IE"/>
        </w:rPr>
        <w:t xml:space="preserve">be that the faith placed in </w:t>
      </w:r>
      <w:r w:rsidR="00930669">
        <w:rPr>
          <w:rFonts w:ascii="Book Antiqua" w:hAnsi="Book Antiqua"/>
          <w:lang w:val="en-IE"/>
        </w:rPr>
        <w:t xml:space="preserve">pre-enactment </w:t>
      </w:r>
      <w:r w:rsidR="005F0C06">
        <w:rPr>
          <w:rFonts w:ascii="Book Antiqua" w:hAnsi="Book Antiqua"/>
          <w:lang w:val="en-IE"/>
        </w:rPr>
        <w:t xml:space="preserve">review has effectively superseded the courts’ role in screening </w:t>
      </w:r>
      <w:r w:rsidR="005F0C06">
        <w:rPr>
          <w:rFonts w:ascii="Book Antiqua" w:hAnsi="Book Antiqua"/>
          <w:lang w:val="en-IE"/>
        </w:rPr>
        <w:lastRenderedPageBreak/>
        <w:t>legislation</w:t>
      </w:r>
      <w:r w:rsidR="005F0C06">
        <w:rPr>
          <w:rFonts w:ascii="Book Antiqua" w:hAnsi="Book Antiqua"/>
          <w:lang w:val="en-GB"/>
        </w:rPr>
        <w:t>.</w:t>
      </w:r>
      <w:r w:rsidR="005F0C06" w:rsidRPr="005761F6">
        <w:rPr>
          <w:rFonts w:ascii="Book Antiqua" w:hAnsi="Book Antiqua"/>
          <w:vertAlign w:val="superscript"/>
          <w:lang w:val="en-GB"/>
        </w:rPr>
        <w:footnoteReference w:id="129"/>
      </w:r>
      <w:r w:rsidR="005F0C06">
        <w:rPr>
          <w:rFonts w:ascii="Book Antiqua" w:hAnsi="Book Antiqua"/>
          <w:lang w:val="en-IE"/>
        </w:rPr>
        <w:t xml:space="preserve"> In this way, it possible that shadow review, while mimicking and mirroring the judicial method, can erode and detract from the judicial process. </w:t>
      </w:r>
    </w:p>
    <w:p w14:paraId="0BD32B7F" w14:textId="77777777" w:rsidR="005F0C06" w:rsidRDefault="005F0C06" w:rsidP="005F0C06">
      <w:pPr>
        <w:spacing w:line="360" w:lineRule="auto"/>
        <w:jc w:val="both"/>
        <w:rPr>
          <w:rFonts w:ascii="Book Antiqua" w:hAnsi="Book Antiqua"/>
          <w:lang w:val="en-IE"/>
        </w:rPr>
      </w:pPr>
    </w:p>
    <w:p w14:paraId="6EF93637" w14:textId="607DF22C" w:rsidR="005F0C06" w:rsidRPr="00A36A90" w:rsidRDefault="005F0C06" w:rsidP="00F603FC">
      <w:pPr>
        <w:outlineLvl w:val="1"/>
        <w:rPr>
          <w:u w:val="single"/>
          <w:lang w:val="en-IE"/>
        </w:rPr>
      </w:pPr>
      <w:r w:rsidRPr="00A36A90">
        <w:rPr>
          <w:rFonts w:ascii="Book Antiqua" w:hAnsi="Book Antiqua"/>
          <w:u w:val="single"/>
          <w:lang w:val="en-IE"/>
        </w:rPr>
        <w:t>A political tool of executive dominance</w:t>
      </w:r>
      <w:r w:rsidR="00F17635">
        <w:rPr>
          <w:rFonts w:ascii="Book Antiqua" w:hAnsi="Book Antiqua"/>
          <w:u w:val="single"/>
          <w:lang w:val="en-IE"/>
        </w:rPr>
        <w:t>/manipulation</w:t>
      </w:r>
      <w:r w:rsidRPr="00A36A90">
        <w:rPr>
          <w:rFonts w:ascii="Book Antiqua" w:hAnsi="Book Antiqua"/>
          <w:u w:val="single"/>
          <w:lang w:val="en-IE"/>
        </w:rPr>
        <w:t>?</w:t>
      </w:r>
    </w:p>
    <w:p w14:paraId="36D88780" w14:textId="5FF73EB0" w:rsidR="003A0670" w:rsidRDefault="00342331" w:rsidP="003A0670">
      <w:pPr>
        <w:spacing w:line="360" w:lineRule="auto"/>
        <w:jc w:val="both"/>
        <w:rPr>
          <w:rFonts w:ascii="Book Antiqua" w:hAnsi="Book Antiqua"/>
          <w:lang w:val="en-GB"/>
        </w:rPr>
      </w:pPr>
      <w:r>
        <w:rPr>
          <w:rFonts w:ascii="Book Antiqua" w:hAnsi="Book Antiqua"/>
          <w:lang w:val="en-GB"/>
        </w:rPr>
        <w:t>Pre-enactment constitutional</w:t>
      </w:r>
      <w:r w:rsidR="005F0C06">
        <w:rPr>
          <w:rFonts w:ascii="Book Antiqua" w:hAnsi="Book Antiqua"/>
          <w:lang w:val="en-GB"/>
        </w:rPr>
        <w:t xml:space="preserve"> review</w:t>
      </w:r>
      <w:r w:rsidR="00E464BC">
        <w:rPr>
          <w:rFonts w:ascii="Book Antiqua" w:hAnsi="Book Antiqua"/>
          <w:lang w:val="en-GB"/>
        </w:rPr>
        <w:t xml:space="preserve"> </w:t>
      </w:r>
      <w:r>
        <w:rPr>
          <w:rFonts w:ascii="Book Antiqua" w:hAnsi="Book Antiqua"/>
          <w:lang w:val="en-GB"/>
        </w:rPr>
        <w:t xml:space="preserve">is </w:t>
      </w:r>
      <w:r w:rsidR="00E464BC">
        <w:rPr>
          <w:rFonts w:ascii="Book Antiqua" w:hAnsi="Book Antiqua"/>
          <w:lang w:val="en-GB"/>
        </w:rPr>
        <w:t>potentially</w:t>
      </w:r>
      <w:r w:rsidR="005F0C06">
        <w:rPr>
          <w:rFonts w:ascii="Book Antiqua" w:hAnsi="Book Antiqua"/>
          <w:lang w:val="en-GB"/>
        </w:rPr>
        <w:t xml:space="preserve"> a</w:t>
      </w:r>
      <w:r w:rsidR="003B4CD0">
        <w:rPr>
          <w:rFonts w:ascii="Book Antiqua" w:hAnsi="Book Antiqua"/>
          <w:lang w:val="en-GB"/>
        </w:rPr>
        <w:t xml:space="preserve"> useful</w:t>
      </w:r>
      <w:r w:rsidR="005F0C06">
        <w:rPr>
          <w:rFonts w:ascii="Book Antiqua" w:hAnsi="Book Antiqua"/>
          <w:lang w:val="en-GB"/>
        </w:rPr>
        <w:t xml:space="preserve"> </w:t>
      </w:r>
      <w:r w:rsidR="005F0C06" w:rsidRPr="004161D3">
        <w:rPr>
          <w:rFonts w:ascii="Book Antiqua" w:hAnsi="Book Antiqua"/>
          <w:lang w:val="en-GB"/>
        </w:rPr>
        <w:t>tool</w:t>
      </w:r>
      <w:r w:rsidR="00D872FB">
        <w:rPr>
          <w:rFonts w:ascii="Book Antiqua" w:hAnsi="Book Antiqua"/>
          <w:lang w:val="en-GB"/>
        </w:rPr>
        <w:t xml:space="preserve"> of executive governance</w:t>
      </w:r>
      <w:r>
        <w:rPr>
          <w:rFonts w:ascii="Book Antiqua" w:hAnsi="Book Antiqua"/>
          <w:lang w:val="en-GB"/>
        </w:rPr>
        <w:t xml:space="preserve">, in </w:t>
      </w:r>
      <w:r w:rsidR="00286024">
        <w:rPr>
          <w:rFonts w:ascii="Book Antiqua" w:hAnsi="Book Antiqua"/>
          <w:lang w:val="en-GB"/>
        </w:rPr>
        <w:t xml:space="preserve">helping guide deliberation on rights and reducing the likelihood of </w:t>
      </w:r>
      <w:r>
        <w:rPr>
          <w:rFonts w:ascii="Book Antiqua" w:hAnsi="Book Antiqua"/>
          <w:lang w:val="en-GB"/>
        </w:rPr>
        <w:t xml:space="preserve">adverse outcomes in </w:t>
      </w:r>
      <w:r w:rsidR="005F0C06">
        <w:rPr>
          <w:rFonts w:ascii="Book Antiqua" w:hAnsi="Book Antiqua"/>
          <w:lang w:val="en-GB"/>
        </w:rPr>
        <w:t>judicial review</w:t>
      </w:r>
      <w:r w:rsidR="003A0670">
        <w:rPr>
          <w:rFonts w:ascii="Book Antiqua" w:hAnsi="Book Antiqua"/>
          <w:lang w:val="en-GB"/>
        </w:rPr>
        <w:t xml:space="preserve">. However, we suggest that </w:t>
      </w:r>
      <w:r w:rsidR="00985F28">
        <w:rPr>
          <w:rFonts w:ascii="Book Antiqua" w:hAnsi="Book Antiqua"/>
          <w:lang w:val="en-GB"/>
        </w:rPr>
        <w:t xml:space="preserve">shadow </w:t>
      </w:r>
      <w:r w:rsidR="003A0670">
        <w:rPr>
          <w:rFonts w:ascii="Book Antiqua" w:hAnsi="Book Antiqua"/>
          <w:lang w:val="en-GB"/>
        </w:rPr>
        <w:t xml:space="preserve">review can also operate in a manner which facilitates </w:t>
      </w:r>
      <w:r w:rsidR="00985F28">
        <w:rPr>
          <w:rFonts w:ascii="Book Antiqua" w:hAnsi="Book Antiqua"/>
          <w:lang w:val="en-GB"/>
        </w:rPr>
        <w:t xml:space="preserve">executive </w:t>
      </w:r>
      <w:r w:rsidR="003A0670" w:rsidRPr="00A36A90">
        <w:rPr>
          <w:rFonts w:ascii="Book Antiqua" w:hAnsi="Book Antiqua"/>
          <w:lang w:val="en-GB"/>
        </w:rPr>
        <w:t>dominance</w:t>
      </w:r>
      <w:r w:rsidR="00823172">
        <w:rPr>
          <w:rFonts w:ascii="Book Antiqua" w:hAnsi="Book Antiqua"/>
          <w:lang w:val="en-GB"/>
        </w:rPr>
        <w:t xml:space="preserve">, in </w:t>
      </w:r>
      <w:r w:rsidR="00B22DA1">
        <w:rPr>
          <w:rFonts w:ascii="Book Antiqua" w:hAnsi="Book Antiqua"/>
          <w:lang w:val="en-GB"/>
        </w:rPr>
        <w:t xml:space="preserve">three </w:t>
      </w:r>
      <w:r w:rsidR="00823172">
        <w:rPr>
          <w:rFonts w:ascii="Book Antiqua" w:hAnsi="Book Antiqua"/>
          <w:lang w:val="en-GB"/>
        </w:rPr>
        <w:t xml:space="preserve">ways. First, it can provide a way for the executive to signal to other actors that it is subjugated to the constitution </w:t>
      </w:r>
      <w:r w:rsidR="009436DC">
        <w:rPr>
          <w:rFonts w:ascii="Book Antiqua" w:hAnsi="Book Antiqua"/>
          <w:lang w:val="en-GB"/>
        </w:rPr>
        <w:t xml:space="preserve">while </w:t>
      </w:r>
      <w:r w:rsidR="00823172">
        <w:rPr>
          <w:rFonts w:ascii="Book Antiqua" w:hAnsi="Book Antiqua"/>
          <w:lang w:val="en-GB"/>
        </w:rPr>
        <w:t xml:space="preserve">it dominates the political system in practice. Secondly, it can be used by the executive as a way of avoiding accountability for political action or inaction. </w:t>
      </w:r>
      <w:r w:rsidR="0028458B">
        <w:rPr>
          <w:rFonts w:ascii="Book Antiqua" w:hAnsi="Book Antiqua"/>
          <w:lang w:val="en-GB"/>
        </w:rPr>
        <w:t xml:space="preserve">Thirdly, it could be manipulated by the executive in order to attempt to achieve constitutionally questionable ends or informally change the Constitution. </w:t>
      </w:r>
      <w:r w:rsidR="00823172">
        <w:rPr>
          <w:rFonts w:ascii="Book Antiqua" w:hAnsi="Book Antiqua"/>
          <w:lang w:val="en-GB"/>
        </w:rPr>
        <w:t>These phenomena are difficult or impossible to observe</w:t>
      </w:r>
      <w:r w:rsidR="00897F96">
        <w:rPr>
          <w:rFonts w:ascii="Book Antiqua" w:hAnsi="Book Antiqua"/>
          <w:lang w:val="en-GB"/>
        </w:rPr>
        <w:t xml:space="preserve"> or prove. W</w:t>
      </w:r>
      <w:r w:rsidR="00823172">
        <w:rPr>
          <w:rFonts w:ascii="Book Antiqua" w:hAnsi="Book Antiqua"/>
          <w:lang w:val="en-GB"/>
        </w:rPr>
        <w:t xml:space="preserve">e limit ourselves here to suggesting that conditions in Ireland and Japan could allow for </w:t>
      </w:r>
      <w:r w:rsidR="00897F96">
        <w:rPr>
          <w:rFonts w:ascii="Book Antiqua" w:hAnsi="Book Antiqua"/>
          <w:lang w:val="en-GB"/>
        </w:rPr>
        <w:t>these practices</w:t>
      </w:r>
      <w:r w:rsidR="00823172">
        <w:rPr>
          <w:rFonts w:ascii="Book Antiqua" w:hAnsi="Book Antiqua"/>
          <w:lang w:val="en-GB"/>
        </w:rPr>
        <w:t xml:space="preserve"> </w:t>
      </w:r>
      <w:r w:rsidR="00FF38A2">
        <w:rPr>
          <w:rFonts w:ascii="Book Antiqua" w:hAnsi="Book Antiqua"/>
          <w:lang w:val="en-GB"/>
        </w:rPr>
        <w:t xml:space="preserve">and do not make </w:t>
      </w:r>
      <w:r w:rsidR="00823172">
        <w:rPr>
          <w:rFonts w:ascii="Book Antiqua" w:hAnsi="Book Antiqua"/>
          <w:lang w:val="en-GB"/>
        </w:rPr>
        <w:t xml:space="preserve">any </w:t>
      </w:r>
      <w:r w:rsidR="00FF38A2">
        <w:rPr>
          <w:rFonts w:ascii="Book Antiqua" w:hAnsi="Book Antiqua"/>
          <w:lang w:val="en-GB"/>
        </w:rPr>
        <w:t xml:space="preserve">claim </w:t>
      </w:r>
      <w:r w:rsidR="00823172">
        <w:rPr>
          <w:rFonts w:ascii="Book Antiqua" w:hAnsi="Book Antiqua"/>
          <w:lang w:val="en-GB"/>
        </w:rPr>
        <w:t>that they are observable or take place in these jurisdictions.</w:t>
      </w:r>
    </w:p>
    <w:p w14:paraId="269EE16F" w14:textId="77777777" w:rsidR="003B4CD0" w:rsidRDefault="003B4CD0" w:rsidP="003A0670">
      <w:pPr>
        <w:spacing w:line="360" w:lineRule="auto"/>
        <w:jc w:val="both"/>
        <w:rPr>
          <w:rFonts w:ascii="Book Antiqua" w:hAnsi="Book Antiqua"/>
          <w:lang w:val="en-GB"/>
        </w:rPr>
      </w:pPr>
    </w:p>
    <w:p w14:paraId="5AE8C1D4" w14:textId="1FB046D4" w:rsidR="00985F28" w:rsidRDefault="00985F28" w:rsidP="003A0670">
      <w:pPr>
        <w:spacing w:line="360" w:lineRule="auto"/>
        <w:jc w:val="both"/>
        <w:rPr>
          <w:rFonts w:ascii="Book Antiqua" w:hAnsi="Book Antiqua"/>
          <w:color w:val="000000" w:themeColor="text1"/>
          <w:lang w:val="en-GB"/>
        </w:rPr>
      </w:pPr>
      <w:r>
        <w:rPr>
          <w:rFonts w:ascii="Book Antiqua" w:hAnsi="Book Antiqua"/>
          <w:lang w:val="en-GB"/>
        </w:rPr>
        <w:t>P</w:t>
      </w:r>
      <w:r w:rsidR="003A0670">
        <w:rPr>
          <w:rFonts w:ascii="Book Antiqua" w:hAnsi="Book Antiqua"/>
          <w:lang w:val="en-GB"/>
        </w:rPr>
        <w:t xml:space="preserve">re-enactment review </w:t>
      </w:r>
      <w:r w:rsidR="00855AEA">
        <w:rPr>
          <w:rFonts w:ascii="Book Antiqua" w:hAnsi="Book Antiqua"/>
          <w:lang w:val="en-GB"/>
        </w:rPr>
        <w:t>can</w:t>
      </w:r>
      <w:r w:rsidR="003A0670">
        <w:rPr>
          <w:rFonts w:ascii="Book Antiqua" w:hAnsi="Book Antiqua"/>
          <w:lang w:val="en-GB"/>
        </w:rPr>
        <w:t xml:space="preserve"> </w:t>
      </w:r>
      <w:r w:rsidR="005F0C06">
        <w:rPr>
          <w:rFonts w:ascii="Book Antiqua" w:hAnsi="Book Antiqua"/>
          <w:lang w:val="en-GB"/>
        </w:rPr>
        <w:t>provide the executive with “le</w:t>
      </w:r>
      <w:r w:rsidR="00F15CEE">
        <w:rPr>
          <w:rFonts w:ascii="Book Antiqua" w:hAnsi="Book Antiqua"/>
          <w:lang w:val="en-GB"/>
        </w:rPr>
        <w:t xml:space="preserve">galistic credibility”, </w:t>
      </w:r>
      <w:r w:rsidR="005F0C06">
        <w:rPr>
          <w:rFonts w:ascii="Book Antiqua" w:hAnsi="Book Antiqua"/>
          <w:lang w:val="en-GB"/>
        </w:rPr>
        <w:t xml:space="preserve">a form of </w:t>
      </w:r>
      <w:r w:rsidR="00F15CEE">
        <w:rPr>
          <w:rFonts w:ascii="Book Antiqua" w:hAnsi="Book Antiqua"/>
          <w:lang w:val="en-GB"/>
        </w:rPr>
        <w:t>“</w:t>
      </w:r>
      <w:r w:rsidR="005F0C06">
        <w:rPr>
          <w:rFonts w:ascii="Book Antiqua" w:hAnsi="Book Antiqua"/>
          <w:lang w:val="en-GB"/>
        </w:rPr>
        <w:t>reputation building using the institutions of formal legal analysis”.</w:t>
      </w:r>
      <w:r w:rsidR="005F0C06">
        <w:rPr>
          <w:rStyle w:val="FootnoteReference"/>
          <w:rFonts w:ascii="Book Antiqua" w:hAnsi="Book Antiqua"/>
          <w:lang w:val="en-GB"/>
        </w:rPr>
        <w:footnoteReference w:id="130"/>
      </w:r>
      <w:r w:rsidR="003A0670">
        <w:rPr>
          <w:rFonts w:ascii="Book Antiqua" w:hAnsi="Book Antiqua"/>
          <w:lang w:val="en-GB"/>
        </w:rPr>
        <w:t xml:space="preserve"> </w:t>
      </w:r>
      <w:r w:rsidR="00855AEA">
        <w:rPr>
          <w:rFonts w:ascii="Book Antiqua" w:hAnsi="Book Antiqua"/>
          <w:lang w:val="en-GB"/>
        </w:rPr>
        <w:t xml:space="preserve">It </w:t>
      </w:r>
      <w:r>
        <w:rPr>
          <w:rFonts w:ascii="Book Antiqua" w:hAnsi="Book Antiqua"/>
          <w:lang w:val="en-GB"/>
        </w:rPr>
        <w:t xml:space="preserve">could </w:t>
      </w:r>
      <w:r w:rsidR="005F0C06">
        <w:rPr>
          <w:rFonts w:ascii="Book Antiqua" w:hAnsi="Book Antiqua"/>
          <w:lang w:val="en-GB"/>
        </w:rPr>
        <w:t xml:space="preserve">be </w:t>
      </w:r>
      <w:r w:rsidR="00855AEA">
        <w:rPr>
          <w:rFonts w:ascii="Book Antiqua" w:hAnsi="Book Antiqua"/>
          <w:lang w:val="en-GB"/>
        </w:rPr>
        <w:t xml:space="preserve">used </w:t>
      </w:r>
      <w:r w:rsidR="005F0C06">
        <w:rPr>
          <w:rFonts w:ascii="Book Antiqua" w:hAnsi="Book Antiqua"/>
          <w:lang w:val="en-GB"/>
        </w:rPr>
        <w:t xml:space="preserve">as a form of institutional signalling by the executive to </w:t>
      </w:r>
      <w:r>
        <w:rPr>
          <w:rFonts w:ascii="Book Antiqua" w:hAnsi="Book Antiqua"/>
          <w:lang w:val="en-GB"/>
        </w:rPr>
        <w:t>various groups</w:t>
      </w:r>
      <w:r w:rsidR="00E7265E">
        <w:rPr>
          <w:rFonts w:ascii="Book Antiqua" w:hAnsi="Book Antiqua"/>
          <w:lang w:val="en-GB"/>
        </w:rPr>
        <w:softHyphen/>
        <w:t>—</w:t>
      </w:r>
      <w:r w:rsidR="005F0C06">
        <w:rPr>
          <w:rFonts w:ascii="Book Antiqua" w:hAnsi="Book Antiqua"/>
          <w:lang w:val="en-GB"/>
        </w:rPr>
        <w:t>the electorate, elites, civil society, political opponents</w:t>
      </w:r>
      <w:r w:rsidR="00E7265E">
        <w:rPr>
          <w:rFonts w:ascii="Book Antiqua" w:hAnsi="Book Antiqua"/>
          <w:lang w:val="en-GB"/>
        </w:rPr>
        <w:t>—</w:t>
      </w:r>
      <w:r w:rsidR="005F0C06">
        <w:rPr>
          <w:rFonts w:ascii="Book Antiqua" w:hAnsi="Book Antiqua"/>
          <w:lang w:val="en-GB"/>
        </w:rPr>
        <w:t xml:space="preserve">that it </w:t>
      </w:r>
      <w:r>
        <w:rPr>
          <w:rFonts w:ascii="Book Antiqua" w:hAnsi="Book Antiqua"/>
          <w:lang w:val="en-GB"/>
        </w:rPr>
        <w:t xml:space="preserve">takes seriously its </w:t>
      </w:r>
      <w:r w:rsidR="005F0C06">
        <w:rPr>
          <w:rFonts w:ascii="Book Antiqua" w:hAnsi="Book Antiqua"/>
          <w:lang w:val="en-GB"/>
        </w:rPr>
        <w:t xml:space="preserve">constitutional commitments. </w:t>
      </w:r>
    </w:p>
    <w:p w14:paraId="67F874BD" w14:textId="77777777" w:rsidR="005D6343" w:rsidRDefault="005D6343" w:rsidP="00985F28">
      <w:pPr>
        <w:spacing w:line="360" w:lineRule="auto"/>
        <w:jc w:val="both"/>
        <w:rPr>
          <w:rFonts w:ascii="Book Antiqua" w:hAnsi="Book Antiqua"/>
          <w:color w:val="000000" w:themeColor="text1"/>
          <w:lang w:val="en-GB"/>
        </w:rPr>
      </w:pPr>
    </w:p>
    <w:p w14:paraId="52606CAC" w14:textId="0B0004B2" w:rsidR="00823172" w:rsidRDefault="00985F28" w:rsidP="00985F28">
      <w:pPr>
        <w:spacing w:line="360" w:lineRule="auto"/>
        <w:jc w:val="both"/>
        <w:rPr>
          <w:rFonts w:ascii="Book Antiqua" w:hAnsi="Book Antiqua"/>
          <w:color w:val="000000" w:themeColor="text1"/>
          <w:lang w:val="en-GB"/>
        </w:rPr>
      </w:pPr>
      <w:r>
        <w:rPr>
          <w:rFonts w:ascii="Book Antiqua" w:hAnsi="Book Antiqua"/>
          <w:color w:val="000000" w:themeColor="text1"/>
          <w:lang w:val="en-GB"/>
        </w:rPr>
        <w:t xml:space="preserve">In Ireland and Japan, </w:t>
      </w:r>
      <w:r w:rsidR="005F0C06">
        <w:rPr>
          <w:rFonts w:ascii="Book Antiqua" w:hAnsi="Book Antiqua"/>
          <w:lang w:val="en-GB"/>
        </w:rPr>
        <w:t xml:space="preserve">political power in the state is </w:t>
      </w:r>
      <w:r w:rsidR="005F0C06" w:rsidRPr="001A0B72">
        <w:rPr>
          <w:rFonts w:ascii="Book Antiqua" w:hAnsi="Book Antiqua"/>
          <w:lang w:val="en-GB"/>
        </w:rPr>
        <w:t>structurally concentrated</w:t>
      </w:r>
      <w:r w:rsidR="005F0C06">
        <w:rPr>
          <w:rFonts w:ascii="Book Antiqua" w:hAnsi="Book Antiqua"/>
          <w:i/>
          <w:lang w:val="en-GB"/>
        </w:rPr>
        <w:t xml:space="preserve"> </w:t>
      </w:r>
      <w:r w:rsidR="005F0C06">
        <w:rPr>
          <w:rFonts w:ascii="Book Antiqua" w:hAnsi="Book Antiqua"/>
          <w:lang w:val="en-GB"/>
        </w:rPr>
        <w:t>in the executive, given its</w:t>
      </w:r>
      <w:r>
        <w:rPr>
          <w:rFonts w:ascii="Book Antiqua" w:hAnsi="Book Antiqua"/>
          <w:lang w:val="en-GB"/>
        </w:rPr>
        <w:t xml:space="preserve"> generally</w:t>
      </w:r>
      <w:r w:rsidR="005F0C06">
        <w:rPr>
          <w:rFonts w:ascii="Book Antiqua" w:hAnsi="Book Antiqua"/>
          <w:lang w:val="en-GB"/>
        </w:rPr>
        <w:t xml:space="preserve"> </w:t>
      </w:r>
      <w:r w:rsidR="001A0B72">
        <w:rPr>
          <w:rFonts w:ascii="Book Antiqua" w:hAnsi="Book Antiqua"/>
          <w:lang w:val="en-GB"/>
        </w:rPr>
        <w:t>fused</w:t>
      </w:r>
      <w:r w:rsidR="00F15CEE">
        <w:rPr>
          <w:rFonts w:ascii="Book Antiqua" w:hAnsi="Book Antiqua"/>
          <w:lang w:val="en-GB"/>
        </w:rPr>
        <w:t xml:space="preserve"> </w:t>
      </w:r>
      <w:r w:rsidR="001A0B72">
        <w:rPr>
          <w:rFonts w:ascii="Book Antiqua" w:hAnsi="Book Antiqua"/>
          <w:lang w:val="en-GB"/>
        </w:rPr>
        <w:t>relationship with</w:t>
      </w:r>
      <w:r w:rsidR="00F15CEE">
        <w:rPr>
          <w:rFonts w:ascii="Book Antiqua" w:hAnsi="Book Antiqua"/>
          <w:lang w:val="en-GB"/>
        </w:rPr>
        <w:t xml:space="preserve"> parliament. </w:t>
      </w:r>
      <w:r>
        <w:rPr>
          <w:rFonts w:ascii="Book Antiqua" w:hAnsi="Book Antiqua"/>
          <w:lang w:val="en-GB"/>
        </w:rPr>
        <w:t xml:space="preserve">Showing submission to constitutional constraints by </w:t>
      </w:r>
      <w:r w:rsidR="00855AEA">
        <w:rPr>
          <w:rFonts w:ascii="Book Antiqua" w:hAnsi="Book Antiqua"/>
          <w:lang w:val="en-GB"/>
        </w:rPr>
        <w:t xml:space="preserve">publicly showing </w:t>
      </w:r>
      <w:r w:rsidR="00FD2BBA">
        <w:rPr>
          <w:rFonts w:ascii="Book Antiqua" w:hAnsi="Book Antiqua"/>
          <w:lang w:val="en-GB"/>
        </w:rPr>
        <w:t>it</w:t>
      </w:r>
      <w:r>
        <w:rPr>
          <w:rFonts w:ascii="Book Antiqua" w:hAnsi="Book Antiqua"/>
          <w:lang w:val="en-GB"/>
        </w:rPr>
        <w:t xml:space="preserve"> is bound by legal advice could be an important way to bolster faith in the executive.</w:t>
      </w:r>
      <w:r w:rsidR="005F0C06">
        <w:rPr>
          <w:rFonts w:ascii="Book Antiqua" w:hAnsi="Book Antiqua"/>
          <w:lang w:val="en-GB"/>
        </w:rPr>
        <w:t xml:space="preserve"> </w:t>
      </w:r>
      <w:r>
        <w:rPr>
          <w:rFonts w:ascii="Book Antiqua" w:hAnsi="Book Antiqua"/>
          <w:lang w:val="en-GB"/>
        </w:rPr>
        <w:t xml:space="preserve">This is premised on the idea that the advisor is neutral and politically disinterested, and that legal </w:t>
      </w:r>
      <w:r>
        <w:rPr>
          <w:rFonts w:ascii="Book Antiqua" w:hAnsi="Book Antiqua"/>
          <w:lang w:val="en-GB"/>
        </w:rPr>
        <w:lastRenderedPageBreak/>
        <w:t>reasoning</w:t>
      </w:r>
      <w:r w:rsidR="00823172">
        <w:rPr>
          <w:rFonts w:ascii="Book Antiqua" w:hAnsi="Book Antiqua"/>
          <w:lang w:val="en-GB"/>
        </w:rPr>
        <w:t xml:space="preserve"> or advising</w:t>
      </w:r>
      <w:r>
        <w:rPr>
          <w:rFonts w:ascii="Book Antiqua" w:hAnsi="Book Antiqua"/>
          <w:lang w:val="en-GB"/>
        </w:rPr>
        <w:t xml:space="preserve"> </w:t>
      </w:r>
      <w:r w:rsidR="00823172">
        <w:rPr>
          <w:rFonts w:ascii="Book Antiqua" w:hAnsi="Book Antiqua"/>
          <w:lang w:val="en-GB"/>
        </w:rPr>
        <w:t xml:space="preserve">is a specialist expertise </w:t>
      </w:r>
      <w:r>
        <w:rPr>
          <w:rFonts w:ascii="Book Antiqua" w:hAnsi="Book Antiqua"/>
          <w:lang w:val="en-GB"/>
        </w:rPr>
        <w:t>can be severed from politics</w:t>
      </w:r>
      <w:r w:rsidR="00855AEA">
        <w:rPr>
          <w:rFonts w:ascii="Book Antiqua" w:hAnsi="Book Antiqua"/>
          <w:lang w:val="en-GB"/>
        </w:rPr>
        <w:t>, both of which are</w:t>
      </w:r>
      <w:r w:rsidR="009070AE">
        <w:rPr>
          <w:rFonts w:ascii="Book Antiqua" w:hAnsi="Book Antiqua"/>
          <w:lang w:val="en-GB"/>
        </w:rPr>
        <w:t xml:space="preserve"> highly</w:t>
      </w:r>
      <w:r w:rsidR="00855AEA">
        <w:rPr>
          <w:rFonts w:ascii="Book Antiqua" w:hAnsi="Book Antiqua"/>
          <w:lang w:val="en-GB"/>
        </w:rPr>
        <w:t xml:space="preserve"> contestable in practice</w:t>
      </w:r>
      <w:r>
        <w:rPr>
          <w:rFonts w:ascii="Book Antiqua" w:hAnsi="Book Antiqua"/>
          <w:lang w:val="en-GB"/>
        </w:rPr>
        <w:t>.</w:t>
      </w:r>
      <w:r w:rsidR="00F15CEE">
        <w:rPr>
          <w:rStyle w:val="FootnoteReference"/>
          <w:rFonts w:ascii="Book Antiqua" w:hAnsi="Book Antiqua"/>
          <w:color w:val="000000" w:themeColor="text1"/>
          <w:lang w:val="en-GB"/>
        </w:rPr>
        <w:footnoteReference w:id="131"/>
      </w:r>
      <w:r w:rsidR="00EB5C50">
        <w:rPr>
          <w:rFonts w:ascii="Book Antiqua" w:hAnsi="Book Antiqua"/>
          <w:color w:val="000000" w:themeColor="text1"/>
          <w:lang w:val="en-GB"/>
        </w:rPr>
        <w:t xml:space="preserve"> </w:t>
      </w:r>
    </w:p>
    <w:p w14:paraId="2512F0AC" w14:textId="77777777" w:rsidR="00823172" w:rsidRDefault="00823172" w:rsidP="00985F28">
      <w:pPr>
        <w:spacing w:line="360" w:lineRule="auto"/>
        <w:jc w:val="both"/>
        <w:rPr>
          <w:rFonts w:ascii="Book Antiqua" w:hAnsi="Book Antiqua"/>
          <w:color w:val="000000" w:themeColor="text1"/>
          <w:lang w:val="en-GB"/>
        </w:rPr>
      </w:pPr>
    </w:p>
    <w:p w14:paraId="3D185F74" w14:textId="3B668ADE" w:rsidR="005F0C06" w:rsidRPr="003A0670" w:rsidRDefault="00823172" w:rsidP="00F17635">
      <w:pPr>
        <w:spacing w:line="360" w:lineRule="auto"/>
        <w:jc w:val="both"/>
        <w:rPr>
          <w:rFonts w:ascii="Book Antiqua" w:hAnsi="Book Antiqua"/>
          <w:lang w:val="en-GB"/>
        </w:rPr>
      </w:pPr>
      <w:r>
        <w:rPr>
          <w:rFonts w:ascii="Book Antiqua" w:hAnsi="Book Antiqua"/>
          <w:lang w:val="en-GB"/>
        </w:rPr>
        <w:t>B</w:t>
      </w:r>
      <w:r w:rsidR="005F0C06">
        <w:rPr>
          <w:rFonts w:ascii="Book Antiqua" w:hAnsi="Book Antiqua"/>
          <w:lang w:val="en-GB"/>
        </w:rPr>
        <w:t>ind</w:t>
      </w:r>
      <w:r>
        <w:rPr>
          <w:rFonts w:ascii="Book Antiqua" w:hAnsi="Book Antiqua"/>
          <w:lang w:val="en-GB"/>
        </w:rPr>
        <w:t>ing</w:t>
      </w:r>
      <w:r w:rsidR="005F0C06">
        <w:rPr>
          <w:rFonts w:ascii="Book Antiqua" w:hAnsi="Book Antiqua"/>
          <w:lang w:val="en-GB"/>
        </w:rPr>
        <w:t xml:space="preserve"> oneself to </w:t>
      </w:r>
      <w:r>
        <w:rPr>
          <w:rFonts w:ascii="Book Antiqua" w:hAnsi="Book Antiqua"/>
          <w:lang w:val="en-GB"/>
        </w:rPr>
        <w:t xml:space="preserve">legal advice on constitutionality </w:t>
      </w:r>
      <w:r w:rsidR="009C6F3C">
        <w:rPr>
          <w:rFonts w:ascii="Book Antiqua" w:hAnsi="Book Antiqua"/>
          <w:lang w:val="en-GB"/>
        </w:rPr>
        <w:t>does</w:t>
      </w:r>
      <w:r>
        <w:rPr>
          <w:rFonts w:ascii="Book Antiqua" w:hAnsi="Book Antiqua"/>
          <w:lang w:val="en-GB"/>
        </w:rPr>
        <w:t xml:space="preserve"> </w:t>
      </w:r>
      <w:r w:rsidR="005F0C06">
        <w:rPr>
          <w:rFonts w:ascii="Book Antiqua" w:hAnsi="Book Antiqua"/>
          <w:lang w:val="en-GB"/>
        </w:rPr>
        <w:t xml:space="preserve">narrow discretion </w:t>
      </w:r>
      <w:r>
        <w:rPr>
          <w:rFonts w:ascii="Book Antiqua" w:hAnsi="Book Antiqua"/>
          <w:lang w:val="en-GB"/>
        </w:rPr>
        <w:t>in some instances</w:t>
      </w:r>
      <w:r w:rsidR="001214CB">
        <w:rPr>
          <w:rFonts w:ascii="Book Antiqua" w:hAnsi="Book Antiqua"/>
          <w:lang w:val="en-GB"/>
        </w:rPr>
        <w:t>—</w:t>
      </w:r>
      <w:r w:rsidR="005F0C06">
        <w:rPr>
          <w:rFonts w:ascii="Book Antiqua" w:hAnsi="Book Antiqua"/>
          <w:lang w:val="en-GB"/>
        </w:rPr>
        <w:t xml:space="preserve">occasionally a policy option will be </w:t>
      </w:r>
      <w:r w:rsidR="009C6F3C">
        <w:rPr>
          <w:rFonts w:ascii="Book Antiqua" w:hAnsi="Book Antiqua"/>
          <w:lang w:val="en-GB"/>
        </w:rPr>
        <w:t xml:space="preserve">taken </w:t>
      </w:r>
      <w:r w:rsidR="005F0C06">
        <w:rPr>
          <w:rFonts w:ascii="Book Antiqua" w:hAnsi="Book Antiqua"/>
          <w:lang w:val="en-GB"/>
        </w:rPr>
        <w:t>off the table</w:t>
      </w:r>
      <w:r w:rsidR="001214CB">
        <w:rPr>
          <w:rFonts w:ascii="Book Antiqua" w:hAnsi="Book Antiqua"/>
          <w:lang w:val="en-GB"/>
        </w:rPr>
        <w:t>—</w:t>
      </w:r>
      <w:r w:rsidR="00897F96">
        <w:rPr>
          <w:rFonts w:ascii="Book Antiqua" w:hAnsi="Book Antiqua"/>
          <w:lang w:val="en-GB"/>
        </w:rPr>
        <w:t>but</w:t>
      </w:r>
      <w:r w:rsidR="005F0C06">
        <w:rPr>
          <w:rFonts w:ascii="Book Antiqua" w:hAnsi="Book Antiqua"/>
          <w:lang w:val="en-GB"/>
        </w:rPr>
        <w:t xml:space="preserve"> </w:t>
      </w:r>
      <w:r w:rsidR="0050756D">
        <w:rPr>
          <w:rFonts w:ascii="Book Antiqua" w:hAnsi="Book Antiqua"/>
          <w:lang w:val="en-GB"/>
        </w:rPr>
        <w:t>it</w:t>
      </w:r>
      <w:r w:rsidR="005F0C06">
        <w:rPr>
          <w:rFonts w:ascii="Book Antiqua" w:hAnsi="Book Antiqua"/>
          <w:lang w:val="en-GB"/>
        </w:rPr>
        <w:t xml:space="preserve"> offers the prospect of gaining political credibility</w:t>
      </w:r>
      <w:r w:rsidR="00897F96">
        <w:rPr>
          <w:rFonts w:ascii="Book Antiqua" w:hAnsi="Book Antiqua"/>
          <w:lang w:val="en-GB"/>
        </w:rPr>
        <w:t xml:space="preserve"> for the executive in general</w:t>
      </w:r>
      <w:r w:rsidR="005F0C06">
        <w:rPr>
          <w:rFonts w:ascii="Book Antiqua" w:hAnsi="Book Antiqua"/>
          <w:lang w:val="en-GB"/>
        </w:rPr>
        <w:t xml:space="preserve">, </w:t>
      </w:r>
      <w:r w:rsidR="009C6F3C">
        <w:rPr>
          <w:rFonts w:ascii="Book Antiqua" w:hAnsi="Book Antiqua"/>
          <w:lang w:val="en-GB"/>
        </w:rPr>
        <w:t xml:space="preserve">and </w:t>
      </w:r>
      <w:r w:rsidR="005F0C06">
        <w:rPr>
          <w:rFonts w:ascii="Book Antiqua" w:hAnsi="Book Antiqua"/>
          <w:lang w:val="en-GB"/>
        </w:rPr>
        <w:t>protect</w:t>
      </w:r>
      <w:r w:rsidR="008368B9">
        <w:rPr>
          <w:rFonts w:ascii="Book Antiqua" w:hAnsi="Book Antiqua"/>
          <w:lang w:val="en-GB"/>
        </w:rPr>
        <w:t>ing</w:t>
      </w:r>
      <w:r w:rsidR="005F0C06">
        <w:rPr>
          <w:rFonts w:ascii="Book Antiqua" w:hAnsi="Book Antiqua"/>
          <w:lang w:val="en-GB"/>
        </w:rPr>
        <w:t xml:space="preserve"> political judgments and agendas from critiques</w:t>
      </w:r>
      <w:r w:rsidR="005D6343">
        <w:rPr>
          <w:rFonts w:ascii="Book Antiqua" w:hAnsi="Book Antiqua"/>
          <w:lang w:val="en-GB"/>
        </w:rPr>
        <w:t xml:space="preserve"> that constitutional norms are not complied with</w:t>
      </w:r>
      <w:r w:rsidR="009C6F3C">
        <w:rPr>
          <w:rFonts w:ascii="Book Antiqua" w:hAnsi="Book Antiqua"/>
          <w:lang w:val="en-GB"/>
        </w:rPr>
        <w:t>.</w:t>
      </w:r>
      <w:r w:rsidR="005F0C06">
        <w:rPr>
          <w:rFonts w:ascii="Book Antiqua" w:hAnsi="Book Antiqua"/>
          <w:lang w:val="en-GB"/>
        </w:rPr>
        <w:t xml:space="preserve"> </w:t>
      </w:r>
      <w:r w:rsidR="009C6F3C">
        <w:rPr>
          <w:rFonts w:ascii="Book Antiqua" w:hAnsi="Book Antiqua"/>
          <w:color w:val="000000" w:themeColor="text1"/>
          <w:lang w:val="en-GB"/>
        </w:rPr>
        <w:t>T</w:t>
      </w:r>
      <w:r w:rsidR="00B30193">
        <w:rPr>
          <w:rFonts w:ascii="Book Antiqua" w:hAnsi="Book Antiqua"/>
          <w:color w:val="000000" w:themeColor="text1"/>
          <w:lang w:val="en-GB"/>
        </w:rPr>
        <w:t xml:space="preserve">he perception </w:t>
      </w:r>
      <w:r w:rsidR="009C6F3C">
        <w:rPr>
          <w:rFonts w:ascii="Book Antiqua" w:hAnsi="Book Antiqua"/>
          <w:color w:val="000000" w:themeColor="text1"/>
          <w:lang w:val="en-GB"/>
        </w:rPr>
        <w:t xml:space="preserve">may be that having undergone </w:t>
      </w:r>
      <w:r w:rsidR="00B30193">
        <w:rPr>
          <w:rFonts w:ascii="Book Antiqua" w:hAnsi="Book Antiqua"/>
          <w:color w:val="000000" w:themeColor="text1"/>
          <w:lang w:val="en-GB"/>
        </w:rPr>
        <w:t xml:space="preserve">robust and detached scrutiny for compliance with </w:t>
      </w:r>
      <w:r w:rsidR="0050756D">
        <w:rPr>
          <w:rFonts w:ascii="Book Antiqua" w:hAnsi="Book Antiqua"/>
          <w:color w:val="000000" w:themeColor="text1"/>
          <w:lang w:val="en-GB"/>
        </w:rPr>
        <w:t>constitutional</w:t>
      </w:r>
      <w:r w:rsidR="00B30193">
        <w:rPr>
          <w:rFonts w:ascii="Book Antiqua" w:hAnsi="Book Antiqua"/>
          <w:color w:val="000000" w:themeColor="text1"/>
          <w:lang w:val="en-GB"/>
        </w:rPr>
        <w:t xml:space="preserve"> norms</w:t>
      </w:r>
      <w:r w:rsidR="009C6F3C">
        <w:rPr>
          <w:rFonts w:ascii="Book Antiqua" w:hAnsi="Book Antiqua"/>
          <w:color w:val="000000" w:themeColor="text1"/>
          <w:lang w:val="en-GB"/>
        </w:rPr>
        <w:t>, policy is beyond constitutional reproach</w:t>
      </w:r>
      <w:r w:rsidR="00B30193">
        <w:rPr>
          <w:rFonts w:ascii="Book Antiqua" w:hAnsi="Book Antiqua"/>
          <w:color w:val="000000" w:themeColor="text1"/>
          <w:lang w:val="en-GB"/>
        </w:rPr>
        <w:t>.</w:t>
      </w:r>
      <w:r w:rsidR="005D6343">
        <w:rPr>
          <w:rFonts w:ascii="Book Antiqua" w:hAnsi="Book Antiqua"/>
          <w:color w:val="000000" w:themeColor="text1"/>
          <w:lang w:val="en-GB"/>
        </w:rPr>
        <w:t xml:space="preserve"> Lack of disclosure of detailed information about the constitutional advice that is a feature of shadow review</w:t>
      </w:r>
      <w:r w:rsidR="005D6343">
        <w:rPr>
          <w:rFonts w:ascii="Book Antiqua" w:hAnsi="Book Antiqua"/>
          <w:lang w:val="en-GB"/>
        </w:rPr>
        <w:t xml:space="preserve"> may </w:t>
      </w:r>
      <w:r w:rsidR="008368B9">
        <w:rPr>
          <w:rFonts w:ascii="Book Antiqua" w:hAnsi="Book Antiqua"/>
          <w:lang w:val="en-GB"/>
        </w:rPr>
        <w:t>undermine</w:t>
      </w:r>
      <w:r w:rsidR="003A0670">
        <w:rPr>
          <w:rFonts w:ascii="Book Antiqua" w:hAnsi="Book Antiqua"/>
          <w:lang w:val="en-GB"/>
        </w:rPr>
        <w:t xml:space="preserve"> the ability of external actors to second guess the executive’s conclusions on constitutionality</w:t>
      </w:r>
      <w:r w:rsidR="005D6343">
        <w:rPr>
          <w:rFonts w:ascii="Book Antiqua" w:hAnsi="Book Antiqua"/>
          <w:lang w:val="en-GB"/>
        </w:rPr>
        <w:t xml:space="preserve"> and hamper any constitutional scrutiny from these quarters</w:t>
      </w:r>
      <w:r w:rsidR="003A0670">
        <w:rPr>
          <w:rFonts w:ascii="Book Antiqua" w:hAnsi="Book Antiqua"/>
          <w:lang w:val="en-GB"/>
        </w:rPr>
        <w:t>.</w:t>
      </w:r>
      <w:r w:rsidR="005F0C06">
        <w:rPr>
          <w:rStyle w:val="FootnoteReference"/>
          <w:rFonts w:ascii="Book Antiqua" w:hAnsi="Book Antiqua"/>
          <w:color w:val="000000" w:themeColor="text1"/>
          <w:lang w:val="en-GB"/>
        </w:rPr>
        <w:footnoteReference w:id="132"/>
      </w:r>
      <w:r w:rsidR="005F0C06">
        <w:rPr>
          <w:rFonts w:ascii="Book Antiqua" w:hAnsi="Book Antiqua"/>
          <w:color w:val="000000" w:themeColor="text1"/>
          <w:lang w:val="en-GB"/>
        </w:rPr>
        <w:t xml:space="preserve"> </w:t>
      </w:r>
      <w:r w:rsidR="009C6F3C">
        <w:rPr>
          <w:rFonts w:ascii="Book Antiqua" w:hAnsi="Book Antiqua"/>
          <w:color w:val="000000" w:themeColor="text1"/>
          <w:lang w:val="en-GB"/>
        </w:rPr>
        <w:t>Shadow review might then tend to allow the executive to maintain dominance over the political system more effectively.</w:t>
      </w:r>
    </w:p>
    <w:p w14:paraId="69BF57E6" w14:textId="77777777" w:rsidR="00382F4C" w:rsidRDefault="00382F4C" w:rsidP="005F0C06">
      <w:pPr>
        <w:spacing w:line="360" w:lineRule="auto"/>
        <w:jc w:val="both"/>
        <w:rPr>
          <w:rFonts w:ascii="Book Antiqua" w:hAnsi="Book Antiqua"/>
          <w:color w:val="000000" w:themeColor="text1"/>
          <w:lang w:val="en-GB"/>
        </w:rPr>
      </w:pPr>
    </w:p>
    <w:p w14:paraId="0DE434B5" w14:textId="1E770714" w:rsidR="00D30EC4" w:rsidRDefault="005F0C06" w:rsidP="00F17635">
      <w:pPr>
        <w:spacing w:line="360" w:lineRule="auto"/>
        <w:jc w:val="both"/>
        <w:rPr>
          <w:rFonts w:ascii="Book Antiqua" w:hAnsi="Book Antiqua"/>
          <w:lang w:val="en-IE"/>
        </w:rPr>
      </w:pPr>
      <w:r>
        <w:rPr>
          <w:rFonts w:ascii="Book Antiqua" w:hAnsi="Book Antiqua"/>
          <w:lang w:val="en-IE"/>
        </w:rPr>
        <w:t xml:space="preserve">We have for the most part assumed that the actors in </w:t>
      </w:r>
      <w:r w:rsidR="00F17635">
        <w:rPr>
          <w:rFonts w:ascii="Book Antiqua" w:hAnsi="Book Antiqua"/>
          <w:lang w:val="en-IE"/>
        </w:rPr>
        <w:t xml:space="preserve">a </w:t>
      </w:r>
      <w:r>
        <w:rPr>
          <w:rFonts w:ascii="Book Antiqua" w:hAnsi="Book Antiqua"/>
          <w:lang w:val="en-IE"/>
        </w:rPr>
        <w:t>system of shadow review act in good faith and believe in their articulated reasons for acting in certain ways.</w:t>
      </w:r>
      <w:r w:rsidR="00F17635">
        <w:rPr>
          <w:rFonts w:ascii="Book Antiqua" w:hAnsi="Book Antiqua"/>
          <w:lang w:val="en-IE"/>
        </w:rPr>
        <w:t xml:space="preserve"> The possibility that they might not raises the suggestion that shadow review can be a tool of executive manipulation of the political process. If disclosure </w:t>
      </w:r>
      <w:r w:rsidR="00062C50">
        <w:rPr>
          <w:rFonts w:ascii="Book Antiqua" w:hAnsi="Book Antiqua"/>
          <w:lang w:val="en-IE"/>
        </w:rPr>
        <w:t xml:space="preserve">of advice </w:t>
      </w:r>
      <w:r w:rsidR="00F17635">
        <w:rPr>
          <w:rFonts w:ascii="Book Antiqua" w:hAnsi="Book Antiqua"/>
          <w:lang w:val="en-IE"/>
        </w:rPr>
        <w:t xml:space="preserve">is limited, the executive could </w:t>
      </w:r>
      <w:r>
        <w:rPr>
          <w:rFonts w:ascii="Book Antiqua" w:hAnsi="Book Antiqua"/>
          <w:lang w:val="en-IE"/>
        </w:rPr>
        <w:t>cynically us</w:t>
      </w:r>
      <w:r w:rsidR="00F17635">
        <w:rPr>
          <w:rFonts w:ascii="Book Antiqua" w:hAnsi="Book Antiqua"/>
          <w:lang w:val="en-IE"/>
        </w:rPr>
        <w:t>e</w:t>
      </w:r>
      <w:r>
        <w:rPr>
          <w:rFonts w:ascii="Book Antiqua" w:hAnsi="Book Antiqua"/>
          <w:lang w:val="en-IE"/>
        </w:rPr>
        <w:t xml:space="preserve"> </w:t>
      </w:r>
      <w:r w:rsidR="00F17635">
        <w:rPr>
          <w:rFonts w:ascii="Book Antiqua" w:hAnsi="Book Antiqua"/>
          <w:lang w:val="en-IE"/>
        </w:rPr>
        <w:t xml:space="preserve">legal advice </w:t>
      </w:r>
      <w:r>
        <w:rPr>
          <w:rFonts w:ascii="Book Antiqua" w:hAnsi="Book Antiqua"/>
          <w:lang w:val="en-IE"/>
        </w:rPr>
        <w:t>as a rhetoric tool</w:t>
      </w:r>
      <w:r w:rsidR="005C2126">
        <w:rPr>
          <w:rFonts w:ascii="Book Antiqua" w:hAnsi="Book Antiqua"/>
          <w:lang w:val="en-IE"/>
        </w:rPr>
        <w:t>:</w:t>
      </w:r>
      <w:r>
        <w:rPr>
          <w:rFonts w:ascii="Book Antiqua" w:hAnsi="Book Antiqua"/>
          <w:lang w:val="en-IE"/>
        </w:rPr>
        <w:t xml:space="preserve"> </w:t>
      </w:r>
      <w:r w:rsidR="005C2126">
        <w:rPr>
          <w:rFonts w:ascii="Book Antiqua" w:hAnsi="Book Antiqua"/>
          <w:lang w:val="en-IE"/>
        </w:rPr>
        <w:t>r</w:t>
      </w:r>
      <w:r>
        <w:rPr>
          <w:rFonts w:ascii="Book Antiqua" w:hAnsi="Book Antiqua"/>
          <w:lang w:val="en-IE"/>
        </w:rPr>
        <w:t xml:space="preserve">ather than sincerely taking the advice as a serious injunction to action, the government </w:t>
      </w:r>
      <w:r w:rsidR="00D30EC4">
        <w:rPr>
          <w:rFonts w:ascii="Book Antiqua" w:hAnsi="Book Antiqua"/>
          <w:lang w:val="en-IE"/>
        </w:rPr>
        <w:t xml:space="preserve">might </w:t>
      </w:r>
      <w:r w:rsidRPr="00735395">
        <w:rPr>
          <w:rFonts w:ascii="Book Antiqua" w:hAnsi="Book Antiqua"/>
          <w:i/>
          <w:lang w:val="en-IE"/>
        </w:rPr>
        <w:t>claim</w:t>
      </w:r>
      <w:r>
        <w:rPr>
          <w:rFonts w:ascii="Book Antiqua" w:hAnsi="Book Antiqua"/>
          <w:lang w:val="en-IE"/>
        </w:rPr>
        <w:t xml:space="preserve"> to be bound by advice that they should not act when in fact they merely do not want to act.</w:t>
      </w:r>
      <w:r w:rsidR="00062C50">
        <w:rPr>
          <w:rFonts w:ascii="Book Antiqua" w:hAnsi="Book Antiqua"/>
          <w:lang w:val="en-IE"/>
        </w:rPr>
        <w:t xml:space="preserve"> Without </w:t>
      </w:r>
      <w:r>
        <w:rPr>
          <w:rFonts w:ascii="Book Antiqua" w:hAnsi="Book Antiqua"/>
          <w:lang w:val="en-IE"/>
        </w:rPr>
        <w:t xml:space="preserve"> </w:t>
      </w:r>
      <w:r w:rsidR="00062C50">
        <w:rPr>
          <w:rFonts w:ascii="Book Antiqua" w:hAnsi="Book Antiqua"/>
          <w:lang w:val="en-IE"/>
        </w:rPr>
        <w:t xml:space="preserve">ability to independently assess the advice, it is hard to contradict this claim. </w:t>
      </w:r>
      <w:r>
        <w:rPr>
          <w:rFonts w:ascii="Book Antiqua" w:hAnsi="Book Antiqua"/>
          <w:lang w:val="en-IE"/>
        </w:rPr>
        <w:t xml:space="preserve">Reliance on </w:t>
      </w:r>
      <w:r w:rsidR="00C657AE">
        <w:rPr>
          <w:rFonts w:ascii="Book Antiqua" w:hAnsi="Book Antiqua"/>
          <w:lang w:val="en-IE"/>
        </w:rPr>
        <w:t>constitutional</w:t>
      </w:r>
      <w:r w:rsidR="002E3D8B">
        <w:rPr>
          <w:rFonts w:ascii="Book Antiqua" w:hAnsi="Book Antiqua"/>
          <w:lang w:val="en-IE"/>
        </w:rPr>
        <w:t xml:space="preserve"> advice</w:t>
      </w:r>
      <w:r w:rsidR="00C657AE">
        <w:rPr>
          <w:rFonts w:ascii="Book Antiqua" w:hAnsi="Book Antiqua"/>
          <w:lang w:val="en-IE"/>
        </w:rPr>
        <w:t xml:space="preserve"> could </w:t>
      </w:r>
      <w:r>
        <w:rPr>
          <w:rFonts w:ascii="Book Antiqua" w:hAnsi="Book Antiqua"/>
          <w:lang w:val="en-IE"/>
        </w:rPr>
        <w:t xml:space="preserve">shift political blame for inaction from the government to the </w:t>
      </w:r>
      <w:r w:rsidR="00D30EC4">
        <w:rPr>
          <w:rFonts w:ascii="Book Antiqua" w:hAnsi="Book Antiqua"/>
          <w:lang w:val="en-IE"/>
        </w:rPr>
        <w:t>c</w:t>
      </w:r>
      <w:r>
        <w:rPr>
          <w:rFonts w:ascii="Book Antiqua" w:hAnsi="Book Antiqua"/>
          <w:lang w:val="en-IE"/>
        </w:rPr>
        <w:t>onstitution</w:t>
      </w:r>
      <w:r w:rsidR="00C657AE">
        <w:rPr>
          <w:rFonts w:ascii="Book Antiqua" w:hAnsi="Book Antiqua"/>
          <w:lang w:val="en-IE"/>
        </w:rPr>
        <w:t xml:space="preserve"> or</w:t>
      </w:r>
      <w:r>
        <w:rPr>
          <w:rFonts w:ascii="Book Antiqua" w:hAnsi="Book Antiqua"/>
          <w:lang w:val="en-IE"/>
        </w:rPr>
        <w:t xml:space="preserve"> </w:t>
      </w:r>
      <w:r w:rsidR="00C657AE">
        <w:rPr>
          <w:rFonts w:ascii="Book Antiqua" w:hAnsi="Book Antiqua"/>
          <w:lang w:val="en-IE"/>
        </w:rPr>
        <w:t xml:space="preserve">the advisors </w:t>
      </w:r>
      <w:r w:rsidR="00700F2D">
        <w:rPr>
          <w:rFonts w:ascii="Book Antiqua" w:hAnsi="Book Antiqua"/>
          <w:lang w:val="en-IE"/>
        </w:rPr>
        <w:t xml:space="preserve">for </w:t>
      </w:r>
      <w:r>
        <w:rPr>
          <w:rFonts w:ascii="Book Antiqua" w:hAnsi="Book Antiqua"/>
          <w:lang w:val="en-IE"/>
        </w:rPr>
        <w:t xml:space="preserve">tying the hands of political actors. This could be done with the cooperation of the </w:t>
      </w:r>
      <w:r w:rsidR="00D30EC4">
        <w:rPr>
          <w:rFonts w:ascii="Book Antiqua" w:hAnsi="Book Antiqua"/>
          <w:lang w:val="en-IE"/>
        </w:rPr>
        <w:t>advisory body</w:t>
      </w:r>
      <w:r w:rsidR="000807C3">
        <w:rPr>
          <w:rFonts w:ascii="Book Antiqua" w:hAnsi="Book Antiqua"/>
          <w:lang w:val="en-IE"/>
        </w:rPr>
        <w:t xml:space="preserve">, which, given its close relationship with </w:t>
      </w:r>
      <w:r w:rsidR="00D30EC4">
        <w:rPr>
          <w:rFonts w:ascii="Book Antiqua" w:hAnsi="Book Antiqua"/>
          <w:lang w:val="en-IE"/>
        </w:rPr>
        <w:t>the executive</w:t>
      </w:r>
      <w:r w:rsidR="000807C3">
        <w:rPr>
          <w:rFonts w:ascii="Book Antiqua" w:hAnsi="Book Antiqua"/>
          <w:lang w:val="en-IE"/>
        </w:rPr>
        <w:t>,</w:t>
      </w:r>
      <w:r w:rsidR="00D30EC4">
        <w:rPr>
          <w:rFonts w:ascii="Book Antiqua" w:hAnsi="Book Antiqua"/>
          <w:lang w:val="en-IE"/>
        </w:rPr>
        <w:t xml:space="preserve"> </w:t>
      </w:r>
      <w:r>
        <w:rPr>
          <w:rFonts w:ascii="Book Antiqua" w:hAnsi="Book Antiqua"/>
          <w:lang w:val="en-IE"/>
        </w:rPr>
        <w:t xml:space="preserve">might </w:t>
      </w:r>
      <w:r w:rsidR="000807C3">
        <w:rPr>
          <w:rFonts w:ascii="Book Antiqua" w:hAnsi="Book Antiqua"/>
          <w:lang w:val="en-IE"/>
        </w:rPr>
        <w:t xml:space="preserve">be </w:t>
      </w:r>
      <w:r>
        <w:rPr>
          <w:rFonts w:ascii="Book Antiqua" w:hAnsi="Book Antiqua"/>
          <w:lang w:val="en-IE"/>
        </w:rPr>
        <w:t xml:space="preserve">disposed to give advice </w:t>
      </w:r>
      <w:r w:rsidR="00D30EC4">
        <w:rPr>
          <w:rFonts w:ascii="Book Antiqua" w:hAnsi="Book Antiqua"/>
          <w:lang w:val="en-IE"/>
        </w:rPr>
        <w:t xml:space="preserve">favourable </w:t>
      </w:r>
      <w:r>
        <w:rPr>
          <w:rFonts w:ascii="Book Antiqua" w:hAnsi="Book Antiqua"/>
          <w:lang w:val="en-IE"/>
        </w:rPr>
        <w:t xml:space="preserve">to the </w:t>
      </w:r>
      <w:r w:rsidR="00D30EC4">
        <w:rPr>
          <w:rFonts w:ascii="Book Antiqua" w:hAnsi="Book Antiqua"/>
          <w:lang w:val="en-IE"/>
        </w:rPr>
        <w:t xml:space="preserve">executive’s </w:t>
      </w:r>
      <w:r>
        <w:rPr>
          <w:rFonts w:ascii="Book Antiqua" w:hAnsi="Book Antiqua"/>
          <w:lang w:val="en-IE"/>
        </w:rPr>
        <w:t>purpose</w:t>
      </w:r>
      <w:r w:rsidR="00C657AE">
        <w:rPr>
          <w:rFonts w:ascii="Book Antiqua" w:hAnsi="Book Antiqua"/>
          <w:lang w:val="en-IE"/>
        </w:rPr>
        <w:t>. O</w:t>
      </w:r>
      <w:r>
        <w:rPr>
          <w:rFonts w:ascii="Book Antiqua" w:hAnsi="Book Antiqua"/>
          <w:lang w:val="en-IE"/>
        </w:rPr>
        <w:t>r</w:t>
      </w:r>
      <w:r w:rsidR="00C657AE">
        <w:rPr>
          <w:rFonts w:ascii="Book Antiqua" w:hAnsi="Book Antiqua"/>
          <w:lang w:val="en-IE"/>
        </w:rPr>
        <w:t>,</w:t>
      </w:r>
      <w:r>
        <w:rPr>
          <w:rFonts w:ascii="Book Antiqua" w:hAnsi="Book Antiqua"/>
          <w:lang w:val="en-IE"/>
        </w:rPr>
        <w:t xml:space="preserve"> more plausibly</w:t>
      </w:r>
      <w:r w:rsidR="00C657AE">
        <w:rPr>
          <w:rFonts w:ascii="Book Antiqua" w:hAnsi="Book Antiqua"/>
          <w:lang w:val="en-IE"/>
        </w:rPr>
        <w:t>,</w:t>
      </w:r>
      <w:r>
        <w:rPr>
          <w:rFonts w:ascii="Book Antiqua" w:hAnsi="Book Antiqua"/>
          <w:lang w:val="en-IE"/>
        </w:rPr>
        <w:t xml:space="preserve"> </w:t>
      </w:r>
      <w:r w:rsidR="00C657AE">
        <w:rPr>
          <w:rFonts w:ascii="Book Antiqua" w:hAnsi="Book Antiqua"/>
          <w:lang w:val="en-IE"/>
        </w:rPr>
        <w:t xml:space="preserve">this could be done </w:t>
      </w:r>
      <w:r>
        <w:rPr>
          <w:rFonts w:ascii="Book Antiqua" w:hAnsi="Book Antiqua"/>
          <w:lang w:val="en-IE"/>
        </w:rPr>
        <w:t>by</w:t>
      </w:r>
      <w:r w:rsidR="00D30EC4">
        <w:rPr>
          <w:rFonts w:ascii="Book Antiqua" w:hAnsi="Book Antiqua"/>
          <w:lang w:val="en-IE"/>
        </w:rPr>
        <w:t xml:space="preserve"> the executive</w:t>
      </w:r>
      <w:r>
        <w:rPr>
          <w:rFonts w:ascii="Book Antiqua" w:hAnsi="Book Antiqua"/>
          <w:lang w:val="en-IE"/>
        </w:rPr>
        <w:t xml:space="preserve"> </w:t>
      </w:r>
      <w:r w:rsidR="00A66ABC">
        <w:rPr>
          <w:rFonts w:ascii="Book Antiqua" w:hAnsi="Book Antiqua"/>
          <w:lang w:val="en-IE"/>
        </w:rPr>
        <w:lastRenderedPageBreak/>
        <w:t xml:space="preserve">presenting qualified advice as absolute, exaggerating </w:t>
      </w:r>
      <w:r>
        <w:rPr>
          <w:rFonts w:ascii="Book Antiqua" w:hAnsi="Book Antiqua"/>
          <w:lang w:val="en-IE"/>
        </w:rPr>
        <w:t>doubts</w:t>
      </w:r>
      <w:r w:rsidR="00C657AE">
        <w:rPr>
          <w:rFonts w:ascii="Book Antiqua" w:hAnsi="Book Antiqua"/>
          <w:lang w:val="en-IE"/>
        </w:rPr>
        <w:t xml:space="preserve"> </w:t>
      </w:r>
      <w:r w:rsidR="00A66ABC">
        <w:rPr>
          <w:rFonts w:ascii="Book Antiqua" w:hAnsi="Book Antiqua"/>
          <w:lang w:val="en-IE"/>
        </w:rPr>
        <w:t xml:space="preserve">and </w:t>
      </w:r>
      <w:r>
        <w:rPr>
          <w:rFonts w:ascii="Book Antiqua" w:hAnsi="Book Antiqua"/>
          <w:lang w:val="en-IE"/>
        </w:rPr>
        <w:t>equivocations</w:t>
      </w:r>
      <w:r w:rsidR="00C657AE">
        <w:rPr>
          <w:rFonts w:ascii="Book Antiqua" w:hAnsi="Book Antiqua"/>
          <w:lang w:val="en-IE"/>
        </w:rPr>
        <w:t>,</w:t>
      </w:r>
      <w:r>
        <w:rPr>
          <w:rFonts w:ascii="Book Antiqua" w:hAnsi="Book Antiqua"/>
          <w:lang w:val="en-IE"/>
        </w:rPr>
        <w:t xml:space="preserve"> knowing the advice will not be open to </w:t>
      </w:r>
      <w:r w:rsidR="00D30EC4">
        <w:rPr>
          <w:rFonts w:ascii="Book Antiqua" w:hAnsi="Book Antiqua"/>
          <w:lang w:val="en-IE"/>
        </w:rPr>
        <w:t xml:space="preserve">full </w:t>
      </w:r>
      <w:r>
        <w:rPr>
          <w:rFonts w:ascii="Book Antiqua" w:hAnsi="Book Antiqua"/>
          <w:lang w:val="en-IE"/>
        </w:rPr>
        <w:t xml:space="preserve">scrutiny by opponents. </w:t>
      </w:r>
    </w:p>
    <w:p w14:paraId="11D1B434" w14:textId="77777777" w:rsidR="00D30EC4" w:rsidRDefault="00D30EC4" w:rsidP="00F17635">
      <w:pPr>
        <w:spacing w:line="360" w:lineRule="auto"/>
        <w:jc w:val="both"/>
        <w:rPr>
          <w:rFonts w:ascii="Book Antiqua" w:hAnsi="Book Antiqua"/>
          <w:lang w:val="en-IE"/>
        </w:rPr>
      </w:pPr>
    </w:p>
    <w:p w14:paraId="3F412F59" w14:textId="4192E79A" w:rsidR="003C48C2" w:rsidRDefault="005F0C06" w:rsidP="00F17635">
      <w:pPr>
        <w:spacing w:line="360" w:lineRule="auto"/>
        <w:jc w:val="both"/>
        <w:rPr>
          <w:rFonts w:ascii="Book Antiqua" w:hAnsi="Book Antiqua"/>
          <w:lang w:val="en-IE"/>
        </w:rPr>
      </w:pPr>
      <w:r>
        <w:rPr>
          <w:rFonts w:ascii="Book Antiqua" w:hAnsi="Book Antiqua"/>
          <w:lang w:val="en-IE"/>
        </w:rPr>
        <w:t xml:space="preserve">It should be stressed that there is no evidence of this </w:t>
      </w:r>
      <w:r w:rsidR="00D30EC4">
        <w:rPr>
          <w:rFonts w:ascii="Book Antiqua" w:hAnsi="Book Antiqua"/>
          <w:lang w:val="en-IE"/>
        </w:rPr>
        <w:t xml:space="preserve">occurring </w:t>
      </w:r>
      <w:r>
        <w:rPr>
          <w:rFonts w:ascii="Book Antiqua" w:hAnsi="Book Antiqua"/>
          <w:lang w:val="en-IE"/>
        </w:rPr>
        <w:t>in Ireland</w:t>
      </w:r>
      <w:r w:rsidR="00D30EC4">
        <w:rPr>
          <w:rFonts w:ascii="Book Antiqua" w:hAnsi="Book Antiqua"/>
          <w:lang w:val="en-IE"/>
        </w:rPr>
        <w:t xml:space="preserve"> or Japan</w:t>
      </w:r>
      <w:r>
        <w:rPr>
          <w:rFonts w:ascii="Book Antiqua" w:hAnsi="Book Antiqua"/>
          <w:lang w:val="en-IE"/>
        </w:rPr>
        <w:t>. However</w:t>
      </w:r>
      <w:r w:rsidR="00D30EC4">
        <w:rPr>
          <w:rFonts w:ascii="Book Antiqua" w:hAnsi="Book Antiqua"/>
          <w:lang w:val="en-IE"/>
        </w:rPr>
        <w:t>,</w:t>
      </w:r>
      <w:r>
        <w:rPr>
          <w:rFonts w:ascii="Book Antiqua" w:hAnsi="Book Antiqua"/>
          <w:lang w:val="en-IE"/>
        </w:rPr>
        <w:t xml:space="preserve"> such evidence would </w:t>
      </w:r>
      <w:r w:rsidR="00033508">
        <w:rPr>
          <w:rFonts w:ascii="Book Antiqua" w:hAnsi="Book Antiqua"/>
          <w:lang w:val="en-IE"/>
        </w:rPr>
        <w:t xml:space="preserve">be unlikely to </w:t>
      </w:r>
      <w:r>
        <w:rPr>
          <w:rFonts w:ascii="Book Antiqua" w:hAnsi="Book Antiqua"/>
          <w:lang w:val="en-IE"/>
        </w:rPr>
        <w:t>become apparent</w:t>
      </w:r>
      <w:r w:rsidR="00033508">
        <w:rPr>
          <w:rFonts w:ascii="Book Antiqua" w:hAnsi="Book Antiqua"/>
          <w:lang w:val="en-IE"/>
        </w:rPr>
        <w:t xml:space="preserve"> even if it did occur</w:t>
      </w:r>
      <w:r w:rsidR="00D30EC4">
        <w:rPr>
          <w:rFonts w:ascii="Book Antiqua" w:hAnsi="Book Antiqua"/>
          <w:lang w:val="en-IE"/>
        </w:rPr>
        <w:t xml:space="preserve">, so </w:t>
      </w:r>
      <w:r w:rsidR="00033508">
        <w:rPr>
          <w:rFonts w:ascii="Book Antiqua" w:hAnsi="Book Antiqua"/>
          <w:lang w:val="en-IE"/>
        </w:rPr>
        <w:t xml:space="preserve">we </w:t>
      </w:r>
      <w:r>
        <w:rPr>
          <w:rFonts w:ascii="Book Antiqua" w:hAnsi="Book Antiqua"/>
          <w:lang w:val="en-IE"/>
        </w:rPr>
        <w:t>cannot be easily dismiss</w:t>
      </w:r>
      <w:r w:rsidR="00033508">
        <w:rPr>
          <w:rFonts w:ascii="Book Antiqua" w:hAnsi="Book Antiqua"/>
          <w:lang w:val="en-IE"/>
        </w:rPr>
        <w:t xml:space="preserve"> this</w:t>
      </w:r>
      <w:r w:rsidR="00D30EC4">
        <w:rPr>
          <w:rFonts w:ascii="Book Antiqua" w:hAnsi="Book Antiqua"/>
          <w:lang w:val="en-IE"/>
        </w:rPr>
        <w:t xml:space="preserve"> as a possible consequence of shadow review</w:t>
      </w:r>
      <w:r>
        <w:rPr>
          <w:rFonts w:ascii="Book Antiqua" w:hAnsi="Book Antiqua"/>
          <w:lang w:val="en-IE"/>
        </w:rPr>
        <w:t>.</w:t>
      </w:r>
      <w:r w:rsidR="00D30EC4">
        <w:rPr>
          <w:rFonts w:ascii="Book Antiqua" w:hAnsi="Book Antiqua"/>
          <w:lang w:val="en-IE"/>
        </w:rPr>
        <w:t xml:space="preserve"> </w:t>
      </w:r>
    </w:p>
    <w:p w14:paraId="3BCBDEDB" w14:textId="04C88892" w:rsidR="00523146" w:rsidRDefault="00523146" w:rsidP="00F17635">
      <w:pPr>
        <w:spacing w:line="360" w:lineRule="auto"/>
        <w:jc w:val="both"/>
        <w:rPr>
          <w:rFonts w:ascii="Book Antiqua" w:hAnsi="Book Antiqua"/>
          <w:lang w:val="en-IE"/>
        </w:rPr>
      </w:pPr>
    </w:p>
    <w:p w14:paraId="1C2BEA29" w14:textId="53E1BF60" w:rsidR="00FE67A5" w:rsidRDefault="00FE67A5" w:rsidP="00F17635">
      <w:pPr>
        <w:spacing w:line="360" w:lineRule="auto"/>
        <w:jc w:val="both"/>
        <w:rPr>
          <w:rFonts w:ascii="Book Antiqua" w:hAnsi="Book Antiqua"/>
          <w:lang w:val="en-IE"/>
        </w:rPr>
      </w:pPr>
      <w:r>
        <w:rPr>
          <w:rFonts w:ascii="Book Antiqua" w:hAnsi="Book Antiqua"/>
          <w:lang w:val="en-IE"/>
        </w:rPr>
        <w:t>Finally, there is the possibility that the executive could manipulate or control the shadow review process in order to achieve constitutionally questionable ends. This could be an informal example of what Landau terms “abusive constitutionalism”</w:t>
      </w:r>
      <w:r>
        <w:rPr>
          <w:rStyle w:val="FootnoteReference"/>
          <w:rFonts w:ascii="Book Antiqua" w:hAnsi="Book Antiqua"/>
          <w:lang w:val="en-IE"/>
        </w:rPr>
        <w:footnoteReference w:id="133"/>
      </w:r>
      <w:r>
        <w:rPr>
          <w:rFonts w:ascii="Book Antiqua" w:hAnsi="Book Antiqua"/>
          <w:lang w:val="en-IE"/>
        </w:rPr>
        <w:t>—where constitutional change mechanisms are used to erode the constitutional order—or part of an attempt to make courts engage in what Landau and Dixon term “abusive judicial review”—where courts actively assist in this erosion.</w:t>
      </w:r>
      <w:r>
        <w:rPr>
          <w:rStyle w:val="FootnoteReference"/>
          <w:rFonts w:ascii="Book Antiqua" w:hAnsi="Book Antiqua"/>
          <w:lang w:val="en-IE"/>
        </w:rPr>
        <w:footnoteReference w:id="134"/>
      </w:r>
      <w:r w:rsidR="00064174">
        <w:rPr>
          <w:rFonts w:ascii="Book Antiqua" w:hAnsi="Book Antiqua"/>
          <w:lang w:val="en-IE"/>
        </w:rPr>
        <w:t xml:space="preserve"> This could happen with the assent or </w:t>
      </w:r>
      <w:r w:rsidR="00760A02">
        <w:rPr>
          <w:rFonts w:ascii="Book Antiqua" w:hAnsi="Book Antiqua"/>
          <w:lang w:val="en-IE"/>
        </w:rPr>
        <w:t>acquiescence</w:t>
      </w:r>
      <w:r w:rsidR="00064174">
        <w:rPr>
          <w:rFonts w:ascii="Book Antiqua" w:hAnsi="Book Antiqua"/>
          <w:lang w:val="en-IE"/>
        </w:rPr>
        <w:t xml:space="preserve"> of the court, but would be particularly insidious in instances where the courts might be influenced by the conclusion of the shadow review process, as some claim to be the case in Japan. While passing no judgment on the propriety of the reinterpretation of Article 9, this example </w:t>
      </w:r>
      <w:r w:rsidR="00760A02">
        <w:rPr>
          <w:rFonts w:ascii="Book Antiqua" w:hAnsi="Book Antiqua"/>
          <w:lang w:val="en-IE"/>
        </w:rPr>
        <w:t xml:space="preserve">perhaps </w:t>
      </w:r>
      <w:r w:rsidR="00064174">
        <w:rPr>
          <w:rFonts w:ascii="Book Antiqua" w:hAnsi="Book Antiqua"/>
          <w:lang w:val="en-IE"/>
        </w:rPr>
        <w:t xml:space="preserve">illustrates the </w:t>
      </w:r>
      <w:r w:rsidR="00760A02">
        <w:rPr>
          <w:rFonts w:ascii="Book Antiqua" w:hAnsi="Book Antiqua"/>
          <w:lang w:val="en-IE"/>
        </w:rPr>
        <w:t>possibility of such action in the Japanese case.</w:t>
      </w:r>
      <w:r w:rsidR="00760A02">
        <w:rPr>
          <w:rStyle w:val="FootnoteReference"/>
          <w:rFonts w:ascii="Book Antiqua" w:hAnsi="Book Antiqua"/>
          <w:lang w:val="en-IE"/>
        </w:rPr>
        <w:footnoteReference w:id="135"/>
      </w:r>
    </w:p>
    <w:p w14:paraId="51496066" w14:textId="77777777" w:rsidR="0015390B" w:rsidRPr="00760291" w:rsidRDefault="0015390B" w:rsidP="00F17635">
      <w:pPr>
        <w:spacing w:line="360" w:lineRule="auto"/>
        <w:jc w:val="both"/>
        <w:rPr>
          <w:rFonts w:ascii="Book Antiqua" w:hAnsi="Book Antiqua"/>
          <w:lang w:val="en-IE"/>
        </w:rPr>
      </w:pPr>
    </w:p>
    <w:p w14:paraId="32ACF17D" w14:textId="02B053FE" w:rsidR="00050975" w:rsidRPr="00735395" w:rsidRDefault="00576B68" w:rsidP="00A36A90">
      <w:pPr>
        <w:spacing w:line="360" w:lineRule="auto"/>
        <w:jc w:val="both"/>
        <w:outlineLvl w:val="0"/>
        <w:rPr>
          <w:rFonts w:ascii="Book Antiqua" w:hAnsi="Book Antiqua"/>
          <w:b/>
          <w:sz w:val="28"/>
          <w:lang w:val="en-GB"/>
        </w:rPr>
      </w:pPr>
      <w:r w:rsidRPr="00735395">
        <w:rPr>
          <w:rFonts w:ascii="Book Antiqua" w:hAnsi="Book Antiqua"/>
          <w:b/>
          <w:sz w:val="28"/>
          <w:lang w:val="en-GB"/>
        </w:rPr>
        <w:t>Conclusion</w:t>
      </w:r>
    </w:p>
    <w:p w14:paraId="6F63A4A8" w14:textId="5240EC88" w:rsidR="00BE1E79" w:rsidRDefault="00A374D7" w:rsidP="00716219">
      <w:pPr>
        <w:spacing w:line="360" w:lineRule="auto"/>
        <w:jc w:val="both"/>
        <w:rPr>
          <w:rFonts w:ascii="Book Antiqua" w:hAnsi="Book Antiqua"/>
          <w:lang w:val="en-GB"/>
        </w:rPr>
      </w:pPr>
      <w:r>
        <w:rPr>
          <w:rFonts w:ascii="Book Antiqua" w:hAnsi="Book Antiqua"/>
          <w:lang w:val="en-GB"/>
        </w:rPr>
        <w:t>The</w:t>
      </w:r>
      <w:r w:rsidR="00083341">
        <w:rPr>
          <w:rFonts w:ascii="Book Antiqua" w:hAnsi="Book Antiqua"/>
          <w:lang w:val="en-GB"/>
        </w:rPr>
        <w:t xml:space="preserve"> Irish</w:t>
      </w:r>
      <w:r w:rsidR="00A255ED">
        <w:rPr>
          <w:rFonts w:ascii="Book Antiqua" w:hAnsi="Book Antiqua"/>
          <w:lang w:val="en-GB"/>
        </w:rPr>
        <w:t xml:space="preserve"> and Japanese</w:t>
      </w:r>
      <w:r w:rsidR="00083341">
        <w:rPr>
          <w:rFonts w:ascii="Book Antiqua" w:hAnsi="Book Antiqua"/>
          <w:lang w:val="en-GB"/>
        </w:rPr>
        <w:t xml:space="preserve"> example</w:t>
      </w:r>
      <w:r w:rsidR="00A255ED">
        <w:rPr>
          <w:rFonts w:ascii="Book Antiqua" w:hAnsi="Book Antiqua"/>
          <w:lang w:val="en-GB"/>
        </w:rPr>
        <w:t>s</w:t>
      </w:r>
      <w:r w:rsidR="00562AA4">
        <w:rPr>
          <w:rFonts w:ascii="Book Antiqua" w:hAnsi="Book Antiqua"/>
          <w:lang w:val="en-GB"/>
        </w:rPr>
        <w:t xml:space="preserve"> both provide a cautionary tale </w:t>
      </w:r>
      <w:r w:rsidR="002C2BDE">
        <w:rPr>
          <w:rFonts w:ascii="Book Antiqua" w:hAnsi="Book Antiqua"/>
          <w:lang w:val="en-GB"/>
        </w:rPr>
        <w:t xml:space="preserve">of </w:t>
      </w:r>
      <w:r w:rsidR="00562AA4">
        <w:rPr>
          <w:rFonts w:ascii="Book Antiqua" w:hAnsi="Book Antiqua"/>
          <w:lang w:val="en-GB"/>
        </w:rPr>
        <w:t xml:space="preserve">how pre-enactment constitutional review can take on problematic characteristics </w:t>
      </w:r>
      <w:r w:rsidR="009B6B9C">
        <w:rPr>
          <w:rFonts w:ascii="Book Antiqua" w:hAnsi="Book Antiqua"/>
          <w:lang w:val="en-GB"/>
        </w:rPr>
        <w:t>that have not been fully explored</w:t>
      </w:r>
      <w:r w:rsidR="002C2BDE">
        <w:rPr>
          <w:rFonts w:ascii="Book Antiqua" w:hAnsi="Book Antiqua"/>
          <w:lang w:val="en-GB"/>
        </w:rPr>
        <w:t xml:space="preserve"> in the literature</w:t>
      </w:r>
      <w:r w:rsidR="009B6B9C">
        <w:rPr>
          <w:rFonts w:ascii="Book Antiqua" w:hAnsi="Book Antiqua"/>
          <w:lang w:val="en-GB"/>
        </w:rPr>
        <w:t xml:space="preserve">. </w:t>
      </w:r>
      <w:r w:rsidR="008D5B1E" w:rsidRPr="008D5B1E">
        <w:rPr>
          <w:rFonts w:ascii="Book Antiqua" w:hAnsi="Book Antiqua"/>
          <w:lang w:val="en-GB"/>
        </w:rPr>
        <w:t>The process</w:t>
      </w:r>
      <w:r w:rsidR="00A255ED">
        <w:rPr>
          <w:rFonts w:ascii="Book Antiqua" w:hAnsi="Book Antiqua"/>
          <w:lang w:val="en-GB"/>
        </w:rPr>
        <w:t xml:space="preserve"> in both countries</w:t>
      </w:r>
      <w:r w:rsidR="001214CB">
        <w:rPr>
          <w:rFonts w:ascii="Book Antiqua" w:hAnsi="Book Antiqua"/>
          <w:lang w:val="en-GB"/>
        </w:rPr>
        <w:t>—</w:t>
      </w:r>
      <w:r w:rsidR="008D5B1E" w:rsidRPr="008D5B1E">
        <w:rPr>
          <w:rFonts w:ascii="Book Antiqua" w:hAnsi="Book Antiqua"/>
          <w:lang w:val="en-GB"/>
        </w:rPr>
        <w:t xml:space="preserve">despite </w:t>
      </w:r>
      <w:r w:rsidR="00AF5986">
        <w:rPr>
          <w:rFonts w:ascii="Book Antiqua" w:hAnsi="Book Antiqua"/>
          <w:lang w:val="en-GB"/>
        </w:rPr>
        <w:t>having</w:t>
      </w:r>
      <w:r w:rsidR="008D5B1E" w:rsidRPr="008D5B1E">
        <w:rPr>
          <w:rFonts w:ascii="Book Antiqua" w:hAnsi="Book Antiqua"/>
          <w:lang w:val="en-GB"/>
        </w:rPr>
        <w:t xml:space="preserve"> no strong textual basis</w:t>
      </w:r>
      <w:r w:rsidR="00A255ED">
        <w:rPr>
          <w:rFonts w:ascii="Book Antiqua" w:hAnsi="Book Antiqua"/>
          <w:lang w:val="en-GB"/>
        </w:rPr>
        <w:t xml:space="preserve"> in the constitution</w:t>
      </w:r>
      <w:r w:rsidR="001214CB">
        <w:rPr>
          <w:rFonts w:ascii="Book Antiqua" w:hAnsi="Book Antiqua"/>
          <w:lang w:val="en-GB"/>
        </w:rPr>
        <w:t>—</w:t>
      </w:r>
      <w:r w:rsidR="00050975">
        <w:rPr>
          <w:rFonts w:ascii="Book Antiqua" w:hAnsi="Book Antiqua"/>
          <w:lang w:val="en-GB"/>
        </w:rPr>
        <w:t>developed</w:t>
      </w:r>
      <w:r w:rsidR="00AE1C61">
        <w:rPr>
          <w:rFonts w:ascii="Book Antiqua" w:hAnsi="Book Antiqua"/>
          <w:lang w:val="en-GB"/>
        </w:rPr>
        <w:t xml:space="preserve"> </w:t>
      </w:r>
      <w:r w:rsidR="008D5B1E" w:rsidRPr="008D5B1E">
        <w:rPr>
          <w:rFonts w:ascii="Book Antiqua" w:hAnsi="Book Antiqua"/>
          <w:lang w:val="en-GB"/>
        </w:rPr>
        <w:t>over time</w:t>
      </w:r>
      <w:r w:rsidR="008D5B1E">
        <w:rPr>
          <w:rFonts w:ascii="Book Antiqua" w:hAnsi="Book Antiqua"/>
          <w:lang w:val="en-GB"/>
        </w:rPr>
        <w:t xml:space="preserve"> to become highly consequential</w:t>
      </w:r>
      <w:r w:rsidR="00906397">
        <w:rPr>
          <w:rFonts w:ascii="Book Antiqua" w:hAnsi="Book Antiqua"/>
          <w:lang w:val="en-GB"/>
        </w:rPr>
        <w:t xml:space="preserve"> in the constitutional order</w:t>
      </w:r>
      <w:r w:rsidR="008D5B1E">
        <w:rPr>
          <w:rFonts w:ascii="Book Antiqua" w:hAnsi="Book Antiqua"/>
          <w:lang w:val="en-GB"/>
        </w:rPr>
        <w:t>,</w:t>
      </w:r>
      <w:r w:rsidR="00C67FCE">
        <w:rPr>
          <w:rFonts w:ascii="Book Antiqua" w:hAnsi="Book Antiqua"/>
          <w:lang w:val="en-GB"/>
        </w:rPr>
        <w:t xml:space="preserve"> </w:t>
      </w:r>
      <w:r w:rsidR="00897717">
        <w:rPr>
          <w:rFonts w:ascii="Book Antiqua" w:hAnsi="Book Antiqua"/>
          <w:lang w:val="en-GB"/>
        </w:rPr>
        <w:t>and cause</w:t>
      </w:r>
      <w:r w:rsidR="002C2BDE">
        <w:rPr>
          <w:rFonts w:ascii="Book Antiqua" w:hAnsi="Book Antiqua"/>
          <w:lang w:val="en-GB"/>
        </w:rPr>
        <w:t xml:space="preserve"> </w:t>
      </w:r>
      <w:r w:rsidR="00BE1E79">
        <w:rPr>
          <w:rFonts w:ascii="Book Antiqua" w:hAnsi="Book Antiqua"/>
          <w:lang w:val="en-GB"/>
        </w:rPr>
        <w:t xml:space="preserve">results that are antithetical to the goals of </w:t>
      </w:r>
      <w:r w:rsidR="00C67FCE">
        <w:rPr>
          <w:rFonts w:ascii="Book Antiqua" w:hAnsi="Book Antiqua"/>
          <w:lang w:val="en-GB"/>
        </w:rPr>
        <w:t>political constitutionalism.</w:t>
      </w:r>
      <w:r w:rsidR="003B2957">
        <w:rPr>
          <w:rFonts w:ascii="Book Antiqua" w:hAnsi="Book Antiqua"/>
          <w:lang w:val="en-GB"/>
        </w:rPr>
        <w:t xml:space="preserve"> </w:t>
      </w:r>
    </w:p>
    <w:p w14:paraId="57944148" w14:textId="77777777" w:rsidR="00BE1E79" w:rsidRDefault="00BE1E79" w:rsidP="00716219">
      <w:pPr>
        <w:spacing w:line="360" w:lineRule="auto"/>
        <w:jc w:val="both"/>
        <w:rPr>
          <w:rFonts w:ascii="Book Antiqua" w:hAnsi="Book Antiqua"/>
          <w:lang w:val="en-GB"/>
        </w:rPr>
      </w:pPr>
    </w:p>
    <w:p w14:paraId="11D94AA7" w14:textId="52557E4D" w:rsidR="00EB2B38" w:rsidRPr="00EB2B38" w:rsidRDefault="00BE1E79" w:rsidP="00716219">
      <w:pPr>
        <w:spacing w:line="360" w:lineRule="auto"/>
        <w:jc w:val="both"/>
        <w:rPr>
          <w:rFonts w:ascii="Book Antiqua" w:hAnsi="Book Antiqua"/>
          <w:lang w:val="en-IE"/>
        </w:rPr>
      </w:pPr>
      <w:r>
        <w:rPr>
          <w:rFonts w:ascii="Book Antiqua" w:hAnsi="Book Antiqua"/>
          <w:lang w:val="en-GB"/>
        </w:rPr>
        <w:t xml:space="preserve">The comparative </w:t>
      </w:r>
      <w:r w:rsidR="005C2126">
        <w:rPr>
          <w:rFonts w:ascii="Book Antiqua" w:hAnsi="Book Antiqua"/>
          <w:lang w:val="en-GB"/>
        </w:rPr>
        <w:t xml:space="preserve">overview </w:t>
      </w:r>
      <w:r>
        <w:rPr>
          <w:rFonts w:ascii="Book Antiqua" w:hAnsi="Book Antiqua"/>
          <w:lang w:val="en-GB"/>
        </w:rPr>
        <w:t xml:space="preserve">in </w:t>
      </w:r>
      <w:r w:rsidR="005F07BC">
        <w:rPr>
          <w:rFonts w:ascii="Book Antiqua" w:hAnsi="Book Antiqua"/>
          <w:lang w:val="en-GB"/>
        </w:rPr>
        <w:t>p</w:t>
      </w:r>
      <w:r>
        <w:rPr>
          <w:rFonts w:ascii="Book Antiqua" w:hAnsi="Book Antiqua"/>
          <w:lang w:val="en-GB"/>
        </w:rPr>
        <w:t xml:space="preserve">art I illustrates that </w:t>
      </w:r>
      <w:r w:rsidR="00F2357C">
        <w:rPr>
          <w:rFonts w:ascii="Book Antiqua" w:hAnsi="Book Antiqua"/>
          <w:lang w:val="en-GB"/>
        </w:rPr>
        <w:t>the goals of political constitutional</w:t>
      </w:r>
      <w:r w:rsidR="00E17E58">
        <w:rPr>
          <w:rFonts w:ascii="Book Antiqua" w:hAnsi="Book Antiqua"/>
          <w:lang w:val="en-GB"/>
        </w:rPr>
        <w:t>ism envisaged in its ideal form</w:t>
      </w:r>
      <w:r w:rsidR="00F2357C">
        <w:rPr>
          <w:rFonts w:ascii="Book Antiqua" w:hAnsi="Book Antiqua"/>
          <w:lang w:val="en-GB"/>
        </w:rPr>
        <w:t xml:space="preserve"> can fail to be realised in </w:t>
      </w:r>
      <w:r>
        <w:rPr>
          <w:rFonts w:ascii="Book Antiqua" w:hAnsi="Book Antiqua"/>
          <w:lang w:val="en-GB"/>
        </w:rPr>
        <w:t>its imperfect realisations in various common law systems</w:t>
      </w:r>
      <w:r w:rsidR="00F2357C">
        <w:rPr>
          <w:rFonts w:ascii="Book Antiqua" w:hAnsi="Book Antiqua"/>
          <w:lang w:val="en-GB"/>
        </w:rPr>
        <w:t xml:space="preserve">. </w:t>
      </w:r>
      <w:r>
        <w:rPr>
          <w:rFonts w:ascii="Book Antiqua" w:hAnsi="Book Antiqua"/>
          <w:lang w:val="en-GB"/>
        </w:rPr>
        <w:t>A</w:t>
      </w:r>
      <w:r w:rsidR="00B64E7A">
        <w:rPr>
          <w:rFonts w:ascii="Book Antiqua" w:hAnsi="Book Antiqua"/>
          <w:lang w:val="en-GB"/>
        </w:rPr>
        <w:t xml:space="preserve">ll jurisdictions appear to fall short in terms of creating room for full and free moral and political deliberation over rights </w:t>
      </w:r>
      <w:r w:rsidR="008A511F">
        <w:rPr>
          <w:rFonts w:ascii="Book Antiqua" w:hAnsi="Book Antiqua"/>
          <w:lang w:val="en-GB"/>
        </w:rPr>
        <w:t xml:space="preserve">norms, and </w:t>
      </w:r>
      <w:r w:rsidR="007C5A38">
        <w:rPr>
          <w:rFonts w:ascii="Book Antiqua" w:hAnsi="Book Antiqua"/>
          <w:lang w:val="en-GB"/>
        </w:rPr>
        <w:t xml:space="preserve">in attempting to </w:t>
      </w:r>
      <w:r w:rsidR="00B64E7A">
        <w:rPr>
          <w:rFonts w:ascii="Book Antiqua" w:hAnsi="Book Antiqua"/>
          <w:lang w:val="en-GB"/>
        </w:rPr>
        <w:t>alt</w:t>
      </w:r>
      <w:r w:rsidR="007C5A38">
        <w:rPr>
          <w:rFonts w:ascii="Book Antiqua" w:hAnsi="Book Antiqua"/>
          <w:lang w:val="en-GB"/>
        </w:rPr>
        <w:t>er</w:t>
      </w:r>
      <w:r w:rsidR="00B64E7A">
        <w:rPr>
          <w:rFonts w:ascii="Book Antiqua" w:hAnsi="Book Antiqua"/>
          <w:lang w:val="en-GB"/>
        </w:rPr>
        <w:t xml:space="preserve"> the balance of power between parliament and the executiv</w:t>
      </w:r>
      <w:r w:rsidR="007C5A38">
        <w:rPr>
          <w:rFonts w:ascii="Book Antiqua" w:hAnsi="Book Antiqua"/>
          <w:lang w:val="en-GB"/>
        </w:rPr>
        <w:t xml:space="preserve">e to </w:t>
      </w:r>
      <w:r w:rsidR="008A511F">
        <w:rPr>
          <w:rFonts w:ascii="Book Antiqua" w:hAnsi="Book Antiqua"/>
          <w:lang w:val="en-GB"/>
        </w:rPr>
        <w:t>enable robust scrutiny of</w:t>
      </w:r>
      <w:r w:rsidR="007C5A38">
        <w:rPr>
          <w:rFonts w:ascii="Book Antiqua" w:hAnsi="Book Antiqua"/>
          <w:lang w:val="en-GB"/>
        </w:rPr>
        <w:t xml:space="preserve"> </w:t>
      </w:r>
      <w:r w:rsidR="00B64E7A">
        <w:rPr>
          <w:rFonts w:ascii="Book Antiqua" w:hAnsi="Book Antiqua"/>
          <w:lang w:val="en-GB"/>
        </w:rPr>
        <w:t>government</w:t>
      </w:r>
      <w:r w:rsidR="007C5A38">
        <w:rPr>
          <w:rFonts w:ascii="Book Antiqua" w:hAnsi="Book Antiqua"/>
          <w:lang w:val="en-GB"/>
        </w:rPr>
        <w:t xml:space="preserve"> decisions implicating constitutional values</w:t>
      </w:r>
      <w:r w:rsidR="008A511F">
        <w:rPr>
          <w:rFonts w:ascii="Book Antiqua" w:hAnsi="Book Antiqua"/>
          <w:lang w:val="en-GB"/>
        </w:rPr>
        <w:t xml:space="preserve">. </w:t>
      </w:r>
      <w:r>
        <w:rPr>
          <w:rFonts w:ascii="Book Antiqua" w:hAnsi="Book Antiqua"/>
          <w:lang w:val="en-GB"/>
        </w:rPr>
        <w:t>However, these</w:t>
      </w:r>
      <w:r w:rsidR="00921E25">
        <w:rPr>
          <w:rFonts w:ascii="Book Antiqua" w:hAnsi="Book Antiqua"/>
          <w:lang w:val="en-GB"/>
        </w:rPr>
        <w:t xml:space="preserve"> are relatively</w:t>
      </w:r>
      <w:r>
        <w:rPr>
          <w:rFonts w:ascii="Book Antiqua" w:hAnsi="Book Antiqua"/>
          <w:lang w:val="en-GB"/>
        </w:rPr>
        <w:t xml:space="preserve"> </w:t>
      </w:r>
      <w:r w:rsidR="0072608F">
        <w:rPr>
          <w:rFonts w:ascii="Book Antiqua" w:hAnsi="Book Antiqua"/>
          <w:lang w:val="en-GB"/>
        </w:rPr>
        <w:t xml:space="preserve">minor </w:t>
      </w:r>
      <w:r>
        <w:rPr>
          <w:rFonts w:ascii="Book Antiqua" w:hAnsi="Book Antiqua"/>
          <w:lang w:val="en-GB"/>
        </w:rPr>
        <w:t xml:space="preserve">problems </w:t>
      </w:r>
      <w:r w:rsidR="00921E25">
        <w:rPr>
          <w:rFonts w:ascii="Book Antiqua" w:hAnsi="Book Antiqua"/>
          <w:lang w:val="en-GB"/>
        </w:rPr>
        <w:t xml:space="preserve">when </w:t>
      </w:r>
      <w:r>
        <w:rPr>
          <w:rFonts w:ascii="Book Antiqua" w:hAnsi="Book Antiqua"/>
          <w:lang w:val="en-GB"/>
        </w:rPr>
        <w:t xml:space="preserve">contrasted to the jurisdictions considered in </w:t>
      </w:r>
      <w:r w:rsidR="005F07BC">
        <w:rPr>
          <w:rFonts w:ascii="Book Antiqua" w:hAnsi="Book Antiqua"/>
          <w:lang w:val="en-GB"/>
        </w:rPr>
        <w:t>p</w:t>
      </w:r>
      <w:r>
        <w:rPr>
          <w:rFonts w:ascii="Book Antiqua" w:hAnsi="Book Antiqua"/>
          <w:lang w:val="en-GB"/>
        </w:rPr>
        <w:t xml:space="preserve">art II. Ireland and Japan show that </w:t>
      </w:r>
      <w:r w:rsidR="00083341">
        <w:rPr>
          <w:rFonts w:ascii="Book Antiqua" w:hAnsi="Book Antiqua"/>
          <w:lang w:val="en-GB"/>
        </w:rPr>
        <w:t>pre-enactment</w:t>
      </w:r>
      <w:r w:rsidR="00C76540">
        <w:rPr>
          <w:rFonts w:ascii="Book Antiqua" w:hAnsi="Book Antiqua"/>
          <w:lang w:val="en-GB"/>
        </w:rPr>
        <w:t xml:space="preserve"> constitutional</w:t>
      </w:r>
      <w:r w:rsidR="00083341">
        <w:rPr>
          <w:rFonts w:ascii="Book Antiqua" w:hAnsi="Book Antiqua"/>
          <w:lang w:val="en-GB"/>
        </w:rPr>
        <w:t xml:space="preserve"> review can</w:t>
      </w:r>
      <w:r w:rsidR="003268BE">
        <w:rPr>
          <w:rFonts w:ascii="Book Antiqua" w:hAnsi="Book Antiqua"/>
          <w:lang w:val="en-GB"/>
        </w:rPr>
        <w:t xml:space="preserve"> </w:t>
      </w:r>
      <w:r w:rsidR="005F07BC">
        <w:rPr>
          <w:rFonts w:ascii="Book Antiqua" w:hAnsi="Book Antiqua"/>
          <w:lang w:val="en-GB"/>
        </w:rPr>
        <w:t xml:space="preserve">have much more </w:t>
      </w:r>
      <w:r w:rsidR="00E5785D">
        <w:rPr>
          <w:rFonts w:ascii="Book Antiqua" w:hAnsi="Book Antiqua"/>
          <w:lang w:val="en-GB"/>
        </w:rPr>
        <w:t>problematic instantiation</w:t>
      </w:r>
      <w:r w:rsidR="007C5A38">
        <w:rPr>
          <w:rFonts w:ascii="Book Antiqua" w:hAnsi="Book Antiqua"/>
          <w:lang w:val="en-GB"/>
        </w:rPr>
        <w:t>s</w:t>
      </w:r>
      <w:r w:rsidR="00E5785D">
        <w:rPr>
          <w:rFonts w:ascii="Book Antiqua" w:hAnsi="Book Antiqua"/>
          <w:lang w:val="en-GB"/>
        </w:rPr>
        <w:t xml:space="preserve"> </w:t>
      </w:r>
      <w:r w:rsidR="005F07BC">
        <w:rPr>
          <w:rFonts w:ascii="Book Antiqua" w:hAnsi="Book Antiqua"/>
          <w:lang w:val="en-GB"/>
        </w:rPr>
        <w:t xml:space="preserve">that we have called </w:t>
      </w:r>
      <w:r w:rsidR="00B40F09">
        <w:rPr>
          <w:rFonts w:ascii="Book Antiqua" w:hAnsi="Book Antiqua"/>
          <w:lang w:val="en-GB"/>
        </w:rPr>
        <w:t>‘</w:t>
      </w:r>
      <w:r w:rsidR="00E5785D" w:rsidRPr="00EB2B38">
        <w:rPr>
          <w:rFonts w:ascii="Book Antiqua" w:hAnsi="Book Antiqua"/>
          <w:lang w:val="en-GB"/>
        </w:rPr>
        <w:t>shadow constitutional review</w:t>
      </w:r>
      <w:r w:rsidR="00B40F09" w:rsidRPr="00EB2B38">
        <w:rPr>
          <w:rFonts w:ascii="Book Antiqua" w:hAnsi="Book Antiqua"/>
          <w:lang w:val="en-GB"/>
        </w:rPr>
        <w:t>’</w:t>
      </w:r>
      <w:r w:rsidR="0072608F">
        <w:rPr>
          <w:rFonts w:ascii="Book Antiqua" w:hAnsi="Book Antiqua"/>
          <w:lang w:val="en-GB"/>
        </w:rPr>
        <w:t xml:space="preserve">, </w:t>
      </w:r>
      <w:r w:rsidR="005F07BC">
        <w:rPr>
          <w:rFonts w:ascii="Book Antiqua" w:hAnsi="Book Antiqua"/>
          <w:lang w:val="en-GB"/>
        </w:rPr>
        <w:t xml:space="preserve">and these have effects </w:t>
      </w:r>
      <w:r w:rsidR="0046574F">
        <w:rPr>
          <w:rFonts w:ascii="Book Antiqua" w:hAnsi="Book Antiqua"/>
          <w:lang w:val="en-GB"/>
        </w:rPr>
        <w:t>contrary to the benefits associated with ideal</w:t>
      </w:r>
      <w:r w:rsidR="0072608F">
        <w:rPr>
          <w:rFonts w:ascii="Book Antiqua" w:hAnsi="Book Antiqua"/>
          <w:lang w:val="en-GB"/>
        </w:rPr>
        <w:t>-</w:t>
      </w:r>
      <w:r w:rsidR="0046574F">
        <w:rPr>
          <w:rFonts w:ascii="Book Antiqua" w:hAnsi="Book Antiqua"/>
          <w:lang w:val="en-GB"/>
        </w:rPr>
        <w:t>type</w:t>
      </w:r>
      <w:r w:rsidR="00CA3A31">
        <w:rPr>
          <w:rFonts w:ascii="Book Antiqua" w:hAnsi="Book Antiqua"/>
          <w:lang w:val="en-GB"/>
        </w:rPr>
        <w:t xml:space="preserve"> account</w:t>
      </w:r>
      <w:r w:rsidR="00BE567A">
        <w:rPr>
          <w:rFonts w:ascii="Book Antiqua" w:hAnsi="Book Antiqua"/>
          <w:lang w:val="en-GB"/>
        </w:rPr>
        <w:t>s</w:t>
      </w:r>
      <w:r w:rsidR="008D5B1E">
        <w:rPr>
          <w:rFonts w:ascii="Book Antiqua" w:hAnsi="Book Antiqua"/>
          <w:lang w:val="en-GB"/>
        </w:rPr>
        <w:t>.</w:t>
      </w:r>
      <w:r w:rsidR="00950FDA">
        <w:rPr>
          <w:rFonts w:ascii="Book Antiqua" w:hAnsi="Book Antiqua"/>
          <w:lang w:val="en-GB"/>
        </w:rPr>
        <w:t xml:space="preserve"> </w:t>
      </w:r>
      <w:r w:rsidR="007069BF">
        <w:rPr>
          <w:rFonts w:ascii="Book Antiqua" w:hAnsi="Book Antiqua"/>
          <w:lang w:val="en-GB"/>
        </w:rPr>
        <w:t xml:space="preserve">Whereas </w:t>
      </w:r>
      <w:r w:rsidR="00BE567A">
        <w:rPr>
          <w:rFonts w:ascii="Book Antiqua" w:hAnsi="Book Antiqua"/>
          <w:lang w:val="en-GB"/>
        </w:rPr>
        <w:t xml:space="preserve">these </w:t>
      </w:r>
      <w:r w:rsidR="00B40F09">
        <w:rPr>
          <w:rFonts w:ascii="Book Antiqua" w:hAnsi="Book Antiqua"/>
          <w:lang w:val="en-GB"/>
        </w:rPr>
        <w:t>account</w:t>
      </w:r>
      <w:r w:rsidR="00BE567A">
        <w:rPr>
          <w:rFonts w:ascii="Book Antiqua" w:hAnsi="Book Antiqua"/>
          <w:lang w:val="en-GB"/>
        </w:rPr>
        <w:t>s</w:t>
      </w:r>
      <w:r w:rsidR="007069BF">
        <w:rPr>
          <w:rFonts w:ascii="Book Antiqua" w:hAnsi="Book Antiqua"/>
          <w:lang w:val="en-GB"/>
        </w:rPr>
        <w:t xml:space="preserve"> </w:t>
      </w:r>
      <w:r w:rsidR="004F6A31">
        <w:rPr>
          <w:rFonts w:ascii="Book Antiqua" w:hAnsi="Book Antiqua"/>
          <w:lang w:val="en-GB"/>
        </w:rPr>
        <w:t xml:space="preserve">associate pre-enactment constitutional review </w:t>
      </w:r>
      <w:r w:rsidR="007069BF">
        <w:rPr>
          <w:rFonts w:ascii="Book Antiqua" w:hAnsi="Book Antiqua"/>
          <w:lang w:val="en-GB"/>
        </w:rPr>
        <w:t>with</w:t>
      </w:r>
      <w:r w:rsidR="007C5A38">
        <w:rPr>
          <w:rFonts w:ascii="Book Antiqua" w:hAnsi="Book Antiqua"/>
          <w:lang w:val="en-GB"/>
        </w:rPr>
        <w:t xml:space="preserve"> promoting accountability, </w:t>
      </w:r>
      <w:r w:rsidR="007069BF">
        <w:rPr>
          <w:rFonts w:ascii="Book Antiqua" w:hAnsi="Book Antiqua"/>
          <w:lang w:val="en-GB"/>
        </w:rPr>
        <w:t>transparency and</w:t>
      </w:r>
      <w:r w:rsidR="00E8417C">
        <w:rPr>
          <w:rFonts w:ascii="Book Antiqua" w:hAnsi="Book Antiqua"/>
          <w:lang w:val="en-GB"/>
        </w:rPr>
        <w:t xml:space="preserve"> facilitating</w:t>
      </w:r>
      <w:r w:rsidR="007069BF">
        <w:rPr>
          <w:rFonts w:ascii="Book Antiqua" w:hAnsi="Book Antiqua"/>
          <w:lang w:val="en-GB"/>
        </w:rPr>
        <w:t xml:space="preserve"> full and free debate over rights and values between the political branches</w:t>
      </w:r>
      <w:r w:rsidR="00334167">
        <w:rPr>
          <w:rFonts w:ascii="Book Antiqua" w:hAnsi="Book Antiqua"/>
          <w:lang w:val="en-GB"/>
        </w:rPr>
        <w:t xml:space="preserve"> and the public</w:t>
      </w:r>
      <w:r w:rsidR="007069BF">
        <w:rPr>
          <w:rFonts w:ascii="Book Antiqua" w:hAnsi="Book Antiqua"/>
          <w:lang w:val="en-GB"/>
        </w:rPr>
        <w:t xml:space="preserve">, </w:t>
      </w:r>
      <w:r w:rsidR="00950FDA">
        <w:rPr>
          <w:rFonts w:ascii="Book Antiqua" w:hAnsi="Book Antiqua"/>
          <w:lang w:val="en-GB"/>
        </w:rPr>
        <w:t xml:space="preserve">shadow </w:t>
      </w:r>
      <w:r w:rsidR="007069BF">
        <w:rPr>
          <w:rFonts w:ascii="Book Antiqua" w:hAnsi="Book Antiqua"/>
          <w:lang w:val="en-GB"/>
        </w:rPr>
        <w:t>constitutional</w:t>
      </w:r>
      <w:r w:rsidR="00950FDA">
        <w:rPr>
          <w:rFonts w:ascii="Book Antiqua" w:hAnsi="Book Antiqua"/>
          <w:lang w:val="en-GB"/>
        </w:rPr>
        <w:t xml:space="preserve"> review </w:t>
      </w:r>
      <w:r w:rsidR="007069BF">
        <w:rPr>
          <w:rFonts w:ascii="Book Antiqua" w:hAnsi="Book Antiqua"/>
          <w:lang w:val="en-GB"/>
        </w:rPr>
        <w:t>operates</w:t>
      </w:r>
      <w:r w:rsidR="00950FDA">
        <w:rPr>
          <w:rFonts w:ascii="Book Antiqua" w:hAnsi="Book Antiqua"/>
          <w:lang w:val="en-GB"/>
        </w:rPr>
        <w:t xml:space="preserve"> in a</w:t>
      </w:r>
      <w:r w:rsidR="0072608F">
        <w:rPr>
          <w:rFonts w:ascii="Book Antiqua" w:hAnsi="Book Antiqua"/>
          <w:lang w:val="en-GB"/>
        </w:rPr>
        <w:t>n</w:t>
      </w:r>
      <w:r w:rsidR="007069BF">
        <w:rPr>
          <w:rFonts w:ascii="Book Antiqua" w:hAnsi="Book Antiqua"/>
          <w:lang w:val="en-GB"/>
        </w:rPr>
        <w:t xml:space="preserve"> opaque and secretive</w:t>
      </w:r>
      <w:r w:rsidR="00D3201C">
        <w:rPr>
          <w:rFonts w:ascii="Book Antiqua" w:hAnsi="Book Antiqua"/>
          <w:lang w:val="en-GB"/>
        </w:rPr>
        <w:t xml:space="preserve"> </w:t>
      </w:r>
      <w:r w:rsidR="00BC7F3A">
        <w:rPr>
          <w:rFonts w:ascii="Book Antiqua" w:hAnsi="Book Antiqua"/>
          <w:lang w:val="en-GB"/>
        </w:rPr>
        <w:t>manner, insulated</w:t>
      </w:r>
      <w:r w:rsidR="0072608F">
        <w:rPr>
          <w:rFonts w:ascii="Book Antiqua" w:hAnsi="Book Antiqua"/>
          <w:lang w:val="en-IE"/>
        </w:rPr>
        <w:t xml:space="preserve"> from</w:t>
      </w:r>
      <w:r w:rsidR="00BA04D1">
        <w:rPr>
          <w:rFonts w:ascii="Book Antiqua" w:hAnsi="Book Antiqua"/>
          <w:lang w:val="en-IE"/>
        </w:rPr>
        <w:t xml:space="preserve"> </w:t>
      </w:r>
      <w:r w:rsidR="007069BF">
        <w:rPr>
          <w:rFonts w:ascii="Book Antiqua" w:hAnsi="Book Antiqua"/>
          <w:lang w:val="en-IE"/>
        </w:rPr>
        <w:t xml:space="preserve">parliamentary </w:t>
      </w:r>
      <w:r w:rsidR="00AC6248">
        <w:rPr>
          <w:rFonts w:ascii="Book Antiqua" w:hAnsi="Book Antiqua"/>
          <w:lang w:val="en-IE"/>
        </w:rPr>
        <w:t>and</w:t>
      </w:r>
      <w:r w:rsidR="007069BF">
        <w:rPr>
          <w:rFonts w:ascii="Book Antiqua" w:hAnsi="Book Antiqua"/>
          <w:lang w:val="en-IE"/>
        </w:rPr>
        <w:t xml:space="preserve"> public</w:t>
      </w:r>
      <w:r w:rsidR="00950FDA">
        <w:rPr>
          <w:rFonts w:ascii="Book Antiqua" w:hAnsi="Book Antiqua"/>
          <w:lang w:val="en-IE"/>
        </w:rPr>
        <w:t xml:space="preserve"> scrutiny</w:t>
      </w:r>
      <w:r w:rsidR="00BC7F3A">
        <w:rPr>
          <w:rFonts w:ascii="Book Antiqua" w:hAnsi="Book Antiqua"/>
          <w:lang w:val="en-IE"/>
        </w:rPr>
        <w:t>, and</w:t>
      </w:r>
      <w:r w:rsidR="00EB2B38">
        <w:rPr>
          <w:rFonts w:ascii="Book Antiqua" w:hAnsi="Book Antiqua"/>
          <w:lang w:val="en-GB"/>
        </w:rPr>
        <w:t xml:space="preserve"> ultimately alienat</w:t>
      </w:r>
      <w:r w:rsidR="005F07BC">
        <w:rPr>
          <w:rFonts w:ascii="Book Antiqua" w:hAnsi="Book Antiqua"/>
          <w:lang w:val="en-GB"/>
        </w:rPr>
        <w:t>ing</w:t>
      </w:r>
      <w:r w:rsidR="00EB2B38">
        <w:rPr>
          <w:rFonts w:ascii="Book Antiqua" w:hAnsi="Book Antiqua"/>
          <w:lang w:val="en-GB"/>
        </w:rPr>
        <w:t xml:space="preserve"> the constitution and rights issues from politics</w:t>
      </w:r>
      <w:r w:rsidR="005F07BC">
        <w:rPr>
          <w:rFonts w:ascii="Book Antiqua" w:hAnsi="Book Antiqua"/>
          <w:lang w:val="en-GB"/>
        </w:rPr>
        <w:t>.</w:t>
      </w:r>
      <w:r w:rsidR="00717CAA">
        <w:rPr>
          <w:rFonts w:ascii="Book Antiqua" w:hAnsi="Book Antiqua"/>
          <w:lang w:val="en-GB"/>
        </w:rPr>
        <w:t xml:space="preserve"> It is open to executive misuse, and risks undermin</w:t>
      </w:r>
      <w:r w:rsidR="00AB6303">
        <w:rPr>
          <w:rFonts w:ascii="Book Antiqua" w:hAnsi="Book Antiqua"/>
          <w:lang w:val="en-GB"/>
        </w:rPr>
        <w:t>in</w:t>
      </w:r>
      <w:r w:rsidR="00717CAA">
        <w:rPr>
          <w:rFonts w:ascii="Book Antiqua" w:hAnsi="Book Antiqua"/>
          <w:lang w:val="en-GB"/>
        </w:rPr>
        <w:t>g the institution of judicial review.</w:t>
      </w:r>
    </w:p>
    <w:p w14:paraId="152E33C1" w14:textId="77777777" w:rsidR="005539BC" w:rsidRDefault="005539BC" w:rsidP="00716219">
      <w:pPr>
        <w:spacing w:line="360" w:lineRule="auto"/>
        <w:jc w:val="both"/>
        <w:rPr>
          <w:rFonts w:ascii="Book Antiqua" w:hAnsi="Book Antiqua"/>
          <w:lang w:val="en-IE"/>
        </w:rPr>
      </w:pPr>
    </w:p>
    <w:p w14:paraId="3FD3E802" w14:textId="34DB429D" w:rsidR="00AA3285" w:rsidRPr="00F91D78" w:rsidRDefault="008D5B1E" w:rsidP="00716219">
      <w:pPr>
        <w:spacing w:line="360" w:lineRule="auto"/>
        <w:jc w:val="both"/>
        <w:rPr>
          <w:rFonts w:ascii="Book Antiqua" w:hAnsi="Book Antiqua"/>
          <w:lang w:val="en-GB"/>
        </w:rPr>
      </w:pPr>
      <w:r>
        <w:rPr>
          <w:rFonts w:ascii="Book Antiqua" w:hAnsi="Book Antiqua"/>
          <w:lang w:val="en-GB"/>
        </w:rPr>
        <w:t>To be clear, we do not think that the Irish</w:t>
      </w:r>
      <w:r w:rsidR="00793548">
        <w:rPr>
          <w:rFonts w:ascii="Book Antiqua" w:hAnsi="Book Antiqua"/>
          <w:lang w:val="en-GB"/>
        </w:rPr>
        <w:t xml:space="preserve"> and Japanese</w:t>
      </w:r>
      <w:r>
        <w:rPr>
          <w:rFonts w:ascii="Book Antiqua" w:hAnsi="Book Antiqua"/>
          <w:lang w:val="en-GB"/>
        </w:rPr>
        <w:t xml:space="preserve"> example</w:t>
      </w:r>
      <w:r w:rsidR="0072608F">
        <w:rPr>
          <w:rFonts w:ascii="Book Antiqua" w:hAnsi="Book Antiqua"/>
          <w:lang w:val="en-GB"/>
        </w:rPr>
        <w:t>s</w:t>
      </w:r>
      <w:r>
        <w:rPr>
          <w:rFonts w:ascii="Book Antiqua" w:hAnsi="Book Antiqua"/>
          <w:lang w:val="en-GB"/>
        </w:rPr>
        <w:t xml:space="preserve"> of shadow constitutional review make a case against political constitutionalism</w:t>
      </w:r>
      <w:r w:rsidR="008C34AA">
        <w:rPr>
          <w:rFonts w:ascii="Book Antiqua" w:hAnsi="Book Antiqua"/>
          <w:lang w:val="en-GB"/>
        </w:rPr>
        <w:t xml:space="preserve"> or pre-enactment political review</w:t>
      </w:r>
      <w:r>
        <w:rPr>
          <w:rFonts w:ascii="Book Antiqua" w:hAnsi="Book Antiqua"/>
          <w:lang w:val="en-GB"/>
        </w:rPr>
        <w:t xml:space="preserve"> </w:t>
      </w:r>
      <w:r w:rsidR="00CE697B" w:rsidRPr="00F603FC">
        <w:rPr>
          <w:rFonts w:ascii="Book Antiqua" w:hAnsi="Book Antiqua"/>
          <w:i/>
          <w:lang w:val="en-GB"/>
        </w:rPr>
        <w:t>per se</w:t>
      </w:r>
      <w:r w:rsidR="0018634C">
        <w:rPr>
          <w:rFonts w:ascii="Book Antiqua" w:hAnsi="Book Antiqua"/>
          <w:lang w:val="en-GB"/>
        </w:rPr>
        <w:t xml:space="preserve"> (though these examples </w:t>
      </w:r>
      <w:r w:rsidR="00CE697B">
        <w:rPr>
          <w:rFonts w:ascii="Book Antiqua" w:hAnsi="Book Antiqua"/>
          <w:lang w:val="en-GB"/>
        </w:rPr>
        <w:t xml:space="preserve">and the </w:t>
      </w:r>
      <w:r w:rsidR="00D11AA7">
        <w:rPr>
          <w:rFonts w:ascii="Book Antiqua" w:hAnsi="Book Antiqua"/>
          <w:lang w:val="en-GB"/>
        </w:rPr>
        <w:t>general</w:t>
      </w:r>
      <w:r w:rsidR="00CE697B">
        <w:rPr>
          <w:rFonts w:ascii="Book Antiqua" w:hAnsi="Book Antiqua"/>
          <w:lang w:val="en-GB"/>
        </w:rPr>
        <w:t xml:space="preserve"> failings </w:t>
      </w:r>
      <w:r w:rsidR="00D11AA7">
        <w:rPr>
          <w:rFonts w:ascii="Book Antiqua" w:hAnsi="Book Antiqua"/>
          <w:lang w:val="en-GB"/>
        </w:rPr>
        <w:t xml:space="preserve">of pre-enactment review </w:t>
      </w:r>
      <w:r w:rsidR="00CE697B">
        <w:rPr>
          <w:rFonts w:ascii="Book Antiqua" w:hAnsi="Book Antiqua"/>
          <w:lang w:val="en-GB"/>
        </w:rPr>
        <w:t xml:space="preserve">discussed here </w:t>
      </w:r>
      <w:r w:rsidR="0018634C">
        <w:rPr>
          <w:rFonts w:ascii="Book Antiqua" w:hAnsi="Book Antiqua"/>
          <w:lang w:val="en-GB"/>
        </w:rPr>
        <w:t xml:space="preserve">could form </w:t>
      </w:r>
      <w:r w:rsidR="00CE697B">
        <w:rPr>
          <w:rFonts w:ascii="Book Antiqua" w:hAnsi="Book Antiqua"/>
          <w:lang w:val="en-GB"/>
        </w:rPr>
        <w:t xml:space="preserve">the basis </w:t>
      </w:r>
      <w:r w:rsidR="0018634C">
        <w:rPr>
          <w:rFonts w:ascii="Book Antiqua" w:hAnsi="Book Antiqua"/>
          <w:lang w:val="en-GB"/>
        </w:rPr>
        <w:t>of such an argument)</w:t>
      </w:r>
      <w:r>
        <w:rPr>
          <w:rFonts w:ascii="Book Antiqua" w:hAnsi="Book Antiqua"/>
          <w:lang w:val="en-GB"/>
        </w:rPr>
        <w:t xml:space="preserve">. Rather, we think </w:t>
      </w:r>
      <w:r w:rsidR="0072608F">
        <w:rPr>
          <w:rFonts w:ascii="Book Antiqua" w:hAnsi="Book Antiqua"/>
          <w:lang w:val="en-GB"/>
        </w:rPr>
        <w:t xml:space="preserve">they </w:t>
      </w:r>
      <w:r>
        <w:rPr>
          <w:rFonts w:ascii="Book Antiqua" w:hAnsi="Book Antiqua"/>
          <w:lang w:val="en-GB"/>
        </w:rPr>
        <w:t xml:space="preserve">add a layer of complexity and nuance to the phenomenon. </w:t>
      </w:r>
      <w:r w:rsidR="00B40F09">
        <w:rPr>
          <w:rFonts w:ascii="Book Antiqua" w:hAnsi="Book Antiqua"/>
          <w:lang w:val="en-GB"/>
        </w:rPr>
        <w:t>Pre-enactment constitutional review</w:t>
      </w:r>
      <w:r>
        <w:rPr>
          <w:rFonts w:ascii="Book Antiqua" w:hAnsi="Book Antiqua"/>
          <w:lang w:val="en-GB"/>
        </w:rPr>
        <w:t xml:space="preserve"> is not</w:t>
      </w:r>
      <w:r w:rsidR="0072608F">
        <w:rPr>
          <w:rFonts w:ascii="Book Antiqua" w:hAnsi="Book Antiqua"/>
          <w:lang w:val="en-GB"/>
        </w:rPr>
        <w:t>, as it might initially seem,</w:t>
      </w:r>
      <w:r>
        <w:rPr>
          <w:rFonts w:ascii="Book Antiqua" w:hAnsi="Book Antiqua"/>
          <w:lang w:val="en-GB"/>
        </w:rPr>
        <w:t xml:space="preserve"> a </w:t>
      </w:r>
      <w:r w:rsidR="004D6287">
        <w:rPr>
          <w:rFonts w:ascii="Book Antiqua" w:hAnsi="Book Antiqua"/>
          <w:lang w:val="en-GB"/>
        </w:rPr>
        <w:t xml:space="preserve">recent </w:t>
      </w:r>
      <w:r>
        <w:rPr>
          <w:rFonts w:ascii="Book Antiqua" w:hAnsi="Book Antiqua"/>
          <w:lang w:val="en-GB"/>
        </w:rPr>
        <w:t>phenomenon</w:t>
      </w:r>
      <w:r w:rsidR="0072608F">
        <w:rPr>
          <w:rFonts w:ascii="Book Antiqua" w:hAnsi="Book Antiqua"/>
          <w:lang w:val="en-GB"/>
        </w:rPr>
        <w:t xml:space="preserve"> </w:t>
      </w:r>
      <w:r w:rsidR="004D6287">
        <w:rPr>
          <w:rFonts w:ascii="Book Antiqua" w:hAnsi="Book Antiqua"/>
          <w:lang w:val="en-GB"/>
        </w:rPr>
        <w:t xml:space="preserve">associated with </w:t>
      </w:r>
      <w:r w:rsidR="0072608F">
        <w:rPr>
          <w:rFonts w:ascii="Book Antiqua" w:hAnsi="Book Antiqua"/>
          <w:lang w:val="en-GB"/>
        </w:rPr>
        <w:t>New Commonwealth Constitutionalism</w:t>
      </w:r>
      <w:r>
        <w:rPr>
          <w:rFonts w:ascii="Book Antiqua" w:hAnsi="Book Antiqua"/>
          <w:lang w:val="en-GB"/>
        </w:rPr>
        <w:t>, introduced by design and with set features and</w:t>
      </w:r>
      <w:r w:rsidR="003F1DC3">
        <w:rPr>
          <w:rFonts w:ascii="Book Antiqua" w:hAnsi="Book Antiqua"/>
          <w:lang w:val="en-GB"/>
        </w:rPr>
        <w:t xml:space="preserve"> predictable</w:t>
      </w:r>
      <w:r>
        <w:rPr>
          <w:rFonts w:ascii="Book Antiqua" w:hAnsi="Book Antiqua"/>
          <w:lang w:val="en-GB"/>
        </w:rPr>
        <w:t xml:space="preserve"> consequences. It can be older, </w:t>
      </w:r>
      <w:r w:rsidR="004D6287">
        <w:rPr>
          <w:rFonts w:ascii="Book Antiqua" w:hAnsi="Book Antiqua"/>
          <w:lang w:val="en-GB"/>
        </w:rPr>
        <w:t xml:space="preserve">be </w:t>
      </w:r>
      <w:r>
        <w:rPr>
          <w:rFonts w:ascii="Book Antiqua" w:hAnsi="Book Antiqua"/>
          <w:lang w:val="en-GB"/>
        </w:rPr>
        <w:t xml:space="preserve">more informal in its development, and </w:t>
      </w:r>
      <w:r w:rsidR="004D6287">
        <w:rPr>
          <w:rFonts w:ascii="Book Antiqua" w:hAnsi="Book Antiqua"/>
          <w:lang w:val="en-GB"/>
        </w:rPr>
        <w:t xml:space="preserve">can </w:t>
      </w:r>
      <w:r w:rsidR="001D6885">
        <w:rPr>
          <w:rFonts w:ascii="Book Antiqua" w:hAnsi="Book Antiqua"/>
          <w:lang w:val="en-GB"/>
        </w:rPr>
        <w:t>grow to</w:t>
      </w:r>
      <w:r w:rsidR="00050975">
        <w:rPr>
          <w:rFonts w:ascii="Book Antiqua" w:hAnsi="Book Antiqua"/>
          <w:lang w:val="en-GB"/>
        </w:rPr>
        <w:t xml:space="preserve"> have</w:t>
      </w:r>
      <w:r w:rsidR="003F1DC3">
        <w:rPr>
          <w:rFonts w:ascii="Book Antiqua" w:hAnsi="Book Antiqua"/>
          <w:lang w:val="en-GB"/>
        </w:rPr>
        <w:t xml:space="preserve"> unexpected and unusual effects</w:t>
      </w:r>
      <w:r w:rsidR="00050975">
        <w:rPr>
          <w:rFonts w:ascii="Book Antiqua" w:hAnsi="Book Antiqua"/>
          <w:lang w:val="en-GB"/>
        </w:rPr>
        <w:t xml:space="preserve"> </w:t>
      </w:r>
      <w:r w:rsidR="003F5C83">
        <w:rPr>
          <w:rFonts w:ascii="Book Antiqua" w:hAnsi="Book Antiqua"/>
          <w:lang w:val="en-GB"/>
        </w:rPr>
        <w:t>that</w:t>
      </w:r>
      <w:r w:rsidR="00050975">
        <w:rPr>
          <w:rFonts w:ascii="Book Antiqua" w:hAnsi="Book Antiqua"/>
          <w:lang w:val="en-GB"/>
        </w:rPr>
        <w:t xml:space="preserve"> are</w:t>
      </w:r>
      <w:r>
        <w:rPr>
          <w:rFonts w:ascii="Book Antiqua" w:hAnsi="Book Antiqua"/>
          <w:lang w:val="en-GB"/>
        </w:rPr>
        <w:t xml:space="preserve"> </w:t>
      </w:r>
      <w:r w:rsidR="00050975">
        <w:rPr>
          <w:rFonts w:ascii="Book Antiqua" w:hAnsi="Book Antiqua"/>
          <w:lang w:val="en-GB"/>
        </w:rPr>
        <w:t>antithetical to the ones</w:t>
      </w:r>
      <w:r>
        <w:rPr>
          <w:rFonts w:ascii="Book Antiqua" w:hAnsi="Book Antiqua"/>
          <w:lang w:val="en-GB"/>
        </w:rPr>
        <w:t xml:space="preserve"> supposed</w:t>
      </w:r>
      <w:r w:rsidR="00050975">
        <w:rPr>
          <w:rFonts w:ascii="Book Antiqua" w:hAnsi="Book Antiqua"/>
          <w:lang w:val="en-GB"/>
        </w:rPr>
        <w:t xml:space="preserve"> </w:t>
      </w:r>
      <w:r w:rsidR="009D2AD0">
        <w:rPr>
          <w:rFonts w:ascii="Book Antiqua" w:hAnsi="Book Antiqua"/>
          <w:lang w:val="en-GB"/>
        </w:rPr>
        <w:t>in ideal-type accounts</w:t>
      </w:r>
      <w:r>
        <w:rPr>
          <w:rFonts w:ascii="Book Antiqua" w:hAnsi="Book Antiqua"/>
          <w:lang w:val="en-GB"/>
        </w:rPr>
        <w:t>. As we consider the rise of p</w:t>
      </w:r>
      <w:r w:rsidR="00793548">
        <w:rPr>
          <w:rFonts w:ascii="Book Antiqua" w:hAnsi="Book Antiqua"/>
          <w:lang w:val="en-GB"/>
        </w:rPr>
        <w:t>olitical constitutionalism</w:t>
      </w:r>
      <w:r w:rsidR="0072608F">
        <w:rPr>
          <w:rFonts w:ascii="Book Antiqua" w:hAnsi="Book Antiqua"/>
          <w:lang w:val="en-GB"/>
        </w:rPr>
        <w:t xml:space="preserve"> –</w:t>
      </w:r>
      <w:r w:rsidR="00B033D7">
        <w:rPr>
          <w:rFonts w:ascii="Book Antiqua" w:hAnsi="Book Antiqua"/>
          <w:lang w:val="en-GB"/>
        </w:rPr>
        <w:t xml:space="preserve"> and</w:t>
      </w:r>
      <w:r w:rsidR="009F439A">
        <w:rPr>
          <w:rFonts w:ascii="Book Antiqua" w:hAnsi="Book Antiqua"/>
          <w:lang w:val="en-GB"/>
        </w:rPr>
        <w:t xml:space="preserve"> its expression through pre-enactment political review as an alternative or supplement to judicial review</w:t>
      </w:r>
      <w:r w:rsidR="0072608F">
        <w:rPr>
          <w:rFonts w:ascii="Book Antiqua" w:hAnsi="Book Antiqua"/>
          <w:lang w:val="en-GB"/>
        </w:rPr>
        <w:t xml:space="preserve"> –</w:t>
      </w:r>
      <w:r w:rsidR="00793548">
        <w:rPr>
          <w:rFonts w:ascii="Book Antiqua" w:hAnsi="Book Antiqua"/>
          <w:lang w:val="en-GB"/>
        </w:rPr>
        <w:t xml:space="preserve"> these</w:t>
      </w:r>
      <w:r>
        <w:rPr>
          <w:rFonts w:ascii="Book Antiqua" w:hAnsi="Book Antiqua"/>
          <w:lang w:val="en-GB"/>
        </w:rPr>
        <w:t xml:space="preserve"> example</w:t>
      </w:r>
      <w:r w:rsidR="00793548">
        <w:rPr>
          <w:rFonts w:ascii="Book Antiqua" w:hAnsi="Book Antiqua"/>
          <w:lang w:val="en-GB"/>
        </w:rPr>
        <w:t xml:space="preserve">s </w:t>
      </w:r>
      <w:r w:rsidR="00732732">
        <w:rPr>
          <w:rFonts w:ascii="Book Antiqua" w:hAnsi="Book Antiqua"/>
          <w:lang w:val="en-GB"/>
        </w:rPr>
        <w:t>provide</w:t>
      </w:r>
      <w:r>
        <w:rPr>
          <w:rFonts w:ascii="Book Antiqua" w:hAnsi="Book Antiqua"/>
          <w:lang w:val="en-GB"/>
        </w:rPr>
        <w:t xml:space="preserve"> a ric</w:t>
      </w:r>
      <w:r w:rsidR="00674507">
        <w:rPr>
          <w:rFonts w:ascii="Book Antiqua" w:hAnsi="Book Antiqua"/>
          <w:lang w:val="en-GB"/>
        </w:rPr>
        <w:t>her and more complex view of how it</w:t>
      </w:r>
      <w:r w:rsidR="00E92059">
        <w:rPr>
          <w:rFonts w:ascii="Book Antiqua" w:hAnsi="Book Antiqua"/>
          <w:lang w:val="en-GB"/>
        </w:rPr>
        <w:t xml:space="preserve"> can operate</w:t>
      </w:r>
      <w:r w:rsidR="00674507">
        <w:rPr>
          <w:rFonts w:ascii="Book Antiqua" w:hAnsi="Book Antiqua"/>
          <w:lang w:val="en-GB"/>
        </w:rPr>
        <w:t xml:space="preserve"> in practice</w:t>
      </w:r>
      <w:r w:rsidR="004D6287">
        <w:rPr>
          <w:rFonts w:ascii="Book Antiqua" w:hAnsi="Book Antiqua"/>
          <w:lang w:val="en-GB"/>
        </w:rPr>
        <w:t xml:space="preserve"> </w:t>
      </w:r>
      <w:r w:rsidR="00E92059">
        <w:rPr>
          <w:rFonts w:ascii="Book Antiqua" w:hAnsi="Book Antiqua"/>
          <w:lang w:val="en-GB"/>
        </w:rPr>
        <w:t xml:space="preserve">and the broader </w:t>
      </w:r>
      <w:r w:rsidR="00E92059">
        <w:rPr>
          <w:rFonts w:ascii="Book Antiqua" w:hAnsi="Book Antiqua"/>
          <w:lang w:val="en-GB"/>
        </w:rPr>
        <w:lastRenderedPageBreak/>
        <w:t xml:space="preserve">consequences it can have in a constitutional </w:t>
      </w:r>
      <w:r w:rsidR="003B4CD0">
        <w:rPr>
          <w:rFonts w:ascii="Book Antiqua" w:hAnsi="Book Antiqua"/>
          <w:lang w:val="en-GB"/>
        </w:rPr>
        <w:t>system</w:t>
      </w:r>
      <w:r w:rsidR="007C5A38">
        <w:rPr>
          <w:rFonts w:ascii="Book Antiqua" w:hAnsi="Book Antiqua"/>
          <w:lang w:val="en-GB"/>
        </w:rPr>
        <w:t xml:space="preserve">. </w:t>
      </w:r>
      <w:r w:rsidR="00A77414">
        <w:rPr>
          <w:rFonts w:ascii="Book Antiqua" w:hAnsi="Book Antiqua"/>
          <w:lang w:val="en-GB"/>
        </w:rPr>
        <w:t>A</w:t>
      </w:r>
      <w:r>
        <w:rPr>
          <w:rFonts w:ascii="Book Antiqua" w:hAnsi="Book Antiqua"/>
          <w:lang w:val="en-GB"/>
        </w:rPr>
        <w:t>n appreciation of thi</w:t>
      </w:r>
      <w:r w:rsidR="00D95C0D">
        <w:rPr>
          <w:rFonts w:ascii="Book Antiqua" w:hAnsi="Book Antiqua"/>
          <w:lang w:val="en-GB"/>
        </w:rPr>
        <w:t xml:space="preserve">s </w:t>
      </w:r>
      <w:r w:rsidR="000822E7">
        <w:rPr>
          <w:rFonts w:ascii="Book Antiqua" w:hAnsi="Book Antiqua"/>
          <w:lang w:val="en-GB"/>
        </w:rPr>
        <w:t xml:space="preserve">complexity </w:t>
      </w:r>
      <w:r w:rsidR="00D95C0D">
        <w:rPr>
          <w:rFonts w:ascii="Book Antiqua" w:hAnsi="Book Antiqua"/>
          <w:lang w:val="en-GB"/>
        </w:rPr>
        <w:t>add</w:t>
      </w:r>
      <w:r w:rsidR="00A77414">
        <w:rPr>
          <w:rFonts w:ascii="Book Antiqua" w:hAnsi="Book Antiqua"/>
          <w:lang w:val="en-GB"/>
        </w:rPr>
        <w:t>s</w:t>
      </w:r>
      <w:r w:rsidR="00D95C0D">
        <w:rPr>
          <w:rFonts w:ascii="Book Antiqua" w:hAnsi="Book Antiqua"/>
          <w:lang w:val="en-GB"/>
        </w:rPr>
        <w:t xml:space="preserve"> to our understanding</w:t>
      </w:r>
      <w:r w:rsidR="00050975">
        <w:rPr>
          <w:rFonts w:ascii="Book Antiqua" w:hAnsi="Book Antiqua"/>
          <w:lang w:val="en-GB"/>
        </w:rPr>
        <w:t xml:space="preserve"> of </w:t>
      </w:r>
      <w:r w:rsidR="000822E7">
        <w:rPr>
          <w:rFonts w:ascii="Book Antiqua" w:hAnsi="Book Antiqua"/>
          <w:lang w:val="en-GB"/>
        </w:rPr>
        <w:t xml:space="preserve">the </w:t>
      </w:r>
      <w:r w:rsidR="00050975">
        <w:rPr>
          <w:rFonts w:ascii="Book Antiqua" w:hAnsi="Book Antiqua"/>
          <w:lang w:val="en-GB"/>
        </w:rPr>
        <w:t>possibilities, pitfalls</w:t>
      </w:r>
      <w:r w:rsidR="001D6885">
        <w:rPr>
          <w:rFonts w:ascii="Book Antiqua" w:hAnsi="Book Antiqua"/>
          <w:lang w:val="en-GB"/>
        </w:rPr>
        <w:t>,</w:t>
      </w:r>
      <w:r w:rsidR="00050975">
        <w:rPr>
          <w:rFonts w:ascii="Book Antiqua" w:hAnsi="Book Antiqua"/>
          <w:lang w:val="en-GB"/>
        </w:rPr>
        <w:t xml:space="preserve"> and limitations</w:t>
      </w:r>
      <w:r w:rsidR="00A77414">
        <w:rPr>
          <w:rFonts w:ascii="Book Antiqua" w:hAnsi="Book Antiqua"/>
          <w:lang w:val="en-GB"/>
        </w:rPr>
        <w:t xml:space="preserve"> of this facet of political constitutionalism</w:t>
      </w:r>
      <w:r w:rsidR="00D95C0D">
        <w:rPr>
          <w:rFonts w:ascii="Book Antiqua" w:hAnsi="Book Antiqua"/>
          <w:lang w:val="en-GB"/>
        </w:rPr>
        <w:t>.</w:t>
      </w:r>
    </w:p>
    <w:sectPr w:rsidR="00AA3285" w:rsidRPr="00F91D78" w:rsidSect="00590939">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3B807" w14:textId="77777777" w:rsidR="0049300B" w:rsidRDefault="0049300B" w:rsidP="005E6010">
      <w:r>
        <w:separator/>
      </w:r>
    </w:p>
  </w:endnote>
  <w:endnote w:type="continuationSeparator" w:id="0">
    <w:p w14:paraId="172E07BD" w14:textId="77777777" w:rsidR="0049300B" w:rsidRDefault="0049300B" w:rsidP="005E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908205"/>
      <w:docPartObj>
        <w:docPartGallery w:val="Page Numbers (Bottom of Page)"/>
        <w:docPartUnique/>
      </w:docPartObj>
    </w:sdtPr>
    <w:sdtEndPr>
      <w:rPr>
        <w:rStyle w:val="PageNumber"/>
      </w:rPr>
    </w:sdtEndPr>
    <w:sdtContent>
      <w:p w14:paraId="3976A5A3" w14:textId="4EFA1B54" w:rsidR="00CE5BA2" w:rsidRDefault="00CE5BA2" w:rsidP="00714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0BF9AF" w14:textId="77777777" w:rsidR="00CE5BA2" w:rsidRDefault="00CE5BA2" w:rsidP="007353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1779684"/>
      <w:docPartObj>
        <w:docPartGallery w:val="Page Numbers (Bottom of Page)"/>
        <w:docPartUnique/>
      </w:docPartObj>
    </w:sdtPr>
    <w:sdtEndPr>
      <w:rPr>
        <w:rStyle w:val="PageNumber"/>
      </w:rPr>
    </w:sdtEndPr>
    <w:sdtContent>
      <w:p w14:paraId="034D5A87" w14:textId="2CDC7365" w:rsidR="00CE5BA2" w:rsidRDefault="00CE5BA2" w:rsidP="00714E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03FC">
          <w:rPr>
            <w:rStyle w:val="PageNumber"/>
            <w:noProof/>
          </w:rPr>
          <w:t>29</w:t>
        </w:r>
        <w:r>
          <w:rPr>
            <w:rStyle w:val="PageNumber"/>
          </w:rPr>
          <w:fldChar w:fldCharType="end"/>
        </w:r>
      </w:p>
    </w:sdtContent>
  </w:sdt>
  <w:p w14:paraId="11F51C5A" w14:textId="77777777" w:rsidR="00CE5BA2" w:rsidRDefault="00CE5BA2" w:rsidP="007353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14F9C" w14:textId="77777777" w:rsidR="0049300B" w:rsidRDefault="0049300B" w:rsidP="005E6010">
      <w:r>
        <w:separator/>
      </w:r>
    </w:p>
  </w:footnote>
  <w:footnote w:type="continuationSeparator" w:id="0">
    <w:p w14:paraId="27A44D19" w14:textId="77777777" w:rsidR="0049300B" w:rsidRDefault="0049300B" w:rsidP="005E6010">
      <w:r>
        <w:continuationSeparator/>
      </w:r>
    </w:p>
  </w:footnote>
  <w:footnote w:id="1">
    <w:p w14:paraId="6EA74F7D" w14:textId="765B5411" w:rsidR="00380444" w:rsidRPr="00380444" w:rsidRDefault="00380444" w:rsidP="00380444">
      <w:pPr>
        <w:pStyle w:val="FootnoteText"/>
        <w:jc w:val="both"/>
        <w:rPr>
          <w:rFonts w:ascii="Book Antiqua" w:hAnsi="Book Antiqua"/>
          <w:sz w:val="18"/>
          <w:szCs w:val="18"/>
          <w:lang w:val="en-GB"/>
        </w:rPr>
      </w:pPr>
      <w:r w:rsidRPr="00380444">
        <w:rPr>
          <w:rStyle w:val="FootnoteReference"/>
          <w:rFonts w:ascii="Book Antiqua" w:hAnsi="Book Antiqua"/>
          <w:sz w:val="18"/>
          <w:szCs w:val="18"/>
        </w:rPr>
        <w:footnoteRef/>
      </w:r>
      <w:r w:rsidRPr="00380444">
        <w:rPr>
          <w:rFonts w:ascii="Book Antiqua" w:hAnsi="Book Antiqua"/>
          <w:sz w:val="18"/>
          <w:szCs w:val="18"/>
        </w:rPr>
        <w:t xml:space="preserve"> Assistant Professor, Trinity College Dublin School of Law.</w:t>
      </w:r>
    </w:p>
  </w:footnote>
  <w:footnote w:id="2">
    <w:p w14:paraId="14936657" w14:textId="04E70B44" w:rsidR="00380444" w:rsidRPr="00380444" w:rsidRDefault="00380444" w:rsidP="00380444">
      <w:pPr>
        <w:pStyle w:val="FootnoteText"/>
        <w:jc w:val="both"/>
        <w:rPr>
          <w:rFonts w:ascii="Book Antiqua" w:hAnsi="Book Antiqua"/>
          <w:sz w:val="18"/>
          <w:szCs w:val="18"/>
          <w:lang w:val="en-GB"/>
        </w:rPr>
      </w:pPr>
      <w:r w:rsidRPr="00380444">
        <w:rPr>
          <w:rStyle w:val="FootnoteReference"/>
          <w:rFonts w:ascii="Book Antiqua" w:hAnsi="Book Antiqua"/>
          <w:sz w:val="18"/>
          <w:szCs w:val="18"/>
        </w:rPr>
        <w:footnoteRef/>
      </w:r>
      <w:r w:rsidRPr="00380444">
        <w:rPr>
          <w:rFonts w:ascii="Book Antiqua" w:hAnsi="Book Antiqua"/>
          <w:sz w:val="18"/>
          <w:szCs w:val="18"/>
        </w:rPr>
        <w:t xml:space="preserve"> PhD Candidate, </w:t>
      </w:r>
      <w:r w:rsidRPr="00380444">
        <w:rPr>
          <w:rFonts w:ascii="Book Antiqua" w:hAnsi="Book Antiqua"/>
          <w:sz w:val="18"/>
          <w:szCs w:val="18"/>
        </w:rPr>
        <w:t>Trinity College Dublin School of Law.</w:t>
      </w:r>
    </w:p>
  </w:footnote>
  <w:footnote w:id="3">
    <w:p w14:paraId="1A6F821B" w14:textId="4130B656" w:rsidR="00CE5BA2" w:rsidRPr="00FA0180" w:rsidRDefault="00CE5BA2" w:rsidP="00380444">
      <w:pPr>
        <w:pStyle w:val="FootnoteText"/>
        <w:jc w:val="both"/>
        <w:rPr>
          <w:rFonts w:ascii="Book Antiqua" w:hAnsi="Book Antiqua"/>
          <w:sz w:val="18"/>
          <w:szCs w:val="18"/>
          <w:lang w:val="en-GB"/>
        </w:rPr>
      </w:pPr>
      <w:r w:rsidRPr="00380444">
        <w:rPr>
          <w:rStyle w:val="FootnoteReference"/>
          <w:rFonts w:ascii="Book Antiqua" w:hAnsi="Book Antiqua"/>
          <w:sz w:val="18"/>
          <w:szCs w:val="18"/>
        </w:rPr>
        <w:footnoteRef/>
      </w:r>
      <w:r w:rsidRPr="00380444">
        <w:rPr>
          <w:rFonts w:ascii="Book Antiqua" w:hAnsi="Book Antiqua"/>
          <w:sz w:val="18"/>
          <w:szCs w:val="18"/>
        </w:rPr>
        <w:t xml:space="preserve"> </w:t>
      </w:r>
      <w:r w:rsidRPr="00380444">
        <w:rPr>
          <w:rFonts w:ascii="Book Antiqua" w:hAnsi="Book Antiqua"/>
          <w:sz w:val="18"/>
          <w:szCs w:val="18"/>
          <w:lang w:val="en-GB"/>
        </w:rPr>
        <w:t>Broadly speaking, political constitutionalism “stands for the proposition that the limits on governmental power inherent in the concept of constitutionalism…and especially those that are expressed in terms of individual rights and liberties, are or should be predominantly political in nature and enforced through the ordinary mechanisms of Madisonian-style structural</w:t>
      </w:r>
      <w:r w:rsidRPr="00FA0180">
        <w:rPr>
          <w:rFonts w:ascii="Book Antiqua" w:hAnsi="Book Antiqua"/>
          <w:sz w:val="18"/>
          <w:szCs w:val="18"/>
          <w:lang w:val="en-GB"/>
        </w:rPr>
        <w:t xml:space="preserve"> constraints and, especially, through electoral accountability”</w:t>
      </w:r>
      <w:r>
        <w:rPr>
          <w:rFonts w:ascii="Book Antiqua" w:hAnsi="Book Antiqua"/>
          <w:sz w:val="18"/>
          <w:szCs w:val="18"/>
          <w:lang w:val="en-GB"/>
        </w:rPr>
        <w:t>.</w:t>
      </w:r>
      <w:r w:rsidRPr="00FA0180">
        <w:rPr>
          <w:rFonts w:ascii="Book Antiqua" w:hAnsi="Book Antiqua"/>
          <w:sz w:val="18"/>
          <w:szCs w:val="18"/>
          <w:lang w:val="en-GB"/>
        </w:rPr>
        <w:t xml:space="preserve"> </w:t>
      </w:r>
      <w:r>
        <w:rPr>
          <w:rFonts w:ascii="Book Antiqua" w:hAnsi="Book Antiqua"/>
          <w:sz w:val="18"/>
          <w:szCs w:val="18"/>
          <w:lang w:val="en-GB"/>
        </w:rPr>
        <w:t>STEPHEN GARDBAUM</w:t>
      </w:r>
      <w:r w:rsidRPr="00FA0180">
        <w:rPr>
          <w:rFonts w:ascii="Book Antiqua" w:hAnsi="Book Antiqua"/>
          <w:sz w:val="18"/>
          <w:szCs w:val="18"/>
          <w:lang w:val="en-GB"/>
        </w:rPr>
        <w:t xml:space="preserve">, </w:t>
      </w:r>
      <w:r>
        <w:rPr>
          <w:rFonts w:ascii="Book Antiqua" w:hAnsi="Book Antiqua"/>
          <w:sz w:val="18"/>
          <w:szCs w:val="18"/>
          <w:lang w:val="en-GB"/>
        </w:rPr>
        <w:t>NEW COMMONWEALTH MODEL OF CONSTITTIONALISM: THEORY AND PRACTICE 22 (2013)</w:t>
      </w:r>
    </w:p>
  </w:footnote>
  <w:footnote w:id="4">
    <w:p w14:paraId="017CB3E8" w14:textId="4C15C465" w:rsidR="00CE5BA2" w:rsidRPr="003E755C" w:rsidRDefault="00CE5BA2" w:rsidP="003F11FF">
      <w:pPr>
        <w:pStyle w:val="p1"/>
        <w:jc w:val="both"/>
        <w:rPr>
          <w:rFonts w:ascii="Book Antiqua" w:hAnsi="Book Antiqua"/>
          <w:color w:val="000000" w:themeColor="text1"/>
        </w:rPr>
      </w:pPr>
      <w:r w:rsidRPr="00FA0180">
        <w:rPr>
          <w:rStyle w:val="FootnoteReference"/>
          <w:rFonts w:ascii="Book Antiqua" w:hAnsi="Book Antiqua"/>
        </w:rPr>
        <w:footnoteRef/>
      </w:r>
      <w:r w:rsidRPr="00FA0180">
        <w:rPr>
          <w:rFonts w:ascii="Book Antiqua" w:hAnsi="Book Antiqua"/>
        </w:rPr>
        <w:t xml:space="preserve"> Janet L. Hiebert,</w:t>
      </w:r>
      <w:r w:rsidRPr="00FA0180">
        <w:rPr>
          <w:rFonts w:ascii="Book Antiqua" w:hAnsi="Book Antiqua"/>
          <w:i/>
        </w:rPr>
        <w:t xml:space="preserve"> </w:t>
      </w:r>
      <w:r w:rsidRPr="00F603FC">
        <w:rPr>
          <w:rFonts w:ascii="Book Antiqua" w:hAnsi="Book Antiqua"/>
          <w:i/>
        </w:rPr>
        <w:t>Parliamentary Bills of Rights: An Alternative Model</w:t>
      </w:r>
      <w:r w:rsidRPr="00FA0180">
        <w:rPr>
          <w:rFonts w:ascii="Book Antiqua" w:hAnsi="Book Antiqua"/>
        </w:rPr>
        <w:t xml:space="preserve">, </w:t>
      </w:r>
      <w:r>
        <w:rPr>
          <w:rFonts w:ascii="Book Antiqua" w:hAnsi="Book Antiqua"/>
        </w:rPr>
        <w:t xml:space="preserve">69 </w:t>
      </w:r>
      <w:r w:rsidRPr="007A2063">
        <w:rPr>
          <w:rFonts w:ascii="Book Antiqua" w:hAnsi="Book Antiqua"/>
        </w:rPr>
        <w:t>MOD. L. REV.</w:t>
      </w:r>
      <w:r>
        <w:rPr>
          <w:rFonts w:ascii="Book Antiqua" w:hAnsi="Book Antiqua"/>
        </w:rPr>
        <w:t xml:space="preserve"> 1, 7 (2006).</w:t>
      </w:r>
    </w:p>
  </w:footnote>
  <w:footnote w:id="5">
    <w:p w14:paraId="68176DB8" w14:textId="3A146AD0" w:rsidR="00CE5BA2" w:rsidRPr="003E755C" w:rsidRDefault="00CE5BA2" w:rsidP="003F11FF">
      <w:pPr>
        <w:jc w:val="both"/>
        <w:rPr>
          <w:rFonts w:ascii="Book Antiqua" w:hAnsi="Book Antiqua"/>
          <w:sz w:val="18"/>
          <w:szCs w:val="18"/>
        </w:rPr>
      </w:pPr>
      <w:r w:rsidRPr="00782311">
        <w:rPr>
          <w:rFonts w:ascii="Book Antiqua" w:hAnsi="Book Antiqua"/>
          <w:sz w:val="18"/>
          <w:szCs w:val="18"/>
          <w:vertAlign w:val="superscript"/>
        </w:rPr>
        <w:footnoteRef/>
      </w:r>
      <w:r w:rsidRPr="00782311">
        <w:rPr>
          <w:rFonts w:ascii="Book Antiqua" w:hAnsi="Book Antiqua"/>
          <w:sz w:val="18"/>
          <w:szCs w:val="18"/>
          <w:vertAlign w:val="superscript"/>
        </w:rPr>
        <w:t xml:space="preserve"> </w:t>
      </w:r>
      <w:r w:rsidRPr="00782311">
        <w:rPr>
          <w:rFonts w:ascii="Book Antiqua" w:hAnsi="Book Antiqua"/>
          <w:i/>
          <w:sz w:val="18"/>
          <w:szCs w:val="18"/>
        </w:rPr>
        <w:t>See</w:t>
      </w:r>
      <w:r>
        <w:rPr>
          <w:rFonts w:ascii="Book Antiqua" w:hAnsi="Book Antiqua"/>
          <w:sz w:val="18"/>
          <w:szCs w:val="18"/>
        </w:rPr>
        <w:t xml:space="preserve"> Tom Hickey, </w:t>
      </w:r>
      <w:r w:rsidRPr="00F603FC">
        <w:rPr>
          <w:rFonts w:ascii="Book Antiqua" w:hAnsi="Book Antiqua"/>
          <w:i/>
          <w:sz w:val="18"/>
          <w:szCs w:val="18"/>
        </w:rPr>
        <w:t>The Republican Virtues of the 'New Commonwealth Model of Constitutionalism</w:t>
      </w:r>
      <w:r>
        <w:rPr>
          <w:rFonts w:ascii="Book Antiqua" w:hAnsi="Book Antiqua"/>
          <w:sz w:val="18"/>
          <w:szCs w:val="18"/>
        </w:rPr>
        <w:t xml:space="preserve">, 14 </w:t>
      </w:r>
      <w:proofErr w:type="gramStart"/>
      <w:r>
        <w:rPr>
          <w:rFonts w:ascii="Book Antiqua" w:hAnsi="Book Antiqua"/>
          <w:sz w:val="18"/>
          <w:szCs w:val="18"/>
        </w:rPr>
        <w:t>INT’L .</w:t>
      </w:r>
      <w:proofErr w:type="gramEnd"/>
      <w:r>
        <w:rPr>
          <w:rFonts w:ascii="Book Antiqua" w:hAnsi="Book Antiqua"/>
          <w:sz w:val="18"/>
          <w:szCs w:val="18"/>
        </w:rPr>
        <w:t xml:space="preserve"> J. CONST. L.  794-816 (2016). </w:t>
      </w:r>
    </w:p>
  </w:footnote>
  <w:footnote w:id="6">
    <w:p w14:paraId="58DA3468" w14:textId="625328B3" w:rsidR="00CE5BA2" w:rsidRPr="003E755C" w:rsidRDefault="00CE5BA2" w:rsidP="003F11FF">
      <w:pPr>
        <w:pStyle w:val="FootnoteText"/>
        <w:jc w:val="both"/>
        <w:rPr>
          <w:rFonts w:ascii="Book Antiqua" w:hAnsi="Book Antiqua"/>
          <w:color w:val="000000" w:themeColor="text1"/>
          <w:sz w:val="18"/>
          <w:szCs w:val="18"/>
          <w:lang w:val="en-IE"/>
        </w:rPr>
      </w:pPr>
      <w:r w:rsidRPr="003E755C">
        <w:rPr>
          <w:rStyle w:val="FootnoteReference"/>
          <w:rFonts w:ascii="Book Antiqua" w:hAnsi="Book Antiqua"/>
          <w:color w:val="000000" w:themeColor="text1"/>
          <w:sz w:val="18"/>
          <w:szCs w:val="18"/>
        </w:rPr>
        <w:footnoteRef/>
      </w:r>
      <w:r w:rsidRPr="003E755C">
        <w:rPr>
          <w:rFonts w:ascii="Book Antiqua" w:hAnsi="Book Antiqua"/>
          <w:color w:val="000000" w:themeColor="text1"/>
          <w:sz w:val="18"/>
          <w:szCs w:val="18"/>
        </w:rPr>
        <w:t xml:space="preserve"> </w:t>
      </w:r>
      <w:r w:rsidRPr="00D85776">
        <w:rPr>
          <w:rFonts w:ascii="Book Antiqua" w:hAnsi="Book Antiqua"/>
          <w:i/>
          <w:color w:val="000000" w:themeColor="text1"/>
          <w:sz w:val="18"/>
          <w:szCs w:val="18"/>
        </w:rPr>
        <w:t>See</w:t>
      </w:r>
      <w:r w:rsidRPr="007A2063">
        <w:rPr>
          <w:rFonts w:ascii="Book Antiqua" w:hAnsi="Book Antiqua"/>
          <w:i/>
          <w:color w:val="000000" w:themeColor="text1"/>
          <w:sz w:val="18"/>
          <w:szCs w:val="18"/>
        </w:rPr>
        <w:t xml:space="preserve"> </w:t>
      </w:r>
      <w:r w:rsidRPr="007A2063">
        <w:rPr>
          <w:rFonts w:ascii="Book Antiqua" w:hAnsi="Book Antiqua"/>
          <w:color w:val="000000" w:themeColor="text1"/>
          <w:sz w:val="18"/>
          <w:szCs w:val="18"/>
          <w:lang w:val="en-GB"/>
        </w:rPr>
        <w:t>JANET HIEBER</w:t>
      </w:r>
      <w:r>
        <w:rPr>
          <w:rFonts w:ascii="Book Antiqua" w:hAnsi="Book Antiqua"/>
          <w:color w:val="000000" w:themeColor="text1"/>
          <w:sz w:val="18"/>
          <w:szCs w:val="18"/>
          <w:lang w:val="en-GB"/>
        </w:rPr>
        <w:t>T</w:t>
      </w:r>
      <w:r w:rsidRPr="00D85776">
        <w:rPr>
          <w:rFonts w:ascii="Book Antiqua" w:hAnsi="Book Antiqua"/>
          <w:color w:val="000000" w:themeColor="text1"/>
          <w:sz w:val="18"/>
          <w:szCs w:val="18"/>
          <w:lang w:val="en-GB"/>
        </w:rPr>
        <w:t xml:space="preserve">, </w:t>
      </w:r>
      <w:r w:rsidRPr="00F603FC">
        <w:rPr>
          <w:rFonts w:ascii="Book Antiqua" w:hAnsi="Book Antiqua"/>
          <w:color w:val="000000" w:themeColor="text1"/>
          <w:sz w:val="18"/>
          <w:szCs w:val="18"/>
          <w:lang w:val="en-GB"/>
        </w:rPr>
        <w:t>C</w:t>
      </w:r>
      <w:r w:rsidRPr="00D85776">
        <w:rPr>
          <w:rFonts w:ascii="Book Antiqua" w:hAnsi="Book Antiqua"/>
          <w:color w:val="000000" w:themeColor="text1"/>
          <w:sz w:val="18"/>
          <w:szCs w:val="18"/>
          <w:lang w:val="en-GB"/>
        </w:rPr>
        <w:t>HARTER CONFLICT</w:t>
      </w:r>
      <w:r w:rsidRPr="00F603FC">
        <w:rPr>
          <w:rFonts w:ascii="Book Antiqua" w:hAnsi="Book Antiqua"/>
          <w:color w:val="000000" w:themeColor="text1"/>
          <w:sz w:val="18"/>
          <w:szCs w:val="18"/>
          <w:lang w:val="en-GB"/>
        </w:rPr>
        <w:t>: W</w:t>
      </w:r>
      <w:r w:rsidRPr="00D85776">
        <w:rPr>
          <w:rFonts w:ascii="Book Antiqua" w:hAnsi="Book Antiqua"/>
          <w:color w:val="000000" w:themeColor="text1"/>
          <w:sz w:val="18"/>
          <w:szCs w:val="18"/>
          <w:lang w:val="en-GB"/>
        </w:rPr>
        <w:t>H</w:t>
      </w:r>
      <w:r w:rsidRPr="007A2063">
        <w:rPr>
          <w:rFonts w:ascii="Book Antiqua" w:hAnsi="Book Antiqua"/>
          <w:color w:val="000000" w:themeColor="text1"/>
          <w:sz w:val="18"/>
          <w:szCs w:val="18"/>
          <w:lang w:val="en-GB"/>
        </w:rPr>
        <w:t>AT</w:t>
      </w:r>
      <w:r>
        <w:rPr>
          <w:rFonts w:ascii="Book Antiqua" w:hAnsi="Book Antiqua"/>
          <w:color w:val="000000" w:themeColor="text1"/>
          <w:sz w:val="18"/>
          <w:szCs w:val="18"/>
          <w:lang w:val="en-GB"/>
        </w:rPr>
        <w:t xml:space="preserve"> IS PARLIAMENTS ROLE</w:t>
      </w:r>
      <w:r w:rsidRPr="00F603FC">
        <w:rPr>
          <w:rFonts w:ascii="Book Antiqua" w:hAnsi="Book Antiqua"/>
          <w:color w:val="000000" w:themeColor="text1"/>
          <w:sz w:val="18"/>
          <w:szCs w:val="18"/>
          <w:lang w:val="en-GB"/>
        </w:rPr>
        <w:t>?</w:t>
      </w:r>
      <w:r w:rsidRPr="003E755C">
        <w:rPr>
          <w:rFonts w:ascii="Book Antiqua" w:hAnsi="Book Antiqua"/>
          <w:color w:val="000000" w:themeColor="text1"/>
          <w:sz w:val="18"/>
          <w:szCs w:val="18"/>
          <w:lang w:val="en-GB"/>
        </w:rPr>
        <w:t xml:space="preserve"> </w:t>
      </w:r>
      <w:r>
        <w:rPr>
          <w:rFonts w:ascii="Book Antiqua" w:hAnsi="Book Antiqua"/>
          <w:color w:val="000000" w:themeColor="text1"/>
          <w:sz w:val="18"/>
          <w:szCs w:val="18"/>
          <w:lang w:val="en-GB"/>
        </w:rPr>
        <w:t xml:space="preserve">(2002); </w:t>
      </w:r>
      <w:r>
        <w:rPr>
          <w:rFonts w:ascii="Book Antiqua" w:hAnsi="Book Antiqua"/>
          <w:i/>
          <w:color w:val="000000" w:themeColor="text1"/>
          <w:sz w:val="18"/>
          <w:szCs w:val="18"/>
          <w:lang w:val="en-GB"/>
        </w:rPr>
        <w:t>See also</w:t>
      </w:r>
      <w:r w:rsidRPr="003E755C">
        <w:rPr>
          <w:rFonts w:ascii="Book Antiqua" w:hAnsi="Book Antiqua"/>
          <w:color w:val="000000" w:themeColor="text1"/>
          <w:sz w:val="18"/>
          <w:szCs w:val="18"/>
          <w:lang w:val="en-GB"/>
        </w:rPr>
        <w:t xml:space="preserve"> </w:t>
      </w:r>
      <w:r>
        <w:rPr>
          <w:rFonts w:ascii="Book Antiqua" w:hAnsi="Book Antiqua"/>
          <w:color w:val="000000" w:themeColor="text1"/>
          <w:sz w:val="18"/>
          <w:szCs w:val="18"/>
        </w:rPr>
        <w:t>MARK TUSHNET</w:t>
      </w:r>
      <w:r w:rsidRPr="003E755C">
        <w:rPr>
          <w:rFonts w:ascii="Book Antiqua" w:hAnsi="Book Antiqua"/>
          <w:color w:val="000000" w:themeColor="text1"/>
          <w:sz w:val="18"/>
          <w:szCs w:val="18"/>
        </w:rPr>
        <w:t xml:space="preserve">, </w:t>
      </w:r>
      <w:r>
        <w:rPr>
          <w:rFonts w:ascii="Book Antiqua" w:hAnsi="Book Antiqua"/>
          <w:color w:val="000000" w:themeColor="text1"/>
          <w:sz w:val="18"/>
          <w:szCs w:val="18"/>
        </w:rPr>
        <w:t xml:space="preserve">TAKING THE CONSTITUTION AWAY FROM THE COURTS </w:t>
      </w:r>
      <w:r w:rsidRPr="003E755C">
        <w:rPr>
          <w:rFonts w:ascii="Book Antiqua" w:hAnsi="Book Antiqua"/>
          <w:color w:val="000000" w:themeColor="text1"/>
          <w:sz w:val="18"/>
          <w:szCs w:val="18"/>
        </w:rPr>
        <w:t>(2000)</w:t>
      </w:r>
      <w:r>
        <w:rPr>
          <w:rFonts w:ascii="Book Antiqua" w:hAnsi="Book Antiqua"/>
          <w:color w:val="000000" w:themeColor="text1"/>
          <w:sz w:val="18"/>
          <w:szCs w:val="18"/>
        </w:rPr>
        <w:t>.</w:t>
      </w:r>
    </w:p>
  </w:footnote>
  <w:footnote w:id="7">
    <w:p w14:paraId="461950FF" w14:textId="2149C0E9" w:rsidR="00CE5BA2" w:rsidRPr="00FA0180" w:rsidRDefault="00CE5BA2" w:rsidP="003F11FF">
      <w:pPr>
        <w:pStyle w:val="FootnoteText"/>
        <w:jc w:val="both"/>
        <w:rPr>
          <w:rFonts w:ascii="Book Antiqua" w:hAnsi="Book Antiqua"/>
          <w:sz w:val="18"/>
          <w:szCs w:val="18"/>
        </w:rPr>
      </w:pPr>
      <w:r w:rsidRPr="003E755C">
        <w:rPr>
          <w:rStyle w:val="FootnoteReference"/>
          <w:rFonts w:ascii="Book Antiqua" w:hAnsi="Book Antiqua"/>
          <w:color w:val="000000" w:themeColor="text1"/>
          <w:sz w:val="18"/>
          <w:szCs w:val="18"/>
        </w:rPr>
        <w:footnoteRef/>
      </w:r>
      <w:r w:rsidRPr="003E755C">
        <w:rPr>
          <w:rFonts w:ascii="Book Antiqua" w:hAnsi="Book Antiqua"/>
          <w:color w:val="000000" w:themeColor="text1"/>
          <w:sz w:val="18"/>
          <w:szCs w:val="18"/>
        </w:rPr>
        <w:t xml:space="preserve"> </w:t>
      </w:r>
      <w:r>
        <w:rPr>
          <w:rFonts w:ascii="Book Antiqua" w:hAnsi="Book Antiqua"/>
          <w:i/>
          <w:color w:val="000000" w:themeColor="text1"/>
          <w:sz w:val="18"/>
          <w:szCs w:val="18"/>
        </w:rPr>
        <w:t xml:space="preserve">See </w:t>
      </w:r>
      <w:r>
        <w:rPr>
          <w:rFonts w:ascii="Book Antiqua" w:hAnsi="Book Antiqua"/>
          <w:color w:val="000000" w:themeColor="text1"/>
          <w:sz w:val="18"/>
          <w:szCs w:val="18"/>
        </w:rPr>
        <w:t>RICHARD BELLAMY</w:t>
      </w:r>
      <w:r w:rsidRPr="003E755C">
        <w:rPr>
          <w:rFonts w:ascii="Book Antiqua" w:hAnsi="Book Antiqua"/>
          <w:color w:val="000000" w:themeColor="text1"/>
          <w:sz w:val="18"/>
          <w:szCs w:val="18"/>
          <w:lang w:val="en-IE"/>
        </w:rPr>
        <w:t xml:space="preserve">, </w:t>
      </w:r>
      <w:r>
        <w:rPr>
          <w:rFonts w:ascii="Book Antiqua" w:hAnsi="Book Antiqua"/>
          <w:color w:val="000000" w:themeColor="text1"/>
          <w:sz w:val="18"/>
          <w:szCs w:val="18"/>
          <w:lang w:val="en-IE"/>
        </w:rPr>
        <w:t>POLITICAL CONSTITUTIONALISM</w:t>
      </w:r>
      <w:r w:rsidRPr="003E755C">
        <w:rPr>
          <w:rFonts w:ascii="Book Antiqua" w:hAnsi="Book Antiqua"/>
          <w:i/>
          <w:color w:val="000000" w:themeColor="text1"/>
          <w:sz w:val="18"/>
          <w:szCs w:val="18"/>
          <w:lang w:val="en-IE"/>
        </w:rPr>
        <w:t xml:space="preserve">: </w:t>
      </w:r>
      <w:r>
        <w:rPr>
          <w:rFonts w:ascii="Book Antiqua" w:hAnsi="Book Antiqua"/>
          <w:color w:val="000000" w:themeColor="text1"/>
          <w:sz w:val="18"/>
          <w:szCs w:val="18"/>
          <w:lang w:val="en-IE"/>
        </w:rPr>
        <w:t>A REPUBLICAN DEFENCE OF THE CONSTITUTIONALITY OF</w:t>
      </w:r>
      <w:r w:rsidRPr="003E755C">
        <w:rPr>
          <w:rFonts w:ascii="Book Antiqua" w:hAnsi="Book Antiqua"/>
          <w:i/>
          <w:color w:val="000000" w:themeColor="text1"/>
          <w:sz w:val="18"/>
          <w:szCs w:val="18"/>
          <w:lang w:val="en-IE"/>
        </w:rPr>
        <w:t xml:space="preserve"> </w:t>
      </w:r>
      <w:r>
        <w:rPr>
          <w:rFonts w:ascii="Book Antiqua" w:hAnsi="Book Antiqua"/>
          <w:color w:val="000000" w:themeColor="text1"/>
          <w:sz w:val="18"/>
          <w:szCs w:val="18"/>
          <w:lang w:val="en-IE"/>
        </w:rPr>
        <w:t>DEMOCRACY (</w:t>
      </w:r>
      <w:r w:rsidRPr="003E755C">
        <w:rPr>
          <w:rFonts w:ascii="Book Antiqua" w:hAnsi="Book Antiqua"/>
          <w:color w:val="000000" w:themeColor="text1"/>
          <w:sz w:val="18"/>
          <w:szCs w:val="18"/>
          <w:lang w:val="en-IE"/>
        </w:rPr>
        <w:t>2009)</w:t>
      </w:r>
      <w:r>
        <w:rPr>
          <w:rFonts w:ascii="Book Antiqua" w:hAnsi="Book Antiqua"/>
          <w:color w:val="000000" w:themeColor="text1"/>
          <w:sz w:val="18"/>
          <w:szCs w:val="18"/>
          <w:lang w:val="en-IE"/>
        </w:rPr>
        <w:t>.</w:t>
      </w:r>
    </w:p>
  </w:footnote>
  <w:footnote w:id="8">
    <w:p w14:paraId="27E5DDEB" w14:textId="6F06BD96" w:rsidR="00CE5BA2" w:rsidRPr="00F03579" w:rsidRDefault="00CE5BA2" w:rsidP="0060292A">
      <w:pPr>
        <w:pStyle w:val="FootnoteText"/>
        <w:jc w:val="both"/>
        <w:rPr>
          <w:rFonts w:ascii="Book Antiqua" w:hAnsi="Book Antiqua"/>
          <w:sz w:val="18"/>
          <w:szCs w:val="18"/>
          <w:lang w:val="en-GB"/>
        </w:rPr>
      </w:pPr>
      <w:r w:rsidRPr="00F03579">
        <w:rPr>
          <w:rStyle w:val="FootnoteReference"/>
          <w:rFonts w:ascii="Book Antiqua" w:hAnsi="Book Antiqua"/>
          <w:sz w:val="18"/>
          <w:szCs w:val="18"/>
        </w:rPr>
        <w:footnoteRef/>
      </w:r>
      <w:r w:rsidRPr="00F03579">
        <w:rPr>
          <w:rFonts w:ascii="Book Antiqua" w:hAnsi="Book Antiqua"/>
          <w:sz w:val="18"/>
          <w:szCs w:val="18"/>
        </w:rPr>
        <w:t xml:space="preserve"> Hiebert,</w:t>
      </w:r>
      <w:r w:rsidRPr="00F03579">
        <w:rPr>
          <w:rFonts w:ascii="Book Antiqua" w:hAnsi="Book Antiqua"/>
          <w:i/>
          <w:sz w:val="18"/>
          <w:szCs w:val="18"/>
        </w:rPr>
        <w:t xml:space="preserve"> </w:t>
      </w:r>
      <w:r>
        <w:rPr>
          <w:rFonts w:ascii="Book Antiqua" w:hAnsi="Book Antiqua"/>
          <w:i/>
          <w:sz w:val="18"/>
          <w:szCs w:val="18"/>
        </w:rPr>
        <w:t xml:space="preserve">supra </w:t>
      </w:r>
      <w:r>
        <w:rPr>
          <w:rFonts w:ascii="Book Antiqua" w:hAnsi="Book Antiqua"/>
          <w:sz w:val="18"/>
          <w:szCs w:val="18"/>
        </w:rPr>
        <w:t>note 3, at</w:t>
      </w:r>
      <w:r w:rsidRPr="00F03579" w:rsidDel="00F03579">
        <w:rPr>
          <w:rFonts w:ascii="Book Antiqua" w:hAnsi="Book Antiqua"/>
          <w:i/>
          <w:sz w:val="18"/>
          <w:szCs w:val="18"/>
        </w:rPr>
        <w:t xml:space="preserve"> </w:t>
      </w:r>
      <w:r w:rsidRPr="00F03579">
        <w:rPr>
          <w:rFonts w:ascii="Book Antiqua" w:hAnsi="Book Antiqua"/>
          <w:sz w:val="18"/>
          <w:szCs w:val="18"/>
        </w:rPr>
        <w:t>12.</w:t>
      </w:r>
    </w:p>
  </w:footnote>
  <w:footnote w:id="9">
    <w:p w14:paraId="094790AE" w14:textId="64283357" w:rsidR="00CE5BA2" w:rsidRPr="00F03579" w:rsidRDefault="00CE5BA2" w:rsidP="00761CFA">
      <w:pPr>
        <w:pStyle w:val="FootnoteText"/>
        <w:jc w:val="both"/>
        <w:rPr>
          <w:rFonts w:ascii="Book Antiqua" w:hAnsi="Book Antiqua"/>
          <w:sz w:val="18"/>
          <w:szCs w:val="18"/>
          <w:lang w:val="en-IE"/>
        </w:rPr>
      </w:pPr>
      <w:r w:rsidRPr="00F03579">
        <w:rPr>
          <w:rStyle w:val="FootnoteReference"/>
          <w:rFonts w:ascii="Book Antiqua" w:hAnsi="Book Antiqua"/>
          <w:sz w:val="18"/>
          <w:szCs w:val="18"/>
        </w:rPr>
        <w:footnoteRef/>
      </w:r>
      <w:r w:rsidRPr="00F03579">
        <w:rPr>
          <w:rFonts w:ascii="Book Antiqua" w:hAnsi="Book Antiqua"/>
          <w:sz w:val="18"/>
          <w:szCs w:val="18"/>
        </w:rPr>
        <w:t xml:space="preserve"> </w:t>
      </w:r>
      <w:proofErr w:type="spellStart"/>
      <w:r w:rsidRPr="00F03579">
        <w:rPr>
          <w:rFonts w:ascii="Book Antiqua" w:hAnsi="Book Antiqua"/>
          <w:sz w:val="18"/>
          <w:szCs w:val="18"/>
          <w:lang w:val="en-GB"/>
        </w:rPr>
        <w:t>Gardbaum</w:t>
      </w:r>
      <w:proofErr w:type="spellEnd"/>
      <w:r w:rsidRPr="00F03579">
        <w:rPr>
          <w:rFonts w:ascii="Book Antiqua" w:hAnsi="Book Antiqua"/>
          <w:sz w:val="18"/>
          <w:szCs w:val="18"/>
          <w:lang w:val="en-GB"/>
        </w:rPr>
        <w:t>,</w:t>
      </w:r>
      <w:r>
        <w:rPr>
          <w:rFonts w:ascii="Book Antiqua" w:hAnsi="Book Antiqua"/>
          <w:sz w:val="18"/>
          <w:szCs w:val="18"/>
          <w:lang w:val="en-GB"/>
        </w:rPr>
        <w:t xml:space="preserve"> </w:t>
      </w:r>
      <w:r>
        <w:rPr>
          <w:rFonts w:ascii="Book Antiqua" w:hAnsi="Book Antiqua"/>
          <w:i/>
          <w:sz w:val="18"/>
          <w:szCs w:val="18"/>
          <w:lang w:val="en-GB"/>
        </w:rPr>
        <w:t xml:space="preserve">supra </w:t>
      </w:r>
      <w:r>
        <w:rPr>
          <w:rFonts w:ascii="Book Antiqua" w:hAnsi="Book Antiqua"/>
          <w:sz w:val="18"/>
          <w:szCs w:val="18"/>
          <w:lang w:val="en-GB"/>
        </w:rPr>
        <w:t>note 1, at</w:t>
      </w:r>
      <w:r w:rsidRPr="00F03579">
        <w:rPr>
          <w:rFonts w:ascii="Book Antiqua" w:hAnsi="Book Antiqua"/>
          <w:i/>
          <w:sz w:val="18"/>
          <w:szCs w:val="18"/>
          <w:lang w:val="en-GB"/>
        </w:rPr>
        <w:t xml:space="preserve"> </w:t>
      </w:r>
      <w:r w:rsidRPr="00F03579">
        <w:rPr>
          <w:rFonts w:ascii="Book Antiqua" w:hAnsi="Book Antiqua"/>
          <w:sz w:val="18"/>
          <w:szCs w:val="18"/>
          <w:lang w:val="en-GB"/>
        </w:rPr>
        <w:t>77-82.</w:t>
      </w:r>
    </w:p>
  </w:footnote>
  <w:footnote w:id="10">
    <w:p w14:paraId="64E2843A" w14:textId="4935154E" w:rsidR="00CE5BA2" w:rsidRPr="002C5A73" w:rsidRDefault="00CE5BA2" w:rsidP="00070748">
      <w:pPr>
        <w:pStyle w:val="FootnoteText"/>
        <w:jc w:val="both"/>
        <w:rPr>
          <w:rFonts w:ascii="Book Antiqua" w:hAnsi="Book Antiqua"/>
          <w:sz w:val="18"/>
          <w:szCs w:val="18"/>
          <w:lang w:val="en-GB"/>
        </w:rPr>
      </w:pPr>
      <w:r w:rsidRPr="00D85776">
        <w:rPr>
          <w:rStyle w:val="FootnoteReference"/>
          <w:rFonts w:ascii="Book Antiqua" w:hAnsi="Book Antiqua"/>
          <w:sz w:val="18"/>
          <w:szCs w:val="18"/>
        </w:rPr>
        <w:footnoteRef/>
      </w:r>
      <w:r w:rsidRPr="00D85776">
        <w:rPr>
          <w:rFonts w:ascii="Book Antiqua" w:hAnsi="Book Antiqua"/>
          <w:sz w:val="18"/>
          <w:szCs w:val="18"/>
        </w:rPr>
        <w:t xml:space="preserve"> </w:t>
      </w:r>
      <w:r w:rsidRPr="002C5A73">
        <w:rPr>
          <w:rFonts w:ascii="Book Antiqua" w:hAnsi="Book Antiqua"/>
          <w:sz w:val="18"/>
          <w:szCs w:val="18"/>
          <w:lang w:val="en-GB"/>
        </w:rPr>
        <w:t xml:space="preserve">Janet L. Hiebert, </w:t>
      </w:r>
      <w:r w:rsidRPr="00F603FC">
        <w:rPr>
          <w:rFonts w:ascii="Book Antiqua" w:hAnsi="Book Antiqua"/>
          <w:i/>
          <w:sz w:val="18"/>
          <w:szCs w:val="18"/>
          <w:lang w:val="en-GB"/>
        </w:rPr>
        <w:t xml:space="preserve">New Constitutional Ideas: Can New Parliamentary Models Resist Judicial Dominance When Interpreting </w:t>
      </w:r>
      <w:proofErr w:type="gramStart"/>
      <w:r w:rsidRPr="00F603FC">
        <w:rPr>
          <w:rFonts w:ascii="Book Antiqua" w:hAnsi="Book Antiqua"/>
          <w:i/>
          <w:sz w:val="18"/>
          <w:szCs w:val="18"/>
          <w:lang w:val="en-GB"/>
        </w:rPr>
        <w:t>Rights?</w:t>
      </w:r>
      <w:r w:rsidRPr="00D85776">
        <w:rPr>
          <w:rFonts w:ascii="Book Antiqua" w:hAnsi="Book Antiqua"/>
          <w:i/>
          <w:sz w:val="18"/>
          <w:szCs w:val="18"/>
          <w:lang w:val="en-GB"/>
        </w:rPr>
        <w:t>,</w:t>
      </w:r>
      <w:proofErr w:type="gramEnd"/>
      <w:r w:rsidRPr="002C5A73">
        <w:rPr>
          <w:rFonts w:ascii="Book Antiqua" w:hAnsi="Book Antiqua"/>
          <w:sz w:val="18"/>
          <w:szCs w:val="18"/>
          <w:lang w:val="en-GB"/>
        </w:rPr>
        <w:t xml:space="preserve"> 82 TEX. L. R. 1963, 1986 (2004). </w:t>
      </w:r>
    </w:p>
  </w:footnote>
  <w:footnote w:id="11">
    <w:p w14:paraId="3130BC4C" w14:textId="00615644" w:rsidR="00CE5BA2" w:rsidRPr="00F603FC" w:rsidRDefault="00CE5BA2" w:rsidP="00F603FC">
      <w:pPr>
        <w:rPr>
          <w:rFonts w:ascii="Book Antiqua" w:eastAsia="Times New Roman" w:hAnsi="Book Antiqua"/>
          <w:sz w:val="18"/>
          <w:szCs w:val="18"/>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sidRPr="00F603FC">
        <w:rPr>
          <w:rFonts w:ascii="Book Antiqua" w:eastAsia="Times New Roman" w:hAnsi="Book Antiqua" w:cs="Tahoma"/>
          <w:i/>
          <w:color w:val="212121"/>
          <w:sz w:val="18"/>
          <w:szCs w:val="18"/>
          <w:shd w:val="clear" w:color="auto" w:fill="FFFFFF"/>
        </w:rPr>
        <w:t xml:space="preserve">See </w:t>
      </w:r>
      <w:r w:rsidRPr="00F603FC">
        <w:rPr>
          <w:rFonts w:ascii="Book Antiqua" w:eastAsia="Times New Roman" w:hAnsi="Book Antiqua"/>
          <w:sz w:val="18"/>
          <w:szCs w:val="18"/>
        </w:rPr>
        <w:t xml:space="preserve">Julie Jai, </w:t>
      </w:r>
      <w:r w:rsidRPr="00F603FC">
        <w:rPr>
          <w:rFonts w:ascii="Book Antiqua" w:eastAsia="Times New Roman" w:hAnsi="Book Antiqua"/>
          <w:i/>
          <w:sz w:val="18"/>
          <w:szCs w:val="18"/>
        </w:rPr>
        <w:t>Policy,</w:t>
      </w:r>
      <w:r w:rsidRPr="00F603FC">
        <w:rPr>
          <w:rFonts w:ascii="Book Antiqua" w:eastAsia="Times New Roman" w:hAnsi="Book Antiqua"/>
          <w:sz w:val="18"/>
          <w:szCs w:val="18"/>
        </w:rPr>
        <w:t xml:space="preserve"> </w:t>
      </w:r>
      <w:r w:rsidRPr="00F603FC">
        <w:rPr>
          <w:rFonts w:ascii="Book Antiqua" w:eastAsia="Times New Roman" w:hAnsi="Book Antiqua"/>
          <w:i/>
          <w:sz w:val="18"/>
          <w:szCs w:val="18"/>
        </w:rPr>
        <w:t xml:space="preserve">Politics and Law: Changing Relationships </w:t>
      </w:r>
      <w:proofErr w:type="gramStart"/>
      <w:r w:rsidRPr="00F603FC">
        <w:rPr>
          <w:rFonts w:ascii="Book Antiqua" w:eastAsia="Times New Roman" w:hAnsi="Book Antiqua"/>
          <w:i/>
          <w:sz w:val="18"/>
          <w:szCs w:val="18"/>
        </w:rPr>
        <w:t>in Light of</w:t>
      </w:r>
      <w:proofErr w:type="gramEnd"/>
      <w:r w:rsidRPr="00F603FC">
        <w:rPr>
          <w:rFonts w:ascii="Book Antiqua" w:eastAsia="Times New Roman" w:hAnsi="Book Antiqua"/>
          <w:i/>
          <w:sz w:val="18"/>
          <w:szCs w:val="18"/>
        </w:rPr>
        <w:t xml:space="preserve"> the Charter</w:t>
      </w:r>
      <w:r w:rsidRPr="00F603FC">
        <w:rPr>
          <w:rFonts w:ascii="Book Antiqua" w:eastAsia="Times New Roman" w:hAnsi="Book Antiqua"/>
          <w:sz w:val="18"/>
          <w:szCs w:val="18"/>
        </w:rPr>
        <w:t xml:space="preserve">, 9 </w:t>
      </w:r>
      <w:proofErr w:type="spellStart"/>
      <w:r w:rsidRPr="00F603FC">
        <w:rPr>
          <w:rFonts w:ascii="Book Antiqua" w:eastAsia="Times New Roman" w:hAnsi="Book Antiqua"/>
          <w:sz w:val="18"/>
          <w:szCs w:val="18"/>
        </w:rPr>
        <w:t>Nat’l</w:t>
      </w:r>
      <w:proofErr w:type="spellEnd"/>
      <w:r w:rsidRPr="00F603FC">
        <w:rPr>
          <w:rFonts w:ascii="Book Antiqua" w:eastAsia="Times New Roman" w:hAnsi="Book Antiqua"/>
          <w:sz w:val="18"/>
          <w:szCs w:val="18"/>
        </w:rPr>
        <w:t xml:space="preserve"> J. Const. L. 1, 17 (1997–8)</w:t>
      </w:r>
      <w:r w:rsidRPr="00F603FC">
        <w:rPr>
          <w:rFonts w:ascii="Book Antiqua" w:eastAsia="Times New Roman" w:hAnsi="Book Antiqua" w:cs="Tahoma"/>
          <w:color w:val="212121"/>
          <w:sz w:val="18"/>
          <w:szCs w:val="18"/>
          <w:shd w:val="clear" w:color="auto" w:fill="FFFFFF"/>
        </w:rPr>
        <w:t>; [omitted]</w:t>
      </w:r>
    </w:p>
  </w:footnote>
  <w:footnote w:id="12">
    <w:p w14:paraId="5B930C78" w14:textId="62669D32" w:rsidR="00CE5BA2" w:rsidRPr="00F603FC" w:rsidRDefault="00CE5BA2">
      <w:pPr>
        <w:pStyle w:val="FootnoteText"/>
        <w:rPr>
          <w:rFonts w:ascii="Book Antiqua" w:hAnsi="Book Antiqua"/>
          <w:sz w:val="18"/>
          <w:szCs w:val="18"/>
          <w:lang w:val="en-IE"/>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sidRPr="00F603FC">
        <w:rPr>
          <w:rFonts w:ascii="Book Antiqua" w:hAnsi="Book Antiqua"/>
          <w:i/>
          <w:sz w:val="18"/>
          <w:szCs w:val="18"/>
          <w:lang w:val="en-IE"/>
        </w:rPr>
        <w:t>See</w:t>
      </w:r>
      <w:r w:rsidRPr="00F603FC">
        <w:rPr>
          <w:rFonts w:ascii="Book Antiqua" w:hAnsi="Book Antiqua"/>
          <w:sz w:val="18"/>
          <w:szCs w:val="18"/>
          <w:lang w:val="en-IE"/>
        </w:rPr>
        <w:t xml:space="preserve"> KENT ROACH, THE SUPREME COURT ON TRIAL: JUDICIAL ACTIVISM OR DEMOCRATIC DIALOUGE (2001).</w:t>
      </w:r>
    </w:p>
  </w:footnote>
  <w:footnote w:id="13">
    <w:p w14:paraId="2E7BBF9F" w14:textId="10B2D742" w:rsidR="00CE5BA2" w:rsidRPr="00D85776" w:rsidRDefault="00CE5BA2" w:rsidP="0060292A">
      <w:pPr>
        <w:pStyle w:val="FootnoteText"/>
        <w:jc w:val="both"/>
        <w:rPr>
          <w:rFonts w:ascii="Book Antiqua" w:hAnsi="Book Antiqua"/>
          <w:color w:val="000000" w:themeColor="text1"/>
          <w:sz w:val="18"/>
          <w:szCs w:val="18"/>
          <w:lang w:val="en-GB"/>
        </w:rPr>
      </w:pPr>
      <w:r w:rsidRPr="00D85776">
        <w:rPr>
          <w:rStyle w:val="FootnoteReference"/>
          <w:rFonts w:ascii="Book Antiqua" w:hAnsi="Book Antiqua"/>
          <w:color w:val="000000" w:themeColor="text1"/>
          <w:sz w:val="18"/>
          <w:szCs w:val="18"/>
        </w:rPr>
        <w:footnoteRef/>
      </w:r>
      <w:r w:rsidRPr="00D85776">
        <w:rPr>
          <w:rFonts w:ascii="Book Antiqua" w:hAnsi="Book Antiqua"/>
          <w:color w:val="000000" w:themeColor="text1"/>
          <w:sz w:val="18"/>
          <w:szCs w:val="18"/>
        </w:rPr>
        <w:t xml:space="preserve"> Jeremy Waldron, </w:t>
      </w:r>
      <w:r w:rsidRPr="00F603FC">
        <w:rPr>
          <w:rFonts w:ascii="Book Antiqua" w:hAnsi="Book Antiqua"/>
          <w:i/>
          <w:color w:val="000000" w:themeColor="text1"/>
          <w:sz w:val="18"/>
          <w:szCs w:val="18"/>
          <w:lang w:val="en-GB"/>
        </w:rPr>
        <w:t>Representative Law Making</w:t>
      </w:r>
      <w:r w:rsidRPr="00D85776">
        <w:rPr>
          <w:rFonts w:ascii="Book Antiqua" w:hAnsi="Book Antiqua"/>
          <w:color w:val="000000" w:themeColor="text1"/>
          <w:sz w:val="18"/>
          <w:szCs w:val="18"/>
          <w:lang w:val="en-GB"/>
        </w:rPr>
        <w:t xml:space="preserve">, </w:t>
      </w:r>
      <w:r>
        <w:rPr>
          <w:rFonts w:ascii="Book Antiqua" w:hAnsi="Book Antiqua"/>
          <w:color w:val="000000" w:themeColor="text1"/>
          <w:sz w:val="18"/>
          <w:szCs w:val="18"/>
          <w:lang w:val="en-GB"/>
        </w:rPr>
        <w:t>89 B.U. L. REV.</w:t>
      </w:r>
      <w:r w:rsidRPr="00D85776">
        <w:rPr>
          <w:rFonts w:ascii="Book Antiqua" w:hAnsi="Book Antiqua"/>
          <w:color w:val="000000" w:themeColor="text1"/>
          <w:sz w:val="18"/>
          <w:szCs w:val="18"/>
          <w:lang w:val="en-GB"/>
        </w:rPr>
        <w:t xml:space="preserve"> </w:t>
      </w:r>
      <w:r w:rsidRPr="00FA272A">
        <w:rPr>
          <w:rFonts w:ascii="Book Antiqua" w:hAnsi="Book Antiqua"/>
          <w:color w:val="000000" w:themeColor="text1"/>
          <w:sz w:val="18"/>
          <w:szCs w:val="18"/>
          <w:lang w:val="en-GB"/>
        </w:rPr>
        <w:t>335, 340</w:t>
      </w:r>
      <w:r>
        <w:rPr>
          <w:rFonts w:ascii="Book Antiqua" w:hAnsi="Book Antiqua"/>
          <w:color w:val="000000" w:themeColor="text1"/>
          <w:sz w:val="18"/>
          <w:szCs w:val="18"/>
          <w:lang w:val="en-GB"/>
        </w:rPr>
        <w:t xml:space="preserve"> </w:t>
      </w:r>
      <w:r w:rsidRPr="002C5A73">
        <w:rPr>
          <w:rFonts w:ascii="Book Antiqua" w:hAnsi="Book Antiqua"/>
          <w:color w:val="000000" w:themeColor="text1"/>
          <w:sz w:val="18"/>
          <w:szCs w:val="18"/>
          <w:lang w:val="en-GB"/>
        </w:rPr>
        <w:t>(2009)</w:t>
      </w:r>
      <w:r>
        <w:rPr>
          <w:rFonts w:ascii="Book Antiqua" w:hAnsi="Book Antiqua"/>
          <w:color w:val="000000" w:themeColor="text1"/>
          <w:sz w:val="18"/>
          <w:szCs w:val="18"/>
          <w:lang w:val="en-GB"/>
        </w:rPr>
        <w:t>.</w:t>
      </w:r>
    </w:p>
  </w:footnote>
  <w:footnote w:id="14">
    <w:p w14:paraId="6CCCBB14" w14:textId="47CE5F59" w:rsidR="00CE5BA2" w:rsidRPr="00735395" w:rsidRDefault="00CE5BA2" w:rsidP="0060292A">
      <w:pPr>
        <w:pStyle w:val="FootnoteText"/>
        <w:jc w:val="both"/>
        <w:rPr>
          <w:rFonts w:ascii="Book Antiqua" w:hAnsi="Book Antiqua"/>
          <w:sz w:val="18"/>
          <w:szCs w:val="18"/>
          <w:lang w:val="en-GB"/>
        </w:rPr>
      </w:pPr>
      <w:r w:rsidRPr="00D85776">
        <w:rPr>
          <w:rStyle w:val="FootnoteReference"/>
          <w:rFonts w:ascii="Book Antiqua" w:hAnsi="Book Antiqua"/>
          <w:sz w:val="18"/>
          <w:szCs w:val="18"/>
        </w:rPr>
        <w:footnoteRef/>
      </w:r>
      <w:r w:rsidRPr="00D85776">
        <w:rPr>
          <w:rFonts w:ascii="Book Antiqua" w:hAnsi="Book Antiqua"/>
          <w:sz w:val="18"/>
          <w:szCs w:val="18"/>
        </w:rPr>
        <w:t xml:space="preserve"> Jeremy Waldron</w:t>
      </w:r>
      <w:r w:rsidRPr="00F603FC">
        <w:rPr>
          <w:rFonts w:ascii="Book Antiqua" w:hAnsi="Book Antiqua"/>
          <w:i/>
          <w:sz w:val="18"/>
          <w:szCs w:val="18"/>
        </w:rPr>
        <w:t>, Judges as Moral Reasoners</w:t>
      </w:r>
      <w:r w:rsidRPr="002C5A73">
        <w:rPr>
          <w:rFonts w:ascii="Book Antiqua" w:hAnsi="Book Antiqua"/>
          <w:sz w:val="18"/>
          <w:szCs w:val="18"/>
        </w:rPr>
        <w:t>,</w:t>
      </w:r>
      <w:r>
        <w:rPr>
          <w:rFonts w:ascii="Book Antiqua" w:hAnsi="Book Antiqua"/>
          <w:sz w:val="18"/>
          <w:szCs w:val="18"/>
        </w:rPr>
        <w:t xml:space="preserve"> 7</w:t>
      </w:r>
      <w:r w:rsidRPr="00D85776">
        <w:rPr>
          <w:rFonts w:ascii="Book Antiqua" w:hAnsi="Book Antiqua"/>
          <w:sz w:val="18"/>
          <w:szCs w:val="18"/>
        </w:rPr>
        <w:t xml:space="preserve"> </w:t>
      </w:r>
      <w:r>
        <w:rPr>
          <w:rFonts w:ascii="Book Antiqua" w:hAnsi="Book Antiqua"/>
          <w:sz w:val="18"/>
          <w:szCs w:val="18"/>
        </w:rPr>
        <w:t>INT’L. J. CONST. L. 2, 9 (2009)</w:t>
      </w:r>
      <w:r w:rsidRPr="00735395">
        <w:rPr>
          <w:rFonts w:ascii="Book Antiqua" w:hAnsi="Book Antiqua"/>
          <w:sz w:val="18"/>
          <w:szCs w:val="18"/>
        </w:rPr>
        <w:t>.</w:t>
      </w:r>
    </w:p>
  </w:footnote>
  <w:footnote w:id="15">
    <w:p w14:paraId="3ABED925" w14:textId="0030A129"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hAnsi="Book Antiqua"/>
          <w:sz w:val="18"/>
          <w:szCs w:val="18"/>
          <w:lang w:val="en-GB"/>
        </w:rPr>
        <w:t xml:space="preserve">Hiebert, </w:t>
      </w:r>
      <w:r w:rsidRPr="00D85776">
        <w:rPr>
          <w:rFonts w:ascii="Book Antiqua" w:hAnsi="Book Antiqua"/>
          <w:i/>
          <w:sz w:val="18"/>
          <w:szCs w:val="18"/>
          <w:lang w:val="en-GB"/>
        </w:rPr>
        <w:t>s</w:t>
      </w:r>
      <w:r w:rsidRPr="0055217F">
        <w:rPr>
          <w:rFonts w:ascii="Book Antiqua" w:hAnsi="Book Antiqua"/>
          <w:i/>
          <w:sz w:val="18"/>
          <w:szCs w:val="18"/>
          <w:lang w:val="en-GB"/>
        </w:rPr>
        <w:t>upra</w:t>
      </w:r>
      <w:r>
        <w:rPr>
          <w:rFonts w:ascii="Book Antiqua" w:hAnsi="Book Antiqua"/>
          <w:sz w:val="18"/>
          <w:szCs w:val="18"/>
          <w:lang w:val="en-GB"/>
        </w:rPr>
        <w:t xml:space="preserve"> note 16, at</w:t>
      </w:r>
      <w:r w:rsidRPr="0055217F">
        <w:rPr>
          <w:rFonts w:ascii="Book Antiqua" w:hAnsi="Book Antiqua"/>
          <w:sz w:val="18"/>
          <w:szCs w:val="18"/>
          <w:lang w:val="en-GB"/>
        </w:rPr>
        <w:t xml:space="preserve"> </w:t>
      </w:r>
      <w:r w:rsidRPr="00735395">
        <w:rPr>
          <w:rFonts w:ascii="Book Antiqua" w:hAnsi="Book Antiqua"/>
          <w:sz w:val="18"/>
          <w:szCs w:val="18"/>
          <w:lang w:val="en-GB"/>
        </w:rPr>
        <w:t xml:space="preserve">1987. </w:t>
      </w:r>
    </w:p>
  </w:footnote>
  <w:footnote w:id="16">
    <w:p w14:paraId="6F1EBA5E" w14:textId="76440A78" w:rsidR="00CE5BA2" w:rsidRPr="00F80DFA" w:rsidRDefault="00CE5BA2" w:rsidP="00F80DFA">
      <w:pPr>
        <w:jc w:val="both"/>
        <w:rPr>
          <w:rFonts w:ascii="Book Antiqua" w:eastAsia="Times New Roman" w:hAnsi="Book Antiqua"/>
          <w:sz w:val="18"/>
          <w:szCs w:val="18"/>
        </w:rPr>
      </w:pPr>
      <w:r w:rsidRPr="00F80DFA">
        <w:rPr>
          <w:rStyle w:val="FootnoteReference"/>
          <w:rFonts w:ascii="Book Antiqua" w:hAnsi="Book Antiqua"/>
          <w:sz w:val="18"/>
          <w:szCs w:val="18"/>
        </w:rPr>
        <w:footnoteRef/>
      </w:r>
      <w:r>
        <w:rPr>
          <w:rFonts w:ascii="Book Antiqua" w:hAnsi="Book Antiqua"/>
          <w:sz w:val="18"/>
          <w:szCs w:val="18"/>
        </w:rPr>
        <w:t xml:space="preserve"> </w:t>
      </w:r>
      <w:proofErr w:type="spellStart"/>
      <w:r w:rsidRPr="00735395">
        <w:rPr>
          <w:rFonts w:ascii="Book Antiqua" w:hAnsi="Book Antiqua"/>
          <w:sz w:val="18"/>
          <w:szCs w:val="18"/>
          <w:lang w:val="en-GB"/>
        </w:rPr>
        <w:t>Gardbaum</w:t>
      </w:r>
      <w:proofErr w:type="spellEnd"/>
      <w:r w:rsidRPr="00735395">
        <w:rPr>
          <w:rFonts w:ascii="Book Antiqua" w:hAnsi="Book Antiqua"/>
          <w:sz w:val="18"/>
          <w:szCs w:val="18"/>
          <w:lang w:val="en-GB"/>
        </w:rPr>
        <w:t>,</w:t>
      </w:r>
      <w:r>
        <w:rPr>
          <w:rFonts w:ascii="Book Antiqua" w:hAnsi="Book Antiqua"/>
          <w:sz w:val="18"/>
          <w:szCs w:val="18"/>
          <w:lang w:val="en-GB"/>
        </w:rPr>
        <w:t xml:space="preserve"> </w:t>
      </w:r>
      <w:r>
        <w:rPr>
          <w:rFonts w:ascii="Book Antiqua" w:hAnsi="Book Antiqua"/>
          <w:i/>
          <w:sz w:val="18"/>
          <w:szCs w:val="18"/>
          <w:lang w:val="en-GB"/>
        </w:rPr>
        <w:t>supra</w:t>
      </w:r>
      <w:r>
        <w:rPr>
          <w:rFonts w:ascii="Book Antiqua" w:hAnsi="Book Antiqua"/>
          <w:sz w:val="18"/>
          <w:szCs w:val="18"/>
          <w:lang w:val="en-GB"/>
        </w:rPr>
        <w:t xml:space="preserve"> note 1, at</w:t>
      </w:r>
      <w:r w:rsidRPr="00F80DFA" w:rsidDel="00F97DFD">
        <w:rPr>
          <w:rFonts w:ascii="Book Antiqua" w:hAnsi="Book Antiqua"/>
          <w:sz w:val="18"/>
          <w:szCs w:val="18"/>
        </w:rPr>
        <w:t xml:space="preserve"> </w:t>
      </w:r>
      <w:r w:rsidRPr="00F80DFA">
        <w:rPr>
          <w:rFonts w:ascii="Book Antiqua" w:hAnsi="Book Antiqua"/>
          <w:sz w:val="18"/>
          <w:szCs w:val="18"/>
          <w:lang w:val="en-GB"/>
        </w:rPr>
        <w:t xml:space="preserve">69. </w:t>
      </w:r>
      <w:r w:rsidRPr="00D133E2">
        <w:rPr>
          <w:rFonts w:ascii="Book Antiqua" w:hAnsi="Book Antiqua"/>
          <w:i/>
          <w:sz w:val="18"/>
          <w:szCs w:val="18"/>
          <w:lang w:val="en-GB"/>
        </w:rPr>
        <w:t>See</w:t>
      </w:r>
      <w:r w:rsidRPr="00F80DFA">
        <w:rPr>
          <w:rFonts w:ascii="Book Antiqua" w:hAnsi="Book Antiqua"/>
          <w:sz w:val="18"/>
          <w:szCs w:val="18"/>
          <w:lang w:val="en-GB"/>
        </w:rPr>
        <w:t xml:space="preserve"> </w:t>
      </w:r>
      <w:r>
        <w:rPr>
          <w:rFonts w:ascii="Book Antiqua" w:hAnsi="Book Antiqua"/>
          <w:sz w:val="18"/>
          <w:szCs w:val="18"/>
          <w:lang w:val="en-GB"/>
        </w:rPr>
        <w:t>also [omitted]</w:t>
      </w:r>
    </w:p>
  </w:footnote>
  <w:footnote w:id="17">
    <w:p w14:paraId="5FAAB1AD" w14:textId="174B2A2F" w:rsidR="00CE5BA2" w:rsidRPr="00735395" w:rsidRDefault="00CE5BA2" w:rsidP="00F80DFA">
      <w:pPr>
        <w:pStyle w:val="FootnoteText"/>
        <w:jc w:val="both"/>
        <w:rPr>
          <w:rFonts w:ascii="Book Antiqua" w:hAnsi="Book Antiqua"/>
          <w:sz w:val="18"/>
          <w:szCs w:val="18"/>
          <w:lang w:val="en-IE"/>
        </w:rPr>
      </w:pPr>
      <w:r w:rsidRPr="00F80DFA">
        <w:rPr>
          <w:rStyle w:val="FootnoteReference"/>
          <w:rFonts w:ascii="Book Antiqua" w:hAnsi="Book Antiqua"/>
          <w:sz w:val="18"/>
          <w:szCs w:val="18"/>
        </w:rPr>
        <w:footnoteRef/>
      </w:r>
      <w:r w:rsidRPr="00F80DFA">
        <w:rPr>
          <w:rFonts w:ascii="Book Antiqua" w:hAnsi="Book Antiqua"/>
          <w:sz w:val="18"/>
          <w:szCs w:val="18"/>
        </w:rPr>
        <w:t xml:space="preserve"> </w:t>
      </w:r>
      <w:r w:rsidRPr="00F80DFA">
        <w:rPr>
          <w:rFonts w:ascii="Book Antiqua" w:hAnsi="Book Antiqua"/>
          <w:sz w:val="18"/>
          <w:szCs w:val="18"/>
          <w:lang w:val="en-IE"/>
        </w:rPr>
        <w:t>Aileen</w:t>
      </w:r>
      <w:r>
        <w:rPr>
          <w:rFonts w:ascii="Book Antiqua" w:hAnsi="Book Antiqua"/>
          <w:sz w:val="18"/>
          <w:szCs w:val="18"/>
          <w:lang w:val="en-IE"/>
        </w:rPr>
        <w:t xml:space="preserve"> Kavanagh, </w:t>
      </w:r>
      <w:r w:rsidRPr="00F603FC">
        <w:rPr>
          <w:rFonts w:ascii="Book Antiqua" w:hAnsi="Book Antiqua"/>
          <w:i/>
          <w:sz w:val="18"/>
          <w:szCs w:val="18"/>
          <w:lang w:val="en-IE"/>
        </w:rPr>
        <w:t>The Lure and Limits of Dialogue</w:t>
      </w:r>
      <w:r>
        <w:rPr>
          <w:rFonts w:ascii="Book Antiqua" w:hAnsi="Book Antiqua"/>
          <w:sz w:val="18"/>
          <w:szCs w:val="18"/>
          <w:lang w:val="en-IE"/>
        </w:rPr>
        <w:t>, 66 U. TORONTO L.J.  83 (2016).</w:t>
      </w:r>
    </w:p>
  </w:footnote>
  <w:footnote w:id="18">
    <w:p w14:paraId="327E858C" w14:textId="308EA67E" w:rsidR="00CE5BA2" w:rsidRPr="00735395" w:rsidRDefault="00CE5BA2" w:rsidP="0060292A">
      <w:pPr>
        <w:pStyle w:val="FootnoteText"/>
        <w:jc w:val="both"/>
        <w:rPr>
          <w:rFonts w:ascii="Book Antiqua" w:hAnsi="Book Antiqua"/>
          <w:sz w:val="18"/>
          <w:szCs w:val="18"/>
          <w:lang w:val="en-IE"/>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proofErr w:type="spellStart"/>
      <w:r w:rsidRPr="00735395">
        <w:rPr>
          <w:rFonts w:ascii="Book Antiqua" w:hAnsi="Book Antiqua"/>
          <w:sz w:val="18"/>
          <w:szCs w:val="18"/>
          <w:lang w:val="en-GB"/>
        </w:rPr>
        <w:t>Gardbaum</w:t>
      </w:r>
      <w:proofErr w:type="spellEnd"/>
      <w:r w:rsidRPr="00735395">
        <w:rPr>
          <w:rFonts w:ascii="Book Antiqua" w:hAnsi="Book Antiqua"/>
          <w:sz w:val="18"/>
          <w:szCs w:val="18"/>
          <w:lang w:val="en-GB"/>
        </w:rPr>
        <w:t xml:space="preserve">, </w:t>
      </w:r>
      <w:r>
        <w:rPr>
          <w:rFonts w:ascii="Book Antiqua" w:hAnsi="Book Antiqua"/>
          <w:i/>
          <w:sz w:val="18"/>
          <w:szCs w:val="18"/>
          <w:lang w:val="en-GB"/>
        </w:rPr>
        <w:t>supra</w:t>
      </w:r>
      <w:r>
        <w:rPr>
          <w:rFonts w:ascii="Book Antiqua" w:hAnsi="Book Antiqua"/>
          <w:sz w:val="18"/>
          <w:szCs w:val="18"/>
          <w:lang w:val="en-GB"/>
        </w:rPr>
        <w:t xml:space="preserve"> note 1, at</w:t>
      </w:r>
      <w:r w:rsidRPr="00735395" w:rsidDel="00F97DFD">
        <w:rPr>
          <w:rFonts w:ascii="Book Antiqua" w:hAnsi="Book Antiqua"/>
          <w:sz w:val="18"/>
          <w:szCs w:val="18"/>
        </w:rPr>
        <w:t xml:space="preserve"> </w:t>
      </w:r>
      <w:r w:rsidRPr="00735395">
        <w:rPr>
          <w:rFonts w:ascii="Book Antiqua" w:hAnsi="Book Antiqua"/>
          <w:sz w:val="18"/>
          <w:szCs w:val="18"/>
          <w:lang w:val="en-GB"/>
        </w:rPr>
        <w:t>52.</w:t>
      </w:r>
    </w:p>
  </w:footnote>
  <w:footnote w:id="19">
    <w:p w14:paraId="2FDA4657" w14:textId="2F21F12A" w:rsidR="00CE5BA2" w:rsidRPr="00735395" w:rsidRDefault="00CE5BA2" w:rsidP="009353C7">
      <w:pPr>
        <w:jc w:val="both"/>
        <w:rPr>
          <w:rFonts w:ascii="Book Antiqua" w:eastAsia="Times New Roman"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 xml:space="preserve">Obviously, there are many other examples that might be considered. </w:t>
      </w:r>
      <w:r w:rsidRPr="00735395">
        <w:rPr>
          <w:rFonts w:ascii="Book Antiqua" w:hAnsi="Book Antiqua"/>
          <w:sz w:val="18"/>
          <w:szCs w:val="18"/>
        </w:rPr>
        <w:t>For example, Australia has an interesting and seemingly robust pre-enactment review system in place, but does not have judicial review in the same way a</w:t>
      </w:r>
      <w:r>
        <w:rPr>
          <w:rFonts w:ascii="Book Antiqua" w:hAnsi="Book Antiqua"/>
          <w:sz w:val="18"/>
          <w:szCs w:val="18"/>
        </w:rPr>
        <w:t xml:space="preserve">s the other countries discussed; </w:t>
      </w:r>
      <w:r w:rsidRPr="00246A0E">
        <w:rPr>
          <w:rFonts w:ascii="Book Antiqua" w:hAnsi="Book Antiqua"/>
          <w:i/>
          <w:sz w:val="18"/>
          <w:szCs w:val="18"/>
        </w:rPr>
        <w:t>see</w:t>
      </w:r>
      <w:r>
        <w:rPr>
          <w:rFonts w:ascii="Book Antiqua" w:hAnsi="Book Antiqua"/>
          <w:sz w:val="18"/>
          <w:szCs w:val="18"/>
        </w:rPr>
        <w:t xml:space="preserve"> George Williams and Daniel Reynolds, </w:t>
      </w:r>
      <w:r w:rsidRPr="00F603FC">
        <w:rPr>
          <w:rFonts w:ascii="Book Antiqua" w:hAnsi="Book Antiqua"/>
          <w:i/>
          <w:sz w:val="18"/>
          <w:szCs w:val="18"/>
        </w:rPr>
        <w:t>The Operation and Impact of Australia’s Parliamentary Scrutiny Regime for Human Rights</w:t>
      </w:r>
      <w:r>
        <w:rPr>
          <w:rFonts w:ascii="Book Antiqua" w:hAnsi="Book Antiqua"/>
          <w:sz w:val="18"/>
          <w:szCs w:val="18"/>
        </w:rPr>
        <w:t xml:space="preserve"> 41 MONASH. U. L. Rev. 470 (2015).</w:t>
      </w:r>
      <w:r w:rsidRPr="00735395">
        <w:rPr>
          <w:rFonts w:ascii="Book Antiqua" w:hAnsi="Book Antiqua"/>
          <w:sz w:val="18"/>
          <w:szCs w:val="18"/>
        </w:rPr>
        <w:t xml:space="preserve"> </w:t>
      </w:r>
      <w:r>
        <w:rPr>
          <w:rFonts w:ascii="Book Antiqua" w:hAnsi="Book Antiqua"/>
          <w:sz w:val="18"/>
          <w:szCs w:val="18"/>
        </w:rPr>
        <w:t xml:space="preserve">Other systems of formal </w:t>
      </w:r>
      <w:r w:rsidRPr="00F603FC">
        <w:rPr>
          <w:rFonts w:ascii="Book Antiqua" w:hAnsi="Book Antiqua"/>
          <w:i/>
          <w:sz w:val="18"/>
          <w:szCs w:val="18"/>
        </w:rPr>
        <w:t>ex ante</w:t>
      </w:r>
      <w:r>
        <w:rPr>
          <w:rFonts w:ascii="Book Antiqua" w:hAnsi="Book Antiqua"/>
          <w:sz w:val="18"/>
          <w:szCs w:val="18"/>
        </w:rPr>
        <w:t xml:space="preserve"> review such as </w:t>
      </w:r>
      <w:r w:rsidRPr="00735395">
        <w:rPr>
          <w:rFonts w:ascii="Book Antiqua" w:hAnsi="Book Antiqua"/>
          <w:color w:val="000000" w:themeColor="text1"/>
          <w:sz w:val="18"/>
          <w:szCs w:val="18"/>
        </w:rPr>
        <w:t xml:space="preserve">France </w:t>
      </w:r>
      <w:r>
        <w:rPr>
          <w:rFonts w:ascii="Book Antiqua" w:hAnsi="Book Antiqua"/>
          <w:color w:val="000000" w:themeColor="text1"/>
          <w:sz w:val="18"/>
          <w:szCs w:val="18"/>
        </w:rPr>
        <w:t>and Finland are also of interest.</w:t>
      </w:r>
      <w:r w:rsidRPr="00735395">
        <w:rPr>
          <w:rFonts w:ascii="Book Antiqua" w:hAnsi="Book Antiqua"/>
          <w:sz w:val="18"/>
          <w:szCs w:val="18"/>
        </w:rPr>
        <w:t xml:space="preserve"> </w:t>
      </w:r>
      <w:r w:rsidRPr="00735395">
        <w:rPr>
          <w:rFonts w:ascii="Book Antiqua" w:hAnsi="Book Antiqua"/>
          <w:i/>
          <w:sz w:val="18"/>
          <w:szCs w:val="18"/>
        </w:rPr>
        <w:t>See</w:t>
      </w:r>
      <w:r>
        <w:rPr>
          <w:rFonts w:ascii="Book Antiqua" w:hAnsi="Book Antiqua"/>
          <w:i/>
          <w:sz w:val="18"/>
          <w:szCs w:val="18"/>
        </w:rPr>
        <w:t xml:space="preserve"> </w:t>
      </w:r>
      <w:r>
        <w:rPr>
          <w:rFonts w:ascii="Book Antiqua" w:hAnsi="Book Antiqua"/>
          <w:sz w:val="18"/>
          <w:szCs w:val="18"/>
        </w:rPr>
        <w:t xml:space="preserve">respectively Susan Rose-Ackerman, Thomas </w:t>
      </w:r>
      <w:proofErr w:type="spellStart"/>
      <w:r>
        <w:rPr>
          <w:rFonts w:ascii="Book Antiqua" w:hAnsi="Book Antiqua"/>
          <w:sz w:val="18"/>
          <w:szCs w:val="18"/>
        </w:rPr>
        <w:t>Perroud</w:t>
      </w:r>
      <w:proofErr w:type="spellEnd"/>
      <w:r>
        <w:rPr>
          <w:rFonts w:ascii="Book Antiqua" w:hAnsi="Book Antiqua"/>
          <w:sz w:val="18"/>
          <w:szCs w:val="18"/>
        </w:rPr>
        <w:t xml:space="preserve">, </w:t>
      </w:r>
      <w:r w:rsidRPr="00F603FC">
        <w:rPr>
          <w:rFonts w:ascii="Book Antiqua" w:hAnsi="Book Antiqua"/>
          <w:i/>
          <w:sz w:val="18"/>
          <w:szCs w:val="18"/>
        </w:rPr>
        <w:t>Policymaking and Public Law in France: Public Participation, Agency Independence, and Impact Assessment</w:t>
      </w:r>
      <w:r>
        <w:rPr>
          <w:rFonts w:ascii="Book Antiqua" w:hAnsi="Book Antiqua"/>
          <w:sz w:val="18"/>
          <w:szCs w:val="18"/>
        </w:rPr>
        <w:t>, 19 COLUM. J. EUR. L. 225</w:t>
      </w:r>
      <w:r>
        <w:rPr>
          <w:rFonts w:ascii="Book Antiqua" w:hAnsi="Book Antiqua"/>
          <w:i/>
          <w:sz w:val="18"/>
          <w:szCs w:val="18"/>
        </w:rPr>
        <w:t xml:space="preserve"> </w:t>
      </w:r>
      <w:r>
        <w:rPr>
          <w:rFonts w:ascii="Book Antiqua" w:hAnsi="Book Antiqua"/>
          <w:sz w:val="18"/>
          <w:szCs w:val="18"/>
        </w:rPr>
        <w:t>(2013) and</w:t>
      </w:r>
      <w:r w:rsidRPr="00735395">
        <w:rPr>
          <w:rFonts w:ascii="Book Antiqua" w:hAnsi="Book Antiqua"/>
          <w:i/>
          <w:sz w:val="18"/>
          <w:szCs w:val="18"/>
        </w:rPr>
        <w:t xml:space="preserve"> </w:t>
      </w:r>
      <w:proofErr w:type="spellStart"/>
      <w:r w:rsidRPr="00735395">
        <w:rPr>
          <w:rFonts w:ascii="Book Antiqua" w:hAnsi="Book Antiqua"/>
          <w:sz w:val="18"/>
          <w:szCs w:val="18"/>
        </w:rPr>
        <w:t>Juha</w:t>
      </w:r>
      <w:proofErr w:type="spellEnd"/>
      <w:r w:rsidRPr="00735395">
        <w:rPr>
          <w:rFonts w:ascii="Book Antiqua" w:hAnsi="Book Antiqua"/>
          <w:sz w:val="18"/>
          <w:szCs w:val="18"/>
        </w:rPr>
        <w:t xml:space="preserve"> </w:t>
      </w:r>
      <w:proofErr w:type="spellStart"/>
      <w:r w:rsidRPr="00735395">
        <w:rPr>
          <w:rFonts w:ascii="Book Antiqua" w:hAnsi="Book Antiqua"/>
          <w:sz w:val="18"/>
          <w:szCs w:val="18"/>
        </w:rPr>
        <w:t>Lavapuro</w:t>
      </w:r>
      <w:proofErr w:type="spellEnd"/>
      <w:r w:rsidRPr="00735395">
        <w:rPr>
          <w:rFonts w:ascii="Book Antiqua" w:hAnsi="Book Antiqua"/>
          <w:sz w:val="18"/>
          <w:szCs w:val="18"/>
        </w:rPr>
        <w:t xml:space="preserve">, </w:t>
      </w:r>
      <w:proofErr w:type="spellStart"/>
      <w:r w:rsidRPr="00735395">
        <w:rPr>
          <w:rFonts w:ascii="Book Antiqua" w:hAnsi="Book Antiqua"/>
          <w:sz w:val="18"/>
          <w:szCs w:val="18"/>
        </w:rPr>
        <w:t>Tuomas</w:t>
      </w:r>
      <w:proofErr w:type="spellEnd"/>
      <w:r w:rsidRPr="00735395">
        <w:rPr>
          <w:rFonts w:ascii="Book Antiqua" w:hAnsi="Book Antiqua"/>
          <w:sz w:val="18"/>
          <w:szCs w:val="18"/>
        </w:rPr>
        <w:t xml:space="preserve"> </w:t>
      </w:r>
      <w:proofErr w:type="spellStart"/>
      <w:r w:rsidRPr="00735395">
        <w:rPr>
          <w:rFonts w:ascii="Book Antiqua" w:hAnsi="Book Antiqua"/>
          <w:sz w:val="18"/>
          <w:szCs w:val="18"/>
        </w:rPr>
        <w:t>Ojanen</w:t>
      </w:r>
      <w:proofErr w:type="spellEnd"/>
      <w:r w:rsidRPr="00735395">
        <w:rPr>
          <w:rFonts w:ascii="Book Antiqua" w:hAnsi="Book Antiqua"/>
          <w:sz w:val="18"/>
          <w:szCs w:val="18"/>
        </w:rPr>
        <w:t xml:space="preserve">, and Martin </w:t>
      </w:r>
      <w:proofErr w:type="spellStart"/>
      <w:r w:rsidRPr="00735395">
        <w:rPr>
          <w:rFonts w:ascii="Book Antiqua" w:hAnsi="Book Antiqua"/>
          <w:sz w:val="18"/>
          <w:szCs w:val="18"/>
        </w:rPr>
        <w:t>Scheinin</w:t>
      </w:r>
      <w:proofErr w:type="spellEnd"/>
      <w:r w:rsidRPr="00735395">
        <w:rPr>
          <w:rFonts w:ascii="Book Antiqua" w:hAnsi="Book Antiqua"/>
          <w:sz w:val="18"/>
          <w:szCs w:val="18"/>
        </w:rPr>
        <w:t xml:space="preserve">, </w:t>
      </w:r>
      <w:r w:rsidRPr="00F603FC">
        <w:rPr>
          <w:rFonts w:ascii="Book Antiqua" w:hAnsi="Book Antiqua"/>
          <w:i/>
          <w:sz w:val="18"/>
          <w:szCs w:val="18"/>
          <w:lang w:val="en-GB"/>
        </w:rPr>
        <w:t>Rights-</w:t>
      </w:r>
      <w:r>
        <w:rPr>
          <w:rFonts w:ascii="Book Antiqua" w:hAnsi="Book Antiqua"/>
          <w:i/>
          <w:sz w:val="18"/>
          <w:szCs w:val="18"/>
          <w:lang w:val="en-GB"/>
        </w:rPr>
        <w:t>B</w:t>
      </w:r>
      <w:r w:rsidRPr="00F603FC">
        <w:rPr>
          <w:rFonts w:ascii="Book Antiqua" w:hAnsi="Book Antiqua"/>
          <w:i/>
          <w:sz w:val="18"/>
          <w:szCs w:val="18"/>
          <w:lang w:val="en-GB"/>
        </w:rPr>
        <w:t xml:space="preserve">ased </w:t>
      </w:r>
      <w:r>
        <w:rPr>
          <w:rFonts w:ascii="Book Antiqua" w:hAnsi="Book Antiqua"/>
          <w:i/>
          <w:sz w:val="18"/>
          <w:szCs w:val="18"/>
          <w:lang w:val="en-GB"/>
        </w:rPr>
        <w:t>C</w:t>
      </w:r>
      <w:r w:rsidRPr="00F603FC">
        <w:rPr>
          <w:rFonts w:ascii="Book Antiqua" w:hAnsi="Book Antiqua"/>
          <w:i/>
          <w:sz w:val="18"/>
          <w:szCs w:val="18"/>
          <w:lang w:val="en-GB"/>
        </w:rPr>
        <w:t xml:space="preserve">onstitutionalism in Finland and the </w:t>
      </w:r>
      <w:r>
        <w:rPr>
          <w:rFonts w:ascii="Book Antiqua" w:hAnsi="Book Antiqua"/>
          <w:i/>
          <w:sz w:val="18"/>
          <w:szCs w:val="18"/>
          <w:lang w:val="en-GB"/>
        </w:rPr>
        <w:t>D</w:t>
      </w:r>
      <w:r w:rsidRPr="00F603FC">
        <w:rPr>
          <w:rFonts w:ascii="Book Antiqua" w:hAnsi="Book Antiqua"/>
          <w:i/>
          <w:sz w:val="18"/>
          <w:szCs w:val="18"/>
          <w:lang w:val="en-GB"/>
        </w:rPr>
        <w:t xml:space="preserve">evelopment of </w:t>
      </w:r>
      <w:r>
        <w:rPr>
          <w:rFonts w:ascii="Book Antiqua" w:hAnsi="Book Antiqua"/>
          <w:i/>
          <w:sz w:val="18"/>
          <w:szCs w:val="18"/>
          <w:lang w:val="en-GB"/>
        </w:rPr>
        <w:t>P</w:t>
      </w:r>
      <w:r w:rsidRPr="00F603FC">
        <w:rPr>
          <w:rFonts w:ascii="Book Antiqua" w:hAnsi="Book Antiqua"/>
          <w:i/>
          <w:sz w:val="18"/>
          <w:szCs w:val="18"/>
          <w:lang w:val="en-GB"/>
        </w:rPr>
        <w:t xml:space="preserve">luralist </w:t>
      </w:r>
      <w:r>
        <w:rPr>
          <w:rFonts w:ascii="Book Antiqua" w:hAnsi="Book Antiqua"/>
          <w:i/>
          <w:sz w:val="18"/>
          <w:szCs w:val="18"/>
          <w:lang w:val="en-GB"/>
        </w:rPr>
        <w:t>C</w:t>
      </w:r>
      <w:r w:rsidRPr="00F603FC">
        <w:rPr>
          <w:rFonts w:ascii="Book Antiqua" w:hAnsi="Book Antiqua"/>
          <w:i/>
          <w:sz w:val="18"/>
          <w:szCs w:val="18"/>
          <w:lang w:val="en-GB"/>
        </w:rPr>
        <w:t xml:space="preserve">onstitutional </w:t>
      </w:r>
      <w:r>
        <w:rPr>
          <w:rFonts w:ascii="Book Antiqua" w:hAnsi="Book Antiqua"/>
          <w:i/>
          <w:sz w:val="18"/>
          <w:szCs w:val="18"/>
          <w:lang w:val="en-GB"/>
        </w:rPr>
        <w:t>R</w:t>
      </w:r>
      <w:r w:rsidRPr="00F603FC">
        <w:rPr>
          <w:rFonts w:ascii="Book Antiqua" w:hAnsi="Book Antiqua"/>
          <w:i/>
          <w:sz w:val="18"/>
          <w:szCs w:val="18"/>
          <w:lang w:val="en-GB"/>
        </w:rPr>
        <w:t>eview</w:t>
      </w:r>
      <w:r w:rsidRPr="00735395">
        <w:rPr>
          <w:rFonts w:ascii="Book Antiqua" w:hAnsi="Book Antiqua"/>
          <w:sz w:val="18"/>
          <w:szCs w:val="18"/>
          <w:lang w:val="en-GB"/>
        </w:rPr>
        <w:t xml:space="preserve">, </w:t>
      </w:r>
      <w:r>
        <w:rPr>
          <w:rFonts w:ascii="Book Antiqua" w:hAnsi="Book Antiqua"/>
          <w:sz w:val="18"/>
          <w:szCs w:val="18"/>
          <w:lang w:val="en-GB"/>
        </w:rPr>
        <w:t xml:space="preserve">9 </w:t>
      </w:r>
      <w:r>
        <w:rPr>
          <w:rFonts w:ascii="Book Antiqua" w:hAnsi="Book Antiqua"/>
          <w:sz w:val="18"/>
          <w:szCs w:val="18"/>
        </w:rPr>
        <w:t>INT’L. J. CONST. L.</w:t>
      </w:r>
      <w:r>
        <w:rPr>
          <w:rFonts w:ascii="Book Antiqua" w:hAnsi="Book Antiqua"/>
          <w:sz w:val="18"/>
          <w:szCs w:val="18"/>
          <w:lang w:val="en-GB"/>
        </w:rPr>
        <w:t xml:space="preserve"> 505 (2011). However, </w:t>
      </w:r>
      <w:r w:rsidRPr="00F603FC">
        <w:rPr>
          <w:rFonts w:ascii="Book Antiqua" w:hAnsi="Book Antiqua"/>
          <w:sz w:val="18"/>
          <w:szCs w:val="18"/>
          <w:lang w:val="en-GB"/>
        </w:rPr>
        <w:t xml:space="preserve">to keep the comparison stable and serve as useful contrast to our later examples, we have selected those </w:t>
      </w:r>
      <w:r>
        <w:rPr>
          <w:rFonts w:ascii="Book Antiqua" w:hAnsi="Book Antiqua"/>
          <w:sz w:val="18"/>
          <w:szCs w:val="18"/>
          <w:lang w:val="en-GB"/>
        </w:rPr>
        <w:t xml:space="preserve">system that have non-judicial pre-enactment review, and </w:t>
      </w:r>
      <w:r w:rsidRPr="00F603FC">
        <w:rPr>
          <w:rFonts w:ascii="Book Antiqua" w:hAnsi="Book Antiqua"/>
          <w:sz w:val="18"/>
          <w:szCs w:val="18"/>
          <w:lang w:val="en-GB"/>
        </w:rPr>
        <w:t>that have broadly similar models of governance and some institution of judicial review.</w:t>
      </w:r>
      <w:r>
        <w:rPr>
          <w:rFonts w:ascii="Book Antiqua" w:hAnsi="Book Antiqua"/>
          <w:sz w:val="18"/>
          <w:szCs w:val="18"/>
          <w:lang w:val="en-GB"/>
        </w:rPr>
        <w:t xml:space="preserve"> These other examples are worthy of exploration on another occasion.</w:t>
      </w:r>
    </w:p>
  </w:footnote>
  <w:footnote w:id="20">
    <w:p w14:paraId="66FFC65C" w14:textId="442D9B9E" w:rsidR="00CE5BA2" w:rsidRPr="00615C97" w:rsidRDefault="00CE5BA2" w:rsidP="00F14FEA">
      <w:pPr>
        <w:pStyle w:val="FootnoteText"/>
        <w:jc w:val="both"/>
        <w:rPr>
          <w:rFonts w:ascii="Book Antiqua" w:hAnsi="Book Antiqua"/>
          <w:sz w:val="18"/>
          <w:szCs w:val="18"/>
          <w:lang w:val="en-GB"/>
        </w:rPr>
      </w:pPr>
      <w:r w:rsidRPr="00615C97">
        <w:rPr>
          <w:rStyle w:val="FootnoteReference"/>
          <w:rFonts w:ascii="Book Antiqua" w:hAnsi="Book Antiqua"/>
          <w:sz w:val="18"/>
          <w:szCs w:val="18"/>
        </w:rPr>
        <w:footnoteRef/>
      </w:r>
      <w:r w:rsidRPr="00615C97">
        <w:rPr>
          <w:rFonts w:ascii="Book Antiqua" w:hAnsi="Book Antiqua"/>
          <w:sz w:val="18"/>
          <w:szCs w:val="18"/>
        </w:rPr>
        <w:t xml:space="preserve"> Department of Justice Act</w:t>
      </w:r>
      <w:r>
        <w:rPr>
          <w:rFonts w:ascii="Book Antiqua" w:hAnsi="Book Antiqua"/>
          <w:sz w:val="18"/>
          <w:szCs w:val="18"/>
        </w:rPr>
        <w:t xml:space="preserve"> § 4</w:t>
      </w:r>
      <w:r w:rsidRPr="00615C97">
        <w:rPr>
          <w:rFonts w:ascii="Book Antiqua" w:hAnsi="Book Antiqua"/>
          <w:sz w:val="18"/>
          <w:szCs w:val="18"/>
        </w:rPr>
        <w:t xml:space="preserve"> </w:t>
      </w:r>
      <w:r>
        <w:rPr>
          <w:rFonts w:ascii="Book Antiqua" w:hAnsi="Book Antiqua"/>
          <w:sz w:val="18"/>
          <w:szCs w:val="18"/>
        </w:rPr>
        <w:t>(</w:t>
      </w:r>
      <w:r w:rsidRPr="00615C97">
        <w:rPr>
          <w:rFonts w:ascii="Book Antiqua" w:hAnsi="Book Antiqua"/>
          <w:sz w:val="18"/>
          <w:szCs w:val="18"/>
        </w:rPr>
        <w:t>1985</w:t>
      </w:r>
      <w:r>
        <w:rPr>
          <w:rFonts w:ascii="Book Antiqua" w:hAnsi="Book Antiqua"/>
          <w:sz w:val="18"/>
          <w:szCs w:val="18"/>
        </w:rPr>
        <w:t>)</w:t>
      </w:r>
      <w:r w:rsidRPr="00615C97">
        <w:rPr>
          <w:rFonts w:ascii="Book Antiqua" w:hAnsi="Book Antiqua"/>
          <w:sz w:val="18"/>
          <w:szCs w:val="18"/>
        </w:rPr>
        <w:t>.</w:t>
      </w:r>
    </w:p>
  </w:footnote>
  <w:footnote w:id="21">
    <w:p w14:paraId="7EBE5760" w14:textId="189BCA4B" w:rsidR="00CE5BA2" w:rsidRPr="00735395" w:rsidRDefault="00CE5BA2" w:rsidP="00E26BED">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3E755C">
        <w:rPr>
          <w:rFonts w:ascii="Book Antiqua" w:hAnsi="Book Antiqua"/>
          <w:color w:val="000000" w:themeColor="text1"/>
          <w:sz w:val="18"/>
          <w:szCs w:val="18"/>
          <w:lang w:val="en-GB"/>
        </w:rPr>
        <w:t xml:space="preserve">Hiebert, </w:t>
      </w:r>
      <w:r w:rsidRPr="00D85776">
        <w:rPr>
          <w:rFonts w:ascii="Book Antiqua" w:hAnsi="Book Antiqua"/>
          <w:i/>
          <w:color w:val="000000" w:themeColor="text1"/>
          <w:sz w:val="18"/>
          <w:szCs w:val="18"/>
          <w:lang w:val="en-GB"/>
        </w:rPr>
        <w:t>s</w:t>
      </w:r>
      <w:r w:rsidRPr="00D00E08">
        <w:rPr>
          <w:rFonts w:ascii="Book Antiqua" w:hAnsi="Book Antiqua"/>
          <w:i/>
          <w:color w:val="000000" w:themeColor="text1"/>
          <w:sz w:val="18"/>
          <w:szCs w:val="18"/>
          <w:lang w:val="en-GB"/>
        </w:rPr>
        <w:t>upra</w:t>
      </w:r>
      <w:r>
        <w:rPr>
          <w:rFonts w:ascii="Book Antiqua" w:hAnsi="Book Antiqua"/>
          <w:color w:val="000000" w:themeColor="text1"/>
          <w:sz w:val="18"/>
          <w:szCs w:val="18"/>
          <w:lang w:val="en-GB"/>
        </w:rPr>
        <w:t xml:space="preserve"> note 5, at </w:t>
      </w:r>
      <w:r w:rsidRPr="00D00E08">
        <w:rPr>
          <w:rFonts w:ascii="Book Antiqua" w:hAnsi="Book Antiqua"/>
          <w:sz w:val="18"/>
          <w:szCs w:val="18"/>
          <w:lang w:val="en-GB"/>
        </w:rPr>
        <w:t>7</w:t>
      </w:r>
      <w:r w:rsidRPr="00735395">
        <w:rPr>
          <w:rFonts w:ascii="Book Antiqua" w:hAnsi="Book Antiqua"/>
          <w:sz w:val="18"/>
          <w:szCs w:val="18"/>
          <w:lang w:val="en-GB"/>
        </w:rPr>
        <w:t>.</w:t>
      </w:r>
    </w:p>
  </w:footnote>
  <w:footnote w:id="22">
    <w:p w14:paraId="36F05385" w14:textId="110D456B" w:rsidR="00CE5BA2" w:rsidRPr="00735395" w:rsidRDefault="00CE5BA2" w:rsidP="00E26BED">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i/>
          <w:sz w:val="18"/>
          <w:szCs w:val="18"/>
          <w:lang w:val="en-GB"/>
        </w:rPr>
        <w:t>Id</w:t>
      </w:r>
      <w:r>
        <w:rPr>
          <w:rFonts w:ascii="Book Antiqua" w:hAnsi="Book Antiqua"/>
          <w:sz w:val="18"/>
          <w:szCs w:val="18"/>
          <w:lang w:val="en-GB"/>
        </w:rPr>
        <w:t>. at</w:t>
      </w:r>
      <w:r w:rsidRPr="00735395">
        <w:rPr>
          <w:rFonts w:ascii="Book Antiqua" w:hAnsi="Book Antiqua"/>
          <w:sz w:val="18"/>
          <w:szCs w:val="18"/>
          <w:lang w:val="en-GB"/>
        </w:rPr>
        <w:t xml:space="preserve"> 12.</w:t>
      </w:r>
    </w:p>
  </w:footnote>
  <w:footnote w:id="23">
    <w:p w14:paraId="5EC084E7" w14:textId="29810728" w:rsidR="00CE5BA2" w:rsidRPr="00735395" w:rsidRDefault="00CE5BA2" w:rsidP="00FC390E">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hAnsi="Book Antiqua"/>
          <w:sz w:val="18"/>
          <w:szCs w:val="18"/>
          <w:lang w:val="en-GB"/>
        </w:rPr>
        <w:t xml:space="preserve">Hiebert, </w:t>
      </w:r>
      <w:r w:rsidRPr="00F603FC">
        <w:rPr>
          <w:rFonts w:ascii="Book Antiqua" w:hAnsi="Book Antiqua"/>
          <w:i/>
          <w:sz w:val="18"/>
          <w:szCs w:val="18"/>
          <w:lang w:val="en-GB"/>
        </w:rPr>
        <w:t>supra</w:t>
      </w:r>
      <w:r>
        <w:rPr>
          <w:rFonts w:ascii="Book Antiqua" w:hAnsi="Book Antiqua"/>
          <w:sz w:val="18"/>
          <w:szCs w:val="18"/>
          <w:lang w:val="en-GB"/>
        </w:rPr>
        <w:t xml:space="preserve"> note 16, at </w:t>
      </w:r>
      <w:r w:rsidRPr="00735395">
        <w:rPr>
          <w:rFonts w:ascii="Book Antiqua" w:hAnsi="Book Antiqua"/>
          <w:sz w:val="18"/>
          <w:szCs w:val="18"/>
          <w:lang w:val="en-GB"/>
        </w:rPr>
        <w:t xml:space="preserve">1971. </w:t>
      </w:r>
    </w:p>
  </w:footnote>
  <w:footnote w:id="24">
    <w:p w14:paraId="1EB22FE9" w14:textId="4BB9E4FF" w:rsidR="00CE5BA2" w:rsidRDefault="00CE5BA2" w:rsidP="002B401F">
      <w:pPr>
        <w:rPr>
          <w:rFonts w:eastAsia="Times New Roman"/>
        </w:rPr>
      </w:pPr>
      <w:r w:rsidRPr="00735395">
        <w:rPr>
          <w:rStyle w:val="FootnoteReference"/>
          <w:rFonts w:ascii="Book Antiqua" w:hAnsi="Book Antiqua"/>
          <w:sz w:val="18"/>
          <w:szCs w:val="18"/>
        </w:rPr>
        <w:footnoteRef/>
      </w:r>
      <w:r w:rsidRPr="00735395">
        <w:rPr>
          <w:rFonts w:ascii="Book Antiqua" w:hAnsi="Book Antiqua"/>
          <w:sz w:val="18"/>
          <w:szCs w:val="18"/>
        </w:rPr>
        <w:t xml:space="preserve"> Janet L. </w:t>
      </w:r>
      <w:r w:rsidRPr="00735395">
        <w:rPr>
          <w:rFonts w:ascii="Book Antiqua" w:hAnsi="Book Antiqua"/>
          <w:sz w:val="18"/>
          <w:szCs w:val="18"/>
          <w:lang w:val="en-GB"/>
        </w:rPr>
        <w:t xml:space="preserve">Hiebert, </w:t>
      </w:r>
      <w:r w:rsidRPr="00F603FC">
        <w:rPr>
          <w:rFonts w:ascii="Book Antiqua" w:hAnsi="Book Antiqua"/>
          <w:i/>
          <w:sz w:val="18"/>
          <w:szCs w:val="18"/>
          <w:lang w:val="en-GB"/>
        </w:rPr>
        <w:t>Rights-Vetting in New Zealand and Canada: Similar Idea, Different Outcomes</w:t>
      </w:r>
      <w:r w:rsidRPr="00735395">
        <w:rPr>
          <w:rFonts w:ascii="Book Antiqua" w:hAnsi="Book Antiqua"/>
          <w:sz w:val="18"/>
          <w:szCs w:val="18"/>
          <w:lang w:val="en-GB"/>
        </w:rPr>
        <w:t xml:space="preserve">, </w:t>
      </w:r>
      <w:r>
        <w:rPr>
          <w:rFonts w:ascii="Book Antiqua" w:hAnsi="Book Antiqua"/>
          <w:sz w:val="18"/>
          <w:szCs w:val="18"/>
          <w:lang w:val="en-GB"/>
        </w:rPr>
        <w:t xml:space="preserve">3 </w:t>
      </w:r>
      <w:r w:rsidRPr="00F603FC">
        <w:rPr>
          <w:rFonts w:ascii="Book Antiqua" w:eastAsia="Times New Roman" w:hAnsi="Book Antiqua"/>
          <w:color w:val="1C2D3D"/>
          <w:sz w:val="18"/>
          <w:szCs w:val="18"/>
          <w:shd w:val="clear" w:color="auto" w:fill="FFFFFF"/>
        </w:rPr>
        <w:t>NZJPIL</w:t>
      </w:r>
    </w:p>
    <w:p w14:paraId="2AFAD3A4" w14:textId="30A04687" w:rsidR="00CE5BA2" w:rsidRPr="00735395" w:rsidRDefault="00CE5BA2" w:rsidP="00FC390E">
      <w:pPr>
        <w:pStyle w:val="FootnoteText"/>
        <w:jc w:val="both"/>
        <w:rPr>
          <w:rFonts w:ascii="Book Antiqua" w:hAnsi="Book Antiqua"/>
          <w:sz w:val="18"/>
          <w:szCs w:val="18"/>
          <w:lang w:val="en-GB"/>
        </w:rPr>
      </w:pPr>
      <w:r>
        <w:rPr>
          <w:rFonts w:ascii="Book Antiqua" w:hAnsi="Book Antiqua"/>
          <w:sz w:val="18"/>
          <w:szCs w:val="18"/>
          <w:lang w:val="en-GB"/>
        </w:rPr>
        <w:t>63, 75 (2005)</w:t>
      </w:r>
      <w:r w:rsidRPr="00735395">
        <w:rPr>
          <w:rFonts w:ascii="Book Antiqua" w:hAnsi="Book Antiqua"/>
          <w:sz w:val="18"/>
          <w:szCs w:val="18"/>
          <w:lang w:val="en-GB"/>
        </w:rPr>
        <w:t>.</w:t>
      </w:r>
    </w:p>
  </w:footnote>
  <w:footnote w:id="25">
    <w:p w14:paraId="0E58BAA6" w14:textId="19B88455" w:rsidR="00CE5BA2" w:rsidRPr="00B34BE9" w:rsidRDefault="00CE5BA2" w:rsidP="00485F32">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hAnsi="Book Antiqua"/>
          <w:sz w:val="18"/>
          <w:szCs w:val="18"/>
          <w:lang w:val="en-GB"/>
        </w:rPr>
        <w:t xml:space="preserve">Hiebert, </w:t>
      </w:r>
      <w:r w:rsidRPr="00F603FC">
        <w:rPr>
          <w:rFonts w:ascii="Book Antiqua" w:hAnsi="Book Antiqua"/>
          <w:sz w:val="18"/>
          <w:szCs w:val="18"/>
          <w:lang w:val="en-GB"/>
        </w:rPr>
        <w:t>supra</w:t>
      </w:r>
      <w:r>
        <w:rPr>
          <w:rFonts w:ascii="Book Antiqua" w:hAnsi="Book Antiqua"/>
          <w:sz w:val="18"/>
          <w:szCs w:val="18"/>
          <w:lang w:val="en-GB"/>
        </w:rPr>
        <w:t xml:space="preserve"> note 16, at </w:t>
      </w:r>
      <w:r w:rsidRPr="00E96BF4">
        <w:rPr>
          <w:rFonts w:ascii="Book Antiqua" w:hAnsi="Book Antiqua"/>
          <w:sz w:val="18"/>
          <w:szCs w:val="18"/>
          <w:lang w:val="en-GB"/>
        </w:rPr>
        <w:t>1971</w:t>
      </w:r>
      <w:r w:rsidRPr="00735395">
        <w:rPr>
          <w:rFonts w:ascii="Book Antiqua" w:hAnsi="Book Antiqua"/>
          <w:sz w:val="18"/>
          <w:szCs w:val="18"/>
          <w:lang w:val="en-GB"/>
        </w:rPr>
        <w:t>.</w:t>
      </w:r>
    </w:p>
  </w:footnote>
  <w:footnote w:id="26">
    <w:p w14:paraId="0CA95686" w14:textId="13967A35"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3E755C">
        <w:rPr>
          <w:rFonts w:ascii="Book Antiqua" w:hAnsi="Book Antiqua"/>
          <w:color w:val="000000" w:themeColor="text1"/>
          <w:sz w:val="18"/>
          <w:szCs w:val="18"/>
          <w:lang w:val="en-GB"/>
        </w:rPr>
        <w:t xml:space="preserve">Hiebert, </w:t>
      </w:r>
      <w:r>
        <w:rPr>
          <w:rFonts w:ascii="Book Antiqua" w:hAnsi="Book Antiqua"/>
          <w:i/>
          <w:color w:val="000000" w:themeColor="text1"/>
          <w:sz w:val="18"/>
          <w:szCs w:val="18"/>
          <w:lang w:val="en-GB"/>
        </w:rPr>
        <w:t>supra</w:t>
      </w:r>
      <w:r>
        <w:rPr>
          <w:rFonts w:ascii="Book Antiqua" w:hAnsi="Book Antiqua"/>
          <w:color w:val="000000" w:themeColor="text1"/>
          <w:sz w:val="18"/>
          <w:szCs w:val="18"/>
          <w:lang w:val="en-GB"/>
        </w:rPr>
        <w:t xml:space="preserve"> note 5, at</w:t>
      </w:r>
      <w:r w:rsidDel="00F03579">
        <w:rPr>
          <w:rFonts w:ascii="Book Antiqua" w:hAnsi="Book Antiqua"/>
          <w:sz w:val="18"/>
          <w:szCs w:val="18"/>
        </w:rPr>
        <w:t xml:space="preserve"> </w:t>
      </w:r>
      <w:r w:rsidRPr="00735395">
        <w:rPr>
          <w:rFonts w:ascii="Book Antiqua" w:hAnsi="Book Antiqua"/>
          <w:sz w:val="18"/>
          <w:szCs w:val="18"/>
          <w:lang w:val="en-GB"/>
        </w:rPr>
        <w:t>12.</w:t>
      </w:r>
    </w:p>
  </w:footnote>
  <w:footnote w:id="27">
    <w:p w14:paraId="29FE8A7C" w14:textId="640E8766" w:rsidR="00CE5BA2" w:rsidRPr="003832C6" w:rsidRDefault="00CE5BA2">
      <w:pPr>
        <w:pStyle w:val="FootnoteText"/>
        <w:jc w:val="both"/>
        <w:rPr>
          <w:rFonts w:ascii="Book Antiqua"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 72 of</w:t>
      </w:r>
      <w:r w:rsidRPr="00735395">
        <w:rPr>
          <w:rFonts w:ascii="Book Antiqua" w:hAnsi="Book Antiqua"/>
          <w:sz w:val="18"/>
          <w:szCs w:val="18"/>
        </w:rPr>
        <w:t xml:space="preserve"> Bill C-51 </w:t>
      </w:r>
      <w:r w:rsidRPr="00F603FC">
        <w:rPr>
          <w:rFonts w:ascii="Book Antiqua" w:hAnsi="Book Antiqua"/>
          <w:sz w:val="18"/>
          <w:szCs w:val="18"/>
        </w:rPr>
        <w:t>imposes an additional statutory duty on the executive not only to report on inconsistencies to parliament, but to issue a publicly available statement outlining “the key considerations that inform the review of a proposed bill for consistency with the Canadian Charter of Rights and Freedoms.” These ‘Charter Statements’ are designed to highlight rights and freedoms that are potentially engaged by a Bill and to provide a “brief explanation of the nature of any engagement, in light of the measures being proposed.”</w:t>
      </w:r>
    </w:p>
  </w:footnote>
  <w:footnote w:id="28">
    <w:p w14:paraId="72FB9289" w14:textId="1C6D5310" w:rsidR="00CE5BA2" w:rsidRPr="00C352C0" w:rsidRDefault="00CE5BA2" w:rsidP="00C352C0">
      <w:pPr>
        <w:pStyle w:val="FootnoteText"/>
        <w:jc w:val="both"/>
        <w:rPr>
          <w:rFonts w:ascii="Book Antiqua" w:hAnsi="Book Antiqua"/>
          <w:sz w:val="18"/>
          <w:szCs w:val="18"/>
          <w:lang w:val="en-GB"/>
        </w:rPr>
      </w:pPr>
      <w:r w:rsidRPr="00C352C0">
        <w:rPr>
          <w:rStyle w:val="FootnoteReference"/>
          <w:rFonts w:ascii="Book Antiqua" w:hAnsi="Book Antiqua"/>
          <w:sz w:val="18"/>
          <w:szCs w:val="18"/>
        </w:rPr>
        <w:footnoteRef/>
      </w:r>
      <w:r w:rsidRPr="00C352C0">
        <w:rPr>
          <w:rFonts w:ascii="Book Antiqua" w:hAnsi="Book Antiqua"/>
          <w:sz w:val="18"/>
          <w:szCs w:val="18"/>
        </w:rPr>
        <w:t xml:space="preserve"> </w:t>
      </w:r>
      <w:r>
        <w:rPr>
          <w:rFonts w:ascii="Book Antiqua" w:hAnsi="Book Antiqua"/>
          <w:sz w:val="18"/>
          <w:szCs w:val="18"/>
          <w:lang w:val="en-GB"/>
        </w:rPr>
        <w:t xml:space="preserve">Hiebert, </w:t>
      </w:r>
      <w:r>
        <w:rPr>
          <w:rFonts w:ascii="Book Antiqua" w:hAnsi="Book Antiqua"/>
          <w:i/>
          <w:sz w:val="18"/>
          <w:szCs w:val="18"/>
          <w:lang w:val="en-GB"/>
        </w:rPr>
        <w:t xml:space="preserve">supra </w:t>
      </w:r>
      <w:r>
        <w:rPr>
          <w:rFonts w:ascii="Book Antiqua" w:hAnsi="Book Antiqua"/>
          <w:sz w:val="18"/>
          <w:szCs w:val="18"/>
          <w:lang w:val="en-GB"/>
        </w:rPr>
        <w:t>note 3, at 19.</w:t>
      </w:r>
    </w:p>
  </w:footnote>
  <w:footnote w:id="29">
    <w:p w14:paraId="2193D65E" w14:textId="73F3E037"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Pr>
          <w:rFonts w:ascii="Book Antiqua" w:hAnsi="Book Antiqua"/>
          <w:sz w:val="18"/>
          <w:szCs w:val="18"/>
          <w:lang w:val="en-GB"/>
        </w:rPr>
        <w:t xml:space="preserve"> </w:t>
      </w:r>
      <w:proofErr w:type="spellStart"/>
      <w:r>
        <w:rPr>
          <w:rFonts w:ascii="Book Antiqua" w:hAnsi="Book Antiqua"/>
          <w:sz w:val="18"/>
          <w:szCs w:val="18"/>
          <w:lang w:val="en-GB"/>
        </w:rPr>
        <w:t>Gardbaum</w:t>
      </w:r>
      <w:proofErr w:type="spellEnd"/>
      <w:r>
        <w:rPr>
          <w:rFonts w:ascii="Book Antiqua" w:hAnsi="Book Antiqua"/>
          <w:sz w:val="18"/>
          <w:szCs w:val="18"/>
          <w:lang w:val="en-GB"/>
        </w:rPr>
        <w:t xml:space="preserve">, </w:t>
      </w:r>
      <w:r>
        <w:rPr>
          <w:rFonts w:ascii="Book Antiqua" w:hAnsi="Book Antiqua"/>
          <w:i/>
          <w:sz w:val="18"/>
          <w:szCs w:val="18"/>
          <w:lang w:val="en-GB"/>
        </w:rPr>
        <w:t xml:space="preserve">supra </w:t>
      </w:r>
      <w:r>
        <w:rPr>
          <w:rFonts w:ascii="Book Antiqua" w:hAnsi="Book Antiqua"/>
          <w:sz w:val="18"/>
          <w:szCs w:val="18"/>
          <w:lang w:val="en-GB"/>
        </w:rPr>
        <w:t>note 1, at</w:t>
      </w:r>
      <w:r w:rsidRPr="00735395">
        <w:rPr>
          <w:rFonts w:ascii="Book Antiqua" w:hAnsi="Book Antiqua"/>
          <w:sz w:val="18"/>
          <w:szCs w:val="18"/>
          <w:lang w:val="en-GB"/>
        </w:rPr>
        <w:t xml:space="preserve"> 133-134.</w:t>
      </w:r>
      <w:r>
        <w:rPr>
          <w:rFonts w:ascii="Book Antiqua" w:hAnsi="Book Antiqua"/>
          <w:sz w:val="18"/>
          <w:szCs w:val="18"/>
          <w:lang w:val="en-GB"/>
        </w:rPr>
        <w:t xml:space="preserve"> Copies of the advice are </w:t>
      </w:r>
      <w:r>
        <w:rPr>
          <w:rFonts w:ascii="Book Antiqua" w:hAnsi="Book Antiqua"/>
          <w:i/>
          <w:sz w:val="18"/>
          <w:szCs w:val="18"/>
          <w:lang w:val="en-GB"/>
        </w:rPr>
        <w:t xml:space="preserve">available </w:t>
      </w:r>
      <w:r w:rsidRPr="00F603FC">
        <w:rPr>
          <w:rFonts w:ascii="Book Antiqua" w:hAnsi="Book Antiqua"/>
          <w:i/>
          <w:sz w:val="18"/>
          <w:szCs w:val="18"/>
          <w:lang w:val="en-GB"/>
        </w:rPr>
        <w:t>at</w:t>
      </w:r>
      <w:r w:rsidRPr="00735395">
        <w:rPr>
          <w:rFonts w:ascii="Book Antiqua" w:hAnsi="Book Antiqua"/>
          <w:sz w:val="18"/>
          <w:szCs w:val="18"/>
          <w:lang w:val="en-GB"/>
        </w:rPr>
        <w:t xml:space="preserve"> </w:t>
      </w:r>
      <w:r w:rsidRPr="00735395">
        <w:rPr>
          <w:rFonts w:ascii="Book Antiqua" w:hAnsi="Book Antiqua"/>
          <w:i/>
          <w:sz w:val="18"/>
          <w:szCs w:val="18"/>
          <w:lang w:val="en-GB"/>
        </w:rPr>
        <w:t xml:space="preserve"> </w:t>
      </w:r>
      <w:hyperlink r:id="rId1" w:history="1">
        <w:r w:rsidRPr="00735395">
          <w:rPr>
            <w:rStyle w:val="Hyperlink"/>
            <w:rFonts w:ascii="Book Antiqua" w:hAnsi="Book Antiqua"/>
            <w:sz w:val="18"/>
            <w:szCs w:val="18"/>
            <w:lang w:val="en-GB"/>
          </w:rPr>
          <w:t>https://www.justice.govt.nz/justice-sector-policy/constitutional-issues-and-human-rights/bill-of-rights-compliance-reports/advice/</w:t>
        </w:r>
      </w:hyperlink>
      <w:r w:rsidRPr="00735395">
        <w:rPr>
          <w:rFonts w:ascii="Book Antiqua" w:hAnsi="Book Antiqua"/>
          <w:sz w:val="18"/>
          <w:szCs w:val="18"/>
          <w:lang w:val="en-GB"/>
        </w:rPr>
        <w:t xml:space="preserve">. </w:t>
      </w:r>
    </w:p>
  </w:footnote>
  <w:footnote w:id="30">
    <w:p w14:paraId="1130A646" w14:textId="4D7FD0AC" w:rsidR="00CE5BA2" w:rsidRPr="00735395" w:rsidRDefault="00CE5BA2" w:rsidP="0060292A">
      <w:pPr>
        <w:jc w:val="both"/>
        <w:rPr>
          <w:rFonts w:ascii="Book Antiqua" w:eastAsia="Times New Roman" w:hAnsi="Book Antiqua"/>
          <w:color w:val="000000" w:themeColor="text1"/>
          <w:sz w:val="18"/>
          <w:szCs w:val="18"/>
        </w:rPr>
      </w:pPr>
      <w:r w:rsidRPr="00735395">
        <w:rPr>
          <w:rStyle w:val="FootnoteReference"/>
          <w:rFonts w:ascii="Book Antiqua" w:hAnsi="Book Antiqua"/>
          <w:color w:val="000000" w:themeColor="text1"/>
          <w:sz w:val="18"/>
          <w:szCs w:val="18"/>
        </w:rPr>
        <w:footnoteRef/>
      </w:r>
      <w:r w:rsidRPr="00735395">
        <w:rPr>
          <w:rFonts w:ascii="Book Antiqua" w:hAnsi="Book Antiqua"/>
          <w:color w:val="000000" w:themeColor="text1"/>
          <w:sz w:val="18"/>
          <w:szCs w:val="18"/>
        </w:rPr>
        <w:t xml:space="preserve"> Andrew </w:t>
      </w:r>
      <w:proofErr w:type="spellStart"/>
      <w:r w:rsidRPr="00735395">
        <w:rPr>
          <w:rFonts w:ascii="Book Antiqua" w:hAnsi="Book Antiqua"/>
          <w:color w:val="000000" w:themeColor="text1"/>
          <w:sz w:val="18"/>
          <w:szCs w:val="18"/>
          <w:lang w:val="en-GB"/>
        </w:rPr>
        <w:t>Geddis</w:t>
      </w:r>
      <w:proofErr w:type="spellEnd"/>
      <w:r w:rsidRPr="00735395">
        <w:rPr>
          <w:rFonts w:ascii="Book Antiqua" w:hAnsi="Book Antiqua"/>
          <w:color w:val="000000" w:themeColor="text1"/>
          <w:sz w:val="18"/>
          <w:szCs w:val="18"/>
          <w:lang w:val="en-GB"/>
        </w:rPr>
        <w:t xml:space="preserve">, </w:t>
      </w:r>
      <w:r w:rsidRPr="00F603FC">
        <w:rPr>
          <w:rFonts w:ascii="Book Antiqua" w:eastAsia="Times New Roman" w:hAnsi="Book Antiqua" w:cs="Arial"/>
          <w:bCs/>
          <w:i/>
          <w:color w:val="000000" w:themeColor="text1"/>
          <w:sz w:val="18"/>
          <w:szCs w:val="18"/>
          <w:shd w:val="clear" w:color="auto" w:fill="FFFFFF"/>
        </w:rPr>
        <w:t>Comparative Irrelevance</w:t>
      </w:r>
      <w:r w:rsidRPr="00F603FC">
        <w:rPr>
          <w:rFonts w:ascii="Book Antiqua" w:eastAsia="Times New Roman" w:hAnsi="Book Antiqua" w:cs="Arial"/>
          <w:i/>
          <w:color w:val="000000" w:themeColor="text1"/>
          <w:sz w:val="18"/>
          <w:szCs w:val="18"/>
          <w:shd w:val="clear" w:color="auto" w:fill="FFFFFF"/>
        </w:rPr>
        <w:t xml:space="preserve"> of the NZBORA to Legislative </w:t>
      </w:r>
      <w:proofErr w:type="gramStart"/>
      <w:r w:rsidRPr="00F603FC">
        <w:rPr>
          <w:rFonts w:ascii="Book Antiqua" w:eastAsia="Times New Roman" w:hAnsi="Book Antiqua" w:cs="Arial"/>
          <w:i/>
          <w:color w:val="000000" w:themeColor="text1"/>
          <w:sz w:val="18"/>
          <w:szCs w:val="18"/>
          <w:shd w:val="clear" w:color="auto" w:fill="FFFFFF"/>
        </w:rPr>
        <w:t>Practice</w:t>
      </w:r>
      <w:r>
        <w:rPr>
          <w:rFonts w:ascii="Book Antiqua" w:eastAsia="Times New Roman" w:hAnsi="Book Antiqua" w:cs="Arial"/>
          <w:i/>
          <w:color w:val="000000" w:themeColor="text1"/>
          <w:sz w:val="18"/>
          <w:szCs w:val="18"/>
          <w:shd w:val="clear" w:color="auto" w:fill="FFFFFF"/>
        </w:rPr>
        <w:t xml:space="preserve"> </w:t>
      </w:r>
      <w:r>
        <w:rPr>
          <w:rFonts w:ascii="Book Antiqua" w:eastAsia="Times New Roman" w:hAnsi="Book Antiqua" w:cs="Arial"/>
          <w:color w:val="000000" w:themeColor="text1"/>
          <w:sz w:val="18"/>
          <w:szCs w:val="18"/>
          <w:shd w:val="clear" w:color="auto" w:fill="FFFFFF"/>
        </w:rPr>
        <w:t xml:space="preserve"> 43</w:t>
      </w:r>
      <w:proofErr w:type="gramEnd"/>
      <w:r>
        <w:rPr>
          <w:rFonts w:ascii="Book Antiqua" w:eastAsia="Times New Roman" w:hAnsi="Book Antiqua" w:cs="Arial"/>
          <w:color w:val="000000" w:themeColor="text1"/>
          <w:sz w:val="18"/>
          <w:szCs w:val="18"/>
          <w:shd w:val="clear" w:color="auto" w:fill="FFFFFF"/>
        </w:rPr>
        <w:t xml:space="preserve"> NZ. U. L. Rev.</w:t>
      </w:r>
      <w:r w:rsidRPr="00735395">
        <w:rPr>
          <w:rFonts w:ascii="Book Antiqua" w:eastAsia="Times New Roman" w:hAnsi="Book Antiqua" w:cs="Arial"/>
          <w:i/>
          <w:color w:val="000000" w:themeColor="text1"/>
          <w:sz w:val="18"/>
          <w:szCs w:val="18"/>
          <w:shd w:val="clear" w:color="auto" w:fill="FFFFFF"/>
        </w:rPr>
        <w:t xml:space="preserve"> </w:t>
      </w:r>
      <w:r>
        <w:rPr>
          <w:rFonts w:ascii="Book Antiqua" w:eastAsia="Times New Roman" w:hAnsi="Book Antiqua" w:cs="Arial"/>
          <w:color w:val="000000" w:themeColor="text1"/>
          <w:sz w:val="18"/>
          <w:szCs w:val="18"/>
          <w:shd w:val="clear" w:color="auto" w:fill="FFFFFF"/>
        </w:rPr>
        <w:t>465, 471 (2009).</w:t>
      </w:r>
    </w:p>
  </w:footnote>
  <w:footnote w:id="31">
    <w:p w14:paraId="12677E29" w14:textId="3C93DE7E"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JANET HIEBERT &amp; JAMES KELLY</w:t>
      </w:r>
      <w:r w:rsidRPr="00735395">
        <w:rPr>
          <w:rFonts w:ascii="Book Antiqua" w:hAnsi="Book Antiqua"/>
          <w:sz w:val="18"/>
          <w:szCs w:val="18"/>
        </w:rPr>
        <w:t xml:space="preserve">, </w:t>
      </w:r>
      <w:r>
        <w:rPr>
          <w:rFonts w:ascii="Book Antiqua" w:hAnsi="Book Antiqua"/>
          <w:sz w:val="18"/>
          <w:szCs w:val="18"/>
        </w:rPr>
        <w:t>PARLIAMENTARY BILLS OF RIGHTS</w:t>
      </w:r>
      <w:r w:rsidRPr="00F603FC">
        <w:rPr>
          <w:rFonts w:ascii="Book Antiqua" w:hAnsi="Book Antiqua"/>
          <w:sz w:val="18"/>
          <w:szCs w:val="18"/>
        </w:rPr>
        <w:t xml:space="preserve">: </w:t>
      </w:r>
      <w:r>
        <w:rPr>
          <w:rFonts w:ascii="Book Antiqua" w:hAnsi="Book Antiqua"/>
          <w:sz w:val="18"/>
          <w:szCs w:val="18"/>
        </w:rPr>
        <w:t>THE EXPERIENCE OF NEW ZEALAND AND THE UNITED KINGDOM 10</w:t>
      </w:r>
      <w:r w:rsidRPr="00F603FC">
        <w:rPr>
          <w:rFonts w:ascii="Book Antiqua" w:hAnsi="Book Antiqua"/>
          <w:sz w:val="18"/>
          <w:szCs w:val="18"/>
        </w:rPr>
        <w:t xml:space="preserve"> </w:t>
      </w:r>
      <w:r>
        <w:rPr>
          <w:rFonts w:ascii="Book Antiqua" w:hAnsi="Book Antiqua"/>
          <w:sz w:val="18"/>
          <w:szCs w:val="18"/>
        </w:rPr>
        <w:t>(2015).</w:t>
      </w:r>
    </w:p>
  </w:footnote>
  <w:footnote w:id="32">
    <w:p w14:paraId="312C2379" w14:textId="255B9E29" w:rsidR="00CE5BA2" w:rsidRPr="00D02216"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i/>
          <w:sz w:val="18"/>
          <w:szCs w:val="18"/>
        </w:rPr>
        <w:t>Id.</w:t>
      </w:r>
      <w:r>
        <w:rPr>
          <w:rFonts w:ascii="Book Antiqua" w:hAnsi="Book Antiqua"/>
          <w:sz w:val="18"/>
          <w:szCs w:val="18"/>
        </w:rPr>
        <w:t xml:space="preserve"> at </w:t>
      </w:r>
      <w:r w:rsidRPr="00735395">
        <w:rPr>
          <w:rFonts w:ascii="Book Antiqua" w:hAnsi="Book Antiqua"/>
          <w:sz w:val="18"/>
          <w:szCs w:val="18"/>
          <w:lang w:val="en-GB"/>
        </w:rPr>
        <w:t>401- 402.</w:t>
      </w:r>
    </w:p>
  </w:footnote>
  <w:footnote w:id="33">
    <w:p w14:paraId="6EB5D8AB" w14:textId="7552260D" w:rsidR="00CE5BA2" w:rsidRPr="00615C97" w:rsidRDefault="00CE5BA2" w:rsidP="003F754B">
      <w:pPr>
        <w:pStyle w:val="FootnoteText"/>
        <w:jc w:val="both"/>
        <w:rPr>
          <w:rFonts w:ascii="Book Antiqua" w:hAnsi="Book Antiqua"/>
          <w:sz w:val="18"/>
          <w:szCs w:val="18"/>
          <w:lang w:val="en-GB"/>
        </w:rPr>
      </w:pPr>
      <w:r w:rsidRPr="00615C97">
        <w:rPr>
          <w:rStyle w:val="FootnoteReference"/>
          <w:rFonts w:ascii="Book Antiqua" w:hAnsi="Book Antiqua"/>
          <w:sz w:val="18"/>
          <w:szCs w:val="18"/>
        </w:rPr>
        <w:footnoteRef/>
      </w:r>
      <w:r w:rsidRPr="00615C97">
        <w:rPr>
          <w:rFonts w:ascii="Book Antiqua" w:hAnsi="Book Antiqua"/>
          <w:sz w:val="18"/>
          <w:szCs w:val="18"/>
        </w:rPr>
        <w:t xml:space="preserve"> </w:t>
      </w:r>
      <w:r w:rsidRPr="00FA272A">
        <w:rPr>
          <w:rFonts w:ascii="Book Antiqua" w:hAnsi="Book Antiqua"/>
          <w:sz w:val="18"/>
          <w:szCs w:val="18"/>
        </w:rPr>
        <w:t>Hiebert,</w:t>
      </w:r>
      <w:r w:rsidRPr="00FA272A">
        <w:rPr>
          <w:rFonts w:ascii="Book Antiqua" w:hAnsi="Book Antiqua"/>
          <w:i/>
          <w:sz w:val="18"/>
          <w:szCs w:val="18"/>
        </w:rPr>
        <w:t xml:space="preserve"> </w:t>
      </w:r>
      <w:r>
        <w:rPr>
          <w:rFonts w:ascii="Book Antiqua" w:hAnsi="Book Antiqua"/>
          <w:i/>
          <w:sz w:val="18"/>
          <w:szCs w:val="18"/>
        </w:rPr>
        <w:t xml:space="preserve">supra </w:t>
      </w:r>
      <w:r>
        <w:rPr>
          <w:rFonts w:ascii="Book Antiqua" w:hAnsi="Book Antiqua"/>
          <w:sz w:val="18"/>
          <w:szCs w:val="18"/>
        </w:rPr>
        <w:t>note 3, at 27.</w:t>
      </w:r>
    </w:p>
  </w:footnote>
  <w:footnote w:id="34">
    <w:p w14:paraId="33F49EBD" w14:textId="68C8B9FE" w:rsidR="00CE5BA2" w:rsidRPr="00F603FC" w:rsidRDefault="00CE5BA2">
      <w:pPr>
        <w:pStyle w:val="FootnoteText"/>
        <w:rPr>
          <w:rFonts w:ascii="Book Antiqua" w:hAnsi="Book Antiqua"/>
          <w:sz w:val="18"/>
          <w:szCs w:val="18"/>
          <w:lang w:val="en-GB"/>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sidRPr="00D85776">
        <w:rPr>
          <w:rFonts w:ascii="Book Antiqua" w:hAnsi="Book Antiqua"/>
          <w:color w:val="000000" w:themeColor="text1"/>
          <w:sz w:val="18"/>
          <w:szCs w:val="18"/>
          <w:shd w:val="clear" w:color="auto" w:fill="FFFFFF"/>
        </w:rPr>
        <w:t>The Parliamentary Business and Legislation Committee are the screening body who clear any bill for inclusion in the government’s legislative programme. Internal and external legal advisors may be used</w:t>
      </w:r>
      <w:r>
        <w:rPr>
          <w:rFonts w:ascii="Book Antiqua" w:hAnsi="Book Antiqua"/>
          <w:color w:val="000000" w:themeColor="text1"/>
          <w:sz w:val="18"/>
          <w:szCs w:val="18"/>
          <w:shd w:val="clear" w:color="auto" w:fill="FFFFFF"/>
        </w:rPr>
        <w:t xml:space="preserve">. </w:t>
      </w:r>
      <w:r w:rsidRPr="00D85776">
        <w:rPr>
          <w:rFonts w:ascii="Book Antiqua" w:hAnsi="Book Antiqua"/>
          <w:color w:val="000000" w:themeColor="text1"/>
          <w:sz w:val="18"/>
          <w:szCs w:val="18"/>
          <w:shd w:val="clear" w:color="auto" w:fill="FFFFFF"/>
        </w:rPr>
        <w:t>PARLIAMENTARY BUSINESS AND LEGISLATION</w:t>
      </w:r>
      <w:r w:rsidRPr="00D85776">
        <w:rPr>
          <w:rFonts w:ascii="Book Antiqua" w:hAnsi="Book Antiqua"/>
          <w:sz w:val="18"/>
          <w:szCs w:val="18"/>
          <w:lang w:val="en-GB"/>
        </w:rPr>
        <w:t xml:space="preserve"> SECRETARIAT, GU</w:t>
      </w:r>
      <w:r>
        <w:rPr>
          <w:rFonts w:ascii="Book Antiqua" w:hAnsi="Book Antiqua"/>
          <w:sz w:val="18"/>
          <w:szCs w:val="18"/>
          <w:lang w:val="en-GB"/>
        </w:rPr>
        <w:t xml:space="preserve">IDE TO MAKING LEGISLATION, 115 </w:t>
      </w:r>
      <w:r w:rsidRPr="00D85776">
        <w:rPr>
          <w:rFonts w:ascii="Book Antiqua" w:hAnsi="Book Antiqua"/>
          <w:sz w:val="18"/>
          <w:szCs w:val="18"/>
          <w:lang w:val="en-GB"/>
        </w:rPr>
        <w:t>(2017)</w:t>
      </w:r>
      <w:r w:rsidRPr="00D85776">
        <w:rPr>
          <w:rFonts w:ascii="Book Antiqua" w:hAnsi="Book Antiqua"/>
          <w:sz w:val="18"/>
          <w:szCs w:val="18"/>
        </w:rPr>
        <w:t>.</w:t>
      </w:r>
    </w:p>
  </w:footnote>
  <w:footnote w:id="35">
    <w:p w14:paraId="6B8FA057" w14:textId="7AA8962E"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i/>
          <w:sz w:val="18"/>
          <w:szCs w:val="18"/>
        </w:rPr>
        <w:t>Id.</w:t>
      </w:r>
      <w:r>
        <w:rPr>
          <w:rFonts w:ascii="Book Antiqua" w:hAnsi="Book Antiqua"/>
          <w:sz w:val="18"/>
          <w:szCs w:val="18"/>
        </w:rPr>
        <w:t xml:space="preserve"> at</w:t>
      </w:r>
      <w:r w:rsidRPr="00735395">
        <w:rPr>
          <w:rFonts w:ascii="Book Antiqua" w:hAnsi="Book Antiqua"/>
          <w:sz w:val="18"/>
          <w:szCs w:val="18"/>
          <w:lang w:val="en-GB"/>
        </w:rPr>
        <w:t xml:space="preserve"> </w:t>
      </w:r>
      <w:r>
        <w:rPr>
          <w:rFonts w:ascii="Book Antiqua" w:hAnsi="Book Antiqua"/>
          <w:sz w:val="18"/>
          <w:szCs w:val="18"/>
          <w:lang w:val="en-GB"/>
        </w:rPr>
        <w:t>114</w:t>
      </w:r>
      <w:r w:rsidRPr="00735395">
        <w:rPr>
          <w:rFonts w:ascii="Book Antiqua" w:hAnsi="Book Antiqua"/>
          <w:sz w:val="18"/>
          <w:szCs w:val="18"/>
          <w:lang w:val="en-GB"/>
        </w:rPr>
        <w:t>.</w:t>
      </w:r>
    </w:p>
  </w:footnote>
  <w:footnote w:id="36">
    <w:p w14:paraId="21AA3F10" w14:textId="2DA63FE2" w:rsidR="00CE5BA2" w:rsidRPr="00615C97" w:rsidRDefault="00CE5BA2" w:rsidP="000E7C76">
      <w:pPr>
        <w:pStyle w:val="FootnoteText"/>
        <w:jc w:val="both"/>
        <w:rPr>
          <w:rFonts w:ascii="Book Antiqua" w:hAnsi="Book Antiqua"/>
          <w:sz w:val="18"/>
          <w:szCs w:val="18"/>
          <w:lang w:val="en-GB"/>
        </w:rPr>
      </w:pPr>
      <w:r w:rsidRPr="00615C97">
        <w:rPr>
          <w:rStyle w:val="FootnoteReference"/>
          <w:rFonts w:ascii="Book Antiqua" w:hAnsi="Book Antiqua"/>
          <w:sz w:val="18"/>
          <w:szCs w:val="18"/>
        </w:rPr>
        <w:footnoteRef/>
      </w:r>
      <w:r w:rsidRPr="00615C97">
        <w:rPr>
          <w:rFonts w:ascii="Book Antiqua" w:hAnsi="Book Antiqua"/>
          <w:sz w:val="18"/>
          <w:szCs w:val="18"/>
        </w:rPr>
        <w:t xml:space="preserve"> </w:t>
      </w:r>
      <w:r>
        <w:rPr>
          <w:rFonts w:ascii="Book Antiqua" w:hAnsi="Book Antiqua"/>
          <w:sz w:val="18"/>
          <w:szCs w:val="18"/>
        </w:rPr>
        <w:t>CABINET OFFICE CONSTITUTION SECRETARIAT</w:t>
      </w:r>
      <w:r w:rsidRPr="00615C97">
        <w:rPr>
          <w:rFonts w:ascii="Book Antiqua" w:hAnsi="Book Antiqua"/>
          <w:sz w:val="18"/>
          <w:szCs w:val="18"/>
        </w:rPr>
        <w:t xml:space="preserve">, </w:t>
      </w:r>
      <w:r>
        <w:rPr>
          <w:rFonts w:ascii="Book Antiqua" w:hAnsi="Book Antiqua"/>
          <w:sz w:val="18"/>
          <w:szCs w:val="18"/>
        </w:rPr>
        <w:t>HUMAN RIGHTS ACT 1998</w:t>
      </w:r>
      <w:r w:rsidRPr="00615C97">
        <w:rPr>
          <w:rFonts w:ascii="Book Antiqua" w:hAnsi="Book Antiqua"/>
          <w:i/>
          <w:sz w:val="18"/>
          <w:szCs w:val="18"/>
        </w:rPr>
        <w:t xml:space="preserve">: </w:t>
      </w:r>
      <w:r>
        <w:rPr>
          <w:rFonts w:ascii="Book Antiqua" w:hAnsi="Book Antiqua"/>
          <w:sz w:val="18"/>
          <w:szCs w:val="18"/>
        </w:rPr>
        <w:t>GUIDANCE FOR DEPARTMENTS</w:t>
      </w:r>
      <w:r w:rsidRPr="00615C97">
        <w:rPr>
          <w:rFonts w:ascii="Book Antiqua" w:hAnsi="Book Antiqua"/>
          <w:i/>
          <w:sz w:val="18"/>
          <w:szCs w:val="18"/>
        </w:rPr>
        <w:t xml:space="preserve"> </w:t>
      </w:r>
      <w:r>
        <w:rPr>
          <w:rFonts w:ascii="Book Antiqua" w:hAnsi="Book Antiqua"/>
          <w:sz w:val="18"/>
          <w:szCs w:val="18"/>
        </w:rPr>
        <w:t xml:space="preserve">para 36 </w:t>
      </w:r>
      <w:r w:rsidRPr="00615C97">
        <w:rPr>
          <w:rFonts w:ascii="Book Antiqua" w:hAnsi="Book Antiqua"/>
          <w:sz w:val="18"/>
          <w:szCs w:val="18"/>
        </w:rPr>
        <w:t>(</w:t>
      </w:r>
      <w:r>
        <w:rPr>
          <w:rFonts w:ascii="Book Antiqua" w:hAnsi="Book Antiqua"/>
          <w:sz w:val="18"/>
          <w:szCs w:val="18"/>
        </w:rPr>
        <w:t>2000)</w:t>
      </w:r>
      <w:r w:rsidRPr="00615C97">
        <w:rPr>
          <w:rFonts w:ascii="Book Antiqua" w:hAnsi="Book Antiqua"/>
          <w:sz w:val="18"/>
          <w:szCs w:val="18"/>
        </w:rPr>
        <w:t>.</w:t>
      </w:r>
    </w:p>
  </w:footnote>
  <w:footnote w:id="37">
    <w:p w14:paraId="00070AF1" w14:textId="04C10BCE"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proofErr w:type="spellStart"/>
      <w:r w:rsidRPr="00735395">
        <w:rPr>
          <w:rFonts w:ascii="Book Antiqua" w:hAnsi="Book Antiqua"/>
          <w:sz w:val="18"/>
          <w:szCs w:val="18"/>
          <w:lang w:val="en-GB"/>
        </w:rPr>
        <w:t>Gardbaum</w:t>
      </w:r>
      <w:proofErr w:type="spellEnd"/>
      <w:r w:rsidRPr="00735395">
        <w:rPr>
          <w:rFonts w:ascii="Book Antiqua" w:hAnsi="Book Antiqua"/>
          <w:sz w:val="18"/>
          <w:szCs w:val="18"/>
          <w:lang w:val="en-GB"/>
        </w:rPr>
        <w:t xml:space="preserve">, </w:t>
      </w:r>
      <w:r>
        <w:rPr>
          <w:rFonts w:ascii="Book Antiqua" w:hAnsi="Book Antiqua"/>
          <w:i/>
          <w:sz w:val="18"/>
          <w:szCs w:val="18"/>
          <w:lang w:val="en-GB"/>
        </w:rPr>
        <w:t xml:space="preserve">supra </w:t>
      </w:r>
      <w:r>
        <w:rPr>
          <w:rFonts w:ascii="Book Antiqua" w:hAnsi="Book Antiqua"/>
          <w:sz w:val="18"/>
          <w:szCs w:val="18"/>
          <w:lang w:val="en-GB"/>
        </w:rPr>
        <w:t>note 1, at</w:t>
      </w:r>
      <w:r w:rsidRPr="00735395" w:rsidDel="00F03579">
        <w:rPr>
          <w:rFonts w:ascii="Book Antiqua" w:hAnsi="Book Antiqua"/>
          <w:sz w:val="18"/>
          <w:szCs w:val="18"/>
        </w:rPr>
        <w:t xml:space="preserve"> </w:t>
      </w:r>
      <w:r w:rsidRPr="00735395">
        <w:rPr>
          <w:rFonts w:ascii="Book Antiqua" w:hAnsi="Book Antiqua"/>
          <w:sz w:val="18"/>
          <w:szCs w:val="18"/>
          <w:lang w:val="en-GB"/>
        </w:rPr>
        <w:t>165.</w:t>
      </w:r>
    </w:p>
  </w:footnote>
  <w:footnote w:id="38">
    <w:p w14:paraId="27027183" w14:textId="05918B54" w:rsidR="00CE5BA2" w:rsidRPr="007C3866" w:rsidRDefault="00CE5BA2" w:rsidP="00874E2E">
      <w:pPr>
        <w:pStyle w:val="FootnoteText"/>
        <w:jc w:val="both"/>
        <w:rPr>
          <w:rFonts w:ascii="Book Antiqua" w:hAnsi="Book Antiqua"/>
          <w:sz w:val="18"/>
          <w:szCs w:val="18"/>
          <w:lang w:val="en-GB"/>
        </w:rPr>
      </w:pPr>
      <w:r w:rsidRPr="00615C97">
        <w:rPr>
          <w:rStyle w:val="FootnoteReference"/>
          <w:rFonts w:ascii="Book Antiqua" w:hAnsi="Book Antiqua"/>
          <w:sz w:val="18"/>
          <w:szCs w:val="18"/>
        </w:rPr>
        <w:footnoteRef/>
      </w:r>
      <w:r w:rsidRPr="00615C97">
        <w:rPr>
          <w:rFonts w:ascii="Book Antiqua" w:hAnsi="Book Antiqua"/>
          <w:sz w:val="18"/>
          <w:szCs w:val="18"/>
        </w:rPr>
        <w:t xml:space="preserve"> </w:t>
      </w:r>
      <w:r w:rsidRPr="00615C97">
        <w:rPr>
          <w:rFonts w:ascii="Book Antiqua" w:hAnsi="Book Antiqua"/>
          <w:sz w:val="18"/>
          <w:szCs w:val="18"/>
          <w:lang w:val="en-GB"/>
        </w:rPr>
        <w:t>The Chair of the Committee is a senior member of the leading opposition party and 6 out of 12 seats on the Committee are filled from the opposition benches</w:t>
      </w:r>
      <w:r>
        <w:rPr>
          <w:rFonts w:ascii="Book Antiqua" w:hAnsi="Book Antiqua"/>
          <w:sz w:val="18"/>
          <w:szCs w:val="18"/>
          <w:lang w:val="en-GB"/>
        </w:rPr>
        <w:t xml:space="preserve">. Information </w:t>
      </w:r>
      <w:r>
        <w:rPr>
          <w:rFonts w:ascii="Book Antiqua" w:hAnsi="Book Antiqua"/>
          <w:i/>
          <w:sz w:val="18"/>
          <w:szCs w:val="18"/>
          <w:lang w:val="en-GB"/>
        </w:rPr>
        <w:t xml:space="preserve">available at </w:t>
      </w:r>
      <w:r w:rsidRPr="00F603FC">
        <w:rPr>
          <w:rFonts w:ascii="Book Antiqua" w:hAnsi="Book Antiqua"/>
          <w:sz w:val="18"/>
          <w:szCs w:val="18"/>
          <w:lang w:val="en-GB"/>
        </w:rPr>
        <w:t>&lt;</w:t>
      </w:r>
      <w:hyperlink r:id="rId2" w:history="1">
        <w:r w:rsidRPr="00F603FC">
          <w:rPr>
            <w:rStyle w:val="Hyperlink"/>
            <w:rFonts w:ascii="Book Antiqua" w:hAnsi="Book Antiqua"/>
            <w:sz w:val="18"/>
            <w:szCs w:val="18"/>
            <w:lang w:val="en-GB"/>
          </w:rPr>
          <w:t>http://www.parliament.uk/business/committees/committees-a-z/joint-select/human-rights-committee/membership/</w:t>
        </w:r>
      </w:hyperlink>
      <w:r w:rsidRPr="00F603FC">
        <w:rPr>
          <w:rStyle w:val="Hyperlink"/>
          <w:rFonts w:ascii="Book Antiqua" w:hAnsi="Book Antiqua"/>
          <w:sz w:val="18"/>
          <w:szCs w:val="18"/>
          <w:lang w:val="en-GB"/>
        </w:rPr>
        <w:t>&gt;</w:t>
      </w:r>
      <w:r w:rsidRPr="00F603FC">
        <w:rPr>
          <w:rFonts w:ascii="Book Antiqua" w:hAnsi="Book Antiqua"/>
          <w:sz w:val="18"/>
          <w:szCs w:val="18"/>
          <w:lang w:val="en-GB"/>
        </w:rPr>
        <w:t xml:space="preserve">. </w:t>
      </w:r>
    </w:p>
  </w:footnote>
  <w:footnote w:id="39">
    <w:p w14:paraId="0323ED41" w14:textId="34D68850"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lang w:val="en-GB"/>
        </w:rPr>
        <w:t xml:space="preserve">Aileen Kavanagh, </w:t>
      </w:r>
      <w:r w:rsidRPr="00F603FC">
        <w:rPr>
          <w:rFonts w:ascii="Book Antiqua" w:hAnsi="Book Antiqua"/>
          <w:i/>
          <w:sz w:val="18"/>
          <w:szCs w:val="18"/>
          <w:lang w:val="en-GB"/>
        </w:rPr>
        <w:t>Joint Committee on Human Rights: A Hybrid Breed of Constitutional Watchdog</w:t>
      </w:r>
      <w:r w:rsidRPr="00735395">
        <w:rPr>
          <w:rFonts w:ascii="Book Antiqua" w:hAnsi="Book Antiqua"/>
          <w:sz w:val="18"/>
          <w:szCs w:val="18"/>
          <w:lang w:val="en-GB"/>
        </w:rPr>
        <w:t xml:space="preserve">, </w:t>
      </w:r>
      <w:r w:rsidRPr="00F603FC">
        <w:rPr>
          <w:rFonts w:ascii="Book Antiqua" w:hAnsi="Book Antiqua"/>
          <w:i/>
          <w:sz w:val="18"/>
          <w:szCs w:val="18"/>
          <w:lang w:val="en-GB"/>
        </w:rPr>
        <w:t>in</w:t>
      </w:r>
      <w:r w:rsidRPr="00735395">
        <w:rPr>
          <w:rFonts w:ascii="Book Antiqua" w:hAnsi="Book Antiqua"/>
          <w:sz w:val="18"/>
          <w:szCs w:val="18"/>
          <w:lang w:val="en-GB"/>
        </w:rPr>
        <w:t xml:space="preserve"> </w:t>
      </w:r>
      <w:r>
        <w:rPr>
          <w:rFonts w:ascii="Book Antiqua" w:hAnsi="Book Antiqua"/>
          <w:sz w:val="18"/>
          <w:szCs w:val="18"/>
          <w:lang w:val="en-GB"/>
        </w:rPr>
        <w:t>PARLIAMENT AND HUMAN RIGHTS</w:t>
      </w:r>
      <w:r w:rsidRPr="00735395">
        <w:rPr>
          <w:rFonts w:ascii="Book Antiqua" w:hAnsi="Book Antiqua"/>
          <w:i/>
          <w:sz w:val="18"/>
          <w:szCs w:val="18"/>
          <w:lang w:val="en-GB"/>
        </w:rPr>
        <w:t xml:space="preserve">: </w:t>
      </w:r>
      <w:r>
        <w:rPr>
          <w:rFonts w:ascii="Book Antiqua" w:hAnsi="Book Antiqua"/>
          <w:sz w:val="18"/>
          <w:szCs w:val="18"/>
          <w:lang w:val="en-GB"/>
        </w:rPr>
        <w:t>REDRESSING THE DEMOCRATIC DEFICIT 115, 117 (</w:t>
      </w:r>
      <w:r w:rsidRPr="00735395">
        <w:rPr>
          <w:rFonts w:ascii="Book Antiqua" w:hAnsi="Book Antiqua"/>
          <w:sz w:val="18"/>
          <w:szCs w:val="18"/>
          <w:lang w:val="en-GB"/>
        </w:rPr>
        <w:t xml:space="preserve">Hunt, Hooper and </w:t>
      </w:r>
      <w:proofErr w:type="spellStart"/>
      <w:r w:rsidRPr="00735395">
        <w:rPr>
          <w:rFonts w:ascii="Book Antiqua" w:hAnsi="Book Antiqua"/>
          <w:sz w:val="18"/>
          <w:szCs w:val="18"/>
          <w:lang w:val="en-GB"/>
        </w:rPr>
        <w:t>Yowell</w:t>
      </w:r>
      <w:proofErr w:type="spellEnd"/>
      <w:r>
        <w:rPr>
          <w:rFonts w:ascii="Book Antiqua" w:hAnsi="Book Antiqua"/>
          <w:sz w:val="18"/>
          <w:szCs w:val="18"/>
          <w:lang w:val="en-GB"/>
        </w:rPr>
        <w:t xml:space="preserve"> eds., 2014).</w:t>
      </w:r>
    </w:p>
  </w:footnote>
  <w:footnote w:id="40">
    <w:p w14:paraId="2A9779CB" w14:textId="2538261A"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i/>
          <w:sz w:val="18"/>
          <w:szCs w:val="18"/>
          <w:lang w:val="en-GB"/>
        </w:rPr>
        <w:t>Id</w:t>
      </w:r>
      <w:r w:rsidRPr="00F603FC">
        <w:rPr>
          <w:rFonts w:ascii="Book Antiqua" w:hAnsi="Book Antiqua"/>
          <w:sz w:val="18"/>
          <w:szCs w:val="18"/>
          <w:lang w:val="en-GB"/>
        </w:rPr>
        <w:t>.</w:t>
      </w:r>
      <w:r>
        <w:rPr>
          <w:rFonts w:ascii="Book Antiqua" w:hAnsi="Book Antiqua"/>
          <w:sz w:val="18"/>
          <w:szCs w:val="18"/>
          <w:lang w:val="en-GB"/>
        </w:rPr>
        <w:t xml:space="preserve"> at</w:t>
      </w:r>
      <w:r w:rsidRPr="00735395">
        <w:rPr>
          <w:rFonts w:ascii="Book Antiqua" w:hAnsi="Book Antiqua"/>
          <w:sz w:val="18"/>
          <w:szCs w:val="18"/>
          <w:lang w:val="en-GB"/>
        </w:rPr>
        <w:t xml:space="preserve"> 137.</w:t>
      </w:r>
    </w:p>
  </w:footnote>
  <w:footnote w:id="41">
    <w:p w14:paraId="3FE62376" w14:textId="761A8065" w:rsidR="00CE5BA2" w:rsidRPr="00735395" w:rsidRDefault="00CE5BA2" w:rsidP="00B94C5E">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FA272A">
        <w:rPr>
          <w:rFonts w:ascii="Book Antiqua" w:hAnsi="Book Antiqua"/>
          <w:sz w:val="18"/>
          <w:szCs w:val="18"/>
        </w:rPr>
        <w:t>Hiebert,</w:t>
      </w:r>
      <w:r w:rsidRPr="00FA272A">
        <w:rPr>
          <w:rFonts w:ascii="Book Antiqua" w:hAnsi="Book Antiqua"/>
          <w:i/>
          <w:sz w:val="18"/>
          <w:szCs w:val="18"/>
        </w:rPr>
        <w:t xml:space="preserve"> </w:t>
      </w:r>
      <w:r w:rsidRPr="007D5100">
        <w:rPr>
          <w:rFonts w:ascii="Book Antiqua" w:hAnsi="Book Antiqua"/>
          <w:i/>
          <w:sz w:val="18"/>
          <w:szCs w:val="18"/>
        </w:rPr>
        <w:t>supra</w:t>
      </w:r>
      <w:r>
        <w:rPr>
          <w:rFonts w:ascii="Book Antiqua" w:hAnsi="Book Antiqua"/>
          <w:sz w:val="18"/>
          <w:szCs w:val="18"/>
        </w:rPr>
        <w:t xml:space="preserve"> note 3, at </w:t>
      </w:r>
      <w:r w:rsidRPr="007D5100">
        <w:rPr>
          <w:rFonts w:ascii="Book Antiqua" w:hAnsi="Book Antiqua"/>
          <w:sz w:val="18"/>
          <w:szCs w:val="18"/>
        </w:rPr>
        <w:t>23</w:t>
      </w:r>
      <w:r>
        <w:rPr>
          <w:rFonts w:ascii="Book Antiqua" w:hAnsi="Book Antiqua"/>
          <w:sz w:val="18"/>
          <w:szCs w:val="18"/>
        </w:rPr>
        <w:t>.</w:t>
      </w:r>
    </w:p>
  </w:footnote>
  <w:footnote w:id="42">
    <w:p w14:paraId="7899F5F2" w14:textId="38C008C0"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proofErr w:type="spellStart"/>
      <w:r w:rsidRPr="00735395">
        <w:rPr>
          <w:rFonts w:ascii="Book Antiqua" w:hAnsi="Book Antiqua"/>
          <w:sz w:val="18"/>
          <w:szCs w:val="18"/>
          <w:lang w:val="en-GB"/>
        </w:rPr>
        <w:t>Gardbaum</w:t>
      </w:r>
      <w:proofErr w:type="spellEnd"/>
      <w:r w:rsidRPr="00735395">
        <w:rPr>
          <w:rFonts w:ascii="Book Antiqua" w:hAnsi="Book Antiqua"/>
          <w:sz w:val="18"/>
          <w:szCs w:val="18"/>
          <w:lang w:val="en-GB"/>
        </w:rPr>
        <w:t xml:space="preserve">, </w:t>
      </w:r>
      <w:r>
        <w:rPr>
          <w:rFonts w:ascii="Book Antiqua" w:hAnsi="Book Antiqua"/>
          <w:i/>
          <w:sz w:val="18"/>
          <w:szCs w:val="18"/>
          <w:lang w:val="en-GB"/>
        </w:rPr>
        <w:t xml:space="preserve">supra </w:t>
      </w:r>
      <w:r>
        <w:rPr>
          <w:rFonts w:ascii="Book Antiqua" w:hAnsi="Book Antiqua"/>
          <w:sz w:val="18"/>
          <w:szCs w:val="18"/>
          <w:lang w:val="en-GB"/>
        </w:rPr>
        <w:t xml:space="preserve">note 1, at </w:t>
      </w:r>
      <w:r w:rsidRPr="00735395">
        <w:rPr>
          <w:rFonts w:ascii="Book Antiqua" w:hAnsi="Book Antiqua"/>
          <w:sz w:val="18"/>
          <w:szCs w:val="18"/>
          <w:lang w:val="en-GB"/>
        </w:rPr>
        <w:t>193.</w:t>
      </w:r>
    </w:p>
  </w:footnote>
  <w:footnote w:id="43">
    <w:p w14:paraId="457D3BD3" w14:textId="5AD77275" w:rsidR="00CE5BA2" w:rsidRPr="00735395" w:rsidRDefault="00CE5BA2" w:rsidP="0060292A">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lang w:val="en-GB"/>
        </w:rPr>
        <w:t xml:space="preserve">Aileen Kavanagh, </w:t>
      </w:r>
      <w:r>
        <w:rPr>
          <w:rFonts w:ascii="Book Antiqua" w:hAnsi="Book Antiqua"/>
          <w:i/>
          <w:sz w:val="18"/>
          <w:szCs w:val="18"/>
          <w:lang w:val="en-GB"/>
        </w:rPr>
        <w:t xml:space="preserve">supra </w:t>
      </w:r>
      <w:r>
        <w:rPr>
          <w:rFonts w:ascii="Book Antiqua" w:hAnsi="Book Antiqua"/>
          <w:sz w:val="18"/>
          <w:szCs w:val="18"/>
          <w:lang w:val="en-GB"/>
        </w:rPr>
        <w:t xml:space="preserve">note 80, at </w:t>
      </w:r>
      <w:r w:rsidRPr="00735395">
        <w:rPr>
          <w:rFonts w:ascii="Book Antiqua" w:hAnsi="Book Antiqua"/>
          <w:sz w:val="18"/>
          <w:szCs w:val="18"/>
          <w:lang w:val="en-GB"/>
        </w:rPr>
        <w:t>134.</w:t>
      </w:r>
    </w:p>
  </w:footnote>
  <w:footnote w:id="44">
    <w:p w14:paraId="4908A512" w14:textId="2D70A6DE" w:rsidR="00CE5BA2" w:rsidRPr="00FA0180" w:rsidRDefault="00CE5BA2" w:rsidP="0060292A">
      <w:pPr>
        <w:pStyle w:val="FootnoteText"/>
        <w:jc w:val="both"/>
        <w:rPr>
          <w:rFonts w:ascii="Book Antiqua" w:hAnsi="Book Antiqua"/>
          <w:sz w:val="18"/>
          <w:szCs w:val="18"/>
          <w:lang w:val="en-GB"/>
        </w:rPr>
      </w:pPr>
      <w:r w:rsidRPr="00FA0180">
        <w:rPr>
          <w:rStyle w:val="FootnoteReference"/>
          <w:rFonts w:ascii="Book Antiqua" w:hAnsi="Book Antiqua"/>
          <w:sz w:val="18"/>
          <w:szCs w:val="18"/>
        </w:rPr>
        <w:footnoteRef/>
      </w:r>
      <w:r w:rsidRPr="00FA0180">
        <w:rPr>
          <w:rFonts w:ascii="Book Antiqua" w:hAnsi="Book Antiqua"/>
          <w:sz w:val="18"/>
          <w:szCs w:val="18"/>
        </w:rPr>
        <w:t xml:space="preserve"> </w:t>
      </w:r>
      <w:r>
        <w:rPr>
          <w:rFonts w:ascii="Book Antiqua" w:hAnsi="Book Antiqua"/>
          <w:sz w:val="18"/>
          <w:szCs w:val="18"/>
        </w:rPr>
        <w:t>It seems that success is contingent on many factors: p</w:t>
      </w:r>
      <w:r w:rsidRPr="00F603FC">
        <w:rPr>
          <w:rFonts w:ascii="Book Antiqua" w:hAnsi="Book Antiqua"/>
          <w:sz w:val="18"/>
          <w:szCs w:val="18"/>
        </w:rPr>
        <w:t>olitical party cohesiveness; unicameral or bicameralism; institutional closeness between parliament and the executive; the degree of political concern over the risk of judicial sanction</w:t>
      </w:r>
      <w:r>
        <w:rPr>
          <w:rFonts w:ascii="Book Antiqua" w:hAnsi="Book Antiqua"/>
          <w:sz w:val="18"/>
          <w:szCs w:val="18"/>
        </w:rPr>
        <w:t xml:space="preserve"> all play a role.</w:t>
      </w:r>
      <w:r w:rsidRPr="00AE7218">
        <w:rPr>
          <w:rFonts w:ascii="Book Antiqua" w:hAnsi="Book Antiqua"/>
          <w:sz w:val="18"/>
          <w:szCs w:val="18"/>
        </w:rPr>
        <w:t xml:space="preserve"> </w:t>
      </w:r>
      <w:r>
        <w:rPr>
          <w:rFonts w:ascii="Book Antiqua" w:hAnsi="Book Antiqua"/>
          <w:sz w:val="18"/>
          <w:szCs w:val="18"/>
        </w:rPr>
        <w:t>Hiebert &amp; Kelly</w:t>
      </w:r>
      <w:r w:rsidRPr="00735395">
        <w:rPr>
          <w:rFonts w:ascii="Book Antiqua" w:hAnsi="Book Antiqua"/>
          <w:sz w:val="18"/>
          <w:szCs w:val="18"/>
        </w:rPr>
        <w:t xml:space="preserve">, </w:t>
      </w:r>
      <w:r>
        <w:rPr>
          <w:rFonts w:ascii="Book Antiqua" w:hAnsi="Book Antiqua"/>
          <w:i/>
          <w:sz w:val="18"/>
          <w:szCs w:val="18"/>
        </w:rPr>
        <w:t xml:space="preserve">supra </w:t>
      </w:r>
      <w:r>
        <w:rPr>
          <w:rFonts w:ascii="Book Antiqua" w:hAnsi="Book Antiqua"/>
          <w:sz w:val="18"/>
          <w:szCs w:val="18"/>
        </w:rPr>
        <w:t>note 61, at</w:t>
      </w:r>
      <w:r w:rsidDel="00AE7218">
        <w:rPr>
          <w:rFonts w:ascii="Book Antiqua" w:hAnsi="Book Antiqua"/>
          <w:sz w:val="18"/>
          <w:szCs w:val="18"/>
        </w:rPr>
        <w:t xml:space="preserve"> </w:t>
      </w:r>
      <w:r w:rsidRPr="00FA0180">
        <w:rPr>
          <w:rFonts w:ascii="Book Antiqua" w:hAnsi="Book Antiqua"/>
          <w:sz w:val="18"/>
          <w:szCs w:val="18"/>
          <w:lang w:val="en-GB"/>
        </w:rPr>
        <w:t>401- 402</w:t>
      </w:r>
      <w:r>
        <w:rPr>
          <w:rFonts w:ascii="Book Antiqua" w:hAnsi="Book Antiqua"/>
          <w:sz w:val="18"/>
          <w:szCs w:val="18"/>
          <w:lang w:val="en-GB"/>
        </w:rPr>
        <w:t>.</w:t>
      </w:r>
    </w:p>
  </w:footnote>
  <w:footnote w:id="45">
    <w:p w14:paraId="2BD40C6D" w14:textId="4D7AA183" w:rsidR="00CE5BA2" w:rsidRPr="00F603FC" w:rsidRDefault="00CE5BA2">
      <w:pPr>
        <w:pStyle w:val="FootnoteText"/>
        <w:rPr>
          <w:rFonts w:ascii="Book Antiqua" w:hAnsi="Book Antiqua"/>
        </w:rPr>
      </w:pPr>
      <w:r w:rsidRPr="00F603FC">
        <w:rPr>
          <w:rStyle w:val="FootnoteReference"/>
          <w:rFonts w:ascii="Book Antiqua" w:hAnsi="Book Antiqua"/>
          <w:sz w:val="18"/>
        </w:rPr>
        <w:footnoteRef/>
      </w:r>
      <w:r>
        <w:rPr>
          <w:rFonts w:ascii="Book Antiqua" w:hAnsi="Book Antiqua"/>
          <w:sz w:val="18"/>
        </w:rPr>
        <w:t xml:space="preserve"> </w:t>
      </w:r>
      <w:r w:rsidRPr="00F603FC">
        <w:rPr>
          <w:rFonts w:ascii="Book Antiqua" w:hAnsi="Book Antiqua"/>
          <w:sz w:val="18"/>
        </w:rPr>
        <w:t xml:space="preserve">Rosalind Dixon, </w:t>
      </w:r>
      <w:r w:rsidRPr="00F603FC">
        <w:rPr>
          <w:rFonts w:ascii="Book Antiqua" w:hAnsi="Book Antiqua"/>
          <w:i/>
          <w:sz w:val="18"/>
        </w:rPr>
        <w:t>The Core Case for Weak-Form Judicial Revie</w:t>
      </w:r>
      <w:r w:rsidRPr="00F603FC">
        <w:rPr>
          <w:rFonts w:ascii="Book Antiqua" w:hAnsi="Book Antiqua"/>
          <w:sz w:val="18"/>
        </w:rPr>
        <w:t xml:space="preserve">w, </w:t>
      </w:r>
      <w:r>
        <w:rPr>
          <w:rFonts w:ascii="Book Antiqua" w:hAnsi="Book Antiqua"/>
          <w:sz w:val="18"/>
        </w:rPr>
        <w:t xml:space="preserve">38 CARDOZO. L. REV. 2193, 2230 </w:t>
      </w:r>
      <w:r w:rsidRPr="00F603FC">
        <w:rPr>
          <w:rFonts w:ascii="Book Antiqua" w:hAnsi="Book Antiqua"/>
          <w:sz w:val="18"/>
        </w:rPr>
        <w:t xml:space="preserve">(2017). </w:t>
      </w:r>
    </w:p>
  </w:footnote>
  <w:footnote w:id="46">
    <w:p w14:paraId="53C5B003" w14:textId="047A83BE" w:rsidR="00CE5BA2" w:rsidRPr="00735395" w:rsidRDefault="00CE5BA2" w:rsidP="0060292A">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Hajime Yamamoto, </w:t>
      </w:r>
      <w:r w:rsidRPr="00F603FC">
        <w:rPr>
          <w:rFonts w:ascii="Book Antiqua" w:hAnsi="Book Antiqua"/>
          <w:i/>
        </w:rPr>
        <w:t>Interpretation of the Pacifist Article of the Constitution by the Bureau of Cabinet Legislation: A New Source of Constitutional Law</w:t>
      </w:r>
      <w:r>
        <w:rPr>
          <w:rFonts w:ascii="Book Antiqua" w:hAnsi="Book Antiqua"/>
        </w:rPr>
        <w:t>, 22 WASH. INT’L. J. 108-109 (2017)</w:t>
      </w:r>
      <w:r w:rsidRPr="00735395">
        <w:rPr>
          <w:rFonts w:ascii="Book Antiqua" w:hAnsi="Book Antiqua"/>
        </w:rPr>
        <w:t>.</w:t>
      </w:r>
    </w:p>
  </w:footnote>
  <w:footnote w:id="47">
    <w:p w14:paraId="61FE45D8" w14:textId="22FE0146" w:rsidR="00CE5BA2" w:rsidRPr="00735395" w:rsidRDefault="00CE5BA2" w:rsidP="0060292A">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Mamoru Seki, </w:t>
      </w:r>
      <w:r w:rsidRPr="00F603FC">
        <w:rPr>
          <w:rFonts w:ascii="Book Antiqua" w:hAnsi="Book Antiqua"/>
          <w:i/>
        </w:rPr>
        <w:t>The Drafting Process for Cabinet Bills</w:t>
      </w:r>
      <w:r w:rsidRPr="00735395">
        <w:rPr>
          <w:rFonts w:ascii="Book Antiqua" w:hAnsi="Book Antiqua"/>
        </w:rPr>
        <w:t>,</w:t>
      </w:r>
      <w:r>
        <w:rPr>
          <w:rFonts w:ascii="Book Antiqua" w:hAnsi="Book Antiqua"/>
        </w:rPr>
        <w:t xml:space="preserve"> 19</w:t>
      </w:r>
      <w:r w:rsidRPr="00735395">
        <w:rPr>
          <w:rFonts w:ascii="Book Antiqua" w:hAnsi="Book Antiqua"/>
        </w:rPr>
        <w:t xml:space="preserve"> </w:t>
      </w:r>
      <w:r w:rsidRPr="00F603FC">
        <w:rPr>
          <w:rFonts w:ascii="Book Antiqua" w:hAnsi="Book Antiqua"/>
        </w:rPr>
        <w:t>Law Japan</w:t>
      </w:r>
      <w:r>
        <w:rPr>
          <w:rFonts w:ascii="Book Antiqua" w:hAnsi="Book Antiqua"/>
        </w:rPr>
        <w:t xml:space="preserve"> 168, 183 (1986)</w:t>
      </w:r>
      <w:r w:rsidRPr="00735395">
        <w:rPr>
          <w:rFonts w:ascii="Book Antiqua" w:hAnsi="Book Antiqua"/>
        </w:rPr>
        <w:t>.</w:t>
      </w:r>
    </w:p>
  </w:footnote>
  <w:footnote w:id="48">
    <w:p w14:paraId="72CA58BD" w14:textId="05839E18" w:rsidR="00CE5BA2" w:rsidRPr="00735395" w:rsidRDefault="00CE5BA2" w:rsidP="0060292A">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w:t>
      </w:r>
      <w:r>
        <w:rPr>
          <w:rFonts w:ascii="Book Antiqua" w:hAnsi="Book Antiqua"/>
          <w:i/>
        </w:rPr>
        <w:t>Id</w:t>
      </w:r>
      <w:r w:rsidRPr="00735395">
        <w:rPr>
          <w:rFonts w:ascii="Book Antiqua" w:hAnsi="Book Antiqua"/>
        </w:rPr>
        <w:t>.</w:t>
      </w:r>
    </w:p>
  </w:footnote>
  <w:footnote w:id="49">
    <w:p w14:paraId="64EBEBE9" w14:textId="38C9FCA0" w:rsidR="00CE5BA2" w:rsidRPr="00735395" w:rsidRDefault="00CE5BA2" w:rsidP="009102FB">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David S. Law, </w:t>
      </w:r>
      <w:r w:rsidRPr="00F603FC">
        <w:rPr>
          <w:rFonts w:ascii="Book Antiqua" w:hAnsi="Book Antiqua"/>
          <w:i/>
        </w:rPr>
        <w:t xml:space="preserve">Why Has Judicial Review Failed in </w:t>
      </w:r>
      <w:proofErr w:type="gramStart"/>
      <w:r w:rsidRPr="00F603FC">
        <w:rPr>
          <w:rFonts w:ascii="Book Antiqua" w:hAnsi="Book Antiqua"/>
          <w:i/>
        </w:rPr>
        <w:t>Japan?</w:t>
      </w:r>
      <w:r>
        <w:rPr>
          <w:rFonts w:ascii="Book Antiqua" w:hAnsi="Book Antiqua"/>
        </w:rPr>
        <w:t>,</w:t>
      </w:r>
      <w:proofErr w:type="gramEnd"/>
      <w:r>
        <w:rPr>
          <w:rFonts w:ascii="Book Antiqua" w:hAnsi="Book Antiqua"/>
        </w:rPr>
        <w:t xml:space="preserve"> 88 WASH. U. L. REV. 1425, 1454 (2011)</w:t>
      </w:r>
      <w:r w:rsidRPr="00735395">
        <w:rPr>
          <w:rFonts w:ascii="Book Antiqua" w:hAnsi="Book Antiqua"/>
        </w:rPr>
        <w:t xml:space="preserve">. </w:t>
      </w:r>
      <w:r>
        <w:rPr>
          <w:rFonts w:ascii="Book Antiqua" w:hAnsi="Book Antiqua"/>
        </w:rPr>
        <w:t>(</w:t>
      </w:r>
      <w:r w:rsidRPr="00735395">
        <w:rPr>
          <w:rFonts w:ascii="Book Antiqua" w:hAnsi="Book Antiqua"/>
        </w:rPr>
        <w:t xml:space="preserve">Internal </w:t>
      </w:r>
      <w:r>
        <w:rPr>
          <w:rFonts w:ascii="Book Antiqua" w:hAnsi="Book Antiqua"/>
        </w:rPr>
        <w:t>footnotes</w:t>
      </w:r>
      <w:r w:rsidRPr="00735395">
        <w:rPr>
          <w:rFonts w:ascii="Book Antiqua" w:hAnsi="Book Antiqua"/>
        </w:rPr>
        <w:t xml:space="preserve"> omitted</w:t>
      </w:r>
      <w:r>
        <w:rPr>
          <w:rFonts w:ascii="Book Antiqua" w:hAnsi="Book Antiqua"/>
        </w:rPr>
        <w:t>)</w:t>
      </w:r>
      <w:r w:rsidRPr="00735395">
        <w:rPr>
          <w:rFonts w:ascii="Book Antiqua" w:hAnsi="Book Antiqua"/>
        </w:rPr>
        <w:t xml:space="preserve">. </w:t>
      </w:r>
    </w:p>
  </w:footnote>
  <w:footnote w:id="50">
    <w:p w14:paraId="5573ADDE" w14:textId="5E0B06E8" w:rsidR="00CE5BA2" w:rsidRPr="00735395" w:rsidRDefault="00CE5BA2" w:rsidP="009102FB">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Yasuo </w:t>
      </w:r>
      <w:proofErr w:type="spellStart"/>
      <w:r w:rsidRPr="00735395">
        <w:rPr>
          <w:rFonts w:ascii="Book Antiqua" w:hAnsi="Book Antiqua"/>
          <w:sz w:val="18"/>
          <w:szCs w:val="18"/>
        </w:rPr>
        <w:t>Hasabe</w:t>
      </w:r>
      <w:proofErr w:type="spellEnd"/>
      <w:r w:rsidRPr="00735395">
        <w:rPr>
          <w:rFonts w:ascii="Book Antiqua" w:hAnsi="Book Antiqua"/>
          <w:sz w:val="18"/>
          <w:szCs w:val="18"/>
        </w:rPr>
        <w:t xml:space="preserve">, </w:t>
      </w:r>
      <w:r w:rsidRPr="00F603FC">
        <w:rPr>
          <w:rFonts w:ascii="Book Antiqua" w:hAnsi="Book Antiqua"/>
          <w:i/>
          <w:sz w:val="18"/>
          <w:szCs w:val="18"/>
        </w:rPr>
        <w:t>The Supreme Court of Japan: Its Adjudication on Electoral Systems and Economic Freedoms</w:t>
      </w:r>
      <w:r w:rsidRPr="00735395">
        <w:rPr>
          <w:rFonts w:ascii="Book Antiqua" w:hAnsi="Book Antiqua"/>
          <w:sz w:val="18"/>
          <w:szCs w:val="18"/>
        </w:rPr>
        <w:t xml:space="preserve">, </w:t>
      </w:r>
      <w:r>
        <w:rPr>
          <w:rFonts w:ascii="Book Antiqua" w:hAnsi="Book Antiqua"/>
          <w:sz w:val="18"/>
          <w:szCs w:val="18"/>
        </w:rPr>
        <w:t xml:space="preserve">5 INT’L. J. CONST. L. (2007) </w:t>
      </w:r>
      <w:r w:rsidRPr="00735395">
        <w:rPr>
          <w:rFonts w:ascii="Book Antiqua" w:hAnsi="Book Antiqua"/>
          <w:sz w:val="18"/>
          <w:szCs w:val="18"/>
        </w:rPr>
        <w:t>296–307</w:t>
      </w:r>
      <w:r>
        <w:rPr>
          <w:rFonts w:ascii="Book Antiqua" w:hAnsi="Book Antiqua"/>
          <w:sz w:val="18"/>
          <w:szCs w:val="18"/>
        </w:rPr>
        <w:t>, 298</w:t>
      </w:r>
      <w:r w:rsidRPr="00735395">
        <w:rPr>
          <w:rFonts w:ascii="Book Antiqua" w:hAnsi="Book Antiqua"/>
          <w:sz w:val="18"/>
          <w:szCs w:val="18"/>
        </w:rPr>
        <w:t>.</w:t>
      </w:r>
    </w:p>
  </w:footnote>
  <w:footnote w:id="51">
    <w:p w14:paraId="206BF04E" w14:textId="4DAF2534" w:rsidR="00CE5BA2" w:rsidRPr="00735395" w:rsidRDefault="00CE5BA2" w:rsidP="009102FB">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Jun-</w:t>
      </w:r>
      <w:proofErr w:type="spellStart"/>
      <w:r w:rsidRPr="00735395">
        <w:rPr>
          <w:rFonts w:ascii="Book Antiqua" w:hAnsi="Book Antiqua"/>
        </w:rPr>
        <w:t>ichi</w:t>
      </w:r>
      <w:proofErr w:type="spellEnd"/>
      <w:r w:rsidRPr="00735395">
        <w:rPr>
          <w:rFonts w:ascii="Book Antiqua" w:hAnsi="Book Antiqua"/>
        </w:rPr>
        <w:t xml:space="preserve"> Satoh, </w:t>
      </w:r>
      <w:r w:rsidRPr="00F603FC">
        <w:rPr>
          <w:rFonts w:ascii="Book Antiqua" w:hAnsi="Book Antiqua"/>
          <w:i/>
        </w:rPr>
        <w:t>Judicial Review in Japan: An Overview of the Case Law and an Examination of Trends in the Japanese Supreme Court's Constitutional Oversight</w:t>
      </w:r>
      <w:r w:rsidRPr="00735395">
        <w:rPr>
          <w:rFonts w:ascii="Book Antiqua" w:hAnsi="Book Antiqua"/>
        </w:rPr>
        <w:t>,</w:t>
      </w:r>
      <w:r>
        <w:rPr>
          <w:rFonts w:ascii="Book Antiqua" w:hAnsi="Book Antiqua"/>
        </w:rPr>
        <w:t xml:space="preserve"> 41</w:t>
      </w:r>
      <w:r w:rsidRPr="00735395">
        <w:rPr>
          <w:rFonts w:ascii="Book Antiqua" w:hAnsi="Book Antiqua"/>
        </w:rPr>
        <w:t xml:space="preserve"> </w:t>
      </w:r>
      <w:r>
        <w:rPr>
          <w:rFonts w:ascii="Book Antiqua" w:hAnsi="Book Antiqua"/>
        </w:rPr>
        <w:t>LOY. L. A. L. REV.</w:t>
      </w:r>
      <w:r w:rsidRPr="00735395">
        <w:rPr>
          <w:rFonts w:ascii="Book Antiqua" w:hAnsi="Book Antiqua"/>
        </w:rPr>
        <w:t xml:space="preserve"> </w:t>
      </w:r>
      <w:r>
        <w:rPr>
          <w:rFonts w:ascii="Book Antiqua" w:hAnsi="Book Antiqua"/>
        </w:rPr>
        <w:t xml:space="preserve">603, 605 </w:t>
      </w:r>
      <w:r w:rsidRPr="00735395">
        <w:rPr>
          <w:rFonts w:ascii="Book Antiqua" w:hAnsi="Book Antiqua"/>
        </w:rPr>
        <w:t>(2008).</w:t>
      </w:r>
    </w:p>
  </w:footnote>
  <w:footnote w:id="52">
    <w:p w14:paraId="311D4D34" w14:textId="56AE6DD2" w:rsidR="00CE5BA2" w:rsidRPr="00735395" w:rsidRDefault="00CE5BA2" w:rsidP="00FB6349">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Craig Martin, </w:t>
      </w:r>
      <w:r w:rsidRPr="00F603FC">
        <w:rPr>
          <w:rFonts w:ascii="Book Antiqua" w:hAnsi="Book Antiqua"/>
          <w:i/>
        </w:rPr>
        <w:t>The Legitimacy of Informal Constitutional Amendment and the Reinterpretation of Japan's War Powers</w:t>
      </w:r>
      <w:r w:rsidRPr="00735395">
        <w:rPr>
          <w:rFonts w:ascii="Book Antiqua" w:hAnsi="Book Antiqua"/>
        </w:rPr>
        <w:t xml:space="preserve">, </w:t>
      </w:r>
      <w:r>
        <w:rPr>
          <w:rFonts w:ascii="Book Antiqua" w:hAnsi="Book Antiqua"/>
        </w:rPr>
        <w:t>40 FORDHAM INT’L. L. J. 427, 496</w:t>
      </w:r>
      <w:r>
        <w:rPr>
          <w:rFonts w:ascii="Book Antiqua" w:hAnsi="Book Antiqua"/>
          <w:i/>
        </w:rPr>
        <w:t xml:space="preserve"> </w:t>
      </w:r>
      <w:r>
        <w:rPr>
          <w:rFonts w:ascii="Book Antiqua" w:hAnsi="Book Antiqua"/>
        </w:rPr>
        <w:t>(2017)</w:t>
      </w:r>
      <w:r w:rsidRPr="00735395">
        <w:rPr>
          <w:rFonts w:ascii="Book Antiqua" w:hAnsi="Book Antiqua"/>
          <w:lang w:val="en-GB"/>
        </w:rPr>
        <w:t>.</w:t>
      </w:r>
    </w:p>
  </w:footnote>
  <w:footnote w:id="53">
    <w:p w14:paraId="17563C58" w14:textId="57993FD4" w:rsidR="00CE5BA2" w:rsidRPr="00735395" w:rsidRDefault="00CE5BA2" w:rsidP="00AD651C">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Satoh, </w:t>
      </w:r>
      <w:r>
        <w:rPr>
          <w:rFonts w:ascii="Book Antiqua" w:hAnsi="Book Antiqua"/>
          <w:i/>
        </w:rPr>
        <w:t xml:space="preserve">supra </w:t>
      </w:r>
      <w:r>
        <w:rPr>
          <w:rFonts w:ascii="Book Antiqua" w:hAnsi="Book Antiqua"/>
        </w:rPr>
        <w:t>note 99, at 624.</w:t>
      </w:r>
      <w:r w:rsidRPr="00735395">
        <w:rPr>
          <w:rFonts w:ascii="Book Antiqua" w:hAnsi="Book Antiqua"/>
        </w:rPr>
        <w:t xml:space="preserve"> However, its status has never been judicially impugned.</w:t>
      </w:r>
    </w:p>
  </w:footnote>
  <w:footnote w:id="54">
    <w:p w14:paraId="25B50362" w14:textId="02E0EBD6" w:rsidR="00CE5BA2" w:rsidRPr="00207CF0" w:rsidRDefault="00CE5BA2" w:rsidP="006B52F4">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RICHARD J. SAMUELS</w:t>
      </w:r>
      <w:r w:rsidRPr="00735395">
        <w:rPr>
          <w:rFonts w:ascii="Book Antiqua" w:hAnsi="Book Antiqua"/>
          <w:sz w:val="18"/>
          <w:szCs w:val="18"/>
        </w:rPr>
        <w:t xml:space="preserve">, </w:t>
      </w:r>
      <w:r>
        <w:rPr>
          <w:rFonts w:ascii="Book Antiqua" w:hAnsi="Book Antiqua"/>
          <w:sz w:val="18"/>
          <w:szCs w:val="18"/>
        </w:rPr>
        <w:t>POLITICS, SECURITY POLICY</w:t>
      </w:r>
      <w:r w:rsidRPr="00DD369D">
        <w:rPr>
          <w:rFonts w:ascii="Book Antiqua" w:hAnsi="Book Antiqua"/>
          <w:i/>
          <w:sz w:val="18"/>
          <w:szCs w:val="18"/>
        </w:rPr>
        <w:t xml:space="preserve">, </w:t>
      </w:r>
      <w:r>
        <w:rPr>
          <w:rFonts w:ascii="Book Antiqua" w:hAnsi="Book Antiqua"/>
          <w:sz w:val="18"/>
          <w:szCs w:val="18"/>
        </w:rPr>
        <w:t>AND JAPAN’S CABINET LEGISLATION BUREAU: WHO ELECTED THESE GUYS ANYWAY? JAPAN POLICY RESEARCH INSTITUTE WORKING PAPER NO. 99, 3 (2004).</w:t>
      </w:r>
      <w:r>
        <w:rPr>
          <w:rFonts w:ascii="Book Antiqua" w:hAnsi="Book Antiqua"/>
          <w:i/>
          <w:sz w:val="18"/>
          <w:szCs w:val="18"/>
        </w:rPr>
        <w:t xml:space="preserve"> </w:t>
      </w:r>
    </w:p>
  </w:footnote>
  <w:footnote w:id="55">
    <w:p w14:paraId="0BFB82D0" w14:textId="27FF4B3A" w:rsidR="00CE5BA2" w:rsidRPr="00A6111F" w:rsidRDefault="00CE5BA2" w:rsidP="00A6111F">
      <w:pPr>
        <w:pStyle w:val="p1"/>
        <w:jc w:val="both"/>
        <w:rPr>
          <w:rFonts w:ascii="Book Antiqua" w:hAnsi="Book Antiqua"/>
        </w:rPr>
      </w:pPr>
      <w:r w:rsidRPr="006B52F4">
        <w:rPr>
          <w:rStyle w:val="FootnoteReference"/>
          <w:rFonts w:ascii="Book Antiqua" w:hAnsi="Book Antiqua"/>
        </w:rPr>
        <w:footnoteRef/>
      </w:r>
      <w:r w:rsidRPr="006B52F4">
        <w:rPr>
          <w:rFonts w:ascii="Book Antiqua" w:hAnsi="Book Antiqua"/>
        </w:rPr>
        <w:t xml:space="preserve"> </w:t>
      </w:r>
      <w:r>
        <w:rPr>
          <w:rFonts w:ascii="Book Antiqua" w:hAnsi="Book Antiqua"/>
          <w:i/>
        </w:rPr>
        <w:t>Id.</w:t>
      </w:r>
      <w:r>
        <w:rPr>
          <w:rFonts w:ascii="Book Antiqua" w:hAnsi="Book Antiqua"/>
        </w:rPr>
        <w:t xml:space="preserve"> at 1. </w:t>
      </w:r>
    </w:p>
  </w:footnote>
  <w:footnote w:id="56">
    <w:p w14:paraId="5252CFD0" w14:textId="76C67590" w:rsidR="00CE5BA2" w:rsidRPr="00710039" w:rsidRDefault="00CE5BA2" w:rsidP="00A6111F">
      <w:pPr>
        <w:pStyle w:val="FootnoteText"/>
        <w:jc w:val="both"/>
        <w:rPr>
          <w:rFonts w:ascii="Book Antiqua" w:hAnsi="Book Antiqua"/>
          <w:sz w:val="18"/>
          <w:szCs w:val="18"/>
          <w:lang w:val="en-GB"/>
        </w:rPr>
      </w:pPr>
      <w:r w:rsidRPr="006B52F4">
        <w:rPr>
          <w:rStyle w:val="FootnoteReference"/>
          <w:rFonts w:ascii="Book Antiqua" w:hAnsi="Book Antiqua"/>
          <w:sz w:val="18"/>
          <w:szCs w:val="18"/>
        </w:rPr>
        <w:footnoteRef/>
      </w:r>
      <w:r w:rsidRPr="006B52F4">
        <w:rPr>
          <w:rFonts w:ascii="Book Antiqua" w:hAnsi="Book Antiqua"/>
          <w:sz w:val="18"/>
          <w:szCs w:val="18"/>
        </w:rPr>
        <w:t xml:space="preserve"> </w:t>
      </w:r>
      <w:r>
        <w:rPr>
          <w:rFonts w:ascii="Book Antiqua" w:hAnsi="Book Antiqua"/>
          <w:i/>
          <w:sz w:val="18"/>
          <w:szCs w:val="18"/>
        </w:rPr>
        <w:t>Id.</w:t>
      </w:r>
      <w:r>
        <w:rPr>
          <w:rFonts w:ascii="Book Antiqua" w:hAnsi="Book Antiqua"/>
          <w:sz w:val="18"/>
          <w:szCs w:val="18"/>
        </w:rPr>
        <w:t xml:space="preserve"> at</w:t>
      </w:r>
      <w:r w:rsidRPr="00710039">
        <w:rPr>
          <w:rFonts w:ascii="Book Antiqua" w:hAnsi="Book Antiqua"/>
          <w:sz w:val="18"/>
          <w:szCs w:val="18"/>
          <w:lang w:val="en-GB"/>
        </w:rPr>
        <w:t xml:space="preserve"> 2-3.</w:t>
      </w:r>
    </w:p>
  </w:footnote>
  <w:footnote w:id="57">
    <w:p w14:paraId="1F5B069D" w14:textId="3D0FE14C" w:rsidR="00CE5BA2" w:rsidRPr="00F603FC" w:rsidRDefault="00CE5BA2" w:rsidP="00F603FC">
      <w:pPr>
        <w:pStyle w:val="FootnoteText"/>
        <w:jc w:val="both"/>
        <w:rPr>
          <w:rFonts w:ascii="Book Antiqua" w:hAnsi="Book Antiqua"/>
          <w:sz w:val="18"/>
          <w:szCs w:val="18"/>
          <w:lang w:val="en-GB"/>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Pr>
          <w:rFonts w:ascii="Book Antiqua" w:hAnsi="Book Antiqua"/>
          <w:sz w:val="18"/>
          <w:szCs w:val="18"/>
        </w:rPr>
        <w:t xml:space="preserve">Jeffery Richter, </w:t>
      </w:r>
      <w:r w:rsidRPr="00F603FC">
        <w:rPr>
          <w:rFonts w:ascii="Book Antiqua" w:hAnsi="Book Antiqua"/>
          <w:i/>
          <w:sz w:val="18"/>
          <w:szCs w:val="18"/>
        </w:rPr>
        <w:t xml:space="preserve">Japan’s “Reinterpretation” of Article 9: A Pyrrhic Victory for American Foreign </w:t>
      </w:r>
      <w:proofErr w:type="gramStart"/>
      <w:r w:rsidRPr="00F603FC">
        <w:rPr>
          <w:rFonts w:ascii="Book Antiqua" w:hAnsi="Book Antiqua"/>
          <w:i/>
          <w:sz w:val="18"/>
          <w:szCs w:val="18"/>
        </w:rPr>
        <w:t>Policy?</w:t>
      </w:r>
      <w:r>
        <w:rPr>
          <w:rFonts w:ascii="Book Antiqua" w:hAnsi="Book Antiqua"/>
          <w:i/>
          <w:sz w:val="18"/>
          <w:szCs w:val="18"/>
        </w:rPr>
        <w:t>,</w:t>
      </w:r>
      <w:proofErr w:type="gramEnd"/>
      <w:r w:rsidRPr="00710039">
        <w:rPr>
          <w:rFonts w:ascii="Book Antiqua" w:hAnsi="Book Antiqua"/>
          <w:sz w:val="18"/>
          <w:szCs w:val="18"/>
        </w:rPr>
        <w:t xml:space="preserve"> </w:t>
      </w:r>
      <w:r>
        <w:rPr>
          <w:rFonts w:ascii="Book Antiqua" w:hAnsi="Book Antiqua"/>
          <w:sz w:val="18"/>
          <w:szCs w:val="18"/>
        </w:rPr>
        <w:t>101 IOWA L. REV. 1223, 1239- 1240 (2016)</w:t>
      </w:r>
      <w:r w:rsidRPr="00710039">
        <w:rPr>
          <w:rFonts w:ascii="Book Antiqua" w:hAnsi="Book Antiqua"/>
          <w:sz w:val="18"/>
          <w:szCs w:val="18"/>
        </w:rPr>
        <w:t>.</w:t>
      </w:r>
    </w:p>
  </w:footnote>
  <w:footnote w:id="58">
    <w:p w14:paraId="492D8ECA" w14:textId="175D8DF9" w:rsidR="00CE5BA2" w:rsidRPr="00F603FC" w:rsidRDefault="00CE5BA2" w:rsidP="00F603FC">
      <w:pPr>
        <w:pStyle w:val="FootnoteText"/>
        <w:jc w:val="both"/>
        <w:rPr>
          <w:rFonts w:ascii="Book Antiqua" w:hAnsi="Book Antiqua"/>
          <w:sz w:val="18"/>
          <w:szCs w:val="18"/>
          <w:lang w:val="en-GB"/>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Pr>
          <w:rFonts w:ascii="Book Antiqua" w:hAnsi="Book Antiqua"/>
          <w:i/>
          <w:sz w:val="18"/>
          <w:szCs w:val="18"/>
          <w:lang w:val="en-GB"/>
        </w:rPr>
        <w:t xml:space="preserve">Id. </w:t>
      </w:r>
    </w:p>
  </w:footnote>
  <w:footnote w:id="59">
    <w:p w14:paraId="754B25D9" w14:textId="35C7CCDD" w:rsidR="00CE5BA2" w:rsidRPr="00AC2515" w:rsidRDefault="00CE5BA2" w:rsidP="00FB4C94">
      <w:pPr>
        <w:pStyle w:val="FootnoteText"/>
        <w:jc w:val="both"/>
        <w:rPr>
          <w:rFonts w:ascii="Book Antiqua" w:hAnsi="Book Antiqua"/>
          <w:sz w:val="18"/>
          <w:szCs w:val="18"/>
          <w:lang w:val="en-GB"/>
        </w:rPr>
      </w:pPr>
      <w:r w:rsidRPr="00AC2515">
        <w:rPr>
          <w:rStyle w:val="FootnoteReference"/>
          <w:rFonts w:ascii="Book Antiqua" w:hAnsi="Book Antiqua"/>
          <w:sz w:val="18"/>
          <w:szCs w:val="18"/>
        </w:rPr>
        <w:footnoteRef/>
      </w:r>
      <w:r w:rsidRPr="00AC2515">
        <w:rPr>
          <w:rFonts w:ascii="Book Antiqua" w:hAnsi="Book Antiqua"/>
          <w:sz w:val="18"/>
          <w:szCs w:val="18"/>
        </w:rPr>
        <w:t xml:space="preserve"> </w:t>
      </w:r>
      <w:proofErr w:type="spellStart"/>
      <w:r>
        <w:rPr>
          <w:rFonts w:ascii="Book Antiqua" w:eastAsia="Times New Roman" w:hAnsi="Book Antiqua"/>
          <w:sz w:val="18"/>
          <w:szCs w:val="18"/>
        </w:rPr>
        <w:t>Navraj</w:t>
      </w:r>
      <w:proofErr w:type="spellEnd"/>
      <w:r>
        <w:rPr>
          <w:rFonts w:ascii="Book Antiqua" w:eastAsia="Times New Roman" w:hAnsi="Book Antiqua"/>
          <w:sz w:val="18"/>
          <w:szCs w:val="18"/>
        </w:rPr>
        <w:t xml:space="preserve"> Singh </w:t>
      </w:r>
      <w:proofErr w:type="spellStart"/>
      <w:r>
        <w:rPr>
          <w:rFonts w:ascii="Book Antiqua" w:eastAsia="Times New Roman" w:hAnsi="Book Antiqua"/>
          <w:sz w:val="18"/>
          <w:szCs w:val="18"/>
        </w:rPr>
        <w:t>Ghaleigh</w:t>
      </w:r>
      <w:proofErr w:type="spellEnd"/>
      <w:r w:rsidRPr="00F603FC">
        <w:rPr>
          <w:rFonts w:ascii="Book Antiqua" w:eastAsia="Times New Roman" w:hAnsi="Book Antiqua"/>
          <w:i/>
          <w:sz w:val="18"/>
          <w:szCs w:val="18"/>
        </w:rPr>
        <w:t xml:space="preserve">, Neither Legal </w:t>
      </w:r>
      <w:proofErr w:type="gramStart"/>
      <w:r w:rsidRPr="00F603FC">
        <w:rPr>
          <w:rFonts w:ascii="Book Antiqua" w:eastAsia="Times New Roman" w:hAnsi="Book Antiqua"/>
          <w:i/>
          <w:sz w:val="18"/>
          <w:szCs w:val="18"/>
        </w:rPr>
        <w:t>Nor</w:t>
      </w:r>
      <w:proofErr w:type="gramEnd"/>
      <w:r w:rsidRPr="00F603FC">
        <w:rPr>
          <w:rFonts w:ascii="Book Antiqua" w:eastAsia="Times New Roman" w:hAnsi="Book Antiqua"/>
          <w:i/>
          <w:sz w:val="18"/>
          <w:szCs w:val="18"/>
        </w:rPr>
        <w:t xml:space="preserve"> Political? Bureaucratic Constitutionalism in Japanese Law</w:t>
      </w:r>
      <w:r>
        <w:rPr>
          <w:rFonts w:ascii="Book Antiqua" w:eastAsia="Times New Roman" w:hAnsi="Book Antiqua"/>
          <w:sz w:val="18"/>
          <w:szCs w:val="18"/>
        </w:rPr>
        <w:t>,</w:t>
      </w:r>
      <w:r w:rsidRPr="006B52F4">
        <w:rPr>
          <w:rFonts w:ascii="Book Antiqua" w:eastAsia="Times New Roman" w:hAnsi="Book Antiqua"/>
          <w:sz w:val="18"/>
          <w:szCs w:val="18"/>
        </w:rPr>
        <w:t xml:space="preserve"> </w:t>
      </w:r>
      <w:r>
        <w:rPr>
          <w:rFonts w:ascii="Book Antiqua" w:eastAsia="Times New Roman" w:hAnsi="Book Antiqua"/>
          <w:sz w:val="18"/>
          <w:szCs w:val="18"/>
        </w:rPr>
        <w:t>26 K. L. J.</w:t>
      </w:r>
      <w:r>
        <w:rPr>
          <w:rFonts w:ascii="Book Antiqua" w:eastAsia="Times New Roman" w:hAnsi="Book Antiqua"/>
          <w:i/>
          <w:sz w:val="18"/>
          <w:szCs w:val="18"/>
        </w:rPr>
        <w:t xml:space="preserve"> </w:t>
      </w:r>
      <w:r>
        <w:rPr>
          <w:rFonts w:ascii="Book Antiqua" w:eastAsia="Times New Roman" w:hAnsi="Book Antiqua"/>
          <w:sz w:val="18"/>
          <w:szCs w:val="18"/>
        </w:rPr>
        <w:t>193, 205 (2015)</w:t>
      </w:r>
      <w:r w:rsidRPr="00AC2515">
        <w:rPr>
          <w:rFonts w:ascii="Book Antiqua" w:eastAsia="Times New Roman" w:hAnsi="Book Antiqua"/>
          <w:sz w:val="18"/>
          <w:szCs w:val="18"/>
        </w:rPr>
        <w:t>.</w:t>
      </w:r>
      <w:r>
        <w:rPr>
          <w:rFonts w:ascii="Book Antiqua" w:eastAsia="Times New Roman" w:hAnsi="Book Antiqua"/>
          <w:sz w:val="18"/>
          <w:szCs w:val="18"/>
        </w:rPr>
        <w:t xml:space="preserve"> (Internal footnotes omitted).</w:t>
      </w:r>
    </w:p>
  </w:footnote>
  <w:footnote w:id="60">
    <w:p w14:paraId="5D2F39A5" w14:textId="2B8594A2" w:rsidR="00CE5BA2" w:rsidRPr="00F603FC" w:rsidRDefault="00CE5BA2" w:rsidP="00207CF0">
      <w:pPr>
        <w:pStyle w:val="FootnoteText"/>
        <w:jc w:val="both"/>
        <w:rPr>
          <w:rFonts w:ascii="Book Antiqua" w:hAnsi="Book Antiqua"/>
          <w:sz w:val="18"/>
          <w:szCs w:val="18"/>
          <w:lang w:val="en-GB"/>
        </w:rPr>
      </w:pPr>
      <w:r w:rsidRPr="006B52F4">
        <w:rPr>
          <w:rStyle w:val="FootnoteReference"/>
          <w:rFonts w:ascii="Book Antiqua" w:hAnsi="Book Antiqua"/>
          <w:sz w:val="18"/>
          <w:szCs w:val="18"/>
        </w:rPr>
        <w:footnoteRef/>
      </w:r>
      <w:r w:rsidRPr="006B52F4">
        <w:rPr>
          <w:rFonts w:ascii="Book Antiqua" w:hAnsi="Book Antiqua"/>
          <w:sz w:val="18"/>
          <w:szCs w:val="18"/>
        </w:rPr>
        <w:t xml:space="preserve"> </w:t>
      </w:r>
      <w:r w:rsidRPr="0028217B">
        <w:rPr>
          <w:rFonts w:ascii="Book Antiqua" w:hAnsi="Book Antiqua"/>
          <w:sz w:val="18"/>
          <w:szCs w:val="18"/>
        </w:rPr>
        <w:t xml:space="preserve">Martin, </w:t>
      </w:r>
      <w:r>
        <w:rPr>
          <w:rFonts w:ascii="Book Antiqua" w:hAnsi="Book Antiqua"/>
          <w:i/>
          <w:sz w:val="18"/>
          <w:szCs w:val="18"/>
        </w:rPr>
        <w:t xml:space="preserve">supra </w:t>
      </w:r>
      <w:r>
        <w:rPr>
          <w:rFonts w:ascii="Book Antiqua" w:hAnsi="Book Antiqua"/>
          <w:sz w:val="18"/>
          <w:szCs w:val="18"/>
        </w:rPr>
        <w:t xml:space="preserve">note 100, at </w:t>
      </w:r>
      <w:r w:rsidRPr="0028217B">
        <w:rPr>
          <w:rFonts w:ascii="Book Antiqua" w:hAnsi="Book Antiqua"/>
          <w:sz w:val="18"/>
          <w:szCs w:val="18"/>
          <w:lang w:val="en-GB"/>
        </w:rPr>
        <w:t>501.</w:t>
      </w:r>
    </w:p>
  </w:footnote>
  <w:footnote w:id="61">
    <w:p w14:paraId="7BFF4CA4" w14:textId="65E720C9" w:rsidR="00CE5BA2" w:rsidRPr="00F603FC" w:rsidRDefault="00CE5BA2" w:rsidP="00F603FC">
      <w:pPr>
        <w:pStyle w:val="FootnoteText"/>
        <w:jc w:val="both"/>
        <w:rPr>
          <w:rFonts w:ascii="Book Antiqua" w:hAnsi="Book Antiqua"/>
          <w:sz w:val="18"/>
          <w:szCs w:val="18"/>
          <w:lang w:val="en-GB"/>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sidRPr="00735395">
        <w:rPr>
          <w:rFonts w:ascii="Book Antiqua" w:hAnsi="Book Antiqua"/>
          <w:sz w:val="18"/>
          <w:szCs w:val="18"/>
        </w:rPr>
        <w:t xml:space="preserve">Samuels, </w:t>
      </w:r>
      <w:r>
        <w:rPr>
          <w:rFonts w:ascii="Book Antiqua" w:hAnsi="Book Antiqua"/>
          <w:i/>
          <w:sz w:val="18"/>
          <w:szCs w:val="18"/>
        </w:rPr>
        <w:t xml:space="preserve">supra </w:t>
      </w:r>
      <w:r>
        <w:rPr>
          <w:rFonts w:ascii="Book Antiqua" w:hAnsi="Book Antiqua"/>
          <w:sz w:val="18"/>
          <w:szCs w:val="18"/>
        </w:rPr>
        <w:t xml:space="preserve">note 102, at </w:t>
      </w:r>
      <w:r w:rsidRPr="00247B6A">
        <w:rPr>
          <w:rFonts w:ascii="Book Antiqua" w:hAnsi="Book Antiqua"/>
          <w:sz w:val="18"/>
          <w:szCs w:val="18"/>
        </w:rPr>
        <w:t>3.</w:t>
      </w:r>
    </w:p>
  </w:footnote>
  <w:footnote w:id="62">
    <w:p w14:paraId="549B4EFE" w14:textId="33064E59" w:rsidR="00CE5BA2" w:rsidRPr="00247B6A" w:rsidRDefault="00CE5BA2" w:rsidP="00207CF0">
      <w:pPr>
        <w:pStyle w:val="FootnoteText"/>
        <w:jc w:val="both"/>
        <w:rPr>
          <w:rFonts w:ascii="Book Antiqua" w:hAnsi="Book Antiqua"/>
          <w:sz w:val="18"/>
          <w:szCs w:val="18"/>
          <w:lang w:val="en-GB"/>
        </w:rPr>
      </w:pPr>
      <w:r w:rsidRPr="00207CF0">
        <w:rPr>
          <w:rStyle w:val="FootnoteReference"/>
          <w:rFonts w:ascii="Book Antiqua" w:hAnsi="Book Antiqua"/>
          <w:sz w:val="18"/>
          <w:szCs w:val="18"/>
        </w:rPr>
        <w:footnoteRef/>
      </w:r>
      <w:r w:rsidRPr="00207CF0">
        <w:rPr>
          <w:rFonts w:ascii="Book Antiqua" w:hAnsi="Book Antiqua"/>
          <w:sz w:val="18"/>
          <w:szCs w:val="18"/>
        </w:rPr>
        <w:t xml:space="preserve"> Hajime Yamamoto, </w:t>
      </w:r>
      <w:r w:rsidRPr="00F603FC">
        <w:rPr>
          <w:rFonts w:ascii="Book Antiqua" w:hAnsi="Book Antiqua"/>
          <w:i/>
          <w:sz w:val="18"/>
          <w:szCs w:val="18"/>
        </w:rPr>
        <w:t>Interpretation of the Pacifist Article of the Constitution by the Bureau of Cabinet Legislation: A New Source of Constitutional Law</w:t>
      </w:r>
      <w:r w:rsidRPr="00247B6A">
        <w:rPr>
          <w:rFonts w:ascii="Book Antiqua" w:hAnsi="Book Antiqua"/>
          <w:sz w:val="18"/>
          <w:szCs w:val="18"/>
        </w:rPr>
        <w:t xml:space="preserve">, </w:t>
      </w:r>
      <w:r>
        <w:rPr>
          <w:rFonts w:ascii="Book Antiqua" w:hAnsi="Book Antiqua"/>
          <w:sz w:val="18"/>
          <w:szCs w:val="18"/>
        </w:rPr>
        <w:t>22 WASH. INT’L. L. J.</w:t>
      </w:r>
      <w:r w:rsidRPr="00247B6A">
        <w:rPr>
          <w:rFonts w:ascii="Book Antiqua" w:hAnsi="Book Antiqua"/>
          <w:sz w:val="18"/>
          <w:szCs w:val="18"/>
        </w:rPr>
        <w:t xml:space="preserve"> </w:t>
      </w:r>
      <w:r>
        <w:rPr>
          <w:rFonts w:ascii="Book Antiqua" w:hAnsi="Book Antiqua"/>
          <w:sz w:val="18"/>
          <w:szCs w:val="18"/>
        </w:rPr>
        <w:t>99, 111 (2017)</w:t>
      </w:r>
      <w:r w:rsidRPr="00247B6A">
        <w:rPr>
          <w:rFonts w:ascii="Book Antiqua" w:hAnsi="Book Antiqua"/>
          <w:sz w:val="18"/>
          <w:szCs w:val="18"/>
        </w:rPr>
        <w:t>.</w:t>
      </w:r>
    </w:p>
  </w:footnote>
  <w:footnote w:id="63">
    <w:p w14:paraId="28CAF6B0" w14:textId="48BAE1E5" w:rsidR="00CE5BA2" w:rsidRPr="00003F33" w:rsidRDefault="00CE5BA2" w:rsidP="004930FD">
      <w:pPr>
        <w:pStyle w:val="p1"/>
        <w:jc w:val="both"/>
        <w:rPr>
          <w:rFonts w:ascii="Book Antiqua" w:hAnsi="Book Antiqua"/>
        </w:rPr>
      </w:pPr>
      <w:r w:rsidRPr="00003F33">
        <w:rPr>
          <w:rStyle w:val="FootnoteReference"/>
          <w:rFonts w:ascii="Book Antiqua" w:hAnsi="Book Antiqua"/>
        </w:rPr>
        <w:footnoteRef/>
      </w:r>
      <w:r w:rsidRPr="00003F33">
        <w:rPr>
          <w:rFonts w:ascii="Book Antiqua" w:hAnsi="Book Antiqua"/>
        </w:rPr>
        <w:t xml:space="preserve"> </w:t>
      </w:r>
      <w:r w:rsidRPr="00003F33">
        <w:rPr>
          <w:rFonts w:ascii="Book Antiqua" w:hAnsi="Book Antiqua"/>
          <w:lang w:val="en-GB"/>
        </w:rPr>
        <w:t xml:space="preserve">The Committee comprised of </w:t>
      </w:r>
      <w:r w:rsidRPr="00003F33">
        <w:rPr>
          <w:rFonts w:ascii="Book Antiqua" w:hAnsi="Book Antiqua"/>
        </w:rPr>
        <w:t>a “group of experts in fields from international relations and diplomacy to international law, but nonetheless contained few lawyers, and only one constitutional scholar. It was argued in the media that members of the panel were primarily selected for their hawkish views on national security.”</w:t>
      </w:r>
      <w:r>
        <w:rPr>
          <w:rFonts w:ascii="Book Antiqua" w:hAnsi="Book Antiqua"/>
        </w:rPr>
        <w:t xml:space="preserve"> Martin, </w:t>
      </w:r>
      <w:r>
        <w:rPr>
          <w:rFonts w:ascii="Book Antiqua" w:hAnsi="Book Antiqua"/>
          <w:i/>
        </w:rPr>
        <w:t xml:space="preserve">supra </w:t>
      </w:r>
      <w:r>
        <w:rPr>
          <w:rFonts w:ascii="Book Antiqua" w:hAnsi="Book Antiqua"/>
        </w:rPr>
        <w:t>note 100, at 475. (Internal footnotes omitted)</w:t>
      </w:r>
    </w:p>
  </w:footnote>
  <w:footnote w:id="64">
    <w:p w14:paraId="4CA3151D" w14:textId="198F36BE" w:rsidR="00CE5BA2" w:rsidRPr="00F603FC" w:rsidRDefault="00CE5BA2" w:rsidP="00F603FC">
      <w:pPr>
        <w:pStyle w:val="FootnoteText"/>
        <w:jc w:val="both"/>
        <w:rPr>
          <w:rFonts w:ascii="Book Antiqua" w:hAnsi="Book Antiqua"/>
          <w:sz w:val="18"/>
          <w:szCs w:val="18"/>
          <w:lang w:val="en-GB"/>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Pr>
          <w:rFonts w:ascii="Book Antiqua" w:hAnsi="Book Antiqua"/>
          <w:sz w:val="18"/>
          <w:szCs w:val="18"/>
        </w:rPr>
        <w:t xml:space="preserve">Yasuo </w:t>
      </w:r>
      <w:proofErr w:type="spellStart"/>
      <w:r w:rsidRPr="00F603FC">
        <w:rPr>
          <w:rFonts w:ascii="Book Antiqua" w:hAnsi="Book Antiqua"/>
          <w:sz w:val="18"/>
          <w:szCs w:val="18"/>
          <w:lang w:val="en-GB"/>
        </w:rPr>
        <w:t>Hasabe</w:t>
      </w:r>
      <w:proofErr w:type="spellEnd"/>
      <w:r w:rsidRPr="00F603FC">
        <w:rPr>
          <w:rFonts w:ascii="Book Antiqua" w:hAnsi="Book Antiqua"/>
          <w:sz w:val="18"/>
          <w:szCs w:val="18"/>
          <w:lang w:val="en-GB"/>
        </w:rPr>
        <w:t>,</w:t>
      </w:r>
      <w:r>
        <w:rPr>
          <w:rFonts w:ascii="Book Antiqua" w:hAnsi="Book Antiqua"/>
          <w:sz w:val="18"/>
          <w:szCs w:val="18"/>
          <w:lang w:val="en-GB"/>
        </w:rPr>
        <w:t xml:space="preserve"> </w:t>
      </w:r>
      <w:r w:rsidRPr="00F603FC">
        <w:rPr>
          <w:rFonts w:ascii="Book Antiqua" w:hAnsi="Book Antiqua"/>
          <w:i/>
          <w:sz w:val="18"/>
          <w:szCs w:val="18"/>
          <w:lang w:val="en-GB"/>
        </w:rPr>
        <w:t xml:space="preserve">The End of Constitutional </w:t>
      </w:r>
      <w:proofErr w:type="gramStart"/>
      <w:r w:rsidRPr="00F603FC">
        <w:rPr>
          <w:rFonts w:ascii="Book Antiqua" w:hAnsi="Book Antiqua"/>
          <w:i/>
          <w:sz w:val="18"/>
          <w:szCs w:val="18"/>
          <w:lang w:val="en-GB"/>
        </w:rPr>
        <w:t>Pacifism</w:t>
      </w:r>
      <w:r>
        <w:rPr>
          <w:rFonts w:ascii="Book Antiqua" w:hAnsi="Book Antiqua"/>
          <w:i/>
          <w:sz w:val="18"/>
          <w:szCs w:val="18"/>
          <w:lang w:val="en-GB"/>
        </w:rPr>
        <w:t>?</w:t>
      </w:r>
      <w:r>
        <w:rPr>
          <w:rFonts w:ascii="Book Antiqua" w:hAnsi="Book Antiqua"/>
          <w:sz w:val="18"/>
          <w:szCs w:val="18"/>
          <w:lang w:val="en-GB"/>
        </w:rPr>
        <w:t>,</w:t>
      </w:r>
      <w:proofErr w:type="gramEnd"/>
      <w:r>
        <w:rPr>
          <w:rFonts w:ascii="Book Antiqua" w:hAnsi="Book Antiqua"/>
          <w:sz w:val="18"/>
          <w:szCs w:val="18"/>
          <w:lang w:val="en-GB"/>
        </w:rPr>
        <w:t xml:space="preserve"> 26 </w:t>
      </w:r>
      <w:r>
        <w:rPr>
          <w:rFonts w:ascii="Book Antiqua" w:hAnsi="Book Antiqua"/>
          <w:sz w:val="18"/>
          <w:szCs w:val="18"/>
        </w:rPr>
        <w:t>WASH. INT’L. L. J.</w:t>
      </w:r>
      <w:r w:rsidRPr="00247B6A">
        <w:rPr>
          <w:rFonts w:ascii="Book Antiqua" w:hAnsi="Book Antiqua"/>
          <w:sz w:val="18"/>
          <w:szCs w:val="18"/>
        </w:rPr>
        <w:t xml:space="preserve"> </w:t>
      </w:r>
      <w:r>
        <w:rPr>
          <w:rFonts w:ascii="Book Antiqua" w:hAnsi="Book Antiqua"/>
          <w:sz w:val="18"/>
          <w:szCs w:val="18"/>
        </w:rPr>
        <w:t xml:space="preserve">125, 128 </w:t>
      </w:r>
      <w:r>
        <w:rPr>
          <w:rFonts w:ascii="Book Antiqua" w:hAnsi="Book Antiqua"/>
          <w:sz w:val="18"/>
          <w:szCs w:val="18"/>
          <w:lang w:val="en-GB"/>
        </w:rPr>
        <w:t>(2016)</w:t>
      </w:r>
      <w:r w:rsidRPr="00F603FC">
        <w:rPr>
          <w:rFonts w:ascii="Book Antiqua" w:hAnsi="Book Antiqua"/>
          <w:sz w:val="18"/>
          <w:szCs w:val="18"/>
          <w:lang w:val="en-GB"/>
        </w:rPr>
        <w:t>.</w:t>
      </w:r>
    </w:p>
  </w:footnote>
  <w:footnote w:id="65">
    <w:p w14:paraId="0CA42A0E" w14:textId="5258AD6D" w:rsidR="00CE5BA2" w:rsidRPr="00F603FC" w:rsidRDefault="00CE5BA2" w:rsidP="00F603FC">
      <w:pPr>
        <w:pStyle w:val="p1"/>
        <w:jc w:val="both"/>
        <w:rPr>
          <w:rFonts w:ascii="Book Antiqua" w:hAnsi="Book Antiqua"/>
        </w:rPr>
      </w:pPr>
      <w:r w:rsidRPr="00F603FC">
        <w:rPr>
          <w:rStyle w:val="FootnoteReference"/>
          <w:rFonts w:ascii="Book Antiqua" w:hAnsi="Book Antiqua"/>
        </w:rPr>
        <w:footnoteRef/>
      </w:r>
      <w:r w:rsidRPr="00F603FC">
        <w:rPr>
          <w:rFonts w:ascii="Book Antiqua" w:hAnsi="Book Antiqua"/>
        </w:rPr>
        <w:t xml:space="preserve"> Richter, </w:t>
      </w:r>
      <w:r w:rsidRPr="00B95013">
        <w:rPr>
          <w:rFonts w:ascii="Book Antiqua" w:hAnsi="Book Antiqua"/>
          <w:i/>
        </w:rPr>
        <w:t xml:space="preserve">supra </w:t>
      </w:r>
      <w:r w:rsidRPr="0074097C">
        <w:rPr>
          <w:rFonts w:ascii="Book Antiqua" w:hAnsi="Book Antiqua"/>
        </w:rPr>
        <w:t>note 106, at 1257</w:t>
      </w:r>
      <w:r w:rsidRPr="00F603FC">
        <w:rPr>
          <w:rFonts w:ascii="Book Antiqua" w:hAnsi="Book Antiqua"/>
          <w:lang w:val="en-GB"/>
        </w:rPr>
        <w:t>.</w:t>
      </w:r>
    </w:p>
  </w:footnote>
  <w:footnote w:id="66">
    <w:p w14:paraId="2799270A" w14:textId="0512D728" w:rsidR="00CE5BA2" w:rsidRPr="00F603FC" w:rsidRDefault="00CE5BA2" w:rsidP="00F603FC">
      <w:pPr>
        <w:pStyle w:val="p1"/>
        <w:jc w:val="both"/>
        <w:rPr>
          <w:rFonts w:ascii="Book Antiqua" w:hAnsi="Book Antiqua"/>
        </w:rPr>
      </w:pPr>
      <w:r w:rsidRPr="00F603FC">
        <w:rPr>
          <w:rStyle w:val="FootnoteReference"/>
          <w:rFonts w:ascii="Book Antiqua" w:hAnsi="Book Antiqua"/>
        </w:rPr>
        <w:footnoteRef/>
      </w:r>
      <w:r w:rsidRPr="00F603FC">
        <w:rPr>
          <w:rFonts w:ascii="Book Antiqua" w:hAnsi="Book Antiqua"/>
        </w:rPr>
        <w:t xml:space="preserve"> </w:t>
      </w:r>
      <w:r w:rsidRPr="0074097C">
        <w:rPr>
          <w:rFonts w:ascii="Book Antiqua" w:hAnsi="Book Antiqua"/>
        </w:rPr>
        <w:t xml:space="preserve">Yamamoto, </w:t>
      </w:r>
      <w:r w:rsidRPr="0074097C">
        <w:rPr>
          <w:rFonts w:ascii="Book Antiqua" w:hAnsi="Book Antiqua"/>
          <w:i/>
        </w:rPr>
        <w:t xml:space="preserve">supra </w:t>
      </w:r>
      <w:r w:rsidRPr="002A3B79">
        <w:rPr>
          <w:rFonts w:ascii="Book Antiqua" w:hAnsi="Book Antiqua"/>
        </w:rPr>
        <w:t xml:space="preserve">note 113, at 114. </w:t>
      </w:r>
    </w:p>
  </w:footnote>
  <w:footnote w:id="67">
    <w:p w14:paraId="6C409EA1" w14:textId="588194B9" w:rsidR="00CE5BA2" w:rsidRPr="00B910CD" w:rsidRDefault="00CE5BA2" w:rsidP="004930FD">
      <w:pPr>
        <w:pStyle w:val="FootnoteText"/>
        <w:jc w:val="both"/>
        <w:rPr>
          <w:rFonts w:ascii="Book Antiqua" w:hAnsi="Book Antiqua"/>
          <w:sz w:val="18"/>
          <w:szCs w:val="18"/>
          <w:lang w:val="en-GB"/>
        </w:rPr>
      </w:pPr>
      <w:r w:rsidRPr="00B910CD">
        <w:rPr>
          <w:rStyle w:val="FootnoteReference"/>
          <w:rFonts w:ascii="Book Antiqua" w:hAnsi="Book Antiqua"/>
          <w:sz w:val="18"/>
          <w:szCs w:val="18"/>
        </w:rPr>
        <w:footnoteRef/>
      </w:r>
      <w:r w:rsidRPr="00B910CD">
        <w:rPr>
          <w:rFonts w:ascii="Book Antiqua" w:hAnsi="Book Antiqua"/>
          <w:sz w:val="18"/>
          <w:szCs w:val="18"/>
        </w:rPr>
        <w:t xml:space="preserve"> </w:t>
      </w:r>
      <w:proofErr w:type="spellStart"/>
      <w:r w:rsidRPr="00B910CD">
        <w:rPr>
          <w:rFonts w:ascii="Book Antiqua" w:eastAsia="Times New Roman" w:hAnsi="Book Antiqua"/>
          <w:sz w:val="18"/>
          <w:szCs w:val="18"/>
        </w:rPr>
        <w:t>Ghaleigh</w:t>
      </w:r>
      <w:proofErr w:type="spellEnd"/>
      <w:r w:rsidRPr="00B910CD">
        <w:rPr>
          <w:rFonts w:ascii="Book Antiqua" w:eastAsia="Times New Roman" w:hAnsi="Book Antiqua"/>
          <w:sz w:val="18"/>
          <w:szCs w:val="18"/>
        </w:rPr>
        <w:t xml:space="preserve">, </w:t>
      </w:r>
      <w:r w:rsidRPr="00B910CD">
        <w:rPr>
          <w:rFonts w:ascii="Book Antiqua" w:eastAsia="Times New Roman" w:hAnsi="Book Antiqua"/>
          <w:i/>
          <w:sz w:val="18"/>
          <w:szCs w:val="18"/>
        </w:rPr>
        <w:t xml:space="preserve">supra </w:t>
      </w:r>
      <w:r w:rsidRPr="00B910CD">
        <w:rPr>
          <w:rFonts w:ascii="Book Antiqua" w:eastAsia="Times New Roman" w:hAnsi="Book Antiqua"/>
          <w:sz w:val="18"/>
          <w:szCs w:val="18"/>
        </w:rPr>
        <w:t>note 109, at 212.</w:t>
      </w:r>
    </w:p>
  </w:footnote>
  <w:footnote w:id="68">
    <w:p w14:paraId="744F4CAB" w14:textId="62CB08AD" w:rsidR="00CE5BA2" w:rsidRPr="00F603FC" w:rsidRDefault="00CE5BA2">
      <w:pPr>
        <w:pStyle w:val="FootnoteText"/>
        <w:rPr>
          <w:rFonts w:ascii="Book Antiqua" w:hAnsi="Book Antiqua"/>
          <w:sz w:val="18"/>
          <w:szCs w:val="18"/>
          <w:lang w:val="en-IE"/>
        </w:rPr>
      </w:pPr>
      <w:r w:rsidRPr="00F603FC">
        <w:rPr>
          <w:rStyle w:val="FootnoteReference"/>
          <w:rFonts w:ascii="Book Antiqua" w:hAnsi="Book Antiqua"/>
          <w:sz w:val="18"/>
          <w:szCs w:val="18"/>
        </w:rPr>
        <w:footnoteRef/>
      </w:r>
      <w:r w:rsidRPr="00F603FC">
        <w:rPr>
          <w:rFonts w:ascii="Book Antiqua" w:hAnsi="Book Antiqua"/>
          <w:sz w:val="18"/>
          <w:szCs w:val="18"/>
        </w:rPr>
        <w:t xml:space="preserve"> Richter, </w:t>
      </w:r>
      <w:r w:rsidRPr="00F603FC">
        <w:rPr>
          <w:rFonts w:ascii="Book Antiqua" w:hAnsi="Book Antiqua"/>
          <w:i/>
          <w:sz w:val="18"/>
          <w:szCs w:val="18"/>
        </w:rPr>
        <w:t xml:space="preserve">supra </w:t>
      </w:r>
      <w:r w:rsidRPr="00F603FC">
        <w:rPr>
          <w:rFonts w:ascii="Book Antiqua" w:hAnsi="Book Antiqua"/>
          <w:sz w:val="18"/>
          <w:szCs w:val="18"/>
        </w:rPr>
        <w:t>note 106, at 1257</w:t>
      </w:r>
      <w:r w:rsidRPr="00F603FC">
        <w:rPr>
          <w:rFonts w:ascii="Book Antiqua" w:hAnsi="Book Antiqua"/>
          <w:sz w:val="18"/>
          <w:szCs w:val="18"/>
          <w:lang w:val="en-GB"/>
        </w:rPr>
        <w:t>.</w:t>
      </w:r>
    </w:p>
  </w:footnote>
  <w:footnote w:id="69">
    <w:p w14:paraId="03188661" w14:textId="2AF4C4F4" w:rsidR="00CE5BA2" w:rsidRPr="006B52F4" w:rsidRDefault="00CE5BA2" w:rsidP="00207CF0">
      <w:pPr>
        <w:pStyle w:val="FootnoteText"/>
        <w:jc w:val="both"/>
        <w:rPr>
          <w:rFonts w:ascii="Book Antiqua" w:hAnsi="Book Antiqua"/>
          <w:sz w:val="18"/>
          <w:szCs w:val="18"/>
          <w:lang w:val="en-GB"/>
        </w:rPr>
      </w:pPr>
      <w:r w:rsidRPr="00B910CD">
        <w:rPr>
          <w:rStyle w:val="FootnoteReference"/>
          <w:rFonts w:ascii="Book Antiqua" w:hAnsi="Book Antiqua"/>
          <w:sz w:val="18"/>
          <w:szCs w:val="18"/>
        </w:rPr>
        <w:footnoteRef/>
      </w:r>
      <w:r w:rsidRPr="00B910CD">
        <w:rPr>
          <w:rFonts w:ascii="Book Antiqua" w:hAnsi="Book Antiqua"/>
          <w:sz w:val="18"/>
          <w:szCs w:val="18"/>
        </w:rPr>
        <w:t xml:space="preserve"> </w:t>
      </w:r>
      <w:r w:rsidRPr="00735395">
        <w:rPr>
          <w:rFonts w:ascii="Book Antiqua" w:hAnsi="Book Antiqua"/>
          <w:sz w:val="18"/>
          <w:szCs w:val="18"/>
        </w:rPr>
        <w:t xml:space="preserve">Samuels, </w:t>
      </w:r>
      <w:r>
        <w:rPr>
          <w:rFonts w:ascii="Book Antiqua" w:hAnsi="Book Antiqua"/>
          <w:i/>
          <w:sz w:val="18"/>
          <w:szCs w:val="18"/>
        </w:rPr>
        <w:t xml:space="preserve">supra </w:t>
      </w:r>
      <w:r>
        <w:rPr>
          <w:rFonts w:ascii="Book Antiqua" w:hAnsi="Book Antiqua"/>
          <w:sz w:val="18"/>
          <w:szCs w:val="18"/>
        </w:rPr>
        <w:t xml:space="preserve">note 102, at </w:t>
      </w:r>
      <w:r w:rsidRPr="006B52F4">
        <w:rPr>
          <w:rFonts w:ascii="Book Antiqua" w:hAnsi="Book Antiqua"/>
          <w:sz w:val="18"/>
          <w:szCs w:val="18"/>
          <w:lang w:val="en-GB"/>
        </w:rPr>
        <w:t>3.</w:t>
      </w:r>
    </w:p>
  </w:footnote>
  <w:footnote w:id="70">
    <w:p w14:paraId="03942A85" w14:textId="452CF8F1" w:rsidR="00CE5BA2" w:rsidRPr="00F61022" w:rsidRDefault="00CE5BA2" w:rsidP="006B52F4">
      <w:pPr>
        <w:pStyle w:val="FootnoteText"/>
        <w:jc w:val="both"/>
        <w:rPr>
          <w:rFonts w:ascii="Book Antiqua" w:hAnsi="Book Antiqua"/>
          <w:sz w:val="18"/>
          <w:szCs w:val="18"/>
          <w:lang w:val="en-GB"/>
        </w:rPr>
      </w:pPr>
      <w:r w:rsidRPr="006B52F4">
        <w:rPr>
          <w:rStyle w:val="FootnoteReference"/>
          <w:rFonts w:ascii="Book Antiqua" w:hAnsi="Book Antiqua"/>
          <w:sz w:val="18"/>
          <w:szCs w:val="18"/>
        </w:rPr>
        <w:footnoteRef/>
      </w:r>
      <w:r w:rsidRPr="006B52F4">
        <w:rPr>
          <w:rFonts w:ascii="Book Antiqua" w:hAnsi="Book Antiqua"/>
          <w:sz w:val="18"/>
          <w:szCs w:val="18"/>
        </w:rPr>
        <w:t xml:space="preserve"> </w:t>
      </w:r>
      <w:r>
        <w:rPr>
          <w:rFonts w:ascii="Book Antiqua" w:hAnsi="Book Antiqua"/>
          <w:i/>
          <w:sz w:val="18"/>
          <w:szCs w:val="18"/>
        </w:rPr>
        <w:t xml:space="preserve">See </w:t>
      </w:r>
      <w:r>
        <w:rPr>
          <w:rFonts w:ascii="Book Antiqua" w:hAnsi="Book Antiqua"/>
          <w:sz w:val="18"/>
          <w:szCs w:val="18"/>
        </w:rPr>
        <w:t xml:space="preserve">JAPAN CONST., art </w:t>
      </w:r>
      <w:r w:rsidRPr="006B52F4">
        <w:rPr>
          <w:rFonts w:ascii="Book Antiqua" w:hAnsi="Book Antiqua"/>
          <w:sz w:val="18"/>
          <w:szCs w:val="18"/>
        </w:rPr>
        <w:t>81</w:t>
      </w:r>
      <w:r>
        <w:rPr>
          <w:rFonts w:ascii="Book Antiqua" w:hAnsi="Book Antiqua"/>
          <w:sz w:val="18"/>
          <w:szCs w:val="18"/>
        </w:rPr>
        <w:t xml:space="preserve"> (1946)</w:t>
      </w:r>
      <w:r w:rsidRPr="00207CF0">
        <w:rPr>
          <w:rFonts w:ascii="Book Antiqua" w:hAnsi="Book Antiqua"/>
          <w:sz w:val="18"/>
          <w:szCs w:val="18"/>
        </w:rPr>
        <w:t xml:space="preserve">. </w:t>
      </w:r>
    </w:p>
  </w:footnote>
  <w:footnote w:id="71">
    <w:p w14:paraId="662FF014" w14:textId="5A0A9EBC" w:rsidR="00CE5BA2" w:rsidRPr="00735395" w:rsidRDefault="00CE5BA2" w:rsidP="00207CF0">
      <w:pPr>
        <w:pStyle w:val="p1"/>
        <w:jc w:val="both"/>
        <w:rPr>
          <w:rFonts w:ascii="Book Antiqua" w:hAnsi="Book Antiqua"/>
        </w:rPr>
      </w:pPr>
      <w:r w:rsidRPr="006B52F4">
        <w:rPr>
          <w:rStyle w:val="FootnoteReference"/>
          <w:rFonts w:ascii="Book Antiqua" w:hAnsi="Book Antiqua"/>
        </w:rPr>
        <w:footnoteRef/>
      </w:r>
      <w:r w:rsidRPr="006B52F4">
        <w:rPr>
          <w:rFonts w:ascii="Book Antiqua" w:hAnsi="Book Antiqua"/>
        </w:rPr>
        <w:t xml:space="preserve"> </w:t>
      </w:r>
      <w:r>
        <w:rPr>
          <w:rFonts w:ascii="Book Antiqua" w:hAnsi="Book Antiqua"/>
          <w:i/>
        </w:rPr>
        <w:t xml:space="preserve">See generally </w:t>
      </w:r>
      <w:r>
        <w:rPr>
          <w:rFonts w:ascii="Book Antiqua" w:hAnsi="Book Antiqua"/>
        </w:rPr>
        <w:t xml:space="preserve">Law, </w:t>
      </w:r>
      <w:r>
        <w:rPr>
          <w:rFonts w:ascii="Book Antiqua" w:hAnsi="Book Antiqua"/>
          <w:i/>
        </w:rPr>
        <w:t xml:space="preserve">supra </w:t>
      </w:r>
      <w:r>
        <w:rPr>
          <w:rFonts w:ascii="Book Antiqua" w:hAnsi="Book Antiqua"/>
        </w:rPr>
        <w:t>note 95</w:t>
      </w:r>
      <w:r w:rsidRPr="006B52F4">
        <w:rPr>
          <w:rFonts w:ascii="Book Antiqua" w:hAnsi="Book Antiqua"/>
        </w:rPr>
        <w:t>.</w:t>
      </w:r>
    </w:p>
  </w:footnote>
  <w:footnote w:id="72">
    <w:p w14:paraId="7D2C1C53" w14:textId="59458D9A" w:rsidR="00CE5BA2" w:rsidRPr="00735395" w:rsidRDefault="00CE5BA2" w:rsidP="000B1618">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proofErr w:type="spellStart"/>
      <w:r w:rsidRPr="00735395">
        <w:rPr>
          <w:rFonts w:ascii="Book Antiqua" w:hAnsi="Book Antiqua"/>
          <w:sz w:val="18"/>
          <w:szCs w:val="18"/>
        </w:rPr>
        <w:t>Hasabe</w:t>
      </w:r>
      <w:proofErr w:type="spellEnd"/>
      <w:r w:rsidRPr="00735395">
        <w:rPr>
          <w:rFonts w:ascii="Book Antiqua" w:hAnsi="Book Antiqua"/>
          <w:sz w:val="18"/>
          <w:szCs w:val="18"/>
        </w:rPr>
        <w:t xml:space="preserve">, </w:t>
      </w:r>
      <w:r>
        <w:rPr>
          <w:rFonts w:ascii="Book Antiqua" w:hAnsi="Book Antiqua"/>
          <w:i/>
          <w:sz w:val="18"/>
          <w:szCs w:val="18"/>
        </w:rPr>
        <w:t xml:space="preserve">supra </w:t>
      </w:r>
      <w:r>
        <w:rPr>
          <w:rFonts w:ascii="Book Antiqua" w:hAnsi="Book Antiqua"/>
          <w:sz w:val="18"/>
          <w:szCs w:val="18"/>
        </w:rPr>
        <w:t xml:space="preserve">note 97, at </w:t>
      </w:r>
      <w:r w:rsidRPr="00735395">
        <w:rPr>
          <w:rFonts w:ascii="Book Antiqua" w:hAnsi="Book Antiqua"/>
          <w:sz w:val="18"/>
          <w:szCs w:val="18"/>
        </w:rPr>
        <w:t>307.</w:t>
      </w:r>
    </w:p>
  </w:footnote>
  <w:footnote w:id="73">
    <w:p w14:paraId="30D2528A" w14:textId="74FA0A17" w:rsidR="00CE5BA2" w:rsidRPr="00735395" w:rsidRDefault="00CE5BA2" w:rsidP="000B1618">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Satoh,</w:t>
      </w:r>
      <w:r>
        <w:rPr>
          <w:rFonts w:ascii="Book Antiqua" w:hAnsi="Book Antiqua"/>
        </w:rPr>
        <w:t xml:space="preserve"> </w:t>
      </w:r>
      <w:r>
        <w:rPr>
          <w:rFonts w:ascii="Book Antiqua" w:hAnsi="Book Antiqua"/>
          <w:i/>
        </w:rPr>
        <w:t xml:space="preserve">supra </w:t>
      </w:r>
      <w:r>
        <w:rPr>
          <w:rFonts w:ascii="Book Antiqua" w:hAnsi="Book Antiqua"/>
        </w:rPr>
        <w:t>note 99, at</w:t>
      </w:r>
      <w:r w:rsidRPr="00735395">
        <w:rPr>
          <w:rFonts w:ascii="Book Antiqua" w:hAnsi="Book Antiqua"/>
        </w:rPr>
        <w:t xml:space="preserve"> 624.</w:t>
      </w:r>
    </w:p>
  </w:footnote>
  <w:footnote w:id="74">
    <w:p w14:paraId="505229D1" w14:textId="6AE09D16" w:rsidR="00CE5BA2" w:rsidRPr="00615C97" w:rsidRDefault="00CE5BA2" w:rsidP="009E5746">
      <w:pPr>
        <w:pStyle w:val="FootnoteText"/>
        <w:jc w:val="both"/>
        <w:rPr>
          <w:rFonts w:ascii="Book Antiqua" w:hAnsi="Book Antiqua"/>
          <w:sz w:val="18"/>
          <w:szCs w:val="18"/>
          <w:lang w:val="en-GB"/>
        </w:rPr>
      </w:pPr>
      <w:r w:rsidRPr="00615C97">
        <w:rPr>
          <w:rStyle w:val="FootnoteReference"/>
          <w:rFonts w:ascii="Book Antiqua" w:hAnsi="Book Antiqua"/>
          <w:sz w:val="18"/>
          <w:szCs w:val="18"/>
        </w:rPr>
        <w:footnoteRef/>
      </w:r>
      <w:r w:rsidRPr="00615C97">
        <w:rPr>
          <w:rFonts w:ascii="Book Antiqua" w:hAnsi="Book Antiqua"/>
          <w:sz w:val="18"/>
          <w:szCs w:val="18"/>
        </w:rPr>
        <w:t xml:space="preserve"> </w:t>
      </w:r>
      <w:r w:rsidRPr="00F603FC">
        <w:rPr>
          <w:rFonts w:ascii="Book Antiqua" w:hAnsi="Book Antiqua"/>
          <w:sz w:val="18"/>
          <w:szCs w:val="18"/>
        </w:rPr>
        <w:t xml:space="preserve">Law, </w:t>
      </w:r>
      <w:r>
        <w:rPr>
          <w:rFonts w:ascii="Book Antiqua" w:hAnsi="Book Antiqua"/>
          <w:i/>
          <w:sz w:val="18"/>
          <w:szCs w:val="18"/>
        </w:rPr>
        <w:t xml:space="preserve">supra </w:t>
      </w:r>
      <w:r>
        <w:rPr>
          <w:rFonts w:ascii="Book Antiqua" w:hAnsi="Book Antiqua"/>
          <w:sz w:val="18"/>
          <w:szCs w:val="18"/>
        </w:rPr>
        <w:t xml:space="preserve">note 95, at </w:t>
      </w:r>
      <w:r w:rsidRPr="005203EF">
        <w:rPr>
          <w:rFonts w:ascii="Book Antiqua" w:hAnsi="Book Antiqua"/>
          <w:sz w:val="18"/>
          <w:szCs w:val="18"/>
        </w:rPr>
        <w:t>1454.</w:t>
      </w:r>
    </w:p>
  </w:footnote>
  <w:footnote w:id="75">
    <w:p w14:paraId="12266D1F" w14:textId="580A0946" w:rsidR="00CE5BA2" w:rsidRPr="009E5746" w:rsidRDefault="00CE5BA2" w:rsidP="003F01C9">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000A24B5" w:rsidRPr="000A24B5">
        <w:rPr>
          <w:rFonts w:ascii="Book Antiqua" w:hAnsi="Book Antiqua"/>
          <w:sz w:val="18"/>
          <w:szCs w:val="18"/>
        </w:rPr>
        <w:t xml:space="preserve">Satoh, supra note 99, at </w:t>
      </w:r>
      <w:r w:rsidR="000A24B5">
        <w:rPr>
          <w:rFonts w:ascii="Book Antiqua" w:hAnsi="Book Antiqua"/>
          <w:sz w:val="18"/>
          <w:szCs w:val="18"/>
        </w:rPr>
        <w:t xml:space="preserve">625. </w:t>
      </w:r>
      <w:r>
        <w:rPr>
          <w:rFonts w:ascii="Book Antiqua" w:hAnsi="Book Antiqua"/>
          <w:sz w:val="18"/>
          <w:szCs w:val="18"/>
        </w:rPr>
        <w:t xml:space="preserve">For a detailed analysis of judicial </w:t>
      </w:r>
      <w:r w:rsidRPr="00880B40">
        <w:rPr>
          <w:rFonts w:ascii="Book Antiqua" w:hAnsi="Book Antiqua"/>
          <w:sz w:val="18"/>
          <w:szCs w:val="18"/>
        </w:rPr>
        <w:t>independence in Japan</w:t>
      </w:r>
      <w:r>
        <w:rPr>
          <w:rFonts w:ascii="Book Antiqua" w:hAnsi="Book Antiqua"/>
          <w:sz w:val="18"/>
          <w:szCs w:val="18"/>
        </w:rPr>
        <w:t xml:space="preserve"> </w:t>
      </w:r>
      <w:r w:rsidRPr="00F603FC">
        <w:rPr>
          <w:rFonts w:ascii="Book Antiqua" w:hAnsi="Book Antiqua"/>
          <w:i/>
          <w:sz w:val="18"/>
          <w:szCs w:val="18"/>
        </w:rPr>
        <w:t>see</w:t>
      </w:r>
      <w:r w:rsidRPr="00880B40">
        <w:rPr>
          <w:rFonts w:ascii="Book Antiqua" w:hAnsi="Book Antiqua"/>
          <w:sz w:val="18"/>
          <w:szCs w:val="18"/>
        </w:rPr>
        <w:t xml:space="preserve"> </w:t>
      </w:r>
      <w:r>
        <w:rPr>
          <w:rFonts w:ascii="Book Antiqua" w:hAnsi="Book Antiqua"/>
          <w:sz w:val="18"/>
          <w:szCs w:val="18"/>
        </w:rPr>
        <w:t>J. MARK RAMSEYER</w:t>
      </w:r>
      <w:r w:rsidRPr="00F603FC">
        <w:rPr>
          <w:rFonts w:ascii="Book Antiqua" w:hAnsi="Book Antiqua"/>
          <w:sz w:val="18"/>
          <w:szCs w:val="18"/>
        </w:rPr>
        <w:t xml:space="preserve"> and </w:t>
      </w:r>
      <w:r>
        <w:rPr>
          <w:rFonts w:ascii="Book Antiqua" w:hAnsi="Book Antiqua"/>
          <w:sz w:val="18"/>
          <w:szCs w:val="18"/>
        </w:rPr>
        <w:t>ERIC B. RAMUSEN</w:t>
      </w:r>
      <w:r w:rsidRPr="00F603FC">
        <w:rPr>
          <w:rFonts w:ascii="Book Antiqua" w:hAnsi="Book Antiqua"/>
          <w:sz w:val="18"/>
          <w:szCs w:val="18"/>
        </w:rPr>
        <w:t xml:space="preserve">, </w:t>
      </w:r>
      <w:r>
        <w:rPr>
          <w:rFonts w:ascii="Book Antiqua" w:hAnsi="Book Antiqua"/>
          <w:sz w:val="18"/>
          <w:szCs w:val="18"/>
          <w:lang w:val="en-IE"/>
        </w:rPr>
        <w:t>MEASURING JUDICIAL INDEPENDENCE</w:t>
      </w:r>
      <w:r w:rsidRPr="00E4414B">
        <w:rPr>
          <w:rFonts w:ascii="Book Antiqua" w:hAnsi="Book Antiqua"/>
          <w:sz w:val="18"/>
          <w:szCs w:val="18"/>
          <w:lang w:val="en-IE"/>
        </w:rPr>
        <w:t xml:space="preserve">: </w:t>
      </w:r>
      <w:r>
        <w:rPr>
          <w:rFonts w:ascii="Book Antiqua" w:hAnsi="Book Antiqua"/>
          <w:sz w:val="18"/>
          <w:szCs w:val="18"/>
          <w:lang w:val="en-IE"/>
        </w:rPr>
        <w:t>THE POLITICAL ECONOMY OF JUDGING IN JAPAN</w:t>
      </w:r>
      <w:r w:rsidRPr="00F603FC">
        <w:rPr>
          <w:rFonts w:ascii="Book Antiqua" w:hAnsi="Book Antiqua"/>
          <w:sz w:val="18"/>
          <w:szCs w:val="18"/>
          <w:lang w:val="en-IE"/>
        </w:rPr>
        <w:t xml:space="preserve"> (2003).</w:t>
      </w:r>
    </w:p>
  </w:footnote>
  <w:footnote w:id="76">
    <w:p w14:paraId="749AF7CC" w14:textId="28F37563" w:rsidR="00CE5BA2" w:rsidRPr="009E5746" w:rsidRDefault="00CE5BA2" w:rsidP="003F01C9">
      <w:pPr>
        <w:pStyle w:val="FootnoteText"/>
        <w:jc w:val="both"/>
        <w:rPr>
          <w:rFonts w:ascii="Book Antiqua" w:hAnsi="Book Antiqua"/>
          <w:sz w:val="18"/>
          <w:szCs w:val="18"/>
          <w:lang w:val="en-GB"/>
        </w:rPr>
      </w:pPr>
      <w:r w:rsidRPr="009E5746">
        <w:rPr>
          <w:rStyle w:val="FootnoteReference"/>
          <w:rFonts w:ascii="Book Antiqua" w:hAnsi="Book Antiqua"/>
          <w:sz w:val="18"/>
          <w:szCs w:val="18"/>
        </w:rPr>
        <w:footnoteRef/>
      </w:r>
      <w:r w:rsidRPr="009E5746">
        <w:rPr>
          <w:rFonts w:ascii="Book Antiqua" w:hAnsi="Book Antiqua"/>
          <w:sz w:val="18"/>
          <w:szCs w:val="18"/>
        </w:rPr>
        <w:t xml:space="preserve"> </w:t>
      </w:r>
      <w:r w:rsidRPr="00FA272A">
        <w:rPr>
          <w:rFonts w:ascii="Book Antiqua" w:hAnsi="Book Antiqua"/>
          <w:sz w:val="18"/>
          <w:szCs w:val="18"/>
        </w:rPr>
        <w:t xml:space="preserve">Law, </w:t>
      </w:r>
      <w:r>
        <w:rPr>
          <w:rFonts w:ascii="Book Antiqua" w:hAnsi="Book Antiqua"/>
          <w:i/>
          <w:sz w:val="18"/>
          <w:szCs w:val="18"/>
        </w:rPr>
        <w:t xml:space="preserve">supra </w:t>
      </w:r>
      <w:r>
        <w:rPr>
          <w:rFonts w:ascii="Book Antiqua" w:hAnsi="Book Antiqua"/>
          <w:sz w:val="18"/>
          <w:szCs w:val="18"/>
        </w:rPr>
        <w:t xml:space="preserve">note 95, at </w:t>
      </w:r>
      <w:r w:rsidRPr="009E5746">
        <w:rPr>
          <w:rFonts w:ascii="Book Antiqua" w:hAnsi="Book Antiqua"/>
          <w:sz w:val="18"/>
          <w:szCs w:val="18"/>
        </w:rPr>
        <w:t>1454-6.</w:t>
      </w:r>
    </w:p>
  </w:footnote>
  <w:footnote w:id="77">
    <w:p w14:paraId="314D55CB" w14:textId="49210277" w:rsidR="00CE5BA2" w:rsidRPr="00F603FC" w:rsidRDefault="00CE5BA2" w:rsidP="00F603FC">
      <w:pPr>
        <w:jc w:val="both"/>
        <w:rPr>
          <w:rFonts w:ascii="Book Antiqua" w:eastAsia="Times New Roman" w:hAnsi="Book Antiqua"/>
          <w:sz w:val="18"/>
          <w:szCs w:val="18"/>
        </w:rPr>
      </w:pPr>
      <w:r w:rsidRPr="00F603FC">
        <w:rPr>
          <w:rStyle w:val="FootnoteReference"/>
          <w:rFonts w:ascii="Book Antiqua" w:hAnsi="Book Antiqua"/>
          <w:sz w:val="18"/>
          <w:szCs w:val="18"/>
        </w:rPr>
        <w:footnoteRef/>
      </w:r>
      <w:r>
        <w:rPr>
          <w:rFonts w:ascii="Book Antiqua" w:hAnsi="Book Antiqua"/>
          <w:sz w:val="18"/>
          <w:szCs w:val="18"/>
        </w:rPr>
        <w:t xml:space="preserve"> </w:t>
      </w:r>
      <w:r w:rsidRPr="00F603FC">
        <w:rPr>
          <w:rFonts w:ascii="Book Antiqua" w:eastAsia="Times New Roman" w:hAnsi="Book Antiqua"/>
          <w:sz w:val="18"/>
          <w:szCs w:val="18"/>
        </w:rPr>
        <w:t>Shigenori Matsui,</w:t>
      </w:r>
      <w:r w:rsidRPr="00B95013">
        <w:rPr>
          <w:rFonts w:ascii="Book Antiqua" w:eastAsia="Times New Roman" w:hAnsi="Book Antiqua"/>
          <w:sz w:val="18"/>
          <w:szCs w:val="18"/>
        </w:rPr>
        <w:t xml:space="preserve"> </w:t>
      </w:r>
      <w:r w:rsidRPr="00F603FC">
        <w:rPr>
          <w:rFonts w:ascii="Book Antiqua" w:eastAsia="Times New Roman" w:hAnsi="Book Antiqua"/>
          <w:i/>
          <w:sz w:val="18"/>
          <w:szCs w:val="18"/>
        </w:rPr>
        <w:t xml:space="preserve">Why Is the Japanese Supreme Court So </w:t>
      </w:r>
      <w:proofErr w:type="gramStart"/>
      <w:r w:rsidRPr="00F603FC">
        <w:rPr>
          <w:rFonts w:ascii="Book Antiqua" w:eastAsia="Times New Roman" w:hAnsi="Book Antiqua"/>
          <w:i/>
          <w:sz w:val="18"/>
          <w:szCs w:val="18"/>
        </w:rPr>
        <w:t>Conservative</w:t>
      </w:r>
      <w:r w:rsidRPr="00B95013">
        <w:rPr>
          <w:rFonts w:ascii="Book Antiqua" w:eastAsia="Times New Roman" w:hAnsi="Book Antiqua"/>
          <w:sz w:val="18"/>
          <w:szCs w:val="18"/>
        </w:rPr>
        <w:t>?</w:t>
      </w:r>
      <w:r w:rsidRPr="00F603FC">
        <w:rPr>
          <w:rFonts w:ascii="Book Antiqua" w:eastAsia="Times New Roman" w:hAnsi="Book Antiqua"/>
          <w:sz w:val="18"/>
          <w:szCs w:val="18"/>
        </w:rPr>
        <w:t>,</w:t>
      </w:r>
      <w:proofErr w:type="gramEnd"/>
      <w:r w:rsidRPr="00F603FC">
        <w:rPr>
          <w:rFonts w:ascii="Book Antiqua" w:eastAsia="Times New Roman" w:hAnsi="Book Antiqua"/>
          <w:sz w:val="18"/>
          <w:szCs w:val="18"/>
        </w:rPr>
        <w:t xml:space="preserve"> </w:t>
      </w:r>
      <w:r>
        <w:rPr>
          <w:rFonts w:ascii="Book Antiqua" w:eastAsia="Times New Roman" w:hAnsi="Book Antiqua"/>
          <w:sz w:val="18"/>
          <w:szCs w:val="18"/>
        </w:rPr>
        <w:t>88 WASH. U. L. REV.</w:t>
      </w:r>
      <w:r w:rsidRPr="00F603FC">
        <w:rPr>
          <w:rFonts w:ascii="Book Antiqua" w:eastAsia="Times New Roman" w:hAnsi="Book Antiqua"/>
          <w:sz w:val="18"/>
          <w:szCs w:val="18"/>
        </w:rPr>
        <w:t xml:space="preserve"> </w:t>
      </w:r>
      <w:r>
        <w:rPr>
          <w:rFonts w:ascii="Book Antiqua" w:eastAsia="Times New Roman" w:hAnsi="Book Antiqua"/>
          <w:sz w:val="18"/>
          <w:szCs w:val="18"/>
        </w:rPr>
        <w:t xml:space="preserve">1375, 1405 </w:t>
      </w:r>
      <w:r w:rsidRPr="00B95013">
        <w:rPr>
          <w:rFonts w:ascii="Book Antiqua" w:eastAsia="Times New Roman" w:hAnsi="Book Antiqua"/>
          <w:sz w:val="18"/>
          <w:szCs w:val="18"/>
        </w:rPr>
        <w:t>(2011)</w:t>
      </w:r>
      <w:r w:rsidRPr="00593EF2">
        <w:rPr>
          <w:rFonts w:ascii="Book Antiqua" w:eastAsia="Times New Roman" w:hAnsi="Book Antiqua"/>
          <w:sz w:val="18"/>
          <w:szCs w:val="18"/>
        </w:rPr>
        <w:t>.</w:t>
      </w:r>
    </w:p>
  </w:footnote>
  <w:footnote w:id="78">
    <w:p w14:paraId="60ACC56A" w14:textId="5F55B911" w:rsidR="00CE5BA2" w:rsidRPr="00735395" w:rsidRDefault="00CE5BA2" w:rsidP="000B1618">
      <w:pPr>
        <w:pStyle w:val="p1"/>
        <w:jc w:val="both"/>
        <w:rPr>
          <w:rFonts w:ascii="Book Antiqua" w:hAnsi="Book Antiqua"/>
        </w:rPr>
      </w:pPr>
      <w:r w:rsidRPr="009E5746">
        <w:rPr>
          <w:rStyle w:val="FootnoteReference"/>
          <w:rFonts w:ascii="Book Antiqua" w:hAnsi="Book Antiqua"/>
        </w:rPr>
        <w:footnoteRef/>
      </w:r>
      <w:r w:rsidRPr="009E5746">
        <w:rPr>
          <w:rFonts w:ascii="Book Antiqua" w:hAnsi="Book Antiqua"/>
        </w:rPr>
        <w:t xml:space="preserve"> </w:t>
      </w:r>
      <w:r>
        <w:rPr>
          <w:rFonts w:ascii="Book Antiqua" w:hAnsi="Book Antiqua"/>
        </w:rPr>
        <w:t>John O. Ha</w:t>
      </w:r>
      <w:r w:rsidRPr="00735395">
        <w:rPr>
          <w:rFonts w:ascii="Book Antiqua" w:hAnsi="Book Antiqua"/>
        </w:rPr>
        <w:t xml:space="preserve">ley, </w:t>
      </w:r>
      <w:r w:rsidRPr="00F603FC">
        <w:rPr>
          <w:rFonts w:ascii="Book Antiqua" w:hAnsi="Book Antiqua"/>
          <w:i/>
        </w:rPr>
        <w:t>Constitutional Adjudication in Japan: Context, Structures, and Values</w:t>
      </w:r>
      <w:r>
        <w:rPr>
          <w:rFonts w:ascii="Book Antiqua" w:hAnsi="Book Antiqua"/>
          <w:i/>
        </w:rPr>
        <w:t>,</w:t>
      </w:r>
      <w:r>
        <w:rPr>
          <w:rFonts w:ascii="Book Antiqua" w:hAnsi="Book Antiqua"/>
        </w:rPr>
        <w:t xml:space="preserve"> 88 </w:t>
      </w:r>
      <w:r>
        <w:rPr>
          <w:rFonts w:ascii="Book Antiqua" w:eastAsia="Times New Roman" w:hAnsi="Book Antiqua"/>
        </w:rPr>
        <w:t>WASH. U. L. REV</w:t>
      </w:r>
      <w:r w:rsidRPr="009E5746">
        <w:rPr>
          <w:rFonts w:ascii="Book Antiqua" w:hAnsi="Book Antiqua"/>
          <w:i/>
        </w:rPr>
        <w:t xml:space="preserve"> </w:t>
      </w:r>
      <w:r>
        <w:rPr>
          <w:rFonts w:ascii="Book Antiqua" w:hAnsi="Book Antiqua"/>
        </w:rPr>
        <w:t>1467, 1477 (2011)</w:t>
      </w:r>
      <w:r w:rsidRPr="00735395">
        <w:rPr>
          <w:rFonts w:ascii="Book Antiqua" w:hAnsi="Book Antiqua"/>
        </w:rPr>
        <w:t>.</w:t>
      </w:r>
    </w:p>
  </w:footnote>
  <w:footnote w:id="79">
    <w:p w14:paraId="53F9303A" w14:textId="2C6B55B0" w:rsidR="00CE5BA2" w:rsidRPr="00735395" w:rsidRDefault="00CE5BA2" w:rsidP="000B1618">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Koji Miyakawa, </w:t>
      </w:r>
      <w:r w:rsidRPr="00F603FC">
        <w:rPr>
          <w:rFonts w:ascii="Book Antiqua" w:hAnsi="Book Antiqua"/>
          <w:i/>
          <w:sz w:val="18"/>
          <w:szCs w:val="18"/>
        </w:rPr>
        <w:t>Inside the Supreme Court of Japan- From the Perspective of a Former Justice</w:t>
      </w:r>
      <w:r w:rsidRPr="00735395">
        <w:rPr>
          <w:rFonts w:ascii="Book Antiqua" w:hAnsi="Book Antiqua"/>
          <w:sz w:val="18"/>
          <w:szCs w:val="18"/>
        </w:rPr>
        <w:t xml:space="preserve">, </w:t>
      </w:r>
      <w:r>
        <w:rPr>
          <w:rFonts w:ascii="Book Antiqua" w:hAnsi="Book Antiqua"/>
          <w:sz w:val="18"/>
          <w:szCs w:val="18"/>
        </w:rPr>
        <w:t>15 APLPJ 196, 203 (2014)</w:t>
      </w:r>
      <w:r w:rsidRPr="00735395">
        <w:rPr>
          <w:rFonts w:ascii="Book Antiqua" w:hAnsi="Book Antiqua"/>
          <w:sz w:val="18"/>
          <w:szCs w:val="18"/>
        </w:rPr>
        <w:t>.</w:t>
      </w:r>
    </w:p>
  </w:footnote>
  <w:footnote w:id="80">
    <w:p w14:paraId="45DDAE58" w14:textId="48618049" w:rsidR="00CE5BA2" w:rsidRPr="007B5754" w:rsidRDefault="00CE5BA2" w:rsidP="00F603FC">
      <w:pPr>
        <w:pStyle w:val="FootnoteText"/>
        <w:jc w:val="both"/>
        <w:rPr>
          <w:rFonts w:ascii="Book Antiqua" w:hAnsi="Book Antiqua"/>
          <w:sz w:val="18"/>
          <w:szCs w:val="18"/>
          <w:lang w:val="en-IE"/>
        </w:rPr>
      </w:pPr>
      <w:r w:rsidRPr="007B5754">
        <w:rPr>
          <w:rStyle w:val="FootnoteReference"/>
          <w:rFonts w:ascii="Book Antiqua" w:hAnsi="Book Antiqua"/>
          <w:sz w:val="18"/>
          <w:szCs w:val="18"/>
        </w:rPr>
        <w:footnoteRef/>
      </w:r>
      <w:r w:rsidRPr="007B5754">
        <w:rPr>
          <w:rFonts w:ascii="Book Antiqua" w:hAnsi="Book Antiqua"/>
          <w:sz w:val="18"/>
          <w:szCs w:val="18"/>
        </w:rPr>
        <w:t xml:space="preserve"> </w:t>
      </w:r>
      <w:r w:rsidRPr="007B5754">
        <w:rPr>
          <w:rFonts w:ascii="Book Antiqua" w:hAnsi="Book Antiqua"/>
          <w:sz w:val="18"/>
          <w:szCs w:val="18"/>
          <w:lang w:val="en-IE"/>
        </w:rPr>
        <w:t xml:space="preserve">The (non-executive) President may refer the bill to the Supreme Court to test its constitutionality before signing it. Article 26, Constitution of Ireland. </w:t>
      </w:r>
    </w:p>
  </w:footnote>
  <w:footnote w:id="81">
    <w:p w14:paraId="3A6C817C" w14:textId="2CC30CB1" w:rsidR="00CE5BA2" w:rsidRPr="00F603FC" w:rsidRDefault="00CE5BA2" w:rsidP="00F603FC">
      <w:pPr>
        <w:jc w:val="both"/>
        <w:rPr>
          <w:rFonts w:ascii="Book Antiqua" w:eastAsia="Times New Roman" w:hAnsi="Book Antiqua"/>
          <w:sz w:val="18"/>
          <w:szCs w:val="18"/>
        </w:rPr>
      </w:pPr>
      <w:r w:rsidRPr="00B95013">
        <w:rPr>
          <w:rStyle w:val="FootnoteReference"/>
          <w:rFonts w:ascii="Book Antiqua" w:hAnsi="Book Antiqua"/>
          <w:sz w:val="18"/>
          <w:szCs w:val="18"/>
        </w:rPr>
        <w:footnoteRef/>
      </w:r>
      <w:r w:rsidRPr="0074097C">
        <w:rPr>
          <w:rFonts w:ascii="Book Antiqua" w:hAnsi="Book Antiqua"/>
          <w:sz w:val="18"/>
          <w:szCs w:val="18"/>
        </w:rPr>
        <w:t xml:space="preserve"> </w:t>
      </w:r>
      <w:r w:rsidRPr="00F603FC">
        <w:rPr>
          <w:rFonts w:ascii="Book Antiqua" w:eastAsia="Times New Roman" w:hAnsi="Book Antiqua"/>
          <w:i/>
          <w:sz w:val="18"/>
          <w:szCs w:val="18"/>
        </w:rPr>
        <w:t>See</w:t>
      </w:r>
      <w:r w:rsidRPr="00B95013">
        <w:rPr>
          <w:rFonts w:ascii="Book Antiqua" w:eastAsia="Times New Roman" w:hAnsi="Book Antiqua"/>
          <w:sz w:val="18"/>
          <w:szCs w:val="18"/>
        </w:rPr>
        <w:t xml:space="preserve"> Ireland Const., art. 30.1 &amp; 30.4</w:t>
      </w:r>
      <w:r w:rsidRPr="00F603FC">
        <w:rPr>
          <w:rFonts w:ascii="Book Antiqua" w:eastAsia="Times New Roman" w:hAnsi="Book Antiqua"/>
          <w:sz w:val="18"/>
          <w:szCs w:val="18"/>
        </w:rPr>
        <w:t xml:space="preserve"> (1937).</w:t>
      </w:r>
      <w:r w:rsidR="00E05BCD">
        <w:rPr>
          <w:rFonts w:ascii="Book Antiqua" w:eastAsia="Times New Roman" w:hAnsi="Book Antiqua"/>
          <w:sz w:val="18"/>
          <w:szCs w:val="18"/>
        </w:rPr>
        <w:t xml:space="preserve"> This is essentially the only constitutional basis for the AG’s role in pre-enactment review.</w:t>
      </w:r>
    </w:p>
  </w:footnote>
  <w:footnote w:id="82">
    <w:p w14:paraId="0914ACE0" w14:textId="51CAAE47" w:rsidR="00CE5BA2" w:rsidRPr="007B5754" w:rsidRDefault="00CE5BA2" w:rsidP="00F603FC">
      <w:pPr>
        <w:jc w:val="both"/>
        <w:rPr>
          <w:rFonts w:ascii="Book Antiqua" w:hAnsi="Book Antiqua"/>
          <w:sz w:val="18"/>
          <w:szCs w:val="18"/>
          <w:lang w:val="en-IE"/>
        </w:rPr>
      </w:pPr>
      <w:r w:rsidRPr="007B5754">
        <w:rPr>
          <w:rStyle w:val="FootnoteReference"/>
          <w:rFonts w:ascii="Book Antiqua" w:hAnsi="Book Antiqua"/>
          <w:sz w:val="18"/>
          <w:szCs w:val="18"/>
        </w:rPr>
        <w:footnoteRef/>
      </w:r>
      <w:r w:rsidRPr="007B5754">
        <w:rPr>
          <w:rFonts w:ascii="Book Antiqua" w:hAnsi="Book Antiqua"/>
          <w:sz w:val="18"/>
          <w:szCs w:val="18"/>
        </w:rPr>
        <w:t xml:space="preserve"> </w:t>
      </w:r>
      <w:r w:rsidRPr="007B5754">
        <w:rPr>
          <w:rFonts w:ascii="Book Antiqua" w:hAnsi="Book Antiqua"/>
          <w:sz w:val="18"/>
          <w:szCs w:val="18"/>
          <w:lang w:val="en-IE"/>
        </w:rPr>
        <w:t xml:space="preserve">He or she is formally appointed by the President, but the nomination is made by the government, and the President has no discretion to refuse to make the appointment. </w:t>
      </w:r>
    </w:p>
  </w:footnote>
  <w:footnote w:id="83">
    <w:p w14:paraId="7938CDE3" w14:textId="5E31CB2F" w:rsidR="00CE5BA2" w:rsidRPr="007B5754" w:rsidRDefault="00CE5BA2" w:rsidP="00F603FC">
      <w:pPr>
        <w:pStyle w:val="FootnoteText"/>
        <w:jc w:val="both"/>
        <w:rPr>
          <w:rFonts w:ascii="Book Antiqua" w:hAnsi="Book Antiqua"/>
          <w:sz w:val="18"/>
          <w:szCs w:val="18"/>
          <w:lang w:val="en-IE"/>
        </w:rPr>
      </w:pPr>
      <w:r w:rsidRPr="007B5754">
        <w:rPr>
          <w:rStyle w:val="FootnoteReference"/>
          <w:rFonts w:ascii="Book Antiqua" w:hAnsi="Book Antiqua"/>
          <w:sz w:val="18"/>
          <w:szCs w:val="18"/>
        </w:rPr>
        <w:footnoteRef/>
      </w:r>
      <w:r w:rsidRPr="007B5754">
        <w:rPr>
          <w:rFonts w:ascii="Book Antiqua" w:hAnsi="Book Antiqua"/>
          <w:sz w:val="18"/>
          <w:szCs w:val="18"/>
        </w:rPr>
        <w:t xml:space="preserve"> </w:t>
      </w:r>
      <w:r>
        <w:rPr>
          <w:rFonts w:ascii="Book Antiqua" w:hAnsi="Book Antiqua"/>
          <w:sz w:val="18"/>
          <w:szCs w:val="18"/>
        </w:rPr>
        <w:t>JAMES CASEY, THE IRISH LAW OFFICERS</w:t>
      </w:r>
      <w:r w:rsidRPr="007B5754">
        <w:rPr>
          <w:rFonts w:ascii="Book Antiqua" w:hAnsi="Book Antiqua"/>
          <w:i/>
          <w:sz w:val="18"/>
          <w:szCs w:val="18"/>
        </w:rPr>
        <w:t xml:space="preserve"> </w:t>
      </w:r>
      <w:r w:rsidRPr="007B5754">
        <w:rPr>
          <w:rFonts w:ascii="Book Antiqua" w:hAnsi="Book Antiqua"/>
          <w:sz w:val="18"/>
          <w:szCs w:val="18"/>
        </w:rPr>
        <w:t>53</w:t>
      </w:r>
      <w:r>
        <w:rPr>
          <w:rFonts w:ascii="Book Antiqua" w:hAnsi="Book Antiqua"/>
          <w:sz w:val="18"/>
          <w:szCs w:val="18"/>
        </w:rPr>
        <w:t xml:space="preserve"> (1996)</w:t>
      </w:r>
      <w:r w:rsidRPr="007B5754">
        <w:rPr>
          <w:rFonts w:ascii="Book Antiqua" w:hAnsi="Book Antiqua"/>
          <w:sz w:val="18"/>
          <w:szCs w:val="18"/>
        </w:rPr>
        <w:t xml:space="preserve">. </w:t>
      </w:r>
    </w:p>
  </w:footnote>
  <w:footnote w:id="84">
    <w:p w14:paraId="43BCF557" w14:textId="77777777" w:rsidR="00CE5BA2" w:rsidRPr="00735395" w:rsidRDefault="00CE5BA2" w:rsidP="00F603FC">
      <w:pPr>
        <w:pStyle w:val="FootnoteText"/>
        <w:jc w:val="both"/>
        <w:rPr>
          <w:rFonts w:ascii="Book Antiqua" w:hAnsi="Book Antiqua"/>
          <w:sz w:val="18"/>
          <w:szCs w:val="18"/>
        </w:rPr>
      </w:pPr>
      <w:r w:rsidRPr="007B5754">
        <w:rPr>
          <w:rStyle w:val="FootnoteReference"/>
          <w:rFonts w:ascii="Book Antiqua" w:hAnsi="Book Antiqua"/>
          <w:sz w:val="18"/>
          <w:szCs w:val="18"/>
        </w:rPr>
        <w:footnoteRef/>
      </w:r>
      <w:r w:rsidRPr="007B5754">
        <w:rPr>
          <w:rFonts w:ascii="Book Antiqua" w:hAnsi="Book Antiqua"/>
          <w:sz w:val="18"/>
          <w:szCs w:val="18"/>
        </w:rPr>
        <w:t xml:space="preserve"> Some of the bigger departments have internal legal advisors that provide more routine advice, and liaise with the Attorney General’s Office for</w:t>
      </w:r>
      <w:r w:rsidRPr="00735395">
        <w:rPr>
          <w:rFonts w:ascii="Book Antiqua" w:hAnsi="Book Antiqua"/>
          <w:sz w:val="18"/>
          <w:szCs w:val="18"/>
        </w:rPr>
        <w:t xml:space="preserve"> more important points of law.</w:t>
      </w:r>
    </w:p>
  </w:footnote>
  <w:footnote w:id="85">
    <w:p w14:paraId="329CC141" w14:textId="4F6DAC27" w:rsidR="00CE5BA2" w:rsidRPr="00735395" w:rsidRDefault="00CE5BA2" w:rsidP="000A58CF">
      <w:pPr>
        <w:pStyle w:val="FootnoteText"/>
        <w:rPr>
          <w:rFonts w:ascii="Book Antiqua" w:hAnsi="Book Antiqua"/>
          <w:sz w:val="18"/>
          <w:szCs w:val="18"/>
          <w:lang w:val="en-IE"/>
        </w:rPr>
      </w:pPr>
      <w:r w:rsidRPr="00AF5F4C">
        <w:rPr>
          <w:rStyle w:val="FootnoteReference"/>
          <w:rFonts w:ascii="Book Antiqua" w:hAnsi="Book Antiqua"/>
          <w:sz w:val="18"/>
          <w:szCs w:val="18"/>
        </w:rPr>
        <w:footnoteRef/>
      </w:r>
      <w:r w:rsidRPr="00AF5F4C">
        <w:rPr>
          <w:rFonts w:ascii="Book Antiqua" w:hAnsi="Book Antiqua"/>
          <w:sz w:val="18"/>
          <w:szCs w:val="18"/>
        </w:rPr>
        <w:t xml:space="preserve"> </w:t>
      </w:r>
      <w:r w:rsidRPr="00693D35">
        <w:rPr>
          <w:rFonts w:ascii="Book Antiqua" w:hAnsi="Book Antiqua"/>
          <w:i/>
          <w:sz w:val="18"/>
          <w:szCs w:val="18"/>
          <w:lang w:val="en-IE"/>
        </w:rPr>
        <w:t>See</w:t>
      </w:r>
      <w:r>
        <w:rPr>
          <w:rFonts w:ascii="Book Antiqua" w:hAnsi="Book Antiqua"/>
          <w:i/>
          <w:sz w:val="18"/>
          <w:szCs w:val="18"/>
          <w:lang w:val="en-IE"/>
        </w:rPr>
        <w:t xml:space="preserve"> </w:t>
      </w:r>
      <w:r w:rsidRPr="005932CC">
        <w:rPr>
          <w:rFonts w:ascii="Book Antiqua" w:hAnsi="Book Antiqua"/>
          <w:sz w:val="18"/>
          <w:szCs w:val="18"/>
          <w:lang w:val="en-IE"/>
        </w:rPr>
        <w:t>E</w:t>
      </w:r>
      <w:r>
        <w:rPr>
          <w:rFonts w:ascii="Book Antiqua" w:hAnsi="Book Antiqua"/>
          <w:sz w:val="18"/>
          <w:szCs w:val="18"/>
          <w:lang w:val="en-IE"/>
        </w:rPr>
        <w:t>.</w:t>
      </w:r>
      <w:r w:rsidRPr="005932CC">
        <w:rPr>
          <w:rFonts w:ascii="Book Antiqua" w:hAnsi="Book Antiqua"/>
          <w:sz w:val="18"/>
          <w:szCs w:val="18"/>
          <w:lang w:val="en-IE"/>
        </w:rPr>
        <w:t xml:space="preserve"> S</w:t>
      </w:r>
      <w:r>
        <w:rPr>
          <w:rFonts w:ascii="Book Antiqua" w:hAnsi="Book Antiqua"/>
          <w:sz w:val="18"/>
          <w:szCs w:val="18"/>
          <w:lang w:val="en-IE"/>
        </w:rPr>
        <w:t>ULLIVAN,</w:t>
      </w:r>
      <w:r w:rsidRPr="005932CC">
        <w:rPr>
          <w:rFonts w:ascii="Book Antiqua" w:hAnsi="Book Antiqua"/>
          <w:sz w:val="18"/>
          <w:szCs w:val="18"/>
          <w:lang w:val="en-IE"/>
        </w:rPr>
        <w:t xml:space="preserve"> </w:t>
      </w:r>
      <w:r>
        <w:rPr>
          <w:rFonts w:ascii="Book Antiqua" w:hAnsi="Book Antiqua"/>
          <w:sz w:val="18"/>
          <w:szCs w:val="18"/>
          <w:lang w:val="en-IE"/>
        </w:rPr>
        <w:t>REVIEW OF THE OFFICE OF THE ATTORNEY GENERAL</w:t>
      </w:r>
      <w:r w:rsidRPr="00AF5F4C">
        <w:rPr>
          <w:rFonts w:ascii="Book Antiqua" w:hAnsi="Book Antiqua"/>
          <w:sz w:val="18"/>
          <w:szCs w:val="18"/>
          <w:lang w:val="en-IE"/>
        </w:rPr>
        <w:t xml:space="preserve"> </w:t>
      </w:r>
      <w:r>
        <w:rPr>
          <w:rFonts w:ascii="Book Antiqua" w:hAnsi="Book Antiqua"/>
          <w:sz w:val="18"/>
          <w:szCs w:val="18"/>
          <w:lang w:val="en-IE"/>
        </w:rPr>
        <w:t>(2006).</w:t>
      </w:r>
    </w:p>
  </w:footnote>
  <w:footnote w:id="86">
    <w:p w14:paraId="41E6D099" w14:textId="01C634DA" w:rsidR="00CE5BA2" w:rsidRPr="00735395" w:rsidRDefault="00CE5BA2" w:rsidP="003B756E">
      <w:pPr>
        <w:pStyle w:val="FootnoteText"/>
        <w:rPr>
          <w:rFonts w:ascii="Book Antiqua"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 xml:space="preserve">DEPARTMENT OF THE TAOISEACH, </w:t>
      </w:r>
      <w:r>
        <w:rPr>
          <w:rFonts w:ascii="Book Antiqua" w:hAnsi="Book Antiqua"/>
          <w:sz w:val="18"/>
          <w:szCs w:val="18"/>
          <w:lang w:val="en-IE"/>
        </w:rPr>
        <w:t xml:space="preserve">CABINET HANDBOOK 32 (2006). </w:t>
      </w:r>
    </w:p>
  </w:footnote>
  <w:footnote w:id="87">
    <w:p w14:paraId="1D0E5839" w14:textId="0037D79F" w:rsidR="00CE5BA2" w:rsidRPr="00735395" w:rsidRDefault="00CE5BA2" w:rsidP="007F1C25">
      <w:pPr>
        <w:pStyle w:val="FootnoteText"/>
        <w:rPr>
          <w:rFonts w:ascii="Book Antiqua"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Outside of </w:t>
      </w:r>
      <w:r w:rsidRPr="00D51BAF">
        <w:rPr>
          <w:rFonts w:ascii="Book Antiqua" w:hAnsi="Book Antiqua"/>
          <w:sz w:val="18"/>
          <w:szCs w:val="18"/>
        </w:rPr>
        <w:t xml:space="preserve">James Casey, </w:t>
      </w:r>
      <w:r>
        <w:rPr>
          <w:rFonts w:ascii="Book Antiqua" w:hAnsi="Book Antiqua"/>
          <w:i/>
          <w:sz w:val="18"/>
          <w:szCs w:val="18"/>
        </w:rPr>
        <w:t>THE LAW OFFICERS</w:t>
      </w:r>
      <w:r>
        <w:rPr>
          <w:rFonts w:ascii="Book Antiqua" w:hAnsi="Book Antiqua"/>
          <w:sz w:val="18"/>
          <w:szCs w:val="18"/>
        </w:rPr>
        <w:t xml:space="preserve"> </w:t>
      </w:r>
      <w:r w:rsidRPr="00735395">
        <w:rPr>
          <w:rFonts w:ascii="Book Antiqua" w:hAnsi="Book Antiqua"/>
          <w:sz w:val="18"/>
          <w:szCs w:val="18"/>
        </w:rPr>
        <w:t>there has been no detailed study of the operation of the advisory function</w:t>
      </w:r>
      <w:r>
        <w:rPr>
          <w:rFonts w:ascii="Book Antiqua" w:hAnsi="Book Antiqua"/>
          <w:sz w:val="18"/>
          <w:szCs w:val="18"/>
        </w:rPr>
        <w:t>.</w:t>
      </w:r>
    </w:p>
  </w:footnote>
  <w:footnote w:id="88">
    <w:p w14:paraId="0E127094" w14:textId="727B3F75" w:rsidR="00CE5BA2" w:rsidRPr="00735395" w:rsidRDefault="00CE5BA2" w:rsidP="007F1C25">
      <w:pPr>
        <w:pStyle w:val="FootnoteText"/>
        <w:rPr>
          <w:rFonts w:ascii="Book Antiqua" w:hAnsi="Book Antiqua"/>
          <w:sz w:val="18"/>
          <w:szCs w:val="18"/>
          <w:lang w:val="en-IE"/>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870428">
        <w:rPr>
          <w:rFonts w:ascii="Book Antiqua" w:hAnsi="Book Antiqua"/>
          <w:sz w:val="18"/>
          <w:szCs w:val="18"/>
          <w:lang w:val="en-IE"/>
        </w:rPr>
        <w:t>E</w:t>
      </w:r>
      <w:r>
        <w:rPr>
          <w:rFonts w:ascii="Book Antiqua" w:hAnsi="Book Antiqua"/>
          <w:sz w:val="18"/>
          <w:szCs w:val="18"/>
          <w:lang w:val="en-IE"/>
        </w:rPr>
        <w:t>.</w:t>
      </w:r>
      <w:r w:rsidRPr="00870428">
        <w:rPr>
          <w:rFonts w:ascii="Book Antiqua" w:hAnsi="Book Antiqua"/>
          <w:sz w:val="18"/>
          <w:szCs w:val="18"/>
          <w:lang w:val="en-IE"/>
        </w:rPr>
        <w:t xml:space="preserve"> Sullivan</w:t>
      </w:r>
      <w:r w:rsidRPr="00DC09F8">
        <w:rPr>
          <w:rFonts w:ascii="Book Antiqua" w:hAnsi="Book Antiqua"/>
          <w:i/>
          <w:sz w:val="18"/>
          <w:szCs w:val="18"/>
          <w:lang w:val="en-IE"/>
        </w:rPr>
        <w:t xml:space="preserve">, </w:t>
      </w:r>
      <w:r>
        <w:rPr>
          <w:rFonts w:ascii="Book Antiqua" w:hAnsi="Book Antiqua"/>
          <w:i/>
          <w:sz w:val="18"/>
          <w:szCs w:val="18"/>
          <w:lang w:val="en-IE"/>
        </w:rPr>
        <w:t xml:space="preserve">supra </w:t>
      </w:r>
      <w:r>
        <w:rPr>
          <w:rFonts w:ascii="Book Antiqua" w:hAnsi="Book Antiqua"/>
          <w:sz w:val="18"/>
          <w:szCs w:val="18"/>
          <w:lang w:val="en-IE"/>
        </w:rPr>
        <w:t>note 145, at</w:t>
      </w:r>
      <w:r w:rsidRPr="00DC09F8">
        <w:rPr>
          <w:rFonts w:ascii="Book Antiqua" w:hAnsi="Book Antiqua"/>
          <w:sz w:val="18"/>
          <w:szCs w:val="18"/>
          <w:lang w:val="en-IE"/>
        </w:rPr>
        <w:t xml:space="preserve"> 7-21.</w:t>
      </w:r>
      <w:r>
        <w:rPr>
          <w:rFonts w:ascii="Book Antiqua" w:hAnsi="Book Antiqua"/>
          <w:sz w:val="18"/>
          <w:szCs w:val="18"/>
          <w:lang w:val="en-IE"/>
        </w:rPr>
        <w:t xml:space="preserve"> </w:t>
      </w:r>
    </w:p>
  </w:footnote>
  <w:footnote w:id="89">
    <w:p w14:paraId="7B1A6868" w14:textId="20345772" w:rsidR="00CE5BA2" w:rsidRPr="00735395" w:rsidRDefault="00CE5BA2" w:rsidP="007F1C25">
      <w:pPr>
        <w:pStyle w:val="FootnoteText"/>
        <w:rPr>
          <w:rFonts w:ascii="Book Antiqua"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Casey</w:t>
      </w:r>
      <w:r>
        <w:rPr>
          <w:rFonts w:ascii="Book Antiqua" w:hAnsi="Book Antiqua"/>
          <w:sz w:val="18"/>
          <w:szCs w:val="18"/>
        </w:rPr>
        <w:t xml:space="preserve">, </w:t>
      </w:r>
      <w:r>
        <w:rPr>
          <w:rFonts w:ascii="Book Antiqua" w:hAnsi="Book Antiqua"/>
          <w:i/>
          <w:sz w:val="18"/>
          <w:szCs w:val="18"/>
        </w:rPr>
        <w:t xml:space="preserve">supra </w:t>
      </w:r>
      <w:r>
        <w:rPr>
          <w:rFonts w:ascii="Book Antiqua" w:hAnsi="Book Antiqua"/>
          <w:sz w:val="18"/>
          <w:szCs w:val="18"/>
        </w:rPr>
        <w:t>note 143,</w:t>
      </w:r>
      <w:r>
        <w:rPr>
          <w:rFonts w:ascii="Book Antiqua" w:hAnsi="Book Antiqua"/>
          <w:i/>
          <w:sz w:val="18"/>
          <w:szCs w:val="18"/>
        </w:rPr>
        <w:t xml:space="preserve"> </w:t>
      </w:r>
      <w:r>
        <w:rPr>
          <w:rFonts w:ascii="Book Antiqua" w:hAnsi="Book Antiqua"/>
          <w:sz w:val="18"/>
          <w:szCs w:val="18"/>
        </w:rPr>
        <w:t>110-112.</w:t>
      </w:r>
    </w:p>
  </w:footnote>
  <w:footnote w:id="90">
    <w:p w14:paraId="07ADB1E5" w14:textId="26E38ADF" w:rsidR="00CE5BA2" w:rsidRPr="00F603FC" w:rsidRDefault="00CE5BA2" w:rsidP="00F603FC">
      <w:pPr>
        <w:jc w:val="both"/>
        <w:rPr>
          <w:rFonts w:ascii="Book Antiqua" w:eastAsia="Times New Roman"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hAnsi="Book Antiqua"/>
          <w:sz w:val="18"/>
          <w:szCs w:val="18"/>
          <w:lang w:val="en-IE"/>
        </w:rPr>
        <w:t>In 1997, the Constitution was amended to secure and clarify the right of cabinet confidentiality, which had been practiced by convention and upheld by judicial decision.</w:t>
      </w:r>
      <w:r>
        <w:rPr>
          <w:rFonts w:ascii="Book Antiqua" w:hAnsi="Book Antiqua"/>
          <w:sz w:val="18"/>
          <w:szCs w:val="18"/>
          <w:lang w:val="en-IE"/>
        </w:rPr>
        <w:t xml:space="preserve"> </w:t>
      </w:r>
      <w:r w:rsidRPr="00F603FC">
        <w:rPr>
          <w:rFonts w:ascii="Book Antiqua" w:hAnsi="Book Antiqua"/>
          <w:i/>
          <w:sz w:val="18"/>
          <w:szCs w:val="18"/>
        </w:rPr>
        <w:t xml:space="preserve">See </w:t>
      </w:r>
      <w:r w:rsidRPr="00FA272A">
        <w:rPr>
          <w:rFonts w:ascii="Book Antiqua" w:eastAsia="Times New Roman" w:hAnsi="Book Antiqua"/>
          <w:sz w:val="18"/>
          <w:szCs w:val="18"/>
        </w:rPr>
        <w:t xml:space="preserve">Ireland Const., art. </w:t>
      </w:r>
      <w:r>
        <w:rPr>
          <w:rFonts w:ascii="Book Antiqua" w:eastAsia="Times New Roman" w:hAnsi="Book Antiqua"/>
          <w:sz w:val="18"/>
          <w:szCs w:val="18"/>
        </w:rPr>
        <w:t>28.4.3</w:t>
      </w:r>
      <w:r w:rsidRPr="00FA272A">
        <w:rPr>
          <w:rFonts w:ascii="Book Antiqua" w:eastAsia="Times New Roman" w:hAnsi="Book Antiqua"/>
          <w:sz w:val="18"/>
          <w:szCs w:val="18"/>
        </w:rPr>
        <w:t xml:space="preserve"> (1937).</w:t>
      </w:r>
    </w:p>
  </w:footnote>
  <w:footnote w:id="91">
    <w:p w14:paraId="0E553A5E" w14:textId="0F41DFCF" w:rsidR="00CE5BA2" w:rsidRPr="00735395" w:rsidRDefault="00CE5BA2" w:rsidP="00D322AA">
      <w:pPr>
        <w:pStyle w:val="FootnoteText"/>
        <w:rPr>
          <w:rFonts w:ascii="Book Antiqua" w:hAnsi="Book Antiqua"/>
          <w:sz w:val="18"/>
          <w:szCs w:val="18"/>
          <w:lang w:val="en-IE"/>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 xml:space="preserve">Harry McGee, </w:t>
      </w:r>
      <w:r w:rsidRPr="00F603FC">
        <w:rPr>
          <w:rFonts w:ascii="Book Antiqua" w:hAnsi="Book Antiqua"/>
          <w:i/>
          <w:sz w:val="18"/>
          <w:szCs w:val="18"/>
        </w:rPr>
        <w:t xml:space="preserve">Abortion will not be revisited in the lifetime of Government, says </w:t>
      </w:r>
      <w:proofErr w:type="spellStart"/>
      <w:r w:rsidRPr="00F603FC">
        <w:rPr>
          <w:rFonts w:ascii="Book Antiqua" w:hAnsi="Book Antiqua"/>
          <w:i/>
          <w:sz w:val="18"/>
          <w:szCs w:val="18"/>
        </w:rPr>
        <w:t>Rabbitte</w:t>
      </w:r>
      <w:proofErr w:type="spellEnd"/>
      <w:r>
        <w:rPr>
          <w:rFonts w:ascii="Book Antiqua" w:hAnsi="Book Antiqua"/>
          <w:sz w:val="18"/>
          <w:szCs w:val="18"/>
        </w:rPr>
        <w:t xml:space="preserve">, </w:t>
      </w:r>
      <w:r w:rsidRPr="001C101C">
        <w:rPr>
          <w:rFonts w:ascii="Book Antiqua" w:hAnsi="Book Antiqua"/>
          <w:i/>
          <w:sz w:val="18"/>
          <w:szCs w:val="18"/>
        </w:rPr>
        <w:t>Irish Times</w:t>
      </w:r>
      <w:r>
        <w:rPr>
          <w:rFonts w:ascii="Book Antiqua" w:hAnsi="Book Antiqua"/>
          <w:sz w:val="18"/>
          <w:szCs w:val="18"/>
        </w:rPr>
        <w:t xml:space="preserve">, Jul. 15, 2013, </w:t>
      </w:r>
      <w:r>
        <w:rPr>
          <w:rFonts w:ascii="Book Antiqua" w:hAnsi="Book Antiqua"/>
          <w:i/>
          <w:sz w:val="18"/>
          <w:szCs w:val="18"/>
        </w:rPr>
        <w:t>available at</w:t>
      </w:r>
      <w:r w:rsidRPr="006673D5">
        <w:t xml:space="preserve"> </w:t>
      </w:r>
      <w:hyperlink r:id="rId3" w:history="1">
        <w:r w:rsidRPr="002A3B79">
          <w:rPr>
            <w:rStyle w:val="Hyperlink"/>
            <w:rFonts w:ascii="Book Antiqua" w:hAnsi="Book Antiqua"/>
            <w:sz w:val="18"/>
            <w:szCs w:val="18"/>
            <w:u w:val="none"/>
          </w:rPr>
          <w:t>https://www.irishtimes.com/news/politics/abortion-will-not-be-revisited-during-lifetime-of-government-says-rabbitte-1.1463567</w:t>
        </w:r>
      </w:hyperlink>
      <w:r w:rsidRPr="00124987">
        <w:rPr>
          <w:rFonts w:ascii="Book Antiqua" w:hAnsi="Book Antiqua"/>
          <w:sz w:val="18"/>
          <w:szCs w:val="18"/>
        </w:rPr>
        <w:t>.</w:t>
      </w:r>
      <w:r>
        <w:rPr>
          <w:rFonts w:ascii="Book Antiqua" w:hAnsi="Book Antiqua"/>
          <w:sz w:val="18"/>
          <w:szCs w:val="18"/>
        </w:rPr>
        <w:t xml:space="preserve"> </w:t>
      </w:r>
    </w:p>
  </w:footnote>
  <w:footnote w:id="92">
    <w:p w14:paraId="1CF52F3F" w14:textId="75860479" w:rsidR="00CE5BA2" w:rsidRPr="00735395" w:rsidRDefault="00CE5BA2" w:rsidP="00575BD4">
      <w:pPr>
        <w:pStyle w:val="FootnoteText"/>
        <w:rPr>
          <w:rFonts w:ascii="Book Antiqua"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lang w:val="en-IE"/>
        </w:rPr>
        <w:t>T</w:t>
      </w:r>
      <w:r w:rsidRPr="00E63358">
        <w:rPr>
          <w:rFonts w:ascii="Book Antiqua" w:hAnsi="Book Antiqua"/>
          <w:sz w:val="18"/>
          <w:szCs w:val="18"/>
          <w:lang w:val="en-IE"/>
        </w:rPr>
        <w:t>he Attorney General, though sitting at cabinet meetings, is not a member of the government and his or her views are not subject to confidentiality in the way that cabinet members are.</w:t>
      </w:r>
      <w:r>
        <w:rPr>
          <w:rFonts w:ascii="Book Antiqua" w:hAnsi="Book Antiqua"/>
          <w:sz w:val="18"/>
          <w:szCs w:val="18"/>
          <w:lang w:val="en-IE"/>
        </w:rPr>
        <w:t xml:space="preserve"> I</w:t>
      </w:r>
      <w:r w:rsidRPr="00E63358">
        <w:rPr>
          <w:rFonts w:ascii="Book Antiqua" w:hAnsi="Book Antiqua"/>
          <w:sz w:val="18"/>
          <w:szCs w:val="18"/>
          <w:lang w:val="en-IE"/>
        </w:rPr>
        <w:t xml:space="preserve">f disclosing the AG’s advice is </w:t>
      </w:r>
      <w:r w:rsidRPr="00F603FC">
        <w:rPr>
          <w:rFonts w:ascii="Book Antiqua" w:hAnsi="Book Antiqua"/>
          <w:i/>
          <w:sz w:val="18"/>
          <w:szCs w:val="18"/>
          <w:lang w:val="en-IE"/>
        </w:rPr>
        <w:t>per se</w:t>
      </w:r>
      <w:r w:rsidR="000D7597">
        <w:rPr>
          <w:rFonts w:ascii="Book Antiqua" w:hAnsi="Book Antiqua"/>
          <w:sz w:val="18"/>
          <w:szCs w:val="18"/>
          <w:lang w:val="en-IE"/>
        </w:rPr>
        <w:t xml:space="preserve"> a breach of confidentiality—</w:t>
      </w:r>
      <w:r w:rsidRPr="00E63358">
        <w:rPr>
          <w:rFonts w:ascii="Book Antiqua" w:hAnsi="Book Antiqua"/>
          <w:sz w:val="18"/>
          <w:szCs w:val="18"/>
          <w:lang w:val="en-IE"/>
        </w:rPr>
        <w:t>on the theory that the advice influences the thinking of cabinet mini</w:t>
      </w:r>
      <w:r w:rsidR="000D7597">
        <w:rPr>
          <w:rFonts w:ascii="Book Antiqua" w:hAnsi="Book Antiqua"/>
          <w:sz w:val="18"/>
          <w:szCs w:val="18"/>
          <w:lang w:val="en-IE"/>
        </w:rPr>
        <w:t>sters—</w:t>
      </w:r>
      <w:r w:rsidRPr="00E63358">
        <w:rPr>
          <w:rFonts w:ascii="Book Antiqua" w:hAnsi="Book Antiqua"/>
          <w:sz w:val="18"/>
          <w:szCs w:val="18"/>
          <w:lang w:val="en-IE"/>
        </w:rPr>
        <w:t>then even the broad nature of the advice should not be revealed</w:t>
      </w:r>
      <w:r>
        <w:rPr>
          <w:rFonts w:ascii="Book Antiqua" w:hAnsi="Book Antiqua"/>
          <w:sz w:val="18"/>
          <w:szCs w:val="18"/>
          <w:lang w:val="en-IE"/>
        </w:rPr>
        <w:t>, but this is regularly done</w:t>
      </w:r>
      <w:r w:rsidRPr="00E63358">
        <w:rPr>
          <w:rFonts w:ascii="Book Antiqua" w:hAnsi="Book Antiqua"/>
          <w:sz w:val="18"/>
          <w:szCs w:val="18"/>
          <w:lang w:val="en-IE"/>
        </w:rPr>
        <w:t>.</w:t>
      </w:r>
    </w:p>
  </w:footnote>
  <w:footnote w:id="93">
    <w:p w14:paraId="547DFD7E" w14:textId="66B18B62" w:rsidR="00CE5BA2" w:rsidRPr="00D24161" w:rsidRDefault="00CE5BA2" w:rsidP="007159DF">
      <w:pPr>
        <w:pStyle w:val="FootnoteText"/>
        <w:rPr>
          <w:rFonts w:ascii="Book Antiqua" w:hAnsi="Book Antiqua"/>
          <w:sz w:val="18"/>
          <w:szCs w:val="18"/>
          <w:lang w:val="en-IE"/>
        </w:rPr>
      </w:pPr>
      <w:r w:rsidRPr="00D24161">
        <w:rPr>
          <w:rStyle w:val="FootnoteReference"/>
          <w:rFonts w:ascii="Book Antiqua" w:hAnsi="Book Antiqua"/>
          <w:sz w:val="18"/>
          <w:szCs w:val="18"/>
        </w:rPr>
        <w:footnoteRef/>
      </w:r>
      <w:r w:rsidRPr="00D24161">
        <w:rPr>
          <w:rFonts w:ascii="Book Antiqua" w:hAnsi="Book Antiqua"/>
          <w:sz w:val="18"/>
          <w:szCs w:val="18"/>
        </w:rPr>
        <w:t xml:space="preserve"> </w:t>
      </w:r>
      <w:r w:rsidRPr="00E63358">
        <w:rPr>
          <w:rFonts w:ascii="Book Antiqua" w:hAnsi="Book Antiqua"/>
          <w:sz w:val="18"/>
          <w:szCs w:val="18"/>
        </w:rPr>
        <w:t>The AG’s advice on the effect of constitutional changes was published in 1983 and 1995 to bolster the government’s position</w:t>
      </w:r>
      <w:r>
        <w:rPr>
          <w:rFonts w:ascii="Book Antiqua" w:hAnsi="Book Antiqua"/>
          <w:sz w:val="18"/>
          <w:szCs w:val="18"/>
        </w:rPr>
        <w:t xml:space="preserve">. </w:t>
      </w:r>
      <w:r w:rsidRPr="00E63358">
        <w:rPr>
          <w:rFonts w:ascii="Book Antiqua" w:hAnsi="Book Antiqua"/>
          <w:sz w:val="18"/>
          <w:szCs w:val="18"/>
          <w:lang w:val="en-IE"/>
        </w:rPr>
        <w:t>Past governments have also sent lett</w:t>
      </w:r>
      <w:r>
        <w:rPr>
          <w:rFonts w:ascii="Book Antiqua" w:hAnsi="Book Antiqua"/>
          <w:sz w:val="18"/>
          <w:szCs w:val="18"/>
          <w:lang w:val="en-IE"/>
        </w:rPr>
        <w:t>ers of advice to the opposition and</w:t>
      </w:r>
      <w:r w:rsidRPr="00E63358">
        <w:rPr>
          <w:rFonts w:ascii="Book Antiqua" w:hAnsi="Book Antiqua"/>
          <w:sz w:val="18"/>
          <w:szCs w:val="18"/>
          <w:lang w:val="en-IE"/>
        </w:rPr>
        <w:t xml:space="preserve"> read large portions of the advice into the parliamentary record</w:t>
      </w:r>
      <w:r>
        <w:rPr>
          <w:rFonts w:ascii="Book Antiqua" w:hAnsi="Book Antiqua"/>
          <w:sz w:val="18"/>
          <w:szCs w:val="18"/>
          <w:lang w:val="en-IE"/>
        </w:rPr>
        <w:t xml:space="preserve">. </w:t>
      </w:r>
      <w:r w:rsidRPr="00735395">
        <w:rPr>
          <w:rFonts w:ascii="Book Antiqua" w:hAnsi="Book Antiqua"/>
          <w:sz w:val="18"/>
          <w:szCs w:val="18"/>
        </w:rPr>
        <w:t>Casey</w:t>
      </w:r>
      <w:r>
        <w:rPr>
          <w:rFonts w:ascii="Book Antiqua" w:hAnsi="Book Antiqua"/>
          <w:sz w:val="18"/>
          <w:szCs w:val="18"/>
        </w:rPr>
        <w:t xml:space="preserve">, </w:t>
      </w:r>
      <w:r>
        <w:rPr>
          <w:rFonts w:ascii="Book Antiqua" w:hAnsi="Book Antiqua"/>
          <w:i/>
          <w:sz w:val="18"/>
          <w:szCs w:val="18"/>
        </w:rPr>
        <w:t xml:space="preserve">supra </w:t>
      </w:r>
      <w:r>
        <w:rPr>
          <w:rFonts w:ascii="Book Antiqua" w:hAnsi="Book Antiqua"/>
          <w:sz w:val="18"/>
          <w:szCs w:val="18"/>
        </w:rPr>
        <w:t>note 143, at</w:t>
      </w:r>
      <w:r>
        <w:rPr>
          <w:rFonts w:ascii="Book Antiqua" w:hAnsi="Book Antiqua"/>
          <w:i/>
          <w:sz w:val="18"/>
          <w:szCs w:val="18"/>
        </w:rPr>
        <w:t xml:space="preserve"> </w:t>
      </w:r>
      <w:r>
        <w:rPr>
          <w:rFonts w:ascii="Book Antiqua" w:hAnsi="Book Antiqua"/>
          <w:sz w:val="18"/>
          <w:szCs w:val="18"/>
          <w:lang w:val="en-IE"/>
        </w:rPr>
        <w:t xml:space="preserve">120-126, </w:t>
      </w:r>
      <w:r w:rsidRPr="00D24161">
        <w:rPr>
          <w:rFonts w:ascii="Book Antiqua" w:hAnsi="Book Antiqua"/>
          <w:sz w:val="18"/>
          <w:szCs w:val="18"/>
          <w:lang w:val="en-IE"/>
        </w:rPr>
        <w:t>140.</w:t>
      </w:r>
    </w:p>
  </w:footnote>
  <w:footnote w:id="94">
    <w:p w14:paraId="06CA8C11" w14:textId="50E303F6" w:rsidR="00CE5BA2" w:rsidRPr="00D24161" w:rsidRDefault="00CE5BA2" w:rsidP="007E602A">
      <w:pPr>
        <w:pStyle w:val="FootnoteText"/>
        <w:rPr>
          <w:rFonts w:ascii="Book Antiqua" w:hAnsi="Book Antiqua"/>
          <w:sz w:val="18"/>
          <w:szCs w:val="18"/>
          <w:lang w:val="en-IE"/>
        </w:rPr>
      </w:pPr>
      <w:r w:rsidRPr="00D24161">
        <w:rPr>
          <w:rStyle w:val="FootnoteReference"/>
          <w:rFonts w:ascii="Book Antiqua" w:hAnsi="Book Antiqua"/>
          <w:sz w:val="18"/>
          <w:szCs w:val="18"/>
        </w:rPr>
        <w:footnoteRef/>
      </w:r>
      <w:r>
        <w:rPr>
          <w:rFonts w:ascii="Book Antiqua" w:hAnsi="Book Antiqua"/>
          <w:sz w:val="18"/>
          <w:szCs w:val="18"/>
        </w:rPr>
        <w:t xml:space="preserve"> A copy of the advice is </w:t>
      </w:r>
      <w:r w:rsidRPr="00F603FC">
        <w:rPr>
          <w:rFonts w:ascii="Book Antiqua" w:hAnsi="Book Antiqua"/>
          <w:i/>
          <w:sz w:val="18"/>
          <w:szCs w:val="18"/>
        </w:rPr>
        <w:t>available at</w:t>
      </w:r>
      <w:r>
        <w:rPr>
          <w:rFonts w:ascii="Book Antiqua" w:hAnsi="Book Antiqua"/>
          <w:sz w:val="18"/>
          <w:szCs w:val="18"/>
        </w:rPr>
        <w:t xml:space="preserve"> </w:t>
      </w:r>
      <w:hyperlink r:id="rId4" w:history="1">
        <w:r w:rsidRPr="002A3B79">
          <w:rPr>
            <w:rStyle w:val="Hyperlink"/>
            <w:rFonts w:ascii="Book Antiqua" w:hAnsi="Book Antiqua"/>
            <w:sz w:val="18"/>
            <w:szCs w:val="18"/>
            <w:u w:val="none"/>
          </w:rPr>
          <w:t>https://www.irishtimes.com/news/politics/full-text-of-attorney-general-s-advice-on-repeal-of-eighth-amendment-1.3374141</w:t>
        </w:r>
      </w:hyperlink>
      <w:r w:rsidRPr="00124987">
        <w:rPr>
          <w:rFonts w:ascii="Book Antiqua" w:hAnsi="Book Antiqua"/>
          <w:sz w:val="18"/>
          <w:szCs w:val="18"/>
        </w:rPr>
        <w:t>.</w:t>
      </w:r>
      <w:r w:rsidRPr="00D24161">
        <w:rPr>
          <w:rFonts w:ascii="Book Antiqua" w:hAnsi="Book Antiqua"/>
          <w:sz w:val="18"/>
          <w:szCs w:val="18"/>
        </w:rPr>
        <w:t xml:space="preserve"> </w:t>
      </w:r>
    </w:p>
  </w:footnote>
  <w:footnote w:id="95">
    <w:p w14:paraId="236C20E6" w14:textId="63063E4A" w:rsidR="00CE5BA2" w:rsidRPr="00D24161" w:rsidRDefault="00CE5BA2" w:rsidP="00D24161">
      <w:pPr>
        <w:rPr>
          <w:rFonts w:ascii="Book Antiqua" w:hAnsi="Book Antiqua"/>
          <w:sz w:val="18"/>
          <w:szCs w:val="18"/>
        </w:rPr>
      </w:pPr>
      <w:r w:rsidRPr="00D24161">
        <w:rPr>
          <w:rFonts w:ascii="Book Antiqua" w:hAnsi="Book Antiqua"/>
          <w:sz w:val="18"/>
          <w:szCs w:val="18"/>
          <w:vertAlign w:val="superscript"/>
        </w:rPr>
        <w:footnoteRef/>
      </w:r>
      <w:r>
        <w:rPr>
          <w:rFonts w:ascii="Book Antiqua" w:hAnsi="Book Antiqua"/>
          <w:sz w:val="18"/>
          <w:szCs w:val="18"/>
        </w:rPr>
        <w:t xml:space="preserve"> </w:t>
      </w:r>
      <w:r w:rsidRPr="00D24161">
        <w:rPr>
          <w:rFonts w:ascii="Book Antiqua" w:hAnsi="Book Antiqua"/>
          <w:sz w:val="18"/>
          <w:szCs w:val="18"/>
        </w:rPr>
        <w:t xml:space="preserve">Dáil </w:t>
      </w:r>
      <w:r>
        <w:rPr>
          <w:rFonts w:ascii="Book Antiqua" w:hAnsi="Book Antiqua"/>
          <w:sz w:val="18"/>
          <w:szCs w:val="18"/>
        </w:rPr>
        <w:t xml:space="preserve">Debates, Vol. 964, No 4, (January 30 2018) </w:t>
      </w:r>
      <w:r w:rsidRPr="00F603FC">
        <w:rPr>
          <w:rFonts w:ascii="Book Antiqua" w:hAnsi="Book Antiqua"/>
          <w:i/>
          <w:sz w:val="18"/>
          <w:szCs w:val="18"/>
        </w:rPr>
        <w:t>available at</w:t>
      </w:r>
      <w:r>
        <w:rPr>
          <w:rFonts w:ascii="Book Antiqua" w:hAnsi="Book Antiqua"/>
          <w:sz w:val="18"/>
          <w:szCs w:val="18"/>
        </w:rPr>
        <w:t xml:space="preserve"> </w:t>
      </w:r>
      <w:hyperlink r:id="rId5" w:history="1">
        <w:r w:rsidRPr="002A3B79">
          <w:rPr>
            <w:rStyle w:val="Hyperlink"/>
            <w:rFonts w:ascii="Book Antiqua" w:hAnsi="Book Antiqua"/>
            <w:sz w:val="18"/>
            <w:szCs w:val="18"/>
            <w:u w:val="none"/>
          </w:rPr>
          <w:t>https://beta.oireachtas.ie/en/debates/debate/dail/2018-01-30/</w:t>
        </w:r>
      </w:hyperlink>
      <w:r w:rsidRPr="00F603FC">
        <w:t>.</w:t>
      </w:r>
    </w:p>
  </w:footnote>
  <w:footnote w:id="96">
    <w:p w14:paraId="794F0AD9" w14:textId="33DDEF9B" w:rsidR="00CE5BA2" w:rsidRPr="00735395" w:rsidRDefault="00CE5BA2" w:rsidP="007F1C25">
      <w:pPr>
        <w:rPr>
          <w:rFonts w:ascii="Book Antiqua" w:hAnsi="Book Antiqua"/>
          <w:sz w:val="18"/>
          <w:szCs w:val="18"/>
          <w:lang w:val="en-IE"/>
        </w:rPr>
      </w:pPr>
      <w:r w:rsidRPr="00D24161">
        <w:rPr>
          <w:rStyle w:val="FootnoteReference"/>
          <w:rFonts w:ascii="Book Antiqua" w:hAnsi="Book Antiqua"/>
          <w:sz w:val="18"/>
          <w:szCs w:val="18"/>
        </w:rPr>
        <w:footnoteRef/>
      </w:r>
      <w:r w:rsidRPr="00D24161">
        <w:rPr>
          <w:rFonts w:ascii="Book Antiqua" w:hAnsi="Book Antiqua"/>
          <w:sz w:val="18"/>
          <w:szCs w:val="18"/>
        </w:rPr>
        <w:t xml:space="preserve"> </w:t>
      </w:r>
      <w:r w:rsidRPr="00D24161">
        <w:rPr>
          <w:rFonts w:ascii="Book Antiqua" w:hAnsi="Book Antiqua"/>
          <w:sz w:val="18"/>
          <w:szCs w:val="18"/>
          <w:lang w:val="en-IE"/>
        </w:rPr>
        <w:t xml:space="preserve">Basil Chubb, </w:t>
      </w:r>
      <w:r w:rsidRPr="00F603FC">
        <w:rPr>
          <w:rFonts w:ascii="Book Antiqua" w:hAnsi="Book Antiqua"/>
          <w:i/>
          <w:sz w:val="18"/>
          <w:szCs w:val="18"/>
          <w:lang w:val="en-IE"/>
        </w:rPr>
        <w:t>The Political Role of the Media in Contemporary Ireland</w:t>
      </w:r>
      <w:r>
        <w:rPr>
          <w:rFonts w:ascii="Book Antiqua" w:hAnsi="Book Antiqua"/>
          <w:sz w:val="18"/>
          <w:szCs w:val="18"/>
          <w:lang w:val="en-IE"/>
        </w:rPr>
        <w:t xml:space="preserve">, </w:t>
      </w:r>
      <w:r w:rsidRPr="00F603FC">
        <w:rPr>
          <w:rFonts w:ascii="Book Antiqua" w:hAnsi="Book Antiqua"/>
          <w:i/>
          <w:sz w:val="18"/>
          <w:szCs w:val="18"/>
          <w:lang w:val="en-IE"/>
        </w:rPr>
        <w:t>in</w:t>
      </w:r>
      <w:r w:rsidRPr="00D24161">
        <w:rPr>
          <w:rFonts w:ascii="Book Antiqua" w:hAnsi="Book Antiqua"/>
          <w:sz w:val="18"/>
          <w:szCs w:val="18"/>
          <w:lang w:val="en-IE"/>
        </w:rPr>
        <w:t xml:space="preserve"> </w:t>
      </w:r>
      <w:r>
        <w:rPr>
          <w:rFonts w:ascii="Book Antiqua" w:hAnsi="Book Antiqua"/>
          <w:sz w:val="18"/>
          <w:szCs w:val="18"/>
          <w:lang w:val="en-IE"/>
        </w:rPr>
        <w:t>COMMUNICATION AND COMMUNITY IN IRELAND 79 (Brian Farrell ed., 1994)</w:t>
      </w:r>
      <w:r w:rsidRPr="00D24161">
        <w:rPr>
          <w:rFonts w:ascii="Book Antiqua" w:hAnsi="Book Antiqua"/>
          <w:sz w:val="18"/>
          <w:szCs w:val="18"/>
          <w:lang w:val="en-IE"/>
        </w:rPr>
        <w:t>.</w:t>
      </w:r>
    </w:p>
  </w:footnote>
  <w:footnote w:id="97">
    <w:p w14:paraId="62532F23" w14:textId="0F4DB4D9" w:rsidR="00CE5BA2" w:rsidRPr="00735395" w:rsidRDefault="00CE5BA2" w:rsidP="007F1C25">
      <w:pPr>
        <w:pStyle w:val="FootnoteText"/>
        <w:rPr>
          <w:rFonts w:ascii="Book Antiqua" w:hAnsi="Book Antiqua"/>
          <w:sz w:val="18"/>
          <w:szCs w:val="18"/>
          <w:lang w:val="en-IE"/>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F603FC">
        <w:rPr>
          <w:rFonts w:ascii="Book Antiqua" w:hAnsi="Book Antiqua"/>
          <w:sz w:val="18"/>
          <w:szCs w:val="18"/>
        </w:rPr>
        <w:t>Attorney General v Hamilton</w:t>
      </w:r>
      <w:r>
        <w:rPr>
          <w:rFonts w:ascii="Book Antiqua" w:hAnsi="Book Antiqua"/>
          <w:sz w:val="18"/>
          <w:szCs w:val="18"/>
          <w:lang w:val="en-IE"/>
        </w:rPr>
        <w:t>,</w:t>
      </w:r>
      <w:r w:rsidRPr="00F603FC">
        <w:rPr>
          <w:rFonts w:ascii="Book Antiqua" w:hAnsi="Book Antiqua"/>
          <w:sz w:val="18"/>
          <w:szCs w:val="18"/>
          <w:lang w:val="en-IE"/>
        </w:rPr>
        <w:t xml:space="preserve"> </w:t>
      </w:r>
      <w:r>
        <w:rPr>
          <w:rFonts w:ascii="Book Antiqua" w:hAnsi="Book Antiqua"/>
          <w:sz w:val="18"/>
          <w:szCs w:val="18"/>
          <w:lang w:val="en-IE"/>
        </w:rPr>
        <w:t xml:space="preserve">[1993] 2 I.R. 250, </w:t>
      </w:r>
      <w:r w:rsidRPr="00735395">
        <w:rPr>
          <w:rFonts w:ascii="Book Antiqua" w:hAnsi="Book Antiqua"/>
          <w:sz w:val="18"/>
          <w:szCs w:val="18"/>
          <w:lang w:val="en-IE"/>
        </w:rPr>
        <w:t>282</w:t>
      </w:r>
      <w:r>
        <w:rPr>
          <w:rFonts w:ascii="Book Antiqua" w:hAnsi="Book Antiqua"/>
          <w:sz w:val="18"/>
          <w:szCs w:val="18"/>
          <w:lang w:val="en-IE"/>
        </w:rPr>
        <w:t>.</w:t>
      </w:r>
    </w:p>
  </w:footnote>
  <w:footnote w:id="98">
    <w:p w14:paraId="4E5057DF" w14:textId="0693CD96" w:rsidR="00CE5BA2" w:rsidRPr="00DD0D14" w:rsidRDefault="00CE5BA2" w:rsidP="007F1C25">
      <w:pPr>
        <w:pStyle w:val="FootnoteText"/>
        <w:rPr>
          <w:rFonts w:ascii="Book Antiqua" w:hAnsi="Book Antiqua"/>
          <w:sz w:val="18"/>
          <w:szCs w:val="18"/>
          <w:lang w:val="en-IE"/>
        </w:rPr>
      </w:pPr>
      <w:r w:rsidRPr="00DD0D14">
        <w:rPr>
          <w:rStyle w:val="FootnoteReference"/>
          <w:rFonts w:ascii="Book Antiqua" w:hAnsi="Book Antiqua"/>
          <w:sz w:val="18"/>
          <w:szCs w:val="18"/>
        </w:rPr>
        <w:footnoteRef/>
      </w:r>
      <w:r w:rsidRPr="00DD0D14">
        <w:rPr>
          <w:rFonts w:ascii="Book Antiqua" w:hAnsi="Book Antiqua"/>
          <w:sz w:val="18"/>
          <w:szCs w:val="18"/>
          <w:lang w:val="en-IE"/>
        </w:rPr>
        <w:t xml:space="preserve"> </w:t>
      </w:r>
      <w:proofErr w:type="spellStart"/>
      <w:r>
        <w:rPr>
          <w:rFonts w:ascii="Book Antiqua" w:hAnsi="Book Antiqua"/>
          <w:sz w:val="18"/>
          <w:szCs w:val="18"/>
          <w:lang w:val="en-IE"/>
        </w:rPr>
        <w:t>Conleth</w:t>
      </w:r>
      <w:proofErr w:type="spellEnd"/>
      <w:r>
        <w:rPr>
          <w:rFonts w:ascii="Book Antiqua" w:hAnsi="Book Antiqua"/>
          <w:sz w:val="18"/>
          <w:szCs w:val="18"/>
          <w:lang w:val="en-IE"/>
        </w:rPr>
        <w:t xml:space="preserve"> Bradley, </w:t>
      </w:r>
      <w:r w:rsidRPr="00F603FC">
        <w:rPr>
          <w:rFonts w:ascii="Book Antiqua" w:hAnsi="Book Antiqua"/>
          <w:i/>
          <w:sz w:val="18"/>
          <w:szCs w:val="18"/>
        </w:rPr>
        <w:t>The ‘Political’ Role of the Attorney General?</w:t>
      </w:r>
      <w:r>
        <w:rPr>
          <w:rFonts w:ascii="Book Antiqua" w:hAnsi="Book Antiqua"/>
          <w:sz w:val="18"/>
          <w:szCs w:val="18"/>
        </w:rPr>
        <w:t xml:space="preserve"> 6 BAR. REV. 486, 487 </w:t>
      </w:r>
      <w:r w:rsidRPr="001E0EBF">
        <w:rPr>
          <w:rFonts w:ascii="Book Antiqua" w:hAnsi="Book Antiqua"/>
          <w:sz w:val="18"/>
          <w:szCs w:val="18"/>
        </w:rPr>
        <w:t>(2001)</w:t>
      </w:r>
      <w:r w:rsidRPr="00DD0D14">
        <w:rPr>
          <w:rFonts w:ascii="Book Antiqua" w:hAnsi="Book Antiqua"/>
          <w:sz w:val="18"/>
          <w:szCs w:val="18"/>
          <w:lang w:val="en-IE"/>
        </w:rPr>
        <w:t>. Casey notes the “peculiar</w:t>
      </w:r>
      <w:r w:rsidR="00067E70">
        <w:rPr>
          <w:rFonts w:ascii="Book Antiqua" w:hAnsi="Book Antiqua"/>
          <w:sz w:val="18"/>
          <w:szCs w:val="18"/>
          <w:lang w:val="en-IE"/>
        </w:rPr>
        <w:t>—</w:t>
      </w:r>
      <w:r w:rsidRPr="00DD0D14">
        <w:rPr>
          <w:rFonts w:ascii="Book Antiqua" w:hAnsi="Book Antiqua"/>
          <w:sz w:val="18"/>
          <w:szCs w:val="18"/>
          <w:lang w:val="en-IE"/>
        </w:rPr>
        <w:t xml:space="preserve">even anomalous” position of the AG as being outside of government but being “quasi-ministerial”. </w:t>
      </w:r>
      <w:r w:rsidRPr="00735395">
        <w:rPr>
          <w:rFonts w:ascii="Book Antiqua" w:hAnsi="Book Antiqua"/>
          <w:sz w:val="18"/>
          <w:szCs w:val="18"/>
        </w:rPr>
        <w:t>Casey</w:t>
      </w:r>
      <w:r>
        <w:rPr>
          <w:rFonts w:ascii="Book Antiqua" w:hAnsi="Book Antiqua"/>
          <w:sz w:val="18"/>
          <w:szCs w:val="18"/>
        </w:rPr>
        <w:t xml:space="preserve">, </w:t>
      </w:r>
      <w:r>
        <w:rPr>
          <w:rFonts w:ascii="Book Antiqua" w:hAnsi="Book Antiqua"/>
          <w:i/>
          <w:sz w:val="18"/>
          <w:szCs w:val="18"/>
        </w:rPr>
        <w:t xml:space="preserve">supra </w:t>
      </w:r>
      <w:r>
        <w:rPr>
          <w:rFonts w:ascii="Book Antiqua" w:hAnsi="Book Antiqua"/>
          <w:sz w:val="18"/>
          <w:szCs w:val="18"/>
        </w:rPr>
        <w:t>note 143, at</w:t>
      </w:r>
      <w:r>
        <w:rPr>
          <w:rFonts w:ascii="Book Antiqua" w:hAnsi="Book Antiqua"/>
          <w:i/>
          <w:sz w:val="18"/>
          <w:szCs w:val="18"/>
        </w:rPr>
        <w:t xml:space="preserve"> </w:t>
      </w:r>
      <w:r w:rsidRPr="00DD0D14">
        <w:rPr>
          <w:rFonts w:ascii="Book Antiqua" w:hAnsi="Book Antiqua"/>
          <w:sz w:val="18"/>
          <w:szCs w:val="18"/>
        </w:rPr>
        <w:t>56-57</w:t>
      </w:r>
      <w:r w:rsidRPr="00735395">
        <w:rPr>
          <w:rFonts w:ascii="Book Antiqua" w:hAnsi="Book Antiqua"/>
          <w:sz w:val="18"/>
          <w:szCs w:val="18"/>
          <w:lang w:val="en-IE"/>
        </w:rPr>
        <w:t>.</w:t>
      </w:r>
    </w:p>
  </w:footnote>
  <w:footnote w:id="99">
    <w:p w14:paraId="75486B9E" w14:textId="64845FEF" w:rsidR="00CE5BA2" w:rsidRPr="00735395" w:rsidRDefault="00CE5BA2" w:rsidP="009D57AC">
      <w:pPr>
        <w:rPr>
          <w:rFonts w:ascii="Book Antiqua" w:hAnsi="Book Antiqua"/>
          <w:sz w:val="18"/>
          <w:szCs w:val="18"/>
          <w:lang w:val="en-IE"/>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hAnsi="Book Antiqua"/>
          <w:sz w:val="18"/>
          <w:szCs w:val="18"/>
          <w:lang w:val="en-IE"/>
        </w:rPr>
        <w:t>John Kelly, who was AG and a hugely respected constitutional scholar, noted the AG has to</w:t>
      </w:r>
      <w:r>
        <w:rPr>
          <w:rFonts w:ascii="Book Antiqua" w:hAnsi="Book Antiqua"/>
          <w:sz w:val="18"/>
          <w:szCs w:val="18"/>
          <w:lang w:val="en-IE"/>
        </w:rPr>
        <w:t xml:space="preserve"> be broadly of one mind with government in order </w:t>
      </w:r>
      <w:r w:rsidRPr="00735395">
        <w:rPr>
          <w:rFonts w:ascii="Book Antiqua" w:hAnsi="Book Antiqua"/>
          <w:sz w:val="18"/>
          <w:szCs w:val="18"/>
          <w:lang w:val="en-IE"/>
        </w:rPr>
        <w:t xml:space="preserve">for </w:t>
      </w:r>
      <w:r>
        <w:rPr>
          <w:rFonts w:ascii="Book Antiqua" w:hAnsi="Book Antiqua"/>
          <w:sz w:val="18"/>
          <w:szCs w:val="18"/>
          <w:lang w:val="en-IE"/>
        </w:rPr>
        <w:t xml:space="preserve">the relationship </w:t>
      </w:r>
      <w:r w:rsidRPr="00735395">
        <w:rPr>
          <w:rFonts w:ascii="Book Antiqua" w:hAnsi="Book Antiqua"/>
          <w:sz w:val="18"/>
          <w:szCs w:val="18"/>
          <w:lang w:val="en-IE"/>
        </w:rPr>
        <w:t>to work</w:t>
      </w:r>
      <w:r>
        <w:rPr>
          <w:rFonts w:ascii="Book Antiqua" w:hAnsi="Book Antiqua"/>
          <w:sz w:val="18"/>
          <w:szCs w:val="18"/>
          <w:lang w:val="en-IE"/>
        </w:rPr>
        <w:t xml:space="preserve">. Casey, </w:t>
      </w:r>
      <w:r>
        <w:rPr>
          <w:rFonts w:ascii="Book Antiqua" w:hAnsi="Book Antiqua"/>
          <w:i/>
          <w:sz w:val="18"/>
          <w:szCs w:val="18"/>
          <w:lang w:val="en-IE"/>
        </w:rPr>
        <w:t xml:space="preserve">supra </w:t>
      </w:r>
      <w:r>
        <w:rPr>
          <w:rFonts w:ascii="Book Antiqua" w:hAnsi="Book Antiqua"/>
          <w:sz w:val="18"/>
          <w:szCs w:val="18"/>
          <w:lang w:val="en-IE"/>
        </w:rPr>
        <w:t xml:space="preserve">143, at </w:t>
      </w:r>
      <w:r w:rsidRPr="00735395">
        <w:rPr>
          <w:rFonts w:ascii="Book Antiqua" w:hAnsi="Book Antiqua"/>
          <w:sz w:val="18"/>
          <w:szCs w:val="18"/>
          <w:lang w:val="en-IE"/>
        </w:rPr>
        <w:t>5</w:t>
      </w:r>
      <w:r>
        <w:rPr>
          <w:rFonts w:ascii="Book Antiqua" w:hAnsi="Book Antiqua"/>
          <w:sz w:val="18"/>
          <w:szCs w:val="18"/>
          <w:lang w:val="en-IE"/>
        </w:rPr>
        <w:t>7-5</w:t>
      </w:r>
      <w:r w:rsidRPr="00735395">
        <w:rPr>
          <w:rFonts w:ascii="Book Antiqua" w:hAnsi="Book Antiqua"/>
          <w:sz w:val="18"/>
          <w:szCs w:val="18"/>
          <w:lang w:val="en-IE"/>
        </w:rPr>
        <w:t>8</w:t>
      </w:r>
      <w:r>
        <w:rPr>
          <w:rFonts w:ascii="Book Antiqua" w:hAnsi="Book Antiqua"/>
          <w:sz w:val="18"/>
          <w:szCs w:val="18"/>
          <w:lang w:val="en-IE"/>
        </w:rPr>
        <w:t>.</w:t>
      </w:r>
      <w:r w:rsidRPr="009D57AC">
        <w:t xml:space="preserve"> </w:t>
      </w:r>
    </w:p>
  </w:footnote>
  <w:footnote w:id="100">
    <w:p w14:paraId="0D77F5FC" w14:textId="760E2A05" w:rsidR="00CE5BA2" w:rsidRPr="00735395" w:rsidRDefault="00CE5BA2" w:rsidP="007F1C25">
      <w:pPr>
        <w:pStyle w:val="FootnoteText"/>
        <w:rPr>
          <w:rFonts w:ascii="Book Antiqua"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i/>
          <w:sz w:val="18"/>
          <w:szCs w:val="18"/>
        </w:rPr>
        <w:t>Id.</w:t>
      </w:r>
      <w:r>
        <w:rPr>
          <w:rFonts w:ascii="Book Antiqua" w:hAnsi="Book Antiqua"/>
          <w:sz w:val="18"/>
          <w:szCs w:val="18"/>
        </w:rPr>
        <w:t xml:space="preserve"> at </w:t>
      </w:r>
      <w:r>
        <w:rPr>
          <w:rFonts w:ascii="Book Antiqua" w:hAnsi="Book Antiqua"/>
          <w:sz w:val="18"/>
          <w:szCs w:val="18"/>
          <w:lang w:val="en-IE"/>
        </w:rPr>
        <w:t>60-</w:t>
      </w:r>
      <w:r w:rsidRPr="00735395">
        <w:rPr>
          <w:rFonts w:ascii="Book Antiqua" w:hAnsi="Book Antiqua"/>
          <w:sz w:val="18"/>
          <w:szCs w:val="18"/>
          <w:lang w:val="en-IE"/>
        </w:rPr>
        <w:t xml:space="preserve">65. </w:t>
      </w:r>
    </w:p>
  </w:footnote>
  <w:footnote w:id="101">
    <w:p w14:paraId="1A035BB3" w14:textId="1909569E" w:rsidR="00CE5BA2" w:rsidRPr="00735395" w:rsidRDefault="00CE5BA2" w:rsidP="0008318C">
      <w:pPr>
        <w:jc w:val="both"/>
        <w:rPr>
          <w:rFonts w:ascii="Book Antiqua" w:eastAsia="Times New Roman"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 xml:space="preserve">The Minister also suggested the referendum would be divisive and might not succeed. </w:t>
      </w:r>
      <w:r w:rsidRPr="00735395">
        <w:rPr>
          <w:rFonts w:ascii="Book Antiqua" w:eastAsia="Times New Roman" w:hAnsi="Book Antiqua"/>
          <w:sz w:val="18"/>
          <w:szCs w:val="18"/>
        </w:rPr>
        <w:t xml:space="preserve">O’Brien, C., </w:t>
      </w:r>
      <w:proofErr w:type="spellStart"/>
      <w:r w:rsidRPr="00F603FC">
        <w:rPr>
          <w:rFonts w:ascii="Book Antiqua" w:eastAsia="Times New Roman" w:hAnsi="Book Antiqua"/>
          <w:i/>
          <w:sz w:val="18"/>
          <w:szCs w:val="18"/>
        </w:rPr>
        <w:t>Lenihan</w:t>
      </w:r>
      <w:proofErr w:type="spellEnd"/>
      <w:r w:rsidRPr="00F603FC">
        <w:rPr>
          <w:rFonts w:ascii="Book Antiqua" w:eastAsia="Times New Roman" w:hAnsi="Book Antiqua"/>
          <w:i/>
          <w:sz w:val="18"/>
          <w:szCs w:val="18"/>
        </w:rPr>
        <w:t xml:space="preserve"> rules out ‘divisive’ referendum on gay marriage</w:t>
      </w:r>
      <w:r w:rsidRPr="00735395">
        <w:rPr>
          <w:rFonts w:ascii="Book Antiqua" w:eastAsia="Times New Roman" w:hAnsi="Book Antiqua"/>
          <w:sz w:val="18"/>
          <w:szCs w:val="18"/>
        </w:rPr>
        <w:t>,</w:t>
      </w:r>
      <w:r w:rsidRPr="005B17FE">
        <w:rPr>
          <w:rFonts w:ascii="Book Antiqua" w:eastAsia="Times New Roman" w:hAnsi="Book Antiqua"/>
          <w:i/>
          <w:sz w:val="18"/>
          <w:szCs w:val="18"/>
        </w:rPr>
        <w:t xml:space="preserve"> </w:t>
      </w:r>
      <w:r w:rsidRPr="00F603FC">
        <w:rPr>
          <w:rFonts w:ascii="Book Antiqua" w:eastAsia="Times New Roman" w:hAnsi="Book Antiqua"/>
          <w:sz w:val="18"/>
          <w:szCs w:val="18"/>
        </w:rPr>
        <w:t>Irish Times</w:t>
      </w:r>
      <w:r w:rsidRPr="00735395">
        <w:rPr>
          <w:rFonts w:ascii="Book Antiqua" w:eastAsia="Times New Roman" w:hAnsi="Book Antiqua"/>
          <w:sz w:val="18"/>
          <w:szCs w:val="18"/>
        </w:rPr>
        <w:t>, Dec</w:t>
      </w:r>
      <w:r>
        <w:rPr>
          <w:rFonts w:ascii="Book Antiqua" w:eastAsia="Times New Roman" w:hAnsi="Book Antiqua"/>
          <w:sz w:val="18"/>
          <w:szCs w:val="18"/>
        </w:rPr>
        <w:t xml:space="preserve"> 5,</w:t>
      </w:r>
      <w:r w:rsidRPr="00735395">
        <w:rPr>
          <w:rFonts w:ascii="Book Antiqua" w:eastAsia="Times New Roman" w:hAnsi="Book Antiqua"/>
          <w:sz w:val="18"/>
          <w:szCs w:val="18"/>
        </w:rPr>
        <w:t xml:space="preserve"> 2007.</w:t>
      </w:r>
    </w:p>
  </w:footnote>
  <w:footnote w:id="102">
    <w:p w14:paraId="321A9DB1" w14:textId="7924659A" w:rsidR="00CE5BA2" w:rsidRPr="00735395" w:rsidRDefault="00CE5BA2" w:rsidP="00057A4E">
      <w:pPr>
        <w:jc w:val="both"/>
        <w:rPr>
          <w:rFonts w:ascii="Book Antiqua" w:eastAsia="Times New Roman"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eastAsia="Times New Roman" w:hAnsi="Book Antiqua"/>
          <w:sz w:val="18"/>
          <w:szCs w:val="18"/>
        </w:rPr>
        <w:t xml:space="preserve">Katherine Zappone, </w:t>
      </w:r>
      <w:r w:rsidRPr="00F603FC">
        <w:rPr>
          <w:rFonts w:ascii="Book Antiqua" w:eastAsia="Times New Roman" w:hAnsi="Book Antiqua"/>
          <w:i/>
          <w:sz w:val="18"/>
          <w:szCs w:val="18"/>
        </w:rPr>
        <w:t>In Pursuit of Marriage Equality in Ireland: A Narrative and Theoretical Reflection</w:t>
      </w:r>
      <w:r>
        <w:rPr>
          <w:rFonts w:ascii="Book Antiqua" w:eastAsia="Times New Roman" w:hAnsi="Book Antiqua"/>
          <w:sz w:val="18"/>
          <w:szCs w:val="18"/>
        </w:rPr>
        <w:t xml:space="preserve">, 10 </w:t>
      </w:r>
      <w:r w:rsidRPr="00F603FC">
        <w:rPr>
          <w:rFonts w:ascii="Book Antiqua" w:eastAsia="Times New Roman" w:hAnsi="Book Antiqua"/>
          <w:sz w:val="18"/>
          <w:szCs w:val="18"/>
        </w:rPr>
        <w:t>The Equal Rights Review</w:t>
      </w:r>
      <w:r>
        <w:rPr>
          <w:rFonts w:ascii="Book Antiqua" w:eastAsia="Times New Roman" w:hAnsi="Book Antiqua"/>
          <w:sz w:val="18"/>
          <w:szCs w:val="18"/>
        </w:rPr>
        <w:t xml:space="preserve"> 115 (2013)</w:t>
      </w:r>
      <w:r w:rsidRPr="00735395">
        <w:rPr>
          <w:rFonts w:ascii="Book Antiqua" w:eastAsia="Times New Roman" w:hAnsi="Book Antiqua"/>
          <w:sz w:val="18"/>
          <w:szCs w:val="18"/>
        </w:rPr>
        <w:t>.</w:t>
      </w:r>
      <w:r>
        <w:rPr>
          <w:rFonts w:ascii="Book Antiqua" w:eastAsia="Times New Roman" w:hAnsi="Book Antiqua"/>
          <w:sz w:val="18"/>
          <w:szCs w:val="18"/>
        </w:rPr>
        <w:t xml:space="preserve"> </w:t>
      </w:r>
    </w:p>
  </w:footnote>
  <w:footnote w:id="103">
    <w:p w14:paraId="08F29D33" w14:textId="64FE7860" w:rsidR="00CE5BA2" w:rsidRPr="00735395" w:rsidRDefault="00CE5BA2" w:rsidP="0008318C">
      <w:pPr>
        <w:pStyle w:val="FootnoteText"/>
        <w:jc w:val="both"/>
        <w:rPr>
          <w:rFonts w:ascii="Book Antiqua"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hAnsi="Book Antiqua"/>
          <w:sz w:val="18"/>
          <w:szCs w:val="18"/>
          <w:lang w:val="en-IE"/>
        </w:rPr>
        <w:t>Legislation to introduce this measure was published, but then abandon</w:t>
      </w:r>
      <w:r>
        <w:rPr>
          <w:rFonts w:ascii="Book Antiqua" w:hAnsi="Book Antiqua"/>
          <w:sz w:val="18"/>
          <w:szCs w:val="18"/>
          <w:lang w:val="en-IE"/>
        </w:rPr>
        <w:t>ed</w:t>
      </w:r>
      <w:r w:rsidRPr="00735395">
        <w:rPr>
          <w:rFonts w:ascii="Book Antiqua" w:hAnsi="Book Antiqua"/>
          <w:sz w:val="18"/>
          <w:szCs w:val="18"/>
          <w:lang w:val="en-IE"/>
        </w:rPr>
        <w:t>, with the stated reason that the Attorney had advised that it was not constitutional</w:t>
      </w:r>
      <w:r w:rsidRPr="00332D64">
        <w:rPr>
          <w:rFonts w:ascii="Book Antiqua" w:hAnsi="Book Antiqua"/>
          <w:sz w:val="18"/>
          <w:szCs w:val="18"/>
          <w:lang w:val="en-IE"/>
        </w:rPr>
        <w:t>.</w:t>
      </w:r>
      <w:r>
        <w:rPr>
          <w:rFonts w:ascii="Book Antiqua" w:hAnsi="Book Antiqua"/>
          <w:sz w:val="18"/>
          <w:szCs w:val="18"/>
          <w:lang w:val="en-IE"/>
        </w:rPr>
        <w:t xml:space="preserve"> An overview of this advice is </w:t>
      </w:r>
      <w:r>
        <w:rPr>
          <w:rFonts w:ascii="Book Antiqua" w:hAnsi="Book Antiqua"/>
          <w:i/>
          <w:sz w:val="18"/>
          <w:szCs w:val="18"/>
          <w:lang w:val="en-IE"/>
        </w:rPr>
        <w:t>available at</w:t>
      </w:r>
      <w:r w:rsidRPr="00735395">
        <w:rPr>
          <w:rFonts w:ascii="Book Antiqua" w:hAnsi="Book Antiqua"/>
          <w:sz w:val="18"/>
          <w:szCs w:val="18"/>
          <w:lang w:val="en-IE"/>
        </w:rPr>
        <w:t xml:space="preserve"> </w:t>
      </w:r>
      <w:hyperlink r:id="rId6" w:history="1">
        <w:r w:rsidRPr="002A3B79">
          <w:rPr>
            <w:rStyle w:val="Hyperlink"/>
            <w:rFonts w:ascii="Book Antiqua" w:hAnsi="Book Antiqua"/>
            <w:sz w:val="18"/>
            <w:szCs w:val="18"/>
            <w:u w:val="none"/>
          </w:rPr>
          <w:t>http://www.justice.ie/en/JELR/Pages/SP13000346</w:t>
        </w:r>
      </w:hyperlink>
      <w:r w:rsidRPr="00332D64">
        <w:rPr>
          <w:rFonts w:ascii="Book Antiqua" w:hAnsi="Book Antiqua"/>
          <w:sz w:val="18"/>
          <w:szCs w:val="18"/>
        </w:rPr>
        <w:t>.</w:t>
      </w:r>
    </w:p>
  </w:footnote>
  <w:footnote w:id="104">
    <w:p w14:paraId="5E857382" w14:textId="53C6D6CE" w:rsidR="00CE5BA2" w:rsidRPr="00735395" w:rsidRDefault="00CE5BA2" w:rsidP="0008318C">
      <w:pPr>
        <w:pStyle w:val="FootnoteText"/>
        <w:jc w:val="both"/>
        <w:rPr>
          <w:rFonts w:ascii="Book Antiqua" w:hAnsi="Book Antiqua"/>
          <w:sz w:val="18"/>
          <w:szCs w:val="18"/>
        </w:rPr>
      </w:pPr>
      <w:r w:rsidRPr="00735395">
        <w:rPr>
          <w:rStyle w:val="FootnoteReference"/>
          <w:rFonts w:ascii="Book Antiqua" w:hAnsi="Book Antiqua"/>
          <w:sz w:val="18"/>
          <w:szCs w:val="18"/>
        </w:rPr>
        <w:footnoteRef/>
      </w:r>
      <w:r>
        <w:rPr>
          <w:rFonts w:ascii="Book Antiqua" w:hAnsi="Book Antiqua"/>
          <w:sz w:val="18"/>
          <w:szCs w:val="18"/>
        </w:rPr>
        <w:t xml:space="preserve"> Kitty Holland, </w:t>
      </w:r>
      <w:r w:rsidRPr="00F603FC">
        <w:rPr>
          <w:rFonts w:ascii="Book Antiqua" w:hAnsi="Book Antiqua"/>
          <w:i/>
          <w:sz w:val="18"/>
          <w:szCs w:val="18"/>
        </w:rPr>
        <w:t>Kelly says Constitution blocked attempts to tackle housing crisis</w:t>
      </w:r>
      <w:r>
        <w:rPr>
          <w:rFonts w:ascii="Book Antiqua" w:hAnsi="Book Antiqua"/>
          <w:sz w:val="18"/>
          <w:szCs w:val="18"/>
        </w:rPr>
        <w:t xml:space="preserve">, </w:t>
      </w:r>
      <w:r w:rsidRPr="00F603FC">
        <w:rPr>
          <w:rFonts w:ascii="Book Antiqua" w:hAnsi="Book Antiqua"/>
          <w:sz w:val="18"/>
          <w:szCs w:val="18"/>
        </w:rPr>
        <w:t>Irish Times</w:t>
      </w:r>
      <w:r>
        <w:rPr>
          <w:rFonts w:ascii="Book Antiqua" w:hAnsi="Book Antiqua"/>
          <w:i/>
          <w:sz w:val="18"/>
          <w:szCs w:val="18"/>
        </w:rPr>
        <w:t xml:space="preserve"> </w:t>
      </w:r>
      <w:r>
        <w:rPr>
          <w:rFonts w:ascii="Book Antiqua" w:hAnsi="Book Antiqua"/>
          <w:sz w:val="18"/>
          <w:szCs w:val="18"/>
        </w:rPr>
        <w:t>March 3</w:t>
      </w:r>
      <w:r>
        <w:rPr>
          <w:rFonts w:ascii="Book Antiqua" w:hAnsi="Book Antiqua"/>
          <w:sz w:val="18"/>
          <w:szCs w:val="18"/>
          <w:vertAlign w:val="superscript"/>
        </w:rPr>
        <w:t xml:space="preserve">, </w:t>
      </w:r>
      <w:r>
        <w:rPr>
          <w:rFonts w:ascii="Book Antiqua" w:hAnsi="Book Antiqua"/>
          <w:sz w:val="18"/>
          <w:szCs w:val="18"/>
        </w:rPr>
        <w:t xml:space="preserve"> 2016, </w:t>
      </w:r>
      <w:r w:rsidRPr="00F603FC">
        <w:rPr>
          <w:rFonts w:ascii="Book Antiqua" w:hAnsi="Book Antiqua"/>
          <w:i/>
          <w:sz w:val="18"/>
          <w:szCs w:val="18"/>
        </w:rPr>
        <w:t>available at</w:t>
      </w:r>
      <w:r>
        <w:rPr>
          <w:rFonts w:ascii="Book Antiqua" w:hAnsi="Book Antiqua"/>
          <w:sz w:val="18"/>
          <w:szCs w:val="18"/>
        </w:rPr>
        <w:t xml:space="preserve"> </w:t>
      </w:r>
      <w:hyperlink r:id="rId7" w:history="1">
        <w:r w:rsidRPr="002A3B79">
          <w:rPr>
            <w:rStyle w:val="Hyperlink"/>
            <w:rFonts w:ascii="Book Antiqua" w:hAnsi="Book Antiqua"/>
            <w:sz w:val="18"/>
            <w:szCs w:val="18"/>
            <w:u w:val="none"/>
          </w:rPr>
          <w:t>https://www.irishtimes.com/news/social-affairs/kelly-says-constitution-blocked-attempts-to-tackle-housing-crisis-1.2593962</w:t>
        </w:r>
      </w:hyperlink>
      <w:r w:rsidRPr="00332D64">
        <w:rPr>
          <w:rFonts w:ascii="Book Antiqua" w:hAnsi="Book Antiqua"/>
          <w:sz w:val="18"/>
          <w:szCs w:val="18"/>
        </w:rPr>
        <w:t>.</w:t>
      </w:r>
    </w:p>
  </w:footnote>
  <w:footnote w:id="105">
    <w:p w14:paraId="40AD3518" w14:textId="37D52C57" w:rsidR="00CE5BA2" w:rsidRPr="00C26235" w:rsidRDefault="00CE5BA2" w:rsidP="00BC2232">
      <w:pPr>
        <w:pStyle w:val="Heading1"/>
        <w:spacing w:before="0" w:beforeAutospacing="0" w:after="150" w:afterAutospacing="0"/>
        <w:jc w:val="both"/>
        <w:rPr>
          <w:rFonts w:ascii="Book Antiqua" w:eastAsia="Times New Roman" w:hAnsi="Book Antiqua"/>
          <w:b w:val="0"/>
          <w:color w:val="000000"/>
          <w:sz w:val="18"/>
          <w:szCs w:val="18"/>
        </w:rPr>
      </w:pPr>
      <w:r w:rsidRPr="00C26235">
        <w:rPr>
          <w:rStyle w:val="FootnoteReference"/>
          <w:rFonts w:ascii="Book Antiqua" w:hAnsi="Book Antiqua"/>
          <w:b w:val="0"/>
          <w:color w:val="000000" w:themeColor="text1"/>
          <w:sz w:val="18"/>
          <w:szCs w:val="18"/>
        </w:rPr>
        <w:footnoteRef/>
      </w:r>
      <w:r w:rsidRPr="00C26235">
        <w:rPr>
          <w:rFonts w:ascii="Book Antiqua" w:hAnsi="Book Antiqua"/>
          <w:b w:val="0"/>
          <w:color w:val="000000" w:themeColor="text1"/>
          <w:sz w:val="18"/>
          <w:szCs w:val="18"/>
        </w:rPr>
        <w:t xml:space="preserve"> Caroline O’Doherty, </w:t>
      </w:r>
      <w:r w:rsidRPr="00F603FC">
        <w:rPr>
          <w:rFonts w:ascii="Book Antiqua" w:eastAsia="Times New Roman" w:hAnsi="Book Antiqua"/>
          <w:b w:val="0"/>
          <w:i/>
          <w:color w:val="000000" w:themeColor="text1"/>
          <w:sz w:val="18"/>
          <w:szCs w:val="18"/>
        </w:rPr>
        <w:t>Experts challenge Alan Kelly's claim housing action would breach the Constitution</w:t>
      </w:r>
      <w:r w:rsidRPr="00C26235">
        <w:rPr>
          <w:rFonts w:ascii="Book Antiqua" w:eastAsia="Times New Roman" w:hAnsi="Book Antiqua"/>
          <w:b w:val="0"/>
          <w:color w:val="000000" w:themeColor="text1"/>
          <w:sz w:val="18"/>
          <w:szCs w:val="18"/>
        </w:rPr>
        <w:t xml:space="preserve">, </w:t>
      </w:r>
      <w:r w:rsidRPr="00F603FC">
        <w:rPr>
          <w:rFonts w:ascii="Book Antiqua" w:eastAsia="Times New Roman" w:hAnsi="Book Antiqua"/>
          <w:b w:val="0"/>
          <w:color w:val="000000" w:themeColor="text1"/>
          <w:sz w:val="18"/>
          <w:szCs w:val="18"/>
        </w:rPr>
        <w:t>Irish Examiner</w:t>
      </w:r>
      <w:r>
        <w:rPr>
          <w:rFonts w:ascii="Book Antiqua" w:eastAsia="Times New Roman" w:hAnsi="Book Antiqua"/>
          <w:b w:val="0"/>
          <w:i/>
          <w:color w:val="000000" w:themeColor="text1"/>
          <w:sz w:val="18"/>
          <w:szCs w:val="18"/>
        </w:rPr>
        <w:t xml:space="preserve"> </w:t>
      </w:r>
      <w:r>
        <w:rPr>
          <w:rFonts w:ascii="Book Antiqua" w:eastAsia="Times New Roman" w:hAnsi="Book Antiqua"/>
          <w:b w:val="0"/>
          <w:color w:val="000000" w:themeColor="text1"/>
          <w:sz w:val="18"/>
          <w:szCs w:val="18"/>
        </w:rPr>
        <w:t xml:space="preserve">April </w:t>
      </w:r>
      <w:r w:rsidRPr="00332D64">
        <w:rPr>
          <w:rFonts w:ascii="Book Antiqua" w:eastAsia="Times New Roman" w:hAnsi="Book Antiqua"/>
          <w:b w:val="0"/>
          <w:color w:val="000000" w:themeColor="text1"/>
          <w:sz w:val="18"/>
          <w:szCs w:val="18"/>
        </w:rPr>
        <w:t>1</w:t>
      </w:r>
      <w:r>
        <w:rPr>
          <w:rFonts w:ascii="Book Antiqua" w:eastAsia="Times New Roman" w:hAnsi="Book Antiqua"/>
          <w:b w:val="0"/>
          <w:color w:val="000000" w:themeColor="text1"/>
          <w:sz w:val="18"/>
          <w:szCs w:val="18"/>
        </w:rPr>
        <w:t xml:space="preserve">6, 2016, </w:t>
      </w:r>
      <w:r w:rsidRPr="00F603FC">
        <w:rPr>
          <w:rFonts w:ascii="Book Antiqua" w:eastAsia="Times New Roman" w:hAnsi="Book Antiqua"/>
          <w:b w:val="0"/>
          <w:i/>
          <w:color w:val="000000" w:themeColor="text1"/>
          <w:sz w:val="18"/>
          <w:szCs w:val="18"/>
        </w:rPr>
        <w:t>available at</w:t>
      </w:r>
      <w:r>
        <w:rPr>
          <w:rFonts w:ascii="Book Antiqua" w:eastAsia="Times New Roman" w:hAnsi="Book Antiqua"/>
          <w:b w:val="0"/>
          <w:color w:val="000000" w:themeColor="text1"/>
          <w:sz w:val="18"/>
          <w:szCs w:val="18"/>
        </w:rPr>
        <w:t xml:space="preserve"> </w:t>
      </w:r>
      <w:hyperlink r:id="rId8" w:history="1">
        <w:r w:rsidRPr="002A3B79">
          <w:rPr>
            <w:rStyle w:val="Hyperlink"/>
            <w:rFonts w:ascii="Book Antiqua" w:eastAsia="Times New Roman" w:hAnsi="Book Antiqua"/>
            <w:b w:val="0"/>
            <w:sz w:val="18"/>
            <w:szCs w:val="18"/>
            <w:u w:val="none"/>
          </w:rPr>
          <w:t>https://www.irishexaminer.com/ireland/experts-challenge-alan-kellys-claim-housing-action-would-breach-the-constitution-392630.html</w:t>
        </w:r>
      </w:hyperlink>
      <w:r w:rsidRPr="00332D64">
        <w:rPr>
          <w:rFonts w:ascii="Book Antiqua" w:eastAsia="Times New Roman" w:hAnsi="Book Antiqua"/>
          <w:b w:val="0"/>
          <w:color w:val="000000" w:themeColor="text1"/>
          <w:sz w:val="18"/>
          <w:szCs w:val="18"/>
        </w:rPr>
        <w:t>.</w:t>
      </w:r>
    </w:p>
  </w:footnote>
  <w:footnote w:id="106">
    <w:p w14:paraId="11054AB5" w14:textId="3E4F0492" w:rsidR="00CE5BA2" w:rsidRPr="00AD46D0" w:rsidRDefault="00CE5BA2" w:rsidP="00BC2232">
      <w:pPr>
        <w:jc w:val="both"/>
        <w:rPr>
          <w:rFonts w:ascii="Book Antiqua" w:eastAsia="Times New Roman" w:hAnsi="Book Antiqua"/>
          <w:color w:val="000000" w:themeColor="text1"/>
          <w:sz w:val="18"/>
          <w:szCs w:val="18"/>
          <w:shd w:val="clear" w:color="auto" w:fill="FFFFFF"/>
        </w:rPr>
      </w:pPr>
      <w:r w:rsidRPr="00C26235">
        <w:rPr>
          <w:rStyle w:val="FootnoteReference"/>
          <w:rFonts w:ascii="Book Antiqua" w:hAnsi="Book Antiqua"/>
          <w:sz w:val="18"/>
          <w:szCs w:val="18"/>
        </w:rPr>
        <w:footnoteRef/>
      </w:r>
      <w:r w:rsidRPr="00C26235">
        <w:rPr>
          <w:rFonts w:ascii="Book Antiqua" w:hAnsi="Book Antiqua"/>
          <w:sz w:val="18"/>
          <w:szCs w:val="18"/>
        </w:rPr>
        <w:t xml:space="preserve"> </w:t>
      </w:r>
      <w:r w:rsidRPr="00C26235">
        <w:rPr>
          <w:rFonts w:ascii="Book Antiqua" w:eastAsia="Times New Roman" w:hAnsi="Book Antiqua"/>
          <w:color w:val="000000" w:themeColor="text1"/>
          <w:sz w:val="18"/>
          <w:szCs w:val="18"/>
          <w:shd w:val="clear" w:color="auto" w:fill="FFFFFF"/>
        </w:rPr>
        <w:t xml:space="preserve">Taoiseach Enda Kenny </w:t>
      </w:r>
      <w:r w:rsidRPr="00C26235">
        <w:rPr>
          <w:rFonts w:ascii="Book Antiqua" w:eastAsia="Times New Roman" w:hAnsi="Book Antiqua"/>
          <w:color w:val="000000" w:themeColor="text1"/>
          <w:sz w:val="18"/>
          <w:szCs w:val="18"/>
        </w:rPr>
        <w:t>“</w:t>
      </w:r>
      <w:r w:rsidRPr="00C26235">
        <w:rPr>
          <w:rFonts w:ascii="Book Antiqua" w:eastAsia="Times New Roman" w:hAnsi="Book Antiqua"/>
          <w:color w:val="000000" w:themeColor="text1"/>
          <w:sz w:val="18"/>
          <w:szCs w:val="18"/>
          <w:shd w:val="clear" w:color="auto" w:fill="FFFFFF"/>
        </w:rPr>
        <w:t xml:space="preserve">ruled out accepting the legislation, having received an opinion from Attorney General </w:t>
      </w:r>
      <w:proofErr w:type="spellStart"/>
      <w:r w:rsidRPr="00C26235">
        <w:rPr>
          <w:rFonts w:ascii="Book Antiqua" w:eastAsia="Times New Roman" w:hAnsi="Book Antiqua"/>
          <w:color w:val="000000" w:themeColor="text1"/>
          <w:sz w:val="18"/>
          <w:szCs w:val="18"/>
          <w:shd w:val="clear" w:color="auto" w:fill="FFFFFF"/>
        </w:rPr>
        <w:t>Máire</w:t>
      </w:r>
      <w:proofErr w:type="spellEnd"/>
      <w:r w:rsidRPr="00C26235">
        <w:rPr>
          <w:rFonts w:ascii="Book Antiqua" w:eastAsia="Times New Roman" w:hAnsi="Book Antiqua"/>
          <w:color w:val="000000" w:themeColor="text1"/>
          <w:sz w:val="18"/>
          <w:szCs w:val="18"/>
          <w:shd w:val="clear" w:color="auto" w:fill="FFFFFF"/>
        </w:rPr>
        <w:t xml:space="preserve"> Whelan that it was unconstitutional. He said the AG’s advice would not be published, in line with precedent.” </w:t>
      </w:r>
      <w:r w:rsidRPr="00C26235">
        <w:rPr>
          <w:rFonts w:ascii="Book Antiqua" w:eastAsia="Times New Roman" w:hAnsi="Book Antiqua"/>
          <w:i/>
          <w:color w:val="000000" w:themeColor="text1"/>
          <w:sz w:val="18"/>
          <w:szCs w:val="18"/>
          <w:shd w:val="clear" w:color="auto" w:fill="FFFFFF"/>
        </w:rPr>
        <w:t>See</w:t>
      </w:r>
      <w:r>
        <w:rPr>
          <w:rFonts w:ascii="Book Antiqua" w:eastAsia="Times New Roman" w:hAnsi="Book Antiqua"/>
          <w:color w:val="000000" w:themeColor="text1"/>
          <w:sz w:val="18"/>
          <w:szCs w:val="18"/>
          <w:shd w:val="clear" w:color="auto" w:fill="FFFFFF"/>
        </w:rPr>
        <w:t xml:space="preserve"> Michael O’Regan, </w:t>
      </w:r>
      <w:r w:rsidRPr="00F603FC">
        <w:rPr>
          <w:rFonts w:ascii="Book Antiqua" w:eastAsia="Times New Roman" w:hAnsi="Book Antiqua"/>
          <w:i/>
          <w:color w:val="000000" w:themeColor="text1"/>
          <w:sz w:val="18"/>
          <w:szCs w:val="18"/>
          <w:shd w:val="clear" w:color="auto" w:fill="FFFFFF"/>
        </w:rPr>
        <w:t>Government defeats Daly’s abortion Bill with big majority</w:t>
      </w:r>
      <w:r>
        <w:rPr>
          <w:rFonts w:ascii="Book Antiqua" w:eastAsia="Times New Roman" w:hAnsi="Book Antiqua"/>
          <w:color w:val="000000" w:themeColor="text1"/>
          <w:sz w:val="18"/>
          <w:szCs w:val="18"/>
          <w:shd w:val="clear" w:color="auto" w:fill="FFFFFF"/>
        </w:rPr>
        <w:t xml:space="preserve">, </w:t>
      </w:r>
      <w:r w:rsidRPr="00F603FC">
        <w:rPr>
          <w:rFonts w:ascii="Book Antiqua" w:eastAsia="Times New Roman" w:hAnsi="Book Antiqua"/>
          <w:color w:val="000000" w:themeColor="text1"/>
          <w:sz w:val="18"/>
          <w:szCs w:val="18"/>
          <w:shd w:val="clear" w:color="auto" w:fill="FFFFFF"/>
        </w:rPr>
        <w:t>Irish Times</w:t>
      </w:r>
      <w:r>
        <w:rPr>
          <w:rFonts w:ascii="Book Antiqua" w:eastAsia="Times New Roman" w:hAnsi="Book Antiqua"/>
          <w:i/>
          <w:color w:val="000000" w:themeColor="text1"/>
          <w:sz w:val="18"/>
          <w:szCs w:val="18"/>
          <w:shd w:val="clear" w:color="auto" w:fill="FFFFFF"/>
        </w:rPr>
        <w:t xml:space="preserve"> </w:t>
      </w:r>
      <w:r w:rsidRPr="00F603FC">
        <w:rPr>
          <w:rFonts w:ascii="Book Antiqua" w:eastAsia="Times New Roman" w:hAnsi="Book Antiqua"/>
          <w:color w:val="000000" w:themeColor="text1"/>
          <w:sz w:val="18"/>
          <w:szCs w:val="18"/>
          <w:shd w:val="clear" w:color="auto" w:fill="FFFFFF"/>
        </w:rPr>
        <w:t>Feb 10</w:t>
      </w:r>
      <w:r>
        <w:rPr>
          <w:rFonts w:ascii="Book Antiqua" w:eastAsia="Times New Roman" w:hAnsi="Book Antiqua"/>
          <w:i/>
          <w:color w:val="000000" w:themeColor="text1"/>
          <w:sz w:val="18"/>
          <w:szCs w:val="18"/>
          <w:shd w:val="clear" w:color="auto" w:fill="FFFFFF"/>
        </w:rPr>
        <w:t xml:space="preserve"> </w:t>
      </w:r>
      <w:r w:rsidRPr="00F603FC">
        <w:rPr>
          <w:rFonts w:ascii="Book Antiqua" w:eastAsia="Times New Roman" w:hAnsi="Book Antiqua"/>
          <w:color w:val="000000" w:themeColor="text1"/>
          <w:sz w:val="18"/>
          <w:szCs w:val="18"/>
          <w:shd w:val="clear" w:color="auto" w:fill="FFFFFF"/>
        </w:rPr>
        <w:t>2015</w:t>
      </w:r>
      <w:r>
        <w:rPr>
          <w:rFonts w:ascii="Book Antiqua" w:eastAsia="Times New Roman" w:hAnsi="Book Antiqua"/>
          <w:color w:val="000000" w:themeColor="text1"/>
          <w:sz w:val="18"/>
          <w:szCs w:val="18"/>
          <w:shd w:val="clear" w:color="auto" w:fill="FFFFFF"/>
        </w:rPr>
        <w:t xml:space="preserve">, </w:t>
      </w:r>
      <w:r w:rsidRPr="00F603FC">
        <w:rPr>
          <w:rFonts w:ascii="Book Antiqua" w:eastAsia="Times New Roman" w:hAnsi="Book Antiqua"/>
          <w:i/>
          <w:color w:val="000000" w:themeColor="text1"/>
          <w:sz w:val="18"/>
          <w:szCs w:val="18"/>
          <w:shd w:val="clear" w:color="auto" w:fill="FFFFFF"/>
        </w:rPr>
        <w:t>available at</w:t>
      </w:r>
      <w:r w:rsidRPr="00C26235">
        <w:rPr>
          <w:rFonts w:ascii="Book Antiqua" w:eastAsia="Times New Roman" w:hAnsi="Book Antiqua"/>
          <w:i/>
          <w:color w:val="000000" w:themeColor="text1"/>
          <w:sz w:val="18"/>
          <w:szCs w:val="18"/>
          <w:shd w:val="clear" w:color="auto" w:fill="FFFFFF"/>
        </w:rPr>
        <w:t xml:space="preserve"> </w:t>
      </w:r>
      <w:hyperlink r:id="rId9" w:history="1">
        <w:r w:rsidRPr="00C26235">
          <w:rPr>
            <w:rStyle w:val="Hyperlink"/>
            <w:rFonts w:ascii="Book Antiqua" w:eastAsia="Times New Roman" w:hAnsi="Book Antiqua"/>
            <w:color w:val="000000" w:themeColor="text1"/>
            <w:sz w:val="18"/>
            <w:szCs w:val="18"/>
            <w:u w:val="none"/>
            <w:shd w:val="clear" w:color="auto" w:fill="FFFFFF"/>
          </w:rPr>
          <w:t>http://www.irishtimes.com/news/politics/oireachtas/government-defeats-daly-s-abortion-bill-with-big-majority-1.2099035</w:t>
        </w:r>
      </w:hyperlink>
      <w:r>
        <w:rPr>
          <w:rFonts w:ascii="Book Antiqua" w:eastAsia="Times New Roman" w:hAnsi="Book Antiqua"/>
          <w:color w:val="000000" w:themeColor="text1"/>
          <w:sz w:val="18"/>
          <w:szCs w:val="18"/>
          <w:shd w:val="clear" w:color="auto" w:fill="FFFFFF"/>
        </w:rPr>
        <w:t>.</w:t>
      </w:r>
    </w:p>
  </w:footnote>
  <w:footnote w:id="107">
    <w:p w14:paraId="130FB3A9" w14:textId="216C1456" w:rsidR="00CE5BA2" w:rsidRPr="00C26235" w:rsidRDefault="00CE5BA2" w:rsidP="007F1C25">
      <w:pPr>
        <w:pStyle w:val="FootnoteText"/>
        <w:rPr>
          <w:rFonts w:ascii="Book Antiqua" w:hAnsi="Book Antiqua"/>
          <w:sz w:val="18"/>
          <w:szCs w:val="18"/>
        </w:rPr>
      </w:pPr>
      <w:r w:rsidRPr="00C26235">
        <w:rPr>
          <w:rStyle w:val="FootnoteReference"/>
          <w:rFonts w:ascii="Book Antiqua" w:hAnsi="Book Antiqua"/>
          <w:sz w:val="18"/>
          <w:szCs w:val="18"/>
        </w:rPr>
        <w:footnoteRef/>
      </w:r>
      <w:r w:rsidRPr="00C26235">
        <w:rPr>
          <w:rFonts w:ascii="Book Antiqua" w:hAnsi="Book Antiqua"/>
          <w:sz w:val="18"/>
          <w:szCs w:val="18"/>
        </w:rPr>
        <w:t xml:space="preserve"> </w:t>
      </w:r>
      <w:r>
        <w:rPr>
          <w:rFonts w:ascii="Book Antiqua" w:hAnsi="Book Antiqua"/>
          <w:sz w:val="18"/>
          <w:szCs w:val="18"/>
        </w:rPr>
        <w:t xml:space="preserve">As </w:t>
      </w:r>
      <w:r w:rsidRPr="00C26235">
        <w:rPr>
          <w:rFonts w:ascii="Book Antiqua" w:hAnsi="Book Antiqua"/>
          <w:sz w:val="18"/>
          <w:szCs w:val="18"/>
          <w:lang w:val="en-IE"/>
        </w:rPr>
        <w:t xml:space="preserve">Casey puts it, “government can hardly be </w:t>
      </w:r>
      <w:r w:rsidRPr="00C26235">
        <w:rPr>
          <w:rFonts w:ascii="Book Antiqua" w:hAnsi="Book Antiqua"/>
          <w:i/>
          <w:sz w:val="18"/>
          <w:szCs w:val="18"/>
          <w:lang w:val="en-IE"/>
        </w:rPr>
        <w:t>obliged</w:t>
      </w:r>
      <w:r w:rsidRPr="00C26235">
        <w:rPr>
          <w:rFonts w:ascii="Book Antiqua" w:hAnsi="Book Antiqua"/>
          <w:sz w:val="18"/>
          <w:szCs w:val="18"/>
          <w:lang w:val="en-IE"/>
        </w:rPr>
        <w:t xml:space="preserve"> to accept the Attorney General’s advice on any matter, though to do so would appear to b</w:t>
      </w:r>
      <w:r>
        <w:rPr>
          <w:rFonts w:ascii="Book Antiqua" w:hAnsi="Book Antiqua"/>
          <w:sz w:val="18"/>
          <w:szCs w:val="18"/>
          <w:lang w:val="en-IE"/>
        </w:rPr>
        <w:t xml:space="preserve">e the normal course.” </w:t>
      </w:r>
      <w:r w:rsidRPr="009958CD">
        <w:rPr>
          <w:rFonts w:ascii="Book Antiqua" w:hAnsi="Book Antiqua"/>
          <w:sz w:val="18"/>
          <w:szCs w:val="18"/>
          <w:lang w:val="en-IE"/>
        </w:rPr>
        <w:t xml:space="preserve">Casey, </w:t>
      </w:r>
      <w:r>
        <w:rPr>
          <w:rFonts w:ascii="Book Antiqua" w:hAnsi="Book Antiqua"/>
          <w:i/>
          <w:sz w:val="18"/>
          <w:szCs w:val="18"/>
          <w:lang w:val="en-IE"/>
        </w:rPr>
        <w:t xml:space="preserve">supra </w:t>
      </w:r>
      <w:r>
        <w:rPr>
          <w:rFonts w:ascii="Book Antiqua" w:hAnsi="Book Antiqua"/>
          <w:sz w:val="18"/>
          <w:szCs w:val="18"/>
          <w:lang w:val="en-IE"/>
        </w:rPr>
        <w:t>note 143, at</w:t>
      </w:r>
      <w:r w:rsidRPr="009958CD">
        <w:rPr>
          <w:rFonts w:ascii="Book Antiqua" w:hAnsi="Book Antiqua"/>
          <w:sz w:val="18"/>
          <w:szCs w:val="18"/>
          <w:lang w:val="en-IE"/>
        </w:rPr>
        <w:t xml:space="preserve"> </w:t>
      </w:r>
      <w:r w:rsidRPr="00C26235">
        <w:rPr>
          <w:rFonts w:ascii="Book Antiqua" w:hAnsi="Book Antiqua"/>
          <w:sz w:val="18"/>
          <w:szCs w:val="18"/>
          <w:lang w:val="en-IE"/>
        </w:rPr>
        <w:t>134. Casey also notes minor examples where government rejected advice to the effect that they could not act a certain way in a non-constitutional matter.</w:t>
      </w:r>
    </w:p>
  </w:footnote>
  <w:footnote w:id="108">
    <w:p w14:paraId="5C6C0CD2" w14:textId="57F0FF65" w:rsidR="00CE5BA2" w:rsidRPr="00140EFB" w:rsidRDefault="00CE5BA2" w:rsidP="00140EFB">
      <w:pPr>
        <w:jc w:val="both"/>
        <w:rPr>
          <w:rFonts w:eastAsia="Times New Roman"/>
        </w:rPr>
      </w:pPr>
      <w:r w:rsidRPr="00C26235">
        <w:rPr>
          <w:rStyle w:val="FootnoteReference"/>
          <w:rFonts w:ascii="Book Antiqua" w:hAnsi="Book Antiqua"/>
          <w:sz w:val="18"/>
          <w:szCs w:val="18"/>
        </w:rPr>
        <w:footnoteRef/>
      </w:r>
      <w:r w:rsidRPr="00C26235">
        <w:rPr>
          <w:rFonts w:ascii="Book Antiqua" w:hAnsi="Book Antiqua"/>
          <w:sz w:val="18"/>
          <w:szCs w:val="18"/>
        </w:rPr>
        <w:t xml:space="preserve"> </w:t>
      </w:r>
      <w:r>
        <w:rPr>
          <w:rFonts w:ascii="Book Antiqua" w:hAnsi="Book Antiqua"/>
          <w:i/>
          <w:sz w:val="18"/>
          <w:szCs w:val="18"/>
          <w:lang w:val="en-IE"/>
        </w:rPr>
        <w:t>Id.</w:t>
      </w:r>
      <w:r>
        <w:rPr>
          <w:rFonts w:ascii="Book Antiqua" w:hAnsi="Book Antiqua"/>
          <w:sz w:val="18"/>
          <w:szCs w:val="18"/>
          <w:lang w:val="en-IE"/>
        </w:rPr>
        <w:t xml:space="preserve"> at</w:t>
      </w:r>
      <w:r w:rsidRPr="00B2448D">
        <w:rPr>
          <w:rFonts w:ascii="Book Antiqua" w:hAnsi="Book Antiqua"/>
          <w:sz w:val="18"/>
          <w:szCs w:val="18"/>
          <w:lang w:val="en-IE"/>
        </w:rPr>
        <w:t xml:space="preserve"> </w:t>
      </w:r>
      <w:r>
        <w:rPr>
          <w:rFonts w:ascii="Book Antiqua" w:hAnsi="Book Antiqua"/>
          <w:sz w:val="18"/>
          <w:szCs w:val="18"/>
          <w:lang w:val="en-IE"/>
        </w:rPr>
        <w:t>119-120. I</w:t>
      </w:r>
      <w:r w:rsidRPr="00C26235">
        <w:rPr>
          <w:rFonts w:ascii="Book Antiqua" w:hAnsi="Book Antiqua"/>
          <w:sz w:val="18"/>
          <w:szCs w:val="18"/>
          <w:lang w:val="en-IE"/>
        </w:rPr>
        <w:t xml:space="preserve">n January 2018, </w:t>
      </w:r>
      <w:r>
        <w:rPr>
          <w:rFonts w:ascii="Book Antiqua" w:hAnsi="Book Antiqua"/>
          <w:sz w:val="18"/>
          <w:szCs w:val="18"/>
          <w:lang w:val="en-IE"/>
        </w:rPr>
        <w:t xml:space="preserve">the </w:t>
      </w:r>
      <w:r w:rsidRPr="00140EFB">
        <w:rPr>
          <w:rFonts w:ascii="Book Antiqua" w:hAnsi="Book Antiqua"/>
          <w:sz w:val="18"/>
          <w:szCs w:val="18"/>
          <w:lang w:val="en-IE"/>
        </w:rPr>
        <w:t xml:space="preserve">Taoiseach appeared to </w:t>
      </w:r>
      <w:r>
        <w:rPr>
          <w:rFonts w:ascii="Book Antiqua" w:hAnsi="Book Antiqua"/>
          <w:sz w:val="18"/>
          <w:szCs w:val="18"/>
          <w:lang w:val="en-IE"/>
        </w:rPr>
        <w:t>acknowledge</w:t>
      </w:r>
      <w:r w:rsidRPr="00140EFB">
        <w:rPr>
          <w:rFonts w:ascii="Book Antiqua" w:hAnsi="Book Antiqua"/>
          <w:sz w:val="18"/>
          <w:szCs w:val="18"/>
          <w:lang w:val="en-IE"/>
        </w:rPr>
        <w:t xml:space="preserve"> that AG’s advice </w:t>
      </w:r>
      <w:r>
        <w:rPr>
          <w:rFonts w:ascii="Book Antiqua" w:hAnsi="Book Antiqua"/>
          <w:sz w:val="18"/>
          <w:szCs w:val="18"/>
          <w:lang w:val="en-IE"/>
        </w:rPr>
        <w:t>is</w:t>
      </w:r>
      <w:r w:rsidRPr="00140EFB">
        <w:rPr>
          <w:rFonts w:ascii="Book Antiqua" w:hAnsi="Book Antiqua"/>
          <w:sz w:val="18"/>
          <w:szCs w:val="18"/>
          <w:lang w:val="en-IE"/>
        </w:rPr>
        <w:t xml:space="preserve"> generally equivocal, </w:t>
      </w:r>
      <w:r>
        <w:rPr>
          <w:rFonts w:ascii="Book Antiqua" w:hAnsi="Book Antiqua"/>
          <w:sz w:val="18"/>
          <w:szCs w:val="18"/>
          <w:lang w:val="en-IE"/>
        </w:rPr>
        <w:t>informing parliament</w:t>
      </w:r>
      <w:r w:rsidRPr="00140EFB">
        <w:rPr>
          <w:rFonts w:ascii="Book Antiqua" w:hAnsi="Book Antiqua"/>
          <w:sz w:val="18"/>
          <w:szCs w:val="18"/>
          <w:lang w:val="en-IE"/>
        </w:rPr>
        <w:t xml:space="preserve"> that “</w:t>
      </w:r>
      <w:r>
        <w:rPr>
          <w:rFonts w:ascii="Book Antiqua" w:eastAsia="Times New Roman" w:hAnsi="Book Antiqua"/>
          <w:sz w:val="18"/>
          <w:szCs w:val="18"/>
        </w:rPr>
        <w:t>[l]</w:t>
      </w:r>
      <w:r w:rsidRPr="00140EFB">
        <w:rPr>
          <w:rFonts w:ascii="Book Antiqua" w:eastAsia="Times New Roman" w:hAnsi="Book Antiqua"/>
          <w:sz w:val="18"/>
          <w:szCs w:val="18"/>
        </w:rPr>
        <w:t xml:space="preserve">egal advice inevitably argues from a position of </w:t>
      </w:r>
      <w:r>
        <w:rPr>
          <w:rFonts w:ascii="Book Antiqua" w:eastAsia="Times New Roman" w:hAnsi="Book Antiqua"/>
          <w:sz w:val="18"/>
          <w:szCs w:val="18"/>
        </w:rPr>
        <w:t>‘</w:t>
      </w:r>
      <w:r w:rsidRPr="00140EFB">
        <w:rPr>
          <w:rFonts w:ascii="Book Antiqua" w:eastAsia="Times New Roman" w:hAnsi="Book Antiqua"/>
          <w:sz w:val="18"/>
          <w:szCs w:val="18"/>
        </w:rPr>
        <w:t>on the one hand, on the other hand</w:t>
      </w:r>
      <w:r>
        <w:rPr>
          <w:rFonts w:ascii="Book Antiqua" w:eastAsia="Times New Roman" w:hAnsi="Book Antiqua"/>
          <w:sz w:val="18"/>
          <w:szCs w:val="18"/>
        </w:rPr>
        <w:t>’</w:t>
      </w:r>
      <w:r w:rsidRPr="00140EFB">
        <w:rPr>
          <w:rFonts w:ascii="Book Antiqua" w:eastAsia="Times New Roman" w:hAnsi="Book Antiqua"/>
          <w:sz w:val="18"/>
          <w:szCs w:val="18"/>
        </w:rPr>
        <w:t xml:space="preserve"> and gives different sets of opinions.”</w:t>
      </w:r>
      <w:r>
        <w:rPr>
          <w:rFonts w:ascii="Book Antiqua" w:eastAsia="Times New Roman" w:hAnsi="Book Antiqua"/>
          <w:sz w:val="18"/>
          <w:szCs w:val="18"/>
        </w:rPr>
        <w:t xml:space="preserve"> </w:t>
      </w:r>
      <w:r w:rsidRPr="00D24161">
        <w:rPr>
          <w:rFonts w:ascii="Book Antiqua" w:hAnsi="Book Antiqua"/>
          <w:sz w:val="18"/>
          <w:szCs w:val="18"/>
        </w:rPr>
        <w:t xml:space="preserve">Dáil </w:t>
      </w:r>
      <w:r>
        <w:rPr>
          <w:rFonts w:ascii="Book Antiqua" w:hAnsi="Book Antiqua"/>
          <w:sz w:val="18"/>
          <w:szCs w:val="18"/>
        </w:rPr>
        <w:t>Debates,</w:t>
      </w:r>
      <w:r w:rsidRPr="00D24161">
        <w:rPr>
          <w:rFonts w:ascii="Book Antiqua" w:hAnsi="Book Antiqua"/>
          <w:sz w:val="18"/>
          <w:szCs w:val="18"/>
        </w:rPr>
        <w:t xml:space="preserve"> Vol. 964 No. 4.</w:t>
      </w:r>
      <w:r>
        <w:rPr>
          <w:rFonts w:ascii="Book Antiqua" w:hAnsi="Book Antiqua"/>
          <w:sz w:val="18"/>
          <w:szCs w:val="18"/>
        </w:rPr>
        <w:t xml:space="preserve">, Jan 30 2018, </w:t>
      </w:r>
      <w:r w:rsidRPr="00F603FC">
        <w:rPr>
          <w:rFonts w:ascii="Book Antiqua" w:hAnsi="Book Antiqua"/>
          <w:i/>
          <w:sz w:val="18"/>
          <w:szCs w:val="18"/>
        </w:rPr>
        <w:t>available at</w:t>
      </w:r>
      <w:r w:rsidRPr="00D24161">
        <w:t xml:space="preserve"> </w:t>
      </w:r>
      <w:hyperlink r:id="rId10" w:history="1">
        <w:r w:rsidRPr="002A3B79">
          <w:rPr>
            <w:rStyle w:val="Hyperlink"/>
            <w:rFonts w:ascii="Book Antiqua" w:hAnsi="Book Antiqua"/>
            <w:sz w:val="18"/>
            <w:szCs w:val="18"/>
            <w:u w:val="none"/>
          </w:rPr>
          <w:t>https://beta.oireachtas.ie/en/debates/debate/dail/2018-01-30/</w:t>
        </w:r>
      </w:hyperlink>
      <w:r w:rsidRPr="00F730B1">
        <w:rPr>
          <w:rFonts w:ascii="Book Antiqua" w:hAnsi="Book Antiqua"/>
          <w:sz w:val="18"/>
          <w:szCs w:val="18"/>
        </w:rPr>
        <w:t>.</w:t>
      </w:r>
    </w:p>
  </w:footnote>
  <w:footnote w:id="109">
    <w:p w14:paraId="3834B77F" w14:textId="7F4151ED" w:rsidR="00CE5BA2" w:rsidRPr="00C26235" w:rsidRDefault="00CE5BA2" w:rsidP="007F1C25">
      <w:pPr>
        <w:pStyle w:val="FootnoteText"/>
        <w:rPr>
          <w:rFonts w:ascii="Book Antiqua" w:hAnsi="Book Antiqua"/>
          <w:sz w:val="18"/>
          <w:szCs w:val="18"/>
        </w:rPr>
      </w:pPr>
      <w:r w:rsidRPr="00C26235">
        <w:rPr>
          <w:rStyle w:val="FootnoteReference"/>
          <w:rFonts w:ascii="Book Antiqua" w:hAnsi="Book Antiqua"/>
          <w:sz w:val="18"/>
          <w:szCs w:val="18"/>
        </w:rPr>
        <w:footnoteRef/>
      </w:r>
      <w:r>
        <w:rPr>
          <w:rFonts w:ascii="Book Antiqua" w:hAnsi="Book Antiqua"/>
          <w:sz w:val="18"/>
          <w:szCs w:val="18"/>
        </w:rPr>
        <w:t xml:space="preserve"> </w:t>
      </w:r>
      <w:r w:rsidRPr="00B2448D">
        <w:rPr>
          <w:rFonts w:ascii="Book Antiqua" w:hAnsi="Book Antiqua"/>
          <w:sz w:val="18"/>
          <w:szCs w:val="18"/>
        </w:rPr>
        <w:t xml:space="preserve">Casey, </w:t>
      </w:r>
      <w:r>
        <w:rPr>
          <w:rFonts w:ascii="Book Antiqua" w:hAnsi="Book Antiqua"/>
          <w:i/>
          <w:sz w:val="18"/>
          <w:szCs w:val="18"/>
        </w:rPr>
        <w:t xml:space="preserve">supra </w:t>
      </w:r>
      <w:r>
        <w:rPr>
          <w:rFonts w:ascii="Book Antiqua" w:hAnsi="Book Antiqua"/>
          <w:sz w:val="18"/>
          <w:szCs w:val="18"/>
        </w:rPr>
        <w:t>note 143, at</w:t>
      </w:r>
      <w:r w:rsidRPr="00B2448D">
        <w:rPr>
          <w:rFonts w:ascii="Book Antiqua" w:hAnsi="Book Antiqua"/>
          <w:sz w:val="18"/>
          <w:szCs w:val="18"/>
        </w:rPr>
        <w:t xml:space="preserve"> </w:t>
      </w:r>
      <w:r w:rsidRPr="00C26235">
        <w:rPr>
          <w:rFonts w:ascii="Book Antiqua" w:hAnsi="Book Antiqua"/>
          <w:sz w:val="18"/>
          <w:szCs w:val="18"/>
        </w:rPr>
        <w:t>70</w:t>
      </w:r>
      <w:r>
        <w:rPr>
          <w:rFonts w:ascii="Book Antiqua" w:hAnsi="Book Antiqua"/>
          <w:sz w:val="18"/>
          <w:szCs w:val="18"/>
        </w:rPr>
        <w:t>.</w:t>
      </w:r>
    </w:p>
  </w:footnote>
  <w:footnote w:id="110">
    <w:p w14:paraId="47B67E51" w14:textId="329869A9" w:rsidR="00CE5BA2" w:rsidRPr="00735395" w:rsidRDefault="00CE5BA2" w:rsidP="00A47184">
      <w:pPr>
        <w:pStyle w:val="FootnoteText"/>
        <w:rPr>
          <w:rFonts w:ascii="Book Antiqua" w:hAnsi="Book Antiqua"/>
          <w:sz w:val="18"/>
          <w:szCs w:val="18"/>
          <w:lang w:val="en-IE"/>
        </w:rPr>
      </w:pPr>
      <w:r w:rsidRPr="00C26235">
        <w:rPr>
          <w:rStyle w:val="FootnoteReference"/>
          <w:rFonts w:ascii="Book Antiqua" w:hAnsi="Book Antiqua"/>
          <w:sz w:val="18"/>
          <w:szCs w:val="18"/>
        </w:rPr>
        <w:footnoteRef/>
      </w:r>
      <w:r w:rsidRPr="00C26235">
        <w:rPr>
          <w:rFonts w:ascii="Book Antiqua" w:hAnsi="Book Antiqua"/>
          <w:sz w:val="18"/>
          <w:szCs w:val="18"/>
        </w:rPr>
        <w:t xml:space="preserve"> </w:t>
      </w:r>
      <w:r>
        <w:rPr>
          <w:rFonts w:ascii="Book Antiqua" w:hAnsi="Book Antiqua"/>
          <w:sz w:val="18"/>
          <w:szCs w:val="18"/>
        </w:rPr>
        <w:t xml:space="preserve">Eoin </w:t>
      </w:r>
      <w:r w:rsidRPr="00F80DFA">
        <w:rPr>
          <w:rFonts w:ascii="Book Antiqua" w:hAnsi="Book Antiqua"/>
          <w:sz w:val="18"/>
          <w:szCs w:val="18"/>
          <w:lang w:val="en-GB"/>
        </w:rPr>
        <w:t xml:space="preserve">Daly, </w:t>
      </w:r>
      <w:r w:rsidRPr="00F603FC">
        <w:rPr>
          <w:rFonts w:ascii="Book Antiqua" w:hAnsi="Book Antiqua"/>
          <w:i/>
          <w:sz w:val="18"/>
          <w:szCs w:val="18"/>
          <w:lang w:val="en-GB"/>
        </w:rPr>
        <w:t xml:space="preserve">Reappraising </w:t>
      </w:r>
      <w:r>
        <w:rPr>
          <w:rFonts w:ascii="Book Antiqua" w:hAnsi="Book Antiqua"/>
          <w:i/>
          <w:sz w:val="18"/>
          <w:szCs w:val="18"/>
          <w:lang w:val="en-GB"/>
        </w:rPr>
        <w:t>J</w:t>
      </w:r>
      <w:r w:rsidRPr="00F603FC">
        <w:rPr>
          <w:rFonts w:ascii="Book Antiqua" w:hAnsi="Book Antiqua"/>
          <w:i/>
          <w:sz w:val="18"/>
          <w:szCs w:val="18"/>
          <w:lang w:val="en-GB"/>
        </w:rPr>
        <w:t xml:space="preserve">udicial </w:t>
      </w:r>
      <w:r>
        <w:rPr>
          <w:rFonts w:ascii="Book Antiqua" w:hAnsi="Book Antiqua"/>
          <w:i/>
          <w:sz w:val="18"/>
          <w:szCs w:val="18"/>
          <w:lang w:val="en-GB"/>
        </w:rPr>
        <w:t>S</w:t>
      </w:r>
      <w:r w:rsidRPr="00F603FC">
        <w:rPr>
          <w:rFonts w:ascii="Book Antiqua" w:hAnsi="Book Antiqua"/>
          <w:i/>
          <w:sz w:val="18"/>
          <w:szCs w:val="18"/>
          <w:lang w:val="en-GB"/>
        </w:rPr>
        <w:t xml:space="preserve">upremacy in the Irish </w:t>
      </w:r>
      <w:r>
        <w:rPr>
          <w:rFonts w:ascii="Book Antiqua" w:hAnsi="Book Antiqua"/>
          <w:i/>
          <w:sz w:val="18"/>
          <w:szCs w:val="18"/>
          <w:lang w:val="en-GB"/>
        </w:rPr>
        <w:t>C</w:t>
      </w:r>
      <w:r w:rsidRPr="00F603FC">
        <w:rPr>
          <w:rFonts w:ascii="Book Antiqua" w:hAnsi="Book Antiqua"/>
          <w:i/>
          <w:sz w:val="18"/>
          <w:szCs w:val="18"/>
          <w:lang w:val="en-GB"/>
        </w:rPr>
        <w:t xml:space="preserve">onstitutional </w:t>
      </w:r>
      <w:r>
        <w:rPr>
          <w:rFonts w:ascii="Book Antiqua" w:hAnsi="Book Antiqua"/>
          <w:i/>
          <w:sz w:val="18"/>
          <w:szCs w:val="18"/>
          <w:lang w:val="en-GB"/>
        </w:rPr>
        <w:t>T</w:t>
      </w:r>
      <w:r w:rsidRPr="00F603FC">
        <w:rPr>
          <w:rFonts w:ascii="Book Antiqua" w:hAnsi="Book Antiqua"/>
          <w:i/>
          <w:sz w:val="18"/>
          <w:szCs w:val="18"/>
          <w:lang w:val="en-GB"/>
        </w:rPr>
        <w:t>radition</w:t>
      </w:r>
      <w:r w:rsidRPr="00F80DFA">
        <w:rPr>
          <w:rFonts w:ascii="Book Antiqua" w:hAnsi="Book Antiqua"/>
          <w:sz w:val="18"/>
          <w:szCs w:val="18"/>
          <w:lang w:val="en-GB"/>
        </w:rPr>
        <w:t xml:space="preserve">, </w:t>
      </w:r>
      <w:r w:rsidRPr="00F603FC">
        <w:rPr>
          <w:rFonts w:ascii="Book Antiqua" w:hAnsi="Book Antiqua"/>
          <w:i/>
          <w:sz w:val="18"/>
          <w:szCs w:val="18"/>
          <w:lang w:val="en-GB"/>
        </w:rPr>
        <w:t>in</w:t>
      </w:r>
      <w:r>
        <w:rPr>
          <w:rFonts w:ascii="Book Antiqua" w:hAnsi="Book Antiqua"/>
          <w:i/>
          <w:sz w:val="18"/>
          <w:szCs w:val="18"/>
          <w:lang w:val="en-GB"/>
        </w:rPr>
        <w:t xml:space="preserve"> </w:t>
      </w:r>
      <w:r>
        <w:rPr>
          <w:rFonts w:ascii="Book Antiqua" w:hAnsi="Book Antiqua"/>
          <w:sz w:val="18"/>
          <w:szCs w:val="18"/>
          <w:lang w:val="en-GB"/>
        </w:rPr>
        <w:t>JUDGES, POLITICS AND THE IRISH CONTITUTION 44 (</w:t>
      </w:r>
      <w:r w:rsidRPr="00F80DFA">
        <w:rPr>
          <w:rFonts w:ascii="Book Antiqua" w:hAnsi="Book Antiqua"/>
          <w:sz w:val="18"/>
          <w:szCs w:val="18"/>
          <w:lang w:val="en-GB"/>
        </w:rPr>
        <w:t xml:space="preserve">Hickey, </w:t>
      </w:r>
      <w:proofErr w:type="spellStart"/>
      <w:r w:rsidRPr="00F80DFA">
        <w:rPr>
          <w:rFonts w:ascii="Book Antiqua" w:hAnsi="Book Antiqua"/>
          <w:sz w:val="18"/>
          <w:szCs w:val="18"/>
          <w:lang w:val="en-GB"/>
        </w:rPr>
        <w:t>Callihane</w:t>
      </w:r>
      <w:proofErr w:type="spellEnd"/>
      <w:r w:rsidRPr="00F80DFA">
        <w:rPr>
          <w:rFonts w:ascii="Book Antiqua" w:hAnsi="Book Antiqua"/>
          <w:sz w:val="18"/>
          <w:szCs w:val="18"/>
          <w:lang w:val="en-GB"/>
        </w:rPr>
        <w:t xml:space="preserve"> and Gallen eds</w:t>
      </w:r>
      <w:r>
        <w:rPr>
          <w:rFonts w:ascii="Book Antiqua" w:hAnsi="Book Antiqua"/>
          <w:sz w:val="18"/>
          <w:szCs w:val="18"/>
          <w:lang w:val="en-GB"/>
        </w:rPr>
        <w:t>., 2017)</w:t>
      </w:r>
      <w:r w:rsidRPr="00D24161">
        <w:rPr>
          <w:rFonts w:ascii="Book Antiqua" w:hAnsi="Book Antiqua"/>
          <w:sz w:val="18"/>
          <w:szCs w:val="18"/>
          <w:lang w:val="en-IE"/>
        </w:rPr>
        <w:t>.</w:t>
      </w:r>
    </w:p>
  </w:footnote>
  <w:footnote w:id="111">
    <w:p w14:paraId="5970497E" w14:textId="461960AA" w:rsidR="00CE5BA2" w:rsidRPr="00C26235" w:rsidRDefault="00CE5BA2" w:rsidP="007F1C25">
      <w:pPr>
        <w:pStyle w:val="FootnoteText"/>
        <w:rPr>
          <w:rFonts w:ascii="Book Antiqua" w:hAnsi="Book Antiqua"/>
          <w:sz w:val="18"/>
          <w:szCs w:val="18"/>
        </w:rPr>
      </w:pPr>
      <w:r w:rsidRPr="00C26235">
        <w:rPr>
          <w:rStyle w:val="FootnoteReference"/>
          <w:rFonts w:ascii="Book Antiqua" w:hAnsi="Book Antiqua"/>
          <w:sz w:val="18"/>
          <w:szCs w:val="18"/>
        </w:rPr>
        <w:footnoteRef/>
      </w:r>
      <w:r w:rsidRPr="00C26235">
        <w:rPr>
          <w:rFonts w:ascii="Book Antiqua" w:hAnsi="Book Antiqua"/>
          <w:sz w:val="18"/>
          <w:szCs w:val="18"/>
        </w:rPr>
        <w:t xml:space="preserve"> </w:t>
      </w:r>
      <w:r>
        <w:rPr>
          <w:rFonts w:ascii="Book Antiqua" w:hAnsi="Book Antiqua"/>
          <w:sz w:val="18"/>
          <w:szCs w:val="18"/>
          <w:lang w:val="en-IE"/>
        </w:rPr>
        <w:t xml:space="preserve">One recent incident </w:t>
      </w:r>
      <w:r w:rsidRPr="00C26235">
        <w:rPr>
          <w:rFonts w:ascii="Book Antiqua" w:hAnsi="Book Antiqua"/>
          <w:sz w:val="18"/>
          <w:szCs w:val="18"/>
          <w:lang w:val="en-IE"/>
        </w:rPr>
        <w:t>shows the potential for this problem</w:t>
      </w:r>
      <w:r>
        <w:rPr>
          <w:rFonts w:ascii="Book Antiqua" w:hAnsi="Book Antiqua"/>
          <w:sz w:val="18"/>
          <w:szCs w:val="18"/>
          <w:lang w:val="en-IE"/>
        </w:rPr>
        <w:t>.</w:t>
      </w:r>
      <w:r w:rsidRPr="00C26235">
        <w:rPr>
          <w:rFonts w:ascii="Book Antiqua" w:hAnsi="Book Antiqua"/>
          <w:sz w:val="18"/>
          <w:szCs w:val="18"/>
          <w:lang w:val="en-IE"/>
        </w:rPr>
        <w:t xml:space="preserve"> The government suggested that removing religious discrimination from school admissions could not be done because of legal advice suggesting that the measure would be </w:t>
      </w:r>
      <w:r>
        <w:rPr>
          <w:rFonts w:ascii="Book Antiqua" w:hAnsi="Book Antiqua"/>
          <w:sz w:val="18"/>
          <w:szCs w:val="18"/>
          <w:lang w:val="en-IE"/>
        </w:rPr>
        <w:t>un</w:t>
      </w:r>
      <w:r w:rsidRPr="00C26235">
        <w:rPr>
          <w:rFonts w:ascii="Book Antiqua" w:hAnsi="Book Antiqua"/>
          <w:sz w:val="18"/>
          <w:szCs w:val="18"/>
          <w:lang w:val="en-IE"/>
        </w:rPr>
        <w:t xml:space="preserve">constitutional. However, when an NGO published a conflicting legal </w:t>
      </w:r>
      <w:r>
        <w:rPr>
          <w:rFonts w:ascii="Book Antiqua" w:hAnsi="Book Antiqua"/>
          <w:sz w:val="18"/>
          <w:szCs w:val="18"/>
          <w:lang w:val="en-IE"/>
        </w:rPr>
        <w:t xml:space="preserve">opinion </w:t>
      </w:r>
      <w:r w:rsidRPr="00C26235">
        <w:rPr>
          <w:rFonts w:ascii="Book Antiqua" w:hAnsi="Book Antiqua"/>
          <w:sz w:val="18"/>
          <w:szCs w:val="18"/>
          <w:lang w:val="en-IE"/>
        </w:rPr>
        <w:t>from three constitutional scholars saying that such a measure likely would be constitutio</w:t>
      </w:r>
      <w:r>
        <w:rPr>
          <w:rFonts w:ascii="Book Antiqua" w:hAnsi="Book Antiqua"/>
          <w:sz w:val="18"/>
          <w:szCs w:val="18"/>
          <w:lang w:val="en-IE"/>
        </w:rPr>
        <w:t>nal,</w:t>
      </w:r>
      <w:r w:rsidRPr="00C26235">
        <w:rPr>
          <w:rFonts w:ascii="Book Antiqua" w:hAnsi="Book Antiqua"/>
          <w:sz w:val="18"/>
          <w:szCs w:val="18"/>
          <w:lang w:val="en-IE"/>
        </w:rPr>
        <w:t xml:space="preserve"> the government clarified that it had not, in fact, received advice </w:t>
      </w:r>
      <w:r>
        <w:rPr>
          <w:rFonts w:ascii="Book Antiqua" w:hAnsi="Book Antiqua"/>
          <w:sz w:val="18"/>
          <w:szCs w:val="18"/>
          <w:lang w:val="en-IE"/>
        </w:rPr>
        <w:t xml:space="preserve">from </w:t>
      </w:r>
      <w:r w:rsidRPr="00C26235">
        <w:rPr>
          <w:rFonts w:ascii="Book Antiqua" w:hAnsi="Book Antiqua"/>
          <w:sz w:val="18"/>
          <w:szCs w:val="18"/>
          <w:lang w:val="en-IE"/>
        </w:rPr>
        <w:t>the Attorney General. The government did not explain what had happened in this instance, but this illustrates how a government might use legal advice as a political tool in a manner not justified by the advice itself.</w:t>
      </w:r>
      <w:r w:rsidRPr="00A47184">
        <w:rPr>
          <w:rFonts w:ascii="Book Antiqua" w:hAnsi="Book Antiqua"/>
          <w:i/>
          <w:sz w:val="18"/>
          <w:szCs w:val="18"/>
          <w:lang w:val="en-IE"/>
        </w:rPr>
        <w:t xml:space="preserve"> </w:t>
      </w:r>
      <w:r w:rsidRPr="00B962A0">
        <w:rPr>
          <w:rFonts w:ascii="Book Antiqua" w:hAnsi="Book Antiqua"/>
          <w:i/>
          <w:sz w:val="18"/>
          <w:szCs w:val="18"/>
          <w:lang w:val="en-IE"/>
        </w:rPr>
        <w:t>See</w:t>
      </w:r>
      <w:r w:rsidRPr="0079574B">
        <w:rPr>
          <w:rFonts w:ascii="Book Antiqua" w:hAnsi="Book Antiqua"/>
          <w:sz w:val="18"/>
          <w:szCs w:val="18"/>
          <w:lang w:val="en-IE"/>
        </w:rPr>
        <w:t xml:space="preserve"> </w:t>
      </w:r>
      <w:r>
        <w:rPr>
          <w:rFonts w:ascii="Book Antiqua" w:hAnsi="Book Antiqua"/>
          <w:sz w:val="18"/>
          <w:szCs w:val="18"/>
          <w:lang w:val="en-IE"/>
        </w:rPr>
        <w:t xml:space="preserve">RTE News, </w:t>
      </w:r>
      <w:r w:rsidRPr="00F603FC">
        <w:rPr>
          <w:rFonts w:ascii="Book Antiqua" w:hAnsi="Book Antiqua"/>
          <w:i/>
          <w:sz w:val="18"/>
          <w:szCs w:val="18"/>
          <w:lang w:val="en-IE"/>
        </w:rPr>
        <w:t>Legal experts contradict Taoiseach on school admissions</w:t>
      </w:r>
      <w:r>
        <w:rPr>
          <w:rFonts w:ascii="Book Antiqua" w:hAnsi="Book Antiqua"/>
          <w:sz w:val="18"/>
          <w:szCs w:val="18"/>
          <w:lang w:val="en-IE"/>
        </w:rPr>
        <w:t xml:space="preserve">, </w:t>
      </w:r>
      <w:r w:rsidRPr="00F603FC">
        <w:rPr>
          <w:rFonts w:ascii="Book Antiqua" w:hAnsi="Book Antiqua"/>
          <w:sz w:val="18"/>
          <w:szCs w:val="18"/>
          <w:lang w:val="en-IE"/>
        </w:rPr>
        <w:t>RTÉ News</w:t>
      </w:r>
      <w:r>
        <w:rPr>
          <w:rFonts w:ascii="Book Antiqua" w:hAnsi="Book Antiqua"/>
          <w:sz w:val="18"/>
          <w:szCs w:val="18"/>
          <w:lang w:val="en-IE"/>
        </w:rPr>
        <w:t xml:space="preserve">, Jun. 22, 2016, </w:t>
      </w:r>
      <w:r w:rsidRPr="00F603FC">
        <w:rPr>
          <w:rFonts w:ascii="Book Antiqua" w:hAnsi="Book Antiqua"/>
          <w:i/>
          <w:sz w:val="18"/>
          <w:szCs w:val="18"/>
          <w:lang w:val="en-IE"/>
        </w:rPr>
        <w:t>available at</w:t>
      </w:r>
      <w:r>
        <w:rPr>
          <w:rFonts w:ascii="Book Antiqua" w:hAnsi="Book Antiqua"/>
          <w:sz w:val="18"/>
          <w:szCs w:val="18"/>
          <w:lang w:val="en-IE"/>
        </w:rPr>
        <w:t xml:space="preserve"> </w:t>
      </w:r>
      <w:hyperlink r:id="rId11" w:history="1">
        <w:r w:rsidRPr="002A3B79">
          <w:rPr>
            <w:rStyle w:val="Hyperlink"/>
            <w:rFonts w:ascii="Book Antiqua" w:hAnsi="Book Antiqua"/>
            <w:sz w:val="18"/>
            <w:szCs w:val="18"/>
            <w:u w:val="none"/>
            <w:lang w:val="en-IE"/>
          </w:rPr>
          <w:t>https://www.rte.ie/news/2016/0622/797272-schools-admission/</w:t>
        </w:r>
      </w:hyperlink>
      <w:r w:rsidRPr="00015C04">
        <w:rPr>
          <w:rFonts w:ascii="Book Antiqua" w:hAnsi="Book Antiqua"/>
          <w:sz w:val="18"/>
          <w:szCs w:val="18"/>
          <w:lang w:val="en-IE"/>
        </w:rPr>
        <w:t>.</w:t>
      </w:r>
      <w:r>
        <w:rPr>
          <w:rFonts w:ascii="Book Antiqua" w:hAnsi="Book Antiqua"/>
          <w:sz w:val="18"/>
          <w:szCs w:val="18"/>
          <w:lang w:val="en-IE"/>
        </w:rPr>
        <w:t xml:space="preserve"> </w:t>
      </w:r>
    </w:p>
  </w:footnote>
  <w:footnote w:id="112">
    <w:p w14:paraId="52B9ACC6" w14:textId="7AFB5D4D" w:rsidR="00CE5BA2" w:rsidRPr="00735395" w:rsidRDefault="00CE5BA2" w:rsidP="007F1C25">
      <w:pPr>
        <w:rPr>
          <w:rFonts w:ascii="Book Antiqua" w:hAnsi="Book Antiqua"/>
          <w:sz w:val="18"/>
          <w:szCs w:val="18"/>
          <w:lang w:val="en-IE"/>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sidRPr="00735395">
        <w:rPr>
          <w:rFonts w:ascii="Book Antiqua" w:hAnsi="Book Antiqua"/>
          <w:sz w:val="18"/>
          <w:szCs w:val="18"/>
          <w:lang w:val="en-IE"/>
        </w:rPr>
        <w:t xml:space="preserve">When </w:t>
      </w:r>
      <w:r>
        <w:rPr>
          <w:rFonts w:ascii="Book Antiqua" w:hAnsi="Book Antiqua"/>
          <w:sz w:val="18"/>
          <w:szCs w:val="18"/>
          <w:lang w:val="en-IE"/>
        </w:rPr>
        <w:t xml:space="preserve">there is a minority government, it is in principle possible to have amendments to bills or private members’ </w:t>
      </w:r>
      <w:r w:rsidRPr="00735395">
        <w:rPr>
          <w:rFonts w:ascii="Book Antiqua" w:hAnsi="Book Antiqua"/>
          <w:sz w:val="18"/>
          <w:szCs w:val="18"/>
          <w:lang w:val="en-IE"/>
        </w:rPr>
        <w:t>bills</w:t>
      </w:r>
      <w:r>
        <w:rPr>
          <w:rFonts w:ascii="Book Antiqua" w:hAnsi="Book Antiqua"/>
          <w:sz w:val="18"/>
          <w:szCs w:val="18"/>
          <w:lang w:val="en-IE"/>
        </w:rPr>
        <w:t xml:space="preserve"> that run </w:t>
      </w:r>
      <w:r w:rsidRPr="00735395">
        <w:rPr>
          <w:rFonts w:ascii="Book Antiqua" w:hAnsi="Book Antiqua"/>
          <w:sz w:val="18"/>
          <w:szCs w:val="18"/>
          <w:lang w:val="en-IE"/>
        </w:rPr>
        <w:t>contrary to AG’s</w:t>
      </w:r>
      <w:r>
        <w:rPr>
          <w:rFonts w:ascii="Book Antiqua" w:hAnsi="Book Antiqua"/>
          <w:sz w:val="18"/>
          <w:szCs w:val="18"/>
          <w:lang w:val="en-IE"/>
        </w:rPr>
        <w:t xml:space="preserve"> constitutional</w:t>
      </w:r>
      <w:r w:rsidRPr="00735395">
        <w:rPr>
          <w:rFonts w:ascii="Book Antiqua" w:hAnsi="Book Antiqua"/>
          <w:sz w:val="18"/>
          <w:szCs w:val="18"/>
          <w:lang w:val="en-IE"/>
        </w:rPr>
        <w:t xml:space="preserve"> advice</w:t>
      </w:r>
      <w:r>
        <w:rPr>
          <w:rFonts w:ascii="Book Antiqua" w:hAnsi="Book Antiqua"/>
          <w:sz w:val="18"/>
          <w:szCs w:val="18"/>
          <w:lang w:val="en-IE"/>
        </w:rPr>
        <w:t>,</w:t>
      </w:r>
      <w:r w:rsidRPr="00735395">
        <w:rPr>
          <w:rFonts w:ascii="Book Antiqua" w:hAnsi="Book Antiqua"/>
          <w:sz w:val="18"/>
          <w:szCs w:val="18"/>
          <w:lang w:val="en-IE"/>
        </w:rPr>
        <w:t xml:space="preserve"> but </w:t>
      </w:r>
      <w:r>
        <w:rPr>
          <w:rFonts w:ascii="Book Antiqua" w:hAnsi="Book Antiqua"/>
          <w:sz w:val="18"/>
          <w:szCs w:val="18"/>
          <w:lang w:val="en-IE"/>
        </w:rPr>
        <w:t xml:space="preserve">this </w:t>
      </w:r>
      <w:r w:rsidRPr="00735395">
        <w:rPr>
          <w:rFonts w:ascii="Book Antiqua" w:hAnsi="Book Antiqua"/>
          <w:sz w:val="18"/>
          <w:szCs w:val="18"/>
          <w:lang w:val="en-IE"/>
        </w:rPr>
        <w:t>is</w:t>
      </w:r>
      <w:r>
        <w:rPr>
          <w:rFonts w:ascii="Book Antiqua" w:hAnsi="Book Antiqua"/>
          <w:sz w:val="18"/>
          <w:szCs w:val="18"/>
          <w:lang w:val="en-IE"/>
        </w:rPr>
        <w:t xml:space="preserve"> extraordinarily rare. </w:t>
      </w:r>
      <w:r w:rsidRPr="00F603FC">
        <w:rPr>
          <w:rFonts w:ascii="Book Antiqua" w:hAnsi="Book Antiqua"/>
          <w:i/>
          <w:sz w:val="18"/>
          <w:szCs w:val="18"/>
          <w:lang w:val="en-IE"/>
        </w:rPr>
        <w:t>See</w:t>
      </w:r>
      <w:r w:rsidRPr="00735395">
        <w:rPr>
          <w:rFonts w:ascii="Book Antiqua" w:hAnsi="Book Antiqua"/>
          <w:sz w:val="18"/>
          <w:szCs w:val="18"/>
          <w:lang w:val="en-IE"/>
        </w:rPr>
        <w:t xml:space="preserve"> </w:t>
      </w:r>
      <w:r w:rsidRPr="00B2448D">
        <w:rPr>
          <w:rFonts w:ascii="Book Antiqua" w:hAnsi="Book Antiqua"/>
          <w:sz w:val="18"/>
          <w:szCs w:val="18"/>
        </w:rPr>
        <w:t xml:space="preserve">Casey, </w:t>
      </w:r>
      <w:r>
        <w:rPr>
          <w:rFonts w:ascii="Book Antiqua" w:hAnsi="Book Antiqua"/>
          <w:i/>
          <w:sz w:val="18"/>
          <w:szCs w:val="18"/>
        </w:rPr>
        <w:t xml:space="preserve">supra </w:t>
      </w:r>
      <w:r>
        <w:rPr>
          <w:rFonts w:ascii="Book Antiqua" w:hAnsi="Book Antiqua"/>
          <w:sz w:val="18"/>
          <w:szCs w:val="18"/>
        </w:rPr>
        <w:t>note 143, at</w:t>
      </w:r>
      <w:r w:rsidRPr="00B2448D">
        <w:rPr>
          <w:rFonts w:ascii="Book Antiqua" w:hAnsi="Book Antiqua"/>
          <w:i/>
          <w:sz w:val="18"/>
          <w:szCs w:val="18"/>
        </w:rPr>
        <w:t xml:space="preserve"> </w:t>
      </w:r>
      <w:r w:rsidRPr="00735395">
        <w:rPr>
          <w:rFonts w:ascii="Book Antiqua" w:hAnsi="Book Antiqua"/>
          <w:sz w:val="18"/>
          <w:szCs w:val="18"/>
          <w:lang w:val="en-IE"/>
        </w:rPr>
        <w:t>125 for the only known example.</w:t>
      </w:r>
    </w:p>
  </w:footnote>
  <w:footnote w:id="113">
    <w:p w14:paraId="56B8CA37" w14:textId="325BA06B" w:rsidR="00CE5BA2" w:rsidRPr="00735395" w:rsidRDefault="00CE5BA2" w:rsidP="007F1C25">
      <w:pPr>
        <w:pStyle w:val="FootnoteText"/>
        <w:rPr>
          <w:rFonts w:ascii="Book Antiqua" w:hAnsi="Book Antiqua"/>
          <w:sz w:val="18"/>
          <w:szCs w:val="18"/>
        </w:rPr>
      </w:pPr>
      <w:r w:rsidRPr="00735395">
        <w:rPr>
          <w:rStyle w:val="FootnoteReference"/>
          <w:rFonts w:ascii="Book Antiqua" w:hAnsi="Book Antiqua"/>
          <w:sz w:val="18"/>
          <w:szCs w:val="18"/>
        </w:rPr>
        <w:footnoteRef/>
      </w:r>
      <w:r>
        <w:rPr>
          <w:rFonts w:ascii="Book Antiqua" w:hAnsi="Book Antiqua"/>
          <w:sz w:val="18"/>
          <w:szCs w:val="18"/>
        </w:rPr>
        <w:t xml:space="preserve"> Bradley, </w:t>
      </w:r>
      <w:r>
        <w:rPr>
          <w:rFonts w:ascii="Book Antiqua" w:hAnsi="Book Antiqua"/>
          <w:i/>
          <w:sz w:val="18"/>
          <w:szCs w:val="18"/>
        </w:rPr>
        <w:t xml:space="preserve">supra </w:t>
      </w:r>
      <w:r>
        <w:rPr>
          <w:rFonts w:ascii="Book Antiqua" w:hAnsi="Book Antiqua"/>
          <w:sz w:val="18"/>
          <w:szCs w:val="18"/>
        </w:rPr>
        <w:t>note 168, at</w:t>
      </w:r>
      <w:r w:rsidRPr="001E0EBF">
        <w:rPr>
          <w:rFonts w:ascii="Book Antiqua" w:hAnsi="Book Antiqua"/>
          <w:sz w:val="18"/>
          <w:szCs w:val="18"/>
        </w:rPr>
        <w:t xml:space="preserve"> </w:t>
      </w:r>
      <w:r>
        <w:rPr>
          <w:rFonts w:ascii="Book Antiqua" w:hAnsi="Book Antiqua"/>
          <w:sz w:val="18"/>
          <w:szCs w:val="18"/>
        </w:rPr>
        <w:t>486</w:t>
      </w:r>
      <w:r w:rsidRPr="00735395">
        <w:rPr>
          <w:rFonts w:ascii="Book Antiqua" w:hAnsi="Book Antiqua"/>
          <w:sz w:val="18"/>
          <w:szCs w:val="18"/>
        </w:rPr>
        <w:t xml:space="preserve">. </w:t>
      </w:r>
    </w:p>
  </w:footnote>
  <w:footnote w:id="114">
    <w:p w14:paraId="7470654F" w14:textId="7066AF45" w:rsidR="00CE5BA2" w:rsidRPr="00615C97" w:rsidRDefault="00CE5BA2" w:rsidP="00B36A3D">
      <w:pPr>
        <w:pStyle w:val="FootnoteText"/>
        <w:jc w:val="both"/>
        <w:rPr>
          <w:rFonts w:ascii="Book Antiqua" w:hAnsi="Book Antiqua"/>
          <w:sz w:val="18"/>
          <w:szCs w:val="18"/>
          <w:lang w:val="en-GB"/>
        </w:rPr>
      </w:pPr>
      <w:r w:rsidRPr="00615C97">
        <w:rPr>
          <w:rStyle w:val="FootnoteReference"/>
          <w:rFonts w:ascii="Book Antiqua" w:hAnsi="Book Antiqua"/>
          <w:sz w:val="18"/>
          <w:szCs w:val="18"/>
        </w:rPr>
        <w:footnoteRef/>
      </w:r>
      <w:r w:rsidRPr="00615C97">
        <w:rPr>
          <w:rFonts w:ascii="Book Antiqua" w:hAnsi="Book Antiqua"/>
          <w:sz w:val="18"/>
          <w:szCs w:val="18"/>
        </w:rPr>
        <w:t xml:space="preserve"> </w:t>
      </w:r>
      <w:r w:rsidRPr="00615C97">
        <w:rPr>
          <w:rFonts w:ascii="Book Antiqua" w:hAnsi="Book Antiqua"/>
          <w:sz w:val="18"/>
          <w:szCs w:val="18"/>
          <w:lang w:val="en-GB"/>
        </w:rPr>
        <w:t xml:space="preserve">Janet L. Hiebert, </w:t>
      </w:r>
      <w:r w:rsidRPr="00F603FC">
        <w:rPr>
          <w:rFonts w:ascii="Book Antiqua" w:hAnsi="Book Antiqua"/>
          <w:i/>
          <w:sz w:val="18"/>
          <w:szCs w:val="18"/>
          <w:lang w:val="en-GB"/>
        </w:rPr>
        <w:t xml:space="preserve">Governing Like </w:t>
      </w:r>
      <w:proofErr w:type="gramStart"/>
      <w:r w:rsidRPr="00F603FC">
        <w:rPr>
          <w:rFonts w:ascii="Book Antiqua" w:hAnsi="Book Antiqua"/>
          <w:i/>
          <w:sz w:val="18"/>
          <w:szCs w:val="18"/>
          <w:lang w:val="en-GB"/>
        </w:rPr>
        <w:t>Judges?</w:t>
      </w:r>
      <w:r w:rsidRPr="00615C97">
        <w:rPr>
          <w:rFonts w:ascii="Book Antiqua" w:hAnsi="Book Antiqua"/>
          <w:sz w:val="18"/>
          <w:szCs w:val="18"/>
          <w:lang w:val="en-GB"/>
        </w:rPr>
        <w:t>,</w:t>
      </w:r>
      <w:proofErr w:type="gramEnd"/>
      <w:r w:rsidRPr="00615C97">
        <w:rPr>
          <w:rFonts w:ascii="Book Antiqua" w:hAnsi="Book Antiqua"/>
          <w:sz w:val="18"/>
          <w:szCs w:val="18"/>
          <w:lang w:val="en-GB"/>
        </w:rPr>
        <w:t xml:space="preserve"> </w:t>
      </w:r>
      <w:r w:rsidRPr="00F603FC">
        <w:rPr>
          <w:rFonts w:ascii="Book Antiqua" w:hAnsi="Book Antiqua"/>
          <w:i/>
          <w:sz w:val="18"/>
          <w:szCs w:val="18"/>
          <w:lang w:val="en-GB"/>
        </w:rPr>
        <w:t>in</w:t>
      </w:r>
      <w:r>
        <w:rPr>
          <w:rFonts w:ascii="Book Antiqua" w:hAnsi="Book Antiqua"/>
          <w:i/>
          <w:sz w:val="18"/>
          <w:szCs w:val="18"/>
          <w:lang w:val="en-GB"/>
        </w:rPr>
        <w:t xml:space="preserve"> </w:t>
      </w:r>
      <w:r>
        <w:rPr>
          <w:rFonts w:ascii="Book Antiqua" w:hAnsi="Book Antiqua"/>
          <w:sz w:val="18"/>
          <w:szCs w:val="18"/>
          <w:lang w:val="en-GB"/>
        </w:rPr>
        <w:t>THE LEGAL PROTECTION OF HUMAN RIGHTS: SCEPTICAL ESSAYS</w:t>
      </w:r>
      <w:r w:rsidRPr="00F603FC">
        <w:rPr>
          <w:rFonts w:ascii="Book Antiqua" w:hAnsi="Book Antiqua"/>
          <w:sz w:val="18"/>
          <w:szCs w:val="18"/>
          <w:lang w:val="en-GB"/>
        </w:rPr>
        <w:t xml:space="preserve"> </w:t>
      </w:r>
      <w:r>
        <w:rPr>
          <w:rFonts w:ascii="Book Antiqua" w:hAnsi="Book Antiqua"/>
          <w:sz w:val="18"/>
          <w:szCs w:val="18"/>
          <w:lang w:val="en-GB"/>
        </w:rPr>
        <w:t>60</w:t>
      </w:r>
      <w:r w:rsidRPr="00615C97">
        <w:rPr>
          <w:rFonts w:ascii="Book Antiqua" w:hAnsi="Book Antiqua"/>
          <w:sz w:val="18"/>
          <w:szCs w:val="18"/>
          <w:lang w:val="en-GB"/>
        </w:rPr>
        <w:t xml:space="preserve"> </w:t>
      </w:r>
      <w:r>
        <w:rPr>
          <w:rFonts w:ascii="Book Antiqua" w:hAnsi="Book Antiqua"/>
          <w:sz w:val="18"/>
          <w:szCs w:val="18"/>
          <w:lang w:val="en-GB"/>
        </w:rPr>
        <w:t>(</w:t>
      </w:r>
      <w:r w:rsidRPr="00615C97">
        <w:rPr>
          <w:rFonts w:ascii="Book Antiqua" w:hAnsi="Book Antiqua"/>
          <w:sz w:val="18"/>
          <w:szCs w:val="18"/>
          <w:lang w:val="en-GB"/>
        </w:rPr>
        <w:t>Campbell, Ewing, Tomkins eds</w:t>
      </w:r>
      <w:r>
        <w:rPr>
          <w:rFonts w:ascii="Book Antiqua" w:hAnsi="Book Antiqua"/>
          <w:sz w:val="18"/>
          <w:szCs w:val="18"/>
          <w:lang w:val="en-GB"/>
        </w:rPr>
        <w:t>., 2011).</w:t>
      </w:r>
      <w:r w:rsidRPr="00615C97">
        <w:rPr>
          <w:rFonts w:ascii="Book Antiqua" w:hAnsi="Book Antiqua"/>
          <w:sz w:val="18"/>
          <w:szCs w:val="18"/>
          <w:lang w:val="en-GB"/>
        </w:rPr>
        <w:t xml:space="preserve"> </w:t>
      </w:r>
    </w:p>
  </w:footnote>
  <w:footnote w:id="115">
    <w:p w14:paraId="2134BF8C" w14:textId="28AF95C0" w:rsidR="00CE5BA2" w:rsidRPr="00F603FC" w:rsidRDefault="00CE5BA2" w:rsidP="00F603FC">
      <w:pPr>
        <w:pStyle w:val="FootnoteText"/>
        <w:jc w:val="both"/>
        <w:rPr>
          <w:rFonts w:ascii="Book Antiqua" w:hAnsi="Book Antiqua"/>
          <w:sz w:val="18"/>
          <w:szCs w:val="18"/>
          <w:lang w:val="en-IE"/>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Pr>
          <w:rFonts w:ascii="Book Antiqua" w:hAnsi="Book Antiqua"/>
          <w:sz w:val="18"/>
          <w:szCs w:val="18"/>
        </w:rPr>
        <w:t>For a useful discussion of the different rationales and potential legitimacy problems attributed to abstract and concrete judicial review s</w:t>
      </w:r>
      <w:r>
        <w:rPr>
          <w:rFonts w:ascii="Book Antiqua" w:hAnsi="Book Antiqua"/>
          <w:i/>
          <w:sz w:val="18"/>
          <w:szCs w:val="18"/>
        </w:rPr>
        <w:t xml:space="preserve">ee </w:t>
      </w:r>
      <w:r>
        <w:rPr>
          <w:rFonts w:ascii="Book Antiqua" w:eastAsia="Times New Roman" w:hAnsi="Book Antiqua" w:cs="Arial"/>
          <w:color w:val="000000" w:themeColor="text1"/>
          <w:sz w:val="18"/>
          <w:szCs w:val="18"/>
          <w:shd w:val="clear" w:color="auto" w:fill="FFFFFF"/>
        </w:rPr>
        <w:t>WOJCIECH</w:t>
      </w:r>
      <w:r w:rsidRPr="00BA6CD9">
        <w:rPr>
          <w:rStyle w:val="apple-converted-space"/>
          <w:rFonts w:ascii="Book Antiqua" w:eastAsia="Times New Roman" w:hAnsi="Book Antiqua" w:cs="Arial"/>
          <w:color w:val="000000" w:themeColor="text1"/>
          <w:sz w:val="18"/>
          <w:szCs w:val="18"/>
          <w:shd w:val="clear" w:color="auto" w:fill="FFFFFF"/>
        </w:rPr>
        <w:t> </w:t>
      </w:r>
      <w:r>
        <w:rPr>
          <w:rStyle w:val="Emphasis"/>
          <w:rFonts w:ascii="Book Antiqua" w:eastAsia="Times New Roman" w:hAnsi="Book Antiqua" w:cs="Arial"/>
          <w:bCs/>
          <w:i w:val="0"/>
          <w:color w:val="000000" w:themeColor="text1"/>
          <w:sz w:val="18"/>
          <w:szCs w:val="18"/>
          <w:shd w:val="clear" w:color="auto" w:fill="FFFFFF"/>
        </w:rPr>
        <w:t>SADURSKI</w:t>
      </w:r>
      <w:r w:rsidRPr="00BA6CD9">
        <w:rPr>
          <w:rFonts w:ascii="Book Antiqua" w:eastAsia="Times New Roman" w:hAnsi="Book Antiqua" w:cs="Arial"/>
          <w:color w:val="000000" w:themeColor="text1"/>
          <w:sz w:val="18"/>
          <w:szCs w:val="18"/>
          <w:shd w:val="clear" w:color="auto" w:fill="FFFFFF"/>
        </w:rPr>
        <w:t>,</w:t>
      </w:r>
      <w:r w:rsidRPr="00BA6CD9">
        <w:rPr>
          <w:rStyle w:val="apple-converted-space"/>
          <w:rFonts w:ascii="Book Antiqua" w:eastAsia="Times New Roman" w:hAnsi="Book Antiqua" w:cs="Arial"/>
          <w:color w:val="000000" w:themeColor="text1"/>
          <w:sz w:val="18"/>
          <w:szCs w:val="18"/>
          <w:shd w:val="clear" w:color="auto" w:fill="FFFFFF"/>
        </w:rPr>
        <w:t> </w:t>
      </w:r>
      <w:r>
        <w:rPr>
          <w:rStyle w:val="Emphasis"/>
          <w:rFonts w:ascii="Book Antiqua" w:eastAsia="Times New Roman" w:hAnsi="Book Antiqua" w:cs="Arial"/>
          <w:bCs/>
          <w:i w:val="0"/>
          <w:color w:val="000000" w:themeColor="text1"/>
          <w:sz w:val="18"/>
          <w:szCs w:val="18"/>
          <w:shd w:val="clear" w:color="auto" w:fill="FFFFFF"/>
        </w:rPr>
        <w:t xml:space="preserve">RIGHTS BEFORE COURTS: A STUDY OF CONSTITUTIONAL COURTS IN POSTCOMMUNISTS IN EASTERN EUROPE </w:t>
      </w:r>
      <w:r>
        <w:rPr>
          <w:rFonts w:ascii="Book Antiqua" w:eastAsia="Times New Roman" w:hAnsi="Book Antiqua" w:cs="Arial"/>
          <w:color w:val="000000" w:themeColor="text1"/>
          <w:sz w:val="18"/>
          <w:szCs w:val="18"/>
          <w:shd w:val="clear" w:color="auto" w:fill="FFFFFF"/>
        </w:rPr>
        <w:t>91-100</w:t>
      </w:r>
      <w:r w:rsidRPr="00BA6CD9">
        <w:rPr>
          <w:rFonts w:ascii="Book Antiqua" w:eastAsia="Times New Roman" w:hAnsi="Book Antiqua" w:cs="Arial"/>
          <w:i/>
          <w:color w:val="000000" w:themeColor="text1"/>
          <w:sz w:val="18"/>
          <w:szCs w:val="18"/>
          <w:shd w:val="clear" w:color="auto" w:fill="FFFFFF"/>
        </w:rPr>
        <w:t xml:space="preserve"> </w:t>
      </w:r>
      <w:r>
        <w:rPr>
          <w:rFonts w:ascii="Book Antiqua" w:eastAsia="Times New Roman" w:hAnsi="Book Antiqua" w:cs="Arial"/>
          <w:color w:val="000000" w:themeColor="text1"/>
          <w:sz w:val="18"/>
          <w:szCs w:val="18"/>
          <w:shd w:val="clear" w:color="auto" w:fill="FFFFFF"/>
        </w:rPr>
        <w:t>(</w:t>
      </w:r>
      <w:r w:rsidRPr="0060292A">
        <w:rPr>
          <w:rFonts w:ascii="Book Antiqua" w:eastAsia="Times New Roman" w:hAnsi="Book Antiqua" w:cs="Arial"/>
          <w:color w:val="000000" w:themeColor="text1"/>
          <w:sz w:val="18"/>
          <w:szCs w:val="18"/>
          <w:shd w:val="clear" w:color="auto" w:fill="FFFFFF"/>
        </w:rPr>
        <w:t>2005)</w:t>
      </w:r>
      <w:r w:rsidRPr="00F603FC">
        <w:rPr>
          <w:rFonts w:ascii="Book Antiqua" w:hAnsi="Book Antiqua"/>
          <w:sz w:val="18"/>
          <w:szCs w:val="18"/>
        </w:rPr>
        <w:t xml:space="preserve">. Ireland would make for a good study for this purpose </w:t>
      </w:r>
      <w:r>
        <w:rPr>
          <w:rFonts w:ascii="Book Antiqua" w:hAnsi="Book Antiqua"/>
          <w:sz w:val="18"/>
          <w:szCs w:val="18"/>
        </w:rPr>
        <w:t>(</w:t>
      </w:r>
      <w:r w:rsidRPr="00F603FC">
        <w:rPr>
          <w:rFonts w:ascii="Book Antiqua" w:hAnsi="Book Antiqua"/>
          <w:sz w:val="18"/>
          <w:szCs w:val="18"/>
        </w:rPr>
        <w:t>alongside other systems</w:t>
      </w:r>
      <w:r>
        <w:rPr>
          <w:rFonts w:ascii="Book Antiqua" w:hAnsi="Book Antiqua"/>
          <w:sz w:val="18"/>
          <w:szCs w:val="18"/>
        </w:rPr>
        <w:t xml:space="preserve"> that provide for this mechanism such as France, Portugal, Chile and Romania)</w:t>
      </w:r>
      <w:r w:rsidRPr="00F603FC">
        <w:rPr>
          <w:rFonts w:ascii="Book Antiqua" w:hAnsi="Book Antiqua"/>
          <w:sz w:val="18"/>
          <w:szCs w:val="18"/>
        </w:rPr>
        <w:t xml:space="preserve">, as it has a formal </w:t>
      </w:r>
      <w:r w:rsidRPr="00F603FC">
        <w:rPr>
          <w:rFonts w:ascii="Book Antiqua" w:hAnsi="Book Antiqua"/>
          <w:i/>
          <w:sz w:val="18"/>
          <w:szCs w:val="18"/>
        </w:rPr>
        <w:t>ex ante</w:t>
      </w:r>
      <w:r w:rsidRPr="00F603FC">
        <w:rPr>
          <w:rFonts w:ascii="Book Antiqua" w:hAnsi="Book Antiqua"/>
          <w:sz w:val="18"/>
          <w:szCs w:val="18"/>
        </w:rPr>
        <w:t xml:space="preserve"> judicial review process that has fallen out of favour, perhaps</w:t>
      </w:r>
      <w:r>
        <w:rPr>
          <w:rFonts w:ascii="Book Antiqua" w:hAnsi="Book Antiqua"/>
          <w:sz w:val="18"/>
          <w:szCs w:val="18"/>
        </w:rPr>
        <w:t xml:space="preserve">, as suggested below, because it is </w:t>
      </w:r>
      <w:r w:rsidRPr="00F603FC">
        <w:rPr>
          <w:rFonts w:ascii="Book Antiqua" w:hAnsi="Book Antiqua"/>
          <w:sz w:val="18"/>
          <w:szCs w:val="18"/>
        </w:rPr>
        <w:t xml:space="preserve">overshadowed by informal executive review. </w:t>
      </w:r>
    </w:p>
  </w:footnote>
  <w:footnote w:id="116">
    <w:p w14:paraId="1E371DD7" w14:textId="1B838B09" w:rsidR="00CE5BA2" w:rsidRPr="00F603FC" w:rsidRDefault="00CE5BA2">
      <w:pPr>
        <w:pStyle w:val="FootnoteText"/>
        <w:rPr>
          <w:rFonts w:ascii="Book Antiqua" w:hAnsi="Book Antiqua"/>
          <w:sz w:val="18"/>
          <w:lang w:val="en-IE"/>
        </w:rPr>
      </w:pPr>
      <w:r w:rsidRPr="00F603FC">
        <w:rPr>
          <w:rStyle w:val="FootnoteReference"/>
          <w:rFonts w:ascii="Book Antiqua" w:hAnsi="Book Antiqua"/>
          <w:sz w:val="18"/>
        </w:rPr>
        <w:footnoteRef/>
      </w:r>
      <w:r w:rsidRPr="00F603FC">
        <w:rPr>
          <w:rFonts w:ascii="Book Antiqua" w:hAnsi="Book Antiqua"/>
          <w:sz w:val="18"/>
        </w:rPr>
        <w:t xml:space="preserve"> </w:t>
      </w:r>
      <w:r w:rsidRPr="00F603FC">
        <w:rPr>
          <w:rFonts w:ascii="Book Antiqua" w:hAnsi="Book Antiqua"/>
          <w:sz w:val="18"/>
          <w:lang w:val="en-IE"/>
        </w:rPr>
        <w:t>A worthwhile question for future research would be whether the abstract nature of pre-enactment review – necessarily taking place without knowledge of how the law or policy will work in practice – is doomed to fall into broad legalistic reasoning if it is not to be unevidenced speculation about outcomes. If this were so, it would pose a serious challenge to political constitutionalism.</w:t>
      </w:r>
    </w:p>
  </w:footnote>
  <w:footnote w:id="117">
    <w:p w14:paraId="780CC066" w14:textId="33B28789" w:rsidR="00CE5BA2" w:rsidRPr="004511ED" w:rsidRDefault="00CE5BA2" w:rsidP="00F603FC">
      <w:pPr>
        <w:pStyle w:val="p1"/>
        <w:jc w:val="both"/>
        <w:rPr>
          <w:rFonts w:ascii="Book Antiqua" w:hAnsi="Book Antiqua"/>
        </w:rPr>
      </w:pPr>
      <w:r w:rsidRPr="00735395">
        <w:rPr>
          <w:rStyle w:val="FootnoteReference"/>
          <w:rFonts w:ascii="Book Antiqua" w:hAnsi="Book Antiqua"/>
        </w:rPr>
        <w:footnoteRef/>
      </w:r>
      <w:r>
        <w:rPr>
          <w:rFonts w:ascii="Book Antiqua" w:hAnsi="Book Antiqua"/>
        </w:rPr>
        <w:t xml:space="preserve"> Mark Tushnet, </w:t>
      </w:r>
      <w:r w:rsidRPr="00F603FC">
        <w:rPr>
          <w:rFonts w:ascii="Book Antiqua" w:hAnsi="Book Antiqua"/>
          <w:i/>
        </w:rPr>
        <w:t xml:space="preserve">Policy Distortion and Democratic Deliberation: Comparative Illumination of the </w:t>
      </w:r>
      <w:proofErr w:type="spellStart"/>
      <w:r w:rsidRPr="00F603FC">
        <w:rPr>
          <w:rFonts w:ascii="Book Antiqua" w:hAnsi="Book Antiqua"/>
          <w:i/>
        </w:rPr>
        <w:t>Countermajoritarian</w:t>
      </w:r>
      <w:proofErr w:type="spellEnd"/>
      <w:r w:rsidRPr="00F603FC">
        <w:rPr>
          <w:rFonts w:ascii="Book Antiqua" w:hAnsi="Book Antiqua"/>
          <w:i/>
        </w:rPr>
        <w:t xml:space="preserve"> Difficulty</w:t>
      </w:r>
      <w:r>
        <w:rPr>
          <w:rFonts w:ascii="Book Antiqua" w:hAnsi="Book Antiqua"/>
        </w:rPr>
        <w:t xml:space="preserve"> 94 MICH. L. REV. 245, 247</w:t>
      </w:r>
      <w:r w:rsidRPr="00735395">
        <w:rPr>
          <w:rFonts w:ascii="Book Antiqua" w:hAnsi="Book Antiqua"/>
        </w:rPr>
        <w:t xml:space="preserve"> (1995)</w:t>
      </w:r>
      <w:r w:rsidR="000F32C7">
        <w:rPr>
          <w:rFonts w:ascii="Book Antiqua" w:hAnsi="Book Antiqua"/>
        </w:rPr>
        <w:t xml:space="preserve">; </w:t>
      </w:r>
      <w:proofErr w:type="spellStart"/>
      <w:r w:rsidR="000F32C7">
        <w:rPr>
          <w:rFonts w:ascii="Book Antiqua" w:hAnsi="Book Antiqua"/>
        </w:rPr>
        <w:t>cf</w:t>
      </w:r>
      <w:proofErr w:type="spellEnd"/>
      <w:r w:rsidR="000F32C7">
        <w:rPr>
          <w:rFonts w:ascii="Book Antiqua" w:hAnsi="Book Antiqua"/>
        </w:rPr>
        <w:t xml:space="preserve"> Alec Stone Sweet, </w:t>
      </w:r>
      <w:r w:rsidR="000F32C7" w:rsidRPr="00F603FC">
        <w:rPr>
          <w:rFonts w:ascii="Book Antiqua" w:hAnsi="Book Antiqua"/>
          <w:i/>
        </w:rPr>
        <w:t>Constitutional Courts and Parliamentary Democracy</w:t>
      </w:r>
      <w:r w:rsidR="000F32C7">
        <w:rPr>
          <w:rFonts w:ascii="Book Antiqua" w:hAnsi="Book Antiqua"/>
        </w:rPr>
        <w:t xml:space="preserve"> 25(1) </w:t>
      </w:r>
      <w:r w:rsidR="000F32C7" w:rsidRPr="00F603FC">
        <w:rPr>
          <w:rFonts w:ascii="Book Antiqua" w:hAnsi="Book Antiqua"/>
        </w:rPr>
        <w:t>WEST EUROPEAN POLITICS</w:t>
      </w:r>
      <w:r w:rsidR="000F32C7">
        <w:rPr>
          <w:rFonts w:ascii="Book Antiqua" w:hAnsi="Book Antiqua"/>
          <w:i/>
        </w:rPr>
        <w:t xml:space="preserve"> </w:t>
      </w:r>
      <w:r w:rsidR="000F32C7">
        <w:rPr>
          <w:rFonts w:ascii="Book Antiqua" w:hAnsi="Book Antiqua"/>
        </w:rPr>
        <w:t xml:space="preserve">77, </w:t>
      </w:r>
      <w:r w:rsidR="000F32C7" w:rsidRPr="00735395">
        <w:rPr>
          <w:rFonts w:ascii="Book Antiqua" w:hAnsi="Book Antiqua"/>
          <w:lang w:val="en-IE"/>
        </w:rPr>
        <w:t>94</w:t>
      </w:r>
      <w:r w:rsidR="000F32C7">
        <w:rPr>
          <w:rFonts w:ascii="Book Antiqua" w:hAnsi="Book Antiqua"/>
          <w:lang w:val="en-IE"/>
        </w:rPr>
        <w:t xml:space="preserve"> </w:t>
      </w:r>
      <w:r w:rsidR="000F32C7">
        <w:rPr>
          <w:rFonts w:ascii="Book Antiqua" w:hAnsi="Book Antiqua"/>
        </w:rPr>
        <w:t>(2002)</w:t>
      </w:r>
      <w:r w:rsidR="000F32C7" w:rsidRPr="00735395">
        <w:rPr>
          <w:rFonts w:ascii="Book Antiqua" w:hAnsi="Book Antiqua"/>
          <w:lang w:val="en-IE"/>
        </w:rPr>
        <w:t>.</w:t>
      </w:r>
    </w:p>
  </w:footnote>
  <w:footnote w:id="118">
    <w:p w14:paraId="16F4CC55" w14:textId="63066C3B" w:rsidR="00CE5BA2" w:rsidRPr="004511ED" w:rsidRDefault="00CE5BA2" w:rsidP="00F603FC">
      <w:pPr>
        <w:pStyle w:val="FootnoteText"/>
        <w:jc w:val="both"/>
        <w:rPr>
          <w:rFonts w:ascii="Book Antiqua" w:hAnsi="Book Antiqua"/>
          <w:sz w:val="18"/>
          <w:szCs w:val="18"/>
          <w:lang w:val="en-IE"/>
        </w:rPr>
      </w:pPr>
      <w:r w:rsidRPr="00880B40">
        <w:rPr>
          <w:rStyle w:val="FootnoteReference"/>
          <w:rFonts w:ascii="Book Antiqua" w:hAnsi="Book Antiqua"/>
          <w:sz w:val="18"/>
          <w:szCs w:val="18"/>
        </w:rPr>
        <w:footnoteRef/>
      </w:r>
      <w:r w:rsidRPr="00880B40">
        <w:rPr>
          <w:rFonts w:ascii="Book Antiqua" w:hAnsi="Book Antiqua"/>
          <w:sz w:val="18"/>
          <w:szCs w:val="18"/>
        </w:rPr>
        <w:t xml:space="preserve"> </w:t>
      </w:r>
      <w:r w:rsidRPr="00880B40">
        <w:rPr>
          <w:rFonts w:ascii="Book Antiqua" w:hAnsi="Book Antiqua"/>
          <w:sz w:val="18"/>
          <w:szCs w:val="18"/>
          <w:lang w:val="en-IE"/>
        </w:rPr>
        <w:t>Indeed, the general trend for review to be court-mimicking suggests that political constitutionalism more generally may have this problem</w:t>
      </w:r>
      <w:r w:rsidRPr="004511ED">
        <w:rPr>
          <w:rFonts w:ascii="Book Antiqua" w:hAnsi="Book Antiqua"/>
          <w:sz w:val="18"/>
          <w:szCs w:val="18"/>
          <w:lang w:val="en-IE"/>
        </w:rPr>
        <w:t>, as it introduces the outlooks and methods of courts into the policy-making process and focuses that process on judicial roadblocks.</w:t>
      </w:r>
    </w:p>
  </w:footnote>
  <w:footnote w:id="119">
    <w:p w14:paraId="5F89399B" w14:textId="07E9C342" w:rsidR="00CE5BA2" w:rsidRPr="00F603FC" w:rsidRDefault="00CE5BA2" w:rsidP="00F603FC">
      <w:pPr>
        <w:pStyle w:val="FootnoteText"/>
        <w:jc w:val="both"/>
        <w:rPr>
          <w:sz w:val="18"/>
          <w:lang w:val="en-IE"/>
        </w:rPr>
      </w:pPr>
      <w:r w:rsidRPr="00F603FC">
        <w:rPr>
          <w:rStyle w:val="FootnoteReference"/>
          <w:rFonts w:ascii="Book Antiqua" w:hAnsi="Book Antiqua"/>
          <w:sz w:val="18"/>
        </w:rPr>
        <w:footnoteRef/>
      </w:r>
      <w:r w:rsidRPr="00F603FC">
        <w:rPr>
          <w:rFonts w:ascii="Book Antiqua" w:hAnsi="Book Antiqua"/>
          <w:sz w:val="18"/>
        </w:rPr>
        <w:t xml:space="preserve"> </w:t>
      </w:r>
      <w:r w:rsidRPr="00F603FC">
        <w:rPr>
          <w:rFonts w:ascii="Book Antiqua" w:hAnsi="Book Antiqua"/>
          <w:sz w:val="18"/>
          <w:lang w:val="en-IE"/>
        </w:rPr>
        <w:t>This is true if the executive in each place does feel found by the legal advice, as it claims. If this is opportunistic misrepresentation, then the issue is the executive imposing limits on the legislature with disingenuous arguments about legal limitations. This is discussed in more detail below.</w:t>
      </w:r>
    </w:p>
  </w:footnote>
  <w:footnote w:id="120">
    <w:p w14:paraId="1C3DF0E8" w14:textId="488F24EF" w:rsidR="00CE5BA2" w:rsidRPr="00F3697D" w:rsidRDefault="00CE5BA2" w:rsidP="008E1ED2">
      <w:pPr>
        <w:pStyle w:val="FootnoteText"/>
        <w:rPr>
          <w:rFonts w:ascii="Book Antiqua" w:hAnsi="Book Antiqua"/>
          <w:sz w:val="18"/>
          <w:szCs w:val="18"/>
          <w:lang w:val="en-IE"/>
        </w:rPr>
      </w:pPr>
      <w:r w:rsidRPr="00F3697D">
        <w:rPr>
          <w:rStyle w:val="FootnoteReference"/>
          <w:rFonts w:ascii="Book Antiqua" w:hAnsi="Book Antiqua"/>
          <w:sz w:val="18"/>
          <w:szCs w:val="18"/>
        </w:rPr>
        <w:footnoteRef/>
      </w:r>
      <w:r w:rsidRPr="00F3697D">
        <w:rPr>
          <w:rFonts w:ascii="Book Antiqua" w:hAnsi="Book Antiqua"/>
          <w:sz w:val="18"/>
          <w:szCs w:val="18"/>
        </w:rPr>
        <w:t xml:space="preserve"> </w:t>
      </w:r>
      <w:r w:rsidRPr="00F3697D">
        <w:rPr>
          <w:rFonts w:ascii="Book Antiqua" w:hAnsi="Book Antiqua"/>
          <w:i/>
          <w:sz w:val="18"/>
          <w:szCs w:val="18"/>
        </w:rPr>
        <w:t xml:space="preserve">See </w:t>
      </w:r>
      <w:r>
        <w:rPr>
          <w:rFonts w:ascii="Book Antiqua" w:hAnsi="Book Antiqua"/>
          <w:sz w:val="18"/>
          <w:szCs w:val="18"/>
          <w:lang w:val="en-GB"/>
        </w:rPr>
        <w:t>[omitted]</w:t>
      </w:r>
      <w:r>
        <w:rPr>
          <w:rFonts w:ascii="Book Antiqua" w:eastAsia="Times New Roman" w:hAnsi="Book Antiqua"/>
          <w:sz w:val="18"/>
          <w:szCs w:val="18"/>
        </w:rPr>
        <w:t>.</w:t>
      </w:r>
    </w:p>
  </w:footnote>
  <w:footnote w:id="121">
    <w:p w14:paraId="33A0DAFC" w14:textId="69869784" w:rsidR="00CE5BA2" w:rsidRPr="00F603FC" w:rsidRDefault="00CE5BA2" w:rsidP="00F603FC">
      <w:pPr>
        <w:pStyle w:val="FootnoteText"/>
        <w:jc w:val="both"/>
        <w:rPr>
          <w:rFonts w:ascii="Book Antiqua" w:hAnsi="Book Antiqua"/>
          <w:sz w:val="18"/>
          <w:szCs w:val="18"/>
          <w:lang w:val="en-IE"/>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sidRPr="00F603FC">
        <w:rPr>
          <w:rFonts w:ascii="Book Antiqua" w:hAnsi="Book Antiqua"/>
          <w:sz w:val="18"/>
          <w:szCs w:val="18"/>
          <w:lang w:val="en-IE"/>
        </w:rPr>
        <w:t>We are grateful to an anonymous review for highlighting this point.</w:t>
      </w:r>
    </w:p>
  </w:footnote>
  <w:footnote w:id="122">
    <w:p w14:paraId="69578DA4" w14:textId="679987C7" w:rsidR="00CE5BA2" w:rsidRPr="009368C6" w:rsidRDefault="00CE5BA2" w:rsidP="00735395">
      <w:pPr>
        <w:pStyle w:val="p1"/>
        <w:jc w:val="both"/>
        <w:rPr>
          <w:rFonts w:ascii="Book Antiqua" w:hAnsi="Book Antiqua"/>
        </w:rPr>
      </w:pPr>
      <w:r w:rsidRPr="00735395">
        <w:rPr>
          <w:rStyle w:val="FootnoteReference"/>
          <w:rFonts w:ascii="Book Antiqua" w:hAnsi="Book Antiqua"/>
        </w:rPr>
        <w:footnoteRef/>
      </w:r>
      <w:r w:rsidRPr="00735395">
        <w:rPr>
          <w:rFonts w:ascii="Book Antiqua" w:hAnsi="Book Antiqua"/>
        </w:rPr>
        <w:t xml:space="preserve"> Samuels, </w:t>
      </w:r>
      <w:r>
        <w:rPr>
          <w:rFonts w:ascii="Book Antiqua" w:hAnsi="Book Antiqua"/>
          <w:i/>
        </w:rPr>
        <w:t xml:space="preserve">supra </w:t>
      </w:r>
      <w:r>
        <w:rPr>
          <w:rFonts w:ascii="Book Antiqua" w:hAnsi="Book Antiqua"/>
        </w:rPr>
        <w:t>note 102, at</w:t>
      </w:r>
      <w:r w:rsidRPr="00735395" w:rsidDel="00F15033">
        <w:rPr>
          <w:rFonts w:ascii="Book Antiqua" w:hAnsi="Book Antiqua"/>
        </w:rPr>
        <w:t xml:space="preserve"> </w:t>
      </w:r>
      <w:r>
        <w:rPr>
          <w:rFonts w:ascii="Book Antiqua" w:hAnsi="Book Antiqua"/>
        </w:rPr>
        <w:t>3.</w:t>
      </w:r>
      <w:r w:rsidRPr="00735395">
        <w:rPr>
          <w:rFonts w:ascii="Book Antiqua" w:hAnsi="Book Antiqua"/>
        </w:rPr>
        <w:t xml:space="preserve"> </w:t>
      </w:r>
    </w:p>
  </w:footnote>
  <w:footnote w:id="123">
    <w:p w14:paraId="6EFC9C2B" w14:textId="6F145068" w:rsidR="00CE5BA2" w:rsidRPr="009B528B" w:rsidRDefault="00CE5BA2" w:rsidP="009B528B">
      <w:pPr>
        <w:pStyle w:val="FootnoteText"/>
        <w:jc w:val="both"/>
        <w:rPr>
          <w:rFonts w:ascii="Book Antiqua" w:hAnsi="Book Antiqua"/>
          <w:color w:val="000000" w:themeColor="text1"/>
          <w:sz w:val="18"/>
          <w:szCs w:val="18"/>
          <w:lang w:val="en-IE"/>
        </w:rPr>
      </w:pPr>
      <w:r w:rsidRPr="009368C6">
        <w:rPr>
          <w:rStyle w:val="FootnoteReference"/>
          <w:rFonts w:ascii="Book Antiqua" w:hAnsi="Book Antiqua"/>
          <w:sz w:val="18"/>
          <w:szCs w:val="18"/>
        </w:rPr>
        <w:footnoteRef/>
      </w:r>
      <w:r w:rsidRPr="009368C6">
        <w:rPr>
          <w:rFonts w:ascii="Book Antiqua" w:hAnsi="Book Antiqua"/>
          <w:sz w:val="18"/>
          <w:szCs w:val="18"/>
        </w:rPr>
        <w:t xml:space="preserve"> </w:t>
      </w:r>
      <w:r>
        <w:rPr>
          <w:rFonts w:ascii="Book Antiqua" w:hAnsi="Book Antiqua"/>
          <w:sz w:val="18"/>
          <w:szCs w:val="18"/>
        </w:rPr>
        <w:t xml:space="preserve">Law, </w:t>
      </w:r>
      <w:r>
        <w:rPr>
          <w:rFonts w:ascii="Book Antiqua" w:hAnsi="Book Antiqua"/>
          <w:i/>
          <w:sz w:val="18"/>
          <w:szCs w:val="18"/>
        </w:rPr>
        <w:t xml:space="preserve">supra </w:t>
      </w:r>
      <w:r>
        <w:rPr>
          <w:rFonts w:ascii="Book Antiqua" w:hAnsi="Book Antiqua"/>
          <w:sz w:val="18"/>
          <w:szCs w:val="18"/>
        </w:rPr>
        <w:t xml:space="preserve">note 95, at </w:t>
      </w:r>
      <w:r w:rsidRPr="009368C6">
        <w:rPr>
          <w:rFonts w:ascii="Book Antiqua" w:hAnsi="Book Antiqua"/>
          <w:color w:val="000000" w:themeColor="text1"/>
          <w:sz w:val="18"/>
          <w:szCs w:val="18"/>
        </w:rPr>
        <w:t>1456.</w:t>
      </w:r>
    </w:p>
  </w:footnote>
  <w:footnote w:id="124">
    <w:p w14:paraId="7F51C849" w14:textId="06DBC82B" w:rsidR="00CE5BA2" w:rsidRPr="009B528B" w:rsidRDefault="00CE5BA2" w:rsidP="009B528B">
      <w:pPr>
        <w:jc w:val="both"/>
        <w:rPr>
          <w:rFonts w:eastAsia="Times New Roman"/>
        </w:rPr>
      </w:pPr>
      <w:r w:rsidRPr="009B528B">
        <w:rPr>
          <w:rStyle w:val="FootnoteReference"/>
          <w:rFonts w:ascii="Book Antiqua" w:hAnsi="Book Antiqua"/>
          <w:color w:val="000000" w:themeColor="text1"/>
          <w:sz w:val="18"/>
          <w:szCs w:val="18"/>
        </w:rPr>
        <w:footnoteRef/>
      </w:r>
      <w:r w:rsidRPr="009B528B">
        <w:rPr>
          <w:rFonts w:ascii="Book Antiqua" w:hAnsi="Book Antiqua"/>
          <w:color w:val="000000" w:themeColor="text1"/>
          <w:sz w:val="18"/>
          <w:szCs w:val="18"/>
        </w:rPr>
        <w:t xml:space="preserve"> </w:t>
      </w:r>
      <w:r>
        <w:rPr>
          <w:rFonts w:ascii="Book Antiqua" w:hAnsi="Book Antiqua"/>
          <w:color w:val="000000" w:themeColor="text1"/>
          <w:sz w:val="18"/>
          <w:szCs w:val="18"/>
        </w:rPr>
        <w:t xml:space="preserve">This is known as the critical self-consciousness problem. </w:t>
      </w:r>
      <w:r w:rsidRPr="00F603FC">
        <w:rPr>
          <w:rFonts w:ascii="Book Antiqua" w:hAnsi="Book Antiqua"/>
          <w:i/>
          <w:color w:val="000000" w:themeColor="text1"/>
          <w:sz w:val="18"/>
          <w:szCs w:val="18"/>
        </w:rPr>
        <w:t>See</w:t>
      </w:r>
      <w:r>
        <w:rPr>
          <w:rFonts w:ascii="Book Antiqua" w:hAnsi="Book Antiqua"/>
          <w:color w:val="000000" w:themeColor="text1"/>
          <w:sz w:val="18"/>
          <w:szCs w:val="18"/>
        </w:rPr>
        <w:t xml:space="preserve"> </w:t>
      </w:r>
      <w:r>
        <w:rPr>
          <w:rFonts w:ascii="Book Antiqua" w:hAnsi="Book Antiqua"/>
          <w:sz w:val="18"/>
          <w:szCs w:val="18"/>
          <w:lang w:val="en-GB"/>
        </w:rPr>
        <w:t>[omitted]</w:t>
      </w:r>
    </w:p>
  </w:footnote>
  <w:footnote w:id="125">
    <w:p w14:paraId="3F1C79BF" w14:textId="03CE5CEC" w:rsidR="00CE5BA2" w:rsidRPr="00735395" w:rsidRDefault="00CE5BA2" w:rsidP="00B32F38">
      <w:pPr>
        <w:pStyle w:val="FootnoteText"/>
        <w:jc w:val="both"/>
        <w:rPr>
          <w:rFonts w:ascii="Book Antiqua" w:hAnsi="Book Antiqua"/>
          <w:sz w:val="18"/>
          <w:szCs w:val="18"/>
          <w:lang w:val="en-IE"/>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lang w:val="en-IE"/>
        </w:rPr>
        <w:t xml:space="preserve">Kavanagh, </w:t>
      </w:r>
      <w:r>
        <w:rPr>
          <w:rFonts w:ascii="Book Antiqua" w:hAnsi="Book Antiqua"/>
          <w:i/>
          <w:sz w:val="18"/>
          <w:szCs w:val="18"/>
          <w:lang w:val="en-IE"/>
        </w:rPr>
        <w:t xml:space="preserve">supra </w:t>
      </w:r>
      <w:r>
        <w:rPr>
          <w:rFonts w:ascii="Book Antiqua" w:hAnsi="Book Antiqua"/>
          <w:sz w:val="18"/>
          <w:szCs w:val="18"/>
          <w:lang w:val="en-IE"/>
        </w:rPr>
        <w:t>note 33, at 83.</w:t>
      </w:r>
    </w:p>
  </w:footnote>
  <w:footnote w:id="126">
    <w:p w14:paraId="42776E3A" w14:textId="4FCA3EF0" w:rsidR="00CE5BA2" w:rsidRPr="00927F2F" w:rsidRDefault="00CE5BA2" w:rsidP="00927F2F">
      <w:pPr>
        <w:pStyle w:val="p1"/>
        <w:jc w:val="both"/>
        <w:rPr>
          <w:rFonts w:ascii="Book Antiqua" w:hAnsi="Book Antiqua"/>
        </w:rPr>
      </w:pPr>
      <w:r w:rsidRPr="00927F2F">
        <w:rPr>
          <w:rStyle w:val="FootnoteReference"/>
          <w:rFonts w:ascii="Book Antiqua" w:hAnsi="Book Antiqua"/>
        </w:rPr>
        <w:footnoteRef/>
      </w:r>
      <w:r w:rsidRPr="00927F2F">
        <w:rPr>
          <w:rFonts w:ascii="Book Antiqua" w:hAnsi="Book Antiqua"/>
        </w:rPr>
        <w:t xml:space="preserve"> For a useful overview </w:t>
      </w:r>
      <w:r w:rsidRPr="00927F2F">
        <w:rPr>
          <w:rFonts w:ascii="Book Antiqua" w:hAnsi="Book Antiqua"/>
          <w:i/>
        </w:rPr>
        <w:t>see</w:t>
      </w:r>
      <w:r>
        <w:rPr>
          <w:rFonts w:ascii="Book Antiqua" w:hAnsi="Book Antiqua"/>
        </w:rPr>
        <w:t xml:space="preserve"> Joseph </w:t>
      </w:r>
      <w:proofErr w:type="spellStart"/>
      <w:r>
        <w:rPr>
          <w:rFonts w:ascii="Book Antiqua" w:hAnsi="Book Antiqua"/>
        </w:rPr>
        <w:t>Jaconelli</w:t>
      </w:r>
      <w:proofErr w:type="spellEnd"/>
      <w:r>
        <w:rPr>
          <w:rFonts w:ascii="Book Antiqua" w:hAnsi="Book Antiqua"/>
        </w:rPr>
        <w:t xml:space="preserve">, </w:t>
      </w:r>
      <w:r w:rsidRPr="00F603FC">
        <w:rPr>
          <w:rFonts w:ascii="Book Antiqua" w:hAnsi="Book Antiqua"/>
          <w:i/>
        </w:rPr>
        <w:t>Reference of Bills to the Supreme Court - A Comparative Perspective</w:t>
      </w:r>
      <w:r>
        <w:rPr>
          <w:rFonts w:ascii="Book Antiqua" w:hAnsi="Book Antiqua"/>
        </w:rPr>
        <w:t>, 18 Irish Jurist</w:t>
      </w:r>
      <w:r w:rsidRPr="00927F2F">
        <w:rPr>
          <w:rFonts w:ascii="Book Antiqua" w:hAnsi="Book Antiqua"/>
        </w:rPr>
        <w:t xml:space="preserve"> </w:t>
      </w:r>
      <w:r>
        <w:rPr>
          <w:rFonts w:ascii="Book Antiqua" w:hAnsi="Book Antiqua"/>
        </w:rPr>
        <w:t xml:space="preserve">(N.S.) 322 </w:t>
      </w:r>
      <w:r w:rsidRPr="00927F2F">
        <w:rPr>
          <w:rFonts w:ascii="Book Antiqua" w:hAnsi="Book Antiqua"/>
        </w:rPr>
        <w:t>(1983)</w:t>
      </w:r>
      <w:r>
        <w:rPr>
          <w:rFonts w:ascii="Book Antiqua" w:hAnsi="Book Antiqua"/>
        </w:rPr>
        <w:t xml:space="preserve">. </w:t>
      </w:r>
    </w:p>
  </w:footnote>
  <w:footnote w:id="127">
    <w:p w14:paraId="22E821FD" w14:textId="128FE145" w:rsidR="00CE5BA2" w:rsidRPr="00927F2F" w:rsidRDefault="00CE5BA2" w:rsidP="00927F2F">
      <w:pPr>
        <w:pStyle w:val="FootnoteText"/>
        <w:jc w:val="both"/>
        <w:rPr>
          <w:rFonts w:ascii="Book Antiqua" w:hAnsi="Book Antiqua"/>
          <w:sz w:val="18"/>
          <w:szCs w:val="18"/>
          <w:lang w:val="en-IE"/>
        </w:rPr>
      </w:pPr>
      <w:r w:rsidRPr="00927F2F">
        <w:rPr>
          <w:rStyle w:val="FootnoteReference"/>
          <w:rFonts w:ascii="Book Antiqua" w:hAnsi="Book Antiqua"/>
          <w:sz w:val="18"/>
          <w:szCs w:val="18"/>
        </w:rPr>
        <w:footnoteRef/>
      </w:r>
      <w:r w:rsidRPr="00927F2F">
        <w:rPr>
          <w:rFonts w:ascii="Book Antiqua" w:hAnsi="Book Antiqua"/>
          <w:sz w:val="18"/>
          <w:szCs w:val="18"/>
        </w:rPr>
        <w:t xml:space="preserve"> </w:t>
      </w:r>
      <w:r w:rsidRPr="00F603FC">
        <w:rPr>
          <w:rFonts w:ascii="Book Antiqua" w:hAnsi="Book Antiqua"/>
          <w:i/>
          <w:sz w:val="18"/>
          <w:szCs w:val="18"/>
        </w:rPr>
        <w:t>See</w:t>
      </w:r>
      <w:r>
        <w:rPr>
          <w:rFonts w:ascii="Book Antiqua" w:hAnsi="Book Antiqua"/>
          <w:sz w:val="18"/>
          <w:szCs w:val="18"/>
        </w:rPr>
        <w:t xml:space="preserve"> [omitted]</w:t>
      </w:r>
      <w:r w:rsidRPr="00927F2F">
        <w:rPr>
          <w:rFonts w:ascii="Book Antiqua" w:hAnsi="Book Antiqua"/>
          <w:sz w:val="18"/>
          <w:szCs w:val="18"/>
        </w:rPr>
        <w:t>.</w:t>
      </w:r>
      <w:r>
        <w:rPr>
          <w:rFonts w:ascii="Book Antiqua" w:hAnsi="Book Antiqua"/>
          <w:sz w:val="18"/>
          <w:szCs w:val="18"/>
        </w:rPr>
        <w:t xml:space="preserve"> </w:t>
      </w:r>
    </w:p>
  </w:footnote>
  <w:footnote w:id="128">
    <w:p w14:paraId="590359F4" w14:textId="2D84FEEF" w:rsidR="00CE5BA2" w:rsidRPr="00735395" w:rsidRDefault="00CE5BA2" w:rsidP="00927F2F">
      <w:pPr>
        <w:pStyle w:val="FootnoteText"/>
        <w:jc w:val="both"/>
        <w:rPr>
          <w:rFonts w:ascii="Book Antiqua" w:hAnsi="Book Antiqua"/>
          <w:sz w:val="18"/>
          <w:szCs w:val="18"/>
          <w:lang w:val="en-IE"/>
        </w:rPr>
      </w:pPr>
      <w:r w:rsidRPr="00927F2F">
        <w:rPr>
          <w:rStyle w:val="FootnoteReference"/>
          <w:rFonts w:ascii="Book Antiqua" w:hAnsi="Book Antiqua"/>
          <w:sz w:val="18"/>
          <w:szCs w:val="18"/>
        </w:rPr>
        <w:footnoteRef/>
      </w:r>
      <w:r w:rsidRPr="00927F2F">
        <w:rPr>
          <w:rFonts w:ascii="Book Antiqua" w:hAnsi="Book Antiqua"/>
          <w:sz w:val="18"/>
          <w:szCs w:val="18"/>
        </w:rPr>
        <w:t xml:space="preserve"> </w:t>
      </w:r>
      <w:r w:rsidRPr="00927F2F">
        <w:rPr>
          <w:rFonts w:ascii="Book Antiqua" w:hAnsi="Book Antiqua"/>
          <w:sz w:val="18"/>
          <w:szCs w:val="18"/>
          <w:lang w:val="en-IE"/>
        </w:rPr>
        <w:t>It is conducted in the abstract; if approved, legislation is immune from any subsequent review; and to must be conducted in a very short time frame. It may be that case-by-case determinations</w:t>
      </w:r>
      <w:r w:rsidRPr="00735395">
        <w:rPr>
          <w:rFonts w:ascii="Book Antiqua" w:hAnsi="Book Antiqua"/>
          <w:sz w:val="18"/>
          <w:szCs w:val="18"/>
          <w:lang w:val="en-IE"/>
        </w:rPr>
        <w:t>, with the possibility of future challenge, are thought preferable.</w:t>
      </w:r>
    </w:p>
  </w:footnote>
  <w:footnote w:id="129">
    <w:p w14:paraId="1140EA6B" w14:textId="63AD92A7" w:rsidR="00CE5BA2" w:rsidRPr="00735395" w:rsidRDefault="00CE5BA2" w:rsidP="005F0C06">
      <w:pPr>
        <w:jc w:val="both"/>
        <w:rPr>
          <w:rFonts w:ascii="Book Antiqua" w:eastAsia="Times New Roman"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lang w:val="en-IE"/>
        </w:rPr>
        <w:t>T</w:t>
      </w:r>
      <w:r w:rsidRPr="00735395">
        <w:rPr>
          <w:rFonts w:ascii="Book Antiqua" w:hAnsi="Book Antiqua"/>
          <w:sz w:val="18"/>
          <w:szCs w:val="18"/>
          <w:lang w:val="en-GB"/>
        </w:rPr>
        <w:t>he Attorney General sits on the Council of State, the consultative body that assists the President in decid</w:t>
      </w:r>
      <w:r>
        <w:rPr>
          <w:rFonts w:ascii="Book Antiqua" w:hAnsi="Book Antiqua"/>
          <w:sz w:val="18"/>
          <w:szCs w:val="18"/>
          <w:lang w:val="en-GB"/>
        </w:rPr>
        <w:t>ing</w:t>
      </w:r>
      <w:r w:rsidRPr="00735395">
        <w:rPr>
          <w:rFonts w:ascii="Book Antiqua" w:hAnsi="Book Antiqua"/>
          <w:sz w:val="18"/>
          <w:szCs w:val="18"/>
          <w:lang w:val="en-GB"/>
        </w:rPr>
        <w:t xml:space="preserve"> whether or not to invoke Article 26. It is </w:t>
      </w:r>
      <w:r>
        <w:rPr>
          <w:rFonts w:ascii="Book Antiqua" w:hAnsi="Book Antiqua"/>
          <w:sz w:val="18"/>
          <w:szCs w:val="18"/>
          <w:lang w:val="en-GB"/>
        </w:rPr>
        <w:t xml:space="preserve">also </w:t>
      </w:r>
      <w:r w:rsidRPr="00735395">
        <w:rPr>
          <w:rFonts w:ascii="Book Antiqua" w:hAnsi="Book Antiqua"/>
          <w:sz w:val="18"/>
          <w:szCs w:val="18"/>
          <w:lang w:val="en-GB"/>
        </w:rPr>
        <w:t>possible that the Presidency may be institutionally ill-equipped to effectively second guess the constitutional assessment of the Office of Attorney</w:t>
      </w:r>
      <w:r>
        <w:rPr>
          <w:rFonts w:ascii="Book Antiqua" w:hAnsi="Book Antiqua"/>
          <w:sz w:val="18"/>
          <w:szCs w:val="18"/>
          <w:lang w:val="en-GB"/>
        </w:rPr>
        <w:t xml:space="preserve"> </w:t>
      </w:r>
      <w:r w:rsidRPr="00735395">
        <w:rPr>
          <w:rFonts w:ascii="Book Antiqua" w:hAnsi="Book Antiqua"/>
          <w:sz w:val="18"/>
          <w:szCs w:val="18"/>
          <w:lang w:val="en-GB"/>
        </w:rPr>
        <w:t>General and its sizeable bureaucratic apparatus</w:t>
      </w:r>
      <w:r>
        <w:rPr>
          <w:rFonts w:ascii="Book Antiqua" w:hAnsi="Book Antiqua"/>
          <w:sz w:val="18"/>
          <w:szCs w:val="18"/>
          <w:lang w:val="en-GB"/>
        </w:rPr>
        <w:t>.</w:t>
      </w:r>
      <w:r w:rsidRPr="00735395">
        <w:rPr>
          <w:rFonts w:ascii="Book Antiqua" w:hAnsi="Book Antiqua"/>
          <w:sz w:val="18"/>
          <w:szCs w:val="18"/>
        </w:rPr>
        <w:t xml:space="preserve"> </w:t>
      </w:r>
    </w:p>
  </w:footnote>
  <w:footnote w:id="130">
    <w:p w14:paraId="457181EC" w14:textId="79778DE7" w:rsidR="00CE5BA2" w:rsidRPr="00735395" w:rsidRDefault="00CE5BA2" w:rsidP="005F0C06">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lang w:val="en-GB"/>
        </w:rPr>
        <w:t>Daphna Renan</w:t>
      </w:r>
      <w:r w:rsidRPr="00735395">
        <w:rPr>
          <w:rFonts w:ascii="Book Antiqua" w:hAnsi="Book Antiqua"/>
          <w:sz w:val="18"/>
          <w:szCs w:val="18"/>
          <w:lang w:val="en-GB"/>
        </w:rPr>
        <w:t xml:space="preserve">, </w:t>
      </w:r>
      <w:r w:rsidRPr="00F603FC">
        <w:rPr>
          <w:rFonts w:ascii="Book Antiqua" w:hAnsi="Book Antiqua"/>
          <w:i/>
          <w:sz w:val="18"/>
          <w:szCs w:val="18"/>
          <w:lang w:val="en-GB"/>
        </w:rPr>
        <w:t>The Law President’s Make</w:t>
      </w:r>
      <w:r w:rsidRPr="00735395">
        <w:rPr>
          <w:rFonts w:ascii="Book Antiqua" w:hAnsi="Book Antiqua"/>
          <w:sz w:val="18"/>
          <w:szCs w:val="18"/>
          <w:lang w:val="en-GB"/>
        </w:rPr>
        <w:t>,</w:t>
      </w:r>
      <w:r>
        <w:rPr>
          <w:rFonts w:ascii="Book Antiqua" w:hAnsi="Book Antiqua"/>
          <w:sz w:val="18"/>
          <w:szCs w:val="18"/>
          <w:lang w:val="en-GB"/>
        </w:rPr>
        <w:t xml:space="preserve"> 103</w:t>
      </w:r>
      <w:r w:rsidRPr="00735395">
        <w:rPr>
          <w:rFonts w:ascii="Book Antiqua" w:hAnsi="Book Antiqua"/>
          <w:sz w:val="18"/>
          <w:szCs w:val="18"/>
          <w:lang w:val="en-GB"/>
        </w:rPr>
        <w:t xml:space="preserve"> </w:t>
      </w:r>
      <w:r>
        <w:rPr>
          <w:rFonts w:ascii="Book Antiqua" w:hAnsi="Book Antiqua"/>
          <w:sz w:val="18"/>
          <w:szCs w:val="18"/>
          <w:lang w:val="en-GB"/>
        </w:rPr>
        <w:t>VA. L. REV. 805, 818 (2017)</w:t>
      </w:r>
      <w:r w:rsidRPr="00735395">
        <w:rPr>
          <w:rFonts w:ascii="Book Antiqua" w:hAnsi="Book Antiqua"/>
          <w:sz w:val="18"/>
          <w:szCs w:val="18"/>
          <w:lang w:val="en-GB"/>
        </w:rPr>
        <w:t>.</w:t>
      </w:r>
    </w:p>
  </w:footnote>
  <w:footnote w:id="131">
    <w:p w14:paraId="3602EC35" w14:textId="5DD20738" w:rsidR="00CE5BA2" w:rsidRPr="0025786C" w:rsidRDefault="00CE5BA2" w:rsidP="0025786C">
      <w:pPr>
        <w:jc w:val="both"/>
        <w:rPr>
          <w:rFonts w:ascii="Book Antiqua" w:eastAsia="Times New Roman" w:hAnsi="Book Antiqua"/>
          <w:sz w:val="18"/>
          <w:szCs w:val="18"/>
        </w:rPr>
      </w:pPr>
      <w:r w:rsidRPr="00735395">
        <w:rPr>
          <w:rStyle w:val="FootnoteReference"/>
          <w:rFonts w:ascii="Book Antiqua" w:hAnsi="Book Antiqua"/>
          <w:sz w:val="18"/>
          <w:szCs w:val="18"/>
        </w:rPr>
        <w:footnoteRef/>
      </w:r>
      <w:r w:rsidRPr="00735395">
        <w:rPr>
          <w:rFonts w:ascii="Book Antiqua" w:hAnsi="Book Antiqua"/>
          <w:sz w:val="18"/>
          <w:szCs w:val="18"/>
          <w:lang w:val="en-GB"/>
        </w:rPr>
        <w:t xml:space="preserve"> </w:t>
      </w:r>
      <w:r>
        <w:rPr>
          <w:rFonts w:ascii="Book Antiqua" w:hAnsi="Book Antiqua"/>
          <w:i/>
          <w:sz w:val="18"/>
          <w:szCs w:val="18"/>
          <w:lang w:val="en-GB"/>
        </w:rPr>
        <w:t>Id.</w:t>
      </w:r>
      <w:r>
        <w:rPr>
          <w:rFonts w:ascii="Book Antiqua" w:hAnsi="Book Antiqua"/>
          <w:sz w:val="18"/>
          <w:szCs w:val="18"/>
          <w:lang w:val="en-GB"/>
        </w:rPr>
        <w:t xml:space="preserve"> at 830-831. </w:t>
      </w:r>
      <w:r w:rsidRPr="001C0444">
        <w:rPr>
          <w:rFonts w:ascii="Book Antiqua" w:hAnsi="Book Antiqua"/>
          <w:i/>
          <w:sz w:val="18"/>
          <w:szCs w:val="18"/>
          <w:lang w:val="en-GB"/>
        </w:rPr>
        <w:t>See</w:t>
      </w:r>
      <w:r>
        <w:rPr>
          <w:rFonts w:ascii="Book Antiqua" w:hAnsi="Book Antiqua"/>
          <w:sz w:val="18"/>
          <w:szCs w:val="18"/>
          <w:lang w:val="en-GB"/>
        </w:rPr>
        <w:t xml:space="preserve"> </w:t>
      </w:r>
      <w:r w:rsidRPr="00F603FC">
        <w:rPr>
          <w:rFonts w:ascii="Book Antiqua" w:hAnsi="Book Antiqua"/>
          <w:i/>
          <w:sz w:val="18"/>
          <w:szCs w:val="18"/>
          <w:lang w:val="en-GB"/>
        </w:rPr>
        <w:t>generally</w:t>
      </w:r>
      <w:r>
        <w:rPr>
          <w:rFonts w:ascii="Book Antiqua" w:hAnsi="Book Antiqua"/>
          <w:sz w:val="18"/>
          <w:szCs w:val="18"/>
          <w:lang w:val="en-GB"/>
        </w:rPr>
        <w:t xml:space="preserve"> [omitted]</w:t>
      </w:r>
    </w:p>
  </w:footnote>
  <w:footnote w:id="132">
    <w:p w14:paraId="1A15ACCA" w14:textId="5D6BD5FE" w:rsidR="00CE5BA2" w:rsidRPr="00735395" w:rsidRDefault="00CE5BA2" w:rsidP="00B01E4C">
      <w:pPr>
        <w:pStyle w:val="FootnoteText"/>
        <w:jc w:val="both"/>
        <w:rPr>
          <w:rFonts w:ascii="Book Antiqua" w:hAnsi="Book Antiqua"/>
          <w:sz w:val="18"/>
          <w:szCs w:val="18"/>
          <w:lang w:val="en-GB"/>
        </w:rPr>
      </w:pPr>
      <w:r w:rsidRPr="00735395">
        <w:rPr>
          <w:rStyle w:val="FootnoteReference"/>
          <w:rFonts w:ascii="Book Antiqua" w:hAnsi="Book Antiqua"/>
          <w:sz w:val="18"/>
          <w:szCs w:val="18"/>
        </w:rPr>
        <w:footnoteRef/>
      </w:r>
      <w:r w:rsidRPr="00735395">
        <w:rPr>
          <w:rFonts w:ascii="Book Antiqua" w:hAnsi="Book Antiqua"/>
          <w:sz w:val="18"/>
          <w:szCs w:val="18"/>
        </w:rPr>
        <w:t xml:space="preserve"> </w:t>
      </w:r>
      <w:r>
        <w:rPr>
          <w:rFonts w:ascii="Book Antiqua" w:hAnsi="Book Antiqua"/>
          <w:sz w:val="18"/>
          <w:szCs w:val="18"/>
        </w:rPr>
        <w:t>D</w:t>
      </w:r>
      <w:proofErr w:type="spellStart"/>
      <w:r w:rsidRPr="00735395">
        <w:rPr>
          <w:rFonts w:ascii="Book Antiqua" w:hAnsi="Book Antiqua"/>
          <w:sz w:val="18"/>
          <w:szCs w:val="18"/>
          <w:lang w:val="en-GB"/>
        </w:rPr>
        <w:t>isclosure</w:t>
      </w:r>
      <w:proofErr w:type="spellEnd"/>
      <w:r w:rsidRPr="00735395">
        <w:rPr>
          <w:rFonts w:ascii="Book Antiqua" w:hAnsi="Book Antiqua"/>
          <w:sz w:val="18"/>
          <w:szCs w:val="18"/>
          <w:lang w:val="en-GB"/>
        </w:rPr>
        <w:t xml:space="preserve"> of advice </w:t>
      </w:r>
      <w:r w:rsidRPr="00735395">
        <w:rPr>
          <w:rFonts w:ascii="Book Antiqua" w:hAnsi="Book Antiqua"/>
          <w:color w:val="000000" w:themeColor="text1"/>
          <w:sz w:val="18"/>
          <w:szCs w:val="18"/>
          <w:lang w:val="en-GB"/>
        </w:rPr>
        <w:t>could help to defend an executive policy, and it may be that no real constitutional issue arises on any reasonable interpretation. However,</w:t>
      </w:r>
      <w:r>
        <w:rPr>
          <w:rFonts w:ascii="Book Antiqua" w:hAnsi="Book Antiqua"/>
          <w:color w:val="000000" w:themeColor="text1"/>
          <w:sz w:val="18"/>
          <w:szCs w:val="18"/>
          <w:lang w:val="en-GB"/>
        </w:rPr>
        <w:t xml:space="preserve"> as Renan notes,</w:t>
      </w:r>
      <w:r w:rsidRPr="00735395">
        <w:rPr>
          <w:rFonts w:ascii="Book Antiqua" w:hAnsi="Book Antiqua"/>
          <w:color w:val="000000" w:themeColor="text1"/>
          <w:sz w:val="18"/>
          <w:szCs w:val="18"/>
          <w:lang w:val="en-GB"/>
        </w:rPr>
        <w:t xml:space="preserve"> disclosure can also create “controversy, distract from other priorities, or put…policies at risk” if the constitutional assessment is more contestable.</w:t>
      </w:r>
      <w:r>
        <w:rPr>
          <w:rFonts w:ascii="Book Antiqua" w:hAnsi="Book Antiqua"/>
          <w:sz w:val="18"/>
          <w:szCs w:val="18"/>
          <w:lang w:val="en-GB"/>
        </w:rPr>
        <w:t xml:space="preserve"> </w:t>
      </w:r>
      <w:r>
        <w:rPr>
          <w:rFonts w:ascii="Book Antiqua" w:hAnsi="Book Antiqua"/>
          <w:i/>
          <w:sz w:val="18"/>
          <w:szCs w:val="18"/>
          <w:lang w:val="en-GB"/>
        </w:rPr>
        <w:t>Id.</w:t>
      </w:r>
      <w:r>
        <w:rPr>
          <w:rFonts w:ascii="Book Antiqua" w:hAnsi="Book Antiqua"/>
          <w:sz w:val="18"/>
          <w:szCs w:val="18"/>
          <w:lang w:val="en-GB"/>
        </w:rPr>
        <w:t xml:space="preserve"> at 852.</w:t>
      </w:r>
    </w:p>
  </w:footnote>
  <w:footnote w:id="133">
    <w:p w14:paraId="49E17D55" w14:textId="78E6F5E6" w:rsidR="00CE5BA2" w:rsidRPr="00F603FC" w:rsidRDefault="00CE5BA2">
      <w:pPr>
        <w:pStyle w:val="FootnoteText"/>
        <w:rPr>
          <w:rFonts w:ascii="Book Antiqua" w:hAnsi="Book Antiqua"/>
          <w:sz w:val="18"/>
          <w:lang w:val="en-IE"/>
        </w:rPr>
      </w:pPr>
      <w:r w:rsidRPr="00F603FC">
        <w:rPr>
          <w:rStyle w:val="FootnoteReference"/>
          <w:rFonts w:ascii="Book Antiqua" w:hAnsi="Book Antiqua"/>
          <w:sz w:val="18"/>
        </w:rPr>
        <w:footnoteRef/>
      </w:r>
      <w:r w:rsidRPr="00F603FC">
        <w:rPr>
          <w:rFonts w:ascii="Book Antiqua" w:hAnsi="Book Antiqua"/>
          <w:sz w:val="18"/>
        </w:rPr>
        <w:t xml:space="preserve"> </w:t>
      </w:r>
      <w:r w:rsidRPr="00064174">
        <w:rPr>
          <w:rFonts w:ascii="Book Antiqua" w:hAnsi="Book Antiqua"/>
          <w:sz w:val="18"/>
        </w:rPr>
        <w:t>David Land</w:t>
      </w:r>
      <w:r w:rsidRPr="00F603FC">
        <w:rPr>
          <w:rFonts w:ascii="Book Antiqua" w:hAnsi="Book Antiqua"/>
          <w:sz w:val="18"/>
        </w:rPr>
        <w:t>a</w:t>
      </w:r>
      <w:r>
        <w:rPr>
          <w:rFonts w:ascii="Book Antiqua" w:hAnsi="Book Antiqua"/>
          <w:sz w:val="18"/>
        </w:rPr>
        <w:t>u</w:t>
      </w:r>
      <w:r w:rsidRPr="00F603FC">
        <w:rPr>
          <w:rFonts w:ascii="Book Antiqua" w:hAnsi="Book Antiqua"/>
          <w:sz w:val="18"/>
        </w:rPr>
        <w:t xml:space="preserve">, </w:t>
      </w:r>
      <w:r w:rsidRPr="00F603FC">
        <w:rPr>
          <w:rFonts w:ascii="Book Antiqua" w:hAnsi="Book Antiqua"/>
          <w:i/>
          <w:sz w:val="18"/>
        </w:rPr>
        <w:t>Abusive Constitutionalism</w:t>
      </w:r>
      <w:r>
        <w:rPr>
          <w:rFonts w:ascii="Book Antiqua" w:hAnsi="Book Antiqua"/>
          <w:sz w:val="18"/>
        </w:rPr>
        <w:t xml:space="preserve"> 47 </w:t>
      </w:r>
      <w:r w:rsidRPr="00FA272A">
        <w:rPr>
          <w:rFonts w:ascii="Book Antiqua" w:hAnsi="Book Antiqua"/>
          <w:sz w:val="18"/>
        </w:rPr>
        <w:t>U.C. Davis L. Rev.</w:t>
      </w:r>
      <w:r>
        <w:rPr>
          <w:rFonts w:ascii="Book Antiqua" w:hAnsi="Book Antiqua"/>
          <w:sz w:val="18"/>
        </w:rPr>
        <w:t xml:space="preserve"> 189</w:t>
      </w:r>
      <w:r w:rsidRPr="00F603FC">
        <w:rPr>
          <w:rFonts w:ascii="Book Antiqua" w:hAnsi="Book Antiqua"/>
          <w:sz w:val="18"/>
        </w:rPr>
        <w:t xml:space="preserve"> (2013)</w:t>
      </w:r>
      <w:r>
        <w:rPr>
          <w:rFonts w:ascii="Book Antiqua" w:hAnsi="Book Antiqua"/>
          <w:sz w:val="18"/>
        </w:rPr>
        <w:t>.</w:t>
      </w:r>
      <w:r w:rsidRPr="00F603FC">
        <w:rPr>
          <w:rFonts w:ascii="Book Antiqua" w:hAnsi="Book Antiqua"/>
          <w:sz w:val="18"/>
        </w:rPr>
        <w:t xml:space="preserve"> </w:t>
      </w:r>
      <w:r>
        <w:rPr>
          <w:rFonts w:ascii="Book Antiqua" w:hAnsi="Book Antiqua"/>
          <w:sz w:val="18"/>
        </w:rPr>
        <w:t xml:space="preserve">Though the Irish case may have less scope for use of shadow review to manipulate the judicial process, there is at least one controversial example of the Irish government using the Attorney General’s to attempt to sway voters in a constitutional change referendum on divorce, relying on the idea that the Attorney was giving impartial legal advice. </w:t>
      </w:r>
      <w:r w:rsidRPr="00F603FC">
        <w:rPr>
          <w:rFonts w:ascii="Book Antiqua" w:hAnsi="Book Antiqua"/>
          <w:i/>
          <w:sz w:val="18"/>
        </w:rPr>
        <w:t>See</w:t>
      </w:r>
      <w:r>
        <w:rPr>
          <w:rFonts w:ascii="Book Antiqua" w:hAnsi="Book Antiqua"/>
          <w:sz w:val="18"/>
        </w:rPr>
        <w:t xml:space="preserve"> </w:t>
      </w:r>
      <w:r>
        <w:rPr>
          <w:rFonts w:ascii="Book Antiqua" w:hAnsi="Book Antiqua"/>
          <w:sz w:val="18"/>
          <w:szCs w:val="18"/>
          <w:lang w:val="en-IE"/>
        </w:rPr>
        <w:t>DAVID GWYNN MORGAN</w:t>
      </w:r>
      <w:r w:rsidRPr="00735395">
        <w:rPr>
          <w:rFonts w:ascii="Book Antiqua" w:hAnsi="Book Antiqua"/>
          <w:sz w:val="18"/>
          <w:szCs w:val="18"/>
          <w:lang w:val="en-IE"/>
        </w:rPr>
        <w:t xml:space="preserve">, </w:t>
      </w:r>
      <w:r>
        <w:rPr>
          <w:rFonts w:ascii="Book Antiqua" w:hAnsi="Book Antiqua"/>
          <w:sz w:val="18"/>
          <w:szCs w:val="18"/>
          <w:lang w:val="en-IE"/>
        </w:rPr>
        <w:t>THE SEPARATION OF POWERS IN THE IRISH CONSTITUTION 201</w:t>
      </w:r>
      <w:r w:rsidRPr="00735395">
        <w:rPr>
          <w:rFonts w:ascii="Book Antiqua" w:hAnsi="Book Antiqua"/>
          <w:sz w:val="18"/>
          <w:szCs w:val="18"/>
          <w:lang w:val="en-IE"/>
        </w:rPr>
        <w:t xml:space="preserve"> (</w:t>
      </w:r>
      <w:r>
        <w:rPr>
          <w:rFonts w:ascii="Book Antiqua" w:hAnsi="Book Antiqua"/>
          <w:sz w:val="18"/>
          <w:szCs w:val="18"/>
          <w:lang w:val="en-IE"/>
        </w:rPr>
        <w:t>1996)</w:t>
      </w:r>
      <w:r w:rsidRPr="00735395">
        <w:rPr>
          <w:rFonts w:ascii="Book Antiqua" w:hAnsi="Book Antiqua"/>
          <w:sz w:val="18"/>
          <w:szCs w:val="18"/>
          <w:lang w:val="en-IE"/>
        </w:rPr>
        <w:t>.</w:t>
      </w:r>
      <w:r>
        <w:rPr>
          <w:rFonts w:ascii="Book Antiqua" w:hAnsi="Book Antiqua"/>
          <w:sz w:val="18"/>
          <w:szCs w:val="18"/>
          <w:lang w:val="en-IE"/>
        </w:rPr>
        <w:t xml:space="preserve"> While not suggesting that this was </w:t>
      </w:r>
      <w:r w:rsidRPr="00F603FC">
        <w:rPr>
          <w:rFonts w:ascii="Book Antiqua" w:hAnsi="Book Antiqua"/>
          <w:i/>
          <w:sz w:val="18"/>
          <w:szCs w:val="18"/>
          <w:lang w:val="en-IE"/>
        </w:rPr>
        <w:t>per se</w:t>
      </w:r>
      <w:r>
        <w:rPr>
          <w:rFonts w:ascii="Book Antiqua" w:hAnsi="Book Antiqua"/>
          <w:sz w:val="18"/>
          <w:szCs w:val="18"/>
          <w:lang w:val="en-IE"/>
        </w:rPr>
        <w:t xml:space="preserve"> improper, it  might indicate how the process could be misused.</w:t>
      </w:r>
    </w:p>
  </w:footnote>
  <w:footnote w:id="134">
    <w:p w14:paraId="52772459" w14:textId="05819F3E" w:rsidR="00CE5BA2" w:rsidRPr="00F603FC" w:rsidRDefault="00CE5BA2">
      <w:pPr>
        <w:pStyle w:val="FootnoteText"/>
        <w:rPr>
          <w:lang w:val="en-IE"/>
        </w:rPr>
      </w:pPr>
      <w:r w:rsidRPr="00F603FC">
        <w:rPr>
          <w:rStyle w:val="FootnoteReference"/>
          <w:rFonts w:ascii="Book Antiqua" w:hAnsi="Book Antiqua"/>
          <w:sz w:val="18"/>
        </w:rPr>
        <w:footnoteRef/>
      </w:r>
      <w:r w:rsidRPr="00F603FC">
        <w:rPr>
          <w:rFonts w:ascii="Book Antiqua" w:hAnsi="Book Antiqua"/>
          <w:sz w:val="18"/>
        </w:rPr>
        <w:t xml:space="preserve"> </w:t>
      </w:r>
      <w:r w:rsidRPr="00064174">
        <w:rPr>
          <w:rFonts w:ascii="Book Antiqua" w:hAnsi="Book Antiqua"/>
          <w:sz w:val="18"/>
        </w:rPr>
        <w:t>David Land</w:t>
      </w:r>
      <w:r w:rsidRPr="00F603FC">
        <w:rPr>
          <w:rFonts w:ascii="Book Antiqua" w:hAnsi="Book Antiqua"/>
          <w:sz w:val="18"/>
        </w:rPr>
        <w:t>a</w:t>
      </w:r>
      <w:r>
        <w:rPr>
          <w:rFonts w:ascii="Book Antiqua" w:hAnsi="Book Antiqua"/>
          <w:sz w:val="18"/>
        </w:rPr>
        <w:t>u</w:t>
      </w:r>
      <w:r w:rsidRPr="00F603FC">
        <w:rPr>
          <w:rFonts w:ascii="Book Antiqua" w:hAnsi="Book Antiqua"/>
          <w:sz w:val="18"/>
        </w:rPr>
        <w:t xml:space="preserve"> </w:t>
      </w:r>
      <w:r>
        <w:rPr>
          <w:rFonts w:ascii="Book Antiqua" w:hAnsi="Book Antiqua"/>
          <w:sz w:val="18"/>
        </w:rPr>
        <w:t>&amp;</w:t>
      </w:r>
      <w:r w:rsidRPr="00F603FC">
        <w:rPr>
          <w:rFonts w:ascii="Book Antiqua" w:hAnsi="Book Antiqua"/>
          <w:sz w:val="18"/>
        </w:rPr>
        <w:t xml:space="preserve"> Rosalind Dixon, </w:t>
      </w:r>
      <w:r w:rsidRPr="00F603FC">
        <w:rPr>
          <w:rFonts w:ascii="Book Antiqua" w:hAnsi="Book Antiqua"/>
          <w:i/>
          <w:sz w:val="18"/>
        </w:rPr>
        <w:t>Abusive Judicial Review</w:t>
      </w:r>
      <w:r w:rsidRPr="00F603FC">
        <w:rPr>
          <w:rFonts w:ascii="Book Antiqua" w:hAnsi="Book Antiqua"/>
          <w:sz w:val="18"/>
        </w:rPr>
        <w:t>,</w:t>
      </w:r>
      <w:r>
        <w:rPr>
          <w:rFonts w:ascii="Book Antiqua" w:hAnsi="Book Antiqua"/>
          <w:sz w:val="18"/>
        </w:rPr>
        <w:t xml:space="preserve"> P</w:t>
      </w:r>
      <w:r w:rsidRPr="00F603FC">
        <w:rPr>
          <w:rFonts w:ascii="Book Antiqua" w:hAnsi="Book Antiqua"/>
          <w:sz w:val="18"/>
        </w:rPr>
        <w:t>aper presented at ICON-S Conference</w:t>
      </w:r>
      <w:r>
        <w:rPr>
          <w:rFonts w:ascii="Book Antiqua" w:hAnsi="Book Antiqua"/>
          <w:sz w:val="18"/>
        </w:rPr>
        <w:t xml:space="preserve"> (</w:t>
      </w:r>
      <w:r w:rsidRPr="00F603FC">
        <w:rPr>
          <w:rFonts w:ascii="Book Antiqua" w:hAnsi="Book Antiqua"/>
          <w:sz w:val="18"/>
        </w:rPr>
        <w:t>Hong Kong, June 27</w:t>
      </w:r>
      <w:r>
        <w:rPr>
          <w:rFonts w:ascii="Book Antiqua" w:hAnsi="Book Antiqua"/>
          <w:sz w:val="18"/>
        </w:rPr>
        <w:t>,</w:t>
      </w:r>
      <w:r w:rsidRPr="00F603FC">
        <w:rPr>
          <w:rFonts w:ascii="Book Antiqua" w:hAnsi="Book Antiqua"/>
          <w:sz w:val="18"/>
        </w:rPr>
        <w:t xml:space="preserve"> 2018</w:t>
      </w:r>
      <w:r>
        <w:rPr>
          <w:rFonts w:ascii="Book Antiqua" w:hAnsi="Book Antiqua"/>
          <w:sz w:val="18"/>
        </w:rPr>
        <w:t>)</w:t>
      </w:r>
      <w:r w:rsidRPr="00F603FC">
        <w:rPr>
          <w:rFonts w:ascii="Book Antiqua" w:hAnsi="Book Antiqua"/>
          <w:sz w:val="18"/>
        </w:rPr>
        <w:t>.</w:t>
      </w:r>
    </w:p>
  </w:footnote>
  <w:footnote w:id="135">
    <w:p w14:paraId="735BDBB9" w14:textId="4F5DFE9F" w:rsidR="00CE5BA2" w:rsidRDefault="00CE5BA2" w:rsidP="002C3DA3">
      <w:pPr>
        <w:rPr>
          <w:rFonts w:eastAsia="Times New Roman"/>
        </w:rPr>
      </w:pPr>
      <w:r w:rsidRPr="00F603FC">
        <w:rPr>
          <w:rStyle w:val="FootnoteReference"/>
          <w:rFonts w:ascii="Book Antiqua" w:hAnsi="Book Antiqua"/>
          <w:sz w:val="18"/>
          <w:szCs w:val="18"/>
        </w:rPr>
        <w:footnoteRef/>
      </w:r>
      <w:r w:rsidRPr="00F603FC">
        <w:rPr>
          <w:rFonts w:ascii="Book Antiqua" w:hAnsi="Book Antiqua"/>
          <w:sz w:val="18"/>
          <w:szCs w:val="18"/>
        </w:rPr>
        <w:t xml:space="preserve"> </w:t>
      </w:r>
      <w:r w:rsidRPr="00F603FC">
        <w:rPr>
          <w:rFonts w:ascii="Book Antiqua" w:hAnsi="Book Antiqua"/>
          <w:i/>
          <w:sz w:val="18"/>
          <w:szCs w:val="18"/>
          <w:lang w:val="en-IE"/>
        </w:rPr>
        <w:t>See</w:t>
      </w:r>
      <w:r w:rsidRPr="00F603FC">
        <w:rPr>
          <w:rFonts w:ascii="Book Antiqua" w:hAnsi="Book Antiqua"/>
          <w:i/>
          <w:sz w:val="18"/>
          <w:szCs w:val="18"/>
        </w:rPr>
        <w:t xml:space="preserve"> generally</w:t>
      </w:r>
      <w:r w:rsidRPr="00760A02">
        <w:rPr>
          <w:rFonts w:ascii="Book Antiqua" w:hAnsi="Book Antiqua"/>
          <w:sz w:val="18"/>
          <w:szCs w:val="18"/>
        </w:rPr>
        <w:t xml:space="preserve"> Martin, </w:t>
      </w:r>
      <w:r>
        <w:rPr>
          <w:rFonts w:ascii="Book Antiqua" w:hAnsi="Book Antiqua"/>
          <w:i/>
          <w:sz w:val="18"/>
          <w:szCs w:val="18"/>
        </w:rPr>
        <w:t xml:space="preserve">supra </w:t>
      </w:r>
      <w:r>
        <w:rPr>
          <w:rFonts w:ascii="Book Antiqua" w:hAnsi="Book Antiqua"/>
          <w:sz w:val="18"/>
          <w:szCs w:val="18"/>
        </w:rPr>
        <w:t>note 100.</w:t>
      </w:r>
    </w:p>
    <w:p w14:paraId="1677AFE7" w14:textId="296BBD97" w:rsidR="00CE5BA2" w:rsidRPr="00F603FC" w:rsidRDefault="00CE5BA2">
      <w:pPr>
        <w:pStyle w:val="FootnoteText"/>
        <w:rPr>
          <w:rFonts w:ascii="Book Antiqua" w:hAnsi="Book Antiqua"/>
          <w:sz w:val="18"/>
          <w:szCs w:val="18"/>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B9B"/>
    <w:multiLevelType w:val="hybridMultilevel"/>
    <w:tmpl w:val="09100EA0"/>
    <w:lvl w:ilvl="0" w:tplc="F4AC1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63FB6"/>
    <w:multiLevelType w:val="hybridMultilevel"/>
    <w:tmpl w:val="77D6CB8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B8D"/>
    <w:multiLevelType w:val="hybridMultilevel"/>
    <w:tmpl w:val="FE7A1D4C"/>
    <w:lvl w:ilvl="0" w:tplc="88DE2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A2DC7"/>
    <w:multiLevelType w:val="hybridMultilevel"/>
    <w:tmpl w:val="5A9C8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36CF6"/>
    <w:multiLevelType w:val="hybridMultilevel"/>
    <w:tmpl w:val="0C72D7C6"/>
    <w:lvl w:ilvl="0" w:tplc="D3503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E3B"/>
    <w:multiLevelType w:val="hybridMultilevel"/>
    <w:tmpl w:val="09100EA0"/>
    <w:lvl w:ilvl="0" w:tplc="F4AC17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38B7"/>
    <w:multiLevelType w:val="hybridMultilevel"/>
    <w:tmpl w:val="F824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01AD"/>
    <w:multiLevelType w:val="hybridMultilevel"/>
    <w:tmpl w:val="F9A24D4C"/>
    <w:lvl w:ilvl="0" w:tplc="44CCB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55B98"/>
    <w:multiLevelType w:val="hybridMultilevel"/>
    <w:tmpl w:val="5C246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A3573"/>
    <w:multiLevelType w:val="hybridMultilevel"/>
    <w:tmpl w:val="E454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0C44"/>
    <w:multiLevelType w:val="hybridMultilevel"/>
    <w:tmpl w:val="4B6E4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3EBC"/>
    <w:multiLevelType w:val="hybridMultilevel"/>
    <w:tmpl w:val="B238A7B6"/>
    <w:lvl w:ilvl="0" w:tplc="8E9A2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A85A41"/>
    <w:multiLevelType w:val="hybridMultilevel"/>
    <w:tmpl w:val="0B2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34253"/>
    <w:multiLevelType w:val="hybridMultilevel"/>
    <w:tmpl w:val="74FC862E"/>
    <w:lvl w:ilvl="0" w:tplc="D2E08E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6007F"/>
    <w:multiLevelType w:val="hybridMultilevel"/>
    <w:tmpl w:val="67CC67C0"/>
    <w:lvl w:ilvl="0" w:tplc="BA1443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166E4"/>
    <w:multiLevelType w:val="hybridMultilevel"/>
    <w:tmpl w:val="BCE8B6BE"/>
    <w:lvl w:ilvl="0" w:tplc="7AF0AC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27EF8"/>
    <w:multiLevelType w:val="hybridMultilevel"/>
    <w:tmpl w:val="7368C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75928"/>
    <w:multiLevelType w:val="hybridMultilevel"/>
    <w:tmpl w:val="79808BBA"/>
    <w:lvl w:ilvl="0" w:tplc="F162D5C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261AE"/>
    <w:multiLevelType w:val="hybridMultilevel"/>
    <w:tmpl w:val="A686028E"/>
    <w:lvl w:ilvl="0" w:tplc="8E7CC8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A3595"/>
    <w:multiLevelType w:val="hybridMultilevel"/>
    <w:tmpl w:val="FE7A1D4C"/>
    <w:lvl w:ilvl="0" w:tplc="88DE2D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57F85"/>
    <w:multiLevelType w:val="hybridMultilevel"/>
    <w:tmpl w:val="B19E6984"/>
    <w:lvl w:ilvl="0" w:tplc="BCF47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9"/>
  </w:num>
  <w:num w:numId="5">
    <w:abstractNumId w:val="16"/>
  </w:num>
  <w:num w:numId="6">
    <w:abstractNumId w:val="6"/>
  </w:num>
  <w:num w:numId="7">
    <w:abstractNumId w:val="12"/>
  </w:num>
  <w:num w:numId="8">
    <w:abstractNumId w:val="17"/>
  </w:num>
  <w:num w:numId="9">
    <w:abstractNumId w:val="7"/>
  </w:num>
  <w:num w:numId="10">
    <w:abstractNumId w:val="15"/>
  </w:num>
  <w:num w:numId="11">
    <w:abstractNumId w:val="18"/>
  </w:num>
  <w:num w:numId="12">
    <w:abstractNumId w:val="5"/>
  </w:num>
  <w:num w:numId="13">
    <w:abstractNumId w:val="13"/>
  </w:num>
  <w:num w:numId="14">
    <w:abstractNumId w:val="4"/>
  </w:num>
  <w:num w:numId="15">
    <w:abstractNumId w:val="20"/>
  </w:num>
  <w:num w:numId="16">
    <w:abstractNumId w:val="14"/>
  </w:num>
  <w:num w:numId="17">
    <w:abstractNumId w:val="1"/>
  </w:num>
  <w:num w:numId="18">
    <w:abstractNumId w:val="10"/>
  </w:num>
  <w:num w:numId="19">
    <w:abstractNumId w:val="0"/>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10"/>
    <w:rsid w:val="00002569"/>
    <w:rsid w:val="00002FC2"/>
    <w:rsid w:val="000031CB"/>
    <w:rsid w:val="0000483B"/>
    <w:rsid w:val="000065E8"/>
    <w:rsid w:val="00006D2A"/>
    <w:rsid w:val="00010113"/>
    <w:rsid w:val="00010222"/>
    <w:rsid w:val="000103FE"/>
    <w:rsid w:val="00012F75"/>
    <w:rsid w:val="00013603"/>
    <w:rsid w:val="00013969"/>
    <w:rsid w:val="000139BA"/>
    <w:rsid w:val="000145C7"/>
    <w:rsid w:val="00014BD9"/>
    <w:rsid w:val="00015C04"/>
    <w:rsid w:val="00017F81"/>
    <w:rsid w:val="00021BAF"/>
    <w:rsid w:val="000232D6"/>
    <w:rsid w:val="0002333F"/>
    <w:rsid w:val="00024A31"/>
    <w:rsid w:val="00024F1E"/>
    <w:rsid w:val="00024FC1"/>
    <w:rsid w:val="000254B1"/>
    <w:rsid w:val="00025974"/>
    <w:rsid w:val="0002658D"/>
    <w:rsid w:val="00030A3C"/>
    <w:rsid w:val="0003158D"/>
    <w:rsid w:val="00032168"/>
    <w:rsid w:val="00033508"/>
    <w:rsid w:val="00033539"/>
    <w:rsid w:val="00035BE3"/>
    <w:rsid w:val="00037ECF"/>
    <w:rsid w:val="00041208"/>
    <w:rsid w:val="000416AA"/>
    <w:rsid w:val="0004722D"/>
    <w:rsid w:val="00050975"/>
    <w:rsid w:val="00051EAD"/>
    <w:rsid w:val="000521C7"/>
    <w:rsid w:val="000540BF"/>
    <w:rsid w:val="000542D5"/>
    <w:rsid w:val="0005531C"/>
    <w:rsid w:val="0005606C"/>
    <w:rsid w:val="00056092"/>
    <w:rsid w:val="00056B3F"/>
    <w:rsid w:val="00057A4E"/>
    <w:rsid w:val="00060A8B"/>
    <w:rsid w:val="00061806"/>
    <w:rsid w:val="000622A2"/>
    <w:rsid w:val="0006234B"/>
    <w:rsid w:val="000625D4"/>
    <w:rsid w:val="00062C50"/>
    <w:rsid w:val="00062D05"/>
    <w:rsid w:val="00064174"/>
    <w:rsid w:val="0006485A"/>
    <w:rsid w:val="00065FA3"/>
    <w:rsid w:val="0006682B"/>
    <w:rsid w:val="00067748"/>
    <w:rsid w:val="00067E70"/>
    <w:rsid w:val="000705E3"/>
    <w:rsid w:val="00070748"/>
    <w:rsid w:val="000719DF"/>
    <w:rsid w:val="00072FCE"/>
    <w:rsid w:val="00073DE8"/>
    <w:rsid w:val="00074F08"/>
    <w:rsid w:val="000762EA"/>
    <w:rsid w:val="00076D69"/>
    <w:rsid w:val="000807C3"/>
    <w:rsid w:val="000808A7"/>
    <w:rsid w:val="00081164"/>
    <w:rsid w:val="000822E7"/>
    <w:rsid w:val="0008318C"/>
    <w:rsid w:val="00083341"/>
    <w:rsid w:val="00083F72"/>
    <w:rsid w:val="00084342"/>
    <w:rsid w:val="000900C8"/>
    <w:rsid w:val="00090166"/>
    <w:rsid w:val="00091C86"/>
    <w:rsid w:val="00092FE9"/>
    <w:rsid w:val="00093C25"/>
    <w:rsid w:val="000965BD"/>
    <w:rsid w:val="00096E39"/>
    <w:rsid w:val="00096FB0"/>
    <w:rsid w:val="00097D61"/>
    <w:rsid w:val="000A13FD"/>
    <w:rsid w:val="000A1C83"/>
    <w:rsid w:val="000A24B5"/>
    <w:rsid w:val="000A5465"/>
    <w:rsid w:val="000A5740"/>
    <w:rsid w:val="000A58CF"/>
    <w:rsid w:val="000A6CC6"/>
    <w:rsid w:val="000A7382"/>
    <w:rsid w:val="000B13D1"/>
    <w:rsid w:val="000B1618"/>
    <w:rsid w:val="000B2109"/>
    <w:rsid w:val="000B239E"/>
    <w:rsid w:val="000B344F"/>
    <w:rsid w:val="000B359A"/>
    <w:rsid w:val="000B3D22"/>
    <w:rsid w:val="000B3D31"/>
    <w:rsid w:val="000B432A"/>
    <w:rsid w:val="000B64B0"/>
    <w:rsid w:val="000B77B1"/>
    <w:rsid w:val="000C0227"/>
    <w:rsid w:val="000C0525"/>
    <w:rsid w:val="000C08FE"/>
    <w:rsid w:val="000C099D"/>
    <w:rsid w:val="000C1BF8"/>
    <w:rsid w:val="000C2A1C"/>
    <w:rsid w:val="000C3F89"/>
    <w:rsid w:val="000C42AF"/>
    <w:rsid w:val="000C61F0"/>
    <w:rsid w:val="000C6730"/>
    <w:rsid w:val="000C76E6"/>
    <w:rsid w:val="000C782E"/>
    <w:rsid w:val="000D146A"/>
    <w:rsid w:val="000D1961"/>
    <w:rsid w:val="000D2D43"/>
    <w:rsid w:val="000D492A"/>
    <w:rsid w:val="000D52B3"/>
    <w:rsid w:val="000D7597"/>
    <w:rsid w:val="000D760A"/>
    <w:rsid w:val="000E118C"/>
    <w:rsid w:val="000E22C4"/>
    <w:rsid w:val="000E249E"/>
    <w:rsid w:val="000E2FEE"/>
    <w:rsid w:val="000E3EE3"/>
    <w:rsid w:val="000E402B"/>
    <w:rsid w:val="000E78D1"/>
    <w:rsid w:val="000E79E8"/>
    <w:rsid w:val="000E7BC7"/>
    <w:rsid w:val="000E7C76"/>
    <w:rsid w:val="000F1992"/>
    <w:rsid w:val="000F32C7"/>
    <w:rsid w:val="000F457B"/>
    <w:rsid w:val="000F5642"/>
    <w:rsid w:val="000F6181"/>
    <w:rsid w:val="000F62BA"/>
    <w:rsid w:val="000F7A34"/>
    <w:rsid w:val="001000A3"/>
    <w:rsid w:val="0010037B"/>
    <w:rsid w:val="00101EB9"/>
    <w:rsid w:val="00106CF2"/>
    <w:rsid w:val="00111F02"/>
    <w:rsid w:val="00115043"/>
    <w:rsid w:val="0011766A"/>
    <w:rsid w:val="001179E7"/>
    <w:rsid w:val="00117A59"/>
    <w:rsid w:val="001214CB"/>
    <w:rsid w:val="00121BA7"/>
    <w:rsid w:val="0012238C"/>
    <w:rsid w:val="00122C75"/>
    <w:rsid w:val="00123252"/>
    <w:rsid w:val="001242C6"/>
    <w:rsid w:val="00124987"/>
    <w:rsid w:val="00124E53"/>
    <w:rsid w:val="00124F49"/>
    <w:rsid w:val="001255DB"/>
    <w:rsid w:val="00127219"/>
    <w:rsid w:val="00127308"/>
    <w:rsid w:val="001275B7"/>
    <w:rsid w:val="00127B01"/>
    <w:rsid w:val="00130393"/>
    <w:rsid w:val="001313A4"/>
    <w:rsid w:val="001317B1"/>
    <w:rsid w:val="0013208D"/>
    <w:rsid w:val="00132BDA"/>
    <w:rsid w:val="001342BA"/>
    <w:rsid w:val="0013443B"/>
    <w:rsid w:val="00136471"/>
    <w:rsid w:val="00137438"/>
    <w:rsid w:val="001400B2"/>
    <w:rsid w:val="00140EFB"/>
    <w:rsid w:val="001421A8"/>
    <w:rsid w:val="00143636"/>
    <w:rsid w:val="00144F4B"/>
    <w:rsid w:val="00146815"/>
    <w:rsid w:val="00146D6A"/>
    <w:rsid w:val="00147D01"/>
    <w:rsid w:val="001505C4"/>
    <w:rsid w:val="00150866"/>
    <w:rsid w:val="00150F6E"/>
    <w:rsid w:val="00151606"/>
    <w:rsid w:val="001520B2"/>
    <w:rsid w:val="0015390B"/>
    <w:rsid w:val="00153F46"/>
    <w:rsid w:val="00154D22"/>
    <w:rsid w:val="001554B0"/>
    <w:rsid w:val="00160917"/>
    <w:rsid w:val="001612A0"/>
    <w:rsid w:val="00162A4C"/>
    <w:rsid w:val="001645F3"/>
    <w:rsid w:val="001673EC"/>
    <w:rsid w:val="001678C2"/>
    <w:rsid w:val="00170630"/>
    <w:rsid w:val="0017083F"/>
    <w:rsid w:val="00170A76"/>
    <w:rsid w:val="00171E18"/>
    <w:rsid w:val="00172088"/>
    <w:rsid w:val="001729C9"/>
    <w:rsid w:val="00173680"/>
    <w:rsid w:val="0017530A"/>
    <w:rsid w:val="001763F3"/>
    <w:rsid w:val="00180A37"/>
    <w:rsid w:val="00182258"/>
    <w:rsid w:val="001839F9"/>
    <w:rsid w:val="00185355"/>
    <w:rsid w:val="001856D8"/>
    <w:rsid w:val="0018588A"/>
    <w:rsid w:val="0018634C"/>
    <w:rsid w:val="00186929"/>
    <w:rsid w:val="00190735"/>
    <w:rsid w:val="00190C7E"/>
    <w:rsid w:val="00193E53"/>
    <w:rsid w:val="00193F83"/>
    <w:rsid w:val="001950E7"/>
    <w:rsid w:val="00195F17"/>
    <w:rsid w:val="0019635B"/>
    <w:rsid w:val="00197FCA"/>
    <w:rsid w:val="001A0148"/>
    <w:rsid w:val="001A0A1E"/>
    <w:rsid w:val="001A0B2A"/>
    <w:rsid w:val="001A0B72"/>
    <w:rsid w:val="001A0E0F"/>
    <w:rsid w:val="001A1040"/>
    <w:rsid w:val="001A10E1"/>
    <w:rsid w:val="001A26D8"/>
    <w:rsid w:val="001A3A54"/>
    <w:rsid w:val="001A425A"/>
    <w:rsid w:val="001A5BF0"/>
    <w:rsid w:val="001A6A15"/>
    <w:rsid w:val="001A7A89"/>
    <w:rsid w:val="001A7EE7"/>
    <w:rsid w:val="001B0BE0"/>
    <w:rsid w:val="001B0DAB"/>
    <w:rsid w:val="001B1082"/>
    <w:rsid w:val="001B14CB"/>
    <w:rsid w:val="001B276B"/>
    <w:rsid w:val="001B287C"/>
    <w:rsid w:val="001B3D83"/>
    <w:rsid w:val="001C0444"/>
    <w:rsid w:val="001C101C"/>
    <w:rsid w:val="001C16CC"/>
    <w:rsid w:val="001C3A67"/>
    <w:rsid w:val="001C62CC"/>
    <w:rsid w:val="001C783F"/>
    <w:rsid w:val="001D0052"/>
    <w:rsid w:val="001D2AA1"/>
    <w:rsid w:val="001D300A"/>
    <w:rsid w:val="001D6885"/>
    <w:rsid w:val="001E013F"/>
    <w:rsid w:val="001E0179"/>
    <w:rsid w:val="001E0EBF"/>
    <w:rsid w:val="001E44A0"/>
    <w:rsid w:val="001E4629"/>
    <w:rsid w:val="001E4A62"/>
    <w:rsid w:val="001F249E"/>
    <w:rsid w:val="001F6441"/>
    <w:rsid w:val="001F64B8"/>
    <w:rsid w:val="001F6D8E"/>
    <w:rsid w:val="0020320D"/>
    <w:rsid w:val="002034BF"/>
    <w:rsid w:val="0020392A"/>
    <w:rsid w:val="00203A7C"/>
    <w:rsid w:val="00203E2E"/>
    <w:rsid w:val="00205D69"/>
    <w:rsid w:val="0020656D"/>
    <w:rsid w:val="00207CF0"/>
    <w:rsid w:val="00210187"/>
    <w:rsid w:val="00210365"/>
    <w:rsid w:val="0021040A"/>
    <w:rsid w:val="002133D5"/>
    <w:rsid w:val="00213DFD"/>
    <w:rsid w:val="002147CA"/>
    <w:rsid w:val="00215A43"/>
    <w:rsid w:val="00217867"/>
    <w:rsid w:val="00222C18"/>
    <w:rsid w:val="0022337E"/>
    <w:rsid w:val="002259EC"/>
    <w:rsid w:val="00226DBD"/>
    <w:rsid w:val="0023012C"/>
    <w:rsid w:val="0023049C"/>
    <w:rsid w:val="00230DC3"/>
    <w:rsid w:val="00232977"/>
    <w:rsid w:val="00233697"/>
    <w:rsid w:val="002338FB"/>
    <w:rsid w:val="002359E1"/>
    <w:rsid w:val="00237280"/>
    <w:rsid w:val="0023770F"/>
    <w:rsid w:val="00237798"/>
    <w:rsid w:val="00237BCA"/>
    <w:rsid w:val="00240202"/>
    <w:rsid w:val="00240FC2"/>
    <w:rsid w:val="00242ACB"/>
    <w:rsid w:val="0024466C"/>
    <w:rsid w:val="00246A0E"/>
    <w:rsid w:val="002478A0"/>
    <w:rsid w:val="00247B6A"/>
    <w:rsid w:val="00250379"/>
    <w:rsid w:val="002510F4"/>
    <w:rsid w:val="00251C21"/>
    <w:rsid w:val="0025392F"/>
    <w:rsid w:val="00253B32"/>
    <w:rsid w:val="00253E95"/>
    <w:rsid w:val="00256BE0"/>
    <w:rsid w:val="0025786C"/>
    <w:rsid w:val="002608FE"/>
    <w:rsid w:val="00260901"/>
    <w:rsid w:val="002612A7"/>
    <w:rsid w:val="00262E5C"/>
    <w:rsid w:val="002635C0"/>
    <w:rsid w:val="00264F6E"/>
    <w:rsid w:val="00265E81"/>
    <w:rsid w:val="00266BB6"/>
    <w:rsid w:val="002671B2"/>
    <w:rsid w:val="002673BA"/>
    <w:rsid w:val="00270CDB"/>
    <w:rsid w:val="00272D08"/>
    <w:rsid w:val="00272EFA"/>
    <w:rsid w:val="0027361D"/>
    <w:rsid w:val="00273E02"/>
    <w:rsid w:val="00275516"/>
    <w:rsid w:val="00277684"/>
    <w:rsid w:val="00277F87"/>
    <w:rsid w:val="002809A9"/>
    <w:rsid w:val="00280C57"/>
    <w:rsid w:val="00281824"/>
    <w:rsid w:val="00281908"/>
    <w:rsid w:val="0028217B"/>
    <w:rsid w:val="00282EB6"/>
    <w:rsid w:val="0028458B"/>
    <w:rsid w:val="00285E10"/>
    <w:rsid w:val="00286024"/>
    <w:rsid w:val="00287C1A"/>
    <w:rsid w:val="0029000E"/>
    <w:rsid w:val="00290C87"/>
    <w:rsid w:val="00291EF1"/>
    <w:rsid w:val="002930B3"/>
    <w:rsid w:val="0029345A"/>
    <w:rsid w:val="00293485"/>
    <w:rsid w:val="002963E3"/>
    <w:rsid w:val="00296A83"/>
    <w:rsid w:val="002971E8"/>
    <w:rsid w:val="0029767D"/>
    <w:rsid w:val="002A0743"/>
    <w:rsid w:val="002A0B3F"/>
    <w:rsid w:val="002A1188"/>
    <w:rsid w:val="002A3631"/>
    <w:rsid w:val="002A3B42"/>
    <w:rsid w:val="002A3B79"/>
    <w:rsid w:val="002A3EF0"/>
    <w:rsid w:val="002A5019"/>
    <w:rsid w:val="002A6751"/>
    <w:rsid w:val="002A76E6"/>
    <w:rsid w:val="002B07BF"/>
    <w:rsid w:val="002B1290"/>
    <w:rsid w:val="002B1398"/>
    <w:rsid w:val="002B2900"/>
    <w:rsid w:val="002B2BBE"/>
    <w:rsid w:val="002B401F"/>
    <w:rsid w:val="002B5FF1"/>
    <w:rsid w:val="002B6D2C"/>
    <w:rsid w:val="002B7A80"/>
    <w:rsid w:val="002B7DF7"/>
    <w:rsid w:val="002C2686"/>
    <w:rsid w:val="002C2BDE"/>
    <w:rsid w:val="002C2F7D"/>
    <w:rsid w:val="002C3DA3"/>
    <w:rsid w:val="002C4595"/>
    <w:rsid w:val="002C5A73"/>
    <w:rsid w:val="002D0B54"/>
    <w:rsid w:val="002D18DD"/>
    <w:rsid w:val="002D1FD5"/>
    <w:rsid w:val="002D2B65"/>
    <w:rsid w:val="002D34FB"/>
    <w:rsid w:val="002D560F"/>
    <w:rsid w:val="002D567E"/>
    <w:rsid w:val="002D5A56"/>
    <w:rsid w:val="002D5D3B"/>
    <w:rsid w:val="002D74F9"/>
    <w:rsid w:val="002D7A1A"/>
    <w:rsid w:val="002E3850"/>
    <w:rsid w:val="002E396F"/>
    <w:rsid w:val="002E3D8B"/>
    <w:rsid w:val="002E40DC"/>
    <w:rsid w:val="002E442A"/>
    <w:rsid w:val="002E568A"/>
    <w:rsid w:val="002E5F1D"/>
    <w:rsid w:val="002F0A2F"/>
    <w:rsid w:val="002F0CE5"/>
    <w:rsid w:val="002F0FF0"/>
    <w:rsid w:val="002F3228"/>
    <w:rsid w:val="002F370B"/>
    <w:rsid w:val="002F4184"/>
    <w:rsid w:val="002F53B8"/>
    <w:rsid w:val="002F55D0"/>
    <w:rsid w:val="002F5BB7"/>
    <w:rsid w:val="002F64AC"/>
    <w:rsid w:val="00300270"/>
    <w:rsid w:val="00301A5A"/>
    <w:rsid w:val="00301CAC"/>
    <w:rsid w:val="003023A9"/>
    <w:rsid w:val="003025B9"/>
    <w:rsid w:val="00310D4D"/>
    <w:rsid w:val="003112D2"/>
    <w:rsid w:val="00312245"/>
    <w:rsid w:val="0031383E"/>
    <w:rsid w:val="00313B3D"/>
    <w:rsid w:val="00316D71"/>
    <w:rsid w:val="00316FB2"/>
    <w:rsid w:val="00320B7E"/>
    <w:rsid w:val="00321A75"/>
    <w:rsid w:val="00323F24"/>
    <w:rsid w:val="003268BE"/>
    <w:rsid w:val="00331D39"/>
    <w:rsid w:val="0033248B"/>
    <w:rsid w:val="00332D64"/>
    <w:rsid w:val="00333411"/>
    <w:rsid w:val="0033369E"/>
    <w:rsid w:val="00333BAA"/>
    <w:rsid w:val="00334167"/>
    <w:rsid w:val="00335DFC"/>
    <w:rsid w:val="00335E48"/>
    <w:rsid w:val="003362DA"/>
    <w:rsid w:val="00337694"/>
    <w:rsid w:val="00342029"/>
    <w:rsid w:val="003420B7"/>
    <w:rsid w:val="00342331"/>
    <w:rsid w:val="003426C5"/>
    <w:rsid w:val="003471A6"/>
    <w:rsid w:val="00347E16"/>
    <w:rsid w:val="00350266"/>
    <w:rsid w:val="00350ADD"/>
    <w:rsid w:val="003527C1"/>
    <w:rsid w:val="00357BC7"/>
    <w:rsid w:val="0036010C"/>
    <w:rsid w:val="00360194"/>
    <w:rsid w:val="00361D46"/>
    <w:rsid w:val="00363BED"/>
    <w:rsid w:val="00363E1A"/>
    <w:rsid w:val="003646DE"/>
    <w:rsid w:val="00365545"/>
    <w:rsid w:val="003657A1"/>
    <w:rsid w:val="003706D3"/>
    <w:rsid w:val="00371D51"/>
    <w:rsid w:val="00371E90"/>
    <w:rsid w:val="003725A7"/>
    <w:rsid w:val="003744ED"/>
    <w:rsid w:val="00375DB4"/>
    <w:rsid w:val="0037652C"/>
    <w:rsid w:val="00380444"/>
    <w:rsid w:val="003821B9"/>
    <w:rsid w:val="00382F4C"/>
    <w:rsid w:val="003832C6"/>
    <w:rsid w:val="0038344B"/>
    <w:rsid w:val="003852F9"/>
    <w:rsid w:val="00387AFC"/>
    <w:rsid w:val="00390912"/>
    <w:rsid w:val="003927B2"/>
    <w:rsid w:val="00392B2C"/>
    <w:rsid w:val="00393434"/>
    <w:rsid w:val="00394071"/>
    <w:rsid w:val="00395C03"/>
    <w:rsid w:val="0039678B"/>
    <w:rsid w:val="00397047"/>
    <w:rsid w:val="003A0670"/>
    <w:rsid w:val="003A0AB0"/>
    <w:rsid w:val="003A1852"/>
    <w:rsid w:val="003A24C3"/>
    <w:rsid w:val="003A2DDA"/>
    <w:rsid w:val="003A4DF1"/>
    <w:rsid w:val="003A600E"/>
    <w:rsid w:val="003A6254"/>
    <w:rsid w:val="003A63AE"/>
    <w:rsid w:val="003A759A"/>
    <w:rsid w:val="003A7B3F"/>
    <w:rsid w:val="003B0E8F"/>
    <w:rsid w:val="003B2346"/>
    <w:rsid w:val="003B2957"/>
    <w:rsid w:val="003B4CD0"/>
    <w:rsid w:val="003B4FBA"/>
    <w:rsid w:val="003B60FE"/>
    <w:rsid w:val="003B66A5"/>
    <w:rsid w:val="003B72A7"/>
    <w:rsid w:val="003B756E"/>
    <w:rsid w:val="003C015B"/>
    <w:rsid w:val="003C13A8"/>
    <w:rsid w:val="003C224C"/>
    <w:rsid w:val="003C2AEB"/>
    <w:rsid w:val="003C32D2"/>
    <w:rsid w:val="003C48C2"/>
    <w:rsid w:val="003C62CD"/>
    <w:rsid w:val="003C79A2"/>
    <w:rsid w:val="003D0724"/>
    <w:rsid w:val="003D094B"/>
    <w:rsid w:val="003D160E"/>
    <w:rsid w:val="003D21CA"/>
    <w:rsid w:val="003D26AA"/>
    <w:rsid w:val="003D2E8E"/>
    <w:rsid w:val="003D3A5A"/>
    <w:rsid w:val="003D3FD4"/>
    <w:rsid w:val="003D6D17"/>
    <w:rsid w:val="003E0CBE"/>
    <w:rsid w:val="003E190A"/>
    <w:rsid w:val="003E1EBF"/>
    <w:rsid w:val="003E264E"/>
    <w:rsid w:val="003E3B84"/>
    <w:rsid w:val="003E755C"/>
    <w:rsid w:val="003E7950"/>
    <w:rsid w:val="003F01C9"/>
    <w:rsid w:val="003F026A"/>
    <w:rsid w:val="003F0FD9"/>
    <w:rsid w:val="003F11FF"/>
    <w:rsid w:val="003F1898"/>
    <w:rsid w:val="003F1DC3"/>
    <w:rsid w:val="003F22F7"/>
    <w:rsid w:val="003F2D22"/>
    <w:rsid w:val="003F328E"/>
    <w:rsid w:val="003F34EE"/>
    <w:rsid w:val="003F36D1"/>
    <w:rsid w:val="003F393F"/>
    <w:rsid w:val="003F5C83"/>
    <w:rsid w:val="003F737F"/>
    <w:rsid w:val="003F754B"/>
    <w:rsid w:val="00400765"/>
    <w:rsid w:val="00402C34"/>
    <w:rsid w:val="00402F43"/>
    <w:rsid w:val="00403F48"/>
    <w:rsid w:val="00405D85"/>
    <w:rsid w:val="00410B1D"/>
    <w:rsid w:val="0041135F"/>
    <w:rsid w:val="004135C6"/>
    <w:rsid w:val="004138C1"/>
    <w:rsid w:val="00416EAE"/>
    <w:rsid w:val="00417760"/>
    <w:rsid w:val="004178DB"/>
    <w:rsid w:val="004208F2"/>
    <w:rsid w:val="004209DF"/>
    <w:rsid w:val="004221F7"/>
    <w:rsid w:val="00423626"/>
    <w:rsid w:val="0042394B"/>
    <w:rsid w:val="00425CBA"/>
    <w:rsid w:val="00427EA0"/>
    <w:rsid w:val="00432F87"/>
    <w:rsid w:val="0043316A"/>
    <w:rsid w:val="00434018"/>
    <w:rsid w:val="00434771"/>
    <w:rsid w:val="0043497D"/>
    <w:rsid w:val="00435E88"/>
    <w:rsid w:val="004362E5"/>
    <w:rsid w:val="00436E96"/>
    <w:rsid w:val="00437F3D"/>
    <w:rsid w:val="00441267"/>
    <w:rsid w:val="00441AA5"/>
    <w:rsid w:val="00442001"/>
    <w:rsid w:val="00442BAD"/>
    <w:rsid w:val="00443723"/>
    <w:rsid w:val="00443C65"/>
    <w:rsid w:val="00444F4F"/>
    <w:rsid w:val="0044708A"/>
    <w:rsid w:val="0044741F"/>
    <w:rsid w:val="00450054"/>
    <w:rsid w:val="004503E1"/>
    <w:rsid w:val="004506E5"/>
    <w:rsid w:val="00450A8D"/>
    <w:rsid w:val="004511ED"/>
    <w:rsid w:val="00452C11"/>
    <w:rsid w:val="00454463"/>
    <w:rsid w:val="00455B6E"/>
    <w:rsid w:val="00456273"/>
    <w:rsid w:val="00457C65"/>
    <w:rsid w:val="00464750"/>
    <w:rsid w:val="0046574F"/>
    <w:rsid w:val="00467ECA"/>
    <w:rsid w:val="00470747"/>
    <w:rsid w:val="00471092"/>
    <w:rsid w:val="00471667"/>
    <w:rsid w:val="004725E1"/>
    <w:rsid w:val="00473C17"/>
    <w:rsid w:val="00476EEB"/>
    <w:rsid w:val="00477540"/>
    <w:rsid w:val="0047797A"/>
    <w:rsid w:val="00477EC9"/>
    <w:rsid w:val="004812E7"/>
    <w:rsid w:val="00481785"/>
    <w:rsid w:val="00484390"/>
    <w:rsid w:val="00484742"/>
    <w:rsid w:val="00485F32"/>
    <w:rsid w:val="00486FE0"/>
    <w:rsid w:val="00487B6A"/>
    <w:rsid w:val="004922E9"/>
    <w:rsid w:val="0049300B"/>
    <w:rsid w:val="004930FD"/>
    <w:rsid w:val="00493A0B"/>
    <w:rsid w:val="00493CAE"/>
    <w:rsid w:val="00495F7B"/>
    <w:rsid w:val="00496C52"/>
    <w:rsid w:val="004970E0"/>
    <w:rsid w:val="00497FE6"/>
    <w:rsid w:val="004A12D4"/>
    <w:rsid w:val="004A1736"/>
    <w:rsid w:val="004A1A30"/>
    <w:rsid w:val="004A6344"/>
    <w:rsid w:val="004A6CE7"/>
    <w:rsid w:val="004A7640"/>
    <w:rsid w:val="004A7D00"/>
    <w:rsid w:val="004B16AF"/>
    <w:rsid w:val="004B2726"/>
    <w:rsid w:val="004B4330"/>
    <w:rsid w:val="004B477B"/>
    <w:rsid w:val="004B7066"/>
    <w:rsid w:val="004B7BC2"/>
    <w:rsid w:val="004C0165"/>
    <w:rsid w:val="004C0FBD"/>
    <w:rsid w:val="004C1B7A"/>
    <w:rsid w:val="004C1F05"/>
    <w:rsid w:val="004C3072"/>
    <w:rsid w:val="004C3548"/>
    <w:rsid w:val="004C3952"/>
    <w:rsid w:val="004C4426"/>
    <w:rsid w:val="004C47AF"/>
    <w:rsid w:val="004C5DFF"/>
    <w:rsid w:val="004C6FE8"/>
    <w:rsid w:val="004C743D"/>
    <w:rsid w:val="004C7987"/>
    <w:rsid w:val="004D099C"/>
    <w:rsid w:val="004D11C0"/>
    <w:rsid w:val="004D14DB"/>
    <w:rsid w:val="004D49AD"/>
    <w:rsid w:val="004D5D61"/>
    <w:rsid w:val="004D5FC8"/>
    <w:rsid w:val="004D6287"/>
    <w:rsid w:val="004D7B6C"/>
    <w:rsid w:val="004D7EBF"/>
    <w:rsid w:val="004E09F1"/>
    <w:rsid w:val="004E0FB2"/>
    <w:rsid w:val="004E2A71"/>
    <w:rsid w:val="004E7C09"/>
    <w:rsid w:val="004E7F3E"/>
    <w:rsid w:val="004F0D22"/>
    <w:rsid w:val="004F2123"/>
    <w:rsid w:val="004F23EF"/>
    <w:rsid w:val="004F2428"/>
    <w:rsid w:val="004F368D"/>
    <w:rsid w:val="004F3A73"/>
    <w:rsid w:val="004F512F"/>
    <w:rsid w:val="004F52DD"/>
    <w:rsid w:val="004F63B1"/>
    <w:rsid w:val="004F6A31"/>
    <w:rsid w:val="00501DD3"/>
    <w:rsid w:val="00502062"/>
    <w:rsid w:val="005023E3"/>
    <w:rsid w:val="00502429"/>
    <w:rsid w:val="005024AB"/>
    <w:rsid w:val="00503484"/>
    <w:rsid w:val="005040FA"/>
    <w:rsid w:val="00504644"/>
    <w:rsid w:val="00505767"/>
    <w:rsid w:val="005058A3"/>
    <w:rsid w:val="005059A1"/>
    <w:rsid w:val="00506524"/>
    <w:rsid w:val="0050665D"/>
    <w:rsid w:val="00506678"/>
    <w:rsid w:val="005066E9"/>
    <w:rsid w:val="0050756D"/>
    <w:rsid w:val="00510C9B"/>
    <w:rsid w:val="00511AE8"/>
    <w:rsid w:val="005132C4"/>
    <w:rsid w:val="00515D16"/>
    <w:rsid w:val="005172BD"/>
    <w:rsid w:val="005201EA"/>
    <w:rsid w:val="005203EF"/>
    <w:rsid w:val="00521513"/>
    <w:rsid w:val="00521A4F"/>
    <w:rsid w:val="00523146"/>
    <w:rsid w:val="005234D9"/>
    <w:rsid w:val="005237E0"/>
    <w:rsid w:val="00525FF9"/>
    <w:rsid w:val="005276F9"/>
    <w:rsid w:val="00533093"/>
    <w:rsid w:val="00534826"/>
    <w:rsid w:val="005353A1"/>
    <w:rsid w:val="005356CE"/>
    <w:rsid w:val="00536AC6"/>
    <w:rsid w:val="00537B79"/>
    <w:rsid w:val="00540C9B"/>
    <w:rsid w:val="00541763"/>
    <w:rsid w:val="0054182E"/>
    <w:rsid w:val="00541F81"/>
    <w:rsid w:val="00542C76"/>
    <w:rsid w:val="00542CB3"/>
    <w:rsid w:val="00542F9B"/>
    <w:rsid w:val="00546AFE"/>
    <w:rsid w:val="00551087"/>
    <w:rsid w:val="00551292"/>
    <w:rsid w:val="00551798"/>
    <w:rsid w:val="00551CDA"/>
    <w:rsid w:val="00552134"/>
    <w:rsid w:val="0055217F"/>
    <w:rsid w:val="005539BC"/>
    <w:rsid w:val="005539D4"/>
    <w:rsid w:val="00553F97"/>
    <w:rsid w:val="00554A77"/>
    <w:rsid w:val="00554AAE"/>
    <w:rsid w:val="00560D44"/>
    <w:rsid w:val="00562AA4"/>
    <w:rsid w:val="005634F9"/>
    <w:rsid w:val="00563DDC"/>
    <w:rsid w:val="00564FAB"/>
    <w:rsid w:val="00567800"/>
    <w:rsid w:val="00571FA7"/>
    <w:rsid w:val="005721BC"/>
    <w:rsid w:val="00572B2A"/>
    <w:rsid w:val="0057382C"/>
    <w:rsid w:val="0057384D"/>
    <w:rsid w:val="00575807"/>
    <w:rsid w:val="00575BD4"/>
    <w:rsid w:val="005761F6"/>
    <w:rsid w:val="00576B68"/>
    <w:rsid w:val="00576C7A"/>
    <w:rsid w:val="00577B94"/>
    <w:rsid w:val="00577F60"/>
    <w:rsid w:val="005801AB"/>
    <w:rsid w:val="00580BFA"/>
    <w:rsid w:val="005821AB"/>
    <w:rsid w:val="00582AC9"/>
    <w:rsid w:val="00583323"/>
    <w:rsid w:val="00584CF2"/>
    <w:rsid w:val="00584FC0"/>
    <w:rsid w:val="0058549A"/>
    <w:rsid w:val="00586E01"/>
    <w:rsid w:val="0058729A"/>
    <w:rsid w:val="0059086B"/>
    <w:rsid w:val="00590939"/>
    <w:rsid w:val="005932CC"/>
    <w:rsid w:val="00593EF2"/>
    <w:rsid w:val="00594489"/>
    <w:rsid w:val="00594E27"/>
    <w:rsid w:val="00596179"/>
    <w:rsid w:val="0059676F"/>
    <w:rsid w:val="00596F12"/>
    <w:rsid w:val="005972C8"/>
    <w:rsid w:val="00597792"/>
    <w:rsid w:val="00597B76"/>
    <w:rsid w:val="00597B93"/>
    <w:rsid w:val="005A01A4"/>
    <w:rsid w:val="005A0444"/>
    <w:rsid w:val="005A0597"/>
    <w:rsid w:val="005A093A"/>
    <w:rsid w:val="005A0E57"/>
    <w:rsid w:val="005A10F8"/>
    <w:rsid w:val="005A14C1"/>
    <w:rsid w:val="005A1DC0"/>
    <w:rsid w:val="005A353D"/>
    <w:rsid w:val="005A4632"/>
    <w:rsid w:val="005A4DC1"/>
    <w:rsid w:val="005A4FE2"/>
    <w:rsid w:val="005A5D4E"/>
    <w:rsid w:val="005A7CE1"/>
    <w:rsid w:val="005B081F"/>
    <w:rsid w:val="005B17FE"/>
    <w:rsid w:val="005B42A3"/>
    <w:rsid w:val="005B440F"/>
    <w:rsid w:val="005B4DF3"/>
    <w:rsid w:val="005B50AD"/>
    <w:rsid w:val="005C0014"/>
    <w:rsid w:val="005C063B"/>
    <w:rsid w:val="005C0B2B"/>
    <w:rsid w:val="005C1B8A"/>
    <w:rsid w:val="005C1BD0"/>
    <w:rsid w:val="005C1CD2"/>
    <w:rsid w:val="005C2126"/>
    <w:rsid w:val="005C33A4"/>
    <w:rsid w:val="005C3B50"/>
    <w:rsid w:val="005C4260"/>
    <w:rsid w:val="005C4B8E"/>
    <w:rsid w:val="005C578E"/>
    <w:rsid w:val="005C5DD2"/>
    <w:rsid w:val="005C6371"/>
    <w:rsid w:val="005C7559"/>
    <w:rsid w:val="005D003B"/>
    <w:rsid w:val="005D0A52"/>
    <w:rsid w:val="005D249C"/>
    <w:rsid w:val="005D39D4"/>
    <w:rsid w:val="005D3BF0"/>
    <w:rsid w:val="005D428F"/>
    <w:rsid w:val="005D53F1"/>
    <w:rsid w:val="005D5BBA"/>
    <w:rsid w:val="005D6343"/>
    <w:rsid w:val="005D638B"/>
    <w:rsid w:val="005E183A"/>
    <w:rsid w:val="005E1F9F"/>
    <w:rsid w:val="005E20E2"/>
    <w:rsid w:val="005E4AA7"/>
    <w:rsid w:val="005E4CD4"/>
    <w:rsid w:val="005E4D65"/>
    <w:rsid w:val="005E6010"/>
    <w:rsid w:val="005E6D58"/>
    <w:rsid w:val="005E7580"/>
    <w:rsid w:val="005F07BC"/>
    <w:rsid w:val="005F0C06"/>
    <w:rsid w:val="005F1229"/>
    <w:rsid w:val="005F25F5"/>
    <w:rsid w:val="005F2CB5"/>
    <w:rsid w:val="005F4930"/>
    <w:rsid w:val="005F6248"/>
    <w:rsid w:val="005F6564"/>
    <w:rsid w:val="005F6580"/>
    <w:rsid w:val="005F67AC"/>
    <w:rsid w:val="005F7BE2"/>
    <w:rsid w:val="005F7D7F"/>
    <w:rsid w:val="00601E43"/>
    <w:rsid w:val="00602330"/>
    <w:rsid w:val="0060292A"/>
    <w:rsid w:val="00602D0A"/>
    <w:rsid w:val="00603000"/>
    <w:rsid w:val="006034D9"/>
    <w:rsid w:val="00603737"/>
    <w:rsid w:val="00604AB3"/>
    <w:rsid w:val="006055BF"/>
    <w:rsid w:val="00605E51"/>
    <w:rsid w:val="00606905"/>
    <w:rsid w:val="00610C49"/>
    <w:rsid w:val="00611067"/>
    <w:rsid w:val="006117D0"/>
    <w:rsid w:val="006117D2"/>
    <w:rsid w:val="00613E38"/>
    <w:rsid w:val="0061496D"/>
    <w:rsid w:val="006160C7"/>
    <w:rsid w:val="006171C7"/>
    <w:rsid w:val="006234AA"/>
    <w:rsid w:val="006235F0"/>
    <w:rsid w:val="006266BB"/>
    <w:rsid w:val="006268FC"/>
    <w:rsid w:val="0063012D"/>
    <w:rsid w:val="006306D9"/>
    <w:rsid w:val="006329AA"/>
    <w:rsid w:val="006347A5"/>
    <w:rsid w:val="0063561E"/>
    <w:rsid w:val="00635B50"/>
    <w:rsid w:val="00636835"/>
    <w:rsid w:val="00636B38"/>
    <w:rsid w:val="00637BC7"/>
    <w:rsid w:val="00642ED0"/>
    <w:rsid w:val="00644A34"/>
    <w:rsid w:val="00644C92"/>
    <w:rsid w:val="00644F60"/>
    <w:rsid w:val="006456BD"/>
    <w:rsid w:val="00645937"/>
    <w:rsid w:val="0064597F"/>
    <w:rsid w:val="00646EA4"/>
    <w:rsid w:val="006472D3"/>
    <w:rsid w:val="006472DF"/>
    <w:rsid w:val="00647C8A"/>
    <w:rsid w:val="00650B87"/>
    <w:rsid w:val="00650D02"/>
    <w:rsid w:val="006521B1"/>
    <w:rsid w:val="00652320"/>
    <w:rsid w:val="0065648A"/>
    <w:rsid w:val="00656F98"/>
    <w:rsid w:val="00660071"/>
    <w:rsid w:val="00660572"/>
    <w:rsid w:val="00664897"/>
    <w:rsid w:val="00664921"/>
    <w:rsid w:val="00664B63"/>
    <w:rsid w:val="00665278"/>
    <w:rsid w:val="00666553"/>
    <w:rsid w:val="006673D5"/>
    <w:rsid w:val="00667C62"/>
    <w:rsid w:val="006701A2"/>
    <w:rsid w:val="00673D50"/>
    <w:rsid w:val="00674507"/>
    <w:rsid w:val="00675AE7"/>
    <w:rsid w:val="00680451"/>
    <w:rsid w:val="00680504"/>
    <w:rsid w:val="00683B3D"/>
    <w:rsid w:val="006841B0"/>
    <w:rsid w:val="00684465"/>
    <w:rsid w:val="00685767"/>
    <w:rsid w:val="00685822"/>
    <w:rsid w:val="00685E90"/>
    <w:rsid w:val="00687731"/>
    <w:rsid w:val="006901E1"/>
    <w:rsid w:val="006916C2"/>
    <w:rsid w:val="0069391C"/>
    <w:rsid w:val="00693D35"/>
    <w:rsid w:val="0069589D"/>
    <w:rsid w:val="006962E2"/>
    <w:rsid w:val="00696C21"/>
    <w:rsid w:val="00696DC5"/>
    <w:rsid w:val="006A23D7"/>
    <w:rsid w:val="006A369A"/>
    <w:rsid w:val="006A369B"/>
    <w:rsid w:val="006A3845"/>
    <w:rsid w:val="006A6085"/>
    <w:rsid w:val="006A6D04"/>
    <w:rsid w:val="006A75AA"/>
    <w:rsid w:val="006A75E4"/>
    <w:rsid w:val="006B2505"/>
    <w:rsid w:val="006B52F4"/>
    <w:rsid w:val="006B5C22"/>
    <w:rsid w:val="006B5FB3"/>
    <w:rsid w:val="006C056F"/>
    <w:rsid w:val="006C1A1B"/>
    <w:rsid w:val="006C21E3"/>
    <w:rsid w:val="006C7702"/>
    <w:rsid w:val="006D0EA5"/>
    <w:rsid w:val="006D0FD1"/>
    <w:rsid w:val="006D1F17"/>
    <w:rsid w:val="006D28B8"/>
    <w:rsid w:val="006D2F9D"/>
    <w:rsid w:val="006D34F4"/>
    <w:rsid w:val="006D3A99"/>
    <w:rsid w:val="006D4A7D"/>
    <w:rsid w:val="006D4FB5"/>
    <w:rsid w:val="006D5AF1"/>
    <w:rsid w:val="006D620C"/>
    <w:rsid w:val="006D667E"/>
    <w:rsid w:val="006E04EB"/>
    <w:rsid w:val="006E0D9F"/>
    <w:rsid w:val="006E1E5E"/>
    <w:rsid w:val="006E26A1"/>
    <w:rsid w:val="006E29DE"/>
    <w:rsid w:val="006E32B4"/>
    <w:rsid w:val="006E3ABE"/>
    <w:rsid w:val="006E5AF1"/>
    <w:rsid w:val="006E6E09"/>
    <w:rsid w:val="006E7F4E"/>
    <w:rsid w:val="006F0034"/>
    <w:rsid w:val="006F0A0E"/>
    <w:rsid w:val="006F0C55"/>
    <w:rsid w:val="006F294B"/>
    <w:rsid w:val="006F5CA7"/>
    <w:rsid w:val="006F5FDC"/>
    <w:rsid w:val="006F7701"/>
    <w:rsid w:val="00700992"/>
    <w:rsid w:val="00700F2D"/>
    <w:rsid w:val="0070187B"/>
    <w:rsid w:val="00701A51"/>
    <w:rsid w:val="00703571"/>
    <w:rsid w:val="00706334"/>
    <w:rsid w:val="0070647E"/>
    <w:rsid w:val="007069BF"/>
    <w:rsid w:val="00707985"/>
    <w:rsid w:val="00710039"/>
    <w:rsid w:val="007103D3"/>
    <w:rsid w:val="007115E8"/>
    <w:rsid w:val="0071177D"/>
    <w:rsid w:val="00713BDD"/>
    <w:rsid w:val="00714CCF"/>
    <w:rsid w:val="00714E00"/>
    <w:rsid w:val="007155D7"/>
    <w:rsid w:val="007159DF"/>
    <w:rsid w:val="00716219"/>
    <w:rsid w:val="00716666"/>
    <w:rsid w:val="00717CAA"/>
    <w:rsid w:val="00720630"/>
    <w:rsid w:val="007223DD"/>
    <w:rsid w:val="0072267E"/>
    <w:rsid w:val="00722B53"/>
    <w:rsid w:val="00722D37"/>
    <w:rsid w:val="007232DC"/>
    <w:rsid w:val="00724512"/>
    <w:rsid w:val="0072556C"/>
    <w:rsid w:val="00725A73"/>
    <w:rsid w:val="00725C84"/>
    <w:rsid w:val="0072608F"/>
    <w:rsid w:val="0072760A"/>
    <w:rsid w:val="00727881"/>
    <w:rsid w:val="00727F13"/>
    <w:rsid w:val="00731074"/>
    <w:rsid w:val="0073221C"/>
    <w:rsid w:val="00732732"/>
    <w:rsid w:val="007340D4"/>
    <w:rsid w:val="00735395"/>
    <w:rsid w:val="00736027"/>
    <w:rsid w:val="0074097C"/>
    <w:rsid w:val="00741073"/>
    <w:rsid w:val="00741FB8"/>
    <w:rsid w:val="007421E1"/>
    <w:rsid w:val="007458B5"/>
    <w:rsid w:val="00746DA9"/>
    <w:rsid w:val="00751891"/>
    <w:rsid w:val="007600FB"/>
    <w:rsid w:val="00760291"/>
    <w:rsid w:val="00760A02"/>
    <w:rsid w:val="00761C0C"/>
    <w:rsid w:val="00761CFA"/>
    <w:rsid w:val="00761E0D"/>
    <w:rsid w:val="007635B1"/>
    <w:rsid w:val="007635B3"/>
    <w:rsid w:val="0076373E"/>
    <w:rsid w:val="0076597C"/>
    <w:rsid w:val="00766832"/>
    <w:rsid w:val="0076770F"/>
    <w:rsid w:val="00770248"/>
    <w:rsid w:val="0077093D"/>
    <w:rsid w:val="00771FAB"/>
    <w:rsid w:val="00772F60"/>
    <w:rsid w:val="00773CBA"/>
    <w:rsid w:val="007741FE"/>
    <w:rsid w:val="00774286"/>
    <w:rsid w:val="00780C7C"/>
    <w:rsid w:val="007820A7"/>
    <w:rsid w:val="00782311"/>
    <w:rsid w:val="00782B90"/>
    <w:rsid w:val="00782D0C"/>
    <w:rsid w:val="00787AC1"/>
    <w:rsid w:val="00791033"/>
    <w:rsid w:val="007918D4"/>
    <w:rsid w:val="0079240E"/>
    <w:rsid w:val="00793548"/>
    <w:rsid w:val="00794665"/>
    <w:rsid w:val="00794796"/>
    <w:rsid w:val="00794D28"/>
    <w:rsid w:val="0079574B"/>
    <w:rsid w:val="00796878"/>
    <w:rsid w:val="007A1BC8"/>
    <w:rsid w:val="007A2063"/>
    <w:rsid w:val="007A2327"/>
    <w:rsid w:val="007A3A47"/>
    <w:rsid w:val="007A3ACF"/>
    <w:rsid w:val="007A4A3A"/>
    <w:rsid w:val="007A63F2"/>
    <w:rsid w:val="007A6B22"/>
    <w:rsid w:val="007A7E86"/>
    <w:rsid w:val="007B13FD"/>
    <w:rsid w:val="007B1EE7"/>
    <w:rsid w:val="007B5754"/>
    <w:rsid w:val="007B7AA1"/>
    <w:rsid w:val="007C17B0"/>
    <w:rsid w:val="007C182A"/>
    <w:rsid w:val="007C346B"/>
    <w:rsid w:val="007C3866"/>
    <w:rsid w:val="007C411F"/>
    <w:rsid w:val="007C5967"/>
    <w:rsid w:val="007C5A38"/>
    <w:rsid w:val="007C60E4"/>
    <w:rsid w:val="007C6453"/>
    <w:rsid w:val="007C6A45"/>
    <w:rsid w:val="007C73C3"/>
    <w:rsid w:val="007D3176"/>
    <w:rsid w:val="007D31EF"/>
    <w:rsid w:val="007D381D"/>
    <w:rsid w:val="007D4EA3"/>
    <w:rsid w:val="007D5100"/>
    <w:rsid w:val="007D60E5"/>
    <w:rsid w:val="007D680D"/>
    <w:rsid w:val="007D6FE7"/>
    <w:rsid w:val="007D7C82"/>
    <w:rsid w:val="007E58E5"/>
    <w:rsid w:val="007E5C24"/>
    <w:rsid w:val="007E602A"/>
    <w:rsid w:val="007E652B"/>
    <w:rsid w:val="007E69D0"/>
    <w:rsid w:val="007F0553"/>
    <w:rsid w:val="007F1395"/>
    <w:rsid w:val="007F1C0E"/>
    <w:rsid w:val="007F1C25"/>
    <w:rsid w:val="007F357D"/>
    <w:rsid w:val="007F41E1"/>
    <w:rsid w:val="007F5219"/>
    <w:rsid w:val="007F5D55"/>
    <w:rsid w:val="007F610B"/>
    <w:rsid w:val="007F63D2"/>
    <w:rsid w:val="007F699D"/>
    <w:rsid w:val="007F6B20"/>
    <w:rsid w:val="007F7C8B"/>
    <w:rsid w:val="00800E28"/>
    <w:rsid w:val="00802A2D"/>
    <w:rsid w:val="00802DF0"/>
    <w:rsid w:val="008053A5"/>
    <w:rsid w:val="00805C34"/>
    <w:rsid w:val="00807277"/>
    <w:rsid w:val="008104DB"/>
    <w:rsid w:val="008107BE"/>
    <w:rsid w:val="008116F1"/>
    <w:rsid w:val="00812082"/>
    <w:rsid w:val="008129E4"/>
    <w:rsid w:val="00812AE1"/>
    <w:rsid w:val="00813130"/>
    <w:rsid w:val="00815961"/>
    <w:rsid w:val="00817F37"/>
    <w:rsid w:val="008210A1"/>
    <w:rsid w:val="00823172"/>
    <w:rsid w:val="008244CD"/>
    <w:rsid w:val="00825DF8"/>
    <w:rsid w:val="008260A3"/>
    <w:rsid w:val="0082618B"/>
    <w:rsid w:val="00826862"/>
    <w:rsid w:val="00826D04"/>
    <w:rsid w:val="00827503"/>
    <w:rsid w:val="0083097F"/>
    <w:rsid w:val="00831418"/>
    <w:rsid w:val="008324E8"/>
    <w:rsid w:val="00832A45"/>
    <w:rsid w:val="00832BFC"/>
    <w:rsid w:val="00834256"/>
    <w:rsid w:val="008368B9"/>
    <w:rsid w:val="00840222"/>
    <w:rsid w:val="008405DC"/>
    <w:rsid w:val="00840E09"/>
    <w:rsid w:val="00842A97"/>
    <w:rsid w:val="00843F82"/>
    <w:rsid w:val="008452E7"/>
    <w:rsid w:val="00850723"/>
    <w:rsid w:val="008512D4"/>
    <w:rsid w:val="00851665"/>
    <w:rsid w:val="008538BF"/>
    <w:rsid w:val="00854D80"/>
    <w:rsid w:val="00855714"/>
    <w:rsid w:val="00855AEA"/>
    <w:rsid w:val="008624C6"/>
    <w:rsid w:val="00863637"/>
    <w:rsid w:val="00863E5E"/>
    <w:rsid w:val="00864825"/>
    <w:rsid w:val="00864987"/>
    <w:rsid w:val="00864BD5"/>
    <w:rsid w:val="00865839"/>
    <w:rsid w:val="00866A95"/>
    <w:rsid w:val="00870146"/>
    <w:rsid w:val="00870428"/>
    <w:rsid w:val="00871C89"/>
    <w:rsid w:val="00873D11"/>
    <w:rsid w:val="00874E2E"/>
    <w:rsid w:val="008755B8"/>
    <w:rsid w:val="00877B58"/>
    <w:rsid w:val="00880B40"/>
    <w:rsid w:val="00881620"/>
    <w:rsid w:val="00884397"/>
    <w:rsid w:val="00884D44"/>
    <w:rsid w:val="008850A8"/>
    <w:rsid w:val="00886077"/>
    <w:rsid w:val="008908C3"/>
    <w:rsid w:val="00892005"/>
    <w:rsid w:val="00892D98"/>
    <w:rsid w:val="00892F46"/>
    <w:rsid w:val="00895A8A"/>
    <w:rsid w:val="008970E0"/>
    <w:rsid w:val="00897717"/>
    <w:rsid w:val="00897809"/>
    <w:rsid w:val="00897875"/>
    <w:rsid w:val="00897F96"/>
    <w:rsid w:val="008A23B2"/>
    <w:rsid w:val="008A2702"/>
    <w:rsid w:val="008A46B3"/>
    <w:rsid w:val="008A4A64"/>
    <w:rsid w:val="008A4E93"/>
    <w:rsid w:val="008A511F"/>
    <w:rsid w:val="008A74A2"/>
    <w:rsid w:val="008B08A8"/>
    <w:rsid w:val="008B3622"/>
    <w:rsid w:val="008B4336"/>
    <w:rsid w:val="008B448E"/>
    <w:rsid w:val="008B4E9F"/>
    <w:rsid w:val="008B6824"/>
    <w:rsid w:val="008B6C2C"/>
    <w:rsid w:val="008B7238"/>
    <w:rsid w:val="008C24F7"/>
    <w:rsid w:val="008C2A4B"/>
    <w:rsid w:val="008C34AA"/>
    <w:rsid w:val="008C545C"/>
    <w:rsid w:val="008C6FB0"/>
    <w:rsid w:val="008C79E5"/>
    <w:rsid w:val="008D1BF1"/>
    <w:rsid w:val="008D3236"/>
    <w:rsid w:val="008D48D8"/>
    <w:rsid w:val="008D4C66"/>
    <w:rsid w:val="008D5545"/>
    <w:rsid w:val="008D55F4"/>
    <w:rsid w:val="008D5B1E"/>
    <w:rsid w:val="008D5CEB"/>
    <w:rsid w:val="008D5F4D"/>
    <w:rsid w:val="008D7A42"/>
    <w:rsid w:val="008E004C"/>
    <w:rsid w:val="008E0649"/>
    <w:rsid w:val="008E096D"/>
    <w:rsid w:val="008E1419"/>
    <w:rsid w:val="008E1ED2"/>
    <w:rsid w:val="008E22F2"/>
    <w:rsid w:val="008E347C"/>
    <w:rsid w:val="008E55F9"/>
    <w:rsid w:val="008E585C"/>
    <w:rsid w:val="008E5FD0"/>
    <w:rsid w:val="008F0AF1"/>
    <w:rsid w:val="008F4D5C"/>
    <w:rsid w:val="008F4FE4"/>
    <w:rsid w:val="00901740"/>
    <w:rsid w:val="00902682"/>
    <w:rsid w:val="0090281F"/>
    <w:rsid w:val="0090422C"/>
    <w:rsid w:val="00904318"/>
    <w:rsid w:val="00905AB7"/>
    <w:rsid w:val="00905CA4"/>
    <w:rsid w:val="00905E95"/>
    <w:rsid w:val="00906236"/>
    <w:rsid w:val="00906263"/>
    <w:rsid w:val="00906397"/>
    <w:rsid w:val="009070AE"/>
    <w:rsid w:val="009074A0"/>
    <w:rsid w:val="00907BA6"/>
    <w:rsid w:val="009102D9"/>
    <w:rsid w:val="009102FB"/>
    <w:rsid w:val="00911E67"/>
    <w:rsid w:val="00915A6A"/>
    <w:rsid w:val="009161F1"/>
    <w:rsid w:val="00917A05"/>
    <w:rsid w:val="00921E25"/>
    <w:rsid w:val="00922C45"/>
    <w:rsid w:val="00923B14"/>
    <w:rsid w:val="00925ADC"/>
    <w:rsid w:val="00926A3B"/>
    <w:rsid w:val="0092702F"/>
    <w:rsid w:val="00927222"/>
    <w:rsid w:val="00927F2F"/>
    <w:rsid w:val="00930669"/>
    <w:rsid w:val="00932410"/>
    <w:rsid w:val="00933789"/>
    <w:rsid w:val="00934073"/>
    <w:rsid w:val="00934DEC"/>
    <w:rsid w:val="009353C7"/>
    <w:rsid w:val="009368C6"/>
    <w:rsid w:val="00936A25"/>
    <w:rsid w:val="00937891"/>
    <w:rsid w:val="009378F3"/>
    <w:rsid w:val="00940C80"/>
    <w:rsid w:val="009436DC"/>
    <w:rsid w:val="00943CC4"/>
    <w:rsid w:val="009441D6"/>
    <w:rsid w:val="00945A2F"/>
    <w:rsid w:val="00945C76"/>
    <w:rsid w:val="00945C78"/>
    <w:rsid w:val="00947B3C"/>
    <w:rsid w:val="00947D6A"/>
    <w:rsid w:val="00950FDA"/>
    <w:rsid w:val="0095393C"/>
    <w:rsid w:val="009541B7"/>
    <w:rsid w:val="0095511F"/>
    <w:rsid w:val="00955291"/>
    <w:rsid w:val="00955327"/>
    <w:rsid w:val="009569E6"/>
    <w:rsid w:val="00960151"/>
    <w:rsid w:val="00960A2C"/>
    <w:rsid w:val="00962941"/>
    <w:rsid w:val="00962CFC"/>
    <w:rsid w:val="00962FAE"/>
    <w:rsid w:val="00963654"/>
    <w:rsid w:val="00965C0D"/>
    <w:rsid w:val="00965F6F"/>
    <w:rsid w:val="00966ACE"/>
    <w:rsid w:val="00967222"/>
    <w:rsid w:val="0096769D"/>
    <w:rsid w:val="00970092"/>
    <w:rsid w:val="00970B69"/>
    <w:rsid w:val="00971012"/>
    <w:rsid w:val="009722DF"/>
    <w:rsid w:val="00974FE9"/>
    <w:rsid w:val="00980A49"/>
    <w:rsid w:val="00980CF4"/>
    <w:rsid w:val="009810CC"/>
    <w:rsid w:val="00982272"/>
    <w:rsid w:val="00982EF9"/>
    <w:rsid w:val="009834AD"/>
    <w:rsid w:val="009839B9"/>
    <w:rsid w:val="00983F28"/>
    <w:rsid w:val="00985935"/>
    <w:rsid w:val="00985F28"/>
    <w:rsid w:val="0098688E"/>
    <w:rsid w:val="009868B1"/>
    <w:rsid w:val="00987692"/>
    <w:rsid w:val="0099017D"/>
    <w:rsid w:val="00992EA3"/>
    <w:rsid w:val="0099365B"/>
    <w:rsid w:val="00993A4B"/>
    <w:rsid w:val="00994875"/>
    <w:rsid w:val="00994CAE"/>
    <w:rsid w:val="009958CD"/>
    <w:rsid w:val="00995AAF"/>
    <w:rsid w:val="009A32BF"/>
    <w:rsid w:val="009A33DF"/>
    <w:rsid w:val="009A4791"/>
    <w:rsid w:val="009A5819"/>
    <w:rsid w:val="009B18BD"/>
    <w:rsid w:val="009B26AF"/>
    <w:rsid w:val="009B2F36"/>
    <w:rsid w:val="009B528B"/>
    <w:rsid w:val="009B647A"/>
    <w:rsid w:val="009B6B9C"/>
    <w:rsid w:val="009C19A1"/>
    <w:rsid w:val="009C5A4F"/>
    <w:rsid w:val="009C6F3C"/>
    <w:rsid w:val="009C7DCB"/>
    <w:rsid w:val="009D002E"/>
    <w:rsid w:val="009D099C"/>
    <w:rsid w:val="009D1264"/>
    <w:rsid w:val="009D16AA"/>
    <w:rsid w:val="009D19D5"/>
    <w:rsid w:val="009D1AF9"/>
    <w:rsid w:val="009D2AD0"/>
    <w:rsid w:val="009D2EDE"/>
    <w:rsid w:val="009D36F8"/>
    <w:rsid w:val="009D57AC"/>
    <w:rsid w:val="009D59E9"/>
    <w:rsid w:val="009E044D"/>
    <w:rsid w:val="009E045E"/>
    <w:rsid w:val="009E0992"/>
    <w:rsid w:val="009E2FD6"/>
    <w:rsid w:val="009E3DE5"/>
    <w:rsid w:val="009E5746"/>
    <w:rsid w:val="009E597F"/>
    <w:rsid w:val="009F06CB"/>
    <w:rsid w:val="009F439A"/>
    <w:rsid w:val="009F5B9E"/>
    <w:rsid w:val="009F5DFE"/>
    <w:rsid w:val="009F5FF2"/>
    <w:rsid w:val="009F6625"/>
    <w:rsid w:val="009F6913"/>
    <w:rsid w:val="009F6E6D"/>
    <w:rsid w:val="00A00F01"/>
    <w:rsid w:val="00A0191B"/>
    <w:rsid w:val="00A01F6F"/>
    <w:rsid w:val="00A02784"/>
    <w:rsid w:val="00A03DC7"/>
    <w:rsid w:val="00A12384"/>
    <w:rsid w:val="00A13BC6"/>
    <w:rsid w:val="00A13FED"/>
    <w:rsid w:val="00A14437"/>
    <w:rsid w:val="00A14E95"/>
    <w:rsid w:val="00A1538D"/>
    <w:rsid w:val="00A20F4A"/>
    <w:rsid w:val="00A22CDC"/>
    <w:rsid w:val="00A23F04"/>
    <w:rsid w:val="00A2467E"/>
    <w:rsid w:val="00A24752"/>
    <w:rsid w:val="00A249E9"/>
    <w:rsid w:val="00A2539F"/>
    <w:rsid w:val="00A255ED"/>
    <w:rsid w:val="00A26CD0"/>
    <w:rsid w:val="00A26FFB"/>
    <w:rsid w:val="00A2751A"/>
    <w:rsid w:val="00A30081"/>
    <w:rsid w:val="00A303CD"/>
    <w:rsid w:val="00A305FD"/>
    <w:rsid w:val="00A31799"/>
    <w:rsid w:val="00A32889"/>
    <w:rsid w:val="00A32A0E"/>
    <w:rsid w:val="00A3329D"/>
    <w:rsid w:val="00A33AB9"/>
    <w:rsid w:val="00A34104"/>
    <w:rsid w:val="00A3473F"/>
    <w:rsid w:val="00A3523A"/>
    <w:rsid w:val="00A35244"/>
    <w:rsid w:val="00A353CE"/>
    <w:rsid w:val="00A364FE"/>
    <w:rsid w:val="00A36A90"/>
    <w:rsid w:val="00A370C5"/>
    <w:rsid w:val="00A374D7"/>
    <w:rsid w:val="00A37C67"/>
    <w:rsid w:val="00A4080E"/>
    <w:rsid w:val="00A40A73"/>
    <w:rsid w:val="00A41903"/>
    <w:rsid w:val="00A41C96"/>
    <w:rsid w:val="00A429D7"/>
    <w:rsid w:val="00A43CC5"/>
    <w:rsid w:val="00A43ECE"/>
    <w:rsid w:val="00A44F51"/>
    <w:rsid w:val="00A47184"/>
    <w:rsid w:val="00A47300"/>
    <w:rsid w:val="00A50665"/>
    <w:rsid w:val="00A50EB6"/>
    <w:rsid w:val="00A51708"/>
    <w:rsid w:val="00A51EC7"/>
    <w:rsid w:val="00A52353"/>
    <w:rsid w:val="00A5361B"/>
    <w:rsid w:val="00A5445B"/>
    <w:rsid w:val="00A54CBA"/>
    <w:rsid w:val="00A55780"/>
    <w:rsid w:val="00A569AE"/>
    <w:rsid w:val="00A5749F"/>
    <w:rsid w:val="00A57531"/>
    <w:rsid w:val="00A57E3D"/>
    <w:rsid w:val="00A608F7"/>
    <w:rsid w:val="00A6111F"/>
    <w:rsid w:val="00A633CF"/>
    <w:rsid w:val="00A63C31"/>
    <w:rsid w:val="00A6478F"/>
    <w:rsid w:val="00A650E2"/>
    <w:rsid w:val="00A66ABC"/>
    <w:rsid w:val="00A67852"/>
    <w:rsid w:val="00A67F66"/>
    <w:rsid w:val="00A70EBC"/>
    <w:rsid w:val="00A710BF"/>
    <w:rsid w:val="00A71E41"/>
    <w:rsid w:val="00A72309"/>
    <w:rsid w:val="00A7479B"/>
    <w:rsid w:val="00A75787"/>
    <w:rsid w:val="00A76937"/>
    <w:rsid w:val="00A76FF9"/>
    <w:rsid w:val="00A77414"/>
    <w:rsid w:val="00A774A4"/>
    <w:rsid w:val="00A77F54"/>
    <w:rsid w:val="00A813FB"/>
    <w:rsid w:val="00A81FFB"/>
    <w:rsid w:val="00A828CA"/>
    <w:rsid w:val="00A83949"/>
    <w:rsid w:val="00A8754B"/>
    <w:rsid w:val="00A9039A"/>
    <w:rsid w:val="00A90C0D"/>
    <w:rsid w:val="00A94628"/>
    <w:rsid w:val="00A94ACC"/>
    <w:rsid w:val="00A956A3"/>
    <w:rsid w:val="00A9641A"/>
    <w:rsid w:val="00A97467"/>
    <w:rsid w:val="00A974C6"/>
    <w:rsid w:val="00AA21CA"/>
    <w:rsid w:val="00AA2240"/>
    <w:rsid w:val="00AA2CBE"/>
    <w:rsid w:val="00AA3209"/>
    <w:rsid w:val="00AA3285"/>
    <w:rsid w:val="00AA3B8B"/>
    <w:rsid w:val="00AA4924"/>
    <w:rsid w:val="00AA529B"/>
    <w:rsid w:val="00AA5BF7"/>
    <w:rsid w:val="00AA7C78"/>
    <w:rsid w:val="00AB122E"/>
    <w:rsid w:val="00AB14F3"/>
    <w:rsid w:val="00AB1C96"/>
    <w:rsid w:val="00AB23B1"/>
    <w:rsid w:val="00AB2753"/>
    <w:rsid w:val="00AB3427"/>
    <w:rsid w:val="00AB6303"/>
    <w:rsid w:val="00AB6E49"/>
    <w:rsid w:val="00AB7775"/>
    <w:rsid w:val="00AB7B7D"/>
    <w:rsid w:val="00AB7D2D"/>
    <w:rsid w:val="00AC05F6"/>
    <w:rsid w:val="00AC253D"/>
    <w:rsid w:val="00AC4348"/>
    <w:rsid w:val="00AC5B43"/>
    <w:rsid w:val="00AC6248"/>
    <w:rsid w:val="00AC685C"/>
    <w:rsid w:val="00AC7B67"/>
    <w:rsid w:val="00AD0082"/>
    <w:rsid w:val="00AD0F92"/>
    <w:rsid w:val="00AD216B"/>
    <w:rsid w:val="00AD459A"/>
    <w:rsid w:val="00AD46D0"/>
    <w:rsid w:val="00AD647D"/>
    <w:rsid w:val="00AD651C"/>
    <w:rsid w:val="00AD7511"/>
    <w:rsid w:val="00AD7D52"/>
    <w:rsid w:val="00AE168D"/>
    <w:rsid w:val="00AE1C19"/>
    <w:rsid w:val="00AE1C61"/>
    <w:rsid w:val="00AE2C83"/>
    <w:rsid w:val="00AE3A10"/>
    <w:rsid w:val="00AE3E22"/>
    <w:rsid w:val="00AE3F58"/>
    <w:rsid w:val="00AE3F5D"/>
    <w:rsid w:val="00AE5D67"/>
    <w:rsid w:val="00AE6E95"/>
    <w:rsid w:val="00AE7218"/>
    <w:rsid w:val="00AF1CCE"/>
    <w:rsid w:val="00AF2194"/>
    <w:rsid w:val="00AF26D1"/>
    <w:rsid w:val="00AF31AB"/>
    <w:rsid w:val="00AF44F1"/>
    <w:rsid w:val="00AF5986"/>
    <w:rsid w:val="00AF5E11"/>
    <w:rsid w:val="00AF5F4C"/>
    <w:rsid w:val="00AF6431"/>
    <w:rsid w:val="00B00496"/>
    <w:rsid w:val="00B00F51"/>
    <w:rsid w:val="00B01E4C"/>
    <w:rsid w:val="00B033D7"/>
    <w:rsid w:val="00B04989"/>
    <w:rsid w:val="00B04D24"/>
    <w:rsid w:val="00B04E20"/>
    <w:rsid w:val="00B05EDD"/>
    <w:rsid w:val="00B063EF"/>
    <w:rsid w:val="00B10829"/>
    <w:rsid w:val="00B1175F"/>
    <w:rsid w:val="00B11BC9"/>
    <w:rsid w:val="00B126B8"/>
    <w:rsid w:val="00B12FF7"/>
    <w:rsid w:val="00B152B6"/>
    <w:rsid w:val="00B162F7"/>
    <w:rsid w:val="00B1692B"/>
    <w:rsid w:val="00B21B0C"/>
    <w:rsid w:val="00B21D06"/>
    <w:rsid w:val="00B22DA1"/>
    <w:rsid w:val="00B2448D"/>
    <w:rsid w:val="00B24BB1"/>
    <w:rsid w:val="00B2647A"/>
    <w:rsid w:val="00B26CC3"/>
    <w:rsid w:val="00B30193"/>
    <w:rsid w:val="00B3046A"/>
    <w:rsid w:val="00B30ECC"/>
    <w:rsid w:val="00B327CD"/>
    <w:rsid w:val="00B32F38"/>
    <w:rsid w:val="00B33A4C"/>
    <w:rsid w:val="00B34BE9"/>
    <w:rsid w:val="00B3622C"/>
    <w:rsid w:val="00B36A3D"/>
    <w:rsid w:val="00B40F09"/>
    <w:rsid w:val="00B4224D"/>
    <w:rsid w:val="00B42490"/>
    <w:rsid w:val="00B43131"/>
    <w:rsid w:val="00B45629"/>
    <w:rsid w:val="00B45ACE"/>
    <w:rsid w:val="00B45E8B"/>
    <w:rsid w:val="00B46099"/>
    <w:rsid w:val="00B469CB"/>
    <w:rsid w:val="00B46AE7"/>
    <w:rsid w:val="00B46C97"/>
    <w:rsid w:val="00B46CEE"/>
    <w:rsid w:val="00B50673"/>
    <w:rsid w:val="00B53887"/>
    <w:rsid w:val="00B557AC"/>
    <w:rsid w:val="00B56EB7"/>
    <w:rsid w:val="00B6282E"/>
    <w:rsid w:val="00B62A23"/>
    <w:rsid w:val="00B64E7A"/>
    <w:rsid w:val="00B662DC"/>
    <w:rsid w:val="00B66D82"/>
    <w:rsid w:val="00B672B4"/>
    <w:rsid w:val="00B719C2"/>
    <w:rsid w:val="00B738C8"/>
    <w:rsid w:val="00B745B4"/>
    <w:rsid w:val="00B80A78"/>
    <w:rsid w:val="00B80D06"/>
    <w:rsid w:val="00B811F5"/>
    <w:rsid w:val="00B81273"/>
    <w:rsid w:val="00B81EA1"/>
    <w:rsid w:val="00B84A56"/>
    <w:rsid w:val="00B86D0C"/>
    <w:rsid w:val="00B907FC"/>
    <w:rsid w:val="00B910CD"/>
    <w:rsid w:val="00B925AD"/>
    <w:rsid w:val="00B92F61"/>
    <w:rsid w:val="00B94C5E"/>
    <w:rsid w:val="00B95013"/>
    <w:rsid w:val="00B955B6"/>
    <w:rsid w:val="00B96134"/>
    <w:rsid w:val="00B962A0"/>
    <w:rsid w:val="00B965DC"/>
    <w:rsid w:val="00BA04D1"/>
    <w:rsid w:val="00BA0978"/>
    <w:rsid w:val="00BA0A1B"/>
    <w:rsid w:val="00BA109C"/>
    <w:rsid w:val="00BA175F"/>
    <w:rsid w:val="00BA19AB"/>
    <w:rsid w:val="00BA244D"/>
    <w:rsid w:val="00BA57E6"/>
    <w:rsid w:val="00BA6609"/>
    <w:rsid w:val="00BA6B19"/>
    <w:rsid w:val="00BA6CD9"/>
    <w:rsid w:val="00BA752D"/>
    <w:rsid w:val="00BB1677"/>
    <w:rsid w:val="00BB25B6"/>
    <w:rsid w:val="00BB37A8"/>
    <w:rsid w:val="00BB39E5"/>
    <w:rsid w:val="00BB3D0C"/>
    <w:rsid w:val="00BB5419"/>
    <w:rsid w:val="00BB57EE"/>
    <w:rsid w:val="00BB612C"/>
    <w:rsid w:val="00BB645A"/>
    <w:rsid w:val="00BB77E9"/>
    <w:rsid w:val="00BB7A72"/>
    <w:rsid w:val="00BB7D28"/>
    <w:rsid w:val="00BB7D57"/>
    <w:rsid w:val="00BC04C5"/>
    <w:rsid w:val="00BC0B32"/>
    <w:rsid w:val="00BC0BFD"/>
    <w:rsid w:val="00BC153B"/>
    <w:rsid w:val="00BC2232"/>
    <w:rsid w:val="00BC22F8"/>
    <w:rsid w:val="00BC3AA1"/>
    <w:rsid w:val="00BC6165"/>
    <w:rsid w:val="00BC6757"/>
    <w:rsid w:val="00BC6AE1"/>
    <w:rsid w:val="00BC7F3A"/>
    <w:rsid w:val="00BD05E5"/>
    <w:rsid w:val="00BD288E"/>
    <w:rsid w:val="00BD5CF4"/>
    <w:rsid w:val="00BE1E79"/>
    <w:rsid w:val="00BE3AC5"/>
    <w:rsid w:val="00BE423F"/>
    <w:rsid w:val="00BE4883"/>
    <w:rsid w:val="00BE5182"/>
    <w:rsid w:val="00BE567A"/>
    <w:rsid w:val="00BE56B5"/>
    <w:rsid w:val="00BE7C0E"/>
    <w:rsid w:val="00BF0BA7"/>
    <w:rsid w:val="00BF1084"/>
    <w:rsid w:val="00BF1495"/>
    <w:rsid w:val="00BF2035"/>
    <w:rsid w:val="00BF2FDC"/>
    <w:rsid w:val="00BF33DB"/>
    <w:rsid w:val="00BF523D"/>
    <w:rsid w:val="00BF54B4"/>
    <w:rsid w:val="00BF56B9"/>
    <w:rsid w:val="00BF58BB"/>
    <w:rsid w:val="00BF6183"/>
    <w:rsid w:val="00BF6C2D"/>
    <w:rsid w:val="00BF6EAF"/>
    <w:rsid w:val="00BF7906"/>
    <w:rsid w:val="00C004F2"/>
    <w:rsid w:val="00C005C4"/>
    <w:rsid w:val="00C01483"/>
    <w:rsid w:val="00C020F4"/>
    <w:rsid w:val="00C03120"/>
    <w:rsid w:val="00C060D3"/>
    <w:rsid w:val="00C06699"/>
    <w:rsid w:val="00C06E93"/>
    <w:rsid w:val="00C07D30"/>
    <w:rsid w:val="00C10A4C"/>
    <w:rsid w:val="00C119F3"/>
    <w:rsid w:val="00C12557"/>
    <w:rsid w:val="00C137FE"/>
    <w:rsid w:val="00C13A0D"/>
    <w:rsid w:val="00C159BE"/>
    <w:rsid w:val="00C160C8"/>
    <w:rsid w:val="00C2164B"/>
    <w:rsid w:val="00C224F3"/>
    <w:rsid w:val="00C22594"/>
    <w:rsid w:val="00C231F0"/>
    <w:rsid w:val="00C23CDC"/>
    <w:rsid w:val="00C24070"/>
    <w:rsid w:val="00C24846"/>
    <w:rsid w:val="00C26235"/>
    <w:rsid w:val="00C270BB"/>
    <w:rsid w:val="00C2758C"/>
    <w:rsid w:val="00C276CA"/>
    <w:rsid w:val="00C31362"/>
    <w:rsid w:val="00C31B28"/>
    <w:rsid w:val="00C326C5"/>
    <w:rsid w:val="00C33AB3"/>
    <w:rsid w:val="00C352C0"/>
    <w:rsid w:val="00C36595"/>
    <w:rsid w:val="00C3668F"/>
    <w:rsid w:val="00C37FEA"/>
    <w:rsid w:val="00C40FBA"/>
    <w:rsid w:val="00C41BA0"/>
    <w:rsid w:val="00C446AA"/>
    <w:rsid w:val="00C44AFD"/>
    <w:rsid w:val="00C4601E"/>
    <w:rsid w:val="00C46214"/>
    <w:rsid w:val="00C46383"/>
    <w:rsid w:val="00C46FE5"/>
    <w:rsid w:val="00C47BB7"/>
    <w:rsid w:val="00C51A95"/>
    <w:rsid w:val="00C52180"/>
    <w:rsid w:val="00C53A9D"/>
    <w:rsid w:val="00C53DF4"/>
    <w:rsid w:val="00C53E9A"/>
    <w:rsid w:val="00C552C9"/>
    <w:rsid w:val="00C55E4D"/>
    <w:rsid w:val="00C628AF"/>
    <w:rsid w:val="00C62930"/>
    <w:rsid w:val="00C63AA8"/>
    <w:rsid w:val="00C648FD"/>
    <w:rsid w:val="00C657AE"/>
    <w:rsid w:val="00C6591F"/>
    <w:rsid w:val="00C66460"/>
    <w:rsid w:val="00C66D3A"/>
    <w:rsid w:val="00C67FCE"/>
    <w:rsid w:val="00C707A7"/>
    <w:rsid w:val="00C72434"/>
    <w:rsid w:val="00C72B5E"/>
    <w:rsid w:val="00C72B92"/>
    <w:rsid w:val="00C75304"/>
    <w:rsid w:val="00C762C3"/>
    <w:rsid w:val="00C76540"/>
    <w:rsid w:val="00C76B16"/>
    <w:rsid w:val="00C806DE"/>
    <w:rsid w:val="00C811DF"/>
    <w:rsid w:val="00C81C7B"/>
    <w:rsid w:val="00C842B7"/>
    <w:rsid w:val="00C84488"/>
    <w:rsid w:val="00C856AC"/>
    <w:rsid w:val="00C8574E"/>
    <w:rsid w:val="00C85FCC"/>
    <w:rsid w:val="00C86053"/>
    <w:rsid w:val="00C90CCF"/>
    <w:rsid w:val="00C912F2"/>
    <w:rsid w:val="00C93711"/>
    <w:rsid w:val="00C94CA4"/>
    <w:rsid w:val="00C96C3F"/>
    <w:rsid w:val="00C979D4"/>
    <w:rsid w:val="00C97D37"/>
    <w:rsid w:val="00CA0E2E"/>
    <w:rsid w:val="00CA1677"/>
    <w:rsid w:val="00CA26A6"/>
    <w:rsid w:val="00CA285E"/>
    <w:rsid w:val="00CA2A59"/>
    <w:rsid w:val="00CA3281"/>
    <w:rsid w:val="00CA3A31"/>
    <w:rsid w:val="00CA3ACC"/>
    <w:rsid w:val="00CA5149"/>
    <w:rsid w:val="00CA5898"/>
    <w:rsid w:val="00CA5D4F"/>
    <w:rsid w:val="00CA6456"/>
    <w:rsid w:val="00CA6BFF"/>
    <w:rsid w:val="00CB247A"/>
    <w:rsid w:val="00CB2B53"/>
    <w:rsid w:val="00CB5AC4"/>
    <w:rsid w:val="00CB5C71"/>
    <w:rsid w:val="00CB665D"/>
    <w:rsid w:val="00CB673A"/>
    <w:rsid w:val="00CB7096"/>
    <w:rsid w:val="00CB7E8C"/>
    <w:rsid w:val="00CC07C7"/>
    <w:rsid w:val="00CC11AE"/>
    <w:rsid w:val="00CC19FA"/>
    <w:rsid w:val="00CC5D5E"/>
    <w:rsid w:val="00CC5E2D"/>
    <w:rsid w:val="00CC64E7"/>
    <w:rsid w:val="00CC7AAF"/>
    <w:rsid w:val="00CC7D75"/>
    <w:rsid w:val="00CD09F5"/>
    <w:rsid w:val="00CD13F7"/>
    <w:rsid w:val="00CD36AE"/>
    <w:rsid w:val="00CD60F7"/>
    <w:rsid w:val="00CD6F1A"/>
    <w:rsid w:val="00CD7B22"/>
    <w:rsid w:val="00CE113B"/>
    <w:rsid w:val="00CE16AF"/>
    <w:rsid w:val="00CE1721"/>
    <w:rsid w:val="00CE5BA2"/>
    <w:rsid w:val="00CE697B"/>
    <w:rsid w:val="00CE726D"/>
    <w:rsid w:val="00CE75CF"/>
    <w:rsid w:val="00CE768F"/>
    <w:rsid w:val="00CF02FF"/>
    <w:rsid w:val="00CF2158"/>
    <w:rsid w:val="00CF5081"/>
    <w:rsid w:val="00CF5772"/>
    <w:rsid w:val="00CF7277"/>
    <w:rsid w:val="00CF749F"/>
    <w:rsid w:val="00D007AF"/>
    <w:rsid w:val="00D00E08"/>
    <w:rsid w:val="00D02216"/>
    <w:rsid w:val="00D04A3B"/>
    <w:rsid w:val="00D05B80"/>
    <w:rsid w:val="00D06835"/>
    <w:rsid w:val="00D06B63"/>
    <w:rsid w:val="00D06F0B"/>
    <w:rsid w:val="00D07168"/>
    <w:rsid w:val="00D11AA7"/>
    <w:rsid w:val="00D133E2"/>
    <w:rsid w:val="00D136EB"/>
    <w:rsid w:val="00D139F9"/>
    <w:rsid w:val="00D13E1C"/>
    <w:rsid w:val="00D1494E"/>
    <w:rsid w:val="00D170FC"/>
    <w:rsid w:val="00D205FF"/>
    <w:rsid w:val="00D2079E"/>
    <w:rsid w:val="00D21257"/>
    <w:rsid w:val="00D21676"/>
    <w:rsid w:val="00D2213F"/>
    <w:rsid w:val="00D22C82"/>
    <w:rsid w:val="00D23075"/>
    <w:rsid w:val="00D24161"/>
    <w:rsid w:val="00D26FC5"/>
    <w:rsid w:val="00D27426"/>
    <w:rsid w:val="00D279E0"/>
    <w:rsid w:val="00D3006D"/>
    <w:rsid w:val="00D30EC4"/>
    <w:rsid w:val="00D3201C"/>
    <w:rsid w:val="00D322A9"/>
    <w:rsid w:val="00D322AA"/>
    <w:rsid w:val="00D32F2A"/>
    <w:rsid w:val="00D33F79"/>
    <w:rsid w:val="00D34D2A"/>
    <w:rsid w:val="00D366AE"/>
    <w:rsid w:val="00D41FE3"/>
    <w:rsid w:val="00D4280A"/>
    <w:rsid w:val="00D431A8"/>
    <w:rsid w:val="00D47559"/>
    <w:rsid w:val="00D4758D"/>
    <w:rsid w:val="00D47A4E"/>
    <w:rsid w:val="00D50468"/>
    <w:rsid w:val="00D5091D"/>
    <w:rsid w:val="00D50C1A"/>
    <w:rsid w:val="00D5186F"/>
    <w:rsid w:val="00D51BAF"/>
    <w:rsid w:val="00D52C59"/>
    <w:rsid w:val="00D531C0"/>
    <w:rsid w:val="00D53566"/>
    <w:rsid w:val="00D542F9"/>
    <w:rsid w:val="00D552CB"/>
    <w:rsid w:val="00D57204"/>
    <w:rsid w:val="00D572E6"/>
    <w:rsid w:val="00D57578"/>
    <w:rsid w:val="00D600C7"/>
    <w:rsid w:val="00D61724"/>
    <w:rsid w:val="00D61D7E"/>
    <w:rsid w:val="00D62C43"/>
    <w:rsid w:val="00D6345A"/>
    <w:rsid w:val="00D63AF4"/>
    <w:rsid w:val="00D648AF"/>
    <w:rsid w:val="00D64D62"/>
    <w:rsid w:val="00D65AC0"/>
    <w:rsid w:val="00D65D53"/>
    <w:rsid w:val="00D6787A"/>
    <w:rsid w:val="00D71582"/>
    <w:rsid w:val="00D72649"/>
    <w:rsid w:val="00D729CE"/>
    <w:rsid w:val="00D72F8F"/>
    <w:rsid w:val="00D73CE1"/>
    <w:rsid w:val="00D746C5"/>
    <w:rsid w:val="00D74727"/>
    <w:rsid w:val="00D75875"/>
    <w:rsid w:val="00D774AE"/>
    <w:rsid w:val="00D85776"/>
    <w:rsid w:val="00D85A24"/>
    <w:rsid w:val="00D85FF5"/>
    <w:rsid w:val="00D872FB"/>
    <w:rsid w:val="00D87676"/>
    <w:rsid w:val="00D91790"/>
    <w:rsid w:val="00D91CA5"/>
    <w:rsid w:val="00D925F2"/>
    <w:rsid w:val="00D92DFA"/>
    <w:rsid w:val="00D94459"/>
    <w:rsid w:val="00D95031"/>
    <w:rsid w:val="00D95C0D"/>
    <w:rsid w:val="00DA193D"/>
    <w:rsid w:val="00DA1F31"/>
    <w:rsid w:val="00DA3417"/>
    <w:rsid w:val="00DA3F3D"/>
    <w:rsid w:val="00DB06E0"/>
    <w:rsid w:val="00DB0857"/>
    <w:rsid w:val="00DB0FDD"/>
    <w:rsid w:val="00DB2004"/>
    <w:rsid w:val="00DB42DF"/>
    <w:rsid w:val="00DB6812"/>
    <w:rsid w:val="00DB6826"/>
    <w:rsid w:val="00DC0274"/>
    <w:rsid w:val="00DC09F8"/>
    <w:rsid w:val="00DC0E2F"/>
    <w:rsid w:val="00DC2572"/>
    <w:rsid w:val="00DC4A40"/>
    <w:rsid w:val="00DC5331"/>
    <w:rsid w:val="00DC6719"/>
    <w:rsid w:val="00DC6FA6"/>
    <w:rsid w:val="00DD0D14"/>
    <w:rsid w:val="00DD0D2D"/>
    <w:rsid w:val="00DD369D"/>
    <w:rsid w:val="00DD4FEB"/>
    <w:rsid w:val="00DD5F12"/>
    <w:rsid w:val="00DD627E"/>
    <w:rsid w:val="00DD69B3"/>
    <w:rsid w:val="00DD6A5E"/>
    <w:rsid w:val="00DD6C9D"/>
    <w:rsid w:val="00DD7465"/>
    <w:rsid w:val="00DE1FF2"/>
    <w:rsid w:val="00DE3EEC"/>
    <w:rsid w:val="00DE3F17"/>
    <w:rsid w:val="00DE43FF"/>
    <w:rsid w:val="00DE524E"/>
    <w:rsid w:val="00DE536D"/>
    <w:rsid w:val="00DE5AF5"/>
    <w:rsid w:val="00DE74D8"/>
    <w:rsid w:val="00DF0C54"/>
    <w:rsid w:val="00DF3338"/>
    <w:rsid w:val="00DF3465"/>
    <w:rsid w:val="00DF3FF2"/>
    <w:rsid w:val="00DF77FC"/>
    <w:rsid w:val="00E01EA3"/>
    <w:rsid w:val="00E025A4"/>
    <w:rsid w:val="00E03F2D"/>
    <w:rsid w:val="00E043AF"/>
    <w:rsid w:val="00E04830"/>
    <w:rsid w:val="00E0486B"/>
    <w:rsid w:val="00E05108"/>
    <w:rsid w:val="00E05BCD"/>
    <w:rsid w:val="00E05C66"/>
    <w:rsid w:val="00E05D9F"/>
    <w:rsid w:val="00E0659D"/>
    <w:rsid w:val="00E06AF2"/>
    <w:rsid w:val="00E07A89"/>
    <w:rsid w:val="00E1033B"/>
    <w:rsid w:val="00E104BC"/>
    <w:rsid w:val="00E1129B"/>
    <w:rsid w:val="00E12591"/>
    <w:rsid w:val="00E146CE"/>
    <w:rsid w:val="00E14936"/>
    <w:rsid w:val="00E16092"/>
    <w:rsid w:val="00E16284"/>
    <w:rsid w:val="00E16C41"/>
    <w:rsid w:val="00E17E58"/>
    <w:rsid w:val="00E23FD9"/>
    <w:rsid w:val="00E2552E"/>
    <w:rsid w:val="00E26BED"/>
    <w:rsid w:val="00E31561"/>
    <w:rsid w:val="00E315A8"/>
    <w:rsid w:val="00E31F8C"/>
    <w:rsid w:val="00E32482"/>
    <w:rsid w:val="00E33C0E"/>
    <w:rsid w:val="00E33E9E"/>
    <w:rsid w:val="00E35C0C"/>
    <w:rsid w:val="00E37795"/>
    <w:rsid w:val="00E40C0B"/>
    <w:rsid w:val="00E40D1A"/>
    <w:rsid w:val="00E41A7E"/>
    <w:rsid w:val="00E42655"/>
    <w:rsid w:val="00E426C9"/>
    <w:rsid w:val="00E42BA4"/>
    <w:rsid w:val="00E4345B"/>
    <w:rsid w:val="00E43655"/>
    <w:rsid w:val="00E43B8B"/>
    <w:rsid w:val="00E43FB7"/>
    <w:rsid w:val="00E4414B"/>
    <w:rsid w:val="00E45938"/>
    <w:rsid w:val="00E45BA1"/>
    <w:rsid w:val="00E464BC"/>
    <w:rsid w:val="00E46891"/>
    <w:rsid w:val="00E46BD1"/>
    <w:rsid w:val="00E5089E"/>
    <w:rsid w:val="00E5209F"/>
    <w:rsid w:val="00E52703"/>
    <w:rsid w:val="00E52E22"/>
    <w:rsid w:val="00E5388C"/>
    <w:rsid w:val="00E53BEF"/>
    <w:rsid w:val="00E544EB"/>
    <w:rsid w:val="00E54AB9"/>
    <w:rsid w:val="00E54CA8"/>
    <w:rsid w:val="00E55E0C"/>
    <w:rsid w:val="00E570CA"/>
    <w:rsid w:val="00E5785D"/>
    <w:rsid w:val="00E57A0E"/>
    <w:rsid w:val="00E605ED"/>
    <w:rsid w:val="00E6080B"/>
    <w:rsid w:val="00E612C7"/>
    <w:rsid w:val="00E6171F"/>
    <w:rsid w:val="00E6205A"/>
    <w:rsid w:val="00E62572"/>
    <w:rsid w:val="00E62C77"/>
    <w:rsid w:val="00E63358"/>
    <w:rsid w:val="00E635E5"/>
    <w:rsid w:val="00E64AF7"/>
    <w:rsid w:val="00E6503F"/>
    <w:rsid w:val="00E65277"/>
    <w:rsid w:val="00E670EC"/>
    <w:rsid w:val="00E67192"/>
    <w:rsid w:val="00E67E04"/>
    <w:rsid w:val="00E71DE5"/>
    <w:rsid w:val="00E71FA9"/>
    <w:rsid w:val="00E72530"/>
    <w:rsid w:val="00E7265E"/>
    <w:rsid w:val="00E737A9"/>
    <w:rsid w:val="00E74414"/>
    <w:rsid w:val="00E747AB"/>
    <w:rsid w:val="00E74D02"/>
    <w:rsid w:val="00E757D7"/>
    <w:rsid w:val="00E75C46"/>
    <w:rsid w:val="00E80064"/>
    <w:rsid w:val="00E811BF"/>
    <w:rsid w:val="00E81A68"/>
    <w:rsid w:val="00E8417C"/>
    <w:rsid w:val="00E842F3"/>
    <w:rsid w:val="00E84848"/>
    <w:rsid w:val="00E8644F"/>
    <w:rsid w:val="00E86CA4"/>
    <w:rsid w:val="00E9105A"/>
    <w:rsid w:val="00E91227"/>
    <w:rsid w:val="00E92059"/>
    <w:rsid w:val="00E9286B"/>
    <w:rsid w:val="00E9370D"/>
    <w:rsid w:val="00E9508C"/>
    <w:rsid w:val="00E95156"/>
    <w:rsid w:val="00E95761"/>
    <w:rsid w:val="00E95B23"/>
    <w:rsid w:val="00E966F4"/>
    <w:rsid w:val="00E96BF4"/>
    <w:rsid w:val="00E9701F"/>
    <w:rsid w:val="00E972FD"/>
    <w:rsid w:val="00E9740A"/>
    <w:rsid w:val="00E978E7"/>
    <w:rsid w:val="00E97EED"/>
    <w:rsid w:val="00EA09F6"/>
    <w:rsid w:val="00EA14BB"/>
    <w:rsid w:val="00EA28F6"/>
    <w:rsid w:val="00EA42C9"/>
    <w:rsid w:val="00EA52E5"/>
    <w:rsid w:val="00EA54A9"/>
    <w:rsid w:val="00EA5965"/>
    <w:rsid w:val="00EA5B0B"/>
    <w:rsid w:val="00EA7E22"/>
    <w:rsid w:val="00EB038E"/>
    <w:rsid w:val="00EB2B38"/>
    <w:rsid w:val="00EB526E"/>
    <w:rsid w:val="00EB5C50"/>
    <w:rsid w:val="00EB6BB5"/>
    <w:rsid w:val="00EC0415"/>
    <w:rsid w:val="00EC3402"/>
    <w:rsid w:val="00EC3E38"/>
    <w:rsid w:val="00EC4F03"/>
    <w:rsid w:val="00EC62DD"/>
    <w:rsid w:val="00ED0AC2"/>
    <w:rsid w:val="00ED0AC5"/>
    <w:rsid w:val="00ED2BF5"/>
    <w:rsid w:val="00ED4360"/>
    <w:rsid w:val="00ED49DD"/>
    <w:rsid w:val="00ED5F17"/>
    <w:rsid w:val="00ED7E4B"/>
    <w:rsid w:val="00EE18B6"/>
    <w:rsid w:val="00EE1AF5"/>
    <w:rsid w:val="00EE316B"/>
    <w:rsid w:val="00EE48A6"/>
    <w:rsid w:val="00EE5374"/>
    <w:rsid w:val="00EE5C1C"/>
    <w:rsid w:val="00EE5F83"/>
    <w:rsid w:val="00EE63C9"/>
    <w:rsid w:val="00EE6919"/>
    <w:rsid w:val="00EF0959"/>
    <w:rsid w:val="00EF0B1D"/>
    <w:rsid w:val="00EF1154"/>
    <w:rsid w:val="00EF1A40"/>
    <w:rsid w:val="00EF2002"/>
    <w:rsid w:val="00EF24BB"/>
    <w:rsid w:val="00EF732F"/>
    <w:rsid w:val="00F00CCB"/>
    <w:rsid w:val="00F0192F"/>
    <w:rsid w:val="00F02607"/>
    <w:rsid w:val="00F02AED"/>
    <w:rsid w:val="00F03579"/>
    <w:rsid w:val="00F03BB1"/>
    <w:rsid w:val="00F03C51"/>
    <w:rsid w:val="00F06F86"/>
    <w:rsid w:val="00F07D93"/>
    <w:rsid w:val="00F11D4B"/>
    <w:rsid w:val="00F13AC3"/>
    <w:rsid w:val="00F14FEA"/>
    <w:rsid w:val="00F15033"/>
    <w:rsid w:val="00F15CEE"/>
    <w:rsid w:val="00F16594"/>
    <w:rsid w:val="00F17569"/>
    <w:rsid w:val="00F17635"/>
    <w:rsid w:val="00F203AB"/>
    <w:rsid w:val="00F20DA3"/>
    <w:rsid w:val="00F228AA"/>
    <w:rsid w:val="00F2357C"/>
    <w:rsid w:val="00F24547"/>
    <w:rsid w:val="00F24AB4"/>
    <w:rsid w:val="00F24E74"/>
    <w:rsid w:val="00F27DB7"/>
    <w:rsid w:val="00F31F07"/>
    <w:rsid w:val="00F32CAB"/>
    <w:rsid w:val="00F32E28"/>
    <w:rsid w:val="00F3613C"/>
    <w:rsid w:val="00F366B8"/>
    <w:rsid w:val="00F3697D"/>
    <w:rsid w:val="00F37211"/>
    <w:rsid w:val="00F3734A"/>
    <w:rsid w:val="00F414EA"/>
    <w:rsid w:val="00F41538"/>
    <w:rsid w:val="00F42406"/>
    <w:rsid w:val="00F449F1"/>
    <w:rsid w:val="00F44EAC"/>
    <w:rsid w:val="00F50FA9"/>
    <w:rsid w:val="00F5449E"/>
    <w:rsid w:val="00F54FCA"/>
    <w:rsid w:val="00F55BDD"/>
    <w:rsid w:val="00F603FC"/>
    <w:rsid w:val="00F604AA"/>
    <w:rsid w:val="00F60C4F"/>
    <w:rsid w:val="00F61022"/>
    <w:rsid w:val="00F61089"/>
    <w:rsid w:val="00F62894"/>
    <w:rsid w:val="00F62EBE"/>
    <w:rsid w:val="00F65810"/>
    <w:rsid w:val="00F659E0"/>
    <w:rsid w:val="00F65D85"/>
    <w:rsid w:val="00F67A3A"/>
    <w:rsid w:val="00F71CA0"/>
    <w:rsid w:val="00F72E15"/>
    <w:rsid w:val="00F730B1"/>
    <w:rsid w:val="00F74CBC"/>
    <w:rsid w:val="00F75478"/>
    <w:rsid w:val="00F75E31"/>
    <w:rsid w:val="00F77BE3"/>
    <w:rsid w:val="00F80C48"/>
    <w:rsid w:val="00F80DFA"/>
    <w:rsid w:val="00F80F9D"/>
    <w:rsid w:val="00F81B74"/>
    <w:rsid w:val="00F829CF"/>
    <w:rsid w:val="00F86455"/>
    <w:rsid w:val="00F91A1A"/>
    <w:rsid w:val="00F91D78"/>
    <w:rsid w:val="00F93BB9"/>
    <w:rsid w:val="00F94E4B"/>
    <w:rsid w:val="00F95BB6"/>
    <w:rsid w:val="00F96CB0"/>
    <w:rsid w:val="00F97DFD"/>
    <w:rsid w:val="00FA0180"/>
    <w:rsid w:val="00FA0DE9"/>
    <w:rsid w:val="00FA175F"/>
    <w:rsid w:val="00FA1776"/>
    <w:rsid w:val="00FA1AD8"/>
    <w:rsid w:val="00FA3540"/>
    <w:rsid w:val="00FA385A"/>
    <w:rsid w:val="00FA5629"/>
    <w:rsid w:val="00FA5672"/>
    <w:rsid w:val="00FA6E56"/>
    <w:rsid w:val="00FA73AC"/>
    <w:rsid w:val="00FB0EFB"/>
    <w:rsid w:val="00FB0FB4"/>
    <w:rsid w:val="00FB2838"/>
    <w:rsid w:val="00FB2FAD"/>
    <w:rsid w:val="00FB33DE"/>
    <w:rsid w:val="00FB4C94"/>
    <w:rsid w:val="00FB5F28"/>
    <w:rsid w:val="00FB6349"/>
    <w:rsid w:val="00FB666E"/>
    <w:rsid w:val="00FB6978"/>
    <w:rsid w:val="00FB6BF9"/>
    <w:rsid w:val="00FC053A"/>
    <w:rsid w:val="00FC1AAE"/>
    <w:rsid w:val="00FC365B"/>
    <w:rsid w:val="00FC390E"/>
    <w:rsid w:val="00FC4342"/>
    <w:rsid w:val="00FC4D6F"/>
    <w:rsid w:val="00FC5824"/>
    <w:rsid w:val="00FC5EC9"/>
    <w:rsid w:val="00FC7296"/>
    <w:rsid w:val="00FC7D35"/>
    <w:rsid w:val="00FD2921"/>
    <w:rsid w:val="00FD2BBA"/>
    <w:rsid w:val="00FD2C5F"/>
    <w:rsid w:val="00FD36A4"/>
    <w:rsid w:val="00FD38EB"/>
    <w:rsid w:val="00FD4729"/>
    <w:rsid w:val="00FD6361"/>
    <w:rsid w:val="00FD7A74"/>
    <w:rsid w:val="00FE1465"/>
    <w:rsid w:val="00FE176E"/>
    <w:rsid w:val="00FE18A6"/>
    <w:rsid w:val="00FE1C3C"/>
    <w:rsid w:val="00FE2610"/>
    <w:rsid w:val="00FE3EC6"/>
    <w:rsid w:val="00FE62EB"/>
    <w:rsid w:val="00FE67A5"/>
    <w:rsid w:val="00FE686D"/>
    <w:rsid w:val="00FE7E17"/>
    <w:rsid w:val="00FF001A"/>
    <w:rsid w:val="00FF0342"/>
    <w:rsid w:val="00FF1541"/>
    <w:rsid w:val="00FF1553"/>
    <w:rsid w:val="00FF19DB"/>
    <w:rsid w:val="00FF30D4"/>
    <w:rsid w:val="00FF38A2"/>
    <w:rsid w:val="00FF4D12"/>
    <w:rsid w:val="00FF4DC7"/>
    <w:rsid w:val="00FF5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3385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55C"/>
    <w:rPr>
      <w:rFonts w:ascii="Times New Roman" w:hAnsi="Times New Roman" w:cs="Times New Roman"/>
      <w:lang w:val="en-US"/>
    </w:rPr>
  </w:style>
  <w:style w:type="paragraph" w:styleId="Heading1">
    <w:name w:val="heading 1"/>
    <w:basedOn w:val="Normal"/>
    <w:link w:val="Heading1Char"/>
    <w:uiPriority w:val="9"/>
    <w:qFormat/>
    <w:rsid w:val="009E3D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10"/>
    <w:pPr>
      <w:ind w:left="720"/>
      <w:contextualSpacing/>
    </w:pPr>
    <w:rPr>
      <w:rFonts w:asciiTheme="minorHAnsi" w:hAnsiTheme="minorHAnsi" w:cstheme="minorBidi"/>
    </w:rPr>
  </w:style>
  <w:style w:type="character" w:customStyle="1" w:styleId="apple-converted-space">
    <w:name w:val="apple-converted-space"/>
    <w:basedOn w:val="DefaultParagraphFont"/>
    <w:rsid w:val="005E6010"/>
  </w:style>
  <w:style w:type="paragraph" w:styleId="FootnoteText">
    <w:name w:val="footnote text"/>
    <w:aliases w:val="Footnote Text Char2 Char,Footnote Text Char Char Char,Footnote Text Char1 Char Char Char,Footnote Text Char Char Char Char Char,Footnote Text Char1 Char Char Char Char Char,Footnote Text Char1 Char Char Char1,Ca,FA Fu,FA Fu?notentext"/>
    <w:basedOn w:val="Normal"/>
    <w:link w:val="FootnoteTextChar"/>
    <w:uiPriority w:val="99"/>
    <w:unhideWhenUsed/>
    <w:rsid w:val="005E6010"/>
    <w:rPr>
      <w:rFonts w:asciiTheme="minorHAnsi" w:hAnsiTheme="minorHAnsi" w:cstheme="minorBidi"/>
    </w:rPr>
  </w:style>
  <w:style w:type="character" w:customStyle="1" w:styleId="FootnoteTextChar">
    <w:name w:val="Footnote Text Char"/>
    <w:aliases w:val="Footnote Text Char2 Char Char,Footnote Text Char Char Char Char,Footnote Text Char1 Char Char Char Char,Footnote Text Char Char Char Char Char Char,Footnote Text Char1 Char Char Char Char Char Char,Ca Char,FA Fu Char"/>
    <w:basedOn w:val="DefaultParagraphFont"/>
    <w:link w:val="FootnoteText"/>
    <w:uiPriority w:val="99"/>
    <w:rsid w:val="005E6010"/>
    <w:rPr>
      <w:lang w:val="en-US"/>
    </w:rPr>
  </w:style>
  <w:style w:type="character" w:styleId="FootnoteReference">
    <w:name w:val="footnote reference"/>
    <w:aliases w:val="16 Point,4_G,Appel note de bas de page,BVI fnr,Footnote Reference Char Char Char,Footnote Reference Char1 Char,Footnote Reference Char3,Footnote number,Footnotes refss,Superscript 6 Point,Texto de nota al pie,f,referencia nota al pie"/>
    <w:basedOn w:val="DefaultParagraphFont"/>
    <w:uiPriority w:val="99"/>
    <w:unhideWhenUsed/>
    <w:rsid w:val="005E6010"/>
    <w:rPr>
      <w:vertAlign w:val="superscript"/>
    </w:rPr>
  </w:style>
  <w:style w:type="character" w:styleId="Emphasis">
    <w:name w:val="Emphasis"/>
    <w:basedOn w:val="DefaultParagraphFont"/>
    <w:uiPriority w:val="20"/>
    <w:qFormat/>
    <w:rsid w:val="005E6010"/>
    <w:rPr>
      <w:i/>
      <w:iCs/>
    </w:rPr>
  </w:style>
  <w:style w:type="character" w:styleId="CommentReference">
    <w:name w:val="annotation reference"/>
    <w:basedOn w:val="DefaultParagraphFont"/>
    <w:uiPriority w:val="99"/>
    <w:semiHidden/>
    <w:unhideWhenUsed/>
    <w:rsid w:val="005E6010"/>
    <w:rPr>
      <w:sz w:val="18"/>
      <w:szCs w:val="18"/>
    </w:rPr>
  </w:style>
  <w:style w:type="paragraph" w:styleId="CommentText">
    <w:name w:val="annotation text"/>
    <w:basedOn w:val="Normal"/>
    <w:link w:val="CommentTextChar"/>
    <w:uiPriority w:val="99"/>
    <w:semiHidden/>
    <w:unhideWhenUsed/>
    <w:rsid w:val="005E6010"/>
  </w:style>
  <w:style w:type="character" w:customStyle="1" w:styleId="CommentTextChar">
    <w:name w:val="Comment Text Char"/>
    <w:basedOn w:val="DefaultParagraphFont"/>
    <w:link w:val="CommentText"/>
    <w:uiPriority w:val="99"/>
    <w:semiHidden/>
    <w:rsid w:val="005E6010"/>
    <w:rPr>
      <w:rFonts w:ascii="Times New Roman" w:hAnsi="Times New Roman" w:cs="Times New Roman"/>
      <w:lang w:val="en-US"/>
    </w:rPr>
  </w:style>
  <w:style w:type="paragraph" w:styleId="BalloonText">
    <w:name w:val="Balloon Text"/>
    <w:basedOn w:val="Normal"/>
    <w:link w:val="BalloonTextChar"/>
    <w:uiPriority w:val="99"/>
    <w:semiHidden/>
    <w:unhideWhenUsed/>
    <w:rsid w:val="005E6010"/>
    <w:rPr>
      <w:sz w:val="18"/>
      <w:szCs w:val="18"/>
    </w:rPr>
  </w:style>
  <w:style w:type="character" w:customStyle="1" w:styleId="BalloonTextChar">
    <w:name w:val="Balloon Text Char"/>
    <w:basedOn w:val="DefaultParagraphFont"/>
    <w:link w:val="BalloonText"/>
    <w:uiPriority w:val="99"/>
    <w:semiHidden/>
    <w:rsid w:val="005E6010"/>
    <w:rPr>
      <w:rFonts w:ascii="Times New Roman" w:hAnsi="Times New Roman" w:cs="Times New Roman"/>
      <w:sz w:val="18"/>
      <w:szCs w:val="18"/>
      <w:lang w:val="en-US"/>
    </w:rPr>
  </w:style>
  <w:style w:type="paragraph" w:customStyle="1" w:styleId="p1">
    <w:name w:val="p1"/>
    <w:basedOn w:val="Normal"/>
    <w:rsid w:val="00FE1465"/>
    <w:rPr>
      <w:rFonts w:ascii="Helvetica" w:hAnsi="Helvetica"/>
      <w:sz w:val="18"/>
      <w:szCs w:val="18"/>
    </w:rPr>
  </w:style>
  <w:style w:type="character" w:styleId="Hyperlink">
    <w:name w:val="Hyperlink"/>
    <w:basedOn w:val="DefaultParagraphFont"/>
    <w:uiPriority w:val="99"/>
    <w:unhideWhenUsed/>
    <w:rsid w:val="00FE1465"/>
    <w:rPr>
      <w:color w:val="0000FF"/>
      <w:u w:val="single"/>
    </w:rPr>
  </w:style>
  <w:style w:type="paragraph" w:customStyle="1" w:styleId="label">
    <w:name w:val="label"/>
    <w:basedOn w:val="Normal"/>
    <w:rsid w:val="003F01C9"/>
    <w:pPr>
      <w:spacing w:before="100" w:beforeAutospacing="1" w:after="100" w:afterAutospacing="1"/>
    </w:pPr>
  </w:style>
  <w:style w:type="paragraph" w:customStyle="1" w:styleId="labelled">
    <w:name w:val="labelled"/>
    <w:basedOn w:val="Normal"/>
    <w:rsid w:val="003F01C9"/>
    <w:pPr>
      <w:spacing w:before="100" w:beforeAutospacing="1" w:after="100" w:afterAutospacing="1"/>
    </w:pPr>
  </w:style>
  <w:style w:type="character" w:customStyle="1" w:styleId="label1">
    <w:name w:val="label1"/>
    <w:basedOn w:val="DefaultParagraphFont"/>
    <w:rsid w:val="003F01C9"/>
  </w:style>
  <w:style w:type="paragraph" w:styleId="CommentSubject">
    <w:name w:val="annotation subject"/>
    <w:basedOn w:val="CommentText"/>
    <w:next w:val="CommentText"/>
    <w:link w:val="CommentSubjectChar"/>
    <w:uiPriority w:val="99"/>
    <w:semiHidden/>
    <w:unhideWhenUsed/>
    <w:rsid w:val="00C94CA4"/>
    <w:rPr>
      <w:b/>
      <w:bCs/>
      <w:sz w:val="20"/>
      <w:szCs w:val="20"/>
    </w:rPr>
  </w:style>
  <w:style w:type="character" w:customStyle="1" w:styleId="CommentSubjectChar">
    <w:name w:val="Comment Subject Char"/>
    <w:basedOn w:val="CommentTextChar"/>
    <w:link w:val="CommentSubject"/>
    <w:uiPriority w:val="99"/>
    <w:semiHidden/>
    <w:rsid w:val="00C94CA4"/>
    <w:rPr>
      <w:rFonts w:ascii="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4B2726"/>
    <w:rPr>
      <w:color w:val="954F72" w:themeColor="followedHyperlink"/>
      <w:u w:val="single"/>
    </w:rPr>
  </w:style>
  <w:style w:type="paragraph" w:styleId="NormalWeb">
    <w:name w:val="Normal (Web)"/>
    <w:basedOn w:val="Normal"/>
    <w:uiPriority w:val="99"/>
    <w:unhideWhenUsed/>
    <w:rsid w:val="00017F81"/>
    <w:pPr>
      <w:spacing w:before="100" w:beforeAutospacing="1" w:after="100" w:afterAutospacing="1"/>
    </w:pPr>
  </w:style>
  <w:style w:type="character" w:customStyle="1" w:styleId="s1">
    <w:name w:val="s1"/>
    <w:basedOn w:val="DefaultParagraphFont"/>
    <w:rsid w:val="00363BED"/>
    <w:rPr>
      <w:rFonts w:ascii="Times" w:hAnsi="Times" w:hint="default"/>
      <w:sz w:val="11"/>
      <w:szCs w:val="11"/>
    </w:rPr>
  </w:style>
  <w:style w:type="paragraph" w:styleId="Revision">
    <w:name w:val="Revision"/>
    <w:hidden/>
    <w:uiPriority w:val="99"/>
    <w:semiHidden/>
    <w:rsid w:val="00994875"/>
    <w:rPr>
      <w:rFonts w:ascii="Times New Roman" w:hAnsi="Times New Roman" w:cs="Times New Roman"/>
      <w:lang w:val="en-US"/>
    </w:rPr>
  </w:style>
  <w:style w:type="paragraph" w:styleId="Footer">
    <w:name w:val="footer"/>
    <w:basedOn w:val="Normal"/>
    <w:link w:val="FooterChar"/>
    <w:uiPriority w:val="99"/>
    <w:unhideWhenUsed/>
    <w:rsid w:val="00DC6719"/>
    <w:pPr>
      <w:tabs>
        <w:tab w:val="center" w:pos="4513"/>
        <w:tab w:val="right" w:pos="9026"/>
      </w:tabs>
    </w:pPr>
  </w:style>
  <w:style w:type="character" w:customStyle="1" w:styleId="FooterChar">
    <w:name w:val="Footer Char"/>
    <w:basedOn w:val="DefaultParagraphFont"/>
    <w:link w:val="Footer"/>
    <w:uiPriority w:val="99"/>
    <w:rsid w:val="00DC6719"/>
    <w:rPr>
      <w:rFonts w:ascii="Times New Roman" w:hAnsi="Times New Roman" w:cs="Times New Roman"/>
      <w:lang w:val="en-US"/>
    </w:rPr>
  </w:style>
  <w:style w:type="character" w:styleId="PageNumber">
    <w:name w:val="page number"/>
    <w:basedOn w:val="DefaultParagraphFont"/>
    <w:uiPriority w:val="99"/>
    <w:semiHidden/>
    <w:unhideWhenUsed/>
    <w:rsid w:val="00DC6719"/>
  </w:style>
  <w:style w:type="character" w:customStyle="1" w:styleId="UnresolvedMention1">
    <w:name w:val="Unresolved Mention1"/>
    <w:basedOn w:val="DefaultParagraphFont"/>
    <w:uiPriority w:val="99"/>
    <w:rsid w:val="00477EC9"/>
    <w:rPr>
      <w:color w:val="808080"/>
      <w:shd w:val="clear" w:color="auto" w:fill="E6E6E6"/>
    </w:rPr>
  </w:style>
  <w:style w:type="character" w:customStyle="1" w:styleId="Heading1Char">
    <w:name w:val="Heading 1 Char"/>
    <w:basedOn w:val="DefaultParagraphFont"/>
    <w:link w:val="Heading1"/>
    <w:uiPriority w:val="9"/>
    <w:rsid w:val="009E3DE5"/>
    <w:rPr>
      <w:rFonts w:ascii="Times New Roman" w:hAnsi="Times New Roman" w:cs="Times New Roman"/>
      <w:b/>
      <w:bCs/>
      <w:kern w:val="36"/>
      <w:sz w:val="48"/>
      <w:szCs w:val="48"/>
      <w:lang w:val="en-US"/>
    </w:rPr>
  </w:style>
  <w:style w:type="character" w:styleId="Strong">
    <w:name w:val="Strong"/>
    <w:basedOn w:val="DefaultParagraphFont"/>
    <w:uiPriority w:val="22"/>
    <w:qFormat/>
    <w:rsid w:val="009B528B"/>
    <w:rPr>
      <w:b/>
      <w:bCs/>
    </w:rPr>
  </w:style>
  <w:style w:type="character" w:customStyle="1" w:styleId="UnresolvedMention2">
    <w:name w:val="Unresolved Mention2"/>
    <w:basedOn w:val="DefaultParagraphFont"/>
    <w:uiPriority w:val="99"/>
    <w:rsid w:val="00495F7B"/>
    <w:rPr>
      <w:color w:val="808080"/>
      <w:shd w:val="clear" w:color="auto" w:fill="E6E6E6"/>
    </w:rPr>
  </w:style>
  <w:style w:type="paragraph" w:styleId="EndnoteText">
    <w:name w:val="endnote text"/>
    <w:basedOn w:val="Normal"/>
    <w:link w:val="EndnoteTextChar"/>
    <w:uiPriority w:val="99"/>
    <w:unhideWhenUsed/>
    <w:rsid w:val="00D50C1A"/>
  </w:style>
  <w:style w:type="character" w:customStyle="1" w:styleId="EndnoteTextChar">
    <w:name w:val="Endnote Text Char"/>
    <w:basedOn w:val="DefaultParagraphFont"/>
    <w:link w:val="EndnoteText"/>
    <w:uiPriority w:val="99"/>
    <w:rsid w:val="00D50C1A"/>
    <w:rPr>
      <w:rFonts w:ascii="Times New Roman" w:hAnsi="Times New Roman" w:cs="Times New Roman"/>
      <w:lang w:val="en-US"/>
    </w:rPr>
  </w:style>
  <w:style w:type="character" w:styleId="EndnoteReference">
    <w:name w:val="endnote reference"/>
    <w:basedOn w:val="DefaultParagraphFont"/>
    <w:uiPriority w:val="99"/>
    <w:unhideWhenUsed/>
    <w:rsid w:val="00D50C1A"/>
    <w:rPr>
      <w:vertAlign w:val="superscript"/>
    </w:rPr>
  </w:style>
  <w:style w:type="character" w:customStyle="1" w:styleId="s2">
    <w:name w:val="s2"/>
    <w:basedOn w:val="DefaultParagraphFont"/>
    <w:rsid w:val="004E7C09"/>
    <w:rPr>
      <w:rFonts w:ascii="Times" w:hAnsi="Times" w:hint="default"/>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1105">
      <w:bodyDiv w:val="1"/>
      <w:marLeft w:val="0"/>
      <w:marRight w:val="0"/>
      <w:marTop w:val="0"/>
      <w:marBottom w:val="0"/>
      <w:divBdr>
        <w:top w:val="none" w:sz="0" w:space="0" w:color="auto"/>
        <w:left w:val="none" w:sz="0" w:space="0" w:color="auto"/>
        <w:bottom w:val="none" w:sz="0" w:space="0" w:color="auto"/>
        <w:right w:val="none" w:sz="0" w:space="0" w:color="auto"/>
      </w:divBdr>
    </w:div>
    <w:div w:id="27607699">
      <w:bodyDiv w:val="1"/>
      <w:marLeft w:val="0"/>
      <w:marRight w:val="0"/>
      <w:marTop w:val="0"/>
      <w:marBottom w:val="0"/>
      <w:divBdr>
        <w:top w:val="none" w:sz="0" w:space="0" w:color="auto"/>
        <w:left w:val="none" w:sz="0" w:space="0" w:color="auto"/>
        <w:bottom w:val="none" w:sz="0" w:space="0" w:color="auto"/>
        <w:right w:val="none" w:sz="0" w:space="0" w:color="auto"/>
      </w:divBdr>
    </w:div>
    <w:div w:id="48189840">
      <w:bodyDiv w:val="1"/>
      <w:marLeft w:val="0"/>
      <w:marRight w:val="0"/>
      <w:marTop w:val="0"/>
      <w:marBottom w:val="0"/>
      <w:divBdr>
        <w:top w:val="none" w:sz="0" w:space="0" w:color="auto"/>
        <w:left w:val="none" w:sz="0" w:space="0" w:color="auto"/>
        <w:bottom w:val="none" w:sz="0" w:space="0" w:color="auto"/>
        <w:right w:val="none" w:sz="0" w:space="0" w:color="auto"/>
      </w:divBdr>
    </w:div>
    <w:div w:id="141191726">
      <w:bodyDiv w:val="1"/>
      <w:marLeft w:val="0"/>
      <w:marRight w:val="0"/>
      <w:marTop w:val="0"/>
      <w:marBottom w:val="0"/>
      <w:divBdr>
        <w:top w:val="none" w:sz="0" w:space="0" w:color="auto"/>
        <w:left w:val="none" w:sz="0" w:space="0" w:color="auto"/>
        <w:bottom w:val="none" w:sz="0" w:space="0" w:color="auto"/>
        <w:right w:val="none" w:sz="0" w:space="0" w:color="auto"/>
      </w:divBdr>
    </w:div>
    <w:div w:id="152649952">
      <w:bodyDiv w:val="1"/>
      <w:marLeft w:val="0"/>
      <w:marRight w:val="0"/>
      <w:marTop w:val="0"/>
      <w:marBottom w:val="0"/>
      <w:divBdr>
        <w:top w:val="none" w:sz="0" w:space="0" w:color="auto"/>
        <w:left w:val="none" w:sz="0" w:space="0" w:color="auto"/>
        <w:bottom w:val="none" w:sz="0" w:space="0" w:color="auto"/>
        <w:right w:val="none" w:sz="0" w:space="0" w:color="auto"/>
      </w:divBdr>
    </w:div>
    <w:div w:id="312684256">
      <w:bodyDiv w:val="1"/>
      <w:marLeft w:val="0"/>
      <w:marRight w:val="0"/>
      <w:marTop w:val="0"/>
      <w:marBottom w:val="0"/>
      <w:divBdr>
        <w:top w:val="none" w:sz="0" w:space="0" w:color="auto"/>
        <w:left w:val="none" w:sz="0" w:space="0" w:color="auto"/>
        <w:bottom w:val="none" w:sz="0" w:space="0" w:color="auto"/>
        <w:right w:val="none" w:sz="0" w:space="0" w:color="auto"/>
      </w:divBdr>
    </w:div>
    <w:div w:id="379209558">
      <w:bodyDiv w:val="1"/>
      <w:marLeft w:val="0"/>
      <w:marRight w:val="0"/>
      <w:marTop w:val="0"/>
      <w:marBottom w:val="0"/>
      <w:divBdr>
        <w:top w:val="none" w:sz="0" w:space="0" w:color="auto"/>
        <w:left w:val="none" w:sz="0" w:space="0" w:color="auto"/>
        <w:bottom w:val="none" w:sz="0" w:space="0" w:color="auto"/>
        <w:right w:val="none" w:sz="0" w:space="0" w:color="auto"/>
      </w:divBdr>
    </w:div>
    <w:div w:id="470906384">
      <w:bodyDiv w:val="1"/>
      <w:marLeft w:val="0"/>
      <w:marRight w:val="0"/>
      <w:marTop w:val="0"/>
      <w:marBottom w:val="0"/>
      <w:divBdr>
        <w:top w:val="none" w:sz="0" w:space="0" w:color="auto"/>
        <w:left w:val="none" w:sz="0" w:space="0" w:color="auto"/>
        <w:bottom w:val="none" w:sz="0" w:space="0" w:color="auto"/>
        <w:right w:val="none" w:sz="0" w:space="0" w:color="auto"/>
      </w:divBdr>
    </w:div>
    <w:div w:id="488642100">
      <w:bodyDiv w:val="1"/>
      <w:marLeft w:val="0"/>
      <w:marRight w:val="0"/>
      <w:marTop w:val="0"/>
      <w:marBottom w:val="0"/>
      <w:divBdr>
        <w:top w:val="none" w:sz="0" w:space="0" w:color="auto"/>
        <w:left w:val="none" w:sz="0" w:space="0" w:color="auto"/>
        <w:bottom w:val="none" w:sz="0" w:space="0" w:color="auto"/>
        <w:right w:val="none" w:sz="0" w:space="0" w:color="auto"/>
      </w:divBdr>
    </w:div>
    <w:div w:id="531917270">
      <w:bodyDiv w:val="1"/>
      <w:marLeft w:val="0"/>
      <w:marRight w:val="0"/>
      <w:marTop w:val="0"/>
      <w:marBottom w:val="0"/>
      <w:divBdr>
        <w:top w:val="none" w:sz="0" w:space="0" w:color="auto"/>
        <w:left w:val="none" w:sz="0" w:space="0" w:color="auto"/>
        <w:bottom w:val="none" w:sz="0" w:space="0" w:color="auto"/>
        <w:right w:val="none" w:sz="0" w:space="0" w:color="auto"/>
      </w:divBdr>
    </w:div>
    <w:div w:id="618535169">
      <w:bodyDiv w:val="1"/>
      <w:marLeft w:val="0"/>
      <w:marRight w:val="0"/>
      <w:marTop w:val="0"/>
      <w:marBottom w:val="0"/>
      <w:divBdr>
        <w:top w:val="none" w:sz="0" w:space="0" w:color="auto"/>
        <w:left w:val="none" w:sz="0" w:space="0" w:color="auto"/>
        <w:bottom w:val="none" w:sz="0" w:space="0" w:color="auto"/>
        <w:right w:val="none" w:sz="0" w:space="0" w:color="auto"/>
      </w:divBdr>
    </w:div>
    <w:div w:id="658995045">
      <w:bodyDiv w:val="1"/>
      <w:marLeft w:val="0"/>
      <w:marRight w:val="0"/>
      <w:marTop w:val="0"/>
      <w:marBottom w:val="0"/>
      <w:divBdr>
        <w:top w:val="none" w:sz="0" w:space="0" w:color="auto"/>
        <w:left w:val="none" w:sz="0" w:space="0" w:color="auto"/>
        <w:bottom w:val="none" w:sz="0" w:space="0" w:color="auto"/>
        <w:right w:val="none" w:sz="0" w:space="0" w:color="auto"/>
      </w:divBdr>
    </w:div>
    <w:div w:id="670375080">
      <w:bodyDiv w:val="1"/>
      <w:marLeft w:val="0"/>
      <w:marRight w:val="0"/>
      <w:marTop w:val="0"/>
      <w:marBottom w:val="0"/>
      <w:divBdr>
        <w:top w:val="none" w:sz="0" w:space="0" w:color="auto"/>
        <w:left w:val="none" w:sz="0" w:space="0" w:color="auto"/>
        <w:bottom w:val="none" w:sz="0" w:space="0" w:color="auto"/>
        <w:right w:val="none" w:sz="0" w:space="0" w:color="auto"/>
      </w:divBdr>
    </w:div>
    <w:div w:id="695156052">
      <w:bodyDiv w:val="1"/>
      <w:marLeft w:val="0"/>
      <w:marRight w:val="0"/>
      <w:marTop w:val="0"/>
      <w:marBottom w:val="0"/>
      <w:divBdr>
        <w:top w:val="none" w:sz="0" w:space="0" w:color="auto"/>
        <w:left w:val="none" w:sz="0" w:space="0" w:color="auto"/>
        <w:bottom w:val="none" w:sz="0" w:space="0" w:color="auto"/>
        <w:right w:val="none" w:sz="0" w:space="0" w:color="auto"/>
      </w:divBdr>
    </w:div>
    <w:div w:id="718162796">
      <w:bodyDiv w:val="1"/>
      <w:marLeft w:val="0"/>
      <w:marRight w:val="0"/>
      <w:marTop w:val="0"/>
      <w:marBottom w:val="0"/>
      <w:divBdr>
        <w:top w:val="none" w:sz="0" w:space="0" w:color="auto"/>
        <w:left w:val="none" w:sz="0" w:space="0" w:color="auto"/>
        <w:bottom w:val="none" w:sz="0" w:space="0" w:color="auto"/>
        <w:right w:val="none" w:sz="0" w:space="0" w:color="auto"/>
      </w:divBdr>
    </w:div>
    <w:div w:id="719018376">
      <w:bodyDiv w:val="1"/>
      <w:marLeft w:val="0"/>
      <w:marRight w:val="0"/>
      <w:marTop w:val="0"/>
      <w:marBottom w:val="0"/>
      <w:divBdr>
        <w:top w:val="none" w:sz="0" w:space="0" w:color="auto"/>
        <w:left w:val="none" w:sz="0" w:space="0" w:color="auto"/>
        <w:bottom w:val="none" w:sz="0" w:space="0" w:color="auto"/>
        <w:right w:val="none" w:sz="0" w:space="0" w:color="auto"/>
      </w:divBdr>
    </w:div>
    <w:div w:id="731663595">
      <w:bodyDiv w:val="1"/>
      <w:marLeft w:val="0"/>
      <w:marRight w:val="0"/>
      <w:marTop w:val="0"/>
      <w:marBottom w:val="0"/>
      <w:divBdr>
        <w:top w:val="none" w:sz="0" w:space="0" w:color="auto"/>
        <w:left w:val="none" w:sz="0" w:space="0" w:color="auto"/>
        <w:bottom w:val="none" w:sz="0" w:space="0" w:color="auto"/>
        <w:right w:val="none" w:sz="0" w:space="0" w:color="auto"/>
      </w:divBdr>
    </w:div>
    <w:div w:id="732965698">
      <w:bodyDiv w:val="1"/>
      <w:marLeft w:val="0"/>
      <w:marRight w:val="0"/>
      <w:marTop w:val="0"/>
      <w:marBottom w:val="0"/>
      <w:divBdr>
        <w:top w:val="none" w:sz="0" w:space="0" w:color="auto"/>
        <w:left w:val="none" w:sz="0" w:space="0" w:color="auto"/>
        <w:bottom w:val="none" w:sz="0" w:space="0" w:color="auto"/>
        <w:right w:val="none" w:sz="0" w:space="0" w:color="auto"/>
      </w:divBdr>
    </w:div>
    <w:div w:id="766771638">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397018">
      <w:bodyDiv w:val="1"/>
      <w:marLeft w:val="0"/>
      <w:marRight w:val="0"/>
      <w:marTop w:val="0"/>
      <w:marBottom w:val="0"/>
      <w:divBdr>
        <w:top w:val="none" w:sz="0" w:space="0" w:color="auto"/>
        <w:left w:val="none" w:sz="0" w:space="0" w:color="auto"/>
        <w:bottom w:val="none" w:sz="0" w:space="0" w:color="auto"/>
        <w:right w:val="none" w:sz="0" w:space="0" w:color="auto"/>
      </w:divBdr>
    </w:div>
    <w:div w:id="863641006">
      <w:bodyDiv w:val="1"/>
      <w:marLeft w:val="0"/>
      <w:marRight w:val="0"/>
      <w:marTop w:val="0"/>
      <w:marBottom w:val="0"/>
      <w:divBdr>
        <w:top w:val="none" w:sz="0" w:space="0" w:color="auto"/>
        <w:left w:val="none" w:sz="0" w:space="0" w:color="auto"/>
        <w:bottom w:val="none" w:sz="0" w:space="0" w:color="auto"/>
        <w:right w:val="none" w:sz="0" w:space="0" w:color="auto"/>
      </w:divBdr>
    </w:div>
    <w:div w:id="874583413">
      <w:bodyDiv w:val="1"/>
      <w:marLeft w:val="0"/>
      <w:marRight w:val="0"/>
      <w:marTop w:val="0"/>
      <w:marBottom w:val="0"/>
      <w:divBdr>
        <w:top w:val="none" w:sz="0" w:space="0" w:color="auto"/>
        <w:left w:val="none" w:sz="0" w:space="0" w:color="auto"/>
        <w:bottom w:val="none" w:sz="0" w:space="0" w:color="auto"/>
        <w:right w:val="none" w:sz="0" w:space="0" w:color="auto"/>
      </w:divBdr>
    </w:div>
    <w:div w:id="917054209">
      <w:bodyDiv w:val="1"/>
      <w:marLeft w:val="0"/>
      <w:marRight w:val="0"/>
      <w:marTop w:val="0"/>
      <w:marBottom w:val="0"/>
      <w:divBdr>
        <w:top w:val="none" w:sz="0" w:space="0" w:color="auto"/>
        <w:left w:val="none" w:sz="0" w:space="0" w:color="auto"/>
        <w:bottom w:val="none" w:sz="0" w:space="0" w:color="auto"/>
        <w:right w:val="none" w:sz="0" w:space="0" w:color="auto"/>
      </w:divBdr>
    </w:div>
    <w:div w:id="949582869">
      <w:bodyDiv w:val="1"/>
      <w:marLeft w:val="0"/>
      <w:marRight w:val="0"/>
      <w:marTop w:val="0"/>
      <w:marBottom w:val="0"/>
      <w:divBdr>
        <w:top w:val="none" w:sz="0" w:space="0" w:color="auto"/>
        <w:left w:val="none" w:sz="0" w:space="0" w:color="auto"/>
        <w:bottom w:val="none" w:sz="0" w:space="0" w:color="auto"/>
        <w:right w:val="none" w:sz="0" w:space="0" w:color="auto"/>
      </w:divBdr>
    </w:div>
    <w:div w:id="964628355">
      <w:bodyDiv w:val="1"/>
      <w:marLeft w:val="0"/>
      <w:marRight w:val="0"/>
      <w:marTop w:val="0"/>
      <w:marBottom w:val="0"/>
      <w:divBdr>
        <w:top w:val="none" w:sz="0" w:space="0" w:color="auto"/>
        <w:left w:val="none" w:sz="0" w:space="0" w:color="auto"/>
        <w:bottom w:val="none" w:sz="0" w:space="0" w:color="auto"/>
        <w:right w:val="none" w:sz="0" w:space="0" w:color="auto"/>
      </w:divBdr>
    </w:div>
    <w:div w:id="1000625364">
      <w:bodyDiv w:val="1"/>
      <w:marLeft w:val="0"/>
      <w:marRight w:val="0"/>
      <w:marTop w:val="0"/>
      <w:marBottom w:val="0"/>
      <w:divBdr>
        <w:top w:val="none" w:sz="0" w:space="0" w:color="auto"/>
        <w:left w:val="none" w:sz="0" w:space="0" w:color="auto"/>
        <w:bottom w:val="none" w:sz="0" w:space="0" w:color="auto"/>
        <w:right w:val="none" w:sz="0" w:space="0" w:color="auto"/>
      </w:divBdr>
    </w:div>
    <w:div w:id="1004943257">
      <w:bodyDiv w:val="1"/>
      <w:marLeft w:val="0"/>
      <w:marRight w:val="0"/>
      <w:marTop w:val="0"/>
      <w:marBottom w:val="0"/>
      <w:divBdr>
        <w:top w:val="none" w:sz="0" w:space="0" w:color="auto"/>
        <w:left w:val="none" w:sz="0" w:space="0" w:color="auto"/>
        <w:bottom w:val="none" w:sz="0" w:space="0" w:color="auto"/>
        <w:right w:val="none" w:sz="0" w:space="0" w:color="auto"/>
      </w:divBdr>
    </w:div>
    <w:div w:id="1039009283">
      <w:bodyDiv w:val="1"/>
      <w:marLeft w:val="0"/>
      <w:marRight w:val="0"/>
      <w:marTop w:val="0"/>
      <w:marBottom w:val="0"/>
      <w:divBdr>
        <w:top w:val="none" w:sz="0" w:space="0" w:color="auto"/>
        <w:left w:val="none" w:sz="0" w:space="0" w:color="auto"/>
        <w:bottom w:val="none" w:sz="0" w:space="0" w:color="auto"/>
        <w:right w:val="none" w:sz="0" w:space="0" w:color="auto"/>
      </w:divBdr>
    </w:div>
    <w:div w:id="1047678544">
      <w:bodyDiv w:val="1"/>
      <w:marLeft w:val="0"/>
      <w:marRight w:val="0"/>
      <w:marTop w:val="0"/>
      <w:marBottom w:val="0"/>
      <w:divBdr>
        <w:top w:val="none" w:sz="0" w:space="0" w:color="auto"/>
        <w:left w:val="none" w:sz="0" w:space="0" w:color="auto"/>
        <w:bottom w:val="none" w:sz="0" w:space="0" w:color="auto"/>
        <w:right w:val="none" w:sz="0" w:space="0" w:color="auto"/>
      </w:divBdr>
    </w:div>
    <w:div w:id="1168254707">
      <w:bodyDiv w:val="1"/>
      <w:marLeft w:val="0"/>
      <w:marRight w:val="0"/>
      <w:marTop w:val="0"/>
      <w:marBottom w:val="0"/>
      <w:divBdr>
        <w:top w:val="none" w:sz="0" w:space="0" w:color="auto"/>
        <w:left w:val="none" w:sz="0" w:space="0" w:color="auto"/>
        <w:bottom w:val="none" w:sz="0" w:space="0" w:color="auto"/>
        <w:right w:val="none" w:sz="0" w:space="0" w:color="auto"/>
      </w:divBdr>
    </w:div>
    <w:div w:id="1178957732">
      <w:bodyDiv w:val="1"/>
      <w:marLeft w:val="0"/>
      <w:marRight w:val="0"/>
      <w:marTop w:val="0"/>
      <w:marBottom w:val="0"/>
      <w:divBdr>
        <w:top w:val="none" w:sz="0" w:space="0" w:color="auto"/>
        <w:left w:val="none" w:sz="0" w:space="0" w:color="auto"/>
        <w:bottom w:val="none" w:sz="0" w:space="0" w:color="auto"/>
        <w:right w:val="none" w:sz="0" w:space="0" w:color="auto"/>
      </w:divBdr>
    </w:div>
    <w:div w:id="1216743036">
      <w:bodyDiv w:val="1"/>
      <w:marLeft w:val="0"/>
      <w:marRight w:val="0"/>
      <w:marTop w:val="0"/>
      <w:marBottom w:val="0"/>
      <w:divBdr>
        <w:top w:val="none" w:sz="0" w:space="0" w:color="auto"/>
        <w:left w:val="none" w:sz="0" w:space="0" w:color="auto"/>
        <w:bottom w:val="none" w:sz="0" w:space="0" w:color="auto"/>
        <w:right w:val="none" w:sz="0" w:space="0" w:color="auto"/>
      </w:divBdr>
    </w:div>
    <w:div w:id="1232077571">
      <w:bodyDiv w:val="1"/>
      <w:marLeft w:val="0"/>
      <w:marRight w:val="0"/>
      <w:marTop w:val="0"/>
      <w:marBottom w:val="0"/>
      <w:divBdr>
        <w:top w:val="none" w:sz="0" w:space="0" w:color="auto"/>
        <w:left w:val="none" w:sz="0" w:space="0" w:color="auto"/>
        <w:bottom w:val="none" w:sz="0" w:space="0" w:color="auto"/>
        <w:right w:val="none" w:sz="0" w:space="0" w:color="auto"/>
      </w:divBdr>
    </w:div>
    <w:div w:id="1233540921">
      <w:bodyDiv w:val="1"/>
      <w:marLeft w:val="0"/>
      <w:marRight w:val="0"/>
      <w:marTop w:val="0"/>
      <w:marBottom w:val="0"/>
      <w:divBdr>
        <w:top w:val="none" w:sz="0" w:space="0" w:color="auto"/>
        <w:left w:val="none" w:sz="0" w:space="0" w:color="auto"/>
        <w:bottom w:val="none" w:sz="0" w:space="0" w:color="auto"/>
        <w:right w:val="none" w:sz="0" w:space="0" w:color="auto"/>
      </w:divBdr>
    </w:div>
    <w:div w:id="1258439612">
      <w:bodyDiv w:val="1"/>
      <w:marLeft w:val="0"/>
      <w:marRight w:val="0"/>
      <w:marTop w:val="0"/>
      <w:marBottom w:val="0"/>
      <w:divBdr>
        <w:top w:val="none" w:sz="0" w:space="0" w:color="auto"/>
        <w:left w:val="none" w:sz="0" w:space="0" w:color="auto"/>
        <w:bottom w:val="none" w:sz="0" w:space="0" w:color="auto"/>
        <w:right w:val="none" w:sz="0" w:space="0" w:color="auto"/>
      </w:divBdr>
    </w:div>
    <w:div w:id="1273704339">
      <w:bodyDiv w:val="1"/>
      <w:marLeft w:val="0"/>
      <w:marRight w:val="0"/>
      <w:marTop w:val="0"/>
      <w:marBottom w:val="0"/>
      <w:divBdr>
        <w:top w:val="none" w:sz="0" w:space="0" w:color="auto"/>
        <w:left w:val="none" w:sz="0" w:space="0" w:color="auto"/>
        <w:bottom w:val="none" w:sz="0" w:space="0" w:color="auto"/>
        <w:right w:val="none" w:sz="0" w:space="0" w:color="auto"/>
      </w:divBdr>
    </w:div>
    <w:div w:id="1306205271">
      <w:bodyDiv w:val="1"/>
      <w:marLeft w:val="0"/>
      <w:marRight w:val="0"/>
      <w:marTop w:val="0"/>
      <w:marBottom w:val="0"/>
      <w:divBdr>
        <w:top w:val="none" w:sz="0" w:space="0" w:color="auto"/>
        <w:left w:val="none" w:sz="0" w:space="0" w:color="auto"/>
        <w:bottom w:val="none" w:sz="0" w:space="0" w:color="auto"/>
        <w:right w:val="none" w:sz="0" w:space="0" w:color="auto"/>
      </w:divBdr>
    </w:div>
    <w:div w:id="1312297713">
      <w:bodyDiv w:val="1"/>
      <w:marLeft w:val="0"/>
      <w:marRight w:val="0"/>
      <w:marTop w:val="0"/>
      <w:marBottom w:val="0"/>
      <w:divBdr>
        <w:top w:val="none" w:sz="0" w:space="0" w:color="auto"/>
        <w:left w:val="none" w:sz="0" w:space="0" w:color="auto"/>
        <w:bottom w:val="none" w:sz="0" w:space="0" w:color="auto"/>
        <w:right w:val="none" w:sz="0" w:space="0" w:color="auto"/>
      </w:divBdr>
    </w:div>
    <w:div w:id="1420523348">
      <w:bodyDiv w:val="1"/>
      <w:marLeft w:val="0"/>
      <w:marRight w:val="0"/>
      <w:marTop w:val="0"/>
      <w:marBottom w:val="0"/>
      <w:divBdr>
        <w:top w:val="none" w:sz="0" w:space="0" w:color="auto"/>
        <w:left w:val="none" w:sz="0" w:space="0" w:color="auto"/>
        <w:bottom w:val="none" w:sz="0" w:space="0" w:color="auto"/>
        <w:right w:val="none" w:sz="0" w:space="0" w:color="auto"/>
      </w:divBdr>
    </w:div>
    <w:div w:id="1443768325">
      <w:bodyDiv w:val="1"/>
      <w:marLeft w:val="0"/>
      <w:marRight w:val="0"/>
      <w:marTop w:val="0"/>
      <w:marBottom w:val="0"/>
      <w:divBdr>
        <w:top w:val="none" w:sz="0" w:space="0" w:color="auto"/>
        <w:left w:val="none" w:sz="0" w:space="0" w:color="auto"/>
        <w:bottom w:val="none" w:sz="0" w:space="0" w:color="auto"/>
        <w:right w:val="none" w:sz="0" w:space="0" w:color="auto"/>
      </w:divBdr>
    </w:div>
    <w:div w:id="1470980334">
      <w:bodyDiv w:val="1"/>
      <w:marLeft w:val="0"/>
      <w:marRight w:val="0"/>
      <w:marTop w:val="0"/>
      <w:marBottom w:val="0"/>
      <w:divBdr>
        <w:top w:val="none" w:sz="0" w:space="0" w:color="auto"/>
        <w:left w:val="none" w:sz="0" w:space="0" w:color="auto"/>
        <w:bottom w:val="none" w:sz="0" w:space="0" w:color="auto"/>
        <w:right w:val="none" w:sz="0" w:space="0" w:color="auto"/>
      </w:divBdr>
    </w:div>
    <w:div w:id="1491557484">
      <w:bodyDiv w:val="1"/>
      <w:marLeft w:val="0"/>
      <w:marRight w:val="0"/>
      <w:marTop w:val="0"/>
      <w:marBottom w:val="0"/>
      <w:divBdr>
        <w:top w:val="none" w:sz="0" w:space="0" w:color="auto"/>
        <w:left w:val="none" w:sz="0" w:space="0" w:color="auto"/>
        <w:bottom w:val="none" w:sz="0" w:space="0" w:color="auto"/>
        <w:right w:val="none" w:sz="0" w:space="0" w:color="auto"/>
      </w:divBdr>
    </w:div>
    <w:div w:id="1509517926">
      <w:bodyDiv w:val="1"/>
      <w:marLeft w:val="0"/>
      <w:marRight w:val="0"/>
      <w:marTop w:val="0"/>
      <w:marBottom w:val="0"/>
      <w:divBdr>
        <w:top w:val="none" w:sz="0" w:space="0" w:color="auto"/>
        <w:left w:val="none" w:sz="0" w:space="0" w:color="auto"/>
        <w:bottom w:val="none" w:sz="0" w:space="0" w:color="auto"/>
        <w:right w:val="none" w:sz="0" w:space="0" w:color="auto"/>
      </w:divBdr>
    </w:div>
    <w:div w:id="1511021053">
      <w:bodyDiv w:val="1"/>
      <w:marLeft w:val="0"/>
      <w:marRight w:val="0"/>
      <w:marTop w:val="0"/>
      <w:marBottom w:val="0"/>
      <w:divBdr>
        <w:top w:val="none" w:sz="0" w:space="0" w:color="auto"/>
        <w:left w:val="none" w:sz="0" w:space="0" w:color="auto"/>
        <w:bottom w:val="none" w:sz="0" w:space="0" w:color="auto"/>
        <w:right w:val="none" w:sz="0" w:space="0" w:color="auto"/>
      </w:divBdr>
    </w:div>
    <w:div w:id="1548569787">
      <w:bodyDiv w:val="1"/>
      <w:marLeft w:val="0"/>
      <w:marRight w:val="0"/>
      <w:marTop w:val="0"/>
      <w:marBottom w:val="0"/>
      <w:divBdr>
        <w:top w:val="none" w:sz="0" w:space="0" w:color="auto"/>
        <w:left w:val="none" w:sz="0" w:space="0" w:color="auto"/>
        <w:bottom w:val="none" w:sz="0" w:space="0" w:color="auto"/>
        <w:right w:val="none" w:sz="0" w:space="0" w:color="auto"/>
      </w:divBdr>
    </w:div>
    <w:div w:id="1592009775">
      <w:bodyDiv w:val="1"/>
      <w:marLeft w:val="0"/>
      <w:marRight w:val="0"/>
      <w:marTop w:val="0"/>
      <w:marBottom w:val="0"/>
      <w:divBdr>
        <w:top w:val="none" w:sz="0" w:space="0" w:color="auto"/>
        <w:left w:val="none" w:sz="0" w:space="0" w:color="auto"/>
        <w:bottom w:val="none" w:sz="0" w:space="0" w:color="auto"/>
        <w:right w:val="none" w:sz="0" w:space="0" w:color="auto"/>
      </w:divBdr>
    </w:div>
    <w:div w:id="1613247235">
      <w:bodyDiv w:val="1"/>
      <w:marLeft w:val="0"/>
      <w:marRight w:val="0"/>
      <w:marTop w:val="0"/>
      <w:marBottom w:val="0"/>
      <w:divBdr>
        <w:top w:val="none" w:sz="0" w:space="0" w:color="auto"/>
        <w:left w:val="none" w:sz="0" w:space="0" w:color="auto"/>
        <w:bottom w:val="none" w:sz="0" w:space="0" w:color="auto"/>
        <w:right w:val="none" w:sz="0" w:space="0" w:color="auto"/>
      </w:divBdr>
    </w:div>
    <w:div w:id="1620726318">
      <w:bodyDiv w:val="1"/>
      <w:marLeft w:val="0"/>
      <w:marRight w:val="0"/>
      <w:marTop w:val="0"/>
      <w:marBottom w:val="0"/>
      <w:divBdr>
        <w:top w:val="none" w:sz="0" w:space="0" w:color="auto"/>
        <w:left w:val="none" w:sz="0" w:space="0" w:color="auto"/>
        <w:bottom w:val="none" w:sz="0" w:space="0" w:color="auto"/>
        <w:right w:val="none" w:sz="0" w:space="0" w:color="auto"/>
      </w:divBdr>
    </w:div>
    <w:div w:id="1689985524">
      <w:bodyDiv w:val="1"/>
      <w:marLeft w:val="0"/>
      <w:marRight w:val="0"/>
      <w:marTop w:val="0"/>
      <w:marBottom w:val="0"/>
      <w:divBdr>
        <w:top w:val="none" w:sz="0" w:space="0" w:color="auto"/>
        <w:left w:val="none" w:sz="0" w:space="0" w:color="auto"/>
        <w:bottom w:val="none" w:sz="0" w:space="0" w:color="auto"/>
        <w:right w:val="none" w:sz="0" w:space="0" w:color="auto"/>
      </w:divBdr>
    </w:div>
    <w:div w:id="1697659465">
      <w:bodyDiv w:val="1"/>
      <w:marLeft w:val="0"/>
      <w:marRight w:val="0"/>
      <w:marTop w:val="0"/>
      <w:marBottom w:val="0"/>
      <w:divBdr>
        <w:top w:val="none" w:sz="0" w:space="0" w:color="auto"/>
        <w:left w:val="none" w:sz="0" w:space="0" w:color="auto"/>
        <w:bottom w:val="none" w:sz="0" w:space="0" w:color="auto"/>
        <w:right w:val="none" w:sz="0" w:space="0" w:color="auto"/>
      </w:divBdr>
    </w:div>
    <w:div w:id="1751082210">
      <w:bodyDiv w:val="1"/>
      <w:marLeft w:val="0"/>
      <w:marRight w:val="0"/>
      <w:marTop w:val="0"/>
      <w:marBottom w:val="0"/>
      <w:divBdr>
        <w:top w:val="none" w:sz="0" w:space="0" w:color="auto"/>
        <w:left w:val="none" w:sz="0" w:space="0" w:color="auto"/>
        <w:bottom w:val="none" w:sz="0" w:space="0" w:color="auto"/>
        <w:right w:val="none" w:sz="0" w:space="0" w:color="auto"/>
      </w:divBdr>
    </w:div>
    <w:div w:id="1755929469">
      <w:bodyDiv w:val="1"/>
      <w:marLeft w:val="0"/>
      <w:marRight w:val="0"/>
      <w:marTop w:val="0"/>
      <w:marBottom w:val="0"/>
      <w:divBdr>
        <w:top w:val="none" w:sz="0" w:space="0" w:color="auto"/>
        <w:left w:val="none" w:sz="0" w:space="0" w:color="auto"/>
        <w:bottom w:val="none" w:sz="0" w:space="0" w:color="auto"/>
        <w:right w:val="none" w:sz="0" w:space="0" w:color="auto"/>
      </w:divBdr>
    </w:div>
    <w:div w:id="1795056451">
      <w:bodyDiv w:val="1"/>
      <w:marLeft w:val="0"/>
      <w:marRight w:val="0"/>
      <w:marTop w:val="0"/>
      <w:marBottom w:val="0"/>
      <w:divBdr>
        <w:top w:val="none" w:sz="0" w:space="0" w:color="auto"/>
        <w:left w:val="none" w:sz="0" w:space="0" w:color="auto"/>
        <w:bottom w:val="none" w:sz="0" w:space="0" w:color="auto"/>
        <w:right w:val="none" w:sz="0" w:space="0" w:color="auto"/>
      </w:divBdr>
    </w:div>
    <w:div w:id="1800609333">
      <w:bodyDiv w:val="1"/>
      <w:marLeft w:val="0"/>
      <w:marRight w:val="0"/>
      <w:marTop w:val="0"/>
      <w:marBottom w:val="0"/>
      <w:divBdr>
        <w:top w:val="none" w:sz="0" w:space="0" w:color="auto"/>
        <w:left w:val="none" w:sz="0" w:space="0" w:color="auto"/>
        <w:bottom w:val="none" w:sz="0" w:space="0" w:color="auto"/>
        <w:right w:val="none" w:sz="0" w:space="0" w:color="auto"/>
      </w:divBdr>
    </w:div>
    <w:div w:id="1835760633">
      <w:bodyDiv w:val="1"/>
      <w:marLeft w:val="0"/>
      <w:marRight w:val="0"/>
      <w:marTop w:val="0"/>
      <w:marBottom w:val="0"/>
      <w:divBdr>
        <w:top w:val="none" w:sz="0" w:space="0" w:color="auto"/>
        <w:left w:val="none" w:sz="0" w:space="0" w:color="auto"/>
        <w:bottom w:val="none" w:sz="0" w:space="0" w:color="auto"/>
        <w:right w:val="none" w:sz="0" w:space="0" w:color="auto"/>
      </w:divBdr>
    </w:div>
    <w:div w:id="1851719744">
      <w:bodyDiv w:val="1"/>
      <w:marLeft w:val="0"/>
      <w:marRight w:val="0"/>
      <w:marTop w:val="0"/>
      <w:marBottom w:val="0"/>
      <w:divBdr>
        <w:top w:val="none" w:sz="0" w:space="0" w:color="auto"/>
        <w:left w:val="none" w:sz="0" w:space="0" w:color="auto"/>
        <w:bottom w:val="none" w:sz="0" w:space="0" w:color="auto"/>
        <w:right w:val="none" w:sz="0" w:space="0" w:color="auto"/>
      </w:divBdr>
    </w:div>
    <w:div w:id="1892186952">
      <w:bodyDiv w:val="1"/>
      <w:marLeft w:val="0"/>
      <w:marRight w:val="0"/>
      <w:marTop w:val="0"/>
      <w:marBottom w:val="0"/>
      <w:divBdr>
        <w:top w:val="none" w:sz="0" w:space="0" w:color="auto"/>
        <w:left w:val="none" w:sz="0" w:space="0" w:color="auto"/>
        <w:bottom w:val="none" w:sz="0" w:space="0" w:color="auto"/>
        <w:right w:val="none" w:sz="0" w:space="0" w:color="auto"/>
      </w:divBdr>
    </w:div>
    <w:div w:id="2002274410">
      <w:bodyDiv w:val="1"/>
      <w:marLeft w:val="0"/>
      <w:marRight w:val="0"/>
      <w:marTop w:val="0"/>
      <w:marBottom w:val="0"/>
      <w:divBdr>
        <w:top w:val="none" w:sz="0" w:space="0" w:color="auto"/>
        <w:left w:val="none" w:sz="0" w:space="0" w:color="auto"/>
        <w:bottom w:val="none" w:sz="0" w:space="0" w:color="auto"/>
        <w:right w:val="none" w:sz="0" w:space="0" w:color="auto"/>
      </w:divBdr>
    </w:div>
    <w:div w:id="2058356748">
      <w:bodyDiv w:val="1"/>
      <w:marLeft w:val="0"/>
      <w:marRight w:val="0"/>
      <w:marTop w:val="0"/>
      <w:marBottom w:val="0"/>
      <w:divBdr>
        <w:top w:val="none" w:sz="0" w:space="0" w:color="auto"/>
        <w:left w:val="none" w:sz="0" w:space="0" w:color="auto"/>
        <w:bottom w:val="none" w:sz="0" w:space="0" w:color="auto"/>
        <w:right w:val="none" w:sz="0" w:space="0" w:color="auto"/>
      </w:divBdr>
    </w:div>
    <w:div w:id="2061129749">
      <w:bodyDiv w:val="1"/>
      <w:marLeft w:val="0"/>
      <w:marRight w:val="0"/>
      <w:marTop w:val="0"/>
      <w:marBottom w:val="0"/>
      <w:divBdr>
        <w:top w:val="none" w:sz="0" w:space="0" w:color="auto"/>
        <w:left w:val="none" w:sz="0" w:space="0" w:color="auto"/>
        <w:bottom w:val="none" w:sz="0" w:space="0" w:color="auto"/>
        <w:right w:val="none" w:sz="0" w:space="0" w:color="auto"/>
      </w:divBdr>
    </w:div>
    <w:div w:id="2108690819">
      <w:bodyDiv w:val="1"/>
      <w:marLeft w:val="0"/>
      <w:marRight w:val="0"/>
      <w:marTop w:val="0"/>
      <w:marBottom w:val="0"/>
      <w:divBdr>
        <w:top w:val="none" w:sz="0" w:space="0" w:color="auto"/>
        <w:left w:val="none" w:sz="0" w:space="0" w:color="auto"/>
        <w:bottom w:val="none" w:sz="0" w:space="0" w:color="auto"/>
        <w:right w:val="none" w:sz="0" w:space="0" w:color="auto"/>
      </w:divBdr>
    </w:div>
    <w:div w:id="2133743112">
      <w:bodyDiv w:val="1"/>
      <w:marLeft w:val="0"/>
      <w:marRight w:val="0"/>
      <w:marTop w:val="0"/>
      <w:marBottom w:val="0"/>
      <w:divBdr>
        <w:top w:val="none" w:sz="0" w:space="0" w:color="auto"/>
        <w:left w:val="none" w:sz="0" w:space="0" w:color="auto"/>
        <w:bottom w:val="none" w:sz="0" w:space="0" w:color="auto"/>
        <w:right w:val="none" w:sz="0" w:space="0" w:color="auto"/>
      </w:divBdr>
    </w:div>
    <w:div w:id="2142767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irishexaminer.com/ireland/experts-challenge-alan-kellys-claim-housing-action-would-breach-the-constitution-392630.html" TargetMode="External"/><Relationship Id="rId3" Type="http://schemas.openxmlformats.org/officeDocument/2006/relationships/hyperlink" Target="https://www.irishtimes.com/news/politics/abortion-will-not-be-revisited-during-lifetime-of-government-says-rabbitte-1.1463567" TargetMode="External"/><Relationship Id="rId7" Type="http://schemas.openxmlformats.org/officeDocument/2006/relationships/hyperlink" Target="https://www.irishtimes.com/news/social-affairs/kelly-says-constitution-blocked-attempts-to-tackle-housing-crisis-1.2593962" TargetMode="External"/><Relationship Id="rId2" Type="http://schemas.openxmlformats.org/officeDocument/2006/relationships/hyperlink" Target="http://www.parliament.uk/business/committees/committees-a-z/joint-select/human-rights-committee/membership/" TargetMode="External"/><Relationship Id="rId1" Type="http://schemas.openxmlformats.org/officeDocument/2006/relationships/hyperlink" Target="https://www.justice.govt.nz/justice-sector-policy/constitutional-issues-and-human-rights/bill-of-rights-compliance-reports/advice/" TargetMode="External"/><Relationship Id="rId6" Type="http://schemas.openxmlformats.org/officeDocument/2006/relationships/hyperlink" Target="http://www.justice.ie/en/JELR/Pages/SP13000346" TargetMode="External"/><Relationship Id="rId11" Type="http://schemas.openxmlformats.org/officeDocument/2006/relationships/hyperlink" Target="https://www.rte.ie/news/2016/0622/797272-schools-admission/" TargetMode="External"/><Relationship Id="rId5" Type="http://schemas.openxmlformats.org/officeDocument/2006/relationships/hyperlink" Target="https://beta.oireachtas.ie/en/debates/debate/dail/2018-01-30/" TargetMode="External"/><Relationship Id="rId10" Type="http://schemas.openxmlformats.org/officeDocument/2006/relationships/hyperlink" Target="https://beta.oireachtas.ie/en/debates/debate/dail/2018-01-30/" TargetMode="External"/><Relationship Id="rId4" Type="http://schemas.openxmlformats.org/officeDocument/2006/relationships/hyperlink" Target="https://www.irishtimes.com/news/politics/full-text-of-attorney-general-s-advice-on-repeal-of-eighth-amendment-1.3374141" TargetMode="External"/><Relationship Id="rId9" Type="http://schemas.openxmlformats.org/officeDocument/2006/relationships/hyperlink" Target="http://www.irishtimes.com/news/politics/oireachtas/government-defeats-daly-s-abortion-bill-with-big-majority-1.2099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C36C0C-8F50-2B49-AD32-A138500C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9835</Words>
  <Characters>59110</Characters>
  <Application>Microsoft Office Word</Application>
  <DocSecurity>0</DocSecurity>
  <Lines>895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Kenny</dc:creator>
  <cp:keywords/>
  <dc:description/>
  <cp:lastModifiedBy>Conor Casey</cp:lastModifiedBy>
  <cp:revision>4</cp:revision>
  <cp:lastPrinted>2018-07-06T10:27:00Z</cp:lastPrinted>
  <dcterms:created xsi:type="dcterms:W3CDTF">2018-07-10T09:19:00Z</dcterms:created>
  <dcterms:modified xsi:type="dcterms:W3CDTF">2021-06-07T11:13:00Z</dcterms:modified>
</cp:coreProperties>
</file>