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489D7" w14:textId="68CBA450" w:rsidR="009D01C2" w:rsidRPr="006E162D" w:rsidRDefault="008F249D" w:rsidP="00B75ABD">
      <w:pPr>
        <w:spacing w:line="360" w:lineRule="auto"/>
        <w:jc w:val="center"/>
        <w:outlineLvl w:val="0"/>
        <w:rPr>
          <w:rFonts w:ascii="Book Antiqua" w:hAnsi="Book Antiqua" w:cs="Calibri"/>
          <w:b/>
          <w:bCs/>
          <w:sz w:val="28"/>
          <w:szCs w:val="28"/>
        </w:rPr>
      </w:pPr>
      <w:r w:rsidRPr="006E162D">
        <w:rPr>
          <w:rFonts w:ascii="Book Antiqua" w:hAnsi="Book Antiqua" w:cs="Calibri"/>
          <w:b/>
          <w:bCs/>
          <w:sz w:val="28"/>
          <w:szCs w:val="28"/>
        </w:rPr>
        <w:t>The Resilience of Executive Dominance in Westminster Systems: Ireland 2016-2019</w:t>
      </w:r>
    </w:p>
    <w:p w14:paraId="032556D9" w14:textId="5EEAE82F" w:rsidR="00851A80" w:rsidRPr="00851A80" w:rsidRDefault="00851A80" w:rsidP="0068431D">
      <w:pPr>
        <w:spacing w:line="360" w:lineRule="auto"/>
        <w:jc w:val="both"/>
        <w:rPr>
          <w:rFonts w:ascii="Book Antiqua" w:hAnsi="Book Antiqua" w:cs="Calibri"/>
          <w:b/>
          <w:bCs/>
        </w:rPr>
      </w:pPr>
      <w:r>
        <w:rPr>
          <w:rFonts w:ascii="Book Antiqua" w:hAnsi="Book Antiqua" w:cs="Calibri"/>
          <w:b/>
          <w:bCs/>
        </w:rPr>
        <w:t>Conor Casey</w:t>
      </w:r>
      <w:r>
        <w:rPr>
          <w:rStyle w:val="FootnoteReference"/>
          <w:rFonts w:ascii="Book Antiqua" w:hAnsi="Book Antiqua" w:cs="Calibri"/>
          <w:b/>
          <w:bCs/>
        </w:rPr>
        <w:footnoteReference w:id="1"/>
      </w:r>
      <w:r>
        <w:rPr>
          <w:rFonts w:ascii="Book Antiqua" w:hAnsi="Book Antiqua" w:cs="Calibri"/>
          <w:b/>
          <w:bCs/>
        </w:rPr>
        <w:t xml:space="preserve"> and David Kenny</w:t>
      </w:r>
      <w:r>
        <w:rPr>
          <w:rStyle w:val="FootnoteReference"/>
          <w:rFonts w:ascii="Book Antiqua" w:hAnsi="Book Antiqua" w:cs="Calibri"/>
          <w:b/>
          <w:bCs/>
        </w:rPr>
        <w:footnoteReference w:id="2"/>
      </w:r>
    </w:p>
    <w:p w14:paraId="70D4F76B" w14:textId="77777777" w:rsidR="00851A80" w:rsidRPr="00851A80" w:rsidRDefault="00851A80" w:rsidP="0068431D">
      <w:pPr>
        <w:spacing w:line="360" w:lineRule="auto"/>
        <w:jc w:val="both"/>
        <w:rPr>
          <w:rFonts w:ascii="Book Antiqua" w:hAnsi="Book Antiqua" w:cs="Calibri"/>
        </w:rPr>
      </w:pPr>
    </w:p>
    <w:p w14:paraId="5E6E465A" w14:textId="1EC3721A" w:rsidR="002134EA" w:rsidRPr="00692FEB" w:rsidRDefault="00530538" w:rsidP="0068431D">
      <w:pPr>
        <w:spacing w:line="360" w:lineRule="auto"/>
        <w:jc w:val="both"/>
        <w:rPr>
          <w:rFonts w:ascii="Book Antiqua" w:hAnsi="Book Antiqua" w:cs="Calibri"/>
        </w:rPr>
      </w:pPr>
      <w:r w:rsidRPr="00692FEB">
        <w:rPr>
          <w:rFonts w:ascii="Book Antiqua" w:hAnsi="Book Antiqua" w:cs="Calibri"/>
        </w:rPr>
        <w:t xml:space="preserve">The imperfect separation of powers in Westminster systems has produced a curious contradiction: legislative supremacy </w:t>
      </w:r>
      <w:r w:rsidR="0025547E">
        <w:rPr>
          <w:rFonts w:ascii="Book Antiqua" w:hAnsi="Book Antiqua" w:cs="Calibri"/>
        </w:rPr>
        <w:t xml:space="preserve">in theory </w:t>
      </w:r>
      <w:r w:rsidRPr="00692FEB">
        <w:rPr>
          <w:rFonts w:ascii="Book Antiqua" w:hAnsi="Book Antiqua" w:cs="Calibri"/>
        </w:rPr>
        <w:t>eclipsed by executive control in practice.</w:t>
      </w:r>
      <w:r w:rsidR="006E1C74" w:rsidRPr="00692FEB">
        <w:rPr>
          <w:rStyle w:val="FootnoteReference"/>
          <w:rFonts w:ascii="Book Antiqua" w:hAnsi="Book Antiqua" w:cs="Calibri"/>
        </w:rPr>
        <w:footnoteReference w:id="3"/>
      </w:r>
      <w:r w:rsidRPr="00692FEB">
        <w:rPr>
          <w:rFonts w:ascii="Book Antiqua" w:hAnsi="Book Antiqua" w:cs="Calibri"/>
        </w:rPr>
        <w:t xml:space="preserve"> While parliament’s </w:t>
      </w:r>
      <w:proofErr w:type="spellStart"/>
      <w:r w:rsidRPr="00692FEB">
        <w:rPr>
          <w:rFonts w:ascii="Book Antiqua" w:hAnsi="Book Antiqua" w:cs="Calibri"/>
        </w:rPr>
        <w:t>lawmaking</w:t>
      </w:r>
      <w:proofErr w:type="spellEnd"/>
      <w:r w:rsidRPr="00692FEB">
        <w:rPr>
          <w:rFonts w:ascii="Book Antiqua" w:hAnsi="Book Antiqua" w:cs="Calibri"/>
        </w:rPr>
        <w:t xml:space="preserve"> power </w:t>
      </w:r>
      <w:r w:rsidR="0025547E">
        <w:rPr>
          <w:rFonts w:ascii="Book Antiqua" w:hAnsi="Book Antiqua" w:cs="Calibri"/>
        </w:rPr>
        <w:t xml:space="preserve">is </w:t>
      </w:r>
      <w:r w:rsidRPr="00692FEB">
        <w:rPr>
          <w:rFonts w:ascii="Book Antiqua" w:hAnsi="Book Antiqua" w:cs="Calibri"/>
        </w:rPr>
        <w:t xml:space="preserve">in principle </w:t>
      </w:r>
      <w:r w:rsidR="0025547E">
        <w:rPr>
          <w:rFonts w:ascii="Book Antiqua" w:hAnsi="Book Antiqua" w:cs="Calibri"/>
        </w:rPr>
        <w:t xml:space="preserve">greater than </w:t>
      </w:r>
      <w:r w:rsidRPr="00692FEB">
        <w:rPr>
          <w:rFonts w:ascii="Book Antiqua" w:hAnsi="Book Antiqua" w:cs="Calibri"/>
        </w:rPr>
        <w:t>the executive’s power to faithfully administer</w:t>
      </w:r>
      <w:r w:rsidR="009B3778">
        <w:rPr>
          <w:rFonts w:ascii="Book Antiqua" w:hAnsi="Book Antiqua" w:cs="Calibri"/>
        </w:rPr>
        <w:t xml:space="preserve"> and execute</w:t>
      </w:r>
      <w:r w:rsidRPr="00692FEB">
        <w:rPr>
          <w:rFonts w:ascii="Book Antiqua" w:hAnsi="Book Antiqua" w:cs="Calibri"/>
        </w:rPr>
        <w:t xml:space="preserve"> the law, the executive has </w:t>
      </w:r>
      <w:r w:rsidR="00604918">
        <w:rPr>
          <w:rFonts w:ascii="Book Antiqua" w:hAnsi="Book Antiqua" w:cs="Calibri"/>
        </w:rPr>
        <w:t>c</w:t>
      </w:r>
      <w:r w:rsidRPr="00692FEB">
        <w:rPr>
          <w:rFonts w:ascii="Book Antiqua" w:hAnsi="Book Antiqua" w:cs="Calibri"/>
        </w:rPr>
        <w:t xml:space="preserve">ome to control the legislation process almost entirely. </w:t>
      </w:r>
      <w:r w:rsidR="001A0CE7" w:rsidRPr="00692FEB">
        <w:rPr>
          <w:rFonts w:ascii="Book Antiqua" w:hAnsi="Book Antiqua" w:cs="Calibri"/>
        </w:rPr>
        <w:t xml:space="preserve">This is a </w:t>
      </w:r>
      <w:r w:rsidR="0068431D" w:rsidRPr="00692FEB">
        <w:rPr>
          <w:rFonts w:ascii="Book Antiqua" w:hAnsi="Book Antiqua" w:cs="Calibri"/>
        </w:rPr>
        <w:t>consequence</w:t>
      </w:r>
      <w:r w:rsidR="001A0CE7" w:rsidRPr="00692FEB">
        <w:rPr>
          <w:rFonts w:ascii="Book Antiqua" w:hAnsi="Book Antiqua" w:cs="Calibri"/>
        </w:rPr>
        <w:t xml:space="preserve"> of several factors: </w:t>
      </w:r>
      <w:r w:rsidR="009B3778">
        <w:rPr>
          <w:rFonts w:ascii="Book Antiqua" w:hAnsi="Book Antiqua" w:cs="Calibri"/>
        </w:rPr>
        <w:t>an</w:t>
      </w:r>
      <w:r w:rsidR="009B3778" w:rsidRPr="00692FEB">
        <w:rPr>
          <w:rFonts w:ascii="Book Antiqua" w:hAnsi="Book Antiqua" w:cs="Calibri"/>
        </w:rPr>
        <w:t xml:space="preserve"> </w:t>
      </w:r>
      <w:r w:rsidR="001A0CE7" w:rsidRPr="00692FEB">
        <w:rPr>
          <w:rFonts w:ascii="Book Antiqua" w:hAnsi="Book Antiqua" w:cs="Calibri"/>
        </w:rPr>
        <w:t xml:space="preserve">increase in the power of the civil service and the administrative state in policy formation and preparation of legislation; the professionalisation of legislative drafting; the </w:t>
      </w:r>
      <w:r w:rsidR="004164AB" w:rsidRPr="00692FEB">
        <w:rPr>
          <w:rFonts w:ascii="Book Antiqua" w:hAnsi="Book Antiqua" w:cs="Calibri"/>
        </w:rPr>
        <w:t xml:space="preserve">general </w:t>
      </w:r>
      <w:r w:rsidR="001A0CE7" w:rsidRPr="00692FEB">
        <w:rPr>
          <w:rFonts w:ascii="Book Antiqua" w:hAnsi="Book Antiqua" w:cs="Calibri"/>
        </w:rPr>
        <w:t xml:space="preserve">tendency for the government to have a legislative majority (either by single party or in coalition); the enforcement of discipline and use of the parliamentary whip; and perhaps, decreased willingness to tolerate the uncertainty and risk that attends a less disciplined legislative process. </w:t>
      </w:r>
      <w:r w:rsidRPr="00692FEB">
        <w:rPr>
          <w:rFonts w:ascii="Book Antiqua" w:hAnsi="Book Antiqua" w:cs="Calibri"/>
        </w:rPr>
        <w:t xml:space="preserve">From policy formation to initiation to </w:t>
      </w:r>
      <w:r w:rsidR="001A0CE7" w:rsidRPr="00692FEB">
        <w:rPr>
          <w:rFonts w:ascii="Book Antiqua" w:hAnsi="Book Antiqua" w:cs="Calibri"/>
        </w:rPr>
        <w:t xml:space="preserve">amendments to final passage, the executive will tend to control the process. Moreover, private members </w:t>
      </w:r>
      <w:r w:rsidR="00710AAB" w:rsidRPr="00692FEB">
        <w:rPr>
          <w:rFonts w:ascii="Book Antiqua" w:hAnsi="Book Antiqua" w:cs="Calibri"/>
        </w:rPr>
        <w:t>bills becom</w:t>
      </w:r>
      <w:r w:rsidR="00E4622B">
        <w:rPr>
          <w:rFonts w:ascii="Book Antiqua" w:hAnsi="Book Antiqua" w:cs="Calibri"/>
        </w:rPr>
        <w:t>ing</w:t>
      </w:r>
      <w:r w:rsidR="00710AAB" w:rsidRPr="00692FEB">
        <w:rPr>
          <w:rFonts w:ascii="Book Antiqua" w:hAnsi="Book Antiqua" w:cs="Calibri"/>
        </w:rPr>
        <w:t xml:space="preserve"> law </w:t>
      </w:r>
      <w:r w:rsidR="001A0CE7" w:rsidRPr="00692FEB">
        <w:rPr>
          <w:rFonts w:ascii="Book Antiqua" w:hAnsi="Book Antiqua" w:cs="Calibri"/>
        </w:rPr>
        <w:t>is</w:t>
      </w:r>
      <w:r w:rsidR="00E4622B">
        <w:rPr>
          <w:rFonts w:ascii="Book Antiqua" w:hAnsi="Book Antiqua" w:cs="Calibri"/>
        </w:rPr>
        <w:t xml:space="preserve"> now</w:t>
      </w:r>
      <w:r w:rsidR="001A0CE7" w:rsidRPr="00692FEB">
        <w:rPr>
          <w:rFonts w:ascii="Book Antiqua" w:hAnsi="Book Antiqua" w:cs="Calibri"/>
        </w:rPr>
        <w:t xml:space="preserve"> almost </w:t>
      </w:r>
      <w:r w:rsidR="00710AAB" w:rsidRPr="00692FEB">
        <w:rPr>
          <w:rFonts w:ascii="Book Antiqua" w:hAnsi="Book Antiqua" w:cs="Calibri"/>
        </w:rPr>
        <w:t>unheard of</w:t>
      </w:r>
      <w:r w:rsidR="001A0CE7" w:rsidRPr="00692FEB">
        <w:rPr>
          <w:rFonts w:ascii="Book Antiqua" w:hAnsi="Book Antiqua" w:cs="Calibri"/>
        </w:rPr>
        <w:t>.</w:t>
      </w:r>
      <w:r w:rsidR="00910FEB" w:rsidRPr="00692FEB">
        <w:rPr>
          <w:rFonts w:ascii="Book Antiqua" w:hAnsi="Book Antiqua" w:cs="Calibri"/>
        </w:rPr>
        <w:t xml:space="preserve"> This phenomenon can be termed executive dominance, </w:t>
      </w:r>
      <w:r w:rsidR="004B0181" w:rsidRPr="00692FEB">
        <w:rPr>
          <w:rFonts w:ascii="Book Antiqua" w:hAnsi="Book Antiqua" w:cs="Calibri"/>
        </w:rPr>
        <w:t xml:space="preserve">and </w:t>
      </w:r>
      <w:r w:rsidR="00E4622B">
        <w:rPr>
          <w:rFonts w:ascii="Book Antiqua" w:hAnsi="Book Antiqua" w:cs="Calibri"/>
        </w:rPr>
        <w:t>in extreme instances</w:t>
      </w:r>
      <w:r w:rsidR="00433630">
        <w:rPr>
          <w:rFonts w:ascii="Book Antiqua" w:hAnsi="Book Antiqua" w:cs="Calibri"/>
        </w:rPr>
        <w:t xml:space="preserve"> can</w:t>
      </w:r>
      <w:r w:rsidR="00910FEB" w:rsidRPr="00692FEB">
        <w:rPr>
          <w:rFonts w:ascii="Book Antiqua" w:hAnsi="Book Antiqua" w:cs="Calibri"/>
        </w:rPr>
        <w:t xml:space="preserve"> reduce the </w:t>
      </w:r>
      <w:r w:rsidR="00980902">
        <w:rPr>
          <w:rFonts w:ascii="Book Antiqua" w:hAnsi="Book Antiqua" w:cs="Calibri"/>
        </w:rPr>
        <w:t>legislature</w:t>
      </w:r>
      <w:r w:rsidR="00980902" w:rsidRPr="00692FEB">
        <w:rPr>
          <w:rFonts w:ascii="Book Antiqua" w:hAnsi="Book Antiqua" w:cs="Calibri"/>
        </w:rPr>
        <w:t xml:space="preserve"> </w:t>
      </w:r>
      <w:r w:rsidR="00910FEB" w:rsidRPr="00692FEB">
        <w:rPr>
          <w:rFonts w:ascii="Book Antiqua" w:hAnsi="Book Antiqua" w:cs="Calibri"/>
        </w:rPr>
        <w:t>to something akin to a</w:t>
      </w:r>
      <w:r w:rsidR="00980902">
        <w:rPr>
          <w:rFonts w:ascii="Book Antiqua" w:hAnsi="Book Antiqua" w:cs="Calibri"/>
        </w:rPr>
        <w:t xml:space="preserve"> reactive</w:t>
      </w:r>
      <w:r w:rsidR="00910FEB" w:rsidRPr="00692FEB">
        <w:rPr>
          <w:rFonts w:ascii="Book Antiqua" w:hAnsi="Book Antiqua" w:cs="Calibri"/>
        </w:rPr>
        <w:t xml:space="preserve"> rubber stamp, approving whatever the executive proposes with little to no autonomous power.</w:t>
      </w:r>
    </w:p>
    <w:p w14:paraId="288DC158" w14:textId="77777777" w:rsidR="002134EA" w:rsidRPr="009C65DA" w:rsidRDefault="002134EA" w:rsidP="0068431D">
      <w:pPr>
        <w:spacing w:line="360" w:lineRule="auto"/>
        <w:jc w:val="both"/>
        <w:rPr>
          <w:rFonts w:ascii="Book Antiqua" w:hAnsi="Book Antiqua" w:cs="Calibri"/>
        </w:rPr>
      </w:pPr>
    </w:p>
    <w:p w14:paraId="2BDEE81F" w14:textId="18C8316E" w:rsidR="009F5AB0" w:rsidRDefault="00541322" w:rsidP="0068431D">
      <w:pPr>
        <w:spacing w:line="360" w:lineRule="auto"/>
        <w:jc w:val="both"/>
        <w:rPr>
          <w:rFonts w:ascii="Book Antiqua" w:hAnsi="Book Antiqua" w:cs="Calibri"/>
        </w:rPr>
      </w:pPr>
      <w:r>
        <w:rPr>
          <w:rFonts w:ascii="Book Antiqua" w:hAnsi="Book Antiqua" w:cs="Calibri"/>
        </w:rPr>
        <w:t xml:space="preserve">How does </w:t>
      </w:r>
      <w:r w:rsidR="008D70D1">
        <w:rPr>
          <w:rFonts w:ascii="Book Antiqua" w:hAnsi="Book Antiqua" w:cs="Calibri"/>
        </w:rPr>
        <w:t>this</w:t>
      </w:r>
      <w:r>
        <w:rPr>
          <w:rFonts w:ascii="Book Antiqua" w:hAnsi="Book Antiqua" w:cs="Calibri"/>
        </w:rPr>
        <w:t xml:space="preserve"> dominance sit with</w:t>
      </w:r>
      <w:r w:rsidR="00A020D3">
        <w:rPr>
          <w:rFonts w:ascii="Book Antiqua" w:hAnsi="Book Antiqua" w:cs="Calibri"/>
        </w:rPr>
        <w:t xml:space="preserve"> the kind of</w:t>
      </w:r>
      <w:r>
        <w:rPr>
          <w:rFonts w:ascii="Book Antiqua" w:hAnsi="Book Antiqua" w:cs="Calibri"/>
        </w:rPr>
        <w:t xml:space="preserve"> </w:t>
      </w:r>
      <w:r w:rsidR="009B3778">
        <w:rPr>
          <w:rFonts w:ascii="Book Antiqua" w:hAnsi="Book Antiqua" w:cs="Calibri"/>
        </w:rPr>
        <w:t>constitutional principles</w:t>
      </w:r>
      <w:r w:rsidR="00225313">
        <w:rPr>
          <w:rFonts w:ascii="Book Antiqua" w:hAnsi="Book Antiqua" w:cs="Calibri"/>
        </w:rPr>
        <w:t xml:space="preserve"> -</w:t>
      </w:r>
      <w:r w:rsidR="003F199C">
        <w:rPr>
          <w:rFonts w:ascii="Book Antiqua" w:hAnsi="Book Antiqua" w:cs="Calibri"/>
        </w:rPr>
        <w:t xml:space="preserve"> often articulated in judicial doctrine</w:t>
      </w:r>
      <w:r w:rsidR="00225313">
        <w:rPr>
          <w:rFonts w:ascii="Book Antiqua" w:hAnsi="Book Antiqua" w:cs="Calibri"/>
        </w:rPr>
        <w:t xml:space="preserve"> –</w:t>
      </w:r>
      <w:r>
        <w:rPr>
          <w:rFonts w:ascii="Book Antiqua" w:hAnsi="Book Antiqua" w:cs="Calibri"/>
        </w:rPr>
        <w:t xml:space="preserve"> </w:t>
      </w:r>
      <w:r w:rsidR="00225313">
        <w:rPr>
          <w:rFonts w:ascii="Book Antiqua" w:hAnsi="Book Antiqua" w:cs="Calibri"/>
        </w:rPr>
        <w:t>which emphasize</w:t>
      </w:r>
      <w:r>
        <w:rPr>
          <w:rFonts w:ascii="Book Antiqua" w:hAnsi="Book Antiqua" w:cs="Calibri"/>
        </w:rPr>
        <w:t xml:space="preserve"> legislative predominance?</w:t>
      </w:r>
      <w:r w:rsidR="007C6CB7">
        <w:rPr>
          <w:rStyle w:val="FootnoteReference"/>
          <w:rFonts w:ascii="Book Antiqua" w:hAnsi="Book Antiqua" w:cs="Calibri"/>
        </w:rPr>
        <w:footnoteReference w:id="4"/>
      </w:r>
      <w:r>
        <w:rPr>
          <w:rFonts w:ascii="Book Antiqua" w:hAnsi="Book Antiqua" w:cs="Calibri"/>
        </w:rPr>
        <w:t xml:space="preserve"> There are at least two</w:t>
      </w:r>
      <w:r w:rsidR="0070344F">
        <w:rPr>
          <w:rFonts w:ascii="Book Antiqua" w:hAnsi="Book Antiqua" w:cs="Calibri"/>
        </w:rPr>
        <w:t xml:space="preserve"> broad</w:t>
      </w:r>
      <w:r w:rsidR="003F199C">
        <w:rPr>
          <w:rFonts w:ascii="Book Antiqua" w:hAnsi="Book Antiqua" w:cs="Calibri"/>
        </w:rPr>
        <w:t xml:space="preserve"> </w:t>
      </w:r>
      <w:r>
        <w:rPr>
          <w:rFonts w:ascii="Book Antiqua" w:hAnsi="Book Antiqua" w:cs="Calibri"/>
        </w:rPr>
        <w:t>responses.</w:t>
      </w:r>
      <w:r w:rsidR="003F199C">
        <w:rPr>
          <w:rStyle w:val="FootnoteReference"/>
          <w:rFonts w:ascii="Book Antiqua" w:hAnsi="Book Antiqua" w:cs="Calibri"/>
        </w:rPr>
        <w:footnoteReference w:id="5"/>
      </w:r>
      <w:r>
        <w:rPr>
          <w:rFonts w:ascii="Book Antiqua" w:hAnsi="Book Antiqua" w:cs="Calibri"/>
        </w:rPr>
        <w:t xml:space="preserve"> The first is that executive dominance provides</w:t>
      </w:r>
      <w:r w:rsidR="00B1308C">
        <w:rPr>
          <w:rFonts w:ascii="Book Antiqua" w:hAnsi="Book Antiqua" w:cs="Calibri"/>
        </w:rPr>
        <w:t xml:space="preserve"> a</w:t>
      </w:r>
      <w:r>
        <w:rPr>
          <w:rFonts w:ascii="Book Antiqua" w:hAnsi="Book Antiqua" w:cs="Calibri"/>
        </w:rPr>
        <w:t xml:space="preserve"> </w:t>
      </w:r>
      <w:r w:rsidR="00B93618">
        <w:rPr>
          <w:rFonts w:ascii="Book Antiqua" w:hAnsi="Book Antiqua" w:cs="Calibri"/>
          <w:i/>
          <w:iCs/>
        </w:rPr>
        <w:t>realpolitik</w:t>
      </w:r>
      <w:r w:rsidR="00B93618">
        <w:rPr>
          <w:rFonts w:ascii="Book Antiqua" w:hAnsi="Book Antiqua" w:cs="Calibri"/>
        </w:rPr>
        <w:t xml:space="preserve"> </w:t>
      </w:r>
      <w:r>
        <w:rPr>
          <w:rFonts w:ascii="Book Antiqua" w:hAnsi="Book Antiqua" w:cs="Calibri"/>
        </w:rPr>
        <w:t xml:space="preserve">gloss over </w:t>
      </w:r>
      <w:r w:rsidR="002134EA" w:rsidRPr="002516B9">
        <w:rPr>
          <w:rFonts w:ascii="Book Antiqua" w:hAnsi="Book Antiqua" w:cs="Calibri"/>
        </w:rPr>
        <w:t>fundament</w:t>
      </w:r>
      <w:r w:rsidR="002134EA" w:rsidRPr="008E5F14">
        <w:rPr>
          <w:rFonts w:ascii="Book Antiqua" w:hAnsi="Book Antiqua" w:cs="Calibri"/>
        </w:rPr>
        <w:t>al</w:t>
      </w:r>
      <w:r w:rsidR="009B0EA3">
        <w:rPr>
          <w:rFonts w:ascii="Book Antiqua" w:hAnsi="Book Antiqua" w:cs="Calibri"/>
        </w:rPr>
        <w:t xml:space="preserve"> constitutional</w:t>
      </w:r>
      <w:r w:rsidR="002134EA" w:rsidRPr="008E5F14">
        <w:rPr>
          <w:rFonts w:ascii="Book Antiqua" w:hAnsi="Book Antiqua" w:cs="Calibri"/>
        </w:rPr>
        <w:t xml:space="preserve"> </w:t>
      </w:r>
      <w:r w:rsidR="00B93618">
        <w:rPr>
          <w:rFonts w:ascii="Book Antiqua" w:hAnsi="Book Antiqua" w:cs="Calibri"/>
        </w:rPr>
        <w:t>principles of the</w:t>
      </w:r>
      <w:r w:rsidR="002134EA" w:rsidRPr="008E5F14">
        <w:rPr>
          <w:rFonts w:ascii="Book Antiqua" w:hAnsi="Book Antiqua" w:cs="Calibri"/>
        </w:rPr>
        <w:t xml:space="preserve"> system</w:t>
      </w:r>
      <w:r>
        <w:rPr>
          <w:rFonts w:ascii="Book Antiqua" w:hAnsi="Book Antiqua" w:cs="Calibri"/>
        </w:rPr>
        <w:t xml:space="preserve">, but </w:t>
      </w:r>
      <w:r w:rsidR="00675624">
        <w:rPr>
          <w:rFonts w:ascii="Book Antiqua" w:hAnsi="Book Antiqua" w:cs="Calibri"/>
        </w:rPr>
        <w:t>has</w:t>
      </w:r>
      <w:r>
        <w:rPr>
          <w:rFonts w:ascii="Book Antiqua" w:hAnsi="Book Antiqua" w:cs="Calibri"/>
        </w:rPr>
        <w:t xml:space="preserve"> not </w:t>
      </w:r>
      <w:r>
        <w:rPr>
          <w:rFonts w:ascii="Book Antiqua" w:hAnsi="Book Antiqua" w:cs="Calibri"/>
        </w:rPr>
        <w:lastRenderedPageBreak/>
        <w:t>disturb</w:t>
      </w:r>
      <w:r w:rsidR="00675624">
        <w:rPr>
          <w:rFonts w:ascii="Book Antiqua" w:hAnsi="Book Antiqua" w:cs="Calibri"/>
        </w:rPr>
        <w:t>ed</w:t>
      </w:r>
      <w:r>
        <w:rPr>
          <w:rFonts w:ascii="Book Antiqua" w:hAnsi="Book Antiqua" w:cs="Calibri"/>
        </w:rPr>
        <w:t xml:space="preserve"> them</w:t>
      </w:r>
      <w:r w:rsidR="002134EA" w:rsidRPr="008E5F14">
        <w:rPr>
          <w:rFonts w:ascii="Book Antiqua" w:hAnsi="Book Antiqua" w:cs="Calibri"/>
        </w:rPr>
        <w:t xml:space="preserve">. </w:t>
      </w:r>
      <w:r>
        <w:rPr>
          <w:rFonts w:ascii="Book Antiqua" w:hAnsi="Book Antiqua" w:cs="Calibri"/>
        </w:rPr>
        <w:t xml:space="preserve">On this view, </w:t>
      </w:r>
      <w:r w:rsidR="00433630">
        <w:rPr>
          <w:rFonts w:ascii="Book Antiqua" w:hAnsi="Book Antiqua" w:cs="Calibri"/>
        </w:rPr>
        <w:t>the</w:t>
      </w:r>
      <w:r w:rsidR="002134EA" w:rsidRPr="00061F78">
        <w:rPr>
          <w:rFonts w:ascii="Book Antiqua" w:hAnsi="Book Antiqua" w:cs="Calibri"/>
        </w:rPr>
        <w:t xml:space="preserve"> executive</w:t>
      </w:r>
      <w:r w:rsidR="00433630">
        <w:rPr>
          <w:rFonts w:ascii="Book Antiqua" w:hAnsi="Book Antiqua" w:cs="Calibri"/>
        </w:rPr>
        <w:t>’s</w:t>
      </w:r>
      <w:r w:rsidR="002134EA" w:rsidRPr="00061F78">
        <w:rPr>
          <w:rFonts w:ascii="Book Antiqua" w:hAnsi="Book Antiqua" w:cs="Calibri"/>
        </w:rPr>
        <w:t xml:space="preserve"> power</w:t>
      </w:r>
      <w:r w:rsidR="00433630">
        <w:rPr>
          <w:rFonts w:ascii="Book Antiqua" w:hAnsi="Book Antiqua" w:cs="Calibri"/>
        </w:rPr>
        <w:t xml:space="preserve"> is</w:t>
      </w:r>
      <w:r w:rsidR="002134EA" w:rsidRPr="00061F78">
        <w:rPr>
          <w:rFonts w:ascii="Book Antiqua" w:hAnsi="Book Antiqua" w:cs="Calibri"/>
        </w:rPr>
        <w:t xml:space="preserve"> </w:t>
      </w:r>
      <w:r w:rsidR="002134EA" w:rsidRPr="00B07F84">
        <w:rPr>
          <w:rFonts w:ascii="Book Antiqua" w:hAnsi="Book Antiqua" w:cs="Calibri"/>
          <w:i/>
          <w:iCs/>
        </w:rPr>
        <w:t>de facto</w:t>
      </w:r>
      <w:r w:rsidR="00433630">
        <w:rPr>
          <w:rFonts w:ascii="Book Antiqua" w:hAnsi="Book Antiqua" w:cs="Calibri"/>
        </w:rPr>
        <w:t xml:space="preserve"> as </w:t>
      </w:r>
      <w:r w:rsidR="001A714B">
        <w:rPr>
          <w:rFonts w:ascii="Book Antiqua" w:hAnsi="Book Antiqua" w:cs="Calibri"/>
        </w:rPr>
        <w:t>l</w:t>
      </w:r>
      <w:r w:rsidR="002134EA" w:rsidRPr="00CD38C2">
        <w:rPr>
          <w:rFonts w:ascii="Book Antiqua" w:hAnsi="Book Antiqua" w:cs="Calibri"/>
        </w:rPr>
        <w:t>egislative majorit</w:t>
      </w:r>
      <w:r w:rsidR="00B93618">
        <w:rPr>
          <w:rFonts w:ascii="Book Antiqua" w:hAnsi="Book Antiqua" w:cs="Calibri"/>
        </w:rPr>
        <w:t>ies</w:t>
      </w:r>
      <w:r w:rsidR="002134EA" w:rsidRPr="00CD38C2">
        <w:rPr>
          <w:rFonts w:ascii="Book Antiqua" w:hAnsi="Book Antiqua" w:cs="Calibri"/>
        </w:rPr>
        <w:t xml:space="preserve"> – in following the whip</w:t>
      </w:r>
      <w:r w:rsidR="00B93618">
        <w:rPr>
          <w:rFonts w:ascii="Book Antiqua" w:hAnsi="Book Antiqua" w:cs="Calibri"/>
        </w:rPr>
        <w:t xml:space="preserve"> and</w:t>
      </w:r>
      <w:r w:rsidR="002134EA" w:rsidRPr="00CD38C2">
        <w:rPr>
          <w:rFonts w:ascii="Book Antiqua" w:hAnsi="Book Antiqua" w:cs="Calibri"/>
        </w:rPr>
        <w:t xml:space="preserve"> not seeking to seize power from the cabinet –</w:t>
      </w:r>
      <w:r w:rsidR="00B93618">
        <w:rPr>
          <w:rFonts w:ascii="Book Antiqua" w:hAnsi="Book Antiqua" w:cs="Calibri"/>
        </w:rPr>
        <w:t xml:space="preserve"> </w:t>
      </w:r>
      <w:r w:rsidR="002134EA" w:rsidRPr="00CD38C2">
        <w:rPr>
          <w:rFonts w:ascii="Book Antiqua" w:hAnsi="Book Antiqua" w:cs="Calibri"/>
        </w:rPr>
        <w:t>l</w:t>
      </w:r>
      <w:r w:rsidR="002134EA" w:rsidRPr="007E5A2E">
        <w:rPr>
          <w:rFonts w:ascii="Book Antiqua" w:hAnsi="Book Antiqua" w:cs="Calibri"/>
        </w:rPr>
        <w:t>ea</w:t>
      </w:r>
      <w:r w:rsidR="002134EA" w:rsidRPr="007425D3">
        <w:rPr>
          <w:rFonts w:ascii="Book Antiqua" w:hAnsi="Book Antiqua" w:cs="Calibri"/>
        </w:rPr>
        <w:t>ve us in this situation</w:t>
      </w:r>
      <w:r w:rsidR="009E49C8">
        <w:rPr>
          <w:rFonts w:ascii="Book Antiqua" w:hAnsi="Book Antiqua" w:cs="Calibri"/>
        </w:rPr>
        <w:t xml:space="preserve">. </w:t>
      </w:r>
      <w:r w:rsidR="00B93618">
        <w:rPr>
          <w:rFonts w:ascii="Book Antiqua" w:hAnsi="Book Antiqua" w:cs="Calibri"/>
        </w:rPr>
        <w:t xml:space="preserve">Because </w:t>
      </w:r>
      <w:proofErr w:type="gramStart"/>
      <w:r w:rsidR="00B93618">
        <w:rPr>
          <w:rFonts w:ascii="Book Antiqua" w:hAnsi="Book Antiqua" w:cs="Calibri"/>
        </w:rPr>
        <w:t>legislatures</w:t>
      </w:r>
      <w:r w:rsidR="009B0EA3">
        <w:rPr>
          <w:rFonts w:ascii="Book Antiqua" w:hAnsi="Book Antiqua" w:cs="Calibri"/>
        </w:rPr>
        <w:t>’</w:t>
      </w:r>
      <w:proofErr w:type="gramEnd"/>
      <w:r w:rsidR="00B93618">
        <w:rPr>
          <w:rFonts w:ascii="Book Antiqua" w:hAnsi="Book Antiqua" w:cs="Calibri"/>
        </w:rPr>
        <w:t xml:space="preserve"> effectively </w:t>
      </w:r>
      <w:r w:rsidR="00B93618" w:rsidRPr="00D723D1">
        <w:rPr>
          <w:rFonts w:ascii="Book Antiqua" w:hAnsi="Book Antiqua" w:cs="Calibri"/>
          <w:i/>
          <w:iCs/>
        </w:rPr>
        <w:t>choose</w:t>
      </w:r>
      <w:r w:rsidR="00B93618">
        <w:rPr>
          <w:rFonts w:ascii="Book Antiqua" w:hAnsi="Book Antiqua" w:cs="Calibri"/>
        </w:rPr>
        <w:t xml:space="preserve"> to self-</w:t>
      </w:r>
      <w:r w:rsidR="00225313">
        <w:rPr>
          <w:rFonts w:ascii="Book Antiqua" w:hAnsi="Book Antiqua" w:cs="Calibri"/>
        </w:rPr>
        <w:t>limit</w:t>
      </w:r>
      <w:r w:rsidR="00B93618">
        <w:rPr>
          <w:rFonts w:ascii="Book Antiqua" w:hAnsi="Book Antiqua" w:cs="Calibri"/>
        </w:rPr>
        <w:t xml:space="preserve"> much of </w:t>
      </w:r>
      <w:r w:rsidR="009B0EA3">
        <w:rPr>
          <w:rFonts w:ascii="Book Antiqua" w:hAnsi="Book Antiqua" w:cs="Calibri"/>
        </w:rPr>
        <w:t>their</w:t>
      </w:r>
      <w:r w:rsidR="00B93618">
        <w:rPr>
          <w:rFonts w:ascii="Book Antiqua" w:hAnsi="Book Antiqua" w:cs="Calibri"/>
        </w:rPr>
        <w:t xml:space="preserve"> authority </w:t>
      </w:r>
      <w:r w:rsidR="00225313">
        <w:rPr>
          <w:rFonts w:ascii="Book Antiqua" w:hAnsi="Book Antiqua" w:cs="Calibri"/>
        </w:rPr>
        <w:t>vis a vis</w:t>
      </w:r>
      <w:r w:rsidR="00B93618">
        <w:rPr>
          <w:rFonts w:ascii="Book Antiqua" w:hAnsi="Book Antiqua" w:cs="Calibri"/>
        </w:rPr>
        <w:t xml:space="preserve"> the executive, i</w:t>
      </w:r>
      <w:r w:rsidR="002134EA" w:rsidRPr="009F57B1">
        <w:rPr>
          <w:rFonts w:ascii="Book Antiqua" w:hAnsi="Book Antiqua" w:cs="Calibri"/>
        </w:rPr>
        <w:t>t</w:t>
      </w:r>
      <w:r w:rsidR="00B93618">
        <w:rPr>
          <w:rFonts w:ascii="Book Antiqua" w:hAnsi="Book Antiqua" w:cs="Calibri"/>
        </w:rPr>
        <w:t xml:space="preserve"> does not fundamentally disturb </w:t>
      </w:r>
      <w:r w:rsidR="009B0EA3">
        <w:rPr>
          <w:rFonts w:ascii="Book Antiqua" w:hAnsi="Book Antiqua" w:cs="Calibri"/>
        </w:rPr>
        <w:t xml:space="preserve">constitutional principles underpinning </w:t>
      </w:r>
      <w:r w:rsidR="00B1308C">
        <w:rPr>
          <w:rFonts w:ascii="Book Antiqua" w:hAnsi="Book Antiqua" w:cs="Calibri"/>
        </w:rPr>
        <w:t>its</w:t>
      </w:r>
      <w:r w:rsidR="00B93618">
        <w:rPr>
          <w:rFonts w:ascii="Book Antiqua" w:hAnsi="Book Antiqua" w:cs="Calibri"/>
        </w:rPr>
        <w:t xml:space="preserve"> </w:t>
      </w:r>
      <w:r w:rsidR="00B1308C">
        <w:rPr>
          <w:rFonts w:ascii="Book Antiqua" w:hAnsi="Book Antiqua" w:cs="Calibri"/>
        </w:rPr>
        <w:t>formal</w:t>
      </w:r>
      <w:r w:rsidR="00B93618">
        <w:rPr>
          <w:rFonts w:ascii="Book Antiqua" w:hAnsi="Book Antiqua" w:cs="Calibri"/>
        </w:rPr>
        <w:t xml:space="preserve"> predominance</w:t>
      </w:r>
      <w:r w:rsidR="002134EA" w:rsidRPr="009F57B1">
        <w:rPr>
          <w:rFonts w:ascii="Book Antiqua" w:hAnsi="Book Antiqua" w:cs="Calibri"/>
        </w:rPr>
        <w:t>, even if it is jarringly dissonant with the</w:t>
      </w:r>
      <w:r w:rsidR="009B0EA3">
        <w:rPr>
          <w:rFonts w:ascii="Book Antiqua" w:hAnsi="Book Antiqua" w:cs="Calibri"/>
        </w:rPr>
        <w:t>ir</w:t>
      </w:r>
      <w:r w:rsidR="002134EA" w:rsidRPr="009F57B1">
        <w:rPr>
          <w:rFonts w:ascii="Book Antiqua" w:hAnsi="Book Antiqua" w:cs="Calibri"/>
        </w:rPr>
        <w:t xml:space="preserve"> self-presentation.</w:t>
      </w:r>
      <w:r w:rsidR="00B93618">
        <w:rPr>
          <w:rFonts w:ascii="Book Antiqua" w:hAnsi="Book Antiqua" w:cs="Calibri"/>
        </w:rPr>
        <w:t xml:space="preserve"> On this view, should political circumstances shift enough, the legislature could</w:t>
      </w:r>
      <w:r w:rsidR="009F5AB0">
        <w:rPr>
          <w:rFonts w:ascii="Book Antiqua" w:hAnsi="Book Antiqua" w:cs="Calibri"/>
        </w:rPr>
        <w:t xml:space="preserve"> theoretically</w:t>
      </w:r>
      <w:r w:rsidR="0024025C">
        <w:rPr>
          <w:rFonts w:ascii="Book Antiqua" w:hAnsi="Book Antiqua" w:cs="Calibri"/>
        </w:rPr>
        <w:t xml:space="preserve"> </w:t>
      </w:r>
      <w:r w:rsidR="00225313">
        <w:rPr>
          <w:rFonts w:ascii="Book Antiqua" w:hAnsi="Book Antiqua" w:cs="Calibri"/>
        </w:rPr>
        <w:t>be expected to</w:t>
      </w:r>
      <w:r w:rsidR="009B0EA3">
        <w:rPr>
          <w:rFonts w:ascii="Book Antiqua" w:hAnsi="Book Antiqua" w:cs="Calibri"/>
        </w:rPr>
        <w:t xml:space="preserve"> </w:t>
      </w:r>
      <w:r w:rsidR="00B93618">
        <w:rPr>
          <w:rFonts w:ascii="Book Antiqua" w:hAnsi="Book Antiqua" w:cs="Calibri"/>
        </w:rPr>
        <w:t>exercise its own institutional muscle</w:t>
      </w:r>
      <w:r w:rsidR="00B3405F">
        <w:rPr>
          <w:rFonts w:ascii="Book Antiqua" w:hAnsi="Book Antiqua" w:cs="Calibri"/>
        </w:rPr>
        <w:t>,</w:t>
      </w:r>
      <w:r w:rsidR="00B93618">
        <w:rPr>
          <w:rFonts w:ascii="Book Antiqua" w:hAnsi="Book Antiqua" w:cs="Calibri"/>
        </w:rPr>
        <w:t xml:space="preserve"> </w:t>
      </w:r>
      <w:r w:rsidR="00B3405F">
        <w:rPr>
          <w:rFonts w:ascii="Book Antiqua" w:hAnsi="Book Antiqua" w:cs="Calibri"/>
        </w:rPr>
        <w:t>by</w:t>
      </w:r>
      <w:r w:rsidR="0024025C">
        <w:rPr>
          <w:rFonts w:ascii="Book Antiqua" w:hAnsi="Book Antiqua" w:cs="Calibri"/>
        </w:rPr>
        <w:t xml:space="preserve"> engag</w:t>
      </w:r>
      <w:r w:rsidR="00675624">
        <w:rPr>
          <w:rFonts w:ascii="Book Antiqua" w:hAnsi="Book Antiqua" w:cs="Calibri"/>
        </w:rPr>
        <w:t>ing</w:t>
      </w:r>
      <w:r w:rsidR="0024025C">
        <w:rPr>
          <w:rFonts w:ascii="Book Antiqua" w:hAnsi="Book Antiqua" w:cs="Calibri"/>
        </w:rPr>
        <w:t xml:space="preserve"> in independent </w:t>
      </w:r>
      <w:r w:rsidR="00CE44ED">
        <w:rPr>
          <w:rFonts w:ascii="Book Antiqua" w:hAnsi="Book Antiqua" w:cs="Calibri"/>
        </w:rPr>
        <w:t>policymaking</w:t>
      </w:r>
      <w:r w:rsidR="00B3405F">
        <w:rPr>
          <w:rFonts w:ascii="Book Antiqua" w:hAnsi="Book Antiqua" w:cs="Calibri"/>
        </w:rPr>
        <w:t>,</w:t>
      </w:r>
      <w:r w:rsidR="00B93618">
        <w:rPr>
          <w:rFonts w:ascii="Book Antiqua" w:hAnsi="Book Antiqua" w:cs="Calibri"/>
        </w:rPr>
        <w:t xml:space="preserve"> </w:t>
      </w:r>
      <w:r w:rsidR="00A020D3">
        <w:rPr>
          <w:rFonts w:ascii="Book Antiqua" w:hAnsi="Book Antiqua" w:cs="Calibri"/>
        </w:rPr>
        <w:t>and the executive could resume a</w:t>
      </w:r>
      <w:r w:rsidR="009F5AB0">
        <w:rPr>
          <w:rFonts w:ascii="Book Antiqua" w:hAnsi="Book Antiqua" w:cs="Calibri"/>
        </w:rPr>
        <w:t xml:space="preserve"> more</w:t>
      </w:r>
      <w:r w:rsidR="00225313">
        <w:rPr>
          <w:rFonts w:ascii="Book Antiqua" w:hAnsi="Book Antiqua" w:cs="Calibri"/>
        </w:rPr>
        <w:t xml:space="preserve"> modest</w:t>
      </w:r>
      <w:r w:rsidR="00A020D3">
        <w:rPr>
          <w:rFonts w:ascii="Book Antiqua" w:hAnsi="Book Antiqua" w:cs="Calibri"/>
        </w:rPr>
        <w:t xml:space="preserve"> </w:t>
      </w:r>
      <w:r w:rsidR="00CE44ED">
        <w:rPr>
          <w:rFonts w:ascii="Book Antiqua" w:hAnsi="Book Antiqua" w:cs="Calibri"/>
        </w:rPr>
        <w:t>administrative</w:t>
      </w:r>
      <w:r w:rsidR="00A020D3">
        <w:rPr>
          <w:rFonts w:ascii="Book Antiqua" w:hAnsi="Book Antiqua" w:cs="Calibri"/>
        </w:rPr>
        <w:t xml:space="preserve"> role</w:t>
      </w:r>
      <w:r w:rsidR="00B93618">
        <w:rPr>
          <w:rFonts w:ascii="Book Antiqua" w:hAnsi="Book Antiqua" w:cs="Calibri"/>
        </w:rPr>
        <w:t xml:space="preserve">. </w:t>
      </w:r>
    </w:p>
    <w:p w14:paraId="20EEAC05" w14:textId="77777777" w:rsidR="009F5AB0" w:rsidRDefault="009F5AB0" w:rsidP="0068431D">
      <w:pPr>
        <w:spacing w:line="360" w:lineRule="auto"/>
        <w:jc w:val="both"/>
        <w:rPr>
          <w:rFonts w:ascii="Book Antiqua" w:hAnsi="Book Antiqua" w:cs="Calibri"/>
        </w:rPr>
      </w:pPr>
    </w:p>
    <w:p w14:paraId="67F0026E" w14:textId="5243673B" w:rsidR="009F5AB0" w:rsidRDefault="002666CE" w:rsidP="0068431D">
      <w:pPr>
        <w:spacing w:line="360" w:lineRule="auto"/>
        <w:jc w:val="both"/>
        <w:rPr>
          <w:rFonts w:ascii="Book Antiqua" w:hAnsi="Book Antiqua" w:cs="Calibri"/>
        </w:rPr>
      </w:pPr>
      <w:r>
        <w:rPr>
          <w:rFonts w:ascii="Book Antiqua" w:hAnsi="Book Antiqua" w:cs="Calibri"/>
        </w:rPr>
        <w:t>The second view is that executive dominance is</w:t>
      </w:r>
      <w:r w:rsidR="00B3405F">
        <w:rPr>
          <w:rFonts w:ascii="Book Antiqua" w:hAnsi="Book Antiqua" w:cs="Calibri"/>
        </w:rPr>
        <w:t xml:space="preserve"> by now</w:t>
      </w:r>
      <w:r>
        <w:rPr>
          <w:rFonts w:ascii="Book Antiqua" w:hAnsi="Book Antiqua" w:cs="Calibri"/>
        </w:rPr>
        <w:t xml:space="preserve"> so deeply entrenched</w:t>
      </w:r>
      <w:r w:rsidR="001D4A11">
        <w:rPr>
          <w:rFonts w:ascii="Book Antiqua" w:hAnsi="Book Antiqua" w:cs="Calibri"/>
        </w:rPr>
        <w:t>,</w:t>
      </w:r>
      <w:r>
        <w:rPr>
          <w:rFonts w:ascii="Book Antiqua" w:hAnsi="Book Antiqua" w:cs="Calibri"/>
        </w:rPr>
        <w:t xml:space="preserve"> that it is no longer just</w:t>
      </w:r>
      <w:r w:rsidR="0024025C">
        <w:rPr>
          <w:rFonts w:ascii="Book Antiqua" w:hAnsi="Book Antiqua" w:cs="Calibri"/>
        </w:rPr>
        <w:t xml:space="preserve"> a</w:t>
      </w:r>
      <w:r>
        <w:rPr>
          <w:rFonts w:ascii="Book Antiqua" w:hAnsi="Book Antiqua" w:cs="Calibri"/>
        </w:rPr>
        <w:t xml:space="preserve"> </w:t>
      </w:r>
      <w:proofErr w:type="spellStart"/>
      <w:r w:rsidRPr="006E162D">
        <w:rPr>
          <w:rFonts w:ascii="Book Antiqua" w:hAnsi="Book Antiqua" w:cs="Calibri"/>
          <w:i/>
          <w:iCs/>
        </w:rPr>
        <w:t>realpolitick</w:t>
      </w:r>
      <w:proofErr w:type="spellEnd"/>
      <w:r w:rsidR="0024025C">
        <w:rPr>
          <w:rFonts w:ascii="Book Antiqua" w:hAnsi="Book Antiqua" w:cs="Calibri"/>
          <w:i/>
          <w:iCs/>
        </w:rPr>
        <w:t xml:space="preserve"> </w:t>
      </w:r>
      <w:r w:rsidR="0024025C">
        <w:rPr>
          <w:rFonts w:ascii="Book Antiqua" w:hAnsi="Book Antiqua" w:cs="Calibri"/>
        </w:rPr>
        <w:t>gloss o</w:t>
      </w:r>
      <w:r w:rsidR="00CE44ED">
        <w:rPr>
          <w:rFonts w:ascii="Book Antiqua" w:hAnsi="Book Antiqua" w:cs="Calibri"/>
        </w:rPr>
        <w:t>ver</w:t>
      </w:r>
      <w:r w:rsidR="0024025C">
        <w:rPr>
          <w:rFonts w:ascii="Book Antiqua" w:hAnsi="Book Antiqua" w:cs="Calibri"/>
        </w:rPr>
        <w:t xml:space="preserve"> important constitutional </w:t>
      </w:r>
      <w:proofErr w:type="gramStart"/>
      <w:r w:rsidR="0024025C">
        <w:rPr>
          <w:rFonts w:ascii="Book Antiqua" w:hAnsi="Book Antiqua" w:cs="Calibri"/>
        </w:rPr>
        <w:t>principles</w:t>
      </w:r>
      <w:r w:rsidR="00926945">
        <w:rPr>
          <w:rFonts w:ascii="Book Antiqua" w:hAnsi="Book Antiqua" w:cs="Calibri"/>
        </w:rPr>
        <w:t>,</w:t>
      </w:r>
      <w:r>
        <w:rPr>
          <w:rFonts w:ascii="Book Antiqua" w:hAnsi="Book Antiqua" w:cs="Calibri"/>
        </w:rPr>
        <w:t xml:space="preserve"> </w:t>
      </w:r>
      <w:r w:rsidR="00EC0126">
        <w:rPr>
          <w:rFonts w:ascii="Book Antiqua" w:hAnsi="Book Antiqua" w:cs="Calibri"/>
        </w:rPr>
        <w:t>but</w:t>
      </w:r>
      <w:proofErr w:type="gramEnd"/>
      <w:r w:rsidR="00EC0126">
        <w:rPr>
          <w:rFonts w:ascii="Book Antiqua" w:hAnsi="Book Antiqua" w:cs="Calibri"/>
        </w:rPr>
        <w:t xml:space="preserve"> </w:t>
      </w:r>
      <w:r w:rsidR="00CE44ED">
        <w:rPr>
          <w:rFonts w:ascii="Book Antiqua" w:hAnsi="Book Antiqua" w:cs="Calibri"/>
        </w:rPr>
        <w:t xml:space="preserve">is </w:t>
      </w:r>
      <w:r w:rsidR="00EC0126">
        <w:rPr>
          <w:rFonts w:ascii="Book Antiqua" w:hAnsi="Book Antiqua" w:cs="Calibri"/>
        </w:rPr>
        <w:t>viewed by many political actors as a</w:t>
      </w:r>
      <w:r w:rsidR="0024025C">
        <w:rPr>
          <w:rFonts w:ascii="Book Antiqua" w:hAnsi="Book Antiqua" w:cs="Calibri"/>
        </w:rPr>
        <w:t xml:space="preserve">n expression </w:t>
      </w:r>
      <w:r w:rsidR="00A020D3">
        <w:rPr>
          <w:rFonts w:ascii="Book Antiqua" w:hAnsi="Book Antiqua" w:cs="Calibri"/>
        </w:rPr>
        <w:t xml:space="preserve">of </w:t>
      </w:r>
      <w:r w:rsidR="001D4A11">
        <w:rPr>
          <w:rFonts w:ascii="Book Antiqua" w:hAnsi="Book Antiqua" w:cs="Calibri"/>
        </w:rPr>
        <w:t xml:space="preserve">an </w:t>
      </w:r>
      <w:r w:rsidR="00A020D3">
        <w:rPr>
          <w:rFonts w:ascii="Book Antiqua" w:hAnsi="Book Antiqua" w:cs="Calibri"/>
        </w:rPr>
        <w:t>important</w:t>
      </w:r>
      <w:r>
        <w:rPr>
          <w:rFonts w:ascii="Book Antiqua" w:hAnsi="Book Antiqua" w:cs="Calibri"/>
        </w:rPr>
        <w:t xml:space="preserve"> constitutional </w:t>
      </w:r>
      <w:r w:rsidR="00EC0126">
        <w:rPr>
          <w:rFonts w:ascii="Book Antiqua" w:hAnsi="Book Antiqua" w:cs="Calibri"/>
        </w:rPr>
        <w:t>principle in its own right</w:t>
      </w:r>
      <w:r w:rsidR="001B5389">
        <w:rPr>
          <w:rFonts w:ascii="Book Antiqua" w:hAnsi="Book Antiqua" w:cs="Calibri"/>
        </w:rPr>
        <w:t xml:space="preserve"> -</w:t>
      </w:r>
      <w:r w:rsidR="009F5AB0">
        <w:rPr>
          <w:rFonts w:ascii="Book Antiqua" w:hAnsi="Book Antiqua" w:cs="Calibri"/>
        </w:rPr>
        <w:t xml:space="preserve"> </w:t>
      </w:r>
      <w:r w:rsidR="001B5389">
        <w:rPr>
          <w:rFonts w:ascii="Book Antiqua" w:hAnsi="Book Antiqua" w:cs="Calibri"/>
        </w:rPr>
        <w:t>existing</w:t>
      </w:r>
      <w:r>
        <w:rPr>
          <w:rFonts w:ascii="Book Antiqua" w:hAnsi="Book Antiqua" w:cs="Calibri"/>
        </w:rPr>
        <w:t xml:space="preserve"> </w:t>
      </w:r>
      <w:r w:rsidR="00EC0126">
        <w:rPr>
          <w:rFonts w:ascii="Book Antiqua" w:hAnsi="Book Antiqua" w:cs="Calibri"/>
        </w:rPr>
        <w:t>independently</w:t>
      </w:r>
      <w:r>
        <w:rPr>
          <w:rFonts w:ascii="Book Antiqua" w:hAnsi="Book Antiqua" w:cs="Calibri"/>
        </w:rPr>
        <w:t xml:space="preserve"> </w:t>
      </w:r>
      <w:r w:rsidR="009F5AB0">
        <w:rPr>
          <w:rFonts w:ascii="Book Antiqua" w:hAnsi="Book Antiqua" w:cs="Calibri"/>
        </w:rPr>
        <w:t>of</w:t>
      </w:r>
      <w:r w:rsidR="00CE44ED">
        <w:rPr>
          <w:rFonts w:ascii="Book Antiqua" w:hAnsi="Book Antiqua" w:cs="Calibri"/>
        </w:rPr>
        <w:t xml:space="preserve"> any</w:t>
      </w:r>
      <w:r w:rsidR="00916DE7">
        <w:rPr>
          <w:rFonts w:ascii="Book Antiqua" w:hAnsi="Book Antiqua" w:cs="Calibri"/>
        </w:rPr>
        <w:t xml:space="preserve"> </w:t>
      </w:r>
      <w:r>
        <w:rPr>
          <w:rFonts w:ascii="Book Antiqua" w:hAnsi="Book Antiqua" w:cs="Calibri"/>
        </w:rPr>
        <w:t>political contingency</w:t>
      </w:r>
      <w:r w:rsidR="001B5389">
        <w:rPr>
          <w:rFonts w:ascii="Book Antiqua" w:hAnsi="Book Antiqua" w:cs="Calibri"/>
        </w:rPr>
        <w:t>. N</w:t>
      </w:r>
      <w:r w:rsidR="009F5AB0">
        <w:rPr>
          <w:rFonts w:ascii="Book Antiqua" w:hAnsi="Book Antiqua" w:cs="Calibri"/>
        </w:rPr>
        <w:t>amely</w:t>
      </w:r>
      <w:r w:rsidR="001B5389">
        <w:rPr>
          <w:rFonts w:ascii="Book Antiqua" w:hAnsi="Book Antiqua" w:cs="Calibri"/>
        </w:rPr>
        <w:t>,</w:t>
      </w:r>
      <w:r w:rsidR="009F5AB0">
        <w:rPr>
          <w:rFonts w:ascii="Book Antiqua" w:hAnsi="Book Antiqua" w:cs="Calibri"/>
        </w:rPr>
        <w:t xml:space="preserve"> that t</w:t>
      </w:r>
      <w:r w:rsidR="009F5AB0" w:rsidRPr="001B79C2">
        <w:rPr>
          <w:rFonts w:ascii="Book Antiqua" w:hAnsi="Book Antiqua" w:cs="Calibri"/>
        </w:rPr>
        <w:t xml:space="preserve">he executive not only </w:t>
      </w:r>
      <w:r w:rsidR="009F5AB0" w:rsidRPr="001B79C2">
        <w:rPr>
          <w:rFonts w:ascii="Book Antiqua" w:hAnsi="Book Antiqua" w:cs="Calibri"/>
          <w:i/>
          <w:iCs/>
        </w:rPr>
        <w:t>is</w:t>
      </w:r>
      <w:r w:rsidR="009F5AB0" w:rsidRPr="001B79C2">
        <w:rPr>
          <w:rFonts w:ascii="Book Antiqua" w:hAnsi="Book Antiqua" w:cs="Calibri"/>
        </w:rPr>
        <w:t xml:space="preserve">, but </w:t>
      </w:r>
      <w:r w:rsidR="009F5AB0" w:rsidRPr="001B79C2">
        <w:rPr>
          <w:rFonts w:ascii="Book Antiqua" w:hAnsi="Book Antiqua" w:cs="Calibri"/>
          <w:i/>
          <w:iCs/>
        </w:rPr>
        <w:t xml:space="preserve">ought </w:t>
      </w:r>
      <w:r w:rsidR="009F5AB0" w:rsidRPr="007745A9">
        <w:rPr>
          <w:rFonts w:ascii="Book Antiqua" w:hAnsi="Book Antiqua" w:cs="Calibri"/>
        </w:rPr>
        <w:t>to be th</w:t>
      </w:r>
      <w:r w:rsidR="009F5AB0" w:rsidRPr="00F250A4">
        <w:rPr>
          <w:rFonts w:ascii="Book Antiqua" w:hAnsi="Book Antiqua" w:cs="Calibri"/>
        </w:rPr>
        <w:t xml:space="preserve">e </w:t>
      </w:r>
      <w:r w:rsidR="00856784">
        <w:rPr>
          <w:rFonts w:ascii="Book Antiqua" w:hAnsi="Book Antiqua" w:cs="Calibri"/>
        </w:rPr>
        <w:t>pre</w:t>
      </w:r>
      <w:r w:rsidR="009F5AB0" w:rsidRPr="00F250A4">
        <w:rPr>
          <w:rFonts w:ascii="Book Antiqua" w:hAnsi="Book Antiqua" w:cs="Calibri"/>
        </w:rPr>
        <w:t xml:space="preserve">dominant </w:t>
      </w:r>
      <w:r w:rsidR="009F5AB0">
        <w:rPr>
          <w:rFonts w:ascii="Book Antiqua" w:hAnsi="Book Antiqua" w:cs="Calibri"/>
        </w:rPr>
        <w:t xml:space="preserve">constitutional </w:t>
      </w:r>
      <w:r w:rsidR="009F5AB0" w:rsidRPr="00F250A4">
        <w:rPr>
          <w:rFonts w:ascii="Book Antiqua" w:hAnsi="Book Antiqua" w:cs="Calibri"/>
        </w:rPr>
        <w:t>actor</w:t>
      </w:r>
      <w:r w:rsidR="009F5AB0">
        <w:rPr>
          <w:rFonts w:ascii="Book Antiqua" w:hAnsi="Book Antiqua" w:cs="Calibri"/>
        </w:rPr>
        <w:t>, and p</w:t>
      </w:r>
      <w:r w:rsidR="009F5AB0" w:rsidRPr="00F250A4">
        <w:rPr>
          <w:rFonts w:ascii="Book Antiqua" w:hAnsi="Book Antiqua" w:cs="Calibri"/>
        </w:rPr>
        <w:t>arliament, on this view, appropriately acts in a reactive capacity to give scrutiny, imprimatur, and the force of law to executive proposals.</w:t>
      </w:r>
      <w:r w:rsidR="009F5AB0">
        <w:rPr>
          <w:rFonts w:ascii="Book Antiqua" w:hAnsi="Book Antiqua" w:cs="Calibri"/>
        </w:rPr>
        <w:t xml:space="preserve"> </w:t>
      </w:r>
      <w:r w:rsidR="0087152E">
        <w:rPr>
          <w:rFonts w:ascii="Book Antiqua" w:hAnsi="Book Antiqua" w:cs="Calibri"/>
        </w:rPr>
        <w:t xml:space="preserve">If </w:t>
      </w:r>
      <w:r w:rsidR="001B5389">
        <w:rPr>
          <w:rFonts w:ascii="Book Antiqua" w:hAnsi="Book Antiqua" w:cs="Calibri"/>
        </w:rPr>
        <w:t xml:space="preserve">parliament </w:t>
      </w:r>
      <w:r w:rsidR="0087152E">
        <w:rPr>
          <w:rFonts w:ascii="Book Antiqua" w:hAnsi="Book Antiqua" w:cs="Calibri"/>
        </w:rPr>
        <w:t>i</w:t>
      </w:r>
      <w:r w:rsidR="001B5389">
        <w:rPr>
          <w:rFonts w:ascii="Book Antiqua" w:hAnsi="Book Antiqua" w:cs="Calibri"/>
        </w:rPr>
        <w:t>s</w:t>
      </w:r>
      <w:r w:rsidR="0087152E">
        <w:rPr>
          <w:rFonts w:ascii="Book Antiqua" w:hAnsi="Book Antiqua" w:cs="Calibri"/>
        </w:rPr>
        <w:t xml:space="preserve"> engaged in a robustly pro-active law-making capacity, </w:t>
      </w:r>
      <w:r w:rsidR="001B5389">
        <w:rPr>
          <w:rFonts w:ascii="Book Antiqua" w:hAnsi="Book Antiqua" w:cs="Calibri"/>
        </w:rPr>
        <w:t xml:space="preserve">on this view it </w:t>
      </w:r>
      <w:r w:rsidR="0087152E">
        <w:rPr>
          <w:rFonts w:ascii="Book Antiqua" w:hAnsi="Book Antiqua" w:cs="Calibri"/>
        </w:rPr>
        <w:t>would be acting in a constitutionally unprincipled fashion.</w:t>
      </w:r>
    </w:p>
    <w:p w14:paraId="1BAA6E25" w14:textId="77777777" w:rsidR="009F5AB0" w:rsidRDefault="009F5AB0" w:rsidP="0068431D">
      <w:pPr>
        <w:spacing w:line="360" w:lineRule="auto"/>
        <w:jc w:val="both"/>
        <w:rPr>
          <w:rFonts w:ascii="Book Antiqua" w:hAnsi="Book Antiqua" w:cs="Calibri"/>
        </w:rPr>
      </w:pPr>
    </w:p>
    <w:p w14:paraId="31F8657C" w14:textId="2445B7AE" w:rsidR="00530538" w:rsidRPr="003739B7" w:rsidRDefault="002666CE" w:rsidP="0068431D">
      <w:pPr>
        <w:spacing w:line="360" w:lineRule="auto"/>
        <w:jc w:val="both"/>
        <w:rPr>
          <w:rFonts w:ascii="Book Antiqua" w:hAnsi="Book Antiqua" w:cs="Calibri"/>
        </w:rPr>
      </w:pPr>
      <w:r>
        <w:rPr>
          <w:rFonts w:ascii="Book Antiqua" w:hAnsi="Book Antiqua" w:cs="Calibri"/>
        </w:rPr>
        <w:t>S</w:t>
      </w:r>
      <w:r w:rsidR="008D32E2" w:rsidRPr="00AF2E40">
        <w:rPr>
          <w:rFonts w:ascii="Book Antiqua" w:hAnsi="Book Antiqua" w:cs="Calibri"/>
        </w:rPr>
        <w:t>igns have emerged recently</w:t>
      </w:r>
      <w:r w:rsidR="009531B4" w:rsidRPr="007E36D0">
        <w:rPr>
          <w:rFonts w:ascii="Book Antiqua" w:hAnsi="Book Antiqua" w:cs="Calibri"/>
        </w:rPr>
        <w:t>,</w:t>
      </w:r>
      <w:r w:rsidR="008D32E2" w:rsidRPr="00842390">
        <w:rPr>
          <w:rFonts w:ascii="Book Antiqua" w:hAnsi="Book Antiqua" w:cs="Calibri"/>
        </w:rPr>
        <w:t xml:space="preserve"> in several </w:t>
      </w:r>
      <w:r w:rsidR="009531B4" w:rsidRPr="00BE2EE4">
        <w:rPr>
          <w:rFonts w:ascii="Book Antiqua" w:hAnsi="Book Antiqua" w:cs="Calibri"/>
        </w:rPr>
        <w:t>jurisdictions,</w:t>
      </w:r>
      <w:r w:rsidR="008D32E2" w:rsidRPr="00692FEB">
        <w:rPr>
          <w:rFonts w:ascii="Book Antiqua" w:hAnsi="Book Antiqua" w:cs="Calibri"/>
        </w:rPr>
        <w:t xml:space="preserve"> that</w:t>
      </w:r>
      <w:r w:rsidR="0024025C">
        <w:rPr>
          <w:rFonts w:ascii="Book Antiqua" w:hAnsi="Book Antiqua" w:cs="Calibri"/>
        </w:rPr>
        <w:t xml:space="preserve"> </w:t>
      </w:r>
      <w:r w:rsidR="00A332CD">
        <w:rPr>
          <w:rFonts w:ascii="Book Antiqua" w:hAnsi="Book Antiqua" w:cs="Calibri"/>
        </w:rPr>
        <w:t>it is plausible to</w:t>
      </w:r>
      <w:r w:rsidR="0024025C">
        <w:rPr>
          <w:rFonts w:ascii="Book Antiqua" w:hAnsi="Book Antiqua" w:cs="Calibri"/>
        </w:rPr>
        <w:t xml:space="preserve"> </w:t>
      </w:r>
      <w:r w:rsidR="009F5AB0">
        <w:rPr>
          <w:rFonts w:ascii="Book Antiqua" w:hAnsi="Book Antiqua" w:cs="Calibri"/>
        </w:rPr>
        <w:t>view the second position as the prevailing one amongst elite political actors</w:t>
      </w:r>
      <w:r w:rsidR="0024025C">
        <w:rPr>
          <w:rFonts w:ascii="Book Antiqua" w:hAnsi="Book Antiqua" w:cs="Calibri"/>
        </w:rPr>
        <w:t>.</w:t>
      </w:r>
      <w:r w:rsidR="009F5AB0">
        <w:rPr>
          <w:rFonts w:ascii="Book Antiqua" w:hAnsi="Book Antiqua" w:cs="Calibri"/>
        </w:rPr>
        <w:t xml:space="preserve"> </w:t>
      </w:r>
      <w:r w:rsidR="008D32E2" w:rsidRPr="009C65DA">
        <w:rPr>
          <w:rFonts w:ascii="Book Antiqua" w:hAnsi="Book Antiqua" w:cs="Calibri"/>
        </w:rPr>
        <w:t xml:space="preserve">In several </w:t>
      </w:r>
      <w:r w:rsidR="00CC2354">
        <w:rPr>
          <w:rFonts w:ascii="Book Antiqua" w:hAnsi="Book Antiqua" w:cs="Calibri"/>
        </w:rPr>
        <w:t>Westminster systems</w:t>
      </w:r>
      <w:r w:rsidR="008D32E2" w:rsidRPr="009C65DA">
        <w:rPr>
          <w:rFonts w:ascii="Book Antiqua" w:hAnsi="Book Antiqua" w:cs="Calibri"/>
        </w:rPr>
        <w:t xml:space="preserve">, the executive has retained remarkable control of the legislative process in spite of </w:t>
      </w:r>
      <w:r w:rsidR="008D32E2" w:rsidRPr="003739B7">
        <w:rPr>
          <w:rFonts w:ascii="Book Antiqua" w:hAnsi="Book Antiqua" w:cs="Calibri"/>
          <w:i/>
          <w:iCs/>
        </w:rPr>
        <w:t>not</w:t>
      </w:r>
      <w:r w:rsidR="008D32E2" w:rsidRPr="002516B9">
        <w:rPr>
          <w:rFonts w:ascii="Book Antiqua" w:hAnsi="Book Antiqua" w:cs="Calibri"/>
        </w:rPr>
        <w:t xml:space="preserve"> having a legislative majority.</w:t>
      </w:r>
      <w:r w:rsidR="009531B4" w:rsidRPr="00692FEB">
        <w:rPr>
          <w:rStyle w:val="FootnoteReference"/>
          <w:rFonts w:ascii="Book Antiqua" w:hAnsi="Book Antiqua" w:cs="Calibri"/>
        </w:rPr>
        <w:footnoteReference w:id="6"/>
      </w:r>
      <w:r w:rsidR="008D32E2" w:rsidRPr="00692FEB">
        <w:rPr>
          <w:rFonts w:ascii="Book Antiqua" w:hAnsi="Book Antiqua" w:cs="Calibri"/>
        </w:rPr>
        <w:t xml:space="preserve"> Even minority governments have proven capable of stifling the legislature in the </w:t>
      </w:r>
      <w:r w:rsidR="008D32E2" w:rsidRPr="009C65DA">
        <w:rPr>
          <w:rFonts w:ascii="Book Antiqua" w:hAnsi="Book Antiqua" w:cs="Calibri"/>
        </w:rPr>
        <w:t xml:space="preserve">performance of its functions. This suggests that executive dominance is </w:t>
      </w:r>
      <w:r w:rsidR="004A6FF7" w:rsidRPr="009C65DA">
        <w:rPr>
          <w:rFonts w:ascii="Book Antiqua" w:hAnsi="Book Antiqua" w:cs="Calibri"/>
        </w:rPr>
        <w:t>a more resilient phenomenon than might have been previously thought.</w:t>
      </w:r>
    </w:p>
    <w:p w14:paraId="4E5E070E" w14:textId="46D16CA5" w:rsidR="009531B4" w:rsidRPr="002516B9" w:rsidRDefault="009531B4" w:rsidP="0068431D">
      <w:pPr>
        <w:spacing w:line="360" w:lineRule="auto"/>
        <w:jc w:val="both"/>
        <w:rPr>
          <w:rFonts w:ascii="Book Antiqua" w:hAnsi="Book Antiqua" w:cs="Calibri"/>
        </w:rPr>
      </w:pPr>
    </w:p>
    <w:p w14:paraId="6B41D027" w14:textId="153A36C4" w:rsidR="009531B4" w:rsidRPr="00061F78" w:rsidRDefault="009531B4" w:rsidP="0068431D">
      <w:pPr>
        <w:spacing w:line="360" w:lineRule="auto"/>
        <w:jc w:val="both"/>
        <w:rPr>
          <w:rFonts w:ascii="Book Antiqua" w:hAnsi="Book Antiqua" w:cs="Calibri"/>
        </w:rPr>
      </w:pPr>
      <w:r w:rsidRPr="00061F78">
        <w:rPr>
          <w:rFonts w:ascii="Book Antiqua" w:hAnsi="Book Antiqua" w:cs="Calibri"/>
        </w:rPr>
        <w:t xml:space="preserve">Ireland’s recent </w:t>
      </w:r>
      <w:r w:rsidR="00284953" w:rsidRPr="00061F78">
        <w:rPr>
          <w:rFonts w:ascii="Book Antiqua" w:hAnsi="Book Antiqua" w:cs="Calibri"/>
        </w:rPr>
        <w:t xml:space="preserve">Fine Gael </w:t>
      </w:r>
      <w:r w:rsidRPr="00061F78">
        <w:rPr>
          <w:rFonts w:ascii="Book Antiqua" w:hAnsi="Book Antiqua" w:cs="Calibri"/>
        </w:rPr>
        <w:t>minority government, which was formed in May 2016 and dissolved in January 2020, provi</w:t>
      </w:r>
      <w:r w:rsidR="009F2F3B" w:rsidRPr="00B07F84">
        <w:rPr>
          <w:rFonts w:ascii="Book Antiqua" w:hAnsi="Book Antiqua" w:cs="Calibri"/>
        </w:rPr>
        <w:t>des</w:t>
      </w:r>
      <w:r w:rsidRPr="00CD38C2">
        <w:rPr>
          <w:rFonts w:ascii="Book Antiqua" w:hAnsi="Book Antiqua" w:cs="Calibri"/>
        </w:rPr>
        <w:t xml:space="preserve"> </w:t>
      </w:r>
      <w:r w:rsidR="009F2F3B" w:rsidRPr="007E5A2E">
        <w:rPr>
          <w:rFonts w:ascii="Book Antiqua" w:hAnsi="Book Antiqua" w:cs="Calibri"/>
        </w:rPr>
        <w:t xml:space="preserve">an </w:t>
      </w:r>
      <w:r w:rsidRPr="00D2111F">
        <w:rPr>
          <w:rFonts w:ascii="Book Antiqua" w:hAnsi="Book Antiqua" w:cs="Calibri"/>
        </w:rPr>
        <w:t xml:space="preserve">interesting </w:t>
      </w:r>
      <w:r w:rsidR="009F2F3B" w:rsidRPr="007425D3">
        <w:rPr>
          <w:rFonts w:ascii="Book Antiqua" w:hAnsi="Book Antiqua" w:cs="Calibri"/>
        </w:rPr>
        <w:t>and extreme</w:t>
      </w:r>
      <w:r w:rsidR="009F2F3B" w:rsidRPr="009F57B1">
        <w:rPr>
          <w:rFonts w:ascii="Book Antiqua" w:hAnsi="Book Antiqua" w:cs="Calibri"/>
        </w:rPr>
        <w:t xml:space="preserve"> </w:t>
      </w:r>
      <w:r w:rsidRPr="00C81A59">
        <w:rPr>
          <w:rFonts w:ascii="Book Antiqua" w:hAnsi="Book Antiqua" w:cs="Calibri"/>
        </w:rPr>
        <w:t xml:space="preserve">example of this </w:t>
      </w:r>
      <w:r w:rsidRPr="00C81A59">
        <w:rPr>
          <w:rFonts w:ascii="Book Antiqua" w:hAnsi="Book Antiqua" w:cs="Calibri"/>
        </w:rPr>
        <w:lastRenderedPageBreak/>
        <w:t>phenomen</w:t>
      </w:r>
      <w:r w:rsidRPr="00AF2E40">
        <w:rPr>
          <w:rFonts w:ascii="Book Antiqua" w:hAnsi="Book Antiqua" w:cs="Calibri"/>
        </w:rPr>
        <w:t>on.</w:t>
      </w:r>
      <w:r w:rsidR="00284953" w:rsidRPr="007E36D0">
        <w:rPr>
          <w:rFonts w:ascii="Book Antiqua" w:hAnsi="Book Antiqua" w:cs="Calibri"/>
        </w:rPr>
        <w:t xml:space="preserve"> Despite being well short of a legislative majority, and relying on the other traditional party of government, Fianna </w:t>
      </w:r>
      <w:proofErr w:type="spellStart"/>
      <w:r w:rsidR="00284953" w:rsidRPr="007E36D0">
        <w:rPr>
          <w:rFonts w:ascii="Book Antiqua" w:hAnsi="Book Antiqua" w:cs="Calibri"/>
        </w:rPr>
        <w:t>Fáil</w:t>
      </w:r>
      <w:proofErr w:type="spellEnd"/>
      <w:r w:rsidR="00284953" w:rsidRPr="007E36D0">
        <w:rPr>
          <w:rFonts w:ascii="Book Antiqua" w:hAnsi="Book Antiqua" w:cs="Calibri"/>
        </w:rPr>
        <w:t xml:space="preserve">, for confidence and supply, the government successfully resisted almost all </w:t>
      </w:r>
      <w:r w:rsidR="00284953" w:rsidRPr="00842390">
        <w:rPr>
          <w:rFonts w:ascii="Book Antiqua" w:hAnsi="Book Antiqua" w:cs="Calibri"/>
        </w:rPr>
        <w:t xml:space="preserve">private members legislation. </w:t>
      </w:r>
      <w:r w:rsidR="00284953" w:rsidRPr="00BE2EE4">
        <w:rPr>
          <w:rFonts w:ascii="Book Antiqua" w:hAnsi="Book Antiqua" w:cs="Calibri"/>
        </w:rPr>
        <w:t>This was also in spite of</w:t>
      </w:r>
      <w:r w:rsidR="00284953" w:rsidRPr="002C7FD0">
        <w:rPr>
          <w:rFonts w:ascii="Book Antiqua" w:hAnsi="Book Antiqua" w:cs="Calibri"/>
        </w:rPr>
        <w:t xml:space="preserve"> the</w:t>
      </w:r>
      <w:r w:rsidR="001935DE">
        <w:rPr>
          <w:rFonts w:ascii="Book Antiqua" w:hAnsi="Book Antiqua" w:cs="Calibri"/>
        </w:rPr>
        <w:t xml:space="preserve"> coincident</w:t>
      </w:r>
      <w:r w:rsidR="00284953" w:rsidRPr="001935DE">
        <w:rPr>
          <w:rFonts w:ascii="Book Antiqua" w:hAnsi="Book Antiqua" w:cs="Calibri"/>
        </w:rPr>
        <w:t xml:space="preserve"> introduction</w:t>
      </w:r>
      <w:r w:rsidR="00061F78">
        <w:rPr>
          <w:rFonts w:ascii="Book Antiqua" w:hAnsi="Book Antiqua" w:cs="Calibri"/>
        </w:rPr>
        <w:t xml:space="preserve"> </w:t>
      </w:r>
      <w:r w:rsidR="00284953" w:rsidRPr="006E162D">
        <w:rPr>
          <w:rFonts w:ascii="Book Antiqua" w:hAnsi="Book Antiqua" w:cs="Calibri"/>
        </w:rPr>
        <w:t>of several reforms</w:t>
      </w:r>
      <w:r w:rsidR="00061F78">
        <w:rPr>
          <w:rFonts w:ascii="Book Antiqua" w:hAnsi="Book Antiqua" w:cs="Calibri"/>
        </w:rPr>
        <w:t>—</w:t>
      </w:r>
      <w:r w:rsidR="00061F78" w:rsidRPr="00F250A4">
        <w:rPr>
          <w:rFonts w:ascii="Book Antiqua" w:hAnsi="Book Antiqua" w:cs="Calibri"/>
        </w:rPr>
        <w:t xml:space="preserve">known </w:t>
      </w:r>
      <w:r w:rsidR="00061F78">
        <w:rPr>
          <w:rFonts w:ascii="Book Antiqua" w:hAnsi="Book Antiqua" w:cs="Calibri"/>
        </w:rPr>
        <w:t xml:space="preserve">collectively </w:t>
      </w:r>
      <w:r w:rsidR="00061F78" w:rsidRPr="00061F78">
        <w:rPr>
          <w:rFonts w:ascii="Book Antiqua" w:hAnsi="Book Antiqua" w:cs="Calibri"/>
        </w:rPr>
        <w:t>as “new politics”</w:t>
      </w:r>
      <w:r w:rsidR="00061F78">
        <w:rPr>
          <w:rFonts w:ascii="Book Antiqua" w:hAnsi="Book Antiqua" w:cs="Calibri"/>
        </w:rPr>
        <w:t>—</w:t>
      </w:r>
      <w:r w:rsidR="00284953" w:rsidRPr="00061F78">
        <w:rPr>
          <w:rFonts w:ascii="Book Antiqua" w:hAnsi="Book Antiqua" w:cs="Calibri"/>
        </w:rPr>
        <w:t>that were designed to re-empower and reinvigorate parliament</w:t>
      </w:r>
      <w:r w:rsidR="00061F78">
        <w:rPr>
          <w:rFonts w:ascii="Book Antiqua" w:hAnsi="Book Antiqua" w:cs="Calibri"/>
        </w:rPr>
        <w:t>.</w:t>
      </w:r>
      <w:r w:rsidR="00B75ABD" w:rsidRPr="00692FEB">
        <w:rPr>
          <w:rStyle w:val="FootnoteReference"/>
          <w:rFonts w:ascii="Book Antiqua" w:hAnsi="Book Antiqua" w:cs="Calibri"/>
        </w:rPr>
        <w:footnoteReference w:id="7"/>
      </w:r>
      <w:r w:rsidR="0042778E" w:rsidRPr="00692FEB">
        <w:rPr>
          <w:rFonts w:ascii="Book Antiqua" w:hAnsi="Book Antiqua" w:cs="Calibri"/>
        </w:rPr>
        <w:t xml:space="preserve"> Several longstanding elements of parliamentary </w:t>
      </w:r>
      <w:r w:rsidR="000A1BAA">
        <w:rPr>
          <w:rFonts w:ascii="Book Antiqua" w:hAnsi="Book Antiqua" w:cs="Calibri"/>
        </w:rPr>
        <w:t xml:space="preserve">and government </w:t>
      </w:r>
      <w:r w:rsidR="0042778E" w:rsidRPr="00692FEB">
        <w:rPr>
          <w:rFonts w:ascii="Book Antiqua" w:hAnsi="Book Antiqua" w:cs="Calibri"/>
        </w:rPr>
        <w:t xml:space="preserve">process </w:t>
      </w:r>
      <w:r w:rsidR="008E52FB" w:rsidRPr="009C65DA">
        <w:rPr>
          <w:rFonts w:ascii="Book Antiqua" w:hAnsi="Book Antiqua" w:cs="Calibri"/>
        </w:rPr>
        <w:t xml:space="preserve">were used to create a form of legislative veto over private members legislation and leave government with substantial control over </w:t>
      </w:r>
      <w:r w:rsidR="00900028" w:rsidRPr="009C65DA">
        <w:rPr>
          <w:rFonts w:ascii="Book Antiqua" w:hAnsi="Book Antiqua" w:cs="Calibri"/>
        </w:rPr>
        <w:t>the legislative process. Essentiall</w:t>
      </w:r>
      <w:r w:rsidR="00900028" w:rsidRPr="003739B7">
        <w:rPr>
          <w:rFonts w:ascii="Book Antiqua" w:hAnsi="Book Antiqua" w:cs="Calibri"/>
        </w:rPr>
        <w:t xml:space="preserve">y, executive dominance remained, in spite of </w:t>
      </w:r>
      <w:r w:rsidR="00B75ABD" w:rsidRPr="002516B9">
        <w:rPr>
          <w:rFonts w:ascii="Book Antiqua" w:hAnsi="Book Antiqua" w:cs="Calibri"/>
        </w:rPr>
        <w:t>minority</w:t>
      </w:r>
      <w:r w:rsidR="00900028" w:rsidRPr="00355202">
        <w:rPr>
          <w:rFonts w:ascii="Book Antiqua" w:hAnsi="Book Antiqua" w:cs="Calibri"/>
        </w:rPr>
        <w:t xml:space="preserve"> government and other factors which might have been expected to</w:t>
      </w:r>
      <w:r w:rsidR="00900028" w:rsidRPr="00061F78">
        <w:rPr>
          <w:rFonts w:ascii="Book Antiqua" w:hAnsi="Book Antiqua" w:cs="Calibri"/>
        </w:rPr>
        <w:t xml:space="preserve"> reduce it.</w:t>
      </w:r>
    </w:p>
    <w:p w14:paraId="37A16917" w14:textId="464966B4" w:rsidR="00796603" w:rsidRPr="00061F78" w:rsidRDefault="00796603" w:rsidP="0068431D">
      <w:pPr>
        <w:spacing w:line="360" w:lineRule="auto"/>
        <w:jc w:val="both"/>
        <w:rPr>
          <w:rFonts w:ascii="Book Antiqua" w:hAnsi="Book Antiqua" w:cs="Calibri"/>
        </w:rPr>
      </w:pPr>
    </w:p>
    <w:p w14:paraId="5D80B3AE" w14:textId="3A6F0EAB" w:rsidR="00630F0E" w:rsidRDefault="00796603" w:rsidP="0068431D">
      <w:pPr>
        <w:spacing w:line="360" w:lineRule="auto"/>
        <w:jc w:val="both"/>
        <w:rPr>
          <w:rFonts w:ascii="Book Antiqua" w:hAnsi="Book Antiqua" w:cs="Calibri"/>
        </w:rPr>
      </w:pPr>
      <w:r w:rsidRPr="00061F78">
        <w:rPr>
          <w:rFonts w:ascii="Book Antiqua" w:hAnsi="Book Antiqua" w:cs="Calibri"/>
        </w:rPr>
        <w:t xml:space="preserve">In Part I, we examine the phenomenon of executive </w:t>
      </w:r>
      <w:r w:rsidR="0078345A" w:rsidRPr="00061F78">
        <w:rPr>
          <w:rFonts w:ascii="Book Antiqua" w:hAnsi="Book Antiqua" w:cs="Calibri"/>
        </w:rPr>
        <w:t>predominance in contemporary constitutionalism</w:t>
      </w:r>
      <w:r w:rsidR="0078345A" w:rsidRPr="006E162D">
        <w:rPr>
          <w:rFonts w:ascii="Book Antiqua" w:hAnsi="Book Antiqua" w:cs="Calibri"/>
        </w:rPr>
        <w:t>,</w:t>
      </w:r>
      <w:r w:rsidRPr="006E162D">
        <w:rPr>
          <w:rFonts w:ascii="Book Antiqua" w:hAnsi="Book Antiqua" w:cs="Calibri"/>
        </w:rPr>
        <w:t xml:space="preserve"> and the trend of executive dominance in the Irish </w:t>
      </w:r>
      <w:r w:rsidR="005F1F32" w:rsidRPr="006E162D">
        <w:rPr>
          <w:rFonts w:ascii="Book Antiqua" w:hAnsi="Book Antiqua" w:cs="Calibri"/>
        </w:rPr>
        <w:t>parliamentary</w:t>
      </w:r>
      <w:r w:rsidRPr="006E162D">
        <w:rPr>
          <w:rFonts w:ascii="Book Antiqua" w:hAnsi="Book Antiqua" w:cs="Calibri"/>
        </w:rPr>
        <w:t xml:space="preserve"> system</w:t>
      </w:r>
      <w:r w:rsidR="00383CD1" w:rsidRPr="006E162D">
        <w:rPr>
          <w:rFonts w:ascii="Book Antiqua" w:hAnsi="Book Antiqua" w:cs="Calibri"/>
        </w:rPr>
        <w:t xml:space="preserve"> specifically</w:t>
      </w:r>
      <w:r w:rsidRPr="006E162D">
        <w:rPr>
          <w:rFonts w:ascii="Book Antiqua" w:hAnsi="Book Antiqua" w:cs="Calibri"/>
        </w:rPr>
        <w:t>.</w:t>
      </w:r>
      <w:r w:rsidR="00D67B64">
        <w:rPr>
          <w:rFonts w:ascii="Book Antiqua" w:hAnsi="Book Antiqua" w:cs="Calibri"/>
        </w:rPr>
        <w:t xml:space="preserve"> </w:t>
      </w:r>
      <w:r w:rsidR="006E1C74" w:rsidRPr="006E162D">
        <w:rPr>
          <w:rFonts w:ascii="Book Antiqua" w:hAnsi="Book Antiqua" w:cs="Calibri"/>
        </w:rPr>
        <w:t>We also outline</w:t>
      </w:r>
      <w:r w:rsidR="00383CD1" w:rsidRPr="006E162D">
        <w:rPr>
          <w:rFonts w:ascii="Book Antiqua" w:hAnsi="Book Antiqua" w:cs="Calibri"/>
        </w:rPr>
        <w:t xml:space="preserve"> Ireland’s recent experience of minority government and its</w:t>
      </w:r>
      <w:r w:rsidR="006E1C74" w:rsidRPr="006E162D">
        <w:rPr>
          <w:rFonts w:ascii="Book Antiqua" w:hAnsi="Book Antiqua" w:cs="Calibri"/>
        </w:rPr>
        <w:t xml:space="preserve"> attempt to increase the institutional capacity of parliament. </w:t>
      </w:r>
      <w:r w:rsidR="004F5CAA" w:rsidRPr="006E162D">
        <w:rPr>
          <w:rFonts w:ascii="Book Antiqua" w:hAnsi="Book Antiqua" w:cs="Calibri"/>
        </w:rPr>
        <w:t>In Part II, we look at the “money message” procedure in the Irish parliament from 2016-2020. Article 17.2 of the Constitution provides that no bill for the appropriation of revenue can proceed without a message from the government approving it. This erstwhile obscure constitutional provision</w:t>
      </w:r>
      <w:r w:rsidR="00D47D06">
        <w:rPr>
          <w:rFonts w:ascii="Book Antiqua" w:hAnsi="Book Antiqua" w:cs="Calibri"/>
        </w:rPr>
        <w:t xml:space="preserve"> </w:t>
      </w:r>
      <w:r w:rsidR="004F5CAA" w:rsidRPr="006E162D">
        <w:rPr>
          <w:rFonts w:ascii="Book Antiqua" w:hAnsi="Book Antiqua" w:cs="Calibri"/>
        </w:rPr>
        <w:t xml:space="preserve">essentially became an executive veto, with the government—facilitated by broad interpretation of the constitutional clause and the related standing orders—using </w:t>
      </w:r>
      <w:r w:rsidR="00D47D06">
        <w:rPr>
          <w:rFonts w:ascii="Book Antiqua" w:hAnsi="Book Antiqua" w:cs="Calibri"/>
        </w:rPr>
        <w:t>it</w:t>
      </w:r>
      <w:r w:rsidR="004F5CAA" w:rsidRPr="00D47D06">
        <w:rPr>
          <w:rFonts w:ascii="Book Antiqua" w:hAnsi="Book Antiqua" w:cs="Calibri"/>
        </w:rPr>
        <w:t xml:space="preserve"> to stop almost all private members bills of which it disapproved. </w:t>
      </w:r>
      <w:r w:rsidR="00EB3FF6" w:rsidRPr="006E162D">
        <w:rPr>
          <w:rFonts w:ascii="Book Antiqua" w:hAnsi="Book Antiqua" w:cs="Calibri"/>
        </w:rPr>
        <w:t xml:space="preserve">In Part III, we examine the practice of Attorney General’s advice, and the use of legal advice on constitutionality as a way to oppose legislation. </w:t>
      </w:r>
      <w:r w:rsidR="000473DE">
        <w:rPr>
          <w:rFonts w:ascii="Book Antiqua" w:hAnsi="Book Antiqua" w:cs="Calibri"/>
        </w:rPr>
        <w:t xml:space="preserve">The apparent scope and impact of the AG on Irish politics is very significant. Through its perceived independence and secret advice, which apparently receives remarkable deference from politicians and government, it can function as an effective veto play in the legislative process. </w:t>
      </w:r>
      <w:r w:rsidR="000473DE">
        <w:rPr>
          <w:rFonts w:ascii="Book Antiqua" w:hAnsi="Book Antiqua" w:cs="Calibri"/>
        </w:rPr>
        <w:t xml:space="preserve">This practice has long been used a reason for the government not supporting legislative </w:t>
      </w:r>
      <w:r w:rsidR="005839A0">
        <w:rPr>
          <w:rFonts w:ascii="Book Antiqua" w:hAnsi="Book Antiqua" w:cs="Calibri"/>
        </w:rPr>
        <w:t>measures</w:t>
      </w:r>
      <w:r w:rsidR="000473DE">
        <w:rPr>
          <w:rFonts w:ascii="Book Antiqua" w:hAnsi="Book Antiqua" w:cs="Calibri"/>
        </w:rPr>
        <w:t xml:space="preserve">, </w:t>
      </w:r>
      <w:r w:rsidR="005839A0">
        <w:rPr>
          <w:rFonts w:ascii="Book Antiqua" w:hAnsi="Book Antiqua" w:cs="Calibri"/>
        </w:rPr>
        <w:t xml:space="preserve">but it use has been increasingly regular, and </w:t>
      </w:r>
      <w:proofErr w:type="gramStart"/>
      <w:r w:rsidR="005839A0">
        <w:rPr>
          <w:rFonts w:ascii="Book Antiqua" w:hAnsi="Book Antiqua" w:cs="Calibri"/>
        </w:rPr>
        <w:t>it  has</w:t>
      </w:r>
      <w:proofErr w:type="gramEnd"/>
      <w:r w:rsidR="005839A0">
        <w:rPr>
          <w:rFonts w:ascii="Book Antiqua" w:hAnsi="Book Antiqua" w:cs="Calibri"/>
        </w:rPr>
        <w:t xml:space="preserve"> recently been </w:t>
      </w:r>
      <w:r w:rsidR="000473DE">
        <w:rPr>
          <w:rFonts w:ascii="Book Antiqua" w:hAnsi="Book Antiqua" w:cs="Calibri"/>
        </w:rPr>
        <w:t xml:space="preserve">combined with the </w:t>
      </w:r>
      <w:r w:rsidR="000473DE" w:rsidRPr="00D47D06">
        <w:rPr>
          <w:rFonts w:ascii="Book Antiqua" w:hAnsi="Book Antiqua" w:cs="Calibri"/>
        </w:rPr>
        <w:t>money message</w:t>
      </w:r>
      <w:r w:rsidR="00D750B2">
        <w:rPr>
          <w:rFonts w:ascii="Book Antiqua" w:hAnsi="Book Antiqua" w:cs="Calibri"/>
        </w:rPr>
        <w:t xml:space="preserve"> procedure</w:t>
      </w:r>
      <w:r w:rsidR="000473DE">
        <w:rPr>
          <w:rFonts w:ascii="Book Antiqua" w:hAnsi="Book Antiqua" w:cs="Calibri"/>
        </w:rPr>
        <w:t xml:space="preserve"> to veto private </w:t>
      </w:r>
      <w:r w:rsidR="005839A0">
        <w:rPr>
          <w:rFonts w:ascii="Book Antiqua" w:hAnsi="Book Antiqua" w:cs="Calibri"/>
        </w:rPr>
        <w:t xml:space="preserve">members’ </w:t>
      </w:r>
      <w:r w:rsidR="000473DE">
        <w:rPr>
          <w:rFonts w:ascii="Book Antiqua" w:hAnsi="Book Antiqua" w:cs="Calibri"/>
        </w:rPr>
        <w:t>legislation</w:t>
      </w:r>
      <w:r w:rsidR="000473DE" w:rsidRPr="00D47D06">
        <w:rPr>
          <w:rFonts w:ascii="Book Antiqua" w:hAnsi="Book Antiqua" w:cs="Calibri"/>
        </w:rPr>
        <w:t>.</w:t>
      </w:r>
      <w:r w:rsidR="000473DE">
        <w:rPr>
          <w:rFonts w:ascii="Book Antiqua" w:hAnsi="Book Antiqua" w:cs="Calibri"/>
        </w:rPr>
        <w:t xml:space="preserve"> </w:t>
      </w:r>
    </w:p>
    <w:p w14:paraId="3DB0A492" w14:textId="77777777" w:rsidR="00630F0E" w:rsidRPr="00D47D06" w:rsidRDefault="00630F0E" w:rsidP="0068431D">
      <w:pPr>
        <w:spacing w:line="360" w:lineRule="auto"/>
        <w:jc w:val="both"/>
        <w:rPr>
          <w:rFonts w:ascii="Book Antiqua" w:hAnsi="Book Antiqua" w:cs="Calibri"/>
        </w:rPr>
      </w:pPr>
    </w:p>
    <w:p w14:paraId="22966138" w14:textId="29744FE2" w:rsidR="001455DB" w:rsidRDefault="008469FC" w:rsidP="0068431D">
      <w:pPr>
        <w:spacing w:line="360" w:lineRule="auto"/>
        <w:jc w:val="both"/>
        <w:rPr>
          <w:rFonts w:ascii="Book Antiqua" w:hAnsi="Book Antiqua" w:cs="Calibri"/>
        </w:rPr>
      </w:pPr>
      <w:r w:rsidRPr="00D47D06">
        <w:rPr>
          <w:rFonts w:ascii="Book Antiqua" w:hAnsi="Book Antiqua" w:cs="Calibri"/>
        </w:rPr>
        <w:lastRenderedPageBreak/>
        <w:t xml:space="preserve">In </w:t>
      </w:r>
      <w:r w:rsidR="00646888" w:rsidRPr="00D47D06">
        <w:rPr>
          <w:rFonts w:ascii="Book Antiqua" w:hAnsi="Book Antiqua" w:cs="Calibri"/>
        </w:rPr>
        <w:t xml:space="preserve">Part </w:t>
      </w:r>
      <w:r w:rsidR="004448C4" w:rsidRPr="00D47D06">
        <w:rPr>
          <w:rFonts w:ascii="Book Antiqua" w:hAnsi="Book Antiqua" w:cs="Calibri"/>
        </w:rPr>
        <w:t>I</w:t>
      </w:r>
      <w:r w:rsidR="0078345A" w:rsidRPr="00D47D06">
        <w:rPr>
          <w:rFonts w:ascii="Book Antiqua" w:hAnsi="Book Antiqua" w:cs="Calibri"/>
        </w:rPr>
        <w:t>V</w:t>
      </w:r>
      <w:r w:rsidRPr="00D47D06">
        <w:rPr>
          <w:rFonts w:ascii="Book Antiqua" w:hAnsi="Book Antiqua" w:cs="Calibri"/>
        </w:rPr>
        <w:t>, we</w:t>
      </w:r>
      <w:r w:rsidR="00D47D06">
        <w:rPr>
          <w:rFonts w:ascii="Book Antiqua" w:hAnsi="Book Antiqua" w:cs="Calibri"/>
        </w:rPr>
        <w:t xml:space="preserve"> argue</w:t>
      </w:r>
      <w:r w:rsidRPr="006E162D">
        <w:rPr>
          <w:rFonts w:ascii="Book Antiqua" w:hAnsi="Book Antiqua" w:cs="Calibri"/>
        </w:rPr>
        <w:t xml:space="preserve"> that executive dominance is </w:t>
      </w:r>
      <w:r w:rsidR="00D47D06">
        <w:rPr>
          <w:rFonts w:ascii="Book Antiqua" w:hAnsi="Book Antiqua" w:cs="Calibri"/>
        </w:rPr>
        <w:t xml:space="preserve">resilient because it is </w:t>
      </w:r>
      <w:r w:rsidRPr="00D47D06">
        <w:rPr>
          <w:rFonts w:ascii="Book Antiqua" w:hAnsi="Book Antiqua" w:cs="Calibri"/>
        </w:rPr>
        <w:t>a function of political</w:t>
      </w:r>
      <w:r w:rsidR="000E6ABB" w:rsidRPr="00D47D06">
        <w:rPr>
          <w:rFonts w:ascii="Book Antiqua" w:hAnsi="Book Antiqua" w:cs="Calibri"/>
        </w:rPr>
        <w:t xml:space="preserve"> and constitutional</w:t>
      </w:r>
      <w:r w:rsidRPr="00D47D06">
        <w:rPr>
          <w:rFonts w:ascii="Book Antiqua" w:hAnsi="Book Antiqua" w:cs="Calibri"/>
        </w:rPr>
        <w:t xml:space="preserve"> culture</w:t>
      </w:r>
      <w:r w:rsidR="00E6166A" w:rsidRPr="00D47D06">
        <w:rPr>
          <w:rFonts w:ascii="Book Antiqua" w:hAnsi="Book Antiqua" w:cs="Calibri"/>
        </w:rPr>
        <w:t xml:space="preserve"> just as much as formal rules. This culture is</w:t>
      </w:r>
      <w:r w:rsidRPr="00D47D06">
        <w:rPr>
          <w:rFonts w:ascii="Book Antiqua" w:hAnsi="Book Antiqua" w:cs="Calibri"/>
        </w:rPr>
        <w:t xml:space="preserve"> a set of (largely unspoken</w:t>
      </w:r>
      <w:r w:rsidR="005F4D9F">
        <w:rPr>
          <w:rFonts w:ascii="Book Antiqua" w:hAnsi="Book Antiqua" w:cs="Calibri"/>
        </w:rPr>
        <w:t>,</w:t>
      </w:r>
      <w:r w:rsidRPr="00D47D06">
        <w:rPr>
          <w:rFonts w:ascii="Book Antiqua" w:hAnsi="Book Antiqua" w:cs="Calibri"/>
        </w:rPr>
        <w:t xml:space="preserve"> perhaps subconscious) beliefs and assumptions about politics and its operation</w:t>
      </w:r>
      <w:r w:rsidR="00692238" w:rsidRPr="00D47D06">
        <w:rPr>
          <w:rFonts w:ascii="Book Antiqua" w:hAnsi="Book Antiqua" w:cs="Calibri"/>
        </w:rPr>
        <w:t xml:space="preserve"> which undergirds and shapes our understanding of the rules</w:t>
      </w:r>
      <w:r w:rsidR="000E6ABB" w:rsidRPr="00630F0E">
        <w:rPr>
          <w:rFonts w:ascii="Book Antiqua" w:hAnsi="Book Antiqua" w:cs="Calibri"/>
        </w:rPr>
        <w:t xml:space="preserve"> and how constitutional actors ought to function</w:t>
      </w:r>
      <w:r w:rsidR="00692238" w:rsidRPr="005F4D9F">
        <w:rPr>
          <w:rFonts w:ascii="Book Antiqua" w:hAnsi="Book Antiqua" w:cs="Calibri"/>
        </w:rPr>
        <w:t xml:space="preserve">. </w:t>
      </w:r>
      <w:r w:rsidRPr="005F4D9F">
        <w:rPr>
          <w:rFonts w:ascii="Book Antiqua" w:hAnsi="Book Antiqua" w:cs="Calibri"/>
        </w:rPr>
        <w:t xml:space="preserve">None of the </w:t>
      </w:r>
      <w:r w:rsidR="00692238" w:rsidRPr="005F4D9F">
        <w:rPr>
          <w:rFonts w:ascii="Book Antiqua" w:hAnsi="Book Antiqua" w:cs="Calibri"/>
        </w:rPr>
        <w:t xml:space="preserve">rules and practices </w:t>
      </w:r>
      <w:r w:rsidRPr="005F4D9F">
        <w:rPr>
          <w:rFonts w:ascii="Book Antiqua" w:hAnsi="Book Antiqua" w:cs="Calibri"/>
        </w:rPr>
        <w:t>in Ireland that facili</w:t>
      </w:r>
      <w:r w:rsidRPr="00B07F84">
        <w:rPr>
          <w:rFonts w:ascii="Book Antiqua" w:hAnsi="Book Antiqua" w:cs="Calibri"/>
        </w:rPr>
        <w:t>tated executive dominance by minority g</w:t>
      </w:r>
      <w:r w:rsidRPr="00E67DE6">
        <w:rPr>
          <w:rFonts w:ascii="Book Antiqua" w:hAnsi="Book Antiqua" w:cs="Calibri"/>
        </w:rPr>
        <w:t xml:space="preserve">overnments </w:t>
      </w:r>
      <w:r w:rsidR="00C863B2" w:rsidRPr="00CD38C2">
        <w:rPr>
          <w:rFonts w:ascii="Book Antiqua" w:hAnsi="Book Antiqua" w:cs="Calibri"/>
        </w:rPr>
        <w:t>are</w:t>
      </w:r>
      <w:r w:rsidR="00C863B2" w:rsidRPr="00E32144">
        <w:rPr>
          <w:rFonts w:ascii="Book Antiqua" w:hAnsi="Book Antiqua" w:cs="Calibri"/>
        </w:rPr>
        <w:t xml:space="preserve"> new or newly</w:t>
      </w:r>
      <w:r w:rsidR="00D72209" w:rsidRPr="007E5A2E">
        <w:rPr>
          <w:rFonts w:ascii="Book Antiqua" w:hAnsi="Book Antiqua" w:cs="Calibri"/>
        </w:rPr>
        <w:t xml:space="preserve"> </w:t>
      </w:r>
      <w:r w:rsidR="00C863B2" w:rsidRPr="00D2111F">
        <w:rPr>
          <w:rFonts w:ascii="Book Antiqua" w:hAnsi="Book Antiqua" w:cs="Calibri"/>
        </w:rPr>
        <w:t>implemented</w:t>
      </w:r>
      <w:r w:rsidR="005F4D9F">
        <w:rPr>
          <w:rFonts w:ascii="Book Antiqua" w:hAnsi="Book Antiqua" w:cs="Calibri"/>
        </w:rPr>
        <w:t>, and a</w:t>
      </w:r>
      <w:r w:rsidR="00C863B2" w:rsidRPr="006E162D">
        <w:rPr>
          <w:rFonts w:ascii="Book Antiqua" w:hAnsi="Book Antiqua" w:cs="Calibri"/>
        </w:rPr>
        <w:t>ll are capable of other interpretations and applications</w:t>
      </w:r>
      <w:r w:rsidR="00D67B64">
        <w:rPr>
          <w:rFonts w:ascii="Book Antiqua" w:hAnsi="Book Antiqua" w:cs="Calibri"/>
        </w:rPr>
        <w:t>. Indeed,</w:t>
      </w:r>
      <w:r w:rsidR="00C863B2" w:rsidRPr="006E162D">
        <w:rPr>
          <w:rFonts w:ascii="Book Antiqua" w:hAnsi="Book Antiqua" w:cs="Calibri"/>
        </w:rPr>
        <w:t xml:space="preserve"> there are compelling arguments that all could and should be interpreted and applied differently to restrict less radically the legislative power. </w:t>
      </w:r>
      <w:r w:rsidR="001455DB" w:rsidRPr="006E162D">
        <w:rPr>
          <w:rFonts w:ascii="Book Antiqua" w:hAnsi="Book Antiqua" w:cs="Calibri"/>
        </w:rPr>
        <w:t>The fact that they are interpreted as they are—and that there is so much acceptance of this and resistance of change—illustrates that executive dominance is cultural, an assumption that underlies parliamentary democracy and its institution</w:t>
      </w:r>
      <w:r w:rsidR="00916DE7">
        <w:rPr>
          <w:rFonts w:ascii="Book Antiqua" w:hAnsi="Book Antiqua" w:cs="Calibri"/>
        </w:rPr>
        <w:t>s,</w:t>
      </w:r>
      <w:r w:rsidR="001455DB" w:rsidRPr="006E162D">
        <w:rPr>
          <w:rFonts w:ascii="Book Antiqua" w:hAnsi="Book Antiqua" w:cs="Calibri"/>
        </w:rPr>
        <w:t xml:space="preserve"> and animates</w:t>
      </w:r>
      <w:r w:rsidR="00916DE7">
        <w:rPr>
          <w:rFonts w:ascii="Book Antiqua" w:hAnsi="Book Antiqua" w:cs="Calibri"/>
        </w:rPr>
        <w:t xml:space="preserve"> the</w:t>
      </w:r>
      <w:r w:rsidR="001455DB" w:rsidRPr="006E162D">
        <w:rPr>
          <w:rFonts w:ascii="Book Antiqua" w:hAnsi="Book Antiqua" w:cs="Calibri"/>
        </w:rPr>
        <w:t xml:space="preserve"> practices and interpretations of rules uphold</w:t>
      </w:r>
      <w:r w:rsidR="00D67B64">
        <w:rPr>
          <w:rFonts w:ascii="Book Antiqua" w:hAnsi="Book Antiqua" w:cs="Calibri"/>
        </w:rPr>
        <w:t>ing</w:t>
      </w:r>
      <w:r w:rsidR="001455DB" w:rsidRPr="006E162D">
        <w:rPr>
          <w:rFonts w:ascii="Book Antiqua" w:hAnsi="Book Antiqua" w:cs="Calibri"/>
        </w:rPr>
        <w:t xml:space="preserve"> </w:t>
      </w:r>
      <w:r w:rsidR="00916DE7">
        <w:rPr>
          <w:rFonts w:ascii="Book Antiqua" w:hAnsi="Book Antiqua" w:cs="Calibri"/>
        </w:rPr>
        <w:t>them</w:t>
      </w:r>
      <w:r w:rsidR="001455DB" w:rsidRPr="006E162D">
        <w:rPr>
          <w:rFonts w:ascii="Book Antiqua" w:hAnsi="Book Antiqua" w:cs="Calibri"/>
        </w:rPr>
        <w:t xml:space="preserve">. </w:t>
      </w:r>
      <w:r w:rsidR="005F4D9F">
        <w:rPr>
          <w:rFonts w:ascii="Book Antiqua" w:hAnsi="Book Antiqua" w:cs="Calibri"/>
        </w:rPr>
        <w:t>This serves an important lesson to anyone who would seek to reform parliamentary practices or challenge executive dominance.</w:t>
      </w:r>
      <w:r w:rsidR="00EE5347">
        <w:rPr>
          <w:rFonts w:ascii="Book Antiqua" w:hAnsi="Book Antiqua" w:cs="Calibri"/>
        </w:rPr>
        <w:t xml:space="preserve"> If executive dominance is a resilient part of the culture of Westminster systems, it will be protected</w:t>
      </w:r>
      <w:r w:rsidR="00D901B6">
        <w:rPr>
          <w:rFonts w:ascii="Book Antiqua" w:hAnsi="Book Antiqua" w:cs="Calibri"/>
        </w:rPr>
        <w:t>—</w:t>
      </w:r>
      <w:r w:rsidR="00EE5347">
        <w:rPr>
          <w:rFonts w:ascii="Book Antiqua" w:hAnsi="Book Antiqua" w:cs="Calibri"/>
        </w:rPr>
        <w:t>when challenged</w:t>
      </w:r>
      <w:r w:rsidR="00D901B6">
        <w:rPr>
          <w:rFonts w:ascii="Book Antiqua" w:hAnsi="Book Antiqua" w:cs="Calibri"/>
        </w:rPr>
        <w:t xml:space="preserve"> by circumstance or by deliberate reform—</w:t>
      </w:r>
      <w:r w:rsidR="00EE5347">
        <w:rPr>
          <w:rFonts w:ascii="Book Antiqua" w:hAnsi="Book Antiqua" w:cs="Calibri"/>
        </w:rPr>
        <w:t>by rules and practices particular to the specific traditions of each system, a</w:t>
      </w:r>
      <w:r w:rsidR="00D901B6">
        <w:rPr>
          <w:rFonts w:ascii="Book Antiqua" w:hAnsi="Book Antiqua" w:cs="Calibri"/>
        </w:rPr>
        <w:t xml:space="preserve">s </w:t>
      </w:r>
      <w:r w:rsidR="00EE5347">
        <w:rPr>
          <w:rFonts w:ascii="Book Antiqua" w:hAnsi="Book Antiqua" w:cs="Calibri"/>
        </w:rPr>
        <w:t>interpreted in light of this cultural assumption.</w:t>
      </w:r>
    </w:p>
    <w:p w14:paraId="781E8592" w14:textId="77777777" w:rsidR="00916DE7" w:rsidRPr="006E162D" w:rsidRDefault="00916DE7" w:rsidP="0068431D">
      <w:pPr>
        <w:spacing w:line="360" w:lineRule="auto"/>
        <w:jc w:val="both"/>
        <w:rPr>
          <w:rFonts w:ascii="Book Antiqua" w:hAnsi="Book Antiqua" w:cs="Calibri"/>
        </w:rPr>
      </w:pPr>
    </w:p>
    <w:p w14:paraId="5B66994E" w14:textId="28B2CC5D" w:rsidR="0003051F" w:rsidRPr="006E162D" w:rsidRDefault="0003051F" w:rsidP="00376D7D">
      <w:pPr>
        <w:spacing w:line="360" w:lineRule="auto"/>
        <w:jc w:val="both"/>
        <w:outlineLvl w:val="0"/>
        <w:rPr>
          <w:rFonts w:ascii="Book Antiqua" w:hAnsi="Book Antiqua" w:cs="Calibri"/>
          <w:b/>
          <w:bCs/>
        </w:rPr>
      </w:pPr>
      <w:r w:rsidRPr="006E162D">
        <w:rPr>
          <w:rFonts w:ascii="Book Antiqua" w:hAnsi="Book Antiqua" w:cs="Calibri"/>
          <w:b/>
          <w:bCs/>
        </w:rPr>
        <w:t>I: Executive dominance</w:t>
      </w:r>
    </w:p>
    <w:p w14:paraId="0746FBE1" w14:textId="35C960A8" w:rsidR="00FD1DDC" w:rsidRPr="00061F78" w:rsidRDefault="00946F16">
      <w:pPr>
        <w:shd w:val="clear" w:color="auto" w:fill="FFFFFF"/>
        <w:spacing w:line="360" w:lineRule="auto"/>
        <w:jc w:val="both"/>
        <w:rPr>
          <w:rFonts w:ascii="Book Antiqua" w:hAnsi="Book Antiqua" w:cs="Calibri"/>
          <w:color w:val="000000" w:themeColor="text1"/>
        </w:rPr>
      </w:pPr>
      <w:r w:rsidRPr="006E162D">
        <w:rPr>
          <w:rFonts w:ascii="Book Antiqua" w:hAnsi="Book Antiqua" w:cs="Calibri"/>
        </w:rPr>
        <w:t>In</w:t>
      </w:r>
      <w:r w:rsidR="004448C4" w:rsidRPr="006E162D">
        <w:rPr>
          <w:rFonts w:ascii="Book Antiqua" w:hAnsi="Book Antiqua" w:cs="Calibri"/>
        </w:rPr>
        <w:t xml:space="preserve"> </w:t>
      </w:r>
      <w:r w:rsidR="005F4D9F">
        <w:rPr>
          <w:rFonts w:ascii="Book Antiqua" w:hAnsi="Book Antiqua" w:cs="Calibri"/>
        </w:rPr>
        <w:t xml:space="preserve">the classic conception of the </w:t>
      </w:r>
      <w:r w:rsidR="00F67EFD" w:rsidRPr="005F4D9F">
        <w:rPr>
          <w:rFonts w:ascii="Book Antiqua" w:hAnsi="Book Antiqua" w:cs="Calibri"/>
        </w:rPr>
        <w:t>s</w:t>
      </w:r>
      <w:r w:rsidRPr="005F4D9F">
        <w:rPr>
          <w:rFonts w:ascii="Book Antiqua" w:hAnsi="Book Antiqua" w:cs="Calibri"/>
        </w:rPr>
        <w:t>eparation</w:t>
      </w:r>
      <w:r w:rsidR="007074F3" w:rsidRPr="005F4D9F">
        <w:rPr>
          <w:rFonts w:ascii="Book Antiqua" w:hAnsi="Book Antiqua" w:cs="Calibri"/>
        </w:rPr>
        <w:t xml:space="preserve"> of</w:t>
      </w:r>
      <w:r w:rsidRPr="005F4D9F">
        <w:rPr>
          <w:rFonts w:ascii="Book Antiqua" w:hAnsi="Book Antiqua" w:cs="Calibri"/>
        </w:rPr>
        <w:t xml:space="preserve"> </w:t>
      </w:r>
      <w:r w:rsidR="00F67EFD" w:rsidRPr="005F4D9F">
        <w:rPr>
          <w:rFonts w:ascii="Book Antiqua" w:hAnsi="Book Antiqua" w:cs="Calibri"/>
        </w:rPr>
        <w:t>p</w:t>
      </w:r>
      <w:r w:rsidRPr="005F4D9F">
        <w:rPr>
          <w:rFonts w:ascii="Book Antiqua" w:hAnsi="Book Antiqua" w:cs="Calibri"/>
        </w:rPr>
        <w:t xml:space="preserve">owers, </w:t>
      </w:r>
      <w:r w:rsidR="00376D7D" w:rsidRPr="005F4D9F">
        <w:rPr>
          <w:rFonts w:ascii="Book Antiqua" w:hAnsi="Book Antiqua" w:cs="Calibri"/>
        </w:rPr>
        <w:t xml:space="preserve">the </w:t>
      </w:r>
      <w:r w:rsidRPr="005F4D9F">
        <w:rPr>
          <w:rFonts w:ascii="Book Antiqua" w:hAnsi="Book Antiqua" w:cs="Calibri"/>
        </w:rPr>
        <w:t xml:space="preserve">executive power </w:t>
      </w:r>
      <w:r w:rsidR="005F4D9F">
        <w:rPr>
          <w:rFonts w:ascii="Book Antiqua" w:hAnsi="Book Antiqua" w:cs="Calibri"/>
        </w:rPr>
        <w:t>was</w:t>
      </w:r>
      <w:r w:rsidR="00376D7D" w:rsidRPr="005F4D9F">
        <w:rPr>
          <w:rFonts w:ascii="Book Antiqua" w:hAnsi="Book Antiqua" w:cs="Calibri"/>
        </w:rPr>
        <w:t xml:space="preserve"> </w:t>
      </w:r>
      <w:r w:rsidRPr="005F4D9F">
        <w:rPr>
          <w:rFonts w:ascii="Book Antiqua" w:hAnsi="Book Antiqua" w:cs="Calibri"/>
        </w:rPr>
        <w:t xml:space="preserve">the legal duty to ensure the </w:t>
      </w:r>
      <w:r w:rsidR="005F4D9F">
        <w:rPr>
          <w:rFonts w:ascii="Book Antiqua" w:hAnsi="Book Antiqua" w:cs="Calibri"/>
        </w:rPr>
        <w:t>“</w:t>
      </w:r>
      <w:r w:rsidRPr="005F4D9F">
        <w:rPr>
          <w:rFonts w:ascii="Book Antiqua" w:hAnsi="Book Antiqua" w:cs="Calibri"/>
        </w:rPr>
        <w:t>implementation of instructions and authority that came from</w:t>
      </w:r>
      <w:r w:rsidR="005F4D9F">
        <w:rPr>
          <w:rFonts w:ascii="Book Antiqua" w:hAnsi="Book Antiqua" w:cs="Calibri"/>
        </w:rPr>
        <w:t>”</w:t>
      </w:r>
      <w:r w:rsidRPr="005F4D9F">
        <w:rPr>
          <w:rFonts w:ascii="Book Antiqua" w:hAnsi="Book Antiqua" w:cs="Calibri"/>
        </w:rPr>
        <w:t xml:space="preserve"> the legislative authority. The executive branch on this conception is </w:t>
      </w:r>
      <w:r w:rsidR="005F4D9F">
        <w:rPr>
          <w:rFonts w:ascii="Book Antiqua" w:hAnsi="Book Antiqua" w:cs="Calibri"/>
        </w:rPr>
        <w:t>“</w:t>
      </w:r>
      <w:r w:rsidRPr="005F4D9F">
        <w:rPr>
          <w:rFonts w:ascii="Book Antiqua" w:hAnsi="Book Antiqua" w:cs="Calibri"/>
        </w:rPr>
        <w:t>guided by law,</w:t>
      </w:r>
      <w:r w:rsidR="005F4D9F">
        <w:rPr>
          <w:rFonts w:ascii="Book Antiqua" w:hAnsi="Book Antiqua" w:cs="Calibri"/>
        </w:rPr>
        <w:t>”</w:t>
      </w:r>
      <w:r w:rsidRPr="005F4D9F">
        <w:rPr>
          <w:rFonts w:ascii="Book Antiqua" w:hAnsi="Book Antiqua" w:cs="Calibri"/>
        </w:rPr>
        <w:t xml:space="preserve"> and </w:t>
      </w:r>
      <w:r w:rsidR="005F4D9F">
        <w:rPr>
          <w:rFonts w:ascii="Book Antiqua" w:hAnsi="Book Antiqua" w:cs="Calibri"/>
        </w:rPr>
        <w:t>“</w:t>
      </w:r>
      <w:r w:rsidRPr="005F4D9F">
        <w:rPr>
          <w:rFonts w:ascii="Book Antiqua" w:hAnsi="Book Antiqua" w:cs="Calibri"/>
        </w:rPr>
        <w:t>manacled both by man and measures.</w:t>
      </w:r>
      <w:r w:rsidR="005F4D9F">
        <w:rPr>
          <w:rFonts w:ascii="Book Antiqua" w:hAnsi="Book Antiqua" w:cs="Calibri"/>
        </w:rPr>
        <w:t>”</w:t>
      </w:r>
      <w:r w:rsidRPr="00692FEB">
        <w:rPr>
          <w:rStyle w:val="FootnoteReference"/>
          <w:rFonts w:ascii="Book Antiqua" w:hAnsi="Book Antiqua" w:cs="Calibri"/>
        </w:rPr>
        <w:footnoteReference w:id="8"/>
      </w:r>
      <w:r w:rsidRPr="00692FEB">
        <w:rPr>
          <w:rFonts w:ascii="Book Antiqua" w:hAnsi="Book Antiqua" w:cs="Calibri"/>
        </w:rPr>
        <w:t xml:space="preserve"> </w:t>
      </w:r>
      <w:r w:rsidR="005F4D9F">
        <w:rPr>
          <w:rFonts w:ascii="Book Antiqua" w:hAnsi="Book Antiqua" w:cs="Calibri"/>
        </w:rPr>
        <w:t>T</w:t>
      </w:r>
      <w:r w:rsidRPr="006E162D">
        <w:rPr>
          <w:rFonts w:ascii="Book Antiqua" w:hAnsi="Book Antiqua" w:cs="Calibri"/>
        </w:rPr>
        <w:t xml:space="preserve">he legislature would be the </w:t>
      </w:r>
      <w:r w:rsidR="005F4D9F">
        <w:rPr>
          <w:rFonts w:ascii="Book Antiqua" w:hAnsi="Book Antiqua" w:cs="Calibri"/>
        </w:rPr>
        <w:t>“</w:t>
      </w:r>
      <w:r w:rsidRPr="006E162D">
        <w:rPr>
          <w:rFonts w:ascii="Book Antiqua" w:hAnsi="Book Antiqua" w:cs="Calibri"/>
        </w:rPr>
        <w:t>centre of gravity of the governmental system</w:t>
      </w:r>
      <w:r w:rsidR="005F4D9F">
        <w:rPr>
          <w:rFonts w:ascii="Book Antiqua" w:hAnsi="Book Antiqua" w:cs="Calibri"/>
        </w:rPr>
        <w:t>”, and</w:t>
      </w:r>
      <w:r w:rsidR="00F67EFD" w:rsidRPr="006E162D">
        <w:rPr>
          <w:rFonts w:ascii="Book Antiqua" w:hAnsi="Book Antiqua" w:cs="Calibri"/>
        </w:rPr>
        <w:t xml:space="preserve"> </w:t>
      </w:r>
      <w:r w:rsidR="005F4D9F">
        <w:rPr>
          <w:rFonts w:ascii="Book Antiqua" w:hAnsi="Book Antiqua" w:cs="Calibri"/>
        </w:rPr>
        <w:t>t</w:t>
      </w:r>
      <w:r w:rsidRPr="006E162D">
        <w:rPr>
          <w:rFonts w:ascii="Book Antiqua" w:hAnsi="Book Antiqua" w:cs="Calibri"/>
        </w:rPr>
        <w:t>he executive</w:t>
      </w:r>
      <w:r w:rsidR="00F67EFD" w:rsidRPr="006E162D">
        <w:rPr>
          <w:rFonts w:ascii="Book Antiqua" w:hAnsi="Book Antiqua" w:cs="Calibri"/>
        </w:rPr>
        <w:t xml:space="preserve"> would be </w:t>
      </w:r>
      <w:r w:rsidRPr="006E162D">
        <w:rPr>
          <w:rFonts w:ascii="Book Antiqua" w:hAnsi="Book Antiqua" w:cs="Calibri"/>
        </w:rPr>
        <w:t>the actor who</w:t>
      </w:r>
      <w:r w:rsidR="00F67EFD" w:rsidRPr="006E162D">
        <w:rPr>
          <w:rFonts w:ascii="Book Antiqua" w:hAnsi="Book Antiqua" w:cs="Calibri"/>
        </w:rPr>
        <w:t xml:space="preserve"> faithfully</w:t>
      </w:r>
      <w:r w:rsidRPr="006E162D">
        <w:rPr>
          <w:rFonts w:ascii="Book Antiqua" w:hAnsi="Book Antiqua" w:cs="Calibri"/>
        </w:rPr>
        <w:t xml:space="preserve"> carrie</w:t>
      </w:r>
      <w:r w:rsidR="00F67EFD" w:rsidRPr="006E162D">
        <w:rPr>
          <w:rFonts w:ascii="Book Antiqua" w:hAnsi="Book Antiqua" w:cs="Calibri"/>
        </w:rPr>
        <w:t>d</w:t>
      </w:r>
      <w:r w:rsidRPr="006E162D">
        <w:rPr>
          <w:rFonts w:ascii="Book Antiqua" w:hAnsi="Book Antiqua" w:cs="Calibri"/>
        </w:rPr>
        <w:t xml:space="preserve"> out its will and instruction.</w:t>
      </w:r>
      <w:r w:rsidRPr="00692FEB">
        <w:rPr>
          <w:rStyle w:val="FootnoteReference"/>
          <w:rFonts w:ascii="Book Antiqua" w:hAnsi="Book Antiqua" w:cs="Calibri"/>
        </w:rPr>
        <w:footnoteReference w:id="9"/>
      </w:r>
      <w:r w:rsidR="004B2708">
        <w:rPr>
          <w:rFonts w:ascii="Book Antiqua" w:hAnsi="Book Antiqua" w:cs="Calibri"/>
          <w:color w:val="000000" w:themeColor="text1"/>
        </w:rPr>
        <w:t xml:space="preserve"> </w:t>
      </w:r>
      <w:r w:rsidRPr="009C65DA">
        <w:rPr>
          <w:rFonts w:ascii="Book Antiqua" w:hAnsi="Book Antiqua" w:cs="Calibri"/>
          <w:color w:val="000000" w:themeColor="text1"/>
        </w:rPr>
        <w:t>Compared to this modest</w:t>
      </w:r>
      <w:r w:rsidR="004448C4" w:rsidRPr="003739B7">
        <w:rPr>
          <w:rFonts w:ascii="Book Antiqua" w:hAnsi="Book Antiqua" w:cs="Calibri"/>
          <w:color w:val="000000" w:themeColor="text1"/>
        </w:rPr>
        <w:t xml:space="preserve"> conceptual</w:t>
      </w:r>
      <w:r w:rsidRPr="002516B9">
        <w:rPr>
          <w:rFonts w:ascii="Book Antiqua" w:hAnsi="Book Antiqua" w:cs="Calibri"/>
          <w:color w:val="000000" w:themeColor="text1"/>
        </w:rPr>
        <w:t xml:space="preserve"> understanding of executive power, the contemporary executive is a leviathan. </w:t>
      </w:r>
      <w:r w:rsidR="00376D7D" w:rsidRPr="00061F78">
        <w:rPr>
          <w:rFonts w:ascii="Book Antiqua" w:hAnsi="Book Antiqua" w:cs="Calibri"/>
          <w:color w:val="000000" w:themeColor="text1"/>
        </w:rPr>
        <w:t>In myriad ar</w:t>
      </w:r>
      <w:r w:rsidR="009070AF" w:rsidRPr="000A1BAA">
        <w:rPr>
          <w:rFonts w:ascii="Book Antiqua" w:hAnsi="Book Antiqua" w:cs="Calibri"/>
          <w:color w:val="000000" w:themeColor="text1"/>
        </w:rPr>
        <w:t>e</w:t>
      </w:r>
      <w:r w:rsidR="00376D7D" w:rsidRPr="00D47D06">
        <w:rPr>
          <w:rFonts w:ascii="Book Antiqua" w:hAnsi="Book Antiqua" w:cs="Calibri"/>
          <w:color w:val="000000" w:themeColor="text1"/>
        </w:rPr>
        <w:t>as</w:t>
      </w:r>
      <w:r w:rsidR="00916DE7">
        <w:rPr>
          <w:rFonts w:ascii="Book Antiqua" w:hAnsi="Book Antiqua" w:cs="Calibri"/>
          <w:color w:val="000000" w:themeColor="text1"/>
        </w:rPr>
        <w:t xml:space="preserve"> </w:t>
      </w:r>
      <w:r w:rsidR="00376D7D" w:rsidRPr="00D47D06">
        <w:rPr>
          <w:rFonts w:ascii="Book Antiqua" w:hAnsi="Book Antiqua" w:cs="Calibri"/>
          <w:color w:val="000000" w:themeColor="text1"/>
        </w:rPr>
        <w:t xml:space="preserve">of </w:t>
      </w:r>
      <w:r w:rsidRPr="004B2708">
        <w:rPr>
          <w:rFonts w:ascii="Book Antiqua" w:hAnsi="Book Antiqua" w:cs="Calibri"/>
          <w:color w:val="000000" w:themeColor="text1"/>
        </w:rPr>
        <w:t>policy, the executive is the predominant actor</w:t>
      </w:r>
      <w:r w:rsidR="00376D7D" w:rsidRPr="00B07F84">
        <w:rPr>
          <w:rFonts w:ascii="Book Antiqua" w:hAnsi="Book Antiqua" w:cs="Calibri"/>
          <w:color w:val="000000" w:themeColor="text1"/>
        </w:rPr>
        <w:t>:</w:t>
      </w:r>
      <w:r w:rsidRPr="00E67DE6">
        <w:rPr>
          <w:rFonts w:ascii="Book Antiqua" w:hAnsi="Book Antiqua" w:cs="Calibri"/>
          <w:color w:val="000000" w:themeColor="text1"/>
        </w:rPr>
        <w:t xml:space="preserve"> </w:t>
      </w:r>
      <w:r w:rsidR="00376D7D" w:rsidRPr="00CD38C2">
        <w:rPr>
          <w:rFonts w:ascii="Book Antiqua" w:hAnsi="Book Antiqua" w:cs="Calibri"/>
          <w:color w:val="000000" w:themeColor="text1"/>
        </w:rPr>
        <w:t>i</w:t>
      </w:r>
      <w:r w:rsidR="00376D7D" w:rsidRPr="00E32144">
        <w:rPr>
          <w:rFonts w:ascii="Book Antiqua" w:hAnsi="Book Antiqua" w:cs="Calibri"/>
          <w:color w:val="000000" w:themeColor="text1"/>
        </w:rPr>
        <w:t xml:space="preserve">t </w:t>
      </w:r>
      <w:r w:rsidRPr="007E5A2E">
        <w:rPr>
          <w:rFonts w:ascii="Book Antiqua" w:hAnsi="Book Antiqua" w:cs="Calibri"/>
          <w:color w:val="000000" w:themeColor="text1"/>
        </w:rPr>
        <w:t xml:space="preserve">drafts most primary legislation enacted by the legislative </w:t>
      </w:r>
      <w:proofErr w:type="gramStart"/>
      <w:r w:rsidRPr="007E5A2E">
        <w:rPr>
          <w:rFonts w:ascii="Book Antiqua" w:hAnsi="Book Antiqua" w:cs="Calibri"/>
          <w:color w:val="000000" w:themeColor="text1"/>
        </w:rPr>
        <w:t xml:space="preserve">branch, </w:t>
      </w:r>
      <w:r w:rsidR="00376D7D" w:rsidRPr="007425D3">
        <w:rPr>
          <w:rFonts w:ascii="Book Antiqua" w:hAnsi="Book Antiqua" w:cs="Calibri"/>
          <w:color w:val="000000" w:themeColor="text1"/>
        </w:rPr>
        <w:t>and</w:t>
      </w:r>
      <w:proofErr w:type="gramEnd"/>
      <w:r w:rsidR="00376D7D" w:rsidRPr="007425D3">
        <w:rPr>
          <w:rFonts w:ascii="Book Antiqua" w:hAnsi="Book Antiqua" w:cs="Calibri"/>
          <w:color w:val="000000" w:themeColor="text1"/>
        </w:rPr>
        <w:t xml:space="preserve"> </w:t>
      </w:r>
      <w:r w:rsidRPr="009F57B1">
        <w:rPr>
          <w:rFonts w:ascii="Book Antiqua" w:hAnsi="Book Antiqua" w:cs="Calibri"/>
          <w:color w:val="000000" w:themeColor="text1"/>
        </w:rPr>
        <w:t>exercis</w:t>
      </w:r>
      <w:r w:rsidR="00376D7D" w:rsidRPr="00C81A59">
        <w:rPr>
          <w:rFonts w:ascii="Book Antiqua" w:hAnsi="Book Antiqua" w:cs="Calibri"/>
          <w:color w:val="000000" w:themeColor="text1"/>
        </w:rPr>
        <w:t>es</w:t>
      </w:r>
      <w:r w:rsidRPr="00AF2E40">
        <w:rPr>
          <w:rFonts w:ascii="Book Antiqua" w:hAnsi="Book Antiqua" w:cs="Calibri"/>
          <w:color w:val="000000" w:themeColor="text1"/>
        </w:rPr>
        <w:t xml:space="preserve"> copious </w:t>
      </w:r>
      <w:r w:rsidRPr="00AF2E40">
        <w:rPr>
          <w:rFonts w:ascii="Book Antiqua" w:hAnsi="Book Antiqua" w:cs="Calibri"/>
          <w:color w:val="000000" w:themeColor="text1"/>
        </w:rPr>
        <w:lastRenderedPageBreak/>
        <w:t>administrative and regulatory authority through delegated statutory power. The political executive</w:t>
      </w:r>
      <w:r w:rsidR="004448C4" w:rsidRPr="007E36D0">
        <w:rPr>
          <w:rFonts w:ascii="Book Antiqua" w:hAnsi="Book Antiqua" w:cs="Calibri"/>
          <w:color w:val="000000" w:themeColor="text1"/>
        </w:rPr>
        <w:t xml:space="preserve"> often</w:t>
      </w:r>
      <w:r w:rsidRPr="00842390">
        <w:rPr>
          <w:rFonts w:ascii="Book Antiqua" w:hAnsi="Book Antiqua" w:cs="Calibri"/>
          <w:color w:val="000000" w:themeColor="text1"/>
        </w:rPr>
        <w:t xml:space="preserve"> </w:t>
      </w:r>
      <w:r w:rsidR="004448C4" w:rsidRPr="00BE2EE4">
        <w:rPr>
          <w:rFonts w:ascii="Book Antiqua" w:hAnsi="Book Antiqua" w:cs="Calibri"/>
          <w:color w:val="000000" w:themeColor="text1"/>
        </w:rPr>
        <w:t>sits</w:t>
      </w:r>
      <w:r w:rsidRPr="002C7FD0">
        <w:rPr>
          <w:rFonts w:ascii="Book Antiqua" w:hAnsi="Book Antiqua" w:cs="Calibri"/>
          <w:color w:val="000000" w:themeColor="text1"/>
        </w:rPr>
        <w:t xml:space="preserve"> at the apex of a </w:t>
      </w:r>
      <w:r w:rsidR="004448C4" w:rsidRPr="0018551C">
        <w:rPr>
          <w:rFonts w:ascii="Book Antiqua" w:hAnsi="Book Antiqua" w:cs="Calibri"/>
          <w:color w:val="000000" w:themeColor="text1"/>
        </w:rPr>
        <w:t>potent</w:t>
      </w:r>
      <w:r w:rsidRPr="006E162D">
        <w:rPr>
          <w:rFonts w:ascii="Book Antiqua" w:hAnsi="Book Antiqua" w:cs="Calibri"/>
          <w:color w:val="000000" w:themeColor="text1"/>
        </w:rPr>
        <w:t xml:space="preserve"> bureaucracy capable of projecting public power across every conceivable aspect of social and economic life.</w:t>
      </w:r>
      <w:r w:rsidR="004448C4" w:rsidRPr="00692FEB">
        <w:rPr>
          <w:rStyle w:val="FootnoteReference"/>
          <w:rFonts w:ascii="Book Antiqua" w:hAnsi="Book Antiqua" w:cs="Calibri"/>
          <w:color w:val="000000" w:themeColor="text1"/>
        </w:rPr>
        <w:footnoteReference w:id="10"/>
      </w:r>
      <w:r w:rsidRPr="00692FEB">
        <w:rPr>
          <w:rFonts w:ascii="Book Antiqua" w:hAnsi="Book Antiqua" w:cs="Calibri"/>
          <w:color w:val="000000" w:themeColor="text1"/>
        </w:rPr>
        <w:t xml:space="preserve"> </w:t>
      </w:r>
      <w:r w:rsidR="000D475D" w:rsidRPr="003739B7">
        <w:rPr>
          <w:rFonts w:ascii="Book Antiqua" w:hAnsi="Book Antiqua" w:cs="Calibri"/>
          <w:color w:val="000000" w:themeColor="text1"/>
        </w:rPr>
        <w:t xml:space="preserve">The executive’s increasingly dominant role has arisen from </w:t>
      </w:r>
      <w:r w:rsidR="00891FEC" w:rsidRPr="002516B9">
        <w:rPr>
          <w:rFonts w:ascii="Book Antiqua" w:hAnsi="Book Antiqua" w:cs="Calibri"/>
          <w:color w:val="000000" w:themeColor="text1"/>
        </w:rPr>
        <w:t>intertwined assumptions of structural necessity and pragmatism</w:t>
      </w:r>
      <w:r w:rsidR="000D475D" w:rsidRPr="00061F78">
        <w:rPr>
          <w:rFonts w:ascii="Book Antiqua" w:hAnsi="Book Antiqua" w:cs="Calibri"/>
          <w:color w:val="000000" w:themeColor="text1"/>
        </w:rPr>
        <w:t>:</w:t>
      </w:r>
      <w:r w:rsidR="00891FEC" w:rsidRPr="00061F78">
        <w:rPr>
          <w:rFonts w:ascii="Book Antiqua" w:hAnsi="Book Antiqua" w:cs="Calibri"/>
          <w:color w:val="000000" w:themeColor="text1"/>
        </w:rPr>
        <w:t xml:space="preserve"> meeting complex and fast-changing political challenges demanded increased and expansive discretionary power be granted to </w:t>
      </w:r>
      <w:r w:rsidR="000D475D" w:rsidRPr="00061F78">
        <w:rPr>
          <w:rFonts w:ascii="Book Antiqua" w:hAnsi="Book Antiqua" w:cs="Calibri"/>
          <w:color w:val="000000" w:themeColor="text1"/>
        </w:rPr>
        <w:t>the executive as the only branch capable of using it</w:t>
      </w:r>
      <w:r w:rsidR="00891FEC" w:rsidRPr="00061F78">
        <w:rPr>
          <w:rFonts w:ascii="Book Antiqua" w:hAnsi="Book Antiqua" w:cs="Calibri"/>
          <w:color w:val="000000" w:themeColor="text1"/>
        </w:rPr>
        <w:t>.</w:t>
      </w:r>
      <w:r w:rsidR="00891FEC" w:rsidRPr="00692FEB">
        <w:rPr>
          <w:rStyle w:val="FootnoteReference"/>
          <w:rFonts w:ascii="Book Antiqua" w:hAnsi="Book Antiqua" w:cs="Calibri"/>
          <w:color w:val="000000" w:themeColor="text1"/>
        </w:rPr>
        <w:footnoteReference w:id="11"/>
      </w:r>
      <w:r w:rsidR="00891FEC" w:rsidRPr="00692FEB">
        <w:rPr>
          <w:rFonts w:ascii="Book Antiqua" w:hAnsi="Book Antiqua" w:cs="Calibri"/>
          <w:color w:val="000000" w:themeColor="text1"/>
        </w:rPr>
        <w:t xml:space="preserve"> </w:t>
      </w:r>
      <w:r w:rsidR="00FD1DDC" w:rsidRPr="009C65DA">
        <w:rPr>
          <w:rFonts w:ascii="Book Antiqua" w:hAnsi="Book Antiqua" w:cs="Calibri"/>
          <w:color w:val="000000" w:themeColor="text1"/>
          <w:shd w:val="clear" w:color="auto" w:fill="FFFFFF"/>
        </w:rPr>
        <w:t>This cohesion bec</w:t>
      </w:r>
      <w:r w:rsidR="00FD1DDC" w:rsidRPr="003739B7">
        <w:rPr>
          <w:rFonts w:ascii="Book Antiqua" w:hAnsi="Book Antiqua" w:cs="Calibri"/>
          <w:color w:val="000000" w:themeColor="text1"/>
          <w:shd w:val="clear" w:color="auto" w:fill="FFFFFF"/>
        </w:rPr>
        <w:t>ame particularly strong in Westminster parliamentary systems,</w:t>
      </w:r>
      <w:r w:rsidR="003F681B">
        <w:rPr>
          <w:rFonts w:ascii="Book Antiqua" w:hAnsi="Book Antiqua" w:cs="Calibri"/>
          <w:color w:val="000000" w:themeColor="text1"/>
          <w:shd w:val="clear" w:color="auto" w:fill="FFFFFF"/>
        </w:rPr>
        <w:t xml:space="preserve"> with an imperfect separation of powers</w:t>
      </w:r>
      <w:r w:rsidR="00FD1DDC" w:rsidRPr="003739B7">
        <w:rPr>
          <w:rFonts w:ascii="Book Antiqua" w:hAnsi="Book Antiqua" w:cs="Calibri"/>
          <w:color w:val="000000" w:themeColor="text1"/>
          <w:shd w:val="clear" w:color="auto" w:fill="FFFFFF"/>
        </w:rPr>
        <w:t xml:space="preserve"> leading to a large degr</w:t>
      </w:r>
      <w:r w:rsidR="00FD1DDC" w:rsidRPr="002516B9">
        <w:rPr>
          <w:rFonts w:ascii="Book Antiqua" w:hAnsi="Book Antiqua" w:cs="Calibri"/>
          <w:color w:val="000000" w:themeColor="text1"/>
          <w:shd w:val="clear" w:color="auto" w:fill="FFFFFF"/>
        </w:rPr>
        <w:t>ee of fusion between the branches, allowing the nominally weak executive to effectively leverage do</w:t>
      </w:r>
      <w:r w:rsidR="00FD1DDC" w:rsidRPr="00061F78">
        <w:rPr>
          <w:rFonts w:ascii="Book Antiqua" w:hAnsi="Book Antiqua" w:cs="Calibri"/>
          <w:color w:val="000000" w:themeColor="text1"/>
          <w:shd w:val="clear" w:color="auto" w:fill="FFFFFF"/>
        </w:rPr>
        <w:t xml:space="preserve">minance over parliament in practice </w:t>
      </w:r>
      <w:r w:rsidR="00FD1DDC" w:rsidRPr="00061F78">
        <w:rPr>
          <w:rFonts w:ascii="Book Antiqua" w:hAnsi="Book Antiqua" w:cs="Calibri"/>
        </w:rPr>
        <w:t>in terms of policy and law formulation</w:t>
      </w:r>
      <w:r w:rsidR="00FD1DDC" w:rsidRPr="00061F78">
        <w:rPr>
          <w:rFonts w:ascii="Book Antiqua" w:hAnsi="Book Antiqua" w:cs="Calibri"/>
          <w:color w:val="000000" w:themeColor="text1"/>
          <w:shd w:val="clear" w:color="auto" w:fill="FFFFFF"/>
        </w:rPr>
        <w:t>.</w:t>
      </w:r>
    </w:p>
    <w:p w14:paraId="62FE96AD" w14:textId="77777777" w:rsidR="0010139B" w:rsidRPr="004B2708" w:rsidRDefault="0010139B" w:rsidP="0068431D">
      <w:pPr>
        <w:spacing w:line="360" w:lineRule="auto"/>
        <w:jc w:val="both"/>
        <w:rPr>
          <w:rFonts w:ascii="Book Antiqua" w:hAnsi="Book Antiqua" w:cs="Calibri"/>
          <w:i/>
          <w:iCs/>
        </w:rPr>
      </w:pPr>
    </w:p>
    <w:p w14:paraId="22B1ED1A" w14:textId="4883E0B8" w:rsidR="00235183" w:rsidRPr="00CD38C2" w:rsidRDefault="00931C3F" w:rsidP="00376D7D">
      <w:pPr>
        <w:spacing w:line="360" w:lineRule="auto"/>
        <w:jc w:val="both"/>
        <w:outlineLvl w:val="1"/>
        <w:rPr>
          <w:rFonts w:ascii="Book Antiqua" w:hAnsi="Book Antiqua" w:cs="Calibri"/>
          <w:u w:val="single"/>
        </w:rPr>
      </w:pPr>
      <w:r w:rsidRPr="00B07F84">
        <w:rPr>
          <w:rFonts w:ascii="Book Antiqua" w:hAnsi="Book Antiqua" w:cs="Calibri"/>
          <w:u w:val="single"/>
        </w:rPr>
        <w:t xml:space="preserve">Executive dominance in </w:t>
      </w:r>
      <w:r w:rsidR="00235183" w:rsidRPr="00B07F84">
        <w:rPr>
          <w:rFonts w:ascii="Book Antiqua" w:hAnsi="Book Antiqua" w:cs="Calibri"/>
          <w:u w:val="single"/>
        </w:rPr>
        <w:t>Ireland</w:t>
      </w:r>
    </w:p>
    <w:p w14:paraId="311361F9" w14:textId="4DC0D0EF" w:rsidR="00882E0D" w:rsidRPr="009C65DA" w:rsidRDefault="00581DC8">
      <w:pPr>
        <w:spacing w:line="360" w:lineRule="auto"/>
        <w:jc w:val="both"/>
        <w:rPr>
          <w:rFonts w:ascii="Book Antiqua" w:hAnsi="Book Antiqua" w:cs="Calibri"/>
        </w:rPr>
      </w:pPr>
      <w:r w:rsidRPr="007E5A2E">
        <w:rPr>
          <w:rFonts w:ascii="Book Antiqua" w:hAnsi="Book Antiqua" w:cs="Calibri"/>
        </w:rPr>
        <w:t>Ireland has been in no way immune from the tendency towards executive dominance.</w:t>
      </w:r>
      <w:r w:rsidRPr="00692FEB">
        <w:rPr>
          <w:rFonts w:ascii="Book Antiqua" w:hAnsi="Book Antiqua" w:cs="Calibri"/>
        </w:rPr>
        <w:t xml:space="preserve"> Indeed, it has </w:t>
      </w:r>
      <w:r w:rsidR="00CE44ED">
        <w:rPr>
          <w:rFonts w:ascii="Book Antiqua" w:hAnsi="Book Antiqua" w:cs="Calibri"/>
        </w:rPr>
        <w:t>experienced</w:t>
      </w:r>
      <w:r w:rsidR="00CE44ED" w:rsidRPr="00692FEB">
        <w:rPr>
          <w:rFonts w:ascii="Book Antiqua" w:hAnsi="Book Antiqua" w:cs="Calibri"/>
        </w:rPr>
        <w:t xml:space="preserve"> </w:t>
      </w:r>
      <w:r w:rsidRPr="00692FEB">
        <w:rPr>
          <w:rFonts w:ascii="Book Antiqua" w:hAnsi="Book Antiqua" w:cs="Calibri"/>
        </w:rPr>
        <w:t>a</w:t>
      </w:r>
      <w:r w:rsidR="00E67DE6">
        <w:rPr>
          <w:rFonts w:ascii="Book Antiqua" w:hAnsi="Book Antiqua" w:cs="Calibri"/>
        </w:rPr>
        <w:t>n</w:t>
      </w:r>
      <w:r w:rsidRPr="00692FEB">
        <w:rPr>
          <w:rFonts w:ascii="Book Antiqua" w:hAnsi="Book Antiqua" w:cs="Calibri"/>
        </w:rPr>
        <w:t xml:space="preserve"> acute form of it,</w:t>
      </w:r>
      <w:r w:rsidR="00CE44ED">
        <w:rPr>
          <w:rFonts w:ascii="Book Antiqua" w:hAnsi="Book Antiqua" w:cs="Calibri"/>
        </w:rPr>
        <w:t xml:space="preserve"> traditionally</w:t>
      </w:r>
      <w:r w:rsidRPr="00692FEB">
        <w:rPr>
          <w:rFonts w:ascii="Book Antiqua" w:hAnsi="Book Antiqua" w:cs="Calibri"/>
        </w:rPr>
        <w:t xml:space="preserve"> </w:t>
      </w:r>
      <w:r w:rsidR="00E67DE6">
        <w:rPr>
          <w:rFonts w:ascii="Book Antiqua" w:hAnsi="Book Antiqua" w:cs="Calibri"/>
        </w:rPr>
        <w:t>having,</w:t>
      </w:r>
      <w:r w:rsidR="00E67DE6" w:rsidRPr="00692FEB">
        <w:rPr>
          <w:rFonts w:ascii="Book Antiqua" w:hAnsi="Book Antiqua" w:cs="Calibri"/>
        </w:rPr>
        <w:t xml:space="preserve"> </w:t>
      </w:r>
      <w:r w:rsidRPr="00692FEB">
        <w:rPr>
          <w:rFonts w:ascii="Book Antiqua" w:hAnsi="Book Antiqua" w:cs="Calibri"/>
        </w:rPr>
        <w:t xml:space="preserve">along with Greece and the UK, one </w:t>
      </w:r>
      <w:r w:rsidR="00E67DE6">
        <w:rPr>
          <w:rFonts w:ascii="Book Antiqua" w:hAnsi="Book Antiqua" w:cs="Calibri"/>
        </w:rPr>
        <w:t xml:space="preserve">of </w:t>
      </w:r>
      <w:r w:rsidRPr="00692FEB">
        <w:rPr>
          <w:rFonts w:ascii="Book Antiqua" w:hAnsi="Book Antiqua" w:cs="Calibri"/>
        </w:rPr>
        <w:t>the most executive dominated parliament</w:t>
      </w:r>
      <w:r w:rsidR="00E67DE6">
        <w:rPr>
          <w:rFonts w:ascii="Book Antiqua" w:hAnsi="Book Antiqua" w:cs="Calibri"/>
        </w:rPr>
        <w:t>s</w:t>
      </w:r>
      <w:r w:rsidRPr="00692FEB">
        <w:rPr>
          <w:rFonts w:ascii="Book Antiqua" w:hAnsi="Book Antiqua" w:cs="Calibri"/>
        </w:rPr>
        <w:t xml:space="preserve"> in Europe.</w:t>
      </w:r>
      <w:r w:rsidRPr="00692FEB">
        <w:rPr>
          <w:rFonts w:ascii="Book Antiqua" w:hAnsi="Book Antiqua" w:cs="Calibri"/>
          <w:vertAlign w:val="superscript"/>
        </w:rPr>
        <w:footnoteReference w:id="12"/>
      </w:r>
      <w:r w:rsidRPr="00692FEB">
        <w:rPr>
          <w:rFonts w:ascii="Book Antiqua" w:hAnsi="Book Antiqua" w:cs="Calibri"/>
        </w:rPr>
        <w:t xml:space="preserve"> </w:t>
      </w:r>
      <w:r w:rsidR="00AE7724" w:rsidRPr="003739B7">
        <w:rPr>
          <w:rFonts w:ascii="Book Antiqua" w:hAnsi="Book Antiqua" w:cs="Calibri"/>
        </w:rPr>
        <w:t xml:space="preserve">The 1937 </w:t>
      </w:r>
      <w:r w:rsidR="00F2161B" w:rsidRPr="002516B9">
        <w:rPr>
          <w:rFonts w:ascii="Book Antiqua" w:hAnsi="Book Antiqua" w:cs="Calibri"/>
        </w:rPr>
        <w:t>C</w:t>
      </w:r>
      <w:r w:rsidR="00AE7724" w:rsidRPr="00355202">
        <w:rPr>
          <w:rFonts w:ascii="Book Antiqua" w:hAnsi="Book Antiqua" w:cs="Calibri"/>
        </w:rPr>
        <w:t xml:space="preserve">onstitution </w:t>
      </w:r>
      <w:r w:rsidR="00F2161B" w:rsidRPr="008E5F14">
        <w:rPr>
          <w:rFonts w:ascii="Book Antiqua" w:hAnsi="Book Antiqua" w:cs="Calibri"/>
        </w:rPr>
        <w:t xml:space="preserve">cut against </w:t>
      </w:r>
      <w:r w:rsidR="00AE7724" w:rsidRPr="00470748">
        <w:rPr>
          <w:rFonts w:ascii="Book Antiqua" w:hAnsi="Book Antiqua" w:cs="Calibri"/>
        </w:rPr>
        <w:t>several core elements of British constitutionalism</w:t>
      </w:r>
      <w:r w:rsidR="009579AB" w:rsidRPr="004A54B3">
        <w:rPr>
          <w:rFonts w:ascii="Book Antiqua" w:hAnsi="Book Antiqua" w:cs="Calibri"/>
        </w:rPr>
        <w:t>:</w:t>
      </w:r>
      <w:r w:rsidR="00AE7724" w:rsidRPr="00692FEB">
        <w:rPr>
          <w:rStyle w:val="FootnoteReference"/>
          <w:rFonts w:ascii="Book Antiqua" w:hAnsi="Book Antiqua" w:cs="Calibri"/>
        </w:rPr>
        <w:footnoteReference w:id="13"/>
      </w:r>
      <w:r w:rsidRPr="00692FEB">
        <w:rPr>
          <w:rFonts w:ascii="Book Antiqua" w:hAnsi="Book Antiqua" w:cs="Calibri"/>
        </w:rPr>
        <w:t xml:space="preserve"> stressing popular rather than parliamentary sovereignty; </w:t>
      </w:r>
      <w:r w:rsidR="00AE7724" w:rsidRPr="009C65DA">
        <w:rPr>
          <w:rFonts w:ascii="Book Antiqua" w:hAnsi="Book Antiqua" w:cs="Calibri"/>
        </w:rPr>
        <w:t>codif</w:t>
      </w:r>
      <w:r w:rsidR="009579AB" w:rsidRPr="009C65DA">
        <w:rPr>
          <w:rFonts w:ascii="Book Antiqua" w:hAnsi="Book Antiqua" w:cs="Calibri"/>
        </w:rPr>
        <w:t>ying</w:t>
      </w:r>
      <w:r w:rsidR="00AE7724" w:rsidRPr="003739B7">
        <w:rPr>
          <w:rFonts w:ascii="Book Antiqua" w:hAnsi="Book Antiqua" w:cs="Calibri"/>
        </w:rPr>
        <w:t xml:space="preserve"> constitutional rights, </w:t>
      </w:r>
      <w:r w:rsidR="009579AB" w:rsidRPr="002516B9">
        <w:rPr>
          <w:rFonts w:ascii="Book Antiqua" w:hAnsi="Book Antiqua" w:cs="Calibri"/>
        </w:rPr>
        <w:t xml:space="preserve">to be </w:t>
      </w:r>
      <w:r w:rsidR="00AE7724" w:rsidRPr="00355202">
        <w:rPr>
          <w:rFonts w:ascii="Book Antiqua" w:hAnsi="Book Antiqua" w:cs="Calibri"/>
        </w:rPr>
        <w:t>enforce</w:t>
      </w:r>
      <w:r w:rsidR="009579AB" w:rsidRPr="008E5F14">
        <w:rPr>
          <w:rFonts w:ascii="Book Antiqua" w:hAnsi="Book Antiqua" w:cs="Calibri"/>
        </w:rPr>
        <w:t>d</w:t>
      </w:r>
      <w:r w:rsidR="00AE7724" w:rsidRPr="00470748">
        <w:rPr>
          <w:rFonts w:ascii="Book Antiqua" w:hAnsi="Book Antiqua" w:cs="Calibri"/>
        </w:rPr>
        <w:t xml:space="preserve"> </w:t>
      </w:r>
      <w:r w:rsidR="00F2161B" w:rsidRPr="004A54B3">
        <w:rPr>
          <w:rFonts w:ascii="Book Antiqua" w:hAnsi="Book Antiqua" w:cs="Calibri"/>
        </w:rPr>
        <w:t xml:space="preserve">by </w:t>
      </w:r>
      <w:r w:rsidR="00AE7724" w:rsidRPr="004A54B3">
        <w:rPr>
          <w:rFonts w:ascii="Book Antiqua" w:hAnsi="Book Antiqua" w:cs="Calibri"/>
        </w:rPr>
        <w:t>judicial review</w:t>
      </w:r>
      <w:r w:rsidR="009579AB" w:rsidRPr="00061F78">
        <w:rPr>
          <w:rFonts w:ascii="Book Antiqua" w:hAnsi="Book Antiqua" w:cs="Calibri"/>
        </w:rPr>
        <w:t>;</w:t>
      </w:r>
      <w:r w:rsidR="00AE7724" w:rsidRPr="00061F78">
        <w:rPr>
          <w:rFonts w:ascii="Book Antiqua" w:hAnsi="Book Antiqua" w:cs="Calibri"/>
        </w:rPr>
        <w:t xml:space="preserve"> </w:t>
      </w:r>
      <w:r w:rsidR="009579AB" w:rsidRPr="00061F78">
        <w:rPr>
          <w:rFonts w:ascii="Book Antiqua" w:hAnsi="Book Antiqua" w:cs="Calibri"/>
        </w:rPr>
        <w:t>cha</w:t>
      </w:r>
      <w:r w:rsidR="00D35644">
        <w:rPr>
          <w:rFonts w:ascii="Book Antiqua" w:hAnsi="Book Antiqua" w:cs="Calibri"/>
        </w:rPr>
        <w:t>n</w:t>
      </w:r>
      <w:r w:rsidR="009579AB" w:rsidRPr="00061F78">
        <w:rPr>
          <w:rFonts w:ascii="Book Antiqua" w:hAnsi="Book Antiqua" w:cs="Calibri"/>
        </w:rPr>
        <w:t xml:space="preserve">ging the electoral system to Proportional Representation by Single Transferable Vote; </w:t>
      </w:r>
      <w:r w:rsidR="00AE7724" w:rsidRPr="00061F78">
        <w:rPr>
          <w:rFonts w:ascii="Book Antiqua" w:hAnsi="Book Antiqua" w:cs="Calibri"/>
        </w:rPr>
        <w:t>requir</w:t>
      </w:r>
      <w:r w:rsidR="009579AB" w:rsidRPr="00061F78">
        <w:rPr>
          <w:rFonts w:ascii="Book Antiqua" w:hAnsi="Book Antiqua" w:cs="Calibri"/>
        </w:rPr>
        <w:t>ing</w:t>
      </w:r>
      <w:r w:rsidR="00AE7724" w:rsidRPr="00061F78">
        <w:rPr>
          <w:rFonts w:ascii="Book Antiqua" w:hAnsi="Book Antiqua" w:cs="Calibri"/>
        </w:rPr>
        <w:t xml:space="preserve"> a referendum for every constitu</w:t>
      </w:r>
      <w:r w:rsidR="00AE7724" w:rsidRPr="00B07F84">
        <w:rPr>
          <w:rFonts w:ascii="Book Antiqua" w:hAnsi="Book Antiqua" w:cs="Calibri"/>
        </w:rPr>
        <w:t>tional amendment.</w:t>
      </w:r>
      <w:r w:rsidR="00AE7724" w:rsidRPr="00692FEB">
        <w:rPr>
          <w:rStyle w:val="FootnoteReference"/>
          <w:rFonts w:ascii="Book Antiqua" w:hAnsi="Book Antiqua" w:cs="Calibri"/>
        </w:rPr>
        <w:footnoteReference w:id="14"/>
      </w:r>
      <w:r w:rsidR="00AE7724" w:rsidRPr="00692FEB">
        <w:rPr>
          <w:rFonts w:ascii="Book Antiqua" w:eastAsia="Arial" w:hAnsi="Book Antiqua" w:cs="Calibri"/>
        </w:rPr>
        <w:t xml:space="preserve"> </w:t>
      </w:r>
      <w:r w:rsidR="000617A3" w:rsidRPr="009C65DA">
        <w:rPr>
          <w:rFonts w:ascii="Book Antiqua" w:hAnsi="Book Antiqua" w:cs="Calibri"/>
        </w:rPr>
        <w:t>But d</w:t>
      </w:r>
      <w:r w:rsidR="00D1438C" w:rsidRPr="009C65DA">
        <w:rPr>
          <w:rFonts w:ascii="Book Antiqua" w:hAnsi="Book Antiqua" w:cs="Calibri"/>
        </w:rPr>
        <w:t xml:space="preserve">espite departing from the Westminster system in several respects, </w:t>
      </w:r>
      <w:r w:rsidR="00247783" w:rsidRPr="003739B7">
        <w:rPr>
          <w:rFonts w:ascii="Book Antiqua" w:hAnsi="Book Antiqua" w:cs="Calibri"/>
        </w:rPr>
        <w:t xml:space="preserve">the Westminster </w:t>
      </w:r>
      <w:r w:rsidR="00F2161B" w:rsidRPr="002516B9">
        <w:rPr>
          <w:rFonts w:ascii="Book Antiqua" w:hAnsi="Book Antiqua" w:cs="Calibri"/>
        </w:rPr>
        <w:t xml:space="preserve">parliamentary model </w:t>
      </w:r>
      <w:r w:rsidR="00247783" w:rsidRPr="00355202">
        <w:rPr>
          <w:rFonts w:ascii="Book Antiqua" w:hAnsi="Book Antiqua" w:cs="Calibri"/>
        </w:rPr>
        <w:t>was adopted without much direct</w:t>
      </w:r>
      <w:r w:rsidR="00247783" w:rsidRPr="008E5F14">
        <w:rPr>
          <w:rFonts w:ascii="Book Antiqua" w:hAnsi="Book Antiqua" w:cs="Calibri"/>
        </w:rPr>
        <w:t xml:space="preserve"> alteration.</w:t>
      </w:r>
      <w:r w:rsidR="00AE7724" w:rsidRPr="00692FEB">
        <w:rPr>
          <w:rStyle w:val="FootnoteReference"/>
          <w:rFonts w:ascii="Book Antiqua" w:hAnsi="Book Antiqua" w:cs="Calibri"/>
        </w:rPr>
        <w:footnoteReference w:id="15"/>
      </w:r>
      <w:r w:rsidR="00AE7724" w:rsidRPr="00692FEB">
        <w:rPr>
          <w:rFonts w:ascii="Book Antiqua" w:hAnsi="Book Antiqua" w:cs="Calibri"/>
        </w:rPr>
        <w:t xml:space="preserve"> </w:t>
      </w:r>
      <w:r w:rsidR="00F2161B" w:rsidRPr="009C65DA">
        <w:rPr>
          <w:rFonts w:ascii="Book Antiqua" w:hAnsi="Book Antiqua" w:cs="Calibri"/>
        </w:rPr>
        <w:t xml:space="preserve">There is good evidence that the architects of the Irish Constitution believed in </w:t>
      </w:r>
      <w:r w:rsidR="0010139B" w:rsidRPr="00355202">
        <w:rPr>
          <w:rFonts w:ascii="Book Antiqua" w:hAnsi="Book Antiqua" w:cs="Calibri"/>
        </w:rPr>
        <w:t>this aspect</w:t>
      </w:r>
      <w:r w:rsidR="0010139B">
        <w:rPr>
          <w:rFonts w:ascii="Book Antiqua" w:hAnsi="Book Antiqua" w:cs="Calibri"/>
        </w:rPr>
        <w:t>s</w:t>
      </w:r>
      <w:r w:rsidR="0010139B" w:rsidRPr="00355202">
        <w:rPr>
          <w:rFonts w:ascii="Book Antiqua" w:hAnsi="Book Antiqua" w:cs="Calibri"/>
        </w:rPr>
        <w:t xml:space="preserve"> of the </w:t>
      </w:r>
      <w:r w:rsidR="0010139B">
        <w:rPr>
          <w:rFonts w:ascii="Book Antiqua" w:hAnsi="Book Antiqua" w:cs="Calibri"/>
        </w:rPr>
        <w:t xml:space="preserve">UK </w:t>
      </w:r>
      <w:r w:rsidR="0010139B" w:rsidRPr="00355202">
        <w:rPr>
          <w:rFonts w:ascii="Book Antiqua" w:hAnsi="Book Antiqua" w:cs="Calibri"/>
        </w:rPr>
        <w:t>parliamentary</w:t>
      </w:r>
      <w:r w:rsidR="0010139B">
        <w:rPr>
          <w:rFonts w:ascii="Book Antiqua" w:hAnsi="Book Antiqua" w:cs="Calibri"/>
        </w:rPr>
        <w:t xml:space="preserve"> tradition like</w:t>
      </w:r>
      <w:r w:rsidR="0010139B" w:rsidRPr="009C65DA">
        <w:rPr>
          <w:rFonts w:ascii="Book Antiqua" w:hAnsi="Book Antiqua" w:cs="Calibri"/>
        </w:rPr>
        <w:t xml:space="preserve"> </w:t>
      </w:r>
      <w:r w:rsidR="00AE7724" w:rsidRPr="009C65DA">
        <w:rPr>
          <w:rFonts w:ascii="Book Antiqua" w:hAnsi="Book Antiqua" w:cs="Calibri"/>
        </w:rPr>
        <w:t>strong party discipline</w:t>
      </w:r>
      <w:r w:rsidR="007F064B">
        <w:rPr>
          <w:rFonts w:ascii="Book Antiqua" w:hAnsi="Book Antiqua" w:cs="Calibri"/>
        </w:rPr>
        <w:t>.</w:t>
      </w:r>
      <w:r w:rsidR="00AE7724" w:rsidRPr="00692FEB">
        <w:rPr>
          <w:rStyle w:val="FootnoteReference"/>
          <w:rFonts w:ascii="Book Antiqua" w:hAnsi="Book Antiqua" w:cs="Calibri"/>
        </w:rPr>
        <w:footnoteReference w:id="16"/>
      </w:r>
      <w:r w:rsidR="007F064B">
        <w:rPr>
          <w:rFonts w:ascii="Book Antiqua" w:hAnsi="Book Antiqua" w:cs="Calibri"/>
        </w:rPr>
        <w:t xml:space="preserve"> </w:t>
      </w:r>
      <w:r w:rsidR="00B2628D" w:rsidRPr="009C65DA">
        <w:rPr>
          <w:rFonts w:ascii="Book Antiqua" w:hAnsi="Book Antiqua" w:cs="Calibri"/>
        </w:rPr>
        <w:t xml:space="preserve">The </w:t>
      </w:r>
      <w:r w:rsidR="00AE7724" w:rsidRPr="009C65DA">
        <w:rPr>
          <w:rFonts w:ascii="Book Antiqua" w:hAnsi="Book Antiqua" w:cs="Calibri"/>
        </w:rPr>
        <w:t xml:space="preserve">central components </w:t>
      </w:r>
      <w:r w:rsidR="00B2628D" w:rsidRPr="003739B7">
        <w:rPr>
          <w:rFonts w:ascii="Book Antiqua" w:hAnsi="Book Antiqua" w:cs="Calibri"/>
        </w:rPr>
        <w:t xml:space="preserve">of the Westminster parliamentary model were </w:t>
      </w:r>
      <w:r w:rsidR="00AE7724" w:rsidRPr="002516B9">
        <w:rPr>
          <w:rFonts w:ascii="Book Antiqua" w:hAnsi="Book Antiqua" w:cs="Calibri"/>
        </w:rPr>
        <w:lastRenderedPageBreak/>
        <w:t>ret</w:t>
      </w:r>
      <w:r w:rsidR="00B2628D" w:rsidRPr="00355202">
        <w:rPr>
          <w:rFonts w:ascii="Book Antiqua" w:hAnsi="Book Antiqua" w:cs="Calibri"/>
        </w:rPr>
        <w:t>ained, and wi</w:t>
      </w:r>
      <w:r w:rsidR="00B2628D" w:rsidRPr="0025547E">
        <w:rPr>
          <w:rFonts w:ascii="Book Antiqua" w:hAnsi="Book Antiqua" w:cs="Calibri"/>
        </w:rPr>
        <w:t xml:space="preserve">th it </w:t>
      </w:r>
      <w:r w:rsidR="00AE7724" w:rsidRPr="0025547E">
        <w:rPr>
          <w:rFonts w:ascii="Book Antiqua" w:hAnsi="Book Antiqua" w:cs="Calibri"/>
        </w:rPr>
        <w:t>an executive</w:t>
      </w:r>
      <w:r w:rsidR="0010139B">
        <w:rPr>
          <w:rFonts w:ascii="Book Antiqua" w:hAnsi="Book Antiqua" w:cs="Calibri"/>
        </w:rPr>
        <w:t xml:space="preserve"> that</w:t>
      </w:r>
      <w:r w:rsidR="00130F1B" w:rsidRPr="008E5F14">
        <w:rPr>
          <w:rFonts w:ascii="Book Antiqua" w:hAnsi="Book Antiqua" w:cs="Calibri"/>
        </w:rPr>
        <w:t xml:space="preserve"> can</w:t>
      </w:r>
      <w:r w:rsidR="00AE7724" w:rsidRPr="008E5F14">
        <w:rPr>
          <w:rFonts w:ascii="Book Antiqua" w:hAnsi="Book Antiqua" w:cs="Calibri"/>
        </w:rPr>
        <w:t xml:space="preserve"> enjoy a highly concentrated form of power.</w:t>
      </w:r>
      <w:bookmarkStart w:id="0" w:name="_Ref37315870"/>
      <w:r w:rsidR="00AE7724" w:rsidRPr="00692FEB">
        <w:rPr>
          <w:rStyle w:val="FootnoteReference"/>
          <w:rFonts w:ascii="Book Antiqua" w:hAnsi="Book Antiqua" w:cs="Calibri"/>
        </w:rPr>
        <w:footnoteReference w:id="17"/>
      </w:r>
      <w:bookmarkEnd w:id="0"/>
      <w:r w:rsidR="00AE7724" w:rsidRPr="00692FEB">
        <w:rPr>
          <w:rFonts w:ascii="Book Antiqua" w:hAnsi="Book Antiqua" w:cs="Calibri"/>
        </w:rPr>
        <w:t xml:space="preserve"> </w:t>
      </w:r>
    </w:p>
    <w:p w14:paraId="228FF53C" w14:textId="77777777" w:rsidR="00882E0D" w:rsidRPr="009C65DA" w:rsidRDefault="00882E0D">
      <w:pPr>
        <w:spacing w:line="360" w:lineRule="auto"/>
        <w:jc w:val="both"/>
        <w:rPr>
          <w:rFonts w:ascii="Book Antiqua" w:hAnsi="Book Antiqua" w:cs="Calibri"/>
        </w:rPr>
      </w:pPr>
    </w:p>
    <w:p w14:paraId="078A1342" w14:textId="4BD2541E" w:rsidR="00145025" w:rsidRPr="00692FEB" w:rsidRDefault="00AE7724" w:rsidP="00145025">
      <w:pPr>
        <w:spacing w:line="360" w:lineRule="auto"/>
        <w:jc w:val="both"/>
        <w:rPr>
          <w:rFonts w:ascii="Book Antiqua" w:hAnsi="Book Antiqua" w:cs="Calibri"/>
        </w:rPr>
      </w:pPr>
      <w:r w:rsidRPr="003739B7">
        <w:rPr>
          <w:rFonts w:ascii="Book Antiqua" w:hAnsi="Book Antiqua" w:cs="Calibri"/>
        </w:rPr>
        <w:t xml:space="preserve">The relationship between the executive </w:t>
      </w:r>
      <w:r w:rsidR="00CE44ED">
        <w:rPr>
          <w:rFonts w:ascii="Book Antiqua" w:hAnsi="Book Antiqua" w:cs="Calibri"/>
        </w:rPr>
        <w:t>and</w:t>
      </w:r>
      <w:r w:rsidR="00CE44ED" w:rsidRPr="003739B7">
        <w:rPr>
          <w:rFonts w:ascii="Book Antiqua" w:hAnsi="Book Antiqua" w:cs="Calibri"/>
        </w:rPr>
        <w:t xml:space="preserve"> </w:t>
      </w:r>
      <w:r w:rsidRPr="003739B7">
        <w:rPr>
          <w:rFonts w:ascii="Book Antiqua" w:hAnsi="Book Antiqua" w:cs="Calibri"/>
        </w:rPr>
        <w:t>the legislature</w:t>
      </w:r>
      <w:r w:rsidR="003F0C22">
        <w:rPr>
          <w:rFonts w:ascii="Book Antiqua" w:hAnsi="Book Antiqua" w:cs="Calibri"/>
        </w:rPr>
        <w:t xml:space="preserve"> thus</w:t>
      </w:r>
      <w:r w:rsidRPr="003739B7">
        <w:rPr>
          <w:rFonts w:ascii="Book Antiqua" w:hAnsi="Book Antiqua" w:cs="Calibri"/>
        </w:rPr>
        <w:t xml:space="preserve"> heavily mirror its colonial predecessor.</w:t>
      </w:r>
      <w:r w:rsidRPr="00692FEB">
        <w:rPr>
          <w:rStyle w:val="FootnoteReference"/>
          <w:rFonts w:ascii="Book Antiqua" w:hAnsi="Book Antiqua" w:cs="Calibri"/>
        </w:rPr>
        <w:footnoteReference w:id="18"/>
      </w:r>
      <w:r w:rsidR="007D3626" w:rsidRPr="00692FEB">
        <w:rPr>
          <w:rFonts w:ascii="Book Antiqua" w:hAnsi="Book Antiqua" w:cs="Calibri"/>
        </w:rPr>
        <w:t xml:space="preserve"> </w:t>
      </w:r>
      <w:r w:rsidRPr="009C65DA">
        <w:rPr>
          <w:rStyle w:val="apple-converted-space"/>
          <w:rFonts w:ascii="Book Antiqua" w:hAnsi="Book Antiqua" w:cs="Calibri"/>
        </w:rPr>
        <w:t>The structural core of Irish government remain</w:t>
      </w:r>
      <w:r w:rsidR="00263142" w:rsidRPr="009C65DA">
        <w:rPr>
          <w:rStyle w:val="apple-converted-space"/>
          <w:rFonts w:ascii="Book Antiqua" w:hAnsi="Book Antiqua" w:cs="Calibri"/>
        </w:rPr>
        <w:t>s</w:t>
      </w:r>
      <w:r w:rsidRPr="003739B7">
        <w:rPr>
          <w:rStyle w:val="apple-converted-space"/>
          <w:rFonts w:ascii="Book Antiqua" w:hAnsi="Book Antiqua" w:cs="Calibri"/>
        </w:rPr>
        <w:t xml:space="preserve"> centred on a Taoiseach</w:t>
      </w:r>
      <w:r w:rsidR="006474AD">
        <w:rPr>
          <w:rStyle w:val="apple-converted-space"/>
          <w:rFonts w:ascii="Book Antiqua" w:hAnsi="Book Antiqua" w:cs="Calibri"/>
        </w:rPr>
        <w:t xml:space="preserve"> (Prime minister)</w:t>
      </w:r>
      <w:r w:rsidRPr="003739B7">
        <w:rPr>
          <w:rStyle w:val="apple-converted-space"/>
          <w:rFonts w:ascii="Book Antiqua" w:hAnsi="Book Antiqua" w:cs="Calibri"/>
        </w:rPr>
        <w:t xml:space="preserve"> </w:t>
      </w:r>
      <w:r w:rsidRPr="002516B9">
        <w:rPr>
          <w:rStyle w:val="apple-converted-space"/>
          <w:rFonts w:ascii="Book Antiqua" w:hAnsi="Book Antiqua" w:cs="Calibri"/>
        </w:rPr>
        <w:t>a</w:t>
      </w:r>
      <w:r w:rsidRPr="00355202">
        <w:rPr>
          <w:rStyle w:val="apple-converted-space"/>
          <w:rFonts w:ascii="Book Antiqua" w:hAnsi="Book Antiqua" w:cs="Calibri"/>
        </w:rPr>
        <w:t xml:space="preserve">ppointed by the </w:t>
      </w:r>
      <w:r w:rsidR="000617A3" w:rsidRPr="0025547E">
        <w:rPr>
          <w:rStyle w:val="apple-converted-space"/>
          <w:rFonts w:ascii="Book Antiqua" w:hAnsi="Book Antiqua" w:cs="Calibri"/>
        </w:rPr>
        <w:t>Dá</w:t>
      </w:r>
      <w:r w:rsidRPr="0025547E">
        <w:rPr>
          <w:rStyle w:val="apple-converted-space"/>
          <w:rFonts w:ascii="Book Antiqua" w:hAnsi="Book Antiqua" w:cs="Calibri"/>
        </w:rPr>
        <w:t>il</w:t>
      </w:r>
      <w:r w:rsidR="00882E0D" w:rsidRPr="008E5F14">
        <w:rPr>
          <w:rStyle w:val="apple-converted-space"/>
          <w:rFonts w:ascii="Book Antiqua" w:hAnsi="Book Antiqua" w:cs="Calibri"/>
          <w:i/>
          <w:iCs/>
        </w:rPr>
        <w:t xml:space="preserve"> </w:t>
      </w:r>
      <w:r w:rsidR="00882E0D" w:rsidRPr="008E5F14">
        <w:rPr>
          <w:rStyle w:val="apple-converted-space"/>
          <w:rFonts w:ascii="Book Antiqua" w:hAnsi="Book Antiqua" w:cs="Calibri"/>
        </w:rPr>
        <w:t>(lower house)</w:t>
      </w:r>
      <w:r w:rsidR="007D3626" w:rsidRPr="00470748">
        <w:rPr>
          <w:rStyle w:val="apple-converted-space"/>
          <w:rFonts w:ascii="Book Antiqua" w:hAnsi="Book Antiqua" w:cs="Calibri"/>
          <w:i/>
          <w:iCs/>
        </w:rPr>
        <w:t xml:space="preserve"> </w:t>
      </w:r>
      <w:r w:rsidR="007D3626" w:rsidRPr="004A54B3">
        <w:rPr>
          <w:rStyle w:val="apple-converted-space"/>
          <w:rFonts w:ascii="Book Antiqua" w:hAnsi="Book Antiqua" w:cs="Calibri"/>
        </w:rPr>
        <w:t xml:space="preserve">appointing and </w:t>
      </w:r>
      <w:r w:rsidRPr="004A54B3">
        <w:rPr>
          <w:rStyle w:val="apple-converted-space"/>
          <w:rFonts w:ascii="Book Antiqua" w:hAnsi="Book Antiqua" w:cs="Calibri"/>
        </w:rPr>
        <w:t xml:space="preserve">leading a </w:t>
      </w:r>
      <w:r w:rsidR="007D3626" w:rsidRPr="00061F78">
        <w:rPr>
          <w:rStyle w:val="apple-converted-space"/>
          <w:rFonts w:ascii="Book Antiqua" w:hAnsi="Book Antiqua" w:cs="Calibri"/>
        </w:rPr>
        <w:t>g</w:t>
      </w:r>
      <w:r w:rsidR="000617A3" w:rsidRPr="00061F78">
        <w:rPr>
          <w:rStyle w:val="apple-converted-space"/>
          <w:rFonts w:ascii="Book Antiqua" w:hAnsi="Book Antiqua" w:cs="Calibri"/>
        </w:rPr>
        <w:t>overnment</w:t>
      </w:r>
      <w:r w:rsidRPr="00061F78">
        <w:rPr>
          <w:rStyle w:val="apple-converted-space"/>
          <w:rFonts w:ascii="Book Antiqua" w:hAnsi="Book Antiqua" w:cs="Calibri"/>
        </w:rPr>
        <w:t xml:space="preserve"> which govern</w:t>
      </w:r>
      <w:r w:rsidR="00263142" w:rsidRPr="00061F78">
        <w:rPr>
          <w:rStyle w:val="apple-converted-space"/>
          <w:rFonts w:ascii="Book Antiqua" w:hAnsi="Book Antiqua" w:cs="Calibri"/>
        </w:rPr>
        <w:t>s</w:t>
      </w:r>
      <w:r w:rsidRPr="00061F78">
        <w:rPr>
          <w:rStyle w:val="apple-converted-space"/>
          <w:rFonts w:ascii="Book Antiqua" w:hAnsi="Book Antiqua" w:cs="Calibri"/>
        </w:rPr>
        <w:t xml:space="preserve"> </w:t>
      </w:r>
      <w:r w:rsidR="007D3626" w:rsidRPr="00061F78">
        <w:rPr>
          <w:rStyle w:val="apple-converted-space"/>
          <w:rFonts w:ascii="Book Antiqua" w:hAnsi="Book Antiqua" w:cs="Calibri"/>
        </w:rPr>
        <w:t xml:space="preserve">for five years </w:t>
      </w:r>
      <w:r w:rsidRPr="00061F78">
        <w:rPr>
          <w:rStyle w:val="apple-converted-space"/>
          <w:rFonts w:ascii="Book Antiqua" w:hAnsi="Book Antiqua" w:cs="Calibri"/>
        </w:rPr>
        <w:t xml:space="preserve">as long as it </w:t>
      </w:r>
      <w:r w:rsidR="007D3626" w:rsidRPr="00D47D06">
        <w:rPr>
          <w:rStyle w:val="apple-converted-space"/>
          <w:rFonts w:ascii="Book Antiqua" w:hAnsi="Book Antiqua" w:cs="Calibri"/>
        </w:rPr>
        <w:t xml:space="preserve">can </w:t>
      </w:r>
      <w:r w:rsidRPr="00D47D06">
        <w:rPr>
          <w:rStyle w:val="apple-converted-space"/>
          <w:rFonts w:ascii="Book Antiqua" w:hAnsi="Book Antiqua" w:cs="Calibri"/>
        </w:rPr>
        <w:t>command the confidence of the</w:t>
      </w:r>
      <w:r w:rsidR="000617A3" w:rsidRPr="00D47D06">
        <w:rPr>
          <w:rStyle w:val="apple-converted-space"/>
          <w:rFonts w:ascii="Book Antiqua" w:hAnsi="Book Antiqua" w:cs="Calibri"/>
        </w:rPr>
        <w:t xml:space="preserve"> lower</w:t>
      </w:r>
      <w:r w:rsidRPr="00D47D06">
        <w:rPr>
          <w:rStyle w:val="apple-converted-space"/>
          <w:rFonts w:ascii="Book Antiqua" w:hAnsi="Book Antiqua" w:cs="Calibri"/>
        </w:rPr>
        <w:t xml:space="preserve"> House.</w:t>
      </w:r>
      <w:r w:rsidRPr="00692FEB">
        <w:rPr>
          <w:rStyle w:val="FootnoteReference"/>
          <w:rFonts w:ascii="Book Antiqua" w:hAnsi="Book Antiqua" w:cs="Calibri"/>
        </w:rPr>
        <w:footnoteReference w:id="19"/>
      </w:r>
      <w:r w:rsidRPr="00692FEB">
        <w:rPr>
          <w:rStyle w:val="apple-converted-space"/>
          <w:rFonts w:ascii="Book Antiqua" w:hAnsi="Book Antiqua" w:cs="Calibri"/>
        </w:rPr>
        <w:t xml:space="preserve"> </w:t>
      </w:r>
      <w:r w:rsidRPr="003739B7">
        <w:rPr>
          <w:rStyle w:val="apple-converted-space"/>
          <w:rFonts w:ascii="Book Antiqua" w:hAnsi="Book Antiqua" w:cs="Calibri"/>
        </w:rPr>
        <w:t>The party (or</w:t>
      </w:r>
      <w:r w:rsidR="007D3626" w:rsidRPr="002516B9">
        <w:rPr>
          <w:rStyle w:val="apple-converted-space"/>
          <w:rFonts w:ascii="Book Antiqua" w:hAnsi="Book Antiqua" w:cs="Calibri"/>
        </w:rPr>
        <w:t xml:space="preserve"> more typically</w:t>
      </w:r>
      <w:r w:rsidRPr="00355202">
        <w:rPr>
          <w:rStyle w:val="apple-converted-space"/>
          <w:rFonts w:ascii="Book Antiqua" w:hAnsi="Book Antiqua" w:cs="Calibri"/>
        </w:rPr>
        <w:t xml:space="preserve"> coalition parties) which w</w:t>
      </w:r>
      <w:r w:rsidR="00263142" w:rsidRPr="0025547E">
        <w:rPr>
          <w:rStyle w:val="apple-converted-space"/>
          <w:rFonts w:ascii="Book Antiqua" w:hAnsi="Book Antiqua" w:cs="Calibri"/>
        </w:rPr>
        <w:t>in</w:t>
      </w:r>
      <w:r w:rsidRPr="0025547E">
        <w:rPr>
          <w:rStyle w:val="apple-converted-space"/>
          <w:rFonts w:ascii="Book Antiqua" w:hAnsi="Book Antiqua" w:cs="Calibri"/>
        </w:rPr>
        <w:t xml:space="preserve"> a</w:t>
      </w:r>
      <w:r w:rsidR="00130F1B" w:rsidRPr="008E5F14">
        <w:rPr>
          <w:rStyle w:val="apple-converted-space"/>
          <w:rFonts w:ascii="Book Antiqua" w:hAnsi="Book Antiqua" w:cs="Calibri"/>
        </w:rPr>
        <w:t xml:space="preserve"> majority of seats in a</w:t>
      </w:r>
      <w:r w:rsidRPr="008E5F14">
        <w:rPr>
          <w:rStyle w:val="apple-converted-space"/>
          <w:rFonts w:ascii="Book Antiqua" w:hAnsi="Book Antiqua" w:cs="Calibri"/>
        </w:rPr>
        <w:t xml:space="preserve"> general </w:t>
      </w:r>
      <w:r w:rsidRPr="00061F78">
        <w:rPr>
          <w:rStyle w:val="apple-converted-space"/>
          <w:rFonts w:ascii="Book Antiqua" w:hAnsi="Book Antiqua" w:cs="Calibri"/>
        </w:rPr>
        <w:t xml:space="preserve">election </w:t>
      </w:r>
      <w:r w:rsidR="00130F1B" w:rsidRPr="00061F78">
        <w:rPr>
          <w:rStyle w:val="apple-converted-space"/>
          <w:rFonts w:ascii="Book Antiqua" w:hAnsi="Book Antiqua" w:cs="Calibri"/>
        </w:rPr>
        <w:t>mean</w:t>
      </w:r>
      <w:r w:rsidRPr="00061F78">
        <w:rPr>
          <w:rStyle w:val="apple-converted-space"/>
          <w:rFonts w:ascii="Book Antiqua" w:hAnsi="Book Antiqua" w:cs="Calibri"/>
        </w:rPr>
        <w:t xml:space="preserve"> that </w:t>
      </w:r>
      <w:r w:rsidR="00130F1B" w:rsidRPr="00061F78">
        <w:rPr>
          <w:rStyle w:val="apple-converted-space"/>
          <w:rFonts w:ascii="Book Antiqua" w:hAnsi="Book Antiqua" w:cs="Calibri"/>
        </w:rPr>
        <w:t>a</w:t>
      </w:r>
      <w:r w:rsidRPr="00061F78">
        <w:rPr>
          <w:rStyle w:val="apple-converted-space"/>
          <w:rFonts w:ascii="Book Antiqua" w:hAnsi="Book Antiqua" w:cs="Calibri"/>
        </w:rPr>
        <w:t xml:space="preserve"> Taoiseach and </w:t>
      </w:r>
      <w:r w:rsidR="006474AD">
        <w:rPr>
          <w:rStyle w:val="apple-converted-space"/>
          <w:rFonts w:ascii="Book Antiqua" w:hAnsi="Book Antiqua" w:cs="Calibri"/>
        </w:rPr>
        <w:t>c</w:t>
      </w:r>
      <w:r w:rsidRPr="00061F78">
        <w:rPr>
          <w:rStyle w:val="apple-converted-space"/>
          <w:rFonts w:ascii="Book Antiqua" w:hAnsi="Book Antiqua" w:cs="Calibri"/>
        </w:rPr>
        <w:t>abinet</w:t>
      </w:r>
      <w:r w:rsidR="00130F1B" w:rsidRPr="00061F78">
        <w:rPr>
          <w:rStyle w:val="apple-converted-space"/>
          <w:rFonts w:ascii="Book Antiqua" w:hAnsi="Book Antiqua" w:cs="Calibri"/>
        </w:rPr>
        <w:t xml:space="preserve"> can</w:t>
      </w:r>
      <w:r w:rsidRPr="00061F78">
        <w:rPr>
          <w:rStyle w:val="apple-converted-space"/>
          <w:rFonts w:ascii="Book Antiqua" w:hAnsi="Book Antiqua" w:cs="Calibri"/>
        </w:rPr>
        <w:t xml:space="preserve"> control the entire machinery</w:t>
      </w:r>
      <w:r w:rsidR="000617A3" w:rsidRPr="00B07F84">
        <w:rPr>
          <w:rStyle w:val="apple-converted-space"/>
          <w:rFonts w:ascii="Book Antiqua" w:hAnsi="Book Antiqua" w:cs="Calibri"/>
        </w:rPr>
        <w:t xml:space="preserve"> of</w:t>
      </w:r>
      <w:r w:rsidRPr="00727629">
        <w:rPr>
          <w:rStyle w:val="apple-converted-space"/>
          <w:rFonts w:ascii="Book Antiqua" w:hAnsi="Book Antiqua" w:cs="Calibri"/>
        </w:rPr>
        <w:t xml:space="preserve"> administration and law-making.</w:t>
      </w:r>
      <w:r w:rsidRPr="00692FEB">
        <w:rPr>
          <w:rStyle w:val="FootnoteReference"/>
          <w:rFonts w:ascii="Book Antiqua" w:hAnsi="Book Antiqua" w:cs="Calibri"/>
        </w:rPr>
        <w:footnoteReference w:id="20"/>
      </w:r>
      <w:r w:rsidRPr="00692FEB">
        <w:rPr>
          <w:rStyle w:val="apple-converted-space"/>
          <w:rFonts w:ascii="Book Antiqua" w:hAnsi="Book Antiqua" w:cs="Calibri"/>
        </w:rPr>
        <w:t xml:space="preserve"> </w:t>
      </w:r>
      <w:r w:rsidR="00145025" w:rsidRPr="009C65DA">
        <w:rPr>
          <w:rFonts w:ascii="Book Antiqua" w:hAnsi="Book Antiqua" w:cs="Calibri"/>
        </w:rPr>
        <w:t xml:space="preserve">Ireland has, in general, had strong majority or coalition government. The two major political parties—Fianna </w:t>
      </w:r>
      <w:proofErr w:type="spellStart"/>
      <w:r w:rsidR="00145025" w:rsidRPr="009C65DA">
        <w:rPr>
          <w:rFonts w:ascii="Book Antiqua" w:hAnsi="Book Antiqua" w:cs="Calibri"/>
        </w:rPr>
        <w:t>Fáil</w:t>
      </w:r>
      <w:proofErr w:type="spellEnd"/>
      <w:r w:rsidR="00145025" w:rsidRPr="009C65DA">
        <w:rPr>
          <w:rFonts w:ascii="Book Antiqua" w:hAnsi="Book Antiqua" w:cs="Calibri"/>
        </w:rPr>
        <w:t xml:space="preserve"> and Fine Gael—which were on opposite sides of Ireland’s civil war on the extent and nature of Irish independence, have dominated government</w:t>
      </w:r>
      <w:r w:rsidR="006474AD">
        <w:rPr>
          <w:rFonts w:ascii="Book Antiqua" w:hAnsi="Book Antiqua" w:cs="Calibri"/>
        </w:rPr>
        <w:t>.</w:t>
      </w:r>
      <w:r w:rsidR="00145025" w:rsidRPr="00692FEB">
        <w:rPr>
          <w:rFonts w:ascii="Book Antiqua" w:hAnsi="Book Antiqua" w:cs="Calibri"/>
        </w:rPr>
        <w:t xml:space="preserve"> Since 1989, all governments have coalition governments, with the sole exception of the Fine Gael minority that took office in 2016. The net effect of this</w:t>
      </w:r>
      <w:r w:rsidR="006474AD">
        <w:rPr>
          <w:rFonts w:ascii="Book Antiqua" w:hAnsi="Book Antiqua" w:cs="Calibri"/>
        </w:rPr>
        <w:t xml:space="preserve"> </w:t>
      </w:r>
      <w:r w:rsidR="00145025" w:rsidRPr="009C65DA">
        <w:rPr>
          <w:rFonts w:ascii="Book Antiqua" w:hAnsi="Book Antiqua" w:cs="Calibri"/>
        </w:rPr>
        <w:t xml:space="preserve">is that the </w:t>
      </w:r>
      <w:r w:rsidR="00615037">
        <w:rPr>
          <w:rFonts w:ascii="Book Antiqua" w:hAnsi="Book Antiqua" w:cs="Calibri"/>
        </w:rPr>
        <w:t>G</w:t>
      </w:r>
      <w:r w:rsidR="00145025" w:rsidRPr="009C65DA">
        <w:rPr>
          <w:rFonts w:ascii="Book Antiqua" w:hAnsi="Book Antiqua" w:cs="Calibri"/>
        </w:rPr>
        <w:t xml:space="preserve">overnment </w:t>
      </w:r>
      <w:r w:rsidR="006474AD">
        <w:rPr>
          <w:rFonts w:ascii="Book Antiqua" w:hAnsi="Book Antiqua" w:cs="Calibri"/>
        </w:rPr>
        <w:t xml:space="preserve">has </w:t>
      </w:r>
      <w:r w:rsidR="00145025" w:rsidRPr="009C65DA">
        <w:rPr>
          <w:rFonts w:ascii="Book Antiqua" w:hAnsi="Book Antiqua" w:cs="Calibri"/>
        </w:rPr>
        <w:t>tend</w:t>
      </w:r>
      <w:r w:rsidR="006474AD">
        <w:rPr>
          <w:rFonts w:ascii="Book Antiqua" w:hAnsi="Book Antiqua" w:cs="Calibri"/>
        </w:rPr>
        <w:t>ed</w:t>
      </w:r>
      <w:r w:rsidR="00145025" w:rsidRPr="009C65DA">
        <w:rPr>
          <w:rFonts w:ascii="Book Antiqua" w:hAnsi="Book Antiqua" w:cs="Calibri"/>
        </w:rPr>
        <w:t xml:space="preserve"> to have a stable majority in </w:t>
      </w:r>
      <w:r w:rsidR="006474AD">
        <w:rPr>
          <w:rFonts w:ascii="Book Antiqua" w:hAnsi="Book Antiqua" w:cs="Calibri"/>
        </w:rPr>
        <w:t>parliament</w:t>
      </w:r>
      <w:r w:rsidR="00145025" w:rsidRPr="009C65DA">
        <w:rPr>
          <w:rFonts w:ascii="Book Antiqua" w:hAnsi="Book Antiqua" w:cs="Calibri"/>
        </w:rPr>
        <w:t>.</w:t>
      </w:r>
      <w:r w:rsidR="00145025" w:rsidRPr="00692FEB">
        <w:rPr>
          <w:rFonts w:ascii="Book Antiqua" w:hAnsi="Book Antiqua" w:cs="Calibri"/>
          <w:vertAlign w:val="superscript"/>
        </w:rPr>
        <w:footnoteReference w:id="21"/>
      </w:r>
      <w:r w:rsidR="00145025" w:rsidRPr="00692FEB">
        <w:rPr>
          <w:rFonts w:ascii="Book Antiqua" w:hAnsi="Book Antiqua" w:cs="Calibri"/>
        </w:rPr>
        <w:t xml:space="preserve"> </w:t>
      </w:r>
    </w:p>
    <w:p w14:paraId="039F8A82" w14:textId="5BDFFC38" w:rsidR="000617A3" w:rsidRPr="009C65DA" w:rsidRDefault="000617A3">
      <w:pPr>
        <w:spacing w:line="360" w:lineRule="auto"/>
        <w:jc w:val="both"/>
        <w:rPr>
          <w:rStyle w:val="apple-converted-space"/>
          <w:rFonts w:ascii="Book Antiqua" w:hAnsi="Book Antiqua" w:cs="Calibri"/>
        </w:rPr>
      </w:pPr>
    </w:p>
    <w:p w14:paraId="7AA97B40" w14:textId="651DB0CE" w:rsidR="008129C2" w:rsidRPr="009C65DA" w:rsidRDefault="00145025" w:rsidP="008129C2">
      <w:pPr>
        <w:spacing w:line="360" w:lineRule="auto"/>
        <w:jc w:val="both"/>
        <w:rPr>
          <w:rFonts w:ascii="Book Antiqua" w:hAnsi="Book Antiqua" w:cs="Calibri"/>
        </w:rPr>
      </w:pPr>
      <w:r w:rsidRPr="009C65DA">
        <w:rPr>
          <w:rStyle w:val="apple-converted-space"/>
          <w:rFonts w:ascii="Book Antiqua" w:hAnsi="Book Antiqua" w:cs="Calibri"/>
        </w:rPr>
        <w:t xml:space="preserve">As such, </w:t>
      </w:r>
      <w:r w:rsidR="00615037">
        <w:rPr>
          <w:rStyle w:val="apple-converted-space"/>
          <w:rFonts w:ascii="Book Antiqua" w:hAnsi="Book Antiqua" w:cs="Calibri"/>
        </w:rPr>
        <w:t>G</w:t>
      </w:r>
      <w:r w:rsidRPr="009C65DA">
        <w:rPr>
          <w:rStyle w:val="apple-converted-space"/>
          <w:rFonts w:ascii="Book Antiqua" w:hAnsi="Book Antiqua" w:cs="Calibri"/>
        </w:rPr>
        <w:t xml:space="preserve">overnment parties </w:t>
      </w:r>
      <w:r w:rsidR="00B51263">
        <w:rPr>
          <w:rStyle w:val="apple-converted-space"/>
          <w:rFonts w:ascii="Book Antiqua" w:hAnsi="Book Antiqua" w:cs="Calibri"/>
        </w:rPr>
        <w:t>usually had</w:t>
      </w:r>
      <w:r w:rsidRPr="009C65DA">
        <w:rPr>
          <w:rStyle w:val="apple-converted-space"/>
          <w:rFonts w:ascii="Book Antiqua" w:hAnsi="Book Antiqua" w:cs="Calibri"/>
        </w:rPr>
        <w:t xml:space="preserve"> the capacity to control the legislative process </w:t>
      </w:r>
      <w:proofErr w:type="gramStart"/>
      <w:r w:rsidRPr="003739B7">
        <w:rPr>
          <w:rStyle w:val="apple-converted-space"/>
          <w:rFonts w:ascii="Book Antiqua" w:hAnsi="Book Antiqua" w:cs="Calibri"/>
          <w:i/>
          <w:iCs/>
        </w:rPr>
        <w:t>de facto</w:t>
      </w:r>
      <w:r w:rsidRPr="002516B9">
        <w:rPr>
          <w:rStyle w:val="apple-converted-space"/>
          <w:rFonts w:ascii="Book Antiqua" w:hAnsi="Book Antiqua" w:cs="Calibri"/>
        </w:rPr>
        <w:t>, and</w:t>
      </w:r>
      <w:proofErr w:type="gramEnd"/>
      <w:r w:rsidRPr="002516B9">
        <w:rPr>
          <w:rStyle w:val="apple-converted-space"/>
          <w:rFonts w:ascii="Book Antiqua" w:hAnsi="Book Antiqua" w:cs="Calibri"/>
        </w:rPr>
        <w:t xml:space="preserve"> use</w:t>
      </w:r>
      <w:r w:rsidR="00B51263">
        <w:rPr>
          <w:rStyle w:val="apple-converted-space"/>
          <w:rFonts w:ascii="Book Antiqua" w:hAnsi="Book Antiqua" w:cs="Calibri"/>
        </w:rPr>
        <w:t>d</w:t>
      </w:r>
      <w:r w:rsidRPr="002516B9">
        <w:rPr>
          <w:rStyle w:val="apple-converted-space"/>
          <w:rFonts w:ascii="Book Antiqua" w:hAnsi="Book Antiqua" w:cs="Calibri"/>
        </w:rPr>
        <w:t xml:space="preserve"> this</w:t>
      </w:r>
      <w:r w:rsidR="00B51263">
        <w:rPr>
          <w:rStyle w:val="apple-converted-space"/>
          <w:rFonts w:ascii="Book Antiqua" w:hAnsi="Book Antiqua" w:cs="Calibri"/>
        </w:rPr>
        <w:t xml:space="preserve"> ability</w:t>
      </w:r>
      <w:r w:rsidRPr="002516B9">
        <w:rPr>
          <w:rStyle w:val="apple-converted-space"/>
          <w:rFonts w:ascii="Book Antiqua" w:hAnsi="Book Antiqua" w:cs="Calibri"/>
        </w:rPr>
        <w:t xml:space="preserve"> to its</w:t>
      </w:r>
      <w:r w:rsidRPr="00355202">
        <w:rPr>
          <w:rStyle w:val="apple-converted-space"/>
          <w:rFonts w:ascii="Book Antiqua" w:hAnsi="Book Antiqua" w:cs="Calibri"/>
        </w:rPr>
        <w:t xml:space="preserve"> </w:t>
      </w:r>
      <w:r w:rsidRPr="0025547E">
        <w:rPr>
          <w:rStyle w:val="apple-converted-space"/>
          <w:rFonts w:ascii="Book Antiqua" w:hAnsi="Book Antiqua" w:cs="Calibri"/>
        </w:rPr>
        <w:t>fullest extent.</w:t>
      </w:r>
      <w:r w:rsidR="00D85583" w:rsidRPr="00692FEB">
        <w:rPr>
          <w:rStyle w:val="FootnoteReference"/>
          <w:rFonts w:ascii="Book Antiqua" w:hAnsi="Book Antiqua" w:cs="Calibri"/>
        </w:rPr>
        <w:footnoteReference w:id="22"/>
      </w:r>
      <w:r w:rsidR="00D00792" w:rsidRPr="00692FEB">
        <w:rPr>
          <w:rStyle w:val="FootnoteReference"/>
          <w:rFonts w:ascii="Book Antiqua" w:hAnsi="Book Antiqua" w:cs="Calibri"/>
        </w:rPr>
        <w:t xml:space="preserve"> </w:t>
      </w:r>
      <w:r w:rsidR="00D85583" w:rsidRPr="009C65DA">
        <w:rPr>
          <w:rStyle w:val="apple-converted-space"/>
          <w:rFonts w:ascii="Book Antiqua" w:hAnsi="Book Antiqua" w:cs="Calibri"/>
        </w:rPr>
        <w:t xml:space="preserve">The </w:t>
      </w:r>
      <w:r w:rsidR="00B51263">
        <w:rPr>
          <w:rStyle w:val="apple-converted-space"/>
          <w:rFonts w:ascii="Book Antiqua" w:hAnsi="Book Antiqua" w:cs="Calibri"/>
        </w:rPr>
        <w:t>G</w:t>
      </w:r>
      <w:r w:rsidR="00D85583" w:rsidRPr="009C65DA">
        <w:rPr>
          <w:rStyle w:val="apple-converted-space"/>
          <w:rFonts w:ascii="Book Antiqua" w:hAnsi="Book Antiqua" w:cs="Calibri"/>
        </w:rPr>
        <w:t>overnment use</w:t>
      </w:r>
      <w:r w:rsidR="005C10D8">
        <w:rPr>
          <w:rStyle w:val="apple-converted-space"/>
          <w:rFonts w:ascii="Book Antiqua" w:hAnsi="Book Antiqua" w:cs="Calibri"/>
        </w:rPr>
        <w:t>d</w:t>
      </w:r>
      <w:r w:rsidR="00D85583" w:rsidRPr="009C65DA">
        <w:rPr>
          <w:rStyle w:val="apple-converted-space"/>
          <w:rFonts w:ascii="Book Antiqua" w:hAnsi="Book Antiqua" w:cs="Calibri"/>
        </w:rPr>
        <w:t xml:space="preserve"> its majority to control the agenda and business of the </w:t>
      </w:r>
      <w:r w:rsidR="00B51263">
        <w:rPr>
          <w:rStyle w:val="apple-converted-space"/>
          <w:rFonts w:ascii="Book Antiqua" w:hAnsi="Book Antiqua" w:cs="Calibri"/>
        </w:rPr>
        <w:t>Oireachtas</w:t>
      </w:r>
      <w:r w:rsidR="00D85583" w:rsidRPr="009C65DA">
        <w:rPr>
          <w:rStyle w:val="apple-converted-space"/>
          <w:rFonts w:ascii="Book Antiqua" w:hAnsi="Book Antiqua" w:cs="Calibri"/>
        </w:rPr>
        <w:t xml:space="preserve">. </w:t>
      </w:r>
      <w:r w:rsidR="00EC74D4">
        <w:rPr>
          <w:rStyle w:val="apple-converted-space"/>
          <w:rFonts w:ascii="Book Antiqua" w:hAnsi="Book Antiqua" w:cs="Calibri"/>
        </w:rPr>
        <w:t>D</w:t>
      </w:r>
      <w:r w:rsidRPr="006E162D">
        <w:rPr>
          <w:rFonts w:ascii="Book Antiqua" w:hAnsi="Book Antiqua" w:cs="Calibri"/>
        </w:rPr>
        <w:t>ebates</w:t>
      </w:r>
      <w:r w:rsidR="00EC74D4">
        <w:rPr>
          <w:rFonts w:ascii="Book Antiqua" w:hAnsi="Book Antiqua" w:cs="Calibri"/>
        </w:rPr>
        <w:t xml:space="preserve"> during periods of majority or coalition government</w:t>
      </w:r>
      <w:r w:rsidRPr="006E162D">
        <w:rPr>
          <w:rFonts w:ascii="Book Antiqua" w:hAnsi="Book Antiqua" w:cs="Calibri"/>
        </w:rPr>
        <w:t xml:space="preserve"> were</w:t>
      </w:r>
      <w:r w:rsidR="00EC74D4">
        <w:rPr>
          <w:rFonts w:ascii="Book Antiqua" w:hAnsi="Book Antiqua" w:cs="Calibri"/>
        </w:rPr>
        <w:t xml:space="preserve"> frequently</w:t>
      </w:r>
      <w:r w:rsidRPr="006E162D">
        <w:rPr>
          <w:rFonts w:ascii="Book Antiqua" w:hAnsi="Book Antiqua" w:cs="Calibri"/>
        </w:rPr>
        <w:t xml:space="preserve"> “guillotined” </w:t>
      </w:r>
      <w:r w:rsidR="00EC74D4">
        <w:rPr>
          <w:rFonts w:ascii="Book Antiqua" w:hAnsi="Book Antiqua" w:cs="Calibri"/>
        </w:rPr>
        <w:t>by</w:t>
      </w:r>
      <w:r w:rsidR="00EC74D4" w:rsidRPr="006E162D">
        <w:rPr>
          <w:rFonts w:ascii="Book Antiqua" w:hAnsi="Book Antiqua" w:cs="Calibri"/>
        </w:rPr>
        <w:t xml:space="preserve"> </w:t>
      </w:r>
      <w:r w:rsidRPr="006E162D">
        <w:rPr>
          <w:rFonts w:ascii="Book Antiqua" w:hAnsi="Book Antiqua" w:cs="Calibri"/>
        </w:rPr>
        <w:t>a clo</w:t>
      </w:r>
      <w:r w:rsidR="006933C0">
        <w:rPr>
          <w:rFonts w:ascii="Book Antiqua" w:hAnsi="Book Antiqua" w:cs="Calibri"/>
        </w:rPr>
        <w:t>t</w:t>
      </w:r>
      <w:r w:rsidRPr="006E162D">
        <w:rPr>
          <w:rFonts w:ascii="Book Antiqua" w:hAnsi="Book Antiqua" w:cs="Calibri"/>
        </w:rPr>
        <w:t>ure motion to reject all other proposed amendments and to end the</w:t>
      </w:r>
      <w:r w:rsidR="00EC74D4">
        <w:rPr>
          <w:rFonts w:ascii="Book Antiqua" w:hAnsi="Book Antiqua" w:cs="Calibri"/>
        </w:rPr>
        <w:t xml:space="preserve"> relevant</w:t>
      </w:r>
      <w:r w:rsidRPr="006E162D">
        <w:rPr>
          <w:rFonts w:ascii="Book Antiqua" w:hAnsi="Book Antiqua" w:cs="Calibri"/>
        </w:rPr>
        <w:t xml:space="preserve"> parliamentary stage.</w:t>
      </w:r>
      <w:r w:rsidRPr="006E162D">
        <w:rPr>
          <w:rFonts w:ascii="Book Antiqua" w:hAnsi="Book Antiqua" w:cs="Calibri"/>
          <w:vertAlign w:val="superscript"/>
        </w:rPr>
        <w:footnoteReference w:id="23"/>
      </w:r>
      <w:r w:rsidRPr="006E162D">
        <w:rPr>
          <w:rFonts w:ascii="Book Antiqua" w:hAnsi="Book Antiqua" w:cs="Calibri"/>
        </w:rPr>
        <w:t xml:space="preserve"> The parliamentary whip is</w:t>
      </w:r>
      <w:r w:rsidR="00EC74D4">
        <w:rPr>
          <w:rFonts w:ascii="Book Antiqua" w:hAnsi="Book Antiqua" w:cs="Calibri"/>
        </w:rPr>
        <w:t xml:space="preserve"> also</w:t>
      </w:r>
      <w:r w:rsidRPr="006E162D">
        <w:rPr>
          <w:rFonts w:ascii="Book Antiqua" w:hAnsi="Book Antiqua" w:cs="Calibri"/>
        </w:rPr>
        <w:t xml:space="preserve"> imposed</w:t>
      </w:r>
      <w:r w:rsidR="00EC74D4">
        <w:rPr>
          <w:rFonts w:ascii="Book Antiqua" w:hAnsi="Book Antiqua" w:cs="Calibri"/>
        </w:rPr>
        <w:t xml:space="preserve"> in Irish political parties</w:t>
      </w:r>
      <w:r w:rsidRPr="006E162D">
        <w:rPr>
          <w:rFonts w:ascii="Book Antiqua" w:hAnsi="Book Antiqua" w:cs="Calibri"/>
        </w:rPr>
        <w:t xml:space="preserve"> </w:t>
      </w:r>
      <w:r w:rsidR="007E12ED">
        <w:rPr>
          <w:rFonts w:ascii="Book Antiqua" w:hAnsi="Book Antiqua" w:cs="Calibri"/>
        </w:rPr>
        <w:t>“</w:t>
      </w:r>
      <w:r w:rsidRPr="006E162D">
        <w:rPr>
          <w:rFonts w:ascii="Book Antiqua" w:hAnsi="Book Antiqua" w:cs="Calibri"/>
        </w:rPr>
        <w:t xml:space="preserve">to an extent which </w:t>
      </w:r>
      <w:r w:rsidRPr="006E162D">
        <w:rPr>
          <w:rFonts w:ascii="Book Antiqua" w:hAnsi="Book Antiqua" w:cs="Calibri"/>
        </w:rPr>
        <w:lastRenderedPageBreak/>
        <w:t>is unusual even in Westminster-type democracies</w:t>
      </w:r>
      <w:r w:rsidR="007E12ED">
        <w:rPr>
          <w:rFonts w:ascii="Book Antiqua" w:hAnsi="Book Antiqua" w:cs="Calibri"/>
        </w:rPr>
        <w:t>”</w:t>
      </w:r>
      <w:r w:rsidR="007F064B">
        <w:rPr>
          <w:rFonts w:ascii="Book Antiqua" w:hAnsi="Book Antiqua" w:cs="Calibri"/>
        </w:rPr>
        <w:t>.</w:t>
      </w:r>
      <w:r w:rsidRPr="006E162D">
        <w:rPr>
          <w:rFonts w:ascii="Book Antiqua" w:hAnsi="Book Antiqua" w:cs="Calibri"/>
          <w:vertAlign w:val="superscript"/>
        </w:rPr>
        <w:footnoteReference w:id="24"/>
      </w:r>
      <w:r w:rsidRPr="006E162D">
        <w:rPr>
          <w:rFonts w:ascii="Book Antiqua" w:hAnsi="Book Antiqua" w:cs="Calibri"/>
        </w:rPr>
        <w:t xml:space="preserve"> </w:t>
      </w:r>
      <w:r w:rsidR="004F03D2" w:rsidRPr="006E162D">
        <w:rPr>
          <w:rFonts w:ascii="Book Antiqua" w:hAnsi="Book Antiqua" w:cs="Calibri"/>
        </w:rPr>
        <w:t>Almost no opposition or backbench amendments to bills are accepted and are thus not generally offered seriously as legislative/policy suggestions</w:t>
      </w:r>
      <w:r w:rsidR="00B51263">
        <w:rPr>
          <w:rFonts w:ascii="Book Antiqua" w:hAnsi="Book Antiqua" w:cs="Calibri"/>
        </w:rPr>
        <w:t>,</w:t>
      </w:r>
      <w:r w:rsidR="004F03D2" w:rsidRPr="006E162D">
        <w:rPr>
          <w:rFonts w:ascii="Book Antiqua" w:hAnsi="Book Antiqua" w:cs="Calibri"/>
        </w:rPr>
        <w:t xml:space="preserve"> but for publicity or political point scoring.</w:t>
      </w:r>
      <w:r w:rsidR="006830E7" w:rsidRPr="006E162D">
        <w:rPr>
          <w:rFonts w:ascii="Book Antiqua" w:hAnsi="Book Antiqua" w:cs="Calibri"/>
        </w:rPr>
        <w:t xml:space="preserve"> </w:t>
      </w:r>
      <w:r w:rsidR="004F03D2" w:rsidRPr="006E162D">
        <w:rPr>
          <w:rFonts w:ascii="Book Antiqua" w:hAnsi="Book Antiqua" w:cs="Calibri"/>
        </w:rPr>
        <w:t>This has led academic</w:t>
      </w:r>
      <w:r w:rsidR="006830E7" w:rsidRPr="006E162D">
        <w:rPr>
          <w:rFonts w:ascii="Book Antiqua" w:hAnsi="Book Antiqua" w:cs="Calibri"/>
        </w:rPr>
        <w:t xml:space="preserve"> and other</w:t>
      </w:r>
      <w:r w:rsidR="004F03D2" w:rsidRPr="006E162D">
        <w:rPr>
          <w:rFonts w:ascii="Book Antiqua" w:hAnsi="Book Antiqua" w:cs="Calibri"/>
        </w:rPr>
        <w:t xml:space="preserve"> commentators to describe the </w:t>
      </w:r>
      <w:r w:rsidR="006830E7" w:rsidRPr="006E162D">
        <w:rPr>
          <w:rFonts w:ascii="Book Antiqua" w:hAnsi="Book Antiqua" w:cs="Calibri"/>
        </w:rPr>
        <w:t xml:space="preserve">lower house as </w:t>
      </w:r>
      <w:r w:rsidR="007F064B">
        <w:rPr>
          <w:rFonts w:ascii="Book Antiqua" w:hAnsi="Book Antiqua" w:cs="Calibri"/>
        </w:rPr>
        <w:t>a</w:t>
      </w:r>
      <w:r w:rsidR="007F064B" w:rsidRPr="00692FEB">
        <w:rPr>
          <w:rFonts w:ascii="Book Antiqua" w:hAnsi="Book Antiqua" w:cs="Calibri"/>
        </w:rPr>
        <w:t xml:space="preserve"> </w:t>
      </w:r>
      <w:r w:rsidR="006830E7" w:rsidRPr="00692FEB">
        <w:rPr>
          <w:rFonts w:ascii="Book Antiqua" w:hAnsi="Book Antiqua" w:cs="Calibri"/>
        </w:rPr>
        <w:t>“supine”</w:t>
      </w:r>
      <w:r w:rsidR="007E12ED">
        <w:rPr>
          <w:rFonts w:ascii="Book Antiqua" w:hAnsi="Book Antiqua" w:cs="Calibri"/>
        </w:rPr>
        <w:t xml:space="preserve"> and</w:t>
      </w:r>
      <w:r w:rsidR="006830E7" w:rsidRPr="00692FEB">
        <w:rPr>
          <w:rFonts w:ascii="Book Antiqua" w:hAnsi="Book Antiqua" w:cs="Calibri"/>
        </w:rPr>
        <w:t xml:space="preserve"> </w:t>
      </w:r>
      <w:r w:rsidR="006830E7" w:rsidRPr="006E162D">
        <w:rPr>
          <w:rFonts w:ascii="Book Antiqua" w:hAnsi="Book Antiqua" w:cs="Calibri"/>
        </w:rPr>
        <w:t>“a puny parliament peopled by members who have a modest view of their functions and a poor capacity to carry them out”</w:t>
      </w:r>
      <w:r w:rsidR="007E12ED">
        <w:rPr>
          <w:rFonts w:ascii="Book Antiqua" w:hAnsi="Book Antiqua" w:cs="Calibri"/>
        </w:rPr>
        <w:t>.</w:t>
      </w:r>
      <w:r w:rsidR="006830E7" w:rsidRPr="006E162D">
        <w:rPr>
          <w:rFonts w:ascii="Book Antiqua" w:hAnsi="Book Antiqua" w:cs="Calibri"/>
          <w:vertAlign w:val="superscript"/>
        </w:rPr>
        <w:footnoteReference w:id="25"/>
      </w:r>
      <w:r w:rsidR="006830E7" w:rsidRPr="006E162D">
        <w:rPr>
          <w:rFonts w:ascii="Book Antiqua" w:hAnsi="Book Antiqua" w:cs="Calibri"/>
        </w:rPr>
        <w:t xml:space="preserve"> </w:t>
      </w:r>
      <w:r w:rsidR="00BF02BB" w:rsidRPr="006E162D">
        <w:rPr>
          <w:rFonts w:ascii="Book Antiqua" w:hAnsi="Book Antiqua" w:cs="Calibri"/>
        </w:rPr>
        <w:t xml:space="preserve">This leaves the executive largely unconstrained by a parliament that </w:t>
      </w:r>
      <w:r w:rsidR="00BF02BB">
        <w:rPr>
          <w:rFonts w:ascii="Book Antiqua" w:hAnsi="Book Antiqua" w:cs="Calibri"/>
        </w:rPr>
        <w:t>often</w:t>
      </w:r>
      <w:r w:rsidR="00BF02BB" w:rsidRPr="006E162D">
        <w:rPr>
          <w:rFonts w:ascii="Book Antiqua" w:hAnsi="Book Antiqua" w:cs="Calibri"/>
        </w:rPr>
        <w:t xml:space="preserve"> can and does whip into passing whatever it wishes, to an extent that</w:t>
      </w:r>
      <w:r w:rsidR="00BF02BB">
        <w:rPr>
          <w:rFonts w:ascii="Book Antiqua" w:hAnsi="Book Antiqua" w:cs="Calibri"/>
        </w:rPr>
        <w:t xml:space="preserve"> can</w:t>
      </w:r>
      <w:r w:rsidR="00BF02BB" w:rsidRPr="006E162D">
        <w:rPr>
          <w:rFonts w:ascii="Book Antiqua" w:hAnsi="Book Antiqua" w:cs="Calibri"/>
        </w:rPr>
        <w:t xml:space="preserve"> render</w:t>
      </w:r>
      <w:r w:rsidR="00BF02BB">
        <w:rPr>
          <w:rFonts w:ascii="Book Antiqua" w:hAnsi="Book Antiqua" w:cs="Calibri"/>
        </w:rPr>
        <w:t xml:space="preserve"> “</w:t>
      </w:r>
      <w:r w:rsidR="00BF02BB" w:rsidRPr="006E162D">
        <w:rPr>
          <w:rFonts w:ascii="Book Antiqua" w:hAnsi="Book Antiqua" w:cs="Calibri"/>
        </w:rPr>
        <w:t>parliament close to redundan</w:t>
      </w:r>
      <w:r w:rsidR="00BF02BB">
        <w:rPr>
          <w:rFonts w:ascii="Book Antiqua" w:hAnsi="Book Antiqua" w:cs="Calibri"/>
        </w:rPr>
        <w:t>t”.</w:t>
      </w:r>
      <w:r w:rsidR="00BF02BB" w:rsidRPr="006E162D">
        <w:rPr>
          <w:rFonts w:ascii="Book Antiqua" w:hAnsi="Book Antiqua" w:cs="Calibri"/>
          <w:vertAlign w:val="superscript"/>
        </w:rPr>
        <w:footnoteReference w:id="26"/>
      </w:r>
      <w:r w:rsidR="00BF02BB" w:rsidRPr="006E162D">
        <w:rPr>
          <w:rFonts w:ascii="Book Antiqua" w:hAnsi="Book Antiqua" w:cs="Calibri"/>
        </w:rPr>
        <w:t xml:space="preserve"> </w:t>
      </w:r>
      <w:r w:rsidR="008129C2">
        <w:rPr>
          <w:rFonts w:ascii="Book Antiqua" w:hAnsi="Book Antiqua" w:cs="Calibri"/>
        </w:rPr>
        <w:t>I</w:t>
      </w:r>
      <w:r w:rsidR="008129C2" w:rsidRPr="006E162D">
        <w:rPr>
          <w:rFonts w:ascii="Book Antiqua" w:hAnsi="Book Antiqua" w:cs="Calibri"/>
        </w:rPr>
        <w:t>n the 2000s, there was</w:t>
      </w:r>
      <w:r w:rsidR="008129C2">
        <w:rPr>
          <w:rFonts w:ascii="Book Antiqua" w:hAnsi="Book Antiqua" w:cs="Calibri"/>
        </w:rPr>
        <w:t xml:space="preserve"> some</w:t>
      </w:r>
      <w:r w:rsidR="008129C2" w:rsidRPr="006E162D">
        <w:rPr>
          <w:rFonts w:ascii="Book Antiqua" w:hAnsi="Book Antiqua" w:cs="Calibri"/>
        </w:rPr>
        <w:t xml:space="preserve"> expression of dissatisfaction with the extent to which government backbenchers were </w:t>
      </w:r>
      <w:r w:rsidR="008129C2">
        <w:rPr>
          <w:rFonts w:ascii="Book Antiqua" w:hAnsi="Book Antiqua" w:cs="Calibri"/>
        </w:rPr>
        <w:t>marginalised</w:t>
      </w:r>
      <w:r w:rsidR="008129C2" w:rsidRPr="006E162D">
        <w:rPr>
          <w:rFonts w:ascii="Book Antiqua" w:hAnsi="Book Antiqua" w:cs="Calibri"/>
        </w:rPr>
        <w:t>, but the effects of this were modest.</w:t>
      </w:r>
      <w:r w:rsidR="008129C2" w:rsidRPr="006E162D">
        <w:rPr>
          <w:rFonts w:ascii="Book Antiqua" w:hAnsi="Book Antiqua" w:cs="Calibri"/>
          <w:vertAlign w:val="superscript"/>
        </w:rPr>
        <w:footnoteReference w:id="27"/>
      </w:r>
      <w:r w:rsidR="008129C2" w:rsidRPr="006E162D">
        <w:rPr>
          <w:rFonts w:ascii="Book Antiqua" w:hAnsi="Book Antiqua" w:cs="Calibri"/>
        </w:rPr>
        <w:t xml:space="preserve"> </w:t>
      </w:r>
    </w:p>
    <w:p w14:paraId="3FA3C662" w14:textId="08FE71E6" w:rsidR="00D85583" w:rsidRPr="006E162D" w:rsidRDefault="00D85583">
      <w:pPr>
        <w:spacing w:line="360" w:lineRule="auto"/>
        <w:jc w:val="both"/>
        <w:rPr>
          <w:rFonts w:ascii="Book Antiqua" w:hAnsi="Book Antiqua" w:cs="Calibri"/>
        </w:rPr>
      </w:pPr>
    </w:p>
    <w:p w14:paraId="113845A2" w14:textId="3F14AEE5" w:rsidR="00B51263" w:rsidRPr="009C65DA" w:rsidRDefault="00B51263" w:rsidP="00B51263">
      <w:pPr>
        <w:spacing w:line="360" w:lineRule="auto"/>
        <w:jc w:val="both"/>
        <w:rPr>
          <w:rFonts w:ascii="Book Antiqua" w:hAnsi="Book Antiqua" w:cs="Calibri"/>
        </w:rPr>
      </w:pPr>
      <w:r>
        <w:rPr>
          <w:rFonts w:ascii="Book Antiqua" w:hAnsi="Book Antiqua" w:cs="Calibri"/>
        </w:rPr>
        <w:t>Executive dominance in Ireland is</w:t>
      </w:r>
      <w:r w:rsidR="008129C2">
        <w:rPr>
          <w:rFonts w:ascii="Book Antiqua" w:hAnsi="Book Antiqua" w:cs="Calibri"/>
        </w:rPr>
        <w:t xml:space="preserve"> thus</w:t>
      </w:r>
      <w:r>
        <w:rPr>
          <w:rFonts w:ascii="Book Antiqua" w:hAnsi="Book Antiqua" w:cs="Calibri"/>
        </w:rPr>
        <w:t xml:space="preserve"> pervasive and very </w:t>
      </w:r>
      <w:r w:rsidR="008129C2">
        <w:rPr>
          <w:rFonts w:ascii="Book Antiqua" w:hAnsi="Book Antiqua" w:cs="Calibri"/>
        </w:rPr>
        <w:t>strong but</w:t>
      </w:r>
      <w:r>
        <w:rPr>
          <w:rFonts w:ascii="Book Antiqua" w:hAnsi="Book Antiqua" w:cs="Calibri"/>
        </w:rPr>
        <w:t xml:space="preserve"> should not be crudely caricatured. For example, it is obvious</w:t>
      </w:r>
      <w:r w:rsidR="00D85583" w:rsidRPr="006E162D">
        <w:rPr>
          <w:rFonts w:ascii="Book Antiqua" w:hAnsi="Book Antiqua" w:cs="Calibri"/>
        </w:rPr>
        <w:t xml:space="preserve"> </w:t>
      </w:r>
      <w:r>
        <w:rPr>
          <w:rFonts w:ascii="Book Antiqua" w:hAnsi="Book Antiqua" w:cs="Calibri"/>
        </w:rPr>
        <w:t>f</w:t>
      </w:r>
      <w:r w:rsidR="00CE06A3" w:rsidRPr="00692FEB">
        <w:rPr>
          <w:rFonts w:ascii="Book Antiqua" w:hAnsi="Book Antiqua" w:cs="Calibri"/>
        </w:rPr>
        <w:t xml:space="preserve">ew </w:t>
      </w:r>
      <w:r>
        <w:rPr>
          <w:rFonts w:ascii="Book Antiqua" w:hAnsi="Book Antiqua" w:cs="Calibri"/>
        </w:rPr>
        <w:t>G</w:t>
      </w:r>
      <w:r w:rsidR="0052151C">
        <w:rPr>
          <w:rFonts w:ascii="Book Antiqua" w:hAnsi="Book Antiqua" w:cs="Calibri"/>
        </w:rPr>
        <w:t xml:space="preserve">overnments </w:t>
      </w:r>
      <w:r w:rsidR="00CE06A3" w:rsidRPr="00692FEB">
        <w:rPr>
          <w:rFonts w:ascii="Book Antiqua" w:hAnsi="Book Antiqua" w:cs="Calibri"/>
        </w:rPr>
        <w:t>would attem</w:t>
      </w:r>
      <w:r w:rsidR="00CE06A3" w:rsidRPr="009C65DA">
        <w:rPr>
          <w:rFonts w:ascii="Book Antiqua" w:hAnsi="Book Antiqua" w:cs="Calibri"/>
        </w:rPr>
        <w:t>pt to press through proposals that</w:t>
      </w:r>
      <w:r>
        <w:rPr>
          <w:rFonts w:ascii="Book Antiqua" w:hAnsi="Book Antiqua" w:cs="Calibri"/>
        </w:rPr>
        <w:t xml:space="preserve"> it knows a majority of its own backbenchers in</w:t>
      </w:r>
      <w:r w:rsidR="00CE06A3" w:rsidRPr="009C65DA">
        <w:rPr>
          <w:rFonts w:ascii="Book Antiqua" w:hAnsi="Book Antiqua" w:cs="Calibri"/>
        </w:rPr>
        <w:t xml:space="preserve"> parliament would be sufficiently opposed to</w:t>
      </w:r>
      <w:r w:rsidR="00CE06A3" w:rsidRPr="003739B7">
        <w:rPr>
          <w:rFonts w:ascii="Book Antiqua" w:hAnsi="Book Antiqua" w:cs="Calibri"/>
        </w:rPr>
        <w:t>,</w:t>
      </w:r>
      <w:r w:rsidR="00CE06A3" w:rsidRPr="00692FEB">
        <w:rPr>
          <w:rStyle w:val="FootnoteReference"/>
          <w:rFonts w:ascii="Book Antiqua" w:hAnsi="Book Antiqua" w:cs="Calibri"/>
        </w:rPr>
        <w:footnoteReference w:id="28"/>
      </w:r>
      <w:r w:rsidR="00CE06A3" w:rsidRPr="00692FEB">
        <w:rPr>
          <w:rFonts w:ascii="Book Antiqua" w:hAnsi="Book Antiqua" w:cs="Calibri"/>
        </w:rPr>
        <w:t xml:space="preserve"> </w:t>
      </w:r>
      <w:r>
        <w:rPr>
          <w:rFonts w:ascii="Book Antiqua" w:hAnsi="Book Antiqua" w:cs="Calibri"/>
        </w:rPr>
        <w:t>even if</w:t>
      </w:r>
      <w:r w:rsidRPr="00692FEB">
        <w:rPr>
          <w:rFonts w:ascii="Book Antiqua" w:hAnsi="Book Antiqua" w:cs="Calibri"/>
        </w:rPr>
        <w:t xml:space="preserve"> </w:t>
      </w:r>
      <w:r w:rsidR="00CE06A3" w:rsidRPr="00692FEB">
        <w:rPr>
          <w:rFonts w:ascii="Book Antiqua" w:hAnsi="Book Antiqua" w:cs="Calibri"/>
        </w:rPr>
        <w:t>separating this from the risk of public/voter backlash is difficult.</w:t>
      </w:r>
      <w:r>
        <w:rPr>
          <w:rFonts w:ascii="Book Antiqua" w:hAnsi="Book Antiqua" w:cs="Calibri"/>
        </w:rPr>
        <w:t xml:space="preserve"> </w:t>
      </w:r>
      <w:r w:rsidR="008129C2">
        <w:rPr>
          <w:rFonts w:ascii="Book Antiqua" w:hAnsi="Book Antiqua" w:cs="Calibri"/>
        </w:rPr>
        <w:t>S</w:t>
      </w:r>
      <w:r>
        <w:rPr>
          <w:rFonts w:ascii="Book Antiqua" w:hAnsi="Book Antiqua" w:cs="Calibri"/>
        </w:rPr>
        <w:t>uch</w:t>
      </w:r>
      <w:r w:rsidRPr="006E162D">
        <w:rPr>
          <w:rFonts w:ascii="Book Antiqua" w:hAnsi="Book Antiqua" w:cs="Calibri"/>
        </w:rPr>
        <w:t xml:space="preserve"> influence </w:t>
      </w:r>
      <w:r>
        <w:rPr>
          <w:rFonts w:ascii="Book Antiqua" w:hAnsi="Book Antiqua" w:cs="Calibri"/>
        </w:rPr>
        <w:t>should not be discounted as</w:t>
      </w:r>
      <w:r w:rsidRPr="006E162D">
        <w:rPr>
          <w:rFonts w:ascii="Book Antiqua" w:hAnsi="Book Antiqua" w:cs="Calibri"/>
        </w:rPr>
        <w:t xml:space="preserve"> </w:t>
      </w:r>
      <w:r w:rsidRPr="00692FEB">
        <w:rPr>
          <w:rFonts w:ascii="Book Antiqua" w:hAnsi="Book Antiqua" w:cs="Calibri"/>
        </w:rPr>
        <w:t>j</w:t>
      </w:r>
      <w:r w:rsidRPr="009C65DA">
        <w:rPr>
          <w:rFonts w:ascii="Book Antiqua" w:hAnsi="Book Antiqua" w:cs="Calibri"/>
        </w:rPr>
        <w:t xml:space="preserve">ust because such influence may not be </w:t>
      </w:r>
      <w:r>
        <w:rPr>
          <w:rFonts w:ascii="Book Antiqua" w:hAnsi="Book Antiqua" w:cs="Calibri"/>
        </w:rPr>
        <w:t>“</w:t>
      </w:r>
      <w:r w:rsidRPr="009C65DA">
        <w:rPr>
          <w:rFonts w:ascii="Book Antiqua" w:hAnsi="Book Antiqua" w:cs="Calibri"/>
        </w:rPr>
        <w:t>easily observable…does not make it any less real</w:t>
      </w:r>
      <w:r>
        <w:rPr>
          <w:rFonts w:ascii="Book Antiqua" w:hAnsi="Book Antiqua" w:cs="Calibri"/>
        </w:rPr>
        <w:t>”</w:t>
      </w:r>
      <w:r w:rsidRPr="009C65DA">
        <w:rPr>
          <w:rFonts w:ascii="Book Antiqua" w:hAnsi="Book Antiqua" w:cs="Calibri"/>
        </w:rPr>
        <w:t>.</w:t>
      </w:r>
      <w:bookmarkStart w:id="1" w:name="_Ref37316502"/>
      <w:r w:rsidRPr="00692FEB">
        <w:rPr>
          <w:rStyle w:val="FootnoteReference"/>
          <w:rFonts w:ascii="Book Antiqua" w:hAnsi="Book Antiqua" w:cs="Calibri"/>
        </w:rPr>
        <w:footnoteReference w:id="29"/>
      </w:r>
      <w:bookmarkEnd w:id="1"/>
      <w:r w:rsidRPr="00692FEB">
        <w:rPr>
          <w:rFonts w:ascii="Book Antiqua" w:hAnsi="Book Antiqua" w:cs="Calibri"/>
        </w:rPr>
        <w:t xml:space="preserve"> </w:t>
      </w:r>
      <w:r>
        <w:rPr>
          <w:rFonts w:ascii="Book Antiqua" w:hAnsi="Book Antiqua" w:cs="Calibri"/>
        </w:rPr>
        <w:t xml:space="preserve">That said, </w:t>
      </w:r>
      <w:r w:rsidRPr="00D723D1">
        <w:rPr>
          <w:rFonts w:ascii="Book Antiqua" w:hAnsi="Book Antiqua" w:cs="Calibri"/>
          <w:i/>
          <w:iCs/>
        </w:rPr>
        <w:t>it is</w:t>
      </w:r>
      <w:r>
        <w:rPr>
          <w:rFonts w:ascii="Book Antiqua" w:hAnsi="Book Antiqua" w:cs="Calibri"/>
        </w:rPr>
        <w:t xml:space="preserve"> fair to say</w:t>
      </w:r>
      <w:r w:rsidRPr="00692FEB">
        <w:rPr>
          <w:rFonts w:ascii="Book Antiqua" w:hAnsi="Book Antiqua" w:cs="Calibri"/>
        </w:rPr>
        <w:t xml:space="preserve"> it</w:t>
      </w:r>
      <w:r>
        <w:rPr>
          <w:rFonts w:ascii="Book Antiqua" w:hAnsi="Book Antiqua" w:cs="Calibri"/>
        </w:rPr>
        <w:t>s impact</w:t>
      </w:r>
      <w:r w:rsidRPr="00692FEB">
        <w:rPr>
          <w:rFonts w:ascii="Book Antiqua" w:hAnsi="Book Antiqua" w:cs="Calibri"/>
        </w:rPr>
        <w:t xml:space="preserve"> does not s</w:t>
      </w:r>
      <w:r w:rsidRPr="009C65DA">
        <w:rPr>
          <w:rFonts w:ascii="Book Antiqua" w:hAnsi="Book Antiqua" w:cs="Calibri"/>
        </w:rPr>
        <w:t>eem to be significant enough to greatly undermine executive dominance</w:t>
      </w:r>
      <w:r>
        <w:rPr>
          <w:rFonts w:ascii="Book Antiqua" w:hAnsi="Book Antiqua" w:cs="Calibri"/>
        </w:rPr>
        <w:t>.</w:t>
      </w:r>
      <w:r w:rsidRPr="009C65DA">
        <w:rPr>
          <w:rFonts w:ascii="Book Antiqua" w:hAnsi="Book Antiqua" w:cs="Calibri"/>
        </w:rPr>
        <w:t xml:space="preserve"> </w:t>
      </w:r>
      <w:r>
        <w:rPr>
          <w:rFonts w:ascii="Book Antiqua" w:hAnsi="Book Antiqua" w:cs="Calibri"/>
        </w:rPr>
        <w:t>It is also the case that, i</w:t>
      </w:r>
      <w:r w:rsidRPr="006E162D">
        <w:rPr>
          <w:rFonts w:ascii="Book Antiqua" w:hAnsi="Book Antiqua" w:cs="Calibri"/>
        </w:rPr>
        <w:t>n principle, logrolling</w:t>
      </w:r>
      <w:r w:rsidR="004978EF">
        <w:rPr>
          <w:rFonts w:ascii="Book Antiqua" w:hAnsi="Book Antiqua" w:cs="Calibri"/>
        </w:rPr>
        <w:t>—trading political support for reciprocal action, or informally threatening withdrawal of support to secure certain results—</w:t>
      </w:r>
      <w:r w:rsidRPr="006E162D">
        <w:rPr>
          <w:rFonts w:ascii="Book Antiqua" w:hAnsi="Book Antiqua" w:cs="Calibri"/>
        </w:rPr>
        <w:t xml:space="preserve">by backbenchers </w:t>
      </w:r>
      <w:r>
        <w:rPr>
          <w:rFonts w:ascii="Book Antiqua" w:hAnsi="Book Antiqua" w:cs="Calibri"/>
        </w:rPr>
        <w:t>(</w:t>
      </w:r>
      <w:r w:rsidRPr="006E162D">
        <w:rPr>
          <w:rFonts w:ascii="Book Antiqua" w:hAnsi="Book Antiqua" w:cs="Calibri"/>
        </w:rPr>
        <w:t>and minority coalition partners</w:t>
      </w:r>
      <w:r>
        <w:rPr>
          <w:rFonts w:ascii="Book Antiqua" w:hAnsi="Book Antiqua" w:cs="Calibri"/>
        </w:rPr>
        <w:t>) is possible</w:t>
      </w:r>
      <w:r w:rsidRPr="006E162D">
        <w:rPr>
          <w:rFonts w:ascii="Book Antiqua" w:hAnsi="Book Antiqua" w:cs="Calibri"/>
        </w:rPr>
        <w:t>.</w:t>
      </w:r>
      <w:bookmarkStart w:id="2" w:name="_Ref37316948"/>
      <w:r w:rsidR="00BF02BB">
        <w:rPr>
          <w:rStyle w:val="FootnoteReference"/>
          <w:rFonts w:ascii="Book Antiqua" w:hAnsi="Book Antiqua" w:cs="Calibri"/>
        </w:rPr>
        <w:footnoteReference w:id="30"/>
      </w:r>
      <w:bookmarkEnd w:id="2"/>
      <w:r>
        <w:rPr>
          <w:rFonts w:ascii="Book Antiqua" w:hAnsi="Book Antiqua" w:cs="Calibri"/>
        </w:rPr>
        <w:t xml:space="preserve"> But in</w:t>
      </w:r>
      <w:r w:rsidR="00D85583" w:rsidRPr="006E162D">
        <w:rPr>
          <w:rFonts w:ascii="Book Antiqua" w:hAnsi="Book Antiqua" w:cs="Calibri"/>
        </w:rPr>
        <w:t xml:space="preserve"> reality</w:t>
      </w:r>
      <w:r w:rsidR="008129C2">
        <w:rPr>
          <w:rFonts w:ascii="Book Antiqua" w:hAnsi="Book Antiqua" w:cs="Calibri"/>
        </w:rPr>
        <w:t>,</w:t>
      </w:r>
      <w:r w:rsidR="00D85583" w:rsidRPr="006E162D">
        <w:rPr>
          <w:rFonts w:ascii="Book Antiqua" w:hAnsi="Book Antiqua" w:cs="Calibri"/>
        </w:rPr>
        <w:t xml:space="preserve"> evidence for </w:t>
      </w:r>
      <w:r w:rsidR="00CE06A3" w:rsidRPr="006E162D">
        <w:rPr>
          <w:rFonts w:ascii="Book Antiqua" w:hAnsi="Book Antiqua" w:cs="Calibri"/>
        </w:rPr>
        <w:t xml:space="preserve">the impact of logrolling </w:t>
      </w:r>
      <w:r w:rsidR="00D85583" w:rsidRPr="006E162D">
        <w:rPr>
          <w:rFonts w:ascii="Book Antiqua" w:hAnsi="Book Antiqua" w:cs="Calibri"/>
        </w:rPr>
        <w:t xml:space="preserve">is </w:t>
      </w:r>
      <w:r w:rsidR="00CE06A3" w:rsidRPr="006E162D">
        <w:rPr>
          <w:rFonts w:ascii="Book Antiqua" w:hAnsi="Book Antiqua" w:cs="Calibri"/>
        </w:rPr>
        <w:t xml:space="preserve">relatively </w:t>
      </w:r>
      <w:r w:rsidR="00D85583" w:rsidRPr="006E162D">
        <w:rPr>
          <w:rFonts w:ascii="Book Antiqua" w:hAnsi="Book Antiqua" w:cs="Calibri"/>
        </w:rPr>
        <w:t>scant</w:t>
      </w:r>
      <w:r>
        <w:rPr>
          <w:rFonts w:ascii="Book Antiqua" w:hAnsi="Book Antiqua" w:cs="Calibri"/>
        </w:rPr>
        <w:t xml:space="preserve"> and again does little to dent executive dominance</w:t>
      </w:r>
      <w:r w:rsidR="00D85583" w:rsidRPr="006E162D">
        <w:rPr>
          <w:rFonts w:ascii="Book Antiqua" w:hAnsi="Book Antiqua" w:cs="Calibri"/>
        </w:rPr>
        <w:t xml:space="preserve">. </w:t>
      </w:r>
    </w:p>
    <w:p w14:paraId="071F40FC" w14:textId="77777777" w:rsidR="00B57C0D" w:rsidRPr="006E162D" w:rsidRDefault="00B57C0D">
      <w:pPr>
        <w:spacing w:line="360" w:lineRule="auto"/>
        <w:jc w:val="both"/>
        <w:rPr>
          <w:rFonts w:ascii="Book Antiqua" w:hAnsi="Book Antiqua" w:cs="Calibri"/>
        </w:rPr>
      </w:pPr>
    </w:p>
    <w:p w14:paraId="11FAC411" w14:textId="78C7C0AF" w:rsidR="00D85583" w:rsidRPr="006E162D" w:rsidRDefault="00D00792" w:rsidP="00D85583">
      <w:pPr>
        <w:spacing w:line="360" w:lineRule="auto"/>
        <w:jc w:val="both"/>
        <w:rPr>
          <w:rFonts w:ascii="Book Antiqua" w:hAnsi="Book Antiqua" w:cs="Calibri"/>
        </w:rPr>
      </w:pPr>
      <w:r w:rsidRPr="006E162D">
        <w:rPr>
          <w:rFonts w:ascii="Book Antiqua" w:hAnsi="Book Antiqua" w:cs="Calibri"/>
        </w:rPr>
        <w:lastRenderedPageBreak/>
        <w:t>T</w:t>
      </w:r>
      <w:r w:rsidR="00D85583" w:rsidRPr="006E162D">
        <w:rPr>
          <w:rFonts w:ascii="Book Antiqua" w:hAnsi="Book Antiqua" w:cs="Calibri"/>
        </w:rPr>
        <w:t>he concentration of power in the 15-member cabinet is</w:t>
      </w:r>
      <w:r w:rsidR="00872C49">
        <w:rPr>
          <w:rFonts w:ascii="Book Antiqua" w:hAnsi="Book Antiqua" w:cs="Calibri"/>
        </w:rPr>
        <w:t xml:space="preserve"> therefore</w:t>
      </w:r>
      <w:r w:rsidR="00D85583" w:rsidRPr="006E162D">
        <w:rPr>
          <w:rFonts w:ascii="Book Antiqua" w:hAnsi="Book Antiqua" w:cs="Calibri"/>
        </w:rPr>
        <w:t xml:space="preserve"> very significant.</w:t>
      </w:r>
      <w:r w:rsidR="00D85583" w:rsidRPr="006E162D">
        <w:rPr>
          <w:rFonts w:ascii="Book Antiqua" w:hAnsi="Book Antiqua" w:cs="Calibri"/>
          <w:vertAlign w:val="superscript"/>
        </w:rPr>
        <w:footnoteReference w:id="31"/>
      </w:r>
      <w:r w:rsidR="00D85583" w:rsidRPr="006E162D">
        <w:rPr>
          <w:rFonts w:ascii="Book Antiqua" w:hAnsi="Book Antiqua" w:cs="Calibri"/>
        </w:rPr>
        <w:t xml:space="preserve"> It is collectively responsible for all actions of government. With the help and guidance of the large, permanent and influential civil service, the government controls policymaking; writes and </w:t>
      </w:r>
      <w:r w:rsidR="00872C49">
        <w:rPr>
          <w:rFonts w:ascii="Book Antiqua" w:hAnsi="Book Antiqua" w:cs="Calibri"/>
        </w:rPr>
        <w:t xml:space="preserve">effectively </w:t>
      </w:r>
      <w:r w:rsidR="00D85583" w:rsidRPr="006E162D">
        <w:rPr>
          <w:rFonts w:ascii="Book Antiqua" w:hAnsi="Book Antiqua" w:cs="Calibri"/>
        </w:rPr>
        <w:t>introduces all enacted legislation; manages the legislative process and limits any changes to legislation; and controls the implementation</w:t>
      </w:r>
      <w:r w:rsidR="00872C49">
        <w:rPr>
          <w:rFonts w:ascii="Book Antiqua" w:hAnsi="Book Antiqua" w:cs="Calibri"/>
        </w:rPr>
        <w:t xml:space="preserve"> and</w:t>
      </w:r>
      <w:r w:rsidR="00D85583" w:rsidRPr="006E162D">
        <w:rPr>
          <w:rFonts w:ascii="Book Antiqua" w:hAnsi="Book Antiqua" w:cs="Calibri"/>
        </w:rPr>
        <w:t xml:space="preserve"> execution of policy.</w:t>
      </w:r>
      <w:r w:rsidR="00B51263">
        <w:rPr>
          <w:rFonts w:ascii="Book Antiqua" w:hAnsi="Book Antiqua" w:cs="Calibri"/>
        </w:rPr>
        <w:t xml:space="preserve"> </w:t>
      </w:r>
    </w:p>
    <w:p w14:paraId="54675456" w14:textId="77777777" w:rsidR="000617A3" w:rsidRPr="00692FEB" w:rsidRDefault="000617A3">
      <w:pPr>
        <w:spacing w:line="360" w:lineRule="auto"/>
        <w:jc w:val="both"/>
        <w:rPr>
          <w:rStyle w:val="apple-converted-space"/>
          <w:rFonts w:ascii="Book Antiqua" w:hAnsi="Book Antiqua" w:cs="Calibri"/>
        </w:rPr>
      </w:pPr>
    </w:p>
    <w:p w14:paraId="5A54FC36" w14:textId="173AF51A" w:rsidR="00AE7724" w:rsidRPr="009C65DA" w:rsidRDefault="001C44DB" w:rsidP="003128DD">
      <w:pPr>
        <w:spacing w:line="360" w:lineRule="auto"/>
        <w:jc w:val="both"/>
        <w:rPr>
          <w:rFonts w:ascii="Book Antiqua" w:hAnsi="Book Antiqua" w:cs="Calibri"/>
        </w:rPr>
      </w:pPr>
      <w:r>
        <w:rPr>
          <w:rFonts w:ascii="Book Antiqua" w:hAnsi="Book Antiqua" w:cs="Calibri"/>
        </w:rPr>
        <w:t>T</w:t>
      </w:r>
      <w:r w:rsidR="00D85583" w:rsidRPr="003739B7">
        <w:rPr>
          <w:rFonts w:ascii="Book Antiqua" w:hAnsi="Book Antiqua" w:cs="Calibri"/>
        </w:rPr>
        <w:t xml:space="preserve">he </w:t>
      </w:r>
      <w:r w:rsidR="00AE7724" w:rsidRPr="00061F78">
        <w:rPr>
          <w:rFonts w:ascii="Book Antiqua" w:hAnsi="Book Antiqua" w:cs="Calibri"/>
        </w:rPr>
        <w:t xml:space="preserve">formal authority and power of the Oireachtas over the executive </w:t>
      </w:r>
      <w:r w:rsidR="00D85583" w:rsidRPr="00061F78">
        <w:rPr>
          <w:rFonts w:ascii="Book Antiqua" w:hAnsi="Book Antiqua" w:cs="Calibri"/>
        </w:rPr>
        <w:t xml:space="preserve">is patent: </w:t>
      </w:r>
      <w:r w:rsidR="00AE7724" w:rsidRPr="00061F78">
        <w:rPr>
          <w:rFonts w:ascii="Book Antiqua" w:hAnsi="Book Antiqua" w:cs="Calibri"/>
        </w:rPr>
        <w:t xml:space="preserve">the Oireachtas can direct the </w:t>
      </w:r>
      <w:r w:rsidR="00D85583" w:rsidRPr="00061F78">
        <w:rPr>
          <w:rFonts w:ascii="Book Antiqua" w:hAnsi="Book Antiqua" w:cs="Calibri"/>
        </w:rPr>
        <w:t>g</w:t>
      </w:r>
      <w:r w:rsidR="00AE7724" w:rsidRPr="00D47D06">
        <w:rPr>
          <w:rFonts w:ascii="Book Antiqua" w:hAnsi="Book Antiqua" w:cs="Calibri"/>
        </w:rPr>
        <w:t>overnment through use of its exclusive law-making power</w:t>
      </w:r>
      <w:r w:rsidR="00D85583" w:rsidRPr="00D47D06">
        <w:rPr>
          <w:rFonts w:ascii="Book Antiqua" w:hAnsi="Book Antiqua" w:cs="Calibri"/>
        </w:rPr>
        <w:t>;</w:t>
      </w:r>
      <w:r w:rsidR="00AE7724" w:rsidRPr="00692FEB">
        <w:rPr>
          <w:rFonts w:ascii="Book Antiqua" w:hAnsi="Book Antiqua" w:cs="Calibri"/>
        </w:rPr>
        <w:t xml:space="preserve"> the Taoiseach must retain the confidence and support of the Dáil to ma</w:t>
      </w:r>
      <w:r w:rsidR="00AE7724" w:rsidRPr="009C65DA">
        <w:rPr>
          <w:rFonts w:ascii="Book Antiqua" w:hAnsi="Book Antiqua" w:cs="Calibri"/>
        </w:rPr>
        <w:t>intain power</w:t>
      </w:r>
      <w:r w:rsidR="00D85583" w:rsidRPr="009C65DA">
        <w:rPr>
          <w:rFonts w:ascii="Book Antiqua" w:hAnsi="Book Antiqua" w:cs="Calibri"/>
        </w:rPr>
        <w:t>;</w:t>
      </w:r>
      <w:r w:rsidR="00AE7724" w:rsidRPr="00692FEB">
        <w:rPr>
          <w:rFonts w:ascii="Book Antiqua" w:hAnsi="Book Antiqua" w:cs="Calibri"/>
        </w:rPr>
        <w:t xml:space="preserve"> </w:t>
      </w:r>
      <w:r w:rsidR="00872C49">
        <w:rPr>
          <w:rFonts w:ascii="Book Antiqua" w:hAnsi="Book Antiqua" w:cs="Calibri"/>
        </w:rPr>
        <w:t>and</w:t>
      </w:r>
      <w:r w:rsidR="00872C49" w:rsidRPr="00692FEB">
        <w:rPr>
          <w:rFonts w:ascii="Book Antiqua" w:hAnsi="Book Antiqua" w:cs="Calibri"/>
        </w:rPr>
        <w:t xml:space="preserve"> </w:t>
      </w:r>
      <w:r w:rsidR="00AE7724" w:rsidRPr="00692FEB">
        <w:rPr>
          <w:rFonts w:ascii="Book Antiqua" w:hAnsi="Book Antiqua" w:cs="Calibri"/>
        </w:rPr>
        <w:t xml:space="preserve">the executive </w:t>
      </w:r>
      <w:r w:rsidR="00D85583" w:rsidRPr="009C65DA">
        <w:rPr>
          <w:rFonts w:ascii="Book Antiqua" w:hAnsi="Book Antiqua" w:cs="Calibri"/>
        </w:rPr>
        <w:t xml:space="preserve">is expressly constitutionally </w:t>
      </w:r>
      <w:r w:rsidR="00AE7724" w:rsidRPr="009C65DA">
        <w:rPr>
          <w:rFonts w:ascii="Book Antiqua" w:hAnsi="Book Antiqua" w:cs="Calibri"/>
        </w:rPr>
        <w:t>answerable or responsible to D</w:t>
      </w:r>
      <w:r w:rsidR="00B51263">
        <w:rPr>
          <w:rFonts w:ascii="Book Antiqua" w:hAnsi="Book Antiqua" w:cs="Calibri"/>
        </w:rPr>
        <w:t>á</w:t>
      </w:r>
      <w:r w:rsidR="00AE7724" w:rsidRPr="009C65DA">
        <w:rPr>
          <w:rFonts w:ascii="Book Antiqua" w:hAnsi="Book Antiqua" w:cs="Calibri"/>
        </w:rPr>
        <w:t xml:space="preserve">il </w:t>
      </w:r>
      <w:r w:rsidR="00B51263">
        <w:rPr>
          <w:rFonts w:ascii="Book Antiqua" w:hAnsi="Book Antiqua" w:cs="Calibri"/>
        </w:rPr>
        <w:t>É</w:t>
      </w:r>
      <w:r w:rsidR="00AE7724" w:rsidRPr="009C65DA">
        <w:rPr>
          <w:rFonts w:ascii="Book Antiqua" w:hAnsi="Book Antiqua" w:cs="Calibri"/>
        </w:rPr>
        <w:t>ireann.</w:t>
      </w:r>
      <w:r w:rsidR="00AE7724" w:rsidRPr="00692FEB">
        <w:rPr>
          <w:rStyle w:val="FootnoteReference"/>
          <w:rFonts w:ascii="Book Antiqua" w:hAnsi="Book Antiqua" w:cs="Calibri"/>
        </w:rPr>
        <w:footnoteReference w:id="32"/>
      </w:r>
      <w:r w:rsidR="00AE7724" w:rsidRPr="00692FEB">
        <w:rPr>
          <w:rFonts w:ascii="Book Antiqua" w:hAnsi="Book Antiqua" w:cs="Calibri"/>
        </w:rPr>
        <w:t xml:space="preserve"> </w:t>
      </w:r>
      <w:r>
        <w:rPr>
          <w:rFonts w:ascii="Book Antiqua" w:hAnsi="Book Antiqua" w:cs="Calibri"/>
        </w:rPr>
        <w:t>Yet</w:t>
      </w:r>
      <w:r w:rsidR="001E23A7" w:rsidRPr="003739B7">
        <w:rPr>
          <w:rFonts w:ascii="Book Antiqua" w:hAnsi="Book Antiqua" w:cs="Calibri"/>
        </w:rPr>
        <w:t xml:space="preserve"> </w:t>
      </w:r>
      <w:r>
        <w:rPr>
          <w:rFonts w:ascii="Book Antiqua" w:hAnsi="Book Antiqua" w:cs="Calibri"/>
        </w:rPr>
        <w:t>a</w:t>
      </w:r>
      <w:r w:rsidR="00D85583" w:rsidRPr="002516B9">
        <w:rPr>
          <w:rFonts w:ascii="Book Antiqua" w:hAnsi="Book Antiqua" w:cs="Calibri"/>
        </w:rPr>
        <w:t xml:space="preserve">cademic commentators can credibly say that </w:t>
      </w:r>
      <w:r w:rsidR="00AE7724" w:rsidRPr="00061F78">
        <w:rPr>
          <w:rFonts w:ascii="Book Antiqua" w:hAnsi="Book Antiqua" w:cs="Calibri"/>
        </w:rPr>
        <w:t xml:space="preserve">Ireland’s form of separation of powers is </w:t>
      </w:r>
      <w:r w:rsidR="00872C49">
        <w:rPr>
          <w:rFonts w:ascii="Book Antiqua" w:hAnsi="Book Antiqua" w:cs="Calibri"/>
        </w:rPr>
        <w:t>‘</w:t>
      </w:r>
      <w:r w:rsidR="00AE7724" w:rsidRPr="00061F78">
        <w:rPr>
          <w:rFonts w:ascii="Book Antiqua" w:hAnsi="Book Antiqua" w:cs="Calibri"/>
        </w:rPr>
        <w:t>fundamentally bipartite</w:t>
      </w:r>
      <w:r w:rsidR="00872C49">
        <w:rPr>
          <w:rFonts w:ascii="Book Antiqua" w:hAnsi="Book Antiqua" w:cs="Calibri"/>
        </w:rPr>
        <w:t>’</w:t>
      </w:r>
      <w:r w:rsidR="00D85583" w:rsidRPr="00061F78">
        <w:rPr>
          <w:rFonts w:ascii="Book Antiqua" w:hAnsi="Book Antiqua" w:cs="Calibri"/>
        </w:rPr>
        <w:t>:</w:t>
      </w:r>
      <w:r w:rsidR="00AE7724" w:rsidRPr="00061F78">
        <w:rPr>
          <w:rFonts w:ascii="Book Antiqua" w:hAnsi="Book Antiqua" w:cs="Calibri"/>
        </w:rPr>
        <w:t xml:space="preserve"> the D</w:t>
      </w:r>
      <w:r w:rsidR="00B173BA" w:rsidRPr="00061F78">
        <w:rPr>
          <w:rFonts w:ascii="Book Antiqua" w:hAnsi="Book Antiqua" w:cs="Calibri"/>
        </w:rPr>
        <w:t>á</w:t>
      </w:r>
      <w:r w:rsidR="00AE7724" w:rsidRPr="00D47D06">
        <w:rPr>
          <w:rFonts w:ascii="Book Antiqua" w:hAnsi="Book Antiqua" w:cs="Calibri"/>
        </w:rPr>
        <w:t xml:space="preserve">il/government on the one hand, and </w:t>
      </w:r>
      <w:r w:rsidR="00D85583" w:rsidRPr="00D47D06">
        <w:rPr>
          <w:rFonts w:ascii="Book Antiqua" w:hAnsi="Book Antiqua" w:cs="Calibri"/>
        </w:rPr>
        <w:t>c</w:t>
      </w:r>
      <w:r w:rsidR="00AE7724" w:rsidRPr="00D47D06">
        <w:rPr>
          <w:rFonts w:ascii="Book Antiqua" w:hAnsi="Book Antiqua" w:cs="Calibri"/>
        </w:rPr>
        <w:t>ourts on the other.</w:t>
      </w:r>
      <w:r w:rsidR="00AE7724" w:rsidRPr="00692FEB">
        <w:rPr>
          <w:rStyle w:val="FootnoteReference"/>
          <w:rFonts w:ascii="Book Antiqua" w:hAnsi="Book Antiqua" w:cs="Calibri"/>
        </w:rPr>
        <w:footnoteReference w:id="33"/>
      </w:r>
      <w:r w:rsidR="00AE7724" w:rsidRPr="00692FEB">
        <w:rPr>
          <w:rFonts w:ascii="Book Antiqua" w:hAnsi="Book Antiqua" w:cs="Calibri"/>
        </w:rPr>
        <w:t xml:space="preserve"> </w:t>
      </w:r>
    </w:p>
    <w:p w14:paraId="52E812BC" w14:textId="77777777" w:rsidR="00AE7724" w:rsidRPr="009C65DA" w:rsidRDefault="00AE7724" w:rsidP="003128DD">
      <w:pPr>
        <w:spacing w:line="360" w:lineRule="auto"/>
        <w:jc w:val="both"/>
        <w:rPr>
          <w:rFonts w:ascii="Book Antiqua" w:hAnsi="Book Antiqua" w:cs="Calibri"/>
        </w:rPr>
      </w:pPr>
    </w:p>
    <w:p w14:paraId="2519AE6C" w14:textId="69FF5498" w:rsidR="00CE2619" w:rsidRPr="006E162D" w:rsidRDefault="00CE2619" w:rsidP="00CE2619">
      <w:pPr>
        <w:spacing w:line="360" w:lineRule="auto"/>
        <w:jc w:val="both"/>
        <w:rPr>
          <w:rFonts w:ascii="Book Antiqua" w:hAnsi="Book Antiqua" w:cs="Calibri"/>
        </w:rPr>
      </w:pPr>
      <w:r w:rsidRPr="006E162D">
        <w:rPr>
          <w:rFonts w:ascii="Book Antiqua" w:hAnsi="Book Antiqua" w:cs="Calibri"/>
        </w:rPr>
        <w:t xml:space="preserve">There </w:t>
      </w:r>
      <w:r w:rsidR="00DE279D" w:rsidRPr="006E162D">
        <w:rPr>
          <w:rFonts w:ascii="Book Antiqua" w:hAnsi="Book Antiqua" w:cs="Calibri"/>
        </w:rPr>
        <w:t>are</w:t>
      </w:r>
      <w:r w:rsidRPr="006E162D">
        <w:rPr>
          <w:rFonts w:ascii="Book Antiqua" w:hAnsi="Book Antiqua" w:cs="Calibri"/>
        </w:rPr>
        <w:t xml:space="preserve"> few constitutional rules </w:t>
      </w:r>
      <w:r w:rsidR="00DB13F9">
        <w:rPr>
          <w:rFonts w:ascii="Book Antiqua" w:hAnsi="Book Antiqua" w:cs="Calibri"/>
        </w:rPr>
        <w:t>limiting the outer bounds of</w:t>
      </w:r>
      <w:r w:rsidRPr="006E162D">
        <w:rPr>
          <w:rFonts w:ascii="Book Antiqua" w:hAnsi="Book Antiqua" w:cs="Calibri"/>
        </w:rPr>
        <w:t xml:space="preserve"> executive dominance in Ireland. </w:t>
      </w:r>
      <w:r w:rsidR="00DE279D" w:rsidRPr="006E162D">
        <w:rPr>
          <w:rFonts w:ascii="Book Antiqua" w:hAnsi="Book Antiqua" w:cs="Calibri"/>
        </w:rPr>
        <w:t xml:space="preserve">A few judicial rules build </w:t>
      </w:r>
      <w:r w:rsidRPr="006E162D">
        <w:rPr>
          <w:rFonts w:ascii="Book Antiqua" w:hAnsi="Book Antiqua" w:cs="Calibri"/>
        </w:rPr>
        <w:t>on the constitutional injunction that the sole and exclusive legislative power of the state belongs to the Oireachtas</w:t>
      </w:r>
      <w:r w:rsidR="00DE279D" w:rsidRPr="006E162D">
        <w:rPr>
          <w:rFonts w:ascii="Book Antiqua" w:hAnsi="Book Antiqua" w:cs="Calibri"/>
        </w:rPr>
        <w:t>.</w:t>
      </w:r>
      <w:r w:rsidRPr="006E162D">
        <w:rPr>
          <w:rFonts w:ascii="Book Antiqua" w:hAnsi="Book Antiqua" w:cs="Calibri"/>
          <w:vertAlign w:val="superscript"/>
        </w:rPr>
        <w:footnoteReference w:id="34"/>
      </w:r>
      <w:r w:rsidRPr="006E162D">
        <w:rPr>
          <w:rFonts w:ascii="Book Antiqua" w:hAnsi="Book Antiqua" w:cs="Calibri"/>
        </w:rPr>
        <w:t xml:space="preserve"> The executive cannot unmake or disapply law, even if </w:t>
      </w:r>
      <w:r w:rsidR="002C590F">
        <w:rPr>
          <w:rFonts w:ascii="Book Antiqua" w:hAnsi="Book Antiqua" w:cs="Calibri"/>
        </w:rPr>
        <w:t>a statute</w:t>
      </w:r>
      <w:r w:rsidRPr="006E162D">
        <w:rPr>
          <w:rFonts w:ascii="Book Antiqua" w:hAnsi="Book Antiqua" w:cs="Calibri"/>
        </w:rPr>
        <w:t xml:space="preserve"> </w:t>
      </w:r>
      <w:r w:rsidR="00F35F4F" w:rsidRPr="006E162D">
        <w:rPr>
          <w:rFonts w:ascii="Book Antiqua" w:hAnsi="Book Antiqua" w:cs="Calibri"/>
        </w:rPr>
        <w:t>authorizes</w:t>
      </w:r>
      <w:r w:rsidRPr="006E162D">
        <w:rPr>
          <w:rFonts w:ascii="Book Antiqua" w:hAnsi="Book Antiqua" w:cs="Calibri"/>
        </w:rPr>
        <w:t xml:space="preserve"> this.</w:t>
      </w:r>
      <w:bookmarkStart w:id="3" w:name="_Ref37318539"/>
      <w:r w:rsidR="00CB205D">
        <w:rPr>
          <w:rStyle w:val="FootnoteReference"/>
          <w:rFonts w:ascii="Book Antiqua" w:hAnsi="Book Antiqua" w:cs="Calibri"/>
        </w:rPr>
        <w:footnoteReference w:id="35"/>
      </w:r>
      <w:bookmarkEnd w:id="3"/>
      <w:r w:rsidRPr="006E162D">
        <w:rPr>
          <w:rFonts w:ascii="Book Antiqua" w:hAnsi="Book Antiqua" w:cs="Calibri"/>
        </w:rPr>
        <w:t xml:space="preserve"> There is a non-delegation </w:t>
      </w:r>
      <w:r w:rsidR="00D544AC" w:rsidRPr="006E162D">
        <w:rPr>
          <w:rFonts w:ascii="Book Antiqua" w:hAnsi="Book Antiqua" w:cs="Calibri"/>
        </w:rPr>
        <w:t xml:space="preserve">doctrine </w:t>
      </w:r>
      <w:r w:rsidRPr="006E162D">
        <w:rPr>
          <w:rFonts w:ascii="Book Antiqua" w:hAnsi="Book Antiqua" w:cs="Calibri"/>
        </w:rPr>
        <w:t>that requires that the power to make laws cannot be given to the executive</w:t>
      </w:r>
      <w:r w:rsidR="00D544AC" w:rsidRPr="006E162D">
        <w:rPr>
          <w:rFonts w:ascii="Book Antiqua" w:hAnsi="Book Antiqua" w:cs="Calibri"/>
        </w:rPr>
        <w:t>.</w:t>
      </w:r>
      <w:r w:rsidRPr="006E162D">
        <w:rPr>
          <w:rFonts w:ascii="Book Antiqua" w:hAnsi="Book Antiqua" w:cs="Calibri"/>
        </w:rPr>
        <w:t xml:space="preserve"> </w:t>
      </w:r>
      <w:r w:rsidR="00D544AC" w:rsidRPr="006E162D">
        <w:rPr>
          <w:rFonts w:ascii="Book Antiqua" w:hAnsi="Book Antiqua" w:cs="Calibri"/>
        </w:rPr>
        <w:t>I</w:t>
      </w:r>
      <w:r w:rsidRPr="006E162D">
        <w:rPr>
          <w:rFonts w:ascii="Book Antiqua" w:hAnsi="Book Antiqua" w:cs="Calibri"/>
        </w:rPr>
        <w:t>f a power to make rules</w:t>
      </w:r>
      <w:r w:rsidR="002C590F">
        <w:rPr>
          <w:rFonts w:ascii="Book Antiqua" w:hAnsi="Book Antiqua" w:cs="Calibri"/>
        </w:rPr>
        <w:t xml:space="preserve"> and</w:t>
      </w:r>
      <w:r w:rsidRPr="006E162D">
        <w:rPr>
          <w:rFonts w:ascii="Book Antiqua" w:hAnsi="Book Antiqua" w:cs="Calibri"/>
        </w:rPr>
        <w:t xml:space="preserve"> regulations is delegated, all matters of principle and policy must be included in the parent statute and only matters of detail can be left to executive discretion. Any laws that delegate beyond this are unconstitutional and invalid. In practice, however, the rule is not nearly so strict, and it would be more accurate to say that delegations must contain </w:t>
      </w:r>
      <w:r w:rsidRPr="006E162D">
        <w:rPr>
          <w:rFonts w:ascii="Book Antiqua" w:hAnsi="Book Antiqua" w:cs="Calibri"/>
          <w:i/>
          <w:iCs/>
        </w:rPr>
        <w:t>some</w:t>
      </w:r>
      <w:r w:rsidRPr="006E162D">
        <w:rPr>
          <w:rFonts w:ascii="Book Antiqua" w:hAnsi="Book Antiqua" w:cs="Calibri"/>
        </w:rPr>
        <w:t xml:space="preserve"> principles and policies to guide their use; only a complete absence will tend to result in invalidation.</w:t>
      </w:r>
      <w:r w:rsidR="00D544AC" w:rsidRPr="006E162D">
        <w:rPr>
          <w:rStyle w:val="FootnoteReference"/>
          <w:rFonts w:ascii="Book Antiqua" w:hAnsi="Book Antiqua" w:cs="Calibri"/>
        </w:rPr>
        <w:footnoteReference w:id="36"/>
      </w:r>
      <w:r w:rsidRPr="006E162D">
        <w:rPr>
          <w:rFonts w:ascii="Book Antiqua" w:hAnsi="Book Antiqua" w:cs="Calibri"/>
        </w:rPr>
        <w:t xml:space="preserve"> </w:t>
      </w:r>
    </w:p>
    <w:p w14:paraId="7426F46D" w14:textId="77777777" w:rsidR="00492FFE" w:rsidRPr="00692FEB" w:rsidRDefault="00492FFE" w:rsidP="0068431D">
      <w:pPr>
        <w:spacing w:line="360" w:lineRule="auto"/>
        <w:jc w:val="both"/>
        <w:rPr>
          <w:rFonts w:ascii="Book Antiqua" w:hAnsi="Book Antiqua" w:cs="Calibri"/>
        </w:rPr>
      </w:pPr>
    </w:p>
    <w:p w14:paraId="2214E330" w14:textId="34B229DE" w:rsidR="00931C3F" w:rsidRPr="009C65DA" w:rsidRDefault="00931C3F" w:rsidP="00376D7D">
      <w:pPr>
        <w:spacing w:line="360" w:lineRule="auto"/>
        <w:jc w:val="both"/>
        <w:outlineLvl w:val="1"/>
        <w:rPr>
          <w:rFonts w:ascii="Book Antiqua" w:hAnsi="Book Antiqua" w:cs="Calibri"/>
          <w:u w:val="single"/>
        </w:rPr>
      </w:pPr>
      <w:r w:rsidRPr="009C65DA">
        <w:rPr>
          <w:rFonts w:ascii="Book Antiqua" w:hAnsi="Book Antiqua" w:cs="Calibri"/>
          <w:u w:val="single"/>
        </w:rPr>
        <w:lastRenderedPageBreak/>
        <w:t>Minority government and attempt to bolster parliamentary power</w:t>
      </w:r>
    </w:p>
    <w:p w14:paraId="0E176194" w14:textId="1779E4D2" w:rsidR="00D1438C" w:rsidRPr="00061F78" w:rsidRDefault="00B57C0D">
      <w:pPr>
        <w:spacing w:line="360" w:lineRule="auto"/>
        <w:jc w:val="both"/>
        <w:rPr>
          <w:rFonts w:ascii="Book Antiqua" w:hAnsi="Book Antiqua" w:cs="Calibri"/>
        </w:rPr>
      </w:pPr>
      <w:r w:rsidRPr="003739B7">
        <w:rPr>
          <w:rFonts w:ascii="Book Antiqua" w:hAnsi="Book Antiqua" w:cs="Calibri"/>
        </w:rPr>
        <w:t>Minority governmen</w:t>
      </w:r>
      <w:r w:rsidRPr="002516B9">
        <w:rPr>
          <w:rFonts w:ascii="Book Antiqua" w:hAnsi="Book Antiqua" w:cs="Calibri"/>
        </w:rPr>
        <w:t xml:space="preserve">t </w:t>
      </w:r>
      <w:r w:rsidR="00AE7724" w:rsidRPr="00355202">
        <w:rPr>
          <w:rFonts w:ascii="Book Antiqua" w:hAnsi="Book Antiqua" w:cs="Calibri"/>
        </w:rPr>
        <w:t xml:space="preserve">can </w:t>
      </w:r>
      <w:r w:rsidR="00AE7724" w:rsidRPr="0025547E">
        <w:rPr>
          <w:rFonts w:ascii="Book Antiqua" w:hAnsi="Book Antiqua" w:cs="Calibri"/>
        </w:rPr>
        <w:t>act to disempower the executive</w:t>
      </w:r>
      <w:r w:rsidRPr="00061F78">
        <w:rPr>
          <w:rFonts w:ascii="Book Antiqua" w:hAnsi="Book Antiqua" w:cs="Calibri"/>
        </w:rPr>
        <w:t>;</w:t>
      </w:r>
      <w:r w:rsidR="00AE7724" w:rsidRPr="00061F78">
        <w:rPr>
          <w:rFonts w:ascii="Book Antiqua" w:hAnsi="Book Antiqua" w:cs="Calibri"/>
        </w:rPr>
        <w:t xml:space="preserve"> where a government enjoys a plurality but not a majority of parliamentary seats, a moderate measure of inter-branch competition can emerge</w:t>
      </w:r>
      <w:r w:rsidR="00AE7724" w:rsidRPr="00D47D06">
        <w:rPr>
          <w:rFonts w:ascii="Book Antiqua" w:hAnsi="Book Antiqua" w:cs="Calibri"/>
        </w:rPr>
        <w:t>.</w:t>
      </w:r>
      <w:r w:rsidR="00AE7724" w:rsidRPr="00692FEB">
        <w:rPr>
          <w:rStyle w:val="FootnoteReference"/>
          <w:rFonts w:ascii="Book Antiqua" w:hAnsi="Book Antiqua" w:cs="Calibri"/>
        </w:rPr>
        <w:footnoteReference w:id="37"/>
      </w:r>
      <w:r w:rsidR="00AE7724" w:rsidRPr="00692FEB">
        <w:rPr>
          <w:rFonts w:ascii="Book Antiqua" w:hAnsi="Book Antiqua" w:cs="Calibri"/>
        </w:rPr>
        <w:t xml:space="preserve"> An executive in a minority government </w:t>
      </w:r>
      <w:r w:rsidR="00D1438C" w:rsidRPr="009C65DA">
        <w:rPr>
          <w:rFonts w:ascii="Book Antiqua" w:hAnsi="Book Antiqua" w:cs="Calibri"/>
        </w:rPr>
        <w:t>may</w:t>
      </w:r>
      <w:r w:rsidR="00AE7724" w:rsidRPr="009C65DA">
        <w:rPr>
          <w:rFonts w:ascii="Book Antiqua" w:hAnsi="Book Antiqua" w:cs="Calibri"/>
        </w:rPr>
        <w:t xml:space="preserve"> be less abl</w:t>
      </w:r>
      <w:r w:rsidR="00AE7724" w:rsidRPr="003739B7">
        <w:rPr>
          <w:rFonts w:ascii="Book Antiqua" w:hAnsi="Book Antiqua" w:cs="Calibri"/>
        </w:rPr>
        <w:t xml:space="preserve">e to pass its full legislative and policy agenda, and parliament may command a greater </w:t>
      </w:r>
      <w:r w:rsidR="009C131E" w:rsidRPr="002516B9">
        <w:rPr>
          <w:rFonts w:ascii="Book Antiqua" w:hAnsi="Book Antiqua" w:cs="Calibri"/>
        </w:rPr>
        <w:t xml:space="preserve">influence, with government </w:t>
      </w:r>
      <w:r w:rsidR="00AE7724" w:rsidRPr="00355202">
        <w:rPr>
          <w:rFonts w:ascii="Book Antiqua" w:hAnsi="Book Antiqua" w:cs="Calibri"/>
        </w:rPr>
        <w:t xml:space="preserve">policy proposals </w:t>
      </w:r>
      <w:r w:rsidR="009C131E" w:rsidRPr="00061F78">
        <w:rPr>
          <w:rFonts w:ascii="Book Antiqua" w:hAnsi="Book Antiqua" w:cs="Calibri"/>
        </w:rPr>
        <w:t xml:space="preserve">more likely to be </w:t>
      </w:r>
      <w:r w:rsidR="00AE7724" w:rsidRPr="00061F78">
        <w:rPr>
          <w:rFonts w:ascii="Book Antiqua" w:hAnsi="Book Antiqua" w:cs="Calibri"/>
        </w:rPr>
        <w:t xml:space="preserve">defeated or modified. Minority governments are also </w:t>
      </w:r>
      <w:r w:rsidR="009C131E" w:rsidRPr="00061F78">
        <w:rPr>
          <w:rFonts w:ascii="Book Antiqua" w:hAnsi="Book Antiqua" w:cs="Calibri"/>
        </w:rPr>
        <w:t xml:space="preserve">obviously </w:t>
      </w:r>
      <w:r w:rsidR="00AE7724" w:rsidRPr="00061F78">
        <w:rPr>
          <w:rFonts w:ascii="Book Antiqua" w:hAnsi="Book Antiqua" w:cs="Calibri"/>
        </w:rPr>
        <w:t>more susceptible votes of no confidence.</w:t>
      </w:r>
      <w:r w:rsidR="00AE7724" w:rsidRPr="00692FEB">
        <w:rPr>
          <w:rFonts w:ascii="Book Antiqua" w:hAnsi="Book Antiqua" w:cs="Calibri"/>
        </w:rPr>
        <w:t xml:space="preserve"> </w:t>
      </w:r>
      <w:r w:rsidR="009C131E" w:rsidRPr="009C65DA">
        <w:rPr>
          <w:rFonts w:ascii="Book Antiqua" w:hAnsi="Book Antiqua" w:cs="Calibri"/>
        </w:rPr>
        <w:t>W</w:t>
      </w:r>
      <w:r w:rsidR="00AE7724" w:rsidRPr="009C65DA">
        <w:rPr>
          <w:rFonts w:ascii="Book Antiqua" w:hAnsi="Book Antiqua" w:cs="Calibri"/>
        </w:rPr>
        <w:t xml:space="preserve">here a minority government is maintained by a </w:t>
      </w:r>
      <w:r w:rsidR="009C131E" w:rsidRPr="003739B7">
        <w:rPr>
          <w:rFonts w:ascii="Book Antiqua" w:hAnsi="Book Antiqua" w:cs="Calibri"/>
        </w:rPr>
        <w:t>confidence and supply agre</w:t>
      </w:r>
      <w:r w:rsidR="009C131E" w:rsidRPr="002516B9">
        <w:rPr>
          <w:rFonts w:ascii="Book Antiqua" w:hAnsi="Book Antiqua" w:cs="Calibri"/>
        </w:rPr>
        <w:t xml:space="preserve">ement </w:t>
      </w:r>
      <w:r w:rsidR="00AE7724" w:rsidRPr="00355202">
        <w:rPr>
          <w:rFonts w:ascii="Book Antiqua" w:hAnsi="Book Antiqua" w:cs="Calibri"/>
        </w:rPr>
        <w:t xml:space="preserve">with </w:t>
      </w:r>
      <w:r w:rsidR="009C131E" w:rsidRPr="0025547E">
        <w:rPr>
          <w:rFonts w:ascii="Book Antiqua" w:hAnsi="Book Antiqua" w:cs="Calibri"/>
        </w:rPr>
        <w:t xml:space="preserve">an </w:t>
      </w:r>
      <w:r w:rsidR="00AE7724" w:rsidRPr="0025547E">
        <w:rPr>
          <w:rFonts w:ascii="Book Antiqua" w:hAnsi="Book Antiqua" w:cs="Calibri"/>
        </w:rPr>
        <w:t>opposition party</w:t>
      </w:r>
      <w:r w:rsidR="009C131E" w:rsidRPr="008E5F14">
        <w:rPr>
          <w:rFonts w:ascii="Book Antiqua" w:hAnsi="Book Antiqua" w:cs="Calibri"/>
        </w:rPr>
        <w:t>—</w:t>
      </w:r>
      <w:r w:rsidR="00AE7724" w:rsidRPr="008E5F14">
        <w:rPr>
          <w:rFonts w:ascii="Book Antiqua" w:hAnsi="Book Antiqua" w:cs="Calibri"/>
        </w:rPr>
        <w:t>as the Irish executive was from since 2016-2020</w:t>
      </w:r>
      <w:r w:rsidR="009C131E" w:rsidRPr="00061F78">
        <w:rPr>
          <w:rFonts w:ascii="Book Antiqua" w:hAnsi="Book Antiqua" w:cs="Calibri"/>
        </w:rPr>
        <w:t>—</w:t>
      </w:r>
      <w:r w:rsidR="00AE7724" w:rsidRPr="00061F78">
        <w:rPr>
          <w:rFonts w:ascii="Book Antiqua" w:hAnsi="Book Antiqua" w:cs="Calibri"/>
        </w:rPr>
        <w:t xml:space="preserve">its legislative efficacy </w:t>
      </w:r>
      <w:r w:rsidR="00386BE4" w:rsidRPr="00061F78">
        <w:rPr>
          <w:rFonts w:ascii="Book Antiqua" w:hAnsi="Book Antiqua" w:cs="Calibri"/>
        </w:rPr>
        <w:t>should be</w:t>
      </w:r>
      <w:r w:rsidR="00AE7724" w:rsidRPr="00061F78">
        <w:rPr>
          <w:rFonts w:ascii="Book Antiqua" w:hAnsi="Book Antiqua" w:cs="Calibri"/>
        </w:rPr>
        <w:t xml:space="preserve"> undoubtedly lessened.</w:t>
      </w:r>
      <w:r w:rsidR="00AE7724" w:rsidRPr="00692FEB">
        <w:rPr>
          <w:rStyle w:val="FootnoteReference"/>
          <w:rFonts w:ascii="Book Antiqua" w:hAnsi="Book Antiqua" w:cs="Calibri"/>
        </w:rPr>
        <w:footnoteReference w:id="38"/>
      </w:r>
      <w:r w:rsidR="00386BE4" w:rsidRPr="00692FEB">
        <w:rPr>
          <w:rFonts w:ascii="Book Antiqua" w:hAnsi="Book Antiqua" w:cs="Calibri"/>
        </w:rPr>
        <w:t xml:space="preserve"> Conversely, </w:t>
      </w:r>
      <w:r w:rsidR="00A23501" w:rsidRPr="009C65DA">
        <w:rPr>
          <w:rFonts w:ascii="Book Antiqua" w:hAnsi="Book Antiqua" w:cs="Calibri"/>
        </w:rPr>
        <w:t xml:space="preserve">we would expect </w:t>
      </w:r>
      <w:r w:rsidR="00386BE4" w:rsidRPr="003739B7">
        <w:rPr>
          <w:rFonts w:ascii="Book Antiqua" w:hAnsi="Book Antiqua" w:cs="Calibri"/>
        </w:rPr>
        <w:t xml:space="preserve">the </w:t>
      </w:r>
      <w:r w:rsidR="00386BE4" w:rsidRPr="002516B9">
        <w:rPr>
          <w:rFonts w:ascii="Book Antiqua" w:hAnsi="Book Antiqua" w:cs="Calibri"/>
        </w:rPr>
        <w:t>l</w:t>
      </w:r>
      <w:r w:rsidR="00386BE4" w:rsidRPr="00355202">
        <w:rPr>
          <w:rFonts w:ascii="Book Antiqua" w:hAnsi="Book Antiqua" w:cs="Calibri"/>
        </w:rPr>
        <w:t xml:space="preserve">egislative efficacy of parliamentary actors should increase. </w:t>
      </w:r>
    </w:p>
    <w:p w14:paraId="59D4232F" w14:textId="77777777" w:rsidR="00386BE4" w:rsidRPr="00061F78" w:rsidRDefault="00386BE4" w:rsidP="003128DD">
      <w:pPr>
        <w:spacing w:line="360" w:lineRule="auto"/>
        <w:jc w:val="both"/>
        <w:rPr>
          <w:rFonts w:ascii="Book Antiqua" w:hAnsi="Book Antiqua" w:cs="Calibri"/>
        </w:rPr>
      </w:pPr>
    </w:p>
    <w:p w14:paraId="176B0FB9" w14:textId="2E6772B2" w:rsidR="00AE7724" w:rsidRPr="009C65DA" w:rsidRDefault="00A23501" w:rsidP="003128DD">
      <w:pPr>
        <w:spacing w:line="360" w:lineRule="auto"/>
        <w:jc w:val="both"/>
        <w:rPr>
          <w:rFonts w:ascii="Book Antiqua" w:hAnsi="Book Antiqua" w:cs="Calibri"/>
          <w:color w:val="000000"/>
          <w:shd w:val="clear" w:color="auto" w:fill="FFFFFF"/>
        </w:rPr>
      </w:pPr>
      <w:r w:rsidRPr="00061F78">
        <w:rPr>
          <w:rFonts w:ascii="Book Antiqua" w:hAnsi="Book Antiqua" w:cs="Calibri"/>
          <w:color w:val="000000" w:themeColor="text1"/>
        </w:rPr>
        <w:t xml:space="preserve">In Ireland, </w:t>
      </w:r>
      <w:r w:rsidR="007B502C">
        <w:rPr>
          <w:rFonts w:ascii="Book Antiqua" w:hAnsi="Book Antiqua" w:cs="Calibri"/>
          <w:color w:val="000000" w:themeColor="text1"/>
        </w:rPr>
        <w:t xml:space="preserve">when </w:t>
      </w:r>
      <w:r w:rsidR="00D82207">
        <w:rPr>
          <w:rFonts w:ascii="Book Antiqua" w:hAnsi="Book Antiqua" w:cs="Calibri"/>
          <w:color w:val="000000" w:themeColor="text1"/>
        </w:rPr>
        <w:t xml:space="preserve">where the political system’s anticipation of and response </w:t>
      </w:r>
      <w:r w:rsidR="007B502C">
        <w:rPr>
          <w:rFonts w:ascii="Book Antiqua" w:hAnsi="Book Antiqua" w:cs="Calibri"/>
          <w:color w:val="000000" w:themeColor="text1"/>
        </w:rPr>
        <w:t xml:space="preserve">to a very severe financial crisis </w:t>
      </w:r>
      <w:r w:rsidR="00D82207">
        <w:rPr>
          <w:rFonts w:ascii="Book Antiqua" w:hAnsi="Book Antiqua" w:cs="Calibri"/>
          <w:color w:val="000000" w:themeColor="text1"/>
        </w:rPr>
        <w:t>were widely said to have be lacking</w:t>
      </w:r>
      <w:r w:rsidRPr="00061F78">
        <w:rPr>
          <w:rFonts w:ascii="Book Antiqua" w:hAnsi="Book Antiqua" w:cs="Calibri"/>
          <w:color w:val="000000" w:themeColor="text1"/>
        </w:rPr>
        <w:t>, new reform measures were promised to improve the powers of the Dáil in the legislative process.</w:t>
      </w:r>
      <w:r w:rsidR="00D82207">
        <w:rPr>
          <w:rFonts w:ascii="Book Antiqua" w:hAnsi="Book Antiqua" w:cs="Calibri"/>
          <w:color w:val="000000" w:themeColor="text1"/>
        </w:rPr>
        <w:t xml:space="preserve"> </w:t>
      </w:r>
      <w:r w:rsidR="007E5A2E">
        <w:rPr>
          <w:rFonts w:ascii="Book Antiqua" w:hAnsi="Book Antiqua" w:cs="Calibri"/>
          <w:color w:val="000000" w:themeColor="text1"/>
        </w:rPr>
        <w:t xml:space="preserve">Their introduction </w:t>
      </w:r>
      <w:r w:rsidRPr="00B07F84">
        <w:rPr>
          <w:rFonts w:ascii="Book Antiqua" w:hAnsi="Book Antiqua" w:cs="Calibri"/>
          <w:color w:val="000000" w:themeColor="text1"/>
        </w:rPr>
        <w:t xml:space="preserve">coincided with Ireland’s minority government </w:t>
      </w:r>
      <w:r w:rsidRPr="006474AD">
        <w:rPr>
          <w:rFonts w:ascii="Book Antiqua" w:hAnsi="Book Antiqua" w:cs="Calibri"/>
          <w:color w:val="000000" w:themeColor="text1"/>
        </w:rPr>
        <w:t>arrangement in 2016. These phenomena together were termed “new politics”</w:t>
      </w:r>
      <w:r w:rsidR="00AE7724" w:rsidRPr="008577C7">
        <w:rPr>
          <w:rFonts w:ascii="Book Antiqua" w:hAnsi="Book Antiqua" w:cs="Calibri"/>
          <w:color w:val="000000" w:themeColor="text1"/>
        </w:rPr>
        <w:t>.</w:t>
      </w:r>
      <w:r w:rsidRPr="00EE6019">
        <w:rPr>
          <w:rFonts w:ascii="Book Antiqua" w:hAnsi="Book Antiqua" w:cs="Calibri"/>
          <w:color w:val="000000" w:themeColor="text1"/>
        </w:rPr>
        <w:t xml:space="preserve"> </w:t>
      </w:r>
      <w:r w:rsidR="007E5A2E">
        <w:rPr>
          <w:rFonts w:ascii="Book Antiqua" w:hAnsi="Book Antiqua" w:cs="Calibri"/>
          <w:color w:val="000000" w:themeColor="text1"/>
        </w:rPr>
        <w:t xml:space="preserve">The </w:t>
      </w:r>
      <w:r w:rsidRPr="00EE6019">
        <w:rPr>
          <w:rFonts w:ascii="Book Antiqua" w:hAnsi="Book Antiqua" w:cs="Calibri"/>
          <w:color w:val="000000" w:themeColor="text1"/>
        </w:rPr>
        <w:t>reforms were genuinely significant</w:t>
      </w:r>
      <w:r w:rsidR="007E5A2E">
        <w:rPr>
          <w:rFonts w:ascii="Book Antiqua" w:hAnsi="Book Antiqua" w:cs="Calibri"/>
          <w:color w:val="000000" w:themeColor="text1"/>
        </w:rPr>
        <w:t>:</w:t>
      </w:r>
      <w:r w:rsidR="00AE7724" w:rsidRPr="00692FEB">
        <w:rPr>
          <w:rFonts w:ascii="Book Antiqua" w:hAnsi="Book Antiqua" w:cs="Calibri"/>
          <w:color w:val="000000" w:themeColor="text1"/>
        </w:rPr>
        <w:t xml:space="preserve"> </w:t>
      </w:r>
      <w:r w:rsidRPr="009C65DA">
        <w:rPr>
          <w:rFonts w:ascii="Book Antiqua" w:hAnsi="Book Antiqua" w:cs="Calibri"/>
          <w:color w:val="000000" w:themeColor="text1"/>
        </w:rPr>
        <w:t xml:space="preserve">First, </w:t>
      </w:r>
      <w:r w:rsidR="00AE7724" w:rsidRPr="009C65DA">
        <w:rPr>
          <w:rFonts w:ascii="Book Antiqua" w:hAnsi="Book Antiqua" w:cs="Calibri"/>
          <w:color w:val="000000" w:themeColor="text1"/>
        </w:rPr>
        <w:t xml:space="preserve">the </w:t>
      </w:r>
      <w:proofErr w:type="spellStart"/>
      <w:r w:rsidR="00AE7724" w:rsidRPr="003739B7">
        <w:rPr>
          <w:rFonts w:ascii="Book Antiqua" w:hAnsi="Book Antiqua" w:cs="Calibri"/>
          <w:color w:val="000000" w:themeColor="text1"/>
        </w:rPr>
        <w:t>Ceann</w:t>
      </w:r>
      <w:proofErr w:type="spellEnd"/>
      <w:r w:rsidR="00AE7724" w:rsidRPr="003739B7">
        <w:rPr>
          <w:rFonts w:ascii="Book Antiqua" w:hAnsi="Book Antiqua" w:cs="Calibri"/>
          <w:color w:val="000000" w:themeColor="text1"/>
        </w:rPr>
        <w:t xml:space="preserve"> </w:t>
      </w:r>
      <w:proofErr w:type="spellStart"/>
      <w:r w:rsidR="00AE7724" w:rsidRPr="003739B7">
        <w:rPr>
          <w:rFonts w:ascii="Book Antiqua" w:hAnsi="Book Antiqua" w:cs="Calibri"/>
          <w:color w:val="000000" w:themeColor="text1"/>
        </w:rPr>
        <w:t>Comhairle</w:t>
      </w:r>
      <w:proofErr w:type="spellEnd"/>
      <w:r w:rsidRPr="002516B9">
        <w:rPr>
          <w:rFonts w:ascii="Book Antiqua" w:hAnsi="Book Antiqua" w:cs="Calibri"/>
          <w:color w:val="000000" w:themeColor="text1"/>
        </w:rPr>
        <w:t xml:space="preserve"> (speaker of the Dáil) is now elected by secret b</w:t>
      </w:r>
      <w:r w:rsidRPr="008E5F14">
        <w:rPr>
          <w:rFonts w:ascii="Book Antiqua" w:hAnsi="Book Antiqua" w:cs="Calibri"/>
          <w:color w:val="000000" w:themeColor="text1"/>
        </w:rPr>
        <w:t>a</w:t>
      </w:r>
      <w:r w:rsidRPr="00061F78">
        <w:rPr>
          <w:rFonts w:ascii="Book Antiqua" w:hAnsi="Book Antiqua" w:cs="Calibri"/>
          <w:color w:val="000000" w:themeColor="text1"/>
        </w:rPr>
        <w:t xml:space="preserve">llot of TDs rather than by open vote of the House. The outcome of the 2016 election meant that the first </w:t>
      </w:r>
      <w:proofErr w:type="spellStart"/>
      <w:r w:rsidRPr="00061F78">
        <w:rPr>
          <w:rFonts w:ascii="Book Antiqua" w:hAnsi="Book Antiqua" w:cs="Calibri"/>
          <w:color w:val="000000" w:themeColor="text1"/>
        </w:rPr>
        <w:t>Ceann</w:t>
      </w:r>
      <w:proofErr w:type="spellEnd"/>
      <w:r w:rsidRPr="00061F78">
        <w:rPr>
          <w:rFonts w:ascii="Book Antiqua" w:hAnsi="Book Antiqua" w:cs="Calibri"/>
          <w:color w:val="000000" w:themeColor="text1"/>
        </w:rPr>
        <w:t xml:space="preserve"> </w:t>
      </w:r>
      <w:proofErr w:type="spellStart"/>
      <w:r w:rsidRPr="00061F78">
        <w:rPr>
          <w:rFonts w:ascii="Book Antiqua" w:hAnsi="Book Antiqua" w:cs="Calibri"/>
          <w:color w:val="000000" w:themeColor="text1"/>
        </w:rPr>
        <w:t>Comhairle</w:t>
      </w:r>
      <w:proofErr w:type="spellEnd"/>
      <w:r w:rsidRPr="00061F78">
        <w:rPr>
          <w:rFonts w:ascii="Book Antiqua" w:hAnsi="Book Antiqua" w:cs="Calibri"/>
          <w:color w:val="000000" w:themeColor="text1"/>
        </w:rPr>
        <w:t xml:space="preserve"> elected in this way was chosen from an opposition party.</w:t>
      </w:r>
      <w:r w:rsidR="00AE7724" w:rsidRPr="00692FEB">
        <w:rPr>
          <w:rFonts w:ascii="Book Antiqua" w:hAnsi="Book Antiqua" w:cs="Calibri"/>
          <w:color w:val="000000" w:themeColor="text1"/>
        </w:rPr>
        <w:t xml:space="preserve"> </w:t>
      </w:r>
      <w:r w:rsidRPr="009C65DA">
        <w:rPr>
          <w:rFonts w:ascii="Book Antiqua" w:hAnsi="Book Antiqua" w:cs="Calibri"/>
          <w:color w:val="000000" w:themeColor="text1"/>
        </w:rPr>
        <w:t>Secondly,</w:t>
      </w:r>
      <w:r w:rsidR="00AE7724" w:rsidRPr="009C65DA">
        <w:rPr>
          <w:rFonts w:ascii="Book Antiqua" w:hAnsi="Book Antiqua" w:cs="Calibri"/>
          <w:color w:val="000000" w:themeColor="text1"/>
        </w:rPr>
        <w:t xml:space="preserve"> a standing Busin</w:t>
      </w:r>
      <w:r w:rsidR="00AE7724" w:rsidRPr="003739B7">
        <w:rPr>
          <w:rFonts w:ascii="Book Antiqua" w:hAnsi="Book Antiqua" w:cs="Calibri"/>
          <w:color w:val="000000" w:themeColor="text1"/>
        </w:rPr>
        <w:t xml:space="preserve">ess Committee </w:t>
      </w:r>
      <w:r w:rsidRPr="002516B9">
        <w:rPr>
          <w:rFonts w:ascii="Book Antiqua" w:hAnsi="Book Antiqua" w:cs="Calibri"/>
          <w:color w:val="000000" w:themeColor="text1"/>
        </w:rPr>
        <w:t xml:space="preserve">was created </w:t>
      </w:r>
      <w:r w:rsidR="00AE7724" w:rsidRPr="00355202">
        <w:rPr>
          <w:rFonts w:ascii="Book Antiqua" w:hAnsi="Book Antiqua" w:cs="Calibri"/>
          <w:color w:val="000000" w:themeColor="text1"/>
        </w:rPr>
        <w:t>to allocate parliamentar</w:t>
      </w:r>
      <w:r w:rsidR="00AE7724" w:rsidRPr="0025547E">
        <w:rPr>
          <w:rFonts w:ascii="Book Antiqua" w:hAnsi="Book Antiqua" w:cs="Calibri"/>
          <w:color w:val="000000" w:themeColor="text1"/>
        </w:rPr>
        <w:t>y time on a more proportionate basis between government and op</w:t>
      </w:r>
      <w:r w:rsidR="00AE7724" w:rsidRPr="00061F78">
        <w:rPr>
          <w:rFonts w:ascii="Book Antiqua" w:hAnsi="Book Antiqua" w:cs="Calibri"/>
          <w:color w:val="000000" w:themeColor="text1"/>
        </w:rPr>
        <w:t xml:space="preserve">position </w:t>
      </w:r>
      <w:proofErr w:type="gramStart"/>
      <w:r w:rsidR="00AE7724" w:rsidRPr="00061F78">
        <w:rPr>
          <w:rFonts w:ascii="Book Antiqua" w:hAnsi="Book Antiqua" w:cs="Calibri"/>
          <w:color w:val="000000" w:themeColor="text1"/>
        </w:rPr>
        <w:t>parties</w:t>
      </w:r>
      <w:r w:rsidRPr="00061F78">
        <w:rPr>
          <w:rFonts w:ascii="Book Antiqua" w:hAnsi="Book Antiqua" w:cs="Calibri"/>
          <w:color w:val="000000" w:themeColor="text1"/>
        </w:rPr>
        <w:t>,</w:t>
      </w:r>
      <w:r w:rsidRPr="00692FEB">
        <w:rPr>
          <w:rFonts w:ascii="Book Antiqua" w:hAnsi="Book Antiqua" w:cs="Calibri"/>
          <w:color w:val="000000" w:themeColor="text1"/>
        </w:rPr>
        <w:t xml:space="preserve"> and</w:t>
      </w:r>
      <w:proofErr w:type="gramEnd"/>
      <w:r w:rsidRPr="00692FEB">
        <w:rPr>
          <w:rFonts w:ascii="Book Antiqua" w:hAnsi="Book Antiqua" w:cs="Calibri"/>
          <w:color w:val="000000" w:themeColor="text1"/>
        </w:rPr>
        <w:t xml:space="preserve"> reduce to some degree the government’s control over the agenda of the House.</w:t>
      </w:r>
      <w:r w:rsidR="00AE7724" w:rsidRPr="009C65DA">
        <w:rPr>
          <w:rFonts w:ascii="Book Antiqua" w:hAnsi="Book Antiqua" w:cs="Calibri"/>
          <w:color w:val="000000" w:themeColor="text1"/>
        </w:rPr>
        <w:t xml:space="preserve"> </w:t>
      </w:r>
      <w:r w:rsidRPr="009C65DA">
        <w:rPr>
          <w:rFonts w:ascii="Book Antiqua" w:hAnsi="Book Antiqua" w:cs="Calibri"/>
          <w:color w:val="000000" w:themeColor="text1"/>
        </w:rPr>
        <w:t xml:space="preserve">Thirdly, a </w:t>
      </w:r>
      <w:r w:rsidR="00AE7724" w:rsidRPr="003739B7">
        <w:rPr>
          <w:rFonts w:ascii="Book Antiqua" w:hAnsi="Book Antiqua" w:cs="Calibri"/>
          <w:color w:val="000000" w:themeColor="text1"/>
        </w:rPr>
        <w:t xml:space="preserve">D’Hondt system </w:t>
      </w:r>
      <w:r w:rsidRPr="002516B9">
        <w:rPr>
          <w:rFonts w:ascii="Book Antiqua" w:hAnsi="Book Antiqua" w:cs="Calibri"/>
          <w:color w:val="000000" w:themeColor="text1"/>
        </w:rPr>
        <w:t xml:space="preserve">was introduced to </w:t>
      </w:r>
      <w:r w:rsidR="00AE7724" w:rsidRPr="00355202">
        <w:rPr>
          <w:rFonts w:ascii="Book Antiqua" w:hAnsi="Book Antiqua" w:cs="Calibri"/>
          <w:color w:val="000000" w:themeColor="text1"/>
        </w:rPr>
        <w:t>allocate chairs</w:t>
      </w:r>
      <w:r w:rsidR="007E5A2E">
        <w:rPr>
          <w:rFonts w:ascii="Book Antiqua" w:hAnsi="Book Antiqua" w:cs="Calibri"/>
          <w:color w:val="000000" w:themeColor="text1"/>
        </w:rPr>
        <w:t>/</w:t>
      </w:r>
      <w:r w:rsidR="00AE7724" w:rsidRPr="00355202">
        <w:rPr>
          <w:rFonts w:ascii="Book Antiqua" w:hAnsi="Book Antiqua" w:cs="Calibri"/>
          <w:color w:val="000000" w:themeColor="text1"/>
        </w:rPr>
        <w:t xml:space="preserve">membership of </w:t>
      </w:r>
      <w:r w:rsidRPr="0025547E">
        <w:rPr>
          <w:rFonts w:ascii="Book Antiqua" w:hAnsi="Book Antiqua" w:cs="Calibri"/>
          <w:color w:val="000000" w:themeColor="text1"/>
        </w:rPr>
        <w:t xml:space="preserve">Dáil </w:t>
      </w:r>
      <w:r w:rsidR="00AE7724" w:rsidRPr="00061F78">
        <w:rPr>
          <w:rFonts w:ascii="Book Antiqua" w:hAnsi="Book Antiqua" w:cs="Calibri"/>
          <w:color w:val="000000" w:themeColor="text1"/>
        </w:rPr>
        <w:t>committees.</w:t>
      </w:r>
      <w:r w:rsidRPr="00061F78">
        <w:rPr>
          <w:rFonts w:ascii="Book Antiqua" w:hAnsi="Book Antiqua" w:cs="Calibri"/>
          <w:color w:val="000000" w:themeColor="text1"/>
        </w:rPr>
        <w:t xml:space="preserve"> All these measures</w:t>
      </w:r>
      <w:r w:rsidR="007E5A2E">
        <w:rPr>
          <w:rFonts w:ascii="Book Antiqua" w:hAnsi="Book Antiqua" w:cs="Calibri"/>
          <w:color w:val="000000" w:themeColor="text1"/>
        </w:rPr>
        <w:t xml:space="preserve"> potentially</w:t>
      </w:r>
      <w:r w:rsidRPr="00061F78">
        <w:rPr>
          <w:rFonts w:ascii="Book Antiqua" w:hAnsi="Book Antiqua" w:cs="Calibri"/>
          <w:color w:val="000000" w:themeColor="text1"/>
        </w:rPr>
        <w:t xml:space="preserve"> increase</w:t>
      </w:r>
      <w:r w:rsidR="007E5A2E">
        <w:rPr>
          <w:rFonts w:ascii="Book Antiqua" w:hAnsi="Book Antiqua" w:cs="Calibri"/>
          <w:color w:val="000000" w:themeColor="text1"/>
        </w:rPr>
        <w:t>d</w:t>
      </w:r>
      <w:r w:rsidRPr="00061F78">
        <w:rPr>
          <w:rFonts w:ascii="Book Antiqua" w:hAnsi="Book Antiqua" w:cs="Calibri"/>
          <w:color w:val="000000" w:themeColor="text1"/>
        </w:rPr>
        <w:t xml:space="preserve"> the power of the </w:t>
      </w:r>
      <w:proofErr w:type="gramStart"/>
      <w:r w:rsidRPr="00061F78">
        <w:rPr>
          <w:rFonts w:ascii="Book Antiqua" w:hAnsi="Book Antiqua" w:cs="Calibri"/>
          <w:color w:val="000000" w:themeColor="text1"/>
        </w:rPr>
        <w:t>parliament, and</w:t>
      </w:r>
      <w:proofErr w:type="gramEnd"/>
      <w:r w:rsidRPr="00061F78">
        <w:rPr>
          <w:rFonts w:ascii="Book Antiqua" w:hAnsi="Book Antiqua" w:cs="Calibri"/>
          <w:color w:val="000000" w:themeColor="text1"/>
        </w:rPr>
        <w:t xml:space="preserve"> </w:t>
      </w:r>
      <w:r w:rsidR="00AE7724" w:rsidRPr="00061F78">
        <w:rPr>
          <w:rFonts w:ascii="Book Antiqua" w:hAnsi="Book Antiqua" w:cs="Calibri"/>
          <w:color w:val="000000" w:themeColor="text1"/>
        </w:rPr>
        <w:t>dilute</w:t>
      </w:r>
      <w:r w:rsidR="007E5A2E">
        <w:rPr>
          <w:rFonts w:ascii="Book Antiqua" w:hAnsi="Book Antiqua" w:cs="Calibri"/>
          <w:color w:val="000000" w:themeColor="text1"/>
        </w:rPr>
        <w:t>d</w:t>
      </w:r>
      <w:r w:rsidR="00AE7724" w:rsidRPr="00061F78">
        <w:rPr>
          <w:rFonts w:ascii="Book Antiqua" w:hAnsi="Book Antiqua" w:cs="Calibri"/>
          <w:color w:val="000000" w:themeColor="text1"/>
        </w:rPr>
        <w:t xml:space="preserve"> the ability of the government to dominate </w:t>
      </w:r>
      <w:r w:rsidR="007E5A2E">
        <w:rPr>
          <w:rFonts w:ascii="Book Antiqua" w:hAnsi="Book Antiqua" w:cs="Calibri"/>
          <w:color w:val="000000" w:themeColor="text1"/>
        </w:rPr>
        <w:t>it</w:t>
      </w:r>
      <w:r w:rsidRPr="00061F78">
        <w:rPr>
          <w:rFonts w:ascii="Book Antiqua" w:hAnsi="Book Antiqua" w:cs="Calibri"/>
          <w:color w:val="000000" w:themeColor="text1"/>
        </w:rPr>
        <w:t>.</w:t>
      </w:r>
      <w:r w:rsidR="00AE7724" w:rsidRPr="00692FEB">
        <w:rPr>
          <w:rStyle w:val="FootnoteReference"/>
          <w:rFonts w:ascii="Book Antiqua" w:hAnsi="Book Antiqua" w:cs="Calibri"/>
          <w:color w:val="000000" w:themeColor="text1"/>
        </w:rPr>
        <w:footnoteReference w:id="39"/>
      </w:r>
      <w:r w:rsidR="00752EA9" w:rsidRPr="00692FEB">
        <w:rPr>
          <w:rFonts w:ascii="Book Antiqua" w:hAnsi="Book Antiqua" w:cs="Calibri"/>
          <w:color w:val="000000" w:themeColor="text1"/>
        </w:rPr>
        <w:t xml:space="preserve"> </w:t>
      </w:r>
    </w:p>
    <w:p w14:paraId="0146DB0B" w14:textId="77777777" w:rsidR="00AE7724" w:rsidRPr="009C65DA" w:rsidRDefault="00AE7724" w:rsidP="003128DD">
      <w:pPr>
        <w:spacing w:line="360" w:lineRule="auto"/>
        <w:jc w:val="both"/>
        <w:rPr>
          <w:rFonts w:ascii="Book Antiqua" w:hAnsi="Book Antiqua" w:cs="Calibri"/>
          <w:color w:val="000000" w:themeColor="text1"/>
        </w:rPr>
      </w:pPr>
    </w:p>
    <w:p w14:paraId="489D3C5F" w14:textId="445A1F47" w:rsidR="00386BE4" w:rsidRPr="009C65DA" w:rsidRDefault="00AE7724" w:rsidP="00E202E6">
      <w:pPr>
        <w:spacing w:line="360" w:lineRule="auto"/>
        <w:jc w:val="both"/>
        <w:rPr>
          <w:rFonts w:ascii="Book Antiqua" w:hAnsi="Book Antiqua" w:cs="Calibri"/>
        </w:rPr>
      </w:pPr>
      <w:r w:rsidRPr="003739B7">
        <w:rPr>
          <w:rFonts w:ascii="Book Antiqua" w:hAnsi="Book Antiqua" w:cs="Calibri"/>
          <w:color w:val="000000" w:themeColor="text1"/>
        </w:rPr>
        <w:lastRenderedPageBreak/>
        <w:t xml:space="preserve">Allied to this has been </w:t>
      </w:r>
      <w:r w:rsidRPr="002516B9">
        <w:rPr>
          <w:rFonts w:ascii="Book Antiqua" w:hAnsi="Book Antiqua" w:cs="Calibri"/>
        </w:rPr>
        <w:t xml:space="preserve">introduction of </w:t>
      </w:r>
      <w:r w:rsidR="00A23501" w:rsidRPr="00355202">
        <w:rPr>
          <w:rFonts w:ascii="Book Antiqua" w:hAnsi="Book Antiqua" w:cs="Calibri"/>
        </w:rPr>
        <w:t xml:space="preserve">a significant change to the legislative processes: </w:t>
      </w:r>
      <w:r w:rsidR="00B233AE">
        <w:rPr>
          <w:rFonts w:ascii="Book Antiqua" w:hAnsi="Book Antiqua" w:cs="Calibri"/>
        </w:rPr>
        <w:t>P</w:t>
      </w:r>
      <w:r w:rsidRPr="00061F78">
        <w:rPr>
          <w:rFonts w:ascii="Book Antiqua" w:hAnsi="Book Antiqua" w:cs="Calibri"/>
        </w:rPr>
        <w:t>re-</w:t>
      </w:r>
      <w:r w:rsidR="00B233AE">
        <w:rPr>
          <w:rFonts w:ascii="Book Antiqua" w:hAnsi="Book Antiqua" w:cs="Calibri"/>
        </w:rPr>
        <w:t>L</w:t>
      </w:r>
      <w:r w:rsidRPr="00061F78">
        <w:rPr>
          <w:rFonts w:ascii="Book Antiqua" w:hAnsi="Book Antiqua" w:cs="Calibri"/>
        </w:rPr>
        <w:t xml:space="preserve">egislative </w:t>
      </w:r>
      <w:r w:rsidR="00B233AE">
        <w:rPr>
          <w:rFonts w:ascii="Book Antiqua" w:hAnsi="Book Antiqua" w:cs="Calibri"/>
        </w:rPr>
        <w:t>S</w:t>
      </w:r>
      <w:r w:rsidRPr="00061F78">
        <w:rPr>
          <w:rFonts w:ascii="Book Antiqua" w:hAnsi="Book Antiqua" w:cs="Calibri"/>
        </w:rPr>
        <w:t>crutiny.</w:t>
      </w:r>
      <w:r w:rsidRPr="00692FEB">
        <w:rPr>
          <w:rFonts w:ascii="Book Antiqua" w:hAnsi="Book Antiqua" w:cs="Calibri"/>
        </w:rPr>
        <w:t xml:space="preserve"> This process involves parliament, through its committees, </w:t>
      </w:r>
      <w:r w:rsidRPr="00A0000B">
        <w:rPr>
          <w:rFonts w:ascii="Book Antiqua" w:hAnsi="Book Antiqua" w:cs="Calibri"/>
        </w:rPr>
        <w:t>scrutinising</w:t>
      </w:r>
      <w:r w:rsidR="0030494F" w:rsidRPr="00B233AE">
        <w:rPr>
          <w:rFonts w:ascii="Book Antiqua" w:hAnsi="Book Antiqua" w:cs="Calibri"/>
        </w:rPr>
        <w:t xml:space="preserve"> </w:t>
      </w:r>
      <w:r w:rsidR="0030494F" w:rsidRPr="006E162D">
        <w:rPr>
          <w:rFonts w:ascii="Book Antiqua" w:hAnsi="Book Antiqua" w:cs="Calibri"/>
        </w:rPr>
        <w:t>almost all</w:t>
      </w:r>
      <w:r w:rsidRPr="00A0000B">
        <w:rPr>
          <w:rFonts w:ascii="Book Antiqua" w:hAnsi="Book Antiqua" w:cs="Calibri"/>
        </w:rPr>
        <w:t xml:space="preserve"> </w:t>
      </w:r>
      <w:r w:rsidR="0030494F" w:rsidRPr="00B233AE">
        <w:rPr>
          <w:rFonts w:ascii="Book Antiqua" w:hAnsi="Book Antiqua" w:cs="Calibri"/>
        </w:rPr>
        <w:t>proposed</w:t>
      </w:r>
      <w:r w:rsidRPr="00355202">
        <w:rPr>
          <w:rFonts w:ascii="Book Antiqua" w:hAnsi="Book Antiqua" w:cs="Calibri"/>
        </w:rPr>
        <w:t xml:space="preserve"> </w:t>
      </w:r>
      <w:r w:rsidR="0030494F" w:rsidRPr="0025547E">
        <w:rPr>
          <w:rFonts w:ascii="Book Antiqua" w:hAnsi="Book Antiqua" w:cs="Calibri"/>
        </w:rPr>
        <w:t xml:space="preserve">government </w:t>
      </w:r>
      <w:r w:rsidRPr="0025547E">
        <w:rPr>
          <w:rFonts w:ascii="Book Antiqua" w:hAnsi="Book Antiqua" w:cs="Calibri"/>
        </w:rPr>
        <w:t xml:space="preserve">legislation </w:t>
      </w:r>
      <w:r w:rsidR="0030494F" w:rsidRPr="008E5F14">
        <w:rPr>
          <w:rFonts w:ascii="Book Antiqua" w:hAnsi="Book Antiqua" w:cs="Calibri"/>
        </w:rPr>
        <w:t xml:space="preserve">before policy formation is </w:t>
      </w:r>
      <w:r w:rsidR="0030494F" w:rsidRPr="00061F78">
        <w:rPr>
          <w:rFonts w:ascii="Book Antiqua" w:hAnsi="Book Antiqua" w:cs="Calibri"/>
        </w:rPr>
        <w:t>complete</w:t>
      </w:r>
      <w:r w:rsidR="00B233AE">
        <w:rPr>
          <w:rFonts w:ascii="Book Antiqua" w:hAnsi="Book Antiqua" w:cs="Calibri"/>
        </w:rPr>
        <w:t xml:space="preserve"> and when change to policy is realistically possible</w:t>
      </w:r>
      <w:r w:rsidR="0030494F" w:rsidRPr="00061F78">
        <w:rPr>
          <w:rFonts w:ascii="Book Antiqua" w:hAnsi="Book Antiqua" w:cs="Calibri"/>
        </w:rPr>
        <w:t>.</w:t>
      </w:r>
      <w:r w:rsidRPr="00692FEB">
        <w:rPr>
          <w:rFonts w:ascii="Book Antiqua" w:hAnsi="Book Antiqua" w:cs="Calibri"/>
        </w:rPr>
        <w:t xml:space="preserve"> </w:t>
      </w:r>
      <w:r w:rsidR="0030494F" w:rsidRPr="009C65DA">
        <w:rPr>
          <w:rFonts w:ascii="Book Antiqua" w:hAnsi="Book Antiqua" w:cs="Calibri"/>
        </w:rPr>
        <w:t>It is clear that this new stage of the legislative process has empowered parliame</w:t>
      </w:r>
      <w:r w:rsidR="0030494F" w:rsidRPr="003739B7">
        <w:rPr>
          <w:rFonts w:ascii="Book Antiqua" w:hAnsi="Book Antiqua" w:cs="Calibri"/>
        </w:rPr>
        <w:t>nt.</w:t>
      </w:r>
      <w:r w:rsidR="00B233AE" w:rsidRPr="00692FEB">
        <w:rPr>
          <w:rStyle w:val="FootnoteReference"/>
          <w:rFonts w:ascii="Book Antiqua" w:hAnsi="Book Antiqua" w:cs="Calibri"/>
        </w:rPr>
        <w:footnoteReference w:id="40"/>
      </w:r>
      <w:r w:rsidR="00224F1B" w:rsidRPr="00692FEB">
        <w:rPr>
          <w:rFonts w:ascii="Book Antiqua" w:hAnsi="Book Antiqua" w:cs="Calibri"/>
        </w:rPr>
        <w:t xml:space="preserve"> </w:t>
      </w:r>
      <w:r w:rsidR="009C4962">
        <w:rPr>
          <w:rFonts w:ascii="Book Antiqua" w:hAnsi="Book Antiqua" w:cs="Calibri"/>
        </w:rPr>
        <w:t>Accompanying t</w:t>
      </w:r>
      <w:r w:rsidR="00A50D35" w:rsidRPr="00727629">
        <w:rPr>
          <w:rFonts w:ascii="Book Antiqua" w:hAnsi="Book Antiqua" w:cs="Calibri"/>
        </w:rPr>
        <w:t xml:space="preserve">hese innovations </w:t>
      </w:r>
      <w:r w:rsidR="009C4962">
        <w:rPr>
          <w:rFonts w:ascii="Book Antiqua" w:hAnsi="Book Antiqua" w:cs="Calibri"/>
        </w:rPr>
        <w:t xml:space="preserve">has been </w:t>
      </w:r>
      <w:r w:rsidR="00A50D35" w:rsidRPr="006474AD">
        <w:rPr>
          <w:rFonts w:ascii="Book Antiqua" w:hAnsi="Book Antiqua" w:cs="Calibri"/>
        </w:rPr>
        <w:t xml:space="preserve">greater provision for legal and research support to </w:t>
      </w:r>
      <w:r w:rsidR="00224F1B" w:rsidRPr="008577C7">
        <w:rPr>
          <w:rFonts w:ascii="Book Antiqua" w:hAnsi="Book Antiqua" w:cs="Calibri"/>
        </w:rPr>
        <w:t>non-Government members of the</w:t>
      </w:r>
      <w:r w:rsidR="00A50D35" w:rsidRPr="00EE6019">
        <w:rPr>
          <w:rFonts w:ascii="Book Antiqua" w:hAnsi="Book Antiqua" w:cs="Calibri"/>
        </w:rPr>
        <w:t xml:space="preserve"> Oireachtas</w:t>
      </w:r>
      <w:r w:rsidR="00480710" w:rsidRPr="007E12ED">
        <w:rPr>
          <w:rFonts w:ascii="Book Antiqua" w:hAnsi="Book Antiqua" w:cs="Calibri"/>
        </w:rPr>
        <w:t xml:space="preserve">, to assist in </w:t>
      </w:r>
      <w:r w:rsidR="00EE1F08" w:rsidRPr="0052151C">
        <w:rPr>
          <w:rFonts w:ascii="Book Antiqua" w:hAnsi="Book Antiqua" w:cs="Calibri"/>
        </w:rPr>
        <w:t>policy formation and legislative drafting</w:t>
      </w:r>
      <w:r w:rsidR="00A50D35" w:rsidRPr="00CD38C2">
        <w:rPr>
          <w:rFonts w:ascii="Book Antiqua" w:hAnsi="Book Antiqua" w:cs="Calibri"/>
        </w:rPr>
        <w:t>.</w:t>
      </w:r>
      <w:r w:rsidR="00CA0CC4" w:rsidRPr="00692FEB">
        <w:rPr>
          <w:rStyle w:val="FootnoteReference"/>
          <w:rFonts w:ascii="Book Antiqua" w:hAnsi="Book Antiqua" w:cs="Calibri"/>
        </w:rPr>
        <w:footnoteReference w:id="41"/>
      </w:r>
      <w:r w:rsidR="00A50D35" w:rsidRPr="00692FEB">
        <w:rPr>
          <w:rFonts w:ascii="Book Antiqua" w:hAnsi="Book Antiqua" w:cs="Calibri"/>
        </w:rPr>
        <w:t xml:space="preserve"> Cumulatively, t</w:t>
      </w:r>
      <w:r w:rsidRPr="009C65DA">
        <w:rPr>
          <w:rFonts w:ascii="Book Antiqua" w:hAnsi="Book Antiqua" w:cs="Calibri"/>
        </w:rPr>
        <w:t>hese institutional innovations are amongst the most far-ranging in the his</w:t>
      </w:r>
      <w:r w:rsidRPr="003739B7">
        <w:rPr>
          <w:rFonts w:ascii="Book Antiqua" w:hAnsi="Book Antiqua" w:cs="Calibri"/>
        </w:rPr>
        <w:t>tory of the state.</w:t>
      </w:r>
      <w:r w:rsidRPr="00692FEB">
        <w:rPr>
          <w:rStyle w:val="FootnoteReference"/>
          <w:rFonts w:ascii="Book Antiqua" w:hAnsi="Book Antiqua" w:cs="Calibri"/>
        </w:rPr>
        <w:footnoteReference w:id="42"/>
      </w:r>
      <w:r w:rsidR="00E202E6" w:rsidRPr="00692FEB">
        <w:rPr>
          <w:rFonts w:ascii="Book Antiqua" w:hAnsi="Book Antiqua" w:cs="Calibri"/>
        </w:rPr>
        <w:t xml:space="preserve"> </w:t>
      </w:r>
      <w:r w:rsidR="00E9761B" w:rsidRPr="009C65DA">
        <w:rPr>
          <w:rFonts w:ascii="Book Antiqua" w:hAnsi="Book Antiqua" w:cs="Calibri"/>
        </w:rPr>
        <w:t xml:space="preserve">Combined with minority government and confidence and supply, these developments </w:t>
      </w:r>
      <w:r w:rsidR="00282DD5" w:rsidRPr="009C65DA">
        <w:rPr>
          <w:rFonts w:ascii="Book Antiqua" w:hAnsi="Book Antiqua" w:cs="Calibri"/>
        </w:rPr>
        <w:t xml:space="preserve">led </w:t>
      </w:r>
      <w:r w:rsidR="00E9761B" w:rsidRPr="003739B7">
        <w:rPr>
          <w:rFonts w:ascii="Book Antiqua" w:hAnsi="Book Antiqua" w:cs="Calibri"/>
        </w:rPr>
        <w:t xml:space="preserve">some </w:t>
      </w:r>
      <w:r w:rsidR="00282DD5" w:rsidRPr="002516B9">
        <w:rPr>
          <w:rFonts w:ascii="Book Antiqua" w:hAnsi="Book Antiqua" w:cs="Calibri"/>
        </w:rPr>
        <w:t>commentators t</w:t>
      </w:r>
      <w:r w:rsidR="009542F9" w:rsidRPr="00355202">
        <w:rPr>
          <w:rFonts w:ascii="Book Antiqua" w:hAnsi="Book Antiqua" w:cs="Calibri"/>
        </w:rPr>
        <w:t xml:space="preserve">o hope it </w:t>
      </w:r>
      <w:r w:rsidR="001A086C" w:rsidRPr="00061F78">
        <w:rPr>
          <w:rFonts w:ascii="Book Antiqua" w:hAnsi="Book Antiqua" w:cs="Calibri"/>
        </w:rPr>
        <w:t>could</w:t>
      </w:r>
      <w:r w:rsidR="009542F9" w:rsidRPr="00061F78">
        <w:rPr>
          <w:rFonts w:ascii="Book Antiqua" w:hAnsi="Book Antiqua" w:cs="Calibri"/>
        </w:rPr>
        <w:t xml:space="preserve"> re-invigorate the Oireachtas</w:t>
      </w:r>
      <w:r w:rsidR="00E9761B" w:rsidRPr="00061F78">
        <w:rPr>
          <w:rFonts w:ascii="Book Antiqua" w:hAnsi="Book Antiqua" w:cs="Calibri"/>
        </w:rPr>
        <w:t>,</w:t>
      </w:r>
      <w:r w:rsidR="00E9761B" w:rsidRPr="00727629">
        <w:rPr>
          <w:rFonts w:ascii="Book Antiqua" w:hAnsi="Book Antiqua" w:cs="Calibri"/>
        </w:rPr>
        <w:t xml:space="preserve"> moving towards </w:t>
      </w:r>
      <w:r w:rsidR="00386BE4" w:rsidRPr="003F681B">
        <w:rPr>
          <w:rFonts w:ascii="Book Antiqua" w:hAnsi="Book Antiqua" w:cs="Calibri"/>
          <w:color w:val="000000" w:themeColor="text1"/>
          <w:shd w:val="clear" w:color="auto" w:fill="FFFFFF"/>
        </w:rPr>
        <w:t>something approximating the tripartit</w:t>
      </w:r>
      <w:r w:rsidR="00386BE4" w:rsidRPr="006474AD">
        <w:rPr>
          <w:rFonts w:ascii="Book Antiqua" w:hAnsi="Book Antiqua" w:cs="Calibri"/>
          <w:color w:val="000000" w:themeColor="text1"/>
          <w:shd w:val="clear" w:color="auto" w:fill="FFFFFF"/>
        </w:rPr>
        <w:t xml:space="preserve">e separation of powers </w:t>
      </w:r>
      <w:r w:rsidR="00E9761B" w:rsidRPr="006474AD">
        <w:rPr>
          <w:rFonts w:ascii="Book Antiqua" w:hAnsi="Book Antiqua" w:cs="Calibri"/>
          <w:color w:val="000000" w:themeColor="text1"/>
          <w:shd w:val="clear" w:color="auto" w:fill="FFFFFF"/>
        </w:rPr>
        <w:t>envisioned by the Constitution</w:t>
      </w:r>
      <w:r w:rsidR="00386BE4" w:rsidRPr="008577C7">
        <w:rPr>
          <w:rFonts w:ascii="Book Antiqua" w:hAnsi="Book Antiqua" w:cs="Calibri"/>
          <w:color w:val="000000" w:themeColor="text1"/>
          <w:shd w:val="clear" w:color="auto" w:fill="FFFFFF"/>
        </w:rPr>
        <w:t xml:space="preserve">. As Doyle </w:t>
      </w:r>
      <w:r w:rsidR="002540D2">
        <w:rPr>
          <w:rFonts w:ascii="Book Antiqua" w:hAnsi="Book Antiqua" w:cs="Calibri"/>
          <w:color w:val="000000" w:themeColor="text1"/>
          <w:shd w:val="clear" w:color="auto" w:fill="FFFFFF"/>
        </w:rPr>
        <w:t>noted</w:t>
      </w:r>
      <w:r w:rsidR="00386BE4" w:rsidRPr="007E12ED">
        <w:rPr>
          <w:rFonts w:ascii="Book Antiqua" w:hAnsi="Book Antiqua" w:cs="Calibri"/>
          <w:color w:val="000000" w:themeColor="text1"/>
          <w:shd w:val="clear" w:color="auto" w:fill="FFFFFF"/>
        </w:rPr>
        <w:t>, t</w:t>
      </w:r>
      <w:r w:rsidR="00386BE4" w:rsidRPr="0052151C">
        <w:rPr>
          <w:rFonts w:ascii="Book Antiqua" w:hAnsi="Book Antiqua" w:cs="Calibri"/>
          <w:color w:val="000000" w:themeColor="text1"/>
          <w:shd w:val="clear" w:color="auto" w:fill="FFFFFF"/>
        </w:rPr>
        <w:t xml:space="preserve">he executive </w:t>
      </w:r>
      <w:r w:rsidR="00A54E48">
        <w:rPr>
          <w:rFonts w:ascii="Book Antiqua" w:hAnsi="Book Antiqua" w:cs="Calibri"/>
          <w:color w:val="000000" w:themeColor="text1"/>
          <w:shd w:val="clear" w:color="auto" w:fill="FFFFFF"/>
        </w:rPr>
        <w:t xml:space="preserve">might be </w:t>
      </w:r>
      <w:r w:rsidR="00386BE4" w:rsidRPr="0052151C">
        <w:rPr>
          <w:rFonts w:ascii="Book Antiqua" w:hAnsi="Book Antiqua" w:cs="Calibri"/>
          <w:color w:val="000000" w:themeColor="text1"/>
          <w:shd w:val="clear" w:color="auto" w:fill="FFFFFF"/>
        </w:rPr>
        <w:t xml:space="preserve">forced to faithfully execute </w:t>
      </w:r>
      <w:r w:rsidR="00386BE4" w:rsidRPr="00CD38C2">
        <w:rPr>
          <w:rFonts w:ascii="Book Antiqua" w:hAnsi="Book Antiqua" w:cs="Calibri"/>
          <w:color w:val="000000" w:themeColor="text1"/>
          <w:shd w:val="clear" w:color="auto" w:fill="FFFFFF"/>
        </w:rPr>
        <w:t>legislation with which it profoundly disagree</w:t>
      </w:r>
      <w:r w:rsidR="00E70BF0">
        <w:rPr>
          <w:rFonts w:ascii="Book Antiqua" w:hAnsi="Book Antiqua" w:cs="Calibri"/>
          <w:color w:val="000000" w:themeColor="text1"/>
          <w:shd w:val="clear" w:color="auto" w:fill="FFFFFF"/>
        </w:rPr>
        <w:t>d</w:t>
      </w:r>
      <w:r w:rsidR="00386BE4" w:rsidRPr="00CD38C2">
        <w:rPr>
          <w:rFonts w:ascii="Book Antiqua" w:hAnsi="Book Antiqua" w:cs="Calibri"/>
          <w:color w:val="000000" w:themeColor="text1"/>
          <w:shd w:val="clear" w:color="auto" w:fill="FFFFFF"/>
        </w:rPr>
        <w:t>.</w:t>
      </w:r>
      <w:r w:rsidR="00386BE4" w:rsidRPr="00692FEB">
        <w:rPr>
          <w:rStyle w:val="FootnoteReference"/>
          <w:rFonts w:ascii="Book Antiqua" w:hAnsi="Book Antiqua" w:cs="Calibri"/>
          <w:color w:val="000000" w:themeColor="text1"/>
          <w:shd w:val="clear" w:color="auto" w:fill="FFFFFF"/>
        </w:rPr>
        <w:footnoteReference w:id="43"/>
      </w:r>
      <w:r w:rsidR="00386BE4" w:rsidRPr="00692FEB">
        <w:rPr>
          <w:rFonts w:ascii="Book Antiqua" w:hAnsi="Book Antiqua" w:cs="Calibri"/>
          <w:color w:val="000000" w:themeColor="text1"/>
          <w:shd w:val="clear" w:color="auto" w:fill="FFFFFF"/>
        </w:rPr>
        <w:t xml:space="preserve"> </w:t>
      </w:r>
    </w:p>
    <w:p w14:paraId="4EA1B071" w14:textId="77777777" w:rsidR="00FE381B" w:rsidRPr="006E162D" w:rsidRDefault="00FE381B" w:rsidP="00507042">
      <w:pPr>
        <w:pStyle w:val="p1"/>
        <w:spacing w:line="360" w:lineRule="auto"/>
        <w:jc w:val="both"/>
        <w:rPr>
          <w:rFonts w:ascii="Book Antiqua" w:hAnsi="Book Antiqua" w:cs="Calibri"/>
          <w:sz w:val="24"/>
          <w:szCs w:val="24"/>
          <w:lang w:val="en-IE"/>
        </w:rPr>
      </w:pPr>
    </w:p>
    <w:p w14:paraId="553D04E0" w14:textId="7AB24643" w:rsidR="0003051F" w:rsidRPr="006E162D" w:rsidRDefault="00B45404" w:rsidP="0068431D">
      <w:pPr>
        <w:spacing w:line="360" w:lineRule="auto"/>
        <w:jc w:val="both"/>
        <w:rPr>
          <w:rFonts w:ascii="Book Antiqua" w:hAnsi="Book Antiqua" w:cs="Calibri"/>
        </w:rPr>
      </w:pPr>
      <w:r w:rsidRPr="00692FEB">
        <w:rPr>
          <w:rFonts w:ascii="Book Antiqua" w:hAnsi="Book Antiqua" w:cs="Calibri"/>
        </w:rPr>
        <w:t>However, the potential of new politics has not come to fruition</w:t>
      </w:r>
      <w:r w:rsidR="00862EAC" w:rsidRPr="009C65DA">
        <w:rPr>
          <w:rFonts w:ascii="Book Antiqua" w:hAnsi="Book Antiqua" w:cs="Calibri"/>
        </w:rPr>
        <w:t xml:space="preserve">; </w:t>
      </w:r>
      <w:r w:rsidR="00807FA5">
        <w:rPr>
          <w:rFonts w:ascii="Book Antiqua" w:hAnsi="Book Antiqua" w:cs="Calibri"/>
        </w:rPr>
        <w:t>it</w:t>
      </w:r>
      <w:r w:rsidR="00862EAC" w:rsidRPr="009C65DA">
        <w:rPr>
          <w:rFonts w:ascii="Book Antiqua" w:hAnsi="Book Antiqua" w:cs="Calibri"/>
        </w:rPr>
        <w:t xml:space="preserve"> has been regularly been declare</w:t>
      </w:r>
      <w:r w:rsidR="00164194" w:rsidRPr="009C65DA">
        <w:rPr>
          <w:rFonts w:ascii="Book Antiqua" w:hAnsi="Book Antiqua" w:cs="Calibri"/>
        </w:rPr>
        <w:t>d a</w:t>
      </w:r>
      <w:r w:rsidR="00862EAC" w:rsidRPr="003739B7">
        <w:rPr>
          <w:rFonts w:ascii="Book Antiqua" w:hAnsi="Book Antiqua" w:cs="Calibri"/>
        </w:rPr>
        <w:t xml:space="preserve"> fail</w:t>
      </w:r>
      <w:r w:rsidR="00164194" w:rsidRPr="002516B9">
        <w:rPr>
          <w:rFonts w:ascii="Book Antiqua" w:hAnsi="Book Antiqua" w:cs="Calibri"/>
        </w:rPr>
        <w:t>ure</w:t>
      </w:r>
      <w:r w:rsidRPr="00355202">
        <w:rPr>
          <w:rFonts w:ascii="Book Antiqua" w:hAnsi="Book Antiqua" w:cs="Calibri"/>
        </w:rPr>
        <w:t>.</w:t>
      </w:r>
      <w:r w:rsidR="00862EAC" w:rsidRPr="00692FEB">
        <w:rPr>
          <w:rStyle w:val="FootnoteReference"/>
          <w:rFonts w:ascii="Book Antiqua" w:hAnsi="Book Antiqua" w:cs="Calibri"/>
        </w:rPr>
        <w:footnoteReference w:id="44"/>
      </w:r>
      <w:r w:rsidR="002F52E8" w:rsidRPr="00692FEB">
        <w:rPr>
          <w:rFonts w:ascii="Book Antiqua" w:hAnsi="Book Antiqua" w:cs="Calibri"/>
        </w:rPr>
        <w:t xml:space="preserve"> </w:t>
      </w:r>
      <w:r w:rsidR="00807FA5">
        <w:rPr>
          <w:rFonts w:ascii="Book Antiqua" w:hAnsi="Book Antiqua" w:cs="Calibri"/>
        </w:rPr>
        <w:t>P</w:t>
      </w:r>
      <w:r w:rsidR="002F52E8" w:rsidRPr="00692FEB">
        <w:rPr>
          <w:rFonts w:ascii="Book Antiqua" w:hAnsi="Book Antiqua" w:cs="Calibri"/>
        </w:rPr>
        <w:t xml:space="preserve">re-legislative scrutiny has had some impact in nudging and tweaking </w:t>
      </w:r>
      <w:r w:rsidR="002F52E8" w:rsidRPr="009C65DA">
        <w:rPr>
          <w:rFonts w:ascii="Book Antiqua" w:hAnsi="Book Antiqua" w:cs="Calibri"/>
        </w:rPr>
        <w:t xml:space="preserve">policy formation, </w:t>
      </w:r>
      <w:r w:rsidR="00164194" w:rsidRPr="009C65DA">
        <w:rPr>
          <w:rFonts w:ascii="Book Antiqua" w:hAnsi="Book Antiqua" w:cs="Calibri"/>
        </w:rPr>
        <w:t xml:space="preserve">and </w:t>
      </w:r>
      <w:r w:rsidR="00807FA5">
        <w:rPr>
          <w:rFonts w:ascii="Book Antiqua" w:hAnsi="Book Antiqua" w:cs="Calibri"/>
        </w:rPr>
        <w:t xml:space="preserve">there </w:t>
      </w:r>
      <w:r w:rsidR="00164194" w:rsidRPr="009C65DA">
        <w:rPr>
          <w:rFonts w:ascii="Book Antiqua" w:hAnsi="Book Antiqua" w:cs="Calibri"/>
        </w:rPr>
        <w:t xml:space="preserve">has been a slowdown of the legislative process with less </w:t>
      </w:r>
      <w:r w:rsidR="00740146" w:rsidRPr="009C65DA">
        <w:rPr>
          <w:rFonts w:ascii="Book Antiqua" w:hAnsi="Book Antiqua" w:cs="Calibri"/>
        </w:rPr>
        <w:t xml:space="preserve">government </w:t>
      </w:r>
      <w:r w:rsidR="00164194" w:rsidRPr="003739B7">
        <w:rPr>
          <w:rFonts w:ascii="Book Antiqua" w:hAnsi="Book Antiqua" w:cs="Calibri"/>
        </w:rPr>
        <w:t>legislation being passed</w:t>
      </w:r>
      <w:r w:rsidR="00807FA5">
        <w:rPr>
          <w:rFonts w:ascii="Book Antiqua" w:hAnsi="Book Antiqua" w:cs="Calibri"/>
        </w:rPr>
        <w:t>.</w:t>
      </w:r>
      <w:r w:rsidR="00164194" w:rsidRPr="003739B7">
        <w:rPr>
          <w:rFonts w:ascii="Book Antiqua" w:hAnsi="Book Antiqua" w:cs="Calibri"/>
        </w:rPr>
        <w:t xml:space="preserve"> </w:t>
      </w:r>
      <w:r w:rsidR="00807FA5">
        <w:rPr>
          <w:rFonts w:ascii="Book Antiqua" w:hAnsi="Book Antiqua" w:cs="Calibri"/>
        </w:rPr>
        <w:t xml:space="preserve">But </w:t>
      </w:r>
      <w:r w:rsidR="002F52E8" w:rsidRPr="002516B9">
        <w:rPr>
          <w:rFonts w:ascii="Book Antiqua" w:hAnsi="Book Antiqua" w:cs="Calibri"/>
        </w:rPr>
        <w:t xml:space="preserve">the </w:t>
      </w:r>
      <w:r w:rsidR="007223C0" w:rsidRPr="00355202">
        <w:rPr>
          <w:rFonts w:ascii="Book Antiqua" w:hAnsi="Book Antiqua" w:cs="Calibri"/>
        </w:rPr>
        <w:t>balance of power has not</w:t>
      </w:r>
      <w:r w:rsidR="00EE5D39" w:rsidRPr="0025547E">
        <w:rPr>
          <w:rFonts w:ascii="Book Antiqua" w:hAnsi="Book Antiqua" w:cs="Calibri"/>
        </w:rPr>
        <w:t xml:space="preserve"> fundamentally shifted</w:t>
      </w:r>
      <w:r w:rsidR="00164194" w:rsidRPr="008E5F14">
        <w:rPr>
          <w:rFonts w:ascii="Book Antiqua" w:hAnsi="Book Antiqua" w:cs="Calibri"/>
        </w:rPr>
        <w:t xml:space="preserve"> between the executive and legislature</w:t>
      </w:r>
      <w:r w:rsidR="00EE5D39" w:rsidRPr="00061F78">
        <w:rPr>
          <w:rFonts w:ascii="Book Antiqua" w:hAnsi="Book Antiqua" w:cs="Calibri"/>
        </w:rPr>
        <w:t xml:space="preserve">. </w:t>
      </w:r>
      <w:r w:rsidR="004361E7" w:rsidRPr="00061F78">
        <w:rPr>
          <w:rFonts w:ascii="Book Antiqua" w:hAnsi="Book Antiqua" w:cs="Calibri"/>
        </w:rPr>
        <w:t>In fact,</w:t>
      </w:r>
      <w:r w:rsidR="002127A8" w:rsidRPr="00061F78">
        <w:rPr>
          <w:rFonts w:ascii="Book Antiqua" w:hAnsi="Book Antiqua" w:cs="Calibri"/>
        </w:rPr>
        <w:t xml:space="preserve"> the executive has retained remarkable control of the legislative process in spite of </w:t>
      </w:r>
      <w:r w:rsidR="002127A8" w:rsidRPr="006E162D">
        <w:rPr>
          <w:rFonts w:ascii="Book Antiqua" w:hAnsi="Book Antiqua" w:cs="Calibri"/>
        </w:rPr>
        <w:t>not</w:t>
      </w:r>
      <w:r w:rsidR="002127A8" w:rsidRPr="00061F78">
        <w:rPr>
          <w:rFonts w:ascii="Book Antiqua" w:hAnsi="Book Antiqua" w:cs="Calibri"/>
        </w:rPr>
        <w:t xml:space="preserve"> having a legislative majority.</w:t>
      </w:r>
      <w:r w:rsidR="00164194" w:rsidRPr="00061F78">
        <w:rPr>
          <w:rFonts w:ascii="Book Antiqua" w:hAnsi="Book Antiqua" w:cs="Calibri"/>
        </w:rPr>
        <w:t xml:space="preserve"> </w:t>
      </w:r>
      <w:r w:rsidR="00807FA5">
        <w:rPr>
          <w:rFonts w:ascii="Book Antiqua" w:hAnsi="Book Antiqua" w:cs="Calibri"/>
        </w:rPr>
        <w:t>I</w:t>
      </w:r>
      <w:r w:rsidR="00164194" w:rsidRPr="00061F78">
        <w:rPr>
          <w:rFonts w:ascii="Book Antiqua" w:hAnsi="Book Antiqua" w:cs="Calibri"/>
        </w:rPr>
        <w:t>t has been able to stop</w:t>
      </w:r>
      <w:r w:rsidR="00EE5D39" w:rsidRPr="00B07F84">
        <w:rPr>
          <w:rFonts w:ascii="Book Antiqua" w:hAnsi="Book Antiqua" w:cs="Calibri"/>
        </w:rPr>
        <w:t xml:space="preserve"> </w:t>
      </w:r>
      <w:r w:rsidR="00164194" w:rsidRPr="00727629">
        <w:rPr>
          <w:rFonts w:ascii="Book Antiqua" w:hAnsi="Book Antiqua" w:cs="Calibri"/>
        </w:rPr>
        <w:t>private members legislation</w:t>
      </w:r>
      <w:r w:rsidR="00740146" w:rsidRPr="003F681B">
        <w:rPr>
          <w:rFonts w:ascii="Book Antiqua" w:hAnsi="Book Antiqua" w:cs="Calibri"/>
        </w:rPr>
        <w:t>,</w:t>
      </w:r>
      <w:r w:rsidR="00740146" w:rsidRPr="006474AD">
        <w:rPr>
          <w:rFonts w:ascii="Book Antiqua" w:hAnsi="Book Antiqua" w:cs="Calibri"/>
        </w:rPr>
        <w:t xml:space="preserve"> blocking </w:t>
      </w:r>
      <w:r w:rsidR="00807FA5">
        <w:rPr>
          <w:rFonts w:ascii="Book Antiqua" w:hAnsi="Book Antiqua" w:cs="Calibri"/>
        </w:rPr>
        <w:t xml:space="preserve">almost all </w:t>
      </w:r>
      <w:r w:rsidR="00740146" w:rsidRPr="006474AD">
        <w:rPr>
          <w:rFonts w:ascii="Book Antiqua" w:hAnsi="Book Antiqua" w:cs="Calibri"/>
        </w:rPr>
        <w:t>legislative initiatives from outside government. If there has been a reduction in executive dominance, th</w:t>
      </w:r>
      <w:r w:rsidR="00740146" w:rsidRPr="008577C7">
        <w:rPr>
          <w:rFonts w:ascii="Book Antiqua" w:hAnsi="Book Antiqua" w:cs="Calibri"/>
        </w:rPr>
        <w:t>en, it has been negative: the executive can be more easily frustrated in its agenda, but others cannot pursue a legislative age</w:t>
      </w:r>
      <w:r w:rsidR="00740146" w:rsidRPr="00CD38C2">
        <w:rPr>
          <w:rFonts w:ascii="Book Antiqua" w:hAnsi="Book Antiqua" w:cs="Calibri"/>
        </w:rPr>
        <w:t>nda in the teeth of government resistance.</w:t>
      </w:r>
      <w:r w:rsidR="003B04F7">
        <w:rPr>
          <w:rFonts w:ascii="Book Antiqua" w:hAnsi="Book Antiqua" w:cs="Calibri"/>
        </w:rPr>
        <w:t xml:space="preserve"> </w:t>
      </w:r>
      <w:r w:rsidR="00EA0EA7">
        <w:rPr>
          <w:rFonts w:ascii="Book Antiqua" w:hAnsi="Book Antiqua" w:cs="Calibri"/>
        </w:rPr>
        <w:t xml:space="preserve">This </w:t>
      </w:r>
      <w:r w:rsidR="00901B03" w:rsidRPr="00EA0EA7">
        <w:rPr>
          <w:rFonts w:ascii="Book Antiqua" w:hAnsi="Book Antiqua" w:cs="Calibri"/>
        </w:rPr>
        <w:t>highligh</w:t>
      </w:r>
      <w:r w:rsidR="00EA0EA7">
        <w:rPr>
          <w:rFonts w:ascii="Book Antiqua" w:hAnsi="Book Antiqua" w:cs="Calibri"/>
        </w:rPr>
        <w:t>ts</w:t>
      </w:r>
      <w:r w:rsidR="00901B03" w:rsidRPr="00EA0EA7">
        <w:rPr>
          <w:rFonts w:ascii="Book Antiqua" w:hAnsi="Book Antiqua" w:cs="Calibri"/>
        </w:rPr>
        <w:t xml:space="preserve"> that </w:t>
      </w:r>
      <w:r w:rsidR="002127A8" w:rsidRPr="00EA0EA7">
        <w:rPr>
          <w:rFonts w:ascii="Book Antiqua" w:hAnsi="Book Antiqua" w:cs="Calibri"/>
        </w:rPr>
        <w:t xml:space="preserve">executive dominance is a more resilient </w:t>
      </w:r>
      <w:r w:rsidR="00EE5D39" w:rsidRPr="00EA0EA7">
        <w:rPr>
          <w:rFonts w:ascii="Book Antiqua" w:hAnsi="Book Antiqua" w:cs="Calibri"/>
        </w:rPr>
        <w:t xml:space="preserve">and fundamental </w:t>
      </w:r>
      <w:r w:rsidR="002127A8" w:rsidRPr="00EA0EA7">
        <w:rPr>
          <w:rFonts w:ascii="Book Antiqua" w:hAnsi="Book Antiqua" w:cs="Calibri"/>
        </w:rPr>
        <w:t>phenomenon than might have been previously thought.</w:t>
      </w:r>
      <w:r w:rsidR="00EE5D39" w:rsidRPr="00EA0EA7">
        <w:rPr>
          <w:rFonts w:ascii="Book Antiqua" w:hAnsi="Book Antiqua" w:cs="Calibri"/>
        </w:rPr>
        <w:t xml:space="preserve"> It </w:t>
      </w:r>
      <w:r w:rsidR="00EA0EA7">
        <w:rPr>
          <w:rFonts w:ascii="Book Antiqua" w:hAnsi="Book Antiqua" w:cs="Calibri"/>
        </w:rPr>
        <w:t>may</w:t>
      </w:r>
      <w:r w:rsidR="00EA0EA7" w:rsidRPr="00EA0EA7">
        <w:rPr>
          <w:rFonts w:ascii="Book Antiqua" w:hAnsi="Book Antiqua" w:cs="Calibri"/>
        </w:rPr>
        <w:t xml:space="preserve"> </w:t>
      </w:r>
      <w:r w:rsidR="00EE5D39" w:rsidRPr="00EA0EA7">
        <w:rPr>
          <w:rFonts w:ascii="Book Antiqua" w:hAnsi="Book Antiqua" w:cs="Calibri"/>
        </w:rPr>
        <w:t>not be a contingent political reality</w:t>
      </w:r>
      <w:r w:rsidR="00EA0EA7">
        <w:rPr>
          <w:rFonts w:ascii="Book Antiqua" w:hAnsi="Book Antiqua" w:cs="Calibri"/>
        </w:rPr>
        <w:t>, but</w:t>
      </w:r>
      <w:r w:rsidR="00EE5D39" w:rsidRPr="00EA0EA7">
        <w:rPr>
          <w:rFonts w:ascii="Book Antiqua" w:hAnsi="Book Antiqua" w:cs="Calibri"/>
        </w:rPr>
        <w:t xml:space="preserve"> a</w:t>
      </w:r>
      <w:r w:rsidR="008C5E26">
        <w:rPr>
          <w:rFonts w:ascii="Book Antiqua" w:hAnsi="Book Antiqua" w:cs="Calibri"/>
        </w:rPr>
        <w:t xml:space="preserve"> constituent</w:t>
      </w:r>
      <w:r w:rsidR="00EE5D39" w:rsidRPr="00EA0EA7">
        <w:rPr>
          <w:rFonts w:ascii="Book Antiqua" w:hAnsi="Book Antiqua" w:cs="Calibri"/>
        </w:rPr>
        <w:t xml:space="preserve"> feature of </w:t>
      </w:r>
      <w:r w:rsidR="00862EAC" w:rsidRPr="00EA0EA7">
        <w:rPr>
          <w:rFonts w:ascii="Book Antiqua" w:hAnsi="Book Antiqua" w:cs="Calibri"/>
        </w:rPr>
        <w:t xml:space="preserve">the Irish parliamentary </w:t>
      </w:r>
      <w:r w:rsidR="00EE5D39" w:rsidRPr="00EA0EA7">
        <w:rPr>
          <w:rFonts w:ascii="Book Antiqua" w:hAnsi="Book Antiqua" w:cs="Calibri"/>
        </w:rPr>
        <w:lastRenderedPageBreak/>
        <w:t>system.</w:t>
      </w:r>
      <w:r w:rsidR="00F01F9F" w:rsidRPr="00EA0EA7">
        <w:rPr>
          <w:rFonts w:ascii="Book Antiqua" w:hAnsi="Book Antiqua" w:cs="Calibri"/>
        </w:rPr>
        <w:t xml:space="preserve"> </w:t>
      </w:r>
      <w:r w:rsidR="00740146" w:rsidRPr="00EA0EA7">
        <w:rPr>
          <w:rFonts w:ascii="Book Antiqua" w:hAnsi="Book Antiqua" w:cs="Calibri"/>
        </w:rPr>
        <w:t xml:space="preserve"> </w:t>
      </w:r>
      <w:r w:rsidR="00F01F9F" w:rsidRPr="00EA0EA7">
        <w:rPr>
          <w:rFonts w:ascii="Book Antiqua" w:hAnsi="Book Antiqua" w:cs="Calibri"/>
        </w:rPr>
        <w:t xml:space="preserve">In the next </w:t>
      </w:r>
      <w:r w:rsidR="00901B03" w:rsidRPr="00EA0EA7">
        <w:rPr>
          <w:rFonts w:ascii="Book Antiqua" w:hAnsi="Book Antiqua" w:cs="Calibri"/>
        </w:rPr>
        <w:t>two</w:t>
      </w:r>
      <w:r w:rsidR="00F01F9F" w:rsidRPr="00EA0EA7">
        <w:rPr>
          <w:rFonts w:ascii="Book Antiqua" w:hAnsi="Book Antiqua" w:cs="Calibri"/>
        </w:rPr>
        <w:t xml:space="preserve"> parts we </w:t>
      </w:r>
      <w:r w:rsidR="00F01F9F" w:rsidRPr="006E162D">
        <w:rPr>
          <w:rFonts w:ascii="Book Antiqua" w:hAnsi="Book Antiqua" w:cs="Calibri"/>
        </w:rPr>
        <w:t xml:space="preserve">outline how the executive </w:t>
      </w:r>
      <w:r w:rsidR="003C1A84" w:rsidRPr="006E162D">
        <w:rPr>
          <w:rFonts w:ascii="Book Antiqua" w:hAnsi="Book Antiqua" w:cs="Calibri"/>
        </w:rPr>
        <w:t>managed to maintain its dominance</w:t>
      </w:r>
      <w:r w:rsidR="002127A8" w:rsidRPr="006E162D">
        <w:rPr>
          <w:rFonts w:ascii="Book Antiqua" w:hAnsi="Book Antiqua" w:cs="Calibri"/>
        </w:rPr>
        <w:t>.</w:t>
      </w:r>
    </w:p>
    <w:p w14:paraId="785256FA" w14:textId="2F41C628" w:rsidR="003128DD" w:rsidRDefault="003128DD" w:rsidP="0068431D">
      <w:pPr>
        <w:spacing w:line="360" w:lineRule="auto"/>
        <w:jc w:val="both"/>
        <w:rPr>
          <w:rFonts w:ascii="Book Antiqua" w:hAnsi="Book Antiqua" w:cs="Calibri"/>
        </w:rPr>
      </w:pPr>
    </w:p>
    <w:p w14:paraId="52E60582" w14:textId="77777777" w:rsidR="00CC5E34" w:rsidRPr="006E162D" w:rsidRDefault="00CC5E34" w:rsidP="0068431D">
      <w:pPr>
        <w:spacing w:line="360" w:lineRule="auto"/>
        <w:jc w:val="both"/>
        <w:rPr>
          <w:rFonts w:ascii="Book Antiqua" w:hAnsi="Book Antiqua" w:cs="Calibri"/>
        </w:rPr>
      </w:pPr>
    </w:p>
    <w:p w14:paraId="6DD51466" w14:textId="6ECBC6BA" w:rsidR="007114FE" w:rsidRPr="006E162D" w:rsidRDefault="0003051F" w:rsidP="007114FE">
      <w:pPr>
        <w:spacing w:line="360" w:lineRule="auto"/>
        <w:jc w:val="both"/>
        <w:outlineLvl w:val="0"/>
        <w:rPr>
          <w:rFonts w:ascii="Book Antiqua" w:hAnsi="Book Antiqua" w:cs="Calibri"/>
          <w:b/>
          <w:bCs/>
        </w:rPr>
      </w:pPr>
      <w:r w:rsidRPr="006E162D">
        <w:rPr>
          <w:rFonts w:ascii="Book Antiqua" w:hAnsi="Book Antiqua" w:cs="Calibri"/>
          <w:b/>
          <w:bCs/>
        </w:rPr>
        <w:t>II: Money messages and Private members’ bills</w:t>
      </w:r>
    </w:p>
    <w:p w14:paraId="46ACAF20" w14:textId="56047E3A" w:rsidR="0003051F" w:rsidRPr="006E162D" w:rsidRDefault="007114FE" w:rsidP="007114FE">
      <w:pPr>
        <w:spacing w:line="360" w:lineRule="auto"/>
        <w:jc w:val="both"/>
        <w:outlineLvl w:val="1"/>
        <w:rPr>
          <w:rFonts w:ascii="Book Antiqua" w:hAnsi="Book Antiqua" w:cs="Calibri"/>
          <w:u w:val="single"/>
        </w:rPr>
      </w:pPr>
      <w:r w:rsidRPr="006E162D">
        <w:rPr>
          <w:rFonts w:ascii="Book Antiqua" w:hAnsi="Book Antiqua" w:cs="Calibri"/>
          <w:u w:val="single"/>
        </w:rPr>
        <w:t xml:space="preserve">Article 17.2 and the Money Message </w:t>
      </w:r>
    </w:p>
    <w:p w14:paraId="53DF13F7" w14:textId="3078581C" w:rsidR="006F1251" w:rsidRPr="006E162D" w:rsidRDefault="00994B04" w:rsidP="00D2111F">
      <w:pPr>
        <w:spacing w:line="360" w:lineRule="auto"/>
        <w:jc w:val="both"/>
        <w:rPr>
          <w:rFonts w:ascii="Book Antiqua" w:hAnsi="Book Antiqua" w:cs="Calibri"/>
        </w:rPr>
      </w:pPr>
      <w:r w:rsidRPr="006E162D">
        <w:rPr>
          <w:rFonts w:ascii="Book Antiqua" w:hAnsi="Book Antiqua" w:cs="Calibri"/>
        </w:rPr>
        <w:t>The Westminster tradition reserves a substantial role for the executive in control of State finances</w:t>
      </w:r>
      <w:r w:rsidR="00D2111F">
        <w:rPr>
          <w:rFonts w:ascii="Book Antiqua" w:hAnsi="Book Antiqua" w:cs="Calibri"/>
        </w:rPr>
        <w:t>.</w:t>
      </w:r>
      <w:r w:rsidR="009F5ED4" w:rsidRPr="006E162D">
        <w:rPr>
          <w:rFonts w:ascii="Book Antiqua" w:hAnsi="Book Antiqua" w:cs="Calibri"/>
        </w:rPr>
        <w:t xml:space="preserve"> </w:t>
      </w:r>
      <w:r w:rsidR="00D2111F">
        <w:rPr>
          <w:rFonts w:ascii="Book Antiqua" w:hAnsi="Book Antiqua" w:cs="Calibri"/>
        </w:rPr>
        <w:t xml:space="preserve">It </w:t>
      </w:r>
      <w:r w:rsidR="001D0AB5" w:rsidRPr="009C65DA">
        <w:rPr>
          <w:rFonts w:ascii="Book Antiqua" w:hAnsi="Book Antiqua" w:cs="Calibri"/>
        </w:rPr>
        <w:t xml:space="preserve">places what the courts have described as a </w:t>
      </w:r>
      <w:r w:rsidRPr="003739B7">
        <w:rPr>
          <w:rFonts w:ascii="Book Antiqua" w:hAnsi="Book Antiqua"/>
        </w:rPr>
        <w:t>“double lock” on expen</w:t>
      </w:r>
      <w:r w:rsidRPr="002516B9">
        <w:rPr>
          <w:rFonts w:ascii="Book Antiqua" w:hAnsi="Book Antiqua"/>
        </w:rPr>
        <w:t xml:space="preserve">diture, requiring </w:t>
      </w:r>
      <w:r w:rsidR="001D0AB5" w:rsidRPr="00061F78">
        <w:rPr>
          <w:rFonts w:ascii="Book Antiqua" w:hAnsi="Book Antiqua"/>
        </w:rPr>
        <w:t xml:space="preserve">the </w:t>
      </w:r>
      <w:r w:rsidRPr="00061F78">
        <w:rPr>
          <w:rFonts w:ascii="Book Antiqua" w:hAnsi="Book Antiqua"/>
        </w:rPr>
        <w:t>cooperation of the government</w:t>
      </w:r>
      <w:r w:rsidR="001D0AB5" w:rsidRPr="00061F78">
        <w:rPr>
          <w:rFonts w:ascii="Book Antiqua" w:hAnsi="Book Antiqua"/>
        </w:rPr>
        <w:t xml:space="preserve"> and the Dáil</w:t>
      </w:r>
      <w:r w:rsidRPr="00061F78">
        <w:rPr>
          <w:rFonts w:ascii="Book Antiqua" w:hAnsi="Book Antiqua"/>
        </w:rPr>
        <w:t>.</w:t>
      </w:r>
      <w:r w:rsidR="001D0AB5" w:rsidRPr="00692FEB">
        <w:rPr>
          <w:rStyle w:val="FootnoteReference"/>
          <w:rFonts w:ascii="Book Antiqua" w:hAnsi="Book Antiqua"/>
        </w:rPr>
        <w:footnoteReference w:id="45"/>
      </w:r>
      <w:r w:rsidRPr="00692FEB">
        <w:rPr>
          <w:rFonts w:ascii="Book Antiqua" w:hAnsi="Book Antiqua"/>
        </w:rPr>
        <w:t xml:space="preserve"> </w:t>
      </w:r>
      <w:r w:rsidRPr="00061F78">
        <w:rPr>
          <w:rFonts w:ascii="Book Antiqua" w:hAnsi="Book Antiqua"/>
        </w:rPr>
        <w:t xml:space="preserve">The </w:t>
      </w:r>
      <w:r w:rsidR="001D0AB5" w:rsidRPr="00061F78">
        <w:rPr>
          <w:rFonts w:ascii="Book Antiqua" w:hAnsi="Book Antiqua"/>
        </w:rPr>
        <w:t xml:space="preserve">government is given responsibility, </w:t>
      </w:r>
      <w:r w:rsidRPr="00061F78">
        <w:rPr>
          <w:rFonts w:ascii="Book Antiqua" w:hAnsi="Book Antiqua"/>
        </w:rPr>
        <w:t>in Article 28.4.4</w:t>
      </w:r>
      <w:r w:rsidR="001D0AB5" w:rsidRPr="00D47D06">
        <w:rPr>
          <w:rFonts w:ascii="Book Antiqua" w:hAnsi="Book Antiqua"/>
        </w:rPr>
        <w:t>,</w:t>
      </w:r>
      <w:r w:rsidRPr="00D47D06">
        <w:rPr>
          <w:rFonts w:ascii="Book Antiqua" w:hAnsi="Book Antiqua"/>
        </w:rPr>
        <w:t xml:space="preserve"> with </w:t>
      </w:r>
      <w:r w:rsidR="001D0AB5" w:rsidRPr="00B07F84">
        <w:rPr>
          <w:rFonts w:ascii="Book Antiqua" w:hAnsi="Book Antiqua"/>
        </w:rPr>
        <w:t>preparin</w:t>
      </w:r>
      <w:r w:rsidR="001D0AB5" w:rsidRPr="00727629">
        <w:rPr>
          <w:rFonts w:ascii="Book Antiqua" w:hAnsi="Book Antiqua"/>
        </w:rPr>
        <w:t xml:space="preserve">g for each financial year </w:t>
      </w:r>
      <w:r w:rsidRPr="003F681B">
        <w:rPr>
          <w:rFonts w:ascii="Book Antiqua" w:hAnsi="Book Antiqua"/>
        </w:rPr>
        <w:t>Estimates of State Receipts and Expenditure</w:t>
      </w:r>
      <w:r w:rsidR="001D0AB5" w:rsidRPr="006474AD">
        <w:rPr>
          <w:rFonts w:ascii="Book Antiqua" w:hAnsi="Book Antiqua"/>
        </w:rPr>
        <w:t xml:space="preserve">. </w:t>
      </w:r>
      <w:r w:rsidRPr="002516B9">
        <w:rPr>
          <w:rFonts w:ascii="Book Antiqua" w:hAnsi="Book Antiqua"/>
        </w:rPr>
        <w:t xml:space="preserve">Article 17 </w:t>
      </w:r>
      <w:r w:rsidR="006F1251" w:rsidRPr="00355202">
        <w:rPr>
          <w:rFonts w:ascii="Book Antiqua" w:hAnsi="Book Antiqua"/>
        </w:rPr>
        <w:t>gives the Dáil oversight of</w:t>
      </w:r>
      <w:r w:rsidR="006F1251" w:rsidRPr="0025547E">
        <w:rPr>
          <w:rFonts w:ascii="Book Antiqua" w:hAnsi="Book Antiqua"/>
        </w:rPr>
        <w:t xml:space="preserve"> the government’s </w:t>
      </w:r>
      <w:r w:rsidRPr="008E5F14">
        <w:rPr>
          <w:rFonts w:ascii="Book Antiqua" w:hAnsi="Book Antiqua"/>
        </w:rPr>
        <w:t xml:space="preserve">estimates. </w:t>
      </w:r>
      <w:r w:rsidRPr="00061F78">
        <w:rPr>
          <w:rFonts w:ascii="Book Antiqua" w:hAnsi="Book Antiqua"/>
        </w:rPr>
        <w:t>Article 17.2</w:t>
      </w:r>
      <w:r w:rsidR="006F1251" w:rsidRPr="00061F78">
        <w:rPr>
          <w:rFonts w:ascii="Book Antiqua" w:hAnsi="Book Antiqua"/>
        </w:rPr>
        <w:t xml:space="preserve"> then </w:t>
      </w:r>
      <w:r w:rsidR="00691E7C" w:rsidRPr="006E162D">
        <w:rPr>
          <w:rFonts w:ascii="Book Antiqua" w:hAnsi="Book Antiqua"/>
        </w:rPr>
        <w:t>provides</w:t>
      </w:r>
      <w:r w:rsidRPr="006E162D">
        <w:rPr>
          <w:rFonts w:ascii="Book Antiqua" w:hAnsi="Book Antiqua"/>
        </w:rPr>
        <w:t xml:space="preserve">: </w:t>
      </w:r>
      <w:r w:rsidR="006F1251" w:rsidRPr="006E162D">
        <w:rPr>
          <w:rFonts w:ascii="Book Antiqua" w:hAnsi="Book Antiqua" w:cs="Calibri"/>
        </w:rPr>
        <w:t xml:space="preserve"> </w:t>
      </w:r>
    </w:p>
    <w:p w14:paraId="1B159F66" w14:textId="77777777" w:rsidR="006F1251" w:rsidRPr="006E162D" w:rsidRDefault="006F1251" w:rsidP="006F1251">
      <w:pPr>
        <w:spacing w:line="360" w:lineRule="auto"/>
        <w:jc w:val="both"/>
        <w:rPr>
          <w:rFonts w:ascii="Book Antiqua" w:hAnsi="Book Antiqua" w:cs="Calibri"/>
        </w:rPr>
      </w:pPr>
    </w:p>
    <w:p w14:paraId="79D058CF" w14:textId="300DC399" w:rsidR="00994B04" w:rsidRPr="006E162D" w:rsidRDefault="00994B04" w:rsidP="00A74365">
      <w:pPr>
        <w:spacing w:line="360" w:lineRule="auto"/>
        <w:ind w:left="720"/>
        <w:jc w:val="both"/>
        <w:rPr>
          <w:rFonts w:ascii="Book Antiqua" w:hAnsi="Book Antiqua"/>
        </w:rPr>
      </w:pPr>
      <w:r w:rsidRPr="006E162D">
        <w:rPr>
          <w:rFonts w:ascii="Book Antiqua" w:hAnsi="Book Antiqua"/>
        </w:rPr>
        <w:t>“Dáil Éireann shall not pass any vote or resolution, and no law shall be enacted, for the appropriation of revenue or other public moneys unless the purpose of the appropriation shall have been recommended to Dáil Éireann by a message from the Government signed by the Taoiseach.”</w:t>
      </w:r>
    </w:p>
    <w:p w14:paraId="730283CF" w14:textId="2790C53A" w:rsidR="00994B04" w:rsidRPr="006E162D" w:rsidRDefault="00994B04" w:rsidP="00994B04">
      <w:pPr>
        <w:spacing w:line="360" w:lineRule="auto"/>
        <w:jc w:val="both"/>
        <w:rPr>
          <w:rFonts w:ascii="Book Antiqua" w:hAnsi="Book Antiqua" w:cs="Calibri"/>
        </w:rPr>
      </w:pPr>
    </w:p>
    <w:p w14:paraId="53001938" w14:textId="6271C335" w:rsidR="00974186" w:rsidRPr="00692FEB" w:rsidRDefault="006F1251" w:rsidP="00974186">
      <w:pPr>
        <w:spacing w:line="360" w:lineRule="auto"/>
        <w:jc w:val="both"/>
        <w:rPr>
          <w:rFonts w:ascii="Palatino Linotype" w:hAnsi="Palatino Linotype"/>
        </w:rPr>
      </w:pPr>
      <w:r w:rsidRPr="006E162D">
        <w:rPr>
          <w:rFonts w:ascii="Book Antiqua" w:hAnsi="Book Antiqua" w:cs="Calibri"/>
        </w:rPr>
        <w:t>This provision is far from comprehensive. The term appropriation is not defined, and there is no procedure for adjudication of this question.</w:t>
      </w:r>
      <w:r w:rsidR="009F5ED4" w:rsidRPr="00692FEB">
        <w:rPr>
          <w:rFonts w:ascii="Book Antiqua" w:hAnsi="Book Antiqua" w:cs="Calibri"/>
        </w:rPr>
        <w:t xml:space="preserve"> </w:t>
      </w:r>
      <w:r w:rsidR="009F5ED4" w:rsidRPr="003739B7">
        <w:rPr>
          <w:rFonts w:ascii="Book Antiqua" w:hAnsi="Book Antiqua" w:cs="Calibri"/>
        </w:rPr>
        <w:t xml:space="preserve">The Standing Orders of Dáil Éireann expand </w:t>
      </w:r>
      <w:r w:rsidR="00D2111F">
        <w:rPr>
          <w:rFonts w:ascii="Book Antiqua" w:hAnsi="Book Antiqua" w:cs="Calibri"/>
        </w:rPr>
        <w:t xml:space="preserve">somewhat </w:t>
      </w:r>
      <w:r w:rsidR="009F5ED4" w:rsidRPr="003739B7">
        <w:rPr>
          <w:rFonts w:ascii="Book Antiqua" w:hAnsi="Book Antiqua" w:cs="Calibri"/>
        </w:rPr>
        <w:t>on these provisions.</w:t>
      </w:r>
      <w:r w:rsidR="00974186" w:rsidRPr="00974186">
        <w:rPr>
          <w:rStyle w:val="FootnoteReference"/>
          <w:rFonts w:ascii="Palatino Linotype" w:hAnsi="Palatino Linotype"/>
        </w:rPr>
        <w:t xml:space="preserve"> </w:t>
      </w:r>
      <w:bookmarkStart w:id="4" w:name="_Ref37317653"/>
      <w:r w:rsidR="00974186" w:rsidRPr="00692FEB">
        <w:rPr>
          <w:rStyle w:val="FootnoteReference"/>
          <w:rFonts w:ascii="Palatino Linotype" w:hAnsi="Palatino Linotype"/>
        </w:rPr>
        <w:footnoteReference w:id="46"/>
      </w:r>
      <w:bookmarkEnd w:id="4"/>
      <w:r w:rsidR="009F5ED4" w:rsidRPr="006E162D">
        <w:rPr>
          <w:rFonts w:ascii="Book Antiqua" w:hAnsi="Book Antiqua"/>
        </w:rPr>
        <w:t xml:space="preserve"> Order 179 of the Standing Orders of Dáil Éireann 2016 details the Money Message Procedure: </w:t>
      </w:r>
    </w:p>
    <w:p w14:paraId="7195CE00" w14:textId="45D44EC3" w:rsidR="009F5ED4" w:rsidRPr="006E162D" w:rsidRDefault="009F5ED4" w:rsidP="006E162D">
      <w:pPr>
        <w:spacing w:line="360" w:lineRule="auto"/>
        <w:jc w:val="both"/>
        <w:rPr>
          <w:rFonts w:ascii="Book Antiqua" w:hAnsi="Book Antiqua"/>
        </w:rPr>
      </w:pPr>
    </w:p>
    <w:p w14:paraId="1B0CBA2F" w14:textId="77777777" w:rsidR="009F5ED4" w:rsidRPr="00692FEB" w:rsidRDefault="009F5ED4" w:rsidP="009F5ED4">
      <w:pPr>
        <w:spacing w:line="276" w:lineRule="auto"/>
        <w:jc w:val="both"/>
        <w:rPr>
          <w:rFonts w:ascii="Palatino Linotype" w:hAnsi="Palatino Linotype"/>
        </w:rPr>
      </w:pPr>
    </w:p>
    <w:p w14:paraId="524F4B01" w14:textId="77777777" w:rsidR="009F5ED4" w:rsidRPr="003739B7" w:rsidRDefault="009F5ED4" w:rsidP="009F5ED4">
      <w:pPr>
        <w:spacing w:line="276" w:lineRule="auto"/>
        <w:ind w:firstLine="720"/>
        <w:jc w:val="both"/>
        <w:rPr>
          <w:rFonts w:ascii="Palatino Linotype" w:hAnsi="Palatino Linotype"/>
        </w:rPr>
      </w:pPr>
      <w:r w:rsidRPr="009C65DA">
        <w:rPr>
          <w:rFonts w:ascii="Palatino Linotype" w:hAnsi="Palatino Linotype"/>
        </w:rPr>
        <w:t>“Bills involving the appropriation of revenue or other public moneys.</w:t>
      </w:r>
    </w:p>
    <w:p w14:paraId="46FD4C77" w14:textId="77777777" w:rsidR="009F5ED4" w:rsidRPr="00061F78" w:rsidRDefault="009F5ED4" w:rsidP="009F5ED4">
      <w:pPr>
        <w:spacing w:line="276" w:lineRule="auto"/>
        <w:ind w:left="720"/>
        <w:jc w:val="both"/>
        <w:rPr>
          <w:rFonts w:ascii="Palatino Linotype" w:hAnsi="Palatino Linotype"/>
        </w:rPr>
      </w:pPr>
      <w:r w:rsidRPr="002516B9">
        <w:rPr>
          <w:rFonts w:ascii="Palatino Linotype" w:hAnsi="Palatino Linotype"/>
        </w:rPr>
        <w:t>179. (1) A Bill which involves the appropriation of revenue or other public moneys, other tha</w:t>
      </w:r>
      <w:r w:rsidRPr="00061F78">
        <w:rPr>
          <w:rFonts w:ascii="Palatino Linotype" w:hAnsi="Palatino Linotype"/>
        </w:rPr>
        <w:t>n incidental expenses, shall not be initiated by any member, save a member of the Government.</w:t>
      </w:r>
    </w:p>
    <w:p w14:paraId="7E6B48AB" w14:textId="77777777" w:rsidR="009F5ED4" w:rsidRPr="006474AD" w:rsidRDefault="009F5ED4" w:rsidP="009F5ED4">
      <w:pPr>
        <w:spacing w:line="276" w:lineRule="auto"/>
        <w:ind w:left="720"/>
        <w:jc w:val="both"/>
        <w:rPr>
          <w:rFonts w:ascii="Palatino Linotype" w:hAnsi="Palatino Linotype"/>
        </w:rPr>
      </w:pPr>
      <w:r w:rsidRPr="00061F78">
        <w:rPr>
          <w:rFonts w:ascii="Palatino Linotype" w:hAnsi="Palatino Linotype"/>
        </w:rPr>
        <w:lastRenderedPageBreak/>
        <w:t>(2) The Committee Stage of a Bill which involves the appropriation of revenue or other public moneys, including incidental expenses, shall not be taken unless the</w:t>
      </w:r>
      <w:r w:rsidRPr="00B07F84">
        <w:rPr>
          <w:rFonts w:ascii="Palatino Linotype" w:hAnsi="Palatino Linotype"/>
        </w:rPr>
        <w:t xml:space="preserve"> purpose of the appropriation has been recommended to the </w:t>
      </w:r>
      <w:proofErr w:type="spellStart"/>
      <w:r w:rsidRPr="00B07F84">
        <w:rPr>
          <w:rFonts w:ascii="Palatino Linotype" w:hAnsi="Palatino Linotype"/>
        </w:rPr>
        <w:t>Dáil</w:t>
      </w:r>
      <w:proofErr w:type="spellEnd"/>
      <w:r w:rsidRPr="00B07F84">
        <w:rPr>
          <w:rFonts w:ascii="Palatino Linotype" w:hAnsi="Palatino Linotype"/>
        </w:rPr>
        <w:t xml:space="preserve"> by a Message from the Government. The tex</w:t>
      </w:r>
      <w:r w:rsidRPr="003F681B">
        <w:rPr>
          <w:rFonts w:ascii="Palatino Linotype" w:hAnsi="Palatino Linotype"/>
        </w:rPr>
        <w:t>t of any Message shall be printed on the Order Paper.</w:t>
      </w:r>
    </w:p>
    <w:p w14:paraId="74CFC759" w14:textId="77777777" w:rsidR="009F5ED4" w:rsidRPr="001D7781" w:rsidRDefault="009F5ED4" w:rsidP="009F5ED4">
      <w:pPr>
        <w:spacing w:line="276" w:lineRule="auto"/>
        <w:ind w:left="720"/>
        <w:jc w:val="both"/>
        <w:rPr>
          <w:rFonts w:ascii="Palatino Linotype" w:hAnsi="Palatino Linotype"/>
        </w:rPr>
      </w:pPr>
      <w:r w:rsidRPr="008577C7">
        <w:rPr>
          <w:rFonts w:ascii="Palatino Linotype" w:hAnsi="Palatino Linotype"/>
        </w:rPr>
        <w:t>(3) An amendment to a Bill which could have the effect of imposing or increasing a charge upon th</w:t>
      </w:r>
      <w:r w:rsidRPr="00CD38C2">
        <w:rPr>
          <w:rFonts w:ascii="Palatino Linotype" w:hAnsi="Palatino Linotype"/>
        </w:rPr>
        <w:t>e revenue may not be moved by any member, save a member of the Government or Minister of State.”</w:t>
      </w:r>
    </w:p>
    <w:p w14:paraId="77EB0C3F" w14:textId="621F8BA7" w:rsidR="006F1251" w:rsidRPr="007E5A2E" w:rsidRDefault="006F1251" w:rsidP="00994B04">
      <w:pPr>
        <w:spacing w:line="360" w:lineRule="auto"/>
        <w:jc w:val="both"/>
        <w:rPr>
          <w:rFonts w:ascii="Book Antiqua" w:hAnsi="Book Antiqua" w:cs="Calibri"/>
        </w:rPr>
      </w:pPr>
    </w:p>
    <w:p w14:paraId="5061B439" w14:textId="54E79651" w:rsidR="00571587" w:rsidRPr="009C65DA" w:rsidRDefault="006C2A2D" w:rsidP="00571587">
      <w:pPr>
        <w:spacing w:line="360" w:lineRule="auto"/>
        <w:jc w:val="both"/>
        <w:rPr>
          <w:rFonts w:ascii="Book Antiqua" w:hAnsi="Book Antiqua" w:cs="Calibri"/>
        </w:rPr>
      </w:pPr>
      <w:r w:rsidRPr="007E5A2E">
        <w:rPr>
          <w:rFonts w:ascii="Book Antiqua" w:hAnsi="Book Antiqua" w:cs="Calibri"/>
        </w:rPr>
        <w:t xml:space="preserve">This </w:t>
      </w:r>
      <w:r w:rsidR="00D2111F">
        <w:rPr>
          <w:rFonts w:ascii="Book Antiqua" w:hAnsi="Book Antiqua" w:cs="Calibri"/>
        </w:rPr>
        <w:t>Order</w:t>
      </w:r>
      <w:r w:rsidR="00D2111F" w:rsidRPr="007E5A2E">
        <w:rPr>
          <w:rFonts w:ascii="Book Antiqua" w:hAnsi="Book Antiqua" w:cs="Calibri"/>
        </w:rPr>
        <w:t xml:space="preserve"> </w:t>
      </w:r>
      <w:r w:rsidRPr="007E5A2E">
        <w:rPr>
          <w:rFonts w:ascii="Book Antiqua" w:hAnsi="Book Antiqua" w:cs="Calibri"/>
        </w:rPr>
        <w:t xml:space="preserve">distinguishes incidental and non-incidental expenditure. For non-incidental expenditures—where the </w:t>
      </w:r>
      <w:r w:rsidRPr="006E162D">
        <w:rPr>
          <w:rFonts w:ascii="Book Antiqua" w:hAnsi="Book Antiqua" w:cs="Calibri"/>
          <w:i/>
          <w:iCs/>
        </w:rPr>
        <w:t>purpose</w:t>
      </w:r>
      <w:r w:rsidRPr="007E5A2E">
        <w:rPr>
          <w:rFonts w:ascii="Book Antiqua" w:hAnsi="Book Antiqua" w:cs="Calibri"/>
        </w:rPr>
        <w:t xml:space="preserve"> of the bill is expenditure—only the government can introduce a bill, and any attempt to introduce such a bill is out of order. This is a func</w:t>
      </w:r>
      <w:r w:rsidRPr="00B233AE">
        <w:rPr>
          <w:rFonts w:ascii="Book Antiqua" w:hAnsi="Book Antiqua" w:cs="Calibri"/>
        </w:rPr>
        <w:t>tion of the Constitution’s grant of power to the executive to prepare annual expenditures.</w:t>
      </w:r>
      <w:bookmarkStart w:id="5" w:name="_Ref7534648"/>
      <w:r w:rsidRPr="00692FEB">
        <w:rPr>
          <w:rStyle w:val="FootnoteReference"/>
          <w:rFonts w:ascii="Palatino Linotype" w:hAnsi="Palatino Linotype"/>
        </w:rPr>
        <w:footnoteReference w:id="47"/>
      </w:r>
      <w:bookmarkEnd w:id="5"/>
      <w:r w:rsidRPr="00692FEB">
        <w:rPr>
          <w:rFonts w:ascii="Palatino Linotype" w:hAnsi="Palatino Linotype"/>
        </w:rPr>
        <w:t xml:space="preserve"> However, where expenditure is incidental—when the bill incurs expenditure from pursuing another end—then it may be introduced and may pass second stage, but cannot proceed to committee stage without </w:t>
      </w:r>
      <w:r w:rsidR="00231EC6" w:rsidRPr="009C65DA">
        <w:rPr>
          <w:rFonts w:ascii="Book Antiqua" w:hAnsi="Book Antiqua" w:cs="Calibri"/>
        </w:rPr>
        <w:t>authorisation in the form of a Money Message from the government.</w:t>
      </w:r>
      <w:r w:rsidR="00231EC6" w:rsidRPr="00692FEB">
        <w:rPr>
          <w:rFonts w:ascii="Book Antiqua" w:hAnsi="Book Antiqua" w:cs="Calibri"/>
        </w:rPr>
        <w:t xml:space="preserve"> </w:t>
      </w:r>
      <w:r w:rsidR="00571587" w:rsidRPr="009C65DA">
        <w:rPr>
          <w:rFonts w:ascii="Book Antiqua" w:hAnsi="Book Antiqua" w:cs="Calibri"/>
        </w:rPr>
        <w:t xml:space="preserve">There is also a </w:t>
      </w:r>
      <w:r w:rsidR="00D2111F">
        <w:rPr>
          <w:rFonts w:ascii="Book Antiqua" w:hAnsi="Book Antiqua" w:cs="Calibri"/>
        </w:rPr>
        <w:t>related</w:t>
      </w:r>
      <w:r w:rsidR="00D2111F" w:rsidRPr="009C65DA">
        <w:rPr>
          <w:rFonts w:ascii="Book Antiqua" w:hAnsi="Book Antiqua" w:cs="Calibri"/>
        </w:rPr>
        <w:t xml:space="preserve"> </w:t>
      </w:r>
      <w:r w:rsidR="00571587" w:rsidRPr="009C65DA">
        <w:rPr>
          <w:rFonts w:ascii="Book Antiqua" w:hAnsi="Book Antiqua" w:cs="Calibri"/>
        </w:rPr>
        <w:t xml:space="preserve">limit on the ability of private members to offer </w:t>
      </w:r>
      <w:r w:rsidR="000D01B6" w:rsidRPr="009C65DA">
        <w:rPr>
          <w:rFonts w:ascii="Book Antiqua" w:hAnsi="Book Antiqua" w:cs="Calibri"/>
        </w:rPr>
        <w:t xml:space="preserve">amendments </w:t>
      </w:r>
      <w:r w:rsidR="006A342E" w:rsidRPr="003739B7">
        <w:rPr>
          <w:rFonts w:ascii="Book Antiqua" w:hAnsi="Book Antiqua" w:cs="Calibri"/>
        </w:rPr>
        <w:t>with financial implications</w:t>
      </w:r>
      <w:r w:rsidR="006A342E" w:rsidRPr="009C65DA">
        <w:rPr>
          <w:rFonts w:ascii="Book Antiqua" w:hAnsi="Book Antiqua" w:cs="Calibri"/>
        </w:rPr>
        <w:t xml:space="preserve"> </w:t>
      </w:r>
      <w:r w:rsidR="000D01B6" w:rsidRPr="009C65DA">
        <w:rPr>
          <w:rFonts w:ascii="Book Antiqua" w:hAnsi="Book Antiqua" w:cs="Calibri"/>
        </w:rPr>
        <w:t>to government bills</w:t>
      </w:r>
      <w:r w:rsidR="00571587" w:rsidRPr="003739B7">
        <w:rPr>
          <w:rFonts w:ascii="Book Antiqua" w:hAnsi="Book Antiqua" w:cs="Calibri"/>
        </w:rPr>
        <w:t>.</w:t>
      </w:r>
      <w:r w:rsidR="00571587" w:rsidRPr="00692FEB">
        <w:rPr>
          <w:rStyle w:val="FootnoteReference"/>
          <w:rFonts w:ascii="Book Antiqua" w:hAnsi="Book Antiqua" w:cs="Calibri"/>
        </w:rPr>
        <w:footnoteReference w:id="48"/>
      </w:r>
      <w:r w:rsidR="00571587" w:rsidRPr="00692FEB">
        <w:rPr>
          <w:rFonts w:ascii="Book Antiqua" w:hAnsi="Book Antiqua" w:cs="Calibri"/>
        </w:rPr>
        <w:t xml:space="preserve"> </w:t>
      </w:r>
    </w:p>
    <w:p w14:paraId="7E103F84" w14:textId="77777777" w:rsidR="00571587" w:rsidRPr="009C65DA" w:rsidRDefault="00571587" w:rsidP="00994B04">
      <w:pPr>
        <w:spacing w:line="360" w:lineRule="auto"/>
        <w:jc w:val="both"/>
        <w:rPr>
          <w:rFonts w:ascii="Book Antiqua" w:hAnsi="Book Antiqua" w:cs="Calibri"/>
        </w:rPr>
      </w:pPr>
    </w:p>
    <w:p w14:paraId="4605B2AA" w14:textId="0E5CA111" w:rsidR="00A714EE" w:rsidRDefault="00231EC6" w:rsidP="00994B04">
      <w:pPr>
        <w:spacing w:line="360" w:lineRule="auto"/>
        <w:jc w:val="both"/>
        <w:rPr>
          <w:rFonts w:ascii="Palatino Linotype" w:hAnsi="Palatino Linotype"/>
        </w:rPr>
      </w:pPr>
      <w:r w:rsidRPr="009C65DA">
        <w:rPr>
          <w:rFonts w:ascii="Book Antiqua" w:hAnsi="Book Antiqua" w:cs="Calibri"/>
        </w:rPr>
        <w:t xml:space="preserve">The crucial term “incidental expenses” is </w:t>
      </w:r>
      <w:r w:rsidR="003D055C">
        <w:rPr>
          <w:rFonts w:ascii="Book Antiqua" w:hAnsi="Book Antiqua" w:cs="Calibri"/>
        </w:rPr>
        <w:t xml:space="preserve">again </w:t>
      </w:r>
      <w:r w:rsidRPr="009C65DA">
        <w:rPr>
          <w:rFonts w:ascii="Book Antiqua" w:hAnsi="Book Antiqua" w:cs="Calibri"/>
        </w:rPr>
        <w:t>not defined</w:t>
      </w:r>
      <w:r w:rsidR="003D055C">
        <w:rPr>
          <w:rFonts w:ascii="Book Antiqua" w:hAnsi="Book Antiqua" w:cs="Calibri"/>
        </w:rPr>
        <w:t>.</w:t>
      </w:r>
      <w:r w:rsidR="00974186" w:rsidRPr="00692FEB">
        <w:rPr>
          <w:rStyle w:val="FootnoteReference"/>
          <w:rFonts w:ascii="Palatino Linotype" w:hAnsi="Palatino Linotype"/>
        </w:rPr>
        <w:footnoteReference w:id="49"/>
      </w:r>
      <w:r w:rsidR="00974186">
        <w:rPr>
          <w:rFonts w:ascii="Book Antiqua" w:hAnsi="Book Antiqua" w:cs="Calibri"/>
        </w:rPr>
        <w:t xml:space="preserve"> </w:t>
      </w:r>
      <w:r w:rsidR="00EC0DF4" w:rsidRPr="009C65DA">
        <w:rPr>
          <w:rFonts w:ascii="Book Antiqua" w:hAnsi="Book Antiqua" w:cs="Calibri"/>
        </w:rPr>
        <w:t>As</w:t>
      </w:r>
      <w:r w:rsidR="00170BDF">
        <w:rPr>
          <w:rFonts w:ascii="Book Antiqua" w:hAnsi="Book Antiqua" w:cs="Calibri"/>
        </w:rPr>
        <w:t xml:space="preserve"> the interpreter </w:t>
      </w:r>
      <w:r w:rsidR="00EC0DF4" w:rsidRPr="002516B9">
        <w:rPr>
          <w:rFonts w:ascii="Book Antiqua" w:hAnsi="Book Antiqua" w:cs="Calibri"/>
        </w:rPr>
        <w:t>of the Standing</w:t>
      </w:r>
      <w:r w:rsidR="00536F00" w:rsidRPr="00355202">
        <w:rPr>
          <w:rFonts w:ascii="Book Antiqua" w:hAnsi="Book Antiqua" w:cs="Calibri"/>
        </w:rPr>
        <w:t xml:space="preserve"> Orders, the </w:t>
      </w:r>
      <w:proofErr w:type="spellStart"/>
      <w:r w:rsidR="00536F00" w:rsidRPr="00355202">
        <w:rPr>
          <w:rFonts w:ascii="Book Antiqua" w:hAnsi="Book Antiqua" w:cs="Calibri"/>
        </w:rPr>
        <w:t>Ceann</w:t>
      </w:r>
      <w:proofErr w:type="spellEnd"/>
      <w:r w:rsidR="00536F00" w:rsidRPr="00355202">
        <w:rPr>
          <w:rFonts w:ascii="Book Antiqua" w:hAnsi="Book Antiqua" w:cs="Calibri"/>
        </w:rPr>
        <w:t xml:space="preserve"> </w:t>
      </w:r>
      <w:proofErr w:type="spellStart"/>
      <w:r w:rsidR="00536F00" w:rsidRPr="00355202">
        <w:rPr>
          <w:rFonts w:ascii="Book Antiqua" w:hAnsi="Book Antiqua" w:cs="Calibri"/>
        </w:rPr>
        <w:t>Comhairle</w:t>
      </w:r>
      <w:proofErr w:type="spellEnd"/>
      <w:r w:rsidR="00536F00" w:rsidRPr="00355202">
        <w:rPr>
          <w:rFonts w:ascii="Book Antiqua" w:hAnsi="Book Antiqua" w:cs="Calibri"/>
        </w:rPr>
        <w:t xml:space="preserve"> </w:t>
      </w:r>
      <w:r w:rsidR="00536F00" w:rsidRPr="00061F78">
        <w:rPr>
          <w:rFonts w:ascii="Book Antiqua" w:hAnsi="Book Antiqua" w:cs="Calibri"/>
        </w:rPr>
        <w:t>determine</w:t>
      </w:r>
      <w:r w:rsidR="00170BDF">
        <w:rPr>
          <w:rFonts w:ascii="Book Antiqua" w:hAnsi="Book Antiqua" w:cs="Calibri"/>
        </w:rPr>
        <w:t>s</w:t>
      </w:r>
      <w:r w:rsidR="00536F00" w:rsidRPr="00061F78">
        <w:rPr>
          <w:rFonts w:ascii="Book Antiqua" w:hAnsi="Book Antiqua" w:cs="Calibri"/>
        </w:rPr>
        <w:t xml:space="preserve"> the meaning and application of this provision.</w:t>
      </w:r>
      <w:r w:rsidR="00536F00" w:rsidRPr="00692FEB">
        <w:rPr>
          <w:rFonts w:ascii="Book Antiqua" w:hAnsi="Book Antiqua" w:cs="Calibri"/>
        </w:rPr>
        <w:t xml:space="preserve"> </w:t>
      </w:r>
      <w:r w:rsidR="007E415D" w:rsidRPr="00061F78">
        <w:rPr>
          <w:rFonts w:ascii="Palatino Linotype" w:hAnsi="Palatino Linotype"/>
        </w:rPr>
        <w:t>I</w:t>
      </w:r>
      <w:r w:rsidR="00536F00" w:rsidRPr="00061F78">
        <w:rPr>
          <w:rFonts w:ascii="Palatino Linotype" w:hAnsi="Palatino Linotype"/>
        </w:rPr>
        <w:t xml:space="preserve">f </w:t>
      </w:r>
      <w:r w:rsidR="007E415D" w:rsidRPr="00061F78">
        <w:rPr>
          <w:rFonts w:ascii="Palatino Linotype" w:hAnsi="Palatino Linotype"/>
        </w:rPr>
        <w:t>a b</w:t>
      </w:r>
      <w:r w:rsidR="00536F00" w:rsidRPr="00061F78">
        <w:rPr>
          <w:rFonts w:ascii="Palatino Linotype" w:hAnsi="Palatino Linotype"/>
        </w:rPr>
        <w:t xml:space="preserve">ill passes Second Stage, it is examined by the </w:t>
      </w:r>
      <w:proofErr w:type="spellStart"/>
      <w:r w:rsidR="00536F00" w:rsidRPr="00061F78">
        <w:rPr>
          <w:rFonts w:ascii="Palatino Linotype" w:hAnsi="Palatino Linotype"/>
        </w:rPr>
        <w:t>Ceann</w:t>
      </w:r>
      <w:proofErr w:type="spellEnd"/>
      <w:r w:rsidR="00536F00" w:rsidRPr="00061F78">
        <w:rPr>
          <w:rFonts w:ascii="Palatino Linotype" w:hAnsi="Palatino Linotype"/>
        </w:rPr>
        <w:t xml:space="preserve"> </w:t>
      </w:r>
      <w:proofErr w:type="spellStart"/>
      <w:r w:rsidR="00536F00" w:rsidRPr="00061F78">
        <w:rPr>
          <w:rFonts w:ascii="Palatino Linotype" w:hAnsi="Palatino Linotype"/>
        </w:rPr>
        <w:t>Comhairle</w:t>
      </w:r>
      <w:proofErr w:type="spellEnd"/>
      <w:r w:rsidR="00536F00" w:rsidRPr="00061F78">
        <w:rPr>
          <w:rFonts w:ascii="Palatino Linotype" w:hAnsi="Palatino Linotype"/>
        </w:rPr>
        <w:t xml:space="preserve"> </w:t>
      </w:r>
      <w:r w:rsidR="007E415D" w:rsidRPr="00B07F84">
        <w:rPr>
          <w:rFonts w:ascii="Palatino Linotype" w:hAnsi="Palatino Linotype"/>
        </w:rPr>
        <w:t xml:space="preserve">and </w:t>
      </w:r>
      <w:r w:rsidR="00536F00" w:rsidRPr="00727629">
        <w:rPr>
          <w:rFonts w:ascii="Palatino Linotype" w:hAnsi="Palatino Linotype"/>
        </w:rPr>
        <w:t>Bills Office for</w:t>
      </w:r>
      <w:r w:rsidR="007E415D" w:rsidRPr="003F681B">
        <w:rPr>
          <w:rFonts w:ascii="Palatino Linotype" w:hAnsi="Palatino Linotype"/>
        </w:rPr>
        <w:t xml:space="preserve"> the purposes of </w:t>
      </w:r>
      <w:r w:rsidR="00536F00" w:rsidRPr="006474AD">
        <w:rPr>
          <w:rFonts w:ascii="Palatino Linotype" w:hAnsi="Palatino Linotype"/>
        </w:rPr>
        <w:t>Order 179(2)</w:t>
      </w:r>
      <w:r w:rsidR="007E415D" w:rsidRPr="006474AD">
        <w:rPr>
          <w:rFonts w:ascii="Palatino Linotype" w:hAnsi="Palatino Linotype"/>
        </w:rPr>
        <w:t>.</w:t>
      </w:r>
      <w:r w:rsidR="00536F00" w:rsidRPr="006474AD">
        <w:rPr>
          <w:rFonts w:ascii="Palatino Linotype" w:hAnsi="Palatino Linotype"/>
        </w:rPr>
        <w:t xml:space="preserve"> If it is found to </w:t>
      </w:r>
      <w:r w:rsidR="007E415D" w:rsidRPr="006474AD">
        <w:rPr>
          <w:rFonts w:ascii="Palatino Linotype" w:hAnsi="Palatino Linotype"/>
        </w:rPr>
        <w:t xml:space="preserve">entail </w:t>
      </w:r>
      <w:r w:rsidR="00536F00" w:rsidRPr="006474AD">
        <w:rPr>
          <w:rFonts w:ascii="Palatino Linotype" w:hAnsi="Palatino Linotype"/>
        </w:rPr>
        <w:t>an incidental expen</w:t>
      </w:r>
      <w:r w:rsidR="00536F00" w:rsidRPr="008577C7">
        <w:rPr>
          <w:rFonts w:ascii="Palatino Linotype" w:hAnsi="Palatino Linotype"/>
        </w:rPr>
        <w:t xml:space="preserve">diture, </w:t>
      </w:r>
      <w:r w:rsidR="003D055C">
        <w:rPr>
          <w:rFonts w:ascii="Palatino Linotype" w:hAnsi="Palatino Linotype"/>
        </w:rPr>
        <w:t>t</w:t>
      </w:r>
      <w:r w:rsidR="00A714EE" w:rsidRPr="00692FEB">
        <w:rPr>
          <w:rFonts w:ascii="Palatino Linotype" w:hAnsi="Palatino Linotype"/>
        </w:rPr>
        <w:t xml:space="preserve">he </w:t>
      </w:r>
      <w:r w:rsidR="00536F00" w:rsidRPr="009C65DA">
        <w:rPr>
          <w:rFonts w:ascii="Palatino Linotype" w:hAnsi="Palatino Linotype"/>
        </w:rPr>
        <w:t xml:space="preserve">decision </w:t>
      </w:r>
      <w:r w:rsidR="00A714EE" w:rsidRPr="009C65DA">
        <w:rPr>
          <w:rFonts w:ascii="Palatino Linotype" w:hAnsi="Palatino Linotype"/>
        </w:rPr>
        <w:t>to grant or deny the Message</w:t>
      </w:r>
      <w:r w:rsidR="00371A15">
        <w:rPr>
          <w:rFonts w:ascii="Palatino Linotype" w:hAnsi="Palatino Linotype"/>
        </w:rPr>
        <w:t xml:space="preserve"> </w:t>
      </w:r>
      <w:r w:rsidR="00536F00" w:rsidRPr="003739B7">
        <w:rPr>
          <w:rFonts w:ascii="Palatino Linotype" w:hAnsi="Palatino Linotype"/>
        </w:rPr>
        <w:t xml:space="preserve">is </w:t>
      </w:r>
      <w:r w:rsidR="003D055C">
        <w:rPr>
          <w:rFonts w:ascii="Palatino Linotype" w:hAnsi="Palatino Linotype"/>
        </w:rPr>
        <w:t>for the government</w:t>
      </w:r>
      <w:r w:rsidR="00536F00" w:rsidRPr="003739B7">
        <w:rPr>
          <w:rFonts w:ascii="Palatino Linotype" w:hAnsi="Palatino Linotype"/>
        </w:rPr>
        <w:t>.</w:t>
      </w:r>
      <w:r w:rsidR="00A714EE" w:rsidRPr="002516B9">
        <w:rPr>
          <w:rFonts w:ascii="Palatino Linotype" w:hAnsi="Palatino Linotype"/>
        </w:rPr>
        <w:t xml:space="preserve"> There is no formal time limit for the making of this decision.</w:t>
      </w:r>
      <w:r w:rsidR="00536F00" w:rsidRPr="00355202">
        <w:rPr>
          <w:rFonts w:ascii="Palatino Linotype" w:hAnsi="Palatino Linotype"/>
        </w:rPr>
        <w:t xml:space="preserve"> </w:t>
      </w:r>
      <w:r w:rsidR="00EE5F96" w:rsidRPr="0025547E">
        <w:rPr>
          <w:rFonts w:ascii="Palatino Linotype" w:hAnsi="Palatino Linotype"/>
        </w:rPr>
        <w:t xml:space="preserve">If the Message is </w:t>
      </w:r>
      <w:r w:rsidR="00EE5F96" w:rsidRPr="00061F78">
        <w:rPr>
          <w:rFonts w:ascii="Palatino Linotype" w:hAnsi="Palatino Linotype"/>
        </w:rPr>
        <w:t xml:space="preserve">granted, and </w:t>
      </w:r>
      <w:r w:rsidR="00EE5F96" w:rsidRPr="00061F78">
        <w:rPr>
          <w:rFonts w:ascii="Palatino Linotype" w:hAnsi="Palatino Linotype"/>
        </w:rPr>
        <w:lastRenderedPageBreak/>
        <w:t>the bill may proceed to Committee Stage</w:t>
      </w:r>
      <w:r w:rsidR="00974186">
        <w:rPr>
          <w:rFonts w:ascii="Palatino Linotype" w:hAnsi="Palatino Linotype"/>
        </w:rPr>
        <w:t>.</w:t>
      </w:r>
      <w:r w:rsidR="00EE5F96" w:rsidRPr="00061F78">
        <w:rPr>
          <w:rFonts w:ascii="Palatino Linotype" w:hAnsi="Palatino Linotype"/>
        </w:rPr>
        <w:t xml:space="preserve"> There is no requirement that a refusal of a Message be communicated or confirmed in any form</w:t>
      </w:r>
      <w:r w:rsidR="000F0F2D" w:rsidRPr="00061F78">
        <w:rPr>
          <w:rFonts w:ascii="Palatino Linotype" w:hAnsi="Palatino Linotype"/>
        </w:rPr>
        <w:t>; the bills can simply exist in limbo, awaiting a Money Message that will never come.</w:t>
      </w:r>
    </w:p>
    <w:p w14:paraId="0EF47383" w14:textId="77777777" w:rsidR="00974186" w:rsidRPr="00B07F84" w:rsidRDefault="00974186" w:rsidP="00994B04">
      <w:pPr>
        <w:spacing w:line="360" w:lineRule="auto"/>
        <w:jc w:val="both"/>
        <w:rPr>
          <w:rFonts w:ascii="Palatino Linotype" w:hAnsi="Palatino Linotype"/>
        </w:rPr>
      </w:pPr>
    </w:p>
    <w:p w14:paraId="056B6585" w14:textId="5AEA3170" w:rsidR="007114FE" w:rsidRPr="002516B9" w:rsidRDefault="007114FE" w:rsidP="007114FE">
      <w:pPr>
        <w:spacing w:line="360" w:lineRule="auto"/>
        <w:jc w:val="both"/>
        <w:outlineLvl w:val="1"/>
        <w:rPr>
          <w:rFonts w:ascii="Book Antiqua" w:hAnsi="Book Antiqua" w:cs="Calibri"/>
          <w:u w:val="single"/>
        </w:rPr>
      </w:pPr>
      <w:r w:rsidRPr="009C65DA">
        <w:rPr>
          <w:rFonts w:ascii="Book Antiqua" w:hAnsi="Book Antiqua" w:cs="Calibri"/>
          <w:u w:val="single"/>
        </w:rPr>
        <w:t>The Money Message in the term of t</w:t>
      </w:r>
      <w:r w:rsidRPr="003739B7">
        <w:rPr>
          <w:rFonts w:ascii="Book Antiqua" w:hAnsi="Book Antiqua" w:cs="Calibri"/>
          <w:u w:val="single"/>
        </w:rPr>
        <w:t xml:space="preserve">he 2016 minority government </w:t>
      </w:r>
    </w:p>
    <w:p w14:paraId="6BAC5958" w14:textId="5AD20CC2" w:rsidR="00550E82" w:rsidRDefault="00CD22C3" w:rsidP="00E24EA8">
      <w:pPr>
        <w:spacing w:line="360" w:lineRule="auto"/>
        <w:jc w:val="both"/>
        <w:rPr>
          <w:rFonts w:ascii="Book Antiqua" w:hAnsi="Book Antiqua" w:cs="Calibri"/>
        </w:rPr>
      </w:pPr>
      <w:r w:rsidRPr="00061F78">
        <w:rPr>
          <w:rFonts w:ascii="Book Antiqua" w:hAnsi="Book Antiqua" w:cs="Calibri"/>
        </w:rPr>
        <w:t>This procedure had</w:t>
      </w:r>
      <w:r w:rsidR="00EC74D4">
        <w:rPr>
          <w:rFonts w:ascii="Book Antiqua" w:hAnsi="Book Antiqua" w:cs="Calibri"/>
        </w:rPr>
        <w:t>, until this period,</w:t>
      </w:r>
      <w:r w:rsidRPr="00061F78">
        <w:rPr>
          <w:rFonts w:ascii="Book Antiqua" w:hAnsi="Book Antiqua" w:cs="Calibri"/>
        </w:rPr>
        <w:t xml:space="preserve"> been the subject of little controversy</w:t>
      </w:r>
      <w:r w:rsidR="00EC74D4">
        <w:rPr>
          <w:rFonts w:ascii="Book Antiqua" w:hAnsi="Book Antiqua" w:cs="Calibri"/>
        </w:rPr>
        <w:t>. The</w:t>
      </w:r>
      <w:r w:rsidR="00A17215">
        <w:rPr>
          <w:rFonts w:ascii="Book Antiqua" w:hAnsi="Book Antiqua" w:cs="Calibri"/>
        </w:rPr>
        <w:t xml:space="preserve"> main</w:t>
      </w:r>
      <w:r w:rsidR="00EC74D4">
        <w:rPr>
          <w:rFonts w:ascii="Book Antiqua" w:hAnsi="Book Antiqua" w:cs="Calibri"/>
        </w:rPr>
        <w:t xml:space="preserve"> reason being that a</w:t>
      </w:r>
      <w:r w:rsidR="009B6372">
        <w:rPr>
          <w:rFonts w:ascii="Book Antiqua" w:hAnsi="Book Antiqua" w:cs="Calibri"/>
        </w:rPr>
        <w:t xml:space="preserve"> </w:t>
      </w:r>
      <w:r w:rsidR="00EC74D4">
        <w:rPr>
          <w:rFonts w:ascii="Book Antiqua" w:hAnsi="Book Antiqua" w:cs="Calibri"/>
        </w:rPr>
        <w:t>G</w:t>
      </w:r>
      <w:r w:rsidRPr="00061F78">
        <w:rPr>
          <w:rFonts w:ascii="Book Antiqua" w:hAnsi="Book Antiqua" w:cs="Calibri"/>
        </w:rPr>
        <w:t>overnment</w:t>
      </w:r>
      <w:r w:rsidR="00EC74D4">
        <w:rPr>
          <w:rFonts w:ascii="Book Antiqua" w:hAnsi="Book Antiqua" w:cs="Calibri"/>
        </w:rPr>
        <w:t xml:space="preserve"> with a disciplined and whipped parliamentary majority could vote</w:t>
      </w:r>
      <w:r w:rsidRPr="00061F78">
        <w:rPr>
          <w:rFonts w:ascii="Book Antiqua" w:hAnsi="Book Antiqua" w:cs="Calibri"/>
        </w:rPr>
        <w:t xml:space="preserve"> </w:t>
      </w:r>
      <w:r w:rsidR="00247CC8" w:rsidRPr="00061F78">
        <w:rPr>
          <w:rFonts w:ascii="Book Antiqua" w:hAnsi="Book Antiqua" w:cs="Calibri"/>
        </w:rPr>
        <w:t xml:space="preserve">any private member’s bills (or amendments go bills) down without </w:t>
      </w:r>
      <w:r w:rsidR="009B6372">
        <w:rPr>
          <w:rFonts w:ascii="Book Antiqua" w:hAnsi="Book Antiqua" w:cs="Calibri"/>
        </w:rPr>
        <w:t xml:space="preserve">reliance on </w:t>
      </w:r>
      <w:r w:rsidR="00247CC8" w:rsidRPr="00061F78">
        <w:rPr>
          <w:rFonts w:ascii="Book Antiqua" w:hAnsi="Book Antiqua" w:cs="Calibri"/>
        </w:rPr>
        <w:t xml:space="preserve">this </w:t>
      </w:r>
      <w:r w:rsidR="00247CC8" w:rsidRPr="00B07F84">
        <w:rPr>
          <w:rFonts w:ascii="Book Antiqua" w:hAnsi="Book Antiqua" w:cs="Calibri"/>
        </w:rPr>
        <w:t xml:space="preserve">procedure. However, in the aftermath of the formation of the 2016 minority government, it became a major issue. The number of PMBs dramatically increased, from 30 in 2011 to </w:t>
      </w:r>
      <w:r w:rsidR="00247CC8" w:rsidRPr="006474AD">
        <w:rPr>
          <w:rFonts w:ascii="Book Antiqua" w:hAnsi="Book Antiqua" w:cs="Calibri"/>
        </w:rPr>
        <w:t>110 in 2017.</w:t>
      </w:r>
      <w:r w:rsidR="00247CC8" w:rsidRPr="00692FEB">
        <w:rPr>
          <w:rStyle w:val="FootnoteReference"/>
          <w:rFonts w:ascii="Book Antiqua" w:hAnsi="Book Antiqua" w:cs="Calibri"/>
        </w:rPr>
        <w:footnoteReference w:id="50"/>
      </w:r>
      <w:r w:rsidR="005D450C" w:rsidRPr="00692FEB">
        <w:rPr>
          <w:rFonts w:ascii="Book Antiqua" w:hAnsi="Book Antiqua" w:cs="Calibri"/>
        </w:rPr>
        <w:t xml:space="preserve"> As of May 2019, 99 PMBs had been agreed at Second Stage in the term</w:t>
      </w:r>
      <w:r w:rsidR="005D450C" w:rsidRPr="009C65DA">
        <w:rPr>
          <w:rFonts w:ascii="Book Antiqua" w:hAnsi="Book Antiqua" w:cs="Calibri"/>
        </w:rPr>
        <w:t xml:space="preserve"> of the minority government. </w:t>
      </w:r>
      <w:r w:rsidR="00DC68E1" w:rsidRPr="009C65DA">
        <w:rPr>
          <w:rFonts w:ascii="Book Antiqua" w:hAnsi="Book Antiqua" w:cs="Calibri"/>
        </w:rPr>
        <w:t>Only t</w:t>
      </w:r>
      <w:r w:rsidR="005D450C" w:rsidRPr="003739B7">
        <w:rPr>
          <w:rFonts w:ascii="Book Antiqua" w:hAnsi="Book Antiqua" w:cs="Calibri"/>
        </w:rPr>
        <w:t>en had passed. 6</w:t>
      </w:r>
      <w:r w:rsidR="00EB3FCD" w:rsidRPr="002516B9">
        <w:rPr>
          <w:rFonts w:ascii="Book Antiqua" w:hAnsi="Book Antiqua" w:cs="Calibri"/>
        </w:rPr>
        <w:t>9</w:t>
      </w:r>
      <w:r w:rsidR="005D450C" w:rsidRPr="00355202">
        <w:rPr>
          <w:rFonts w:ascii="Book Antiqua" w:hAnsi="Book Antiqua" w:cs="Calibri"/>
        </w:rPr>
        <w:t xml:space="preserve"> bills were stalled awaiting Committee stage, and 55 of these were awaiting money messages.</w:t>
      </w:r>
      <w:r w:rsidR="00EB3FCD" w:rsidRPr="00692FEB">
        <w:rPr>
          <w:rStyle w:val="FootnoteReference"/>
          <w:rFonts w:ascii="Book Antiqua" w:hAnsi="Book Antiqua" w:cs="Calibri"/>
        </w:rPr>
        <w:footnoteReference w:id="51"/>
      </w:r>
      <w:r w:rsidR="005D450C" w:rsidRPr="00692FEB">
        <w:rPr>
          <w:rFonts w:ascii="Book Antiqua" w:hAnsi="Book Antiqua" w:cs="Calibri"/>
        </w:rPr>
        <w:t xml:space="preserve"> </w:t>
      </w:r>
      <w:r w:rsidR="00EB3FCD" w:rsidRPr="009C65DA">
        <w:rPr>
          <w:rFonts w:ascii="Book Antiqua" w:hAnsi="Book Antiqua" w:cs="Calibri"/>
        </w:rPr>
        <w:t>14 bills were ruled not to require money messages.</w:t>
      </w:r>
      <w:r w:rsidR="00EB3FCD" w:rsidRPr="00692FEB">
        <w:rPr>
          <w:rStyle w:val="FootnoteReference"/>
          <w:rFonts w:ascii="Book Antiqua" w:hAnsi="Book Antiqua" w:cs="Calibri"/>
        </w:rPr>
        <w:footnoteReference w:id="52"/>
      </w:r>
      <w:r w:rsidR="00EB3FCD" w:rsidRPr="00692FEB">
        <w:rPr>
          <w:rFonts w:ascii="Book Antiqua" w:hAnsi="Book Antiqua" w:cs="Calibri"/>
        </w:rPr>
        <w:t xml:space="preserve"> 7 bills were granted money messages by the</w:t>
      </w:r>
      <w:r w:rsidR="00EB3FCD" w:rsidRPr="009C65DA">
        <w:rPr>
          <w:rFonts w:ascii="Book Antiqua" w:hAnsi="Book Antiqua" w:cs="Calibri"/>
        </w:rPr>
        <w:t xml:space="preserve"> government.</w:t>
      </w:r>
      <w:r w:rsidR="00DC68E1" w:rsidRPr="009C65DA">
        <w:rPr>
          <w:rFonts w:ascii="Book Antiqua" w:hAnsi="Book Antiqua" w:cs="Calibri"/>
        </w:rPr>
        <w:t xml:space="preserve"> </w:t>
      </w:r>
    </w:p>
    <w:p w14:paraId="01C9E842" w14:textId="77777777" w:rsidR="00550E82" w:rsidRDefault="00550E82" w:rsidP="00E24EA8">
      <w:pPr>
        <w:spacing w:line="360" w:lineRule="auto"/>
        <w:jc w:val="both"/>
        <w:rPr>
          <w:rFonts w:ascii="Book Antiqua" w:hAnsi="Book Antiqua" w:cs="Calibri"/>
        </w:rPr>
      </w:pPr>
    </w:p>
    <w:p w14:paraId="3785B0FC" w14:textId="0B792B87" w:rsidR="009131A3" w:rsidRDefault="00DC68E1" w:rsidP="00E24EA8">
      <w:pPr>
        <w:spacing w:line="360" w:lineRule="auto"/>
        <w:jc w:val="both"/>
        <w:rPr>
          <w:rFonts w:ascii="Book Antiqua" w:hAnsi="Book Antiqua" w:cs="Calibri"/>
        </w:rPr>
      </w:pPr>
      <w:r w:rsidRPr="009C65DA">
        <w:rPr>
          <w:rFonts w:ascii="Book Antiqua" w:hAnsi="Book Antiqua" w:cs="Calibri"/>
        </w:rPr>
        <w:t>It is not exaggeration to say that the Money Message</w:t>
      </w:r>
      <w:r w:rsidR="009B0EA3">
        <w:rPr>
          <w:rFonts w:ascii="Book Antiqua" w:hAnsi="Book Antiqua" w:cs="Calibri"/>
        </w:rPr>
        <w:t xml:space="preserve"> procedure</w:t>
      </w:r>
      <w:r w:rsidRPr="009C65DA">
        <w:rPr>
          <w:rFonts w:ascii="Book Antiqua" w:hAnsi="Book Antiqua" w:cs="Calibri"/>
        </w:rPr>
        <w:t xml:space="preserve"> ground PMBs to a halt</w:t>
      </w:r>
      <w:r w:rsidR="00550E82">
        <w:rPr>
          <w:rFonts w:ascii="Book Antiqua" w:hAnsi="Book Antiqua" w:cs="Calibri"/>
        </w:rPr>
        <w:t>;</w:t>
      </w:r>
      <w:r w:rsidR="00E24EA8" w:rsidRPr="003739B7">
        <w:rPr>
          <w:rFonts w:ascii="Book Antiqua" w:hAnsi="Book Antiqua" w:cs="Calibri"/>
        </w:rPr>
        <w:t xml:space="preserve"> </w:t>
      </w:r>
      <w:r w:rsidR="00550E82">
        <w:rPr>
          <w:rFonts w:ascii="Palatino Linotype" w:hAnsi="Palatino Linotype"/>
        </w:rPr>
        <w:t>t</w:t>
      </w:r>
      <w:r w:rsidR="00EB3FCD" w:rsidRPr="002516B9">
        <w:rPr>
          <w:rFonts w:ascii="Palatino Linotype" w:hAnsi="Palatino Linotype"/>
        </w:rPr>
        <w:t xml:space="preserve">he government’s approach </w:t>
      </w:r>
      <w:r w:rsidR="00EB3FCD" w:rsidRPr="00061F78">
        <w:rPr>
          <w:rFonts w:ascii="Palatino Linotype" w:hAnsi="Palatino Linotype"/>
        </w:rPr>
        <w:t xml:space="preserve">was to simply </w:t>
      </w:r>
      <w:r w:rsidR="00550E82">
        <w:rPr>
          <w:rFonts w:ascii="Palatino Linotype" w:hAnsi="Palatino Linotype"/>
        </w:rPr>
        <w:t xml:space="preserve">refuse Message, without comment, </w:t>
      </w:r>
      <w:r w:rsidR="00E24EA8" w:rsidRPr="00061F78">
        <w:rPr>
          <w:rFonts w:ascii="Palatino Linotype" w:hAnsi="Palatino Linotype"/>
        </w:rPr>
        <w:t>in almost all cases</w:t>
      </w:r>
      <w:r w:rsidR="00E24EA8" w:rsidRPr="006474AD">
        <w:rPr>
          <w:rFonts w:ascii="Palatino Linotype" w:hAnsi="Palatino Linotype"/>
        </w:rPr>
        <w:t xml:space="preserve">. </w:t>
      </w:r>
      <w:r w:rsidR="00EB3FCD" w:rsidRPr="006474AD">
        <w:rPr>
          <w:rFonts w:ascii="Palatino Linotype" w:hAnsi="Palatino Linotype"/>
        </w:rPr>
        <w:t>As noted by a former Clerk of Dáil Éireann writing in the Irish Times, this use of the money message procedure is “unprecedented in the past 50 years”.</w:t>
      </w:r>
      <w:bookmarkStart w:id="6" w:name="_Ref7535988"/>
      <w:r w:rsidR="00EB3FCD" w:rsidRPr="00692FEB">
        <w:rPr>
          <w:rStyle w:val="FootnoteReference"/>
          <w:rFonts w:ascii="Palatino Linotype" w:hAnsi="Palatino Linotype"/>
        </w:rPr>
        <w:footnoteReference w:id="53"/>
      </w:r>
      <w:bookmarkEnd w:id="6"/>
      <w:r w:rsidR="009131A3">
        <w:rPr>
          <w:rFonts w:ascii="Book Antiqua" w:hAnsi="Book Antiqua" w:cs="Calibri"/>
        </w:rPr>
        <w:t xml:space="preserve"> </w:t>
      </w:r>
    </w:p>
    <w:p w14:paraId="192A125B" w14:textId="77777777" w:rsidR="009131A3" w:rsidRPr="00692FEB" w:rsidRDefault="009131A3" w:rsidP="00E24EA8">
      <w:pPr>
        <w:spacing w:line="360" w:lineRule="auto"/>
        <w:jc w:val="both"/>
        <w:rPr>
          <w:rFonts w:ascii="Book Antiqua" w:hAnsi="Book Antiqua" w:cs="Calibri"/>
        </w:rPr>
      </w:pPr>
    </w:p>
    <w:p w14:paraId="5BCDCB08" w14:textId="1A4CD520" w:rsidR="00A2065E" w:rsidRPr="00692FEB" w:rsidRDefault="00192B9F" w:rsidP="0068431D">
      <w:pPr>
        <w:spacing w:line="360" w:lineRule="auto"/>
        <w:jc w:val="both"/>
        <w:rPr>
          <w:rFonts w:ascii="Book Antiqua" w:hAnsi="Book Antiqua" w:cs="Calibri"/>
        </w:rPr>
      </w:pPr>
      <w:r w:rsidRPr="009C65DA">
        <w:rPr>
          <w:rFonts w:ascii="Book Antiqua" w:hAnsi="Book Antiqua" w:cs="Calibri"/>
        </w:rPr>
        <w:t xml:space="preserve">The crucial decision about whether a Money Message is required for a bill is made not by the government, but by the </w:t>
      </w:r>
      <w:proofErr w:type="spellStart"/>
      <w:r w:rsidRPr="009C65DA">
        <w:rPr>
          <w:rFonts w:ascii="Book Antiqua" w:hAnsi="Book Antiqua" w:cs="Calibri"/>
        </w:rPr>
        <w:t>Ceann</w:t>
      </w:r>
      <w:proofErr w:type="spellEnd"/>
      <w:r w:rsidRPr="009C65DA">
        <w:rPr>
          <w:rFonts w:ascii="Book Antiqua" w:hAnsi="Book Antiqua" w:cs="Calibri"/>
        </w:rPr>
        <w:t xml:space="preserve"> </w:t>
      </w:r>
      <w:proofErr w:type="spellStart"/>
      <w:r w:rsidRPr="009C65DA">
        <w:rPr>
          <w:rFonts w:ascii="Book Antiqua" w:hAnsi="Book Antiqua" w:cs="Calibri"/>
        </w:rPr>
        <w:t>Comhairle</w:t>
      </w:r>
      <w:proofErr w:type="spellEnd"/>
      <w:r w:rsidRPr="009C65DA">
        <w:rPr>
          <w:rFonts w:ascii="Book Antiqua" w:hAnsi="Book Antiqua" w:cs="Calibri"/>
        </w:rPr>
        <w:t>. However, this process is largely a black box; we do not know how the decision is made, and what standards are used to make it.</w:t>
      </w:r>
      <w:r w:rsidR="007E5AA7" w:rsidRPr="003739B7">
        <w:rPr>
          <w:rFonts w:ascii="Book Antiqua" w:hAnsi="Book Antiqua" w:cs="Calibri"/>
        </w:rPr>
        <w:t xml:space="preserve"> </w:t>
      </w:r>
      <w:r w:rsidR="009131A3">
        <w:rPr>
          <w:rFonts w:ascii="Book Antiqua" w:hAnsi="Book Antiqua" w:cs="Calibri"/>
        </w:rPr>
        <w:t>I</w:t>
      </w:r>
      <w:r w:rsidR="007E5AA7" w:rsidRPr="003739B7">
        <w:rPr>
          <w:rFonts w:ascii="Book Antiqua" w:hAnsi="Book Antiqua" w:cs="Calibri"/>
        </w:rPr>
        <w:t xml:space="preserve">t </w:t>
      </w:r>
      <w:r w:rsidR="007E5AA7" w:rsidRPr="002516B9">
        <w:rPr>
          <w:rFonts w:ascii="Book Antiqua" w:hAnsi="Book Antiqua" w:cs="Calibri"/>
        </w:rPr>
        <w:t xml:space="preserve">seems that almost </w:t>
      </w:r>
      <w:r w:rsidR="007E5AA7" w:rsidRPr="006E162D">
        <w:rPr>
          <w:rFonts w:ascii="Book Antiqua" w:hAnsi="Book Antiqua" w:cs="Calibri"/>
        </w:rPr>
        <w:t>any</w:t>
      </w:r>
      <w:r w:rsidR="007E5AA7" w:rsidRPr="0025547E">
        <w:rPr>
          <w:rFonts w:ascii="Book Antiqua" w:hAnsi="Book Antiqua" w:cs="Calibri"/>
        </w:rPr>
        <w:t xml:space="preserve"> cost or </w:t>
      </w:r>
      <w:r w:rsidR="007E5AA7" w:rsidRPr="006E162D">
        <w:rPr>
          <w:rFonts w:ascii="Book Antiqua" w:hAnsi="Book Antiqua" w:cs="Calibri"/>
        </w:rPr>
        <w:t>expense</w:t>
      </w:r>
      <w:r w:rsidR="007E5AA7" w:rsidRPr="00D262E4">
        <w:rPr>
          <w:rFonts w:ascii="Book Antiqua" w:hAnsi="Book Antiqua" w:cs="Calibri"/>
        </w:rPr>
        <w:softHyphen/>
      </w:r>
      <w:r w:rsidR="007E5AA7" w:rsidRPr="008E5F14">
        <w:rPr>
          <w:rFonts w:ascii="Book Antiqua" w:hAnsi="Book Antiqua" w:cs="Calibri"/>
        </w:rPr>
        <w:t>—including indirect co</w:t>
      </w:r>
      <w:r w:rsidR="00AE2621" w:rsidRPr="00061F78">
        <w:rPr>
          <w:rFonts w:ascii="Book Antiqua" w:hAnsi="Book Antiqua" w:cs="Calibri"/>
        </w:rPr>
        <w:t>sts,</w:t>
      </w:r>
      <w:r w:rsidR="00AE2621" w:rsidRPr="00692FEB">
        <w:rPr>
          <w:rStyle w:val="FootnoteReference"/>
          <w:rFonts w:ascii="Book Antiqua" w:hAnsi="Book Antiqua" w:cs="Calibri"/>
        </w:rPr>
        <w:footnoteReference w:id="54"/>
      </w:r>
      <w:r w:rsidR="00AE2621" w:rsidRPr="00692FEB">
        <w:rPr>
          <w:rFonts w:ascii="Book Antiqua" w:hAnsi="Book Antiqua" w:cs="Calibri"/>
        </w:rPr>
        <w:t xml:space="preserve"> costs </w:t>
      </w:r>
      <w:r w:rsidR="00AE2621" w:rsidRPr="00692FEB">
        <w:rPr>
          <w:rFonts w:ascii="Book Antiqua" w:hAnsi="Book Antiqua" w:cs="Calibri"/>
        </w:rPr>
        <w:lastRenderedPageBreak/>
        <w:t>already appropriated elsewhere,</w:t>
      </w:r>
      <w:r w:rsidR="00AE2621" w:rsidRPr="00692FEB">
        <w:rPr>
          <w:rStyle w:val="FootnoteReference"/>
          <w:rFonts w:ascii="Book Antiqua" w:hAnsi="Book Antiqua" w:cs="Calibri"/>
        </w:rPr>
        <w:footnoteReference w:id="55"/>
      </w:r>
      <w:r w:rsidR="00AE2621" w:rsidRPr="00692FEB">
        <w:rPr>
          <w:rFonts w:ascii="Book Antiqua" w:hAnsi="Book Antiqua" w:cs="Calibri"/>
        </w:rPr>
        <w:t xml:space="preserve"> minor enforcement costs,</w:t>
      </w:r>
      <w:r w:rsidR="00AE2621" w:rsidRPr="00692FEB">
        <w:rPr>
          <w:rStyle w:val="FootnoteReference"/>
          <w:rFonts w:ascii="Book Antiqua" w:hAnsi="Book Antiqua" w:cs="Calibri"/>
        </w:rPr>
        <w:footnoteReference w:id="56"/>
      </w:r>
      <w:r w:rsidR="00AE2621" w:rsidRPr="00692FEB">
        <w:rPr>
          <w:rFonts w:ascii="Book Antiqua" w:hAnsi="Book Antiqua" w:cs="Calibri"/>
        </w:rPr>
        <w:t xml:space="preserve"> minor administration costs</w:t>
      </w:r>
      <w:r w:rsidR="00C637E3" w:rsidRPr="00692FEB">
        <w:rPr>
          <w:rStyle w:val="FootnoteReference"/>
          <w:rFonts w:ascii="Book Antiqua" w:hAnsi="Book Antiqua" w:cs="Calibri"/>
        </w:rPr>
        <w:footnoteReference w:id="57"/>
      </w:r>
      <w:r w:rsidR="00AE2621" w:rsidRPr="00692FEB">
        <w:rPr>
          <w:rFonts w:ascii="Book Antiqua" w:hAnsi="Book Antiqua" w:cs="Calibri"/>
        </w:rPr>
        <w:t>—will trigger the Money Message procedure.</w:t>
      </w:r>
      <w:r w:rsidR="0044744F" w:rsidRPr="009C65DA">
        <w:rPr>
          <w:rFonts w:ascii="Book Antiqua" w:hAnsi="Book Antiqua" w:cs="Calibri"/>
        </w:rPr>
        <w:t xml:space="preserve"> </w:t>
      </w:r>
      <w:r w:rsidR="005B2470" w:rsidRPr="006E162D">
        <w:rPr>
          <w:rFonts w:ascii="Book Antiqua" w:hAnsi="Book Antiqua" w:cs="Calibri"/>
        </w:rPr>
        <w:t xml:space="preserve">It is also not clear that there is consistency in application of the rules. Some of the bills that have ruled not to require Money Messages appear to have the same </w:t>
      </w:r>
      <w:r w:rsidR="00442764" w:rsidRPr="006E162D">
        <w:rPr>
          <w:rFonts w:ascii="Book Antiqua" w:hAnsi="Book Antiqua" w:cs="Calibri"/>
        </w:rPr>
        <w:t xml:space="preserve">levels of </w:t>
      </w:r>
      <w:r w:rsidR="00BF7249" w:rsidRPr="006E162D">
        <w:rPr>
          <w:rFonts w:ascii="Book Antiqua" w:hAnsi="Book Antiqua" w:cs="Calibri"/>
        </w:rPr>
        <w:t>expenditure as others that have been said to require one.</w:t>
      </w:r>
      <w:r w:rsidR="00FB336A" w:rsidRPr="00692FEB">
        <w:rPr>
          <w:rStyle w:val="FootnoteReference"/>
          <w:rFonts w:ascii="Book Antiqua" w:hAnsi="Book Antiqua" w:cs="Calibri"/>
        </w:rPr>
        <w:footnoteReference w:id="58"/>
      </w:r>
    </w:p>
    <w:p w14:paraId="005F0EF5" w14:textId="77777777" w:rsidR="00A2065E" w:rsidRPr="009C65DA" w:rsidRDefault="00A2065E" w:rsidP="0068431D">
      <w:pPr>
        <w:spacing w:line="360" w:lineRule="auto"/>
        <w:jc w:val="both"/>
        <w:rPr>
          <w:rFonts w:ascii="Book Antiqua" w:hAnsi="Book Antiqua" w:cs="Calibri"/>
        </w:rPr>
      </w:pPr>
    </w:p>
    <w:p w14:paraId="1E85789D" w14:textId="327E7862" w:rsidR="0044744F" w:rsidRPr="006E162D" w:rsidRDefault="00A2065E" w:rsidP="00563E7D">
      <w:pPr>
        <w:spacing w:line="360" w:lineRule="auto"/>
        <w:jc w:val="both"/>
        <w:rPr>
          <w:rFonts w:ascii="Book Antiqua" w:hAnsi="Book Antiqua" w:cs="Calibri"/>
          <w:color w:val="000000" w:themeColor="text1"/>
        </w:rPr>
      </w:pPr>
      <w:r w:rsidRPr="009C65DA">
        <w:rPr>
          <w:rFonts w:ascii="Book Antiqua" w:hAnsi="Book Antiqua" w:cs="Calibri"/>
        </w:rPr>
        <w:t>Particular controvers</w:t>
      </w:r>
      <w:r w:rsidRPr="003739B7">
        <w:rPr>
          <w:rFonts w:ascii="Book Antiqua" w:hAnsi="Book Antiqua" w:cs="Calibri"/>
        </w:rPr>
        <w:t>y arose about the Climate Emergency Measures Bill 2</w:t>
      </w:r>
      <w:r w:rsidRPr="002516B9">
        <w:rPr>
          <w:rFonts w:ascii="Book Antiqua" w:hAnsi="Book Antiqua" w:cs="Calibri"/>
        </w:rPr>
        <w:t>018. Its direct costs were minimal, perhaps nugatory</w:t>
      </w:r>
      <w:r w:rsidR="009B2789" w:rsidRPr="00061F78">
        <w:rPr>
          <w:rFonts w:ascii="Book Antiqua" w:hAnsi="Book Antiqua" w:cs="Calibri"/>
        </w:rPr>
        <w:t>,</w:t>
      </w:r>
      <w:r w:rsidRPr="00061F78">
        <w:rPr>
          <w:rFonts w:ascii="Book Antiqua" w:hAnsi="Book Antiqua" w:cs="Calibri"/>
        </w:rPr>
        <w:t xml:space="preserve"> in requiring </w:t>
      </w:r>
      <w:r w:rsidR="009B2789" w:rsidRPr="00061F78">
        <w:rPr>
          <w:rFonts w:ascii="Book Antiqua" w:hAnsi="Book Antiqua" w:cs="Calibri"/>
        </w:rPr>
        <w:t xml:space="preserve">the relevant Minister to take account of various environmental factors in considering the grant of petroleum drilling </w:t>
      </w:r>
      <w:proofErr w:type="gramStart"/>
      <w:r w:rsidR="009B2789" w:rsidRPr="00061F78">
        <w:rPr>
          <w:rFonts w:ascii="Book Antiqua" w:hAnsi="Book Antiqua" w:cs="Calibri"/>
        </w:rPr>
        <w:t>licences, and</w:t>
      </w:r>
      <w:proofErr w:type="gramEnd"/>
      <w:r w:rsidR="009B2789" w:rsidRPr="00061F78">
        <w:rPr>
          <w:rFonts w:ascii="Book Antiqua" w:hAnsi="Book Antiqua" w:cs="Calibri"/>
        </w:rPr>
        <w:t xml:space="preserve"> </w:t>
      </w:r>
      <w:r w:rsidR="009B2789" w:rsidRPr="00B07F84">
        <w:rPr>
          <w:rFonts w:ascii="Book Antiqua" w:hAnsi="Book Antiqua" w:cs="Calibri"/>
        </w:rPr>
        <w:t>preventing the Minister from granting licences that would</w:t>
      </w:r>
      <w:r w:rsidR="009B2789" w:rsidRPr="00727629">
        <w:rPr>
          <w:rFonts w:ascii="Book Antiqua" w:hAnsi="Book Antiqua" w:cs="Calibri"/>
        </w:rPr>
        <w:t xml:space="preserve"> have certain environmental effects.</w:t>
      </w:r>
      <w:r w:rsidR="005B2470" w:rsidRPr="00692FEB">
        <w:rPr>
          <w:rFonts w:ascii="Book Antiqua" w:hAnsi="Book Antiqua" w:cs="Calibri"/>
        </w:rPr>
        <w:t xml:space="preserve"> The </w:t>
      </w:r>
      <w:r w:rsidR="005B2470" w:rsidRPr="006E162D">
        <w:rPr>
          <w:rFonts w:ascii="Book Antiqua" w:hAnsi="Book Antiqua" w:cs="Calibri"/>
          <w:i/>
          <w:iCs/>
        </w:rPr>
        <w:t>economic</w:t>
      </w:r>
      <w:r w:rsidR="005B2470" w:rsidRPr="00692FEB">
        <w:rPr>
          <w:rFonts w:ascii="Book Antiqua" w:hAnsi="Book Antiqua" w:cs="Calibri"/>
        </w:rPr>
        <w:t xml:space="preserve"> effects of this may have been significant in lost revenue from the operation of petroleum companies, but the </w:t>
      </w:r>
      <w:r w:rsidR="005B2470" w:rsidRPr="009C65DA">
        <w:rPr>
          <w:rFonts w:ascii="Book Antiqua" w:hAnsi="Book Antiqua" w:cs="Calibri"/>
          <w:i/>
          <w:iCs/>
        </w:rPr>
        <w:t>appropriation</w:t>
      </w:r>
      <w:r w:rsidR="005B2470" w:rsidRPr="009C65DA">
        <w:rPr>
          <w:rFonts w:ascii="Book Antiqua" w:hAnsi="Book Antiqua" w:cs="Calibri"/>
        </w:rPr>
        <w:t xml:space="preserve"> was</w:t>
      </w:r>
      <w:r w:rsidR="00B76AAF">
        <w:rPr>
          <w:rFonts w:ascii="Book Antiqua" w:hAnsi="Book Antiqua" w:cs="Calibri"/>
        </w:rPr>
        <w:t xml:space="preserve"> scant</w:t>
      </w:r>
      <w:r w:rsidR="005B2470" w:rsidRPr="009C65DA">
        <w:rPr>
          <w:rFonts w:ascii="Book Antiqua" w:hAnsi="Book Antiqua" w:cs="Calibri"/>
        </w:rPr>
        <w:t xml:space="preserve">. </w:t>
      </w:r>
      <w:r w:rsidR="005B2470" w:rsidRPr="002516B9">
        <w:rPr>
          <w:rFonts w:ascii="Book Antiqua" w:hAnsi="Book Antiqua" w:cs="Calibri"/>
        </w:rPr>
        <w:t xml:space="preserve">That the measure was likely costless was affirmed by the fact that the </w:t>
      </w:r>
      <w:proofErr w:type="spellStart"/>
      <w:r w:rsidR="005B2470" w:rsidRPr="002516B9">
        <w:rPr>
          <w:rFonts w:ascii="Book Antiqua" w:hAnsi="Book Antiqua" w:cs="Calibri"/>
        </w:rPr>
        <w:t>Ceann</w:t>
      </w:r>
      <w:proofErr w:type="spellEnd"/>
      <w:r w:rsidR="005B2470" w:rsidRPr="002516B9">
        <w:rPr>
          <w:rFonts w:ascii="Book Antiqua" w:hAnsi="Book Antiqua" w:cs="Calibri"/>
        </w:rPr>
        <w:t xml:space="preserve"> </w:t>
      </w:r>
      <w:proofErr w:type="spellStart"/>
      <w:r w:rsidR="005B2470" w:rsidRPr="002516B9">
        <w:rPr>
          <w:rFonts w:ascii="Book Antiqua" w:hAnsi="Book Antiqua" w:cs="Calibri"/>
        </w:rPr>
        <w:t>Comhairle</w:t>
      </w:r>
      <w:proofErr w:type="spellEnd"/>
      <w:r w:rsidR="005B2470" w:rsidRPr="002516B9">
        <w:rPr>
          <w:rFonts w:ascii="Book Antiqua" w:hAnsi="Book Antiqua" w:cs="Calibri"/>
        </w:rPr>
        <w:t xml:space="preserve"> initially decided that no Money Message was required.</w:t>
      </w:r>
      <w:r w:rsidR="0034032E" w:rsidRPr="00061F78">
        <w:rPr>
          <w:rFonts w:ascii="Book Antiqua" w:hAnsi="Book Antiqua" w:cs="Calibri"/>
        </w:rPr>
        <w:t xml:space="preserve"> However, the government later wrote the </w:t>
      </w:r>
      <w:proofErr w:type="spellStart"/>
      <w:r w:rsidR="0034032E" w:rsidRPr="00061F78">
        <w:rPr>
          <w:rFonts w:ascii="Book Antiqua" w:hAnsi="Book Antiqua" w:cs="Calibri"/>
        </w:rPr>
        <w:t>Ceann</w:t>
      </w:r>
      <w:proofErr w:type="spellEnd"/>
      <w:r w:rsidR="0034032E" w:rsidRPr="00061F78">
        <w:rPr>
          <w:rFonts w:ascii="Book Antiqua" w:hAnsi="Book Antiqua" w:cs="Calibri"/>
        </w:rPr>
        <w:t xml:space="preserve"> </w:t>
      </w:r>
      <w:proofErr w:type="spellStart"/>
      <w:r w:rsidR="0034032E" w:rsidRPr="00061F78">
        <w:rPr>
          <w:rFonts w:ascii="Book Antiqua" w:hAnsi="Book Antiqua" w:cs="Calibri"/>
        </w:rPr>
        <w:t>Comhairle</w:t>
      </w:r>
      <w:proofErr w:type="spellEnd"/>
      <w:r w:rsidR="0034032E" w:rsidRPr="00061F78">
        <w:rPr>
          <w:rFonts w:ascii="Book Antiqua" w:hAnsi="Book Antiqua" w:cs="Calibri"/>
        </w:rPr>
        <w:t xml:space="preserve"> expressing concern about the Bill</w:t>
      </w:r>
      <w:r w:rsidR="00067FFE" w:rsidRPr="00061F78">
        <w:rPr>
          <w:rFonts w:ascii="Book Antiqua" w:hAnsi="Book Antiqua" w:cs="Calibri"/>
        </w:rPr>
        <w:t>,</w:t>
      </w:r>
      <w:r w:rsidR="0034032E" w:rsidRPr="00061F78">
        <w:rPr>
          <w:rFonts w:ascii="Book Antiqua" w:hAnsi="Book Antiqua" w:cs="Calibri"/>
        </w:rPr>
        <w:t xml:space="preserve"> and in a</w:t>
      </w:r>
      <w:r w:rsidR="00067FFE" w:rsidRPr="00D47D06">
        <w:rPr>
          <w:rFonts w:ascii="Book Antiqua" w:hAnsi="Book Antiqua" w:cs="Calibri"/>
        </w:rPr>
        <w:t xml:space="preserve">n extraordinary move, the </w:t>
      </w:r>
      <w:proofErr w:type="spellStart"/>
      <w:r w:rsidR="00067FFE" w:rsidRPr="00D47D06">
        <w:rPr>
          <w:rFonts w:ascii="Book Antiqua" w:hAnsi="Book Antiqua" w:cs="Calibri"/>
        </w:rPr>
        <w:t>Ceann</w:t>
      </w:r>
      <w:proofErr w:type="spellEnd"/>
      <w:r w:rsidR="00067FFE" w:rsidRPr="00D47D06">
        <w:rPr>
          <w:rFonts w:ascii="Book Antiqua" w:hAnsi="Book Antiqua" w:cs="Calibri"/>
        </w:rPr>
        <w:t xml:space="preserve"> </w:t>
      </w:r>
      <w:proofErr w:type="spellStart"/>
      <w:r w:rsidR="00067FFE" w:rsidRPr="00D47D06">
        <w:rPr>
          <w:rFonts w:ascii="Book Antiqua" w:hAnsi="Book Antiqua" w:cs="Calibri"/>
        </w:rPr>
        <w:t>Comhairle</w:t>
      </w:r>
      <w:proofErr w:type="spellEnd"/>
      <w:r w:rsidR="00067FFE" w:rsidRPr="00D47D06">
        <w:rPr>
          <w:rFonts w:ascii="Book Antiqua" w:hAnsi="Book Antiqua" w:cs="Calibri"/>
        </w:rPr>
        <w:t xml:space="preserve"> reversed his position and deemed a Money Message to be required.</w:t>
      </w:r>
      <w:r w:rsidR="00067FFE" w:rsidRPr="00692FEB">
        <w:rPr>
          <w:rStyle w:val="FootnoteReference"/>
          <w:rFonts w:ascii="Book Antiqua" w:hAnsi="Book Antiqua" w:cs="Calibri"/>
        </w:rPr>
        <w:footnoteReference w:id="59"/>
      </w:r>
      <w:r w:rsidR="00067FFE" w:rsidRPr="00692FEB">
        <w:rPr>
          <w:rFonts w:ascii="Book Antiqua" w:hAnsi="Book Antiqua" w:cs="Calibri"/>
        </w:rPr>
        <w:t xml:space="preserve"> </w:t>
      </w:r>
      <w:r w:rsidR="005E6683">
        <w:rPr>
          <w:rFonts w:ascii="Book Antiqua" w:hAnsi="Book Antiqua" w:cs="Calibri"/>
        </w:rPr>
        <w:t xml:space="preserve">This incident raises </w:t>
      </w:r>
      <w:r w:rsidR="005E6683">
        <w:rPr>
          <w:rFonts w:ascii="Book Antiqua" w:hAnsi="Book Antiqua" w:cs="Calibri"/>
        </w:rPr>
        <w:tab/>
        <w:t>questions about</w:t>
      </w:r>
      <w:r w:rsidR="00067FFE" w:rsidRPr="00692FEB">
        <w:rPr>
          <w:rFonts w:ascii="Book Antiqua" w:hAnsi="Book Antiqua" w:cs="Calibri"/>
        </w:rPr>
        <w:t xml:space="preserve"> </w:t>
      </w:r>
      <w:r w:rsidR="005E6683">
        <w:rPr>
          <w:rFonts w:ascii="Book Antiqua" w:hAnsi="Book Antiqua" w:cs="Calibri"/>
        </w:rPr>
        <w:t xml:space="preserve">the </w:t>
      </w:r>
      <w:r w:rsidR="00067FFE" w:rsidRPr="00692FEB">
        <w:rPr>
          <w:rFonts w:ascii="Book Antiqua" w:hAnsi="Book Antiqua" w:cs="Calibri"/>
        </w:rPr>
        <w:t>p</w:t>
      </w:r>
      <w:r w:rsidR="00067FFE" w:rsidRPr="009C65DA">
        <w:rPr>
          <w:rFonts w:ascii="Book Antiqua" w:hAnsi="Book Antiqua" w:cs="Calibri"/>
        </w:rPr>
        <w:t xml:space="preserve">rocess </w:t>
      </w:r>
      <w:r w:rsidR="005E6683">
        <w:rPr>
          <w:rFonts w:ascii="Book Antiqua" w:hAnsi="Book Antiqua" w:cs="Calibri"/>
        </w:rPr>
        <w:t xml:space="preserve">being </w:t>
      </w:r>
      <w:r w:rsidR="00067FFE" w:rsidRPr="009C65DA">
        <w:rPr>
          <w:rFonts w:ascii="Book Antiqua" w:hAnsi="Book Antiqua" w:cs="Calibri"/>
        </w:rPr>
        <w:t xml:space="preserve">independent of government, </w:t>
      </w:r>
      <w:r w:rsidR="005E6683">
        <w:rPr>
          <w:rFonts w:ascii="Book Antiqua" w:hAnsi="Book Antiqua" w:cs="Calibri"/>
        </w:rPr>
        <w:t xml:space="preserve">but also about </w:t>
      </w:r>
      <w:r w:rsidR="00067FFE" w:rsidRPr="006E162D">
        <w:rPr>
          <w:rFonts w:ascii="Book Antiqua" w:hAnsi="Book Antiqua" w:cs="Calibri"/>
          <w:color w:val="000000" w:themeColor="text1"/>
        </w:rPr>
        <w:t xml:space="preserve">the </w:t>
      </w:r>
      <w:r w:rsidR="00906D68" w:rsidRPr="006E162D">
        <w:rPr>
          <w:rFonts w:ascii="Book Antiqua" w:hAnsi="Book Antiqua" w:cs="Calibri"/>
          <w:color w:val="000000" w:themeColor="text1"/>
        </w:rPr>
        <w:t>methods used to make these determinations.</w:t>
      </w:r>
      <w:r w:rsidR="007425D3">
        <w:rPr>
          <w:rStyle w:val="FootnoteReference"/>
          <w:rFonts w:ascii="Book Antiqua" w:hAnsi="Book Antiqua" w:cs="Calibri"/>
          <w:color w:val="000000" w:themeColor="text1"/>
        </w:rPr>
        <w:footnoteReference w:id="60"/>
      </w:r>
    </w:p>
    <w:p w14:paraId="253EC22B" w14:textId="77777777" w:rsidR="00D616EC" w:rsidRPr="006E162D" w:rsidRDefault="00D616EC" w:rsidP="007425D3">
      <w:pPr>
        <w:spacing w:line="360" w:lineRule="auto"/>
        <w:jc w:val="both"/>
        <w:rPr>
          <w:rFonts w:ascii="Book Antiqua" w:hAnsi="Book Antiqua" w:cs="Calibri"/>
        </w:rPr>
      </w:pPr>
    </w:p>
    <w:p w14:paraId="1A397B9F" w14:textId="72301B24" w:rsidR="00906D68" w:rsidRPr="00692FEB" w:rsidRDefault="00906D68" w:rsidP="00906D68">
      <w:pPr>
        <w:spacing w:line="360" w:lineRule="auto"/>
        <w:jc w:val="both"/>
        <w:rPr>
          <w:rFonts w:ascii="Book Antiqua" w:hAnsi="Book Antiqua" w:cs="Calibri"/>
        </w:rPr>
      </w:pPr>
      <w:r w:rsidRPr="006E162D">
        <w:rPr>
          <w:rFonts w:ascii="Book Antiqua" w:hAnsi="Book Antiqua" w:cs="Calibri"/>
        </w:rPr>
        <w:t>The high number of PMBs, and dissatisfaction about their progress, led the signing of a Memorandum of Understanding (MoU) between the government and the sub-</w:t>
      </w:r>
      <w:r w:rsidRPr="006E162D">
        <w:rPr>
          <w:rFonts w:ascii="Book Antiqua" w:hAnsi="Book Antiqua" w:cs="Calibri"/>
        </w:rPr>
        <w:lastRenderedPageBreak/>
        <w:t>Committee on D</w:t>
      </w:r>
      <w:r w:rsidR="009B36EF" w:rsidRPr="006E162D">
        <w:rPr>
          <w:rFonts w:ascii="Book Antiqua" w:hAnsi="Book Antiqua" w:cs="Calibri"/>
        </w:rPr>
        <w:t>á</w:t>
      </w:r>
      <w:r w:rsidRPr="006E162D">
        <w:rPr>
          <w:rFonts w:ascii="Book Antiqua" w:hAnsi="Book Antiqua" w:cs="Calibri"/>
        </w:rPr>
        <w:t xml:space="preserve">il reform, which was formally adopted in December 2018. It provided for wider use of the “Detailed Scrutiny” procedure for a PMB that passes Second Stage; the suspending of the Money Message procedure until after the Detailed Scrutiny report is completed and a recommendation made about the Bill proceeding to Committee Stage; and the government committed to making a decision to issue a Money Message within a six week period or, in the alternative, to provide a “reasoned response” as to why such a Message was </w:t>
      </w:r>
      <w:r w:rsidR="009F57B1">
        <w:rPr>
          <w:rFonts w:ascii="Book Antiqua" w:hAnsi="Book Antiqua" w:cs="Calibri"/>
        </w:rPr>
        <w:t>refused</w:t>
      </w:r>
      <w:r w:rsidRPr="009F57B1">
        <w:rPr>
          <w:rFonts w:ascii="Book Antiqua" w:hAnsi="Book Antiqua" w:cs="Calibri"/>
        </w:rPr>
        <w:t>.</w:t>
      </w:r>
      <w:r w:rsidRPr="00692FEB">
        <w:rPr>
          <w:rStyle w:val="FootnoteReference"/>
          <w:rFonts w:ascii="Book Antiqua" w:hAnsi="Book Antiqua" w:cs="Calibri"/>
        </w:rPr>
        <w:footnoteReference w:id="61"/>
      </w:r>
    </w:p>
    <w:p w14:paraId="3623A424" w14:textId="04117978" w:rsidR="00DB1D37" w:rsidRPr="009C65DA" w:rsidRDefault="00DB1D37" w:rsidP="0068431D">
      <w:pPr>
        <w:spacing w:line="360" w:lineRule="auto"/>
        <w:jc w:val="both"/>
        <w:rPr>
          <w:rFonts w:ascii="Book Antiqua" w:hAnsi="Book Antiqua" w:cs="Calibri"/>
        </w:rPr>
      </w:pPr>
    </w:p>
    <w:p w14:paraId="55F4652F" w14:textId="1AF0FBA3" w:rsidR="00D616EC" w:rsidRPr="00061F78" w:rsidRDefault="00906D68" w:rsidP="0068431D">
      <w:pPr>
        <w:spacing w:line="360" w:lineRule="auto"/>
        <w:jc w:val="both"/>
        <w:rPr>
          <w:rFonts w:ascii="Book Antiqua" w:hAnsi="Book Antiqua" w:cs="Calibri"/>
        </w:rPr>
      </w:pPr>
      <w:r w:rsidRPr="009C65DA">
        <w:rPr>
          <w:rFonts w:ascii="Book Antiqua" w:hAnsi="Book Antiqua" w:cs="Calibri"/>
        </w:rPr>
        <w:t xml:space="preserve">In terms of the government’s decisions to </w:t>
      </w:r>
      <w:r w:rsidR="00EC5F23">
        <w:rPr>
          <w:rFonts w:ascii="Book Antiqua" w:hAnsi="Book Antiqua" w:cs="Calibri"/>
        </w:rPr>
        <w:t>refuse</w:t>
      </w:r>
      <w:r w:rsidR="00EC5F23" w:rsidRPr="003739B7">
        <w:rPr>
          <w:rFonts w:ascii="Book Antiqua" w:hAnsi="Book Antiqua" w:cs="Calibri"/>
        </w:rPr>
        <w:t xml:space="preserve"> </w:t>
      </w:r>
      <w:r w:rsidRPr="003739B7">
        <w:rPr>
          <w:rFonts w:ascii="Book Antiqua" w:hAnsi="Book Antiqua" w:cs="Calibri"/>
        </w:rPr>
        <w:t xml:space="preserve">Money Messages </w:t>
      </w:r>
      <w:r w:rsidR="00EC5F23">
        <w:rPr>
          <w:rFonts w:ascii="Book Antiqua" w:hAnsi="Book Antiqua" w:cs="Calibri"/>
        </w:rPr>
        <w:t>for</w:t>
      </w:r>
      <w:r w:rsidR="00EC5F23" w:rsidRPr="003739B7">
        <w:rPr>
          <w:rFonts w:ascii="Book Antiqua" w:hAnsi="Book Antiqua" w:cs="Calibri"/>
        </w:rPr>
        <w:t xml:space="preserve"> </w:t>
      </w:r>
      <w:r w:rsidRPr="003739B7">
        <w:rPr>
          <w:rFonts w:ascii="Book Antiqua" w:hAnsi="Book Antiqua" w:cs="Calibri"/>
        </w:rPr>
        <w:t>certain bills, it was initiall</w:t>
      </w:r>
      <w:r w:rsidRPr="002516B9">
        <w:rPr>
          <w:rFonts w:ascii="Book Antiqua" w:hAnsi="Book Antiqua" w:cs="Calibri"/>
        </w:rPr>
        <w:t>y unclear if the government limited itself to financial considerations or if it felt entitled to refuse on other grounds.</w:t>
      </w:r>
      <w:r w:rsidR="009F57B1">
        <w:rPr>
          <w:rFonts w:ascii="Book Antiqua" w:hAnsi="Book Antiqua" w:cs="Calibri"/>
        </w:rPr>
        <w:t xml:space="preserve"> Several commentators felt it should be so limited.</w:t>
      </w:r>
      <w:r w:rsidR="001F073F" w:rsidRPr="00692FEB">
        <w:rPr>
          <w:rStyle w:val="FootnoteReference"/>
          <w:rFonts w:ascii="Book Antiqua" w:hAnsi="Book Antiqua" w:cs="Calibri"/>
        </w:rPr>
        <w:footnoteReference w:id="62"/>
      </w:r>
      <w:r w:rsidR="001F073F" w:rsidRPr="00692FEB">
        <w:rPr>
          <w:rFonts w:ascii="Book Antiqua" w:hAnsi="Book Antiqua" w:cs="Calibri"/>
        </w:rPr>
        <w:t xml:space="preserve"> </w:t>
      </w:r>
      <w:r w:rsidR="00274A0F" w:rsidRPr="00692FEB">
        <w:rPr>
          <w:rFonts w:ascii="Book Antiqua" w:hAnsi="Book Antiqua" w:cs="Calibri"/>
        </w:rPr>
        <w:t>But it bec</w:t>
      </w:r>
      <w:r w:rsidR="00EC5F23">
        <w:rPr>
          <w:rFonts w:ascii="Book Antiqua" w:hAnsi="Book Antiqua" w:cs="Calibri"/>
        </w:rPr>
        <w:t>a</w:t>
      </w:r>
      <w:r w:rsidR="00274A0F" w:rsidRPr="00692FEB">
        <w:rPr>
          <w:rFonts w:ascii="Book Antiqua" w:hAnsi="Book Antiqua" w:cs="Calibri"/>
        </w:rPr>
        <w:t xml:space="preserve">me apparent that the government does not feel restrained in this way. First, since the government began to issue “reasoned responses” for its refusal of Money Messages, </w:t>
      </w:r>
      <w:r w:rsidR="00B614E6" w:rsidRPr="009C65DA">
        <w:rPr>
          <w:rFonts w:ascii="Book Antiqua" w:hAnsi="Book Antiqua" w:cs="Calibri"/>
        </w:rPr>
        <w:t xml:space="preserve">in some cases </w:t>
      </w:r>
      <w:r w:rsidR="00274A0F" w:rsidRPr="009C65DA">
        <w:rPr>
          <w:rFonts w:ascii="Book Antiqua" w:hAnsi="Book Antiqua" w:cs="Calibri"/>
        </w:rPr>
        <w:t xml:space="preserve">it has </w:t>
      </w:r>
      <w:r w:rsidR="00B614E6" w:rsidRPr="003739B7">
        <w:rPr>
          <w:rFonts w:ascii="Book Antiqua" w:hAnsi="Book Antiqua" w:cs="Calibri"/>
        </w:rPr>
        <w:t>cited costs as the reason for refusal,</w:t>
      </w:r>
      <w:r w:rsidR="00B614E6" w:rsidRPr="00692FEB">
        <w:rPr>
          <w:rStyle w:val="FootnoteReference"/>
          <w:rFonts w:ascii="Book Antiqua" w:hAnsi="Book Antiqua" w:cs="Calibri"/>
        </w:rPr>
        <w:footnoteReference w:id="63"/>
      </w:r>
      <w:r w:rsidR="00B614E6" w:rsidRPr="00692FEB">
        <w:rPr>
          <w:rFonts w:ascii="Book Antiqua" w:hAnsi="Book Antiqua" w:cs="Calibri"/>
        </w:rPr>
        <w:t xml:space="preserve"> but sometimes </w:t>
      </w:r>
      <w:r w:rsidR="00274A0F" w:rsidRPr="009C65DA">
        <w:rPr>
          <w:rFonts w:ascii="Book Antiqua" w:hAnsi="Book Antiqua" w:cs="Calibri"/>
        </w:rPr>
        <w:t xml:space="preserve">is has </w:t>
      </w:r>
      <w:r w:rsidR="00B614E6" w:rsidRPr="009C65DA">
        <w:rPr>
          <w:rFonts w:ascii="Book Antiqua" w:hAnsi="Book Antiqua" w:cs="Calibri"/>
        </w:rPr>
        <w:t>not</w:t>
      </w:r>
      <w:r w:rsidR="00274A0F" w:rsidRPr="003739B7">
        <w:rPr>
          <w:rFonts w:ascii="Book Antiqua" w:hAnsi="Book Antiqua" w:cs="Calibri"/>
        </w:rPr>
        <w:t>, clearly refusing for other reasons</w:t>
      </w:r>
      <w:r w:rsidR="00B614E6" w:rsidRPr="002516B9">
        <w:rPr>
          <w:rFonts w:ascii="Book Antiqua" w:hAnsi="Book Antiqua" w:cs="Calibri"/>
        </w:rPr>
        <w:t>.</w:t>
      </w:r>
      <w:r w:rsidR="00B614E6" w:rsidRPr="00692FEB">
        <w:rPr>
          <w:rStyle w:val="FootnoteReference"/>
          <w:rFonts w:ascii="Book Antiqua" w:hAnsi="Book Antiqua" w:cs="Calibri"/>
        </w:rPr>
        <w:footnoteReference w:id="64"/>
      </w:r>
      <w:r w:rsidR="00885100" w:rsidRPr="00692FEB">
        <w:rPr>
          <w:rFonts w:ascii="Book Antiqua" w:hAnsi="Book Antiqua" w:cs="Calibri"/>
        </w:rPr>
        <w:t xml:space="preserve"> In December 2019, commenting on the controversy around the Money Message, Taoiseach Leo Varadkar made it clear that the government felt entitled to ref</w:t>
      </w:r>
      <w:r w:rsidR="00885100" w:rsidRPr="009C65DA">
        <w:rPr>
          <w:rFonts w:ascii="Book Antiqua" w:hAnsi="Book Antiqua" w:cs="Calibri"/>
        </w:rPr>
        <w:t>used for several reasons</w:t>
      </w:r>
      <w:r w:rsidR="00D616EC" w:rsidRPr="009C65DA">
        <w:rPr>
          <w:rFonts w:ascii="Book Antiqua" w:hAnsi="Book Antiqua" w:cs="Calibri"/>
        </w:rPr>
        <w:t>. Only one of them related to money</w:t>
      </w:r>
      <w:r w:rsidR="00281C69" w:rsidRPr="003739B7">
        <w:rPr>
          <w:rFonts w:ascii="Book Antiqua" w:hAnsi="Book Antiqua" w:cs="Calibri"/>
        </w:rPr>
        <w:t>, w</w:t>
      </w:r>
      <w:r w:rsidR="00281C69" w:rsidRPr="002516B9">
        <w:rPr>
          <w:rFonts w:ascii="Book Antiqua" w:hAnsi="Book Antiqua" w:cs="Calibri"/>
        </w:rPr>
        <w:t xml:space="preserve">ith two relating to legality and one to simple </w:t>
      </w:r>
      <w:r w:rsidR="007A416D">
        <w:rPr>
          <w:rFonts w:ascii="Book Antiqua" w:hAnsi="Book Antiqua" w:cs="Calibri"/>
        </w:rPr>
        <w:t xml:space="preserve">preference of its own </w:t>
      </w:r>
      <w:proofErr w:type="gramStart"/>
      <w:r w:rsidR="007A416D">
        <w:rPr>
          <w:rFonts w:ascii="Book Antiqua" w:hAnsi="Book Antiqua" w:cs="Calibri"/>
        </w:rPr>
        <w:t xml:space="preserve">legislation </w:t>
      </w:r>
      <w:r w:rsidR="00D616EC" w:rsidRPr="00061F78">
        <w:rPr>
          <w:rFonts w:ascii="Book Antiqua" w:hAnsi="Book Antiqua" w:cs="Calibri"/>
        </w:rPr>
        <w:t>:</w:t>
      </w:r>
      <w:proofErr w:type="gramEnd"/>
    </w:p>
    <w:p w14:paraId="2B65874D" w14:textId="77777777" w:rsidR="00D616EC" w:rsidRPr="00061F78" w:rsidRDefault="00D616EC" w:rsidP="0068431D">
      <w:pPr>
        <w:spacing w:line="360" w:lineRule="auto"/>
        <w:jc w:val="both"/>
        <w:rPr>
          <w:rFonts w:ascii="Book Antiqua" w:hAnsi="Book Antiqua" w:cs="Calibri"/>
        </w:rPr>
      </w:pPr>
    </w:p>
    <w:p w14:paraId="6AF6EBBE" w14:textId="29F2510A" w:rsidR="0044744F" w:rsidRPr="006E162D" w:rsidRDefault="00281C69" w:rsidP="006E162D">
      <w:pPr>
        <w:spacing w:line="360" w:lineRule="auto"/>
        <w:ind w:left="720"/>
        <w:jc w:val="both"/>
        <w:rPr>
          <w:rFonts w:ascii="Book Antiqua" w:hAnsi="Book Antiqua" w:cs="Calibri"/>
        </w:rPr>
      </w:pPr>
      <w:r w:rsidRPr="00D47D06">
        <w:rPr>
          <w:rFonts w:ascii="Book Antiqua" w:hAnsi="Book Antiqua" w:cs="Calibri"/>
        </w:rPr>
        <w:t xml:space="preserve">“Essentially, there are four grounds. </w:t>
      </w:r>
      <w:r w:rsidR="00D616EC" w:rsidRPr="00D47D06">
        <w:rPr>
          <w:rFonts w:ascii="Book Antiqua" w:hAnsi="Book Antiqua" w:cs="Calibri"/>
        </w:rPr>
        <w:t xml:space="preserve">First, if it requires money that has not been voted for by </w:t>
      </w:r>
      <w:r w:rsidR="00D616EC" w:rsidRPr="00B07F84">
        <w:rPr>
          <w:rFonts w:ascii="Book Antiqua" w:hAnsi="Book Antiqua" w:cs="Calibri"/>
        </w:rPr>
        <w:t>the Oireachtas</w:t>
      </w:r>
      <w:r w:rsidRPr="00727629">
        <w:rPr>
          <w:rFonts w:ascii="Book Antiqua" w:hAnsi="Book Antiqua" w:cs="Calibri"/>
        </w:rPr>
        <w:t>… The second ground relates to whether a Bill is unc</w:t>
      </w:r>
      <w:r w:rsidRPr="006474AD">
        <w:rPr>
          <w:rFonts w:ascii="Book Antiqua" w:hAnsi="Book Antiqua" w:cs="Calibri"/>
        </w:rPr>
        <w:t>onstitutional… The third ground relates to whether the legislation is contrary to European law or international treaties… The fourth ground relates to circumstances where the Government is i</w:t>
      </w:r>
      <w:r w:rsidRPr="00D85B91">
        <w:rPr>
          <w:rFonts w:ascii="Book Antiqua" w:hAnsi="Book Antiqua" w:cs="Calibri"/>
        </w:rPr>
        <w:t xml:space="preserve">ntroducing legislation that </w:t>
      </w:r>
      <w:r w:rsidRPr="00D85B91">
        <w:rPr>
          <w:rFonts w:ascii="Book Antiqua" w:hAnsi="Book Antiqua" w:cs="Calibri"/>
        </w:rPr>
        <w:lastRenderedPageBreak/>
        <w:t>supersedes a Private Members’ Bill</w:t>
      </w:r>
      <w:r w:rsidR="001E4739" w:rsidRPr="00CD38C2">
        <w:rPr>
          <w:rFonts w:ascii="Book Antiqua" w:hAnsi="Book Antiqua" w:cs="Calibri"/>
        </w:rPr>
        <w:t xml:space="preserve">… It is common for the Government to… put forward legislation which is </w:t>
      </w:r>
      <w:proofErr w:type="gramStart"/>
      <w:r w:rsidR="001E4739" w:rsidRPr="00CD38C2">
        <w:rPr>
          <w:rFonts w:ascii="Book Antiqua" w:hAnsi="Book Antiqua" w:cs="Calibri"/>
        </w:rPr>
        <w:t>better</w:t>
      </w:r>
      <w:proofErr w:type="gramEnd"/>
      <w:r w:rsidR="001E4739" w:rsidRPr="00CD38C2">
        <w:rPr>
          <w:rFonts w:ascii="Book Antiqua" w:hAnsi="Book Antiqua" w:cs="Calibri"/>
        </w:rPr>
        <w:t xml:space="preserve"> and which does much the same thing</w:t>
      </w:r>
      <w:r w:rsidRPr="00E32144">
        <w:rPr>
          <w:rFonts w:ascii="Book Antiqua" w:hAnsi="Book Antiqua" w:cs="Calibri"/>
        </w:rPr>
        <w:t>”</w:t>
      </w:r>
      <w:r w:rsidR="001E4739" w:rsidRPr="00717A1B">
        <w:rPr>
          <w:rFonts w:ascii="Book Antiqua" w:hAnsi="Book Antiqua" w:cs="Calibri"/>
        </w:rPr>
        <w:t>.</w:t>
      </w:r>
      <w:r w:rsidR="00885100" w:rsidRPr="00692FEB">
        <w:rPr>
          <w:rStyle w:val="FootnoteReference"/>
          <w:rFonts w:ascii="Book Antiqua" w:hAnsi="Book Antiqua" w:cs="Calibri"/>
        </w:rPr>
        <w:footnoteReference w:id="65"/>
      </w:r>
      <w:r w:rsidR="00D616EC" w:rsidRPr="00692FEB">
        <w:rPr>
          <w:rFonts w:ascii="Book Antiqua" w:hAnsi="Book Antiqua" w:cs="Calibri"/>
        </w:rPr>
        <w:t xml:space="preserve"> </w:t>
      </w:r>
      <w:r w:rsidR="00885100" w:rsidRPr="009C65DA">
        <w:rPr>
          <w:rFonts w:ascii="Book Antiqua" w:hAnsi="Book Antiqua" w:cs="Calibri"/>
        </w:rPr>
        <w:t xml:space="preserve"> </w:t>
      </w:r>
    </w:p>
    <w:p w14:paraId="3BBB2259" w14:textId="77777777" w:rsidR="007A416D" w:rsidRPr="007A416D" w:rsidRDefault="007A416D" w:rsidP="0068431D">
      <w:pPr>
        <w:spacing w:line="360" w:lineRule="auto"/>
        <w:jc w:val="both"/>
        <w:rPr>
          <w:rFonts w:ascii="Book Antiqua" w:hAnsi="Book Antiqua" w:cs="Calibri"/>
        </w:rPr>
      </w:pPr>
    </w:p>
    <w:p w14:paraId="096D434F" w14:textId="6A24E405" w:rsidR="007114FE" w:rsidRDefault="007114FE" w:rsidP="007114FE">
      <w:pPr>
        <w:spacing w:line="360" w:lineRule="auto"/>
        <w:jc w:val="both"/>
        <w:outlineLvl w:val="1"/>
        <w:rPr>
          <w:rFonts w:ascii="Book Antiqua" w:hAnsi="Book Antiqua" w:cs="Calibri"/>
          <w:u w:val="single"/>
        </w:rPr>
      </w:pPr>
      <w:r w:rsidRPr="009F57B1">
        <w:rPr>
          <w:rFonts w:ascii="Book Antiqua" w:hAnsi="Book Antiqua" w:cs="Calibri"/>
          <w:u w:val="single"/>
        </w:rPr>
        <w:t>Constitutionally questionable</w:t>
      </w:r>
    </w:p>
    <w:p w14:paraId="3E2BA49B" w14:textId="38DD19E0" w:rsidR="00FE4395" w:rsidRPr="006E162D" w:rsidRDefault="000D6751" w:rsidP="009F57B1">
      <w:pPr>
        <w:spacing w:line="360" w:lineRule="auto"/>
        <w:jc w:val="both"/>
        <w:rPr>
          <w:rFonts w:ascii="Book Antiqua" w:hAnsi="Book Antiqua" w:cs="Calibri"/>
          <w:u w:val="single"/>
        </w:rPr>
      </w:pPr>
      <w:r w:rsidRPr="00D2111F">
        <w:rPr>
          <w:rFonts w:ascii="Book Antiqua" w:hAnsi="Book Antiqua" w:cs="Calibri"/>
        </w:rPr>
        <w:t>There are doubts about the constitutionality of th</w:t>
      </w:r>
      <w:r w:rsidR="00D8760A">
        <w:rPr>
          <w:rFonts w:ascii="Book Antiqua" w:hAnsi="Book Antiqua" w:cs="Calibri"/>
        </w:rPr>
        <w:t>e</w:t>
      </w:r>
      <w:r w:rsidRPr="00D2111F">
        <w:rPr>
          <w:rFonts w:ascii="Book Antiqua" w:hAnsi="Book Antiqua" w:cs="Calibri"/>
        </w:rPr>
        <w:t xml:space="preserve"> procedure</w:t>
      </w:r>
      <w:r w:rsidR="00D8760A">
        <w:rPr>
          <w:rFonts w:ascii="Book Antiqua" w:hAnsi="Book Antiqua" w:cs="Calibri"/>
        </w:rPr>
        <w:t xml:space="preserve"> as currently used</w:t>
      </w:r>
      <w:r w:rsidRPr="00D2111F">
        <w:rPr>
          <w:rFonts w:ascii="Book Antiqua" w:hAnsi="Book Antiqua" w:cs="Calibri"/>
        </w:rPr>
        <w:t xml:space="preserve">. Kenny and Daly </w:t>
      </w:r>
      <w:r w:rsidR="00F05FDF" w:rsidRPr="00D2111F">
        <w:rPr>
          <w:rFonts w:ascii="Book Antiqua" w:hAnsi="Book Antiqua" w:cs="Calibri"/>
        </w:rPr>
        <w:t>note that the Irish procedure is</w:t>
      </w:r>
      <w:r w:rsidR="00F05FDF" w:rsidRPr="007425D3">
        <w:rPr>
          <w:rFonts w:ascii="Book Antiqua" w:hAnsi="Book Antiqua" w:cs="Calibri"/>
        </w:rPr>
        <w:t xml:space="preserve"> markedly more strict than the equivalent “money resolution” procedure in Westminster; basic enforcement and administration costs; indirect costs;</w:t>
      </w:r>
      <w:r w:rsidR="00F05FDF" w:rsidRPr="00D8760A">
        <w:rPr>
          <w:rFonts w:ascii="Book Antiqua" w:hAnsi="Book Antiqua" w:cs="Calibri"/>
        </w:rPr>
        <w:t xml:space="preserve"> new minor criminal offences; and costs covered by other enactments would not require a money resolution, nor would administrative costs up to a certain conventional threshold.</w:t>
      </w:r>
      <w:r w:rsidR="00F05FDF" w:rsidRPr="00692FEB">
        <w:rPr>
          <w:rStyle w:val="FootnoteReference"/>
          <w:rFonts w:ascii="Book Antiqua" w:hAnsi="Book Antiqua" w:cs="Calibri"/>
        </w:rPr>
        <w:footnoteReference w:id="66"/>
      </w:r>
      <w:r w:rsidR="00C541BF" w:rsidRPr="00692FEB">
        <w:rPr>
          <w:rFonts w:ascii="Book Antiqua" w:hAnsi="Book Antiqua" w:cs="Calibri"/>
        </w:rPr>
        <w:t xml:space="preserve"> They suggest that the current Irish procedure, as applied under the current S</w:t>
      </w:r>
      <w:r w:rsidR="00C541BF" w:rsidRPr="009C65DA">
        <w:rPr>
          <w:rFonts w:ascii="Book Antiqua" w:hAnsi="Book Antiqua" w:cs="Calibri"/>
        </w:rPr>
        <w:t xml:space="preserve">tanding Orders, is so strict that it may violate the Constitution in handing the executive a veto </w:t>
      </w:r>
      <w:r w:rsidR="00FF74CF" w:rsidRPr="009C65DA">
        <w:rPr>
          <w:rFonts w:ascii="Book Antiqua" w:hAnsi="Book Antiqua" w:cs="Calibri"/>
        </w:rPr>
        <w:t xml:space="preserve">on all or almost all legislation, </w:t>
      </w:r>
      <w:r w:rsidR="00C541BF" w:rsidRPr="003739B7">
        <w:rPr>
          <w:rFonts w:ascii="Book Antiqua" w:hAnsi="Book Antiqua" w:cs="Calibri"/>
        </w:rPr>
        <w:t xml:space="preserve">and </w:t>
      </w:r>
      <w:r w:rsidR="00FF74CF" w:rsidRPr="002516B9">
        <w:rPr>
          <w:rFonts w:ascii="Book Antiqua" w:hAnsi="Book Antiqua" w:cs="Calibri"/>
        </w:rPr>
        <w:t xml:space="preserve">thus </w:t>
      </w:r>
      <w:r w:rsidR="00C541BF" w:rsidRPr="00355202">
        <w:rPr>
          <w:rFonts w:ascii="Book Antiqua" w:hAnsi="Book Antiqua" w:cs="Calibri"/>
        </w:rPr>
        <w:t>denying the parliament its sole and exclusive power to make laws.</w:t>
      </w:r>
      <w:r w:rsidR="00FF74CF" w:rsidRPr="00061F78">
        <w:rPr>
          <w:rFonts w:ascii="Book Antiqua" w:hAnsi="Book Antiqua" w:cs="Calibri"/>
        </w:rPr>
        <w:t xml:space="preserve"> The past reality of the “executive’s power over </w:t>
      </w:r>
      <w:proofErr w:type="spellStart"/>
      <w:r w:rsidR="00FF74CF" w:rsidRPr="00061F78">
        <w:rPr>
          <w:rFonts w:ascii="Book Antiqua" w:hAnsi="Book Antiqua" w:cs="Calibri"/>
        </w:rPr>
        <w:t>lawmaking</w:t>
      </w:r>
      <w:proofErr w:type="spellEnd"/>
      <w:r w:rsidR="00FF74CF" w:rsidRPr="00061F78">
        <w:rPr>
          <w:rFonts w:ascii="Book Antiqua" w:hAnsi="Book Antiqua" w:cs="Calibri"/>
        </w:rPr>
        <w:t xml:space="preserve"> is based only on political factors or </w:t>
      </w:r>
      <w:r w:rsidR="00FF74CF" w:rsidRPr="00061F78">
        <w:rPr>
          <w:rFonts w:ascii="Book Antiqua" w:hAnsi="Book Antiqua" w:cs="Calibri"/>
          <w:i/>
        </w:rPr>
        <w:t>realpolitik</w:t>
      </w:r>
      <w:r w:rsidR="00FF74CF" w:rsidRPr="00D47D06">
        <w:rPr>
          <w:rFonts w:ascii="Book Antiqua" w:hAnsi="Book Antiqua" w:cs="Calibri"/>
        </w:rPr>
        <w:t xml:space="preserve">, not on constitutional law”, and there is no reason </w:t>
      </w:r>
      <w:r w:rsidR="00FF74CF" w:rsidRPr="00B07F84">
        <w:rPr>
          <w:rFonts w:ascii="Book Antiqua" w:hAnsi="Book Antiqua" w:cs="Calibri"/>
        </w:rPr>
        <w:t>to believe that the Money Message procedure should be read as allowing this functional veto</w:t>
      </w:r>
      <w:r w:rsidR="00A5775D" w:rsidRPr="006474AD">
        <w:rPr>
          <w:rFonts w:ascii="Book Antiqua" w:hAnsi="Book Antiqua" w:cs="Calibri"/>
        </w:rPr>
        <w:t>.</w:t>
      </w:r>
      <w:r w:rsidR="000D5B71" w:rsidRPr="00692FEB">
        <w:rPr>
          <w:rStyle w:val="FootnoteReference"/>
          <w:rFonts w:ascii="Book Antiqua" w:hAnsi="Book Antiqua" w:cs="Calibri"/>
        </w:rPr>
        <w:footnoteReference w:id="67"/>
      </w:r>
      <w:r w:rsidR="00D8760A">
        <w:rPr>
          <w:rFonts w:ascii="Book Antiqua" w:hAnsi="Book Antiqua" w:cs="Calibri"/>
        </w:rPr>
        <w:t xml:space="preserve"> At the very least, we can say the current interpretation and </w:t>
      </w:r>
      <w:r w:rsidR="009B0EA3">
        <w:rPr>
          <w:rFonts w:ascii="Book Antiqua" w:hAnsi="Book Antiqua" w:cs="Calibri"/>
        </w:rPr>
        <w:t>application</w:t>
      </w:r>
      <w:r w:rsidR="00D8760A">
        <w:rPr>
          <w:rFonts w:ascii="Book Antiqua" w:hAnsi="Book Antiqua" w:cs="Calibri"/>
        </w:rPr>
        <w:t xml:space="preserve"> of the provision is questionable, not least because the Constitution is hardly specific on the matter; the Constitution’s </w:t>
      </w:r>
      <w:r w:rsidR="00D8760A" w:rsidRPr="00D2111F">
        <w:rPr>
          <w:rFonts w:ascii="Palatino Linotype" w:hAnsi="Palatino Linotype"/>
        </w:rPr>
        <w:t xml:space="preserve">framework for financial matters </w:t>
      </w:r>
      <w:r w:rsidR="00D8760A">
        <w:rPr>
          <w:rFonts w:ascii="Palatino Linotype" w:hAnsi="Palatino Linotype"/>
        </w:rPr>
        <w:t xml:space="preserve">is </w:t>
      </w:r>
      <w:r w:rsidR="00D8760A" w:rsidRPr="00D2111F">
        <w:rPr>
          <w:rFonts w:ascii="Palatino Linotype" w:hAnsi="Palatino Linotype"/>
        </w:rPr>
        <w:t>“general and partial rather than precise and comprehensive”.</w:t>
      </w:r>
      <w:r w:rsidR="00D8760A" w:rsidRPr="00692FEB">
        <w:rPr>
          <w:rStyle w:val="FootnoteReference"/>
          <w:rFonts w:ascii="Palatino Linotype" w:hAnsi="Palatino Linotype"/>
        </w:rPr>
        <w:footnoteReference w:id="68"/>
      </w:r>
      <w:r w:rsidR="00D8760A" w:rsidRPr="00692FEB">
        <w:rPr>
          <w:rFonts w:ascii="Palatino Linotype" w:hAnsi="Palatino Linotype"/>
        </w:rPr>
        <w:t xml:space="preserve"> </w:t>
      </w:r>
      <w:r w:rsidR="00D8760A" w:rsidRPr="009C65DA">
        <w:rPr>
          <w:rFonts w:ascii="Book Antiqua" w:hAnsi="Book Antiqua" w:cs="Calibri"/>
        </w:rPr>
        <w:t xml:space="preserve"> </w:t>
      </w:r>
    </w:p>
    <w:p w14:paraId="01D4D4FF" w14:textId="5CFBDCA7" w:rsidR="00A5775D" w:rsidRPr="009C65DA" w:rsidRDefault="00A5775D" w:rsidP="0068431D">
      <w:pPr>
        <w:spacing w:line="360" w:lineRule="auto"/>
        <w:jc w:val="both"/>
        <w:rPr>
          <w:rFonts w:ascii="Book Antiqua" w:hAnsi="Book Antiqua" w:cs="Calibri"/>
        </w:rPr>
      </w:pPr>
    </w:p>
    <w:p w14:paraId="0121274B" w14:textId="288FB6A9" w:rsidR="004B0385" w:rsidRPr="00355202" w:rsidRDefault="00D8760A" w:rsidP="0068431D">
      <w:pPr>
        <w:spacing w:line="360" w:lineRule="auto"/>
        <w:jc w:val="both"/>
        <w:rPr>
          <w:rFonts w:ascii="Book Antiqua" w:hAnsi="Book Antiqua" w:cs="Calibri"/>
        </w:rPr>
      </w:pPr>
      <w:r>
        <w:rPr>
          <w:rFonts w:ascii="Book Antiqua" w:hAnsi="Book Antiqua" w:cs="Calibri"/>
        </w:rPr>
        <w:t xml:space="preserve">Whether this matter is </w:t>
      </w:r>
      <w:r w:rsidR="00A5775D" w:rsidRPr="009C65DA">
        <w:rPr>
          <w:rFonts w:ascii="Book Antiqua" w:hAnsi="Book Antiqua" w:cs="Calibri"/>
        </w:rPr>
        <w:t>justiciab</w:t>
      </w:r>
      <w:r>
        <w:rPr>
          <w:rFonts w:ascii="Book Antiqua" w:hAnsi="Book Antiqua" w:cs="Calibri"/>
        </w:rPr>
        <w:t>le</w:t>
      </w:r>
      <w:r w:rsidR="00A5775D" w:rsidRPr="009C65DA">
        <w:rPr>
          <w:rFonts w:ascii="Book Antiqua" w:hAnsi="Book Antiqua" w:cs="Calibri"/>
        </w:rPr>
        <w:t xml:space="preserve"> is </w:t>
      </w:r>
      <w:r w:rsidR="00A5775D" w:rsidRPr="003739B7">
        <w:rPr>
          <w:rFonts w:ascii="Book Antiqua" w:hAnsi="Book Antiqua" w:cs="Calibri"/>
        </w:rPr>
        <w:t>complicated,</w:t>
      </w:r>
      <w:r w:rsidR="00A5775D" w:rsidRPr="00692FEB">
        <w:rPr>
          <w:rFonts w:ascii="Book Antiqua" w:hAnsi="Book Antiqua" w:cs="Calibri"/>
        </w:rPr>
        <w:t xml:space="preserve"> but it is possible that this may be decided in the near future. Several TDs who were behind the Climate Emergency Measures Bill attempted to introduce a</w:t>
      </w:r>
      <w:r>
        <w:rPr>
          <w:rFonts w:ascii="Book Antiqua" w:hAnsi="Book Antiqua" w:cs="Calibri"/>
        </w:rPr>
        <w:t xml:space="preserve"> </w:t>
      </w:r>
      <w:r w:rsidR="00A5775D" w:rsidRPr="00692FEB">
        <w:rPr>
          <w:rFonts w:ascii="Book Antiqua" w:hAnsi="Book Antiqua" w:cs="Calibri"/>
        </w:rPr>
        <w:t xml:space="preserve">change to the Standing Orders varying the Money Message rules to reduce </w:t>
      </w:r>
      <w:r w:rsidR="004F4D3F" w:rsidRPr="009C65DA">
        <w:rPr>
          <w:rFonts w:ascii="Book Antiqua" w:hAnsi="Book Antiqua" w:cs="Calibri"/>
        </w:rPr>
        <w:t xml:space="preserve">its </w:t>
      </w:r>
      <w:r w:rsidR="00A5775D" w:rsidRPr="009C65DA">
        <w:rPr>
          <w:rFonts w:ascii="Book Antiqua" w:hAnsi="Book Antiqua" w:cs="Calibri"/>
        </w:rPr>
        <w:t>scope</w:t>
      </w:r>
      <w:r w:rsidR="004F4D3F" w:rsidRPr="003739B7">
        <w:rPr>
          <w:rFonts w:ascii="Book Antiqua" w:hAnsi="Book Antiqua" w:cs="Calibri"/>
        </w:rPr>
        <w:t xml:space="preserve">. The </w:t>
      </w:r>
      <w:proofErr w:type="spellStart"/>
      <w:r w:rsidR="004F4D3F" w:rsidRPr="003739B7">
        <w:rPr>
          <w:rFonts w:ascii="Book Antiqua" w:hAnsi="Book Antiqua" w:cs="Calibri"/>
        </w:rPr>
        <w:t>C</w:t>
      </w:r>
      <w:r w:rsidR="004F4D3F" w:rsidRPr="002516B9">
        <w:rPr>
          <w:rFonts w:ascii="Book Antiqua" w:hAnsi="Book Antiqua" w:cs="Calibri"/>
        </w:rPr>
        <w:t>eann</w:t>
      </w:r>
      <w:proofErr w:type="spellEnd"/>
      <w:r w:rsidR="004F4D3F" w:rsidRPr="002516B9">
        <w:rPr>
          <w:rFonts w:ascii="Book Antiqua" w:hAnsi="Book Antiqua" w:cs="Calibri"/>
        </w:rPr>
        <w:t xml:space="preserve"> </w:t>
      </w:r>
      <w:proofErr w:type="spellStart"/>
      <w:r w:rsidR="004F4D3F" w:rsidRPr="002516B9">
        <w:rPr>
          <w:rFonts w:ascii="Book Antiqua" w:hAnsi="Book Antiqua" w:cs="Calibri"/>
        </w:rPr>
        <w:t>Comhairle</w:t>
      </w:r>
      <w:proofErr w:type="spellEnd"/>
      <w:r w:rsidR="004F4D3F" w:rsidRPr="002516B9">
        <w:rPr>
          <w:rFonts w:ascii="Book Antiqua" w:hAnsi="Book Antiqua" w:cs="Calibri"/>
        </w:rPr>
        <w:t>—in an extraordinary move—rejected the motion to change the Standing Orders as out of order because th</w:t>
      </w:r>
      <w:r w:rsidR="004F4D3F" w:rsidRPr="00061F78">
        <w:rPr>
          <w:rFonts w:ascii="Book Antiqua" w:hAnsi="Book Antiqua" w:cs="Calibri"/>
        </w:rPr>
        <w:t xml:space="preserve">e </w:t>
      </w:r>
      <w:r>
        <w:rPr>
          <w:rFonts w:ascii="Book Antiqua" w:hAnsi="Book Antiqua" w:cs="Calibri"/>
        </w:rPr>
        <w:t xml:space="preserve">proposed </w:t>
      </w:r>
      <w:r w:rsidR="004F4D3F" w:rsidRPr="00061F78">
        <w:rPr>
          <w:rFonts w:ascii="Book Antiqua" w:hAnsi="Book Antiqua" w:cs="Calibri"/>
        </w:rPr>
        <w:t>change would violate Article 17.2 of the Constitution.</w:t>
      </w:r>
      <w:r w:rsidR="004F4D3F" w:rsidRPr="00692FEB">
        <w:rPr>
          <w:rFonts w:ascii="Book Antiqua" w:hAnsi="Book Antiqua" w:cs="Calibri"/>
        </w:rPr>
        <w:t xml:space="preserve"> This contradicts </w:t>
      </w:r>
      <w:r w:rsidR="004F4D3F" w:rsidRPr="00692FEB">
        <w:rPr>
          <w:rFonts w:ascii="Book Antiqua" w:hAnsi="Book Antiqua" w:cs="Calibri"/>
        </w:rPr>
        <w:lastRenderedPageBreak/>
        <w:t xml:space="preserve">longstanding practice and Salient Rulings that the Chair </w:t>
      </w:r>
      <w:r w:rsidR="004F4D3F" w:rsidRPr="009C65DA">
        <w:rPr>
          <w:rFonts w:ascii="Book Antiqua" w:hAnsi="Book Antiqua" w:cs="Calibri"/>
        </w:rPr>
        <w:t>does not interpret the Constitution.</w:t>
      </w:r>
      <w:r w:rsidR="004F4D3F" w:rsidRPr="00692FEB">
        <w:rPr>
          <w:rStyle w:val="FootnoteReference"/>
          <w:rFonts w:ascii="Book Antiqua" w:hAnsi="Book Antiqua" w:cs="Calibri"/>
        </w:rPr>
        <w:footnoteReference w:id="69"/>
      </w:r>
      <w:r w:rsidR="004F4D3F" w:rsidRPr="00692FEB">
        <w:rPr>
          <w:rFonts w:ascii="Book Antiqua" w:hAnsi="Book Antiqua" w:cs="Calibri"/>
        </w:rPr>
        <w:t xml:space="preserve"> It also raises constitutional concerns, as the House is empowered to make its own rules, and it is not clear that the Chair has any role in </w:t>
      </w:r>
      <w:r>
        <w:rPr>
          <w:rFonts w:ascii="Book Antiqua" w:hAnsi="Book Antiqua" w:cs="Calibri"/>
        </w:rPr>
        <w:t>limiting</w:t>
      </w:r>
      <w:r w:rsidRPr="00692FEB">
        <w:rPr>
          <w:rFonts w:ascii="Book Antiqua" w:hAnsi="Book Antiqua" w:cs="Calibri"/>
        </w:rPr>
        <w:t xml:space="preserve"> </w:t>
      </w:r>
      <w:r w:rsidR="004F4D3F" w:rsidRPr="00692FEB">
        <w:rPr>
          <w:rFonts w:ascii="Book Antiqua" w:hAnsi="Book Antiqua" w:cs="Calibri"/>
        </w:rPr>
        <w:t>this.</w:t>
      </w:r>
      <w:r w:rsidR="004F4D3F" w:rsidRPr="00692FEB">
        <w:rPr>
          <w:rStyle w:val="FootnoteReference"/>
          <w:rFonts w:ascii="Book Antiqua" w:hAnsi="Book Antiqua" w:cs="Calibri"/>
        </w:rPr>
        <w:footnoteReference w:id="70"/>
      </w:r>
      <w:r w:rsidR="004B0385" w:rsidRPr="00692FEB">
        <w:rPr>
          <w:rFonts w:ascii="Book Antiqua" w:hAnsi="Book Antiqua" w:cs="Calibri"/>
        </w:rPr>
        <w:t xml:space="preserve"> The TDs who advanced this change challenged the decision </w:t>
      </w:r>
      <w:r w:rsidR="004B0385" w:rsidRPr="009C65DA">
        <w:rPr>
          <w:rFonts w:ascii="Book Antiqua" w:hAnsi="Book Antiqua" w:cs="Calibri"/>
        </w:rPr>
        <w:t xml:space="preserve">of the </w:t>
      </w:r>
      <w:proofErr w:type="spellStart"/>
      <w:r w:rsidR="004B0385" w:rsidRPr="009C65DA">
        <w:rPr>
          <w:rFonts w:ascii="Book Antiqua" w:hAnsi="Book Antiqua" w:cs="Calibri"/>
        </w:rPr>
        <w:t>Ceann</w:t>
      </w:r>
      <w:proofErr w:type="spellEnd"/>
      <w:r w:rsidR="004B0385" w:rsidRPr="009C65DA">
        <w:rPr>
          <w:rFonts w:ascii="Book Antiqua" w:hAnsi="Book Antiqua" w:cs="Calibri"/>
        </w:rPr>
        <w:t xml:space="preserve"> </w:t>
      </w:r>
      <w:proofErr w:type="spellStart"/>
      <w:r w:rsidR="004B0385" w:rsidRPr="009C65DA">
        <w:rPr>
          <w:rFonts w:ascii="Book Antiqua" w:hAnsi="Book Antiqua" w:cs="Calibri"/>
        </w:rPr>
        <w:t>Comhairle</w:t>
      </w:r>
      <w:proofErr w:type="spellEnd"/>
      <w:r w:rsidR="004B0385" w:rsidRPr="009C65DA">
        <w:rPr>
          <w:rFonts w:ascii="Book Antiqua" w:hAnsi="Book Antiqua" w:cs="Calibri"/>
        </w:rPr>
        <w:t xml:space="preserve"> and were given leave to judicially review the decision.</w:t>
      </w:r>
      <w:r w:rsidR="004B0385" w:rsidRPr="00692FEB">
        <w:rPr>
          <w:rStyle w:val="FootnoteReference"/>
          <w:rFonts w:ascii="Book Antiqua" w:hAnsi="Book Antiqua" w:cs="Calibri"/>
        </w:rPr>
        <w:footnoteReference w:id="71"/>
      </w:r>
      <w:r w:rsidR="004B0385" w:rsidRPr="00692FEB">
        <w:rPr>
          <w:rFonts w:ascii="Book Antiqua" w:hAnsi="Book Antiqua" w:cs="Calibri"/>
        </w:rPr>
        <w:t xml:space="preserve"> They applied to wide</w:t>
      </w:r>
      <w:r w:rsidR="00926887" w:rsidRPr="009C65DA">
        <w:rPr>
          <w:rFonts w:ascii="Book Antiqua" w:hAnsi="Book Antiqua" w:cs="Calibri"/>
        </w:rPr>
        <w:t>n</w:t>
      </w:r>
      <w:r w:rsidR="004B0385" w:rsidRPr="009C65DA">
        <w:rPr>
          <w:rFonts w:ascii="Book Antiqua" w:hAnsi="Book Antiqua" w:cs="Calibri"/>
        </w:rPr>
        <w:t xml:space="preserve"> the scope of the judicial review to seek a ruling more broadly on Article 17.2. This case was delayed due to the calling of a general election in Februar</w:t>
      </w:r>
      <w:r w:rsidR="004B0385" w:rsidRPr="003739B7">
        <w:rPr>
          <w:rFonts w:ascii="Book Antiqua" w:hAnsi="Book Antiqua" w:cs="Calibri"/>
        </w:rPr>
        <w:t>y 2020, but it may be resumed.</w:t>
      </w:r>
      <w:r w:rsidR="00874BA9" w:rsidRPr="002516B9">
        <w:rPr>
          <w:rFonts w:ascii="Book Antiqua" w:hAnsi="Book Antiqua" w:cs="Calibri"/>
        </w:rPr>
        <w:t xml:space="preserve"> </w:t>
      </w:r>
    </w:p>
    <w:p w14:paraId="36388E95" w14:textId="77777777" w:rsidR="00FE4395" w:rsidRPr="00061F78" w:rsidRDefault="00FE4395" w:rsidP="0068431D">
      <w:pPr>
        <w:spacing w:line="360" w:lineRule="auto"/>
        <w:jc w:val="both"/>
        <w:rPr>
          <w:rFonts w:ascii="Book Antiqua" w:hAnsi="Book Antiqua" w:cs="Calibri"/>
        </w:rPr>
      </w:pPr>
    </w:p>
    <w:p w14:paraId="7B52F78C" w14:textId="7A49914E" w:rsidR="0003051F" w:rsidRPr="00061F78" w:rsidRDefault="0003051F" w:rsidP="00376D7D">
      <w:pPr>
        <w:spacing w:line="360" w:lineRule="auto"/>
        <w:jc w:val="both"/>
        <w:outlineLvl w:val="0"/>
        <w:rPr>
          <w:rFonts w:ascii="Book Antiqua" w:hAnsi="Book Antiqua" w:cs="Calibri"/>
          <w:b/>
          <w:bCs/>
        </w:rPr>
      </w:pPr>
      <w:r w:rsidRPr="00061F78">
        <w:rPr>
          <w:rFonts w:ascii="Book Antiqua" w:hAnsi="Book Antiqua" w:cs="Calibri"/>
          <w:b/>
          <w:bCs/>
        </w:rPr>
        <w:t>III: Attorney General’s advice on constitutionality</w:t>
      </w:r>
    </w:p>
    <w:p w14:paraId="58758669" w14:textId="2FFBC778" w:rsidR="004A6C5B" w:rsidRPr="006474AD" w:rsidRDefault="004A6C5B" w:rsidP="004A6C5B">
      <w:pPr>
        <w:spacing w:line="360" w:lineRule="auto"/>
        <w:jc w:val="both"/>
        <w:outlineLvl w:val="1"/>
        <w:rPr>
          <w:rFonts w:ascii="Book Antiqua" w:hAnsi="Book Antiqua" w:cs="Calibri"/>
          <w:u w:val="single"/>
        </w:rPr>
      </w:pPr>
      <w:r w:rsidRPr="00B07F84">
        <w:rPr>
          <w:rFonts w:ascii="Book Antiqua" w:hAnsi="Book Antiqua" w:cs="Calibri"/>
          <w:u w:val="single"/>
        </w:rPr>
        <w:t xml:space="preserve">Attorney General </w:t>
      </w:r>
      <w:r w:rsidRPr="003F681B">
        <w:rPr>
          <w:rFonts w:ascii="Book Antiqua" w:hAnsi="Book Antiqua" w:cs="Calibri"/>
          <w:u w:val="single"/>
        </w:rPr>
        <w:t>as legal advisor</w:t>
      </w:r>
    </w:p>
    <w:p w14:paraId="3E71ED78" w14:textId="4E8C5A4A" w:rsidR="00603F74" w:rsidRPr="009C65DA" w:rsidRDefault="00603F74" w:rsidP="00603F74">
      <w:pPr>
        <w:spacing w:line="360" w:lineRule="auto"/>
        <w:jc w:val="both"/>
        <w:rPr>
          <w:rFonts w:ascii="Book Antiqua" w:hAnsi="Book Antiqua" w:cs="Calibri"/>
        </w:rPr>
      </w:pPr>
      <w:r w:rsidRPr="006474AD">
        <w:rPr>
          <w:rFonts w:ascii="Book Antiqua" w:hAnsi="Book Antiqua" w:cs="Calibri"/>
        </w:rPr>
        <w:t>The A</w:t>
      </w:r>
      <w:r w:rsidR="00376D7D" w:rsidRPr="006474AD">
        <w:rPr>
          <w:rFonts w:ascii="Book Antiqua" w:hAnsi="Book Antiqua" w:cs="Calibri"/>
        </w:rPr>
        <w:t>tto</w:t>
      </w:r>
      <w:r w:rsidR="00376D7D" w:rsidRPr="00D85B91">
        <w:rPr>
          <w:rFonts w:ascii="Book Antiqua" w:hAnsi="Book Antiqua" w:cs="Calibri"/>
        </w:rPr>
        <w:t>rney General (AG)</w:t>
      </w:r>
      <w:r w:rsidRPr="00EE6019">
        <w:rPr>
          <w:rFonts w:ascii="Book Antiqua" w:hAnsi="Book Antiqua" w:cs="Calibri"/>
        </w:rPr>
        <w:t xml:space="preserve"> is an office in many common law systems with shared roots in English history.</w:t>
      </w:r>
      <w:r w:rsidRPr="00692FEB">
        <w:rPr>
          <w:rStyle w:val="FootnoteReference"/>
          <w:rFonts w:ascii="Book Antiqua" w:hAnsi="Book Antiqua" w:cs="Calibri"/>
        </w:rPr>
        <w:footnoteReference w:id="72"/>
      </w:r>
      <w:r w:rsidRPr="00692FEB">
        <w:rPr>
          <w:rFonts w:ascii="Book Antiqua" w:hAnsi="Book Antiqua" w:cs="Calibri"/>
        </w:rPr>
        <w:t xml:space="preserve"> It has constitutional status in Ireland by virtue of Article 30 of the Irish Constitution, which provides that the AG is ‘the adviser</w:t>
      </w:r>
      <w:r w:rsidRPr="009C65DA">
        <w:rPr>
          <w:rFonts w:ascii="Book Antiqua" w:hAnsi="Book Antiqua" w:cs="Calibri"/>
        </w:rPr>
        <w:t xml:space="preserve"> of the Government in matters of law and l</w:t>
      </w:r>
      <w:r w:rsidRPr="003739B7">
        <w:rPr>
          <w:rFonts w:ascii="Book Antiqua" w:hAnsi="Book Antiqua" w:cs="Calibri"/>
        </w:rPr>
        <w:t>egal opinion’</w:t>
      </w:r>
      <w:r w:rsidR="00BE4D93">
        <w:rPr>
          <w:rFonts w:ascii="Book Antiqua" w:hAnsi="Book Antiqua" w:cs="Calibri"/>
        </w:rPr>
        <w:t>.</w:t>
      </w:r>
      <w:bookmarkStart w:id="9" w:name="_Ref37318726"/>
      <w:r w:rsidRPr="00692FEB">
        <w:rPr>
          <w:rStyle w:val="FootnoteReference"/>
          <w:rFonts w:ascii="Book Antiqua" w:hAnsi="Book Antiqua" w:cs="Calibri"/>
        </w:rPr>
        <w:footnoteReference w:id="73"/>
      </w:r>
      <w:bookmarkEnd w:id="9"/>
      <w:r w:rsidR="004A6C5B" w:rsidRPr="00692FEB">
        <w:rPr>
          <w:rFonts w:ascii="Book Antiqua" w:hAnsi="Book Antiqua" w:cs="Calibri"/>
        </w:rPr>
        <w:t xml:space="preserve"> </w:t>
      </w:r>
      <w:r w:rsidRPr="009C65DA">
        <w:rPr>
          <w:rFonts w:ascii="Book Antiqua" w:hAnsi="Book Antiqua" w:cs="Calibri"/>
        </w:rPr>
        <w:t xml:space="preserve">The AG is the legal adviser of the </w:t>
      </w:r>
      <w:r w:rsidRPr="009C65DA">
        <w:rPr>
          <w:rFonts w:ascii="Book Antiqua" w:hAnsi="Book Antiqua" w:cs="Calibri"/>
          <w:i/>
          <w:iCs/>
        </w:rPr>
        <w:t>government</w:t>
      </w:r>
      <w:r w:rsidR="00685BDD" w:rsidRPr="003739B7">
        <w:rPr>
          <w:rFonts w:ascii="Book Antiqua" w:hAnsi="Book Antiqua" w:cs="Calibri"/>
        </w:rPr>
        <w:t>; it does not have a constit</w:t>
      </w:r>
      <w:r w:rsidR="00685BDD" w:rsidRPr="002516B9">
        <w:rPr>
          <w:rFonts w:ascii="Book Antiqua" w:hAnsi="Book Antiqua" w:cs="Calibri"/>
        </w:rPr>
        <w:t xml:space="preserve">utional role in advising the </w:t>
      </w:r>
      <w:bookmarkStart w:id="10" w:name="_Ref23335957"/>
      <w:r w:rsidRPr="00355202">
        <w:rPr>
          <w:rFonts w:ascii="Book Antiqua" w:hAnsi="Book Antiqua" w:cs="Calibri"/>
        </w:rPr>
        <w:t>Oireachtas</w:t>
      </w:r>
      <w:bookmarkEnd w:id="10"/>
      <w:r w:rsidR="008F0A5E">
        <w:rPr>
          <w:rFonts w:ascii="Book Antiqua" w:hAnsi="Book Antiqua" w:cs="Calibri"/>
        </w:rPr>
        <w:t>, but</w:t>
      </w:r>
      <w:r w:rsidR="004A6C5B" w:rsidRPr="009C65DA">
        <w:rPr>
          <w:rFonts w:ascii="Book Antiqua" w:hAnsi="Book Antiqua" w:cs="Calibri"/>
        </w:rPr>
        <w:t xml:space="preserve"> constitutionally, </w:t>
      </w:r>
      <w:r w:rsidRPr="003739B7">
        <w:rPr>
          <w:rFonts w:ascii="Book Antiqua" w:hAnsi="Book Antiqua" w:cs="Calibri"/>
        </w:rPr>
        <w:t>the AG operates with a degree of formal independence from government.</w:t>
      </w:r>
      <w:r w:rsidRPr="00692FEB">
        <w:rPr>
          <w:rStyle w:val="FootnoteReference"/>
          <w:rFonts w:ascii="Book Antiqua" w:hAnsi="Book Antiqua" w:cs="Calibri"/>
        </w:rPr>
        <w:footnoteReference w:id="74"/>
      </w:r>
      <w:r w:rsidRPr="00692FEB">
        <w:rPr>
          <w:rFonts w:ascii="Book Antiqua" w:hAnsi="Book Antiqua" w:cs="Calibri"/>
        </w:rPr>
        <w:t xml:space="preserve"> In a break from Westminster </w:t>
      </w:r>
      <w:r w:rsidR="004A6C5B" w:rsidRPr="009C65DA">
        <w:rPr>
          <w:rFonts w:ascii="Book Antiqua" w:hAnsi="Book Antiqua" w:cs="Calibri"/>
        </w:rPr>
        <w:t>practice</w:t>
      </w:r>
      <w:r w:rsidRPr="009C65DA">
        <w:rPr>
          <w:rFonts w:ascii="Book Antiqua" w:hAnsi="Book Antiqua" w:cs="Calibri"/>
        </w:rPr>
        <w:t xml:space="preserve">, the AG </w:t>
      </w:r>
      <w:r w:rsidR="004A6C5B" w:rsidRPr="003739B7">
        <w:rPr>
          <w:rFonts w:ascii="Book Antiqua" w:hAnsi="Book Antiqua" w:cs="Calibri"/>
        </w:rPr>
        <w:t xml:space="preserve">almost never </w:t>
      </w:r>
      <w:r w:rsidRPr="002516B9">
        <w:rPr>
          <w:rFonts w:ascii="Book Antiqua" w:hAnsi="Book Antiqua" w:cs="Calibri"/>
        </w:rPr>
        <w:t xml:space="preserve">a member of the </w:t>
      </w:r>
      <w:r w:rsidRPr="00355202">
        <w:rPr>
          <w:rFonts w:ascii="Book Antiqua" w:hAnsi="Book Antiqua" w:cs="Calibri"/>
        </w:rPr>
        <w:t>Oireachtas</w:t>
      </w:r>
      <w:r w:rsidR="00D1027F">
        <w:rPr>
          <w:rFonts w:ascii="Book Antiqua" w:hAnsi="Book Antiqua" w:cs="Calibri"/>
        </w:rPr>
        <w:t xml:space="preserve"> and is generally a senior barrister</w:t>
      </w:r>
      <w:r w:rsidRPr="00355202">
        <w:rPr>
          <w:rFonts w:ascii="Book Antiqua" w:hAnsi="Book Antiqua" w:cs="Calibri"/>
        </w:rPr>
        <w:t>.</w:t>
      </w:r>
      <w:r w:rsidRPr="00692FEB">
        <w:rPr>
          <w:rFonts w:ascii="Book Antiqua" w:hAnsi="Book Antiqua" w:cs="Calibri"/>
        </w:rPr>
        <w:t xml:space="preserve"> </w:t>
      </w:r>
      <w:r w:rsidR="004A6C5B" w:rsidRPr="009C65DA">
        <w:rPr>
          <w:rFonts w:ascii="Book Antiqua" w:hAnsi="Book Antiqua" w:cs="Calibri"/>
        </w:rPr>
        <w:t>But</w:t>
      </w:r>
      <w:r w:rsidRPr="009C65DA">
        <w:rPr>
          <w:rFonts w:ascii="Book Antiqua" w:hAnsi="Book Antiqua" w:cs="Calibri"/>
        </w:rPr>
        <w:t xml:space="preserve"> the AG has a very close r</w:t>
      </w:r>
      <w:r w:rsidRPr="003739B7">
        <w:rPr>
          <w:rFonts w:ascii="Book Antiqua" w:hAnsi="Book Antiqua" w:cs="Calibri"/>
        </w:rPr>
        <w:t xml:space="preserve">elationship with the government, </w:t>
      </w:r>
      <w:r w:rsidR="004A6C5B" w:rsidRPr="002516B9">
        <w:rPr>
          <w:rFonts w:ascii="Book Antiqua" w:hAnsi="Book Antiqua" w:cs="Calibri"/>
        </w:rPr>
        <w:t>serving at the government’s pleasure</w:t>
      </w:r>
      <w:r w:rsidRPr="00692FEB">
        <w:rPr>
          <w:rFonts w:ascii="Book Antiqua" w:hAnsi="Book Antiqua" w:cs="Calibri"/>
        </w:rPr>
        <w:t xml:space="preserve"> and (unlike in the UK) sitting in cabinet meetings.</w:t>
      </w:r>
      <w:bookmarkStart w:id="11" w:name="_Ref536561207"/>
      <w:r w:rsidRPr="00692FEB">
        <w:rPr>
          <w:rStyle w:val="FootnoteReference"/>
          <w:rFonts w:ascii="Book Antiqua" w:hAnsi="Book Antiqua" w:cs="Calibri"/>
        </w:rPr>
        <w:footnoteReference w:id="75"/>
      </w:r>
      <w:bookmarkEnd w:id="11"/>
      <w:r w:rsidRPr="00692FEB">
        <w:rPr>
          <w:rFonts w:ascii="Book Antiqua" w:hAnsi="Book Antiqua" w:cs="Calibri"/>
        </w:rPr>
        <w:t xml:space="preserve"> </w:t>
      </w:r>
      <w:r w:rsidR="00251E96" w:rsidRPr="009C65DA">
        <w:rPr>
          <w:rFonts w:ascii="Book Antiqua" w:hAnsi="Book Antiqua" w:cs="Calibri"/>
        </w:rPr>
        <w:t>Many have queried if it is accurate to treat the office as truly independent of government</w:t>
      </w:r>
      <w:r w:rsidR="00251E96" w:rsidRPr="003739B7">
        <w:rPr>
          <w:rFonts w:ascii="Book Antiqua" w:hAnsi="Book Antiqua" w:cs="Calibri"/>
        </w:rPr>
        <w:t xml:space="preserve">, or if the government could influence the Attorney General while asserting the </w:t>
      </w:r>
      <w:r w:rsidR="00D1027F" w:rsidRPr="003739B7">
        <w:rPr>
          <w:rFonts w:ascii="Book Antiqua" w:hAnsi="Book Antiqua" w:cs="Calibri"/>
        </w:rPr>
        <w:t>independen</w:t>
      </w:r>
      <w:r w:rsidR="00D1027F">
        <w:rPr>
          <w:rFonts w:ascii="Book Antiqua" w:hAnsi="Book Antiqua" w:cs="Calibri"/>
        </w:rPr>
        <w:t>ce</w:t>
      </w:r>
      <w:r w:rsidR="00251E96" w:rsidRPr="003739B7">
        <w:rPr>
          <w:rFonts w:ascii="Book Antiqua" w:hAnsi="Book Antiqua" w:cs="Calibri"/>
        </w:rPr>
        <w:t xml:space="preserve"> of the office</w:t>
      </w:r>
      <w:r w:rsidR="00EB6241">
        <w:rPr>
          <w:rFonts w:ascii="Book Antiqua" w:hAnsi="Book Antiqua" w:cs="Calibri"/>
        </w:rPr>
        <w:t xml:space="preserve"> and its advice</w:t>
      </w:r>
      <w:r w:rsidR="00251E96" w:rsidRPr="002516B9">
        <w:rPr>
          <w:rFonts w:ascii="Book Antiqua" w:hAnsi="Book Antiqua" w:cs="Calibri"/>
        </w:rPr>
        <w:t>.</w:t>
      </w:r>
      <w:bookmarkStart w:id="12" w:name="_Ref37318849"/>
      <w:r w:rsidR="00251E96" w:rsidRPr="00692FEB">
        <w:rPr>
          <w:rStyle w:val="FootnoteReference"/>
          <w:rFonts w:ascii="Book Antiqua" w:hAnsi="Book Antiqua" w:cs="Calibri"/>
        </w:rPr>
        <w:footnoteReference w:id="76"/>
      </w:r>
      <w:bookmarkEnd w:id="12"/>
      <w:r w:rsidR="001B4070">
        <w:rPr>
          <w:rFonts w:ascii="Book Antiqua" w:hAnsi="Book Antiqua" w:cs="Calibri"/>
        </w:rPr>
        <w:t xml:space="preserve"> </w:t>
      </w:r>
      <w:r w:rsidR="004A6C5B" w:rsidRPr="009C65DA">
        <w:rPr>
          <w:rFonts w:ascii="Book Antiqua" w:hAnsi="Book Antiqua" w:cs="Calibri"/>
        </w:rPr>
        <w:t>Advising o</w:t>
      </w:r>
      <w:r w:rsidR="004A6C5B" w:rsidRPr="003739B7">
        <w:rPr>
          <w:rFonts w:ascii="Book Antiqua" w:hAnsi="Book Antiqua" w:cs="Calibri"/>
        </w:rPr>
        <w:t xml:space="preserve">n the constitutionality of legislation is one of the most important and high-profile functions of the AG. But this </w:t>
      </w:r>
      <w:r w:rsidRPr="002516B9">
        <w:rPr>
          <w:rFonts w:ascii="Book Antiqua" w:hAnsi="Book Antiqua" w:cs="Calibri"/>
        </w:rPr>
        <w:t>advic</w:t>
      </w:r>
      <w:r w:rsidRPr="00355202">
        <w:rPr>
          <w:rFonts w:ascii="Book Antiqua" w:hAnsi="Book Antiqua" w:cs="Calibri"/>
        </w:rPr>
        <w:t xml:space="preserve">e of the AG is </w:t>
      </w:r>
      <w:r w:rsidR="004A6C5B" w:rsidRPr="00061F78">
        <w:rPr>
          <w:rFonts w:ascii="Book Antiqua" w:hAnsi="Book Antiqua" w:cs="Calibri"/>
        </w:rPr>
        <w:t xml:space="preserve">almost never </w:t>
      </w:r>
      <w:r w:rsidR="00CC2F7E" w:rsidRPr="00061F78">
        <w:rPr>
          <w:rFonts w:ascii="Book Antiqua" w:hAnsi="Book Antiqua" w:cs="Calibri"/>
        </w:rPr>
        <w:t xml:space="preserve">published, nor are </w:t>
      </w:r>
      <w:r w:rsidR="004F304E" w:rsidRPr="00061F78">
        <w:rPr>
          <w:rFonts w:ascii="Book Antiqua" w:hAnsi="Book Antiqua" w:cs="Calibri"/>
        </w:rPr>
        <w:lastRenderedPageBreak/>
        <w:t>summaries of</w:t>
      </w:r>
      <w:r w:rsidRPr="00D47D06">
        <w:rPr>
          <w:rFonts w:ascii="Book Antiqua" w:hAnsi="Book Antiqua" w:cs="Calibri"/>
        </w:rPr>
        <w:t xml:space="preserve"> written advice released for parliamentarians </w:t>
      </w:r>
      <w:r w:rsidR="00CC2F7E" w:rsidRPr="00D47D06">
        <w:rPr>
          <w:rFonts w:ascii="Book Antiqua" w:hAnsi="Book Antiqua" w:cs="Calibri"/>
        </w:rPr>
        <w:t xml:space="preserve">or the public </w:t>
      </w:r>
      <w:r w:rsidRPr="00D47D06">
        <w:rPr>
          <w:rFonts w:ascii="Book Antiqua" w:hAnsi="Book Antiqua" w:cs="Calibri"/>
        </w:rPr>
        <w:t xml:space="preserve">to assess. </w:t>
      </w:r>
      <w:r w:rsidR="00CC2F7E" w:rsidRPr="00B07F84">
        <w:rPr>
          <w:rFonts w:ascii="Book Antiqua" w:hAnsi="Book Antiqua" w:cs="Calibri"/>
        </w:rPr>
        <w:t>The fa</w:t>
      </w:r>
      <w:r w:rsidR="00CC2F7E" w:rsidRPr="003F681B">
        <w:rPr>
          <w:rFonts w:ascii="Book Antiqua" w:hAnsi="Book Antiqua" w:cs="Calibri"/>
        </w:rPr>
        <w:t xml:space="preserve">ct of the advice is </w:t>
      </w:r>
      <w:r w:rsidRPr="006474AD">
        <w:rPr>
          <w:rFonts w:ascii="Book Antiqua" w:hAnsi="Book Antiqua" w:cs="Calibri"/>
        </w:rPr>
        <w:t>disclosed: that the AG has advised that some policy is constitutional or not.</w:t>
      </w:r>
      <w:r w:rsidR="00FC07EA">
        <w:rPr>
          <w:rFonts w:ascii="Book Antiqua" w:hAnsi="Book Antiqua" w:cs="Calibri"/>
        </w:rPr>
        <w:t xml:space="preserve"> Governments have sometimes claimed AG’s advice is not merely highly authoritative and of great weight when considering </w:t>
      </w:r>
      <w:proofErr w:type="gramStart"/>
      <w:r w:rsidR="00FC07EA">
        <w:rPr>
          <w:rFonts w:ascii="Book Antiqua" w:hAnsi="Book Antiqua" w:cs="Calibri"/>
        </w:rPr>
        <w:t>policies, but</w:t>
      </w:r>
      <w:proofErr w:type="gramEnd"/>
      <w:r w:rsidR="00FC07EA">
        <w:rPr>
          <w:rFonts w:ascii="Book Antiqua" w:hAnsi="Book Antiqua" w:cs="Calibri"/>
        </w:rPr>
        <w:t xml:space="preserve"> binding as a constitutional matter. </w:t>
      </w:r>
      <w:r w:rsidR="00CC2F7E" w:rsidRPr="006474AD">
        <w:rPr>
          <w:rFonts w:ascii="Book Antiqua" w:hAnsi="Book Antiqua" w:cs="Calibri"/>
        </w:rPr>
        <w:t>And this,</w:t>
      </w:r>
      <w:r w:rsidR="00CC4FF4" w:rsidRPr="006474AD">
        <w:rPr>
          <w:rFonts w:ascii="Book Antiqua" w:hAnsi="Book Antiqua" w:cs="Calibri"/>
        </w:rPr>
        <w:t xml:space="preserve"> as we shall see,</w:t>
      </w:r>
      <w:r w:rsidR="00CC2F7E" w:rsidRPr="00D85B91">
        <w:rPr>
          <w:rFonts w:ascii="Book Antiqua" w:hAnsi="Book Antiqua" w:cs="Calibri"/>
        </w:rPr>
        <w:t xml:space="preserve"> is </w:t>
      </w:r>
      <w:r w:rsidR="001B4070">
        <w:rPr>
          <w:rFonts w:ascii="Book Antiqua" w:hAnsi="Book Antiqua" w:cs="Calibri"/>
        </w:rPr>
        <w:t>often</w:t>
      </w:r>
      <w:r w:rsidR="001B4070" w:rsidRPr="00EE6019">
        <w:rPr>
          <w:rFonts w:ascii="Book Antiqua" w:hAnsi="Book Antiqua" w:cs="Calibri"/>
        </w:rPr>
        <w:t xml:space="preserve"> </w:t>
      </w:r>
      <w:r w:rsidR="00CC2F7E" w:rsidRPr="0052151C">
        <w:rPr>
          <w:rFonts w:ascii="Book Antiqua" w:hAnsi="Book Antiqua" w:cs="Calibri"/>
        </w:rPr>
        <w:t>enough to stop legislative proposals</w:t>
      </w:r>
      <w:r w:rsidR="00E24C5E" w:rsidRPr="00CD38C2">
        <w:rPr>
          <w:rFonts w:ascii="Book Antiqua" w:hAnsi="Book Antiqua" w:cs="Calibri"/>
        </w:rPr>
        <w:t xml:space="preserve"> in their tracks</w:t>
      </w:r>
      <w:r w:rsidR="00FC07EA">
        <w:rPr>
          <w:rFonts w:ascii="Book Antiqua" w:hAnsi="Book Antiqua" w:cs="Calibri"/>
        </w:rPr>
        <w:t xml:space="preserve">, despite the fact AG’s advice is </w:t>
      </w:r>
      <w:r w:rsidR="00933E4D">
        <w:rPr>
          <w:rFonts w:ascii="Book Antiqua" w:hAnsi="Book Antiqua" w:cs="Calibri"/>
        </w:rPr>
        <w:t>only legal</w:t>
      </w:r>
      <w:r w:rsidR="00FC07EA">
        <w:rPr>
          <w:rFonts w:ascii="Book Antiqua" w:hAnsi="Book Antiqua" w:cs="Calibri"/>
        </w:rPr>
        <w:t xml:space="preserve"> advice</w:t>
      </w:r>
      <w:r w:rsidR="00E24C5E" w:rsidRPr="00CD38C2">
        <w:rPr>
          <w:rFonts w:ascii="Book Antiqua" w:hAnsi="Book Antiqua" w:cs="Calibri"/>
        </w:rPr>
        <w:t>.</w:t>
      </w:r>
      <w:r w:rsidR="00FC07EA">
        <w:rPr>
          <w:rStyle w:val="FootnoteReference"/>
          <w:rFonts w:ascii="Book Antiqua" w:hAnsi="Book Antiqua" w:cs="Calibri"/>
        </w:rPr>
        <w:footnoteReference w:id="77"/>
      </w:r>
      <w:r w:rsidR="001B4070">
        <w:rPr>
          <w:rFonts w:ascii="Book Antiqua" w:hAnsi="Book Antiqua" w:cs="Calibri"/>
        </w:rPr>
        <w:t xml:space="preserve"> </w:t>
      </w:r>
      <w:r w:rsidR="00FC07EA">
        <w:rPr>
          <w:rFonts w:ascii="Book Antiqua" w:hAnsi="Book Antiqua" w:cs="Calibri"/>
        </w:rPr>
        <w:t>Moreover, d</w:t>
      </w:r>
      <w:r w:rsidR="00E65DBF" w:rsidRPr="007E5A2E">
        <w:rPr>
          <w:rFonts w:ascii="Book Antiqua" w:hAnsi="Book Antiqua" w:cs="Calibri"/>
        </w:rPr>
        <w:t xml:space="preserve">espite occasional government assertions to the contrary, </w:t>
      </w:r>
      <w:r w:rsidR="00870BE4" w:rsidRPr="007E5A2E">
        <w:rPr>
          <w:rFonts w:ascii="Book Antiqua" w:hAnsi="Book Antiqua" w:cs="Calibri"/>
        </w:rPr>
        <w:t>secrecy is not constitutionally required, and it seems to have developed as a sort of convention.</w:t>
      </w:r>
      <w:r w:rsidR="00243F05" w:rsidRPr="00692FEB">
        <w:rPr>
          <w:rFonts w:ascii="Book Antiqua" w:hAnsi="Book Antiqua" w:cs="Calibri"/>
        </w:rPr>
        <w:t xml:space="preserve"> </w:t>
      </w:r>
      <w:r w:rsidR="00FC07EA">
        <w:rPr>
          <w:rFonts w:ascii="Book Antiqua" w:hAnsi="Book Antiqua" w:cs="Calibri"/>
        </w:rPr>
        <w:t>In fact,</w:t>
      </w:r>
      <w:r w:rsidR="00243F05" w:rsidRPr="00692FEB">
        <w:rPr>
          <w:rFonts w:ascii="Book Antiqua" w:hAnsi="Book Antiqua" w:cs="Calibri"/>
        </w:rPr>
        <w:t xml:space="preserve"> </w:t>
      </w:r>
      <w:r w:rsidR="00901B03" w:rsidRPr="009C65DA">
        <w:rPr>
          <w:rFonts w:ascii="Book Antiqua" w:hAnsi="Book Antiqua" w:cs="Calibri"/>
        </w:rPr>
        <w:t xml:space="preserve">AG’s advice </w:t>
      </w:r>
      <w:r w:rsidR="00243F05" w:rsidRPr="009C65DA">
        <w:rPr>
          <w:rFonts w:ascii="Book Antiqua" w:hAnsi="Book Antiqua" w:cs="Calibri"/>
        </w:rPr>
        <w:t xml:space="preserve">is </w:t>
      </w:r>
      <w:r w:rsidR="00901B03" w:rsidRPr="003739B7">
        <w:rPr>
          <w:rFonts w:ascii="Book Antiqua" w:hAnsi="Book Antiqua" w:cs="Calibri"/>
        </w:rPr>
        <w:t>published when it suit</w:t>
      </w:r>
      <w:r w:rsidR="00243F05" w:rsidRPr="002516B9">
        <w:rPr>
          <w:rFonts w:ascii="Book Antiqua" w:hAnsi="Book Antiqua" w:cs="Calibri"/>
        </w:rPr>
        <w:t>s</w:t>
      </w:r>
      <w:r w:rsidR="00901B03" w:rsidRPr="00355202">
        <w:rPr>
          <w:rFonts w:ascii="Book Antiqua" w:hAnsi="Book Antiqua" w:cs="Calibri"/>
        </w:rPr>
        <w:t xml:space="preserve"> the </w:t>
      </w:r>
      <w:r w:rsidR="00243F05" w:rsidRPr="00061F78">
        <w:rPr>
          <w:rFonts w:ascii="Book Antiqua" w:hAnsi="Book Antiqua" w:cs="Calibri"/>
        </w:rPr>
        <w:t>g</w:t>
      </w:r>
      <w:r w:rsidR="00901B03" w:rsidRPr="00061F78">
        <w:rPr>
          <w:rFonts w:ascii="Book Antiqua" w:hAnsi="Book Antiqua" w:cs="Calibri"/>
        </w:rPr>
        <w:t xml:space="preserve">overnment to do </w:t>
      </w:r>
      <w:r w:rsidR="00243F05" w:rsidRPr="00061F78">
        <w:rPr>
          <w:rFonts w:ascii="Book Antiqua" w:hAnsi="Book Antiqua" w:cs="Calibri"/>
        </w:rPr>
        <w:t>this, undermining any case that it is imp</w:t>
      </w:r>
      <w:r w:rsidR="00243F05" w:rsidRPr="00B07F84">
        <w:rPr>
          <w:rFonts w:ascii="Book Antiqua" w:hAnsi="Book Antiqua" w:cs="Calibri"/>
        </w:rPr>
        <w:t>ermissible</w:t>
      </w:r>
      <w:r w:rsidR="00901B03" w:rsidRPr="003F681B">
        <w:rPr>
          <w:rFonts w:ascii="Book Antiqua" w:hAnsi="Book Antiqua" w:cs="Calibri"/>
        </w:rPr>
        <w:t>.</w:t>
      </w:r>
      <w:r w:rsidR="00901B03" w:rsidRPr="00692FEB">
        <w:rPr>
          <w:rStyle w:val="FootnoteReference"/>
          <w:rFonts w:ascii="Book Antiqua" w:hAnsi="Book Antiqua" w:cs="Calibri"/>
        </w:rPr>
        <w:footnoteReference w:id="78"/>
      </w:r>
      <w:r w:rsidR="00901B03" w:rsidRPr="00692FEB">
        <w:rPr>
          <w:rFonts w:ascii="Book Antiqua" w:hAnsi="Book Antiqua" w:cs="Calibri"/>
        </w:rPr>
        <w:t xml:space="preserve"> </w:t>
      </w:r>
      <w:r w:rsidR="00FE381B" w:rsidRPr="009C65DA">
        <w:rPr>
          <w:rFonts w:ascii="Book Antiqua" w:hAnsi="Book Antiqua" w:cs="Calibri"/>
        </w:rPr>
        <w:t xml:space="preserve"> </w:t>
      </w:r>
    </w:p>
    <w:p w14:paraId="3E27D91B" w14:textId="77777777" w:rsidR="00FC07EA" w:rsidRPr="003739B7" w:rsidRDefault="00FC07EA" w:rsidP="00603F74">
      <w:pPr>
        <w:spacing w:line="360" w:lineRule="auto"/>
        <w:jc w:val="both"/>
        <w:rPr>
          <w:rFonts w:ascii="Book Antiqua" w:hAnsi="Book Antiqua" w:cs="Calibri"/>
        </w:rPr>
      </w:pPr>
    </w:p>
    <w:p w14:paraId="71B9756E" w14:textId="179B715A" w:rsidR="00E041AB" w:rsidRPr="00061F78" w:rsidRDefault="000348D1" w:rsidP="00376D7D">
      <w:pPr>
        <w:spacing w:line="360" w:lineRule="auto"/>
        <w:jc w:val="both"/>
        <w:outlineLvl w:val="1"/>
        <w:rPr>
          <w:rFonts w:ascii="Book Antiqua" w:hAnsi="Book Antiqua" w:cs="Calibri"/>
          <w:u w:val="single"/>
        </w:rPr>
      </w:pPr>
      <w:r w:rsidRPr="002516B9">
        <w:rPr>
          <w:rFonts w:ascii="Book Antiqua" w:hAnsi="Book Antiqua" w:cs="Calibri"/>
          <w:u w:val="single"/>
        </w:rPr>
        <w:t>Use of</w:t>
      </w:r>
      <w:r w:rsidR="00603F74" w:rsidRPr="00355202">
        <w:rPr>
          <w:rFonts w:ascii="Book Antiqua" w:hAnsi="Book Antiqua" w:cs="Calibri"/>
          <w:u w:val="single"/>
        </w:rPr>
        <w:t xml:space="preserve"> AG advice</w:t>
      </w:r>
      <w:r w:rsidR="007A3963" w:rsidRPr="00061F78">
        <w:rPr>
          <w:rFonts w:ascii="Book Antiqua" w:hAnsi="Book Antiqua" w:cs="Calibri"/>
          <w:u w:val="single"/>
        </w:rPr>
        <w:t xml:space="preserve"> to curb private members bills</w:t>
      </w:r>
    </w:p>
    <w:p w14:paraId="30A7E25A" w14:textId="6DED3C9A" w:rsidR="00CF006D" w:rsidRPr="006E162D" w:rsidRDefault="00E041AB" w:rsidP="00CF006D">
      <w:pPr>
        <w:spacing w:line="360" w:lineRule="auto"/>
        <w:jc w:val="both"/>
        <w:rPr>
          <w:rFonts w:ascii="Book Antiqua" w:hAnsi="Book Antiqua" w:cs="Calibri"/>
        </w:rPr>
      </w:pPr>
      <w:r w:rsidRPr="00061F78">
        <w:rPr>
          <w:rFonts w:ascii="Book Antiqua" w:hAnsi="Book Antiqua" w:cs="Calibri"/>
        </w:rPr>
        <w:t>Ireland’s period of minority government saw the executive</w:t>
      </w:r>
      <w:r w:rsidR="009D1BD1" w:rsidRPr="00D47D06">
        <w:rPr>
          <w:rFonts w:ascii="Book Antiqua" w:hAnsi="Book Antiqua" w:cs="Calibri"/>
        </w:rPr>
        <w:t xml:space="preserve"> increasingly</w:t>
      </w:r>
      <w:r w:rsidRPr="00D47D06">
        <w:rPr>
          <w:rFonts w:ascii="Book Antiqua" w:hAnsi="Book Antiqua" w:cs="Calibri"/>
          <w:color w:val="000000" w:themeColor="text1"/>
        </w:rPr>
        <w:t xml:space="preserve"> rely on AG’s advice to</w:t>
      </w:r>
      <w:r w:rsidR="00D031C5" w:rsidRPr="00D47D06">
        <w:rPr>
          <w:rFonts w:ascii="Book Antiqua" w:hAnsi="Book Antiqua" w:cs="Calibri"/>
          <w:color w:val="000000" w:themeColor="text1"/>
        </w:rPr>
        <w:t xml:space="preserve"> </w:t>
      </w:r>
      <w:r w:rsidRPr="006E162D">
        <w:rPr>
          <w:rFonts w:ascii="Book Antiqua" w:hAnsi="Book Antiqua" w:cs="Calibri"/>
          <w:color w:val="000000" w:themeColor="text1"/>
        </w:rPr>
        <w:t xml:space="preserve">undergird controversial decisions with respect to </w:t>
      </w:r>
      <w:r w:rsidR="00420073" w:rsidRPr="006E162D">
        <w:rPr>
          <w:rFonts w:ascii="Book Antiqua" w:hAnsi="Book Antiqua" w:cs="Calibri"/>
          <w:color w:val="000000" w:themeColor="text1"/>
        </w:rPr>
        <w:t>PMBs</w:t>
      </w:r>
      <w:r w:rsidRPr="006E162D">
        <w:rPr>
          <w:rFonts w:ascii="Book Antiqua" w:hAnsi="Book Antiqua" w:cs="Calibri"/>
          <w:color w:val="000000" w:themeColor="text1"/>
        </w:rPr>
        <w:t xml:space="preserve">. Despite lacking a legislative majority, the </w:t>
      </w:r>
      <w:r w:rsidR="003B4E9C" w:rsidRPr="006E162D">
        <w:rPr>
          <w:rFonts w:ascii="Book Antiqua" w:hAnsi="Book Antiqua" w:cs="Calibri"/>
          <w:color w:val="000000" w:themeColor="text1"/>
        </w:rPr>
        <w:t xml:space="preserve">Government </w:t>
      </w:r>
      <w:r w:rsidRPr="006E162D">
        <w:rPr>
          <w:rFonts w:ascii="Book Antiqua" w:hAnsi="Book Antiqua" w:cs="Calibri"/>
          <w:color w:val="000000" w:themeColor="text1"/>
        </w:rPr>
        <w:t xml:space="preserve">heavily leaned on </w:t>
      </w:r>
      <w:r w:rsidR="00531DBE" w:rsidRPr="006E162D">
        <w:rPr>
          <w:rFonts w:ascii="Book Antiqua" w:hAnsi="Book Antiqua" w:cs="Calibri"/>
          <w:color w:val="000000" w:themeColor="text1"/>
        </w:rPr>
        <w:t>secretive</w:t>
      </w:r>
      <w:r w:rsidR="00152B85" w:rsidRPr="006E162D">
        <w:rPr>
          <w:rFonts w:ascii="Book Antiqua" w:hAnsi="Book Antiqua" w:cs="Calibri"/>
          <w:color w:val="000000" w:themeColor="text1"/>
        </w:rPr>
        <w:t>, and often contentious,</w:t>
      </w:r>
      <w:r w:rsidRPr="006E162D">
        <w:rPr>
          <w:rFonts w:ascii="Book Antiqua" w:hAnsi="Book Antiqua" w:cs="Calibri"/>
          <w:color w:val="000000" w:themeColor="text1"/>
        </w:rPr>
        <w:t xml:space="preserve"> AG’s advice to </w:t>
      </w:r>
      <w:r w:rsidR="0044744F" w:rsidRPr="006E162D">
        <w:rPr>
          <w:rFonts w:ascii="Book Antiqua" w:hAnsi="Book Antiqua" w:cs="Calibri"/>
        </w:rPr>
        <w:t>undercut the legitimacy of</w:t>
      </w:r>
      <w:r w:rsidR="00531DBE" w:rsidRPr="006E162D">
        <w:rPr>
          <w:rFonts w:ascii="Book Antiqua" w:hAnsi="Book Antiqua" w:cs="Calibri"/>
        </w:rPr>
        <w:t xml:space="preserve"> </w:t>
      </w:r>
      <w:r w:rsidR="00420073" w:rsidRPr="006E162D">
        <w:rPr>
          <w:rFonts w:ascii="Book Antiqua" w:hAnsi="Book Antiqua" w:cs="Calibri"/>
        </w:rPr>
        <w:t>PMB</w:t>
      </w:r>
      <w:r w:rsidR="0044744F" w:rsidRPr="006E162D">
        <w:rPr>
          <w:rFonts w:ascii="Book Antiqua" w:hAnsi="Book Antiqua" w:cs="Calibri"/>
        </w:rPr>
        <w:t>’s on the basis they</w:t>
      </w:r>
      <w:r w:rsidR="00420073" w:rsidRPr="006E162D">
        <w:rPr>
          <w:rFonts w:ascii="Book Antiqua" w:hAnsi="Book Antiqua" w:cs="Calibri"/>
        </w:rPr>
        <w:t xml:space="preserve"> were unconstitutional</w:t>
      </w:r>
      <w:r w:rsidR="003B4E9C" w:rsidRPr="006E162D">
        <w:rPr>
          <w:rFonts w:ascii="Book Antiqua" w:hAnsi="Book Antiqua" w:cs="Calibri"/>
        </w:rPr>
        <w:t xml:space="preserve">. </w:t>
      </w:r>
      <w:r w:rsidR="00CF006D" w:rsidRPr="006E162D">
        <w:rPr>
          <w:rFonts w:ascii="Book Antiqua" w:hAnsi="Book Antiqua" w:cs="Calibri"/>
        </w:rPr>
        <w:t xml:space="preserve">A good example </w:t>
      </w:r>
      <w:r w:rsidR="00F01ADB" w:rsidRPr="006E162D">
        <w:rPr>
          <w:rFonts w:ascii="Book Antiqua" w:hAnsi="Book Antiqua" w:cs="Calibri"/>
        </w:rPr>
        <w:t>of this phenomenon came can be seen through</w:t>
      </w:r>
      <w:r w:rsidR="002D7251" w:rsidRPr="006E162D">
        <w:rPr>
          <w:rFonts w:ascii="Book Antiqua" w:hAnsi="Book Antiqua" w:cs="Calibri"/>
        </w:rPr>
        <w:t xml:space="preserve"> the</w:t>
      </w:r>
      <w:r w:rsidR="00CF006D" w:rsidRPr="006E162D">
        <w:rPr>
          <w:rFonts w:ascii="Book Antiqua" w:hAnsi="Book Antiqua" w:cs="Calibri"/>
        </w:rPr>
        <w:t xml:space="preserve"> </w:t>
      </w:r>
      <w:r w:rsidR="002D7251" w:rsidRPr="006E162D">
        <w:rPr>
          <w:rFonts w:ascii="Book Antiqua" w:hAnsi="Book Antiqua" w:cs="Calibri"/>
        </w:rPr>
        <w:t>G</w:t>
      </w:r>
      <w:r w:rsidR="00CF006D" w:rsidRPr="006E162D">
        <w:rPr>
          <w:rFonts w:ascii="Book Antiqua" w:hAnsi="Book Antiqua" w:cs="Calibri"/>
        </w:rPr>
        <w:t>overnment’s treatment of</w:t>
      </w:r>
      <w:r w:rsidR="00152B85" w:rsidRPr="006E162D">
        <w:rPr>
          <w:rFonts w:ascii="Book Antiqua" w:hAnsi="Book Antiqua" w:cs="Calibri"/>
        </w:rPr>
        <w:t xml:space="preserve"> a raft of </w:t>
      </w:r>
      <w:r w:rsidR="003B4E9C" w:rsidRPr="006E162D">
        <w:rPr>
          <w:rFonts w:ascii="Book Antiqua" w:hAnsi="Book Antiqua" w:cs="Calibri"/>
        </w:rPr>
        <w:t>PMB’s</w:t>
      </w:r>
      <w:r w:rsidR="00CF006D" w:rsidRPr="006E162D">
        <w:rPr>
          <w:rFonts w:ascii="Book Antiqua" w:hAnsi="Book Antiqua" w:cs="Calibri"/>
        </w:rPr>
        <w:t xml:space="preserve"> advanced to tackle Ireland’s homelessness crisis.</w:t>
      </w:r>
      <w:r w:rsidR="008967C9">
        <w:rPr>
          <w:rFonts w:ascii="Book Antiqua" w:hAnsi="Book Antiqua" w:cs="Calibri"/>
        </w:rPr>
        <w:t xml:space="preserve"> </w:t>
      </w:r>
      <w:r w:rsidR="00CF006D" w:rsidRPr="006E162D">
        <w:rPr>
          <w:rFonts w:ascii="Book Antiqua" w:hAnsi="Book Antiqua" w:cs="Calibri"/>
        </w:rPr>
        <w:t>Between 201</w:t>
      </w:r>
      <w:r w:rsidR="00375BFC" w:rsidRPr="006E162D">
        <w:rPr>
          <w:rFonts w:ascii="Book Antiqua" w:hAnsi="Book Antiqua" w:cs="Calibri"/>
        </w:rPr>
        <w:t>6</w:t>
      </w:r>
      <w:r w:rsidR="00CF006D" w:rsidRPr="006E162D">
        <w:rPr>
          <w:rFonts w:ascii="Book Antiqua" w:hAnsi="Book Antiqua" w:cs="Calibri"/>
        </w:rPr>
        <w:t>-2020, the then Fine Gael minority government faced a deepening homelessness crisis.</w:t>
      </w:r>
      <w:r w:rsidR="003B4E9C" w:rsidRPr="00692FEB">
        <w:rPr>
          <w:rStyle w:val="FootnoteReference"/>
          <w:rFonts w:ascii="Book Antiqua" w:hAnsi="Book Antiqua" w:cs="Calibri"/>
        </w:rPr>
        <w:footnoteReference w:id="79"/>
      </w:r>
      <w:r w:rsidR="00CF006D" w:rsidRPr="00692FEB">
        <w:rPr>
          <w:rFonts w:ascii="Book Antiqua" w:hAnsi="Book Antiqua" w:cs="Calibri"/>
        </w:rPr>
        <w:t xml:space="preserve"> The </w:t>
      </w:r>
      <w:r w:rsidR="00152B85" w:rsidRPr="009C65DA">
        <w:rPr>
          <w:rFonts w:ascii="Book Antiqua" w:hAnsi="Book Antiqua" w:cs="Calibri"/>
        </w:rPr>
        <w:t>G</w:t>
      </w:r>
      <w:r w:rsidR="00CF006D" w:rsidRPr="009C65DA">
        <w:rPr>
          <w:rFonts w:ascii="Book Antiqua" w:hAnsi="Book Antiqua" w:cs="Calibri"/>
        </w:rPr>
        <w:t>overnment received considerable critique for its alleged lack of robust action.</w:t>
      </w:r>
      <w:r w:rsidR="0042396A" w:rsidRPr="003739B7">
        <w:rPr>
          <w:rFonts w:ascii="Book Antiqua" w:hAnsi="Book Antiqua" w:cs="Calibri"/>
        </w:rPr>
        <w:t xml:space="preserve"> </w:t>
      </w:r>
      <w:r w:rsidR="00375BFC" w:rsidRPr="002516B9">
        <w:rPr>
          <w:rFonts w:ascii="Book Antiqua" w:hAnsi="Book Antiqua" w:cs="Calibri"/>
        </w:rPr>
        <w:t>In jus</w:t>
      </w:r>
      <w:r w:rsidR="00375BFC" w:rsidRPr="00355202">
        <w:rPr>
          <w:rFonts w:ascii="Book Antiqua" w:hAnsi="Book Antiqua" w:cs="Calibri"/>
        </w:rPr>
        <w:t>tifying its record, the</w:t>
      </w:r>
      <w:r w:rsidR="0042396A" w:rsidRPr="00061F78">
        <w:rPr>
          <w:rFonts w:ascii="Book Antiqua" w:hAnsi="Book Antiqua" w:cs="Calibri"/>
        </w:rPr>
        <w:t xml:space="preserve"> Government</w:t>
      </w:r>
      <w:r w:rsidR="00375BFC" w:rsidRPr="00061F78">
        <w:rPr>
          <w:rFonts w:ascii="Book Antiqua" w:hAnsi="Book Antiqua" w:cs="Calibri"/>
        </w:rPr>
        <w:t xml:space="preserve"> repeatedly</w:t>
      </w:r>
      <w:r w:rsidR="0042396A" w:rsidRPr="00061F78">
        <w:rPr>
          <w:rFonts w:ascii="Book Antiqua" w:hAnsi="Book Antiqua" w:cs="Calibri"/>
        </w:rPr>
        <w:t xml:space="preserve"> claimed to face very severe limitations on legislative action due to AG’s advice on constitutional property rights.</w:t>
      </w:r>
      <w:r w:rsidR="0042396A" w:rsidRPr="00692FEB">
        <w:rPr>
          <w:rStyle w:val="FootnoteReference"/>
          <w:rFonts w:ascii="Book Antiqua" w:hAnsi="Book Antiqua" w:cs="Calibri"/>
        </w:rPr>
        <w:footnoteReference w:id="80"/>
      </w:r>
      <w:r w:rsidR="0042396A" w:rsidRPr="00692FEB">
        <w:rPr>
          <w:rFonts w:ascii="Book Antiqua" w:hAnsi="Book Antiqua" w:cs="Calibri"/>
        </w:rPr>
        <w:t xml:space="preserve"> Unimpressed with the Government’s perceiv</w:t>
      </w:r>
      <w:r w:rsidR="0042396A" w:rsidRPr="009C65DA">
        <w:rPr>
          <w:rFonts w:ascii="Book Antiqua" w:hAnsi="Book Antiqua" w:cs="Calibri"/>
        </w:rPr>
        <w:t xml:space="preserve">ed lack of action, </w:t>
      </w:r>
      <w:r w:rsidR="0042396A" w:rsidRPr="006E162D">
        <w:rPr>
          <w:rFonts w:ascii="Book Antiqua" w:hAnsi="Book Antiqua" w:cs="Calibri"/>
        </w:rPr>
        <w:t xml:space="preserve">backbenchers proposed several measures they hoped would assist tackling the </w:t>
      </w:r>
      <w:r w:rsidR="00CA32EF" w:rsidRPr="006E162D">
        <w:rPr>
          <w:rFonts w:ascii="Book Antiqua" w:hAnsi="Book Antiqua" w:cs="Calibri"/>
        </w:rPr>
        <w:t>crisis</w:t>
      </w:r>
      <w:r w:rsidR="0042396A" w:rsidRPr="006E162D">
        <w:rPr>
          <w:rFonts w:ascii="Book Antiqua" w:hAnsi="Book Antiqua" w:cs="Calibri"/>
        </w:rPr>
        <w:t>. However, on each occasion the Government asserted</w:t>
      </w:r>
      <w:r w:rsidR="00CF006D" w:rsidRPr="006E162D">
        <w:rPr>
          <w:rFonts w:ascii="Book Antiqua" w:hAnsi="Book Antiqua" w:cs="Calibri"/>
        </w:rPr>
        <w:t xml:space="preserve"> that </w:t>
      </w:r>
      <w:r w:rsidR="0042396A" w:rsidRPr="006E162D">
        <w:rPr>
          <w:rFonts w:ascii="Book Antiqua" w:hAnsi="Book Antiqua" w:cs="Calibri"/>
        </w:rPr>
        <w:t xml:space="preserve">each </w:t>
      </w:r>
      <w:r w:rsidR="00CF006D" w:rsidRPr="006E162D">
        <w:rPr>
          <w:rFonts w:ascii="Book Antiqua" w:hAnsi="Book Antiqua" w:cs="Calibri"/>
        </w:rPr>
        <w:t xml:space="preserve">measure proposed </w:t>
      </w:r>
      <w:r w:rsidR="0042396A" w:rsidRPr="006E162D">
        <w:rPr>
          <w:rFonts w:ascii="Book Antiqua" w:hAnsi="Book Antiqua" w:cs="Calibri"/>
        </w:rPr>
        <w:t xml:space="preserve">was </w:t>
      </w:r>
      <w:r w:rsidR="00CF006D" w:rsidRPr="006E162D">
        <w:rPr>
          <w:rFonts w:ascii="Book Antiqua" w:hAnsi="Book Antiqua" w:cs="Calibri"/>
        </w:rPr>
        <w:t>unconstitutional based on AG’s advice.</w:t>
      </w:r>
      <w:r w:rsidR="00CF006D" w:rsidRPr="00692FEB">
        <w:rPr>
          <w:rFonts w:ascii="Book Antiqua" w:hAnsi="Book Antiqua" w:cs="Calibri"/>
        </w:rPr>
        <w:t xml:space="preserve"> As a result, the Government asserted it could not </w:t>
      </w:r>
      <w:r w:rsidR="00D031C5" w:rsidRPr="009C65DA">
        <w:rPr>
          <w:rFonts w:ascii="Book Antiqua" w:hAnsi="Book Antiqua" w:cs="Calibri"/>
        </w:rPr>
        <w:t>support</w:t>
      </w:r>
      <w:r w:rsidR="0042396A" w:rsidRPr="009C65DA">
        <w:rPr>
          <w:rFonts w:ascii="Book Antiqua" w:hAnsi="Book Antiqua" w:cs="Calibri"/>
        </w:rPr>
        <w:t xml:space="preserve"> </w:t>
      </w:r>
      <w:r w:rsidR="00C22B2A" w:rsidRPr="003739B7">
        <w:rPr>
          <w:rFonts w:ascii="Book Antiqua" w:hAnsi="Book Antiqua" w:cs="Calibri"/>
        </w:rPr>
        <w:t>them</w:t>
      </w:r>
      <w:r w:rsidR="00015943" w:rsidRPr="002516B9">
        <w:rPr>
          <w:rFonts w:ascii="Book Antiqua" w:hAnsi="Book Antiqua" w:cs="Calibri"/>
        </w:rPr>
        <w:t>, giving</w:t>
      </w:r>
      <w:r w:rsidR="00015943" w:rsidRPr="00355202">
        <w:rPr>
          <w:rFonts w:ascii="Book Antiqua" w:hAnsi="Book Antiqua" w:cs="Calibri"/>
        </w:rPr>
        <w:t xml:space="preserve"> itself political cover for oppos</w:t>
      </w:r>
      <w:r w:rsidR="00015943" w:rsidRPr="00061F78">
        <w:rPr>
          <w:rFonts w:ascii="Book Antiqua" w:hAnsi="Book Antiqua" w:cs="Calibri"/>
        </w:rPr>
        <w:t xml:space="preserve">ing measures that may have </w:t>
      </w:r>
      <w:r w:rsidR="00015943" w:rsidRPr="00061F78">
        <w:rPr>
          <w:rFonts w:ascii="Book Antiqua" w:hAnsi="Book Antiqua" w:cs="Calibri"/>
        </w:rPr>
        <w:lastRenderedPageBreak/>
        <w:t>been very popular during a housing crisis. Th</w:t>
      </w:r>
      <w:r w:rsidR="00015943" w:rsidRPr="00D47D06">
        <w:rPr>
          <w:rFonts w:ascii="Book Antiqua" w:hAnsi="Book Antiqua" w:cs="Calibri"/>
        </w:rPr>
        <w:t>is may also have been influential in stopping the bills either in persuading other parti</w:t>
      </w:r>
      <w:r w:rsidR="00015943" w:rsidRPr="00B07F84">
        <w:rPr>
          <w:rFonts w:ascii="Book Antiqua" w:hAnsi="Book Antiqua" w:cs="Calibri"/>
        </w:rPr>
        <w:t xml:space="preserve">es to vote against </w:t>
      </w:r>
      <w:proofErr w:type="gramStart"/>
      <w:r w:rsidR="00015943" w:rsidRPr="00B07F84">
        <w:rPr>
          <w:rFonts w:ascii="Book Antiqua" w:hAnsi="Book Antiqua" w:cs="Calibri"/>
        </w:rPr>
        <w:t>them, or</w:t>
      </w:r>
      <w:proofErr w:type="gramEnd"/>
      <w:r w:rsidR="00015943" w:rsidRPr="00B07F84">
        <w:rPr>
          <w:rFonts w:ascii="Book Antiqua" w:hAnsi="Book Antiqua" w:cs="Calibri"/>
        </w:rPr>
        <w:t xml:space="preserve"> giving other parties political cover </w:t>
      </w:r>
      <w:r w:rsidR="00015943" w:rsidRPr="003F681B">
        <w:rPr>
          <w:rFonts w:ascii="Book Antiqua" w:hAnsi="Book Antiqua" w:cs="Calibri"/>
        </w:rPr>
        <w:t>for opposing these measures</w:t>
      </w:r>
      <w:r w:rsidR="00CF006D" w:rsidRPr="006E162D">
        <w:rPr>
          <w:rFonts w:ascii="Book Antiqua" w:hAnsi="Book Antiqua" w:cs="Calibri"/>
        </w:rPr>
        <w:t>.</w:t>
      </w:r>
    </w:p>
    <w:p w14:paraId="30F7C1D9" w14:textId="77777777" w:rsidR="00CB7971" w:rsidRPr="006E162D" w:rsidRDefault="00CB7971" w:rsidP="00CF006D">
      <w:pPr>
        <w:spacing w:line="360" w:lineRule="auto"/>
        <w:jc w:val="both"/>
        <w:rPr>
          <w:rFonts w:ascii="Book Antiqua" w:hAnsi="Book Antiqua" w:cs="Calibri"/>
        </w:rPr>
      </w:pPr>
    </w:p>
    <w:p w14:paraId="4155729B" w14:textId="78DEA476" w:rsidR="004961A4" w:rsidRPr="00061F78" w:rsidRDefault="00033F06" w:rsidP="004961A4">
      <w:pPr>
        <w:autoSpaceDE w:val="0"/>
        <w:autoSpaceDN w:val="0"/>
        <w:adjustRightInd w:val="0"/>
        <w:spacing w:line="360" w:lineRule="auto"/>
        <w:jc w:val="both"/>
        <w:rPr>
          <w:rFonts w:ascii="Book Antiqua" w:hAnsi="Book Antiqua"/>
          <w:color w:val="000000" w:themeColor="text1"/>
        </w:rPr>
      </w:pPr>
      <w:r w:rsidRPr="00692FEB">
        <w:rPr>
          <w:rFonts w:ascii="Book Antiqua" w:hAnsi="Book Antiqua"/>
          <w:color w:val="000000" w:themeColor="text1"/>
        </w:rPr>
        <w:t>The</w:t>
      </w:r>
      <w:r w:rsidRPr="009C65DA">
        <w:rPr>
          <w:rFonts w:ascii="Book Antiqua" w:hAnsi="Book Antiqua"/>
          <w:color w:val="000000" w:themeColor="text1"/>
        </w:rPr>
        <w:t xml:space="preserve"> Social and Affordable Housing Bill 2016</w:t>
      </w:r>
      <w:r w:rsidR="00015943" w:rsidRPr="003739B7">
        <w:rPr>
          <w:rFonts w:ascii="Book Antiqua" w:hAnsi="Book Antiqua"/>
          <w:color w:val="000000" w:themeColor="text1"/>
        </w:rPr>
        <w:t>,</w:t>
      </w:r>
      <w:r w:rsidRPr="002516B9">
        <w:rPr>
          <w:rFonts w:ascii="Book Antiqua" w:hAnsi="Book Antiqua"/>
          <w:color w:val="000000" w:themeColor="text1"/>
        </w:rPr>
        <w:t xml:space="preserve"> </w:t>
      </w:r>
      <w:r w:rsidRPr="006E162D">
        <w:rPr>
          <w:rFonts w:ascii="Book Antiqua" w:hAnsi="Book Antiqua"/>
          <w:color w:val="000000" w:themeColor="text1"/>
        </w:rPr>
        <w:t>introduced by the opposition Labour Party in December 2016</w:t>
      </w:r>
      <w:r w:rsidR="00015943" w:rsidRPr="006E162D">
        <w:rPr>
          <w:rFonts w:ascii="Book Antiqua" w:hAnsi="Book Antiqua"/>
          <w:color w:val="000000" w:themeColor="text1"/>
        </w:rPr>
        <w:t>,</w:t>
      </w:r>
      <w:r w:rsidRPr="006E162D">
        <w:rPr>
          <w:rFonts w:ascii="Book Antiqua" w:hAnsi="Book Antiqua"/>
          <w:color w:val="000000" w:themeColor="text1"/>
        </w:rPr>
        <w:t xml:space="preserve"> proposed </w:t>
      </w:r>
      <w:r w:rsidR="004A3127" w:rsidRPr="006E162D">
        <w:rPr>
          <w:rFonts w:ascii="Book Antiqua" w:hAnsi="Book Antiqua"/>
          <w:color w:val="000000" w:themeColor="text1"/>
        </w:rPr>
        <w:t>additional</w:t>
      </w:r>
      <w:r w:rsidRPr="006E162D">
        <w:rPr>
          <w:rFonts w:ascii="Book Antiqua" w:hAnsi="Book Antiqua"/>
          <w:color w:val="000000" w:themeColor="text1"/>
        </w:rPr>
        <w:t xml:space="preserve"> powers for local authorities to compulsorily acquire land for housing purposes at reduced rates, and for </w:t>
      </w:r>
      <w:r w:rsidR="0037151E">
        <w:rPr>
          <w:rFonts w:ascii="Book Antiqua" w:hAnsi="Book Antiqua"/>
          <w:color w:val="000000" w:themeColor="text1"/>
        </w:rPr>
        <w:t xml:space="preserve">strengthened </w:t>
      </w:r>
      <w:r w:rsidRPr="0037151E">
        <w:rPr>
          <w:rFonts w:ascii="Book Antiqua" w:hAnsi="Book Antiqua"/>
          <w:color w:val="000000" w:themeColor="text1"/>
        </w:rPr>
        <w:t>rent controls. The Government opposed the Bill, citing constitutional concerns based on legal advice from the AG</w:t>
      </w:r>
      <w:r w:rsidR="004A3127" w:rsidRPr="00C81A59">
        <w:rPr>
          <w:rFonts w:ascii="Book Antiqua" w:hAnsi="Book Antiqua"/>
          <w:color w:val="000000" w:themeColor="text1"/>
        </w:rPr>
        <w:t xml:space="preserve"> to th</w:t>
      </w:r>
      <w:r w:rsidR="004A3127" w:rsidRPr="00AF2E40">
        <w:rPr>
          <w:rFonts w:ascii="Book Antiqua" w:hAnsi="Book Antiqua"/>
          <w:color w:val="000000" w:themeColor="text1"/>
        </w:rPr>
        <w:t>e effect that the proposal was a disproportionate interference with property rights</w:t>
      </w:r>
      <w:r w:rsidRPr="007E36D0">
        <w:rPr>
          <w:rFonts w:ascii="Book Antiqua" w:hAnsi="Book Antiqua"/>
          <w:color w:val="000000" w:themeColor="text1"/>
        </w:rPr>
        <w:t>.</w:t>
      </w:r>
      <w:r w:rsidRPr="00692FEB">
        <w:rPr>
          <w:rStyle w:val="FootnoteReference"/>
          <w:rFonts w:ascii="Book Antiqua" w:hAnsi="Book Antiqua"/>
          <w:color w:val="000000" w:themeColor="text1"/>
        </w:rPr>
        <w:footnoteReference w:id="81"/>
      </w:r>
      <w:r w:rsidRPr="00692FEB">
        <w:rPr>
          <w:rFonts w:ascii="Book Antiqua" w:hAnsi="Book Antiqua"/>
          <w:color w:val="000000" w:themeColor="text1"/>
        </w:rPr>
        <w:t xml:space="preserve"> </w:t>
      </w:r>
      <w:r w:rsidRPr="009C65DA">
        <w:rPr>
          <w:rFonts w:ascii="Book Antiqua" w:hAnsi="Book Antiqua"/>
          <w:color w:val="000000" w:themeColor="text1"/>
        </w:rPr>
        <w:t>No advice was published, and</w:t>
      </w:r>
      <w:r w:rsidRPr="003739B7">
        <w:rPr>
          <w:rFonts w:ascii="Book Antiqua" w:hAnsi="Book Antiqua"/>
          <w:color w:val="000000" w:themeColor="text1"/>
        </w:rPr>
        <w:t xml:space="preserve"> the Bill was</w:t>
      </w:r>
      <w:r w:rsidRPr="002516B9">
        <w:rPr>
          <w:rFonts w:ascii="Book Antiqua" w:hAnsi="Book Antiqua"/>
          <w:color w:val="000000" w:themeColor="text1"/>
        </w:rPr>
        <w:t xml:space="preserve"> defeated at</w:t>
      </w:r>
      <w:r w:rsidRPr="00061F78">
        <w:rPr>
          <w:rFonts w:ascii="Book Antiqua" w:hAnsi="Book Antiqua"/>
          <w:color w:val="000000" w:themeColor="text1"/>
        </w:rPr>
        <w:t xml:space="preserve"> the Second Stage debate.</w:t>
      </w:r>
      <w:r w:rsidR="002D7251" w:rsidRPr="00061F78">
        <w:rPr>
          <w:rFonts w:ascii="Book Antiqua" w:hAnsi="Book Antiqua"/>
          <w:color w:val="000000" w:themeColor="text1"/>
        </w:rPr>
        <w:t xml:space="preserve"> </w:t>
      </w:r>
      <w:r w:rsidR="00632BBD" w:rsidRPr="00061F78">
        <w:rPr>
          <w:rFonts w:ascii="Book Antiqua" w:hAnsi="Book Antiqua"/>
          <w:color w:val="000000" w:themeColor="text1"/>
        </w:rPr>
        <w:t>The Residential Tenancies (Prevention of Family Homelessness) Bill 2018</w:t>
      </w:r>
      <w:r w:rsidR="008809AF" w:rsidRPr="00061F78">
        <w:rPr>
          <w:rFonts w:ascii="Book Antiqua" w:hAnsi="Book Antiqua"/>
          <w:color w:val="000000" w:themeColor="text1"/>
        </w:rPr>
        <w:t xml:space="preserve"> met a similar fate.</w:t>
      </w:r>
      <w:r w:rsidR="00632BBD" w:rsidRPr="00D47D06">
        <w:rPr>
          <w:rFonts w:ascii="Book Antiqua" w:hAnsi="Book Antiqua"/>
          <w:color w:val="000000" w:themeColor="text1"/>
        </w:rPr>
        <w:t xml:space="preserve"> </w:t>
      </w:r>
      <w:r w:rsidR="008809AF" w:rsidRPr="00D47D06">
        <w:rPr>
          <w:rFonts w:ascii="Book Antiqua" w:hAnsi="Book Antiqua"/>
          <w:color w:val="000000" w:themeColor="text1"/>
        </w:rPr>
        <w:t>I</w:t>
      </w:r>
      <w:r w:rsidR="00632BBD" w:rsidRPr="00D47D06">
        <w:rPr>
          <w:rFonts w:ascii="Book Antiqua" w:hAnsi="Book Antiqua"/>
          <w:color w:val="000000" w:themeColor="text1"/>
        </w:rPr>
        <w:t xml:space="preserve">ntroduced </w:t>
      </w:r>
      <w:r w:rsidR="008809AF" w:rsidRPr="005F4D9F">
        <w:rPr>
          <w:rFonts w:ascii="Book Antiqua" w:hAnsi="Book Antiqua"/>
          <w:color w:val="000000" w:themeColor="text1"/>
        </w:rPr>
        <w:t>to</w:t>
      </w:r>
      <w:r w:rsidR="00632BBD" w:rsidRPr="005F4D9F">
        <w:rPr>
          <w:rFonts w:ascii="Book Antiqua" w:hAnsi="Book Antiqua"/>
          <w:color w:val="000000" w:themeColor="text1"/>
        </w:rPr>
        <w:t xml:space="preserve"> the Dáil</w:t>
      </w:r>
      <w:r w:rsidR="00BF7139" w:rsidRPr="005F4D9F">
        <w:rPr>
          <w:rFonts w:ascii="Book Antiqua" w:hAnsi="Book Antiqua"/>
          <w:color w:val="000000" w:themeColor="text1"/>
        </w:rPr>
        <w:t xml:space="preserve"> by Sinn Féin</w:t>
      </w:r>
      <w:r w:rsidR="00632BBD" w:rsidRPr="005F4D9F">
        <w:rPr>
          <w:rFonts w:ascii="Book Antiqua" w:hAnsi="Book Antiqua"/>
          <w:color w:val="000000" w:themeColor="text1"/>
        </w:rPr>
        <w:t xml:space="preserve"> in October 2018</w:t>
      </w:r>
      <w:r w:rsidR="008809AF" w:rsidRPr="00B07F84">
        <w:rPr>
          <w:rFonts w:ascii="Book Antiqua" w:hAnsi="Book Antiqua"/>
          <w:color w:val="000000" w:themeColor="text1"/>
        </w:rPr>
        <w:t>, t</w:t>
      </w:r>
      <w:r w:rsidR="00632BBD" w:rsidRPr="003F681B">
        <w:rPr>
          <w:rFonts w:ascii="Book Antiqua" w:hAnsi="Book Antiqua"/>
          <w:color w:val="000000" w:themeColor="text1"/>
        </w:rPr>
        <w:t xml:space="preserve">he </w:t>
      </w:r>
      <w:r w:rsidR="00BF7139" w:rsidRPr="006474AD">
        <w:rPr>
          <w:rFonts w:ascii="Book Antiqua" w:hAnsi="Book Antiqua"/>
          <w:color w:val="000000" w:themeColor="text1"/>
        </w:rPr>
        <w:t>b</w:t>
      </w:r>
      <w:r w:rsidR="00632BBD" w:rsidRPr="006474AD">
        <w:rPr>
          <w:rFonts w:ascii="Book Antiqua" w:hAnsi="Book Antiqua"/>
          <w:color w:val="000000" w:themeColor="text1"/>
        </w:rPr>
        <w:t>ill proposed to prevent landlords from evicting tenants on the basis that they intended to sell the property,</w:t>
      </w:r>
      <w:r w:rsidR="00C033D6" w:rsidRPr="006474AD">
        <w:rPr>
          <w:rFonts w:ascii="Book Antiqua" w:hAnsi="Book Antiqua"/>
          <w:color w:val="000000" w:themeColor="text1"/>
        </w:rPr>
        <w:t xml:space="preserve"> or</w:t>
      </w:r>
      <w:r w:rsidR="00632BBD" w:rsidRPr="006474AD">
        <w:rPr>
          <w:rFonts w:ascii="Book Antiqua" w:hAnsi="Book Antiqua"/>
          <w:color w:val="000000" w:themeColor="text1"/>
        </w:rPr>
        <w:t xml:space="preserve"> where the landlord or developer had purchased </w:t>
      </w:r>
      <w:r w:rsidR="00632BBD" w:rsidRPr="00D85B91">
        <w:rPr>
          <w:rFonts w:ascii="Book Antiqua" w:hAnsi="Book Antiqua"/>
          <w:color w:val="000000" w:themeColor="text1"/>
        </w:rPr>
        <w:t xml:space="preserve">the property on a buy-to-let scheme. </w:t>
      </w:r>
      <w:r w:rsidR="00C81A59">
        <w:rPr>
          <w:rFonts w:ascii="Book Antiqua" w:hAnsi="Book Antiqua"/>
          <w:color w:val="000000" w:themeColor="text1"/>
        </w:rPr>
        <w:t>The</w:t>
      </w:r>
      <w:r w:rsidR="0092066B" w:rsidRPr="00EE6019">
        <w:rPr>
          <w:rFonts w:ascii="Book Antiqua" w:hAnsi="Book Antiqua"/>
          <w:color w:val="000000" w:themeColor="text1"/>
        </w:rPr>
        <w:t xml:space="preserve"> </w:t>
      </w:r>
      <w:r w:rsidR="00610817" w:rsidRPr="00CD38C2">
        <w:rPr>
          <w:rFonts w:ascii="Book Antiqua" w:hAnsi="Book Antiqua"/>
          <w:color w:val="000000" w:themeColor="text1"/>
        </w:rPr>
        <w:t xml:space="preserve">Housing </w:t>
      </w:r>
      <w:r w:rsidR="00632BBD" w:rsidRPr="00CD38C2">
        <w:rPr>
          <w:rFonts w:ascii="Book Antiqua" w:hAnsi="Book Antiqua"/>
          <w:color w:val="000000" w:themeColor="text1"/>
        </w:rPr>
        <w:t xml:space="preserve">Minister Eoghan Murphy said that the </w:t>
      </w:r>
      <w:r w:rsidR="00C81A59">
        <w:rPr>
          <w:rFonts w:ascii="Book Antiqua" w:hAnsi="Book Antiqua"/>
          <w:color w:val="000000" w:themeColor="text1"/>
        </w:rPr>
        <w:t>B</w:t>
      </w:r>
      <w:r w:rsidR="00632BBD" w:rsidRPr="00CD38C2">
        <w:rPr>
          <w:rFonts w:ascii="Book Antiqua" w:hAnsi="Book Antiqua"/>
          <w:color w:val="000000" w:themeColor="text1"/>
        </w:rPr>
        <w:t>ill was an unconstitutional interference with the property rights of a sub-group of society. In response,</w:t>
      </w:r>
      <w:r w:rsidR="00BD2B86" w:rsidRPr="001D7781">
        <w:rPr>
          <w:rFonts w:ascii="Book Antiqua" w:hAnsi="Book Antiqua"/>
          <w:color w:val="000000" w:themeColor="text1"/>
        </w:rPr>
        <w:t xml:space="preserve"> the</w:t>
      </w:r>
      <w:r w:rsidR="00632BBD" w:rsidRPr="001D7781">
        <w:rPr>
          <w:rFonts w:ascii="Book Antiqua" w:hAnsi="Book Antiqua"/>
          <w:color w:val="000000" w:themeColor="text1"/>
        </w:rPr>
        <w:t xml:space="preserve"> Deputy </w:t>
      </w:r>
      <w:r w:rsidR="00BD2B86" w:rsidRPr="007E5A2E">
        <w:rPr>
          <w:rFonts w:ascii="Book Antiqua" w:hAnsi="Book Antiqua"/>
          <w:color w:val="000000" w:themeColor="text1"/>
        </w:rPr>
        <w:t>introducing the Bill</w:t>
      </w:r>
      <w:r w:rsidR="00632BBD" w:rsidRPr="00B233AE">
        <w:rPr>
          <w:rFonts w:ascii="Book Antiqua" w:hAnsi="Book Antiqua"/>
          <w:color w:val="000000" w:themeColor="text1"/>
        </w:rPr>
        <w:t xml:space="preserve"> strongly defended </w:t>
      </w:r>
      <w:r w:rsidR="00BD2B86" w:rsidRPr="00B233AE">
        <w:rPr>
          <w:rFonts w:ascii="Book Antiqua" w:hAnsi="Book Antiqua"/>
          <w:color w:val="000000" w:themeColor="text1"/>
        </w:rPr>
        <w:t>its</w:t>
      </w:r>
      <w:r w:rsidR="00632BBD" w:rsidRPr="00B233AE">
        <w:rPr>
          <w:rFonts w:ascii="Book Antiqua" w:hAnsi="Book Antiqua"/>
          <w:color w:val="000000" w:themeColor="text1"/>
        </w:rPr>
        <w:t xml:space="preserve"> constitutionality in light of </w:t>
      </w:r>
      <w:r w:rsidR="00B26BDF" w:rsidRPr="00B233AE">
        <w:rPr>
          <w:rFonts w:ascii="Book Antiqua" w:hAnsi="Book Antiqua"/>
          <w:color w:val="000000" w:themeColor="text1"/>
        </w:rPr>
        <w:t xml:space="preserve">Supreme Court </w:t>
      </w:r>
      <w:r w:rsidR="00632BBD" w:rsidRPr="00D2111F">
        <w:rPr>
          <w:rFonts w:ascii="Book Antiqua" w:hAnsi="Book Antiqua"/>
          <w:color w:val="000000" w:themeColor="text1"/>
        </w:rPr>
        <w:t>case-law and demanded that the basis for any constitutional advice from the AG be published</w:t>
      </w:r>
      <w:r w:rsidR="00610817" w:rsidRPr="007425D3">
        <w:rPr>
          <w:rFonts w:ascii="Book Antiqua" w:hAnsi="Book Antiqua"/>
          <w:color w:val="000000" w:themeColor="text1"/>
        </w:rPr>
        <w:t xml:space="preserve"> for scrutiny</w:t>
      </w:r>
      <w:r w:rsidR="00632BBD" w:rsidRPr="007425D3">
        <w:rPr>
          <w:rFonts w:ascii="Book Antiqua" w:hAnsi="Book Antiqua"/>
          <w:color w:val="000000" w:themeColor="text1"/>
        </w:rPr>
        <w:t>.</w:t>
      </w:r>
      <w:r w:rsidR="00632BBD" w:rsidRPr="00692FEB">
        <w:rPr>
          <w:rStyle w:val="FootnoteReference"/>
          <w:rFonts w:ascii="Book Antiqua" w:hAnsi="Book Antiqua"/>
          <w:color w:val="000000" w:themeColor="text1"/>
        </w:rPr>
        <w:footnoteReference w:id="82"/>
      </w:r>
      <w:r w:rsidR="00632BBD" w:rsidRPr="00692FEB">
        <w:rPr>
          <w:rFonts w:ascii="Book Antiqua" w:hAnsi="Book Antiqua"/>
          <w:color w:val="000000" w:themeColor="text1"/>
        </w:rPr>
        <w:t xml:space="preserve"> </w:t>
      </w:r>
      <w:r w:rsidR="004961A4" w:rsidRPr="009C65DA">
        <w:rPr>
          <w:rFonts w:ascii="Book Antiqua" w:hAnsi="Book Antiqua"/>
          <w:color w:val="000000" w:themeColor="text1"/>
        </w:rPr>
        <w:t xml:space="preserve">Again, </w:t>
      </w:r>
      <w:r w:rsidR="00006F22" w:rsidRPr="009C65DA">
        <w:rPr>
          <w:rFonts w:ascii="Book Antiqua" w:hAnsi="Book Antiqua"/>
          <w:color w:val="000000" w:themeColor="text1"/>
        </w:rPr>
        <w:t xml:space="preserve">however, </w:t>
      </w:r>
      <w:r w:rsidR="004961A4" w:rsidRPr="003739B7">
        <w:rPr>
          <w:rFonts w:ascii="Book Antiqua" w:hAnsi="Book Antiqua"/>
          <w:color w:val="000000" w:themeColor="text1"/>
        </w:rPr>
        <w:t xml:space="preserve">no advice was </w:t>
      </w:r>
      <w:r w:rsidR="006501E0" w:rsidRPr="002516B9">
        <w:rPr>
          <w:rFonts w:ascii="Book Antiqua" w:hAnsi="Book Antiqua"/>
          <w:color w:val="000000" w:themeColor="text1"/>
        </w:rPr>
        <w:t>published,</w:t>
      </w:r>
      <w:r w:rsidR="004961A4" w:rsidRPr="00355202">
        <w:rPr>
          <w:rFonts w:ascii="Book Antiqua" w:hAnsi="Book Antiqua"/>
          <w:color w:val="000000" w:themeColor="text1"/>
        </w:rPr>
        <w:t xml:space="preserve"> </w:t>
      </w:r>
      <w:r w:rsidR="004961A4" w:rsidRPr="0025547E">
        <w:rPr>
          <w:rFonts w:ascii="Book Antiqua" w:hAnsi="Book Antiqua"/>
          <w:color w:val="000000" w:themeColor="text1"/>
        </w:rPr>
        <w:t xml:space="preserve">and the Bill </w:t>
      </w:r>
      <w:r w:rsidR="004961A4" w:rsidRPr="00061F78">
        <w:rPr>
          <w:rFonts w:ascii="Book Antiqua" w:hAnsi="Book Antiqua"/>
          <w:color w:val="000000" w:themeColor="text1"/>
        </w:rPr>
        <w:t xml:space="preserve">was defeated at the Second Stage debate. </w:t>
      </w:r>
    </w:p>
    <w:p w14:paraId="33A3703C" w14:textId="77777777" w:rsidR="00CF006D" w:rsidRPr="00D47D06" w:rsidRDefault="00CF006D" w:rsidP="00CF006D">
      <w:pPr>
        <w:spacing w:line="360" w:lineRule="auto"/>
        <w:jc w:val="both"/>
        <w:rPr>
          <w:rFonts w:ascii="Book Antiqua" w:hAnsi="Book Antiqua" w:cs="Calibri"/>
          <w:color w:val="000000" w:themeColor="text1"/>
          <w:shd w:val="clear" w:color="auto" w:fill="FFFFFF"/>
        </w:rPr>
      </w:pPr>
    </w:p>
    <w:p w14:paraId="56C16D61" w14:textId="7460F9FC" w:rsidR="00015DA9" w:rsidRPr="006E162D" w:rsidRDefault="00CF006D" w:rsidP="00603F74">
      <w:pPr>
        <w:spacing w:line="360" w:lineRule="auto"/>
        <w:jc w:val="both"/>
        <w:rPr>
          <w:rFonts w:ascii="Book Antiqua" w:hAnsi="Book Antiqua" w:cs="Calibri"/>
        </w:rPr>
      </w:pPr>
      <w:r w:rsidRPr="00B07F84">
        <w:rPr>
          <w:rFonts w:ascii="Book Antiqua" w:hAnsi="Book Antiqua" w:cs="Calibri"/>
          <w:color w:val="000000" w:themeColor="text1"/>
          <w:shd w:val="clear" w:color="auto" w:fill="FFFFFF"/>
        </w:rPr>
        <w:t>T</w:t>
      </w:r>
      <w:r w:rsidRPr="003F681B">
        <w:rPr>
          <w:rFonts w:ascii="Book Antiqua" w:hAnsi="Book Antiqua" w:cs="Calibri"/>
        </w:rPr>
        <w:t>he AG’s stated position</w:t>
      </w:r>
      <w:r w:rsidR="00375BFC" w:rsidRPr="006474AD">
        <w:rPr>
          <w:rFonts w:ascii="Book Antiqua" w:hAnsi="Book Antiqua" w:cs="Calibri"/>
        </w:rPr>
        <w:t>s</w:t>
      </w:r>
      <w:r w:rsidRPr="006474AD">
        <w:rPr>
          <w:rFonts w:ascii="Book Antiqua" w:hAnsi="Book Antiqua" w:cs="Calibri"/>
        </w:rPr>
        <w:t xml:space="preserve"> on many of these points </w:t>
      </w:r>
      <w:r w:rsidR="00152B85" w:rsidRPr="006474AD">
        <w:rPr>
          <w:rFonts w:ascii="Book Antiqua" w:hAnsi="Book Antiqua" w:cs="Calibri"/>
        </w:rPr>
        <w:t>was</w:t>
      </w:r>
      <w:r w:rsidRPr="006474AD">
        <w:rPr>
          <w:rFonts w:ascii="Book Antiqua" w:hAnsi="Book Antiqua" w:cs="Calibri"/>
        </w:rPr>
        <w:t xml:space="preserve"> hotly contested</w:t>
      </w:r>
      <w:r w:rsidR="0042396A" w:rsidRPr="00D85B91">
        <w:rPr>
          <w:rFonts w:ascii="Book Antiqua" w:hAnsi="Book Antiqua" w:cs="Calibri"/>
        </w:rPr>
        <w:t xml:space="preserve"> by academic and political commentators</w:t>
      </w:r>
      <w:r w:rsidRPr="00692FEB">
        <w:rPr>
          <w:rStyle w:val="FootnoteReference"/>
          <w:rFonts w:ascii="Book Antiqua" w:hAnsi="Book Antiqua" w:cs="Calibri"/>
        </w:rPr>
        <w:footnoteReference w:id="83"/>
      </w:r>
      <w:r w:rsidRPr="00692FEB">
        <w:rPr>
          <w:rFonts w:ascii="Book Antiqua" w:hAnsi="Book Antiqua" w:cs="Calibri"/>
        </w:rPr>
        <w:t xml:space="preserve"> on the </w:t>
      </w:r>
      <w:r w:rsidR="0042396A" w:rsidRPr="006E162D">
        <w:rPr>
          <w:rFonts w:ascii="Book Antiqua" w:hAnsi="Book Antiqua" w:cs="Calibri"/>
        </w:rPr>
        <w:t xml:space="preserve">grounds </w:t>
      </w:r>
      <w:r w:rsidR="00375BFC" w:rsidRPr="006E162D">
        <w:rPr>
          <w:rFonts w:ascii="Book Antiqua" w:hAnsi="Book Antiqua" w:cs="Calibri"/>
        </w:rPr>
        <w:t>they</w:t>
      </w:r>
      <w:r w:rsidR="0042396A" w:rsidRPr="006E162D">
        <w:rPr>
          <w:rFonts w:ascii="Book Antiqua" w:hAnsi="Book Antiqua" w:cs="Calibri"/>
        </w:rPr>
        <w:t xml:space="preserve"> appeared to flow from a</w:t>
      </w:r>
      <w:r w:rsidR="00375BFC" w:rsidRPr="006E162D">
        <w:rPr>
          <w:rFonts w:ascii="Book Antiqua" w:hAnsi="Book Antiqua" w:cs="Calibri"/>
        </w:rPr>
        <w:t xml:space="preserve"> highly conservative </w:t>
      </w:r>
      <w:r w:rsidR="0042396A" w:rsidRPr="006E162D">
        <w:rPr>
          <w:rFonts w:ascii="Book Antiqua" w:hAnsi="Book Antiqua" w:cs="Calibri"/>
        </w:rPr>
        <w:t>interpretation of Supreme Court precedent.</w:t>
      </w:r>
      <w:r w:rsidR="00C22B2A" w:rsidRPr="006E162D">
        <w:rPr>
          <w:rFonts w:ascii="Book Antiqua" w:hAnsi="Book Antiqua" w:cs="Calibri"/>
        </w:rPr>
        <w:t xml:space="preserve"> </w:t>
      </w:r>
      <w:r w:rsidR="0042396A" w:rsidRPr="006E162D">
        <w:rPr>
          <w:rFonts w:ascii="Book Antiqua" w:hAnsi="Book Antiqua" w:cs="Calibri"/>
        </w:rPr>
        <w:t xml:space="preserve">Several commentators pointed out that Supreme Court precedent emphatically affords significant latitude and deference to the Oireachtas in balancing property rights and measure aimed at </w:t>
      </w:r>
      <w:r w:rsidR="0042396A" w:rsidRPr="006E162D">
        <w:rPr>
          <w:rFonts w:ascii="Book Antiqua" w:hAnsi="Book Antiqua" w:cs="Calibri"/>
        </w:rPr>
        <w:lastRenderedPageBreak/>
        <w:t>promoting social justice.</w:t>
      </w:r>
      <w:r w:rsidRPr="00692FEB">
        <w:rPr>
          <w:rStyle w:val="FootnoteReference"/>
          <w:rFonts w:ascii="Book Antiqua" w:hAnsi="Book Antiqua" w:cs="Calibri"/>
        </w:rPr>
        <w:footnoteReference w:id="84"/>
      </w:r>
      <w:r w:rsidRPr="00692FEB">
        <w:rPr>
          <w:rFonts w:ascii="Book Antiqua" w:hAnsi="Book Antiqua" w:cs="Calibri"/>
        </w:rPr>
        <w:t xml:space="preserve"> </w:t>
      </w:r>
      <w:r w:rsidR="00C81A59">
        <w:rPr>
          <w:rFonts w:ascii="Book Antiqua" w:hAnsi="Book Antiqua" w:cs="Calibri"/>
        </w:rPr>
        <w:t xml:space="preserve">Since </w:t>
      </w:r>
      <w:r w:rsidRPr="00C81A59">
        <w:rPr>
          <w:rFonts w:ascii="Book Antiqua" w:hAnsi="Book Antiqua" w:cs="Calibri"/>
        </w:rPr>
        <w:t xml:space="preserve">the advice was not published, </w:t>
      </w:r>
      <w:r w:rsidR="00C22B2A" w:rsidRPr="006E162D">
        <w:rPr>
          <w:rFonts w:ascii="Book Antiqua" w:hAnsi="Book Antiqua" w:cs="Calibri"/>
        </w:rPr>
        <w:t>how</w:t>
      </w:r>
      <w:r w:rsidRPr="006E162D">
        <w:rPr>
          <w:rFonts w:ascii="Book Antiqua" w:hAnsi="Book Antiqua" w:cs="Calibri"/>
        </w:rPr>
        <w:t xml:space="preserve"> the government </w:t>
      </w:r>
      <w:r w:rsidRPr="006E162D">
        <w:rPr>
          <w:rFonts w:ascii="Book Antiqua" w:hAnsi="Book Antiqua" w:cs="Calibri"/>
          <w:i/>
          <w:iCs/>
        </w:rPr>
        <w:t>presented</w:t>
      </w:r>
      <w:r w:rsidRPr="00692FEB">
        <w:rPr>
          <w:rFonts w:ascii="Book Antiqua" w:hAnsi="Book Antiqua" w:cs="Calibri"/>
        </w:rPr>
        <w:t xml:space="preserve"> the AG’s advice </w:t>
      </w:r>
      <w:r w:rsidR="00C22B2A" w:rsidRPr="009C65DA">
        <w:rPr>
          <w:rFonts w:ascii="Book Antiqua" w:hAnsi="Book Antiqua" w:cs="Calibri"/>
        </w:rPr>
        <w:t xml:space="preserve">could not be assessed. In other words, parliamentarians </w:t>
      </w:r>
      <w:r w:rsidR="00B26BDF" w:rsidRPr="009C65DA">
        <w:rPr>
          <w:rFonts w:ascii="Book Antiqua" w:hAnsi="Book Antiqua" w:cs="Calibri"/>
        </w:rPr>
        <w:t>had no way</w:t>
      </w:r>
      <w:r w:rsidR="000E4928" w:rsidRPr="003739B7">
        <w:rPr>
          <w:rFonts w:ascii="Book Antiqua" w:hAnsi="Book Antiqua" w:cs="Calibri"/>
        </w:rPr>
        <w:t xml:space="preserve"> of</w:t>
      </w:r>
      <w:r w:rsidR="00C22B2A" w:rsidRPr="002516B9">
        <w:rPr>
          <w:rFonts w:ascii="Book Antiqua" w:hAnsi="Book Antiqua" w:cs="Calibri"/>
        </w:rPr>
        <w:t xml:space="preserve"> scrutiniz</w:t>
      </w:r>
      <w:r w:rsidR="00B26BDF" w:rsidRPr="00355202">
        <w:rPr>
          <w:rFonts w:ascii="Book Antiqua" w:hAnsi="Book Antiqua" w:cs="Calibri"/>
        </w:rPr>
        <w:t>ing</w:t>
      </w:r>
      <w:r w:rsidR="00C22B2A" w:rsidRPr="0025547E">
        <w:rPr>
          <w:rFonts w:ascii="Book Antiqua" w:hAnsi="Book Antiqua" w:cs="Calibri"/>
        </w:rPr>
        <w:t xml:space="preserve"> whether the Government </w:t>
      </w:r>
      <w:r w:rsidR="00B26BDF" w:rsidRPr="00061F78">
        <w:rPr>
          <w:rFonts w:ascii="Book Antiqua" w:hAnsi="Book Antiqua" w:cs="Calibri"/>
        </w:rPr>
        <w:t>was</w:t>
      </w:r>
      <w:r w:rsidR="00C22B2A" w:rsidRPr="00061F78">
        <w:rPr>
          <w:rFonts w:ascii="Book Antiqua" w:hAnsi="Book Antiqua" w:cs="Calibri"/>
        </w:rPr>
        <w:t xml:space="preserve"> presenting equivocal advice </w:t>
      </w:r>
      <w:r w:rsidRPr="00061F78">
        <w:rPr>
          <w:rFonts w:ascii="Book Antiqua" w:hAnsi="Book Antiqua" w:cs="Calibri"/>
        </w:rPr>
        <w:t xml:space="preserve">in an </w:t>
      </w:r>
      <w:proofErr w:type="gramStart"/>
      <w:r w:rsidRPr="00061F78">
        <w:rPr>
          <w:rFonts w:ascii="Book Antiqua" w:hAnsi="Book Antiqua" w:cs="Calibri"/>
        </w:rPr>
        <w:t>overly-cautious</w:t>
      </w:r>
      <w:proofErr w:type="gramEnd"/>
      <w:r w:rsidRPr="00061F78">
        <w:rPr>
          <w:rFonts w:ascii="Book Antiqua" w:hAnsi="Book Antiqua" w:cs="Calibri"/>
        </w:rPr>
        <w:t xml:space="preserve"> manner</w:t>
      </w:r>
      <w:r w:rsidR="00292900" w:rsidRPr="00B07F84">
        <w:rPr>
          <w:rFonts w:ascii="Book Antiqua" w:hAnsi="Book Antiqua" w:cs="Calibri"/>
        </w:rPr>
        <w:t>,</w:t>
      </w:r>
      <w:r w:rsidRPr="003F681B">
        <w:rPr>
          <w:rFonts w:ascii="Book Antiqua" w:hAnsi="Book Antiqua" w:cs="Calibri"/>
        </w:rPr>
        <w:t xml:space="preserve"> to provide favourable legal cover for what was, in reality, ideological </w:t>
      </w:r>
      <w:r w:rsidRPr="006474AD">
        <w:rPr>
          <w:rFonts w:ascii="Book Antiqua" w:hAnsi="Book Antiqua" w:cs="Calibri"/>
        </w:rPr>
        <w:t>unwillingness to undertake aggressive state action.</w:t>
      </w:r>
      <w:r w:rsidRPr="00692FEB">
        <w:rPr>
          <w:rStyle w:val="FootnoteReference"/>
          <w:rFonts w:ascii="Book Antiqua" w:hAnsi="Book Antiqua" w:cs="Calibri"/>
        </w:rPr>
        <w:footnoteReference w:id="85"/>
      </w:r>
      <w:r w:rsidRPr="00692FEB">
        <w:rPr>
          <w:rFonts w:ascii="Book Antiqua" w:hAnsi="Book Antiqua" w:cs="Calibri"/>
        </w:rPr>
        <w:t xml:space="preserve"> </w:t>
      </w:r>
      <w:r w:rsidRPr="006E162D">
        <w:rPr>
          <w:rFonts w:ascii="Book Antiqua" w:hAnsi="Book Antiqua" w:cs="Calibri"/>
        </w:rPr>
        <w:t xml:space="preserve"> </w:t>
      </w:r>
    </w:p>
    <w:p w14:paraId="43B5F54F" w14:textId="77777777" w:rsidR="00015DA9" w:rsidRPr="006E162D" w:rsidRDefault="00015DA9" w:rsidP="00603F74">
      <w:pPr>
        <w:spacing w:line="360" w:lineRule="auto"/>
        <w:jc w:val="both"/>
        <w:rPr>
          <w:rFonts w:ascii="Book Antiqua" w:hAnsi="Book Antiqua" w:cs="Calibri"/>
        </w:rPr>
      </w:pPr>
    </w:p>
    <w:p w14:paraId="507EC395" w14:textId="0B6CB246" w:rsidR="00E51128" w:rsidRPr="006E162D" w:rsidRDefault="00015DA9" w:rsidP="006E162D">
      <w:pPr>
        <w:spacing w:line="360" w:lineRule="auto"/>
        <w:jc w:val="both"/>
        <w:rPr>
          <w:rFonts w:ascii="Book Antiqua" w:eastAsiaTheme="minorHAnsi" w:hAnsi="Book Antiqua" w:cs="Á0”˛"/>
          <w:lang w:eastAsia="en-US"/>
        </w:rPr>
      </w:pPr>
      <w:r w:rsidRPr="006E162D">
        <w:rPr>
          <w:rFonts w:ascii="Book Antiqua" w:hAnsi="Book Antiqua" w:cs="Calibri"/>
        </w:rPr>
        <w:t xml:space="preserve">The true extent of the role </w:t>
      </w:r>
      <w:r w:rsidR="00C22B2A" w:rsidRPr="006E162D">
        <w:rPr>
          <w:rFonts w:ascii="Book Antiqua" w:hAnsi="Book Antiqua" w:cs="Calibri"/>
        </w:rPr>
        <w:t>AG’s</w:t>
      </w:r>
      <w:r w:rsidRPr="006E162D">
        <w:rPr>
          <w:rFonts w:ascii="Book Antiqua" w:hAnsi="Book Antiqua" w:cs="Calibri"/>
        </w:rPr>
        <w:t xml:space="preserve"> advice</w:t>
      </w:r>
      <w:r w:rsidR="00292900" w:rsidRPr="006E162D">
        <w:rPr>
          <w:rFonts w:ascii="Book Antiqua" w:hAnsi="Book Antiqua" w:cs="Calibri"/>
        </w:rPr>
        <w:t xml:space="preserve"> played</w:t>
      </w:r>
      <w:r w:rsidRPr="006E162D">
        <w:rPr>
          <w:rFonts w:ascii="Book Antiqua" w:hAnsi="Book Antiqua" w:cs="Calibri"/>
        </w:rPr>
        <w:t xml:space="preserve"> in</w:t>
      </w:r>
      <w:r w:rsidR="00045E80" w:rsidRPr="006E162D">
        <w:rPr>
          <w:rFonts w:ascii="Book Antiqua" w:hAnsi="Book Antiqua" w:cs="Calibri"/>
        </w:rPr>
        <w:t xml:space="preserve"> </w:t>
      </w:r>
      <w:r w:rsidR="00AF2E40">
        <w:rPr>
          <w:rFonts w:ascii="Book Antiqua" w:hAnsi="Book Antiqua" w:cs="Calibri"/>
        </w:rPr>
        <w:t xml:space="preserve">defeating </w:t>
      </w:r>
      <w:r w:rsidR="00C22B2A" w:rsidRPr="00AF2E40">
        <w:rPr>
          <w:rFonts w:ascii="Book Antiqua" w:hAnsi="Book Antiqua" w:cs="Calibri"/>
        </w:rPr>
        <w:t>these PMBs</w:t>
      </w:r>
      <w:r w:rsidRPr="00AF2E40">
        <w:rPr>
          <w:rFonts w:ascii="Book Antiqua" w:hAnsi="Book Antiqua" w:cs="Calibri"/>
        </w:rPr>
        <w:t xml:space="preserve"> is hard to know</w:t>
      </w:r>
      <w:r w:rsidR="009B2CF2" w:rsidRPr="00AF2E40">
        <w:rPr>
          <w:rFonts w:ascii="Book Antiqua" w:hAnsi="Book Antiqua" w:cs="Calibri"/>
        </w:rPr>
        <w:t>,</w:t>
      </w:r>
      <w:r w:rsidR="00F66F27" w:rsidRPr="00AF2E40">
        <w:rPr>
          <w:rFonts w:ascii="Book Antiqua" w:hAnsi="Book Antiqua" w:cs="Calibri"/>
        </w:rPr>
        <w:t xml:space="preserve"> </w:t>
      </w:r>
      <w:r w:rsidR="00AF2E40">
        <w:rPr>
          <w:rFonts w:ascii="Book Antiqua" w:hAnsi="Book Antiqua" w:cs="Calibri"/>
        </w:rPr>
        <w:t xml:space="preserve">being </w:t>
      </w:r>
      <w:r w:rsidR="009B2CF2" w:rsidRPr="00AF2E40">
        <w:rPr>
          <w:rFonts w:ascii="Book Antiqua" w:hAnsi="Book Antiqua" w:cs="Calibri"/>
        </w:rPr>
        <w:t xml:space="preserve">hard to </w:t>
      </w:r>
      <w:r w:rsidR="00F66F27" w:rsidRPr="00AF2E40">
        <w:rPr>
          <w:rFonts w:ascii="Book Antiqua" w:hAnsi="Book Antiqua" w:cs="Calibri"/>
        </w:rPr>
        <w:t>separate from other political considerations</w:t>
      </w:r>
      <w:r w:rsidRPr="00AF2E40">
        <w:rPr>
          <w:rFonts w:ascii="Book Antiqua" w:hAnsi="Book Antiqua" w:cs="Calibri"/>
        </w:rPr>
        <w:t>.</w:t>
      </w:r>
      <w:r w:rsidR="00292900" w:rsidRPr="00AF2E40">
        <w:rPr>
          <w:rFonts w:ascii="Book Antiqua" w:hAnsi="Book Antiqua" w:cs="Calibri"/>
        </w:rPr>
        <w:t xml:space="preserve"> But it is notable</w:t>
      </w:r>
      <w:r w:rsidR="00F66F27" w:rsidRPr="00AF2E40">
        <w:rPr>
          <w:rFonts w:ascii="Book Antiqua" w:hAnsi="Book Antiqua" w:cs="Calibri"/>
        </w:rPr>
        <w:t xml:space="preserve"> </w:t>
      </w:r>
      <w:r w:rsidR="00292900" w:rsidRPr="00AF2E40">
        <w:rPr>
          <w:rFonts w:ascii="Book Antiqua" w:hAnsi="Book Antiqua" w:cs="Calibri"/>
        </w:rPr>
        <w:t>that o</w:t>
      </w:r>
      <w:r w:rsidR="00F66F27" w:rsidRPr="00AF2E40">
        <w:rPr>
          <w:rFonts w:ascii="Book Antiqua" w:hAnsi="Book Antiqua" w:cs="Calibri"/>
        </w:rPr>
        <w:t>n both occasions</w:t>
      </w:r>
      <w:r w:rsidR="00292900" w:rsidRPr="00AF2E40">
        <w:rPr>
          <w:rFonts w:ascii="Book Antiqua" w:hAnsi="Book Antiqua" w:cs="Calibri"/>
        </w:rPr>
        <w:t>,</w:t>
      </w:r>
      <w:r w:rsidR="00F66F27" w:rsidRPr="00AF2E40">
        <w:rPr>
          <w:rFonts w:ascii="Book Antiqua" w:hAnsi="Book Antiqua" w:cs="Calibri"/>
        </w:rPr>
        <w:t xml:space="preserve"> spokespersons for the largest opposition party cited AG’s constitut</w:t>
      </w:r>
      <w:r w:rsidR="00F66F27" w:rsidRPr="007E36D0">
        <w:rPr>
          <w:rFonts w:ascii="Book Antiqua" w:hAnsi="Book Antiqua" w:cs="Calibri"/>
        </w:rPr>
        <w:t>ional concerns as a reason they could not support their fellow backbenchers.</w:t>
      </w:r>
      <w:r w:rsidR="00F66F27" w:rsidRPr="00800B09">
        <w:rPr>
          <w:rFonts w:ascii="Book Antiqua" w:hAnsi="Book Antiqua" w:cs="Calibri"/>
        </w:rPr>
        <w:t xml:space="preserve"> </w:t>
      </w:r>
      <w:r w:rsidR="00AF2E40">
        <w:rPr>
          <w:rFonts w:ascii="Book Antiqua" w:hAnsi="Book Antiqua" w:cs="Calibri"/>
        </w:rPr>
        <w:t xml:space="preserve">This </w:t>
      </w:r>
      <w:r w:rsidR="00C22B2A" w:rsidRPr="00AF2E40">
        <w:rPr>
          <w:rFonts w:ascii="Book Antiqua" w:hAnsi="Book Antiqua" w:cs="Calibri"/>
        </w:rPr>
        <w:t>suggest</w:t>
      </w:r>
      <w:r w:rsidR="00AF2E40">
        <w:rPr>
          <w:rFonts w:ascii="Book Antiqua" w:hAnsi="Book Antiqua" w:cs="Calibri"/>
        </w:rPr>
        <w:t>s</w:t>
      </w:r>
      <w:r w:rsidR="00CF579B" w:rsidRPr="00AF2E40">
        <w:rPr>
          <w:rFonts w:ascii="Book Antiqua" w:hAnsi="Book Antiqua" w:cs="Calibri"/>
        </w:rPr>
        <w:t xml:space="preserve"> </w:t>
      </w:r>
      <w:r w:rsidR="009B2CF2" w:rsidRPr="00AF2E40">
        <w:rPr>
          <w:rFonts w:ascii="Book Antiqua" w:hAnsi="Book Antiqua" w:cs="Calibri"/>
        </w:rPr>
        <w:t xml:space="preserve">two </w:t>
      </w:r>
      <w:r w:rsidR="00AF2E40">
        <w:rPr>
          <w:rFonts w:ascii="Book Antiqua" w:hAnsi="Book Antiqua" w:cs="Calibri"/>
        </w:rPr>
        <w:t xml:space="preserve">possible </w:t>
      </w:r>
      <w:r w:rsidR="009B2CF2" w:rsidRPr="00AF2E40">
        <w:rPr>
          <w:rFonts w:ascii="Book Antiqua" w:hAnsi="Book Antiqua" w:cs="Calibri"/>
        </w:rPr>
        <w:t xml:space="preserve">vectors of influence. First, these opposition parties may have used the AG’s advice as political cover to enable them to </w:t>
      </w:r>
      <w:r w:rsidR="00A87600" w:rsidRPr="00AF2E40">
        <w:rPr>
          <w:rFonts w:ascii="Book Antiqua" w:hAnsi="Book Antiqua" w:cs="Calibri"/>
        </w:rPr>
        <w:t>oppose popular measures without adverse political consequences. I</w:t>
      </w:r>
      <w:r w:rsidR="00726DF7" w:rsidRPr="00AF2E40">
        <w:rPr>
          <w:rFonts w:ascii="Book Antiqua" w:hAnsi="Book Antiqua" w:cs="Calibri"/>
        </w:rPr>
        <w:t>n particular, i</w:t>
      </w:r>
      <w:r w:rsidR="00A87600" w:rsidRPr="00AF2E40">
        <w:rPr>
          <w:rFonts w:ascii="Book Antiqua" w:hAnsi="Book Antiqua" w:cs="Calibri"/>
        </w:rPr>
        <w:t xml:space="preserve">t is quite possible that Fianna </w:t>
      </w:r>
      <w:proofErr w:type="spellStart"/>
      <w:r w:rsidR="00A87600" w:rsidRPr="00AF2E40">
        <w:rPr>
          <w:rFonts w:ascii="Book Antiqua" w:hAnsi="Book Antiqua" w:cs="Calibri"/>
        </w:rPr>
        <w:t>Fáil</w:t>
      </w:r>
      <w:proofErr w:type="spellEnd"/>
      <w:r w:rsidR="00A87600" w:rsidRPr="00AF2E40">
        <w:rPr>
          <w:rFonts w:ascii="Book Antiqua" w:hAnsi="Book Antiqua" w:cs="Calibri"/>
        </w:rPr>
        <w:t>—the largest opposition party,</w:t>
      </w:r>
      <w:r w:rsidR="001E25C6" w:rsidRPr="007E36D0">
        <w:rPr>
          <w:rFonts w:ascii="Book Antiqua" w:hAnsi="Book Antiqua" w:cs="Calibri"/>
        </w:rPr>
        <w:t xml:space="preserve"> with a centre-right ideology</w:t>
      </w:r>
      <w:r w:rsidR="00AF2E40">
        <w:rPr>
          <w:rFonts w:ascii="Book Antiqua" w:hAnsi="Book Antiqua" w:cs="Calibri"/>
        </w:rPr>
        <w:t>—</w:t>
      </w:r>
      <w:r w:rsidR="00A87600" w:rsidRPr="00AF2E40">
        <w:rPr>
          <w:rFonts w:ascii="Book Antiqua" w:hAnsi="Book Antiqua" w:cs="Calibri"/>
        </w:rPr>
        <w:t xml:space="preserve">had ideological opposition to restrictions on property rights but passed </w:t>
      </w:r>
      <w:r w:rsidR="00AF2E40">
        <w:rPr>
          <w:rFonts w:ascii="Book Antiqua" w:hAnsi="Book Antiqua" w:cs="Calibri"/>
        </w:rPr>
        <w:t xml:space="preserve">these </w:t>
      </w:r>
      <w:r w:rsidR="00A87600" w:rsidRPr="00AF2E40">
        <w:rPr>
          <w:rFonts w:ascii="Book Antiqua" w:hAnsi="Book Antiqua" w:cs="Calibri"/>
        </w:rPr>
        <w:t>off as constitutional concerns.</w:t>
      </w:r>
      <w:r w:rsidR="00E86834" w:rsidRPr="00692FEB">
        <w:rPr>
          <w:rStyle w:val="FootnoteReference"/>
          <w:rFonts w:ascii="Book Antiqua" w:hAnsi="Book Antiqua" w:cs="Calibri"/>
        </w:rPr>
        <w:footnoteReference w:id="86"/>
      </w:r>
      <w:r w:rsidR="00C17F3C" w:rsidRPr="00692FEB">
        <w:rPr>
          <w:rFonts w:ascii="Book Antiqua" w:hAnsi="Book Antiqua" w:cs="Calibri"/>
        </w:rPr>
        <w:t xml:space="preserve"> </w:t>
      </w:r>
      <w:r w:rsidR="00A87600" w:rsidRPr="003739B7">
        <w:rPr>
          <w:rFonts w:ascii="Book Antiqua" w:hAnsi="Book Antiqua" w:cs="Calibri"/>
        </w:rPr>
        <w:t>Secondly, it</w:t>
      </w:r>
      <w:r w:rsidR="009B2CF2" w:rsidRPr="002516B9">
        <w:rPr>
          <w:rFonts w:ascii="Book Antiqua" w:hAnsi="Book Antiqua" w:cs="Calibri"/>
        </w:rPr>
        <w:t xml:space="preserve"> </w:t>
      </w:r>
      <w:r w:rsidR="001E25C6" w:rsidRPr="00355202">
        <w:rPr>
          <w:rFonts w:ascii="Book Antiqua" w:hAnsi="Book Antiqua" w:cs="Calibri"/>
        </w:rPr>
        <w:t xml:space="preserve">is possible that </w:t>
      </w:r>
      <w:r w:rsidR="00152B85" w:rsidRPr="006E162D">
        <w:rPr>
          <w:rFonts w:ascii="Book Antiqua" w:hAnsi="Book Antiqua" w:cs="Calibri"/>
        </w:rPr>
        <w:t>enough</w:t>
      </w:r>
      <w:r w:rsidR="00CF006D" w:rsidRPr="006E162D">
        <w:rPr>
          <w:rFonts w:ascii="Book Antiqua" w:hAnsi="Book Antiqua" w:cs="Calibri"/>
        </w:rPr>
        <w:t xml:space="preserve"> non-</w:t>
      </w:r>
      <w:r w:rsidR="00C84E00" w:rsidRPr="006E162D">
        <w:rPr>
          <w:rFonts w:ascii="Book Antiqua" w:hAnsi="Book Antiqua" w:cs="Calibri"/>
        </w:rPr>
        <w:t>g</w:t>
      </w:r>
      <w:r w:rsidR="00CF006D" w:rsidRPr="006E162D">
        <w:rPr>
          <w:rFonts w:ascii="Book Antiqua" w:hAnsi="Book Antiqua" w:cs="Calibri"/>
        </w:rPr>
        <w:t xml:space="preserve">overnment </w:t>
      </w:r>
      <w:r w:rsidR="00AF2E40">
        <w:rPr>
          <w:rFonts w:ascii="Book Antiqua" w:hAnsi="Book Antiqua" w:cs="Calibri"/>
        </w:rPr>
        <w:t>parties/</w:t>
      </w:r>
      <w:r w:rsidR="001E25C6" w:rsidRPr="006E162D">
        <w:rPr>
          <w:rFonts w:ascii="Book Antiqua" w:hAnsi="Book Antiqua" w:cs="Calibri"/>
        </w:rPr>
        <w:t xml:space="preserve">TDs </w:t>
      </w:r>
      <w:r w:rsidR="00C84E00" w:rsidRPr="006E162D">
        <w:rPr>
          <w:rFonts w:ascii="Book Antiqua" w:hAnsi="Book Antiqua" w:cs="Calibri"/>
        </w:rPr>
        <w:t>were</w:t>
      </w:r>
      <w:r w:rsidR="00CF006D" w:rsidRPr="006E162D">
        <w:rPr>
          <w:rFonts w:ascii="Book Antiqua" w:hAnsi="Book Antiqua" w:cs="Calibri"/>
        </w:rPr>
        <w:t xml:space="preserve"> </w:t>
      </w:r>
      <w:r w:rsidR="00C84E00" w:rsidRPr="006E162D">
        <w:rPr>
          <w:rFonts w:ascii="Book Antiqua" w:hAnsi="Book Antiqua" w:cs="Calibri"/>
        </w:rPr>
        <w:t>persuaded</w:t>
      </w:r>
      <w:r w:rsidR="00C22B2A" w:rsidRPr="006E162D">
        <w:rPr>
          <w:rFonts w:ascii="Book Antiqua" w:hAnsi="Book Antiqua" w:cs="Calibri"/>
        </w:rPr>
        <w:t>,</w:t>
      </w:r>
      <w:r w:rsidR="00C84E00" w:rsidRPr="006E162D">
        <w:rPr>
          <w:rFonts w:ascii="Book Antiqua" w:hAnsi="Book Antiqua" w:cs="Calibri"/>
        </w:rPr>
        <w:t xml:space="preserve"> or</w:t>
      </w:r>
      <w:r w:rsidR="00045E80" w:rsidRPr="006E162D">
        <w:rPr>
          <w:rFonts w:ascii="Book Antiqua" w:hAnsi="Book Antiqua" w:cs="Calibri"/>
        </w:rPr>
        <w:t xml:space="preserve"> felt</w:t>
      </w:r>
      <w:r w:rsidR="00C84E00" w:rsidRPr="006E162D">
        <w:rPr>
          <w:rFonts w:ascii="Book Antiqua" w:hAnsi="Book Antiqua" w:cs="Calibri"/>
        </w:rPr>
        <w:t xml:space="preserve"> </w:t>
      </w:r>
      <w:r w:rsidR="00CB7971" w:rsidRPr="006E162D">
        <w:rPr>
          <w:rFonts w:ascii="Book Antiqua" w:hAnsi="Book Antiqua" w:cs="Calibri"/>
        </w:rPr>
        <w:t>brow-beaten</w:t>
      </w:r>
      <w:r w:rsidR="00C22B2A" w:rsidRPr="006E162D">
        <w:rPr>
          <w:rFonts w:ascii="Book Antiqua" w:hAnsi="Book Antiqua" w:cs="Calibri"/>
        </w:rPr>
        <w:t>,</w:t>
      </w:r>
      <w:r w:rsidR="00CF006D" w:rsidRPr="006E162D">
        <w:rPr>
          <w:rFonts w:ascii="Book Antiqua" w:hAnsi="Book Antiqua" w:cs="Calibri"/>
        </w:rPr>
        <w:t xml:space="preserve"> </w:t>
      </w:r>
      <w:r w:rsidR="00CB7971" w:rsidRPr="006E162D">
        <w:rPr>
          <w:rFonts w:ascii="Book Antiqua" w:hAnsi="Book Antiqua" w:cs="Calibri"/>
        </w:rPr>
        <w:t>in</w:t>
      </w:r>
      <w:r w:rsidR="00CF006D" w:rsidRPr="006E162D">
        <w:rPr>
          <w:rFonts w:ascii="Book Antiqua" w:hAnsi="Book Antiqua" w:cs="Calibri"/>
        </w:rPr>
        <w:t xml:space="preserve">to </w:t>
      </w:r>
      <w:r w:rsidR="00CB7971" w:rsidRPr="006E162D">
        <w:rPr>
          <w:rFonts w:ascii="Book Antiqua" w:hAnsi="Book Antiqua" w:cs="Calibri"/>
        </w:rPr>
        <w:t xml:space="preserve">accepting the </w:t>
      </w:r>
      <w:r w:rsidR="00CF006D" w:rsidRPr="006E162D">
        <w:rPr>
          <w:rFonts w:ascii="Book Antiqua" w:hAnsi="Book Antiqua" w:cs="Calibri"/>
        </w:rPr>
        <w:t>Government</w:t>
      </w:r>
      <w:r w:rsidR="00CB7971" w:rsidRPr="006E162D">
        <w:rPr>
          <w:rFonts w:ascii="Book Antiqua" w:hAnsi="Book Antiqua" w:cs="Calibri"/>
        </w:rPr>
        <w:t>’s</w:t>
      </w:r>
      <w:r w:rsidR="00CF006D" w:rsidRPr="006E162D">
        <w:rPr>
          <w:rFonts w:ascii="Book Antiqua" w:hAnsi="Book Antiqua" w:cs="Calibri"/>
        </w:rPr>
        <w:t xml:space="preserve"> </w:t>
      </w:r>
      <w:r w:rsidR="00AA646A" w:rsidRPr="006E162D">
        <w:rPr>
          <w:rFonts w:ascii="Book Antiqua" w:hAnsi="Book Antiqua" w:cs="Calibri"/>
        </w:rPr>
        <w:t>citation of</w:t>
      </w:r>
      <w:r w:rsidR="00CF006D" w:rsidRPr="006E162D">
        <w:rPr>
          <w:rFonts w:ascii="Book Antiqua" w:hAnsi="Book Antiqua" w:cs="Calibri"/>
        </w:rPr>
        <w:t xml:space="preserve"> AG’s </w:t>
      </w:r>
      <w:r w:rsidR="00B20A75" w:rsidRPr="006E162D">
        <w:rPr>
          <w:rFonts w:ascii="Book Antiqua" w:hAnsi="Book Antiqua" w:cs="Calibri"/>
        </w:rPr>
        <w:t xml:space="preserve">advice </w:t>
      </w:r>
      <w:r w:rsidR="00AA646A" w:rsidRPr="006E162D">
        <w:rPr>
          <w:rFonts w:ascii="Book Antiqua" w:hAnsi="Book Antiqua" w:cs="Calibri"/>
        </w:rPr>
        <w:t>on the</w:t>
      </w:r>
      <w:r w:rsidR="00152B85" w:rsidRPr="006E162D">
        <w:rPr>
          <w:rFonts w:ascii="Book Antiqua" w:hAnsi="Book Antiqua" w:cs="Calibri"/>
        </w:rPr>
        <w:t>ir</w:t>
      </w:r>
      <w:r w:rsidR="00B20A75" w:rsidRPr="006E162D">
        <w:rPr>
          <w:rFonts w:ascii="Book Antiqua" w:hAnsi="Book Antiqua" w:cs="Calibri"/>
        </w:rPr>
        <w:t xml:space="preserve"> unconstitutionality</w:t>
      </w:r>
      <w:r w:rsidR="00CF006D" w:rsidRPr="006E162D">
        <w:rPr>
          <w:rFonts w:ascii="Book Antiqua" w:hAnsi="Book Antiqua" w:cs="Calibri"/>
        </w:rPr>
        <w:t>.</w:t>
      </w:r>
      <w:r w:rsidR="00ED4E45" w:rsidRPr="006E162D">
        <w:rPr>
          <w:rFonts w:ascii="Book Antiqua" w:hAnsi="Book Antiqua" w:cs="Calibri"/>
        </w:rPr>
        <w:t xml:space="preserve"> </w:t>
      </w:r>
      <w:r w:rsidR="00AF2E40">
        <w:rPr>
          <w:rFonts w:ascii="Book Antiqua" w:hAnsi="Book Antiqua"/>
        </w:rPr>
        <w:t>P</w:t>
      </w:r>
      <w:r w:rsidR="00CB7971" w:rsidRPr="006E162D">
        <w:rPr>
          <w:rFonts w:ascii="Book Antiqua" w:hAnsi="Book Antiqua"/>
        </w:rPr>
        <w:t>olitical discourse</w:t>
      </w:r>
      <w:r w:rsidR="00CF579B" w:rsidRPr="00692FEB">
        <w:rPr>
          <w:rFonts w:ascii="Book Antiqua" w:hAnsi="Book Antiqua"/>
        </w:rPr>
        <w:t xml:space="preserve"> </w:t>
      </w:r>
      <w:r w:rsidR="00AF2E40">
        <w:rPr>
          <w:rFonts w:ascii="Book Antiqua" w:hAnsi="Book Antiqua"/>
        </w:rPr>
        <w:t xml:space="preserve">in Ireland is highly legalistic, and perceived </w:t>
      </w:r>
      <w:r w:rsidR="00AF2E40" w:rsidRPr="00F250A4">
        <w:rPr>
          <w:rFonts w:ascii="Book Antiqua" w:hAnsi="Book Antiqua"/>
        </w:rPr>
        <w:t>commitment to legality is critical for political credibility.</w:t>
      </w:r>
      <w:r w:rsidR="00AF2E40" w:rsidRPr="00692FEB">
        <w:rPr>
          <w:rStyle w:val="FootnoteReference"/>
          <w:rFonts w:ascii="Book Antiqua" w:hAnsi="Book Antiqua"/>
        </w:rPr>
        <w:footnoteReference w:id="87"/>
      </w:r>
      <w:r w:rsidR="00AF2E40" w:rsidRPr="00692FEB">
        <w:rPr>
          <w:rFonts w:ascii="Book Antiqua" w:hAnsi="Book Antiqua"/>
        </w:rPr>
        <w:t xml:space="preserve"> </w:t>
      </w:r>
      <w:r w:rsidR="00AF2E40">
        <w:rPr>
          <w:rFonts w:ascii="Book Antiqua" w:hAnsi="Book Antiqua"/>
        </w:rPr>
        <w:t xml:space="preserve"> Political </w:t>
      </w:r>
      <w:r w:rsidR="00072235">
        <w:rPr>
          <w:rFonts w:ascii="Book Antiqua" w:hAnsi="Book Antiqua"/>
        </w:rPr>
        <w:t>d</w:t>
      </w:r>
      <w:r w:rsidR="00AF2E40">
        <w:rPr>
          <w:rFonts w:ascii="Book Antiqua" w:hAnsi="Book Antiqua"/>
        </w:rPr>
        <w:t xml:space="preserve">ebate </w:t>
      </w:r>
      <w:r w:rsidR="00CB7971" w:rsidRPr="006E162D">
        <w:rPr>
          <w:rFonts w:ascii="Book Antiqua" w:hAnsi="Book Antiqua"/>
        </w:rPr>
        <w:t xml:space="preserve">frequently </w:t>
      </w:r>
      <w:r w:rsidR="00AF2E40">
        <w:rPr>
          <w:rFonts w:ascii="Book Antiqua" w:hAnsi="Book Antiqua"/>
        </w:rPr>
        <w:t xml:space="preserve">fixates </w:t>
      </w:r>
      <w:r w:rsidR="00CB7971" w:rsidRPr="006E162D">
        <w:rPr>
          <w:rFonts w:ascii="Book Antiqua" w:hAnsi="Book Antiqua"/>
        </w:rPr>
        <w:t xml:space="preserve">on </w:t>
      </w:r>
      <w:r w:rsidR="00AF2E40">
        <w:rPr>
          <w:rFonts w:ascii="Book Antiqua" w:hAnsi="Book Antiqua"/>
        </w:rPr>
        <w:t xml:space="preserve">a policy’s </w:t>
      </w:r>
      <w:r w:rsidR="00CB7971" w:rsidRPr="006E162D">
        <w:rPr>
          <w:rFonts w:ascii="Book Antiqua" w:hAnsi="Book Antiqua"/>
        </w:rPr>
        <w:t>fidelity to constitutional norms</w:t>
      </w:r>
      <w:r w:rsidR="00AF2E40">
        <w:rPr>
          <w:rFonts w:ascii="Book Antiqua" w:hAnsi="Book Antiqua"/>
        </w:rPr>
        <w:t>.</w:t>
      </w:r>
      <w:r w:rsidR="00AF2E40">
        <w:rPr>
          <w:rStyle w:val="FootnoteReference"/>
          <w:rFonts w:ascii="Book Antiqua" w:hAnsi="Book Antiqua"/>
        </w:rPr>
        <w:footnoteReference w:id="88"/>
      </w:r>
      <w:r w:rsidR="00CF579B" w:rsidRPr="00692FEB">
        <w:rPr>
          <w:rFonts w:ascii="Book Antiqua" w:hAnsi="Book Antiqua"/>
        </w:rPr>
        <w:t xml:space="preserve"> </w:t>
      </w:r>
      <w:r w:rsidR="00AF2E40">
        <w:rPr>
          <w:rFonts w:ascii="Book Antiqua" w:hAnsi="Book Antiqua"/>
        </w:rPr>
        <w:t>A</w:t>
      </w:r>
      <w:r w:rsidR="00CF0CB0" w:rsidRPr="002516B9">
        <w:rPr>
          <w:rFonts w:ascii="Book Antiqua" w:hAnsi="Book Antiqua"/>
        </w:rPr>
        <w:t>ttack</w:t>
      </w:r>
      <w:r w:rsidR="00AF2E40">
        <w:rPr>
          <w:rFonts w:ascii="Book Antiqua" w:hAnsi="Book Antiqua"/>
        </w:rPr>
        <w:t>ing</w:t>
      </w:r>
      <w:r w:rsidR="00CF579B" w:rsidRPr="00355202">
        <w:rPr>
          <w:rFonts w:ascii="Book Antiqua" w:hAnsi="Book Antiqua"/>
        </w:rPr>
        <w:t xml:space="preserve"> PMB</w:t>
      </w:r>
      <w:r w:rsidR="00AF2E40">
        <w:rPr>
          <w:rFonts w:ascii="Book Antiqua" w:hAnsi="Book Antiqua"/>
        </w:rPr>
        <w:t>s</w:t>
      </w:r>
      <w:r w:rsidR="00CF579B" w:rsidRPr="00355202">
        <w:rPr>
          <w:rFonts w:ascii="Book Antiqua" w:hAnsi="Book Antiqua"/>
        </w:rPr>
        <w:t xml:space="preserve"> </w:t>
      </w:r>
      <w:r w:rsidR="00E66922" w:rsidRPr="0025547E">
        <w:rPr>
          <w:rFonts w:ascii="Book Antiqua" w:hAnsi="Book Antiqua"/>
        </w:rPr>
        <w:t>by</w:t>
      </w:r>
      <w:r w:rsidR="00CF0CB0" w:rsidRPr="0025547E">
        <w:rPr>
          <w:rFonts w:ascii="Book Antiqua" w:hAnsi="Book Antiqua"/>
        </w:rPr>
        <w:t xml:space="preserve"> undermining their perceived</w:t>
      </w:r>
      <w:r w:rsidR="00CF579B" w:rsidRPr="00061F78">
        <w:rPr>
          <w:rFonts w:ascii="Book Antiqua" w:hAnsi="Book Antiqua"/>
        </w:rPr>
        <w:t xml:space="preserve"> constitutional</w:t>
      </w:r>
      <w:r w:rsidR="00E66922" w:rsidRPr="00061F78">
        <w:rPr>
          <w:rFonts w:ascii="Book Antiqua" w:hAnsi="Book Antiqua"/>
        </w:rPr>
        <w:t>ity</w:t>
      </w:r>
      <w:r w:rsidR="00045E80" w:rsidRPr="00061F78">
        <w:rPr>
          <w:rFonts w:ascii="Book Antiqua" w:hAnsi="Book Antiqua"/>
        </w:rPr>
        <w:t xml:space="preserve"> could have an impact</w:t>
      </w:r>
      <w:r w:rsidR="00CF0CB0" w:rsidRPr="006E162D">
        <w:rPr>
          <w:rFonts w:ascii="Book Antiqua" w:hAnsi="Book Antiqua"/>
        </w:rPr>
        <w:t>.</w:t>
      </w:r>
      <w:r w:rsidR="00686EC0" w:rsidRPr="006E162D">
        <w:rPr>
          <w:rFonts w:ascii="Book Antiqua" w:hAnsi="Book Antiqua"/>
        </w:rPr>
        <w:t xml:space="preserve"> </w:t>
      </w:r>
      <w:r w:rsidR="00AF2E40">
        <w:rPr>
          <w:rFonts w:ascii="Book Antiqua" w:hAnsi="Book Antiqua"/>
        </w:rPr>
        <w:t xml:space="preserve">TDs </w:t>
      </w:r>
      <w:r w:rsidR="00686EC0" w:rsidRPr="00AF2E40">
        <w:rPr>
          <w:rFonts w:ascii="Book Antiqua" w:hAnsi="Book Antiqua"/>
        </w:rPr>
        <w:t xml:space="preserve">may even come to doubt the constitutionality of policies they </w:t>
      </w:r>
      <w:r w:rsidR="00F66F27" w:rsidRPr="00AF2E40">
        <w:rPr>
          <w:rFonts w:ascii="Book Antiqua" w:hAnsi="Book Antiqua"/>
        </w:rPr>
        <w:t>might be otherwise</w:t>
      </w:r>
      <w:r w:rsidR="00686EC0" w:rsidRPr="00AF2E40">
        <w:rPr>
          <w:rFonts w:ascii="Book Antiqua" w:hAnsi="Book Antiqua"/>
        </w:rPr>
        <w:t xml:space="preserve"> politically sympathetic to</w:t>
      </w:r>
      <w:r w:rsidR="00F66F27" w:rsidRPr="007E36D0">
        <w:rPr>
          <w:rFonts w:ascii="Book Antiqua" w:hAnsi="Book Antiqua"/>
        </w:rPr>
        <w:t>,</w:t>
      </w:r>
      <w:r w:rsidR="00045E80" w:rsidRPr="007E36D0">
        <w:rPr>
          <w:rFonts w:ascii="Book Antiqua" w:hAnsi="Book Antiqua"/>
        </w:rPr>
        <w:t xml:space="preserve"> in light of advice from this source</w:t>
      </w:r>
      <w:r w:rsidR="00686EC0" w:rsidRPr="007E36D0">
        <w:rPr>
          <w:rFonts w:ascii="Book Antiqua" w:hAnsi="Book Antiqua"/>
        </w:rPr>
        <w:t>.</w:t>
      </w:r>
      <w:r w:rsidR="00CF0CB0" w:rsidRPr="00800B09">
        <w:rPr>
          <w:rFonts w:ascii="Book Antiqua" w:hAnsi="Book Antiqua"/>
        </w:rPr>
        <w:t xml:space="preserve"> </w:t>
      </w:r>
      <w:r w:rsidR="00292900" w:rsidRPr="006E162D">
        <w:rPr>
          <w:rFonts w:ascii="Book Antiqua" w:hAnsi="Book Antiqua"/>
        </w:rPr>
        <w:t>If AG’s</w:t>
      </w:r>
      <w:r w:rsidR="00E51128" w:rsidRPr="006E162D">
        <w:rPr>
          <w:rFonts w:ascii="Book Antiqua" w:hAnsi="Book Antiqua"/>
        </w:rPr>
        <w:t xml:space="preserve"> legal advice</w:t>
      </w:r>
      <w:r w:rsidR="00E51128" w:rsidRPr="006E162D">
        <w:rPr>
          <w:rFonts w:ascii="Book Antiqua" w:eastAsiaTheme="minorHAnsi" w:hAnsi="Book Antiqua" w:cs="Á0”˛"/>
          <w:lang w:eastAsia="en-US"/>
        </w:rPr>
        <w:t xml:space="preserve"> </w:t>
      </w:r>
      <w:r w:rsidR="00292900" w:rsidRPr="00692FEB">
        <w:rPr>
          <w:rFonts w:ascii="Book Antiqua" w:eastAsiaTheme="minorHAnsi" w:hAnsi="Book Antiqua" w:cs="Á0”˛"/>
          <w:lang w:eastAsia="en-US"/>
        </w:rPr>
        <w:t>were</w:t>
      </w:r>
      <w:r w:rsidR="00E51128" w:rsidRPr="006E162D">
        <w:rPr>
          <w:rFonts w:ascii="Book Antiqua" w:eastAsiaTheme="minorHAnsi" w:hAnsi="Book Antiqua" w:cs="Á0”˛"/>
          <w:lang w:eastAsia="en-US"/>
        </w:rPr>
        <w:t xml:space="preserve"> published, </w:t>
      </w:r>
      <w:r w:rsidR="00E51128" w:rsidRPr="00692FEB">
        <w:rPr>
          <w:rFonts w:ascii="Book Antiqua" w:eastAsiaTheme="minorHAnsi" w:hAnsi="Book Antiqua" w:cs="Á0”˛"/>
          <w:lang w:eastAsia="en-US"/>
        </w:rPr>
        <w:t>it</w:t>
      </w:r>
      <w:r w:rsidR="00E51128" w:rsidRPr="006E162D">
        <w:rPr>
          <w:rFonts w:ascii="Book Antiqua" w:eastAsiaTheme="minorHAnsi" w:hAnsi="Book Antiqua" w:cs="Á0”˛"/>
          <w:lang w:eastAsia="en-US"/>
        </w:rPr>
        <w:t xml:space="preserve"> </w:t>
      </w:r>
      <w:r w:rsidR="00292900" w:rsidRPr="00692FEB">
        <w:rPr>
          <w:rFonts w:ascii="Book Antiqua" w:eastAsiaTheme="minorHAnsi" w:hAnsi="Book Antiqua" w:cs="Á0”˛"/>
          <w:lang w:eastAsia="en-US"/>
        </w:rPr>
        <w:t>could</w:t>
      </w:r>
      <w:r w:rsidR="00E51128" w:rsidRPr="006E162D">
        <w:rPr>
          <w:rFonts w:ascii="Book Antiqua" w:eastAsiaTheme="minorHAnsi" w:hAnsi="Book Antiqua" w:cs="Á0”˛"/>
          <w:lang w:eastAsia="en-US"/>
        </w:rPr>
        <w:t xml:space="preserve"> be </w:t>
      </w:r>
      <w:r w:rsidR="00E51128" w:rsidRPr="00692FEB">
        <w:rPr>
          <w:rFonts w:ascii="Book Antiqua" w:eastAsiaTheme="minorHAnsi" w:hAnsi="Book Antiqua" w:cs="Á0”˛"/>
          <w:lang w:eastAsia="en-US"/>
        </w:rPr>
        <w:t>‘</w:t>
      </w:r>
      <w:r w:rsidR="00E51128" w:rsidRPr="006E162D">
        <w:rPr>
          <w:rFonts w:ascii="Book Antiqua" w:eastAsiaTheme="minorHAnsi" w:hAnsi="Book Antiqua" w:cs="Á0”˛"/>
          <w:lang w:eastAsia="en-US"/>
        </w:rPr>
        <w:t xml:space="preserve">scrutinized for accuracy, persuasion, </w:t>
      </w:r>
      <w:r w:rsidR="00E51128" w:rsidRPr="006E162D">
        <w:rPr>
          <w:rFonts w:ascii="Book Antiqua" w:eastAsiaTheme="minorHAnsi" w:hAnsi="Book Antiqua" w:cs="Á0”˛"/>
          <w:lang w:eastAsia="en-US"/>
        </w:rPr>
        <w:lastRenderedPageBreak/>
        <w:t>and consistency</w:t>
      </w:r>
      <w:r w:rsidR="00E51128" w:rsidRPr="00692FEB">
        <w:rPr>
          <w:rFonts w:ascii="Book Antiqua" w:eastAsiaTheme="minorHAnsi" w:hAnsi="Book Antiqua" w:cs="Á0”˛"/>
          <w:lang w:eastAsia="en-US"/>
        </w:rPr>
        <w:t>’</w:t>
      </w:r>
      <w:r w:rsidR="00E51128" w:rsidRPr="006E162D">
        <w:rPr>
          <w:rFonts w:ascii="Book Antiqua" w:eastAsiaTheme="minorHAnsi" w:hAnsi="Book Antiqua" w:cs="Á0”˛"/>
          <w:lang w:eastAsia="en-US"/>
        </w:rPr>
        <w:t xml:space="preserve"> by the press, the academy</w:t>
      </w:r>
      <w:r w:rsidR="00E51128" w:rsidRPr="00692FEB">
        <w:rPr>
          <w:rFonts w:ascii="Book Antiqua" w:eastAsiaTheme="minorHAnsi" w:hAnsi="Book Antiqua" w:cs="Á0”˛"/>
          <w:lang w:eastAsia="en-US"/>
        </w:rPr>
        <w:t>,</w:t>
      </w:r>
      <w:r w:rsidR="00E51128" w:rsidRPr="006E162D">
        <w:rPr>
          <w:rFonts w:ascii="Book Antiqua" w:eastAsiaTheme="minorHAnsi" w:hAnsi="Book Antiqua" w:cs="Á0”˛"/>
          <w:lang w:eastAsia="en-US"/>
        </w:rPr>
        <w:t xml:space="preserve"> and parliamentarians, who </w:t>
      </w:r>
      <w:r w:rsidR="00292900" w:rsidRPr="00692FEB">
        <w:rPr>
          <w:rFonts w:ascii="Book Antiqua" w:eastAsiaTheme="minorHAnsi" w:hAnsi="Book Antiqua" w:cs="Á0”˛"/>
          <w:lang w:eastAsia="en-US"/>
        </w:rPr>
        <w:t>could</w:t>
      </w:r>
      <w:r w:rsidR="00E51128" w:rsidRPr="009C65DA">
        <w:rPr>
          <w:rFonts w:ascii="Book Antiqua" w:eastAsiaTheme="minorHAnsi" w:hAnsi="Book Antiqua" w:cs="Á0”˛"/>
          <w:lang w:eastAsia="en-US"/>
        </w:rPr>
        <w:t xml:space="preserve"> all ‘</w:t>
      </w:r>
      <w:r w:rsidR="00E51128" w:rsidRPr="006E162D">
        <w:rPr>
          <w:rFonts w:ascii="Book Antiqua" w:eastAsiaTheme="minorHAnsi" w:hAnsi="Book Antiqua" w:cs="Á0”˛"/>
          <w:lang w:eastAsia="en-US"/>
        </w:rPr>
        <w:t>criticize and possibly correct self-serving or mistaken or excessive interpretations.’ This is clearly harder to do when ‘mere legal principles, as opposed to detailed legal analyses, are disclosed.’</w:t>
      </w:r>
      <w:r w:rsidR="00E51128" w:rsidRPr="00692FEB">
        <w:rPr>
          <w:rStyle w:val="FootnoteReference"/>
          <w:rFonts w:ascii="Book Antiqua" w:eastAsiaTheme="minorHAnsi" w:hAnsi="Book Antiqua" w:cs="Á0”˛"/>
          <w:lang w:eastAsia="en-US"/>
        </w:rPr>
        <w:footnoteReference w:id="89"/>
      </w:r>
      <w:r w:rsidR="00E51128" w:rsidRPr="00692FEB">
        <w:rPr>
          <w:rFonts w:ascii="Book Antiqua" w:eastAsiaTheme="minorHAnsi" w:hAnsi="Book Antiqua" w:cs="Á0”˛"/>
          <w:lang w:eastAsia="en-US"/>
        </w:rPr>
        <w:t xml:space="preserve"> </w:t>
      </w:r>
      <w:r w:rsidR="00AF2E40">
        <w:rPr>
          <w:rFonts w:ascii="Book Antiqua" w:hAnsi="Book Antiqua"/>
        </w:rPr>
        <w:t xml:space="preserve">This </w:t>
      </w:r>
      <w:r w:rsidR="00E51128" w:rsidRPr="006E162D">
        <w:rPr>
          <w:rFonts w:ascii="Book Antiqua" w:hAnsi="Book Antiqua"/>
        </w:rPr>
        <w:t xml:space="preserve">could </w:t>
      </w:r>
      <w:r w:rsidR="000833AA" w:rsidRPr="006E162D">
        <w:rPr>
          <w:rFonts w:ascii="Book Antiqua" w:hAnsi="Book Antiqua"/>
        </w:rPr>
        <w:t>plausibly</w:t>
      </w:r>
      <w:r w:rsidR="00E51128" w:rsidRPr="006E162D">
        <w:rPr>
          <w:rFonts w:ascii="Book Antiqua" w:hAnsi="Book Antiqua"/>
        </w:rPr>
        <w:t xml:space="preserve"> function as a useful tool of executive governance and for facilitating dominance o</w:t>
      </w:r>
      <w:r w:rsidR="00292900" w:rsidRPr="006E162D">
        <w:rPr>
          <w:rFonts w:ascii="Book Antiqua" w:hAnsi="Book Antiqua"/>
        </w:rPr>
        <w:t>ver</w:t>
      </w:r>
      <w:r w:rsidR="00E51128" w:rsidRPr="006E162D">
        <w:rPr>
          <w:rFonts w:ascii="Book Antiqua" w:hAnsi="Book Antiqua"/>
        </w:rPr>
        <w:t xml:space="preserve"> the policymaking process.</w:t>
      </w:r>
    </w:p>
    <w:p w14:paraId="54551FEC" w14:textId="77777777" w:rsidR="00E51128" w:rsidRPr="00692FEB" w:rsidRDefault="00E51128" w:rsidP="00603F74">
      <w:pPr>
        <w:spacing w:line="360" w:lineRule="auto"/>
        <w:jc w:val="both"/>
        <w:rPr>
          <w:rFonts w:ascii="Book Antiqua" w:hAnsi="Book Antiqua" w:cs="Calibri"/>
        </w:rPr>
      </w:pPr>
    </w:p>
    <w:p w14:paraId="009C8DC5" w14:textId="79008684" w:rsidR="00015DA9" w:rsidRPr="003739B7" w:rsidRDefault="00C22B2A" w:rsidP="006E162D">
      <w:pPr>
        <w:spacing w:line="360" w:lineRule="auto"/>
        <w:jc w:val="both"/>
        <w:outlineLvl w:val="1"/>
        <w:rPr>
          <w:rFonts w:ascii="Book Antiqua" w:hAnsi="Book Antiqua" w:cs="Calibri"/>
        </w:rPr>
      </w:pPr>
      <w:r w:rsidRPr="009C65DA">
        <w:rPr>
          <w:rFonts w:ascii="Book Antiqua" w:hAnsi="Book Antiqua" w:cs="Calibri"/>
          <w:i/>
          <w:iCs/>
        </w:rPr>
        <w:t>AG’s advice and the money message procedure</w:t>
      </w:r>
    </w:p>
    <w:p w14:paraId="5ACADB6F" w14:textId="5D581357" w:rsidR="00C907F8" w:rsidRPr="006E162D" w:rsidRDefault="00AF2E40" w:rsidP="00C907F8">
      <w:pPr>
        <w:spacing w:line="360" w:lineRule="auto"/>
        <w:jc w:val="both"/>
        <w:rPr>
          <w:rFonts w:ascii="Book Antiqua" w:hAnsi="Book Antiqua" w:cs="Calibri"/>
        </w:rPr>
      </w:pPr>
      <w:r>
        <w:rPr>
          <w:rFonts w:ascii="Book Antiqua" w:hAnsi="Book Antiqua" w:cs="Calibri"/>
        </w:rPr>
        <w:t>T</w:t>
      </w:r>
      <w:r w:rsidR="00C17F3C" w:rsidRPr="00355202">
        <w:rPr>
          <w:rFonts w:ascii="Book Antiqua" w:hAnsi="Book Antiqua" w:cs="Calibri"/>
        </w:rPr>
        <w:t>he money message, discussed in the previo</w:t>
      </w:r>
      <w:r w:rsidR="00C17F3C" w:rsidRPr="0025547E">
        <w:rPr>
          <w:rFonts w:ascii="Book Antiqua" w:hAnsi="Book Antiqua" w:cs="Calibri"/>
        </w:rPr>
        <w:t>us section, casts</w:t>
      </w:r>
      <w:r w:rsidR="00C17F3C" w:rsidRPr="00061F78">
        <w:rPr>
          <w:rFonts w:ascii="Book Antiqua" w:hAnsi="Book Antiqua" w:cs="Calibri"/>
        </w:rPr>
        <w:t xml:space="preserve"> a different light on the </w:t>
      </w:r>
      <w:r w:rsidR="00C907F8" w:rsidRPr="00061F78">
        <w:rPr>
          <w:rFonts w:ascii="Book Antiqua" w:hAnsi="Book Antiqua" w:cs="Calibri"/>
        </w:rPr>
        <w:t xml:space="preserve">role of AG’s advice. </w:t>
      </w:r>
      <w:r w:rsidR="00C907F8" w:rsidRPr="00D47D06">
        <w:rPr>
          <w:rFonts w:ascii="Book Antiqua" w:hAnsi="Book Antiqua" w:cs="Calibri"/>
        </w:rPr>
        <w:t xml:space="preserve">In the Taoiseach’s late </w:t>
      </w:r>
      <w:r w:rsidR="00C907F8" w:rsidRPr="006E162D">
        <w:rPr>
          <w:rFonts w:ascii="Book Antiqua" w:hAnsi="Book Antiqua" w:cs="Calibri"/>
        </w:rPr>
        <w:t>2019 statement to the Dáil on the Money Message controversy, he stated that government could and did refuse to issue Money Message based on AG’s advice on constitutionality: “Some legislation put forward is unconstitutional. On the advice of the Attorney General, I cannot grant a money message for legislation I know to be unconstitutional.”</w:t>
      </w:r>
      <w:r w:rsidR="00C907F8" w:rsidRPr="00692FEB">
        <w:rPr>
          <w:rStyle w:val="FootnoteReference"/>
          <w:rFonts w:ascii="Book Antiqua" w:hAnsi="Book Antiqua" w:cs="Calibri"/>
        </w:rPr>
        <w:footnoteReference w:id="90"/>
      </w:r>
      <w:r w:rsidR="00C907F8" w:rsidRPr="00692FEB">
        <w:rPr>
          <w:rFonts w:ascii="Book Antiqua" w:hAnsi="Book Antiqua" w:cs="Calibri"/>
        </w:rPr>
        <w:t xml:space="preserve"> </w:t>
      </w:r>
      <w:r w:rsidR="00251E96" w:rsidRPr="009C65DA">
        <w:rPr>
          <w:rFonts w:ascii="Book Antiqua" w:hAnsi="Book Antiqua" w:cs="Calibri"/>
        </w:rPr>
        <w:t xml:space="preserve">If this is an accurate statement of government practice, </w:t>
      </w:r>
      <w:r w:rsidR="00251E96" w:rsidRPr="006E162D">
        <w:rPr>
          <w:rFonts w:ascii="Book Antiqua" w:hAnsi="Book Antiqua" w:cs="Calibri"/>
        </w:rPr>
        <w:t>and g</w:t>
      </w:r>
      <w:r w:rsidR="00C907F8" w:rsidRPr="006E162D">
        <w:rPr>
          <w:rFonts w:ascii="Book Antiqua" w:hAnsi="Book Antiqua" w:cs="Calibri"/>
        </w:rPr>
        <w:t xml:space="preserve">iven the breadth of the </w:t>
      </w:r>
      <w:r w:rsidR="00251E96" w:rsidRPr="006E162D">
        <w:rPr>
          <w:rFonts w:ascii="Book Antiqua" w:hAnsi="Book Antiqua" w:cs="Calibri"/>
        </w:rPr>
        <w:t>M</w:t>
      </w:r>
      <w:r w:rsidR="00C907F8" w:rsidRPr="006E162D">
        <w:rPr>
          <w:rFonts w:ascii="Book Antiqua" w:hAnsi="Book Antiqua" w:cs="Calibri"/>
        </w:rPr>
        <w:t xml:space="preserve">oney </w:t>
      </w:r>
      <w:r w:rsidR="00251E96" w:rsidRPr="006E162D">
        <w:rPr>
          <w:rFonts w:ascii="Book Antiqua" w:hAnsi="Book Antiqua" w:cs="Calibri"/>
        </w:rPr>
        <w:t>M</w:t>
      </w:r>
      <w:r w:rsidR="00C907F8" w:rsidRPr="006E162D">
        <w:rPr>
          <w:rFonts w:ascii="Book Antiqua" w:hAnsi="Book Antiqua" w:cs="Calibri"/>
        </w:rPr>
        <w:t xml:space="preserve">essage procedure as currently interpreted, </w:t>
      </w:r>
      <w:r w:rsidR="00251E96" w:rsidRPr="006E162D">
        <w:rPr>
          <w:rFonts w:ascii="Book Antiqua" w:hAnsi="Book Antiqua" w:cs="Calibri"/>
        </w:rPr>
        <w:t xml:space="preserve">this turns AG’s advice into a veto point on nearly all legislation. </w:t>
      </w:r>
    </w:p>
    <w:p w14:paraId="30743C57" w14:textId="33512204" w:rsidR="00C17F3C" w:rsidRPr="006E162D" w:rsidRDefault="00C17F3C" w:rsidP="00603F74">
      <w:pPr>
        <w:spacing w:line="360" w:lineRule="auto"/>
        <w:jc w:val="both"/>
        <w:rPr>
          <w:rFonts w:ascii="Book Antiqua" w:hAnsi="Book Antiqua" w:cs="Calibri"/>
        </w:rPr>
      </w:pPr>
    </w:p>
    <w:p w14:paraId="4AABA59A" w14:textId="078F6120" w:rsidR="00015DA9" w:rsidRPr="009C65DA" w:rsidRDefault="00386AE6" w:rsidP="00015DA9">
      <w:pPr>
        <w:spacing w:line="360" w:lineRule="auto"/>
        <w:jc w:val="both"/>
        <w:rPr>
          <w:rFonts w:ascii="Book Antiqua" w:hAnsi="Book Antiqua"/>
          <w:color w:val="000000"/>
        </w:rPr>
      </w:pPr>
      <w:r w:rsidRPr="006E162D">
        <w:rPr>
          <w:rFonts w:ascii="Book Antiqua" w:hAnsi="Book Antiqua" w:cs="Calibri"/>
        </w:rPr>
        <w:t>When this tool was used against their bills, s</w:t>
      </w:r>
      <w:r w:rsidR="00015DA9" w:rsidRPr="006E162D">
        <w:rPr>
          <w:rFonts w:ascii="Book Antiqua" w:hAnsi="Book Antiqua" w:cs="Calibri"/>
        </w:rPr>
        <w:t>ome backbenchers strongly resisted arguments about their proposal</w:t>
      </w:r>
      <w:r w:rsidR="00045E80" w:rsidRPr="006E162D">
        <w:rPr>
          <w:rFonts w:ascii="Book Antiqua" w:hAnsi="Book Antiqua" w:cs="Calibri"/>
        </w:rPr>
        <w:t>’</w:t>
      </w:r>
      <w:r w:rsidR="00015DA9" w:rsidRPr="006E162D">
        <w:rPr>
          <w:rFonts w:ascii="Book Antiqua" w:hAnsi="Book Antiqua" w:cs="Calibri"/>
        </w:rPr>
        <w:t>s unconstitutionality, proffering their own legal advice to the contrary</w:t>
      </w:r>
      <w:r w:rsidR="00045E80" w:rsidRPr="006E162D">
        <w:rPr>
          <w:rFonts w:ascii="Book Antiqua" w:hAnsi="Book Antiqua" w:cs="Calibri"/>
        </w:rPr>
        <w:t>,</w:t>
      </w:r>
      <w:r w:rsidR="00015DA9" w:rsidRPr="006E162D">
        <w:rPr>
          <w:rFonts w:ascii="Book Antiqua" w:hAnsi="Book Antiqua" w:cs="Calibri"/>
        </w:rPr>
        <w:t xml:space="preserve"> or relying on Supreme Court precedent</w:t>
      </w:r>
      <w:r w:rsidR="00045E80" w:rsidRPr="006E162D">
        <w:rPr>
          <w:rFonts w:ascii="Book Antiqua" w:hAnsi="Book Antiqua" w:cs="Calibri"/>
        </w:rPr>
        <w:t xml:space="preserve"> to demonstrate their legal soundness</w:t>
      </w:r>
      <w:r w:rsidR="00015DA9" w:rsidRPr="006E162D">
        <w:rPr>
          <w:rFonts w:ascii="Book Antiqua" w:hAnsi="Book Antiqua" w:cs="Calibri"/>
        </w:rPr>
        <w:t>.</w:t>
      </w:r>
      <w:r w:rsidR="00F63818">
        <w:rPr>
          <w:rFonts w:ascii="Book Antiqua" w:hAnsi="Book Antiqua" w:cs="Calibri"/>
        </w:rPr>
        <w:t xml:space="preserve"> </w:t>
      </w:r>
      <w:r w:rsidR="007E36D0">
        <w:rPr>
          <w:rFonts w:ascii="Book Antiqua" w:hAnsi="Book Antiqua" w:cs="Calibri"/>
        </w:rPr>
        <w:t>To take one example,</w:t>
      </w:r>
      <w:r w:rsidR="007E36D0">
        <w:rPr>
          <w:rStyle w:val="FootnoteReference"/>
          <w:rFonts w:ascii="Book Antiqua" w:hAnsi="Book Antiqua" w:cs="Calibri"/>
        </w:rPr>
        <w:footnoteReference w:id="91"/>
      </w:r>
      <w:r w:rsidR="007E36D0">
        <w:rPr>
          <w:rFonts w:ascii="Book Antiqua" w:hAnsi="Book Antiqua" w:cs="Calibri"/>
        </w:rPr>
        <w:t xml:space="preserve"> </w:t>
      </w:r>
      <w:r w:rsidR="00015DA9" w:rsidRPr="006E162D">
        <w:rPr>
          <w:rFonts w:ascii="Book Antiqua" w:hAnsi="Book Antiqua"/>
          <w:color w:val="000000" w:themeColor="text1"/>
        </w:rPr>
        <w:t xml:space="preserve">The Mortgage Arrears Resolution (Family Home) Bill 2017 was introduced by Fianna </w:t>
      </w:r>
      <w:proofErr w:type="spellStart"/>
      <w:r w:rsidR="00015DA9" w:rsidRPr="006E162D">
        <w:rPr>
          <w:rFonts w:ascii="Book Antiqua" w:hAnsi="Book Antiqua"/>
          <w:color w:val="000000" w:themeColor="text1"/>
        </w:rPr>
        <w:t>Fáil</w:t>
      </w:r>
      <w:proofErr w:type="spellEnd"/>
      <w:r w:rsidR="00015DA9" w:rsidRPr="006E162D">
        <w:rPr>
          <w:rFonts w:ascii="Book Antiqua" w:hAnsi="Book Antiqua"/>
          <w:color w:val="000000" w:themeColor="text1"/>
        </w:rPr>
        <w:t xml:space="preserve"> in the Dáil in July 2017. The Bill proposed to create an independent mortgage arrears tribunal with powers to make binding orders against banks and lending institutions requiring them to restructure a mortgage in a more equitable manner.</w:t>
      </w:r>
      <w:r w:rsidR="0046208C" w:rsidRPr="006E162D">
        <w:rPr>
          <w:rFonts w:ascii="Book Antiqua" w:hAnsi="Book Antiqua"/>
          <w:color w:val="000000" w:themeColor="text1"/>
        </w:rPr>
        <w:t xml:space="preserve"> Opposing the Bill,</w:t>
      </w:r>
      <w:r w:rsidR="00015DA9" w:rsidRPr="006E162D">
        <w:rPr>
          <w:rFonts w:ascii="Book Antiqua" w:hAnsi="Book Antiqua"/>
          <w:color w:val="000000" w:themeColor="text1"/>
        </w:rPr>
        <w:t xml:space="preserve"> </w:t>
      </w:r>
      <w:r w:rsidR="0046208C" w:rsidRPr="006E162D">
        <w:rPr>
          <w:rFonts w:ascii="Book Antiqua" w:hAnsi="Book Antiqua"/>
          <w:color w:val="000000" w:themeColor="text1"/>
        </w:rPr>
        <w:t>t</w:t>
      </w:r>
      <w:r w:rsidR="00015DA9" w:rsidRPr="006E162D">
        <w:rPr>
          <w:rFonts w:ascii="Book Antiqua" w:hAnsi="Book Antiqua"/>
          <w:color w:val="000000" w:themeColor="text1"/>
        </w:rPr>
        <w:t xml:space="preserve">he Government cited AG’s advice and argued that the Bill was unconstitutional as an infringement of judicial power under Article 34, and a disproportionate interference with the property rights of banks. This prompted a fierce reaction from backbenchers, with one stating bluntly </w:t>
      </w:r>
      <w:r w:rsidR="00015DA9" w:rsidRPr="006E162D">
        <w:rPr>
          <w:rFonts w:ascii="Book Antiqua" w:hAnsi="Book Antiqua"/>
          <w:color w:val="000000" w:themeColor="text1"/>
        </w:rPr>
        <w:lastRenderedPageBreak/>
        <w:t xml:space="preserve">that the advice appeared ‘fundamentally wrong’ </w:t>
      </w:r>
      <w:r w:rsidR="00C7569C" w:rsidRPr="006E162D">
        <w:rPr>
          <w:rFonts w:ascii="Book Antiqua" w:hAnsi="Book Antiqua"/>
          <w:color w:val="000000" w:themeColor="text1"/>
        </w:rPr>
        <w:t xml:space="preserve">in light of the Constitution </w:t>
      </w:r>
      <w:r w:rsidR="00015DA9" w:rsidRPr="006E162D">
        <w:rPr>
          <w:rFonts w:ascii="Book Antiqua" w:hAnsi="Book Antiqua"/>
          <w:color w:val="000000" w:themeColor="text1"/>
        </w:rPr>
        <w:t>and that he could not ‘imagine that this advice came from the office of any learned Attorney General.’</w:t>
      </w:r>
      <w:r w:rsidR="00C7569C" w:rsidRPr="00692FEB">
        <w:rPr>
          <w:rStyle w:val="FootnoteReference"/>
          <w:rFonts w:ascii="Book Antiqua" w:hAnsi="Book Antiqua"/>
          <w:color w:val="000000" w:themeColor="text1"/>
        </w:rPr>
        <w:footnoteReference w:id="92"/>
      </w:r>
    </w:p>
    <w:p w14:paraId="4871E1A9" w14:textId="77777777" w:rsidR="008F5DC2" w:rsidRPr="009C65DA" w:rsidRDefault="008F5DC2" w:rsidP="00603F74">
      <w:pPr>
        <w:spacing w:line="360" w:lineRule="auto"/>
        <w:jc w:val="both"/>
        <w:rPr>
          <w:rFonts w:ascii="Book Antiqua" w:hAnsi="Book Antiqua" w:cs="Calibri"/>
        </w:rPr>
      </w:pPr>
    </w:p>
    <w:p w14:paraId="616B00CF" w14:textId="7970B1DB" w:rsidR="00386AE6" w:rsidRPr="006E162D" w:rsidRDefault="009829DF" w:rsidP="00386AE6">
      <w:pPr>
        <w:spacing w:line="360" w:lineRule="auto"/>
        <w:jc w:val="both"/>
        <w:rPr>
          <w:rFonts w:ascii="Book Antiqua" w:hAnsi="Book Antiqua" w:cs="Calibri"/>
        </w:rPr>
      </w:pPr>
      <w:r>
        <w:rPr>
          <w:rFonts w:ascii="Book Antiqua" w:hAnsi="Book Antiqua"/>
          <w:color w:val="000000" w:themeColor="text1"/>
        </w:rPr>
        <w:t xml:space="preserve">Similarly, </w:t>
      </w:r>
      <w:r w:rsidR="002C3141">
        <w:rPr>
          <w:rFonts w:ascii="Book Antiqua" w:hAnsi="Book Antiqua"/>
          <w:color w:val="000000" w:themeColor="text1"/>
        </w:rPr>
        <w:t>t</w:t>
      </w:r>
      <w:r w:rsidR="00015DA9" w:rsidRPr="006E162D">
        <w:rPr>
          <w:rFonts w:ascii="Book Antiqua" w:hAnsi="Book Antiqua"/>
          <w:color w:val="000000" w:themeColor="text1"/>
        </w:rPr>
        <w:t xml:space="preserve">he No Consent, No Sale Bill, 2019 was introduced to the Dáil by </w:t>
      </w:r>
      <w:r w:rsidR="007764A7" w:rsidRPr="006E162D">
        <w:rPr>
          <w:rFonts w:ascii="Book Antiqua" w:hAnsi="Book Antiqua"/>
          <w:color w:val="000000" w:themeColor="text1"/>
        </w:rPr>
        <w:t>Sinn Féin</w:t>
      </w:r>
      <w:r w:rsidR="00015DA9" w:rsidRPr="006E162D">
        <w:rPr>
          <w:rFonts w:ascii="Book Antiqua" w:hAnsi="Book Antiqua"/>
          <w:color w:val="000000" w:themeColor="text1"/>
        </w:rPr>
        <w:t xml:space="preserve"> in January 2019. The bill aimed to prevent the sale of a mortgage onward by a bank or credit institution without the consent of the borrower. The Government not only argued that the bill was bad economic policy, but </w:t>
      </w:r>
      <w:r w:rsidR="00015DA9" w:rsidRPr="006E162D">
        <w:rPr>
          <w:rFonts w:ascii="Book Antiqua" w:hAnsi="Book Antiqua"/>
          <w:color w:val="000000"/>
        </w:rPr>
        <w:t>also raised constitutional objections, on the basis the AG advised was a disproportionate interference with</w:t>
      </w:r>
      <w:r w:rsidR="00F16A53" w:rsidRPr="006E162D">
        <w:rPr>
          <w:rFonts w:ascii="Book Antiqua" w:hAnsi="Book Antiqua"/>
          <w:color w:val="000000"/>
        </w:rPr>
        <w:t xml:space="preserve"> the</w:t>
      </w:r>
      <w:r w:rsidR="00015DA9" w:rsidRPr="006E162D">
        <w:rPr>
          <w:rFonts w:ascii="Book Antiqua" w:hAnsi="Book Antiqua"/>
          <w:color w:val="000000"/>
        </w:rPr>
        <w:t xml:space="preserve"> property rights</w:t>
      </w:r>
      <w:r w:rsidR="00F16A53" w:rsidRPr="006E162D">
        <w:rPr>
          <w:rFonts w:ascii="Book Antiqua" w:hAnsi="Book Antiqua"/>
          <w:color w:val="000000"/>
        </w:rPr>
        <w:t xml:space="preserve"> of banks</w:t>
      </w:r>
      <w:r w:rsidR="00015DA9" w:rsidRPr="006E162D">
        <w:rPr>
          <w:rFonts w:ascii="Book Antiqua" w:hAnsi="Book Antiqua"/>
          <w:color w:val="000000"/>
        </w:rPr>
        <w:t>.</w:t>
      </w:r>
      <w:r w:rsidR="00015DA9" w:rsidRPr="00692FEB">
        <w:rPr>
          <w:rStyle w:val="FootnoteReference"/>
          <w:rFonts w:ascii="Book Antiqua" w:hAnsi="Book Antiqua"/>
        </w:rPr>
        <w:footnoteReference w:id="93"/>
      </w:r>
      <w:r w:rsidR="00015DA9" w:rsidRPr="00692FEB">
        <w:rPr>
          <w:rFonts w:ascii="Book Antiqua" w:hAnsi="Book Antiqua"/>
          <w:color w:val="000000"/>
        </w:rPr>
        <w:t xml:space="preserve"> In response, backbenchers cited to legal advice from the Office of the Parliamentary Legal Advisor</w:t>
      </w:r>
      <w:r w:rsidR="008F5DC2" w:rsidRPr="009C65DA">
        <w:rPr>
          <w:rFonts w:ascii="Book Antiqua" w:hAnsi="Book Antiqua"/>
          <w:color w:val="000000"/>
        </w:rPr>
        <w:t xml:space="preserve"> which</w:t>
      </w:r>
      <w:r w:rsidR="00015DA9" w:rsidRPr="009C65DA">
        <w:rPr>
          <w:rFonts w:ascii="Book Antiqua" w:hAnsi="Book Antiqua"/>
          <w:color w:val="000000"/>
        </w:rPr>
        <w:t xml:space="preserve"> appeared more sanguine about its constitutionality.</w:t>
      </w:r>
      <w:r w:rsidR="00015DA9" w:rsidRPr="00692FEB">
        <w:rPr>
          <w:rStyle w:val="FootnoteReference"/>
          <w:rFonts w:ascii="Book Antiqua" w:hAnsi="Book Antiqua"/>
          <w:color w:val="000000"/>
        </w:rPr>
        <w:footnoteReference w:id="94"/>
      </w:r>
      <w:r w:rsidR="00015DA9" w:rsidRPr="00692FEB">
        <w:rPr>
          <w:rFonts w:ascii="Book Antiqua" w:hAnsi="Book Antiqua"/>
          <w:color w:val="000000"/>
        </w:rPr>
        <w:t xml:space="preserve"> </w:t>
      </w:r>
      <w:r w:rsidR="00015DA9" w:rsidRPr="009C65DA">
        <w:rPr>
          <w:rFonts w:ascii="Book Antiqua" w:hAnsi="Book Antiqua"/>
          <w:color w:val="000000" w:themeColor="text1"/>
        </w:rPr>
        <w:t xml:space="preserve">In each </w:t>
      </w:r>
      <w:r w:rsidR="00015DA9" w:rsidRPr="003739B7">
        <w:rPr>
          <w:rFonts w:ascii="Book Antiqua" w:hAnsi="Book Antiqua"/>
          <w:color w:val="000000" w:themeColor="text1"/>
        </w:rPr>
        <w:t>instance, despite</w:t>
      </w:r>
      <w:r w:rsidR="00015DA9" w:rsidRPr="002516B9">
        <w:rPr>
          <w:rFonts w:ascii="Book Antiqua" w:hAnsi="Book Antiqua"/>
          <w:color w:val="000000" w:themeColor="text1"/>
        </w:rPr>
        <w:t xml:space="preserve"> strong Government opposition</w:t>
      </w:r>
      <w:r w:rsidR="008F5DC2" w:rsidRPr="00480C68">
        <w:rPr>
          <w:rFonts w:ascii="Book Antiqua" w:hAnsi="Book Antiqua"/>
          <w:color w:val="000000" w:themeColor="text1"/>
        </w:rPr>
        <w:t xml:space="preserve"> and the citation of A</w:t>
      </w:r>
      <w:r w:rsidR="008F5DC2" w:rsidRPr="00355202">
        <w:rPr>
          <w:rFonts w:ascii="Book Antiqua" w:hAnsi="Book Antiqua"/>
          <w:color w:val="000000" w:themeColor="text1"/>
        </w:rPr>
        <w:t>G’s advice</w:t>
      </w:r>
      <w:r w:rsidR="00015DA9" w:rsidRPr="0025547E">
        <w:rPr>
          <w:rFonts w:ascii="Book Antiqua" w:hAnsi="Book Antiqua"/>
          <w:color w:val="000000" w:themeColor="text1"/>
        </w:rPr>
        <w:t>, the Bill passed the second stage</w:t>
      </w:r>
      <w:r w:rsidR="00386AE6" w:rsidRPr="00061F78">
        <w:rPr>
          <w:rFonts w:ascii="Book Antiqua" w:hAnsi="Book Antiqua"/>
          <w:color w:val="000000" w:themeColor="text1"/>
        </w:rPr>
        <w:t>, and</w:t>
      </w:r>
      <w:r w:rsidR="00015DA9" w:rsidRPr="00061F78">
        <w:rPr>
          <w:rFonts w:ascii="Book Antiqua" w:hAnsi="Book Antiqua"/>
          <w:color w:val="000000" w:themeColor="text1"/>
        </w:rPr>
        <w:t xml:space="preserve"> </w:t>
      </w:r>
      <w:r w:rsidR="00386AE6" w:rsidRPr="006E162D">
        <w:rPr>
          <w:rFonts w:ascii="Book Antiqua" w:hAnsi="Book Antiqua"/>
          <w:color w:val="000000" w:themeColor="text1"/>
        </w:rPr>
        <w:t>was halted by the need for a Money Message</w:t>
      </w:r>
      <w:r w:rsidR="00015DA9" w:rsidRPr="006E162D">
        <w:rPr>
          <w:rFonts w:ascii="Book Antiqua" w:hAnsi="Book Antiqua"/>
          <w:color w:val="000000" w:themeColor="text1"/>
        </w:rPr>
        <w:t>.</w:t>
      </w:r>
      <w:r w:rsidR="00386AE6" w:rsidRPr="006E162D">
        <w:rPr>
          <w:rFonts w:ascii="Book Antiqua" w:hAnsi="Book Antiqua" w:cs="Calibri"/>
        </w:rPr>
        <w:t xml:space="preserve"> We can reasonably infer from the Taoiseach’s later comments that the government refused Money Messages for these bills because of the constitutional concerns raised by the AG</w:t>
      </w:r>
      <w:r w:rsidR="00C22B2A" w:rsidRPr="006E162D">
        <w:rPr>
          <w:rFonts w:ascii="Book Antiqua" w:hAnsi="Book Antiqua" w:cs="Calibri"/>
        </w:rPr>
        <w:t xml:space="preserve">. </w:t>
      </w:r>
    </w:p>
    <w:p w14:paraId="7B6899CA" w14:textId="77777777" w:rsidR="00386AE6" w:rsidRPr="006E162D" w:rsidRDefault="00386AE6" w:rsidP="00386AE6">
      <w:pPr>
        <w:spacing w:line="360" w:lineRule="auto"/>
        <w:jc w:val="both"/>
        <w:rPr>
          <w:rFonts w:ascii="Book Antiqua" w:hAnsi="Book Antiqua" w:cs="Calibri"/>
        </w:rPr>
      </w:pPr>
    </w:p>
    <w:p w14:paraId="585FB405" w14:textId="3A482B46" w:rsidR="005F4D9F" w:rsidRDefault="00386AE6" w:rsidP="001D5ED5">
      <w:pPr>
        <w:spacing w:line="360" w:lineRule="auto"/>
        <w:jc w:val="both"/>
        <w:rPr>
          <w:rFonts w:ascii="Book Antiqua" w:hAnsi="Book Antiqua"/>
          <w:b/>
          <w:bCs/>
        </w:rPr>
      </w:pPr>
      <w:r w:rsidRPr="006E162D">
        <w:rPr>
          <w:rFonts w:ascii="Book Antiqua" w:hAnsi="Book Antiqua" w:cs="Calibri"/>
        </w:rPr>
        <w:t xml:space="preserve">There are, of course, </w:t>
      </w:r>
      <w:r w:rsidR="00B66539">
        <w:rPr>
          <w:rFonts w:ascii="Book Antiqua" w:hAnsi="Book Antiqua" w:cs="Calibri"/>
        </w:rPr>
        <w:t>constitutional</w:t>
      </w:r>
      <w:r w:rsidRPr="00B66539">
        <w:rPr>
          <w:rFonts w:ascii="Book Antiqua" w:hAnsi="Book Antiqua" w:cs="Calibri"/>
        </w:rPr>
        <w:t xml:space="preserve"> </w:t>
      </w:r>
      <w:r w:rsidR="00C22B2A" w:rsidRPr="006E162D">
        <w:rPr>
          <w:rFonts w:ascii="Book Antiqua" w:hAnsi="Book Antiqua" w:cs="Calibri"/>
        </w:rPr>
        <w:t xml:space="preserve">checks on the Oireachtas passing unconstitutional legislation </w:t>
      </w:r>
      <w:r w:rsidRPr="006E162D">
        <w:rPr>
          <w:rFonts w:ascii="Book Antiqua" w:hAnsi="Book Antiqua" w:cs="Calibri"/>
        </w:rPr>
        <w:t xml:space="preserve">in the Irish </w:t>
      </w:r>
      <w:r w:rsidRPr="00B66539">
        <w:rPr>
          <w:rFonts w:ascii="Book Antiqua" w:hAnsi="Book Antiqua" w:cs="Calibri"/>
        </w:rPr>
        <w:t>system</w:t>
      </w:r>
      <w:r w:rsidR="00B66539">
        <w:rPr>
          <w:rFonts w:ascii="Book Antiqua" w:hAnsi="Book Antiqua" w:cs="Calibri"/>
        </w:rPr>
        <w:t>: the institution of judicial review</w:t>
      </w:r>
      <w:r w:rsidRPr="00B66539">
        <w:rPr>
          <w:rFonts w:ascii="Book Antiqua" w:hAnsi="Book Antiqua" w:cs="Calibri"/>
        </w:rPr>
        <w:t xml:space="preserve">. </w:t>
      </w:r>
      <w:r w:rsidR="00A73528" w:rsidRPr="006E162D">
        <w:rPr>
          <w:rFonts w:ascii="Book Antiqua" w:hAnsi="Book Antiqua" w:cs="Calibri"/>
        </w:rPr>
        <w:t>T</w:t>
      </w:r>
      <w:r w:rsidR="00C22B2A" w:rsidRPr="006E162D">
        <w:rPr>
          <w:rFonts w:ascii="Book Antiqua" w:hAnsi="Book Antiqua" w:cs="Calibri"/>
        </w:rPr>
        <w:t>he President</w:t>
      </w:r>
      <w:r w:rsidR="00B66539">
        <w:rPr>
          <w:rFonts w:ascii="Book Antiqua" w:hAnsi="Book Antiqua" w:cs="Calibri"/>
        </w:rPr>
        <w:t xml:space="preserve"> has </w:t>
      </w:r>
      <w:r w:rsidR="00C22B2A" w:rsidRPr="006E162D">
        <w:rPr>
          <w:rFonts w:ascii="Book Antiqua" w:hAnsi="Book Antiqua" w:cs="Calibri"/>
        </w:rPr>
        <w:t xml:space="preserve">absolute discretion to refer bills to the Supreme Court for </w:t>
      </w:r>
      <w:r w:rsidR="00B66539">
        <w:rPr>
          <w:rFonts w:ascii="Book Antiqua" w:hAnsi="Book Antiqua" w:cs="Calibri"/>
        </w:rPr>
        <w:t xml:space="preserve">pre-enactment constitutional </w:t>
      </w:r>
      <w:r w:rsidR="00C22B2A" w:rsidRPr="00B66539">
        <w:rPr>
          <w:rFonts w:ascii="Book Antiqua" w:hAnsi="Book Antiqua" w:cs="Calibri"/>
        </w:rPr>
        <w:t xml:space="preserve">review under Article 26, and </w:t>
      </w:r>
      <w:r w:rsidR="00C22B2A" w:rsidRPr="006E162D">
        <w:rPr>
          <w:rFonts w:ascii="Book Antiqua" w:hAnsi="Book Antiqua" w:cs="Calibri"/>
        </w:rPr>
        <w:t xml:space="preserve">the Superior Courts </w:t>
      </w:r>
      <w:r w:rsidR="00A73528" w:rsidRPr="006E162D">
        <w:rPr>
          <w:rFonts w:ascii="Book Antiqua" w:hAnsi="Book Antiqua" w:cs="Calibri"/>
        </w:rPr>
        <w:t xml:space="preserve">are empowered </w:t>
      </w:r>
      <w:r w:rsidR="00C22B2A" w:rsidRPr="006E162D">
        <w:rPr>
          <w:rFonts w:ascii="Book Antiqua" w:hAnsi="Book Antiqua" w:cs="Calibri"/>
        </w:rPr>
        <w:t>to declare an Act of the Oireachtas invalid due to its repugnancy to the Constitution.</w:t>
      </w:r>
      <w:r w:rsidR="00C22B2A" w:rsidRPr="00692FEB">
        <w:rPr>
          <w:rStyle w:val="FootnoteReference"/>
          <w:rFonts w:ascii="Book Antiqua" w:hAnsi="Book Antiqua" w:cs="Calibri"/>
        </w:rPr>
        <w:footnoteReference w:id="95"/>
      </w:r>
      <w:r w:rsidR="003158C6" w:rsidRPr="00692FEB">
        <w:rPr>
          <w:rFonts w:ascii="Book Antiqua" w:hAnsi="Book Antiqua" w:cs="Calibri"/>
        </w:rPr>
        <w:t xml:space="preserve"> Yet the executive has turned the Constitution’s financial provisions into an </w:t>
      </w:r>
      <w:r w:rsidR="00652E0E" w:rsidRPr="009C65DA">
        <w:rPr>
          <w:rFonts w:ascii="Book Antiqua" w:hAnsi="Book Antiqua" w:cs="Calibri"/>
        </w:rPr>
        <w:t>additional</w:t>
      </w:r>
      <w:r w:rsidR="003158C6" w:rsidRPr="009C65DA">
        <w:rPr>
          <w:rFonts w:ascii="Book Antiqua" w:hAnsi="Book Antiqua" w:cs="Calibri"/>
        </w:rPr>
        <w:t>—and questionable—check</w:t>
      </w:r>
      <w:r w:rsidR="00E45DCE" w:rsidRPr="009C65DA">
        <w:rPr>
          <w:rFonts w:ascii="Book Antiqua" w:hAnsi="Book Antiqua" w:cs="Calibri"/>
        </w:rPr>
        <w:t xml:space="preserve"> on the constitutionality of laws</w:t>
      </w:r>
      <w:r w:rsidR="003158C6" w:rsidRPr="003739B7">
        <w:rPr>
          <w:rFonts w:ascii="Book Antiqua" w:hAnsi="Book Antiqua" w:cs="Calibri"/>
        </w:rPr>
        <w:t>.</w:t>
      </w:r>
      <w:r w:rsidR="00603F74" w:rsidRPr="00692FEB">
        <w:rPr>
          <w:rStyle w:val="FootnoteReference"/>
          <w:rFonts w:ascii="Book Antiqua" w:hAnsi="Book Antiqua" w:cs="Calibri"/>
        </w:rPr>
        <w:footnoteReference w:id="96"/>
      </w:r>
    </w:p>
    <w:p w14:paraId="4C16D938" w14:textId="1CD29038" w:rsidR="005F4D9F" w:rsidRDefault="005F4D9F" w:rsidP="001D5ED5">
      <w:pPr>
        <w:spacing w:line="360" w:lineRule="auto"/>
        <w:jc w:val="both"/>
        <w:rPr>
          <w:rFonts w:ascii="Book Antiqua" w:hAnsi="Book Antiqua" w:cs="Calibri"/>
        </w:rPr>
      </w:pPr>
    </w:p>
    <w:p w14:paraId="54F3699E" w14:textId="77777777" w:rsidR="00316CA7" w:rsidRPr="005F4D9F" w:rsidRDefault="00316CA7" w:rsidP="001D5ED5">
      <w:pPr>
        <w:spacing w:line="360" w:lineRule="auto"/>
        <w:jc w:val="both"/>
        <w:rPr>
          <w:rFonts w:ascii="Book Antiqua" w:hAnsi="Book Antiqua" w:cs="Calibri"/>
        </w:rPr>
      </w:pPr>
    </w:p>
    <w:p w14:paraId="117DB264" w14:textId="71B1632B" w:rsidR="005F4D9F" w:rsidRPr="005F4D9F" w:rsidRDefault="00376D7D" w:rsidP="006E162D">
      <w:pPr>
        <w:spacing w:line="360" w:lineRule="auto"/>
        <w:jc w:val="both"/>
        <w:outlineLvl w:val="0"/>
        <w:rPr>
          <w:rFonts w:ascii="Book Antiqua" w:hAnsi="Book Antiqua"/>
        </w:rPr>
      </w:pPr>
      <w:r w:rsidRPr="005F4D9F">
        <w:rPr>
          <w:rFonts w:ascii="Book Antiqua" w:hAnsi="Book Antiqua"/>
          <w:b/>
          <w:bCs/>
        </w:rPr>
        <w:t>I</w:t>
      </w:r>
      <w:r w:rsidR="0003051F" w:rsidRPr="005F4D9F">
        <w:rPr>
          <w:rFonts w:ascii="Book Antiqua" w:hAnsi="Book Antiqua"/>
          <w:b/>
          <w:bCs/>
        </w:rPr>
        <w:t>V: P</w:t>
      </w:r>
      <w:r w:rsidR="0003051F" w:rsidRPr="004B2708">
        <w:rPr>
          <w:rFonts w:ascii="Book Antiqua" w:hAnsi="Book Antiqua"/>
          <w:b/>
          <w:bCs/>
        </w:rPr>
        <w:t>olitical culture and the resilience of executive domina</w:t>
      </w:r>
      <w:r w:rsidR="0003051F" w:rsidRPr="005F4D9F">
        <w:rPr>
          <w:rFonts w:ascii="Book Antiqua" w:hAnsi="Book Antiqua"/>
          <w:b/>
          <w:bCs/>
        </w:rPr>
        <w:t>nce</w:t>
      </w:r>
    </w:p>
    <w:p w14:paraId="1FC35717" w14:textId="3D0D0A4D" w:rsidR="00B23EE6" w:rsidRPr="005F4D9F" w:rsidRDefault="0078345A" w:rsidP="00376D7D">
      <w:pPr>
        <w:spacing w:line="360" w:lineRule="auto"/>
        <w:jc w:val="both"/>
        <w:outlineLvl w:val="1"/>
        <w:rPr>
          <w:rFonts w:ascii="Book Antiqua" w:hAnsi="Book Antiqua"/>
          <w:u w:val="single"/>
        </w:rPr>
      </w:pPr>
      <w:r w:rsidRPr="005F4D9F">
        <w:rPr>
          <w:rFonts w:ascii="Book Antiqua" w:hAnsi="Book Antiqua"/>
          <w:u w:val="single"/>
        </w:rPr>
        <w:lastRenderedPageBreak/>
        <w:t xml:space="preserve">Cultural expectation of executive dominance </w:t>
      </w:r>
    </w:p>
    <w:p w14:paraId="276A3295" w14:textId="7F643BA7" w:rsidR="00965ABC" w:rsidRPr="007425D3" w:rsidRDefault="00965ABC" w:rsidP="003128DD">
      <w:pPr>
        <w:spacing w:line="360" w:lineRule="auto"/>
        <w:jc w:val="both"/>
        <w:rPr>
          <w:rFonts w:ascii="Book Antiqua" w:hAnsi="Book Antiqua" w:cs="Calibri"/>
        </w:rPr>
      </w:pPr>
      <w:r w:rsidRPr="005F4D9F">
        <w:rPr>
          <w:rFonts w:ascii="Book Antiqua" w:hAnsi="Book Antiqua" w:cs="Calibri"/>
        </w:rPr>
        <w:t xml:space="preserve">It is our case that the Money Message procedure, the use of Attorney General’s advice, and their </w:t>
      </w:r>
      <w:r w:rsidRPr="006E162D">
        <w:rPr>
          <w:rFonts w:ascii="Book Antiqua" w:hAnsi="Book Antiqua" w:cs="Calibri"/>
          <w:i/>
          <w:iCs/>
        </w:rPr>
        <w:t>combined</w:t>
      </w:r>
      <w:r w:rsidRPr="00692FEB">
        <w:rPr>
          <w:rFonts w:ascii="Book Antiqua" w:hAnsi="Book Antiqua" w:cs="Calibri"/>
        </w:rPr>
        <w:t xml:space="preserve"> use </w:t>
      </w:r>
      <w:r w:rsidR="00800B09">
        <w:rPr>
          <w:rFonts w:ascii="Book Antiqua" w:hAnsi="Book Antiqua" w:cs="Calibri"/>
        </w:rPr>
        <w:t xml:space="preserve">to control the legislative process </w:t>
      </w:r>
      <w:r w:rsidRPr="009C65DA">
        <w:rPr>
          <w:rFonts w:ascii="Book Antiqua" w:hAnsi="Book Antiqua" w:cs="Calibri"/>
        </w:rPr>
        <w:t>illustrates a remarkable resilience</w:t>
      </w:r>
      <w:r w:rsidRPr="003739B7">
        <w:rPr>
          <w:rFonts w:ascii="Book Antiqua" w:hAnsi="Book Antiqua" w:cs="Calibri"/>
        </w:rPr>
        <w:t xml:space="preserve"> of executive dominance in Ireland</w:t>
      </w:r>
      <w:r w:rsidR="00800B09">
        <w:rPr>
          <w:rFonts w:ascii="Book Antiqua" w:hAnsi="Book Antiqua" w:cs="Calibri"/>
        </w:rPr>
        <w:t xml:space="preserve">. It </w:t>
      </w:r>
      <w:r w:rsidRPr="003739B7">
        <w:rPr>
          <w:rFonts w:ascii="Book Antiqua" w:hAnsi="Book Antiqua" w:cs="Calibri"/>
        </w:rPr>
        <w:t xml:space="preserve">might suggest </w:t>
      </w:r>
      <w:r w:rsidRPr="002516B9">
        <w:rPr>
          <w:rFonts w:ascii="Book Antiqua" w:hAnsi="Book Antiqua" w:cs="Calibri"/>
        </w:rPr>
        <w:t xml:space="preserve">that this is a more fundamental and less contingent feature of Westminster systems than </w:t>
      </w:r>
      <w:r w:rsidR="00800B09">
        <w:rPr>
          <w:rFonts w:ascii="Book Antiqua" w:hAnsi="Book Antiqua" w:cs="Calibri"/>
        </w:rPr>
        <w:t xml:space="preserve">we might initially </w:t>
      </w:r>
      <w:r w:rsidRPr="00061F78">
        <w:rPr>
          <w:rFonts w:ascii="Book Antiqua" w:hAnsi="Book Antiqua" w:cs="Calibri"/>
        </w:rPr>
        <w:t>suspect.</w:t>
      </w:r>
      <w:r w:rsidR="00672A14">
        <w:rPr>
          <w:rStyle w:val="FootnoteReference"/>
          <w:rFonts w:ascii="Book Antiqua" w:hAnsi="Book Antiqua" w:cs="Calibri"/>
        </w:rPr>
        <w:footnoteReference w:id="97"/>
      </w:r>
      <w:r w:rsidR="00652E0E" w:rsidRPr="00061F78">
        <w:rPr>
          <w:rFonts w:ascii="Book Antiqua" w:hAnsi="Book Antiqua" w:cs="Calibri"/>
        </w:rPr>
        <w:t xml:space="preserve"> If so, what account</w:t>
      </w:r>
      <w:r w:rsidR="008D453E">
        <w:rPr>
          <w:rFonts w:ascii="Book Antiqua" w:hAnsi="Book Antiqua" w:cs="Calibri"/>
        </w:rPr>
        <w:t>s</w:t>
      </w:r>
      <w:r w:rsidR="00652E0E" w:rsidRPr="00061F78">
        <w:rPr>
          <w:rFonts w:ascii="Book Antiqua" w:hAnsi="Book Antiqua" w:cs="Calibri"/>
        </w:rPr>
        <w:t xml:space="preserve"> for this? Why and how has this become a feature of Ireland’s system? It is not, we think, simply a </w:t>
      </w:r>
      <w:r w:rsidR="00652E0E" w:rsidRPr="00B07F84">
        <w:rPr>
          <w:rFonts w:ascii="Book Antiqua" w:hAnsi="Book Antiqua" w:cs="Calibri"/>
        </w:rPr>
        <w:t>function</w:t>
      </w:r>
      <w:r w:rsidR="00652E0E" w:rsidRPr="006474AD">
        <w:rPr>
          <w:rFonts w:ascii="Book Antiqua" w:hAnsi="Book Antiqua" w:cs="Calibri"/>
        </w:rPr>
        <w:t xml:space="preserve"> of these rules and practices because </w:t>
      </w:r>
      <w:r w:rsidR="00652E0E" w:rsidRPr="00D85B91">
        <w:rPr>
          <w:rFonts w:ascii="Book Antiqua" w:hAnsi="Book Antiqua" w:cs="Calibri"/>
        </w:rPr>
        <w:t xml:space="preserve">there is nothing in Ireland’s </w:t>
      </w:r>
      <w:r w:rsidR="00652E0E" w:rsidRPr="00CD38C2">
        <w:rPr>
          <w:rFonts w:ascii="Book Antiqua" w:hAnsi="Book Antiqua" w:cs="Calibri"/>
        </w:rPr>
        <w:t>constitutional</w:t>
      </w:r>
      <w:r w:rsidR="00652E0E" w:rsidRPr="00E32144">
        <w:rPr>
          <w:rFonts w:ascii="Book Antiqua" w:hAnsi="Book Antiqua" w:cs="Calibri"/>
        </w:rPr>
        <w:t xml:space="preserve"> order </w:t>
      </w:r>
      <w:r w:rsidR="00652E0E" w:rsidRPr="006046F1">
        <w:rPr>
          <w:rFonts w:ascii="Book Antiqua" w:hAnsi="Book Antiqua" w:cs="Calibri"/>
        </w:rPr>
        <w:t>that requires these rules and pract</w:t>
      </w:r>
      <w:r w:rsidR="00652E0E" w:rsidRPr="001D7781">
        <w:rPr>
          <w:rFonts w:ascii="Book Antiqua" w:hAnsi="Book Antiqua" w:cs="Calibri"/>
        </w:rPr>
        <w:t>ice</w:t>
      </w:r>
      <w:r w:rsidR="00652E0E" w:rsidRPr="006454A1">
        <w:rPr>
          <w:rFonts w:ascii="Book Antiqua" w:hAnsi="Book Antiqua" w:cs="Calibri"/>
        </w:rPr>
        <w:t xml:space="preserve">s to be </w:t>
      </w:r>
      <w:r w:rsidR="00800B09">
        <w:rPr>
          <w:rFonts w:ascii="Book Antiqua" w:hAnsi="Book Antiqua" w:cs="Calibri"/>
        </w:rPr>
        <w:t>used</w:t>
      </w:r>
      <w:r w:rsidR="00652E0E" w:rsidRPr="006454A1">
        <w:rPr>
          <w:rFonts w:ascii="Book Antiqua" w:hAnsi="Book Antiqua" w:cs="Calibri"/>
        </w:rPr>
        <w:t xml:space="preserve"> in this way</w:t>
      </w:r>
      <w:r w:rsidR="00652E0E" w:rsidRPr="007E5A2E">
        <w:rPr>
          <w:rFonts w:ascii="Book Antiqua" w:hAnsi="Book Antiqua" w:cs="Calibri"/>
        </w:rPr>
        <w:t>.</w:t>
      </w:r>
      <w:r w:rsidR="00652E0E" w:rsidRPr="00B233AE">
        <w:rPr>
          <w:rFonts w:ascii="Book Antiqua" w:hAnsi="Book Antiqua" w:cs="Calibri"/>
        </w:rPr>
        <w:t xml:space="preserve"> On the contrary, as we have noted, there are at least plausible arguments that the practices as currently constituted are constitutionally </w:t>
      </w:r>
      <w:r w:rsidR="00652E0E" w:rsidRPr="009C4962">
        <w:rPr>
          <w:rFonts w:ascii="Book Antiqua" w:hAnsi="Book Antiqua" w:cs="Calibri"/>
        </w:rPr>
        <w:t>questionable</w:t>
      </w:r>
      <w:r w:rsidR="00A845BC">
        <w:rPr>
          <w:rFonts w:ascii="Book Antiqua" w:hAnsi="Book Antiqua" w:cs="Calibri"/>
        </w:rPr>
        <w:t xml:space="preserve"> based on</w:t>
      </w:r>
      <w:r w:rsidR="0048486B">
        <w:rPr>
          <w:rFonts w:ascii="Book Antiqua" w:hAnsi="Book Antiqua" w:cs="Calibri"/>
        </w:rPr>
        <w:t xml:space="preserve"> a reasonable interpretation of</w:t>
      </w:r>
      <w:r w:rsidR="00A845BC">
        <w:rPr>
          <w:rFonts w:ascii="Book Antiqua" w:hAnsi="Book Antiqua" w:cs="Calibri"/>
        </w:rPr>
        <w:t xml:space="preserve"> text and structure</w:t>
      </w:r>
      <w:r w:rsidR="00652E0E" w:rsidRPr="00D2111F">
        <w:rPr>
          <w:rFonts w:ascii="Book Antiqua" w:hAnsi="Book Antiqua" w:cs="Calibri"/>
        </w:rPr>
        <w:t xml:space="preserve">. </w:t>
      </w:r>
    </w:p>
    <w:p w14:paraId="63577A8B" w14:textId="2E0502E2" w:rsidR="00652E0E" w:rsidRPr="00D8760A" w:rsidRDefault="00652E0E" w:rsidP="003128DD">
      <w:pPr>
        <w:spacing w:line="360" w:lineRule="auto"/>
        <w:jc w:val="both"/>
        <w:rPr>
          <w:rFonts w:ascii="Book Antiqua" w:hAnsi="Book Antiqua" w:cs="Calibri"/>
        </w:rPr>
      </w:pPr>
    </w:p>
    <w:p w14:paraId="114C7085" w14:textId="5FFD730A" w:rsidR="00652E0E" w:rsidRPr="009C65DA" w:rsidRDefault="00652E0E" w:rsidP="003128DD">
      <w:pPr>
        <w:spacing w:line="360" w:lineRule="auto"/>
        <w:jc w:val="both"/>
        <w:rPr>
          <w:rFonts w:ascii="Book Antiqua" w:hAnsi="Book Antiqua" w:cs="Calibri"/>
        </w:rPr>
      </w:pPr>
      <w:r w:rsidRPr="00D8760A">
        <w:rPr>
          <w:rFonts w:ascii="Book Antiqua" w:hAnsi="Book Antiqua" w:cs="Calibri"/>
        </w:rPr>
        <w:t>If that is so, what motivates the</w:t>
      </w:r>
      <w:r w:rsidR="00E86834" w:rsidRPr="00D8760A">
        <w:rPr>
          <w:rFonts w:ascii="Book Antiqua" w:hAnsi="Book Antiqua" w:cs="Calibri"/>
        </w:rPr>
        <w:t>se</w:t>
      </w:r>
      <w:r w:rsidRPr="009F57B1">
        <w:rPr>
          <w:rFonts w:ascii="Book Antiqua" w:hAnsi="Book Antiqua" w:cs="Calibri"/>
        </w:rPr>
        <w:t xml:space="preserve"> interpretations </w:t>
      </w:r>
      <w:r w:rsidR="00E86834" w:rsidRPr="00E86A7F">
        <w:rPr>
          <w:rFonts w:ascii="Book Antiqua" w:hAnsi="Book Antiqua" w:cs="Calibri"/>
        </w:rPr>
        <w:t xml:space="preserve">and practices </w:t>
      </w:r>
      <w:r w:rsidRPr="00E86A7F">
        <w:rPr>
          <w:rFonts w:ascii="Book Antiqua" w:hAnsi="Book Antiqua" w:cs="Calibri"/>
        </w:rPr>
        <w:t xml:space="preserve">that uphold and reinforce </w:t>
      </w:r>
      <w:r w:rsidR="00E86834" w:rsidRPr="00974186">
        <w:rPr>
          <w:rFonts w:ascii="Book Antiqua" w:hAnsi="Book Antiqua" w:cs="Calibri"/>
        </w:rPr>
        <w:t xml:space="preserve">executive dominance? One might be tempted to </w:t>
      </w:r>
      <w:r w:rsidR="00925E1B">
        <w:rPr>
          <w:rFonts w:ascii="Book Antiqua" w:hAnsi="Book Antiqua" w:cs="Calibri"/>
        </w:rPr>
        <w:t>think it</w:t>
      </w:r>
      <w:r w:rsidR="00E86834" w:rsidRPr="00974186">
        <w:rPr>
          <w:rFonts w:ascii="Book Antiqua" w:hAnsi="Book Antiqua" w:cs="Calibri"/>
        </w:rPr>
        <w:t xml:space="preserve"> a simple power grab: the executive has an obvious incentive to </w:t>
      </w:r>
      <w:r w:rsidR="00B04A9A" w:rsidRPr="00974186">
        <w:rPr>
          <w:rFonts w:ascii="Book Antiqua" w:hAnsi="Book Antiqua" w:cs="Calibri"/>
        </w:rPr>
        <w:t>maximise its power at the ex</w:t>
      </w:r>
      <w:r w:rsidR="00B04A9A" w:rsidRPr="00BE4D93">
        <w:rPr>
          <w:rFonts w:ascii="Book Antiqua" w:hAnsi="Book Antiqua" w:cs="Calibri"/>
        </w:rPr>
        <w:t>pense of the legislature. But this does not fully account for the phenomena observed in Ireland. First, in respect of the Money Message, th</w:t>
      </w:r>
      <w:r w:rsidR="00B04A9A" w:rsidRPr="008F0A5E">
        <w:rPr>
          <w:rFonts w:ascii="Book Antiqua" w:hAnsi="Book Antiqua" w:cs="Calibri"/>
        </w:rPr>
        <w:t xml:space="preserve">e primary issue with the scope of the procedure </w:t>
      </w:r>
      <w:r w:rsidR="00925E1B">
        <w:rPr>
          <w:rFonts w:ascii="Book Antiqua" w:hAnsi="Book Antiqua" w:cs="Calibri"/>
        </w:rPr>
        <w:t xml:space="preserve">derives </w:t>
      </w:r>
      <w:r w:rsidR="0097118E" w:rsidRPr="001B4070">
        <w:rPr>
          <w:rFonts w:ascii="Book Antiqua" w:hAnsi="Book Antiqua" w:cs="Calibri"/>
        </w:rPr>
        <w:t xml:space="preserve">not from the government but from the independent </w:t>
      </w:r>
      <w:proofErr w:type="spellStart"/>
      <w:r w:rsidR="0097118E" w:rsidRPr="001B4070">
        <w:rPr>
          <w:rFonts w:ascii="Book Antiqua" w:hAnsi="Book Antiqua" w:cs="Calibri"/>
        </w:rPr>
        <w:t>Ceann</w:t>
      </w:r>
      <w:proofErr w:type="spellEnd"/>
      <w:r w:rsidR="0097118E" w:rsidRPr="001B4070">
        <w:rPr>
          <w:rFonts w:ascii="Book Antiqua" w:hAnsi="Book Antiqua" w:cs="Calibri"/>
        </w:rPr>
        <w:t xml:space="preserve"> </w:t>
      </w:r>
      <w:proofErr w:type="spellStart"/>
      <w:r w:rsidR="0097118E" w:rsidRPr="001B4070">
        <w:rPr>
          <w:rFonts w:ascii="Book Antiqua" w:hAnsi="Book Antiqua" w:cs="Calibri"/>
        </w:rPr>
        <w:t>Comhai</w:t>
      </w:r>
      <w:r w:rsidR="0097118E" w:rsidRPr="0031716F">
        <w:rPr>
          <w:rFonts w:ascii="Book Antiqua" w:hAnsi="Book Antiqua" w:cs="Calibri"/>
        </w:rPr>
        <w:t>rle</w:t>
      </w:r>
      <w:proofErr w:type="spellEnd"/>
      <w:r w:rsidR="00925E1B">
        <w:rPr>
          <w:rFonts w:ascii="Book Antiqua" w:hAnsi="Book Antiqua" w:cs="Calibri"/>
        </w:rPr>
        <w:t xml:space="preserve"> (</w:t>
      </w:r>
      <w:r w:rsidR="0097118E" w:rsidRPr="0031716F">
        <w:rPr>
          <w:rFonts w:ascii="Book Antiqua" w:hAnsi="Book Antiqua" w:cs="Calibri"/>
        </w:rPr>
        <w:t xml:space="preserve">who was </w:t>
      </w:r>
      <w:r w:rsidR="0097118E" w:rsidRPr="00DC5060">
        <w:rPr>
          <w:rFonts w:ascii="Book Antiqua" w:hAnsi="Book Antiqua" w:cs="Calibri"/>
        </w:rPr>
        <w:t>not formerly of the government’s party</w:t>
      </w:r>
      <w:r w:rsidR="00925E1B">
        <w:rPr>
          <w:rFonts w:ascii="Book Antiqua" w:hAnsi="Book Antiqua" w:cs="Calibri"/>
        </w:rPr>
        <w:t>)</w:t>
      </w:r>
      <w:r w:rsidR="0097118E" w:rsidRPr="00DC5060">
        <w:rPr>
          <w:rFonts w:ascii="Book Antiqua" w:hAnsi="Book Antiqua" w:cs="Calibri"/>
        </w:rPr>
        <w:t xml:space="preserve"> and the Bill’s Office that assisted him in the carrying out of this task. There is no su</w:t>
      </w:r>
      <w:r w:rsidR="0097118E" w:rsidRPr="00C81A59">
        <w:rPr>
          <w:rFonts w:ascii="Book Antiqua" w:hAnsi="Book Antiqua" w:cs="Calibri"/>
        </w:rPr>
        <w:t xml:space="preserve">ggestion that the view of the </w:t>
      </w:r>
      <w:proofErr w:type="spellStart"/>
      <w:r w:rsidR="0097118E" w:rsidRPr="00C81A59">
        <w:rPr>
          <w:rFonts w:ascii="Book Antiqua" w:hAnsi="Book Antiqua" w:cs="Calibri"/>
        </w:rPr>
        <w:t>Ceann</w:t>
      </w:r>
      <w:proofErr w:type="spellEnd"/>
      <w:r w:rsidR="0097118E" w:rsidRPr="00C81A59">
        <w:rPr>
          <w:rFonts w:ascii="Book Antiqua" w:hAnsi="Book Antiqua" w:cs="Calibri"/>
        </w:rPr>
        <w:t xml:space="preserve"> </w:t>
      </w:r>
      <w:proofErr w:type="spellStart"/>
      <w:r w:rsidR="0097118E" w:rsidRPr="00C81A59">
        <w:rPr>
          <w:rFonts w:ascii="Book Antiqua" w:hAnsi="Book Antiqua" w:cs="Calibri"/>
        </w:rPr>
        <w:t>Comhairle</w:t>
      </w:r>
      <w:proofErr w:type="spellEnd"/>
      <w:r w:rsidR="0097118E" w:rsidRPr="00C81A59">
        <w:rPr>
          <w:rFonts w:ascii="Book Antiqua" w:hAnsi="Book Antiqua" w:cs="Calibri"/>
        </w:rPr>
        <w:t xml:space="preserve"> and the Bill’s Office anything other than a sincere inte</w:t>
      </w:r>
      <w:r w:rsidR="0097118E" w:rsidRPr="00AF2E40">
        <w:rPr>
          <w:rFonts w:ascii="Book Antiqua" w:hAnsi="Book Antiqua" w:cs="Calibri"/>
        </w:rPr>
        <w:t>rpretation of the constitutional provisions, and these actors have no</w:t>
      </w:r>
      <w:r w:rsidR="00925E1B">
        <w:rPr>
          <w:rFonts w:ascii="Book Antiqua" w:hAnsi="Book Antiqua" w:cs="Calibri"/>
        </w:rPr>
        <w:t xml:space="preserve"> obvious</w:t>
      </w:r>
      <w:r w:rsidR="0097118E" w:rsidRPr="00AF2E40">
        <w:rPr>
          <w:rFonts w:ascii="Book Antiqua" w:hAnsi="Book Antiqua" w:cs="Calibri"/>
        </w:rPr>
        <w:t xml:space="preserve"> incentive to empower the executive. Likewise, while the government </w:t>
      </w:r>
      <w:r w:rsidR="0097118E" w:rsidRPr="006E162D">
        <w:rPr>
          <w:rFonts w:ascii="Book Antiqua" w:hAnsi="Book Antiqua" w:cs="Calibri"/>
          <w:i/>
          <w:iCs/>
        </w:rPr>
        <w:t>might</w:t>
      </w:r>
      <w:r w:rsidR="0097118E" w:rsidRPr="00692FEB">
        <w:rPr>
          <w:rFonts w:ascii="Book Antiqua" w:hAnsi="Book Antiqua" w:cs="Calibri"/>
        </w:rPr>
        <w:t xml:space="preserve"> </w:t>
      </w:r>
      <w:r w:rsidR="0097118E" w:rsidRPr="009C65DA">
        <w:rPr>
          <w:rFonts w:ascii="Book Antiqua" w:hAnsi="Book Antiqua" w:cs="Calibri"/>
        </w:rPr>
        <w:t>ha</w:t>
      </w:r>
      <w:r w:rsidR="003108CA" w:rsidRPr="009C65DA">
        <w:rPr>
          <w:rFonts w:ascii="Book Antiqua" w:hAnsi="Book Antiqua" w:cs="Calibri"/>
        </w:rPr>
        <w:t>ve</w:t>
      </w:r>
      <w:r w:rsidR="0097118E" w:rsidRPr="003739B7">
        <w:rPr>
          <w:rFonts w:ascii="Book Antiqua" w:hAnsi="Book Antiqua" w:cs="Calibri"/>
        </w:rPr>
        <w:t xml:space="preserve"> an incentive to maximise the impact and power of the AG’s advice</w:t>
      </w:r>
      <w:r w:rsidR="003108CA" w:rsidRPr="003739B7">
        <w:rPr>
          <w:rFonts w:ascii="Book Antiqua" w:hAnsi="Book Antiqua" w:cs="Calibri"/>
        </w:rPr>
        <w:t>,</w:t>
      </w:r>
      <w:r w:rsidR="00BA5A7A" w:rsidRPr="00692FEB">
        <w:rPr>
          <w:rFonts w:ascii="Book Antiqua" w:hAnsi="Book Antiqua" w:cs="Calibri"/>
        </w:rPr>
        <w:t xml:space="preserve"> other </w:t>
      </w:r>
      <w:r w:rsidR="003108CA" w:rsidRPr="009C65DA">
        <w:rPr>
          <w:rFonts w:ascii="Book Antiqua" w:hAnsi="Book Antiqua" w:cs="Calibri"/>
        </w:rPr>
        <w:t>legislators appear to take this</w:t>
      </w:r>
      <w:r w:rsidR="00925E1B">
        <w:rPr>
          <w:rFonts w:ascii="Book Antiqua" w:hAnsi="Book Antiqua" w:cs="Calibri"/>
        </w:rPr>
        <w:t xml:space="preserve"> advice very</w:t>
      </w:r>
      <w:r w:rsidR="003108CA" w:rsidRPr="009C65DA">
        <w:rPr>
          <w:rFonts w:ascii="Book Antiqua" w:hAnsi="Book Antiqua" w:cs="Calibri"/>
        </w:rPr>
        <w:t xml:space="preserve"> seriously, which they have no </w:t>
      </w:r>
      <w:r w:rsidR="00925E1B">
        <w:rPr>
          <w:rFonts w:ascii="Book Antiqua" w:hAnsi="Book Antiqua" w:cs="Calibri"/>
        </w:rPr>
        <w:t xml:space="preserve">obvious </w:t>
      </w:r>
      <w:r w:rsidR="003108CA" w:rsidRPr="009C65DA">
        <w:rPr>
          <w:rFonts w:ascii="Book Antiqua" w:hAnsi="Book Antiqua" w:cs="Calibri"/>
        </w:rPr>
        <w:t xml:space="preserve">incentive to do. </w:t>
      </w:r>
    </w:p>
    <w:p w14:paraId="556308BE" w14:textId="6819FAB1" w:rsidR="00965ABC" w:rsidRPr="003739B7" w:rsidRDefault="00965ABC" w:rsidP="003128DD">
      <w:pPr>
        <w:spacing w:line="360" w:lineRule="auto"/>
        <w:jc w:val="both"/>
        <w:rPr>
          <w:rFonts w:ascii="Book Antiqua" w:hAnsi="Book Antiqua" w:cs="Calibri"/>
        </w:rPr>
      </w:pPr>
    </w:p>
    <w:p w14:paraId="69E894EC" w14:textId="11CCE112" w:rsidR="008E7BEE" w:rsidRPr="003739B7" w:rsidRDefault="00B14250" w:rsidP="003128DD">
      <w:pPr>
        <w:spacing w:line="360" w:lineRule="auto"/>
        <w:jc w:val="both"/>
        <w:rPr>
          <w:rFonts w:ascii="Book Antiqua" w:hAnsi="Book Antiqua" w:cs="Calibri"/>
        </w:rPr>
      </w:pPr>
      <w:r w:rsidRPr="003739B7">
        <w:rPr>
          <w:rFonts w:ascii="Book Antiqua" w:hAnsi="Book Antiqua" w:cs="Calibri"/>
        </w:rPr>
        <w:t>It is our case that a belief in the fundamental dominance of the executive i</w:t>
      </w:r>
      <w:r w:rsidRPr="002516B9">
        <w:rPr>
          <w:rFonts w:ascii="Book Antiqua" w:hAnsi="Book Antiqua" w:cs="Calibri"/>
        </w:rPr>
        <w:t xml:space="preserve">s part of Irish </w:t>
      </w:r>
      <w:r w:rsidR="00734604">
        <w:rPr>
          <w:rFonts w:ascii="Book Antiqua" w:hAnsi="Book Antiqua" w:cs="Calibri"/>
        </w:rPr>
        <w:t>constitutional</w:t>
      </w:r>
      <w:r w:rsidRPr="002516B9">
        <w:rPr>
          <w:rFonts w:ascii="Book Antiqua" w:hAnsi="Book Antiqua" w:cs="Calibri"/>
        </w:rPr>
        <w:t xml:space="preserve"> culture. </w:t>
      </w:r>
      <w:r w:rsidR="003739B7" w:rsidRPr="00F250A4">
        <w:rPr>
          <w:rFonts w:ascii="Book Antiqua" w:hAnsi="Book Antiqua" w:cs="Calibri"/>
        </w:rPr>
        <w:t xml:space="preserve">By constitutional culture, we refer broadly to the norms, </w:t>
      </w:r>
      <w:r w:rsidR="003739B7" w:rsidRPr="00F250A4">
        <w:rPr>
          <w:rFonts w:ascii="Book Antiqua" w:hAnsi="Book Antiqua" w:cs="Calibri"/>
        </w:rPr>
        <w:lastRenderedPageBreak/>
        <w:t>habits of thought, social beliefs, and values held by both officials and citizens relevant to interpreting the substance of the Constitution and transforming its words into concrete consequences.</w:t>
      </w:r>
      <w:r w:rsidR="003739B7" w:rsidRPr="00692FEB">
        <w:rPr>
          <w:rStyle w:val="FootnoteReference"/>
          <w:rFonts w:ascii="Book Antiqua" w:hAnsi="Book Antiqua" w:cs="Calibri"/>
        </w:rPr>
        <w:footnoteReference w:id="98"/>
      </w:r>
      <w:r w:rsidR="003739B7">
        <w:rPr>
          <w:rFonts w:ascii="Book Antiqua" w:hAnsi="Book Antiqua" w:cs="Calibri"/>
        </w:rPr>
        <w:t xml:space="preserve"> </w:t>
      </w:r>
      <w:r w:rsidR="002516B9">
        <w:rPr>
          <w:rFonts w:ascii="Book Antiqua" w:hAnsi="Book Antiqua" w:cs="Calibri"/>
        </w:rPr>
        <w:t>It is an intermediate layer between concrete legal rules and their realisation and application, shaping and filtering their reading through a set of fundamental and foundational views that undergird the legal order</w:t>
      </w:r>
      <w:r w:rsidR="00842390">
        <w:rPr>
          <w:rFonts w:ascii="Book Antiqua" w:hAnsi="Book Antiqua" w:cs="Calibri"/>
        </w:rPr>
        <w:t>.</w:t>
      </w:r>
      <w:r w:rsidR="002516B9">
        <w:rPr>
          <w:rStyle w:val="FootnoteReference"/>
          <w:rFonts w:ascii="Book Antiqua" w:hAnsi="Book Antiqua" w:cs="Calibri"/>
        </w:rPr>
        <w:footnoteReference w:id="99"/>
      </w:r>
      <w:r w:rsidR="002516B9">
        <w:rPr>
          <w:rFonts w:ascii="Book Antiqua" w:hAnsi="Book Antiqua" w:cs="Calibri"/>
        </w:rPr>
        <w:t xml:space="preserve"> T</w:t>
      </w:r>
      <w:r w:rsidRPr="003739B7">
        <w:rPr>
          <w:rFonts w:ascii="Book Antiqua" w:hAnsi="Book Antiqua" w:cs="Calibri"/>
        </w:rPr>
        <w:t xml:space="preserve">he suppositions, assumptions, and beliefs that undergird the practice of Irish </w:t>
      </w:r>
      <w:r w:rsidR="00842390">
        <w:rPr>
          <w:rFonts w:ascii="Book Antiqua" w:hAnsi="Book Antiqua" w:cs="Calibri"/>
        </w:rPr>
        <w:t xml:space="preserve">constitutional </w:t>
      </w:r>
      <w:r w:rsidRPr="003739B7">
        <w:rPr>
          <w:rFonts w:ascii="Book Antiqua" w:hAnsi="Book Antiqua" w:cs="Calibri"/>
        </w:rPr>
        <w:t>politics</w:t>
      </w:r>
      <w:r w:rsidRPr="002516B9">
        <w:rPr>
          <w:rFonts w:ascii="Book Antiqua" w:hAnsi="Book Antiqua" w:cs="Calibri"/>
        </w:rPr>
        <w:t xml:space="preserve"> </w:t>
      </w:r>
      <w:r w:rsidR="00842390">
        <w:rPr>
          <w:rFonts w:ascii="Book Antiqua" w:hAnsi="Book Antiqua" w:cs="Calibri"/>
        </w:rPr>
        <w:t xml:space="preserve">includes the </w:t>
      </w:r>
      <w:r w:rsidRPr="002516B9">
        <w:rPr>
          <w:rFonts w:ascii="Book Antiqua" w:hAnsi="Book Antiqua" w:cs="Calibri"/>
        </w:rPr>
        <w:t>idea that the executive should have almost complete control of the legislative process, and any instance where this is not the case—in minority government, say—</w:t>
      </w:r>
      <w:r w:rsidR="002516B9">
        <w:rPr>
          <w:rFonts w:ascii="Book Antiqua" w:hAnsi="Book Antiqua" w:cs="Calibri"/>
        </w:rPr>
        <w:t xml:space="preserve">is something that </w:t>
      </w:r>
      <w:r w:rsidRPr="002516B9">
        <w:rPr>
          <w:rFonts w:ascii="Book Antiqua" w:hAnsi="Book Antiqua" w:cs="Calibri"/>
        </w:rPr>
        <w:t>must be corrected for.</w:t>
      </w:r>
      <w:r w:rsidR="003739B7">
        <w:rPr>
          <w:rFonts w:ascii="Book Antiqua" w:hAnsi="Book Antiqua" w:cs="Calibri"/>
        </w:rPr>
        <w:t xml:space="preserve"> </w:t>
      </w:r>
    </w:p>
    <w:p w14:paraId="29451D2D" w14:textId="77777777" w:rsidR="00B14250" w:rsidRPr="003739B7" w:rsidRDefault="00B14250" w:rsidP="003128DD">
      <w:pPr>
        <w:spacing w:line="360" w:lineRule="auto"/>
        <w:jc w:val="both"/>
        <w:rPr>
          <w:rFonts w:ascii="Book Antiqua" w:hAnsi="Book Antiqua" w:cs="Calibri"/>
        </w:rPr>
      </w:pPr>
    </w:p>
    <w:p w14:paraId="02DD326F" w14:textId="5D4E6724" w:rsidR="001B79C2" w:rsidRDefault="007E6EDD" w:rsidP="006E162D">
      <w:pPr>
        <w:spacing w:line="360" w:lineRule="auto"/>
        <w:jc w:val="both"/>
        <w:rPr>
          <w:rFonts w:ascii="Book Antiqua" w:hAnsi="Book Antiqua" w:cs="Calibri"/>
        </w:rPr>
      </w:pPr>
      <w:r w:rsidRPr="006E162D">
        <w:rPr>
          <w:rFonts w:ascii="Book Antiqua" w:hAnsi="Book Antiqua" w:cs="Calibri"/>
        </w:rPr>
        <w:t xml:space="preserve">Part of this culture comes from a great change in </w:t>
      </w:r>
      <w:r w:rsidR="009C65DA" w:rsidRPr="009C65DA">
        <w:rPr>
          <w:rFonts w:ascii="Book Antiqua" w:hAnsi="Book Antiqua" w:cs="Calibri"/>
        </w:rPr>
        <w:t>expectation</w:t>
      </w:r>
      <w:r w:rsidR="009C65DA">
        <w:rPr>
          <w:rFonts w:ascii="Book Antiqua" w:hAnsi="Book Antiqua" w:cs="Calibri"/>
        </w:rPr>
        <w:t>s</w:t>
      </w:r>
      <w:r w:rsidRPr="006E162D">
        <w:rPr>
          <w:rFonts w:ascii="Book Antiqua" w:hAnsi="Book Antiqua" w:cs="Calibri"/>
        </w:rPr>
        <w:t xml:space="preserve"> of what the </w:t>
      </w:r>
      <w:r w:rsidR="009C65DA" w:rsidRPr="009C65DA">
        <w:rPr>
          <w:rFonts w:ascii="Book Antiqua" w:hAnsi="Book Antiqua" w:cs="Calibri"/>
        </w:rPr>
        <w:t>executive</w:t>
      </w:r>
      <w:r w:rsidRPr="006E162D">
        <w:rPr>
          <w:rFonts w:ascii="Book Antiqua" w:hAnsi="Book Antiqua" w:cs="Calibri"/>
        </w:rPr>
        <w:t xml:space="preserve"> does and what it is for. </w:t>
      </w:r>
      <w:r w:rsidR="0068215E">
        <w:rPr>
          <w:rFonts w:ascii="Book Antiqua" w:hAnsi="Book Antiqua" w:cs="Calibri"/>
        </w:rPr>
        <w:t>T</w:t>
      </w:r>
      <w:r w:rsidR="00B23EE6" w:rsidRPr="0068215E">
        <w:rPr>
          <w:rFonts w:ascii="Book Antiqua" w:hAnsi="Book Antiqua" w:cs="Calibri"/>
        </w:rPr>
        <w:t xml:space="preserve">he contemporary executive would be considered as </w:t>
      </w:r>
      <w:r w:rsidRPr="006E162D">
        <w:rPr>
          <w:rFonts w:ascii="Book Antiqua" w:hAnsi="Book Antiqua" w:cs="Calibri"/>
        </w:rPr>
        <w:t>hopelessly</w:t>
      </w:r>
      <w:r w:rsidRPr="00692FEB">
        <w:rPr>
          <w:rFonts w:ascii="Book Antiqua" w:hAnsi="Book Antiqua" w:cs="Calibri"/>
        </w:rPr>
        <w:t xml:space="preserve"> </w:t>
      </w:r>
      <w:r w:rsidRPr="006E162D">
        <w:rPr>
          <w:rFonts w:ascii="Book Antiqua" w:hAnsi="Book Antiqua" w:cs="Calibri"/>
        </w:rPr>
        <w:t xml:space="preserve">falling short </w:t>
      </w:r>
      <w:r w:rsidR="00B23EE6" w:rsidRPr="006E162D">
        <w:rPr>
          <w:rFonts w:ascii="Book Antiqua" w:hAnsi="Book Antiqua" w:cs="Calibri"/>
        </w:rPr>
        <w:t xml:space="preserve">if it contented itself </w:t>
      </w:r>
      <w:r w:rsidR="0068215E">
        <w:rPr>
          <w:rFonts w:ascii="Book Antiqua" w:hAnsi="Book Antiqua" w:cs="Calibri"/>
        </w:rPr>
        <w:t xml:space="preserve">to be a </w:t>
      </w:r>
      <w:r w:rsidR="0068215E" w:rsidRPr="009C65DA">
        <w:rPr>
          <w:rFonts w:ascii="Book Antiqua" w:hAnsi="Book Antiqua" w:cs="Calibri"/>
        </w:rPr>
        <w:t>mere instrument for implementing legislative dictates</w:t>
      </w:r>
      <w:r w:rsidR="00B23EE6" w:rsidRPr="006E162D">
        <w:rPr>
          <w:rFonts w:ascii="Book Antiqua" w:hAnsi="Book Antiqua" w:cs="Calibri"/>
        </w:rPr>
        <w:t>.</w:t>
      </w:r>
      <w:r w:rsidR="00B23EE6" w:rsidRPr="00692FEB">
        <w:rPr>
          <w:rStyle w:val="FootnoteReference"/>
          <w:rFonts w:ascii="Book Antiqua" w:hAnsi="Book Antiqua" w:cs="Calibri"/>
        </w:rPr>
        <w:footnoteReference w:id="100"/>
      </w:r>
      <w:r w:rsidR="00B23EE6" w:rsidRPr="00692FEB">
        <w:rPr>
          <w:rFonts w:ascii="Book Antiqua" w:hAnsi="Book Antiqua" w:cs="Calibri"/>
          <w:color w:val="000000" w:themeColor="text1"/>
        </w:rPr>
        <w:t xml:space="preserve"> The executive</w:t>
      </w:r>
      <w:r w:rsidR="00B23EE6" w:rsidRPr="009C65DA">
        <w:rPr>
          <w:rFonts w:ascii="Book Antiqua" w:hAnsi="Book Antiqua" w:cs="Calibri"/>
          <w:color w:val="000000" w:themeColor="text1"/>
        </w:rPr>
        <w:t xml:space="preserve"> is</w:t>
      </w:r>
      <w:r w:rsidR="00D80DE1" w:rsidRPr="009C65DA">
        <w:rPr>
          <w:rFonts w:ascii="Book Antiqua" w:hAnsi="Book Antiqua" w:cs="Calibri"/>
          <w:color w:val="000000" w:themeColor="text1"/>
        </w:rPr>
        <w:t xml:space="preserve"> now</w:t>
      </w:r>
      <w:r w:rsidR="0068215E">
        <w:rPr>
          <w:rFonts w:ascii="Book Antiqua" w:hAnsi="Book Antiqua" w:cs="Calibri"/>
          <w:color w:val="000000" w:themeColor="text1"/>
        </w:rPr>
        <w:t xml:space="preserve"> the</w:t>
      </w:r>
      <w:r w:rsidR="00B23EE6" w:rsidRPr="009C65DA">
        <w:rPr>
          <w:rFonts w:ascii="Book Antiqua" w:hAnsi="Book Antiqua" w:cs="Calibri"/>
          <w:color w:val="000000" w:themeColor="text1"/>
        </w:rPr>
        <w:t xml:space="preserve"> locus of political hope and expectation. Citizens primarily look to their Taoiseach, Prime Minister, </w:t>
      </w:r>
      <w:r w:rsidRPr="006E162D">
        <w:rPr>
          <w:rFonts w:ascii="Book Antiqua" w:hAnsi="Book Antiqua" w:cs="Calibri"/>
          <w:color w:val="000000" w:themeColor="text1"/>
        </w:rPr>
        <w:t xml:space="preserve">or </w:t>
      </w:r>
      <w:r w:rsidR="00B23EE6" w:rsidRPr="00692FEB">
        <w:rPr>
          <w:rFonts w:ascii="Book Antiqua" w:hAnsi="Book Antiqua" w:cs="Calibri"/>
          <w:color w:val="000000" w:themeColor="text1"/>
        </w:rPr>
        <w:t>President</w:t>
      </w:r>
      <w:r w:rsidRPr="006E162D">
        <w:rPr>
          <w:rFonts w:ascii="Book Antiqua" w:hAnsi="Book Antiqua" w:cs="Calibri"/>
          <w:color w:val="000000" w:themeColor="text1"/>
        </w:rPr>
        <w:t>—not their legislature—</w:t>
      </w:r>
      <w:r w:rsidR="00B23EE6" w:rsidRPr="00692FEB">
        <w:rPr>
          <w:rFonts w:ascii="Book Antiqua" w:hAnsi="Book Antiqua" w:cs="Calibri"/>
          <w:color w:val="000000" w:themeColor="text1"/>
        </w:rPr>
        <w:t xml:space="preserve"> for solutions to tackle complex social and economic problems</w:t>
      </w:r>
      <w:r w:rsidRPr="006E162D">
        <w:rPr>
          <w:rFonts w:ascii="Book Antiqua" w:hAnsi="Book Antiqua" w:cs="Calibri"/>
          <w:color w:val="000000" w:themeColor="text1"/>
        </w:rPr>
        <w:t>.</w:t>
      </w:r>
      <w:r w:rsidR="00B23EE6" w:rsidRPr="009C65DA">
        <w:rPr>
          <w:rFonts w:ascii="Book Antiqua" w:hAnsi="Book Antiqua" w:cs="Calibri"/>
          <w:color w:val="000000" w:themeColor="text1"/>
        </w:rPr>
        <w:t xml:space="preserve"> To meet expectations placed on it</w:t>
      </w:r>
      <w:r w:rsidR="009C65DA">
        <w:rPr>
          <w:rFonts w:ascii="Book Antiqua" w:hAnsi="Book Antiqua" w:cs="Calibri"/>
          <w:color w:val="000000" w:themeColor="text1"/>
        </w:rPr>
        <w:t>,</w:t>
      </w:r>
      <w:r w:rsidR="00B23EE6" w:rsidRPr="009C65DA">
        <w:rPr>
          <w:rFonts w:ascii="Book Antiqua" w:hAnsi="Book Antiqua" w:cs="Calibri"/>
          <w:color w:val="000000" w:themeColor="text1"/>
        </w:rPr>
        <w:t xml:space="preserve"> the executive became, to invert Madison’s famous warning about the legislative branch, the vortex which draws in public power in staggering amounts.</w:t>
      </w:r>
      <w:r w:rsidR="00B23EE6" w:rsidRPr="00692FEB">
        <w:rPr>
          <w:rStyle w:val="FootnoteReference"/>
          <w:rFonts w:ascii="Book Antiqua" w:hAnsi="Book Antiqua" w:cs="Calibri"/>
          <w:color w:val="000000" w:themeColor="text1"/>
        </w:rPr>
        <w:footnoteReference w:id="101"/>
      </w:r>
      <w:r w:rsidR="000C5937">
        <w:rPr>
          <w:rFonts w:ascii="Book Antiqua" w:hAnsi="Book Antiqua" w:cs="Calibri"/>
        </w:rPr>
        <w:t xml:space="preserve"> </w:t>
      </w:r>
      <w:r w:rsidR="009C65DA">
        <w:rPr>
          <w:rFonts w:ascii="Book Antiqua" w:hAnsi="Book Antiqua" w:cs="Calibri"/>
        </w:rPr>
        <w:t xml:space="preserve">This creeping agglomeration of power has created or reinforced a </w:t>
      </w:r>
      <w:r w:rsidR="00F60801" w:rsidRPr="009C65DA">
        <w:rPr>
          <w:rFonts w:ascii="Book Antiqua" w:hAnsi="Book Antiqua" w:cs="Calibri"/>
        </w:rPr>
        <w:t xml:space="preserve">constitutional culture that </w:t>
      </w:r>
      <w:r w:rsidR="003739B7">
        <w:rPr>
          <w:rFonts w:ascii="Book Antiqua" w:hAnsi="Book Antiqua" w:cs="Calibri"/>
        </w:rPr>
        <w:t xml:space="preserve">expects that executive to be </w:t>
      </w:r>
      <w:r w:rsidR="00F60801" w:rsidRPr="009C65DA">
        <w:rPr>
          <w:rFonts w:ascii="Book Antiqua" w:hAnsi="Book Antiqua" w:cs="Calibri"/>
        </w:rPr>
        <w:t>chief policymaker and legislator.</w:t>
      </w:r>
      <w:r w:rsidR="00C07A5D" w:rsidRPr="00692FEB">
        <w:rPr>
          <w:rFonts w:ascii="Book Antiqua" w:hAnsi="Book Antiqua" w:cs="Calibri"/>
        </w:rPr>
        <w:t xml:space="preserve"> This constitutional cultur</w:t>
      </w:r>
      <w:r w:rsidR="00C07A5D" w:rsidRPr="009C65DA">
        <w:rPr>
          <w:rFonts w:ascii="Book Antiqua" w:hAnsi="Book Antiqua" w:cs="Calibri"/>
        </w:rPr>
        <w:t>e is not new, and</w:t>
      </w:r>
      <w:r w:rsidR="002516B9">
        <w:rPr>
          <w:rFonts w:ascii="Book Antiqua" w:hAnsi="Book Antiqua" w:cs="Calibri"/>
        </w:rPr>
        <w:t xml:space="preserve"> the idea of a strong executive as the cornerstone of governance was not alien</w:t>
      </w:r>
      <w:r w:rsidR="001B79C2">
        <w:rPr>
          <w:rFonts w:ascii="Book Antiqua" w:hAnsi="Book Antiqua" w:cs="Calibri"/>
        </w:rPr>
        <w:t xml:space="preserve"> to the </w:t>
      </w:r>
      <w:r w:rsidR="0021127D" w:rsidRPr="009C65DA">
        <w:rPr>
          <w:rFonts w:ascii="Book Antiqua" w:hAnsi="Book Antiqua" w:cs="Calibri"/>
        </w:rPr>
        <w:t>drafters of the Constitution</w:t>
      </w:r>
      <w:r w:rsidR="001B79C2">
        <w:rPr>
          <w:rFonts w:ascii="Book Antiqua" w:hAnsi="Book Antiqua" w:cs="Calibri"/>
        </w:rPr>
        <w:t>.</w:t>
      </w:r>
      <w:r w:rsidR="0021127D" w:rsidRPr="001B79C2">
        <w:rPr>
          <w:rStyle w:val="FootnoteReference"/>
          <w:rFonts w:ascii="Book Antiqua" w:hAnsi="Book Antiqua" w:cs="Calibri"/>
        </w:rPr>
        <w:footnoteReference w:id="102"/>
      </w:r>
      <w:r w:rsidR="001B79C2">
        <w:rPr>
          <w:rFonts w:ascii="Book Antiqua" w:hAnsi="Book Antiqua" w:cs="Calibri"/>
        </w:rPr>
        <w:t xml:space="preserve"> But</w:t>
      </w:r>
      <w:r w:rsidR="000C5937">
        <w:rPr>
          <w:rFonts w:ascii="Book Antiqua" w:hAnsi="Book Antiqua" w:cs="Calibri"/>
        </w:rPr>
        <w:t xml:space="preserve"> as the executive moves </w:t>
      </w:r>
      <w:r w:rsidR="001B79C2">
        <w:rPr>
          <w:rFonts w:ascii="Book Antiqua" w:hAnsi="Book Antiqua" w:cs="Calibri"/>
        </w:rPr>
        <w:t>eve</w:t>
      </w:r>
      <w:r w:rsidR="000C5937">
        <w:rPr>
          <w:rFonts w:ascii="Book Antiqua" w:hAnsi="Book Antiqua" w:cs="Calibri"/>
        </w:rPr>
        <w:t>r</w:t>
      </w:r>
      <w:r w:rsidR="001B79C2">
        <w:rPr>
          <w:rFonts w:ascii="Book Antiqua" w:hAnsi="Book Antiqua" w:cs="Calibri"/>
        </w:rPr>
        <w:t xml:space="preserve"> further from the </w:t>
      </w:r>
      <w:r w:rsidR="0021127D" w:rsidRPr="009C65DA">
        <w:rPr>
          <w:rFonts w:ascii="Book Antiqua" w:hAnsi="Book Antiqua" w:cs="Calibri"/>
        </w:rPr>
        <w:t>ideal</w:t>
      </w:r>
      <w:r w:rsidR="000C5937">
        <w:rPr>
          <w:rFonts w:ascii="Book Antiqua" w:hAnsi="Book Antiqua" w:cs="Calibri"/>
        </w:rPr>
        <w:t xml:space="preserve"> </w:t>
      </w:r>
      <w:r w:rsidR="0021127D" w:rsidRPr="009C65DA">
        <w:rPr>
          <w:rFonts w:ascii="Book Antiqua" w:hAnsi="Book Antiqua" w:cs="Calibri"/>
        </w:rPr>
        <w:t>type of</w:t>
      </w:r>
      <w:r w:rsidR="0021127D" w:rsidRPr="003739B7">
        <w:rPr>
          <w:rFonts w:ascii="Book Antiqua" w:hAnsi="Book Antiqua" w:cs="Calibri"/>
        </w:rPr>
        <w:t xml:space="preserve"> a subservient executive</w:t>
      </w:r>
      <w:r w:rsidR="00EA2511">
        <w:rPr>
          <w:rFonts w:ascii="Book Antiqua" w:hAnsi="Book Antiqua" w:cs="Calibri"/>
        </w:rPr>
        <w:t>,</w:t>
      </w:r>
      <w:r w:rsidR="0021127D" w:rsidRPr="003739B7">
        <w:rPr>
          <w:rFonts w:ascii="Book Antiqua" w:hAnsi="Book Antiqua" w:cs="Calibri"/>
        </w:rPr>
        <w:t xml:space="preserve"> </w:t>
      </w:r>
      <w:r w:rsidR="0021127D" w:rsidRPr="003739B7">
        <w:rPr>
          <w:rFonts w:ascii="Book Antiqua" w:hAnsi="Book Antiqua" w:cs="Calibri"/>
        </w:rPr>
        <w:lastRenderedPageBreak/>
        <w:t>faithful to its parliamentary principal</w:t>
      </w:r>
      <w:r w:rsidR="000C5937">
        <w:rPr>
          <w:rFonts w:ascii="Book Antiqua" w:hAnsi="Book Antiqua" w:cs="Calibri"/>
        </w:rPr>
        <w:t>,</w:t>
      </w:r>
      <w:r w:rsidR="009772B3" w:rsidRPr="00692FEB">
        <w:rPr>
          <w:rFonts w:ascii="Book Antiqua" w:hAnsi="Book Antiqua" w:cs="Calibri"/>
        </w:rPr>
        <w:t xml:space="preserve"> </w:t>
      </w:r>
      <w:r w:rsidR="000C5937">
        <w:rPr>
          <w:rFonts w:ascii="Book Antiqua" w:hAnsi="Book Antiqua" w:cs="Calibri"/>
        </w:rPr>
        <w:t>this</w:t>
      </w:r>
      <w:r w:rsidR="001B79C2">
        <w:rPr>
          <w:rFonts w:ascii="Book Antiqua" w:hAnsi="Book Antiqua" w:cs="Calibri"/>
        </w:rPr>
        <w:t xml:space="preserve"> has, we believe, bedded down a culture where by political actors, elected and unelected, believe that the normal and proper operation of constitutional politics sees the executive dominant even in the legislative sphere. </w:t>
      </w:r>
      <w:r w:rsidR="00417899">
        <w:rPr>
          <w:rFonts w:ascii="Book Antiqua" w:hAnsi="Book Antiqua" w:cs="Calibri"/>
        </w:rPr>
        <w:t>T</w:t>
      </w:r>
      <w:r w:rsidR="00417899" w:rsidRPr="001B79C2">
        <w:rPr>
          <w:rFonts w:ascii="Book Antiqua" w:hAnsi="Book Antiqua" w:cs="Calibri"/>
        </w:rPr>
        <w:t xml:space="preserve">he executive not only </w:t>
      </w:r>
      <w:r w:rsidR="00417899" w:rsidRPr="001B79C2">
        <w:rPr>
          <w:rFonts w:ascii="Book Antiqua" w:hAnsi="Book Antiqua" w:cs="Calibri"/>
          <w:i/>
          <w:iCs/>
        </w:rPr>
        <w:t>is</w:t>
      </w:r>
      <w:r w:rsidR="00417899" w:rsidRPr="001B79C2">
        <w:rPr>
          <w:rFonts w:ascii="Book Antiqua" w:hAnsi="Book Antiqua" w:cs="Calibri"/>
        </w:rPr>
        <w:t xml:space="preserve">, but </w:t>
      </w:r>
      <w:r w:rsidR="00417899" w:rsidRPr="001B79C2">
        <w:rPr>
          <w:rFonts w:ascii="Book Antiqua" w:hAnsi="Book Antiqua" w:cs="Calibri"/>
          <w:i/>
          <w:iCs/>
        </w:rPr>
        <w:t xml:space="preserve">ought </w:t>
      </w:r>
      <w:r w:rsidR="00417899" w:rsidRPr="007745A9">
        <w:rPr>
          <w:rFonts w:ascii="Book Antiqua" w:hAnsi="Book Antiqua" w:cs="Calibri"/>
        </w:rPr>
        <w:t>to be th</w:t>
      </w:r>
      <w:r w:rsidR="00417899" w:rsidRPr="00F250A4">
        <w:rPr>
          <w:rFonts w:ascii="Book Antiqua" w:hAnsi="Book Antiqua" w:cs="Calibri"/>
        </w:rPr>
        <w:t>e dominant actor</w:t>
      </w:r>
      <w:r w:rsidR="00417899">
        <w:rPr>
          <w:rFonts w:ascii="Book Antiqua" w:hAnsi="Book Antiqua" w:cs="Calibri"/>
        </w:rPr>
        <w:t>, and p</w:t>
      </w:r>
      <w:r w:rsidR="00417899" w:rsidRPr="00F250A4">
        <w:rPr>
          <w:rFonts w:ascii="Book Antiqua" w:hAnsi="Book Antiqua" w:cs="Calibri"/>
        </w:rPr>
        <w:t>arliament, on this view, appropriately acts in a reactive capacity to give scrutiny, imprimatur, and the force of law to executive proposals.</w:t>
      </w:r>
      <w:r w:rsidR="00417899" w:rsidRPr="00692FEB">
        <w:rPr>
          <w:rStyle w:val="FootnoteReference"/>
          <w:rFonts w:ascii="Book Antiqua" w:hAnsi="Book Antiqua" w:cs="Calibri"/>
        </w:rPr>
        <w:footnoteReference w:id="103"/>
      </w:r>
      <w:r w:rsidR="00417899">
        <w:rPr>
          <w:rFonts w:ascii="Book Antiqua" w:hAnsi="Book Antiqua" w:cs="Calibri"/>
        </w:rPr>
        <w:t xml:space="preserve"> Executive dominance </w:t>
      </w:r>
      <w:r w:rsidR="001B79C2">
        <w:rPr>
          <w:rFonts w:ascii="Book Antiqua" w:hAnsi="Book Antiqua" w:cs="Calibri"/>
        </w:rPr>
        <w:t>is no longer just</w:t>
      </w:r>
      <w:r w:rsidR="00EA2511">
        <w:rPr>
          <w:rFonts w:ascii="Book Antiqua" w:hAnsi="Book Antiqua" w:cs="Calibri"/>
        </w:rPr>
        <w:t xml:space="preserve"> a consequence of</w:t>
      </w:r>
      <w:r w:rsidR="001B79C2">
        <w:rPr>
          <w:rFonts w:ascii="Book Antiqua" w:hAnsi="Book Antiqua" w:cs="Calibri"/>
        </w:rPr>
        <w:t xml:space="preserve"> </w:t>
      </w:r>
      <w:proofErr w:type="spellStart"/>
      <w:r w:rsidR="001B79C2" w:rsidRPr="006E162D">
        <w:rPr>
          <w:rFonts w:ascii="Book Antiqua" w:hAnsi="Book Antiqua" w:cs="Calibri"/>
          <w:i/>
          <w:iCs/>
        </w:rPr>
        <w:t>realpolitick</w:t>
      </w:r>
      <w:proofErr w:type="spellEnd"/>
      <w:r w:rsidR="001B79C2">
        <w:rPr>
          <w:rFonts w:ascii="Book Antiqua" w:hAnsi="Book Antiqua" w:cs="Calibri"/>
        </w:rPr>
        <w:t xml:space="preserve">; it is now constitutional </w:t>
      </w:r>
      <w:r w:rsidR="007745A9">
        <w:rPr>
          <w:rFonts w:ascii="Book Antiqua" w:hAnsi="Book Antiqua" w:cs="Calibri"/>
        </w:rPr>
        <w:t>expectation</w:t>
      </w:r>
      <w:r w:rsidR="001B79C2">
        <w:rPr>
          <w:rFonts w:ascii="Book Antiqua" w:hAnsi="Book Antiqua" w:cs="Calibri"/>
        </w:rPr>
        <w:t>.</w:t>
      </w:r>
      <w:r w:rsidR="007745A9">
        <w:rPr>
          <w:rFonts w:ascii="Book Antiqua" w:hAnsi="Book Antiqua" w:cs="Calibri"/>
        </w:rPr>
        <w:t xml:space="preserve"> </w:t>
      </w:r>
    </w:p>
    <w:p w14:paraId="1B1BBDC7" w14:textId="067814D4" w:rsidR="007745A9" w:rsidRDefault="007745A9" w:rsidP="001B79C2">
      <w:pPr>
        <w:autoSpaceDE w:val="0"/>
        <w:autoSpaceDN w:val="0"/>
        <w:adjustRightInd w:val="0"/>
        <w:spacing w:line="360" w:lineRule="auto"/>
        <w:jc w:val="both"/>
        <w:rPr>
          <w:rFonts w:ascii="Book Antiqua" w:hAnsi="Book Antiqua" w:cs="Calibri"/>
        </w:rPr>
      </w:pPr>
      <w:r>
        <w:rPr>
          <w:rFonts w:ascii="Book Antiqua" w:hAnsi="Book Antiqua" w:cs="Calibri"/>
        </w:rPr>
        <w:br/>
        <w:t xml:space="preserve">Viewed through this </w:t>
      </w:r>
      <w:r w:rsidR="00417899">
        <w:rPr>
          <w:rFonts w:ascii="Book Antiqua" w:hAnsi="Book Antiqua" w:cs="Calibri"/>
        </w:rPr>
        <w:t xml:space="preserve">cultural </w:t>
      </w:r>
      <w:r>
        <w:rPr>
          <w:rFonts w:ascii="Book Antiqua" w:hAnsi="Book Antiqua" w:cs="Calibri"/>
        </w:rPr>
        <w:t xml:space="preserve">lens, constitutional rules and practices will be interpreted to </w:t>
      </w:r>
      <w:r w:rsidR="00F572B7">
        <w:rPr>
          <w:rFonts w:ascii="Book Antiqua" w:hAnsi="Book Antiqua" w:cs="Calibri"/>
        </w:rPr>
        <w:t xml:space="preserve">defend executive control of the legislature rather than to </w:t>
      </w:r>
      <w:r w:rsidR="00417899">
        <w:rPr>
          <w:rFonts w:ascii="Book Antiqua" w:hAnsi="Book Antiqua" w:cs="Calibri"/>
        </w:rPr>
        <w:t>diminish it. The Money Message is not merely a constitutional rule about major financial control, but a sweeping power for the executive to control even the most minor expenditure, and if this prevents almost all legislative activity without executive approval, that is simply what the Constitution requires</w:t>
      </w:r>
      <w:r w:rsidR="001F3383">
        <w:rPr>
          <w:rFonts w:ascii="Book Antiqua" w:hAnsi="Book Antiqua" w:cs="Calibri"/>
        </w:rPr>
        <w:t>. The advice of the Attorney General on constitutionality is appropriately a governmental veto point and not merely contestable legal advice</w:t>
      </w:r>
      <w:r w:rsidR="00C16D9F">
        <w:rPr>
          <w:rFonts w:ascii="Book Antiqua" w:hAnsi="Book Antiqua" w:cs="Calibri"/>
        </w:rPr>
        <w:t xml:space="preserve"> informing policy positions</w:t>
      </w:r>
      <w:r w:rsidR="001F3383">
        <w:rPr>
          <w:rFonts w:ascii="Book Antiqua" w:hAnsi="Book Antiqua" w:cs="Calibri"/>
        </w:rPr>
        <w:t xml:space="preserve">. When your expectations are that government </w:t>
      </w:r>
      <w:r w:rsidR="001F3383" w:rsidRPr="00D723D1">
        <w:rPr>
          <w:rFonts w:ascii="Book Antiqua" w:hAnsi="Book Antiqua" w:cs="Calibri"/>
          <w:i/>
          <w:iCs/>
        </w:rPr>
        <w:t>should</w:t>
      </w:r>
      <w:r w:rsidR="001F3383">
        <w:rPr>
          <w:rFonts w:ascii="Book Antiqua" w:hAnsi="Book Antiqua" w:cs="Calibri"/>
        </w:rPr>
        <w:t xml:space="preserve"> dominate</w:t>
      </w:r>
      <w:r w:rsidR="00C16D9F">
        <w:rPr>
          <w:rFonts w:ascii="Book Antiqua" w:hAnsi="Book Antiqua" w:cs="Calibri"/>
        </w:rPr>
        <w:t xml:space="preserve"> as a matter of constitutional principle</w:t>
      </w:r>
      <w:r w:rsidR="001F3383">
        <w:rPr>
          <w:rFonts w:ascii="Book Antiqua" w:hAnsi="Book Antiqua" w:cs="Calibri"/>
        </w:rPr>
        <w:t>, your application and interpretation of rules will tend to facilitate, advance or acquiesce in this reality rather than resist it.</w:t>
      </w:r>
    </w:p>
    <w:p w14:paraId="1F86B965" w14:textId="0E832492" w:rsidR="00164B83" w:rsidRDefault="00164B83" w:rsidP="001B79C2">
      <w:pPr>
        <w:autoSpaceDE w:val="0"/>
        <w:autoSpaceDN w:val="0"/>
        <w:adjustRightInd w:val="0"/>
        <w:spacing w:line="360" w:lineRule="auto"/>
        <w:jc w:val="both"/>
        <w:rPr>
          <w:rFonts w:ascii="Book Antiqua" w:hAnsi="Book Antiqua" w:cs="Calibri"/>
        </w:rPr>
      </w:pPr>
    </w:p>
    <w:p w14:paraId="15F5402E" w14:textId="43B91AF4" w:rsidR="00164B83" w:rsidRDefault="00ED0807" w:rsidP="001B79C2">
      <w:pPr>
        <w:autoSpaceDE w:val="0"/>
        <w:autoSpaceDN w:val="0"/>
        <w:adjustRightInd w:val="0"/>
        <w:spacing w:line="360" w:lineRule="auto"/>
        <w:jc w:val="both"/>
        <w:rPr>
          <w:rFonts w:ascii="Book Antiqua" w:hAnsi="Book Antiqua" w:cs="Arial"/>
          <w:color w:val="201F1E"/>
          <w:bdr w:val="none" w:sz="0" w:space="0" w:color="auto" w:frame="1"/>
        </w:rPr>
      </w:pPr>
      <w:r>
        <w:rPr>
          <w:rFonts w:ascii="Book Antiqua" w:hAnsi="Book Antiqua" w:cs="Arial"/>
          <w:color w:val="201F1E"/>
          <w:bdr w:val="none" w:sz="0" w:space="0" w:color="auto" w:frame="1"/>
        </w:rPr>
        <w:t>A</w:t>
      </w:r>
      <w:r w:rsidR="00164B83">
        <w:rPr>
          <w:rFonts w:ascii="Book Antiqua" w:hAnsi="Book Antiqua" w:cs="Arial"/>
          <w:color w:val="201F1E"/>
          <w:bdr w:val="none" w:sz="0" w:space="0" w:color="auto" w:frame="1"/>
        </w:rPr>
        <w:t xml:space="preserve"> culture of executive dominance </w:t>
      </w:r>
      <w:r>
        <w:rPr>
          <w:rFonts w:ascii="Book Antiqua" w:hAnsi="Book Antiqua" w:cs="Arial"/>
          <w:color w:val="201F1E"/>
          <w:bdr w:val="none" w:sz="0" w:space="0" w:color="auto" w:frame="1"/>
        </w:rPr>
        <w:t xml:space="preserve">might not </w:t>
      </w:r>
      <w:r w:rsidR="00164B83">
        <w:rPr>
          <w:rFonts w:ascii="Book Antiqua" w:hAnsi="Book Antiqua" w:cs="Arial"/>
          <w:color w:val="201F1E"/>
          <w:bdr w:val="none" w:sz="0" w:space="0" w:color="auto" w:frame="1"/>
        </w:rPr>
        <w:t xml:space="preserve">manifest itself in the same manner across </w:t>
      </w:r>
      <w:r>
        <w:rPr>
          <w:rFonts w:ascii="Book Antiqua" w:hAnsi="Book Antiqua" w:cs="Arial"/>
          <w:color w:val="201F1E"/>
          <w:bdr w:val="none" w:sz="0" w:space="0" w:color="auto" w:frame="1"/>
        </w:rPr>
        <w:t xml:space="preserve">different </w:t>
      </w:r>
      <w:r w:rsidR="00164B83">
        <w:rPr>
          <w:rFonts w:ascii="Book Antiqua" w:hAnsi="Book Antiqua" w:cs="Arial"/>
          <w:color w:val="201F1E"/>
          <w:bdr w:val="none" w:sz="0" w:space="0" w:color="auto" w:frame="1"/>
        </w:rPr>
        <w:t>Westminster</w:t>
      </w:r>
      <w:r w:rsidR="00A17215">
        <w:rPr>
          <w:rFonts w:ascii="Book Antiqua" w:hAnsi="Book Antiqua" w:cs="Arial"/>
          <w:color w:val="201F1E"/>
          <w:bdr w:val="none" w:sz="0" w:space="0" w:color="auto" w:frame="1"/>
        </w:rPr>
        <w:t xml:space="preserve"> </w:t>
      </w:r>
      <w:r w:rsidR="00164B83">
        <w:rPr>
          <w:rFonts w:ascii="Book Antiqua" w:hAnsi="Book Antiqua" w:cs="Arial"/>
          <w:color w:val="201F1E"/>
          <w:bdr w:val="none" w:sz="0" w:space="0" w:color="auto" w:frame="1"/>
        </w:rPr>
        <w:t xml:space="preserve">systems. For example, even compared to other Westminster systems with influential </w:t>
      </w:r>
      <w:r w:rsidR="00CE2AEE">
        <w:rPr>
          <w:rFonts w:ascii="Book Antiqua" w:hAnsi="Book Antiqua" w:cs="Arial"/>
          <w:color w:val="201F1E"/>
          <w:bdr w:val="none" w:sz="0" w:space="0" w:color="auto" w:frame="1"/>
        </w:rPr>
        <w:t>legal advisors</w:t>
      </w:r>
      <w:r w:rsidR="00164B83">
        <w:rPr>
          <w:rFonts w:ascii="Book Antiqua" w:hAnsi="Book Antiqua" w:cs="Arial"/>
          <w:color w:val="201F1E"/>
          <w:bdr w:val="none" w:sz="0" w:space="0" w:color="auto" w:frame="1"/>
        </w:rPr>
        <w:t xml:space="preserve">, Ireland’s AG stands out as seemingly having a </w:t>
      </w:r>
      <w:r w:rsidR="00164B83" w:rsidRPr="00601B04">
        <w:rPr>
          <w:rFonts w:ascii="Book Antiqua" w:hAnsi="Book Antiqua" w:cs="Arial"/>
          <w:color w:val="201F1E"/>
          <w:bdr w:val="none" w:sz="0" w:space="0" w:color="auto" w:frame="1"/>
        </w:rPr>
        <w:t>uniquely influential role</w:t>
      </w:r>
      <w:r w:rsidR="00164B83">
        <w:rPr>
          <w:rFonts w:ascii="Book Antiqua" w:hAnsi="Book Antiqua" w:cs="Arial"/>
          <w:color w:val="201F1E"/>
          <w:bdr w:val="none" w:sz="0" w:space="0" w:color="auto" w:frame="1"/>
        </w:rPr>
        <w:t xml:space="preserve"> which has been utilised to potent effect by the executive.</w:t>
      </w:r>
      <w:r w:rsidR="00CE2AEE">
        <w:rPr>
          <w:rStyle w:val="FootnoteReference"/>
          <w:rFonts w:ascii="Book Antiqua" w:hAnsi="Book Antiqua" w:cs="Arial"/>
          <w:color w:val="201F1E"/>
          <w:bdr w:val="none" w:sz="0" w:space="0" w:color="auto" w:frame="1"/>
        </w:rPr>
        <w:footnoteReference w:id="104"/>
      </w:r>
      <w:r w:rsidR="00164B83">
        <w:rPr>
          <w:rFonts w:ascii="Book Antiqua" w:hAnsi="Book Antiqua" w:cs="Arial"/>
          <w:color w:val="201F1E"/>
          <w:bdr w:val="none" w:sz="0" w:space="0" w:color="auto" w:frame="1"/>
        </w:rPr>
        <w:t xml:space="preserve"> </w:t>
      </w:r>
      <w:r w:rsidR="0003145E">
        <w:rPr>
          <w:rFonts w:ascii="Book Antiqua" w:hAnsi="Book Antiqua" w:cs="Arial"/>
          <w:color w:val="201F1E"/>
          <w:bdr w:val="none" w:sz="0" w:space="0" w:color="auto" w:frame="1"/>
        </w:rPr>
        <w:t>T</w:t>
      </w:r>
      <w:r w:rsidR="00164B83">
        <w:rPr>
          <w:rFonts w:ascii="Book Antiqua" w:hAnsi="Book Antiqua" w:cs="Arial"/>
          <w:color w:val="201F1E"/>
          <w:bdr w:val="none" w:sz="0" w:space="0" w:color="auto" w:frame="1"/>
        </w:rPr>
        <w:t>he end point –</w:t>
      </w:r>
      <w:r w:rsidR="00164B83" w:rsidRPr="00601B04">
        <w:rPr>
          <w:rFonts w:ascii="Book Antiqua" w:hAnsi="Book Antiqua" w:cs="Arial"/>
          <w:color w:val="201F1E"/>
          <w:bdr w:val="none" w:sz="0" w:space="0" w:color="auto" w:frame="1"/>
        </w:rPr>
        <w:t xml:space="preserve"> </w:t>
      </w:r>
      <w:r w:rsidR="00164B83">
        <w:rPr>
          <w:rFonts w:ascii="Book Antiqua" w:hAnsi="Book Antiqua" w:cs="Arial"/>
          <w:color w:val="201F1E"/>
          <w:bdr w:val="none" w:sz="0" w:space="0" w:color="auto" w:frame="1"/>
        </w:rPr>
        <w:t xml:space="preserve">a constitutional culture which sees the </w:t>
      </w:r>
      <w:r w:rsidR="00164B83" w:rsidRPr="00601B04">
        <w:rPr>
          <w:rFonts w:ascii="Book Antiqua" w:hAnsi="Book Antiqua" w:cs="Arial"/>
          <w:color w:val="201F1E"/>
          <w:bdr w:val="none" w:sz="0" w:space="0" w:color="auto" w:frame="1"/>
        </w:rPr>
        <w:t xml:space="preserve">executive </w:t>
      </w:r>
      <w:r w:rsidR="00164B83">
        <w:rPr>
          <w:rFonts w:ascii="Book Antiqua" w:hAnsi="Book Antiqua" w:cs="Arial"/>
          <w:color w:val="201F1E"/>
          <w:bdr w:val="none" w:sz="0" w:space="0" w:color="auto" w:frame="1"/>
        </w:rPr>
        <w:t>as the proper predominant policy actor</w:t>
      </w:r>
      <w:r w:rsidR="00164B83" w:rsidRPr="00601B04">
        <w:rPr>
          <w:rFonts w:ascii="Book Antiqua" w:hAnsi="Book Antiqua" w:cs="Arial"/>
          <w:color w:val="201F1E"/>
          <w:bdr w:val="none" w:sz="0" w:space="0" w:color="auto" w:frame="1"/>
        </w:rPr>
        <w:t xml:space="preserve"> </w:t>
      </w:r>
      <w:r w:rsidR="00CE2AEE">
        <w:rPr>
          <w:rFonts w:ascii="Book Antiqua" w:hAnsi="Book Antiqua" w:cs="Arial"/>
          <w:color w:val="201F1E"/>
          <w:bdr w:val="none" w:sz="0" w:space="0" w:color="auto" w:frame="1"/>
        </w:rPr>
        <w:t>–</w:t>
      </w:r>
      <w:r w:rsidR="00164B83" w:rsidRPr="00601B04">
        <w:rPr>
          <w:rFonts w:ascii="Book Antiqua" w:hAnsi="Book Antiqua" w:cs="Arial"/>
          <w:color w:val="201F1E"/>
          <w:bdr w:val="none" w:sz="0" w:space="0" w:color="auto" w:frame="1"/>
        </w:rPr>
        <w:t xml:space="preserve"> may be similar, but </w:t>
      </w:r>
      <w:r w:rsidR="00A17215">
        <w:rPr>
          <w:rFonts w:ascii="Book Antiqua" w:hAnsi="Book Antiqua" w:cs="Arial"/>
          <w:color w:val="201F1E"/>
          <w:bdr w:val="none" w:sz="0" w:space="0" w:color="auto" w:frame="1"/>
        </w:rPr>
        <w:t>this culture</w:t>
      </w:r>
      <w:r w:rsidR="00164B83" w:rsidRPr="00601B04">
        <w:rPr>
          <w:rFonts w:ascii="Book Antiqua" w:hAnsi="Book Antiqua" w:cs="Arial"/>
          <w:color w:val="201F1E"/>
          <w:bdr w:val="none" w:sz="0" w:space="0" w:color="auto" w:frame="1"/>
        </w:rPr>
        <w:t xml:space="preserve"> </w:t>
      </w:r>
      <w:r w:rsidR="0003145E">
        <w:rPr>
          <w:rFonts w:ascii="Book Antiqua" w:hAnsi="Book Antiqua" w:cs="Arial"/>
          <w:color w:val="201F1E"/>
          <w:bdr w:val="none" w:sz="0" w:space="0" w:color="auto" w:frame="1"/>
        </w:rPr>
        <w:t>may</w:t>
      </w:r>
      <w:r w:rsidR="00164B83" w:rsidRPr="00601B04">
        <w:rPr>
          <w:rFonts w:ascii="Book Antiqua" w:hAnsi="Book Antiqua" w:cs="Arial"/>
          <w:color w:val="201F1E"/>
          <w:bdr w:val="none" w:sz="0" w:space="0" w:color="auto" w:frame="1"/>
        </w:rPr>
        <w:t xml:space="preserve"> </w:t>
      </w:r>
      <w:r w:rsidR="00164B83">
        <w:rPr>
          <w:rFonts w:ascii="Book Antiqua" w:hAnsi="Book Antiqua" w:cs="Arial"/>
          <w:color w:val="201F1E"/>
          <w:bdr w:val="none" w:sz="0" w:space="0" w:color="auto" w:frame="1"/>
        </w:rPr>
        <w:t>manifest through different institutional forms or political practices</w:t>
      </w:r>
      <w:r>
        <w:rPr>
          <w:rFonts w:ascii="Book Antiqua" w:hAnsi="Book Antiqua" w:cs="Arial"/>
          <w:color w:val="201F1E"/>
          <w:bdr w:val="none" w:sz="0" w:space="0" w:color="auto" w:frame="1"/>
        </w:rPr>
        <w:t xml:space="preserve"> that suit the particular circumstances and happenstantial development of that system</w:t>
      </w:r>
      <w:r w:rsidR="00164B83">
        <w:rPr>
          <w:rFonts w:ascii="Book Antiqua" w:hAnsi="Book Antiqua" w:cs="Arial"/>
          <w:color w:val="201F1E"/>
          <w:bdr w:val="none" w:sz="0" w:space="0" w:color="auto" w:frame="1"/>
        </w:rPr>
        <w:t>.</w:t>
      </w:r>
    </w:p>
    <w:p w14:paraId="7D26D68C" w14:textId="65D112B5" w:rsidR="00A81685" w:rsidRDefault="00A81685" w:rsidP="001B79C2">
      <w:pPr>
        <w:autoSpaceDE w:val="0"/>
        <w:autoSpaceDN w:val="0"/>
        <w:adjustRightInd w:val="0"/>
        <w:spacing w:line="360" w:lineRule="auto"/>
        <w:jc w:val="both"/>
        <w:rPr>
          <w:rFonts w:ascii="Book Antiqua" w:hAnsi="Book Antiqua" w:cs="Arial"/>
          <w:color w:val="201F1E"/>
          <w:bdr w:val="none" w:sz="0" w:space="0" w:color="auto" w:frame="1"/>
        </w:rPr>
      </w:pPr>
    </w:p>
    <w:p w14:paraId="20C7A157" w14:textId="477C1B96" w:rsidR="00A81685" w:rsidRPr="00DA1254" w:rsidRDefault="00A81685" w:rsidP="001B79C2">
      <w:pPr>
        <w:autoSpaceDE w:val="0"/>
        <w:autoSpaceDN w:val="0"/>
        <w:adjustRightInd w:val="0"/>
        <w:spacing w:line="360" w:lineRule="auto"/>
        <w:jc w:val="both"/>
        <w:rPr>
          <w:rFonts w:ascii="Book Antiqua" w:hAnsi="Book Antiqua" w:cs="Arial"/>
          <w:color w:val="201F1E"/>
          <w:bdr w:val="none" w:sz="0" w:space="0" w:color="auto" w:frame="1"/>
        </w:rPr>
      </w:pPr>
      <w:r>
        <w:rPr>
          <w:rFonts w:ascii="Book Antiqua" w:hAnsi="Book Antiqua" w:cs="Arial"/>
          <w:color w:val="201F1E"/>
          <w:bdr w:val="none" w:sz="0" w:space="0" w:color="auto" w:frame="1"/>
        </w:rPr>
        <w:lastRenderedPageBreak/>
        <w:t xml:space="preserve">It should also be noted that the extent of this culture’s embeddedness could be less significant than it currently seems. It might be that Ireland’s recent experience is as much a product of political happenstance—where the major opposition party Fianna </w:t>
      </w:r>
      <w:proofErr w:type="spellStart"/>
      <w:r>
        <w:rPr>
          <w:rFonts w:ascii="Book Antiqua" w:hAnsi="Book Antiqua" w:cs="Arial"/>
          <w:color w:val="201F1E"/>
          <w:bdr w:val="none" w:sz="0" w:space="0" w:color="auto" w:frame="1"/>
        </w:rPr>
        <w:t>Fáil</w:t>
      </w:r>
      <w:proofErr w:type="spellEnd"/>
      <w:r>
        <w:rPr>
          <w:rFonts w:ascii="Book Antiqua" w:hAnsi="Book Antiqua" w:cs="Arial"/>
          <w:color w:val="201F1E"/>
          <w:bdr w:val="none" w:sz="0" w:space="0" w:color="auto" w:frame="1"/>
        </w:rPr>
        <w:t xml:space="preserve"> was not greatly or ideologically opposed to the government’s agenda—as deeply embedded culture. Following the General Election in February 2020, it seems likely that Ireland’s political future may be very different, with very significant ideological differences between government and opposition.</w:t>
      </w:r>
      <w:r>
        <w:rPr>
          <w:rStyle w:val="FootnoteReference"/>
          <w:rFonts w:ascii="Book Antiqua" w:hAnsi="Book Antiqua" w:cs="Arial"/>
          <w:color w:val="201F1E"/>
          <w:bdr w:val="none" w:sz="0" w:space="0" w:color="auto" w:frame="1"/>
        </w:rPr>
        <w:footnoteReference w:id="105"/>
      </w:r>
      <w:r>
        <w:rPr>
          <w:rFonts w:ascii="Book Antiqua" w:hAnsi="Book Antiqua" w:cs="Arial"/>
          <w:color w:val="201F1E"/>
          <w:bdr w:val="none" w:sz="0" w:space="0" w:color="auto" w:frame="1"/>
        </w:rPr>
        <w:t xml:space="preserve"> This might change or weaken this </w:t>
      </w:r>
      <w:proofErr w:type="gramStart"/>
      <w:r>
        <w:rPr>
          <w:rFonts w:ascii="Book Antiqua" w:hAnsi="Book Antiqua" w:cs="Arial"/>
          <w:color w:val="201F1E"/>
          <w:bdr w:val="none" w:sz="0" w:space="0" w:color="auto" w:frame="1"/>
        </w:rPr>
        <w:t>culture, or</w:t>
      </w:r>
      <w:proofErr w:type="gramEnd"/>
      <w:r>
        <w:rPr>
          <w:rFonts w:ascii="Book Antiqua" w:hAnsi="Book Antiqua" w:cs="Arial"/>
          <w:color w:val="201F1E"/>
          <w:bdr w:val="none" w:sz="0" w:space="0" w:color="auto" w:frame="1"/>
        </w:rPr>
        <w:t xml:space="preserve"> show it to not be as strong as we have postulated here. As to this, only time will tell.</w:t>
      </w:r>
    </w:p>
    <w:p w14:paraId="623671CD" w14:textId="77777777" w:rsidR="00CB019C" w:rsidRPr="009C65DA" w:rsidRDefault="00CB019C" w:rsidP="0021127D">
      <w:pPr>
        <w:spacing w:line="360" w:lineRule="auto"/>
        <w:jc w:val="both"/>
        <w:rPr>
          <w:rFonts w:ascii="Book Antiqua" w:hAnsi="Book Antiqua" w:cs="Calibri"/>
        </w:rPr>
      </w:pPr>
    </w:p>
    <w:p w14:paraId="4364F947" w14:textId="37022CD4" w:rsidR="007F53F7" w:rsidRPr="003739B7" w:rsidRDefault="002D4561" w:rsidP="006E162D">
      <w:pPr>
        <w:spacing w:line="360" w:lineRule="auto"/>
        <w:jc w:val="both"/>
        <w:outlineLvl w:val="1"/>
        <w:rPr>
          <w:rFonts w:ascii="Book Antiqua" w:hAnsi="Book Antiqua" w:cs="Calibri"/>
          <w:i/>
          <w:iCs/>
        </w:rPr>
      </w:pPr>
      <w:r>
        <w:rPr>
          <w:rFonts w:ascii="Book Antiqua" w:hAnsi="Book Antiqua" w:cs="Calibri"/>
          <w:i/>
          <w:iCs/>
        </w:rPr>
        <w:t xml:space="preserve">Changing culture </w:t>
      </w:r>
      <w:r w:rsidR="00355202">
        <w:rPr>
          <w:rFonts w:ascii="Book Antiqua" w:hAnsi="Book Antiqua" w:cs="Calibri"/>
          <w:i/>
          <w:iCs/>
        </w:rPr>
        <w:t xml:space="preserve">and </w:t>
      </w:r>
      <w:r>
        <w:rPr>
          <w:rFonts w:ascii="Book Antiqua" w:hAnsi="Book Antiqua" w:cs="Calibri"/>
          <w:i/>
          <w:iCs/>
        </w:rPr>
        <w:t xml:space="preserve">formal </w:t>
      </w:r>
      <w:r w:rsidR="00CB019C" w:rsidRPr="003739B7">
        <w:rPr>
          <w:rFonts w:ascii="Book Antiqua" w:hAnsi="Book Antiqua" w:cs="Calibri"/>
          <w:i/>
          <w:iCs/>
        </w:rPr>
        <w:t>institutional</w:t>
      </w:r>
      <w:r w:rsidR="007F53F7" w:rsidRPr="003739B7">
        <w:rPr>
          <w:rFonts w:ascii="Book Antiqua" w:hAnsi="Book Antiqua" w:cs="Calibri"/>
          <w:i/>
          <w:iCs/>
        </w:rPr>
        <w:t xml:space="preserve"> reform</w:t>
      </w:r>
    </w:p>
    <w:p w14:paraId="7F0EFF3C" w14:textId="269EE235" w:rsidR="00607EB5" w:rsidRPr="009C65DA" w:rsidRDefault="007F53F7" w:rsidP="007A6412">
      <w:pPr>
        <w:autoSpaceDE w:val="0"/>
        <w:autoSpaceDN w:val="0"/>
        <w:adjustRightInd w:val="0"/>
        <w:spacing w:line="360" w:lineRule="auto"/>
        <w:jc w:val="both"/>
        <w:rPr>
          <w:rFonts w:ascii="Book Antiqua" w:hAnsi="Book Antiqua" w:cs="Calibri"/>
        </w:rPr>
      </w:pPr>
      <w:r w:rsidRPr="003739B7">
        <w:rPr>
          <w:rFonts w:ascii="Book Antiqua" w:hAnsi="Book Antiqua" w:cs="Calibri"/>
        </w:rPr>
        <w:t xml:space="preserve">Ireland’s experience is </w:t>
      </w:r>
      <w:r w:rsidR="00445A01">
        <w:rPr>
          <w:rFonts w:ascii="Book Antiqua" w:hAnsi="Book Antiqua" w:cs="Calibri"/>
        </w:rPr>
        <w:t xml:space="preserve">also </w:t>
      </w:r>
      <w:r w:rsidRPr="003739B7">
        <w:rPr>
          <w:rFonts w:ascii="Book Antiqua" w:hAnsi="Book Antiqua" w:cs="Calibri"/>
        </w:rPr>
        <w:t>a case-study in the difficulty</w:t>
      </w:r>
      <w:r w:rsidRPr="002516B9">
        <w:rPr>
          <w:rFonts w:ascii="Book Antiqua" w:hAnsi="Book Antiqua" w:cs="Calibri"/>
        </w:rPr>
        <w:t xml:space="preserve"> of approaching constitutional reform </w:t>
      </w:r>
      <w:r w:rsidR="003128DD" w:rsidRPr="00417899">
        <w:rPr>
          <w:rFonts w:ascii="Book Antiqua" w:hAnsi="Book Antiqua" w:cs="Calibri"/>
        </w:rPr>
        <w:t>through</w:t>
      </w:r>
      <w:r w:rsidRPr="00445A01">
        <w:rPr>
          <w:rFonts w:ascii="Book Antiqua" w:hAnsi="Book Antiqua" w:cs="Calibri"/>
        </w:rPr>
        <w:t xml:space="preserve"> a rationalist lens. That is,</w:t>
      </w:r>
      <w:r w:rsidR="003128DD" w:rsidRPr="00445A01">
        <w:rPr>
          <w:rFonts w:ascii="Book Antiqua" w:hAnsi="Book Antiqua" w:cs="Calibri"/>
        </w:rPr>
        <w:t xml:space="preserve"> belief in </w:t>
      </w:r>
      <w:r w:rsidR="003E754E" w:rsidRPr="00445A01">
        <w:rPr>
          <w:rFonts w:ascii="Book Antiqua" w:hAnsi="Book Antiqua" w:cs="Calibri"/>
        </w:rPr>
        <w:t>our</w:t>
      </w:r>
      <w:r w:rsidR="003128DD" w:rsidRPr="00445A01">
        <w:rPr>
          <w:rFonts w:ascii="Book Antiqua" w:hAnsi="Book Antiqua" w:cs="Calibri"/>
        </w:rPr>
        <w:t xml:space="preserve"> ability to</w:t>
      </w:r>
      <w:r w:rsidRPr="00445A01">
        <w:rPr>
          <w:rFonts w:ascii="Book Antiqua" w:hAnsi="Book Antiqua" w:cs="Calibri"/>
        </w:rPr>
        <w:t xml:space="preserve"> deploy </w:t>
      </w:r>
      <w:r w:rsidR="00445A01">
        <w:rPr>
          <w:rFonts w:ascii="Book Antiqua" w:hAnsi="Book Antiqua" w:cs="Calibri"/>
        </w:rPr>
        <w:t>“</w:t>
      </w:r>
      <w:r w:rsidRPr="006E162D">
        <w:rPr>
          <w:rFonts w:ascii="Book Antiqua" w:hAnsi="Book Antiqua" w:cs="Calibri"/>
        </w:rPr>
        <w:t>premeditated principles to make (or re-make) the arrangements of a political community</w:t>
      </w:r>
      <w:r w:rsidR="00445A01">
        <w:rPr>
          <w:rFonts w:ascii="Book Antiqua" w:hAnsi="Book Antiqua" w:cs="Calibri"/>
        </w:rPr>
        <w:t>”</w:t>
      </w:r>
      <w:bookmarkStart w:id="13" w:name="_Ref37320520"/>
      <w:r w:rsidRPr="00692FEB">
        <w:rPr>
          <w:rStyle w:val="FootnoteReference"/>
          <w:rFonts w:ascii="Book Antiqua" w:hAnsi="Book Antiqua"/>
        </w:rPr>
        <w:footnoteReference w:id="106"/>
      </w:r>
      <w:bookmarkEnd w:id="13"/>
      <w:r w:rsidRPr="00692FEB">
        <w:rPr>
          <w:rFonts w:ascii="Book Antiqua" w:hAnsi="Book Antiqua" w:cs="Calibri"/>
        </w:rPr>
        <w:t xml:space="preserve"> through institutional </w:t>
      </w:r>
      <w:r w:rsidR="003E754E" w:rsidRPr="009C65DA">
        <w:rPr>
          <w:rFonts w:ascii="Book Antiqua" w:hAnsi="Book Antiqua" w:cs="Calibri"/>
        </w:rPr>
        <w:t>adjustments</w:t>
      </w:r>
      <w:r w:rsidRPr="009C65DA">
        <w:rPr>
          <w:rFonts w:ascii="Book Antiqua" w:hAnsi="Book Antiqua" w:cs="Calibri"/>
        </w:rPr>
        <w:t xml:space="preserve">. In this </w:t>
      </w:r>
      <w:r w:rsidR="00006AF4" w:rsidRPr="009C65DA">
        <w:rPr>
          <w:rFonts w:ascii="Book Antiqua" w:hAnsi="Book Antiqua" w:cs="Calibri"/>
        </w:rPr>
        <w:t>instance</w:t>
      </w:r>
      <w:r w:rsidRPr="003739B7">
        <w:rPr>
          <w:rFonts w:ascii="Book Antiqua" w:hAnsi="Book Antiqua" w:cs="Calibri"/>
        </w:rPr>
        <w:t>, several</w:t>
      </w:r>
      <w:r w:rsidR="007A34B4" w:rsidRPr="003739B7">
        <w:rPr>
          <w:rFonts w:ascii="Book Antiqua" w:hAnsi="Book Antiqua" w:cs="Calibri"/>
        </w:rPr>
        <w:t xml:space="preserve"> </w:t>
      </w:r>
      <w:r w:rsidR="000C5937">
        <w:rPr>
          <w:rFonts w:ascii="Book Antiqua" w:hAnsi="Book Antiqua" w:cs="Calibri"/>
        </w:rPr>
        <w:t>major</w:t>
      </w:r>
      <w:r w:rsidR="000C5937" w:rsidRPr="003739B7">
        <w:rPr>
          <w:rFonts w:ascii="Book Antiqua" w:hAnsi="Book Antiqua" w:cs="Calibri"/>
        </w:rPr>
        <w:t xml:space="preserve"> </w:t>
      </w:r>
      <w:r w:rsidRPr="003739B7">
        <w:rPr>
          <w:rFonts w:ascii="Book Antiqua" w:hAnsi="Book Antiqua" w:cs="Calibri"/>
        </w:rPr>
        <w:t>reforms were</w:t>
      </w:r>
      <w:r w:rsidR="00D8373B" w:rsidRPr="003739B7">
        <w:rPr>
          <w:rFonts w:ascii="Book Antiqua" w:hAnsi="Book Antiqua" w:cs="Calibri"/>
        </w:rPr>
        <w:t xml:space="preserve"> </w:t>
      </w:r>
      <w:r w:rsidRPr="003739B7">
        <w:rPr>
          <w:rFonts w:ascii="Book Antiqua" w:hAnsi="Book Antiqua" w:cs="Calibri"/>
        </w:rPr>
        <w:t xml:space="preserve">introduced to </w:t>
      </w:r>
      <w:r w:rsidR="00006AF4" w:rsidRPr="003739B7">
        <w:rPr>
          <w:rFonts w:ascii="Book Antiqua" w:hAnsi="Book Antiqua" w:cs="Calibri"/>
        </w:rPr>
        <w:t>alter</w:t>
      </w:r>
      <w:r w:rsidRPr="002516B9">
        <w:rPr>
          <w:rFonts w:ascii="Book Antiqua" w:hAnsi="Book Antiqua" w:cs="Calibri"/>
        </w:rPr>
        <w:t xml:space="preserve"> political arrangements to</w:t>
      </w:r>
      <w:r w:rsidR="00E15FC4" w:rsidRPr="002516B9">
        <w:rPr>
          <w:rFonts w:ascii="Book Antiqua" w:hAnsi="Book Antiqua" w:cs="Calibri"/>
        </w:rPr>
        <w:t xml:space="preserve"> </w:t>
      </w:r>
      <w:r w:rsidR="00DC61CC">
        <w:rPr>
          <w:rFonts w:ascii="Book Antiqua" w:hAnsi="Book Antiqua" w:cs="Calibri"/>
        </w:rPr>
        <w:t xml:space="preserve">empower the parliament </w:t>
      </w:r>
      <w:r w:rsidR="000C5937">
        <w:rPr>
          <w:rFonts w:ascii="Book Antiqua" w:hAnsi="Book Antiqua" w:cs="Calibri"/>
        </w:rPr>
        <w:t xml:space="preserve">to </w:t>
      </w:r>
      <w:r w:rsidRPr="00DC61CC">
        <w:rPr>
          <w:rFonts w:ascii="Book Antiqua" w:hAnsi="Book Antiqua" w:cs="Calibri"/>
        </w:rPr>
        <w:t>ha</w:t>
      </w:r>
      <w:r w:rsidR="00E1308D">
        <w:rPr>
          <w:rFonts w:ascii="Book Antiqua" w:hAnsi="Book Antiqua" w:cs="Calibri"/>
        </w:rPr>
        <w:t>v</w:t>
      </w:r>
      <w:r w:rsidR="000C5937">
        <w:rPr>
          <w:rFonts w:ascii="Book Antiqua" w:hAnsi="Book Antiqua" w:cs="Calibri"/>
        </w:rPr>
        <w:t>e</w:t>
      </w:r>
      <w:r w:rsidRPr="00DC61CC">
        <w:rPr>
          <w:rFonts w:ascii="Book Antiqua" w:hAnsi="Book Antiqua" w:cs="Calibri"/>
        </w:rPr>
        <w:t xml:space="preserve"> a robust role </w:t>
      </w:r>
      <w:r w:rsidR="00E1308D">
        <w:rPr>
          <w:rFonts w:ascii="Book Antiqua" w:hAnsi="Book Antiqua" w:cs="Calibri"/>
        </w:rPr>
        <w:t xml:space="preserve">in </w:t>
      </w:r>
      <w:r w:rsidRPr="00DC61CC">
        <w:rPr>
          <w:rFonts w:ascii="Book Antiqua" w:hAnsi="Book Antiqua" w:cs="Calibri"/>
        </w:rPr>
        <w:t>policy</w:t>
      </w:r>
      <w:r w:rsidR="00D8373B" w:rsidRPr="00E1308D">
        <w:rPr>
          <w:rFonts w:ascii="Book Antiqua" w:hAnsi="Book Antiqua" w:cs="Calibri"/>
        </w:rPr>
        <w:t xml:space="preserve"> choices</w:t>
      </w:r>
      <w:r w:rsidRPr="00E1308D">
        <w:rPr>
          <w:rFonts w:ascii="Book Antiqua" w:hAnsi="Book Antiqua" w:cs="Calibri"/>
        </w:rPr>
        <w:t xml:space="preserve"> and law-making</w:t>
      </w:r>
      <w:r w:rsidR="00E1308D">
        <w:rPr>
          <w:rFonts w:ascii="Book Antiqua" w:hAnsi="Book Antiqua" w:cs="Calibri"/>
        </w:rPr>
        <w:t>,</w:t>
      </w:r>
      <w:r w:rsidR="009B1E03" w:rsidRPr="00E1308D">
        <w:rPr>
          <w:rFonts w:ascii="Book Antiqua" w:hAnsi="Book Antiqua" w:cs="Calibri"/>
        </w:rPr>
        <w:t xml:space="preserve"> parallel to the executive’s agenda</w:t>
      </w:r>
      <w:r w:rsidRPr="00E1308D">
        <w:rPr>
          <w:rFonts w:ascii="Book Antiqua" w:hAnsi="Book Antiqua" w:cs="Calibri"/>
        </w:rPr>
        <w:t xml:space="preserve">. </w:t>
      </w:r>
      <w:r w:rsidRPr="00744FB6">
        <w:rPr>
          <w:rFonts w:ascii="Book Antiqua" w:hAnsi="Book Antiqua" w:cs="Calibri"/>
        </w:rPr>
        <w:t xml:space="preserve">But </w:t>
      </w:r>
      <w:r w:rsidR="00D51AB9">
        <w:rPr>
          <w:rFonts w:ascii="Book Antiqua" w:hAnsi="Book Antiqua" w:cs="Calibri"/>
        </w:rPr>
        <w:t xml:space="preserve">despite </w:t>
      </w:r>
      <w:r w:rsidRPr="00744FB6">
        <w:rPr>
          <w:rFonts w:ascii="Book Antiqua" w:hAnsi="Book Antiqua" w:cs="Calibri"/>
        </w:rPr>
        <w:t>these reforms</w:t>
      </w:r>
      <w:r w:rsidR="00607EB5" w:rsidRPr="00D51AB9">
        <w:rPr>
          <w:rFonts w:ascii="Book Antiqua" w:hAnsi="Book Antiqua" w:cs="Calibri"/>
        </w:rPr>
        <w:t>,</w:t>
      </w:r>
      <w:r w:rsidRPr="00D51AB9">
        <w:rPr>
          <w:rFonts w:ascii="Book Antiqua" w:hAnsi="Book Antiqua" w:cs="Calibri"/>
        </w:rPr>
        <w:t xml:space="preserve"> </w:t>
      </w:r>
      <w:r w:rsidR="00D51AB9">
        <w:rPr>
          <w:rFonts w:ascii="Book Antiqua" w:hAnsi="Book Antiqua" w:cs="Calibri"/>
        </w:rPr>
        <w:t xml:space="preserve">and </w:t>
      </w:r>
      <w:r w:rsidRPr="00D51AB9">
        <w:rPr>
          <w:rFonts w:ascii="Book Antiqua" w:hAnsi="Book Antiqua" w:cs="Calibri"/>
        </w:rPr>
        <w:t xml:space="preserve">a period of minority Government, </w:t>
      </w:r>
      <w:r w:rsidR="00ED1832" w:rsidRPr="00D51AB9">
        <w:rPr>
          <w:rFonts w:ascii="Book Antiqua" w:hAnsi="Book Antiqua" w:cs="Calibri"/>
        </w:rPr>
        <w:t>Ireland’s</w:t>
      </w:r>
      <w:r w:rsidR="009772B3" w:rsidRPr="00D51AB9">
        <w:rPr>
          <w:rFonts w:ascii="Book Antiqua" w:hAnsi="Book Antiqua" w:cs="Calibri"/>
        </w:rPr>
        <w:t xml:space="preserve"> deeply embedded executive-centred</w:t>
      </w:r>
      <w:r w:rsidR="00F60801" w:rsidRPr="00D51AB9">
        <w:rPr>
          <w:rFonts w:ascii="Book Antiqua" w:hAnsi="Book Antiqua" w:cs="Calibri"/>
        </w:rPr>
        <w:t xml:space="preserve"> constitutional culture</w:t>
      </w:r>
      <w:r w:rsidRPr="00D51AB9">
        <w:rPr>
          <w:rFonts w:ascii="Book Antiqua" w:hAnsi="Book Antiqua" w:cs="Calibri"/>
        </w:rPr>
        <w:t xml:space="preserve"> proved robust. It</w:t>
      </w:r>
      <w:r w:rsidR="00F60801" w:rsidRPr="00D51AB9">
        <w:rPr>
          <w:rFonts w:ascii="Book Antiqua" w:hAnsi="Book Antiqua" w:cs="Calibri"/>
        </w:rPr>
        <w:t xml:space="preserve"> </w:t>
      </w:r>
      <w:r w:rsidR="00607EB5" w:rsidRPr="00D51AB9">
        <w:rPr>
          <w:rFonts w:ascii="Book Antiqua" w:hAnsi="Book Antiqua" w:cs="Calibri"/>
        </w:rPr>
        <w:t xml:space="preserve">continued to </w:t>
      </w:r>
      <w:r w:rsidR="009D01C2" w:rsidRPr="00D51AB9">
        <w:rPr>
          <w:rFonts w:ascii="Book Antiqua" w:hAnsi="Book Antiqua" w:cs="Calibri"/>
        </w:rPr>
        <w:t>infuse</w:t>
      </w:r>
      <w:r w:rsidR="009772B3" w:rsidRPr="00355202">
        <w:rPr>
          <w:rFonts w:ascii="Book Antiqua" w:hAnsi="Book Antiqua" w:cs="Calibri"/>
        </w:rPr>
        <w:t xml:space="preserve"> how leading </w:t>
      </w:r>
      <w:r w:rsidR="000C5937">
        <w:rPr>
          <w:rFonts w:ascii="Book Antiqua" w:hAnsi="Book Antiqua" w:cs="Calibri"/>
        </w:rPr>
        <w:t>political</w:t>
      </w:r>
      <w:r w:rsidR="000C5937" w:rsidRPr="00355202">
        <w:rPr>
          <w:rFonts w:ascii="Book Antiqua" w:hAnsi="Book Antiqua" w:cs="Calibri"/>
        </w:rPr>
        <w:t xml:space="preserve"> </w:t>
      </w:r>
      <w:r w:rsidR="009772B3" w:rsidRPr="00355202">
        <w:rPr>
          <w:rFonts w:ascii="Book Antiqua" w:hAnsi="Book Antiqua" w:cs="Calibri"/>
        </w:rPr>
        <w:t>actors and lawyers</w:t>
      </w:r>
      <w:r w:rsidR="00F60801" w:rsidRPr="00061F78">
        <w:rPr>
          <w:rFonts w:ascii="Book Antiqua" w:hAnsi="Book Antiqua" w:cs="Calibri"/>
        </w:rPr>
        <w:t xml:space="preserve"> </w:t>
      </w:r>
      <w:r w:rsidR="009772B3" w:rsidRPr="00061F78">
        <w:rPr>
          <w:rFonts w:ascii="Book Antiqua" w:hAnsi="Book Antiqua" w:cs="Calibri"/>
        </w:rPr>
        <w:t>interpreted</w:t>
      </w:r>
      <w:r w:rsidR="00F60801" w:rsidRPr="00061F78">
        <w:rPr>
          <w:rFonts w:ascii="Book Antiqua" w:hAnsi="Book Antiqua" w:cs="Calibri"/>
        </w:rPr>
        <w:t xml:space="preserve"> </w:t>
      </w:r>
      <w:r w:rsidR="00D8373B" w:rsidRPr="00061F78">
        <w:rPr>
          <w:rFonts w:ascii="Book Antiqua" w:hAnsi="Book Antiqua" w:cs="Calibri"/>
        </w:rPr>
        <w:t xml:space="preserve">the Constitution’s </w:t>
      </w:r>
      <w:r w:rsidR="00F60801" w:rsidRPr="00061F78">
        <w:rPr>
          <w:rFonts w:ascii="Book Antiqua" w:hAnsi="Book Antiqua" w:cs="Calibri"/>
        </w:rPr>
        <w:t xml:space="preserve">text and structure concerned with checks and balances and </w:t>
      </w:r>
      <w:r w:rsidR="00D8373B" w:rsidRPr="00061F78">
        <w:rPr>
          <w:rFonts w:ascii="Book Antiqua" w:hAnsi="Book Antiqua" w:cs="Calibri"/>
        </w:rPr>
        <w:t>s</w:t>
      </w:r>
      <w:r w:rsidR="00F60801" w:rsidRPr="00061F78">
        <w:rPr>
          <w:rFonts w:ascii="Book Antiqua" w:hAnsi="Book Antiqua" w:cs="Calibri"/>
        </w:rPr>
        <w:t xml:space="preserve">eparation of </w:t>
      </w:r>
      <w:r w:rsidR="00D8373B" w:rsidRPr="00061F78">
        <w:rPr>
          <w:rFonts w:ascii="Book Antiqua" w:hAnsi="Book Antiqua" w:cs="Calibri"/>
        </w:rPr>
        <w:t>p</w:t>
      </w:r>
      <w:r w:rsidR="00F60801" w:rsidRPr="00061F78">
        <w:rPr>
          <w:rFonts w:ascii="Book Antiqua" w:hAnsi="Book Antiqua" w:cs="Calibri"/>
        </w:rPr>
        <w:t xml:space="preserve">owers. </w:t>
      </w:r>
      <w:r w:rsidR="00480C68">
        <w:rPr>
          <w:rFonts w:ascii="Book Antiqua" w:hAnsi="Book Antiqua" w:cs="Calibri"/>
        </w:rPr>
        <w:t xml:space="preserve">It </w:t>
      </w:r>
      <w:r w:rsidR="00F60801" w:rsidRPr="006E162D">
        <w:rPr>
          <w:rFonts w:ascii="Book Antiqua" w:hAnsi="Book Antiqua" w:cs="Calibri"/>
        </w:rPr>
        <w:t xml:space="preserve">facilitated </w:t>
      </w:r>
      <w:r w:rsidR="00480C68">
        <w:rPr>
          <w:rFonts w:ascii="Book Antiqua" w:hAnsi="Book Antiqua" w:cs="Calibri"/>
        </w:rPr>
        <w:t xml:space="preserve">arguably </w:t>
      </w:r>
      <w:r w:rsidR="00D80DE1" w:rsidRPr="00480C68">
        <w:rPr>
          <w:rFonts w:ascii="Book Antiqua" w:hAnsi="Book Antiqua" w:cs="Calibri"/>
        </w:rPr>
        <w:t>strained interpretations of</w:t>
      </w:r>
      <w:r w:rsidR="00F60801" w:rsidRPr="00480C68">
        <w:rPr>
          <w:rFonts w:ascii="Book Antiqua" w:hAnsi="Book Antiqua" w:cs="Calibri"/>
        </w:rPr>
        <w:t xml:space="preserve"> constitutional text and structure in order to allow the executive to maintain predominance</w:t>
      </w:r>
      <w:r w:rsidR="00480C68">
        <w:rPr>
          <w:rFonts w:ascii="Book Antiqua" w:hAnsi="Book Antiqua" w:cs="Calibri"/>
        </w:rPr>
        <w:t>,</w:t>
      </w:r>
      <w:r w:rsidR="00552475" w:rsidRPr="00480C68">
        <w:rPr>
          <w:rFonts w:ascii="Book Antiqua" w:hAnsi="Book Antiqua" w:cs="Calibri"/>
        </w:rPr>
        <w:t xml:space="preserve"> </w:t>
      </w:r>
      <w:r w:rsidR="00480C68">
        <w:rPr>
          <w:rFonts w:ascii="Book Antiqua" w:hAnsi="Book Antiqua" w:cs="Calibri"/>
        </w:rPr>
        <w:t>e</w:t>
      </w:r>
      <w:r w:rsidR="00F60801" w:rsidRPr="00480C68">
        <w:rPr>
          <w:rFonts w:ascii="Book Antiqua" w:hAnsi="Book Antiqua" w:cs="Calibri"/>
        </w:rPr>
        <w:t>ven when it lack</w:t>
      </w:r>
      <w:r w:rsidR="009772B3" w:rsidRPr="00480C68">
        <w:rPr>
          <w:rFonts w:ascii="Book Antiqua" w:hAnsi="Book Antiqua" w:cs="Calibri"/>
        </w:rPr>
        <w:t>ed</w:t>
      </w:r>
      <w:r w:rsidR="00F60801" w:rsidRPr="00480C68">
        <w:rPr>
          <w:rFonts w:ascii="Book Antiqua" w:hAnsi="Book Antiqua" w:cs="Calibri"/>
        </w:rPr>
        <w:t xml:space="preserve"> a legislative majority</w:t>
      </w:r>
      <w:r w:rsidR="00ED1832" w:rsidRPr="00480C68">
        <w:rPr>
          <w:rFonts w:ascii="Book Antiqua" w:hAnsi="Book Antiqua" w:cs="Calibri"/>
        </w:rPr>
        <w:t xml:space="preserve"> and </w:t>
      </w:r>
      <w:r w:rsidR="00B32BDE" w:rsidRPr="00061F78">
        <w:rPr>
          <w:rFonts w:ascii="Book Antiqua" w:hAnsi="Book Antiqua" w:cs="Calibri"/>
        </w:rPr>
        <w:t>faced an</w:t>
      </w:r>
      <w:r w:rsidR="00ED1832" w:rsidRPr="00061F78">
        <w:rPr>
          <w:rFonts w:ascii="Book Antiqua" w:hAnsi="Book Antiqua" w:cs="Calibri"/>
        </w:rPr>
        <w:t xml:space="preserve"> Oireachtas</w:t>
      </w:r>
      <w:r w:rsidR="00B32BDE" w:rsidRPr="00061F78">
        <w:rPr>
          <w:rFonts w:ascii="Book Antiqua" w:hAnsi="Book Antiqua" w:cs="Calibri"/>
        </w:rPr>
        <w:t xml:space="preserve"> that</w:t>
      </w:r>
      <w:r w:rsidR="00ED1832" w:rsidRPr="00061F78">
        <w:rPr>
          <w:rFonts w:ascii="Book Antiqua" w:hAnsi="Book Antiqua" w:cs="Calibri"/>
        </w:rPr>
        <w:t xml:space="preserve"> has</w:t>
      </w:r>
      <w:r w:rsidR="00B32BDE" w:rsidRPr="00061F78">
        <w:rPr>
          <w:rFonts w:ascii="Book Antiqua" w:hAnsi="Book Antiqua" w:cs="Calibri"/>
        </w:rPr>
        <w:t xml:space="preserve"> arguably</w:t>
      </w:r>
      <w:r w:rsidR="000C5937">
        <w:rPr>
          <w:rFonts w:ascii="Book Antiqua" w:hAnsi="Book Antiqua" w:cs="Calibri"/>
        </w:rPr>
        <w:t>, due to recent reforms,</w:t>
      </w:r>
      <w:r w:rsidR="00ED1832" w:rsidRPr="00061F78">
        <w:rPr>
          <w:rFonts w:ascii="Book Antiqua" w:hAnsi="Book Antiqua" w:cs="Calibri"/>
        </w:rPr>
        <w:t xml:space="preserve"> never been better resourced</w:t>
      </w:r>
      <w:r w:rsidR="00B32BDE" w:rsidRPr="00061F78">
        <w:rPr>
          <w:rFonts w:ascii="Book Antiqua" w:hAnsi="Book Antiqua" w:cs="Calibri"/>
        </w:rPr>
        <w:t xml:space="preserve"> or</w:t>
      </w:r>
      <w:r w:rsidR="009B1E03" w:rsidRPr="005D00A4">
        <w:rPr>
          <w:rFonts w:ascii="Book Antiqua" w:hAnsi="Book Antiqua" w:cs="Calibri"/>
        </w:rPr>
        <w:t xml:space="preserve"> </w:t>
      </w:r>
      <w:r w:rsidR="000C5937">
        <w:rPr>
          <w:rFonts w:ascii="Book Antiqua" w:hAnsi="Book Antiqua" w:cs="Calibri"/>
        </w:rPr>
        <w:t xml:space="preserve">more </w:t>
      </w:r>
      <w:r w:rsidR="00B32BDE" w:rsidRPr="00480C68">
        <w:rPr>
          <w:rFonts w:ascii="Book Antiqua" w:hAnsi="Book Antiqua" w:cs="Calibri"/>
        </w:rPr>
        <w:t>institutionally robust</w:t>
      </w:r>
      <w:r w:rsidR="00F60801" w:rsidRPr="00480C68">
        <w:rPr>
          <w:rFonts w:ascii="Book Antiqua" w:hAnsi="Book Antiqua" w:cs="Calibri"/>
        </w:rPr>
        <w:t>.</w:t>
      </w:r>
      <w:r w:rsidR="00B32BDE" w:rsidRPr="00692FEB">
        <w:rPr>
          <w:rStyle w:val="FootnoteReference"/>
          <w:rFonts w:ascii="Book Antiqua" w:hAnsi="Book Antiqua" w:cs="Calibri"/>
        </w:rPr>
        <w:footnoteReference w:id="107"/>
      </w:r>
      <w:r w:rsidR="00F60801" w:rsidRPr="00692FEB">
        <w:rPr>
          <w:rFonts w:ascii="Book Antiqua" w:hAnsi="Book Antiqua" w:cs="Calibri"/>
        </w:rPr>
        <w:t xml:space="preserve"> </w:t>
      </w:r>
    </w:p>
    <w:p w14:paraId="49408BEB" w14:textId="77777777" w:rsidR="00607EB5" w:rsidRPr="009C65DA" w:rsidRDefault="00607EB5" w:rsidP="007A6412">
      <w:pPr>
        <w:autoSpaceDE w:val="0"/>
        <w:autoSpaceDN w:val="0"/>
        <w:adjustRightInd w:val="0"/>
        <w:spacing w:line="360" w:lineRule="auto"/>
        <w:jc w:val="both"/>
        <w:rPr>
          <w:rFonts w:ascii="Book Antiqua" w:hAnsi="Book Antiqua" w:cs="Calibri"/>
        </w:rPr>
      </w:pPr>
    </w:p>
    <w:p w14:paraId="2B0F614A" w14:textId="187E12FA" w:rsidR="007E6EDD" w:rsidRPr="006E162D" w:rsidRDefault="00B248CA" w:rsidP="006E162D">
      <w:pPr>
        <w:autoSpaceDE w:val="0"/>
        <w:autoSpaceDN w:val="0"/>
        <w:adjustRightInd w:val="0"/>
        <w:spacing w:line="360" w:lineRule="auto"/>
        <w:jc w:val="both"/>
        <w:rPr>
          <w:rFonts w:ascii="Book Antiqua" w:hAnsi="Book Antiqua" w:cs="Calibri"/>
        </w:rPr>
      </w:pPr>
      <w:r w:rsidRPr="003739B7">
        <w:rPr>
          <w:rFonts w:ascii="Book Antiqua" w:hAnsi="Book Antiqua"/>
        </w:rPr>
        <w:t xml:space="preserve">We do not suggest that the </w:t>
      </w:r>
      <w:r w:rsidR="00480C68">
        <w:rPr>
          <w:rFonts w:ascii="Book Antiqua" w:hAnsi="Book Antiqua"/>
        </w:rPr>
        <w:t>g</w:t>
      </w:r>
      <w:r w:rsidRPr="003739B7">
        <w:rPr>
          <w:rFonts w:ascii="Book Antiqua" w:hAnsi="Book Antiqua"/>
        </w:rPr>
        <w:t xml:space="preserve">overnment </w:t>
      </w:r>
      <w:r w:rsidR="00480C68">
        <w:rPr>
          <w:rFonts w:ascii="Book Antiqua" w:hAnsi="Book Antiqua"/>
        </w:rPr>
        <w:t xml:space="preserve">or any other </w:t>
      </w:r>
      <w:r w:rsidR="00BE2EE4">
        <w:rPr>
          <w:rFonts w:ascii="Book Antiqua" w:hAnsi="Book Antiqua"/>
        </w:rPr>
        <w:t xml:space="preserve">political </w:t>
      </w:r>
      <w:r w:rsidR="00480C68">
        <w:rPr>
          <w:rFonts w:ascii="Book Antiqua" w:hAnsi="Book Antiqua"/>
        </w:rPr>
        <w:t xml:space="preserve">actor </w:t>
      </w:r>
      <w:r w:rsidR="00BE2EE4">
        <w:rPr>
          <w:rFonts w:ascii="Book Antiqua" w:hAnsi="Book Antiqua"/>
        </w:rPr>
        <w:t>behaved</w:t>
      </w:r>
      <w:r w:rsidRPr="003739B7">
        <w:rPr>
          <w:rFonts w:ascii="Book Antiqua" w:hAnsi="Book Antiqua"/>
        </w:rPr>
        <w:t xml:space="preserve"> cynically</w:t>
      </w:r>
      <w:r w:rsidR="00480C68">
        <w:rPr>
          <w:rFonts w:ascii="Book Antiqua" w:hAnsi="Book Antiqua"/>
        </w:rPr>
        <w:t xml:space="preserve">; it is entirely reasonable to assume good faith in every step of this process. Culture </w:t>
      </w:r>
      <w:r w:rsidR="00480C68">
        <w:rPr>
          <w:rFonts w:ascii="Book Antiqua" w:hAnsi="Book Antiqua"/>
        </w:rPr>
        <w:lastRenderedPageBreak/>
        <w:t>does not have to be consciously understood; it is a set of shared assumptions and community understandings that, once internalised, operate without any conscious regard to them.</w:t>
      </w:r>
      <w:r w:rsidR="00BE2EE4">
        <w:rPr>
          <w:rStyle w:val="FootnoteReference"/>
          <w:rFonts w:ascii="Book Antiqua" w:hAnsi="Book Antiqua"/>
        </w:rPr>
        <w:footnoteReference w:id="108"/>
      </w:r>
      <w:r w:rsidR="00480C68">
        <w:rPr>
          <w:rFonts w:ascii="Book Antiqua" w:hAnsi="Book Antiqua"/>
        </w:rPr>
        <w:t xml:space="preserve"> The interpretations </w:t>
      </w:r>
      <w:r w:rsidR="00716BF0">
        <w:rPr>
          <w:rFonts w:ascii="Book Antiqua" w:hAnsi="Book Antiqua"/>
        </w:rPr>
        <w:t>adopted in respect of Article 17.2 and AG’s advice present themselves not only as plausible</w:t>
      </w:r>
      <w:r w:rsidR="00083A29">
        <w:rPr>
          <w:rFonts w:ascii="Book Antiqua" w:hAnsi="Book Antiqua"/>
        </w:rPr>
        <w:t>,</w:t>
      </w:r>
      <w:r w:rsidR="00716BF0">
        <w:rPr>
          <w:rFonts w:ascii="Book Antiqua" w:hAnsi="Book Antiqua"/>
        </w:rPr>
        <w:t xml:space="preserve"> but self-evidently right</w:t>
      </w:r>
      <w:r w:rsidR="00083A29">
        <w:rPr>
          <w:rFonts w:ascii="Book Antiqua" w:hAnsi="Book Antiqua"/>
        </w:rPr>
        <w:t>,</w:t>
      </w:r>
      <w:r w:rsidR="00716BF0">
        <w:rPr>
          <w:rFonts w:ascii="Book Antiqua" w:hAnsi="Book Antiqua"/>
        </w:rPr>
        <w:t xml:space="preserve"> if one begins from an unexamined assumption of executive dominance. On this view, the empowerment of the Oireachtas to pass laws and set policy in contradiction to the executive’s desires was </w:t>
      </w:r>
      <w:r w:rsidRPr="001B79C2">
        <w:rPr>
          <w:rFonts w:ascii="Book Antiqua" w:hAnsi="Book Antiqua"/>
        </w:rPr>
        <w:t xml:space="preserve">a breakdown of the policy and law-making </w:t>
      </w:r>
      <w:r w:rsidR="008F6C12" w:rsidRPr="001B79C2">
        <w:rPr>
          <w:rFonts w:ascii="Book Antiqua" w:hAnsi="Book Antiqua"/>
        </w:rPr>
        <w:t>status quo</w:t>
      </w:r>
      <w:r w:rsidR="009A2302">
        <w:rPr>
          <w:rFonts w:ascii="Book Antiqua" w:hAnsi="Book Antiqua"/>
        </w:rPr>
        <w:t>,</w:t>
      </w:r>
      <w:r w:rsidR="00716BF0">
        <w:rPr>
          <w:rFonts w:ascii="Book Antiqua" w:hAnsi="Book Antiqua"/>
        </w:rPr>
        <w:t xml:space="preserve"> </w:t>
      </w:r>
      <w:r w:rsidR="00316CA7">
        <w:rPr>
          <w:rFonts w:ascii="Book Antiqua" w:hAnsi="Book Antiqua"/>
        </w:rPr>
        <w:t xml:space="preserve">which </w:t>
      </w:r>
      <w:r w:rsidR="00316CA7" w:rsidRPr="007745A9">
        <w:rPr>
          <w:rFonts w:ascii="Book Antiqua" w:hAnsi="Book Antiqua"/>
        </w:rPr>
        <w:t>jeopardised</w:t>
      </w:r>
      <w:r w:rsidR="00716BF0">
        <w:rPr>
          <w:rFonts w:ascii="Book Antiqua" w:hAnsi="Book Antiqua"/>
        </w:rPr>
        <w:t xml:space="preserve"> the </w:t>
      </w:r>
      <w:r w:rsidRPr="00417899">
        <w:rPr>
          <w:rFonts w:ascii="Book Antiqua" w:hAnsi="Book Antiqua"/>
        </w:rPr>
        <w:t>integrity</w:t>
      </w:r>
      <w:r w:rsidR="00316CA7">
        <w:rPr>
          <w:rFonts w:ascii="Book Antiqua" w:hAnsi="Book Antiqua"/>
        </w:rPr>
        <w:t xml:space="preserve"> of</w:t>
      </w:r>
      <w:r w:rsidRPr="00417899">
        <w:rPr>
          <w:rFonts w:ascii="Book Antiqua" w:hAnsi="Book Antiqua"/>
        </w:rPr>
        <w:t xml:space="preserve"> </w:t>
      </w:r>
      <w:r w:rsidR="00716BF0">
        <w:rPr>
          <w:rFonts w:ascii="Book Antiqua" w:hAnsi="Book Antiqua"/>
        </w:rPr>
        <w:t>the constitutional order</w:t>
      </w:r>
      <w:r w:rsidRPr="00417899">
        <w:rPr>
          <w:rFonts w:ascii="Book Antiqua" w:hAnsi="Book Antiqua"/>
        </w:rPr>
        <w:t xml:space="preserve">. </w:t>
      </w:r>
    </w:p>
    <w:p w14:paraId="33E82BA6" w14:textId="77777777" w:rsidR="009D01C2" w:rsidRPr="006E162D" w:rsidRDefault="009D01C2" w:rsidP="007A6412">
      <w:pPr>
        <w:autoSpaceDE w:val="0"/>
        <w:autoSpaceDN w:val="0"/>
        <w:adjustRightInd w:val="0"/>
        <w:spacing w:line="360" w:lineRule="auto"/>
        <w:jc w:val="both"/>
        <w:rPr>
          <w:rFonts w:ascii="Book Antiqua" w:hAnsi="Book Antiqua"/>
        </w:rPr>
      </w:pPr>
    </w:p>
    <w:p w14:paraId="407924BB" w14:textId="4CD4665A" w:rsidR="00804AD3" w:rsidRPr="002516B9" w:rsidRDefault="00716BF0" w:rsidP="00804AD3">
      <w:pPr>
        <w:autoSpaceDE w:val="0"/>
        <w:autoSpaceDN w:val="0"/>
        <w:adjustRightInd w:val="0"/>
        <w:spacing w:line="360" w:lineRule="auto"/>
        <w:jc w:val="both"/>
        <w:rPr>
          <w:rFonts w:ascii="Book Antiqua" w:hAnsi="Book Antiqua"/>
        </w:rPr>
      </w:pPr>
      <w:r>
        <w:rPr>
          <w:rFonts w:ascii="Book Antiqua" w:hAnsi="Book Antiqua"/>
        </w:rPr>
        <w:t xml:space="preserve">The stymying of this </w:t>
      </w:r>
      <w:r w:rsidR="00FF0C95" w:rsidRPr="00716BF0">
        <w:rPr>
          <w:rFonts w:ascii="Book Antiqua" w:hAnsi="Book Antiqua"/>
        </w:rPr>
        <w:t>perceived</w:t>
      </w:r>
      <w:r w:rsidR="00F13F01" w:rsidRPr="00716BF0">
        <w:rPr>
          <w:rFonts w:ascii="Book Antiqua" w:hAnsi="Book Antiqua"/>
        </w:rPr>
        <w:t xml:space="preserve"> legislative</w:t>
      </w:r>
      <w:r w:rsidR="00B248CA" w:rsidRPr="00716BF0">
        <w:rPr>
          <w:rFonts w:ascii="Book Antiqua" w:hAnsi="Book Antiqua"/>
        </w:rPr>
        <w:t xml:space="preserve"> usurpation </w:t>
      </w:r>
      <w:r>
        <w:rPr>
          <w:rFonts w:ascii="Book Antiqua" w:hAnsi="Book Antiqua"/>
        </w:rPr>
        <w:t xml:space="preserve">would, from this perspective, </w:t>
      </w:r>
      <w:r w:rsidR="00B248CA" w:rsidRPr="00716BF0">
        <w:rPr>
          <w:rFonts w:ascii="Book Antiqua" w:hAnsi="Book Antiqua"/>
        </w:rPr>
        <w:t>be</w:t>
      </w:r>
      <w:r w:rsidR="00FF0C95" w:rsidRPr="00716BF0">
        <w:rPr>
          <w:rFonts w:ascii="Book Antiqua" w:hAnsi="Book Antiqua"/>
        </w:rPr>
        <w:t xml:space="preserve"> </w:t>
      </w:r>
      <w:r w:rsidR="00B248CA" w:rsidRPr="00716BF0">
        <w:rPr>
          <w:rFonts w:ascii="Book Antiqua" w:hAnsi="Book Antiqua"/>
        </w:rPr>
        <w:t xml:space="preserve">a legitimate example of what </w:t>
      </w:r>
      <w:proofErr w:type="spellStart"/>
      <w:r w:rsidR="00B248CA" w:rsidRPr="00716BF0">
        <w:rPr>
          <w:rFonts w:ascii="Book Antiqua" w:hAnsi="Book Antiqua"/>
        </w:rPr>
        <w:t>Pozen</w:t>
      </w:r>
      <w:proofErr w:type="spellEnd"/>
      <w:r w:rsidR="00B248CA" w:rsidRPr="00716BF0">
        <w:rPr>
          <w:rFonts w:ascii="Book Antiqua" w:hAnsi="Book Antiqua"/>
        </w:rPr>
        <w:t xml:space="preserve"> dubs </w:t>
      </w:r>
      <w:r>
        <w:rPr>
          <w:rFonts w:ascii="Book Antiqua" w:hAnsi="Book Antiqua"/>
        </w:rPr>
        <w:t>“</w:t>
      </w:r>
      <w:r w:rsidR="00B248CA" w:rsidRPr="00716BF0">
        <w:rPr>
          <w:rFonts w:ascii="Book Antiqua" w:hAnsi="Book Antiqua"/>
        </w:rPr>
        <w:t>constitutional self-help</w:t>
      </w:r>
      <w:r>
        <w:rPr>
          <w:rFonts w:ascii="Book Antiqua" w:hAnsi="Book Antiqua"/>
        </w:rPr>
        <w:t xml:space="preserve">”: </w:t>
      </w:r>
      <w:r w:rsidR="00F13F01" w:rsidRPr="00716BF0">
        <w:rPr>
          <w:rFonts w:ascii="Book Antiqua" w:hAnsi="Book Antiqua"/>
        </w:rPr>
        <w:t>a</w:t>
      </w:r>
      <w:r w:rsidR="009B160D" w:rsidRPr="00716BF0">
        <w:rPr>
          <w:rFonts w:ascii="Book Antiqua" w:hAnsi="Book Antiqua"/>
        </w:rPr>
        <w:t xml:space="preserve"> unilateral</w:t>
      </w:r>
      <w:r w:rsidR="00B248CA" w:rsidRPr="00716BF0">
        <w:rPr>
          <w:rFonts w:ascii="Book Antiqua" w:hAnsi="Book Antiqua"/>
        </w:rPr>
        <w:t xml:space="preserve"> attempt by one constitutional actor to </w:t>
      </w:r>
      <w:r w:rsidR="009B160D" w:rsidRPr="00716BF0">
        <w:rPr>
          <w:rFonts w:ascii="Book Antiqua" w:hAnsi="Book Antiqua"/>
        </w:rPr>
        <w:t>resolve a perceived wrong by another</w:t>
      </w:r>
      <w:r w:rsidR="00315A48" w:rsidRPr="00716BF0">
        <w:rPr>
          <w:rFonts w:ascii="Book Antiqua" w:hAnsi="Book Antiqua"/>
        </w:rPr>
        <w:t>,</w:t>
      </w:r>
      <w:r w:rsidR="009B160D" w:rsidRPr="00716BF0">
        <w:rPr>
          <w:rFonts w:ascii="Book Antiqua" w:hAnsi="Book Antiqua"/>
        </w:rPr>
        <w:t xml:space="preserve"> through</w:t>
      </w:r>
      <w:r w:rsidR="007A6412" w:rsidRPr="00716BF0">
        <w:rPr>
          <w:rFonts w:ascii="Book Antiqua" w:hAnsi="Book Antiqua"/>
        </w:rPr>
        <w:t xml:space="preserve"> </w:t>
      </w:r>
      <w:r>
        <w:rPr>
          <w:rFonts w:ascii="Book Antiqua" w:hAnsi="Book Antiqua"/>
        </w:rPr>
        <w:t>“</w:t>
      </w:r>
      <w:r w:rsidR="007A6412" w:rsidRPr="00716BF0">
        <w:rPr>
          <w:rFonts w:ascii="Book Antiqua" w:hAnsi="Book Antiqua"/>
        </w:rPr>
        <w:t>efforts to enforce constitutional settlements</w:t>
      </w:r>
      <w:r>
        <w:rPr>
          <w:rFonts w:ascii="Book Antiqua" w:hAnsi="Book Antiqua"/>
        </w:rPr>
        <w:t>”</w:t>
      </w:r>
      <w:r w:rsidR="009B160D" w:rsidRPr="00692FEB">
        <w:rPr>
          <w:rFonts w:ascii="Book Antiqua" w:hAnsi="Book Antiqua"/>
        </w:rPr>
        <w:t xml:space="preserve"> </w:t>
      </w:r>
      <w:r w:rsidR="00785BDA" w:rsidRPr="009C65DA">
        <w:rPr>
          <w:rFonts w:ascii="Book Antiqua" w:hAnsi="Book Antiqua"/>
        </w:rPr>
        <w:t>and</w:t>
      </w:r>
      <w:r w:rsidR="009B160D" w:rsidRPr="009C65DA">
        <w:rPr>
          <w:rFonts w:ascii="Book Antiqua" w:hAnsi="Book Antiqua"/>
        </w:rPr>
        <w:t xml:space="preserve"> defend institutional prerogative</w:t>
      </w:r>
      <w:r w:rsidR="00F13F01" w:rsidRPr="009C65DA">
        <w:rPr>
          <w:rFonts w:ascii="Book Antiqua" w:hAnsi="Book Antiqua"/>
        </w:rPr>
        <w:t>s</w:t>
      </w:r>
      <w:r w:rsidR="009B160D" w:rsidRPr="003739B7">
        <w:rPr>
          <w:rFonts w:ascii="Book Antiqua" w:hAnsi="Book Antiqua"/>
        </w:rPr>
        <w:t>.</w:t>
      </w:r>
      <w:r w:rsidR="009B160D" w:rsidRPr="00692FEB">
        <w:rPr>
          <w:rStyle w:val="FootnoteReference"/>
          <w:rFonts w:ascii="Book Antiqua" w:hAnsi="Book Antiqua"/>
        </w:rPr>
        <w:footnoteReference w:id="109"/>
      </w:r>
      <w:r w:rsidR="00FF0C95" w:rsidRPr="003739B7">
        <w:rPr>
          <w:rFonts w:ascii="Book Antiqua" w:hAnsi="Book Antiqua"/>
        </w:rPr>
        <w:t xml:space="preserve"> </w:t>
      </w:r>
      <w:r>
        <w:rPr>
          <w:rFonts w:ascii="Book Antiqua" w:hAnsi="Book Antiqua"/>
        </w:rPr>
        <w:t xml:space="preserve">In </w:t>
      </w:r>
      <w:r w:rsidR="00FF0C95" w:rsidRPr="003739B7">
        <w:rPr>
          <w:rFonts w:ascii="Book Antiqua" w:hAnsi="Book Antiqua"/>
        </w:rPr>
        <w:t>an executive</w:t>
      </w:r>
      <w:r>
        <w:rPr>
          <w:rFonts w:ascii="Book Antiqua" w:hAnsi="Book Antiqua"/>
        </w:rPr>
        <w:t>-</w:t>
      </w:r>
      <w:r w:rsidR="00FF0C95" w:rsidRPr="003739B7">
        <w:rPr>
          <w:rFonts w:ascii="Book Antiqua" w:hAnsi="Book Antiqua"/>
        </w:rPr>
        <w:t xml:space="preserve">centred </w:t>
      </w:r>
      <w:r>
        <w:rPr>
          <w:rFonts w:ascii="Book Antiqua" w:hAnsi="Book Antiqua"/>
        </w:rPr>
        <w:t xml:space="preserve">view of </w:t>
      </w:r>
      <w:r w:rsidR="00FF0C95" w:rsidRPr="003739B7">
        <w:rPr>
          <w:rFonts w:ascii="Book Antiqua" w:hAnsi="Book Antiqua"/>
        </w:rPr>
        <w:t xml:space="preserve">constitutional </w:t>
      </w:r>
      <w:r w:rsidR="009B160D" w:rsidRPr="003739B7">
        <w:rPr>
          <w:rFonts w:ascii="Book Antiqua" w:hAnsi="Book Antiqua"/>
        </w:rPr>
        <w:t>culture</w:t>
      </w:r>
      <w:r w:rsidR="002A4BFB" w:rsidRPr="002516B9">
        <w:rPr>
          <w:rFonts w:ascii="Book Antiqua" w:hAnsi="Book Antiqua"/>
        </w:rPr>
        <w:t>,</w:t>
      </w:r>
      <w:r w:rsidR="009B160D" w:rsidRPr="002516B9">
        <w:rPr>
          <w:rFonts w:ascii="Book Antiqua" w:hAnsi="Book Antiqua"/>
        </w:rPr>
        <w:t xml:space="preserve"> </w:t>
      </w:r>
      <w:r>
        <w:rPr>
          <w:rFonts w:ascii="Book Antiqua" w:hAnsi="Book Antiqua"/>
        </w:rPr>
        <w:t>the executive reasserting dominance through the tools available to it is a</w:t>
      </w:r>
      <w:r w:rsidR="008343C2">
        <w:rPr>
          <w:rFonts w:ascii="Book Antiqua" w:hAnsi="Book Antiqua"/>
        </w:rPr>
        <w:t xml:space="preserve"> principled</w:t>
      </w:r>
      <w:r>
        <w:rPr>
          <w:rFonts w:ascii="Book Antiqua" w:hAnsi="Book Antiqua"/>
        </w:rPr>
        <w:t xml:space="preserve"> </w:t>
      </w:r>
      <w:r w:rsidR="009B160D" w:rsidRPr="002516B9">
        <w:rPr>
          <w:rFonts w:ascii="Book Antiqua" w:hAnsi="Book Antiqua"/>
        </w:rPr>
        <w:t xml:space="preserve">remedy </w:t>
      </w:r>
      <w:r>
        <w:rPr>
          <w:rFonts w:ascii="Book Antiqua" w:hAnsi="Book Antiqua"/>
        </w:rPr>
        <w:t xml:space="preserve">for </w:t>
      </w:r>
      <w:r w:rsidR="009B160D" w:rsidRPr="002516B9">
        <w:rPr>
          <w:rFonts w:ascii="Book Antiqua" w:hAnsi="Book Antiqua"/>
        </w:rPr>
        <w:t xml:space="preserve">a </w:t>
      </w:r>
      <w:r w:rsidR="001C7EB8" w:rsidRPr="002516B9">
        <w:rPr>
          <w:rFonts w:ascii="Book Antiqua" w:hAnsi="Book Antiqua"/>
        </w:rPr>
        <w:t>usurpation</w:t>
      </w:r>
      <w:r w:rsidR="009B160D" w:rsidRPr="002516B9">
        <w:rPr>
          <w:rFonts w:ascii="Book Antiqua" w:hAnsi="Book Antiqua"/>
        </w:rPr>
        <w:t xml:space="preserve"> of policymaking by the Oireachtas.</w:t>
      </w:r>
      <w:r w:rsidR="00824191" w:rsidRPr="002516B9">
        <w:rPr>
          <w:rFonts w:ascii="Book Antiqua" w:hAnsi="Book Antiqua"/>
        </w:rPr>
        <w:t xml:space="preserve"> </w:t>
      </w:r>
    </w:p>
    <w:p w14:paraId="0F4B41D1" w14:textId="77777777" w:rsidR="00B248CA" w:rsidRPr="006E162D" w:rsidRDefault="00B248CA" w:rsidP="00E15FC4">
      <w:pPr>
        <w:autoSpaceDE w:val="0"/>
        <w:autoSpaceDN w:val="0"/>
        <w:adjustRightInd w:val="0"/>
        <w:spacing w:line="360" w:lineRule="auto"/>
        <w:jc w:val="both"/>
        <w:rPr>
          <w:rFonts w:ascii="Book Antiqua" w:hAnsi="Book Antiqua" w:cs="Calibri"/>
        </w:rPr>
      </w:pPr>
    </w:p>
    <w:p w14:paraId="131941C1" w14:textId="33D8E1C9" w:rsidR="00497B32" w:rsidRDefault="0074467D" w:rsidP="00D95EA5">
      <w:pPr>
        <w:autoSpaceDE w:val="0"/>
        <w:autoSpaceDN w:val="0"/>
        <w:adjustRightInd w:val="0"/>
        <w:spacing w:line="360" w:lineRule="auto"/>
        <w:jc w:val="both"/>
        <w:rPr>
          <w:rFonts w:ascii="Book Antiqua" w:hAnsi="Book Antiqua" w:cs="Calibri"/>
        </w:rPr>
      </w:pPr>
      <w:r>
        <w:rPr>
          <w:rFonts w:ascii="Book Antiqua" w:hAnsi="Book Antiqua" w:cs="Calibri"/>
        </w:rPr>
        <w:t>The adoption of these interpretations</w:t>
      </w:r>
      <w:r w:rsidR="002C7FD0">
        <w:rPr>
          <w:rFonts w:ascii="Book Antiqua" w:hAnsi="Book Antiqua" w:cs="Calibri"/>
        </w:rPr>
        <w:t>;</w:t>
      </w:r>
      <w:r>
        <w:rPr>
          <w:rFonts w:ascii="Book Antiqua" w:hAnsi="Book Antiqua" w:cs="Calibri"/>
        </w:rPr>
        <w:t xml:space="preserve"> their defence as natural and even essential</w:t>
      </w:r>
      <w:r w:rsidR="002C7FD0">
        <w:rPr>
          <w:rFonts w:ascii="Book Antiqua" w:hAnsi="Book Antiqua" w:cs="Calibri"/>
        </w:rPr>
        <w:t>;</w:t>
      </w:r>
      <w:r>
        <w:rPr>
          <w:rFonts w:ascii="Book Antiqua" w:hAnsi="Book Antiqua" w:cs="Calibri"/>
        </w:rPr>
        <w:t xml:space="preserve"> and the substantial (though by no</w:t>
      </w:r>
      <w:r w:rsidR="002C7FD0">
        <w:rPr>
          <w:rFonts w:ascii="Book Antiqua" w:hAnsi="Book Antiqua" w:cs="Calibri"/>
        </w:rPr>
        <w:t>t</w:t>
      </w:r>
      <w:r>
        <w:rPr>
          <w:rFonts w:ascii="Book Antiqua" w:hAnsi="Book Antiqua" w:cs="Calibri"/>
        </w:rPr>
        <w:t xml:space="preserve"> universal) acquiescence in this by political actors is the most cogent evidence</w:t>
      </w:r>
      <w:r w:rsidR="00F94249">
        <w:rPr>
          <w:rFonts w:ascii="Book Antiqua" w:hAnsi="Book Antiqua" w:cs="Calibri"/>
        </w:rPr>
        <w:t xml:space="preserve"> that executive dominance is a facet of </w:t>
      </w:r>
      <w:r w:rsidR="002C7FD0">
        <w:rPr>
          <w:rFonts w:ascii="Book Antiqua" w:hAnsi="Book Antiqua" w:cs="Calibri"/>
        </w:rPr>
        <w:t xml:space="preserve">constitutional </w:t>
      </w:r>
      <w:proofErr w:type="gramStart"/>
      <w:r w:rsidR="00F94249">
        <w:rPr>
          <w:rFonts w:ascii="Book Antiqua" w:hAnsi="Book Antiqua" w:cs="Calibri"/>
        </w:rPr>
        <w:t xml:space="preserve">culture, </w:t>
      </w:r>
      <w:r w:rsidR="003241E1" w:rsidRPr="0074467D">
        <w:rPr>
          <w:rFonts w:ascii="Book Antiqua" w:hAnsi="Book Antiqua" w:cs="Calibri"/>
        </w:rPr>
        <w:t xml:space="preserve"> an</w:t>
      </w:r>
      <w:proofErr w:type="gramEnd"/>
      <w:r w:rsidR="003241E1" w:rsidRPr="0074467D">
        <w:rPr>
          <w:rFonts w:ascii="Book Antiqua" w:hAnsi="Book Antiqua" w:cs="Calibri"/>
        </w:rPr>
        <w:t xml:space="preserve"> assumption that underlies </w:t>
      </w:r>
      <w:r w:rsidR="00F94249">
        <w:rPr>
          <w:rFonts w:ascii="Book Antiqua" w:hAnsi="Book Antiqua" w:cs="Calibri"/>
        </w:rPr>
        <w:t xml:space="preserve">Ireland’s </w:t>
      </w:r>
      <w:r w:rsidR="003241E1" w:rsidRPr="0074467D">
        <w:rPr>
          <w:rFonts w:ascii="Book Antiqua" w:hAnsi="Book Antiqua" w:cs="Calibri"/>
        </w:rPr>
        <w:t>parliamentary democracy and its institution</w:t>
      </w:r>
      <w:r w:rsidR="00B77C9F" w:rsidRPr="0074467D">
        <w:rPr>
          <w:rFonts w:ascii="Book Antiqua" w:hAnsi="Book Antiqua" w:cs="Calibri"/>
        </w:rPr>
        <w:t xml:space="preserve">s. </w:t>
      </w:r>
      <w:r w:rsidR="00F94249">
        <w:rPr>
          <w:rFonts w:ascii="Book Antiqua" w:hAnsi="Book Antiqua" w:cs="Calibri"/>
        </w:rPr>
        <w:t>Culture is resilient because it cannot, directly and intentionally</w:t>
      </w:r>
      <w:r w:rsidR="002C7FD0">
        <w:rPr>
          <w:rFonts w:ascii="Book Antiqua" w:hAnsi="Book Antiqua" w:cs="Calibri"/>
        </w:rPr>
        <w:t>,</w:t>
      </w:r>
      <w:r w:rsidR="00F94249">
        <w:rPr>
          <w:rFonts w:ascii="Book Antiqua" w:hAnsi="Book Antiqua" w:cs="Calibri"/>
        </w:rPr>
        <w:t xml:space="preserve"> be changed. Being largely unspoken and often subconscious, it is not clear what steps we can take to augment or shift it. Formal changes to practices, rules and institutions may reshape the culture, and can certainly nudge cultures in the direction of change. But our intent for change might be frustrated as the</w:t>
      </w:r>
      <w:r w:rsidR="002C7FD0">
        <w:rPr>
          <w:rFonts w:ascii="Book Antiqua" w:hAnsi="Book Antiqua" w:cs="Calibri"/>
        </w:rPr>
        <w:t>se</w:t>
      </w:r>
      <w:r w:rsidR="00F94249">
        <w:rPr>
          <w:rFonts w:ascii="Book Antiqua" w:hAnsi="Book Antiqua" w:cs="Calibri"/>
        </w:rPr>
        <w:t xml:space="preserve"> new </w:t>
      </w:r>
      <w:r w:rsidR="002C7FD0">
        <w:rPr>
          <w:rFonts w:ascii="Book Antiqua" w:hAnsi="Book Antiqua" w:cs="Calibri"/>
        </w:rPr>
        <w:t>processes</w:t>
      </w:r>
      <w:r w:rsidR="00F94249">
        <w:rPr>
          <w:rFonts w:ascii="Book Antiqua" w:hAnsi="Book Antiqua" w:cs="Calibri"/>
        </w:rPr>
        <w:t xml:space="preserve"> </w:t>
      </w:r>
      <w:r w:rsidR="002C7FD0">
        <w:rPr>
          <w:rFonts w:ascii="Book Antiqua" w:hAnsi="Book Antiqua" w:cs="Calibri"/>
        </w:rPr>
        <w:t>are interpreted in light of, and subsumed by, cultural norms</w:t>
      </w:r>
      <w:r w:rsidR="00F94249">
        <w:rPr>
          <w:rFonts w:ascii="Book Antiqua" w:hAnsi="Book Antiqua" w:cs="Calibri"/>
        </w:rPr>
        <w:t xml:space="preserve">. If we are unaware of this culture, it may be even harder to change it. </w:t>
      </w:r>
      <w:r w:rsidR="000C5B17" w:rsidRPr="006E162D">
        <w:rPr>
          <w:rFonts w:ascii="Book Antiqua" w:hAnsi="Book Antiqua" w:cs="Calibri"/>
        </w:rPr>
        <w:t xml:space="preserve">Deep reform of </w:t>
      </w:r>
      <w:r w:rsidR="000A2C97" w:rsidRPr="006E162D">
        <w:rPr>
          <w:rFonts w:ascii="Book Antiqua" w:hAnsi="Book Antiqua" w:cs="Calibri"/>
        </w:rPr>
        <w:t xml:space="preserve">how </w:t>
      </w:r>
      <w:r w:rsidR="000C5B17" w:rsidRPr="006E162D">
        <w:rPr>
          <w:rFonts w:ascii="Book Antiqua" w:hAnsi="Book Antiqua" w:cs="Calibri"/>
        </w:rPr>
        <w:t>constitutional</w:t>
      </w:r>
      <w:r w:rsidR="000A2C97" w:rsidRPr="006E162D">
        <w:rPr>
          <w:rFonts w:ascii="Book Antiqua" w:hAnsi="Book Antiqua" w:cs="Calibri"/>
        </w:rPr>
        <w:t xml:space="preserve"> institutions interact</w:t>
      </w:r>
      <w:r w:rsidR="000C5B17" w:rsidRPr="006E162D">
        <w:rPr>
          <w:rFonts w:ascii="Book Antiqua" w:hAnsi="Book Antiqua" w:cs="Calibri"/>
        </w:rPr>
        <w:t xml:space="preserve"> requires careful attention to</w:t>
      </w:r>
      <w:r w:rsidR="000A2C97" w:rsidRPr="006E162D">
        <w:rPr>
          <w:rFonts w:ascii="Book Antiqua" w:hAnsi="Book Antiqua" w:cs="Calibri"/>
        </w:rPr>
        <w:t xml:space="preserve"> how different constitutional actors understand</w:t>
      </w:r>
      <w:r w:rsidR="000C5B17" w:rsidRPr="006E162D">
        <w:rPr>
          <w:rFonts w:ascii="Book Antiqua" w:hAnsi="Book Antiqua" w:cs="Calibri"/>
        </w:rPr>
        <w:t xml:space="preserve"> the</w:t>
      </w:r>
      <w:r w:rsidR="000A2C97" w:rsidRPr="006E162D">
        <w:rPr>
          <w:rFonts w:ascii="Book Antiqua" w:hAnsi="Book Antiqua" w:cs="Calibri"/>
        </w:rPr>
        <w:t xml:space="preserve"> Constitution</w:t>
      </w:r>
      <w:r w:rsidR="00497B32">
        <w:rPr>
          <w:rFonts w:ascii="Book Antiqua" w:hAnsi="Book Antiqua" w:cs="Calibri"/>
        </w:rPr>
        <w:t>.</w:t>
      </w:r>
      <w:r w:rsidR="000A2C97" w:rsidRPr="006E162D">
        <w:rPr>
          <w:rFonts w:ascii="Book Antiqua" w:hAnsi="Book Antiqua" w:cs="Calibri"/>
        </w:rPr>
        <w:t xml:space="preserve"> </w:t>
      </w:r>
      <w:r w:rsidR="00D95EA5" w:rsidRPr="006E162D">
        <w:rPr>
          <w:rFonts w:ascii="Book Antiqua" w:hAnsi="Book Antiqua" w:cs="Calibri"/>
        </w:rPr>
        <w:t xml:space="preserve">If a </w:t>
      </w:r>
      <w:r w:rsidR="00D95EA5" w:rsidRPr="006E162D">
        <w:rPr>
          <w:rFonts w:ascii="Book Antiqua" w:hAnsi="Book Antiqua" w:cs="Calibri"/>
        </w:rPr>
        <w:lastRenderedPageBreak/>
        <w:t>constitutional culture, and its assumptions and presuppositions</w:t>
      </w:r>
      <w:r w:rsidR="00497B32">
        <w:rPr>
          <w:rFonts w:ascii="Book Antiqua" w:hAnsi="Book Antiqua" w:cs="Calibri"/>
        </w:rPr>
        <w:t>,</w:t>
      </w:r>
      <w:r w:rsidR="00D95EA5" w:rsidRPr="00497B32">
        <w:rPr>
          <w:rFonts w:ascii="Book Antiqua" w:hAnsi="Book Antiqua" w:cs="Calibri"/>
        </w:rPr>
        <w:t xml:space="preserve"> </w:t>
      </w:r>
      <w:r w:rsidR="000D1A77" w:rsidRPr="00061F78">
        <w:rPr>
          <w:rFonts w:ascii="Book Antiqua" w:hAnsi="Book Antiqua" w:cs="Calibri"/>
        </w:rPr>
        <w:t>can be</w:t>
      </w:r>
      <w:r w:rsidR="00D95EA5" w:rsidRPr="00061F78">
        <w:rPr>
          <w:rFonts w:ascii="Book Antiqua" w:hAnsi="Book Antiqua" w:cs="Calibri"/>
        </w:rPr>
        <w:t xml:space="preserve"> mapped out, constit</w:t>
      </w:r>
      <w:r w:rsidR="00D95EA5" w:rsidRPr="001935DE">
        <w:rPr>
          <w:rFonts w:ascii="Book Antiqua" w:hAnsi="Book Antiqua" w:cs="Calibri"/>
        </w:rPr>
        <w:t xml:space="preserve">utional actors and commentators </w:t>
      </w:r>
      <w:r w:rsidR="00497B32">
        <w:rPr>
          <w:rFonts w:ascii="Book Antiqua" w:hAnsi="Book Antiqua" w:cs="Calibri"/>
        </w:rPr>
        <w:t xml:space="preserve">might </w:t>
      </w:r>
      <w:r w:rsidR="00D95EA5" w:rsidRPr="00497B32">
        <w:rPr>
          <w:rFonts w:ascii="Book Antiqua" w:hAnsi="Book Antiqua" w:cs="Calibri"/>
        </w:rPr>
        <w:t xml:space="preserve">be in a better place to </w:t>
      </w:r>
      <w:r w:rsidR="000D1A77" w:rsidRPr="00497B32">
        <w:rPr>
          <w:rFonts w:ascii="Book Antiqua" w:hAnsi="Book Antiqua" w:cs="Calibri"/>
        </w:rPr>
        <w:t>highlight</w:t>
      </w:r>
      <w:r w:rsidR="00D95EA5" w:rsidRPr="00497B32">
        <w:rPr>
          <w:rFonts w:ascii="Book Antiqua" w:hAnsi="Book Antiqua" w:cs="Calibri"/>
        </w:rPr>
        <w:t xml:space="preserve"> the contingent nature of </w:t>
      </w:r>
      <w:r w:rsidR="00497B32">
        <w:rPr>
          <w:rFonts w:ascii="Book Antiqua" w:hAnsi="Book Antiqua" w:cs="Calibri"/>
        </w:rPr>
        <w:t>these assumptions and re-examine them.</w:t>
      </w:r>
    </w:p>
    <w:p w14:paraId="47B45928" w14:textId="1EBA247E" w:rsidR="00D95EA5" w:rsidRPr="006E162D" w:rsidRDefault="00D95EA5" w:rsidP="00605138">
      <w:pPr>
        <w:autoSpaceDE w:val="0"/>
        <w:autoSpaceDN w:val="0"/>
        <w:adjustRightInd w:val="0"/>
        <w:spacing w:line="360" w:lineRule="auto"/>
        <w:jc w:val="both"/>
        <w:rPr>
          <w:rFonts w:ascii="Book Antiqua" w:hAnsi="Book Antiqua" w:cs="Calibri"/>
        </w:rPr>
      </w:pPr>
    </w:p>
    <w:p w14:paraId="06F315EB" w14:textId="4D6347B9" w:rsidR="002247F8" w:rsidRPr="00497B32" w:rsidRDefault="00497B32" w:rsidP="00605138">
      <w:pPr>
        <w:autoSpaceDE w:val="0"/>
        <w:autoSpaceDN w:val="0"/>
        <w:adjustRightInd w:val="0"/>
        <w:spacing w:line="360" w:lineRule="auto"/>
        <w:jc w:val="both"/>
        <w:rPr>
          <w:rFonts w:ascii="Calibri" w:hAnsi="Calibri" w:cs="Calibri"/>
          <w:sz w:val="18"/>
          <w:szCs w:val="18"/>
        </w:rPr>
      </w:pPr>
      <w:r>
        <w:rPr>
          <w:rFonts w:ascii="Book Antiqua" w:hAnsi="Book Antiqua" w:cs="Calibri"/>
        </w:rPr>
        <w:t xml:space="preserve">However, </w:t>
      </w:r>
      <w:r w:rsidR="002C7FD0">
        <w:rPr>
          <w:rFonts w:ascii="Book Antiqua" w:hAnsi="Book Antiqua" w:cs="Calibri"/>
        </w:rPr>
        <w:t>culture</w:t>
      </w:r>
      <w:r>
        <w:rPr>
          <w:rFonts w:ascii="Book Antiqua" w:hAnsi="Book Antiqua" w:cs="Calibri"/>
        </w:rPr>
        <w:t xml:space="preserve"> is </w:t>
      </w:r>
      <w:r w:rsidR="000C5B17" w:rsidRPr="006E162D">
        <w:rPr>
          <w:rFonts w:ascii="Book Antiqua" w:hAnsi="Book Antiqua" w:cs="Calibri"/>
        </w:rPr>
        <w:t>difficult to capture</w:t>
      </w:r>
      <w:r w:rsidR="00AD0643" w:rsidRPr="006E162D">
        <w:rPr>
          <w:rFonts w:ascii="Book Antiqua" w:hAnsi="Book Antiqua" w:cs="Calibri"/>
        </w:rPr>
        <w:t xml:space="preserve"> and document</w:t>
      </w:r>
      <w:r w:rsidR="000C5B17" w:rsidRPr="006E162D">
        <w:rPr>
          <w:rFonts w:ascii="Book Antiqua" w:hAnsi="Book Antiqua" w:cs="Calibri"/>
        </w:rPr>
        <w:t xml:space="preserve">, </w:t>
      </w:r>
      <w:r w:rsidR="00EE0DBF" w:rsidRPr="006E162D">
        <w:rPr>
          <w:rFonts w:ascii="Book Antiqua" w:hAnsi="Book Antiqua" w:cs="Calibri"/>
        </w:rPr>
        <w:t>given that ‘many of the workings of the constitution are not visible to outsiders</w:t>
      </w:r>
      <w:r w:rsidR="00715129" w:rsidRPr="006E162D">
        <w:rPr>
          <w:rFonts w:ascii="Book Antiqua" w:hAnsi="Book Antiqua" w:cs="Calibri"/>
        </w:rPr>
        <w:t>.</w:t>
      </w:r>
      <w:r w:rsidR="00605138" w:rsidRPr="006E162D">
        <w:rPr>
          <w:rFonts w:ascii="Book Antiqua" w:hAnsi="Book Antiqua" w:cs="Calibri"/>
        </w:rPr>
        <w:t>’</w:t>
      </w:r>
      <w:r w:rsidR="00605138" w:rsidRPr="00692FEB">
        <w:rPr>
          <w:rStyle w:val="FootnoteReference"/>
          <w:rFonts w:ascii="Book Antiqua" w:hAnsi="Book Antiqua" w:cs="Calibri"/>
        </w:rPr>
        <w:footnoteReference w:id="110"/>
      </w:r>
      <w:r w:rsidR="00077075" w:rsidRPr="00692FEB">
        <w:rPr>
          <w:rFonts w:ascii="Book Antiqua" w:hAnsi="Book Antiqua" w:cs="Calibri"/>
        </w:rPr>
        <w:t xml:space="preserve"> </w:t>
      </w:r>
      <w:r>
        <w:rPr>
          <w:rFonts w:ascii="Book Antiqua" w:hAnsi="Book Antiqua" w:cs="Calibri"/>
        </w:rPr>
        <w:t>But e</w:t>
      </w:r>
      <w:r w:rsidR="00EE0DBF" w:rsidRPr="003739B7">
        <w:rPr>
          <w:rFonts w:ascii="Book Antiqua" w:hAnsi="Book Antiqua" w:cs="Calibri"/>
        </w:rPr>
        <w:t xml:space="preserve">ven </w:t>
      </w:r>
      <w:r w:rsidR="00605138" w:rsidRPr="003739B7">
        <w:rPr>
          <w:rFonts w:ascii="Book Antiqua" w:hAnsi="Book Antiqua" w:cs="Calibri"/>
        </w:rPr>
        <w:t xml:space="preserve">insiders will find it difficult to step outside of themselves, from their situated position inside the very </w:t>
      </w:r>
      <w:r w:rsidR="00315A48" w:rsidRPr="002516B9">
        <w:rPr>
          <w:rFonts w:ascii="Book Antiqua" w:hAnsi="Book Antiqua" w:cs="Calibri"/>
        </w:rPr>
        <w:t>political</w:t>
      </w:r>
      <w:r w:rsidR="00605138" w:rsidRPr="002516B9">
        <w:rPr>
          <w:rFonts w:ascii="Book Antiqua" w:hAnsi="Book Antiqua" w:cs="Calibri"/>
        </w:rPr>
        <w:t xml:space="preserve"> practices and activities </w:t>
      </w:r>
      <w:r w:rsidR="00E77919" w:rsidRPr="002516B9">
        <w:rPr>
          <w:rFonts w:ascii="Book Antiqua" w:hAnsi="Book Antiqua" w:cs="Calibri"/>
        </w:rPr>
        <w:t>under examination</w:t>
      </w:r>
      <w:r w:rsidR="00605138" w:rsidRPr="002516B9">
        <w:rPr>
          <w:rFonts w:ascii="Book Antiqua" w:hAnsi="Book Antiqua" w:cs="Calibri"/>
        </w:rPr>
        <w:t>, to tell us what those practices are</w:t>
      </w:r>
      <w:r w:rsidR="00077075" w:rsidRPr="00417899">
        <w:rPr>
          <w:rFonts w:ascii="Book Antiqua" w:hAnsi="Book Antiqua" w:cs="Calibri"/>
        </w:rPr>
        <w:t>,</w:t>
      </w:r>
      <w:r w:rsidR="00715129" w:rsidRPr="00417899">
        <w:rPr>
          <w:rFonts w:ascii="Book Antiqua" w:hAnsi="Book Antiqua" w:cs="Calibri"/>
        </w:rPr>
        <w:t xml:space="preserve"> and how</w:t>
      </w:r>
      <w:r w:rsidR="00E77919" w:rsidRPr="00417899">
        <w:rPr>
          <w:rFonts w:ascii="Book Antiqua" w:hAnsi="Book Antiqua" w:cs="Calibri"/>
        </w:rPr>
        <w:t xml:space="preserve"> they think</w:t>
      </w:r>
      <w:r w:rsidR="00715129" w:rsidRPr="001F3383">
        <w:rPr>
          <w:rFonts w:ascii="Book Antiqua" w:hAnsi="Book Antiqua" w:cs="Calibri"/>
        </w:rPr>
        <w:t xml:space="preserve"> constitutional culture shapes them</w:t>
      </w:r>
      <w:r w:rsidR="00605138" w:rsidRPr="001F3383">
        <w:rPr>
          <w:rFonts w:ascii="Book Antiqua" w:hAnsi="Book Antiqua" w:cs="Calibri"/>
        </w:rPr>
        <w:t xml:space="preserve">. </w:t>
      </w:r>
      <w:r>
        <w:rPr>
          <w:rFonts w:ascii="Book Antiqua" w:hAnsi="Book Antiqua" w:cs="Calibri"/>
        </w:rPr>
        <w:t>T</w:t>
      </w:r>
      <w:r w:rsidR="00605138" w:rsidRPr="00716BF0">
        <w:rPr>
          <w:rFonts w:ascii="Book Antiqua" w:hAnsi="Book Antiqua" w:cs="Calibri"/>
        </w:rPr>
        <w:t>heir account of the influence of constitutional culture on political decision-making</w:t>
      </w:r>
      <w:r w:rsidR="00784886" w:rsidRPr="00497B32">
        <w:rPr>
          <w:rFonts w:ascii="Book Antiqua" w:hAnsi="Book Antiqua" w:cs="Calibri"/>
        </w:rPr>
        <w:t>,</w:t>
      </w:r>
      <w:r w:rsidR="00605138" w:rsidRPr="00497B32">
        <w:rPr>
          <w:rFonts w:ascii="Book Antiqua" w:hAnsi="Book Antiqua" w:cs="Calibri"/>
        </w:rPr>
        <w:t xml:space="preserve"> and how they interpret the Constitution</w:t>
      </w:r>
      <w:r w:rsidR="00784886" w:rsidRPr="00497B32">
        <w:rPr>
          <w:rFonts w:ascii="Book Antiqua" w:hAnsi="Book Antiqua" w:cs="Calibri"/>
        </w:rPr>
        <w:t>,</w:t>
      </w:r>
      <w:r w:rsidR="00605138" w:rsidRPr="00061F78">
        <w:rPr>
          <w:rFonts w:ascii="Book Antiqua" w:hAnsi="Book Antiqua" w:cs="Calibri"/>
        </w:rPr>
        <w:t xml:space="preserve"> </w:t>
      </w:r>
      <w:r w:rsidR="00784886" w:rsidRPr="00061F78">
        <w:rPr>
          <w:rFonts w:ascii="Book Antiqua" w:hAnsi="Book Antiqua" w:cs="Calibri"/>
        </w:rPr>
        <w:t>will be</w:t>
      </w:r>
      <w:r w:rsidR="00605138" w:rsidRPr="001935DE">
        <w:rPr>
          <w:rFonts w:ascii="Book Antiqua" w:hAnsi="Book Antiqua" w:cs="Calibri"/>
        </w:rPr>
        <w:t xml:space="preserve"> given from within a political identity already formed and sha</w:t>
      </w:r>
      <w:r w:rsidR="00605138" w:rsidRPr="00D47D06">
        <w:rPr>
          <w:rFonts w:ascii="Book Antiqua" w:hAnsi="Book Antiqua" w:cs="Calibri"/>
        </w:rPr>
        <w:t xml:space="preserve">ped, subconsciously, by the </w:t>
      </w:r>
      <w:r w:rsidR="00784886" w:rsidRPr="00D47D06">
        <w:rPr>
          <w:rFonts w:ascii="Book Antiqua" w:hAnsi="Book Antiqua" w:cs="Calibri"/>
        </w:rPr>
        <w:t>culture</w:t>
      </w:r>
      <w:r w:rsidR="00605138" w:rsidRPr="005F4D9F">
        <w:rPr>
          <w:rFonts w:ascii="Book Antiqua" w:hAnsi="Book Antiqua" w:cs="Calibri"/>
        </w:rPr>
        <w:t xml:space="preserve"> they are trying to identify.</w:t>
      </w:r>
      <w:r w:rsidR="00605138" w:rsidRPr="00692FEB">
        <w:rPr>
          <w:rStyle w:val="FootnoteReference"/>
          <w:rFonts w:ascii="Book Antiqua" w:hAnsi="Book Antiqua" w:cs="Calibri"/>
        </w:rPr>
        <w:footnoteReference w:id="111"/>
      </w:r>
      <w:r w:rsidR="00605138" w:rsidRPr="00692FEB">
        <w:rPr>
          <w:rFonts w:ascii="Book Antiqua" w:hAnsi="Book Antiqua" w:cs="Calibri"/>
        </w:rPr>
        <w:t xml:space="preserve"> </w:t>
      </w:r>
      <w:r w:rsidR="00EE0DBF" w:rsidRPr="003739B7">
        <w:rPr>
          <w:rFonts w:ascii="Book Antiqua" w:hAnsi="Book Antiqua" w:cs="Calibri"/>
        </w:rPr>
        <w:t>B</w:t>
      </w:r>
      <w:r w:rsidR="000C5B17" w:rsidRPr="003739B7">
        <w:rPr>
          <w:rFonts w:ascii="Book Antiqua" w:hAnsi="Book Antiqua" w:cs="Calibri"/>
        </w:rPr>
        <w:t>ut</w:t>
      </w:r>
      <w:r>
        <w:rPr>
          <w:rFonts w:ascii="Book Antiqua" w:hAnsi="Book Antiqua" w:cs="Calibri"/>
        </w:rPr>
        <w:t>, even if difficult,</w:t>
      </w:r>
      <w:r w:rsidR="00E23D9D">
        <w:rPr>
          <w:rFonts w:ascii="Book Antiqua" w:hAnsi="Book Antiqua" w:cs="Calibri"/>
        </w:rPr>
        <w:t xml:space="preserve"> our case-study shows </w:t>
      </w:r>
      <w:r w:rsidR="009B3778">
        <w:rPr>
          <w:rFonts w:ascii="Book Antiqua" w:hAnsi="Book Antiqua" w:cs="Calibri"/>
        </w:rPr>
        <w:t>that</w:t>
      </w:r>
      <w:r>
        <w:rPr>
          <w:rFonts w:ascii="Book Antiqua" w:hAnsi="Book Antiqua" w:cs="Calibri"/>
        </w:rPr>
        <w:t xml:space="preserve"> knowing whatever we can about constitutional culture </w:t>
      </w:r>
      <w:r w:rsidR="000C5B17" w:rsidRPr="003739B7">
        <w:rPr>
          <w:rFonts w:ascii="Book Antiqua" w:hAnsi="Book Antiqua" w:cs="Calibri"/>
        </w:rPr>
        <w:t>may prove indispensable for any</w:t>
      </w:r>
      <w:r w:rsidR="009F0106">
        <w:rPr>
          <w:rFonts w:ascii="Book Antiqua" w:hAnsi="Book Antiqua" w:cs="Calibri"/>
        </w:rPr>
        <w:t xml:space="preserve"> genuine</w:t>
      </w:r>
      <w:r w:rsidR="00AD0643" w:rsidRPr="002516B9">
        <w:rPr>
          <w:rFonts w:ascii="Book Antiqua" w:hAnsi="Book Antiqua" w:cs="Calibri"/>
        </w:rPr>
        <w:t xml:space="preserve"> </w:t>
      </w:r>
      <w:r w:rsidR="000C5B17" w:rsidRPr="002516B9">
        <w:rPr>
          <w:rFonts w:ascii="Book Antiqua" w:hAnsi="Book Antiqua" w:cs="Calibri"/>
        </w:rPr>
        <w:t>attempt to recalibrate the balance of constitutional</w:t>
      </w:r>
      <w:r w:rsidR="000C5B17" w:rsidRPr="00417899">
        <w:rPr>
          <w:rFonts w:ascii="Book Antiqua" w:hAnsi="Book Antiqua" w:cs="Calibri"/>
        </w:rPr>
        <w:t xml:space="preserve"> power between the executive and legislature.</w:t>
      </w:r>
      <w:r w:rsidR="00214F36">
        <w:rPr>
          <w:rFonts w:ascii="Book Antiqua" w:hAnsi="Book Antiqua" w:cs="Calibri"/>
        </w:rPr>
        <w:t xml:space="preserve"> </w:t>
      </w:r>
    </w:p>
    <w:sectPr w:rsidR="002247F8" w:rsidRPr="00497B32" w:rsidSect="00590939">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044FB" w14:textId="77777777" w:rsidR="00B27B80" w:rsidRDefault="00B27B80" w:rsidP="00910FEB">
      <w:r>
        <w:separator/>
      </w:r>
    </w:p>
  </w:endnote>
  <w:endnote w:type="continuationSeparator" w:id="0">
    <w:p w14:paraId="74AE1468" w14:textId="77777777" w:rsidR="00B27B80" w:rsidRDefault="00B27B80" w:rsidP="0091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Á0”˛">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7524048"/>
      <w:docPartObj>
        <w:docPartGallery w:val="Page Numbers (Bottom of Page)"/>
        <w:docPartUnique/>
      </w:docPartObj>
    </w:sdtPr>
    <w:sdtEndPr>
      <w:rPr>
        <w:rStyle w:val="PageNumber"/>
      </w:rPr>
    </w:sdtEndPr>
    <w:sdtContent>
      <w:p w14:paraId="15AF4FE9" w14:textId="71066CBA" w:rsidR="00672A14" w:rsidRDefault="00672A14" w:rsidP="00371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10418C" w14:textId="77777777" w:rsidR="00672A14" w:rsidRDefault="00672A14" w:rsidP="006E16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5488649"/>
      <w:docPartObj>
        <w:docPartGallery w:val="Page Numbers (Bottom of Page)"/>
        <w:docPartUnique/>
      </w:docPartObj>
    </w:sdtPr>
    <w:sdtEndPr>
      <w:rPr>
        <w:rStyle w:val="PageNumber"/>
      </w:rPr>
    </w:sdtEndPr>
    <w:sdtContent>
      <w:p w14:paraId="3C5FF0EC" w14:textId="070681E8" w:rsidR="00672A14" w:rsidRDefault="00672A14" w:rsidP="00371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3B19F6" w14:textId="77777777" w:rsidR="00672A14" w:rsidRDefault="00672A14" w:rsidP="006E16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B8923" w14:textId="77777777" w:rsidR="00B27B80" w:rsidRDefault="00B27B80" w:rsidP="00910FEB">
      <w:r>
        <w:separator/>
      </w:r>
    </w:p>
  </w:footnote>
  <w:footnote w:type="continuationSeparator" w:id="0">
    <w:p w14:paraId="43DC8781" w14:textId="77777777" w:rsidR="00B27B80" w:rsidRDefault="00B27B80" w:rsidP="00910FEB">
      <w:r>
        <w:continuationSeparator/>
      </w:r>
    </w:p>
  </w:footnote>
  <w:footnote w:id="1">
    <w:p w14:paraId="256D24BD" w14:textId="5A7A1322" w:rsidR="00851A80" w:rsidRPr="00851A80" w:rsidRDefault="00851A80">
      <w:pPr>
        <w:pStyle w:val="FootnoteText"/>
        <w:rPr>
          <w:rFonts w:ascii="Book Antiqua" w:hAnsi="Book Antiqua"/>
          <w:color w:val="000000" w:themeColor="text1"/>
          <w:sz w:val="18"/>
          <w:szCs w:val="18"/>
          <w:lang w:val="en-GB"/>
        </w:rPr>
      </w:pPr>
      <w:r w:rsidRPr="00851A80">
        <w:rPr>
          <w:rStyle w:val="FootnoteReference"/>
          <w:rFonts w:ascii="Book Antiqua" w:hAnsi="Book Antiqua"/>
          <w:color w:val="000000" w:themeColor="text1"/>
          <w:sz w:val="18"/>
          <w:szCs w:val="18"/>
        </w:rPr>
        <w:footnoteRef/>
      </w:r>
      <w:r w:rsidRPr="00851A80">
        <w:rPr>
          <w:rFonts w:ascii="Book Antiqua" w:hAnsi="Book Antiqua"/>
          <w:color w:val="000000" w:themeColor="text1"/>
          <w:sz w:val="18"/>
          <w:szCs w:val="18"/>
        </w:rPr>
        <w:t xml:space="preserve"> Max Weber Postdoctoral Fellow, European University Institute.</w:t>
      </w:r>
    </w:p>
  </w:footnote>
  <w:footnote w:id="2">
    <w:p w14:paraId="74DA2C29" w14:textId="7A62BA48" w:rsidR="00851A80" w:rsidRPr="00851A80" w:rsidRDefault="00851A80">
      <w:pPr>
        <w:pStyle w:val="FootnoteText"/>
        <w:rPr>
          <w:rFonts w:ascii="Book Antiqua" w:hAnsi="Book Antiqua"/>
          <w:color w:val="000000" w:themeColor="text1"/>
          <w:sz w:val="18"/>
          <w:szCs w:val="18"/>
          <w:lang w:val="en-GB"/>
        </w:rPr>
      </w:pPr>
      <w:r w:rsidRPr="00851A80">
        <w:rPr>
          <w:rStyle w:val="FootnoteReference"/>
          <w:rFonts w:ascii="Book Antiqua" w:hAnsi="Book Antiqua"/>
          <w:color w:val="000000" w:themeColor="text1"/>
          <w:sz w:val="18"/>
          <w:szCs w:val="18"/>
        </w:rPr>
        <w:footnoteRef/>
      </w:r>
      <w:r w:rsidRPr="00851A80">
        <w:rPr>
          <w:rFonts w:ascii="Book Antiqua" w:hAnsi="Book Antiqua"/>
          <w:color w:val="000000" w:themeColor="text1"/>
          <w:sz w:val="18"/>
          <w:szCs w:val="18"/>
        </w:rPr>
        <w:t xml:space="preserve"> </w:t>
      </w:r>
      <w:r w:rsidRPr="00851A80">
        <w:rPr>
          <w:rFonts w:ascii="Book Antiqua" w:hAnsi="Book Antiqua"/>
          <w:color w:val="000000" w:themeColor="text1"/>
          <w:sz w:val="18"/>
          <w:szCs w:val="18"/>
        </w:rPr>
        <w:t>Assistant Professor, Trinity College, Dublin.</w:t>
      </w:r>
    </w:p>
  </w:footnote>
  <w:footnote w:id="3">
    <w:p w14:paraId="0F333381" w14:textId="6E60CB08" w:rsidR="00672A14" w:rsidRPr="00851A80" w:rsidRDefault="00672A14" w:rsidP="00D723D1">
      <w:pPr>
        <w:pStyle w:val="FootnoteText"/>
        <w:jc w:val="both"/>
        <w:rPr>
          <w:rFonts w:ascii="Book Antiqua" w:hAnsi="Book Antiqua" w:cs="Calibri"/>
          <w:color w:val="000000" w:themeColor="text1"/>
          <w:sz w:val="18"/>
          <w:szCs w:val="18"/>
        </w:rPr>
      </w:pPr>
      <w:r w:rsidRPr="00851A80">
        <w:rPr>
          <w:rStyle w:val="FootnoteReference"/>
          <w:rFonts w:ascii="Book Antiqua" w:hAnsi="Book Antiqua" w:cs="Calibri"/>
          <w:color w:val="000000" w:themeColor="text1"/>
          <w:sz w:val="18"/>
          <w:szCs w:val="18"/>
        </w:rPr>
        <w:footnoteRef/>
      </w:r>
      <w:r w:rsidRPr="00851A80">
        <w:rPr>
          <w:rFonts w:ascii="Book Antiqua" w:hAnsi="Book Antiqua" w:cs="Calibri"/>
          <w:color w:val="000000" w:themeColor="text1"/>
          <w:sz w:val="18"/>
          <w:szCs w:val="18"/>
        </w:rPr>
        <w:t xml:space="preserve"> </w:t>
      </w:r>
      <w:r w:rsidRPr="00851A80">
        <w:rPr>
          <w:rFonts w:ascii="Book Antiqua" w:hAnsi="Book Antiqua" w:cs="Calibri"/>
          <w:i/>
          <w:iCs/>
          <w:color w:val="000000" w:themeColor="text1"/>
          <w:sz w:val="18"/>
          <w:szCs w:val="18"/>
        </w:rPr>
        <w:t xml:space="preserve">See </w:t>
      </w:r>
      <w:r w:rsidRPr="00851A80">
        <w:rPr>
          <w:rFonts w:ascii="Book Antiqua" w:hAnsi="Book Antiqua" w:cs="Calibri"/>
          <w:color w:val="000000" w:themeColor="text1"/>
          <w:sz w:val="18"/>
          <w:szCs w:val="18"/>
        </w:rPr>
        <w:t>Margit Cohn, “Tension and Legality: Towards a Theory of the Executive Branch” (2016) 29 Canadian Journal of Law &amp; Jurisprudence</w:t>
      </w:r>
      <w:r w:rsidRPr="00851A80">
        <w:rPr>
          <w:rFonts w:ascii="Book Antiqua" w:hAnsi="Book Antiqua" w:cs="Calibri"/>
          <w:i/>
          <w:iCs/>
          <w:color w:val="000000" w:themeColor="text1"/>
          <w:sz w:val="18"/>
          <w:szCs w:val="18"/>
        </w:rPr>
        <w:t xml:space="preserve"> </w:t>
      </w:r>
      <w:r w:rsidRPr="00851A80">
        <w:rPr>
          <w:rFonts w:ascii="Book Antiqua" w:hAnsi="Book Antiqua" w:cs="Calibri"/>
          <w:color w:val="000000" w:themeColor="text1"/>
          <w:sz w:val="18"/>
          <w:szCs w:val="18"/>
        </w:rPr>
        <w:t>321, 344; see Albert, “Presidential Values in Parliamentary Democracies” (2010) 8 International Journal of Constitutional Law</w:t>
      </w:r>
      <w:r w:rsidRPr="00851A80">
        <w:rPr>
          <w:rFonts w:ascii="Book Antiqua" w:hAnsi="Book Antiqua" w:cs="Calibri"/>
          <w:i/>
          <w:iCs/>
          <w:color w:val="000000" w:themeColor="text1"/>
          <w:sz w:val="18"/>
          <w:szCs w:val="18"/>
        </w:rPr>
        <w:t xml:space="preserve"> </w:t>
      </w:r>
      <w:r w:rsidRPr="00851A80">
        <w:rPr>
          <w:rFonts w:ascii="Book Antiqua" w:hAnsi="Book Antiqua" w:cs="Calibri"/>
          <w:color w:val="000000" w:themeColor="text1"/>
          <w:sz w:val="18"/>
          <w:szCs w:val="18"/>
        </w:rPr>
        <w:t>207.</w:t>
      </w:r>
    </w:p>
  </w:footnote>
  <w:footnote w:id="4">
    <w:p w14:paraId="32C74C86" w14:textId="602E5596" w:rsidR="00672A14" w:rsidRPr="00851A80" w:rsidRDefault="00672A14" w:rsidP="00D723D1">
      <w:pPr>
        <w:pStyle w:val="FootnoteText"/>
        <w:jc w:val="both"/>
        <w:rPr>
          <w:rFonts w:ascii="Book Antiqua" w:hAnsi="Book Antiqua"/>
          <w:color w:val="000000" w:themeColor="text1"/>
          <w:sz w:val="18"/>
          <w:szCs w:val="18"/>
          <w:lang w:val="en-GB"/>
        </w:rPr>
      </w:pPr>
      <w:r w:rsidRPr="00851A80">
        <w:rPr>
          <w:rStyle w:val="FootnoteReference"/>
          <w:rFonts w:ascii="Book Antiqua" w:hAnsi="Book Antiqua"/>
          <w:color w:val="000000" w:themeColor="text1"/>
          <w:sz w:val="18"/>
          <w:szCs w:val="18"/>
        </w:rPr>
        <w:footnoteRef/>
      </w:r>
      <w:r w:rsidRPr="00851A80">
        <w:rPr>
          <w:rFonts w:ascii="Book Antiqua" w:hAnsi="Book Antiqua"/>
          <w:color w:val="000000" w:themeColor="text1"/>
          <w:sz w:val="18"/>
          <w:szCs w:val="18"/>
        </w:rPr>
        <w:t xml:space="preserve"> </w:t>
      </w:r>
      <w:r w:rsidRPr="00851A80">
        <w:rPr>
          <w:rFonts w:ascii="Book Antiqua" w:hAnsi="Book Antiqua"/>
          <w:color w:val="000000" w:themeColor="text1"/>
          <w:sz w:val="18"/>
          <w:szCs w:val="18"/>
          <w:lang w:val="en-GB"/>
        </w:rPr>
        <w:t xml:space="preserve">In the UK context </w:t>
      </w:r>
      <w:r w:rsidRPr="00851A80">
        <w:rPr>
          <w:rFonts w:ascii="Book Antiqua" w:hAnsi="Book Antiqua"/>
          <w:i/>
          <w:iCs/>
          <w:color w:val="000000" w:themeColor="text1"/>
          <w:sz w:val="18"/>
          <w:szCs w:val="18"/>
          <w:lang w:val="en-GB"/>
        </w:rPr>
        <w:t xml:space="preserve">see e.g. </w:t>
      </w:r>
      <w:r w:rsidRPr="00851A80">
        <w:rPr>
          <w:rFonts w:ascii="Book Antiqua" w:hAnsi="Book Antiqua" w:cs="Arial"/>
          <w:i/>
          <w:iCs/>
          <w:color w:val="000000" w:themeColor="text1"/>
          <w:sz w:val="18"/>
          <w:szCs w:val="18"/>
        </w:rPr>
        <w:t xml:space="preserve">R (Miller) v Prime Minister </w:t>
      </w:r>
      <w:r w:rsidRPr="00851A80">
        <w:rPr>
          <w:rFonts w:ascii="Book Antiqua" w:hAnsi="Book Antiqua"/>
          <w:color w:val="000000" w:themeColor="text1"/>
          <w:sz w:val="18"/>
          <w:szCs w:val="18"/>
        </w:rPr>
        <w:t xml:space="preserve">[2019] UKSC 41; </w:t>
      </w:r>
      <w:r w:rsidRPr="00851A80">
        <w:rPr>
          <w:rFonts w:ascii="Book Antiqua" w:hAnsi="Book Antiqua"/>
          <w:color w:val="000000" w:themeColor="text1"/>
          <w:sz w:val="18"/>
          <w:szCs w:val="18"/>
          <w:lang w:val="en-GB"/>
        </w:rPr>
        <w:t xml:space="preserve">in an Irish context </w:t>
      </w:r>
      <w:r w:rsidRPr="00851A80">
        <w:rPr>
          <w:rFonts w:ascii="Book Antiqua" w:hAnsi="Book Antiqua"/>
          <w:i/>
          <w:iCs/>
          <w:color w:val="000000" w:themeColor="text1"/>
          <w:sz w:val="18"/>
          <w:szCs w:val="18"/>
          <w:lang w:val="en-GB"/>
        </w:rPr>
        <w:t xml:space="preserve">see </w:t>
      </w:r>
      <w:proofErr w:type="spellStart"/>
      <w:r w:rsidRPr="00851A80">
        <w:rPr>
          <w:rFonts w:ascii="Book Antiqua" w:eastAsia="Times New Roman" w:hAnsi="Book Antiqua" w:cs="Arial"/>
          <w:i/>
          <w:color w:val="000000" w:themeColor="text1"/>
          <w:sz w:val="18"/>
          <w:szCs w:val="18"/>
          <w:shd w:val="clear" w:color="auto" w:fill="FFFFFF"/>
        </w:rPr>
        <w:t>MacDonncha</w:t>
      </w:r>
      <w:proofErr w:type="spellEnd"/>
      <w:r w:rsidRPr="00851A80">
        <w:rPr>
          <w:rFonts w:ascii="Book Antiqua" w:eastAsia="Times New Roman" w:hAnsi="Book Antiqua" w:cs="Arial"/>
          <w:i/>
          <w:color w:val="000000" w:themeColor="text1"/>
          <w:sz w:val="18"/>
          <w:szCs w:val="18"/>
          <w:shd w:val="clear" w:color="auto" w:fill="FFFFFF"/>
        </w:rPr>
        <w:t xml:space="preserve"> v Minister for Education and Skills </w:t>
      </w:r>
      <w:r w:rsidRPr="00851A80">
        <w:rPr>
          <w:rFonts w:ascii="Book Antiqua" w:eastAsia="Times New Roman" w:hAnsi="Book Antiqua" w:cs="Arial"/>
          <w:color w:val="000000" w:themeColor="text1"/>
          <w:sz w:val="18"/>
          <w:szCs w:val="18"/>
          <w:shd w:val="clear" w:color="auto" w:fill="FFFFFF"/>
        </w:rPr>
        <w:t>[2013] IEHC 226.</w:t>
      </w:r>
    </w:p>
  </w:footnote>
  <w:footnote w:id="5">
    <w:p w14:paraId="6A545231" w14:textId="65B9DDB3" w:rsidR="00672A14" w:rsidRPr="00D723D1" w:rsidRDefault="00672A14" w:rsidP="00DA1254">
      <w:pPr>
        <w:jc w:val="both"/>
      </w:pPr>
      <w:r w:rsidRPr="00851A80">
        <w:rPr>
          <w:rStyle w:val="FootnoteReference"/>
          <w:rFonts w:ascii="Book Antiqua" w:hAnsi="Book Antiqua"/>
          <w:color w:val="000000" w:themeColor="text1"/>
          <w:sz w:val="18"/>
          <w:szCs w:val="18"/>
        </w:rPr>
        <w:footnoteRef/>
      </w:r>
      <w:r w:rsidRPr="00851A80">
        <w:rPr>
          <w:rFonts w:ascii="Book Antiqua" w:hAnsi="Book Antiqua"/>
          <w:color w:val="000000" w:themeColor="text1"/>
          <w:sz w:val="18"/>
          <w:szCs w:val="18"/>
        </w:rPr>
        <w:t xml:space="preserve"> These have a familial resemblance to debates in the UK around the distinction between so-called Westminster and Whitehall conceptions of the constitutional order.</w:t>
      </w:r>
      <w:r w:rsidRPr="00851A80">
        <w:rPr>
          <w:rFonts w:ascii="Book Antiqua" w:hAnsi="Book Antiqua"/>
          <w:i/>
          <w:iCs/>
          <w:color w:val="000000" w:themeColor="text1"/>
          <w:sz w:val="18"/>
          <w:szCs w:val="18"/>
        </w:rPr>
        <w:t xml:space="preserve"> See </w:t>
      </w:r>
      <w:r w:rsidRPr="00851A80">
        <w:rPr>
          <w:rFonts w:ascii="Book Antiqua" w:hAnsi="Book Antiqua"/>
          <w:color w:val="000000" w:themeColor="text1"/>
          <w:sz w:val="18"/>
          <w:szCs w:val="18"/>
        </w:rPr>
        <w:t>David Howarth</w:t>
      </w:r>
      <w:r w:rsidRPr="00851A80">
        <w:rPr>
          <w:rFonts w:ascii="Book Antiqua" w:hAnsi="Book Antiqua"/>
          <w:color w:val="000000" w:themeColor="text1"/>
          <w:sz w:val="18"/>
          <w:szCs w:val="18"/>
          <w:lang w:val="en-IE"/>
        </w:rPr>
        <w:t xml:space="preserve">, “Westminster versus Whitehall: Two Incompatible Views of the Constitution” UK </w:t>
      </w:r>
      <w:proofErr w:type="spellStart"/>
      <w:r w:rsidRPr="00851A80">
        <w:rPr>
          <w:rFonts w:ascii="Book Antiqua" w:hAnsi="Book Antiqua"/>
          <w:color w:val="000000" w:themeColor="text1"/>
          <w:sz w:val="18"/>
          <w:szCs w:val="18"/>
          <w:lang w:val="en-IE"/>
        </w:rPr>
        <w:t>Const</w:t>
      </w:r>
      <w:proofErr w:type="spellEnd"/>
      <w:r w:rsidRPr="00851A80">
        <w:rPr>
          <w:rFonts w:ascii="Book Antiqua" w:hAnsi="Book Antiqua"/>
          <w:color w:val="000000" w:themeColor="text1"/>
          <w:sz w:val="18"/>
          <w:szCs w:val="18"/>
          <w:lang w:val="en-IE"/>
        </w:rPr>
        <w:t xml:space="preserve"> Law Blog (18 April 2019). </w:t>
      </w:r>
      <w:r w:rsidRPr="00851A80">
        <w:rPr>
          <w:rFonts w:ascii="Book Antiqua" w:hAnsi="Book Antiqua"/>
          <w:color w:val="000000" w:themeColor="text1"/>
          <w:sz w:val="18"/>
          <w:szCs w:val="18"/>
          <w:lang w:val="en-IE"/>
        </w:rPr>
        <w:t xml:space="preserve">For a </w:t>
      </w:r>
      <w:r w:rsidR="00EE5347" w:rsidRPr="00851A80">
        <w:rPr>
          <w:rFonts w:ascii="Book Antiqua" w:hAnsi="Book Antiqua"/>
          <w:color w:val="000000" w:themeColor="text1"/>
          <w:sz w:val="18"/>
          <w:szCs w:val="18"/>
          <w:lang w:val="en-IE"/>
        </w:rPr>
        <w:t>defence of</w:t>
      </w:r>
      <w:r w:rsidRPr="00851A80">
        <w:rPr>
          <w:rFonts w:ascii="Book Antiqua" w:hAnsi="Book Antiqua"/>
          <w:color w:val="000000" w:themeColor="text1"/>
          <w:sz w:val="18"/>
          <w:szCs w:val="18"/>
          <w:lang w:val="en-IE"/>
        </w:rPr>
        <w:t xml:space="preserve"> executive-legislative relations in the ‘Whitehall’ conception of the UK constitutional order</w:t>
      </w:r>
      <w:r w:rsidR="00EE5347" w:rsidRPr="00851A80">
        <w:rPr>
          <w:rFonts w:ascii="Book Antiqua" w:hAnsi="Book Antiqua"/>
          <w:color w:val="000000" w:themeColor="text1"/>
          <w:sz w:val="18"/>
          <w:szCs w:val="18"/>
          <w:lang w:val="en-IE"/>
        </w:rPr>
        <w:t>,</w:t>
      </w:r>
      <w:r w:rsidRPr="00851A80">
        <w:rPr>
          <w:rFonts w:ascii="Book Antiqua" w:hAnsi="Book Antiqua"/>
          <w:color w:val="000000" w:themeColor="text1"/>
          <w:sz w:val="18"/>
          <w:szCs w:val="18"/>
          <w:lang w:val="en-IE"/>
        </w:rPr>
        <w:t xml:space="preserve"> </w:t>
      </w:r>
      <w:r w:rsidRPr="00851A80">
        <w:rPr>
          <w:rFonts w:ascii="Book Antiqua" w:hAnsi="Book Antiqua"/>
          <w:i/>
          <w:iCs/>
          <w:color w:val="000000" w:themeColor="text1"/>
          <w:sz w:val="18"/>
          <w:szCs w:val="18"/>
          <w:lang w:val="en-IE"/>
        </w:rPr>
        <w:t xml:space="preserve">see </w:t>
      </w:r>
      <w:r w:rsidRPr="00851A80">
        <w:rPr>
          <w:rFonts w:ascii="Book Antiqua" w:hAnsi="Book Antiqua"/>
          <w:color w:val="000000" w:themeColor="text1"/>
          <w:sz w:val="18"/>
          <w:szCs w:val="18"/>
          <w:lang w:val="en-IE"/>
        </w:rPr>
        <w:t xml:space="preserve">Stephen Laws and Richard Ekins, </w:t>
      </w:r>
      <w:r w:rsidRPr="00851A80">
        <w:rPr>
          <w:rFonts w:ascii="Book Antiqua" w:hAnsi="Book Antiqua"/>
          <w:i/>
          <w:iCs/>
          <w:color w:val="000000" w:themeColor="text1"/>
          <w:sz w:val="18"/>
          <w:szCs w:val="18"/>
          <w:lang w:val="en-IE"/>
        </w:rPr>
        <w:t xml:space="preserve">Endangering Constitutional Government: The risks of the House of Commons taking control </w:t>
      </w:r>
      <w:r w:rsidRPr="00851A80">
        <w:rPr>
          <w:rFonts w:ascii="Book Antiqua" w:hAnsi="Book Antiqua"/>
          <w:color w:val="000000" w:themeColor="text1"/>
          <w:sz w:val="18"/>
          <w:szCs w:val="18"/>
          <w:lang w:val="en-IE"/>
        </w:rPr>
        <w:t>(Policy Exchange, 2019).</w:t>
      </w:r>
    </w:p>
  </w:footnote>
  <w:footnote w:id="6">
    <w:p w14:paraId="5BA479CD" w14:textId="53B20CB6" w:rsidR="00672A14" w:rsidRPr="00092ED4" w:rsidRDefault="00672A14" w:rsidP="00675624">
      <w:pPr>
        <w:pStyle w:val="FootnoteText"/>
        <w:jc w:val="both"/>
        <w:rPr>
          <w:rFonts w:ascii="Book Antiqua" w:hAnsi="Book Antiqua" w:cs="Calibri"/>
          <w:sz w:val="18"/>
          <w:szCs w:val="18"/>
        </w:rPr>
      </w:pPr>
      <w:r w:rsidRPr="00D723D1">
        <w:rPr>
          <w:rStyle w:val="FootnoteReference"/>
          <w:rFonts w:ascii="Book Antiqua" w:hAnsi="Book Antiqua" w:cs="Calibri"/>
          <w:sz w:val="18"/>
          <w:szCs w:val="18"/>
        </w:rPr>
        <w:footnoteRef/>
      </w:r>
      <w:r w:rsidRPr="00D723D1">
        <w:rPr>
          <w:rFonts w:ascii="Book Antiqua" w:hAnsi="Book Antiqua" w:cs="Calibri"/>
          <w:sz w:val="18"/>
          <w:szCs w:val="18"/>
        </w:rPr>
        <w:t xml:space="preserve"> See Paul Evans, “Is there, and should there be, an </w:t>
      </w:r>
      <w:r>
        <w:rPr>
          <w:rFonts w:ascii="Book Antiqua" w:hAnsi="Book Antiqua" w:cs="Calibri"/>
          <w:sz w:val="18"/>
          <w:szCs w:val="18"/>
        </w:rPr>
        <w:t>‘</w:t>
      </w:r>
      <w:r w:rsidRPr="00D723D1">
        <w:rPr>
          <w:rFonts w:ascii="Book Antiqua" w:hAnsi="Book Antiqua" w:cs="Calibri"/>
          <w:sz w:val="18"/>
          <w:szCs w:val="18"/>
        </w:rPr>
        <w:t>executive veto</w:t>
      </w:r>
      <w:r>
        <w:rPr>
          <w:rFonts w:ascii="Book Antiqua" w:hAnsi="Book Antiqua" w:cs="Calibri"/>
          <w:sz w:val="18"/>
          <w:szCs w:val="18"/>
        </w:rPr>
        <w:t>’</w:t>
      </w:r>
      <w:r w:rsidRPr="00D723D1">
        <w:rPr>
          <w:rFonts w:ascii="Book Antiqua" w:hAnsi="Book Antiqua" w:cs="Calibri"/>
          <w:sz w:val="18"/>
          <w:szCs w:val="18"/>
        </w:rPr>
        <w:t xml:space="preserve"> in the British Constitution?”, February 2020, paper on file with the author.</w:t>
      </w:r>
      <w:r w:rsidRPr="00092ED4">
        <w:rPr>
          <w:rFonts w:ascii="Book Antiqua" w:hAnsi="Book Antiqua" w:cs="Calibri"/>
          <w:sz w:val="18"/>
          <w:szCs w:val="18"/>
        </w:rPr>
        <w:t xml:space="preserve"> </w:t>
      </w:r>
    </w:p>
  </w:footnote>
  <w:footnote w:id="7">
    <w:p w14:paraId="6045D2D5" w14:textId="1C5FB3E3" w:rsidR="00672A14" w:rsidRPr="00092ED4" w:rsidRDefault="00672A14" w:rsidP="0067562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w:t>
      </w:r>
      <w:r w:rsidRPr="00092ED4">
        <w:rPr>
          <w:rFonts w:ascii="Book Antiqua" w:hAnsi="Book Antiqua" w:cs="Calibri"/>
          <w:sz w:val="18"/>
          <w:szCs w:val="18"/>
        </w:rPr>
        <w:t xml:space="preserve">See Pat Leahy, “The ‘new politics’ one year on: Different? Yes. Better? No” </w:t>
      </w:r>
      <w:r w:rsidRPr="00D723D1">
        <w:rPr>
          <w:rFonts w:ascii="Book Antiqua" w:hAnsi="Book Antiqua" w:cs="Calibri"/>
          <w:i/>
          <w:iCs/>
          <w:sz w:val="18"/>
          <w:szCs w:val="18"/>
        </w:rPr>
        <w:t>The Irish Times</w:t>
      </w:r>
      <w:r w:rsidRPr="00675624">
        <w:rPr>
          <w:rFonts w:ascii="Book Antiqua" w:hAnsi="Book Antiqua" w:cs="Calibri"/>
          <w:sz w:val="18"/>
          <w:szCs w:val="18"/>
        </w:rPr>
        <w:t xml:space="preserve"> (2</w:t>
      </w:r>
      <w:r w:rsidRPr="00092ED4">
        <w:rPr>
          <w:rFonts w:ascii="Book Antiqua" w:hAnsi="Book Antiqua" w:cs="Calibri"/>
          <w:sz w:val="18"/>
          <w:szCs w:val="18"/>
        </w:rPr>
        <w:t>5</w:t>
      </w:r>
      <w:r w:rsidRPr="00092ED4">
        <w:rPr>
          <w:rFonts w:ascii="Book Antiqua" w:hAnsi="Book Antiqua" w:cs="Calibri"/>
          <w:sz w:val="18"/>
          <w:szCs w:val="18"/>
          <w:vertAlign w:val="superscript"/>
        </w:rPr>
        <w:t>th</w:t>
      </w:r>
      <w:r w:rsidRPr="00092ED4">
        <w:rPr>
          <w:rFonts w:ascii="Book Antiqua" w:hAnsi="Book Antiqua" w:cs="Calibri"/>
          <w:sz w:val="18"/>
          <w:szCs w:val="18"/>
        </w:rPr>
        <w:t xml:space="preserve"> February 2017).</w:t>
      </w:r>
    </w:p>
  </w:footnote>
  <w:footnote w:id="8">
    <w:p w14:paraId="382723D0" w14:textId="2E2E5CD9" w:rsidR="00672A14" w:rsidRPr="00092ED4" w:rsidRDefault="00672A14" w:rsidP="00675624">
      <w:pPr>
        <w:pStyle w:val="FootnoteText"/>
        <w:jc w:val="both"/>
        <w:rPr>
          <w:rFonts w:ascii="Book Antiqua" w:hAnsi="Book Antiqua" w:cs="Calibri"/>
          <w:color w:val="000000" w:themeColor="text1"/>
          <w:sz w:val="18"/>
          <w:szCs w:val="18"/>
        </w:rPr>
      </w:pPr>
      <w:r w:rsidRPr="00675624">
        <w:rPr>
          <w:rStyle w:val="FootnoteReference"/>
          <w:rFonts w:ascii="Book Antiqua" w:hAnsi="Book Antiqua" w:cs="Calibri"/>
          <w:color w:val="000000" w:themeColor="text1"/>
          <w:sz w:val="18"/>
          <w:szCs w:val="18"/>
        </w:rPr>
        <w:footnoteRef/>
      </w:r>
      <w:r w:rsidRPr="00675624">
        <w:rPr>
          <w:rFonts w:ascii="Book Antiqua" w:hAnsi="Book Antiqua" w:cs="Calibri"/>
          <w:color w:val="000000" w:themeColor="text1"/>
          <w:sz w:val="18"/>
          <w:szCs w:val="18"/>
        </w:rPr>
        <w:t xml:space="preserve"> Julian Mortenson, </w:t>
      </w:r>
      <w:r w:rsidRPr="00092ED4">
        <w:rPr>
          <w:rFonts w:ascii="Book Antiqua" w:hAnsi="Book Antiqua" w:cs="Calibri"/>
          <w:color w:val="000000" w:themeColor="text1"/>
          <w:sz w:val="18"/>
          <w:szCs w:val="18"/>
        </w:rPr>
        <w:t xml:space="preserve">“The Executive Power Clause” (Forthcoming, 2020) 167 </w:t>
      </w:r>
      <w:r w:rsidRPr="00D723D1">
        <w:rPr>
          <w:rFonts w:ascii="Book Antiqua" w:hAnsi="Book Antiqua" w:cs="Calibri"/>
          <w:color w:val="000000" w:themeColor="text1"/>
          <w:sz w:val="18"/>
          <w:szCs w:val="18"/>
        </w:rPr>
        <w:t>University of Pennsylvania Law Review</w:t>
      </w:r>
      <w:r w:rsidRPr="00675624">
        <w:rPr>
          <w:rFonts w:ascii="Book Antiqua" w:hAnsi="Book Antiqua" w:cs="Calibri"/>
          <w:i/>
          <w:iCs/>
          <w:color w:val="000000" w:themeColor="text1"/>
          <w:sz w:val="18"/>
          <w:szCs w:val="18"/>
        </w:rPr>
        <w:t xml:space="preserve"> </w:t>
      </w:r>
      <w:r w:rsidRPr="00092ED4">
        <w:rPr>
          <w:rFonts w:ascii="Book Antiqua" w:hAnsi="Book Antiqua" w:cs="Calibri"/>
          <w:color w:val="000000" w:themeColor="text1"/>
          <w:sz w:val="18"/>
          <w:szCs w:val="18"/>
        </w:rPr>
        <w:t xml:space="preserve"> 1, 93.</w:t>
      </w:r>
    </w:p>
  </w:footnote>
  <w:footnote w:id="9">
    <w:p w14:paraId="5095B80E" w14:textId="3440438B" w:rsidR="00672A14" w:rsidRPr="00092ED4" w:rsidRDefault="00672A14">
      <w:pPr>
        <w:pStyle w:val="FootnoteText"/>
        <w:jc w:val="both"/>
        <w:rPr>
          <w:rFonts w:ascii="Book Antiqua" w:hAnsi="Book Antiqua" w:cs="Calibri"/>
          <w:sz w:val="18"/>
          <w:szCs w:val="18"/>
        </w:rPr>
      </w:pPr>
      <w:r w:rsidRPr="00675624">
        <w:rPr>
          <w:rStyle w:val="FootnoteReference"/>
          <w:rFonts w:ascii="Book Antiqua" w:hAnsi="Book Antiqua" w:cs="Calibri"/>
          <w:color w:val="000000" w:themeColor="text1"/>
          <w:sz w:val="18"/>
          <w:szCs w:val="18"/>
        </w:rPr>
        <w:footnoteRef/>
      </w:r>
      <w:r w:rsidRPr="00675624">
        <w:rPr>
          <w:rFonts w:ascii="Book Antiqua" w:hAnsi="Book Antiqua" w:cs="Calibri"/>
          <w:color w:val="000000" w:themeColor="text1"/>
          <w:sz w:val="18"/>
          <w:szCs w:val="18"/>
        </w:rPr>
        <w:t xml:space="preserve"> Peter Cane, </w:t>
      </w:r>
      <w:r w:rsidRPr="00092ED4">
        <w:rPr>
          <w:rFonts w:ascii="Book Antiqua" w:hAnsi="Book Antiqua" w:cs="Calibri"/>
          <w:color w:val="000000" w:themeColor="text1"/>
          <w:sz w:val="18"/>
          <w:szCs w:val="18"/>
        </w:rPr>
        <w:t xml:space="preserve">“Executive Primacy, Populism and Public Law” (2019) 28 </w:t>
      </w:r>
      <w:r w:rsidRPr="00D723D1">
        <w:rPr>
          <w:rFonts w:ascii="Book Antiqua" w:hAnsi="Book Antiqua" w:cs="Calibri"/>
          <w:color w:val="000000" w:themeColor="text1"/>
          <w:sz w:val="18"/>
          <w:szCs w:val="18"/>
        </w:rPr>
        <w:t>Washington International Law Journal</w:t>
      </w:r>
      <w:r w:rsidRPr="00675624">
        <w:rPr>
          <w:rFonts w:ascii="Book Antiqua" w:hAnsi="Book Antiqua" w:cs="Calibri"/>
          <w:i/>
          <w:iCs/>
          <w:color w:val="000000" w:themeColor="text1"/>
          <w:sz w:val="18"/>
          <w:szCs w:val="18"/>
        </w:rPr>
        <w:t xml:space="preserve"> </w:t>
      </w:r>
      <w:r w:rsidRPr="00092ED4">
        <w:rPr>
          <w:rFonts w:ascii="Book Antiqua" w:hAnsi="Book Antiqua" w:cs="Calibri"/>
          <w:color w:val="000000" w:themeColor="text1"/>
          <w:sz w:val="18"/>
          <w:szCs w:val="18"/>
        </w:rPr>
        <w:t>527, 548;</w:t>
      </w:r>
      <w:r w:rsidRPr="00092ED4">
        <w:rPr>
          <w:rFonts w:ascii="Book Antiqua" w:hAnsi="Book Antiqua" w:cs="Calibri"/>
          <w:sz w:val="18"/>
          <w:szCs w:val="18"/>
        </w:rPr>
        <w:t xml:space="preserve"> Harvey Mansfield, </w:t>
      </w:r>
      <w:r w:rsidRPr="00092ED4">
        <w:rPr>
          <w:rFonts w:ascii="Book Antiqua" w:hAnsi="Book Antiqua" w:cs="Calibri"/>
          <w:i/>
          <w:iCs/>
          <w:sz w:val="18"/>
          <w:szCs w:val="18"/>
        </w:rPr>
        <w:t xml:space="preserve">Taming the Prince: The Ambivalence of Modern Executive Power </w:t>
      </w:r>
      <w:r w:rsidRPr="00092ED4">
        <w:rPr>
          <w:rFonts w:ascii="Book Antiqua" w:hAnsi="Book Antiqua" w:cs="Calibri"/>
          <w:sz w:val="18"/>
          <w:szCs w:val="18"/>
        </w:rPr>
        <w:t>(John Hopkins University Press, 1993)</w:t>
      </w:r>
      <w:r w:rsidRPr="00092ED4">
        <w:rPr>
          <w:rFonts w:ascii="Book Antiqua" w:hAnsi="Book Antiqua" w:cs="Calibri"/>
          <w:i/>
          <w:iCs/>
          <w:sz w:val="18"/>
          <w:szCs w:val="18"/>
        </w:rPr>
        <w:t xml:space="preserve"> </w:t>
      </w:r>
      <w:r w:rsidRPr="00092ED4">
        <w:rPr>
          <w:rFonts w:ascii="Book Antiqua" w:hAnsi="Book Antiqua" w:cs="Calibri"/>
          <w:sz w:val="18"/>
          <w:szCs w:val="18"/>
        </w:rPr>
        <w:t>7.</w:t>
      </w:r>
    </w:p>
  </w:footnote>
  <w:footnote w:id="10">
    <w:p w14:paraId="48269DE2" w14:textId="38988573" w:rsidR="00672A14" w:rsidRPr="00092ED4" w:rsidRDefault="00672A1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w:t>
      </w:r>
      <w:r w:rsidRPr="00092ED4">
        <w:rPr>
          <w:rFonts w:ascii="Book Antiqua" w:hAnsi="Book Antiqua" w:cs="Calibri"/>
          <w:sz w:val="18"/>
          <w:szCs w:val="18"/>
        </w:rPr>
        <w:t xml:space="preserve">Eric Posner and Adrian Vermeule, </w:t>
      </w:r>
      <w:r w:rsidRPr="00092ED4">
        <w:rPr>
          <w:rFonts w:ascii="Book Antiqua" w:hAnsi="Book Antiqua" w:cs="Calibri"/>
          <w:i/>
          <w:iCs/>
          <w:sz w:val="18"/>
          <w:szCs w:val="18"/>
        </w:rPr>
        <w:t xml:space="preserve">Executive Unbound: After the Madisonian Republic </w:t>
      </w:r>
      <w:r w:rsidRPr="00092ED4">
        <w:rPr>
          <w:rFonts w:ascii="Book Antiqua" w:hAnsi="Book Antiqua" w:cs="Calibri"/>
          <w:sz w:val="18"/>
          <w:szCs w:val="18"/>
        </w:rPr>
        <w:t>(Oxford University Press, 2010) 11-12.</w:t>
      </w:r>
    </w:p>
  </w:footnote>
  <w:footnote w:id="11">
    <w:p w14:paraId="721ABC55" w14:textId="76A9670B" w:rsidR="00672A14" w:rsidRPr="00092ED4" w:rsidRDefault="00672A1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Terry Moe and Scott A. Wilson, </w:t>
      </w:r>
      <w:r w:rsidRPr="00092ED4">
        <w:rPr>
          <w:rFonts w:ascii="Book Antiqua" w:hAnsi="Book Antiqua" w:cs="Calibri"/>
          <w:sz w:val="18"/>
          <w:szCs w:val="18"/>
        </w:rPr>
        <w:t xml:space="preserve">“Presidents and the Politics of Structure” (1994) 57 </w:t>
      </w:r>
      <w:r w:rsidRPr="00D723D1">
        <w:rPr>
          <w:rFonts w:ascii="Book Antiqua" w:hAnsi="Book Antiqua" w:cs="Calibri"/>
          <w:sz w:val="18"/>
          <w:szCs w:val="18"/>
        </w:rPr>
        <w:t>Law and Contemporary Problems</w:t>
      </w:r>
      <w:r w:rsidRPr="00092ED4">
        <w:rPr>
          <w:rFonts w:ascii="Book Antiqua" w:hAnsi="Book Antiqua" w:cs="Calibri"/>
          <w:sz w:val="18"/>
          <w:szCs w:val="18"/>
        </w:rPr>
        <w:t xml:space="preserve"> 1-44.</w:t>
      </w:r>
    </w:p>
  </w:footnote>
  <w:footnote w:id="12">
    <w:p w14:paraId="0D07FA9E" w14:textId="7910B567" w:rsidR="00672A14" w:rsidRPr="00D723D1" w:rsidRDefault="00672A14" w:rsidP="00D723D1">
      <w:pPr>
        <w:autoSpaceDE w:val="0"/>
        <w:autoSpaceDN w:val="0"/>
        <w:adjustRightInd w:val="0"/>
        <w:jc w:val="both"/>
        <w:rPr>
          <w:rFonts w:ascii="Book Antiqua" w:hAnsi="Book Antiqua"/>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w:t>
      </w:r>
      <w:r w:rsidRPr="00675624">
        <w:rPr>
          <w:rFonts w:ascii="Book Antiqua" w:hAnsi="Book Antiqua"/>
          <w:i/>
          <w:iCs/>
          <w:sz w:val="18"/>
          <w:szCs w:val="18"/>
        </w:rPr>
        <w:t xml:space="preserve">See </w:t>
      </w:r>
      <w:r w:rsidRPr="00D723D1">
        <w:rPr>
          <w:rFonts w:ascii="Book Antiqua" w:eastAsiaTheme="minorHAnsi" w:hAnsi="Book Antiqua"/>
          <w:sz w:val="18"/>
          <w:szCs w:val="18"/>
          <w:lang w:eastAsia="en-US"/>
        </w:rPr>
        <w:t>Niamh Hardiman, “</w:t>
      </w:r>
      <w:r>
        <w:rPr>
          <w:rFonts w:ascii="Book Antiqua" w:eastAsiaTheme="minorHAnsi" w:hAnsi="Book Antiqua"/>
          <w:sz w:val="18"/>
          <w:szCs w:val="18"/>
          <w:lang w:eastAsia="en-US"/>
        </w:rPr>
        <w:t>Conclusion</w:t>
      </w:r>
      <w:r w:rsidRPr="00D723D1">
        <w:rPr>
          <w:rFonts w:ascii="Book Antiqua" w:eastAsiaTheme="minorHAnsi" w:hAnsi="Book Antiqua"/>
          <w:sz w:val="18"/>
          <w:szCs w:val="18"/>
          <w:lang w:eastAsia="en-US"/>
        </w:rPr>
        <w:t>” in Niamh Hardiman (ed.), Irish Governance in Crisis (Manchester University Press, 2012).</w:t>
      </w:r>
      <w:r w:rsidRPr="00D723D1">
        <w:rPr>
          <w:rFonts w:ascii="Book Antiqua" w:hAnsi="Book Antiqua"/>
          <w:sz w:val="18"/>
          <w:szCs w:val="18"/>
        </w:rPr>
        <w:t xml:space="preserve"> </w:t>
      </w:r>
    </w:p>
  </w:footnote>
  <w:footnote w:id="13">
    <w:p w14:paraId="2BC8C8B6" w14:textId="5CCA52AE" w:rsidR="00672A14" w:rsidRPr="00092ED4" w:rsidRDefault="00672A14" w:rsidP="0067562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Oran Doyle, </w:t>
      </w:r>
      <w:r w:rsidRPr="00092ED4">
        <w:rPr>
          <w:rFonts w:ascii="Book Antiqua" w:hAnsi="Book Antiqua" w:cs="Calibri"/>
          <w:sz w:val="18"/>
          <w:szCs w:val="18"/>
        </w:rPr>
        <w:t xml:space="preserve">“Constitutional Change in Ireland” (2018) 40 </w:t>
      </w:r>
      <w:r w:rsidRPr="00D723D1">
        <w:rPr>
          <w:rFonts w:ascii="Book Antiqua" w:hAnsi="Book Antiqua" w:cs="Calibri"/>
          <w:iCs/>
          <w:sz w:val="18"/>
          <w:szCs w:val="18"/>
        </w:rPr>
        <w:t>Dublin University Law Journal</w:t>
      </w:r>
      <w:r w:rsidRPr="00092ED4">
        <w:rPr>
          <w:rFonts w:ascii="Book Antiqua" w:hAnsi="Book Antiqua" w:cs="Calibri"/>
          <w:sz w:val="18"/>
          <w:szCs w:val="18"/>
        </w:rPr>
        <w:t xml:space="preserve"> 1, 3.</w:t>
      </w:r>
    </w:p>
  </w:footnote>
  <w:footnote w:id="14">
    <w:p w14:paraId="50C8A617" w14:textId="77777777" w:rsidR="00672A14" w:rsidRPr="00092ED4" w:rsidRDefault="00672A1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Article 46 of the Irish Constitution. </w:t>
      </w:r>
      <w:r w:rsidRPr="00092ED4">
        <w:rPr>
          <w:rFonts w:ascii="Book Antiqua" w:hAnsi="Book Antiqua" w:cs="Calibri"/>
          <w:i/>
          <w:iCs/>
          <w:sz w:val="18"/>
          <w:szCs w:val="18"/>
        </w:rPr>
        <w:t xml:space="preserve">See </w:t>
      </w:r>
      <w:r w:rsidRPr="00092ED4">
        <w:rPr>
          <w:rFonts w:ascii="Book Antiqua" w:hAnsi="Book Antiqua" w:cs="Calibri"/>
          <w:i/>
          <w:sz w:val="18"/>
          <w:szCs w:val="18"/>
        </w:rPr>
        <w:t xml:space="preserve">McKenna v An Taoiseach (no. 2) </w:t>
      </w:r>
      <w:r w:rsidRPr="00092ED4">
        <w:rPr>
          <w:rFonts w:ascii="Book Antiqua" w:hAnsi="Book Antiqua" w:cs="Calibri"/>
          <w:sz w:val="18"/>
          <w:szCs w:val="18"/>
        </w:rPr>
        <w:t>[1995] 2 IR 10, 43.</w:t>
      </w:r>
    </w:p>
  </w:footnote>
  <w:footnote w:id="15">
    <w:p w14:paraId="3E81EFBC" w14:textId="72E6C304" w:rsidR="00672A14" w:rsidRPr="00092ED4" w:rsidRDefault="00672A14">
      <w:pPr>
        <w:jc w:val="both"/>
        <w:rPr>
          <w:rFonts w:ascii="Book Antiqua" w:hAnsi="Book Antiqua" w:cs="Calibri"/>
          <w:color w:val="000000" w:themeColor="text1"/>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Tom Hickey, </w:t>
      </w:r>
      <w:r w:rsidRPr="00092ED4">
        <w:rPr>
          <w:rFonts w:ascii="Book Antiqua" w:hAnsi="Book Antiqua" w:cs="Calibri"/>
          <w:color w:val="000000" w:themeColor="text1"/>
          <w:sz w:val="18"/>
          <w:szCs w:val="18"/>
        </w:rPr>
        <w:t>“Republicanism, the Distribution of Power and the Westminster Model of Government: Lessons from 20</w:t>
      </w:r>
      <w:r w:rsidRPr="00092ED4">
        <w:rPr>
          <w:rFonts w:ascii="Book Antiqua" w:hAnsi="Book Antiqua" w:cs="Calibri"/>
          <w:color w:val="000000" w:themeColor="text1"/>
          <w:sz w:val="18"/>
          <w:szCs w:val="18"/>
          <w:vertAlign w:val="superscript"/>
        </w:rPr>
        <w:t>th</w:t>
      </w:r>
      <w:r w:rsidRPr="00092ED4">
        <w:rPr>
          <w:rFonts w:ascii="Book Antiqua" w:hAnsi="Book Antiqua" w:cs="Calibri"/>
          <w:color w:val="000000" w:themeColor="text1"/>
          <w:sz w:val="18"/>
          <w:szCs w:val="18"/>
        </w:rPr>
        <w:t xml:space="preserve"> Century Irish Constitutionalism” (2012) 4 </w:t>
      </w:r>
      <w:r w:rsidRPr="00D723D1">
        <w:rPr>
          <w:rFonts w:ascii="Book Antiqua" w:hAnsi="Book Antiqua" w:cs="Calibri"/>
          <w:iCs/>
          <w:color w:val="000000" w:themeColor="text1"/>
          <w:sz w:val="18"/>
          <w:szCs w:val="18"/>
        </w:rPr>
        <w:t>Ius Publicum Network Review</w:t>
      </w:r>
      <w:r w:rsidRPr="00675624">
        <w:rPr>
          <w:rFonts w:ascii="Book Antiqua" w:hAnsi="Book Antiqua" w:cs="Calibri"/>
          <w:i/>
          <w:color w:val="000000" w:themeColor="text1"/>
          <w:sz w:val="18"/>
          <w:szCs w:val="18"/>
        </w:rPr>
        <w:t xml:space="preserve"> </w:t>
      </w:r>
      <w:r w:rsidRPr="00092ED4">
        <w:rPr>
          <w:rFonts w:ascii="Book Antiqua" w:hAnsi="Book Antiqua" w:cs="Calibri"/>
          <w:iCs/>
          <w:color w:val="000000" w:themeColor="text1"/>
          <w:sz w:val="18"/>
          <w:szCs w:val="18"/>
        </w:rPr>
        <w:t>1-37</w:t>
      </w:r>
      <w:r w:rsidRPr="00092ED4">
        <w:rPr>
          <w:rFonts w:ascii="Book Antiqua" w:hAnsi="Book Antiqua" w:cs="Calibri"/>
          <w:color w:val="000000" w:themeColor="text1"/>
          <w:sz w:val="18"/>
          <w:szCs w:val="18"/>
        </w:rPr>
        <w:t xml:space="preserve">. </w:t>
      </w:r>
    </w:p>
  </w:footnote>
  <w:footnote w:id="16">
    <w:p w14:paraId="19D6DDEF" w14:textId="049A07AD" w:rsidR="00672A14" w:rsidRPr="00092ED4" w:rsidRDefault="00672A1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Basil Chubb, </w:t>
      </w:r>
      <w:r w:rsidRPr="00092ED4">
        <w:rPr>
          <w:rFonts w:ascii="Book Antiqua" w:hAnsi="Book Antiqua" w:cs="Calibri"/>
          <w:sz w:val="18"/>
          <w:szCs w:val="18"/>
        </w:rPr>
        <w:t xml:space="preserve">“Government and Dail: Constitutional Myth and Political Practice” in Brian Farrell (ed.), </w:t>
      </w:r>
      <w:r w:rsidRPr="00092ED4">
        <w:rPr>
          <w:rFonts w:ascii="Book Antiqua" w:hAnsi="Book Antiqua" w:cs="Calibri"/>
          <w:i/>
          <w:sz w:val="18"/>
          <w:szCs w:val="18"/>
        </w:rPr>
        <w:t>De Valera’s Constitution and Ours</w:t>
      </w:r>
      <w:r w:rsidRPr="00092ED4">
        <w:rPr>
          <w:rFonts w:ascii="Book Antiqua" w:hAnsi="Book Antiqua" w:cs="Calibri"/>
          <w:sz w:val="18"/>
          <w:szCs w:val="18"/>
        </w:rPr>
        <w:t xml:space="preserve"> (Gill and MacMillan, 1988) 94. </w:t>
      </w:r>
    </w:p>
  </w:footnote>
  <w:footnote w:id="17">
    <w:p w14:paraId="7F8B595A" w14:textId="77777777" w:rsidR="00672A14" w:rsidRPr="00092ED4" w:rsidRDefault="00672A1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Oran Doyle, </w:t>
      </w:r>
      <w:r w:rsidRPr="00092ED4">
        <w:rPr>
          <w:rFonts w:ascii="Book Antiqua" w:hAnsi="Book Antiqua" w:cs="Calibri"/>
          <w:i/>
          <w:sz w:val="18"/>
          <w:szCs w:val="18"/>
        </w:rPr>
        <w:t xml:space="preserve">The Irish Constitution: A Contextual Analysis </w:t>
      </w:r>
      <w:r w:rsidRPr="00092ED4">
        <w:rPr>
          <w:rFonts w:ascii="Book Antiqua" w:hAnsi="Book Antiqua" w:cs="Calibri"/>
          <w:sz w:val="18"/>
          <w:szCs w:val="18"/>
        </w:rPr>
        <w:t>(Bloomsbury, 2018) 19.</w:t>
      </w:r>
    </w:p>
  </w:footnote>
  <w:footnote w:id="18">
    <w:p w14:paraId="1FEFDE43" w14:textId="50647E10" w:rsidR="00672A14" w:rsidRPr="00092ED4" w:rsidRDefault="00672A1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w:t>
      </w:r>
      <w:proofErr w:type="spellStart"/>
      <w:r w:rsidRPr="00675624">
        <w:rPr>
          <w:rFonts w:ascii="Book Antiqua" w:hAnsi="Book Antiqua" w:cs="Calibri"/>
          <w:sz w:val="18"/>
          <w:szCs w:val="18"/>
        </w:rPr>
        <w:t>Harment</w:t>
      </w:r>
      <w:proofErr w:type="spellEnd"/>
      <w:r w:rsidRPr="00675624">
        <w:rPr>
          <w:rFonts w:ascii="Book Antiqua" w:hAnsi="Book Antiqua" w:cs="Calibri"/>
          <w:sz w:val="18"/>
          <w:szCs w:val="18"/>
        </w:rPr>
        <w:t xml:space="preserve"> Bulsara </w:t>
      </w:r>
      <w:r w:rsidRPr="00092ED4">
        <w:rPr>
          <w:rFonts w:ascii="Book Antiqua" w:hAnsi="Book Antiqua" w:cs="Calibri"/>
          <w:sz w:val="18"/>
          <w:szCs w:val="18"/>
        </w:rPr>
        <w:t>and Bill Kissane, “</w:t>
      </w:r>
      <w:proofErr w:type="spellStart"/>
      <w:r w:rsidRPr="00092ED4">
        <w:rPr>
          <w:rFonts w:ascii="Book Antiqua" w:hAnsi="Book Antiqua" w:cs="Calibri"/>
          <w:sz w:val="18"/>
          <w:szCs w:val="18"/>
        </w:rPr>
        <w:t>Arend</w:t>
      </w:r>
      <w:proofErr w:type="spellEnd"/>
      <w:r w:rsidRPr="00092ED4">
        <w:rPr>
          <w:rFonts w:ascii="Book Antiqua" w:hAnsi="Book Antiqua" w:cs="Calibri"/>
          <w:sz w:val="18"/>
          <w:szCs w:val="18"/>
        </w:rPr>
        <w:t xml:space="preserve"> </w:t>
      </w:r>
      <w:proofErr w:type="spellStart"/>
      <w:r w:rsidRPr="00092ED4">
        <w:rPr>
          <w:rFonts w:ascii="Book Antiqua" w:hAnsi="Book Antiqua" w:cs="Calibri"/>
          <w:sz w:val="18"/>
          <w:szCs w:val="18"/>
        </w:rPr>
        <w:t>Lijphart</w:t>
      </w:r>
      <w:proofErr w:type="spellEnd"/>
      <w:r w:rsidRPr="00092ED4">
        <w:rPr>
          <w:rFonts w:ascii="Book Antiqua" w:hAnsi="Book Antiqua" w:cs="Calibri"/>
          <w:sz w:val="18"/>
          <w:szCs w:val="18"/>
        </w:rPr>
        <w:t xml:space="preserve"> and the Transformation of Irish Democracy” (2009) 32 </w:t>
      </w:r>
      <w:r w:rsidRPr="00D723D1">
        <w:rPr>
          <w:rFonts w:ascii="Book Antiqua" w:hAnsi="Book Antiqua" w:cs="Calibri"/>
          <w:iCs/>
          <w:sz w:val="18"/>
          <w:szCs w:val="18"/>
        </w:rPr>
        <w:t>Western European Politics</w:t>
      </w:r>
      <w:r w:rsidRPr="00675624">
        <w:rPr>
          <w:rFonts w:ascii="Book Antiqua" w:hAnsi="Book Antiqua" w:cs="Calibri"/>
          <w:sz w:val="18"/>
          <w:szCs w:val="18"/>
        </w:rPr>
        <w:t xml:space="preserve"> </w:t>
      </w:r>
      <w:r w:rsidRPr="00092ED4">
        <w:rPr>
          <w:rFonts w:ascii="Book Antiqua" w:hAnsi="Book Antiqua" w:cs="Calibri"/>
          <w:sz w:val="18"/>
          <w:szCs w:val="18"/>
        </w:rPr>
        <w:t>172-195, 176.</w:t>
      </w:r>
    </w:p>
  </w:footnote>
  <w:footnote w:id="19">
    <w:p w14:paraId="502E80E3" w14:textId="08271B9E" w:rsidR="00672A14" w:rsidRPr="00092ED4" w:rsidRDefault="00672A1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w:t>
      </w:r>
      <w:r w:rsidRPr="00092ED4">
        <w:rPr>
          <w:rFonts w:ascii="Book Antiqua" w:hAnsi="Book Antiqua" w:cs="Calibri"/>
          <w:color w:val="000000" w:themeColor="text1"/>
          <w:sz w:val="18"/>
          <w:szCs w:val="18"/>
        </w:rPr>
        <w:t xml:space="preserve">Oran Doyle, </w:t>
      </w:r>
      <w:r w:rsidRPr="00092ED4">
        <w:rPr>
          <w:rFonts w:ascii="Book Antiqua" w:hAnsi="Book Antiqua" w:cs="Calibri"/>
          <w:i/>
          <w:color w:val="000000" w:themeColor="text1"/>
          <w:sz w:val="18"/>
          <w:szCs w:val="18"/>
        </w:rPr>
        <w:t xml:space="preserve">The Constitution of Ireland </w:t>
      </w:r>
      <w:r w:rsidRPr="00092ED4">
        <w:rPr>
          <w:rFonts w:ascii="Book Antiqua" w:hAnsi="Book Antiqua" w:cs="Calibri"/>
          <w:iCs/>
          <w:color w:val="000000" w:themeColor="text1"/>
          <w:sz w:val="18"/>
          <w:szCs w:val="18"/>
        </w:rPr>
        <w:t xml:space="preserve">(n </w:t>
      </w:r>
      <w:r w:rsidRPr="00D05017">
        <w:rPr>
          <w:rFonts w:ascii="Book Antiqua" w:hAnsi="Book Antiqua" w:cs="Calibri"/>
          <w:iCs/>
          <w:color w:val="000000" w:themeColor="text1"/>
          <w:sz w:val="18"/>
          <w:szCs w:val="18"/>
        </w:rPr>
        <w:fldChar w:fldCharType="begin"/>
      </w:r>
      <w:r w:rsidRPr="00092ED4">
        <w:rPr>
          <w:rFonts w:ascii="Book Antiqua" w:hAnsi="Book Antiqua" w:cs="Calibri"/>
          <w:iCs/>
          <w:color w:val="000000" w:themeColor="text1"/>
          <w:sz w:val="18"/>
          <w:szCs w:val="18"/>
        </w:rPr>
        <w:instrText xml:space="preserve"> NOTEREF _Ref37315870 \h  \* MERGEFORMAT </w:instrText>
      </w:r>
      <w:r w:rsidRPr="00D05017">
        <w:rPr>
          <w:rFonts w:ascii="Book Antiqua" w:hAnsi="Book Antiqua" w:cs="Calibri"/>
          <w:iCs/>
          <w:color w:val="000000" w:themeColor="text1"/>
          <w:sz w:val="18"/>
          <w:szCs w:val="18"/>
        </w:rPr>
      </w:r>
      <w:r w:rsidRPr="00D05017">
        <w:rPr>
          <w:rFonts w:ascii="Book Antiqua" w:hAnsi="Book Antiqua" w:cs="Calibri"/>
          <w:iCs/>
          <w:color w:val="000000" w:themeColor="text1"/>
          <w:sz w:val="18"/>
          <w:szCs w:val="18"/>
        </w:rPr>
        <w:fldChar w:fldCharType="separate"/>
      </w:r>
      <w:r w:rsidRPr="00092ED4">
        <w:rPr>
          <w:rFonts w:ascii="Book Antiqua" w:hAnsi="Book Antiqua" w:cs="Calibri"/>
          <w:iCs/>
          <w:color w:val="000000" w:themeColor="text1"/>
          <w:sz w:val="18"/>
          <w:szCs w:val="18"/>
        </w:rPr>
        <w:t>16</w:t>
      </w:r>
      <w:r w:rsidRPr="00D05017">
        <w:rPr>
          <w:rFonts w:ascii="Book Antiqua" w:hAnsi="Book Antiqua" w:cs="Calibri"/>
          <w:iCs/>
          <w:color w:val="000000" w:themeColor="text1"/>
          <w:sz w:val="18"/>
          <w:szCs w:val="18"/>
        </w:rPr>
        <w:fldChar w:fldCharType="end"/>
      </w:r>
      <w:r w:rsidRPr="00675624">
        <w:rPr>
          <w:rFonts w:ascii="Book Antiqua" w:hAnsi="Book Antiqua" w:cs="Calibri"/>
          <w:iCs/>
          <w:color w:val="000000" w:themeColor="text1"/>
          <w:sz w:val="18"/>
          <w:szCs w:val="18"/>
        </w:rPr>
        <w:t xml:space="preserve">) </w:t>
      </w:r>
      <w:r w:rsidRPr="00092ED4">
        <w:rPr>
          <w:rFonts w:ascii="Book Antiqua" w:hAnsi="Book Antiqua" w:cs="Calibri"/>
          <w:color w:val="000000" w:themeColor="text1"/>
          <w:sz w:val="18"/>
          <w:szCs w:val="18"/>
        </w:rPr>
        <w:t>46-52.</w:t>
      </w:r>
    </w:p>
  </w:footnote>
  <w:footnote w:id="20">
    <w:p w14:paraId="2313686C" w14:textId="5292ADC5" w:rsidR="00672A14" w:rsidRPr="00092ED4" w:rsidRDefault="00672A14">
      <w:pPr>
        <w:pStyle w:val="FootnoteText"/>
        <w:jc w:val="both"/>
        <w:rPr>
          <w:rFonts w:ascii="Book Antiqua" w:hAnsi="Book Antiqua" w:cs="Calibri"/>
          <w:color w:val="000000" w:themeColor="text1"/>
          <w:sz w:val="18"/>
          <w:szCs w:val="18"/>
        </w:rPr>
      </w:pPr>
      <w:r w:rsidRPr="00675624">
        <w:rPr>
          <w:rStyle w:val="FootnoteReference"/>
          <w:rFonts w:ascii="Book Antiqua" w:hAnsi="Book Antiqua" w:cs="Calibri"/>
          <w:color w:val="000000" w:themeColor="text1"/>
          <w:sz w:val="18"/>
          <w:szCs w:val="18"/>
        </w:rPr>
        <w:footnoteRef/>
      </w:r>
      <w:r w:rsidRPr="00675624">
        <w:rPr>
          <w:rFonts w:ascii="Book Antiqua" w:hAnsi="Book Antiqua" w:cs="Calibri"/>
          <w:color w:val="000000" w:themeColor="text1"/>
          <w:sz w:val="18"/>
          <w:szCs w:val="18"/>
        </w:rPr>
        <w:t xml:space="preserve"> </w:t>
      </w:r>
      <w:r w:rsidRPr="00092ED4">
        <w:rPr>
          <w:rFonts w:ascii="Book Antiqua" w:hAnsi="Book Antiqua" w:cs="Calibri"/>
          <w:color w:val="000000" w:themeColor="text1"/>
          <w:sz w:val="18"/>
          <w:szCs w:val="18"/>
        </w:rPr>
        <w:t>Ibid 99.</w:t>
      </w:r>
    </w:p>
  </w:footnote>
  <w:footnote w:id="21">
    <w:p w14:paraId="7640CC88" w14:textId="4D9772AB" w:rsidR="00672A14" w:rsidRPr="00D723D1" w:rsidRDefault="00672A14" w:rsidP="00D723D1">
      <w:pPr>
        <w:pStyle w:val="FootnoteText"/>
        <w:jc w:val="both"/>
        <w:rPr>
          <w:rFonts w:ascii="Book Antiqua" w:hAnsi="Book Antiqua"/>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This is true for the lower house. </w:t>
      </w:r>
      <w:r w:rsidRPr="00D723D1">
        <w:rPr>
          <w:rFonts w:ascii="Book Antiqua" w:hAnsi="Book Antiqua" w:cs="Calibri"/>
          <w:sz w:val="18"/>
          <w:szCs w:val="18"/>
        </w:rPr>
        <w:t xml:space="preserve">The government typically—though not always—enjoys legislative majority in the Seanad (upper house) too, but if it does not, the powers of the Seanad are very limited. See </w:t>
      </w:r>
      <w:r w:rsidRPr="00D723D1">
        <w:rPr>
          <w:rFonts w:ascii="Book Antiqua" w:hAnsi="Book Antiqua" w:cs="Calibri"/>
          <w:color w:val="000000" w:themeColor="text1"/>
          <w:sz w:val="18"/>
          <w:szCs w:val="18"/>
        </w:rPr>
        <w:t xml:space="preserve">David Kenny, </w:t>
      </w:r>
      <w:r w:rsidRPr="00675624">
        <w:rPr>
          <w:rFonts w:ascii="Book Antiqua" w:hAnsi="Book Antiqua" w:cs="Calibri"/>
          <w:color w:val="000000" w:themeColor="text1"/>
          <w:sz w:val="18"/>
          <w:szCs w:val="18"/>
        </w:rPr>
        <w:t>“</w:t>
      </w:r>
      <w:r w:rsidRPr="00D723D1">
        <w:rPr>
          <w:rFonts w:ascii="Book Antiqua" w:hAnsi="Book Antiqua" w:cs="Calibri"/>
          <w:color w:val="000000" w:themeColor="text1"/>
          <w:sz w:val="18"/>
          <w:szCs w:val="18"/>
        </w:rPr>
        <w:t>The failed referendum to abolish the Ireland’s Senate: defending bicameralism is a small and relatively homogenous country</w:t>
      </w:r>
      <w:r w:rsidRPr="00675624">
        <w:rPr>
          <w:rFonts w:ascii="Book Antiqua" w:hAnsi="Book Antiqua" w:cs="Calibri"/>
          <w:color w:val="000000" w:themeColor="text1"/>
          <w:sz w:val="18"/>
          <w:szCs w:val="18"/>
        </w:rPr>
        <w:t>”</w:t>
      </w:r>
      <w:r w:rsidRPr="00D723D1">
        <w:rPr>
          <w:rFonts w:ascii="Book Antiqua" w:hAnsi="Book Antiqua" w:cs="Calibri"/>
          <w:color w:val="000000" w:themeColor="text1"/>
          <w:sz w:val="18"/>
          <w:szCs w:val="18"/>
        </w:rPr>
        <w:t xml:space="preserve"> in Richard Albert, Antonia </w:t>
      </w:r>
      <w:proofErr w:type="spellStart"/>
      <w:r w:rsidRPr="00D723D1">
        <w:rPr>
          <w:rFonts w:ascii="Book Antiqua" w:hAnsi="Book Antiqua" w:cs="Calibri"/>
          <w:color w:val="000000" w:themeColor="text1"/>
          <w:sz w:val="18"/>
          <w:szCs w:val="18"/>
        </w:rPr>
        <w:t>Braggia</w:t>
      </w:r>
      <w:proofErr w:type="spellEnd"/>
      <w:r w:rsidRPr="00D723D1">
        <w:rPr>
          <w:rFonts w:ascii="Book Antiqua" w:hAnsi="Book Antiqua" w:cs="Calibri"/>
          <w:color w:val="000000" w:themeColor="text1"/>
          <w:sz w:val="18"/>
          <w:szCs w:val="18"/>
        </w:rPr>
        <w:t xml:space="preserve">, Cristina </w:t>
      </w:r>
      <w:proofErr w:type="spellStart"/>
      <w:r w:rsidRPr="00D723D1">
        <w:rPr>
          <w:rFonts w:ascii="Book Antiqua" w:hAnsi="Book Antiqua" w:cs="Calibri"/>
          <w:color w:val="000000" w:themeColor="text1"/>
          <w:sz w:val="18"/>
          <w:szCs w:val="18"/>
        </w:rPr>
        <w:t>Fasone</w:t>
      </w:r>
      <w:proofErr w:type="spellEnd"/>
      <w:r w:rsidRPr="00D723D1">
        <w:rPr>
          <w:rFonts w:ascii="Book Antiqua" w:hAnsi="Book Antiqua" w:cs="Calibri"/>
          <w:color w:val="000000" w:themeColor="text1"/>
          <w:sz w:val="18"/>
          <w:szCs w:val="18"/>
        </w:rPr>
        <w:t>,</w:t>
      </w:r>
      <w:r w:rsidRPr="00675624">
        <w:rPr>
          <w:rFonts w:ascii="Book Antiqua" w:hAnsi="Book Antiqua" w:cs="Calibri"/>
          <w:color w:val="000000" w:themeColor="text1"/>
          <w:sz w:val="18"/>
          <w:szCs w:val="18"/>
        </w:rPr>
        <w:t xml:space="preserve"> </w:t>
      </w:r>
      <w:r w:rsidRPr="00092ED4">
        <w:rPr>
          <w:rFonts w:ascii="Book Antiqua" w:hAnsi="Book Antiqua" w:cs="Calibri"/>
          <w:color w:val="000000" w:themeColor="text1"/>
          <w:sz w:val="18"/>
          <w:szCs w:val="18"/>
        </w:rPr>
        <w:t>(eds.)</w:t>
      </w:r>
      <w:r w:rsidRPr="00D723D1">
        <w:rPr>
          <w:rFonts w:ascii="Book Antiqua" w:hAnsi="Book Antiqua" w:cs="Calibri"/>
          <w:color w:val="000000" w:themeColor="text1"/>
          <w:sz w:val="18"/>
          <w:szCs w:val="18"/>
        </w:rPr>
        <w:t xml:space="preserve"> </w:t>
      </w:r>
      <w:r w:rsidRPr="00D723D1">
        <w:rPr>
          <w:rFonts w:ascii="Book Antiqua" w:hAnsi="Book Antiqua" w:cs="Calibri"/>
          <w:i/>
          <w:iCs/>
          <w:color w:val="000000" w:themeColor="text1"/>
          <w:sz w:val="18"/>
          <w:szCs w:val="18"/>
        </w:rPr>
        <w:t>Constitutional Reform of National Legislatures: Bicameralism under Pressure</w:t>
      </w:r>
      <w:r w:rsidRPr="00D723D1">
        <w:rPr>
          <w:rFonts w:ascii="Book Antiqua" w:hAnsi="Book Antiqua" w:cs="Calibri"/>
          <w:color w:val="000000" w:themeColor="text1"/>
          <w:sz w:val="18"/>
          <w:szCs w:val="18"/>
        </w:rPr>
        <w:t xml:space="preserve"> (Edward Elgar, 2019) 163.</w:t>
      </w:r>
    </w:p>
  </w:footnote>
  <w:footnote w:id="22">
    <w:p w14:paraId="755DAFB0" w14:textId="3137CF8F" w:rsidR="00672A14" w:rsidRPr="00092ED4" w:rsidRDefault="00672A14" w:rsidP="0067562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Lia </w:t>
      </w:r>
      <w:proofErr w:type="spellStart"/>
      <w:r w:rsidRPr="00675624">
        <w:rPr>
          <w:rFonts w:ascii="Book Antiqua" w:hAnsi="Book Antiqua" w:cs="Calibri"/>
          <w:sz w:val="18"/>
          <w:szCs w:val="18"/>
        </w:rPr>
        <w:t>O’Hegarty</w:t>
      </w:r>
      <w:proofErr w:type="spellEnd"/>
      <w:r w:rsidRPr="00675624">
        <w:rPr>
          <w:rFonts w:ascii="Book Antiqua" w:hAnsi="Book Antiqua" w:cs="Calibri"/>
          <w:sz w:val="18"/>
          <w:szCs w:val="18"/>
        </w:rPr>
        <w:t xml:space="preserve">, </w:t>
      </w:r>
      <w:r w:rsidRPr="00092ED4">
        <w:rPr>
          <w:rFonts w:ascii="Book Antiqua" w:hAnsi="Book Antiqua" w:cs="Calibri"/>
          <w:sz w:val="18"/>
          <w:szCs w:val="18"/>
        </w:rPr>
        <w:t xml:space="preserve">“The Constitutional Parameters of the Work of the Houses of the Oireachtas” in Manning and </w:t>
      </w:r>
      <w:proofErr w:type="spellStart"/>
      <w:r w:rsidRPr="00092ED4">
        <w:rPr>
          <w:rFonts w:ascii="Book Antiqua" w:hAnsi="Book Antiqua" w:cs="Calibri"/>
          <w:sz w:val="18"/>
          <w:szCs w:val="18"/>
        </w:rPr>
        <w:t>MacCarthaigh</w:t>
      </w:r>
      <w:proofErr w:type="spellEnd"/>
      <w:r w:rsidRPr="00092ED4">
        <w:rPr>
          <w:rFonts w:ascii="Book Antiqua" w:hAnsi="Book Antiqua" w:cs="Calibri"/>
          <w:sz w:val="18"/>
          <w:szCs w:val="18"/>
        </w:rPr>
        <w:t xml:space="preserve"> (eds.), </w:t>
      </w:r>
      <w:r w:rsidRPr="00092ED4">
        <w:rPr>
          <w:rFonts w:ascii="Book Antiqua" w:hAnsi="Book Antiqua" w:cs="Calibri"/>
          <w:i/>
          <w:sz w:val="18"/>
          <w:szCs w:val="18"/>
        </w:rPr>
        <w:t>The Houses of the Oireachtas: Parliament in Ireland</w:t>
      </w:r>
      <w:r w:rsidRPr="00092ED4">
        <w:rPr>
          <w:rFonts w:ascii="Book Antiqua" w:hAnsi="Book Antiqua" w:cs="Calibri"/>
          <w:sz w:val="18"/>
          <w:szCs w:val="18"/>
        </w:rPr>
        <w:t>, (Institute of Public Administration, 2010) 103.</w:t>
      </w:r>
    </w:p>
  </w:footnote>
  <w:footnote w:id="23">
    <w:p w14:paraId="46840842" w14:textId="257E5AD5" w:rsidR="00672A14" w:rsidRPr="00D723D1" w:rsidRDefault="00672A14" w:rsidP="00D723D1">
      <w:pPr>
        <w:pStyle w:val="FootnoteText"/>
        <w:jc w:val="both"/>
        <w:rPr>
          <w:rFonts w:ascii="Book Antiqua" w:hAnsi="Book Antiqua" w:cs="Calibri"/>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w:t>
      </w:r>
      <w:r w:rsidRPr="00675624">
        <w:rPr>
          <w:rFonts w:ascii="Book Antiqua" w:hAnsi="Book Antiqua" w:cs="Calibri"/>
          <w:color w:val="000000" w:themeColor="text1"/>
          <w:sz w:val="18"/>
          <w:szCs w:val="18"/>
        </w:rPr>
        <w:t xml:space="preserve">Oran Doyle, </w:t>
      </w:r>
      <w:r w:rsidRPr="00092ED4">
        <w:rPr>
          <w:rFonts w:ascii="Book Antiqua" w:hAnsi="Book Antiqua" w:cs="Calibri"/>
          <w:i/>
          <w:color w:val="000000" w:themeColor="text1"/>
          <w:sz w:val="18"/>
          <w:szCs w:val="18"/>
        </w:rPr>
        <w:t xml:space="preserve">The Constitution of Ireland </w:t>
      </w:r>
      <w:r w:rsidRPr="00092ED4">
        <w:rPr>
          <w:rFonts w:ascii="Book Antiqua" w:hAnsi="Book Antiqua" w:cs="Calibri"/>
          <w:iCs/>
          <w:color w:val="000000" w:themeColor="text1"/>
          <w:sz w:val="18"/>
          <w:szCs w:val="18"/>
        </w:rPr>
        <w:t xml:space="preserve">(n </w:t>
      </w:r>
      <w:r w:rsidRPr="00D05017">
        <w:rPr>
          <w:rFonts w:ascii="Book Antiqua" w:hAnsi="Book Antiqua" w:cs="Calibri"/>
          <w:iCs/>
          <w:color w:val="000000" w:themeColor="text1"/>
          <w:sz w:val="18"/>
          <w:szCs w:val="18"/>
        </w:rPr>
        <w:fldChar w:fldCharType="begin"/>
      </w:r>
      <w:r w:rsidRPr="00092ED4">
        <w:rPr>
          <w:rFonts w:ascii="Book Antiqua" w:hAnsi="Book Antiqua" w:cs="Calibri"/>
          <w:iCs/>
          <w:color w:val="000000" w:themeColor="text1"/>
          <w:sz w:val="18"/>
          <w:szCs w:val="18"/>
        </w:rPr>
        <w:instrText xml:space="preserve"> NOTEREF _Ref37315870 \h  \* MERGEFORMAT </w:instrText>
      </w:r>
      <w:r w:rsidRPr="00D05017">
        <w:rPr>
          <w:rFonts w:ascii="Book Antiqua" w:hAnsi="Book Antiqua" w:cs="Calibri"/>
          <w:iCs/>
          <w:color w:val="000000" w:themeColor="text1"/>
          <w:sz w:val="18"/>
          <w:szCs w:val="18"/>
        </w:rPr>
      </w:r>
      <w:r w:rsidRPr="00D05017">
        <w:rPr>
          <w:rFonts w:ascii="Book Antiqua" w:hAnsi="Book Antiqua" w:cs="Calibri"/>
          <w:iCs/>
          <w:color w:val="000000" w:themeColor="text1"/>
          <w:sz w:val="18"/>
          <w:szCs w:val="18"/>
        </w:rPr>
        <w:fldChar w:fldCharType="separate"/>
      </w:r>
      <w:r w:rsidRPr="00092ED4">
        <w:rPr>
          <w:rFonts w:ascii="Book Antiqua" w:hAnsi="Book Antiqua" w:cs="Calibri"/>
          <w:iCs/>
          <w:color w:val="000000" w:themeColor="text1"/>
          <w:sz w:val="18"/>
          <w:szCs w:val="18"/>
        </w:rPr>
        <w:t>16</w:t>
      </w:r>
      <w:r w:rsidRPr="00D05017">
        <w:rPr>
          <w:rFonts w:ascii="Book Antiqua" w:hAnsi="Book Antiqua" w:cs="Calibri"/>
          <w:iCs/>
          <w:color w:val="000000" w:themeColor="text1"/>
          <w:sz w:val="18"/>
          <w:szCs w:val="18"/>
        </w:rPr>
        <w:fldChar w:fldCharType="end"/>
      </w:r>
      <w:r w:rsidRPr="00675624">
        <w:rPr>
          <w:rFonts w:ascii="Book Antiqua" w:hAnsi="Book Antiqua" w:cs="Calibri"/>
          <w:color w:val="000000" w:themeColor="text1"/>
          <w:sz w:val="18"/>
          <w:szCs w:val="18"/>
        </w:rPr>
        <w:t xml:space="preserve">) </w:t>
      </w:r>
      <w:r w:rsidRPr="00092ED4">
        <w:rPr>
          <w:rFonts w:ascii="Book Antiqua" w:hAnsi="Book Antiqua" w:cs="Calibri"/>
          <w:sz w:val="18"/>
          <w:szCs w:val="18"/>
        </w:rPr>
        <w:t>84-90.</w:t>
      </w:r>
    </w:p>
  </w:footnote>
  <w:footnote w:id="24">
    <w:p w14:paraId="72C10C28" w14:textId="1C97633E" w:rsidR="00672A14" w:rsidRPr="00D723D1" w:rsidRDefault="00672A14" w:rsidP="00D723D1">
      <w:pPr>
        <w:autoSpaceDE w:val="0"/>
        <w:autoSpaceDN w:val="0"/>
        <w:adjustRightInd w:val="0"/>
        <w:jc w:val="both"/>
        <w:rPr>
          <w:rFonts w:ascii="Book Antiqua" w:eastAsiaTheme="minorHAnsi" w:hAnsi="Book Antiqua"/>
          <w:sz w:val="18"/>
          <w:szCs w:val="18"/>
          <w:lang w:eastAsia="en-US"/>
        </w:rPr>
      </w:pPr>
      <w:r w:rsidRPr="00D723D1">
        <w:rPr>
          <w:rStyle w:val="FootnoteReference"/>
          <w:rFonts w:ascii="Book Antiqua" w:hAnsi="Book Antiqua"/>
          <w:sz w:val="18"/>
          <w:szCs w:val="18"/>
        </w:rPr>
        <w:footnoteRef/>
      </w:r>
      <w:r w:rsidRPr="00D723D1">
        <w:rPr>
          <w:rFonts w:ascii="Book Antiqua" w:hAnsi="Book Antiqua"/>
          <w:sz w:val="18"/>
          <w:szCs w:val="18"/>
        </w:rPr>
        <w:t xml:space="preserve">  </w:t>
      </w:r>
      <w:r w:rsidRPr="00D723D1">
        <w:rPr>
          <w:rFonts w:ascii="Book Antiqua" w:eastAsiaTheme="minorHAnsi" w:hAnsi="Book Antiqua"/>
          <w:sz w:val="18"/>
          <w:szCs w:val="18"/>
          <w:lang w:eastAsia="en-US"/>
        </w:rPr>
        <w:t xml:space="preserve">John O’Dowd, </w:t>
      </w:r>
      <w:r w:rsidRPr="00675624">
        <w:rPr>
          <w:rFonts w:ascii="Book Antiqua" w:eastAsiaTheme="minorHAnsi" w:hAnsi="Book Antiqua"/>
          <w:sz w:val="18"/>
          <w:szCs w:val="18"/>
          <w:lang w:eastAsia="en-US"/>
        </w:rPr>
        <w:t>“</w:t>
      </w:r>
      <w:r w:rsidRPr="00D723D1">
        <w:rPr>
          <w:rFonts w:ascii="Book Antiqua" w:eastAsiaTheme="minorHAnsi" w:hAnsi="Book Antiqua"/>
          <w:sz w:val="18"/>
          <w:szCs w:val="18"/>
          <w:lang w:eastAsia="en-US"/>
        </w:rPr>
        <w:t>Parliamentary Scrutiny of Bills</w:t>
      </w:r>
      <w:r w:rsidRPr="00675624">
        <w:rPr>
          <w:rFonts w:ascii="Book Antiqua" w:eastAsiaTheme="minorHAnsi" w:hAnsi="Book Antiqua"/>
          <w:sz w:val="18"/>
          <w:szCs w:val="18"/>
          <w:lang w:eastAsia="en-US"/>
        </w:rPr>
        <w:t>”</w:t>
      </w:r>
      <w:r w:rsidRPr="00D723D1">
        <w:rPr>
          <w:rFonts w:ascii="Book Antiqua" w:eastAsiaTheme="minorHAnsi" w:hAnsi="Book Antiqua"/>
          <w:sz w:val="18"/>
          <w:szCs w:val="18"/>
          <w:lang w:eastAsia="en-US"/>
        </w:rPr>
        <w:t xml:space="preserve"> in </w:t>
      </w:r>
      <w:proofErr w:type="spellStart"/>
      <w:r w:rsidRPr="00D723D1">
        <w:rPr>
          <w:rFonts w:ascii="Book Antiqua" w:eastAsiaTheme="minorHAnsi" w:hAnsi="Book Antiqua"/>
          <w:sz w:val="18"/>
          <w:szCs w:val="18"/>
          <w:lang w:eastAsia="en-US"/>
        </w:rPr>
        <w:t>Muiris</w:t>
      </w:r>
      <w:proofErr w:type="spellEnd"/>
      <w:r w:rsidRPr="00D723D1">
        <w:rPr>
          <w:rFonts w:ascii="Book Antiqua" w:eastAsiaTheme="minorHAnsi" w:hAnsi="Book Antiqua"/>
          <w:sz w:val="18"/>
          <w:szCs w:val="18"/>
          <w:lang w:eastAsia="en-US"/>
        </w:rPr>
        <w:t xml:space="preserve"> </w:t>
      </w:r>
      <w:proofErr w:type="spellStart"/>
      <w:r w:rsidRPr="00D723D1">
        <w:rPr>
          <w:rFonts w:ascii="Book Antiqua" w:eastAsiaTheme="minorHAnsi" w:hAnsi="Book Antiqua"/>
          <w:sz w:val="18"/>
          <w:szCs w:val="18"/>
          <w:lang w:eastAsia="en-US"/>
        </w:rPr>
        <w:t>MacCarthaigh</w:t>
      </w:r>
      <w:proofErr w:type="spellEnd"/>
      <w:r w:rsidRPr="00D723D1">
        <w:rPr>
          <w:rFonts w:ascii="Book Antiqua" w:eastAsiaTheme="minorHAnsi" w:hAnsi="Book Antiqua"/>
          <w:sz w:val="18"/>
          <w:szCs w:val="18"/>
          <w:lang w:eastAsia="en-US"/>
        </w:rPr>
        <w:t xml:space="preserve"> and Maurice Manning (eds.), The Houses of the Oireachtas: Parliament in Ireland (Institute of Public Administration, 2009) </w:t>
      </w:r>
      <w:r w:rsidRPr="00D723D1">
        <w:rPr>
          <w:rFonts w:ascii="Book Antiqua" w:hAnsi="Book Antiqua"/>
          <w:sz w:val="18"/>
          <w:szCs w:val="18"/>
        </w:rPr>
        <w:t xml:space="preserve">322. The Seanad, of course, is also be under the whip, and is, but to a somewhat lesser extent. </w:t>
      </w:r>
    </w:p>
  </w:footnote>
  <w:footnote w:id="25">
    <w:p w14:paraId="40D9DA4A" w14:textId="051AB49D" w:rsidR="00672A14" w:rsidRPr="00D723D1" w:rsidRDefault="00672A14" w:rsidP="00D723D1">
      <w:pPr>
        <w:autoSpaceDE w:val="0"/>
        <w:autoSpaceDN w:val="0"/>
        <w:adjustRightInd w:val="0"/>
        <w:jc w:val="both"/>
        <w:rPr>
          <w:rFonts w:ascii="Book Antiqua" w:hAnsi="Book Antiqua"/>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w:t>
      </w:r>
      <w:r w:rsidRPr="00D723D1">
        <w:rPr>
          <w:rFonts w:ascii="Book Antiqua" w:eastAsiaTheme="minorHAnsi" w:hAnsi="Book Antiqua"/>
          <w:sz w:val="18"/>
          <w:szCs w:val="18"/>
          <w:lang w:eastAsia="en-US"/>
        </w:rPr>
        <w:t xml:space="preserve">John Coakley and Michael Gallagher, </w:t>
      </w:r>
      <w:r w:rsidRPr="00D723D1">
        <w:rPr>
          <w:rFonts w:ascii="Book Antiqua" w:eastAsiaTheme="minorHAnsi" w:hAnsi="Book Antiqua"/>
          <w:i/>
          <w:iCs/>
          <w:sz w:val="18"/>
          <w:szCs w:val="18"/>
          <w:lang w:eastAsia="en-US"/>
        </w:rPr>
        <w:t>Politics in the Republic of Ireland</w:t>
      </w:r>
      <w:r w:rsidRPr="00D723D1">
        <w:rPr>
          <w:rFonts w:ascii="Book Antiqua" w:eastAsiaTheme="minorHAnsi" w:hAnsi="Book Antiqua"/>
          <w:sz w:val="18"/>
          <w:szCs w:val="18"/>
          <w:lang w:eastAsia="en-US"/>
        </w:rPr>
        <w:t xml:space="preserve"> (6th </w:t>
      </w:r>
      <w:proofErr w:type="spellStart"/>
      <w:r w:rsidRPr="00D723D1">
        <w:rPr>
          <w:rFonts w:ascii="Book Antiqua" w:eastAsiaTheme="minorHAnsi" w:hAnsi="Book Antiqua"/>
          <w:sz w:val="18"/>
          <w:szCs w:val="18"/>
          <w:lang w:eastAsia="en-US"/>
        </w:rPr>
        <w:t>edn</w:t>
      </w:r>
      <w:proofErr w:type="spellEnd"/>
      <w:r w:rsidRPr="00D723D1">
        <w:rPr>
          <w:rFonts w:ascii="Book Antiqua" w:eastAsiaTheme="minorHAnsi" w:hAnsi="Book Antiqua"/>
          <w:sz w:val="18"/>
          <w:szCs w:val="18"/>
          <w:lang w:eastAsia="en-US"/>
        </w:rPr>
        <w:t xml:space="preserve">, Routledge, 2017) </w:t>
      </w:r>
      <w:r w:rsidRPr="00675624">
        <w:rPr>
          <w:rFonts w:ascii="Book Antiqua" w:eastAsiaTheme="minorHAnsi" w:hAnsi="Book Antiqua"/>
          <w:sz w:val="18"/>
          <w:szCs w:val="18"/>
          <w:lang w:eastAsia="en-US"/>
        </w:rPr>
        <w:t>2</w:t>
      </w:r>
      <w:r w:rsidRPr="00092ED4">
        <w:rPr>
          <w:rFonts w:ascii="Book Antiqua" w:eastAsiaTheme="minorHAnsi" w:hAnsi="Book Antiqua"/>
          <w:sz w:val="18"/>
          <w:szCs w:val="18"/>
          <w:lang w:eastAsia="en-US"/>
        </w:rPr>
        <w:t>11.</w:t>
      </w:r>
    </w:p>
  </w:footnote>
  <w:footnote w:id="26">
    <w:p w14:paraId="32561C34" w14:textId="77777777" w:rsidR="00672A14" w:rsidRPr="00092ED4" w:rsidRDefault="00672A14" w:rsidP="00675624">
      <w:pPr>
        <w:pStyle w:val="FootnoteText"/>
        <w:jc w:val="both"/>
        <w:rPr>
          <w:rFonts w:ascii="Book Antiqua" w:hAnsi="Book Antiqua"/>
          <w:sz w:val="18"/>
          <w:szCs w:val="18"/>
        </w:rPr>
      </w:pPr>
      <w:r w:rsidRPr="00675624">
        <w:rPr>
          <w:rStyle w:val="FootnoteReference"/>
          <w:rFonts w:ascii="Book Antiqua" w:hAnsi="Book Antiqua"/>
          <w:sz w:val="18"/>
          <w:szCs w:val="18"/>
        </w:rPr>
        <w:footnoteRef/>
      </w:r>
      <w:r w:rsidRPr="00675624">
        <w:rPr>
          <w:rFonts w:ascii="Book Antiqua" w:hAnsi="Book Antiqua"/>
          <w:sz w:val="18"/>
          <w:szCs w:val="18"/>
        </w:rPr>
        <w:t xml:space="preserve"> Eoin Daly and Tom Hickey,</w:t>
      </w:r>
      <w:r w:rsidRPr="00092ED4">
        <w:rPr>
          <w:rFonts w:ascii="Book Antiqua" w:hAnsi="Book Antiqua"/>
          <w:sz w:val="18"/>
          <w:szCs w:val="18"/>
        </w:rPr>
        <w:t xml:space="preserve"> </w:t>
      </w:r>
      <w:r w:rsidRPr="00092ED4">
        <w:rPr>
          <w:rFonts w:ascii="Book Antiqua" w:hAnsi="Book Antiqua"/>
          <w:i/>
          <w:sz w:val="18"/>
          <w:szCs w:val="18"/>
        </w:rPr>
        <w:t>The Political Theory of the Irish Constitution: Republicanism and the Basic Law</w:t>
      </w:r>
      <w:r w:rsidRPr="00092ED4">
        <w:rPr>
          <w:rFonts w:ascii="Book Antiqua" w:hAnsi="Book Antiqua"/>
          <w:sz w:val="18"/>
          <w:szCs w:val="18"/>
        </w:rPr>
        <w:t>, (Manchester University Press, 2015) 105.</w:t>
      </w:r>
    </w:p>
  </w:footnote>
  <w:footnote w:id="27">
    <w:p w14:paraId="7F758F21" w14:textId="77777777" w:rsidR="00672A14" w:rsidRPr="00092ED4" w:rsidRDefault="00672A14">
      <w:pPr>
        <w:pStyle w:val="FootnoteText"/>
        <w:jc w:val="both"/>
        <w:rPr>
          <w:rFonts w:ascii="Book Antiqua" w:hAnsi="Book Antiqua"/>
          <w:sz w:val="18"/>
          <w:szCs w:val="18"/>
        </w:rPr>
      </w:pPr>
      <w:r w:rsidRPr="00675624">
        <w:rPr>
          <w:rStyle w:val="FootnoteReference"/>
          <w:rFonts w:ascii="Book Antiqua" w:hAnsi="Book Antiqua"/>
          <w:sz w:val="18"/>
          <w:szCs w:val="18"/>
        </w:rPr>
        <w:footnoteRef/>
      </w:r>
      <w:r w:rsidRPr="00675624">
        <w:rPr>
          <w:rFonts w:ascii="Book Antiqua" w:hAnsi="Book Antiqua"/>
          <w:sz w:val="18"/>
          <w:szCs w:val="18"/>
        </w:rPr>
        <w:t xml:space="preserve"> Mark </w:t>
      </w:r>
      <w:proofErr w:type="spellStart"/>
      <w:r w:rsidRPr="00675624">
        <w:rPr>
          <w:rFonts w:ascii="Book Antiqua" w:hAnsi="Book Antiqua"/>
          <w:sz w:val="18"/>
          <w:szCs w:val="18"/>
        </w:rPr>
        <w:t>Brennock</w:t>
      </w:r>
      <w:proofErr w:type="spellEnd"/>
      <w:r w:rsidRPr="00092ED4">
        <w:rPr>
          <w:rFonts w:ascii="Book Antiqua" w:hAnsi="Book Antiqua"/>
          <w:sz w:val="18"/>
          <w:szCs w:val="18"/>
        </w:rPr>
        <w:t xml:space="preserve">, “Backbenchers want to influence policy and have voices heard,” </w:t>
      </w:r>
      <w:r w:rsidRPr="00092ED4">
        <w:rPr>
          <w:rFonts w:ascii="Book Antiqua" w:hAnsi="Book Antiqua"/>
          <w:i/>
          <w:iCs/>
          <w:sz w:val="18"/>
          <w:szCs w:val="18"/>
        </w:rPr>
        <w:t>The Irish Times</w:t>
      </w:r>
      <w:r w:rsidRPr="00092ED4">
        <w:rPr>
          <w:rFonts w:ascii="Book Antiqua" w:hAnsi="Book Antiqua"/>
          <w:sz w:val="18"/>
          <w:szCs w:val="18"/>
        </w:rPr>
        <w:t xml:space="preserve"> (24th June 2006).</w:t>
      </w:r>
    </w:p>
  </w:footnote>
  <w:footnote w:id="28">
    <w:p w14:paraId="05F01A42" w14:textId="485EFFD8" w:rsidR="00672A14" w:rsidRPr="00092ED4" w:rsidRDefault="00672A1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Michael Gallagher, </w:t>
      </w:r>
      <w:r w:rsidRPr="00092ED4">
        <w:rPr>
          <w:rFonts w:ascii="Book Antiqua" w:hAnsi="Book Antiqua" w:cs="Calibri"/>
          <w:sz w:val="18"/>
          <w:szCs w:val="18"/>
        </w:rPr>
        <w:t xml:space="preserve">“The Oireachtas: President and Parliament” in (eds.), John Coakley and Michael Gallagher </w:t>
      </w:r>
      <w:r w:rsidRPr="00092ED4">
        <w:rPr>
          <w:rFonts w:ascii="Book Antiqua" w:hAnsi="Book Antiqua" w:cs="Calibri"/>
          <w:i/>
          <w:sz w:val="18"/>
          <w:szCs w:val="18"/>
        </w:rPr>
        <w:t>Politics in the Republic of Ireland</w:t>
      </w:r>
      <w:r w:rsidRPr="00092ED4">
        <w:rPr>
          <w:rFonts w:ascii="Book Antiqua" w:hAnsi="Book Antiqua" w:cs="Calibri"/>
          <w:sz w:val="18"/>
          <w:szCs w:val="18"/>
        </w:rPr>
        <w:t>, (Routledge, 2017) 177.</w:t>
      </w:r>
    </w:p>
  </w:footnote>
  <w:footnote w:id="29">
    <w:p w14:paraId="1C3C900D" w14:textId="13452645" w:rsidR="00672A14" w:rsidRPr="00092ED4" w:rsidRDefault="00672A14">
      <w:pPr>
        <w:jc w:val="both"/>
        <w:rPr>
          <w:rFonts w:ascii="Book Antiqua" w:hAnsi="Book Antiqua" w:cs="Calibri"/>
          <w:color w:val="000000" w:themeColor="text1"/>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Eoin O’Malley, </w:t>
      </w:r>
      <w:r w:rsidRPr="00092ED4">
        <w:rPr>
          <w:rFonts w:ascii="Book Antiqua" w:hAnsi="Book Antiqua" w:cs="Calibri"/>
          <w:sz w:val="18"/>
          <w:szCs w:val="18"/>
        </w:rPr>
        <w:t xml:space="preserve">“The Apex of Government: Cabinet and Taoiseach in Operation” in O’Malley and </w:t>
      </w:r>
      <w:proofErr w:type="spellStart"/>
      <w:r w:rsidRPr="00092ED4">
        <w:rPr>
          <w:rFonts w:ascii="Book Antiqua" w:hAnsi="Book Antiqua" w:cs="Calibri"/>
          <w:sz w:val="18"/>
          <w:szCs w:val="18"/>
        </w:rPr>
        <w:t>MacCarthaigh</w:t>
      </w:r>
      <w:proofErr w:type="spellEnd"/>
      <w:r w:rsidRPr="00092ED4">
        <w:rPr>
          <w:rFonts w:ascii="Book Antiqua" w:hAnsi="Book Antiqua" w:cs="Calibri"/>
          <w:sz w:val="18"/>
          <w:szCs w:val="18"/>
        </w:rPr>
        <w:t xml:space="preserve"> (eds.), </w:t>
      </w:r>
      <w:r w:rsidRPr="00092ED4">
        <w:rPr>
          <w:rFonts w:ascii="Book Antiqua" w:hAnsi="Book Antiqua" w:cs="Calibri"/>
          <w:i/>
          <w:sz w:val="18"/>
          <w:szCs w:val="18"/>
        </w:rPr>
        <w:t>Governing Ireland: From Cabinet Government to Delegated Governance</w:t>
      </w:r>
      <w:r w:rsidRPr="00092ED4">
        <w:rPr>
          <w:rFonts w:ascii="Book Antiqua" w:hAnsi="Book Antiqua" w:cs="Calibri"/>
          <w:sz w:val="18"/>
          <w:szCs w:val="18"/>
        </w:rPr>
        <w:t xml:space="preserve"> (Institute of Public Administration, 2012) 37.</w:t>
      </w:r>
    </w:p>
  </w:footnote>
  <w:footnote w:id="30">
    <w:p w14:paraId="11F41C2A" w14:textId="6C3AC7B0" w:rsidR="00672A14" w:rsidRPr="00092ED4" w:rsidRDefault="00672A14">
      <w:pPr>
        <w:pStyle w:val="FootnoteText"/>
        <w:jc w:val="both"/>
        <w:rPr>
          <w:rFonts w:ascii="Book Antiqua" w:hAnsi="Book Antiqua"/>
          <w:sz w:val="18"/>
          <w:szCs w:val="18"/>
          <w:lang w:val="en-GB"/>
        </w:rPr>
      </w:pPr>
      <w:r w:rsidRPr="00675624">
        <w:rPr>
          <w:rStyle w:val="FootnoteReference"/>
          <w:rFonts w:ascii="Book Antiqua" w:hAnsi="Book Antiqua"/>
          <w:sz w:val="18"/>
          <w:szCs w:val="18"/>
        </w:rPr>
        <w:footnoteRef/>
      </w:r>
      <w:r w:rsidRPr="00675624">
        <w:rPr>
          <w:rFonts w:ascii="Book Antiqua" w:hAnsi="Book Antiqua"/>
          <w:sz w:val="18"/>
          <w:szCs w:val="18"/>
        </w:rPr>
        <w:t xml:space="preserve"> </w:t>
      </w:r>
      <w:r w:rsidRPr="00092ED4">
        <w:rPr>
          <w:rFonts w:ascii="Book Antiqua" w:hAnsi="Book Antiqua" w:cs="Calibri"/>
          <w:i/>
          <w:sz w:val="18"/>
          <w:szCs w:val="18"/>
        </w:rPr>
        <w:t xml:space="preserve">See </w:t>
      </w:r>
      <w:r w:rsidRPr="00092ED4">
        <w:rPr>
          <w:rFonts w:ascii="Book Antiqua" w:hAnsi="Book Antiqua" w:cs="Calibri"/>
          <w:iCs/>
          <w:sz w:val="18"/>
          <w:szCs w:val="18"/>
        </w:rPr>
        <w:t>generally</w:t>
      </w:r>
      <w:r w:rsidRPr="00092ED4">
        <w:rPr>
          <w:rFonts w:ascii="Book Antiqua" w:hAnsi="Book Antiqua" w:cs="Calibri"/>
          <w:i/>
          <w:sz w:val="18"/>
          <w:szCs w:val="18"/>
        </w:rPr>
        <w:t xml:space="preserve"> </w:t>
      </w:r>
      <w:r w:rsidRPr="00092ED4">
        <w:rPr>
          <w:rFonts w:ascii="Book Antiqua" w:hAnsi="Book Antiqua" w:cs="Calibri"/>
          <w:sz w:val="18"/>
          <w:szCs w:val="18"/>
        </w:rPr>
        <w:t xml:space="preserve">Richard S. Conley and </w:t>
      </w:r>
      <w:proofErr w:type="spellStart"/>
      <w:r w:rsidRPr="00092ED4">
        <w:rPr>
          <w:rFonts w:ascii="Book Antiqua" w:hAnsi="Book Antiqua" w:cs="Calibri"/>
          <w:sz w:val="18"/>
          <w:szCs w:val="18"/>
        </w:rPr>
        <w:t>Marija</w:t>
      </w:r>
      <w:proofErr w:type="spellEnd"/>
      <w:r w:rsidRPr="00092ED4">
        <w:rPr>
          <w:rFonts w:ascii="Book Antiqua" w:hAnsi="Book Antiqua" w:cs="Calibri"/>
          <w:sz w:val="18"/>
          <w:szCs w:val="18"/>
        </w:rPr>
        <w:t xml:space="preserve"> </w:t>
      </w:r>
      <w:proofErr w:type="spellStart"/>
      <w:r w:rsidRPr="00092ED4">
        <w:rPr>
          <w:rFonts w:ascii="Book Antiqua" w:hAnsi="Book Antiqua" w:cs="Calibri"/>
          <w:sz w:val="18"/>
          <w:szCs w:val="18"/>
        </w:rPr>
        <w:t>A.Bekafigo</w:t>
      </w:r>
      <w:proofErr w:type="spellEnd"/>
      <w:r w:rsidRPr="00092ED4">
        <w:rPr>
          <w:rFonts w:ascii="Book Antiqua" w:hAnsi="Book Antiqua" w:cs="Calibri"/>
          <w:sz w:val="18"/>
          <w:szCs w:val="18"/>
        </w:rPr>
        <w:t xml:space="preserve">, “No Irish Need Apply? Veto Players and Legislative Productivity in the Republic of Ireland, 1949-2000” (2010) 43 </w:t>
      </w:r>
      <w:r w:rsidRPr="00092ED4">
        <w:rPr>
          <w:rFonts w:ascii="Book Antiqua" w:hAnsi="Book Antiqua" w:cs="Calibri"/>
          <w:iCs/>
          <w:sz w:val="18"/>
          <w:szCs w:val="18"/>
        </w:rPr>
        <w:t>Comparative Political Studies</w:t>
      </w:r>
      <w:r w:rsidRPr="00092ED4">
        <w:rPr>
          <w:rFonts w:ascii="Book Antiqua" w:hAnsi="Book Antiqua" w:cs="Calibri"/>
          <w:sz w:val="18"/>
          <w:szCs w:val="18"/>
        </w:rPr>
        <w:t xml:space="preserve"> 91, 93; Richard Albert, “Fusion of Presidentialism and Parliamentarianism” (2009) 54 </w:t>
      </w:r>
      <w:r w:rsidRPr="00092ED4">
        <w:rPr>
          <w:rFonts w:ascii="Book Antiqua" w:hAnsi="Book Antiqua" w:cs="Calibri"/>
          <w:iCs/>
          <w:sz w:val="18"/>
          <w:szCs w:val="18"/>
        </w:rPr>
        <w:t>American Journal of Comparative Law</w:t>
      </w:r>
      <w:r w:rsidRPr="00092ED4">
        <w:rPr>
          <w:rFonts w:ascii="Book Antiqua" w:hAnsi="Book Antiqua" w:cs="Calibri"/>
          <w:sz w:val="18"/>
          <w:szCs w:val="18"/>
        </w:rPr>
        <w:t xml:space="preserve"> 531, 570.</w:t>
      </w:r>
    </w:p>
  </w:footnote>
  <w:footnote w:id="31">
    <w:p w14:paraId="32116347" w14:textId="16965EFD" w:rsidR="00672A14" w:rsidRPr="00D723D1" w:rsidRDefault="00672A14" w:rsidP="00D723D1">
      <w:pPr>
        <w:pStyle w:val="FootnoteText"/>
        <w:jc w:val="both"/>
        <w:rPr>
          <w:rFonts w:ascii="Book Antiqua" w:hAnsi="Book Antiqua"/>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w:t>
      </w:r>
      <w:r w:rsidRPr="00D723D1">
        <w:rPr>
          <w:rFonts w:ascii="Book Antiqua" w:hAnsi="Book Antiqua"/>
          <w:sz w:val="18"/>
          <w:szCs w:val="18"/>
        </w:rPr>
        <w:t>O’Malley, “The Apex of Government</w:t>
      </w:r>
      <w:r w:rsidRPr="00675624">
        <w:rPr>
          <w:rFonts w:ascii="Book Antiqua" w:hAnsi="Book Antiqua"/>
          <w:sz w:val="18"/>
          <w:szCs w:val="18"/>
        </w:rPr>
        <w:t>”</w:t>
      </w:r>
      <w:r w:rsidRPr="00092ED4">
        <w:rPr>
          <w:rFonts w:ascii="Book Antiqua" w:hAnsi="Book Antiqua"/>
          <w:sz w:val="18"/>
          <w:szCs w:val="18"/>
        </w:rPr>
        <w:t xml:space="preserve"> </w:t>
      </w:r>
      <w:r w:rsidRPr="00675624">
        <w:rPr>
          <w:rFonts w:ascii="Book Antiqua" w:hAnsi="Book Antiqua"/>
          <w:sz w:val="18"/>
          <w:szCs w:val="18"/>
        </w:rPr>
        <w:t xml:space="preserve">(n </w:t>
      </w:r>
      <w:r w:rsidRPr="00D05017">
        <w:rPr>
          <w:rFonts w:ascii="Book Antiqua" w:hAnsi="Book Antiqua"/>
          <w:sz w:val="18"/>
          <w:szCs w:val="18"/>
        </w:rPr>
        <w:fldChar w:fldCharType="begin"/>
      </w:r>
      <w:r w:rsidRPr="00092ED4">
        <w:rPr>
          <w:rFonts w:ascii="Book Antiqua" w:hAnsi="Book Antiqua"/>
          <w:sz w:val="18"/>
          <w:szCs w:val="18"/>
        </w:rPr>
        <w:instrText xml:space="preserve"> NOTEREF _Ref37316502 \h  \* MERGEFORMAT </w:instrText>
      </w:r>
      <w:r w:rsidRPr="00D05017">
        <w:rPr>
          <w:rFonts w:ascii="Book Antiqua" w:hAnsi="Book Antiqua"/>
          <w:sz w:val="18"/>
          <w:szCs w:val="18"/>
        </w:rPr>
      </w:r>
      <w:r w:rsidRPr="00D05017">
        <w:rPr>
          <w:rFonts w:ascii="Book Antiqua" w:hAnsi="Book Antiqua"/>
          <w:sz w:val="18"/>
          <w:szCs w:val="18"/>
        </w:rPr>
        <w:fldChar w:fldCharType="separate"/>
      </w:r>
      <w:r w:rsidRPr="00092ED4">
        <w:rPr>
          <w:rFonts w:ascii="Book Antiqua" w:hAnsi="Book Antiqua"/>
          <w:sz w:val="18"/>
          <w:szCs w:val="18"/>
        </w:rPr>
        <w:t>28</w:t>
      </w:r>
      <w:r w:rsidRPr="00D05017">
        <w:rPr>
          <w:rFonts w:ascii="Book Antiqua" w:hAnsi="Book Antiqua"/>
          <w:sz w:val="18"/>
          <w:szCs w:val="18"/>
        </w:rPr>
        <w:fldChar w:fldCharType="end"/>
      </w:r>
      <w:r w:rsidRPr="00675624">
        <w:rPr>
          <w:rFonts w:ascii="Book Antiqua" w:hAnsi="Book Antiqua"/>
          <w:sz w:val="18"/>
          <w:szCs w:val="18"/>
        </w:rPr>
        <w:t>).</w:t>
      </w:r>
    </w:p>
  </w:footnote>
  <w:footnote w:id="32">
    <w:p w14:paraId="63CDF2B6" w14:textId="0DEE7D78" w:rsidR="00672A14" w:rsidRPr="00092ED4" w:rsidRDefault="00672A14" w:rsidP="0067562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w:t>
      </w:r>
      <w:r w:rsidRPr="00092ED4">
        <w:rPr>
          <w:rFonts w:ascii="Book Antiqua" w:hAnsi="Book Antiqua" w:cs="Calibri"/>
          <w:sz w:val="18"/>
          <w:szCs w:val="18"/>
        </w:rPr>
        <w:t xml:space="preserve">Conor Casey, “Under-Explored Corners: Inherent Executive Power in the Irish Constitutional Order” (2017) </w:t>
      </w:r>
      <w:r w:rsidRPr="00D723D1">
        <w:rPr>
          <w:rFonts w:ascii="Book Antiqua" w:hAnsi="Book Antiqua" w:cs="Calibri"/>
          <w:sz w:val="18"/>
          <w:szCs w:val="18"/>
        </w:rPr>
        <w:t>Dublin University Law Journal</w:t>
      </w:r>
      <w:r w:rsidRPr="00675624">
        <w:rPr>
          <w:rFonts w:ascii="Book Antiqua" w:hAnsi="Book Antiqua" w:cs="Calibri"/>
          <w:i/>
          <w:iCs/>
          <w:sz w:val="18"/>
          <w:szCs w:val="18"/>
        </w:rPr>
        <w:t xml:space="preserve"> </w:t>
      </w:r>
      <w:r w:rsidRPr="00092ED4">
        <w:rPr>
          <w:rFonts w:ascii="Book Antiqua" w:hAnsi="Book Antiqua" w:cs="Calibri"/>
          <w:sz w:val="18"/>
          <w:szCs w:val="18"/>
        </w:rPr>
        <w:t xml:space="preserve">1, 28-32. </w:t>
      </w:r>
    </w:p>
  </w:footnote>
  <w:footnote w:id="33">
    <w:p w14:paraId="3DDBD0C8" w14:textId="54EBD442" w:rsidR="00672A14" w:rsidRPr="00092ED4" w:rsidRDefault="00672A1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w:t>
      </w:r>
      <w:r w:rsidRPr="00092ED4">
        <w:rPr>
          <w:rFonts w:ascii="Book Antiqua" w:hAnsi="Book Antiqua" w:cs="Calibri"/>
          <w:color w:val="000000" w:themeColor="text1"/>
          <w:sz w:val="18"/>
          <w:szCs w:val="18"/>
        </w:rPr>
        <w:t xml:space="preserve">Oran Doyle, </w:t>
      </w:r>
      <w:r w:rsidRPr="00092ED4">
        <w:rPr>
          <w:rFonts w:ascii="Book Antiqua" w:hAnsi="Book Antiqua" w:cs="Calibri"/>
          <w:i/>
          <w:color w:val="000000" w:themeColor="text1"/>
          <w:sz w:val="18"/>
          <w:szCs w:val="18"/>
        </w:rPr>
        <w:t xml:space="preserve">The Constitution of Ireland </w:t>
      </w:r>
      <w:r w:rsidRPr="00092ED4">
        <w:rPr>
          <w:rFonts w:ascii="Book Antiqua" w:hAnsi="Book Antiqua" w:cs="Calibri"/>
          <w:iCs/>
          <w:color w:val="000000" w:themeColor="text1"/>
          <w:sz w:val="18"/>
          <w:szCs w:val="18"/>
        </w:rPr>
        <w:t xml:space="preserve">(n </w:t>
      </w:r>
      <w:r w:rsidRPr="00D05017">
        <w:rPr>
          <w:rFonts w:ascii="Book Antiqua" w:hAnsi="Book Antiqua" w:cs="Calibri"/>
          <w:iCs/>
          <w:color w:val="000000" w:themeColor="text1"/>
          <w:sz w:val="18"/>
          <w:szCs w:val="18"/>
        </w:rPr>
        <w:fldChar w:fldCharType="begin"/>
      </w:r>
      <w:r w:rsidRPr="00092ED4">
        <w:rPr>
          <w:rFonts w:ascii="Book Antiqua" w:hAnsi="Book Antiqua" w:cs="Calibri"/>
          <w:iCs/>
          <w:color w:val="000000" w:themeColor="text1"/>
          <w:sz w:val="18"/>
          <w:szCs w:val="18"/>
        </w:rPr>
        <w:instrText xml:space="preserve"> NOTEREF _Ref37315870 \h  \* MERGEFORMAT </w:instrText>
      </w:r>
      <w:r w:rsidRPr="00D05017">
        <w:rPr>
          <w:rFonts w:ascii="Book Antiqua" w:hAnsi="Book Antiqua" w:cs="Calibri"/>
          <w:iCs/>
          <w:color w:val="000000" w:themeColor="text1"/>
          <w:sz w:val="18"/>
          <w:szCs w:val="18"/>
        </w:rPr>
      </w:r>
      <w:r w:rsidRPr="00D05017">
        <w:rPr>
          <w:rFonts w:ascii="Book Antiqua" w:hAnsi="Book Antiqua" w:cs="Calibri"/>
          <w:iCs/>
          <w:color w:val="000000" w:themeColor="text1"/>
          <w:sz w:val="18"/>
          <w:szCs w:val="18"/>
        </w:rPr>
        <w:fldChar w:fldCharType="separate"/>
      </w:r>
      <w:r w:rsidRPr="00092ED4">
        <w:rPr>
          <w:rFonts w:ascii="Book Antiqua" w:hAnsi="Book Antiqua" w:cs="Calibri"/>
          <w:iCs/>
          <w:color w:val="000000" w:themeColor="text1"/>
          <w:sz w:val="18"/>
          <w:szCs w:val="18"/>
        </w:rPr>
        <w:t>16</w:t>
      </w:r>
      <w:r w:rsidRPr="00D05017">
        <w:rPr>
          <w:rFonts w:ascii="Book Antiqua" w:hAnsi="Book Antiqua" w:cs="Calibri"/>
          <w:iCs/>
          <w:color w:val="000000" w:themeColor="text1"/>
          <w:sz w:val="18"/>
          <w:szCs w:val="18"/>
        </w:rPr>
        <w:fldChar w:fldCharType="end"/>
      </w:r>
      <w:r w:rsidRPr="00675624">
        <w:rPr>
          <w:rFonts w:ascii="Book Antiqua" w:hAnsi="Book Antiqua" w:cs="Calibri"/>
          <w:iCs/>
          <w:color w:val="000000" w:themeColor="text1"/>
          <w:sz w:val="18"/>
          <w:szCs w:val="18"/>
        </w:rPr>
        <w:t xml:space="preserve">) </w:t>
      </w:r>
      <w:r w:rsidRPr="00092ED4">
        <w:rPr>
          <w:rFonts w:ascii="Book Antiqua" w:hAnsi="Book Antiqua" w:cs="Calibri"/>
          <w:color w:val="000000" w:themeColor="text1"/>
          <w:sz w:val="18"/>
          <w:szCs w:val="18"/>
        </w:rPr>
        <w:t>46.</w:t>
      </w:r>
    </w:p>
  </w:footnote>
  <w:footnote w:id="34">
    <w:p w14:paraId="65451C74" w14:textId="3FEC1E61" w:rsidR="00672A14" w:rsidRPr="00D723D1" w:rsidRDefault="00672A14" w:rsidP="00D723D1">
      <w:pPr>
        <w:autoSpaceDE w:val="0"/>
        <w:autoSpaceDN w:val="0"/>
        <w:adjustRightInd w:val="0"/>
        <w:jc w:val="both"/>
        <w:rPr>
          <w:rFonts w:ascii="Book Antiqua" w:hAnsi="Book Antiqua"/>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Article 15.2.1. </w:t>
      </w:r>
      <w:r w:rsidRPr="00675624">
        <w:rPr>
          <w:rFonts w:ascii="Book Antiqua" w:hAnsi="Book Antiqua"/>
          <w:i/>
          <w:iCs/>
          <w:sz w:val="18"/>
          <w:szCs w:val="18"/>
        </w:rPr>
        <w:t xml:space="preserve">See </w:t>
      </w:r>
      <w:r w:rsidRPr="00D723D1">
        <w:rPr>
          <w:rFonts w:ascii="Book Antiqua" w:eastAsiaTheme="minorHAnsi" w:hAnsi="Book Antiqua"/>
          <w:sz w:val="18"/>
          <w:szCs w:val="18"/>
          <w:lang w:eastAsia="en-US"/>
        </w:rPr>
        <w:t>Maria Cahill &amp; Sean O’Conaill, “Judicial Restraint Can Also Undermine Constitutional Principles: An Irish Caution” (2017) 36 University of Queensland Law Journal 259</w:t>
      </w:r>
    </w:p>
  </w:footnote>
  <w:footnote w:id="35">
    <w:p w14:paraId="1CA7DD32" w14:textId="041D2CF7" w:rsidR="00672A14" w:rsidRPr="00D723D1" w:rsidRDefault="00672A14" w:rsidP="00D723D1">
      <w:pPr>
        <w:autoSpaceDE w:val="0"/>
        <w:autoSpaceDN w:val="0"/>
        <w:adjustRightInd w:val="0"/>
        <w:jc w:val="both"/>
        <w:rPr>
          <w:rFonts w:ascii="Book Antiqua" w:hAnsi="Book Antiqua"/>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w:t>
      </w:r>
      <w:r w:rsidRPr="00D723D1">
        <w:rPr>
          <w:rFonts w:ascii="Book Antiqua" w:eastAsiaTheme="minorHAnsi" w:hAnsi="Book Antiqua"/>
          <w:sz w:val="18"/>
          <w:szCs w:val="18"/>
          <w:lang w:eastAsia="en-US"/>
        </w:rPr>
        <w:t xml:space="preserve">Gerard Hogan, Gerry Whyte, David Kenny, Rachael Walsh, </w:t>
      </w:r>
      <w:r w:rsidRPr="00D723D1">
        <w:rPr>
          <w:rFonts w:ascii="Book Antiqua" w:eastAsiaTheme="minorHAnsi" w:hAnsi="Book Antiqua"/>
          <w:i/>
          <w:iCs/>
          <w:sz w:val="18"/>
          <w:szCs w:val="18"/>
          <w:lang w:eastAsia="en-US"/>
        </w:rPr>
        <w:t>Kelly: The Irish Constitution</w:t>
      </w:r>
      <w:r w:rsidRPr="00D723D1">
        <w:rPr>
          <w:rFonts w:ascii="Book Antiqua" w:eastAsiaTheme="minorHAnsi" w:hAnsi="Book Antiqua"/>
          <w:sz w:val="18"/>
          <w:szCs w:val="18"/>
          <w:lang w:eastAsia="en-US"/>
        </w:rPr>
        <w:t xml:space="preserve"> (Bloomsbury Professional, 2019) para. 4.2.27</w:t>
      </w:r>
      <w:r w:rsidR="002E11FC">
        <w:rPr>
          <w:rFonts w:ascii="Book Antiqua" w:eastAsiaTheme="minorHAnsi" w:hAnsi="Book Antiqua"/>
          <w:sz w:val="18"/>
          <w:szCs w:val="18"/>
          <w:lang w:eastAsia="en-US"/>
        </w:rPr>
        <w:t>.</w:t>
      </w:r>
    </w:p>
  </w:footnote>
  <w:footnote w:id="36">
    <w:p w14:paraId="7D69D9B2" w14:textId="49EA80EA" w:rsidR="00672A14" w:rsidRPr="00092ED4" w:rsidRDefault="00672A14" w:rsidP="00675624">
      <w:pPr>
        <w:pStyle w:val="FootnoteText"/>
        <w:jc w:val="both"/>
        <w:rPr>
          <w:rFonts w:ascii="Book Antiqua" w:hAnsi="Book Antiqua"/>
          <w:sz w:val="18"/>
          <w:szCs w:val="18"/>
        </w:rPr>
      </w:pPr>
      <w:r w:rsidRPr="00675624">
        <w:rPr>
          <w:rStyle w:val="FootnoteReference"/>
          <w:rFonts w:ascii="Book Antiqua" w:hAnsi="Book Antiqua"/>
          <w:sz w:val="18"/>
          <w:szCs w:val="18"/>
        </w:rPr>
        <w:footnoteRef/>
      </w:r>
      <w:r w:rsidRPr="00675624">
        <w:rPr>
          <w:rFonts w:ascii="Book Antiqua" w:hAnsi="Book Antiqua"/>
          <w:sz w:val="18"/>
          <w:szCs w:val="18"/>
        </w:rPr>
        <w:t xml:space="preserve"> </w:t>
      </w:r>
      <w:r w:rsidRPr="00092ED4">
        <w:rPr>
          <w:rFonts w:ascii="Book Antiqua" w:hAnsi="Book Antiqua"/>
          <w:sz w:val="18"/>
          <w:szCs w:val="18"/>
        </w:rPr>
        <w:t xml:space="preserve">Ibid 306. </w:t>
      </w:r>
    </w:p>
  </w:footnote>
  <w:footnote w:id="37">
    <w:p w14:paraId="3F807693" w14:textId="52257269" w:rsidR="00672A14" w:rsidRPr="00092ED4" w:rsidRDefault="00672A1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w:t>
      </w:r>
      <w:r w:rsidRPr="00675624">
        <w:rPr>
          <w:rFonts w:ascii="Book Antiqua" w:hAnsi="Book Antiqua" w:cs="Calibri"/>
          <w:sz w:val="18"/>
          <w:szCs w:val="18"/>
        </w:rPr>
        <w:t xml:space="preserve">Richard Albert, </w:t>
      </w:r>
      <w:r w:rsidRPr="00092ED4">
        <w:rPr>
          <w:rFonts w:ascii="Book Antiqua" w:hAnsi="Book Antiqua" w:cs="Calibri"/>
          <w:sz w:val="18"/>
          <w:szCs w:val="18"/>
        </w:rPr>
        <w:t xml:space="preserve">“Fusion of Presidentialism and Parliamentarianism” (n </w:t>
      </w:r>
      <w:r w:rsidRPr="00D05017">
        <w:rPr>
          <w:rFonts w:ascii="Book Antiqua" w:hAnsi="Book Antiqua" w:cs="Calibri"/>
          <w:sz w:val="18"/>
          <w:szCs w:val="18"/>
        </w:rPr>
        <w:fldChar w:fldCharType="begin"/>
      </w:r>
      <w:r w:rsidRPr="00092ED4">
        <w:rPr>
          <w:rFonts w:ascii="Book Antiqua" w:hAnsi="Book Antiqua" w:cs="Calibri"/>
          <w:sz w:val="18"/>
          <w:szCs w:val="18"/>
        </w:rPr>
        <w:instrText xml:space="preserve"> NOTEREF _Ref37316948 \h  \* MERGEFORMAT </w:instrText>
      </w:r>
      <w:r w:rsidRPr="00D05017">
        <w:rPr>
          <w:rFonts w:ascii="Book Antiqua" w:hAnsi="Book Antiqua" w:cs="Calibri"/>
          <w:sz w:val="18"/>
          <w:szCs w:val="18"/>
        </w:rPr>
      </w:r>
      <w:r w:rsidRPr="00D05017">
        <w:rPr>
          <w:rFonts w:ascii="Book Antiqua" w:hAnsi="Book Antiqua" w:cs="Calibri"/>
          <w:sz w:val="18"/>
          <w:szCs w:val="18"/>
        </w:rPr>
        <w:fldChar w:fldCharType="separate"/>
      </w:r>
      <w:r w:rsidRPr="00092ED4">
        <w:rPr>
          <w:rFonts w:ascii="Book Antiqua" w:hAnsi="Book Antiqua" w:cs="Calibri"/>
          <w:sz w:val="18"/>
          <w:szCs w:val="18"/>
        </w:rPr>
        <w:t>29</w:t>
      </w:r>
      <w:r w:rsidRPr="00D05017">
        <w:rPr>
          <w:rFonts w:ascii="Book Antiqua" w:hAnsi="Book Antiqua" w:cs="Calibri"/>
          <w:sz w:val="18"/>
          <w:szCs w:val="18"/>
        </w:rPr>
        <w:fldChar w:fldCharType="end"/>
      </w:r>
      <w:r w:rsidRPr="00675624">
        <w:rPr>
          <w:rFonts w:ascii="Book Antiqua" w:hAnsi="Book Antiqua" w:cs="Calibri"/>
          <w:sz w:val="18"/>
          <w:szCs w:val="18"/>
        </w:rPr>
        <w:t xml:space="preserve">) </w:t>
      </w:r>
      <w:r w:rsidRPr="00092ED4">
        <w:rPr>
          <w:rFonts w:ascii="Book Antiqua" w:hAnsi="Book Antiqua" w:cs="Calibri"/>
          <w:sz w:val="18"/>
          <w:szCs w:val="18"/>
        </w:rPr>
        <w:t xml:space="preserve">565. </w:t>
      </w:r>
    </w:p>
  </w:footnote>
  <w:footnote w:id="38">
    <w:p w14:paraId="0B120AD0" w14:textId="341DEDDE" w:rsidR="00672A14" w:rsidRPr="00092ED4" w:rsidRDefault="00672A1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However, see </w:t>
      </w:r>
      <w:r w:rsidRPr="00092ED4">
        <w:rPr>
          <w:rFonts w:ascii="Book Antiqua" w:hAnsi="Book Antiqua" w:cs="Calibri"/>
          <w:i/>
          <w:iCs/>
          <w:sz w:val="18"/>
          <w:szCs w:val="18"/>
        </w:rPr>
        <w:t>contra</w:t>
      </w:r>
      <w:r w:rsidRPr="00092ED4">
        <w:rPr>
          <w:rFonts w:ascii="Book Antiqua" w:hAnsi="Book Antiqua" w:cs="Calibri"/>
          <w:sz w:val="18"/>
          <w:szCs w:val="18"/>
        </w:rPr>
        <w:t xml:space="preserve"> Conley and </w:t>
      </w:r>
      <w:proofErr w:type="spellStart"/>
      <w:r w:rsidRPr="00092ED4">
        <w:rPr>
          <w:rFonts w:ascii="Book Antiqua" w:hAnsi="Book Antiqua" w:cs="Calibri"/>
          <w:sz w:val="18"/>
          <w:szCs w:val="18"/>
        </w:rPr>
        <w:t>Bekafigo</w:t>
      </w:r>
      <w:proofErr w:type="spellEnd"/>
      <w:r w:rsidRPr="00092ED4">
        <w:rPr>
          <w:rFonts w:ascii="Book Antiqua" w:hAnsi="Book Antiqua" w:cs="Calibri"/>
          <w:sz w:val="18"/>
          <w:szCs w:val="18"/>
        </w:rPr>
        <w:t xml:space="preserve">, who argue that there is no real difference in legislative productivity in Irish government, regardless of whether the executive commands a majority or acts in a minority or coalition. </w:t>
      </w:r>
      <w:r w:rsidRPr="00092ED4">
        <w:rPr>
          <w:rFonts w:ascii="Book Antiqua" w:hAnsi="Book Antiqua" w:cs="Calibri"/>
          <w:i/>
          <w:sz w:val="18"/>
          <w:szCs w:val="18"/>
        </w:rPr>
        <w:t>See</w:t>
      </w:r>
      <w:r w:rsidRPr="00092ED4">
        <w:rPr>
          <w:rFonts w:ascii="Book Antiqua" w:hAnsi="Book Antiqua" w:cs="Calibri"/>
          <w:sz w:val="18"/>
          <w:szCs w:val="18"/>
        </w:rPr>
        <w:t xml:space="preserve"> Richard S. Conley and </w:t>
      </w:r>
      <w:proofErr w:type="spellStart"/>
      <w:r w:rsidRPr="00092ED4">
        <w:rPr>
          <w:rFonts w:ascii="Book Antiqua" w:hAnsi="Book Antiqua" w:cs="Calibri"/>
          <w:sz w:val="18"/>
          <w:szCs w:val="18"/>
        </w:rPr>
        <w:t>Marija</w:t>
      </w:r>
      <w:proofErr w:type="spellEnd"/>
      <w:r w:rsidRPr="00092ED4">
        <w:rPr>
          <w:rFonts w:ascii="Book Antiqua" w:hAnsi="Book Antiqua" w:cs="Calibri"/>
          <w:sz w:val="18"/>
          <w:szCs w:val="18"/>
        </w:rPr>
        <w:t xml:space="preserve"> </w:t>
      </w:r>
      <w:proofErr w:type="spellStart"/>
      <w:r w:rsidRPr="00092ED4">
        <w:rPr>
          <w:rFonts w:ascii="Book Antiqua" w:hAnsi="Book Antiqua" w:cs="Calibri"/>
          <w:sz w:val="18"/>
          <w:szCs w:val="18"/>
        </w:rPr>
        <w:t>A.Bekafigo</w:t>
      </w:r>
      <w:proofErr w:type="spellEnd"/>
      <w:r w:rsidRPr="00092ED4">
        <w:rPr>
          <w:rFonts w:ascii="Book Antiqua" w:hAnsi="Book Antiqua" w:cs="Calibri"/>
          <w:sz w:val="18"/>
          <w:szCs w:val="18"/>
        </w:rPr>
        <w:t xml:space="preserve">, “No Irish Need Apply? </w:t>
      </w:r>
      <w:r w:rsidRPr="00092ED4">
        <w:rPr>
          <w:rFonts w:ascii="Book Antiqua" w:hAnsi="Book Antiqua" w:cs="Calibri"/>
          <w:sz w:val="18"/>
          <w:szCs w:val="18"/>
        </w:rPr>
        <w:t xml:space="preserve">Veto Players and Legislative Productivity in the Republic of Ireland, 1949-2000” (n </w:t>
      </w:r>
      <w:r w:rsidRPr="00D05017">
        <w:rPr>
          <w:rFonts w:ascii="Book Antiqua" w:hAnsi="Book Antiqua" w:cs="Calibri"/>
          <w:sz w:val="18"/>
          <w:szCs w:val="18"/>
        </w:rPr>
        <w:fldChar w:fldCharType="begin"/>
      </w:r>
      <w:r w:rsidRPr="00092ED4">
        <w:rPr>
          <w:rFonts w:ascii="Book Antiqua" w:hAnsi="Book Antiqua" w:cs="Calibri"/>
          <w:sz w:val="18"/>
          <w:szCs w:val="18"/>
        </w:rPr>
        <w:instrText xml:space="preserve"> NOTEREF _Ref37316948 \h  \* MERGEFORMAT </w:instrText>
      </w:r>
      <w:r w:rsidRPr="00D05017">
        <w:rPr>
          <w:rFonts w:ascii="Book Antiqua" w:hAnsi="Book Antiqua" w:cs="Calibri"/>
          <w:sz w:val="18"/>
          <w:szCs w:val="18"/>
        </w:rPr>
      </w:r>
      <w:r w:rsidRPr="00D05017">
        <w:rPr>
          <w:rFonts w:ascii="Book Antiqua" w:hAnsi="Book Antiqua" w:cs="Calibri"/>
          <w:sz w:val="18"/>
          <w:szCs w:val="18"/>
        </w:rPr>
        <w:fldChar w:fldCharType="separate"/>
      </w:r>
      <w:r w:rsidRPr="00092ED4">
        <w:rPr>
          <w:rFonts w:ascii="Book Antiqua" w:hAnsi="Book Antiqua" w:cs="Calibri"/>
          <w:sz w:val="18"/>
          <w:szCs w:val="18"/>
        </w:rPr>
        <w:t>29</w:t>
      </w:r>
      <w:r w:rsidRPr="00D05017">
        <w:rPr>
          <w:rFonts w:ascii="Book Antiqua" w:hAnsi="Book Antiqua" w:cs="Calibri"/>
          <w:sz w:val="18"/>
          <w:szCs w:val="18"/>
        </w:rPr>
        <w:fldChar w:fldCharType="end"/>
      </w:r>
      <w:r w:rsidRPr="00675624">
        <w:rPr>
          <w:rFonts w:ascii="Book Antiqua" w:hAnsi="Book Antiqua" w:cs="Calibri"/>
          <w:sz w:val="18"/>
          <w:szCs w:val="18"/>
        </w:rPr>
        <w:t>)</w:t>
      </w:r>
      <w:r w:rsidRPr="00092ED4">
        <w:rPr>
          <w:rFonts w:ascii="Book Antiqua" w:hAnsi="Book Antiqua" w:cs="Calibri"/>
          <w:sz w:val="18"/>
          <w:szCs w:val="18"/>
        </w:rPr>
        <w:t>.</w:t>
      </w:r>
      <w:r w:rsidRPr="00675624">
        <w:rPr>
          <w:rFonts w:ascii="Book Antiqua" w:hAnsi="Book Antiqua" w:cs="Calibri"/>
          <w:i/>
          <w:sz w:val="18"/>
          <w:szCs w:val="18"/>
        </w:rPr>
        <w:t xml:space="preserve"> </w:t>
      </w:r>
      <w:r w:rsidRPr="00092ED4">
        <w:rPr>
          <w:rFonts w:ascii="Book Antiqua" w:hAnsi="Book Antiqua" w:cs="Calibri"/>
          <w:sz w:val="18"/>
          <w:szCs w:val="18"/>
        </w:rPr>
        <w:t xml:space="preserve"> </w:t>
      </w:r>
    </w:p>
  </w:footnote>
  <w:footnote w:id="39">
    <w:p w14:paraId="5F59DEB3" w14:textId="4896239A" w:rsidR="00672A14" w:rsidRPr="00092ED4" w:rsidRDefault="00672A14">
      <w:pPr>
        <w:pStyle w:val="p1"/>
        <w:jc w:val="both"/>
        <w:rPr>
          <w:rFonts w:ascii="Book Antiqua" w:hAnsi="Book Antiqua" w:cs="Calibri"/>
          <w:color w:val="000000" w:themeColor="text1"/>
          <w:sz w:val="18"/>
          <w:szCs w:val="18"/>
          <w:lang w:val="en-IE"/>
        </w:rPr>
      </w:pPr>
      <w:r w:rsidRPr="00675624">
        <w:rPr>
          <w:rStyle w:val="FootnoteReference"/>
          <w:rFonts w:ascii="Book Antiqua" w:hAnsi="Book Antiqua" w:cs="Calibri"/>
          <w:sz w:val="18"/>
          <w:szCs w:val="18"/>
          <w:lang w:val="en-IE"/>
        </w:rPr>
        <w:footnoteRef/>
      </w:r>
      <w:r w:rsidRPr="00675624">
        <w:rPr>
          <w:rFonts w:ascii="Book Antiqua" w:hAnsi="Book Antiqua" w:cs="Calibri"/>
          <w:sz w:val="18"/>
          <w:szCs w:val="18"/>
          <w:lang w:val="en-IE"/>
        </w:rPr>
        <w:t xml:space="preserve"> </w:t>
      </w:r>
      <w:r w:rsidRPr="00092ED4">
        <w:rPr>
          <w:rFonts w:ascii="Book Antiqua" w:hAnsi="Book Antiqua" w:cs="Calibri"/>
          <w:i/>
          <w:sz w:val="18"/>
          <w:szCs w:val="18"/>
          <w:lang w:val="en-IE"/>
        </w:rPr>
        <w:t>See</w:t>
      </w:r>
      <w:r w:rsidRPr="00092ED4">
        <w:rPr>
          <w:rFonts w:ascii="Book Antiqua" w:hAnsi="Book Antiqua" w:cs="Calibri"/>
          <w:sz w:val="18"/>
          <w:szCs w:val="18"/>
          <w:lang w:val="en-IE"/>
        </w:rPr>
        <w:t xml:space="preserve"> Catherine Lynch, “The effect of parliamentary reforms (2011–16) on the Oireachtas committee system” (2017) 65 </w:t>
      </w:r>
      <w:r w:rsidRPr="00D723D1">
        <w:rPr>
          <w:rFonts w:ascii="Book Antiqua" w:hAnsi="Book Antiqua" w:cs="Calibri"/>
          <w:iCs/>
          <w:color w:val="000000" w:themeColor="text1"/>
          <w:sz w:val="18"/>
          <w:szCs w:val="18"/>
          <w:lang w:val="en-IE"/>
        </w:rPr>
        <w:t>Administration</w:t>
      </w:r>
      <w:r w:rsidRPr="00675624">
        <w:rPr>
          <w:rFonts w:ascii="Book Antiqua" w:hAnsi="Book Antiqua" w:cs="Calibri"/>
          <w:color w:val="000000" w:themeColor="text1"/>
          <w:sz w:val="18"/>
          <w:szCs w:val="18"/>
          <w:lang w:val="en-IE"/>
        </w:rPr>
        <w:t xml:space="preserve"> </w:t>
      </w:r>
      <w:r w:rsidRPr="00092ED4">
        <w:rPr>
          <w:rFonts w:ascii="Book Antiqua" w:hAnsi="Book Antiqua" w:cs="Calibri"/>
          <w:color w:val="000000" w:themeColor="text1"/>
          <w:sz w:val="18"/>
          <w:szCs w:val="18"/>
          <w:lang w:val="en-IE"/>
        </w:rPr>
        <w:t>59–87.</w:t>
      </w:r>
    </w:p>
  </w:footnote>
  <w:footnote w:id="40">
    <w:p w14:paraId="633AA61B" w14:textId="1A435EC8" w:rsidR="00672A14" w:rsidRPr="00092ED4" w:rsidRDefault="00672A14">
      <w:pPr>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w:t>
      </w:r>
      <w:r w:rsidRPr="00092ED4">
        <w:rPr>
          <w:rFonts w:ascii="Book Antiqua" w:hAnsi="Book Antiqua" w:cs="Calibri"/>
          <w:i/>
          <w:sz w:val="18"/>
          <w:szCs w:val="18"/>
        </w:rPr>
        <w:t xml:space="preserve">See </w:t>
      </w:r>
      <w:r w:rsidRPr="00092ED4">
        <w:rPr>
          <w:rFonts w:ascii="Book Antiqua" w:hAnsi="Book Antiqua" w:cs="Calibri"/>
          <w:sz w:val="18"/>
          <w:szCs w:val="18"/>
        </w:rPr>
        <w:t xml:space="preserve">Catherine Lynch and Shane Martin, “Can parliaments be strengthened? A case study of pre-legislative scrutiny” (2019) </w:t>
      </w:r>
      <w:r w:rsidRPr="00D723D1">
        <w:rPr>
          <w:rFonts w:ascii="Book Antiqua" w:hAnsi="Book Antiqua" w:cs="Calibri"/>
          <w:sz w:val="18"/>
          <w:szCs w:val="18"/>
        </w:rPr>
        <w:t>Irish Political Studies</w:t>
      </w:r>
      <w:r w:rsidRPr="00675624">
        <w:rPr>
          <w:rFonts w:ascii="Book Antiqua" w:hAnsi="Book Antiqua" w:cs="Calibri"/>
          <w:i/>
          <w:iCs/>
          <w:sz w:val="18"/>
          <w:szCs w:val="18"/>
        </w:rPr>
        <w:t xml:space="preserve"> </w:t>
      </w:r>
      <w:r w:rsidRPr="00092ED4">
        <w:rPr>
          <w:rFonts w:ascii="Book Antiqua" w:hAnsi="Book Antiqua" w:cs="Calibri"/>
          <w:sz w:val="18"/>
          <w:szCs w:val="18"/>
        </w:rPr>
        <w:t xml:space="preserve">1-20; </w:t>
      </w:r>
      <w:r w:rsidRPr="00092ED4">
        <w:rPr>
          <w:rFonts w:ascii="Book Antiqua" w:hAnsi="Book Antiqua" w:cs="Calibri"/>
          <w:color w:val="000000" w:themeColor="text1"/>
          <w:sz w:val="18"/>
          <w:szCs w:val="18"/>
        </w:rPr>
        <w:t xml:space="preserve">Catherine Lynch, Eoin O’Malley, Theresa Reidy, David </w:t>
      </w:r>
      <w:proofErr w:type="spellStart"/>
      <w:proofErr w:type="gramStart"/>
      <w:r w:rsidRPr="00092ED4">
        <w:rPr>
          <w:rFonts w:ascii="Book Antiqua" w:hAnsi="Book Antiqua" w:cs="Calibri"/>
          <w:color w:val="000000" w:themeColor="text1"/>
          <w:sz w:val="18"/>
          <w:szCs w:val="18"/>
        </w:rPr>
        <w:t>M.Farrell</w:t>
      </w:r>
      <w:proofErr w:type="spellEnd"/>
      <w:proofErr w:type="gramEnd"/>
      <w:r w:rsidRPr="00092ED4">
        <w:rPr>
          <w:rFonts w:ascii="Book Antiqua" w:hAnsi="Book Antiqua" w:cs="Calibri"/>
          <w:color w:val="000000" w:themeColor="text1"/>
          <w:sz w:val="18"/>
          <w:szCs w:val="18"/>
        </w:rPr>
        <w:t xml:space="preserve">, Jane Suiter, </w:t>
      </w:r>
      <w:r w:rsidRPr="00092ED4">
        <w:rPr>
          <w:rFonts w:ascii="Book Antiqua" w:hAnsi="Book Antiqua" w:cs="Calibri"/>
          <w:color w:val="000000" w:themeColor="text1"/>
          <w:sz w:val="18"/>
          <w:szCs w:val="18"/>
          <w:shd w:val="clear" w:color="auto" w:fill="FFFFFF"/>
        </w:rPr>
        <w:t>“Dáil reforms since 2011: Pathway to power for the 'puny' parliament?” (2017) 65</w:t>
      </w:r>
      <w:r w:rsidRPr="00092ED4">
        <w:rPr>
          <w:rFonts w:ascii="Book Antiqua" w:hAnsi="Book Antiqua" w:cs="Calibri"/>
          <w:i/>
          <w:color w:val="000000" w:themeColor="text1"/>
          <w:sz w:val="18"/>
          <w:szCs w:val="18"/>
        </w:rPr>
        <w:t xml:space="preserve"> </w:t>
      </w:r>
      <w:r w:rsidRPr="00D723D1">
        <w:rPr>
          <w:rFonts w:ascii="Book Antiqua" w:hAnsi="Book Antiqua" w:cs="Calibri"/>
          <w:iCs/>
          <w:color w:val="000000" w:themeColor="text1"/>
          <w:sz w:val="18"/>
          <w:szCs w:val="18"/>
        </w:rPr>
        <w:t>Administration</w:t>
      </w:r>
      <w:r w:rsidRPr="00675624">
        <w:rPr>
          <w:rFonts w:ascii="Book Antiqua" w:hAnsi="Book Antiqua" w:cs="Calibri"/>
          <w:iCs/>
          <w:color w:val="000000" w:themeColor="text1"/>
          <w:sz w:val="18"/>
          <w:szCs w:val="18"/>
          <w:shd w:val="clear" w:color="auto" w:fill="FFFFFF"/>
        </w:rPr>
        <w:t xml:space="preserve"> </w:t>
      </w:r>
      <w:r w:rsidRPr="00092ED4">
        <w:rPr>
          <w:rFonts w:ascii="Book Antiqua" w:hAnsi="Book Antiqua" w:cs="Calibri"/>
          <w:color w:val="000000" w:themeColor="text1"/>
          <w:sz w:val="18"/>
          <w:szCs w:val="18"/>
        </w:rPr>
        <w:t>37–57. A similar system introduced for private members’ bills—known as Detailed Scrutiny—is discussed below.</w:t>
      </w:r>
    </w:p>
  </w:footnote>
  <w:footnote w:id="41">
    <w:p w14:paraId="68FA8A1B" w14:textId="46444343" w:rsidR="00672A14" w:rsidRPr="00092ED4" w:rsidRDefault="00672A14">
      <w:pPr>
        <w:pStyle w:val="FootnoteText"/>
        <w:jc w:val="both"/>
        <w:rPr>
          <w:rFonts w:ascii="Book Antiqua" w:hAnsi="Book Antiqua"/>
          <w:sz w:val="18"/>
          <w:szCs w:val="18"/>
        </w:rPr>
      </w:pPr>
      <w:r w:rsidRPr="00675624">
        <w:rPr>
          <w:rStyle w:val="FootnoteReference"/>
          <w:rFonts w:ascii="Book Antiqua" w:hAnsi="Book Antiqua"/>
          <w:sz w:val="18"/>
          <w:szCs w:val="18"/>
        </w:rPr>
        <w:footnoteRef/>
      </w:r>
      <w:r w:rsidRPr="00675624">
        <w:rPr>
          <w:rFonts w:ascii="Book Antiqua" w:hAnsi="Book Antiqua"/>
          <w:sz w:val="18"/>
          <w:szCs w:val="18"/>
        </w:rPr>
        <w:t xml:space="preserve"> Through the Oireachtas Library &amp; Research Service and Office of Parliamentary Legal Advisors. </w:t>
      </w:r>
      <w:r w:rsidRPr="00092ED4">
        <w:rPr>
          <w:rFonts w:ascii="Book Antiqua" w:eastAsia="Times New Roman" w:hAnsi="Book Antiqua" w:cs="Calibri"/>
          <w:color w:val="000000" w:themeColor="text1"/>
          <w:sz w:val="18"/>
          <w:szCs w:val="18"/>
        </w:rPr>
        <w:t>ibid 53.</w:t>
      </w:r>
    </w:p>
  </w:footnote>
  <w:footnote w:id="42">
    <w:p w14:paraId="13DE5167" w14:textId="0C3E80F4" w:rsidR="00672A14" w:rsidRPr="00092ED4" w:rsidRDefault="00672A1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w:t>
      </w:r>
      <w:r w:rsidRPr="00092ED4">
        <w:rPr>
          <w:rFonts w:ascii="Book Antiqua" w:hAnsi="Book Antiqua" w:cs="Calibri"/>
          <w:color w:val="000000" w:themeColor="text1"/>
          <w:sz w:val="18"/>
          <w:szCs w:val="18"/>
        </w:rPr>
        <w:t>ibid 55.</w:t>
      </w:r>
    </w:p>
  </w:footnote>
  <w:footnote w:id="43">
    <w:p w14:paraId="57A494F8" w14:textId="54E5D8B8" w:rsidR="00672A14" w:rsidRPr="00092ED4" w:rsidRDefault="00672A1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w:t>
      </w:r>
      <w:r w:rsidRPr="00092ED4">
        <w:rPr>
          <w:rFonts w:ascii="Book Antiqua" w:hAnsi="Book Antiqua" w:cs="Calibri"/>
          <w:color w:val="000000" w:themeColor="text1"/>
          <w:sz w:val="18"/>
          <w:szCs w:val="18"/>
        </w:rPr>
        <w:t xml:space="preserve">Oran Doyle, </w:t>
      </w:r>
      <w:r w:rsidRPr="00092ED4">
        <w:rPr>
          <w:rFonts w:ascii="Book Antiqua" w:hAnsi="Book Antiqua" w:cs="Calibri"/>
          <w:i/>
          <w:color w:val="000000" w:themeColor="text1"/>
          <w:sz w:val="18"/>
          <w:szCs w:val="18"/>
        </w:rPr>
        <w:t xml:space="preserve">The Constitution of Ireland: A Contextual Analysis </w:t>
      </w:r>
      <w:r w:rsidRPr="00092ED4">
        <w:rPr>
          <w:rFonts w:ascii="Book Antiqua" w:hAnsi="Book Antiqua" w:cs="Calibri"/>
          <w:color w:val="000000" w:themeColor="text1"/>
          <w:sz w:val="18"/>
          <w:szCs w:val="18"/>
        </w:rPr>
        <w:t xml:space="preserve">(n </w:t>
      </w:r>
      <w:r w:rsidRPr="00D05017">
        <w:rPr>
          <w:rFonts w:ascii="Book Antiqua" w:hAnsi="Book Antiqua" w:cs="Calibri"/>
          <w:color w:val="000000" w:themeColor="text1"/>
          <w:sz w:val="18"/>
          <w:szCs w:val="18"/>
        </w:rPr>
        <w:fldChar w:fldCharType="begin"/>
      </w:r>
      <w:r w:rsidRPr="00092ED4">
        <w:rPr>
          <w:rFonts w:ascii="Book Antiqua" w:hAnsi="Book Antiqua" w:cs="Calibri"/>
          <w:color w:val="000000" w:themeColor="text1"/>
          <w:sz w:val="18"/>
          <w:szCs w:val="18"/>
        </w:rPr>
        <w:instrText xml:space="preserve"> NOTEREF _Ref37315870 \h  \* MERGEFORMAT </w:instrText>
      </w:r>
      <w:r w:rsidRPr="00D05017">
        <w:rPr>
          <w:rFonts w:ascii="Book Antiqua" w:hAnsi="Book Antiqua" w:cs="Calibri"/>
          <w:color w:val="000000" w:themeColor="text1"/>
          <w:sz w:val="18"/>
          <w:szCs w:val="18"/>
        </w:rPr>
      </w:r>
      <w:r w:rsidRPr="00D05017">
        <w:rPr>
          <w:rFonts w:ascii="Book Antiqua" w:hAnsi="Book Antiqua" w:cs="Calibri"/>
          <w:color w:val="000000" w:themeColor="text1"/>
          <w:sz w:val="18"/>
          <w:szCs w:val="18"/>
        </w:rPr>
        <w:fldChar w:fldCharType="separate"/>
      </w:r>
      <w:r w:rsidRPr="00092ED4">
        <w:rPr>
          <w:rFonts w:ascii="Book Antiqua" w:hAnsi="Book Antiqua" w:cs="Calibri"/>
          <w:color w:val="000000" w:themeColor="text1"/>
          <w:sz w:val="18"/>
          <w:szCs w:val="18"/>
        </w:rPr>
        <w:t>16</w:t>
      </w:r>
      <w:r w:rsidRPr="00D05017">
        <w:rPr>
          <w:rFonts w:ascii="Book Antiqua" w:hAnsi="Book Antiqua" w:cs="Calibri"/>
          <w:color w:val="000000" w:themeColor="text1"/>
          <w:sz w:val="18"/>
          <w:szCs w:val="18"/>
        </w:rPr>
        <w:fldChar w:fldCharType="end"/>
      </w:r>
      <w:r w:rsidRPr="00675624">
        <w:rPr>
          <w:rFonts w:ascii="Book Antiqua" w:hAnsi="Book Antiqua" w:cs="Calibri"/>
          <w:color w:val="000000" w:themeColor="text1"/>
          <w:sz w:val="18"/>
          <w:szCs w:val="18"/>
        </w:rPr>
        <w:t xml:space="preserve">) </w:t>
      </w:r>
      <w:r w:rsidRPr="00092ED4">
        <w:rPr>
          <w:rFonts w:ascii="Book Antiqua" w:hAnsi="Book Antiqua" w:cs="Calibri"/>
          <w:sz w:val="18"/>
          <w:szCs w:val="18"/>
        </w:rPr>
        <w:t>62, 97.</w:t>
      </w:r>
    </w:p>
  </w:footnote>
  <w:footnote w:id="44">
    <w:p w14:paraId="5539F429" w14:textId="04F0655F" w:rsidR="00672A14" w:rsidRPr="00D723D1" w:rsidRDefault="00672A14" w:rsidP="00D723D1">
      <w:pPr>
        <w:jc w:val="both"/>
        <w:rPr>
          <w:rFonts w:ascii="Book Antiqua" w:hAnsi="Book Antiqua"/>
          <w:sz w:val="18"/>
          <w:szCs w:val="18"/>
        </w:rPr>
      </w:pPr>
      <w:r w:rsidRPr="00D723D1">
        <w:rPr>
          <w:rStyle w:val="FootnoteReference"/>
          <w:rFonts w:ascii="Book Antiqua" w:hAnsi="Book Antiqua"/>
          <w:sz w:val="18"/>
          <w:szCs w:val="18"/>
        </w:rPr>
        <w:footnoteRef/>
      </w:r>
      <w:r w:rsidRPr="00092ED4">
        <w:rPr>
          <w:rFonts w:ascii="Book Antiqua" w:hAnsi="Book Antiqua"/>
          <w:color w:val="000000"/>
          <w:sz w:val="18"/>
          <w:szCs w:val="18"/>
        </w:rPr>
        <w:t xml:space="preserve">Noel Whelan, “New politics means little legislation” </w:t>
      </w:r>
      <w:r w:rsidRPr="00092ED4">
        <w:rPr>
          <w:rFonts w:ascii="Book Antiqua" w:hAnsi="Book Antiqua"/>
          <w:i/>
          <w:iCs/>
          <w:color w:val="000000"/>
          <w:sz w:val="18"/>
          <w:szCs w:val="18"/>
        </w:rPr>
        <w:t xml:space="preserve">Irish Times </w:t>
      </w:r>
      <w:r w:rsidRPr="00092ED4">
        <w:rPr>
          <w:rFonts w:ascii="Book Antiqua" w:hAnsi="Book Antiqua"/>
          <w:color w:val="000000"/>
          <w:sz w:val="18"/>
          <w:szCs w:val="18"/>
        </w:rPr>
        <w:t xml:space="preserve">(27th </w:t>
      </w:r>
      <w:proofErr w:type="gramStart"/>
      <w:r w:rsidRPr="00092ED4">
        <w:rPr>
          <w:rFonts w:ascii="Book Antiqua" w:hAnsi="Book Antiqua"/>
          <w:color w:val="000000"/>
          <w:sz w:val="18"/>
          <w:szCs w:val="18"/>
        </w:rPr>
        <w:t>January,</w:t>
      </w:r>
      <w:proofErr w:type="gramEnd"/>
      <w:r w:rsidRPr="00092ED4">
        <w:rPr>
          <w:rFonts w:ascii="Book Antiqua" w:hAnsi="Book Antiqua"/>
          <w:color w:val="000000"/>
          <w:sz w:val="18"/>
          <w:szCs w:val="18"/>
        </w:rPr>
        <w:t xml:space="preserve"> 2017)</w:t>
      </w:r>
      <w:r w:rsidRPr="00092ED4">
        <w:rPr>
          <w:rFonts w:ascii="Book Antiqua" w:hAnsi="Book Antiqua"/>
          <w:b/>
          <w:bCs/>
          <w:color w:val="000000"/>
          <w:sz w:val="18"/>
          <w:szCs w:val="18"/>
        </w:rPr>
        <w:t>;</w:t>
      </w:r>
      <w:r w:rsidRPr="00D723D1">
        <w:rPr>
          <w:rFonts w:ascii="Book Antiqua" w:hAnsi="Book Antiqua"/>
          <w:sz w:val="18"/>
          <w:szCs w:val="18"/>
        </w:rPr>
        <w:t xml:space="preserve"> </w:t>
      </w:r>
      <w:r w:rsidRPr="00675624">
        <w:rPr>
          <w:rFonts w:ascii="Book Antiqua" w:hAnsi="Book Antiqua"/>
          <w:color w:val="000000"/>
          <w:kern w:val="36"/>
          <w:sz w:val="18"/>
          <w:szCs w:val="18"/>
        </w:rPr>
        <w:t xml:space="preserve">Stephen Collins, </w:t>
      </w:r>
      <w:r w:rsidRPr="00092ED4">
        <w:rPr>
          <w:rFonts w:ascii="Book Antiqua" w:hAnsi="Book Antiqua"/>
          <w:color w:val="000000"/>
          <w:kern w:val="36"/>
          <w:sz w:val="18"/>
          <w:szCs w:val="18"/>
        </w:rPr>
        <w:t>“</w:t>
      </w:r>
      <w:r w:rsidRPr="00092ED4">
        <w:rPr>
          <w:rFonts w:ascii="Book Antiqua" w:hAnsi="Book Antiqua"/>
          <w:color w:val="000000"/>
          <w:sz w:val="18"/>
          <w:szCs w:val="18"/>
        </w:rPr>
        <w:t xml:space="preserve">Current Dáil tottering toward demise as 'new politics' fails” </w:t>
      </w:r>
      <w:r w:rsidRPr="00092ED4">
        <w:rPr>
          <w:rFonts w:ascii="Book Antiqua" w:hAnsi="Book Antiqua"/>
          <w:i/>
          <w:iCs/>
          <w:color w:val="000000"/>
          <w:sz w:val="18"/>
          <w:szCs w:val="18"/>
        </w:rPr>
        <w:t>Irish Times</w:t>
      </w:r>
      <w:r w:rsidRPr="00092ED4">
        <w:rPr>
          <w:rFonts w:ascii="Book Antiqua" w:hAnsi="Book Antiqua"/>
          <w:color w:val="000000"/>
          <w:sz w:val="18"/>
          <w:szCs w:val="18"/>
        </w:rPr>
        <w:t xml:space="preserve"> (28</w:t>
      </w:r>
      <w:r w:rsidRPr="00092ED4">
        <w:rPr>
          <w:rFonts w:ascii="Book Antiqua" w:hAnsi="Book Antiqua"/>
          <w:color w:val="000000"/>
          <w:sz w:val="18"/>
          <w:szCs w:val="18"/>
          <w:vertAlign w:val="superscript"/>
        </w:rPr>
        <w:t>th</w:t>
      </w:r>
      <w:r w:rsidRPr="00092ED4">
        <w:rPr>
          <w:rFonts w:ascii="Book Antiqua" w:hAnsi="Book Antiqua"/>
          <w:color w:val="000000"/>
          <w:sz w:val="18"/>
          <w:szCs w:val="18"/>
        </w:rPr>
        <w:t xml:space="preserve"> February, 2019).</w:t>
      </w:r>
    </w:p>
  </w:footnote>
  <w:footnote w:id="45">
    <w:p w14:paraId="2AB279DF" w14:textId="77777777" w:rsidR="00672A14" w:rsidRPr="00D723D1" w:rsidRDefault="00672A14" w:rsidP="00D723D1">
      <w:pPr>
        <w:pStyle w:val="FootnoteText"/>
        <w:jc w:val="both"/>
        <w:rPr>
          <w:rFonts w:ascii="Book Antiqua" w:hAnsi="Book Antiqua"/>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w:t>
      </w:r>
      <w:r w:rsidRPr="00D723D1">
        <w:rPr>
          <w:rFonts w:ascii="Book Antiqua" w:hAnsi="Book Antiqua"/>
          <w:i/>
          <w:sz w:val="18"/>
          <w:szCs w:val="18"/>
        </w:rPr>
        <w:t>Collins v Minister for Finance</w:t>
      </w:r>
      <w:r w:rsidRPr="00D723D1">
        <w:rPr>
          <w:rFonts w:ascii="Book Antiqua" w:hAnsi="Book Antiqua"/>
          <w:sz w:val="18"/>
          <w:szCs w:val="18"/>
        </w:rPr>
        <w:t xml:space="preserve"> [2016] IESC 73</w:t>
      </w:r>
      <w:r w:rsidRPr="00D723D1" w:rsidDel="00C5232F">
        <w:rPr>
          <w:rFonts w:ascii="Book Antiqua" w:hAnsi="Book Antiqua"/>
          <w:sz w:val="18"/>
          <w:szCs w:val="18"/>
        </w:rPr>
        <w:t xml:space="preserve"> </w:t>
      </w:r>
      <w:r w:rsidRPr="00D723D1">
        <w:rPr>
          <w:rFonts w:ascii="Book Antiqua" w:hAnsi="Book Antiqua"/>
          <w:sz w:val="18"/>
          <w:szCs w:val="18"/>
        </w:rPr>
        <w:t>at [62].</w:t>
      </w:r>
    </w:p>
  </w:footnote>
  <w:footnote w:id="46">
    <w:p w14:paraId="074E8FE5" w14:textId="7280D4E4" w:rsidR="00672A14" w:rsidRPr="00D723D1" w:rsidRDefault="00672A14" w:rsidP="00D723D1">
      <w:pPr>
        <w:autoSpaceDE w:val="0"/>
        <w:autoSpaceDN w:val="0"/>
        <w:adjustRightInd w:val="0"/>
        <w:rPr>
          <w:rFonts w:ascii="Book Antiqua" w:hAnsi="Book Antiqua"/>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There has been no judicial consideration of these questions. See </w:t>
      </w:r>
      <w:r w:rsidRPr="00D723D1">
        <w:rPr>
          <w:rFonts w:ascii="Book Antiqua" w:eastAsiaTheme="minorHAnsi" w:hAnsi="Book Antiqua"/>
          <w:sz w:val="18"/>
          <w:szCs w:val="18"/>
          <w:lang w:eastAsia="en-US"/>
        </w:rPr>
        <w:t>David Kenny</w:t>
      </w:r>
      <w:r>
        <w:rPr>
          <w:rFonts w:ascii="Book Antiqua" w:eastAsiaTheme="minorHAnsi" w:hAnsi="Book Antiqua"/>
          <w:sz w:val="18"/>
          <w:szCs w:val="18"/>
          <w:lang w:eastAsia="en-US"/>
        </w:rPr>
        <w:t xml:space="preserve"> and Eoin Daly</w:t>
      </w:r>
      <w:r w:rsidRPr="00D723D1">
        <w:rPr>
          <w:rFonts w:ascii="Book Antiqua" w:eastAsiaTheme="minorHAnsi" w:hAnsi="Book Antiqua"/>
          <w:sz w:val="18"/>
          <w:szCs w:val="18"/>
          <w:lang w:eastAsia="en-US"/>
        </w:rPr>
        <w:t>,</w:t>
      </w:r>
      <w:r>
        <w:rPr>
          <w:rFonts w:ascii="Book Antiqua" w:eastAsiaTheme="minorHAnsi" w:hAnsi="Book Antiqua"/>
          <w:sz w:val="18"/>
          <w:szCs w:val="18"/>
          <w:lang w:eastAsia="en-US"/>
        </w:rPr>
        <w:t xml:space="preserve"> ‘</w:t>
      </w:r>
      <w:r w:rsidRPr="00F3729F">
        <w:rPr>
          <w:rFonts w:ascii="Book Antiqua" w:eastAsiaTheme="minorHAnsi" w:hAnsi="Book Antiqua"/>
          <w:sz w:val="18"/>
          <w:szCs w:val="18"/>
          <w:lang w:eastAsia="en-US"/>
        </w:rPr>
        <w:t>Opinion on the Constitutional Limits of the “Money Message” Procedure under Article 17.2 of the Constitution of Ireland</w:t>
      </w:r>
      <w:r>
        <w:rPr>
          <w:rFonts w:ascii="Book Antiqua" w:eastAsiaTheme="minorHAnsi" w:hAnsi="Book Antiqua"/>
          <w:sz w:val="18"/>
          <w:szCs w:val="18"/>
          <w:lang w:eastAsia="en-US"/>
        </w:rPr>
        <w:t xml:space="preserve">” May 2019 available at </w:t>
      </w:r>
      <w:r w:rsidRPr="00F3729F">
        <w:rPr>
          <w:rFonts w:ascii="Book Antiqua" w:eastAsiaTheme="minorHAnsi" w:hAnsi="Book Antiqua"/>
          <w:sz w:val="18"/>
          <w:szCs w:val="18"/>
          <w:lang w:eastAsia="en-US"/>
        </w:rPr>
        <w:t>https://www.academia.edu/40448056/Opinion_on_the_Constitutional_Limits_of_the_Money_Message_Procedure_under_Article_17.2_of_the_Constitution_of_Ireland</w:t>
      </w:r>
      <w:r>
        <w:rPr>
          <w:rFonts w:ascii="Book Antiqua" w:eastAsiaTheme="minorHAnsi" w:hAnsi="Book Antiqua"/>
          <w:sz w:val="18"/>
          <w:szCs w:val="18"/>
          <w:lang w:eastAsia="en-US"/>
        </w:rPr>
        <w:t>.</w:t>
      </w:r>
    </w:p>
  </w:footnote>
  <w:footnote w:id="47">
    <w:p w14:paraId="13CDD12A" w14:textId="2AA4BE95" w:rsidR="00672A14" w:rsidRPr="00D723D1" w:rsidRDefault="00672A14" w:rsidP="00D723D1">
      <w:pPr>
        <w:pStyle w:val="FootnoteText"/>
        <w:jc w:val="both"/>
        <w:rPr>
          <w:rFonts w:ascii="Book Antiqua" w:hAnsi="Book Antiqua"/>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Catherine Lynch</w:t>
      </w:r>
      <w:r w:rsidRPr="00675624">
        <w:rPr>
          <w:rFonts w:ascii="Book Antiqua" w:hAnsi="Book Antiqua"/>
          <w:sz w:val="18"/>
          <w:szCs w:val="18"/>
        </w:rPr>
        <w:t xml:space="preserve"> and</w:t>
      </w:r>
      <w:r w:rsidRPr="00D723D1">
        <w:rPr>
          <w:rFonts w:ascii="Book Antiqua" w:hAnsi="Book Antiqua"/>
          <w:sz w:val="18"/>
          <w:szCs w:val="18"/>
        </w:rPr>
        <w:t xml:space="preserve"> Darren Lawlor, “Private Members’ Bills (PMBs): Admissibility, Government messages and detailed scrutiny” </w:t>
      </w:r>
      <w:r w:rsidRPr="00D723D1">
        <w:rPr>
          <w:rFonts w:ascii="Book Antiqua" w:hAnsi="Book Antiqua"/>
          <w:i/>
          <w:iCs/>
          <w:sz w:val="18"/>
          <w:szCs w:val="18"/>
        </w:rPr>
        <w:t>Oireachtas Library and Research Service Note</w:t>
      </w:r>
      <w:r w:rsidRPr="00675624">
        <w:rPr>
          <w:rFonts w:ascii="Book Antiqua" w:hAnsi="Book Antiqua"/>
          <w:sz w:val="18"/>
          <w:szCs w:val="18"/>
        </w:rPr>
        <w:t xml:space="preserve"> (</w:t>
      </w:r>
      <w:r w:rsidRPr="00D723D1">
        <w:rPr>
          <w:rFonts w:ascii="Book Antiqua" w:hAnsi="Book Antiqua"/>
          <w:sz w:val="18"/>
          <w:szCs w:val="18"/>
        </w:rPr>
        <w:t>June 14</w:t>
      </w:r>
      <w:r w:rsidRPr="00D723D1">
        <w:rPr>
          <w:rFonts w:ascii="Book Antiqua" w:hAnsi="Book Antiqua"/>
          <w:sz w:val="18"/>
          <w:szCs w:val="18"/>
          <w:vertAlign w:val="superscript"/>
        </w:rPr>
        <w:t>th</w:t>
      </w:r>
      <w:r w:rsidRPr="00D723D1">
        <w:rPr>
          <w:rFonts w:ascii="Book Antiqua" w:hAnsi="Book Antiqua"/>
          <w:sz w:val="18"/>
          <w:szCs w:val="18"/>
        </w:rPr>
        <w:t xml:space="preserve"> 2018</w:t>
      </w:r>
      <w:r w:rsidRPr="00675624">
        <w:rPr>
          <w:rFonts w:ascii="Book Antiqua" w:hAnsi="Book Antiqua"/>
          <w:sz w:val="18"/>
          <w:szCs w:val="18"/>
        </w:rPr>
        <w:t>)</w:t>
      </w:r>
      <w:r w:rsidRPr="00D723D1">
        <w:rPr>
          <w:rFonts w:ascii="Book Antiqua" w:hAnsi="Book Antiqua"/>
          <w:sz w:val="18"/>
          <w:szCs w:val="18"/>
        </w:rPr>
        <w:t xml:space="preserve"> at 6-7.</w:t>
      </w:r>
    </w:p>
  </w:footnote>
  <w:footnote w:id="48">
    <w:p w14:paraId="36FE68B7" w14:textId="0745ED75" w:rsidR="00672A14" w:rsidRPr="00D723D1" w:rsidRDefault="00672A14" w:rsidP="00675624">
      <w:pPr>
        <w:jc w:val="both"/>
        <w:rPr>
          <w:rFonts w:ascii="Book Antiqua" w:hAnsi="Book Antiqua" w:cs="Calibri"/>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Salient Ruling 151 in the 2011 edition publication gives limited insight into the understanding of appropriation in the context of amendments from private members, including that contingent or potential expenditures are included, as are Ministerial powers that cannot be exercised without expenditures. Ruling 152 makes it clear that an amendment </w:t>
      </w:r>
      <w:r w:rsidRPr="00D723D1">
        <w:rPr>
          <w:rFonts w:ascii="Book Antiqua" w:hAnsi="Book Antiqua"/>
          <w:i/>
          <w:sz w:val="18"/>
          <w:szCs w:val="18"/>
        </w:rPr>
        <w:t>becomes</w:t>
      </w:r>
      <w:r w:rsidRPr="00D723D1">
        <w:rPr>
          <w:rFonts w:ascii="Book Antiqua" w:hAnsi="Book Antiqua"/>
          <w:sz w:val="18"/>
          <w:szCs w:val="18"/>
        </w:rPr>
        <w:t xml:space="preserve"> out of order if it emerges in the course of debate that it puts a charge on public funds.</w:t>
      </w:r>
    </w:p>
  </w:footnote>
  <w:footnote w:id="49">
    <w:p w14:paraId="6F2194C1" w14:textId="01FB341D" w:rsidR="00672A14" w:rsidRPr="00D723D1" w:rsidRDefault="00672A14" w:rsidP="00D723D1">
      <w:pPr>
        <w:pStyle w:val="FootnoteText"/>
        <w:jc w:val="both"/>
        <w:rPr>
          <w:rFonts w:ascii="Book Antiqua" w:hAnsi="Book Antiqua"/>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w:t>
      </w:r>
      <w:r w:rsidRPr="00675624">
        <w:rPr>
          <w:rFonts w:ascii="Book Antiqua" w:hAnsi="Book Antiqua"/>
          <w:sz w:val="18"/>
          <w:szCs w:val="18"/>
        </w:rPr>
        <w:t>T</w:t>
      </w:r>
      <w:r w:rsidRPr="00D723D1">
        <w:rPr>
          <w:rFonts w:ascii="Book Antiqua" w:hAnsi="Book Antiqua"/>
          <w:sz w:val="18"/>
          <w:szCs w:val="18"/>
        </w:rPr>
        <w:t xml:space="preserve">he Library and Research Service of the Oireachtas offers the following, unofficial definition: “Such incidental expenses may include the research, consultation and development of a new policy, its implementation, monitoring, a subsequent review process and possible enforcement costs.” </w:t>
      </w:r>
      <w:r w:rsidRPr="00675624">
        <w:rPr>
          <w:rFonts w:ascii="Book Antiqua" w:hAnsi="Book Antiqua"/>
          <w:i/>
          <w:iCs/>
          <w:sz w:val="18"/>
          <w:szCs w:val="18"/>
        </w:rPr>
        <w:t>See</w:t>
      </w:r>
      <w:r w:rsidRPr="00D723D1">
        <w:rPr>
          <w:rFonts w:ascii="Book Antiqua" w:hAnsi="Book Antiqua"/>
          <w:sz w:val="18"/>
          <w:szCs w:val="18"/>
        </w:rPr>
        <w:t xml:space="preserve"> (n</w:t>
      </w:r>
      <w:r w:rsidRPr="00675624">
        <w:rPr>
          <w:rFonts w:ascii="Book Antiqua" w:hAnsi="Book Antiqua"/>
          <w:sz w:val="18"/>
          <w:szCs w:val="18"/>
        </w:rPr>
        <w:t xml:space="preserve"> </w:t>
      </w:r>
      <w:r w:rsidRPr="00D05017">
        <w:rPr>
          <w:rFonts w:ascii="Book Antiqua" w:hAnsi="Book Antiqua"/>
          <w:sz w:val="18"/>
          <w:szCs w:val="18"/>
        </w:rPr>
        <w:fldChar w:fldCharType="begin"/>
      </w:r>
      <w:r w:rsidRPr="00092ED4">
        <w:rPr>
          <w:rFonts w:ascii="Book Antiqua" w:hAnsi="Book Antiqua"/>
          <w:sz w:val="18"/>
          <w:szCs w:val="18"/>
        </w:rPr>
        <w:instrText xml:space="preserve"> NOTEREF _Ref7534648 \h  \* MERGEFORMAT </w:instrText>
      </w:r>
      <w:r w:rsidRPr="00D05017">
        <w:rPr>
          <w:rFonts w:ascii="Book Antiqua" w:hAnsi="Book Antiqua"/>
          <w:sz w:val="18"/>
          <w:szCs w:val="18"/>
        </w:rPr>
      </w:r>
      <w:r w:rsidRPr="00D05017">
        <w:rPr>
          <w:rFonts w:ascii="Book Antiqua" w:hAnsi="Book Antiqua"/>
          <w:sz w:val="18"/>
          <w:szCs w:val="18"/>
        </w:rPr>
        <w:fldChar w:fldCharType="separate"/>
      </w:r>
      <w:r w:rsidRPr="00092ED4">
        <w:rPr>
          <w:rFonts w:ascii="Book Antiqua" w:hAnsi="Book Antiqua"/>
          <w:sz w:val="18"/>
          <w:szCs w:val="18"/>
        </w:rPr>
        <w:t>54</w:t>
      </w:r>
      <w:r w:rsidRPr="00D05017">
        <w:rPr>
          <w:rFonts w:ascii="Book Antiqua" w:hAnsi="Book Antiqua"/>
          <w:sz w:val="18"/>
          <w:szCs w:val="18"/>
        </w:rPr>
        <w:fldChar w:fldCharType="end"/>
      </w:r>
      <w:r w:rsidRPr="00D723D1">
        <w:rPr>
          <w:rFonts w:ascii="Book Antiqua" w:hAnsi="Book Antiqua"/>
          <w:sz w:val="18"/>
          <w:szCs w:val="18"/>
        </w:rPr>
        <w:t>) 8. This cannot, of course, be taken to be an official definition.</w:t>
      </w:r>
    </w:p>
  </w:footnote>
  <w:footnote w:id="50">
    <w:p w14:paraId="0414A582" w14:textId="4E76F605" w:rsidR="00672A14" w:rsidRPr="00D723D1" w:rsidRDefault="00672A14" w:rsidP="00D723D1">
      <w:pPr>
        <w:jc w:val="both"/>
        <w:rPr>
          <w:rFonts w:ascii="Book Antiqua" w:hAnsi="Book Antiqua"/>
          <w:sz w:val="18"/>
          <w:szCs w:val="18"/>
        </w:rPr>
      </w:pPr>
      <w:r w:rsidRPr="00D723D1">
        <w:rPr>
          <w:rStyle w:val="FootnoteReference"/>
          <w:rFonts w:ascii="Book Antiqua" w:hAnsi="Book Antiqua"/>
          <w:sz w:val="18"/>
          <w:szCs w:val="18"/>
        </w:rPr>
        <w:footnoteRef/>
      </w:r>
      <w:r w:rsidRPr="00675624">
        <w:rPr>
          <w:rFonts w:ascii="Book Antiqua" w:hAnsi="Book Antiqua"/>
          <w:sz w:val="18"/>
          <w:szCs w:val="18"/>
        </w:rPr>
        <w:t xml:space="preserve"> C</w:t>
      </w:r>
      <w:r w:rsidRPr="00D05017">
        <w:rPr>
          <w:rFonts w:ascii="Book Antiqua" w:hAnsi="Book Antiqua"/>
          <w:sz w:val="18"/>
          <w:szCs w:val="18"/>
        </w:rPr>
        <w:t>atharine Lynch and Darren Lawlor, “</w:t>
      </w:r>
      <w:r w:rsidRPr="00D723D1">
        <w:rPr>
          <w:rFonts w:ascii="Book Antiqua" w:hAnsi="Book Antiqua"/>
          <w:sz w:val="18"/>
          <w:szCs w:val="18"/>
        </w:rPr>
        <w:t>Private Members’ Bills (PMBs): Admissibility, Government messages and detailed scrutiny (updated Note)</w:t>
      </w:r>
      <w:r w:rsidRPr="00675624">
        <w:rPr>
          <w:rFonts w:ascii="Book Antiqua" w:hAnsi="Book Antiqua"/>
          <w:sz w:val="18"/>
          <w:szCs w:val="18"/>
        </w:rPr>
        <w:t>”</w:t>
      </w:r>
      <w:r w:rsidRPr="00D723D1">
        <w:rPr>
          <w:rFonts w:ascii="Book Antiqua" w:hAnsi="Book Antiqua"/>
          <w:sz w:val="18"/>
          <w:szCs w:val="18"/>
        </w:rPr>
        <w:t xml:space="preserve"> </w:t>
      </w:r>
      <w:r w:rsidRPr="00675624">
        <w:rPr>
          <w:rFonts w:ascii="Book Antiqua" w:hAnsi="Book Antiqua"/>
          <w:i/>
          <w:iCs/>
          <w:sz w:val="18"/>
          <w:szCs w:val="18"/>
        </w:rPr>
        <w:t>Oireachtas Library and Research Service Note</w:t>
      </w:r>
      <w:r w:rsidRPr="00D05017">
        <w:rPr>
          <w:rFonts w:ascii="Book Antiqua" w:hAnsi="Book Antiqua"/>
          <w:sz w:val="18"/>
          <w:szCs w:val="18"/>
        </w:rPr>
        <w:t xml:space="preserve"> (30</w:t>
      </w:r>
      <w:r w:rsidRPr="00D723D1">
        <w:rPr>
          <w:rFonts w:ascii="Book Antiqua" w:hAnsi="Book Antiqua"/>
          <w:sz w:val="18"/>
          <w:szCs w:val="18"/>
          <w:vertAlign w:val="superscript"/>
        </w:rPr>
        <w:t>th</w:t>
      </w:r>
      <w:r w:rsidRPr="00675624">
        <w:rPr>
          <w:rFonts w:ascii="Book Antiqua" w:hAnsi="Book Antiqua"/>
          <w:sz w:val="18"/>
          <w:szCs w:val="18"/>
        </w:rPr>
        <w:t xml:space="preserve"> M</w:t>
      </w:r>
      <w:r w:rsidRPr="00D05017">
        <w:rPr>
          <w:rFonts w:ascii="Book Antiqua" w:hAnsi="Book Antiqua"/>
          <w:sz w:val="18"/>
          <w:szCs w:val="18"/>
        </w:rPr>
        <w:t xml:space="preserve">ay 2019) </w:t>
      </w:r>
      <w:r w:rsidRPr="00D723D1">
        <w:rPr>
          <w:rFonts w:ascii="Book Antiqua" w:hAnsi="Book Antiqua"/>
          <w:sz w:val="18"/>
          <w:szCs w:val="18"/>
        </w:rPr>
        <w:t>3</w:t>
      </w:r>
      <w:r w:rsidRPr="00675624">
        <w:rPr>
          <w:rFonts w:ascii="Book Antiqua" w:hAnsi="Book Antiqua"/>
          <w:sz w:val="18"/>
          <w:szCs w:val="18"/>
        </w:rPr>
        <w:t>-4</w:t>
      </w:r>
      <w:r w:rsidRPr="00D723D1">
        <w:rPr>
          <w:rFonts w:ascii="Book Antiqua" w:hAnsi="Book Antiqua"/>
          <w:sz w:val="18"/>
          <w:szCs w:val="18"/>
        </w:rPr>
        <w:t xml:space="preserve">. </w:t>
      </w:r>
    </w:p>
  </w:footnote>
  <w:footnote w:id="51">
    <w:p w14:paraId="07D85BFB" w14:textId="7435DDB8" w:rsidR="00672A14" w:rsidRPr="00D723D1" w:rsidRDefault="00672A14" w:rsidP="00D723D1">
      <w:pPr>
        <w:pStyle w:val="FootnoteText"/>
        <w:jc w:val="both"/>
        <w:rPr>
          <w:rFonts w:ascii="Book Antiqua" w:hAnsi="Book Antiqua"/>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w:t>
      </w:r>
      <w:r w:rsidRPr="00675624">
        <w:rPr>
          <w:rFonts w:ascii="Book Antiqua" w:hAnsi="Book Antiqua"/>
          <w:sz w:val="18"/>
          <w:szCs w:val="18"/>
        </w:rPr>
        <w:t>I</w:t>
      </w:r>
      <w:r w:rsidRPr="00092ED4">
        <w:rPr>
          <w:rFonts w:ascii="Book Antiqua" w:hAnsi="Book Antiqua"/>
          <w:sz w:val="18"/>
          <w:szCs w:val="18"/>
        </w:rPr>
        <w:t xml:space="preserve">bid </w:t>
      </w:r>
      <w:r w:rsidRPr="00D723D1">
        <w:rPr>
          <w:rFonts w:ascii="Book Antiqua" w:hAnsi="Book Antiqua"/>
          <w:sz w:val="18"/>
          <w:szCs w:val="18"/>
        </w:rPr>
        <w:t>17</w:t>
      </w:r>
      <w:r w:rsidRPr="00675624">
        <w:rPr>
          <w:rFonts w:ascii="Book Antiqua" w:hAnsi="Book Antiqua"/>
          <w:sz w:val="18"/>
          <w:szCs w:val="18"/>
        </w:rPr>
        <w:t>.</w:t>
      </w:r>
    </w:p>
  </w:footnote>
  <w:footnote w:id="52">
    <w:p w14:paraId="6AB223F0" w14:textId="44C8FA47" w:rsidR="00672A14" w:rsidRPr="00D723D1" w:rsidRDefault="00672A14" w:rsidP="00D723D1">
      <w:pPr>
        <w:pStyle w:val="FootnoteText"/>
        <w:jc w:val="both"/>
        <w:rPr>
          <w:rFonts w:ascii="Book Antiqua" w:hAnsi="Book Antiqua"/>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w:t>
      </w:r>
      <w:r w:rsidRPr="00675624">
        <w:rPr>
          <w:rFonts w:ascii="Book Antiqua" w:hAnsi="Book Antiqua"/>
          <w:sz w:val="18"/>
          <w:szCs w:val="18"/>
        </w:rPr>
        <w:t>ibid</w:t>
      </w:r>
      <w:r w:rsidRPr="00D723D1">
        <w:rPr>
          <w:rFonts w:ascii="Book Antiqua" w:hAnsi="Book Antiqua"/>
          <w:sz w:val="18"/>
          <w:szCs w:val="18"/>
        </w:rPr>
        <w:t xml:space="preserve"> 18.</w:t>
      </w:r>
    </w:p>
  </w:footnote>
  <w:footnote w:id="53">
    <w:p w14:paraId="1A8126D2" w14:textId="6D36552D" w:rsidR="00672A14" w:rsidRPr="00D723D1" w:rsidRDefault="00672A14" w:rsidP="00D723D1">
      <w:pPr>
        <w:pStyle w:val="FootnoteText"/>
        <w:jc w:val="both"/>
        <w:rPr>
          <w:rFonts w:ascii="Book Antiqua" w:hAnsi="Book Antiqua"/>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Kieran Coughlan, “Government relying on little-known rule to block Bills” </w:t>
      </w:r>
      <w:r w:rsidRPr="00D723D1">
        <w:rPr>
          <w:rFonts w:ascii="Book Antiqua" w:hAnsi="Book Antiqua"/>
          <w:i/>
          <w:iCs/>
          <w:sz w:val="18"/>
          <w:szCs w:val="18"/>
        </w:rPr>
        <w:t>The Irish Times</w:t>
      </w:r>
      <w:r w:rsidRPr="00D723D1">
        <w:rPr>
          <w:rFonts w:ascii="Book Antiqua" w:hAnsi="Book Antiqua"/>
          <w:sz w:val="18"/>
          <w:szCs w:val="18"/>
        </w:rPr>
        <w:t xml:space="preserve"> </w:t>
      </w:r>
      <w:r w:rsidRPr="00675624">
        <w:rPr>
          <w:rFonts w:ascii="Book Antiqua" w:hAnsi="Book Antiqua"/>
          <w:sz w:val="18"/>
          <w:szCs w:val="18"/>
        </w:rPr>
        <w:t>(</w:t>
      </w:r>
      <w:r w:rsidRPr="00D723D1">
        <w:rPr>
          <w:rFonts w:ascii="Book Antiqua" w:hAnsi="Book Antiqua"/>
          <w:sz w:val="18"/>
          <w:szCs w:val="18"/>
        </w:rPr>
        <w:t>June 26</w:t>
      </w:r>
      <w:r w:rsidRPr="00D723D1">
        <w:rPr>
          <w:rFonts w:ascii="Book Antiqua" w:hAnsi="Book Antiqua"/>
          <w:sz w:val="18"/>
          <w:szCs w:val="18"/>
          <w:vertAlign w:val="superscript"/>
        </w:rPr>
        <w:t>th</w:t>
      </w:r>
      <w:r w:rsidRPr="00D723D1">
        <w:rPr>
          <w:rFonts w:ascii="Book Antiqua" w:hAnsi="Book Antiqua"/>
          <w:sz w:val="18"/>
          <w:szCs w:val="18"/>
        </w:rPr>
        <w:t>, 2017</w:t>
      </w:r>
      <w:r w:rsidRPr="00675624">
        <w:rPr>
          <w:rFonts w:ascii="Book Antiqua" w:hAnsi="Book Antiqua"/>
          <w:sz w:val="18"/>
          <w:szCs w:val="18"/>
        </w:rPr>
        <w:t>)</w:t>
      </w:r>
      <w:r w:rsidRPr="00D723D1">
        <w:rPr>
          <w:rFonts w:ascii="Book Antiqua" w:hAnsi="Book Antiqua"/>
          <w:sz w:val="18"/>
          <w:szCs w:val="18"/>
        </w:rPr>
        <w:t>.</w:t>
      </w:r>
    </w:p>
  </w:footnote>
  <w:footnote w:id="54">
    <w:p w14:paraId="594CD89B" w14:textId="481A84F8" w:rsidR="00672A14" w:rsidRPr="00092ED4" w:rsidRDefault="00672A14" w:rsidP="00675624">
      <w:pPr>
        <w:pStyle w:val="FootnoteText"/>
        <w:jc w:val="both"/>
        <w:rPr>
          <w:rFonts w:ascii="Book Antiqua" w:hAnsi="Book Antiqua"/>
          <w:bCs/>
          <w:sz w:val="18"/>
          <w:szCs w:val="18"/>
        </w:rPr>
      </w:pPr>
      <w:r w:rsidRPr="00675624">
        <w:rPr>
          <w:rStyle w:val="FootnoteReference"/>
          <w:rFonts w:ascii="Book Antiqua" w:hAnsi="Book Antiqua"/>
          <w:sz w:val="18"/>
          <w:szCs w:val="18"/>
        </w:rPr>
        <w:footnoteRef/>
      </w:r>
      <w:r w:rsidRPr="00675624">
        <w:rPr>
          <w:rFonts w:ascii="Book Antiqua" w:hAnsi="Book Antiqua"/>
          <w:sz w:val="18"/>
          <w:szCs w:val="18"/>
        </w:rPr>
        <w:t xml:space="preserve"> The </w:t>
      </w:r>
      <w:r w:rsidRPr="00092ED4">
        <w:rPr>
          <w:rFonts w:ascii="Book Antiqua" w:hAnsi="Book Antiqua"/>
          <w:bCs/>
          <w:sz w:val="18"/>
          <w:szCs w:val="18"/>
        </w:rPr>
        <w:t>Statute of Limitations (Amendment) Bill 2018</w:t>
      </w:r>
      <w:r w:rsidRPr="00092ED4">
        <w:rPr>
          <w:rFonts w:ascii="Book Antiqua" w:hAnsi="Book Antiqua"/>
          <w:b/>
          <w:sz w:val="18"/>
          <w:szCs w:val="18"/>
        </w:rPr>
        <w:t xml:space="preserve"> </w:t>
      </w:r>
      <w:r w:rsidRPr="00092ED4">
        <w:rPr>
          <w:rFonts w:ascii="Book Antiqua" w:hAnsi="Book Antiqua"/>
          <w:bCs/>
          <w:sz w:val="18"/>
          <w:szCs w:val="18"/>
        </w:rPr>
        <w:t xml:space="preserve">sought to augment the limitations rules in respect of the victims of thalidomide. </w:t>
      </w:r>
    </w:p>
  </w:footnote>
  <w:footnote w:id="55">
    <w:p w14:paraId="7B3C635D" w14:textId="586E81F4" w:rsidR="00672A14" w:rsidRPr="00092ED4" w:rsidRDefault="00672A14">
      <w:pPr>
        <w:pStyle w:val="FootnoteText"/>
        <w:jc w:val="both"/>
        <w:rPr>
          <w:rFonts w:ascii="Book Antiqua" w:hAnsi="Book Antiqua"/>
          <w:sz w:val="18"/>
          <w:szCs w:val="18"/>
        </w:rPr>
      </w:pPr>
      <w:r w:rsidRPr="00675624">
        <w:rPr>
          <w:rStyle w:val="FootnoteReference"/>
          <w:rFonts w:ascii="Book Antiqua" w:hAnsi="Book Antiqua"/>
          <w:sz w:val="18"/>
          <w:szCs w:val="18"/>
        </w:rPr>
        <w:footnoteRef/>
      </w:r>
      <w:r w:rsidRPr="00675624">
        <w:rPr>
          <w:rFonts w:ascii="Book Antiqua" w:hAnsi="Book Antiqua"/>
          <w:sz w:val="18"/>
          <w:szCs w:val="18"/>
        </w:rPr>
        <w:t xml:space="preserve"> The </w:t>
      </w:r>
      <w:r w:rsidRPr="00092ED4">
        <w:rPr>
          <w:rFonts w:ascii="Book Antiqua" w:hAnsi="Book Antiqua"/>
          <w:sz w:val="18"/>
          <w:szCs w:val="18"/>
        </w:rPr>
        <w:t xml:space="preserve">Provision of Objective Sex Education Bill 2018 did no more than augment very slightly the existing statutory duty of the Minister for Education to account for certain goals and values when engaging in a curriculum reform of sex education required under s 30 of the Education Act 1998. Any cost associated with this would result from the original statutory duty, and it is hard to see that the minor variation of the duty incurred any additional costs whatsoever. </w:t>
      </w:r>
    </w:p>
  </w:footnote>
  <w:footnote w:id="56">
    <w:p w14:paraId="0DE9FABB" w14:textId="227C48FB" w:rsidR="00672A14" w:rsidRPr="00675624" w:rsidRDefault="00672A14">
      <w:pPr>
        <w:pStyle w:val="FootnoteText"/>
        <w:jc w:val="both"/>
        <w:rPr>
          <w:rFonts w:ascii="Book Antiqua" w:hAnsi="Book Antiqua"/>
          <w:bCs/>
          <w:sz w:val="18"/>
          <w:szCs w:val="18"/>
        </w:rPr>
      </w:pPr>
      <w:r w:rsidRPr="00675624">
        <w:rPr>
          <w:rStyle w:val="FootnoteReference"/>
          <w:rFonts w:ascii="Book Antiqua" w:hAnsi="Book Antiqua"/>
          <w:sz w:val="18"/>
          <w:szCs w:val="18"/>
        </w:rPr>
        <w:footnoteRef/>
      </w:r>
      <w:r w:rsidRPr="00675624">
        <w:rPr>
          <w:rFonts w:ascii="Book Antiqua" w:hAnsi="Book Antiqua"/>
          <w:sz w:val="18"/>
          <w:szCs w:val="18"/>
        </w:rPr>
        <w:t xml:space="preserve"> The </w:t>
      </w:r>
      <w:r w:rsidRPr="00092ED4">
        <w:rPr>
          <w:rFonts w:ascii="Book Antiqua" w:hAnsi="Book Antiqua"/>
          <w:bCs/>
          <w:sz w:val="18"/>
          <w:szCs w:val="18"/>
        </w:rPr>
        <w:t xml:space="preserve">Sale of Tickets (Sporting and Cultural Events) Bill 2017 involved only the minor costs of police enforcement of a criminal offence for ticket touting, which would be unlikely to have any major resource implications. </w:t>
      </w:r>
      <w:r w:rsidRPr="00092ED4">
        <w:rPr>
          <w:rFonts w:ascii="Book Antiqua" w:hAnsi="Book Antiqua"/>
          <w:bCs/>
          <w:sz w:val="18"/>
          <w:szCs w:val="18"/>
        </w:rPr>
        <w:t xml:space="preserve">See </w:t>
      </w:r>
      <w:r w:rsidRPr="00327C94">
        <w:rPr>
          <w:rFonts w:ascii="Book Antiqua" w:hAnsi="Book Antiqua"/>
          <w:sz w:val="18"/>
          <w:szCs w:val="18"/>
          <w:lang w:val="en-GB"/>
        </w:rPr>
        <w:t>Kenny</w:t>
      </w:r>
      <w:r>
        <w:rPr>
          <w:rFonts w:ascii="Book Antiqua" w:hAnsi="Book Antiqua"/>
          <w:sz w:val="18"/>
          <w:szCs w:val="18"/>
          <w:lang w:val="en-GB"/>
        </w:rPr>
        <w:t xml:space="preserve"> and Daly</w:t>
      </w:r>
      <w:r w:rsidRPr="00327C94">
        <w:rPr>
          <w:rFonts w:ascii="Book Antiqua" w:hAnsi="Book Antiqua"/>
          <w:sz w:val="18"/>
          <w:szCs w:val="18"/>
          <w:lang w:val="en-GB"/>
        </w:rPr>
        <w:t xml:space="preserve"> (</w:t>
      </w:r>
      <w:r w:rsidRPr="00081690">
        <w:rPr>
          <w:rFonts w:ascii="Book Antiqua" w:hAnsi="Book Antiqua"/>
          <w:sz w:val="18"/>
          <w:szCs w:val="18"/>
          <w:lang w:val="en-GB"/>
        </w:rPr>
        <w:t xml:space="preserve">n </w:t>
      </w:r>
      <w:r w:rsidRPr="0056184D">
        <w:rPr>
          <w:rFonts w:ascii="Book Antiqua" w:hAnsi="Book Antiqua"/>
          <w:sz w:val="18"/>
          <w:szCs w:val="18"/>
          <w:lang w:val="en-GB"/>
        </w:rPr>
        <w:fldChar w:fldCharType="begin"/>
      </w:r>
      <w:r w:rsidRPr="00D723D1">
        <w:rPr>
          <w:rFonts w:ascii="Book Antiqua" w:hAnsi="Book Antiqua"/>
          <w:sz w:val="18"/>
          <w:szCs w:val="18"/>
          <w:lang w:val="en-GB"/>
        </w:rPr>
        <w:instrText xml:space="preserve"> NOTEREF _Ref37317653 \h  \* MERGEFORMAT </w:instrText>
      </w:r>
      <w:r w:rsidRPr="0056184D">
        <w:rPr>
          <w:rFonts w:ascii="Book Antiqua" w:hAnsi="Book Antiqua"/>
          <w:sz w:val="18"/>
          <w:szCs w:val="18"/>
          <w:lang w:val="en-GB"/>
        </w:rPr>
      </w:r>
      <w:r w:rsidRPr="0056184D">
        <w:rPr>
          <w:rFonts w:ascii="Book Antiqua" w:hAnsi="Book Antiqua"/>
          <w:sz w:val="18"/>
          <w:szCs w:val="18"/>
          <w:lang w:val="en-GB"/>
        </w:rPr>
        <w:fldChar w:fldCharType="separate"/>
      </w:r>
      <w:r w:rsidRPr="0056184D">
        <w:rPr>
          <w:rFonts w:ascii="Book Antiqua" w:hAnsi="Book Antiqua"/>
          <w:sz w:val="18"/>
          <w:szCs w:val="18"/>
          <w:lang w:val="en-GB"/>
        </w:rPr>
        <w:t>53</w:t>
      </w:r>
      <w:r w:rsidRPr="0056184D">
        <w:rPr>
          <w:rFonts w:ascii="Book Antiqua" w:hAnsi="Book Antiqua"/>
          <w:sz w:val="18"/>
          <w:szCs w:val="18"/>
          <w:lang w:val="en-GB"/>
        </w:rPr>
        <w:fldChar w:fldCharType="end"/>
      </w:r>
      <w:r w:rsidRPr="00081690">
        <w:rPr>
          <w:rFonts w:ascii="Book Antiqua" w:hAnsi="Book Antiqua"/>
          <w:sz w:val="18"/>
          <w:szCs w:val="18"/>
          <w:lang w:val="en-GB"/>
        </w:rPr>
        <w:t>)</w:t>
      </w:r>
      <w:r w:rsidRPr="0056184D">
        <w:rPr>
          <w:rFonts w:ascii="Book Antiqua" w:hAnsi="Book Antiqua"/>
          <w:sz w:val="18"/>
          <w:szCs w:val="18"/>
          <w:lang w:val="en-GB"/>
        </w:rPr>
        <w:t xml:space="preserve"> </w:t>
      </w:r>
      <w:r w:rsidRPr="00D723D1">
        <w:rPr>
          <w:rFonts w:ascii="Book Antiqua" w:hAnsi="Book Antiqua"/>
          <w:bCs/>
          <w:sz w:val="18"/>
          <w:szCs w:val="18"/>
        </w:rPr>
        <w:t>10.</w:t>
      </w:r>
    </w:p>
  </w:footnote>
  <w:footnote w:id="57">
    <w:p w14:paraId="430C6ACD" w14:textId="20B34AF1" w:rsidR="00672A14" w:rsidRPr="00092ED4" w:rsidRDefault="00672A14">
      <w:pPr>
        <w:pStyle w:val="FootnoteText"/>
        <w:jc w:val="both"/>
        <w:rPr>
          <w:rFonts w:ascii="Book Antiqua" w:hAnsi="Book Antiqua"/>
          <w:sz w:val="18"/>
          <w:szCs w:val="18"/>
        </w:rPr>
      </w:pPr>
      <w:r w:rsidRPr="00675624">
        <w:rPr>
          <w:rStyle w:val="FootnoteReference"/>
          <w:rFonts w:ascii="Book Antiqua" w:hAnsi="Book Antiqua"/>
          <w:sz w:val="18"/>
          <w:szCs w:val="18"/>
        </w:rPr>
        <w:footnoteRef/>
      </w:r>
      <w:r w:rsidRPr="00675624">
        <w:rPr>
          <w:rFonts w:ascii="Book Antiqua" w:hAnsi="Book Antiqua"/>
          <w:sz w:val="18"/>
          <w:szCs w:val="18"/>
        </w:rPr>
        <w:t xml:space="preserve"> One Oireachtas member reported b</w:t>
      </w:r>
      <w:r w:rsidRPr="00092ED4">
        <w:rPr>
          <w:rFonts w:ascii="Book Antiqua" w:hAnsi="Book Antiqua"/>
          <w:sz w:val="18"/>
          <w:szCs w:val="18"/>
        </w:rPr>
        <w:t xml:space="preserve">eing told by those involved in the process that even €1 of civil servant time would be sufficient to trigger the requirement. </w:t>
      </w:r>
    </w:p>
  </w:footnote>
  <w:footnote w:id="58">
    <w:p w14:paraId="5CA997DB" w14:textId="63CE6D23" w:rsidR="00672A14" w:rsidRPr="00092ED4" w:rsidRDefault="00672A14">
      <w:pPr>
        <w:pStyle w:val="FootnoteText"/>
        <w:jc w:val="both"/>
        <w:rPr>
          <w:rFonts w:ascii="Book Antiqua" w:hAnsi="Book Antiqua"/>
          <w:sz w:val="18"/>
          <w:szCs w:val="18"/>
        </w:rPr>
      </w:pPr>
      <w:r w:rsidRPr="00675624">
        <w:rPr>
          <w:rStyle w:val="FootnoteReference"/>
          <w:rFonts w:ascii="Book Antiqua" w:hAnsi="Book Antiqua"/>
          <w:sz w:val="18"/>
          <w:szCs w:val="18"/>
        </w:rPr>
        <w:footnoteRef/>
      </w:r>
      <w:r w:rsidRPr="00675624">
        <w:rPr>
          <w:rFonts w:ascii="Book Antiqua" w:hAnsi="Book Antiqua"/>
          <w:sz w:val="18"/>
          <w:szCs w:val="18"/>
        </w:rPr>
        <w:t xml:space="preserve"> </w:t>
      </w:r>
      <w:r w:rsidRPr="00675624">
        <w:rPr>
          <w:rFonts w:ascii="Book Antiqua" w:hAnsi="Book Antiqua"/>
          <w:sz w:val="18"/>
          <w:szCs w:val="18"/>
        </w:rPr>
        <w:t xml:space="preserve">See </w:t>
      </w:r>
      <w:bookmarkStart w:id="7" w:name="OLE_LINK1"/>
      <w:bookmarkStart w:id="8" w:name="OLE_LINK2"/>
      <w:r w:rsidRPr="00D723D1">
        <w:rPr>
          <w:rFonts w:ascii="Book Antiqua" w:hAnsi="Book Antiqua"/>
          <w:sz w:val="18"/>
          <w:szCs w:val="18"/>
          <w:lang w:val="en-GB"/>
        </w:rPr>
        <w:t>Kenny</w:t>
      </w:r>
      <w:r>
        <w:rPr>
          <w:rFonts w:ascii="Book Antiqua" w:hAnsi="Book Antiqua"/>
          <w:sz w:val="18"/>
          <w:szCs w:val="18"/>
          <w:lang w:val="en-GB"/>
        </w:rPr>
        <w:t xml:space="preserve"> and Daly</w:t>
      </w:r>
      <w:r w:rsidRPr="00D723D1">
        <w:rPr>
          <w:rFonts w:ascii="Book Antiqua" w:hAnsi="Book Antiqua"/>
          <w:sz w:val="18"/>
          <w:szCs w:val="18"/>
          <w:lang w:val="en-GB"/>
        </w:rPr>
        <w:t xml:space="preserve"> (n </w:t>
      </w:r>
      <w:r w:rsidRPr="00D723D1">
        <w:rPr>
          <w:rFonts w:ascii="Book Antiqua" w:hAnsi="Book Antiqua"/>
          <w:sz w:val="18"/>
          <w:szCs w:val="18"/>
          <w:lang w:val="en-GB"/>
        </w:rPr>
        <w:fldChar w:fldCharType="begin"/>
      </w:r>
      <w:r w:rsidRPr="00D723D1">
        <w:rPr>
          <w:rFonts w:ascii="Book Antiqua" w:hAnsi="Book Antiqua"/>
          <w:sz w:val="18"/>
          <w:szCs w:val="18"/>
          <w:lang w:val="en-GB"/>
        </w:rPr>
        <w:instrText xml:space="preserve"> NOTEREF _Ref37317653 \h  \* MERGEFORMAT </w:instrText>
      </w:r>
      <w:r w:rsidRPr="00D723D1">
        <w:rPr>
          <w:rFonts w:ascii="Book Antiqua" w:hAnsi="Book Antiqua"/>
          <w:sz w:val="18"/>
          <w:szCs w:val="18"/>
          <w:lang w:val="en-GB"/>
        </w:rPr>
      </w:r>
      <w:r w:rsidRPr="00D723D1">
        <w:rPr>
          <w:rFonts w:ascii="Book Antiqua" w:hAnsi="Book Antiqua"/>
          <w:sz w:val="18"/>
          <w:szCs w:val="18"/>
          <w:lang w:val="en-GB"/>
        </w:rPr>
        <w:fldChar w:fldCharType="separate"/>
      </w:r>
      <w:r w:rsidRPr="00D723D1">
        <w:rPr>
          <w:rFonts w:ascii="Book Antiqua" w:hAnsi="Book Antiqua"/>
          <w:sz w:val="18"/>
          <w:szCs w:val="18"/>
          <w:lang w:val="en-GB"/>
        </w:rPr>
        <w:t>53</w:t>
      </w:r>
      <w:r w:rsidRPr="00D723D1">
        <w:rPr>
          <w:rFonts w:ascii="Book Antiqua" w:hAnsi="Book Antiqua"/>
          <w:sz w:val="18"/>
          <w:szCs w:val="18"/>
          <w:lang w:val="en-GB"/>
        </w:rPr>
        <w:fldChar w:fldCharType="end"/>
      </w:r>
      <w:r w:rsidRPr="00D723D1">
        <w:rPr>
          <w:rFonts w:ascii="Book Antiqua" w:hAnsi="Book Antiqua"/>
          <w:sz w:val="18"/>
          <w:szCs w:val="18"/>
          <w:lang w:val="en-GB"/>
        </w:rPr>
        <w:t>)</w:t>
      </w:r>
      <w:r>
        <w:rPr>
          <w:rFonts w:ascii="Book Antiqua" w:hAnsi="Book Antiqua"/>
          <w:sz w:val="18"/>
          <w:szCs w:val="18"/>
          <w:lang w:val="en-GB"/>
        </w:rPr>
        <w:t xml:space="preserve"> </w:t>
      </w:r>
      <w:bookmarkEnd w:id="7"/>
      <w:bookmarkEnd w:id="8"/>
      <w:r>
        <w:rPr>
          <w:rFonts w:ascii="Book Antiqua" w:hAnsi="Book Antiqua"/>
          <w:sz w:val="18"/>
          <w:szCs w:val="18"/>
          <w:lang w:val="en-GB"/>
        </w:rPr>
        <w:t>13-14</w:t>
      </w:r>
      <w:r w:rsidRPr="00D723D1">
        <w:rPr>
          <w:rFonts w:ascii="Book Antiqua" w:hAnsi="Book Antiqua"/>
          <w:sz w:val="18"/>
          <w:szCs w:val="18"/>
          <w:lang w:val="en-GB"/>
        </w:rPr>
        <w:t>.</w:t>
      </w:r>
      <w:r w:rsidRPr="00675624" w:rsidDel="00E14B8D">
        <w:rPr>
          <w:rFonts w:ascii="Book Antiqua" w:hAnsi="Book Antiqua"/>
          <w:sz w:val="18"/>
          <w:szCs w:val="18"/>
        </w:rPr>
        <w:t xml:space="preserve"> </w:t>
      </w:r>
      <w:r w:rsidRPr="00092ED4">
        <w:rPr>
          <w:rFonts w:ascii="Book Antiqua" w:hAnsi="Book Antiqua"/>
          <w:sz w:val="18"/>
          <w:szCs w:val="18"/>
        </w:rPr>
        <w:t>Several examples include the Garda Síochána (Amendment) Bill 2017; the Central Bank (Variable Rate Mortgages) Bill 2016; the Consumer Protection (Regulation of Credit Servicing Firms) (Amendment) Act 2018; and the Ramming of Garda Vehicles Bill 2015. Two referendum Bills are also included, and the Clerk of the House apparently confirmed to a deputy that referendum bills do not require Money Messages even though referendums cost money. Dáil Éireann debate, 4th December 2019 vol 990 no 5.</w:t>
      </w:r>
    </w:p>
  </w:footnote>
  <w:footnote w:id="59">
    <w:p w14:paraId="2D4E813E" w14:textId="013DCFAE" w:rsidR="00672A14" w:rsidRPr="00D723D1" w:rsidRDefault="00672A14" w:rsidP="00D723D1">
      <w:pPr>
        <w:pStyle w:val="FootnoteText"/>
        <w:jc w:val="both"/>
        <w:rPr>
          <w:rFonts w:ascii="Book Antiqua" w:hAnsi="Book Antiqua"/>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w:t>
      </w:r>
      <w:r>
        <w:rPr>
          <w:rFonts w:ascii="Book Antiqua" w:hAnsi="Book Antiqua"/>
          <w:sz w:val="18"/>
          <w:szCs w:val="18"/>
        </w:rPr>
        <w:t xml:space="preserve">See </w:t>
      </w:r>
      <w:r w:rsidRPr="00D723D1">
        <w:rPr>
          <w:rFonts w:ascii="Book Antiqua" w:hAnsi="Book Antiqua"/>
          <w:i/>
          <w:iCs/>
          <w:sz w:val="18"/>
          <w:szCs w:val="18"/>
        </w:rPr>
        <w:t xml:space="preserve">Smith v An </w:t>
      </w:r>
      <w:proofErr w:type="spellStart"/>
      <w:r w:rsidRPr="00D723D1">
        <w:rPr>
          <w:rFonts w:ascii="Book Antiqua" w:hAnsi="Book Antiqua"/>
          <w:i/>
          <w:iCs/>
          <w:sz w:val="18"/>
          <w:szCs w:val="18"/>
        </w:rPr>
        <w:t>Ceann</w:t>
      </w:r>
      <w:proofErr w:type="spellEnd"/>
      <w:r w:rsidRPr="00D723D1">
        <w:rPr>
          <w:rFonts w:ascii="Book Antiqua" w:hAnsi="Book Antiqua"/>
          <w:i/>
          <w:iCs/>
          <w:sz w:val="18"/>
          <w:szCs w:val="18"/>
        </w:rPr>
        <w:t xml:space="preserve"> </w:t>
      </w:r>
      <w:proofErr w:type="spellStart"/>
      <w:r w:rsidRPr="00D723D1">
        <w:rPr>
          <w:rFonts w:ascii="Book Antiqua" w:hAnsi="Book Antiqua"/>
          <w:i/>
          <w:iCs/>
          <w:sz w:val="18"/>
          <w:szCs w:val="18"/>
        </w:rPr>
        <w:t>Comhairle</w:t>
      </w:r>
      <w:proofErr w:type="spellEnd"/>
      <w:r w:rsidRPr="0056184D">
        <w:rPr>
          <w:rFonts w:ascii="Book Antiqua" w:hAnsi="Book Antiqua"/>
          <w:sz w:val="18"/>
          <w:szCs w:val="18"/>
        </w:rPr>
        <w:t xml:space="preserve"> </w:t>
      </w:r>
      <w:r>
        <w:rPr>
          <w:rFonts w:ascii="Book Antiqua" w:hAnsi="Book Antiqua"/>
          <w:sz w:val="18"/>
          <w:szCs w:val="18"/>
        </w:rPr>
        <w:t>[</w:t>
      </w:r>
      <w:r w:rsidRPr="0056184D">
        <w:rPr>
          <w:rFonts w:ascii="Book Antiqua" w:hAnsi="Book Antiqua"/>
          <w:sz w:val="18"/>
          <w:szCs w:val="18"/>
        </w:rPr>
        <w:t>2019</w:t>
      </w:r>
      <w:r>
        <w:rPr>
          <w:rFonts w:ascii="Book Antiqua" w:hAnsi="Book Antiqua"/>
          <w:sz w:val="18"/>
          <w:szCs w:val="18"/>
        </w:rPr>
        <w:t>]</w:t>
      </w:r>
      <w:r w:rsidRPr="0056184D">
        <w:rPr>
          <w:rFonts w:ascii="Book Antiqua" w:hAnsi="Book Antiqua"/>
          <w:sz w:val="18"/>
          <w:szCs w:val="18"/>
        </w:rPr>
        <w:t xml:space="preserve"> IEH</w:t>
      </w:r>
      <w:r>
        <w:rPr>
          <w:rFonts w:ascii="Book Antiqua" w:hAnsi="Book Antiqua"/>
          <w:sz w:val="18"/>
          <w:szCs w:val="18"/>
        </w:rPr>
        <w:t xml:space="preserve">C </w:t>
      </w:r>
      <w:r w:rsidRPr="0056184D">
        <w:rPr>
          <w:rFonts w:ascii="Book Antiqua" w:hAnsi="Book Antiqua"/>
          <w:sz w:val="18"/>
          <w:szCs w:val="18"/>
        </w:rPr>
        <w:t>746</w:t>
      </w:r>
      <w:r>
        <w:rPr>
          <w:rFonts w:ascii="Book Antiqua" w:hAnsi="Book Antiqua"/>
          <w:sz w:val="18"/>
          <w:szCs w:val="18"/>
        </w:rPr>
        <w:t>.</w:t>
      </w:r>
    </w:p>
  </w:footnote>
  <w:footnote w:id="60">
    <w:p w14:paraId="72960B12" w14:textId="41B60C1A" w:rsidR="00672A14" w:rsidRPr="00D723D1" w:rsidRDefault="00672A14" w:rsidP="00D723D1">
      <w:pPr>
        <w:pStyle w:val="FootnoteText"/>
        <w:jc w:val="both"/>
        <w:rPr>
          <w:rFonts w:ascii="Book Antiqua" w:hAnsi="Book Antiqua"/>
          <w:sz w:val="18"/>
          <w:szCs w:val="18"/>
          <w:lang w:val="en-GB"/>
        </w:rPr>
      </w:pPr>
      <w:r w:rsidRPr="00D723D1">
        <w:rPr>
          <w:rStyle w:val="FootnoteReference"/>
          <w:rFonts w:ascii="Book Antiqua" w:hAnsi="Book Antiqua"/>
          <w:sz w:val="18"/>
          <w:szCs w:val="18"/>
        </w:rPr>
        <w:footnoteRef/>
      </w:r>
      <w:r w:rsidRPr="00D723D1">
        <w:rPr>
          <w:rFonts w:ascii="Book Antiqua" w:hAnsi="Book Antiqua"/>
          <w:sz w:val="18"/>
          <w:szCs w:val="18"/>
        </w:rPr>
        <w:t xml:space="preserve"> A similar controversy arose during debate on the Control of Economic Activity (Occupied Territories) Bill, 2018. See Dáil Éireann debate, Wednesday 23</w:t>
      </w:r>
      <w:r w:rsidRPr="00D723D1">
        <w:rPr>
          <w:rFonts w:ascii="Book Antiqua" w:hAnsi="Book Antiqua"/>
          <w:sz w:val="18"/>
          <w:szCs w:val="18"/>
          <w:vertAlign w:val="superscript"/>
        </w:rPr>
        <w:t>rd</w:t>
      </w:r>
      <w:r w:rsidRPr="00D723D1">
        <w:rPr>
          <w:rFonts w:ascii="Book Antiqua" w:hAnsi="Book Antiqua"/>
          <w:sz w:val="18"/>
          <w:szCs w:val="18"/>
        </w:rPr>
        <w:t xml:space="preserve"> January 2019, Vol. 978 No.3.</w:t>
      </w:r>
    </w:p>
  </w:footnote>
  <w:footnote w:id="61">
    <w:p w14:paraId="2A485393" w14:textId="52A9AF7C" w:rsidR="00672A14" w:rsidRPr="00D723D1" w:rsidRDefault="00672A14" w:rsidP="00D723D1">
      <w:pPr>
        <w:rPr>
          <w:rFonts w:ascii="Book Antiqua" w:hAnsi="Book Antiqua"/>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w:t>
      </w:r>
      <w:r w:rsidRPr="00675624">
        <w:rPr>
          <w:rFonts w:ascii="Book Antiqua" w:hAnsi="Book Antiqua"/>
          <w:sz w:val="18"/>
          <w:szCs w:val="18"/>
        </w:rPr>
        <w:t>Memorandum of Un</w:t>
      </w:r>
      <w:r w:rsidRPr="00D05017">
        <w:rPr>
          <w:rFonts w:ascii="Book Antiqua" w:hAnsi="Book Antiqua"/>
          <w:sz w:val="18"/>
          <w:szCs w:val="18"/>
        </w:rPr>
        <w:t xml:space="preserve">derstanding between the Government and Dáil </w:t>
      </w:r>
      <w:r w:rsidRPr="006D1E8B">
        <w:rPr>
          <w:rFonts w:ascii="Book Antiqua" w:hAnsi="Book Antiqua"/>
          <w:sz w:val="18"/>
          <w:szCs w:val="18"/>
        </w:rPr>
        <w:t>Éireann on Private Members Bills (5</w:t>
      </w:r>
      <w:r w:rsidRPr="00D723D1">
        <w:rPr>
          <w:rFonts w:ascii="Book Antiqua" w:hAnsi="Book Antiqua"/>
          <w:sz w:val="18"/>
          <w:szCs w:val="18"/>
          <w:vertAlign w:val="superscript"/>
        </w:rPr>
        <w:t>th</w:t>
      </w:r>
      <w:r w:rsidRPr="00675624">
        <w:rPr>
          <w:rFonts w:ascii="Book Antiqua" w:hAnsi="Book Antiqua"/>
          <w:sz w:val="18"/>
          <w:szCs w:val="18"/>
        </w:rPr>
        <w:t xml:space="preserve"> December</w:t>
      </w:r>
      <w:r w:rsidRPr="00D05017">
        <w:rPr>
          <w:rFonts w:ascii="Book Antiqua" w:hAnsi="Book Antiqua"/>
          <w:sz w:val="18"/>
          <w:szCs w:val="18"/>
        </w:rPr>
        <w:t xml:space="preserve">, 2018) available at: </w:t>
      </w:r>
      <w:hyperlink r:id="rId1" w:history="1">
        <w:r w:rsidRPr="00D723D1">
          <w:rPr>
            <w:rStyle w:val="Hyperlink"/>
            <w:rFonts w:ascii="Book Antiqua" w:hAnsi="Book Antiqua"/>
            <w:sz w:val="18"/>
            <w:szCs w:val="18"/>
          </w:rPr>
          <w:t>https://data.oireachtas.ie/ie/oireachtas/committee/dail/32/sub_committee_on_dail_reform/reports/2019/2019-04-29_report-memorandum-of-understanding-between-the-government-and-dail-eireann-on-private-members-bills_en.pdf</w:t>
        </w:r>
      </w:hyperlink>
      <w:r w:rsidRPr="00D723D1">
        <w:rPr>
          <w:rFonts w:ascii="Book Antiqua" w:hAnsi="Book Antiqua"/>
          <w:sz w:val="18"/>
          <w:szCs w:val="18"/>
        </w:rPr>
        <w:t xml:space="preserve">.  </w:t>
      </w:r>
      <w:r w:rsidRPr="00675624">
        <w:rPr>
          <w:rFonts w:ascii="Book Antiqua" w:hAnsi="Book Antiqua"/>
          <w:sz w:val="18"/>
          <w:szCs w:val="18"/>
        </w:rPr>
        <w:t>C</w:t>
      </w:r>
      <w:r w:rsidRPr="00D05017">
        <w:rPr>
          <w:rFonts w:ascii="Book Antiqua" w:hAnsi="Book Antiqua"/>
          <w:sz w:val="18"/>
          <w:szCs w:val="18"/>
        </w:rPr>
        <w:t xml:space="preserve">atharine Lynch and Darren Lawlor, </w:t>
      </w:r>
      <w:r w:rsidRPr="006D1E8B">
        <w:rPr>
          <w:rFonts w:ascii="Book Antiqua" w:hAnsi="Book Antiqua"/>
          <w:sz w:val="18"/>
          <w:szCs w:val="18"/>
        </w:rPr>
        <w:t>“</w:t>
      </w:r>
      <w:r w:rsidRPr="0056184D">
        <w:rPr>
          <w:rFonts w:ascii="Book Antiqua" w:hAnsi="Book Antiqua"/>
          <w:sz w:val="18"/>
          <w:szCs w:val="18"/>
        </w:rPr>
        <w:t>Private Members’ Bills (PMBs): Admissibility, Government messages and detailed scrutiny”</w:t>
      </w:r>
      <w:r w:rsidRPr="0056184D" w:rsidDel="00E14B8D">
        <w:rPr>
          <w:rFonts w:ascii="Book Antiqua" w:hAnsi="Book Antiqua"/>
          <w:sz w:val="18"/>
          <w:szCs w:val="18"/>
        </w:rPr>
        <w:t xml:space="preserve"> </w:t>
      </w:r>
      <w:r w:rsidRPr="0056184D">
        <w:rPr>
          <w:rFonts w:ascii="Book Antiqua" w:hAnsi="Book Antiqua"/>
          <w:sz w:val="18"/>
          <w:szCs w:val="18"/>
        </w:rPr>
        <w:t xml:space="preserve">(n </w:t>
      </w:r>
      <w:r w:rsidRPr="00D723D1">
        <w:rPr>
          <w:rFonts w:ascii="Book Antiqua" w:hAnsi="Book Antiqua"/>
          <w:sz w:val="18"/>
          <w:szCs w:val="18"/>
        </w:rPr>
        <w:fldChar w:fldCharType="begin"/>
      </w:r>
      <w:r w:rsidRPr="00D723D1">
        <w:rPr>
          <w:rFonts w:ascii="Book Antiqua" w:hAnsi="Book Antiqua"/>
          <w:sz w:val="18"/>
          <w:szCs w:val="18"/>
        </w:rPr>
        <w:instrText xml:space="preserve"> NOTEREF _Ref37317653 \h  \* MERGEFORMAT </w:instrText>
      </w:r>
      <w:r w:rsidRPr="00D723D1">
        <w:rPr>
          <w:rFonts w:ascii="Book Antiqua" w:hAnsi="Book Antiqua"/>
          <w:sz w:val="18"/>
          <w:szCs w:val="18"/>
        </w:rPr>
      </w:r>
      <w:r w:rsidRPr="00D723D1">
        <w:rPr>
          <w:rFonts w:ascii="Book Antiqua" w:hAnsi="Book Antiqua"/>
          <w:sz w:val="18"/>
          <w:szCs w:val="18"/>
        </w:rPr>
        <w:fldChar w:fldCharType="separate"/>
      </w:r>
      <w:r w:rsidRPr="00D723D1">
        <w:rPr>
          <w:rFonts w:ascii="Book Antiqua" w:hAnsi="Book Antiqua"/>
          <w:sz w:val="18"/>
          <w:szCs w:val="18"/>
        </w:rPr>
        <w:t>53</w:t>
      </w:r>
      <w:r w:rsidRPr="00D723D1">
        <w:rPr>
          <w:rFonts w:ascii="Book Antiqua" w:hAnsi="Book Antiqua"/>
          <w:sz w:val="18"/>
          <w:szCs w:val="18"/>
        </w:rPr>
        <w:fldChar w:fldCharType="end"/>
      </w:r>
      <w:r w:rsidRPr="00D723D1">
        <w:rPr>
          <w:rFonts w:ascii="Book Antiqua" w:hAnsi="Book Antiqua"/>
          <w:sz w:val="18"/>
          <w:szCs w:val="18"/>
        </w:rPr>
        <w:t>) 13</w:t>
      </w:r>
      <w:r>
        <w:rPr>
          <w:rFonts w:ascii="Book Antiqua" w:hAnsi="Book Antiqua"/>
          <w:sz w:val="18"/>
          <w:szCs w:val="18"/>
        </w:rPr>
        <w:t>.</w:t>
      </w:r>
    </w:p>
  </w:footnote>
  <w:footnote w:id="62">
    <w:p w14:paraId="60FD421F" w14:textId="19817D6C" w:rsidR="00672A14" w:rsidRPr="00D723D1" w:rsidRDefault="00672A14" w:rsidP="00D723D1">
      <w:pPr>
        <w:pStyle w:val="FootnoteText"/>
        <w:jc w:val="both"/>
        <w:rPr>
          <w:rFonts w:ascii="Book Antiqua" w:hAnsi="Book Antiqua"/>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w:t>
      </w:r>
      <w:r w:rsidRPr="00D723D1">
        <w:rPr>
          <w:rFonts w:ascii="Book Antiqua" w:hAnsi="Book Antiqua"/>
          <w:sz w:val="18"/>
          <w:szCs w:val="18"/>
        </w:rPr>
        <w:t>See Kieran Coughlan, “Government relying on little-known rule to block Bills”</w:t>
      </w:r>
      <w:r w:rsidRPr="00675624">
        <w:rPr>
          <w:rFonts w:ascii="Book Antiqua" w:hAnsi="Book Antiqua"/>
          <w:sz w:val="18"/>
          <w:szCs w:val="18"/>
        </w:rPr>
        <w:t xml:space="preserve"> (n </w:t>
      </w:r>
      <w:r w:rsidRPr="00D05017">
        <w:rPr>
          <w:rFonts w:ascii="Book Antiqua" w:hAnsi="Book Antiqua"/>
          <w:sz w:val="18"/>
          <w:szCs w:val="18"/>
        </w:rPr>
        <w:fldChar w:fldCharType="begin"/>
      </w:r>
      <w:r w:rsidRPr="00092ED4">
        <w:rPr>
          <w:rFonts w:ascii="Book Antiqua" w:hAnsi="Book Antiqua"/>
          <w:sz w:val="18"/>
          <w:szCs w:val="18"/>
        </w:rPr>
        <w:instrText xml:space="preserve"> NOTEREF _Ref7535988 \h  \* MERGEFORMAT </w:instrText>
      </w:r>
      <w:r w:rsidRPr="00D05017">
        <w:rPr>
          <w:rFonts w:ascii="Book Antiqua" w:hAnsi="Book Antiqua"/>
          <w:sz w:val="18"/>
          <w:szCs w:val="18"/>
        </w:rPr>
      </w:r>
      <w:r w:rsidRPr="00D05017">
        <w:rPr>
          <w:rFonts w:ascii="Book Antiqua" w:hAnsi="Book Antiqua"/>
          <w:sz w:val="18"/>
          <w:szCs w:val="18"/>
        </w:rPr>
        <w:fldChar w:fldCharType="separate"/>
      </w:r>
      <w:r w:rsidRPr="00092ED4">
        <w:rPr>
          <w:rFonts w:ascii="Book Antiqua" w:hAnsi="Book Antiqua"/>
          <w:sz w:val="18"/>
          <w:szCs w:val="18"/>
        </w:rPr>
        <w:t>60</w:t>
      </w:r>
      <w:r w:rsidRPr="00D05017">
        <w:rPr>
          <w:rFonts w:ascii="Book Antiqua" w:hAnsi="Book Antiqua"/>
          <w:sz w:val="18"/>
          <w:szCs w:val="18"/>
        </w:rPr>
        <w:fldChar w:fldCharType="end"/>
      </w:r>
      <w:r w:rsidRPr="00675624">
        <w:rPr>
          <w:rFonts w:ascii="Book Antiqua" w:hAnsi="Book Antiqua"/>
          <w:sz w:val="18"/>
          <w:szCs w:val="18"/>
        </w:rPr>
        <w:t>).</w:t>
      </w:r>
    </w:p>
  </w:footnote>
  <w:footnote w:id="63">
    <w:p w14:paraId="19FDEE37" w14:textId="51D4C3E1" w:rsidR="00672A14" w:rsidRPr="00D723D1" w:rsidRDefault="00672A14" w:rsidP="00D723D1">
      <w:pPr>
        <w:pStyle w:val="FootnoteText"/>
        <w:jc w:val="both"/>
        <w:rPr>
          <w:rFonts w:ascii="Book Antiqua" w:hAnsi="Book Antiqua"/>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w:t>
      </w:r>
      <w:r w:rsidRPr="00E00E84">
        <w:rPr>
          <w:rFonts w:ascii="Book Antiqua" w:hAnsi="Book Antiqua"/>
          <w:sz w:val="18"/>
          <w:szCs w:val="18"/>
        </w:rPr>
        <w:t>Department of Housing, Planning &amp; Local Government</w:t>
      </w:r>
      <w:r>
        <w:rPr>
          <w:rFonts w:ascii="Book Antiqua" w:hAnsi="Book Antiqua"/>
          <w:sz w:val="18"/>
          <w:szCs w:val="18"/>
        </w:rPr>
        <w:t>, ‘</w:t>
      </w:r>
      <w:r w:rsidRPr="00E00E84">
        <w:rPr>
          <w:rFonts w:ascii="Book Antiqua" w:hAnsi="Book Antiqua"/>
          <w:sz w:val="18"/>
          <w:szCs w:val="18"/>
        </w:rPr>
        <w:t>Reasoned response to the request for a money message in relation to the Local Government (Town Councils Commission) Bill 2017</w:t>
      </w:r>
      <w:r>
        <w:rPr>
          <w:rFonts w:ascii="Book Antiqua" w:hAnsi="Book Antiqua"/>
          <w:sz w:val="18"/>
          <w:szCs w:val="18"/>
        </w:rPr>
        <w:t>’ available at &lt;</w:t>
      </w:r>
      <w:r w:rsidRPr="00D723D1">
        <w:rPr>
          <w:rFonts w:ascii="Book Antiqua" w:hAnsi="Book Antiqua"/>
          <w:sz w:val="18"/>
          <w:szCs w:val="18"/>
        </w:rPr>
        <w:t>https://ptfs-oireachtas.s3.amazonaws.com/DriveH/AWData/Library3/HPLGdoclaid290319_150417.pdf</w:t>
      </w:r>
      <w:r>
        <w:rPr>
          <w:rFonts w:ascii="Book Antiqua" w:hAnsi="Book Antiqua"/>
          <w:sz w:val="18"/>
          <w:szCs w:val="18"/>
        </w:rPr>
        <w:t>&gt;</w:t>
      </w:r>
      <w:r w:rsidRPr="00675624">
        <w:rPr>
          <w:rFonts w:ascii="Book Antiqua" w:hAnsi="Book Antiqua"/>
          <w:sz w:val="18"/>
          <w:szCs w:val="18"/>
        </w:rPr>
        <w:t xml:space="preserve">. </w:t>
      </w:r>
    </w:p>
  </w:footnote>
  <w:footnote w:id="64">
    <w:p w14:paraId="324B04DA" w14:textId="26EB67DB" w:rsidR="00672A14" w:rsidRPr="00D723D1" w:rsidRDefault="00672A14" w:rsidP="00D723D1">
      <w:pPr>
        <w:pStyle w:val="FootnoteText"/>
        <w:jc w:val="both"/>
        <w:rPr>
          <w:rFonts w:ascii="Book Antiqua" w:hAnsi="Book Antiqua"/>
          <w:sz w:val="18"/>
          <w:szCs w:val="18"/>
        </w:rPr>
      </w:pPr>
      <w:r w:rsidRPr="00D723D1">
        <w:rPr>
          <w:rStyle w:val="FootnoteReference"/>
          <w:rFonts w:ascii="Book Antiqua" w:hAnsi="Book Antiqua"/>
          <w:sz w:val="18"/>
          <w:szCs w:val="18"/>
        </w:rPr>
        <w:footnoteRef/>
      </w:r>
      <w:r>
        <w:rPr>
          <w:rFonts w:ascii="Book Antiqua" w:hAnsi="Book Antiqua"/>
          <w:sz w:val="18"/>
          <w:szCs w:val="18"/>
        </w:rPr>
        <w:t xml:space="preserve"> See Department of </w:t>
      </w:r>
      <w:r w:rsidRPr="00E00E84">
        <w:rPr>
          <w:rFonts w:ascii="Book Antiqua" w:hAnsi="Book Antiqua"/>
          <w:sz w:val="18"/>
          <w:szCs w:val="18"/>
        </w:rPr>
        <w:t>Communications, Climate Action and Environment</w:t>
      </w:r>
      <w:r>
        <w:rPr>
          <w:rFonts w:ascii="Book Antiqua" w:hAnsi="Book Antiqua"/>
          <w:sz w:val="18"/>
          <w:szCs w:val="18"/>
        </w:rPr>
        <w:t>,</w:t>
      </w:r>
      <w:r w:rsidRPr="00E00E84">
        <w:rPr>
          <w:rFonts w:ascii="Book Antiqua" w:hAnsi="Book Antiqua"/>
          <w:sz w:val="18"/>
          <w:szCs w:val="18"/>
        </w:rPr>
        <w:t xml:space="preserve"> </w:t>
      </w:r>
      <w:r>
        <w:rPr>
          <w:rFonts w:ascii="Book Antiqua" w:hAnsi="Book Antiqua"/>
          <w:sz w:val="18"/>
          <w:szCs w:val="18"/>
        </w:rPr>
        <w:t>‘</w:t>
      </w:r>
      <w:r w:rsidRPr="00E00E84">
        <w:rPr>
          <w:rFonts w:ascii="Book Antiqua" w:hAnsi="Book Antiqua"/>
          <w:sz w:val="18"/>
          <w:szCs w:val="18"/>
        </w:rPr>
        <w:t>Reasoned response to Waste Reduction Bill 2017</w:t>
      </w:r>
      <w:r>
        <w:rPr>
          <w:rFonts w:ascii="Book Antiqua" w:hAnsi="Book Antiqua"/>
          <w:sz w:val="18"/>
          <w:szCs w:val="18"/>
        </w:rPr>
        <w:t xml:space="preserve">’ available at </w:t>
      </w:r>
      <w:hyperlink r:id="rId2" w:history="1">
        <w:r w:rsidRPr="0077213B">
          <w:rPr>
            <w:rStyle w:val="Hyperlink"/>
            <w:rFonts w:ascii="Book Antiqua" w:hAnsi="Book Antiqua"/>
            <w:sz w:val="18"/>
            <w:szCs w:val="18"/>
          </w:rPr>
          <w:t>https://ptfs-oireachtas.s3.amazonaws.com/DriveH/AWData/Library3/2019-02-27_Reasoned_Response_to_be_laid_before_both_Houses_164802.pdf</w:t>
        </w:r>
      </w:hyperlink>
      <w:r>
        <w:rPr>
          <w:rFonts w:ascii="Book Antiqua" w:hAnsi="Book Antiqua"/>
          <w:sz w:val="18"/>
          <w:szCs w:val="18"/>
        </w:rPr>
        <w:t>&gt;, where  c</w:t>
      </w:r>
      <w:r w:rsidRPr="00D723D1">
        <w:rPr>
          <w:rFonts w:ascii="Book Antiqua" w:hAnsi="Book Antiqua"/>
          <w:sz w:val="18"/>
          <w:szCs w:val="18"/>
        </w:rPr>
        <w:t>ompliance with EU law</w:t>
      </w:r>
      <w:r>
        <w:rPr>
          <w:rFonts w:ascii="Book Antiqua" w:hAnsi="Book Antiqua"/>
          <w:sz w:val="18"/>
          <w:szCs w:val="18"/>
        </w:rPr>
        <w:t xml:space="preserve"> was cited</w:t>
      </w:r>
      <w:r w:rsidRPr="00D723D1">
        <w:rPr>
          <w:rFonts w:ascii="Book Antiqua" w:hAnsi="Book Antiqua"/>
          <w:sz w:val="18"/>
          <w:szCs w:val="18"/>
        </w:rPr>
        <w:t>.</w:t>
      </w:r>
    </w:p>
  </w:footnote>
  <w:footnote w:id="65">
    <w:p w14:paraId="469D2982" w14:textId="4A1FC627" w:rsidR="00672A14" w:rsidRPr="00D723D1" w:rsidRDefault="00672A14" w:rsidP="00D723D1">
      <w:pPr>
        <w:pStyle w:val="FootnoteText"/>
        <w:jc w:val="both"/>
        <w:rPr>
          <w:rFonts w:ascii="Book Antiqua" w:hAnsi="Book Antiqua"/>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w:t>
      </w:r>
      <w:r w:rsidRPr="00675624">
        <w:rPr>
          <w:rFonts w:ascii="Book Antiqua" w:hAnsi="Book Antiqua" w:cs="Calibri"/>
          <w:color w:val="000000" w:themeColor="text1"/>
          <w:sz w:val="18"/>
          <w:szCs w:val="18"/>
        </w:rPr>
        <w:t>Dáil deb 4 December 2019 vol 990 no 5.</w:t>
      </w:r>
      <w:r w:rsidRPr="00092ED4">
        <w:rPr>
          <w:rFonts w:ascii="Book Antiqua" w:hAnsi="Book Antiqua" w:cs="Calibri"/>
          <w:color w:val="000000" w:themeColor="text1"/>
          <w:sz w:val="18"/>
          <w:szCs w:val="18"/>
        </w:rPr>
        <w:t xml:space="preserve"> That the government feels it can and should prefer its own legislation is a reflection of its belief that fundamentally, it should control the process.</w:t>
      </w:r>
    </w:p>
  </w:footnote>
  <w:footnote w:id="66">
    <w:p w14:paraId="56594EBC" w14:textId="5F6A5AE0" w:rsidR="00672A14" w:rsidRPr="00D723D1" w:rsidRDefault="00672A14" w:rsidP="00D723D1">
      <w:pPr>
        <w:pStyle w:val="FootnoteText"/>
        <w:jc w:val="both"/>
        <w:rPr>
          <w:rFonts w:ascii="Book Antiqua" w:hAnsi="Book Antiqua"/>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w:t>
      </w:r>
      <w:r w:rsidRPr="00D723D1">
        <w:rPr>
          <w:rFonts w:ascii="Book Antiqua" w:hAnsi="Book Antiqua"/>
          <w:sz w:val="18"/>
          <w:szCs w:val="18"/>
        </w:rPr>
        <w:t xml:space="preserve">See </w:t>
      </w:r>
      <w:r w:rsidRPr="00B26F8C">
        <w:rPr>
          <w:rFonts w:ascii="Book Antiqua" w:hAnsi="Book Antiqua"/>
          <w:sz w:val="18"/>
          <w:szCs w:val="18"/>
          <w:lang w:val="en-GB"/>
        </w:rPr>
        <w:t xml:space="preserve">Kenny and Daly (n </w:t>
      </w:r>
      <w:r w:rsidRPr="00B26F8C">
        <w:rPr>
          <w:rFonts w:ascii="Book Antiqua" w:hAnsi="Book Antiqua"/>
          <w:sz w:val="18"/>
          <w:szCs w:val="18"/>
          <w:lang w:val="en-GB"/>
        </w:rPr>
        <w:fldChar w:fldCharType="begin"/>
      </w:r>
      <w:r w:rsidRPr="00D723D1">
        <w:rPr>
          <w:rFonts w:ascii="Book Antiqua" w:hAnsi="Book Antiqua"/>
          <w:sz w:val="18"/>
          <w:szCs w:val="18"/>
          <w:lang w:val="en-GB"/>
        </w:rPr>
        <w:instrText xml:space="preserve"> NOTEREF _Ref37317653 \h  \* MERGEFORMAT </w:instrText>
      </w:r>
      <w:r w:rsidRPr="00B26F8C">
        <w:rPr>
          <w:rFonts w:ascii="Book Antiqua" w:hAnsi="Book Antiqua"/>
          <w:sz w:val="18"/>
          <w:szCs w:val="18"/>
          <w:lang w:val="en-GB"/>
        </w:rPr>
      </w:r>
      <w:r w:rsidRPr="00B26F8C">
        <w:rPr>
          <w:rFonts w:ascii="Book Antiqua" w:hAnsi="Book Antiqua"/>
          <w:sz w:val="18"/>
          <w:szCs w:val="18"/>
          <w:lang w:val="en-GB"/>
        </w:rPr>
        <w:fldChar w:fldCharType="separate"/>
      </w:r>
      <w:r w:rsidRPr="00B26F8C">
        <w:rPr>
          <w:rFonts w:ascii="Book Antiqua" w:hAnsi="Book Antiqua"/>
          <w:sz w:val="18"/>
          <w:szCs w:val="18"/>
          <w:lang w:val="en-GB"/>
        </w:rPr>
        <w:t>53</w:t>
      </w:r>
      <w:r w:rsidRPr="00B26F8C">
        <w:rPr>
          <w:rFonts w:ascii="Book Antiqua" w:hAnsi="Book Antiqua"/>
          <w:sz w:val="18"/>
          <w:szCs w:val="18"/>
          <w:lang w:val="en-GB"/>
        </w:rPr>
        <w:fldChar w:fldCharType="end"/>
      </w:r>
      <w:r w:rsidRPr="00B26F8C">
        <w:rPr>
          <w:rFonts w:ascii="Book Antiqua" w:hAnsi="Book Antiqua"/>
          <w:sz w:val="18"/>
          <w:szCs w:val="18"/>
          <w:lang w:val="en-GB"/>
        </w:rPr>
        <w:t xml:space="preserve">) </w:t>
      </w:r>
      <w:r w:rsidRPr="00D723D1">
        <w:rPr>
          <w:rFonts w:ascii="Book Antiqua" w:hAnsi="Book Antiqua"/>
          <w:sz w:val="18"/>
          <w:szCs w:val="18"/>
        </w:rPr>
        <w:t xml:space="preserve">11-13; </w:t>
      </w:r>
      <w:r w:rsidRPr="00B26F8C">
        <w:rPr>
          <w:rFonts w:ascii="Book Antiqua" w:hAnsi="Book Antiqua"/>
          <w:sz w:val="18"/>
          <w:szCs w:val="18"/>
        </w:rPr>
        <w:t xml:space="preserve">Malcolm Jack, </w:t>
      </w:r>
      <w:r w:rsidRPr="00D723D1">
        <w:rPr>
          <w:rFonts w:ascii="Book Antiqua" w:hAnsi="Book Antiqua"/>
          <w:i/>
          <w:iCs/>
          <w:sz w:val="18"/>
          <w:szCs w:val="18"/>
        </w:rPr>
        <w:t>Erskine May: Parliamentary Practice</w:t>
      </w:r>
      <w:r w:rsidRPr="00B26F8C">
        <w:rPr>
          <w:rFonts w:ascii="Book Antiqua" w:hAnsi="Book Antiqua"/>
          <w:sz w:val="18"/>
          <w:szCs w:val="18"/>
        </w:rPr>
        <w:t xml:space="preserve"> (24th ed., Lexis Nexis, 2011)</w:t>
      </w:r>
      <w:r>
        <w:rPr>
          <w:rFonts w:ascii="Book Antiqua" w:hAnsi="Book Antiqua"/>
          <w:sz w:val="18"/>
          <w:szCs w:val="18"/>
        </w:rPr>
        <w:t xml:space="preserve"> </w:t>
      </w:r>
      <w:r w:rsidRPr="00D723D1">
        <w:rPr>
          <w:rFonts w:ascii="Book Antiqua" w:hAnsi="Book Antiqua"/>
          <w:sz w:val="18"/>
          <w:szCs w:val="18"/>
        </w:rPr>
        <w:t>746-52.</w:t>
      </w:r>
    </w:p>
  </w:footnote>
  <w:footnote w:id="67">
    <w:p w14:paraId="3694DC23" w14:textId="27DDBD07" w:rsidR="00672A14" w:rsidRPr="00D723D1" w:rsidRDefault="00672A14" w:rsidP="00D723D1">
      <w:pPr>
        <w:pStyle w:val="FootnoteText"/>
        <w:jc w:val="both"/>
        <w:rPr>
          <w:rFonts w:ascii="Book Antiqua" w:hAnsi="Book Antiqua"/>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w:t>
      </w:r>
      <w:r>
        <w:rPr>
          <w:rFonts w:ascii="Book Antiqua" w:hAnsi="Book Antiqua"/>
          <w:sz w:val="18"/>
          <w:szCs w:val="18"/>
        </w:rPr>
        <w:t xml:space="preserve">Ibid </w:t>
      </w:r>
      <w:r w:rsidRPr="00D723D1">
        <w:rPr>
          <w:rFonts w:ascii="Book Antiqua" w:hAnsi="Book Antiqua"/>
          <w:sz w:val="18"/>
          <w:szCs w:val="18"/>
        </w:rPr>
        <w:t>16.</w:t>
      </w:r>
    </w:p>
  </w:footnote>
  <w:footnote w:id="68">
    <w:p w14:paraId="02096258" w14:textId="2C17EFE7" w:rsidR="00672A14" w:rsidRPr="00D723D1" w:rsidRDefault="00672A14" w:rsidP="00D723D1">
      <w:pPr>
        <w:pStyle w:val="FootnoteText"/>
        <w:jc w:val="both"/>
        <w:rPr>
          <w:rFonts w:ascii="Book Antiqua" w:hAnsi="Book Antiqua"/>
          <w:sz w:val="18"/>
          <w:szCs w:val="18"/>
        </w:rPr>
      </w:pPr>
      <w:r w:rsidRPr="00D723D1">
        <w:rPr>
          <w:rStyle w:val="FootnoteReference"/>
          <w:rFonts w:ascii="Book Antiqua" w:hAnsi="Book Antiqua"/>
          <w:sz w:val="18"/>
          <w:szCs w:val="18"/>
        </w:rPr>
        <w:footnoteRef/>
      </w:r>
      <w:r w:rsidRPr="00675624">
        <w:rPr>
          <w:rFonts w:ascii="Book Antiqua" w:hAnsi="Book Antiqua"/>
          <w:sz w:val="18"/>
          <w:szCs w:val="18"/>
        </w:rPr>
        <w:t xml:space="preserve"> </w:t>
      </w:r>
      <w:r w:rsidRPr="00675624">
        <w:rPr>
          <w:rFonts w:ascii="Book Antiqua" w:hAnsi="Book Antiqua"/>
          <w:sz w:val="18"/>
          <w:szCs w:val="18"/>
        </w:rPr>
        <w:t>Hogan, Whyte, Kenny and Walsh,</w:t>
      </w:r>
      <w:r w:rsidRPr="00D723D1">
        <w:rPr>
          <w:rFonts w:ascii="Book Antiqua" w:hAnsi="Book Antiqua"/>
          <w:sz w:val="18"/>
          <w:szCs w:val="18"/>
        </w:rPr>
        <w:t xml:space="preserve"> </w:t>
      </w:r>
      <w:r w:rsidRPr="00D723D1">
        <w:rPr>
          <w:rFonts w:ascii="Book Antiqua" w:hAnsi="Book Antiqua"/>
          <w:i/>
          <w:sz w:val="18"/>
          <w:szCs w:val="18"/>
        </w:rPr>
        <w:t>Kelly</w:t>
      </w:r>
      <w:r>
        <w:rPr>
          <w:rFonts w:ascii="Book Antiqua" w:hAnsi="Book Antiqua"/>
          <w:i/>
          <w:sz w:val="18"/>
          <w:szCs w:val="18"/>
        </w:rPr>
        <w:t>: The</w:t>
      </w:r>
      <w:r w:rsidRPr="00092ED4">
        <w:rPr>
          <w:rFonts w:ascii="Book Antiqua" w:hAnsi="Book Antiqua"/>
          <w:i/>
          <w:sz w:val="18"/>
          <w:szCs w:val="18"/>
        </w:rPr>
        <w:t xml:space="preserve"> Irish Constitution</w:t>
      </w:r>
      <w:r w:rsidRPr="00D723D1">
        <w:rPr>
          <w:rFonts w:ascii="Book Antiqua" w:hAnsi="Book Antiqua"/>
          <w:sz w:val="18"/>
          <w:szCs w:val="18"/>
        </w:rPr>
        <w:t xml:space="preserve"> (n </w:t>
      </w:r>
      <w:r w:rsidRPr="00D05017">
        <w:rPr>
          <w:rFonts w:ascii="Book Antiqua" w:hAnsi="Book Antiqua"/>
          <w:sz w:val="18"/>
          <w:szCs w:val="18"/>
        </w:rPr>
        <w:fldChar w:fldCharType="begin"/>
      </w:r>
      <w:r w:rsidRPr="00092ED4">
        <w:rPr>
          <w:rFonts w:ascii="Book Antiqua" w:hAnsi="Book Antiqua"/>
          <w:sz w:val="18"/>
          <w:szCs w:val="18"/>
        </w:rPr>
        <w:instrText xml:space="preserve"> NOTEREF _Ref37318539 \h  \* MERGEFORMAT </w:instrText>
      </w:r>
      <w:r w:rsidRPr="00D05017">
        <w:rPr>
          <w:rFonts w:ascii="Book Antiqua" w:hAnsi="Book Antiqua"/>
          <w:sz w:val="18"/>
          <w:szCs w:val="18"/>
        </w:rPr>
      </w:r>
      <w:r w:rsidRPr="00D05017">
        <w:rPr>
          <w:rFonts w:ascii="Book Antiqua" w:hAnsi="Book Antiqua"/>
          <w:sz w:val="18"/>
          <w:szCs w:val="18"/>
        </w:rPr>
        <w:fldChar w:fldCharType="separate"/>
      </w:r>
      <w:r w:rsidRPr="00092ED4">
        <w:rPr>
          <w:rFonts w:ascii="Book Antiqua" w:hAnsi="Book Antiqua"/>
          <w:sz w:val="18"/>
          <w:szCs w:val="18"/>
        </w:rPr>
        <w:t>40</w:t>
      </w:r>
      <w:r w:rsidRPr="00D05017">
        <w:rPr>
          <w:rFonts w:ascii="Book Antiqua" w:hAnsi="Book Antiqua"/>
          <w:sz w:val="18"/>
          <w:szCs w:val="18"/>
        </w:rPr>
        <w:fldChar w:fldCharType="end"/>
      </w:r>
      <w:r w:rsidRPr="00675624">
        <w:rPr>
          <w:rFonts w:ascii="Book Antiqua" w:hAnsi="Book Antiqua"/>
          <w:sz w:val="18"/>
          <w:szCs w:val="18"/>
        </w:rPr>
        <w:t xml:space="preserve">) para </w:t>
      </w:r>
      <w:r w:rsidRPr="00D723D1">
        <w:rPr>
          <w:rFonts w:ascii="Book Antiqua" w:hAnsi="Book Antiqua"/>
          <w:sz w:val="18"/>
          <w:szCs w:val="18"/>
        </w:rPr>
        <w:t xml:space="preserve">[4.3.75], citing </w:t>
      </w:r>
      <w:r w:rsidRPr="00D723D1">
        <w:rPr>
          <w:rFonts w:ascii="Book Antiqua" w:hAnsi="Book Antiqua"/>
          <w:i/>
          <w:sz w:val="18"/>
          <w:szCs w:val="18"/>
        </w:rPr>
        <w:t xml:space="preserve">Collins v Minister for Finance </w:t>
      </w:r>
      <w:r w:rsidRPr="00D723D1">
        <w:rPr>
          <w:rFonts w:ascii="Book Antiqua" w:hAnsi="Book Antiqua"/>
          <w:sz w:val="18"/>
          <w:szCs w:val="18"/>
        </w:rPr>
        <w:t xml:space="preserve"> [2016] IESC 73</w:t>
      </w:r>
    </w:p>
  </w:footnote>
  <w:footnote w:id="69">
    <w:p w14:paraId="243399CC" w14:textId="1505AC80" w:rsidR="00672A14" w:rsidRPr="00D723D1" w:rsidRDefault="00672A14" w:rsidP="00D723D1">
      <w:pPr>
        <w:pStyle w:val="FootnoteText"/>
        <w:jc w:val="both"/>
        <w:rPr>
          <w:rFonts w:ascii="Book Antiqua" w:hAnsi="Book Antiqua"/>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Salient Ruling 258 and 259.</w:t>
      </w:r>
    </w:p>
  </w:footnote>
  <w:footnote w:id="70">
    <w:p w14:paraId="6E4F9E51" w14:textId="09047B61" w:rsidR="00672A14" w:rsidRPr="00D723D1" w:rsidRDefault="00672A14" w:rsidP="00D723D1">
      <w:pPr>
        <w:pStyle w:val="FootnoteText"/>
        <w:jc w:val="both"/>
        <w:rPr>
          <w:rFonts w:ascii="Book Antiqua" w:hAnsi="Book Antiqua"/>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w:t>
      </w:r>
      <w:r>
        <w:rPr>
          <w:rFonts w:ascii="Book Antiqua" w:hAnsi="Book Antiqua"/>
          <w:sz w:val="18"/>
          <w:szCs w:val="18"/>
        </w:rPr>
        <w:t>Nothing in the Constitution of the</w:t>
      </w:r>
      <w:r w:rsidRPr="00D723D1">
        <w:rPr>
          <w:rFonts w:ascii="Book Antiqua" w:hAnsi="Book Antiqua"/>
          <w:sz w:val="18"/>
          <w:szCs w:val="18"/>
        </w:rPr>
        <w:t xml:space="preserve"> S</w:t>
      </w:r>
      <w:r>
        <w:rPr>
          <w:rFonts w:ascii="Book Antiqua" w:hAnsi="Book Antiqua"/>
          <w:sz w:val="18"/>
          <w:szCs w:val="18"/>
        </w:rPr>
        <w:t xml:space="preserve">tanding </w:t>
      </w:r>
      <w:r w:rsidRPr="00D723D1">
        <w:rPr>
          <w:rFonts w:ascii="Book Antiqua" w:hAnsi="Book Antiqua"/>
          <w:sz w:val="18"/>
          <w:szCs w:val="18"/>
        </w:rPr>
        <w:t>O</w:t>
      </w:r>
      <w:r>
        <w:rPr>
          <w:rFonts w:ascii="Book Antiqua" w:hAnsi="Book Antiqua"/>
          <w:sz w:val="18"/>
          <w:szCs w:val="18"/>
        </w:rPr>
        <w:t>rders gives the Chair this role</w:t>
      </w:r>
      <w:r w:rsidRPr="00D723D1">
        <w:rPr>
          <w:rFonts w:ascii="Book Antiqua" w:hAnsi="Book Antiqua"/>
          <w:sz w:val="18"/>
          <w:szCs w:val="18"/>
        </w:rPr>
        <w:t>.</w:t>
      </w:r>
    </w:p>
  </w:footnote>
  <w:footnote w:id="71">
    <w:p w14:paraId="55F47DB1" w14:textId="0BFDEA5E" w:rsidR="00672A14" w:rsidRPr="00D723D1" w:rsidRDefault="00672A14" w:rsidP="00D723D1">
      <w:pPr>
        <w:pStyle w:val="FootnoteText"/>
        <w:jc w:val="both"/>
        <w:rPr>
          <w:rFonts w:ascii="Book Antiqua" w:hAnsi="Book Antiqua"/>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w:t>
      </w:r>
      <w:r w:rsidRPr="00327C94">
        <w:rPr>
          <w:rFonts w:ascii="Book Antiqua" w:hAnsi="Book Antiqua"/>
          <w:i/>
          <w:iCs/>
          <w:sz w:val="18"/>
          <w:szCs w:val="18"/>
        </w:rPr>
        <w:t xml:space="preserve">Smith v An </w:t>
      </w:r>
      <w:proofErr w:type="spellStart"/>
      <w:r w:rsidRPr="00327C94">
        <w:rPr>
          <w:rFonts w:ascii="Book Antiqua" w:hAnsi="Book Antiqua"/>
          <w:i/>
          <w:iCs/>
          <w:sz w:val="18"/>
          <w:szCs w:val="18"/>
        </w:rPr>
        <w:t>Ceann</w:t>
      </w:r>
      <w:proofErr w:type="spellEnd"/>
      <w:r w:rsidRPr="00327C94">
        <w:rPr>
          <w:rFonts w:ascii="Book Antiqua" w:hAnsi="Book Antiqua"/>
          <w:i/>
          <w:iCs/>
          <w:sz w:val="18"/>
          <w:szCs w:val="18"/>
        </w:rPr>
        <w:t xml:space="preserve"> </w:t>
      </w:r>
      <w:proofErr w:type="spellStart"/>
      <w:r w:rsidRPr="00327C94">
        <w:rPr>
          <w:rFonts w:ascii="Book Antiqua" w:hAnsi="Book Antiqua"/>
          <w:i/>
          <w:iCs/>
          <w:sz w:val="18"/>
          <w:szCs w:val="18"/>
        </w:rPr>
        <w:t>Comhairle</w:t>
      </w:r>
      <w:proofErr w:type="spellEnd"/>
      <w:r w:rsidRPr="0056184D">
        <w:rPr>
          <w:rFonts w:ascii="Book Antiqua" w:hAnsi="Book Antiqua"/>
          <w:sz w:val="18"/>
          <w:szCs w:val="18"/>
        </w:rPr>
        <w:t xml:space="preserve"> </w:t>
      </w:r>
      <w:r>
        <w:rPr>
          <w:rFonts w:ascii="Book Antiqua" w:hAnsi="Book Antiqua"/>
          <w:sz w:val="18"/>
          <w:szCs w:val="18"/>
        </w:rPr>
        <w:t>[</w:t>
      </w:r>
      <w:r w:rsidRPr="0056184D">
        <w:rPr>
          <w:rFonts w:ascii="Book Antiqua" w:hAnsi="Book Antiqua"/>
          <w:sz w:val="18"/>
          <w:szCs w:val="18"/>
        </w:rPr>
        <w:t>2019</w:t>
      </w:r>
      <w:r>
        <w:rPr>
          <w:rFonts w:ascii="Book Antiqua" w:hAnsi="Book Antiqua"/>
          <w:sz w:val="18"/>
          <w:szCs w:val="18"/>
        </w:rPr>
        <w:t>]</w:t>
      </w:r>
      <w:r w:rsidRPr="0056184D">
        <w:rPr>
          <w:rFonts w:ascii="Book Antiqua" w:hAnsi="Book Antiqua"/>
          <w:sz w:val="18"/>
          <w:szCs w:val="18"/>
        </w:rPr>
        <w:t xml:space="preserve"> IEH</w:t>
      </w:r>
      <w:r>
        <w:rPr>
          <w:rFonts w:ascii="Book Antiqua" w:hAnsi="Book Antiqua"/>
          <w:sz w:val="18"/>
          <w:szCs w:val="18"/>
        </w:rPr>
        <w:t xml:space="preserve">C </w:t>
      </w:r>
      <w:r w:rsidRPr="0056184D">
        <w:rPr>
          <w:rFonts w:ascii="Book Antiqua" w:hAnsi="Book Antiqua"/>
          <w:sz w:val="18"/>
          <w:szCs w:val="18"/>
        </w:rPr>
        <w:t>746</w:t>
      </w:r>
      <w:r>
        <w:rPr>
          <w:rFonts w:ascii="Book Antiqua" w:hAnsi="Book Antiqua"/>
          <w:sz w:val="18"/>
          <w:szCs w:val="18"/>
        </w:rPr>
        <w:t>.</w:t>
      </w:r>
    </w:p>
  </w:footnote>
  <w:footnote w:id="72">
    <w:p w14:paraId="2CB09A3B" w14:textId="77777777" w:rsidR="00672A14" w:rsidRPr="00092ED4" w:rsidRDefault="00672A14" w:rsidP="0067562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See</w:t>
      </w:r>
      <w:r w:rsidRPr="00092ED4">
        <w:rPr>
          <w:rFonts w:ascii="Book Antiqua" w:hAnsi="Book Antiqua" w:cs="Calibri"/>
          <w:i/>
          <w:sz w:val="18"/>
          <w:szCs w:val="18"/>
        </w:rPr>
        <w:t xml:space="preserve"> </w:t>
      </w:r>
      <w:r w:rsidRPr="00092ED4">
        <w:rPr>
          <w:rFonts w:ascii="Book Antiqua" w:hAnsi="Book Antiqua" w:cs="Calibri"/>
          <w:sz w:val="18"/>
          <w:szCs w:val="18"/>
        </w:rPr>
        <w:t xml:space="preserve">generally J Edwards, </w:t>
      </w:r>
      <w:r w:rsidRPr="00092ED4">
        <w:rPr>
          <w:rFonts w:ascii="Book Antiqua" w:hAnsi="Book Antiqua" w:cs="Calibri"/>
          <w:i/>
          <w:sz w:val="18"/>
          <w:szCs w:val="18"/>
        </w:rPr>
        <w:t xml:space="preserve">The Attorney General, Politics and the Public Interest </w:t>
      </w:r>
      <w:r w:rsidRPr="00092ED4">
        <w:rPr>
          <w:rFonts w:ascii="Book Antiqua" w:hAnsi="Book Antiqua" w:cs="Calibri"/>
          <w:sz w:val="18"/>
          <w:szCs w:val="18"/>
        </w:rPr>
        <w:t>(Sweet &amp; Maxwell London 1984).</w:t>
      </w:r>
    </w:p>
  </w:footnote>
  <w:footnote w:id="73">
    <w:p w14:paraId="0E19A48D" w14:textId="49C13A56" w:rsidR="00672A14" w:rsidRPr="00092ED4" w:rsidRDefault="00672A1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See</w:t>
      </w:r>
      <w:r w:rsidRPr="00092ED4">
        <w:rPr>
          <w:rFonts w:ascii="Book Antiqua" w:hAnsi="Book Antiqua" w:cs="Calibri"/>
          <w:i/>
          <w:sz w:val="18"/>
          <w:szCs w:val="18"/>
        </w:rPr>
        <w:t xml:space="preserve"> </w:t>
      </w:r>
      <w:r w:rsidRPr="00092ED4">
        <w:rPr>
          <w:rFonts w:ascii="Book Antiqua" w:hAnsi="Book Antiqua" w:cs="Calibri"/>
          <w:sz w:val="18"/>
          <w:szCs w:val="18"/>
        </w:rPr>
        <w:t xml:space="preserve">Art 30 Constitution of Ireland; </w:t>
      </w:r>
      <w:r w:rsidRPr="00092ED4">
        <w:rPr>
          <w:rFonts w:ascii="Book Antiqua" w:hAnsi="Book Antiqua"/>
          <w:sz w:val="18"/>
          <w:szCs w:val="18"/>
        </w:rPr>
        <w:t xml:space="preserve">Hogan, Whyte, Kenny and Walsh, </w:t>
      </w:r>
      <w:r w:rsidRPr="00092ED4">
        <w:rPr>
          <w:rFonts w:ascii="Book Antiqua" w:hAnsi="Book Antiqua"/>
          <w:i/>
          <w:sz w:val="18"/>
          <w:szCs w:val="18"/>
        </w:rPr>
        <w:t>Kelly’s Irish Constitution</w:t>
      </w:r>
      <w:r w:rsidRPr="00092ED4">
        <w:rPr>
          <w:rFonts w:ascii="Book Antiqua" w:hAnsi="Book Antiqua" w:cs="Calibri"/>
          <w:sz w:val="18"/>
          <w:szCs w:val="18"/>
        </w:rPr>
        <w:t xml:space="preserve"> [5.4.12]–[5.4.40]; </w:t>
      </w:r>
      <w:r w:rsidRPr="00092ED4">
        <w:rPr>
          <w:rFonts w:ascii="Book Antiqua" w:hAnsi="Book Antiqua" w:cs="Calibri"/>
          <w:color w:val="000000" w:themeColor="text1"/>
          <w:sz w:val="18"/>
          <w:szCs w:val="18"/>
        </w:rPr>
        <w:t xml:space="preserve">David Kenny and Conor Casey, “A One Person Supreme Court? The Attorney General, Constitutional Advice to Government, and the Case for Transparency” 42 </w:t>
      </w:r>
      <w:r w:rsidRPr="00092ED4">
        <w:rPr>
          <w:rFonts w:ascii="Book Antiqua" w:hAnsi="Book Antiqua" w:cs="Calibri"/>
          <w:i/>
          <w:iCs/>
          <w:color w:val="000000" w:themeColor="text1"/>
          <w:sz w:val="18"/>
          <w:szCs w:val="18"/>
        </w:rPr>
        <w:t xml:space="preserve">Dublin University Law Journal </w:t>
      </w:r>
      <w:r w:rsidRPr="00092ED4">
        <w:rPr>
          <w:rFonts w:ascii="Book Antiqua" w:hAnsi="Book Antiqua" w:cs="Calibri"/>
          <w:color w:val="000000" w:themeColor="text1"/>
          <w:sz w:val="18"/>
          <w:szCs w:val="18"/>
        </w:rPr>
        <w:t>(Forthcoming, 2020).</w:t>
      </w:r>
    </w:p>
  </w:footnote>
  <w:footnote w:id="74">
    <w:p w14:paraId="00621220" w14:textId="52936BC9" w:rsidR="00672A14" w:rsidRPr="00092ED4" w:rsidRDefault="00672A1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w:t>
      </w:r>
      <w:r w:rsidRPr="00092ED4">
        <w:rPr>
          <w:rFonts w:ascii="Book Antiqua" w:hAnsi="Book Antiqua" w:cs="Calibri"/>
          <w:sz w:val="18"/>
          <w:szCs w:val="18"/>
        </w:rPr>
        <w:t xml:space="preserve">Art 30.1 of the Constitution expressly states </w:t>
      </w:r>
      <w:r w:rsidRPr="00D723D1">
        <w:rPr>
          <w:rFonts w:ascii="Book Antiqua" w:hAnsi="Book Antiqua" w:cs="Calibri"/>
          <w:sz w:val="18"/>
          <w:szCs w:val="18"/>
        </w:rPr>
        <w:t xml:space="preserve">that the AG </w:t>
      </w:r>
      <w:r w:rsidRPr="00675624">
        <w:rPr>
          <w:rFonts w:ascii="Book Antiqua" w:hAnsi="Book Antiqua" w:cs="Calibri"/>
          <w:sz w:val="18"/>
          <w:szCs w:val="18"/>
        </w:rPr>
        <w:t>“</w:t>
      </w:r>
      <w:r w:rsidRPr="00D723D1">
        <w:rPr>
          <w:rFonts w:ascii="Book Antiqua" w:hAnsi="Book Antiqua" w:cs="Calibri"/>
          <w:sz w:val="18"/>
          <w:szCs w:val="18"/>
        </w:rPr>
        <w:t>shall not be a member of the Government.</w:t>
      </w:r>
      <w:r w:rsidRPr="00675624">
        <w:rPr>
          <w:rFonts w:ascii="Book Antiqua" w:hAnsi="Book Antiqua" w:cs="Calibri"/>
          <w:sz w:val="18"/>
          <w:szCs w:val="18"/>
        </w:rPr>
        <w:t>”</w:t>
      </w:r>
      <w:r w:rsidRPr="00D723D1">
        <w:rPr>
          <w:rFonts w:ascii="Book Antiqua" w:hAnsi="Book Antiqua" w:cs="Calibri"/>
          <w:sz w:val="18"/>
          <w:szCs w:val="18"/>
        </w:rPr>
        <w:t xml:space="preserve"> </w:t>
      </w:r>
    </w:p>
  </w:footnote>
  <w:footnote w:id="75">
    <w:p w14:paraId="4077B63A" w14:textId="0B001F45" w:rsidR="00672A14" w:rsidRPr="00092ED4" w:rsidRDefault="00672A1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w:t>
      </w:r>
      <w:r w:rsidRPr="00092ED4">
        <w:rPr>
          <w:rFonts w:ascii="Book Antiqua" w:hAnsi="Book Antiqua" w:cs="Calibri"/>
          <w:sz w:val="18"/>
          <w:szCs w:val="18"/>
        </w:rPr>
        <w:t xml:space="preserve">Eoin O’Malley, “The Apex of Government: Cabinet and Taoiseach in Operation” (n </w:t>
      </w:r>
      <w:r w:rsidRPr="00D05017">
        <w:rPr>
          <w:rFonts w:ascii="Book Antiqua" w:hAnsi="Book Antiqua" w:cs="Calibri"/>
          <w:sz w:val="18"/>
          <w:szCs w:val="18"/>
        </w:rPr>
        <w:fldChar w:fldCharType="begin"/>
      </w:r>
      <w:r w:rsidRPr="00092ED4">
        <w:rPr>
          <w:rFonts w:ascii="Book Antiqua" w:hAnsi="Book Antiqua" w:cs="Calibri"/>
          <w:sz w:val="18"/>
          <w:szCs w:val="18"/>
        </w:rPr>
        <w:instrText xml:space="preserve"> NOTEREF _Ref37316502 \h  \* MERGEFORMAT </w:instrText>
      </w:r>
      <w:r w:rsidRPr="00D05017">
        <w:rPr>
          <w:rFonts w:ascii="Book Antiqua" w:hAnsi="Book Antiqua" w:cs="Calibri"/>
          <w:sz w:val="18"/>
          <w:szCs w:val="18"/>
        </w:rPr>
      </w:r>
      <w:r w:rsidRPr="00D05017">
        <w:rPr>
          <w:rFonts w:ascii="Book Antiqua" w:hAnsi="Book Antiqua" w:cs="Calibri"/>
          <w:sz w:val="18"/>
          <w:szCs w:val="18"/>
        </w:rPr>
        <w:fldChar w:fldCharType="separate"/>
      </w:r>
      <w:r w:rsidRPr="00092ED4">
        <w:rPr>
          <w:rFonts w:ascii="Book Antiqua" w:hAnsi="Book Antiqua" w:cs="Calibri"/>
          <w:sz w:val="18"/>
          <w:szCs w:val="18"/>
        </w:rPr>
        <w:t>28</w:t>
      </w:r>
      <w:r w:rsidRPr="00D05017">
        <w:rPr>
          <w:rFonts w:ascii="Book Antiqua" w:hAnsi="Book Antiqua" w:cs="Calibri"/>
          <w:sz w:val="18"/>
          <w:szCs w:val="18"/>
        </w:rPr>
        <w:fldChar w:fldCharType="end"/>
      </w:r>
      <w:r w:rsidRPr="00675624">
        <w:rPr>
          <w:rFonts w:ascii="Book Antiqua" w:hAnsi="Book Antiqua" w:cs="Calibri"/>
          <w:sz w:val="18"/>
          <w:szCs w:val="18"/>
        </w:rPr>
        <w:t xml:space="preserve">) </w:t>
      </w:r>
      <w:r w:rsidRPr="00092ED4">
        <w:rPr>
          <w:rFonts w:ascii="Book Antiqua" w:hAnsi="Book Antiqua" w:cs="Calibri"/>
          <w:sz w:val="18"/>
          <w:szCs w:val="18"/>
        </w:rPr>
        <w:t>49.</w:t>
      </w:r>
    </w:p>
  </w:footnote>
  <w:footnote w:id="76">
    <w:p w14:paraId="71A2FC72" w14:textId="569E92AA" w:rsidR="00672A14" w:rsidRPr="00D723D1" w:rsidRDefault="00672A14" w:rsidP="00D723D1">
      <w:pPr>
        <w:pStyle w:val="FootnoteText"/>
        <w:jc w:val="both"/>
        <w:rPr>
          <w:rFonts w:ascii="Book Antiqua" w:hAnsi="Book Antiqua"/>
          <w:sz w:val="18"/>
          <w:szCs w:val="18"/>
        </w:rPr>
      </w:pPr>
      <w:r w:rsidRPr="00D723D1">
        <w:rPr>
          <w:rStyle w:val="FootnoteReference"/>
          <w:rFonts w:ascii="Book Antiqua" w:hAnsi="Book Antiqua"/>
          <w:sz w:val="18"/>
          <w:szCs w:val="18"/>
        </w:rPr>
        <w:footnoteRef/>
      </w:r>
      <w:r w:rsidRPr="00D723D1">
        <w:rPr>
          <w:rFonts w:ascii="Book Antiqua" w:hAnsi="Book Antiqua"/>
          <w:sz w:val="18"/>
          <w:szCs w:val="18"/>
        </w:rPr>
        <w:t xml:space="preserve"> </w:t>
      </w:r>
      <w:r w:rsidRPr="00675624">
        <w:rPr>
          <w:rFonts w:ascii="Book Antiqua" w:hAnsi="Book Antiqua" w:cs="Calibri"/>
          <w:color w:val="000000" w:themeColor="text1"/>
          <w:sz w:val="18"/>
          <w:szCs w:val="18"/>
        </w:rPr>
        <w:t>David Kenny and Conor Case</w:t>
      </w:r>
      <w:r w:rsidRPr="00092ED4">
        <w:rPr>
          <w:rFonts w:ascii="Book Antiqua" w:hAnsi="Book Antiqua" w:cs="Calibri"/>
          <w:color w:val="000000" w:themeColor="text1"/>
          <w:sz w:val="18"/>
          <w:szCs w:val="18"/>
        </w:rPr>
        <w:t xml:space="preserve">y, “A One Person Supreme Court?” </w:t>
      </w:r>
      <w:r w:rsidRPr="00092ED4">
        <w:rPr>
          <w:rFonts w:ascii="Book Antiqua" w:hAnsi="Book Antiqua" w:cs="Calibri"/>
          <w:color w:val="000000" w:themeColor="text1"/>
          <w:sz w:val="18"/>
          <w:szCs w:val="18"/>
        </w:rPr>
        <w:t xml:space="preserve">(n </w:t>
      </w:r>
      <w:r w:rsidRPr="00D05017">
        <w:rPr>
          <w:rFonts w:ascii="Book Antiqua" w:hAnsi="Book Antiqua" w:cs="Calibri"/>
          <w:color w:val="000000" w:themeColor="text1"/>
          <w:sz w:val="18"/>
          <w:szCs w:val="18"/>
        </w:rPr>
        <w:fldChar w:fldCharType="begin"/>
      </w:r>
      <w:r w:rsidRPr="00092ED4">
        <w:rPr>
          <w:rFonts w:ascii="Book Antiqua" w:hAnsi="Book Antiqua" w:cs="Calibri"/>
          <w:color w:val="000000" w:themeColor="text1"/>
          <w:sz w:val="18"/>
          <w:szCs w:val="18"/>
        </w:rPr>
        <w:instrText xml:space="preserve"> NOTEREF _Ref37318726 \h  \* MERGEFORMAT </w:instrText>
      </w:r>
      <w:r w:rsidRPr="00D05017">
        <w:rPr>
          <w:rFonts w:ascii="Book Antiqua" w:hAnsi="Book Antiqua" w:cs="Calibri"/>
          <w:color w:val="000000" w:themeColor="text1"/>
          <w:sz w:val="18"/>
          <w:szCs w:val="18"/>
        </w:rPr>
      </w:r>
      <w:r w:rsidRPr="00D05017">
        <w:rPr>
          <w:rFonts w:ascii="Book Antiqua" w:hAnsi="Book Antiqua" w:cs="Calibri"/>
          <w:color w:val="000000" w:themeColor="text1"/>
          <w:sz w:val="18"/>
          <w:szCs w:val="18"/>
        </w:rPr>
        <w:fldChar w:fldCharType="separate"/>
      </w:r>
      <w:r w:rsidRPr="00092ED4">
        <w:rPr>
          <w:rFonts w:ascii="Book Antiqua" w:hAnsi="Book Antiqua" w:cs="Calibri"/>
          <w:color w:val="000000" w:themeColor="text1"/>
          <w:sz w:val="18"/>
          <w:szCs w:val="18"/>
        </w:rPr>
        <w:t>81</w:t>
      </w:r>
      <w:r w:rsidRPr="00D05017">
        <w:rPr>
          <w:rFonts w:ascii="Book Antiqua" w:hAnsi="Book Antiqua" w:cs="Calibri"/>
          <w:color w:val="000000" w:themeColor="text1"/>
          <w:sz w:val="18"/>
          <w:szCs w:val="18"/>
        </w:rPr>
        <w:fldChar w:fldCharType="end"/>
      </w:r>
      <w:r w:rsidRPr="00675624">
        <w:rPr>
          <w:rFonts w:ascii="Book Antiqua" w:hAnsi="Book Antiqua" w:cs="Calibri"/>
          <w:color w:val="000000" w:themeColor="text1"/>
          <w:sz w:val="18"/>
          <w:szCs w:val="18"/>
        </w:rPr>
        <w:t>)</w:t>
      </w:r>
      <w:r w:rsidRPr="00092ED4">
        <w:rPr>
          <w:rFonts w:ascii="Book Antiqua" w:hAnsi="Book Antiqua" w:cs="Calibri"/>
          <w:color w:val="000000" w:themeColor="text1"/>
          <w:sz w:val="18"/>
          <w:szCs w:val="18"/>
        </w:rPr>
        <w:t>; David Kenny and Conor Casey, “Shadow Constitutional Review: The Dark-Side of Political Pre-Enactment Review in Ireland and Japan”</w:t>
      </w:r>
      <w:r>
        <w:rPr>
          <w:rFonts w:ascii="Book Antiqua" w:hAnsi="Book Antiqua" w:cs="Calibri"/>
          <w:color w:val="000000" w:themeColor="text1"/>
          <w:sz w:val="18"/>
          <w:szCs w:val="18"/>
        </w:rPr>
        <w:t xml:space="preserve"> (2020)</w:t>
      </w:r>
      <w:r w:rsidRPr="00092ED4">
        <w:rPr>
          <w:rFonts w:ascii="Book Antiqua" w:hAnsi="Book Antiqua" w:cs="Calibri"/>
          <w:color w:val="000000" w:themeColor="text1"/>
          <w:sz w:val="18"/>
          <w:szCs w:val="18"/>
        </w:rPr>
        <w:t xml:space="preserve"> </w:t>
      </w:r>
      <w:r>
        <w:rPr>
          <w:rFonts w:ascii="Book Antiqua" w:hAnsi="Book Antiqua" w:cs="Calibri"/>
          <w:color w:val="000000" w:themeColor="text1"/>
          <w:sz w:val="18"/>
          <w:szCs w:val="18"/>
        </w:rPr>
        <w:t xml:space="preserve">18 </w:t>
      </w:r>
      <w:r w:rsidRPr="00D723D1">
        <w:rPr>
          <w:rFonts w:ascii="Book Antiqua" w:hAnsi="Book Antiqua" w:cs="Calibri"/>
          <w:color w:val="000000" w:themeColor="text1"/>
          <w:sz w:val="18"/>
          <w:szCs w:val="18"/>
        </w:rPr>
        <w:t>International Journal of Constitutional Law</w:t>
      </w:r>
      <w:r>
        <w:rPr>
          <w:rFonts w:ascii="Book Antiqua" w:hAnsi="Book Antiqua" w:cs="Calibri"/>
          <w:color w:val="000000" w:themeColor="text1"/>
          <w:sz w:val="18"/>
          <w:szCs w:val="18"/>
        </w:rPr>
        <w:t xml:space="preserve"> 51-75.</w:t>
      </w:r>
    </w:p>
  </w:footnote>
  <w:footnote w:id="77">
    <w:p w14:paraId="4E98A124" w14:textId="21DBB852" w:rsidR="00672A14" w:rsidRPr="00D723D1" w:rsidRDefault="00672A14" w:rsidP="00D723D1">
      <w:pPr>
        <w:pStyle w:val="FootnoteText"/>
        <w:jc w:val="both"/>
        <w:rPr>
          <w:rFonts w:ascii="Book Antiqua" w:hAnsi="Book Antiqua"/>
          <w:sz w:val="18"/>
          <w:szCs w:val="18"/>
          <w:lang w:val="en-GB"/>
        </w:rPr>
      </w:pPr>
      <w:r w:rsidRPr="00D723D1">
        <w:rPr>
          <w:rStyle w:val="FootnoteReference"/>
          <w:rFonts w:ascii="Book Antiqua" w:hAnsi="Book Antiqua"/>
          <w:sz w:val="18"/>
          <w:szCs w:val="18"/>
        </w:rPr>
        <w:footnoteRef/>
      </w:r>
      <w:r w:rsidRPr="00D723D1">
        <w:rPr>
          <w:rFonts w:ascii="Book Antiqua" w:hAnsi="Book Antiqua"/>
          <w:sz w:val="18"/>
          <w:szCs w:val="18"/>
        </w:rPr>
        <w:t xml:space="preserve"> </w:t>
      </w:r>
      <w:r>
        <w:rPr>
          <w:rFonts w:ascii="Book Antiqua" w:hAnsi="Book Antiqua"/>
          <w:sz w:val="18"/>
          <w:szCs w:val="18"/>
        </w:rPr>
        <w:t xml:space="preserve">Ibid. </w:t>
      </w:r>
    </w:p>
  </w:footnote>
  <w:footnote w:id="78">
    <w:p w14:paraId="421D40FF" w14:textId="303F381F" w:rsidR="00672A14" w:rsidRPr="00092ED4" w:rsidRDefault="00672A14" w:rsidP="00675624">
      <w:pPr>
        <w:pStyle w:val="FootnoteText"/>
        <w:jc w:val="both"/>
        <w:rPr>
          <w:rFonts w:ascii="Book Antiqua" w:hAnsi="Book Antiqua" w:cs="Calibri"/>
          <w:color w:val="000000" w:themeColor="text1"/>
          <w:sz w:val="18"/>
          <w:szCs w:val="18"/>
        </w:rPr>
      </w:pPr>
      <w:r w:rsidRPr="00675624">
        <w:rPr>
          <w:rStyle w:val="FootnoteReference"/>
          <w:rFonts w:ascii="Book Antiqua" w:hAnsi="Book Antiqua" w:cs="Calibri"/>
          <w:color w:val="000000" w:themeColor="text1"/>
          <w:sz w:val="18"/>
          <w:szCs w:val="18"/>
        </w:rPr>
        <w:footnoteRef/>
      </w:r>
      <w:r w:rsidRPr="00675624">
        <w:rPr>
          <w:rFonts w:ascii="Book Antiqua" w:hAnsi="Book Antiqua" w:cs="Calibri"/>
          <w:color w:val="000000" w:themeColor="text1"/>
          <w:sz w:val="18"/>
          <w:szCs w:val="18"/>
        </w:rPr>
        <w:t xml:space="preserve"> The advice can be privileged, but </w:t>
      </w:r>
      <w:r>
        <w:rPr>
          <w:rFonts w:ascii="Book Antiqua" w:hAnsi="Book Antiqua" w:cs="Calibri"/>
          <w:color w:val="000000" w:themeColor="text1"/>
          <w:sz w:val="18"/>
          <w:szCs w:val="18"/>
        </w:rPr>
        <w:t>this can be waived</w:t>
      </w:r>
      <w:r w:rsidRPr="00092ED4">
        <w:rPr>
          <w:rFonts w:ascii="Book Antiqua" w:hAnsi="Book Antiqua" w:cs="Calibri"/>
          <w:color w:val="000000" w:themeColor="text1"/>
          <w:sz w:val="18"/>
          <w:szCs w:val="18"/>
        </w:rPr>
        <w:t>. Arguments that it is required by cabinet confidentiality are, in our view, misplaced.</w:t>
      </w:r>
      <w:r>
        <w:rPr>
          <w:rFonts w:ascii="Book Antiqua" w:hAnsi="Book Antiqua" w:cs="Calibri"/>
          <w:color w:val="000000" w:themeColor="text1"/>
          <w:sz w:val="18"/>
          <w:szCs w:val="18"/>
        </w:rPr>
        <w:t xml:space="preserve"> Ibid. </w:t>
      </w:r>
    </w:p>
  </w:footnote>
  <w:footnote w:id="79">
    <w:p w14:paraId="53171937" w14:textId="35257341" w:rsidR="00672A14" w:rsidRPr="00092ED4" w:rsidRDefault="00672A14">
      <w:pPr>
        <w:pStyle w:val="Heading1"/>
        <w:shd w:val="clear" w:color="auto" w:fill="FFFFFF"/>
        <w:spacing w:before="0"/>
        <w:jc w:val="both"/>
        <w:textAlignment w:val="baseline"/>
        <w:rPr>
          <w:rFonts w:ascii="Book Antiqua" w:hAnsi="Book Antiqua"/>
          <w:color w:val="333333"/>
          <w:sz w:val="18"/>
          <w:szCs w:val="18"/>
          <w:lang w:val="en-IE"/>
        </w:rPr>
      </w:pPr>
      <w:r w:rsidRPr="00675624">
        <w:rPr>
          <w:rStyle w:val="FootnoteReference"/>
          <w:rFonts w:ascii="Book Antiqua" w:hAnsi="Book Antiqua"/>
          <w:color w:val="000000" w:themeColor="text1"/>
          <w:sz w:val="18"/>
          <w:szCs w:val="18"/>
          <w:lang w:val="en-IE"/>
        </w:rPr>
        <w:footnoteRef/>
      </w:r>
      <w:r w:rsidRPr="00675624">
        <w:rPr>
          <w:rFonts w:ascii="Book Antiqua" w:hAnsi="Book Antiqua"/>
          <w:color w:val="000000" w:themeColor="text1"/>
          <w:sz w:val="18"/>
          <w:szCs w:val="18"/>
          <w:lang w:val="en-IE"/>
        </w:rPr>
        <w:t xml:space="preserve"> See </w:t>
      </w:r>
      <w:proofErr w:type="spellStart"/>
      <w:r w:rsidRPr="00675624">
        <w:rPr>
          <w:rFonts w:ascii="Book Antiqua" w:hAnsi="Book Antiqua"/>
          <w:color w:val="000000" w:themeColor="text1"/>
          <w:sz w:val="18"/>
          <w:szCs w:val="18"/>
          <w:lang w:val="en-IE"/>
        </w:rPr>
        <w:t>eg</w:t>
      </w:r>
      <w:proofErr w:type="spellEnd"/>
      <w:r w:rsidRPr="00675624">
        <w:rPr>
          <w:rFonts w:ascii="Book Antiqua" w:hAnsi="Book Antiqua"/>
          <w:color w:val="000000" w:themeColor="text1"/>
          <w:sz w:val="18"/>
          <w:szCs w:val="18"/>
          <w:lang w:val="en-IE"/>
        </w:rPr>
        <w:t xml:space="preserve"> </w:t>
      </w:r>
      <w:r w:rsidRPr="00092ED4">
        <w:rPr>
          <w:rFonts w:ascii="Book Antiqua" w:hAnsi="Book Antiqua"/>
          <w:color w:val="000000" w:themeColor="text1"/>
          <w:sz w:val="18"/>
          <w:szCs w:val="18"/>
          <w:lang w:val="en-IE"/>
        </w:rPr>
        <w:t xml:space="preserve">Megan Nolan, ‘Homelessness in Ireland is at crisis point, and the vitriol shown towards homeless people is just as shocking’ </w:t>
      </w:r>
      <w:r w:rsidRPr="00092ED4">
        <w:rPr>
          <w:rFonts w:ascii="Book Antiqua" w:hAnsi="Book Antiqua"/>
          <w:i/>
          <w:iCs/>
          <w:color w:val="000000" w:themeColor="text1"/>
          <w:sz w:val="18"/>
          <w:szCs w:val="18"/>
          <w:lang w:val="en-IE"/>
        </w:rPr>
        <w:t xml:space="preserve">New Statesman </w:t>
      </w:r>
      <w:r w:rsidRPr="00092ED4">
        <w:rPr>
          <w:rFonts w:ascii="Book Antiqua" w:hAnsi="Book Antiqua"/>
          <w:color w:val="000000" w:themeColor="text1"/>
          <w:sz w:val="18"/>
          <w:szCs w:val="18"/>
          <w:lang w:val="en-IE"/>
        </w:rPr>
        <w:t>(2</w:t>
      </w:r>
      <w:r w:rsidRPr="00092ED4">
        <w:rPr>
          <w:rFonts w:ascii="Book Antiqua" w:hAnsi="Book Antiqua"/>
          <w:color w:val="000000" w:themeColor="text1"/>
          <w:sz w:val="18"/>
          <w:szCs w:val="18"/>
          <w:vertAlign w:val="superscript"/>
          <w:lang w:val="en-IE"/>
        </w:rPr>
        <w:t>nd</w:t>
      </w:r>
      <w:r w:rsidRPr="00092ED4">
        <w:rPr>
          <w:rFonts w:ascii="Book Antiqua" w:hAnsi="Book Antiqua"/>
          <w:color w:val="000000" w:themeColor="text1"/>
          <w:sz w:val="18"/>
          <w:szCs w:val="18"/>
          <w:lang w:val="en-IE"/>
        </w:rPr>
        <w:t xml:space="preserve"> February, 2020). </w:t>
      </w:r>
    </w:p>
  </w:footnote>
  <w:footnote w:id="80">
    <w:p w14:paraId="7479100A" w14:textId="1C77F177" w:rsidR="00672A14" w:rsidRPr="00092ED4" w:rsidRDefault="00672A14">
      <w:pPr>
        <w:pStyle w:val="Heading1"/>
        <w:spacing w:before="0"/>
        <w:jc w:val="both"/>
        <w:rPr>
          <w:rFonts w:ascii="Book Antiqua" w:hAnsi="Book Antiqua" w:cs="Calibri"/>
          <w:color w:val="000000" w:themeColor="text1"/>
          <w:sz w:val="18"/>
          <w:szCs w:val="18"/>
          <w:lang w:val="en-IE"/>
        </w:rPr>
      </w:pPr>
      <w:r w:rsidRPr="00675624">
        <w:rPr>
          <w:rStyle w:val="FootnoteReference"/>
          <w:rFonts w:ascii="Book Antiqua" w:hAnsi="Book Antiqua" w:cs="Calibri"/>
          <w:color w:val="000000" w:themeColor="text1"/>
          <w:sz w:val="18"/>
          <w:szCs w:val="18"/>
          <w:lang w:val="en-IE"/>
        </w:rPr>
        <w:footnoteRef/>
      </w:r>
      <w:r w:rsidRPr="00675624">
        <w:rPr>
          <w:rFonts w:ascii="Book Antiqua" w:hAnsi="Book Antiqua" w:cs="Calibri"/>
          <w:color w:val="000000" w:themeColor="text1"/>
          <w:sz w:val="18"/>
          <w:szCs w:val="18"/>
          <w:lang w:val="en-IE"/>
        </w:rPr>
        <w:t xml:space="preserve"> </w:t>
      </w:r>
      <w:r w:rsidRPr="00675624">
        <w:rPr>
          <w:rFonts w:ascii="Book Antiqua" w:hAnsi="Book Antiqua" w:cs="Calibri"/>
          <w:color w:val="000000" w:themeColor="text1"/>
          <w:sz w:val="18"/>
          <w:szCs w:val="18"/>
          <w:lang w:val="en-IE"/>
        </w:rPr>
        <w:t>David Kenny and Conor Cas</w:t>
      </w:r>
      <w:r w:rsidRPr="00092ED4">
        <w:rPr>
          <w:rFonts w:ascii="Book Antiqua" w:hAnsi="Book Antiqua" w:cs="Calibri"/>
          <w:color w:val="000000" w:themeColor="text1"/>
          <w:sz w:val="18"/>
          <w:szCs w:val="18"/>
          <w:lang w:val="en-IE"/>
        </w:rPr>
        <w:t xml:space="preserve">ey, “Shadow Constitutional Review” (n </w:t>
      </w:r>
      <w:r w:rsidRPr="00D05017">
        <w:rPr>
          <w:rFonts w:ascii="Book Antiqua" w:hAnsi="Book Antiqua" w:cs="Calibri"/>
          <w:color w:val="000000" w:themeColor="text1"/>
          <w:sz w:val="18"/>
          <w:szCs w:val="18"/>
          <w:lang w:val="en-IE"/>
        </w:rPr>
        <w:fldChar w:fldCharType="begin"/>
      </w:r>
      <w:r w:rsidRPr="00092ED4">
        <w:rPr>
          <w:rFonts w:ascii="Book Antiqua" w:hAnsi="Book Antiqua" w:cs="Calibri"/>
          <w:color w:val="000000" w:themeColor="text1"/>
          <w:sz w:val="18"/>
          <w:szCs w:val="18"/>
          <w:lang w:val="en-IE"/>
        </w:rPr>
        <w:instrText xml:space="preserve"> NOTEREF _Ref37318849 \h  \* MERGEFORMAT </w:instrText>
      </w:r>
      <w:r w:rsidRPr="00D05017">
        <w:rPr>
          <w:rFonts w:ascii="Book Antiqua" w:hAnsi="Book Antiqua" w:cs="Calibri"/>
          <w:color w:val="000000" w:themeColor="text1"/>
          <w:sz w:val="18"/>
          <w:szCs w:val="18"/>
          <w:lang w:val="en-IE"/>
        </w:rPr>
      </w:r>
      <w:r w:rsidRPr="00D05017">
        <w:rPr>
          <w:rFonts w:ascii="Book Antiqua" w:hAnsi="Book Antiqua" w:cs="Calibri"/>
          <w:color w:val="000000" w:themeColor="text1"/>
          <w:sz w:val="18"/>
          <w:szCs w:val="18"/>
          <w:lang w:val="en-IE"/>
        </w:rPr>
        <w:fldChar w:fldCharType="separate"/>
      </w:r>
      <w:r w:rsidRPr="00092ED4">
        <w:rPr>
          <w:rFonts w:ascii="Book Antiqua" w:hAnsi="Book Antiqua" w:cs="Calibri"/>
          <w:color w:val="000000" w:themeColor="text1"/>
          <w:sz w:val="18"/>
          <w:szCs w:val="18"/>
          <w:lang w:val="en-IE"/>
        </w:rPr>
        <w:t>84</w:t>
      </w:r>
      <w:r w:rsidRPr="00D05017">
        <w:rPr>
          <w:rFonts w:ascii="Book Antiqua" w:hAnsi="Book Antiqua" w:cs="Calibri"/>
          <w:color w:val="000000" w:themeColor="text1"/>
          <w:sz w:val="18"/>
          <w:szCs w:val="18"/>
          <w:lang w:val="en-IE"/>
        </w:rPr>
        <w:fldChar w:fldCharType="end"/>
      </w:r>
      <w:r w:rsidRPr="00675624">
        <w:rPr>
          <w:rFonts w:ascii="Book Antiqua" w:hAnsi="Book Antiqua" w:cs="Calibri"/>
          <w:color w:val="000000" w:themeColor="text1"/>
          <w:sz w:val="18"/>
          <w:szCs w:val="18"/>
          <w:lang w:val="en-IE"/>
        </w:rPr>
        <w:t>);</w:t>
      </w:r>
      <w:r w:rsidRPr="00092ED4">
        <w:rPr>
          <w:rFonts w:ascii="Book Antiqua" w:hAnsi="Book Antiqua" w:cs="Calibri"/>
          <w:color w:val="000000" w:themeColor="text1"/>
          <w:sz w:val="18"/>
          <w:szCs w:val="18"/>
          <w:lang w:val="en-IE"/>
        </w:rPr>
        <w:t xml:space="preserve"> David Kenny and Conor Casey, “A One Person Supreme Court?” </w:t>
      </w:r>
      <w:r w:rsidRPr="00092ED4">
        <w:rPr>
          <w:rFonts w:ascii="Book Antiqua" w:hAnsi="Book Antiqua" w:cs="Calibri"/>
          <w:color w:val="000000" w:themeColor="text1"/>
          <w:sz w:val="18"/>
          <w:szCs w:val="18"/>
        </w:rPr>
        <w:t xml:space="preserve">(n </w:t>
      </w:r>
      <w:r w:rsidRPr="00D05017">
        <w:rPr>
          <w:rFonts w:ascii="Book Antiqua" w:hAnsi="Book Antiqua" w:cs="Calibri"/>
          <w:color w:val="000000" w:themeColor="text1"/>
          <w:sz w:val="18"/>
          <w:szCs w:val="18"/>
        </w:rPr>
        <w:fldChar w:fldCharType="begin"/>
      </w:r>
      <w:r w:rsidRPr="00092ED4">
        <w:rPr>
          <w:rFonts w:ascii="Book Antiqua" w:hAnsi="Book Antiqua" w:cs="Calibri"/>
          <w:color w:val="000000" w:themeColor="text1"/>
          <w:sz w:val="18"/>
          <w:szCs w:val="18"/>
        </w:rPr>
        <w:instrText xml:space="preserve"> NOTEREF _Ref37318726 \h  \* MERGEFORMAT </w:instrText>
      </w:r>
      <w:r w:rsidRPr="00D05017">
        <w:rPr>
          <w:rFonts w:ascii="Book Antiqua" w:hAnsi="Book Antiqua" w:cs="Calibri"/>
          <w:color w:val="000000" w:themeColor="text1"/>
          <w:sz w:val="18"/>
          <w:szCs w:val="18"/>
        </w:rPr>
      </w:r>
      <w:r w:rsidRPr="00D05017">
        <w:rPr>
          <w:rFonts w:ascii="Book Antiqua" w:hAnsi="Book Antiqua" w:cs="Calibri"/>
          <w:color w:val="000000" w:themeColor="text1"/>
          <w:sz w:val="18"/>
          <w:szCs w:val="18"/>
        </w:rPr>
        <w:fldChar w:fldCharType="separate"/>
      </w:r>
      <w:r w:rsidRPr="00092ED4">
        <w:rPr>
          <w:rFonts w:ascii="Book Antiqua" w:hAnsi="Book Antiqua" w:cs="Calibri"/>
          <w:color w:val="000000" w:themeColor="text1"/>
          <w:sz w:val="18"/>
          <w:szCs w:val="18"/>
        </w:rPr>
        <w:t>81</w:t>
      </w:r>
      <w:r w:rsidRPr="00D05017">
        <w:rPr>
          <w:rFonts w:ascii="Book Antiqua" w:hAnsi="Book Antiqua" w:cs="Calibri"/>
          <w:color w:val="000000" w:themeColor="text1"/>
          <w:sz w:val="18"/>
          <w:szCs w:val="18"/>
        </w:rPr>
        <w:fldChar w:fldCharType="end"/>
      </w:r>
      <w:r w:rsidRPr="00675624">
        <w:rPr>
          <w:rFonts w:ascii="Book Antiqua" w:hAnsi="Book Antiqua" w:cs="Calibri"/>
          <w:color w:val="000000" w:themeColor="text1"/>
          <w:sz w:val="18"/>
          <w:szCs w:val="18"/>
        </w:rPr>
        <w:t>)</w:t>
      </w:r>
      <w:r w:rsidRPr="00092ED4">
        <w:rPr>
          <w:rFonts w:ascii="Book Antiqua" w:hAnsi="Book Antiqua" w:cs="Calibri"/>
          <w:color w:val="000000" w:themeColor="text1"/>
          <w:sz w:val="18"/>
          <w:szCs w:val="18"/>
        </w:rPr>
        <w:t>;</w:t>
      </w:r>
      <w:r w:rsidRPr="00092ED4">
        <w:rPr>
          <w:rFonts w:ascii="Book Antiqua" w:hAnsi="Book Antiqua" w:cs="Calibri"/>
          <w:color w:val="000000" w:themeColor="text1"/>
          <w:sz w:val="18"/>
          <w:szCs w:val="18"/>
          <w:lang w:val="en-IE"/>
        </w:rPr>
        <w:t xml:space="preserve"> Finn Keyes, “Property rights and housing legislation” </w:t>
      </w:r>
      <w:r w:rsidRPr="00092ED4">
        <w:rPr>
          <w:rFonts w:ascii="Book Antiqua" w:hAnsi="Book Antiqua" w:cs="Calibri"/>
          <w:i/>
          <w:iCs/>
          <w:color w:val="000000" w:themeColor="text1"/>
          <w:sz w:val="18"/>
          <w:szCs w:val="18"/>
          <w:lang w:val="en-IE"/>
        </w:rPr>
        <w:t>Oireachtas Research &amp; Library Service Briefing Paper</w:t>
      </w:r>
      <w:r w:rsidRPr="00092ED4">
        <w:rPr>
          <w:rFonts w:ascii="Book Antiqua" w:hAnsi="Book Antiqua" w:cs="Calibri"/>
          <w:color w:val="000000" w:themeColor="text1"/>
          <w:sz w:val="18"/>
          <w:szCs w:val="18"/>
          <w:lang w:val="en-IE"/>
        </w:rPr>
        <w:t xml:space="preserve"> (2019).</w:t>
      </w:r>
    </w:p>
  </w:footnote>
  <w:footnote w:id="81">
    <w:p w14:paraId="1BAC877B" w14:textId="77777777" w:rsidR="00672A14" w:rsidRPr="00092ED4" w:rsidRDefault="00672A14" w:rsidP="00D723D1">
      <w:pPr>
        <w:pStyle w:val="FootnoteText"/>
        <w:jc w:val="both"/>
        <w:rPr>
          <w:rFonts w:ascii="Book Antiqua" w:hAnsi="Book Antiqua"/>
          <w:sz w:val="18"/>
          <w:szCs w:val="18"/>
        </w:rPr>
      </w:pPr>
      <w:r w:rsidRPr="00675624">
        <w:rPr>
          <w:rStyle w:val="FootnoteReference"/>
          <w:rFonts w:ascii="Book Antiqua" w:hAnsi="Book Antiqua"/>
          <w:sz w:val="18"/>
          <w:szCs w:val="18"/>
        </w:rPr>
        <w:footnoteRef/>
      </w:r>
      <w:r w:rsidRPr="00675624">
        <w:rPr>
          <w:rFonts w:ascii="Book Antiqua" w:hAnsi="Book Antiqua"/>
          <w:sz w:val="18"/>
          <w:szCs w:val="18"/>
        </w:rPr>
        <w:t xml:space="preserve"> </w:t>
      </w:r>
      <w:r w:rsidRPr="00092ED4">
        <w:rPr>
          <w:rFonts w:ascii="Book Antiqua" w:hAnsi="Book Antiqua" w:cs="Times New Roman"/>
          <w:sz w:val="18"/>
          <w:szCs w:val="18"/>
        </w:rPr>
        <w:t xml:space="preserve">Dáil Éireann debate, </w:t>
      </w:r>
      <w:r w:rsidRPr="00092ED4">
        <w:rPr>
          <w:rFonts w:ascii="Book Antiqua" w:hAnsi="Book Antiqua"/>
          <w:sz w:val="18"/>
          <w:szCs w:val="18"/>
        </w:rPr>
        <w:t>Thursday 8</w:t>
      </w:r>
      <w:r w:rsidRPr="00092ED4">
        <w:rPr>
          <w:rFonts w:ascii="Book Antiqua" w:hAnsi="Book Antiqua"/>
          <w:sz w:val="18"/>
          <w:szCs w:val="18"/>
          <w:vertAlign w:val="superscript"/>
        </w:rPr>
        <w:t>th</w:t>
      </w:r>
      <w:r w:rsidRPr="00092ED4">
        <w:rPr>
          <w:rFonts w:ascii="Book Antiqua" w:hAnsi="Book Antiqua"/>
          <w:sz w:val="18"/>
          <w:szCs w:val="18"/>
        </w:rPr>
        <w:t xml:space="preserve"> December 2016, Vol 932. No.2.</w:t>
      </w:r>
    </w:p>
  </w:footnote>
  <w:footnote w:id="82">
    <w:p w14:paraId="1F78A6D4" w14:textId="77777777" w:rsidR="00672A14" w:rsidRPr="00092ED4" w:rsidRDefault="00672A14" w:rsidP="00D723D1">
      <w:pPr>
        <w:pStyle w:val="FootnoteText"/>
        <w:jc w:val="both"/>
        <w:rPr>
          <w:rFonts w:ascii="Book Antiqua" w:hAnsi="Book Antiqua" w:cs="Times New Roman"/>
          <w:sz w:val="18"/>
          <w:szCs w:val="18"/>
        </w:rPr>
      </w:pPr>
      <w:r w:rsidRPr="00675624">
        <w:rPr>
          <w:rStyle w:val="FootnoteReference"/>
          <w:rFonts w:ascii="Book Antiqua" w:hAnsi="Book Antiqua" w:cs="Times New Roman"/>
          <w:sz w:val="18"/>
          <w:szCs w:val="18"/>
        </w:rPr>
        <w:footnoteRef/>
      </w:r>
      <w:r w:rsidRPr="00675624">
        <w:rPr>
          <w:rFonts w:ascii="Book Antiqua" w:hAnsi="Book Antiqua" w:cs="Times New Roman"/>
          <w:sz w:val="18"/>
          <w:szCs w:val="18"/>
        </w:rPr>
        <w:t xml:space="preserve"> Dáil Éireann debate, T</w:t>
      </w:r>
      <w:r w:rsidRPr="00092ED4">
        <w:rPr>
          <w:rFonts w:ascii="Book Antiqua" w:hAnsi="Book Antiqua" w:cs="Times New Roman"/>
          <w:sz w:val="18"/>
          <w:szCs w:val="18"/>
        </w:rPr>
        <w:t>hursday 28</w:t>
      </w:r>
      <w:r w:rsidRPr="00092ED4">
        <w:rPr>
          <w:rFonts w:ascii="Book Antiqua" w:hAnsi="Book Antiqua" w:cs="Times New Roman"/>
          <w:sz w:val="18"/>
          <w:szCs w:val="18"/>
          <w:vertAlign w:val="superscript"/>
        </w:rPr>
        <w:t>th</w:t>
      </w:r>
      <w:r w:rsidRPr="00092ED4">
        <w:rPr>
          <w:rFonts w:ascii="Book Antiqua" w:hAnsi="Book Antiqua" w:cs="Times New Roman"/>
          <w:sz w:val="18"/>
          <w:szCs w:val="18"/>
        </w:rPr>
        <w:t xml:space="preserve"> March, 2019, Vol. 981 No.2.</w:t>
      </w:r>
    </w:p>
  </w:footnote>
  <w:footnote w:id="83">
    <w:p w14:paraId="56D4B436" w14:textId="5DAE3C16" w:rsidR="00672A14" w:rsidRPr="00092ED4" w:rsidRDefault="00672A14" w:rsidP="00D723D1">
      <w:pPr>
        <w:pStyle w:val="FootnoteText"/>
        <w:jc w:val="both"/>
        <w:rPr>
          <w:rFonts w:ascii="Book Antiqua" w:hAnsi="Book Antiqua"/>
          <w:sz w:val="18"/>
          <w:szCs w:val="18"/>
        </w:rPr>
      </w:pPr>
      <w:r w:rsidRPr="00675624">
        <w:rPr>
          <w:rStyle w:val="FootnoteReference"/>
          <w:rFonts w:ascii="Book Antiqua" w:hAnsi="Book Antiqua" w:cs="Calibri"/>
          <w:color w:val="000000" w:themeColor="text1"/>
          <w:sz w:val="18"/>
          <w:szCs w:val="18"/>
        </w:rPr>
        <w:footnoteRef/>
      </w:r>
      <w:r w:rsidRPr="00675624">
        <w:rPr>
          <w:rFonts w:ascii="Book Antiqua" w:hAnsi="Book Antiqua" w:cs="Calibri"/>
          <w:color w:val="000000" w:themeColor="text1"/>
          <w:sz w:val="18"/>
          <w:szCs w:val="18"/>
        </w:rPr>
        <w:t xml:space="preserve"> The authors of the leading treatise on Irish constitutional law suggested </w:t>
      </w:r>
      <w:r w:rsidRPr="00092ED4">
        <w:rPr>
          <w:rFonts w:ascii="Book Antiqua" w:hAnsi="Book Antiqua"/>
          <w:color w:val="000000" w:themeColor="text1"/>
          <w:sz w:val="18"/>
          <w:szCs w:val="18"/>
        </w:rPr>
        <w:t>in the preface to the most recent edition, “considerable latitude is given the Oireachtas to regulate and organise a modern economy. The popular conception to the contrary is a pure myth.”</w:t>
      </w:r>
      <w:r w:rsidRPr="00092ED4">
        <w:rPr>
          <w:rFonts w:ascii="Book Antiqua" w:hAnsi="Book Antiqua"/>
          <w:sz w:val="18"/>
          <w:szCs w:val="18"/>
        </w:rPr>
        <w:t xml:space="preserve"> </w:t>
      </w:r>
      <w:r w:rsidRPr="00092ED4">
        <w:rPr>
          <w:rFonts w:ascii="Book Antiqua" w:hAnsi="Book Antiqua"/>
          <w:sz w:val="18"/>
          <w:szCs w:val="18"/>
        </w:rPr>
        <w:t xml:space="preserve">Hogan, Whyte, Kenny and Walsh, </w:t>
      </w:r>
      <w:r w:rsidRPr="00092ED4">
        <w:rPr>
          <w:rFonts w:ascii="Book Antiqua" w:hAnsi="Book Antiqua"/>
          <w:i/>
          <w:sz w:val="18"/>
          <w:szCs w:val="18"/>
        </w:rPr>
        <w:t>Kelly</w:t>
      </w:r>
      <w:r>
        <w:rPr>
          <w:rFonts w:ascii="Book Antiqua" w:hAnsi="Book Antiqua"/>
          <w:i/>
          <w:sz w:val="18"/>
          <w:szCs w:val="18"/>
        </w:rPr>
        <w:t>: The</w:t>
      </w:r>
      <w:r w:rsidRPr="00092ED4">
        <w:rPr>
          <w:rFonts w:ascii="Book Antiqua" w:hAnsi="Book Antiqua"/>
          <w:i/>
          <w:sz w:val="18"/>
          <w:szCs w:val="18"/>
        </w:rPr>
        <w:t xml:space="preserve"> Irish Constitution</w:t>
      </w:r>
      <w:r w:rsidRPr="00092ED4">
        <w:rPr>
          <w:rFonts w:ascii="Book Antiqua" w:hAnsi="Book Antiqua"/>
          <w:sz w:val="18"/>
          <w:szCs w:val="18"/>
        </w:rPr>
        <w:t xml:space="preserve"> (n </w:t>
      </w:r>
      <w:r w:rsidRPr="00D05017">
        <w:rPr>
          <w:rFonts w:ascii="Book Antiqua" w:hAnsi="Book Antiqua"/>
          <w:sz w:val="18"/>
          <w:szCs w:val="18"/>
        </w:rPr>
        <w:fldChar w:fldCharType="begin"/>
      </w:r>
      <w:r w:rsidRPr="00092ED4">
        <w:rPr>
          <w:rFonts w:ascii="Book Antiqua" w:hAnsi="Book Antiqua"/>
          <w:sz w:val="18"/>
          <w:szCs w:val="18"/>
        </w:rPr>
        <w:instrText xml:space="preserve"> NOTEREF _Ref37318539 \h  \* MERGEFORMAT </w:instrText>
      </w:r>
      <w:r w:rsidRPr="00D05017">
        <w:rPr>
          <w:rFonts w:ascii="Book Antiqua" w:hAnsi="Book Antiqua"/>
          <w:sz w:val="18"/>
          <w:szCs w:val="18"/>
        </w:rPr>
      </w:r>
      <w:r w:rsidRPr="00D05017">
        <w:rPr>
          <w:rFonts w:ascii="Book Antiqua" w:hAnsi="Book Antiqua"/>
          <w:sz w:val="18"/>
          <w:szCs w:val="18"/>
        </w:rPr>
        <w:fldChar w:fldCharType="separate"/>
      </w:r>
      <w:r w:rsidRPr="00092ED4">
        <w:rPr>
          <w:rFonts w:ascii="Book Antiqua" w:hAnsi="Book Antiqua"/>
          <w:sz w:val="18"/>
          <w:szCs w:val="18"/>
        </w:rPr>
        <w:t>40</w:t>
      </w:r>
      <w:r w:rsidRPr="00D05017">
        <w:rPr>
          <w:rFonts w:ascii="Book Antiqua" w:hAnsi="Book Antiqua"/>
          <w:sz w:val="18"/>
          <w:szCs w:val="18"/>
        </w:rPr>
        <w:fldChar w:fldCharType="end"/>
      </w:r>
      <w:r w:rsidRPr="00675624">
        <w:rPr>
          <w:rFonts w:ascii="Book Antiqua" w:hAnsi="Book Antiqua"/>
          <w:sz w:val="18"/>
          <w:szCs w:val="18"/>
        </w:rPr>
        <w:t>)</w:t>
      </w:r>
      <w:r w:rsidRPr="00092ED4">
        <w:rPr>
          <w:rFonts w:ascii="Book Antiqua" w:hAnsi="Book Antiqua"/>
          <w:sz w:val="18"/>
          <w:szCs w:val="18"/>
        </w:rPr>
        <w:t xml:space="preserve"> xvii.</w:t>
      </w:r>
      <w:r w:rsidRPr="00092ED4">
        <w:rPr>
          <w:rFonts w:ascii="Book Antiqua" w:hAnsi="Book Antiqua"/>
          <w:color w:val="000000" w:themeColor="text1"/>
          <w:sz w:val="18"/>
          <w:szCs w:val="18"/>
        </w:rPr>
        <w:t xml:space="preserve"> </w:t>
      </w:r>
      <w:r w:rsidRPr="00092ED4">
        <w:rPr>
          <w:rFonts w:ascii="Book Antiqua" w:hAnsi="Book Antiqua" w:cs="Calibri"/>
          <w:color w:val="000000" w:themeColor="text1"/>
          <w:sz w:val="18"/>
          <w:szCs w:val="18"/>
        </w:rPr>
        <w:t xml:space="preserve"> </w:t>
      </w:r>
      <w:proofErr w:type="spellStart"/>
      <w:r w:rsidRPr="00092ED4">
        <w:rPr>
          <w:rFonts w:ascii="Book Antiqua" w:eastAsia="Times New Roman" w:hAnsi="Book Antiqua" w:cs="Calibri"/>
          <w:i/>
          <w:color w:val="000000" w:themeColor="text1"/>
          <w:sz w:val="18"/>
          <w:szCs w:val="18"/>
          <w:shd w:val="clear" w:color="auto" w:fill="FFFFFF"/>
        </w:rPr>
        <w:t>Cf</w:t>
      </w:r>
      <w:proofErr w:type="spellEnd"/>
      <w:r w:rsidRPr="00092ED4">
        <w:rPr>
          <w:rFonts w:ascii="Book Antiqua" w:eastAsia="Times New Roman" w:hAnsi="Book Antiqua" w:cs="Calibri"/>
          <w:i/>
          <w:color w:val="000000" w:themeColor="text1"/>
          <w:sz w:val="18"/>
          <w:szCs w:val="18"/>
          <w:shd w:val="clear" w:color="auto" w:fill="FFFFFF"/>
        </w:rPr>
        <w:t xml:space="preserve"> </w:t>
      </w:r>
      <w:r w:rsidRPr="00092ED4">
        <w:rPr>
          <w:rFonts w:ascii="Book Antiqua" w:eastAsia="Times New Roman" w:hAnsi="Book Antiqua" w:cs="Calibri"/>
          <w:color w:val="000000" w:themeColor="text1"/>
          <w:sz w:val="18"/>
          <w:szCs w:val="18"/>
          <w:shd w:val="clear" w:color="auto" w:fill="FFFFFF"/>
        </w:rPr>
        <w:t xml:space="preserve">Edmund </w:t>
      </w:r>
      <w:proofErr w:type="spellStart"/>
      <w:r w:rsidRPr="00092ED4">
        <w:rPr>
          <w:rFonts w:ascii="Book Antiqua" w:eastAsia="Times New Roman" w:hAnsi="Book Antiqua" w:cs="Calibri"/>
          <w:color w:val="000000" w:themeColor="text1"/>
          <w:sz w:val="18"/>
          <w:szCs w:val="18"/>
          <w:shd w:val="clear" w:color="auto" w:fill="FFFFFF"/>
        </w:rPr>
        <w:t>Honohan</w:t>
      </w:r>
      <w:proofErr w:type="spellEnd"/>
      <w:r w:rsidRPr="00092ED4">
        <w:rPr>
          <w:rFonts w:ascii="Book Antiqua" w:eastAsia="Times New Roman" w:hAnsi="Book Antiqua" w:cs="Calibri"/>
          <w:color w:val="000000" w:themeColor="text1"/>
          <w:sz w:val="18"/>
          <w:szCs w:val="18"/>
          <w:shd w:val="clear" w:color="auto" w:fill="FFFFFF"/>
        </w:rPr>
        <w:t>, “</w:t>
      </w:r>
      <w:r w:rsidRPr="00092ED4">
        <w:rPr>
          <w:rFonts w:ascii="Book Antiqua" w:eastAsia="Times New Roman" w:hAnsi="Book Antiqua" w:cs="Calibri"/>
          <w:color w:val="000000" w:themeColor="text1"/>
          <w:sz w:val="18"/>
          <w:szCs w:val="18"/>
        </w:rPr>
        <w:t xml:space="preserve">Open letter to Alan Kelly - 'Don't blame the housing crisis on the Constitution” </w:t>
      </w:r>
      <w:r w:rsidRPr="00092ED4">
        <w:rPr>
          <w:rFonts w:ascii="Book Antiqua" w:eastAsia="Times New Roman" w:hAnsi="Book Antiqua" w:cs="Calibri"/>
          <w:i/>
          <w:color w:val="000000" w:themeColor="text1"/>
          <w:sz w:val="18"/>
          <w:szCs w:val="18"/>
        </w:rPr>
        <w:t xml:space="preserve">Irish Independent </w:t>
      </w:r>
      <w:r w:rsidRPr="00092ED4">
        <w:rPr>
          <w:rFonts w:ascii="Book Antiqua" w:eastAsia="Times New Roman" w:hAnsi="Book Antiqua" w:cs="Calibri"/>
          <w:color w:val="000000" w:themeColor="text1"/>
          <w:sz w:val="18"/>
          <w:szCs w:val="18"/>
        </w:rPr>
        <w:t>(3</w:t>
      </w:r>
      <w:r w:rsidRPr="00092ED4">
        <w:rPr>
          <w:rFonts w:ascii="Book Antiqua" w:eastAsia="Times New Roman" w:hAnsi="Book Antiqua" w:cs="Calibri"/>
          <w:color w:val="000000" w:themeColor="text1"/>
          <w:sz w:val="18"/>
          <w:szCs w:val="18"/>
          <w:vertAlign w:val="superscript"/>
        </w:rPr>
        <w:t>rd</w:t>
      </w:r>
      <w:r w:rsidRPr="00092ED4">
        <w:rPr>
          <w:rFonts w:ascii="Book Antiqua" w:eastAsia="Times New Roman" w:hAnsi="Book Antiqua" w:cs="Calibri"/>
          <w:color w:val="000000" w:themeColor="text1"/>
          <w:sz w:val="18"/>
          <w:szCs w:val="18"/>
        </w:rPr>
        <w:t xml:space="preserve"> April 2016).</w:t>
      </w:r>
    </w:p>
  </w:footnote>
  <w:footnote w:id="84">
    <w:p w14:paraId="39125502" w14:textId="4A0E8523" w:rsidR="00672A14" w:rsidRPr="00092ED4" w:rsidRDefault="00672A14" w:rsidP="00675624">
      <w:pPr>
        <w:pStyle w:val="FootnoteText"/>
        <w:jc w:val="both"/>
        <w:rPr>
          <w:rFonts w:ascii="Book Antiqua" w:hAnsi="Book Antiqua" w:cs="Calibri"/>
          <w:color w:val="000000" w:themeColor="text1"/>
          <w:sz w:val="18"/>
          <w:szCs w:val="18"/>
        </w:rPr>
      </w:pPr>
      <w:r w:rsidRPr="00675624">
        <w:rPr>
          <w:rStyle w:val="FootnoteReference"/>
          <w:rFonts w:ascii="Book Antiqua" w:hAnsi="Book Antiqua" w:cs="Calibri"/>
          <w:color w:val="000000" w:themeColor="text1"/>
          <w:sz w:val="18"/>
          <w:szCs w:val="18"/>
        </w:rPr>
        <w:footnoteRef/>
      </w:r>
      <w:r w:rsidRPr="00675624">
        <w:rPr>
          <w:rFonts w:ascii="Book Antiqua" w:hAnsi="Book Antiqua" w:cs="Calibri"/>
          <w:color w:val="000000" w:themeColor="text1"/>
          <w:sz w:val="18"/>
          <w:szCs w:val="18"/>
        </w:rPr>
        <w:t xml:space="preserve"> </w:t>
      </w:r>
      <w:r w:rsidRPr="00092ED4">
        <w:rPr>
          <w:rFonts w:ascii="Book Antiqua" w:hAnsi="Book Antiqua" w:cs="Calibri"/>
          <w:i/>
          <w:iCs/>
          <w:color w:val="000000" w:themeColor="text1"/>
          <w:sz w:val="18"/>
          <w:szCs w:val="18"/>
        </w:rPr>
        <w:t xml:space="preserve">See </w:t>
      </w:r>
      <w:r w:rsidRPr="00092ED4">
        <w:rPr>
          <w:rFonts w:ascii="Book Antiqua" w:hAnsi="Book Antiqua"/>
          <w:sz w:val="18"/>
          <w:szCs w:val="18"/>
        </w:rPr>
        <w:t xml:space="preserve">Gerard Hogan, “Ireland: The Constitution of Ireland and EU Law: The Complex Constitutional Debates of a Small Country” in A. Albi and S. </w:t>
      </w:r>
      <w:proofErr w:type="spellStart"/>
      <w:r w:rsidRPr="00092ED4">
        <w:rPr>
          <w:rFonts w:ascii="Book Antiqua" w:hAnsi="Book Antiqua"/>
          <w:sz w:val="18"/>
          <w:szCs w:val="18"/>
        </w:rPr>
        <w:t>Bardutzky</w:t>
      </w:r>
      <w:proofErr w:type="spellEnd"/>
      <w:r w:rsidRPr="00092ED4">
        <w:rPr>
          <w:rFonts w:ascii="Book Antiqua" w:hAnsi="Book Antiqua"/>
          <w:sz w:val="18"/>
          <w:szCs w:val="18"/>
        </w:rPr>
        <w:t xml:space="preserve"> (eds.), </w:t>
      </w:r>
      <w:r w:rsidRPr="00092ED4">
        <w:rPr>
          <w:rFonts w:ascii="Book Antiqua" w:hAnsi="Book Antiqua"/>
          <w:i/>
          <w:iCs/>
          <w:sz w:val="18"/>
          <w:szCs w:val="18"/>
        </w:rPr>
        <w:t>National Constitutions in European and Global Governance: Democracy, Rights, the Rule of Law</w:t>
      </w:r>
      <w:r w:rsidRPr="00092ED4">
        <w:rPr>
          <w:rFonts w:ascii="Book Antiqua" w:hAnsi="Book Antiqua"/>
          <w:sz w:val="18"/>
          <w:szCs w:val="18"/>
        </w:rPr>
        <w:t xml:space="preserve"> (2019) 1360.</w:t>
      </w:r>
    </w:p>
  </w:footnote>
  <w:footnote w:id="85">
    <w:p w14:paraId="0F53FBF4" w14:textId="2A1665F6" w:rsidR="00672A14" w:rsidRPr="00092ED4" w:rsidRDefault="00672A14">
      <w:pPr>
        <w:pStyle w:val="FootnoteText"/>
        <w:jc w:val="both"/>
        <w:rPr>
          <w:rFonts w:ascii="Book Antiqua" w:hAnsi="Book Antiqua" w:cs="Calibri"/>
          <w:sz w:val="18"/>
          <w:szCs w:val="18"/>
        </w:rPr>
      </w:pPr>
      <w:r w:rsidRPr="00675624">
        <w:rPr>
          <w:rStyle w:val="FootnoteReference"/>
          <w:rFonts w:ascii="Book Antiqua" w:hAnsi="Book Antiqua" w:cs="Calibri"/>
          <w:color w:val="000000" w:themeColor="text1"/>
          <w:sz w:val="18"/>
          <w:szCs w:val="18"/>
        </w:rPr>
        <w:footnoteRef/>
      </w:r>
      <w:r w:rsidRPr="00675624">
        <w:rPr>
          <w:rFonts w:ascii="Book Antiqua" w:hAnsi="Book Antiqua" w:cs="Calibri"/>
          <w:color w:val="000000" w:themeColor="text1"/>
          <w:sz w:val="18"/>
          <w:szCs w:val="18"/>
        </w:rPr>
        <w:t xml:space="preserve"> </w:t>
      </w:r>
      <w:r w:rsidRPr="00092ED4">
        <w:rPr>
          <w:rFonts w:ascii="Book Antiqua" w:hAnsi="Book Antiqua" w:cs="Calibri"/>
          <w:color w:val="000000" w:themeColor="text1"/>
          <w:sz w:val="18"/>
          <w:szCs w:val="18"/>
        </w:rPr>
        <w:t xml:space="preserve">David Kenny and Conor Casey, “Shadow Constitutional Review” (n </w:t>
      </w:r>
      <w:r w:rsidRPr="00D05017">
        <w:rPr>
          <w:rFonts w:ascii="Book Antiqua" w:hAnsi="Book Antiqua" w:cs="Calibri"/>
          <w:color w:val="000000" w:themeColor="text1"/>
          <w:sz w:val="18"/>
          <w:szCs w:val="18"/>
        </w:rPr>
        <w:fldChar w:fldCharType="begin"/>
      </w:r>
      <w:r w:rsidRPr="00092ED4">
        <w:rPr>
          <w:rFonts w:ascii="Book Antiqua" w:hAnsi="Book Antiqua" w:cs="Calibri"/>
          <w:color w:val="000000" w:themeColor="text1"/>
          <w:sz w:val="18"/>
          <w:szCs w:val="18"/>
        </w:rPr>
        <w:instrText xml:space="preserve"> NOTEREF _Ref37318849 \h  \* MERGEFORMAT </w:instrText>
      </w:r>
      <w:r w:rsidRPr="00D05017">
        <w:rPr>
          <w:rFonts w:ascii="Book Antiqua" w:hAnsi="Book Antiqua" w:cs="Calibri"/>
          <w:color w:val="000000" w:themeColor="text1"/>
          <w:sz w:val="18"/>
          <w:szCs w:val="18"/>
        </w:rPr>
      </w:r>
      <w:r w:rsidRPr="00D05017">
        <w:rPr>
          <w:rFonts w:ascii="Book Antiqua" w:hAnsi="Book Antiqua" w:cs="Calibri"/>
          <w:color w:val="000000" w:themeColor="text1"/>
          <w:sz w:val="18"/>
          <w:szCs w:val="18"/>
        </w:rPr>
        <w:fldChar w:fldCharType="separate"/>
      </w:r>
      <w:r w:rsidRPr="00092ED4">
        <w:rPr>
          <w:rFonts w:ascii="Book Antiqua" w:hAnsi="Book Antiqua" w:cs="Calibri"/>
          <w:color w:val="000000" w:themeColor="text1"/>
          <w:sz w:val="18"/>
          <w:szCs w:val="18"/>
        </w:rPr>
        <w:t>84</w:t>
      </w:r>
      <w:r w:rsidRPr="00D05017">
        <w:rPr>
          <w:rFonts w:ascii="Book Antiqua" w:hAnsi="Book Antiqua" w:cs="Calibri"/>
          <w:color w:val="000000" w:themeColor="text1"/>
          <w:sz w:val="18"/>
          <w:szCs w:val="18"/>
        </w:rPr>
        <w:fldChar w:fldCharType="end"/>
      </w:r>
      <w:r w:rsidRPr="00675624">
        <w:rPr>
          <w:rFonts w:ascii="Book Antiqua" w:hAnsi="Book Antiqua" w:cs="Calibri"/>
          <w:color w:val="000000" w:themeColor="text1"/>
          <w:sz w:val="18"/>
          <w:szCs w:val="18"/>
        </w:rPr>
        <w:t>);</w:t>
      </w:r>
      <w:r w:rsidRPr="00092ED4">
        <w:rPr>
          <w:rFonts w:ascii="Book Antiqua" w:hAnsi="Book Antiqua" w:cs="Calibri"/>
          <w:color w:val="000000" w:themeColor="text1"/>
          <w:sz w:val="18"/>
          <w:szCs w:val="18"/>
        </w:rPr>
        <w:t xml:space="preserve"> David Kenny and Conor Casey, “A One Person Supreme Court?” (n </w:t>
      </w:r>
      <w:r w:rsidRPr="00D05017">
        <w:rPr>
          <w:rFonts w:ascii="Book Antiqua" w:hAnsi="Book Antiqua" w:cs="Calibri"/>
          <w:color w:val="000000" w:themeColor="text1"/>
          <w:sz w:val="18"/>
          <w:szCs w:val="18"/>
        </w:rPr>
        <w:fldChar w:fldCharType="begin"/>
      </w:r>
      <w:r w:rsidRPr="00092ED4">
        <w:rPr>
          <w:rFonts w:ascii="Book Antiqua" w:hAnsi="Book Antiqua" w:cs="Calibri"/>
          <w:color w:val="000000" w:themeColor="text1"/>
          <w:sz w:val="18"/>
          <w:szCs w:val="18"/>
        </w:rPr>
        <w:instrText xml:space="preserve"> NOTEREF _Ref37318726 \h  \* MERGEFORMAT </w:instrText>
      </w:r>
      <w:r w:rsidRPr="00D05017">
        <w:rPr>
          <w:rFonts w:ascii="Book Antiqua" w:hAnsi="Book Antiqua" w:cs="Calibri"/>
          <w:color w:val="000000" w:themeColor="text1"/>
          <w:sz w:val="18"/>
          <w:szCs w:val="18"/>
        </w:rPr>
      </w:r>
      <w:r w:rsidRPr="00D05017">
        <w:rPr>
          <w:rFonts w:ascii="Book Antiqua" w:hAnsi="Book Antiqua" w:cs="Calibri"/>
          <w:color w:val="000000" w:themeColor="text1"/>
          <w:sz w:val="18"/>
          <w:szCs w:val="18"/>
        </w:rPr>
        <w:fldChar w:fldCharType="separate"/>
      </w:r>
      <w:r w:rsidRPr="00092ED4">
        <w:rPr>
          <w:rFonts w:ascii="Book Antiqua" w:hAnsi="Book Antiqua" w:cs="Calibri"/>
          <w:color w:val="000000" w:themeColor="text1"/>
          <w:sz w:val="18"/>
          <w:szCs w:val="18"/>
        </w:rPr>
        <w:t>81</w:t>
      </w:r>
      <w:r w:rsidRPr="00D05017">
        <w:rPr>
          <w:rFonts w:ascii="Book Antiqua" w:hAnsi="Book Antiqua" w:cs="Calibri"/>
          <w:color w:val="000000" w:themeColor="text1"/>
          <w:sz w:val="18"/>
          <w:szCs w:val="18"/>
        </w:rPr>
        <w:fldChar w:fldCharType="end"/>
      </w:r>
      <w:r w:rsidRPr="00675624">
        <w:rPr>
          <w:rFonts w:ascii="Book Antiqua" w:hAnsi="Book Antiqua" w:cs="Calibri"/>
          <w:color w:val="000000" w:themeColor="text1"/>
          <w:sz w:val="18"/>
          <w:szCs w:val="18"/>
        </w:rPr>
        <w:t>)</w:t>
      </w:r>
      <w:r w:rsidRPr="00092ED4">
        <w:rPr>
          <w:rFonts w:ascii="Book Antiqua" w:hAnsi="Book Antiqua" w:cs="Calibri"/>
          <w:color w:val="000000" w:themeColor="text1"/>
          <w:sz w:val="18"/>
          <w:szCs w:val="18"/>
        </w:rPr>
        <w:t>.</w:t>
      </w:r>
    </w:p>
  </w:footnote>
  <w:footnote w:id="86">
    <w:p w14:paraId="09B98495" w14:textId="385252DA" w:rsidR="00672A14" w:rsidRPr="00092ED4" w:rsidRDefault="00672A14" w:rsidP="00D723D1">
      <w:pPr>
        <w:pStyle w:val="Heading1"/>
        <w:shd w:val="clear" w:color="auto" w:fill="FFFFFF"/>
        <w:spacing w:before="0"/>
        <w:jc w:val="both"/>
        <w:textAlignment w:val="baseline"/>
        <w:rPr>
          <w:rFonts w:ascii="Book Antiqua" w:eastAsia="Times New Roman" w:hAnsi="Book Antiqua" w:cs="Times New Roman"/>
          <w:color w:val="000000" w:themeColor="text1"/>
          <w:kern w:val="36"/>
          <w:sz w:val="18"/>
          <w:szCs w:val="18"/>
          <w:lang w:val="en-GB" w:eastAsia="en-GB"/>
        </w:rPr>
      </w:pPr>
      <w:r w:rsidRPr="00675624">
        <w:rPr>
          <w:rStyle w:val="FootnoteReference"/>
          <w:rFonts w:ascii="Book Antiqua" w:hAnsi="Book Antiqua"/>
          <w:color w:val="000000" w:themeColor="text1"/>
          <w:sz w:val="18"/>
          <w:szCs w:val="18"/>
        </w:rPr>
        <w:footnoteRef/>
      </w:r>
      <w:r w:rsidRPr="00675624">
        <w:rPr>
          <w:rFonts w:ascii="Book Antiqua" w:hAnsi="Book Antiqua"/>
          <w:color w:val="000000" w:themeColor="text1"/>
          <w:sz w:val="18"/>
          <w:szCs w:val="18"/>
        </w:rPr>
        <w:t xml:space="preserve"> </w:t>
      </w:r>
      <w:r w:rsidRPr="00092ED4">
        <w:rPr>
          <w:rFonts w:ascii="Book Antiqua" w:hAnsi="Book Antiqua"/>
          <w:color w:val="000000" w:themeColor="text1"/>
          <w:sz w:val="18"/>
          <w:szCs w:val="18"/>
        </w:rPr>
        <w:t xml:space="preserve">Finna </w:t>
      </w:r>
      <w:proofErr w:type="spellStart"/>
      <w:r w:rsidRPr="00092ED4">
        <w:rPr>
          <w:rFonts w:ascii="Book Antiqua" w:hAnsi="Book Antiqua"/>
          <w:color w:val="000000" w:themeColor="text1"/>
          <w:sz w:val="18"/>
          <w:szCs w:val="18"/>
        </w:rPr>
        <w:t>Fáil</w:t>
      </w:r>
      <w:proofErr w:type="spellEnd"/>
      <w:r w:rsidRPr="00092ED4">
        <w:rPr>
          <w:rFonts w:ascii="Book Antiqua" w:hAnsi="Book Antiqua"/>
          <w:color w:val="000000" w:themeColor="text1"/>
          <w:sz w:val="18"/>
          <w:szCs w:val="18"/>
        </w:rPr>
        <w:t xml:space="preserve"> would later go on to support a rent freeze policy, before distancing itself yet again based on constitutional concerns raised in legal advice provided by a barrister who unsuccessfully stood for the party in the 2014 local elections. Christina Finn, “</w:t>
      </w:r>
      <w:r w:rsidRPr="00092ED4">
        <w:rPr>
          <w:rFonts w:ascii="Book Antiqua" w:eastAsia="Times New Roman" w:hAnsi="Book Antiqua" w:cs="Times New Roman"/>
          <w:color w:val="000000" w:themeColor="text1"/>
          <w:kern w:val="36"/>
          <w:sz w:val="18"/>
          <w:szCs w:val="18"/>
          <w:lang w:val="en-GB" w:eastAsia="en-GB"/>
        </w:rPr>
        <w:t xml:space="preserve">No rent freeze under FF government as party states it would be unconstitutional” </w:t>
      </w:r>
      <w:r w:rsidRPr="00092ED4">
        <w:rPr>
          <w:rFonts w:ascii="Book Antiqua" w:eastAsia="Times New Roman" w:hAnsi="Book Antiqua" w:cs="Times New Roman"/>
          <w:i/>
          <w:iCs/>
          <w:color w:val="000000" w:themeColor="text1"/>
          <w:kern w:val="36"/>
          <w:sz w:val="18"/>
          <w:szCs w:val="18"/>
          <w:lang w:val="en-GB" w:eastAsia="en-GB"/>
        </w:rPr>
        <w:t xml:space="preserve">Journal.ie </w:t>
      </w:r>
      <w:r w:rsidRPr="00092ED4">
        <w:rPr>
          <w:rFonts w:ascii="Book Antiqua" w:eastAsia="Times New Roman" w:hAnsi="Book Antiqua" w:cs="Times New Roman"/>
          <w:color w:val="000000" w:themeColor="text1"/>
          <w:kern w:val="36"/>
          <w:sz w:val="18"/>
          <w:szCs w:val="18"/>
          <w:lang w:val="en-GB" w:eastAsia="en-GB"/>
        </w:rPr>
        <w:t>(21</w:t>
      </w:r>
      <w:r w:rsidRPr="00D723D1">
        <w:rPr>
          <w:rFonts w:ascii="Book Antiqua" w:eastAsia="Times New Roman" w:hAnsi="Book Antiqua" w:cs="Times New Roman"/>
          <w:color w:val="000000" w:themeColor="text1"/>
          <w:kern w:val="36"/>
          <w:sz w:val="18"/>
          <w:szCs w:val="18"/>
          <w:vertAlign w:val="superscript"/>
          <w:lang w:val="en-GB" w:eastAsia="en-GB"/>
        </w:rPr>
        <w:t>st</w:t>
      </w:r>
      <w:r w:rsidRPr="00675624">
        <w:rPr>
          <w:rFonts w:ascii="Book Antiqua" w:eastAsia="Times New Roman" w:hAnsi="Book Antiqua" w:cs="Times New Roman"/>
          <w:color w:val="000000" w:themeColor="text1"/>
          <w:kern w:val="36"/>
          <w:sz w:val="18"/>
          <w:szCs w:val="18"/>
          <w:lang w:val="en-GB" w:eastAsia="en-GB"/>
        </w:rPr>
        <w:t xml:space="preserve"> </w:t>
      </w:r>
      <w:proofErr w:type="gramStart"/>
      <w:r w:rsidRPr="00675624">
        <w:rPr>
          <w:rFonts w:ascii="Book Antiqua" w:eastAsia="Times New Roman" w:hAnsi="Book Antiqua" w:cs="Times New Roman"/>
          <w:color w:val="000000" w:themeColor="text1"/>
          <w:kern w:val="36"/>
          <w:sz w:val="18"/>
          <w:szCs w:val="18"/>
          <w:lang w:val="en-GB" w:eastAsia="en-GB"/>
        </w:rPr>
        <w:t>January</w:t>
      </w:r>
      <w:r w:rsidRPr="00092ED4">
        <w:rPr>
          <w:rFonts w:ascii="Book Antiqua" w:eastAsia="Times New Roman" w:hAnsi="Book Antiqua" w:cs="Times New Roman"/>
          <w:color w:val="000000" w:themeColor="text1"/>
          <w:kern w:val="36"/>
          <w:sz w:val="18"/>
          <w:szCs w:val="18"/>
          <w:lang w:val="en-GB" w:eastAsia="en-GB"/>
        </w:rPr>
        <w:t>,</w:t>
      </w:r>
      <w:proofErr w:type="gramEnd"/>
      <w:r w:rsidRPr="00092ED4">
        <w:rPr>
          <w:rFonts w:ascii="Book Antiqua" w:eastAsia="Times New Roman" w:hAnsi="Book Antiqua" w:cs="Times New Roman"/>
          <w:color w:val="000000" w:themeColor="text1"/>
          <w:kern w:val="36"/>
          <w:sz w:val="18"/>
          <w:szCs w:val="18"/>
          <w:lang w:val="en-GB" w:eastAsia="en-GB"/>
        </w:rPr>
        <w:t xml:space="preserve"> 2020).</w:t>
      </w:r>
    </w:p>
  </w:footnote>
  <w:footnote w:id="87">
    <w:p w14:paraId="78B0FF43" w14:textId="49414FC9" w:rsidR="00672A14" w:rsidRPr="00D723D1" w:rsidRDefault="00672A14" w:rsidP="00D723D1">
      <w:pPr>
        <w:autoSpaceDE w:val="0"/>
        <w:autoSpaceDN w:val="0"/>
        <w:adjustRightInd w:val="0"/>
        <w:jc w:val="both"/>
        <w:rPr>
          <w:rFonts w:ascii="Book Antiqua" w:hAnsi="Book Antiqua"/>
          <w:sz w:val="18"/>
          <w:szCs w:val="18"/>
        </w:rPr>
      </w:pPr>
      <w:r w:rsidRPr="00D05017">
        <w:rPr>
          <w:rStyle w:val="FootnoteReference"/>
          <w:rFonts w:ascii="Book Antiqua" w:hAnsi="Book Antiqua"/>
          <w:color w:val="000000" w:themeColor="text1"/>
          <w:sz w:val="18"/>
          <w:szCs w:val="18"/>
        </w:rPr>
        <w:footnoteRef/>
      </w:r>
      <w:r w:rsidRPr="00D05017">
        <w:rPr>
          <w:rFonts w:ascii="Book Antiqua" w:hAnsi="Book Antiqua"/>
          <w:color w:val="000000" w:themeColor="text1"/>
          <w:sz w:val="18"/>
          <w:szCs w:val="18"/>
        </w:rPr>
        <w:t xml:space="preserve"> </w:t>
      </w:r>
      <w:r w:rsidRPr="00D723D1">
        <w:rPr>
          <w:rFonts w:ascii="Book Antiqua" w:hAnsi="Book Antiqua" w:cs="Calibri"/>
          <w:color w:val="000000" w:themeColor="text1"/>
          <w:sz w:val="18"/>
          <w:szCs w:val="18"/>
          <w:lang w:val="en-IE"/>
        </w:rPr>
        <w:t xml:space="preserve">David Kenny and Conor Casey, “Shadow Constitutional Review” (n </w:t>
      </w:r>
      <w:r w:rsidRPr="00D723D1">
        <w:rPr>
          <w:rFonts w:ascii="Book Antiqua" w:hAnsi="Book Antiqua" w:cs="Calibri"/>
          <w:color w:val="000000" w:themeColor="text1"/>
          <w:sz w:val="18"/>
          <w:szCs w:val="18"/>
          <w:lang w:val="en-IE"/>
        </w:rPr>
        <w:fldChar w:fldCharType="begin"/>
      </w:r>
      <w:r w:rsidRPr="00D723D1">
        <w:rPr>
          <w:rFonts w:ascii="Book Antiqua" w:hAnsi="Book Antiqua" w:cs="Calibri"/>
          <w:color w:val="000000" w:themeColor="text1"/>
          <w:sz w:val="18"/>
          <w:szCs w:val="18"/>
          <w:lang w:val="en-IE"/>
        </w:rPr>
        <w:instrText xml:space="preserve"> NOTEREF _Ref37318849 \h  \* MERGEFORMAT </w:instrText>
      </w:r>
      <w:r w:rsidRPr="00D723D1">
        <w:rPr>
          <w:rFonts w:ascii="Book Antiqua" w:hAnsi="Book Antiqua" w:cs="Calibri"/>
          <w:color w:val="000000" w:themeColor="text1"/>
          <w:sz w:val="18"/>
          <w:szCs w:val="18"/>
          <w:lang w:val="en-IE"/>
        </w:rPr>
      </w:r>
      <w:r w:rsidRPr="00D723D1">
        <w:rPr>
          <w:rFonts w:ascii="Book Antiqua" w:hAnsi="Book Antiqua" w:cs="Calibri"/>
          <w:color w:val="000000" w:themeColor="text1"/>
          <w:sz w:val="18"/>
          <w:szCs w:val="18"/>
          <w:lang w:val="en-IE"/>
        </w:rPr>
        <w:fldChar w:fldCharType="separate"/>
      </w:r>
      <w:r w:rsidRPr="00D723D1">
        <w:rPr>
          <w:rFonts w:ascii="Book Antiqua" w:hAnsi="Book Antiqua" w:cs="Calibri"/>
          <w:color w:val="000000" w:themeColor="text1"/>
          <w:sz w:val="18"/>
          <w:szCs w:val="18"/>
          <w:lang w:val="en-IE"/>
        </w:rPr>
        <w:t>84</w:t>
      </w:r>
      <w:r w:rsidRPr="00D723D1">
        <w:rPr>
          <w:rFonts w:ascii="Book Antiqua" w:hAnsi="Book Antiqua" w:cs="Calibri"/>
          <w:color w:val="000000" w:themeColor="text1"/>
          <w:sz w:val="18"/>
          <w:szCs w:val="18"/>
          <w:lang w:val="en-IE"/>
        </w:rPr>
        <w:fldChar w:fldCharType="end"/>
      </w:r>
      <w:r w:rsidRPr="00D723D1">
        <w:rPr>
          <w:rFonts w:ascii="Book Antiqua" w:hAnsi="Book Antiqua" w:cs="Calibri"/>
          <w:color w:val="000000" w:themeColor="text1"/>
          <w:sz w:val="18"/>
          <w:szCs w:val="18"/>
          <w:lang w:val="en-IE"/>
        </w:rPr>
        <w:t xml:space="preserve">); David Kenny and Conor Casey, “A One Person Supreme Court?” </w:t>
      </w:r>
      <w:r w:rsidRPr="00675624">
        <w:rPr>
          <w:rFonts w:ascii="Book Antiqua" w:hAnsi="Book Antiqua" w:cs="Calibri"/>
          <w:color w:val="000000" w:themeColor="text1"/>
          <w:sz w:val="18"/>
          <w:szCs w:val="18"/>
        </w:rPr>
        <w:t xml:space="preserve">(n </w:t>
      </w:r>
      <w:r w:rsidRPr="00D723D1">
        <w:rPr>
          <w:rFonts w:ascii="Book Antiqua" w:hAnsi="Book Antiqua" w:cs="Calibri"/>
          <w:color w:val="000000" w:themeColor="text1"/>
          <w:sz w:val="18"/>
          <w:szCs w:val="18"/>
        </w:rPr>
        <w:fldChar w:fldCharType="begin"/>
      </w:r>
      <w:r w:rsidRPr="00D723D1">
        <w:rPr>
          <w:rFonts w:ascii="Book Antiqua" w:hAnsi="Book Antiqua" w:cs="Calibri"/>
          <w:color w:val="000000" w:themeColor="text1"/>
          <w:sz w:val="18"/>
          <w:szCs w:val="18"/>
        </w:rPr>
        <w:instrText xml:space="preserve"> NOTEREF _Ref37318726 \h  \* MERGEFORMAT </w:instrText>
      </w:r>
      <w:r w:rsidRPr="00D723D1">
        <w:rPr>
          <w:rFonts w:ascii="Book Antiqua" w:hAnsi="Book Antiqua" w:cs="Calibri"/>
          <w:color w:val="000000" w:themeColor="text1"/>
          <w:sz w:val="18"/>
          <w:szCs w:val="18"/>
        </w:rPr>
      </w:r>
      <w:r w:rsidRPr="00D723D1">
        <w:rPr>
          <w:rFonts w:ascii="Book Antiqua" w:hAnsi="Book Antiqua" w:cs="Calibri"/>
          <w:color w:val="000000" w:themeColor="text1"/>
          <w:sz w:val="18"/>
          <w:szCs w:val="18"/>
        </w:rPr>
        <w:fldChar w:fldCharType="separate"/>
      </w:r>
      <w:r w:rsidRPr="00D723D1">
        <w:rPr>
          <w:rFonts w:ascii="Book Antiqua" w:hAnsi="Book Antiqua" w:cs="Calibri"/>
          <w:color w:val="000000" w:themeColor="text1"/>
          <w:sz w:val="18"/>
          <w:szCs w:val="18"/>
        </w:rPr>
        <w:t>81</w:t>
      </w:r>
      <w:r w:rsidRPr="00D723D1">
        <w:rPr>
          <w:rFonts w:ascii="Book Antiqua" w:hAnsi="Book Antiqua" w:cs="Calibri"/>
          <w:color w:val="000000" w:themeColor="text1"/>
          <w:sz w:val="18"/>
          <w:szCs w:val="18"/>
        </w:rPr>
        <w:fldChar w:fldCharType="end"/>
      </w:r>
      <w:r w:rsidRPr="00D723D1">
        <w:rPr>
          <w:rFonts w:ascii="Book Antiqua" w:hAnsi="Book Antiqua" w:cs="Calibri"/>
          <w:color w:val="000000" w:themeColor="text1"/>
          <w:sz w:val="18"/>
          <w:szCs w:val="18"/>
        </w:rPr>
        <w:t xml:space="preserve">); </w:t>
      </w:r>
      <w:r w:rsidRPr="00D723D1">
        <w:rPr>
          <w:rFonts w:ascii="Book Antiqua" w:eastAsiaTheme="minorHAnsi" w:hAnsi="Book Antiqua"/>
          <w:sz w:val="18"/>
          <w:szCs w:val="18"/>
          <w:lang w:eastAsia="en-US"/>
        </w:rPr>
        <w:t>Eoin Daly, “Reappraising judicial supremacy in the Irish constitutional tradition” in Hickey, Cahillane and Gallen (eds.), Judges, Politics and the Irish Constitution (Manchester University Press, 2017).</w:t>
      </w:r>
    </w:p>
  </w:footnote>
  <w:footnote w:id="88">
    <w:p w14:paraId="77EB80D0" w14:textId="699E9CA5" w:rsidR="00672A14" w:rsidRPr="00092ED4" w:rsidRDefault="00672A14" w:rsidP="00675624">
      <w:pPr>
        <w:pStyle w:val="FootnoteText"/>
        <w:jc w:val="both"/>
        <w:rPr>
          <w:rFonts w:ascii="Book Antiqua" w:hAnsi="Book Antiqua"/>
          <w:color w:val="000000" w:themeColor="text1"/>
          <w:sz w:val="18"/>
          <w:szCs w:val="18"/>
          <w:lang w:val="en-GB"/>
        </w:rPr>
      </w:pPr>
      <w:r w:rsidRPr="00675624">
        <w:rPr>
          <w:rStyle w:val="FootnoteReference"/>
          <w:rFonts w:ascii="Book Antiqua" w:hAnsi="Book Antiqua"/>
          <w:color w:val="000000" w:themeColor="text1"/>
          <w:sz w:val="18"/>
          <w:szCs w:val="18"/>
        </w:rPr>
        <w:footnoteRef/>
      </w:r>
      <w:r w:rsidRPr="00675624">
        <w:rPr>
          <w:rFonts w:ascii="Book Antiqua" w:hAnsi="Book Antiqua"/>
          <w:color w:val="000000" w:themeColor="text1"/>
          <w:sz w:val="18"/>
          <w:szCs w:val="18"/>
        </w:rPr>
        <w:t xml:space="preserve"> </w:t>
      </w:r>
      <w:r w:rsidRPr="00092ED4">
        <w:rPr>
          <w:rFonts w:ascii="Book Antiqua" w:hAnsi="Book Antiqua"/>
          <w:color w:val="000000" w:themeColor="text1"/>
          <w:sz w:val="18"/>
          <w:szCs w:val="18"/>
          <w:lang w:val="en-GB"/>
        </w:rPr>
        <w:t>ibid.</w:t>
      </w:r>
    </w:p>
  </w:footnote>
  <w:footnote w:id="89">
    <w:p w14:paraId="57B16986" w14:textId="355ADDBD" w:rsidR="00672A14" w:rsidRPr="00092ED4" w:rsidRDefault="00672A14" w:rsidP="00675624">
      <w:pPr>
        <w:pStyle w:val="FootnoteText"/>
        <w:jc w:val="both"/>
        <w:rPr>
          <w:rFonts w:ascii="Book Antiqua" w:hAnsi="Book Antiqua"/>
          <w:color w:val="000000" w:themeColor="text1"/>
          <w:sz w:val="18"/>
          <w:szCs w:val="18"/>
        </w:rPr>
      </w:pPr>
      <w:r w:rsidRPr="00675624">
        <w:rPr>
          <w:rStyle w:val="FootnoteReference"/>
          <w:rFonts w:ascii="Book Antiqua" w:hAnsi="Book Antiqua"/>
          <w:color w:val="000000" w:themeColor="text1"/>
          <w:sz w:val="18"/>
          <w:szCs w:val="18"/>
        </w:rPr>
        <w:footnoteRef/>
      </w:r>
      <w:r w:rsidRPr="00675624">
        <w:rPr>
          <w:rFonts w:ascii="Book Antiqua" w:hAnsi="Book Antiqua"/>
          <w:color w:val="000000" w:themeColor="text1"/>
          <w:sz w:val="18"/>
          <w:szCs w:val="18"/>
        </w:rPr>
        <w:t xml:space="preserve"> Jack Goldsmith, </w:t>
      </w:r>
      <w:r w:rsidRPr="00092ED4">
        <w:rPr>
          <w:rFonts w:ascii="Book Antiqua" w:hAnsi="Book Antiqua"/>
          <w:color w:val="000000" w:themeColor="text1"/>
          <w:sz w:val="18"/>
          <w:szCs w:val="18"/>
        </w:rPr>
        <w:t xml:space="preserve">“The Irrelevance of Prerogative Power, and the Evils of Secret Legal Interpretation” in Clement </w:t>
      </w:r>
      <w:proofErr w:type="spellStart"/>
      <w:r w:rsidRPr="00092ED4">
        <w:rPr>
          <w:rFonts w:ascii="Book Antiqua" w:hAnsi="Book Antiqua"/>
          <w:color w:val="000000" w:themeColor="text1"/>
          <w:sz w:val="18"/>
          <w:szCs w:val="18"/>
        </w:rPr>
        <w:t>Fatovic</w:t>
      </w:r>
      <w:proofErr w:type="spellEnd"/>
      <w:r w:rsidRPr="00092ED4">
        <w:rPr>
          <w:rFonts w:ascii="Book Antiqua" w:hAnsi="Book Antiqua"/>
          <w:color w:val="000000" w:themeColor="text1"/>
          <w:sz w:val="18"/>
          <w:szCs w:val="18"/>
        </w:rPr>
        <w:t xml:space="preserve"> and Benjamin A. Kleinerman (eds.), </w:t>
      </w:r>
      <w:r w:rsidRPr="00092ED4">
        <w:rPr>
          <w:rFonts w:ascii="Book Antiqua" w:hAnsi="Book Antiqua"/>
          <w:i/>
          <w:iCs/>
          <w:color w:val="000000" w:themeColor="text1"/>
          <w:sz w:val="18"/>
          <w:szCs w:val="18"/>
        </w:rPr>
        <w:t xml:space="preserve">Extra-Legal Power and Legitimacy: Perspectives on Prerogative </w:t>
      </w:r>
      <w:r w:rsidRPr="00092ED4">
        <w:rPr>
          <w:rFonts w:ascii="Book Antiqua" w:hAnsi="Book Antiqua"/>
          <w:color w:val="000000" w:themeColor="text1"/>
          <w:sz w:val="18"/>
          <w:szCs w:val="18"/>
        </w:rPr>
        <w:t xml:space="preserve">(Oxford University Press, 2013) 228. </w:t>
      </w:r>
    </w:p>
  </w:footnote>
  <w:footnote w:id="90">
    <w:p w14:paraId="59A997CC" w14:textId="77777777" w:rsidR="00672A14" w:rsidRPr="00092ED4" w:rsidRDefault="00672A14">
      <w:pPr>
        <w:pStyle w:val="FootnoteText"/>
        <w:jc w:val="both"/>
        <w:rPr>
          <w:rFonts w:ascii="Book Antiqua" w:hAnsi="Book Antiqua" w:cs="Calibri"/>
          <w:color w:val="000000" w:themeColor="text1"/>
          <w:sz w:val="18"/>
          <w:szCs w:val="18"/>
        </w:rPr>
      </w:pPr>
      <w:r w:rsidRPr="00675624">
        <w:rPr>
          <w:rStyle w:val="FootnoteReference"/>
          <w:rFonts w:ascii="Book Antiqua" w:hAnsi="Book Antiqua" w:cs="Calibri"/>
          <w:color w:val="000000" w:themeColor="text1"/>
          <w:sz w:val="18"/>
          <w:szCs w:val="18"/>
        </w:rPr>
        <w:footnoteRef/>
      </w:r>
      <w:r w:rsidRPr="00675624">
        <w:rPr>
          <w:rFonts w:ascii="Book Antiqua" w:hAnsi="Book Antiqua" w:cs="Calibri"/>
          <w:color w:val="000000" w:themeColor="text1"/>
          <w:sz w:val="18"/>
          <w:szCs w:val="18"/>
        </w:rPr>
        <w:t xml:space="preserve"> Dáil deb 4 December 2019 vol 990 no 5.</w:t>
      </w:r>
    </w:p>
  </w:footnote>
  <w:footnote w:id="91">
    <w:p w14:paraId="0156E9D2" w14:textId="6DEA718A" w:rsidR="00672A14" w:rsidRPr="00D723D1" w:rsidRDefault="00672A14" w:rsidP="00D723D1">
      <w:pPr>
        <w:pStyle w:val="FootnoteText"/>
        <w:jc w:val="both"/>
        <w:rPr>
          <w:rFonts w:ascii="Book Antiqua" w:hAnsi="Book Antiqua"/>
          <w:sz w:val="18"/>
          <w:szCs w:val="18"/>
          <w:lang w:val="en-GB"/>
        </w:rPr>
      </w:pPr>
      <w:r w:rsidRPr="00D723D1">
        <w:rPr>
          <w:rStyle w:val="FootnoteReference"/>
          <w:rFonts w:ascii="Book Antiqua" w:hAnsi="Book Antiqua"/>
          <w:sz w:val="18"/>
          <w:szCs w:val="18"/>
        </w:rPr>
        <w:footnoteRef/>
      </w:r>
      <w:r w:rsidRPr="00D723D1">
        <w:rPr>
          <w:rFonts w:ascii="Book Antiqua" w:hAnsi="Book Antiqua"/>
          <w:sz w:val="18"/>
          <w:szCs w:val="18"/>
        </w:rPr>
        <w:t xml:space="preserve"> </w:t>
      </w:r>
      <w:r w:rsidRPr="00092ED4">
        <w:rPr>
          <w:rFonts w:ascii="Book Antiqua" w:hAnsi="Book Antiqua"/>
          <w:color w:val="000000" w:themeColor="text1"/>
          <w:sz w:val="18"/>
          <w:szCs w:val="18"/>
        </w:rPr>
        <w:t xml:space="preserve">Very similar controversy emerged a year later in respect of the </w:t>
      </w:r>
      <w:r w:rsidRPr="00D723D1">
        <w:rPr>
          <w:rFonts w:ascii="Book Antiqua" w:hAnsi="Book Antiqua"/>
          <w:color w:val="000000" w:themeColor="text1"/>
          <w:sz w:val="18"/>
          <w:szCs w:val="18"/>
        </w:rPr>
        <w:t>Urban Regeneration and Housing (Amendment) Bill 2018, aimed at tackling land hoarding (</w:t>
      </w:r>
      <w:r w:rsidRPr="00675624">
        <w:rPr>
          <w:rFonts w:ascii="Book Antiqua" w:hAnsi="Book Antiqua"/>
          <w:color w:val="000000" w:themeColor="text1"/>
          <w:sz w:val="18"/>
          <w:szCs w:val="18"/>
        </w:rPr>
        <w:t>Dáil Éireann debate, Tuesday 3</w:t>
      </w:r>
      <w:r w:rsidRPr="00092ED4">
        <w:rPr>
          <w:rFonts w:ascii="Book Antiqua" w:hAnsi="Book Antiqua"/>
          <w:color w:val="000000" w:themeColor="text1"/>
          <w:sz w:val="18"/>
          <w:szCs w:val="18"/>
          <w:vertAlign w:val="superscript"/>
        </w:rPr>
        <w:t>rd</w:t>
      </w:r>
      <w:r w:rsidRPr="00092ED4">
        <w:rPr>
          <w:rFonts w:ascii="Book Antiqua" w:hAnsi="Book Antiqua"/>
          <w:color w:val="000000" w:themeColor="text1"/>
          <w:sz w:val="18"/>
          <w:szCs w:val="18"/>
        </w:rPr>
        <w:t xml:space="preserve"> July, 2018, Vol. 971 No. 1) and the </w:t>
      </w:r>
      <w:r w:rsidRPr="00D723D1">
        <w:rPr>
          <w:rFonts w:ascii="Book Antiqua" w:hAnsi="Book Antiqua"/>
          <w:color w:val="000000" w:themeColor="text1"/>
          <w:sz w:val="18"/>
          <w:szCs w:val="18"/>
        </w:rPr>
        <w:t xml:space="preserve">Residential Tenancies (Greater Security of Tenure and Rent Certainty) Bill 2018 relating to rent restrictions. </w:t>
      </w:r>
      <w:r w:rsidRPr="00675624">
        <w:rPr>
          <w:rFonts w:ascii="Book Antiqua" w:hAnsi="Book Antiqua"/>
          <w:sz w:val="18"/>
          <w:szCs w:val="18"/>
        </w:rPr>
        <w:t>Dáil Éireann debate, Wedn</w:t>
      </w:r>
      <w:r w:rsidRPr="00092ED4">
        <w:rPr>
          <w:rFonts w:ascii="Book Antiqua" w:hAnsi="Book Antiqua"/>
          <w:sz w:val="18"/>
          <w:szCs w:val="18"/>
        </w:rPr>
        <w:t>esday 30</w:t>
      </w:r>
      <w:r w:rsidRPr="00092ED4">
        <w:rPr>
          <w:rFonts w:ascii="Book Antiqua" w:hAnsi="Book Antiqua"/>
          <w:sz w:val="18"/>
          <w:szCs w:val="18"/>
          <w:vertAlign w:val="superscript"/>
        </w:rPr>
        <w:t xml:space="preserve">th </w:t>
      </w:r>
      <w:r w:rsidRPr="00092ED4">
        <w:rPr>
          <w:rFonts w:ascii="Book Antiqua" w:hAnsi="Book Antiqua"/>
          <w:sz w:val="18"/>
          <w:szCs w:val="18"/>
        </w:rPr>
        <w:t>May, 2018, Vol. 969 No. 8.</w:t>
      </w:r>
    </w:p>
  </w:footnote>
  <w:footnote w:id="92">
    <w:p w14:paraId="741C144D" w14:textId="038021E3" w:rsidR="00672A14" w:rsidRPr="00092ED4" w:rsidRDefault="00672A14" w:rsidP="00675624">
      <w:pPr>
        <w:pStyle w:val="FootnoteText"/>
        <w:jc w:val="both"/>
        <w:rPr>
          <w:rFonts w:ascii="Book Antiqua" w:hAnsi="Book Antiqua"/>
          <w:color w:val="000000" w:themeColor="text1"/>
          <w:sz w:val="18"/>
          <w:szCs w:val="18"/>
        </w:rPr>
      </w:pPr>
      <w:r w:rsidRPr="00675624">
        <w:rPr>
          <w:rStyle w:val="FootnoteReference"/>
          <w:rFonts w:ascii="Book Antiqua" w:hAnsi="Book Antiqua"/>
          <w:color w:val="000000" w:themeColor="text1"/>
          <w:sz w:val="18"/>
          <w:szCs w:val="18"/>
        </w:rPr>
        <w:footnoteRef/>
      </w:r>
      <w:r w:rsidRPr="00675624">
        <w:rPr>
          <w:rFonts w:ascii="Book Antiqua" w:hAnsi="Book Antiqua"/>
          <w:color w:val="000000" w:themeColor="text1"/>
          <w:sz w:val="18"/>
          <w:szCs w:val="18"/>
        </w:rPr>
        <w:t xml:space="preserve"> Dáil Éireann debate, Wednesday 12</w:t>
      </w:r>
      <w:r w:rsidRPr="00092ED4">
        <w:rPr>
          <w:rFonts w:ascii="Book Antiqua" w:hAnsi="Book Antiqua"/>
          <w:color w:val="000000" w:themeColor="text1"/>
          <w:sz w:val="18"/>
          <w:szCs w:val="18"/>
          <w:vertAlign w:val="superscript"/>
        </w:rPr>
        <w:t>th</w:t>
      </w:r>
      <w:r w:rsidRPr="00092ED4">
        <w:rPr>
          <w:rFonts w:ascii="Book Antiqua" w:hAnsi="Book Antiqua"/>
          <w:color w:val="000000" w:themeColor="text1"/>
          <w:sz w:val="18"/>
          <w:szCs w:val="18"/>
        </w:rPr>
        <w:t xml:space="preserve"> July, 2017 Vol. 958 No.1.</w:t>
      </w:r>
    </w:p>
  </w:footnote>
  <w:footnote w:id="93">
    <w:p w14:paraId="0B126214" w14:textId="22DB5B58" w:rsidR="00672A14" w:rsidRPr="00092ED4" w:rsidRDefault="00672A14">
      <w:pPr>
        <w:pStyle w:val="Heading1"/>
        <w:shd w:val="clear" w:color="auto" w:fill="FFFFFF"/>
        <w:spacing w:before="0"/>
        <w:jc w:val="both"/>
        <w:textAlignment w:val="baseline"/>
        <w:rPr>
          <w:rFonts w:ascii="Book Antiqua" w:hAnsi="Book Antiqua" w:cs="Times New Roman"/>
          <w:color w:val="000000" w:themeColor="text1"/>
          <w:sz w:val="18"/>
          <w:szCs w:val="18"/>
          <w:lang w:val="en-IE"/>
        </w:rPr>
      </w:pPr>
      <w:r w:rsidRPr="00675624">
        <w:rPr>
          <w:rStyle w:val="FootnoteReference"/>
          <w:rFonts w:ascii="Book Antiqua" w:hAnsi="Book Antiqua" w:cs="Times New Roman"/>
          <w:color w:val="000000" w:themeColor="text1"/>
          <w:sz w:val="18"/>
          <w:szCs w:val="18"/>
          <w:lang w:val="en-IE"/>
        </w:rPr>
        <w:footnoteRef/>
      </w:r>
      <w:r w:rsidRPr="00675624">
        <w:rPr>
          <w:rFonts w:ascii="Book Antiqua" w:hAnsi="Book Antiqua" w:cs="Times New Roman"/>
          <w:color w:val="000000" w:themeColor="text1"/>
          <w:sz w:val="18"/>
          <w:szCs w:val="18"/>
          <w:lang w:val="en-IE"/>
        </w:rPr>
        <w:t xml:space="preserve"> Cristina Finn, </w:t>
      </w:r>
      <w:r w:rsidRPr="00092ED4">
        <w:rPr>
          <w:rFonts w:ascii="Book Antiqua" w:hAnsi="Book Antiqua" w:cs="Times New Roman"/>
          <w:color w:val="000000" w:themeColor="text1"/>
          <w:sz w:val="18"/>
          <w:szCs w:val="18"/>
          <w:lang w:val="en-IE"/>
        </w:rPr>
        <w:t xml:space="preserve">“The banks are dictating what happens': TDs say government relying on 'constitution' card to block vulture funds Bill” </w:t>
      </w:r>
      <w:r w:rsidRPr="00092ED4">
        <w:rPr>
          <w:rFonts w:ascii="Book Antiqua" w:hAnsi="Book Antiqua" w:cs="Times New Roman"/>
          <w:i/>
          <w:iCs/>
          <w:color w:val="000000" w:themeColor="text1"/>
          <w:sz w:val="18"/>
          <w:szCs w:val="18"/>
          <w:lang w:val="en-IE"/>
        </w:rPr>
        <w:t xml:space="preserve">Journal.ie </w:t>
      </w:r>
      <w:r w:rsidRPr="00092ED4">
        <w:rPr>
          <w:rFonts w:ascii="Book Antiqua" w:hAnsi="Book Antiqua" w:cs="Times New Roman"/>
          <w:color w:val="000000" w:themeColor="text1"/>
          <w:sz w:val="18"/>
          <w:szCs w:val="18"/>
          <w:lang w:val="en-IE"/>
        </w:rPr>
        <w:t>(3</w:t>
      </w:r>
      <w:r w:rsidRPr="00092ED4">
        <w:rPr>
          <w:rFonts w:ascii="Book Antiqua" w:hAnsi="Book Antiqua" w:cs="Times New Roman"/>
          <w:color w:val="000000" w:themeColor="text1"/>
          <w:sz w:val="18"/>
          <w:szCs w:val="18"/>
          <w:vertAlign w:val="superscript"/>
          <w:lang w:val="en-IE"/>
        </w:rPr>
        <w:t>rd</w:t>
      </w:r>
      <w:r w:rsidRPr="00092ED4">
        <w:rPr>
          <w:rFonts w:ascii="Book Antiqua" w:hAnsi="Book Antiqua" w:cs="Times New Roman"/>
          <w:color w:val="000000" w:themeColor="text1"/>
          <w:sz w:val="18"/>
          <w:szCs w:val="18"/>
          <w:lang w:val="en-IE"/>
        </w:rPr>
        <w:t xml:space="preserve"> April, 2019).</w:t>
      </w:r>
    </w:p>
  </w:footnote>
  <w:footnote w:id="94">
    <w:p w14:paraId="260F1DD2" w14:textId="01786764" w:rsidR="00672A14" w:rsidRPr="00092ED4" w:rsidRDefault="00672A14">
      <w:pPr>
        <w:pStyle w:val="Heading1"/>
        <w:shd w:val="clear" w:color="auto" w:fill="FFFFFF"/>
        <w:spacing w:before="0"/>
        <w:jc w:val="both"/>
        <w:rPr>
          <w:rFonts w:ascii="Book Antiqua" w:hAnsi="Book Antiqua" w:cs="Times New Roman"/>
          <w:color w:val="000000" w:themeColor="text1"/>
          <w:sz w:val="18"/>
          <w:szCs w:val="18"/>
          <w:lang w:val="en-IE"/>
        </w:rPr>
      </w:pPr>
      <w:r w:rsidRPr="00675624">
        <w:rPr>
          <w:rStyle w:val="FootnoteReference"/>
          <w:rFonts w:ascii="Book Antiqua" w:hAnsi="Book Antiqua" w:cs="Times New Roman"/>
          <w:color w:val="000000" w:themeColor="text1"/>
          <w:sz w:val="18"/>
          <w:szCs w:val="18"/>
          <w:lang w:val="en-IE"/>
        </w:rPr>
        <w:footnoteRef/>
      </w:r>
      <w:r w:rsidRPr="00675624">
        <w:rPr>
          <w:rFonts w:ascii="Book Antiqua" w:hAnsi="Book Antiqua" w:cs="Times New Roman"/>
          <w:color w:val="000000" w:themeColor="text1"/>
          <w:sz w:val="18"/>
          <w:szCs w:val="18"/>
          <w:lang w:val="en-IE"/>
        </w:rPr>
        <w:t xml:space="preserve"> Jack Horgan Jones, </w:t>
      </w:r>
      <w:r w:rsidRPr="00092ED4">
        <w:rPr>
          <w:rFonts w:ascii="Book Antiqua" w:hAnsi="Book Antiqua" w:cs="Times New Roman"/>
          <w:color w:val="000000" w:themeColor="text1"/>
          <w:sz w:val="18"/>
          <w:szCs w:val="18"/>
          <w:lang w:val="en-IE"/>
        </w:rPr>
        <w:t xml:space="preserve">“Barriers to ‘no consent, no sale’ Bill can be overridden, say legal advisers” </w:t>
      </w:r>
      <w:r w:rsidRPr="00092ED4">
        <w:rPr>
          <w:rFonts w:ascii="Book Antiqua" w:hAnsi="Book Antiqua" w:cs="Times New Roman"/>
          <w:i/>
          <w:iCs/>
          <w:color w:val="000000" w:themeColor="text1"/>
          <w:sz w:val="18"/>
          <w:szCs w:val="18"/>
          <w:lang w:val="en-IE"/>
        </w:rPr>
        <w:t xml:space="preserve">Irish Times </w:t>
      </w:r>
      <w:r w:rsidRPr="00092ED4">
        <w:rPr>
          <w:rFonts w:ascii="Book Antiqua" w:hAnsi="Book Antiqua" w:cs="Times New Roman"/>
          <w:color w:val="000000" w:themeColor="text1"/>
          <w:sz w:val="18"/>
          <w:szCs w:val="18"/>
          <w:lang w:val="en-IE"/>
        </w:rPr>
        <w:t>(10</w:t>
      </w:r>
      <w:r w:rsidRPr="00092ED4">
        <w:rPr>
          <w:rFonts w:ascii="Book Antiqua" w:hAnsi="Book Antiqua" w:cs="Times New Roman"/>
          <w:color w:val="000000" w:themeColor="text1"/>
          <w:sz w:val="18"/>
          <w:szCs w:val="18"/>
          <w:vertAlign w:val="superscript"/>
          <w:lang w:val="en-IE"/>
        </w:rPr>
        <w:t>th</w:t>
      </w:r>
      <w:r w:rsidRPr="00092ED4">
        <w:rPr>
          <w:rFonts w:ascii="Book Antiqua" w:hAnsi="Book Antiqua" w:cs="Times New Roman"/>
          <w:color w:val="000000" w:themeColor="text1"/>
          <w:sz w:val="18"/>
          <w:szCs w:val="18"/>
          <w:lang w:val="en-IE"/>
        </w:rPr>
        <w:t xml:space="preserve"> July, 2019).</w:t>
      </w:r>
    </w:p>
  </w:footnote>
  <w:footnote w:id="95">
    <w:p w14:paraId="1F443B32" w14:textId="77777777" w:rsidR="00672A14" w:rsidRPr="00092ED4" w:rsidRDefault="00672A1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w:t>
      </w:r>
      <w:r w:rsidRPr="00092ED4">
        <w:rPr>
          <w:rFonts w:ascii="Book Antiqua" w:hAnsi="Book Antiqua" w:cs="Calibri"/>
          <w:i/>
          <w:iCs/>
          <w:sz w:val="18"/>
          <w:szCs w:val="18"/>
        </w:rPr>
        <w:t xml:space="preserve">See </w:t>
      </w:r>
      <w:r w:rsidRPr="00092ED4">
        <w:rPr>
          <w:rFonts w:ascii="Book Antiqua" w:hAnsi="Book Antiqua" w:cs="Calibri"/>
          <w:sz w:val="18"/>
          <w:szCs w:val="18"/>
        </w:rPr>
        <w:t xml:space="preserve">Article 26 and 34 of the Irish Constitution. </w:t>
      </w:r>
    </w:p>
  </w:footnote>
  <w:footnote w:id="96">
    <w:p w14:paraId="61B3587D" w14:textId="0B172E28" w:rsidR="00672A14" w:rsidRPr="00092ED4" w:rsidRDefault="00672A1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w:t>
      </w:r>
      <w:r w:rsidRPr="00675624">
        <w:rPr>
          <w:rFonts w:ascii="Book Antiqua" w:hAnsi="Book Antiqua" w:cs="Calibri"/>
          <w:color w:val="000000" w:themeColor="text1"/>
          <w:sz w:val="18"/>
          <w:szCs w:val="18"/>
        </w:rPr>
        <w:t>David Kenny and Conor Cas</w:t>
      </w:r>
      <w:r w:rsidRPr="00092ED4">
        <w:rPr>
          <w:rFonts w:ascii="Book Antiqua" w:hAnsi="Book Antiqua" w:cs="Calibri"/>
          <w:color w:val="000000" w:themeColor="text1"/>
          <w:sz w:val="18"/>
          <w:szCs w:val="18"/>
        </w:rPr>
        <w:t xml:space="preserve">ey, “Shadow Constitutional Review” (n </w:t>
      </w:r>
      <w:r w:rsidRPr="00D05017">
        <w:rPr>
          <w:rFonts w:ascii="Book Antiqua" w:hAnsi="Book Antiqua" w:cs="Calibri"/>
          <w:color w:val="000000" w:themeColor="text1"/>
          <w:sz w:val="18"/>
          <w:szCs w:val="18"/>
        </w:rPr>
        <w:fldChar w:fldCharType="begin"/>
      </w:r>
      <w:r w:rsidRPr="00092ED4">
        <w:rPr>
          <w:rFonts w:ascii="Book Antiqua" w:hAnsi="Book Antiqua" w:cs="Calibri"/>
          <w:color w:val="000000" w:themeColor="text1"/>
          <w:sz w:val="18"/>
          <w:szCs w:val="18"/>
        </w:rPr>
        <w:instrText xml:space="preserve"> NOTEREF _Ref37318849 \h  \* MERGEFORMAT </w:instrText>
      </w:r>
      <w:r w:rsidRPr="00D05017">
        <w:rPr>
          <w:rFonts w:ascii="Book Antiqua" w:hAnsi="Book Antiqua" w:cs="Calibri"/>
          <w:color w:val="000000" w:themeColor="text1"/>
          <w:sz w:val="18"/>
          <w:szCs w:val="18"/>
        </w:rPr>
      </w:r>
      <w:r w:rsidRPr="00D05017">
        <w:rPr>
          <w:rFonts w:ascii="Book Antiqua" w:hAnsi="Book Antiqua" w:cs="Calibri"/>
          <w:color w:val="000000" w:themeColor="text1"/>
          <w:sz w:val="18"/>
          <w:szCs w:val="18"/>
        </w:rPr>
        <w:fldChar w:fldCharType="separate"/>
      </w:r>
      <w:r w:rsidRPr="00092ED4">
        <w:rPr>
          <w:rFonts w:ascii="Book Antiqua" w:hAnsi="Book Antiqua" w:cs="Calibri"/>
          <w:color w:val="000000" w:themeColor="text1"/>
          <w:sz w:val="18"/>
          <w:szCs w:val="18"/>
        </w:rPr>
        <w:t>84</w:t>
      </w:r>
      <w:r w:rsidRPr="00D05017">
        <w:rPr>
          <w:rFonts w:ascii="Book Antiqua" w:hAnsi="Book Antiqua" w:cs="Calibri"/>
          <w:color w:val="000000" w:themeColor="text1"/>
          <w:sz w:val="18"/>
          <w:szCs w:val="18"/>
        </w:rPr>
        <w:fldChar w:fldCharType="end"/>
      </w:r>
      <w:r w:rsidRPr="00675624">
        <w:rPr>
          <w:rFonts w:ascii="Book Antiqua" w:hAnsi="Book Antiqua" w:cs="Calibri"/>
          <w:color w:val="000000" w:themeColor="text1"/>
          <w:sz w:val="18"/>
          <w:szCs w:val="18"/>
        </w:rPr>
        <w:t>);</w:t>
      </w:r>
      <w:r w:rsidRPr="00092ED4">
        <w:rPr>
          <w:rFonts w:ascii="Book Antiqua" w:hAnsi="Book Antiqua" w:cs="Calibri"/>
          <w:color w:val="000000" w:themeColor="text1"/>
          <w:sz w:val="18"/>
          <w:szCs w:val="18"/>
        </w:rPr>
        <w:t xml:space="preserve"> David Kenny and Conor Casey, “A One Person Supreme Court?” (n </w:t>
      </w:r>
      <w:r w:rsidRPr="00D05017">
        <w:rPr>
          <w:rFonts w:ascii="Book Antiqua" w:hAnsi="Book Antiqua" w:cs="Calibri"/>
          <w:color w:val="000000" w:themeColor="text1"/>
          <w:sz w:val="18"/>
          <w:szCs w:val="18"/>
        </w:rPr>
        <w:fldChar w:fldCharType="begin"/>
      </w:r>
      <w:r w:rsidRPr="00092ED4">
        <w:rPr>
          <w:rFonts w:ascii="Book Antiqua" w:hAnsi="Book Antiqua" w:cs="Calibri"/>
          <w:color w:val="000000" w:themeColor="text1"/>
          <w:sz w:val="18"/>
          <w:szCs w:val="18"/>
        </w:rPr>
        <w:instrText xml:space="preserve"> NOTEREF _Ref37318726 \h  \* MERGEFORMAT </w:instrText>
      </w:r>
      <w:r w:rsidRPr="00D05017">
        <w:rPr>
          <w:rFonts w:ascii="Book Antiqua" w:hAnsi="Book Antiqua" w:cs="Calibri"/>
          <w:color w:val="000000" w:themeColor="text1"/>
          <w:sz w:val="18"/>
          <w:szCs w:val="18"/>
        </w:rPr>
      </w:r>
      <w:r w:rsidRPr="00D05017">
        <w:rPr>
          <w:rFonts w:ascii="Book Antiqua" w:hAnsi="Book Antiqua" w:cs="Calibri"/>
          <w:color w:val="000000" w:themeColor="text1"/>
          <w:sz w:val="18"/>
          <w:szCs w:val="18"/>
        </w:rPr>
        <w:fldChar w:fldCharType="separate"/>
      </w:r>
      <w:r w:rsidRPr="00092ED4">
        <w:rPr>
          <w:rFonts w:ascii="Book Antiqua" w:hAnsi="Book Antiqua" w:cs="Calibri"/>
          <w:color w:val="000000" w:themeColor="text1"/>
          <w:sz w:val="18"/>
          <w:szCs w:val="18"/>
        </w:rPr>
        <w:t>81</w:t>
      </w:r>
      <w:r w:rsidRPr="00D05017">
        <w:rPr>
          <w:rFonts w:ascii="Book Antiqua" w:hAnsi="Book Antiqua" w:cs="Calibri"/>
          <w:color w:val="000000" w:themeColor="text1"/>
          <w:sz w:val="18"/>
          <w:szCs w:val="18"/>
        </w:rPr>
        <w:fldChar w:fldCharType="end"/>
      </w:r>
      <w:r w:rsidRPr="00675624">
        <w:rPr>
          <w:rFonts w:ascii="Book Antiqua" w:hAnsi="Book Antiqua" w:cs="Calibri"/>
          <w:color w:val="000000" w:themeColor="text1"/>
          <w:sz w:val="18"/>
          <w:szCs w:val="18"/>
        </w:rPr>
        <w:t>)</w:t>
      </w:r>
      <w:r w:rsidRPr="00092ED4">
        <w:rPr>
          <w:rFonts w:ascii="Book Antiqua" w:hAnsi="Book Antiqua" w:cs="Calibri"/>
          <w:color w:val="000000" w:themeColor="text1"/>
          <w:sz w:val="18"/>
          <w:szCs w:val="18"/>
        </w:rPr>
        <w:t>.</w:t>
      </w:r>
    </w:p>
  </w:footnote>
  <w:footnote w:id="97">
    <w:p w14:paraId="43517FB0" w14:textId="3B930402" w:rsidR="00672A14" w:rsidRPr="00DA1254" w:rsidRDefault="00672A14">
      <w:pPr>
        <w:pStyle w:val="FootnoteText"/>
        <w:rPr>
          <w:rFonts w:ascii="Book Antiqua" w:hAnsi="Book Antiqua"/>
          <w:sz w:val="18"/>
          <w:szCs w:val="18"/>
          <w:lang w:val="en-GB"/>
        </w:rPr>
      </w:pPr>
      <w:r w:rsidRPr="00DA1254">
        <w:rPr>
          <w:rStyle w:val="FootnoteReference"/>
          <w:rFonts w:ascii="Book Antiqua" w:hAnsi="Book Antiqua"/>
          <w:sz w:val="18"/>
          <w:szCs w:val="18"/>
        </w:rPr>
        <w:footnoteRef/>
      </w:r>
      <w:r w:rsidRPr="00DA1254">
        <w:rPr>
          <w:rFonts w:ascii="Book Antiqua" w:hAnsi="Book Antiqua"/>
          <w:sz w:val="18"/>
          <w:szCs w:val="18"/>
        </w:rPr>
        <w:t xml:space="preserve"> </w:t>
      </w:r>
      <w:r w:rsidR="00EC769A" w:rsidRPr="00DA1254">
        <w:rPr>
          <w:rFonts w:ascii="Book Antiqua" w:hAnsi="Book Antiqua"/>
          <w:sz w:val="18"/>
          <w:szCs w:val="18"/>
          <w:lang w:val="en-GB"/>
        </w:rPr>
        <w:t xml:space="preserve">In the devolved Scottish parliament in Holyrood, there is a “perceived dominance of executive power” and a prevalence of “party culture” that is said to disempower the legislature, leading again to proposals for institutional reform. Commission on Parliamentary Reform, </w:t>
      </w:r>
      <w:r w:rsidR="00EC769A" w:rsidRPr="00DA1254">
        <w:rPr>
          <w:rFonts w:ascii="Book Antiqua" w:hAnsi="Book Antiqua"/>
          <w:i/>
          <w:iCs/>
          <w:sz w:val="18"/>
          <w:szCs w:val="18"/>
          <w:lang w:val="en-GB"/>
        </w:rPr>
        <w:t>Report on the Scottish Parliament</w:t>
      </w:r>
      <w:r w:rsidR="00EC769A" w:rsidRPr="00DA1254">
        <w:rPr>
          <w:rFonts w:ascii="Book Antiqua" w:hAnsi="Book Antiqua"/>
          <w:sz w:val="18"/>
          <w:szCs w:val="18"/>
          <w:lang w:val="en-GB"/>
        </w:rPr>
        <w:t>, 20</w:t>
      </w:r>
      <w:r w:rsidR="00EC769A" w:rsidRPr="00DA1254">
        <w:rPr>
          <w:rFonts w:ascii="Book Antiqua" w:hAnsi="Book Antiqua"/>
          <w:sz w:val="18"/>
          <w:szCs w:val="18"/>
          <w:vertAlign w:val="superscript"/>
          <w:lang w:val="en-GB"/>
        </w:rPr>
        <w:t>th</w:t>
      </w:r>
      <w:r w:rsidR="00EC769A" w:rsidRPr="00DA1254">
        <w:rPr>
          <w:rFonts w:ascii="Book Antiqua" w:hAnsi="Book Antiqua"/>
          <w:sz w:val="18"/>
          <w:szCs w:val="18"/>
          <w:lang w:val="en-GB"/>
        </w:rPr>
        <w:t xml:space="preserve"> June 2017, 43, 48, available at &lt;https://www.parliament.scot/parliamentarybusiness/CurrentCommittees/108084.aspx&gt;. Such cultures are difficult to shift, in spite of institutional reform.</w:t>
      </w:r>
    </w:p>
  </w:footnote>
  <w:footnote w:id="98">
    <w:p w14:paraId="6439F84D" w14:textId="766DDCAA" w:rsidR="00672A14" w:rsidRPr="00092ED4" w:rsidRDefault="00672A14">
      <w:pPr>
        <w:autoSpaceDE w:val="0"/>
        <w:autoSpaceDN w:val="0"/>
        <w:adjustRightInd w:val="0"/>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w:t>
      </w:r>
      <w:r w:rsidRPr="00092ED4">
        <w:rPr>
          <w:rFonts w:ascii="Book Antiqua" w:hAnsi="Book Antiqua" w:cs="Calibri"/>
          <w:i/>
          <w:iCs/>
          <w:sz w:val="18"/>
          <w:szCs w:val="18"/>
        </w:rPr>
        <w:t xml:space="preserve">See </w:t>
      </w:r>
      <w:r w:rsidRPr="00092ED4">
        <w:rPr>
          <w:rFonts w:ascii="Book Antiqua" w:hAnsi="Book Antiqua" w:cs="Calibri"/>
          <w:sz w:val="18"/>
          <w:szCs w:val="18"/>
        </w:rPr>
        <w:t xml:space="preserve">Andrew Siegel, “Constitutional Theory, Constitutional Culture” (2016) 18 </w:t>
      </w:r>
      <w:r w:rsidRPr="00D723D1">
        <w:rPr>
          <w:rFonts w:ascii="Book Antiqua" w:hAnsi="Book Antiqua" w:cs="Calibri"/>
          <w:sz w:val="18"/>
          <w:szCs w:val="18"/>
        </w:rPr>
        <w:t>University of Pennsylvania Journal of Constitutional Law</w:t>
      </w:r>
      <w:r w:rsidRPr="00675624">
        <w:rPr>
          <w:rFonts w:ascii="Book Antiqua" w:hAnsi="Book Antiqua" w:cs="Calibri"/>
          <w:sz w:val="18"/>
          <w:szCs w:val="18"/>
        </w:rPr>
        <w:t xml:space="preserve"> </w:t>
      </w:r>
      <w:r w:rsidRPr="00092ED4">
        <w:rPr>
          <w:rFonts w:ascii="Book Antiqua" w:hAnsi="Book Antiqua" w:cs="Calibri"/>
          <w:sz w:val="18"/>
          <w:szCs w:val="18"/>
        </w:rPr>
        <w:t xml:space="preserve">1067, 1107; Reva Siegel, “Constitutional Culture, Social Movement Conflict and Constitutional Change: The Case of the de facto ERA” (2006) 94 </w:t>
      </w:r>
      <w:r w:rsidRPr="00D723D1">
        <w:rPr>
          <w:rFonts w:ascii="Book Antiqua" w:hAnsi="Book Antiqua" w:cs="Calibri"/>
          <w:sz w:val="18"/>
          <w:szCs w:val="18"/>
        </w:rPr>
        <w:t>California Law Review</w:t>
      </w:r>
      <w:r w:rsidRPr="00675624">
        <w:rPr>
          <w:rFonts w:ascii="Book Antiqua" w:hAnsi="Book Antiqua" w:cs="Calibri"/>
          <w:i/>
          <w:iCs/>
          <w:sz w:val="18"/>
          <w:szCs w:val="18"/>
        </w:rPr>
        <w:t xml:space="preserve"> </w:t>
      </w:r>
      <w:r w:rsidRPr="00092ED4">
        <w:rPr>
          <w:rFonts w:ascii="Book Antiqua" w:hAnsi="Book Antiqua" w:cs="Calibri"/>
          <w:sz w:val="18"/>
          <w:szCs w:val="18"/>
        </w:rPr>
        <w:t>1323 1325; Pierre Legrand, “Comparative Legal Studies and the Matter of Authenticity” (2006) 1 Journal of Comparative Law 365, 380.</w:t>
      </w:r>
    </w:p>
  </w:footnote>
  <w:footnote w:id="99">
    <w:p w14:paraId="579B5042" w14:textId="4025BBE7" w:rsidR="00672A14" w:rsidRPr="00D723D1" w:rsidRDefault="00672A14" w:rsidP="00D723D1">
      <w:pPr>
        <w:pStyle w:val="FootnoteText"/>
        <w:jc w:val="both"/>
        <w:rPr>
          <w:rFonts w:ascii="Book Antiqua" w:hAnsi="Book Antiqua"/>
          <w:sz w:val="18"/>
          <w:szCs w:val="18"/>
          <w:lang w:val="en-GB"/>
        </w:rPr>
      </w:pPr>
      <w:r w:rsidRPr="00D723D1">
        <w:rPr>
          <w:rStyle w:val="FootnoteReference"/>
          <w:rFonts w:ascii="Book Antiqua" w:hAnsi="Book Antiqua"/>
          <w:sz w:val="18"/>
          <w:szCs w:val="18"/>
        </w:rPr>
        <w:footnoteRef/>
      </w:r>
      <w:r w:rsidRPr="00D723D1">
        <w:rPr>
          <w:rFonts w:ascii="Book Antiqua" w:hAnsi="Book Antiqua"/>
          <w:sz w:val="18"/>
          <w:szCs w:val="18"/>
        </w:rPr>
        <w:t xml:space="preserve"> Culture in this sense is </w:t>
      </w:r>
      <w:r w:rsidRPr="00D723D1">
        <w:rPr>
          <w:rFonts w:ascii="Book Antiqua" w:hAnsi="Book Antiqua" w:cs="Calibri"/>
          <w:color w:val="000000" w:themeColor="text1"/>
          <w:sz w:val="18"/>
          <w:szCs w:val="18"/>
          <w:lang w:val="en-US"/>
        </w:rPr>
        <w:t xml:space="preserve">“the values, beliefs, dispositions, justifications and the practical consciousness that allows [actors] to consolidate a cultural code, to crystallize their identities, and to become professionally socialized.” Pierre Legrand, </w:t>
      </w:r>
      <w:r w:rsidRPr="00675624">
        <w:rPr>
          <w:rFonts w:ascii="Book Antiqua" w:hAnsi="Book Antiqua" w:cs="Calibri"/>
          <w:color w:val="000000" w:themeColor="text1"/>
          <w:sz w:val="18"/>
          <w:szCs w:val="18"/>
          <w:lang w:val="en-US"/>
        </w:rPr>
        <w:t>‘</w:t>
      </w:r>
      <w:r w:rsidRPr="00D723D1">
        <w:rPr>
          <w:rFonts w:ascii="Book Antiqua" w:hAnsi="Book Antiqua" w:cs="Calibri"/>
          <w:color w:val="000000" w:themeColor="text1"/>
          <w:sz w:val="18"/>
          <w:szCs w:val="18"/>
          <w:lang w:val="en-US"/>
        </w:rPr>
        <w:t>The Impossibility of Legal Transplants</w:t>
      </w:r>
      <w:r w:rsidRPr="00675624">
        <w:rPr>
          <w:rFonts w:ascii="Book Antiqua" w:hAnsi="Book Antiqua" w:cs="Calibri"/>
          <w:color w:val="000000" w:themeColor="text1"/>
          <w:sz w:val="18"/>
          <w:szCs w:val="18"/>
          <w:lang w:val="en-US"/>
        </w:rPr>
        <w:t>’</w:t>
      </w:r>
      <w:r w:rsidRPr="00D723D1">
        <w:rPr>
          <w:rFonts w:ascii="Book Antiqua" w:hAnsi="Book Antiqua" w:cs="Calibri"/>
          <w:color w:val="000000" w:themeColor="text1"/>
          <w:sz w:val="18"/>
          <w:szCs w:val="18"/>
          <w:lang w:val="en-US"/>
        </w:rPr>
        <w:t xml:space="preserve"> (1997) 4 Maastricht Journal of European and Comparative Law 111, 114.</w:t>
      </w:r>
      <w:r w:rsidRPr="00D723D1">
        <w:rPr>
          <w:rFonts w:ascii="Book Antiqua" w:hAnsi="Book Antiqua"/>
          <w:sz w:val="18"/>
          <w:szCs w:val="18"/>
        </w:rPr>
        <w:t>This is</w:t>
      </w:r>
      <w:r w:rsidRPr="00D723D1">
        <w:rPr>
          <w:rFonts w:ascii="Book Antiqua" w:hAnsi="Book Antiqua"/>
          <w:sz w:val="18"/>
          <w:szCs w:val="18"/>
          <w:lang w:val="en-GB"/>
        </w:rPr>
        <w:t xml:space="preserve"> not to say that the culture doesn’t shape the rules. </w:t>
      </w:r>
      <w:r w:rsidRPr="00675624">
        <w:rPr>
          <w:rFonts w:ascii="Book Antiqua" w:hAnsi="Book Antiqua"/>
          <w:sz w:val="18"/>
          <w:szCs w:val="18"/>
          <w:lang w:val="en-GB"/>
        </w:rPr>
        <w:t>Of course,</w:t>
      </w:r>
      <w:r w:rsidRPr="00D723D1">
        <w:rPr>
          <w:rFonts w:ascii="Book Antiqua" w:hAnsi="Book Antiqua"/>
          <w:sz w:val="18"/>
          <w:szCs w:val="18"/>
          <w:lang w:val="en-GB"/>
        </w:rPr>
        <w:t xml:space="preserve"> it does, and you could make a case that formalised rules are an attempt to capture culture. But here we are interested in the way that culture shapes the application and evolution of rules.</w:t>
      </w:r>
    </w:p>
  </w:footnote>
  <w:footnote w:id="100">
    <w:p w14:paraId="1FDA2B83" w14:textId="77777777" w:rsidR="00672A14" w:rsidRPr="00092ED4" w:rsidRDefault="00672A14" w:rsidP="0067562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w:t>
      </w:r>
      <w:r w:rsidRPr="00092ED4">
        <w:rPr>
          <w:rFonts w:ascii="Book Antiqua" w:hAnsi="Book Antiqua" w:cs="Calibri"/>
          <w:i/>
          <w:iCs/>
          <w:sz w:val="18"/>
          <w:szCs w:val="18"/>
        </w:rPr>
        <w:t xml:space="preserve">See </w:t>
      </w:r>
      <w:r w:rsidRPr="00092ED4">
        <w:rPr>
          <w:rFonts w:ascii="Book Antiqua" w:hAnsi="Book Antiqua" w:cs="Calibri"/>
          <w:sz w:val="18"/>
          <w:szCs w:val="18"/>
        </w:rPr>
        <w:t xml:space="preserve">Harvey Mansfield, </w:t>
      </w:r>
      <w:r w:rsidRPr="00092ED4">
        <w:rPr>
          <w:rFonts w:ascii="Book Antiqua" w:hAnsi="Book Antiqua" w:cs="Calibri"/>
          <w:i/>
          <w:iCs/>
          <w:sz w:val="18"/>
          <w:szCs w:val="18"/>
        </w:rPr>
        <w:t xml:space="preserve">Taming the Prince: The Ambivalence of Modern Executive Power </w:t>
      </w:r>
      <w:r w:rsidRPr="00092ED4">
        <w:rPr>
          <w:rFonts w:ascii="Book Antiqua" w:hAnsi="Book Antiqua" w:cs="Calibri"/>
          <w:sz w:val="18"/>
          <w:szCs w:val="18"/>
        </w:rPr>
        <w:t>(John Hopkins University Press, 1993).</w:t>
      </w:r>
    </w:p>
  </w:footnote>
  <w:footnote w:id="101">
    <w:p w14:paraId="5D1D31E2" w14:textId="71E8E327" w:rsidR="00672A14" w:rsidRPr="00092ED4" w:rsidRDefault="00672A1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Martin Fla</w:t>
      </w:r>
      <w:r w:rsidRPr="00092ED4">
        <w:rPr>
          <w:rFonts w:ascii="Book Antiqua" w:hAnsi="Book Antiqua" w:cs="Calibri"/>
          <w:sz w:val="18"/>
          <w:szCs w:val="18"/>
        </w:rPr>
        <w:t xml:space="preserve">herty, “The Most Dangerous Branch” (1996) 105 </w:t>
      </w:r>
      <w:r w:rsidRPr="00D723D1">
        <w:rPr>
          <w:rFonts w:ascii="Book Antiqua" w:hAnsi="Book Antiqua" w:cs="Calibri"/>
          <w:sz w:val="18"/>
          <w:szCs w:val="18"/>
        </w:rPr>
        <w:t>Yale Law Journal</w:t>
      </w:r>
      <w:r w:rsidRPr="00675624">
        <w:rPr>
          <w:rFonts w:ascii="Book Antiqua" w:hAnsi="Book Antiqua" w:cs="Calibri"/>
          <w:i/>
          <w:iCs/>
          <w:sz w:val="18"/>
          <w:szCs w:val="18"/>
        </w:rPr>
        <w:t xml:space="preserve"> </w:t>
      </w:r>
      <w:r w:rsidRPr="00092ED4">
        <w:rPr>
          <w:rFonts w:ascii="Book Antiqua" w:hAnsi="Book Antiqua" w:cs="Calibri"/>
          <w:sz w:val="18"/>
          <w:szCs w:val="18"/>
        </w:rPr>
        <w:t>1725, 1817</w:t>
      </w:r>
      <w:r>
        <w:rPr>
          <w:rFonts w:ascii="Book Antiqua" w:hAnsi="Book Antiqua" w:cs="Calibri"/>
          <w:sz w:val="18"/>
          <w:szCs w:val="18"/>
        </w:rPr>
        <w:t>.</w:t>
      </w:r>
    </w:p>
  </w:footnote>
  <w:footnote w:id="102">
    <w:p w14:paraId="11140F57" w14:textId="705E28DC" w:rsidR="00672A14" w:rsidRPr="00092ED4" w:rsidRDefault="00672A14">
      <w:pPr>
        <w:pStyle w:val="FootnoteText"/>
        <w:jc w:val="both"/>
        <w:rPr>
          <w:rFonts w:ascii="Book Antiqua" w:hAnsi="Book Antiqua" w:cs="Calibri"/>
          <w:sz w:val="18"/>
          <w:szCs w:val="18"/>
        </w:rPr>
      </w:pPr>
      <w:r w:rsidRPr="00675624">
        <w:rPr>
          <w:rStyle w:val="FootnoteReference"/>
          <w:rFonts w:ascii="Book Antiqua" w:hAnsi="Book Antiqua" w:cs="Calibri"/>
          <w:sz w:val="18"/>
          <w:szCs w:val="18"/>
        </w:rPr>
        <w:footnoteRef/>
      </w:r>
      <w:r w:rsidRPr="00675624">
        <w:rPr>
          <w:rFonts w:ascii="Book Antiqua" w:hAnsi="Book Antiqua" w:cs="Calibri"/>
          <w:sz w:val="18"/>
          <w:szCs w:val="18"/>
        </w:rPr>
        <w:t xml:space="preserve"> De Valera, the architect o</w:t>
      </w:r>
      <w:r w:rsidRPr="00092ED4">
        <w:rPr>
          <w:rFonts w:ascii="Book Antiqua" w:hAnsi="Book Antiqua" w:cs="Calibri"/>
          <w:sz w:val="18"/>
          <w:szCs w:val="18"/>
        </w:rPr>
        <w:t xml:space="preserve">f the Constitution, said in the debates on the Constitution that the government will have the greatest power in the State.’ But, he noted  “if it were not for the majority of the Dail the government would not be ruling at all”. Dáil Debates 67/35; 11 May 1937. See Brian Farrell, </w:t>
      </w:r>
      <w:r w:rsidRPr="00092ED4">
        <w:rPr>
          <w:rFonts w:ascii="Book Antiqua" w:hAnsi="Book Antiqua" w:cs="Calibri"/>
          <w:i/>
          <w:sz w:val="18"/>
          <w:szCs w:val="18"/>
        </w:rPr>
        <w:t>Chairman or Chief?: the role of Taoiseach in Irish Government</w:t>
      </w:r>
      <w:r w:rsidRPr="00092ED4">
        <w:rPr>
          <w:rFonts w:ascii="Book Antiqua" w:hAnsi="Book Antiqua" w:cs="Calibri"/>
          <w:sz w:val="18"/>
          <w:szCs w:val="18"/>
        </w:rPr>
        <w:t xml:space="preserve">, (Gill and McMillan, 1971) 33. </w:t>
      </w:r>
    </w:p>
  </w:footnote>
  <w:footnote w:id="103">
    <w:p w14:paraId="74830A89" w14:textId="0A1FF26E" w:rsidR="00672A14" w:rsidRPr="00092ED4" w:rsidRDefault="00672A14">
      <w:pPr>
        <w:pStyle w:val="FootnoteText"/>
        <w:jc w:val="both"/>
        <w:rPr>
          <w:rFonts w:ascii="Book Antiqua" w:hAnsi="Book Antiqua" w:cs="Calibri"/>
          <w:color w:val="000000" w:themeColor="text1"/>
          <w:sz w:val="18"/>
          <w:szCs w:val="18"/>
        </w:rPr>
      </w:pPr>
      <w:r w:rsidRPr="00675624">
        <w:rPr>
          <w:rStyle w:val="FootnoteReference"/>
          <w:rFonts w:ascii="Book Antiqua" w:hAnsi="Book Antiqua" w:cs="Calibri"/>
          <w:color w:val="000000" w:themeColor="text1"/>
          <w:sz w:val="18"/>
          <w:szCs w:val="18"/>
        </w:rPr>
        <w:footnoteRef/>
      </w:r>
      <w:r w:rsidRPr="00675624">
        <w:rPr>
          <w:rFonts w:ascii="Book Antiqua" w:hAnsi="Book Antiqua" w:cs="Calibri"/>
          <w:color w:val="000000" w:themeColor="text1"/>
          <w:sz w:val="18"/>
          <w:szCs w:val="18"/>
        </w:rPr>
        <w:t xml:space="preserve"> </w:t>
      </w:r>
      <w:proofErr w:type="spellStart"/>
      <w:r w:rsidRPr="00675624">
        <w:rPr>
          <w:rFonts w:ascii="Book Antiqua" w:hAnsi="Book Antiqua" w:cs="Calibri"/>
          <w:color w:val="000000" w:themeColor="text1"/>
          <w:sz w:val="18"/>
          <w:szCs w:val="18"/>
        </w:rPr>
        <w:t>Muiris</w:t>
      </w:r>
      <w:proofErr w:type="spellEnd"/>
      <w:r w:rsidRPr="00675624">
        <w:rPr>
          <w:rFonts w:ascii="Book Antiqua" w:hAnsi="Book Antiqua" w:cs="Calibri"/>
          <w:color w:val="000000" w:themeColor="text1"/>
          <w:sz w:val="18"/>
          <w:szCs w:val="18"/>
        </w:rPr>
        <w:t xml:space="preserve"> </w:t>
      </w:r>
      <w:proofErr w:type="spellStart"/>
      <w:r w:rsidRPr="00675624">
        <w:rPr>
          <w:rFonts w:ascii="Book Antiqua" w:hAnsi="Book Antiqua" w:cs="Calibri"/>
          <w:color w:val="000000" w:themeColor="text1"/>
          <w:sz w:val="18"/>
          <w:szCs w:val="18"/>
        </w:rPr>
        <w:t>MacCarthaigh</w:t>
      </w:r>
      <w:proofErr w:type="spellEnd"/>
      <w:r w:rsidRPr="00675624">
        <w:rPr>
          <w:rFonts w:ascii="Book Antiqua" w:hAnsi="Book Antiqua" w:cs="Calibri"/>
          <w:color w:val="000000" w:themeColor="text1"/>
          <w:sz w:val="18"/>
          <w:szCs w:val="18"/>
        </w:rPr>
        <w:t xml:space="preserve">, </w:t>
      </w:r>
      <w:r w:rsidRPr="00092ED4">
        <w:rPr>
          <w:rFonts w:ascii="Book Antiqua" w:hAnsi="Book Antiqua" w:cs="Calibri"/>
          <w:i/>
          <w:color w:val="000000" w:themeColor="text1"/>
          <w:sz w:val="18"/>
          <w:szCs w:val="18"/>
        </w:rPr>
        <w:t xml:space="preserve">Government in Modern Ireland </w:t>
      </w:r>
      <w:r w:rsidRPr="00092ED4">
        <w:rPr>
          <w:rFonts w:ascii="Book Antiqua" w:hAnsi="Book Antiqua" w:cs="Calibri"/>
          <w:color w:val="000000" w:themeColor="text1"/>
          <w:sz w:val="18"/>
          <w:szCs w:val="18"/>
        </w:rPr>
        <w:t>(Institute of Public Administration, 2008) 39.</w:t>
      </w:r>
    </w:p>
  </w:footnote>
  <w:footnote w:id="104">
    <w:p w14:paraId="566AE11C" w14:textId="437216D4" w:rsidR="00672A14" w:rsidRPr="00DA1254" w:rsidRDefault="00672A14">
      <w:pPr>
        <w:pStyle w:val="FootnoteText"/>
        <w:rPr>
          <w:rFonts w:ascii="Book Antiqua" w:hAnsi="Book Antiqua"/>
          <w:sz w:val="18"/>
          <w:szCs w:val="18"/>
          <w:lang w:val="en-GB"/>
        </w:rPr>
      </w:pPr>
      <w:r w:rsidRPr="00DA1254">
        <w:rPr>
          <w:rStyle w:val="FootnoteReference"/>
          <w:rFonts w:ascii="Book Antiqua" w:hAnsi="Book Antiqua"/>
          <w:sz w:val="18"/>
          <w:szCs w:val="18"/>
        </w:rPr>
        <w:footnoteRef/>
      </w:r>
      <w:r w:rsidRPr="00DA1254">
        <w:rPr>
          <w:rFonts w:ascii="Book Antiqua" w:hAnsi="Book Antiqua"/>
          <w:sz w:val="18"/>
          <w:szCs w:val="18"/>
        </w:rPr>
        <w:t xml:space="preserve"> We have argued elsewhere that Ireland has a uniquely</w:t>
      </w:r>
      <w:r>
        <w:rPr>
          <w:rFonts w:ascii="Book Antiqua" w:hAnsi="Book Antiqua"/>
          <w:sz w:val="18"/>
          <w:szCs w:val="18"/>
        </w:rPr>
        <w:t xml:space="preserve"> negative form of political constitutionalism compared to other Westminster systems. </w:t>
      </w:r>
      <w:r w:rsidRPr="00CE2AEE">
        <w:rPr>
          <w:rFonts w:ascii="Book Antiqua" w:hAnsi="Book Antiqua" w:cs="Calibri"/>
          <w:color w:val="000000" w:themeColor="text1"/>
          <w:sz w:val="18"/>
          <w:szCs w:val="18"/>
        </w:rPr>
        <w:t xml:space="preserve">David Kenny and Conor Casey, “Shadow Constitutional Review” (n </w:t>
      </w:r>
      <w:r w:rsidRPr="00CE2AEE">
        <w:rPr>
          <w:rFonts w:ascii="Book Antiqua" w:hAnsi="Book Antiqua" w:cs="Calibri"/>
          <w:color w:val="000000" w:themeColor="text1"/>
          <w:sz w:val="18"/>
          <w:szCs w:val="18"/>
        </w:rPr>
        <w:fldChar w:fldCharType="begin"/>
      </w:r>
      <w:r w:rsidRPr="00CE2AEE">
        <w:rPr>
          <w:rFonts w:ascii="Book Antiqua" w:hAnsi="Book Antiqua" w:cs="Calibri"/>
          <w:color w:val="000000" w:themeColor="text1"/>
          <w:sz w:val="18"/>
          <w:szCs w:val="18"/>
        </w:rPr>
        <w:instrText xml:space="preserve"> NOTEREF _Ref37318849 \h  \* MERGEFORMAT </w:instrText>
      </w:r>
      <w:r w:rsidRPr="00CE2AEE">
        <w:rPr>
          <w:rFonts w:ascii="Book Antiqua" w:hAnsi="Book Antiqua" w:cs="Calibri"/>
          <w:color w:val="000000" w:themeColor="text1"/>
          <w:sz w:val="18"/>
          <w:szCs w:val="18"/>
        </w:rPr>
      </w:r>
      <w:r w:rsidRPr="00DA1254">
        <w:rPr>
          <w:rFonts w:ascii="Book Antiqua" w:hAnsi="Book Antiqua" w:cs="Calibri"/>
          <w:color w:val="000000" w:themeColor="text1"/>
          <w:sz w:val="18"/>
          <w:szCs w:val="18"/>
        </w:rPr>
        <w:fldChar w:fldCharType="separate"/>
      </w:r>
      <w:r w:rsidRPr="00CE2AEE">
        <w:rPr>
          <w:rFonts w:ascii="Book Antiqua" w:hAnsi="Book Antiqua" w:cs="Calibri"/>
          <w:color w:val="000000" w:themeColor="text1"/>
          <w:sz w:val="18"/>
          <w:szCs w:val="18"/>
        </w:rPr>
        <w:t>84</w:t>
      </w:r>
      <w:r w:rsidRPr="00CE2AEE">
        <w:rPr>
          <w:rFonts w:ascii="Book Antiqua" w:hAnsi="Book Antiqua" w:cs="Calibri"/>
          <w:color w:val="000000" w:themeColor="text1"/>
          <w:sz w:val="18"/>
          <w:szCs w:val="18"/>
        </w:rPr>
        <w:fldChar w:fldCharType="end"/>
      </w:r>
      <w:r w:rsidR="00ED0807">
        <w:rPr>
          <w:rFonts w:ascii="Book Antiqua" w:hAnsi="Book Antiqua" w:cs="Calibri"/>
          <w:color w:val="000000" w:themeColor="text1"/>
          <w:sz w:val="18"/>
          <w:szCs w:val="18"/>
        </w:rPr>
        <w:t>).</w:t>
      </w:r>
    </w:p>
  </w:footnote>
  <w:footnote w:id="105">
    <w:p w14:paraId="7F3B1DDC" w14:textId="1C6D623F" w:rsidR="00A81685" w:rsidRPr="00DA1254" w:rsidRDefault="00A81685">
      <w:pPr>
        <w:pStyle w:val="FootnoteText"/>
        <w:rPr>
          <w:rFonts w:ascii="Book Antiqua" w:hAnsi="Book Antiqua"/>
          <w:sz w:val="18"/>
          <w:szCs w:val="18"/>
          <w:lang w:val="en-GB"/>
        </w:rPr>
      </w:pPr>
      <w:r w:rsidRPr="00DA1254">
        <w:rPr>
          <w:rStyle w:val="FootnoteReference"/>
          <w:rFonts w:ascii="Book Antiqua" w:hAnsi="Book Antiqua"/>
          <w:sz w:val="18"/>
          <w:szCs w:val="18"/>
        </w:rPr>
        <w:footnoteRef/>
      </w:r>
      <w:r w:rsidRPr="00DA1254">
        <w:rPr>
          <w:rFonts w:ascii="Book Antiqua" w:hAnsi="Book Antiqua"/>
          <w:sz w:val="18"/>
          <w:szCs w:val="18"/>
        </w:rPr>
        <w:t xml:space="preserve"> </w:t>
      </w:r>
      <w:r w:rsidRPr="00DA1254">
        <w:rPr>
          <w:rFonts w:ascii="Book Antiqua" w:hAnsi="Book Antiqua"/>
          <w:sz w:val="18"/>
          <w:szCs w:val="18"/>
          <w:lang w:val="en-GB"/>
        </w:rPr>
        <w:t>In this election,</w:t>
      </w:r>
      <w:r w:rsidR="00671613">
        <w:rPr>
          <w:rFonts w:ascii="Book Antiqua" w:hAnsi="Book Antiqua"/>
          <w:sz w:val="18"/>
          <w:szCs w:val="18"/>
          <w:lang w:val="en-GB"/>
        </w:rPr>
        <w:t xml:space="preserve"> the populist </w:t>
      </w:r>
      <w:r w:rsidRPr="00DA1254">
        <w:rPr>
          <w:rFonts w:ascii="Book Antiqua" w:hAnsi="Book Antiqua"/>
          <w:sz w:val="18"/>
          <w:szCs w:val="18"/>
          <w:lang w:val="en-GB"/>
        </w:rPr>
        <w:t>left</w:t>
      </w:r>
      <w:r w:rsidR="00671613">
        <w:rPr>
          <w:rFonts w:ascii="Book Antiqua" w:hAnsi="Book Antiqua"/>
          <w:sz w:val="18"/>
          <w:szCs w:val="18"/>
          <w:lang w:val="en-GB"/>
        </w:rPr>
        <w:t>-wing Irish</w:t>
      </w:r>
      <w:r w:rsidRPr="00DA1254">
        <w:rPr>
          <w:rFonts w:ascii="Book Antiqua" w:hAnsi="Book Antiqua"/>
          <w:sz w:val="18"/>
          <w:szCs w:val="18"/>
          <w:lang w:val="en-GB"/>
        </w:rPr>
        <w:t xml:space="preserve"> republican party Sinn Féin won a very large share of the vote, </w:t>
      </w:r>
      <w:r w:rsidR="00F453F2" w:rsidRPr="00DA1254">
        <w:rPr>
          <w:rFonts w:ascii="Book Antiqua" w:hAnsi="Book Antiqua"/>
          <w:sz w:val="18"/>
          <w:szCs w:val="18"/>
          <w:lang w:val="en-GB"/>
        </w:rPr>
        <w:t xml:space="preserve">winning almost as many seats as </w:t>
      </w:r>
      <w:r w:rsidRPr="00DA1254">
        <w:rPr>
          <w:rFonts w:ascii="Book Antiqua" w:hAnsi="Book Antiqua"/>
          <w:sz w:val="18"/>
          <w:szCs w:val="18"/>
          <w:lang w:val="en-GB"/>
        </w:rPr>
        <w:t xml:space="preserve">Fianna </w:t>
      </w:r>
      <w:proofErr w:type="spellStart"/>
      <w:r w:rsidRPr="00DA1254">
        <w:rPr>
          <w:rFonts w:ascii="Book Antiqua" w:hAnsi="Book Antiqua"/>
          <w:sz w:val="18"/>
          <w:szCs w:val="18"/>
          <w:lang w:val="en-GB"/>
        </w:rPr>
        <w:t>Fáil</w:t>
      </w:r>
      <w:proofErr w:type="spellEnd"/>
      <w:r w:rsidRPr="00DA1254">
        <w:rPr>
          <w:rFonts w:ascii="Book Antiqua" w:hAnsi="Book Antiqua"/>
          <w:sz w:val="18"/>
          <w:szCs w:val="18"/>
          <w:lang w:val="en-GB"/>
        </w:rPr>
        <w:t xml:space="preserve"> and </w:t>
      </w:r>
      <w:r w:rsidR="00F453F2" w:rsidRPr="00DA1254">
        <w:rPr>
          <w:rFonts w:ascii="Book Antiqua" w:hAnsi="Book Antiqua"/>
          <w:sz w:val="18"/>
          <w:szCs w:val="18"/>
          <w:lang w:val="en-GB"/>
        </w:rPr>
        <w:t xml:space="preserve">more than </w:t>
      </w:r>
      <w:r w:rsidRPr="00DA1254">
        <w:rPr>
          <w:rFonts w:ascii="Book Antiqua" w:hAnsi="Book Antiqua"/>
          <w:sz w:val="18"/>
          <w:szCs w:val="18"/>
          <w:lang w:val="en-GB"/>
        </w:rPr>
        <w:t>Fine Gael</w:t>
      </w:r>
      <w:r w:rsidR="00F453F2" w:rsidRPr="00DA1254">
        <w:rPr>
          <w:rFonts w:ascii="Book Antiqua" w:hAnsi="Book Antiqua"/>
          <w:sz w:val="18"/>
          <w:szCs w:val="18"/>
          <w:lang w:val="en-GB"/>
        </w:rPr>
        <w:t xml:space="preserve">. Whatever government might be formed after this </w:t>
      </w:r>
      <w:r w:rsidR="003A714C">
        <w:rPr>
          <w:rFonts w:ascii="Book Antiqua" w:hAnsi="Book Antiqua"/>
          <w:sz w:val="18"/>
          <w:szCs w:val="18"/>
          <w:lang w:val="en-GB"/>
        </w:rPr>
        <w:t>(or a second) election, it is very likely to face a more strident opposition than was seen between 2016 and 2020.</w:t>
      </w:r>
    </w:p>
  </w:footnote>
  <w:footnote w:id="106">
    <w:p w14:paraId="3D7080FF" w14:textId="4BC38DC9" w:rsidR="00672A14" w:rsidRPr="00D723D1" w:rsidRDefault="00672A14">
      <w:pPr>
        <w:autoSpaceDE w:val="0"/>
        <w:autoSpaceDN w:val="0"/>
        <w:adjustRightInd w:val="0"/>
        <w:jc w:val="both"/>
        <w:rPr>
          <w:rFonts w:ascii="Book Antiqua" w:hAnsi="Book Antiqua"/>
          <w:color w:val="000000" w:themeColor="text1"/>
          <w:sz w:val="18"/>
          <w:szCs w:val="18"/>
        </w:rPr>
      </w:pPr>
      <w:r w:rsidRPr="00D723D1">
        <w:rPr>
          <w:rStyle w:val="FootnoteReference"/>
          <w:rFonts w:ascii="Book Antiqua" w:hAnsi="Book Antiqua"/>
          <w:color w:val="000000" w:themeColor="text1"/>
          <w:sz w:val="18"/>
          <w:szCs w:val="18"/>
        </w:rPr>
        <w:footnoteRef/>
      </w:r>
      <w:r w:rsidRPr="00D723D1">
        <w:rPr>
          <w:rFonts w:ascii="Book Antiqua" w:hAnsi="Book Antiqua"/>
          <w:color w:val="000000" w:themeColor="text1"/>
          <w:sz w:val="18"/>
          <w:szCs w:val="18"/>
        </w:rPr>
        <w:t xml:space="preserve"> Graham Gee and Grégoire Webber, “Rationalism in Public Law” (2013) 76 </w:t>
      </w:r>
      <w:r w:rsidRPr="00D723D1">
        <w:rPr>
          <w:rFonts w:ascii="Book Antiqua" w:hAnsi="Book Antiqua"/>
          <w:i/>
          <w:iCs/>
          <w:color w:val="000000" w:themeColor="text1"/>
          <w:sz w:val="18"/>
          <w:szCs w:val="18"/>
        </w:rPr>
        <w:t xml:space="preserve">Modern Law Review </w:t>
      </w:r>
      <w:r w:rsidRPr="00D723D1">
        <w:rPr>
          <w:rFonts w:ascii="Book Antiqua" w:hAnsi="Book Antiqua"/>
          <w:color w:val="000000" w:themeColor="text1"/>
          <w:sz w:val="18"/>
          <w:szCs w:val="18"/>
        </w:rPr>
        <w:t xml:space="preserve">708, 717. </w:t>
      </w:r>
    </w:p>
  </w:footnote>
  <w:footnote w:id="107">
    <w:p w14:paraId="64BCF290" w14:textId="282324BF" w:rsidR="00672A14" w:rsidRPr="00D723D1" w:rsidRDefault="00672A14">
      <w:pPr>
        <w:pStyle w:val="FootnoteText"/>
        <w:jc w:val="both"/>
        <w:rPr>
          <w:rFonts w:ascii="Book Antiqua" w:hAnsi="Book Antiqua"/>
          <w:color w:val="000000" w:themeColor="text1"/>
          <w:sz w:val="18"/>
          <w:szCs w:val="18"/>
        </w:rPr>
      </w:pPr>
      <w:r w:rsidRPr="00D723D1">
        <w:rPr>
          <w:rStyle w:val="FootnoteReference"/>
          <w:rFonts w:ascii="Book Antiqua" w:hAnsi="Book Antiqua"/>
          <w:color w:val="000000" w:themeColor="text1"/>
          <w:sz w:val="18"/>
          <w:szCs w:val="18"/>
        </w:rPr>
        <w:footnoteRef/>
      </w:r>
      <w:r w:rsidRPr="00D723D1">
        <w:rPr>
          <w:rFonts w:ascii="Book Antiqua" w:hAnsi="Book Antiqua"/>
          <w:color w:val="000000" w:themeColor="text1"/>
          <w:sz w:val="18"/>
          <w:szCs w:val="18"/>
        </w:rPr>
        <w:t xml:space="preserve"> Conor Casey, “The Constitution Outside the Courts: The Case for Parliamentary Involvement in Constitutional Review” (2019) 61 Irish Jurist</w:t>
      </w:r>
      <w:r w:rsidRPr="00D723D1">
        <w:rPr>
          <w:rFonts w:ascii="Book Antiqua" w:hAnsi="Book Antiqua"/>
          <w:i/>
          <w:iCs/>
          <w:color w:val="000000" w:themeColor="text1"/>
          <w:sz w:val="18"/>
          <w:szCs w:val="18"/>
        </w:rPr>
        <w:t xml:space="preserve"> </w:t>
      </w:r>
      <w:r w:rsidRPr="00D723D1">
        <w:rPr>
          <w:rFonts w:ascii="Book Antiqua" w:hAnsi="Book Antiqua"/>
          <w:color w:val="000000" w:themeColor="text1"/>
          <w:sz w:val="18"/>
          <w:szCs w:val="18"/>
        </w:rPr>
        <w:t>36-64.</w:t>
      </w:r>
    </w:p>
  </w:footnote>
  <w:footnote w:id="108">
    <w:p w14:paraId="7EE5E3FE" w14:textId="4FAC4DCF" w:rsidR="00672A14" w:rsidRPr="00D723D1" w:rsidRDefault="00672A14" w:rsidP="00D723D1">
      <w:pPr>
        <w:autoSpaceDE w:val="0"/>
        <w:autoSpaceDN w:val="0"/>
        <w:adjustRightInd w:val="0"/>
        <w:jc w:val="both"/>
        <w:rPr>
          <w:rFonts w:ascii="Book Antiqua" w:hAnsi="Book Antiqua"/>
          <w:sz w:val="18"/>
          <w:szCs w:val="18"/>
        </w:rPr>
      </w:pPr>
      <w:r w:rsidRPr="00D723D1">
        <w:rPr>
          <w:rStyle w:val="FootnoteReference"/>
          <w:rFonts w:ascii="Book Antiqua" w:hAnsi="Book Antiqua"/>
          <w:color w:val="000000" w:themeColor="text1"/>
          <w:sz w:val="18"/>
          <w:szCs w:val="18"/>
        </w:rPr>
        <w:footnoteRef/>
      </w:r>
      <w:r w:rsidRPr="00D723D1">
        <w:rPr>
          <w:rFonts w:ascii="Book Antiqua" w:hAnsi="Book Antiqua"/>
          <w:color w:val="000000" w:themeColor="text1"/>
          <w:sz w:val="18"/>
          <w:szCs w:val="18"/>
        </w:rPr>
        <w:t xml:space="preserve"> See </w:t>
      </w:r>
      <w:r w:rsidRPr="00D723D1">
        <w:rPr>
          <w:rFonts w:ascii="Book Antiqua" w:eastAsiaTheme="minorHAnsi" w:hAnsi="Book Antiqua"/>
          <w:color w:val="000000" w:themeColor="text1"/>
          <w:sz w:val="18"/>
          <w:szCs w:val="18"/>
          <w:lang w:eastAsia="en-US"/>
        </w:rPr>
        <w:t>David Kenny, "Merit, Diversity and Interpretive Communities: The (non) party politics of Judicial Appointments" in Hickey, Cahillane and Gallen (eds.), Judges, Politics and the Irish Constitution (Manchester University Press, 2017).</w:t>
      </w:r>
      <w:r w:rsidRPr="00D723D1" w:rsidDel="005D112E">
        <w:rPr>
          <w:rFonts w:ascii="Book Antiqua" w:hAnsi="Book Antiqua"/>
          <w:color w:val="000000" w:themeColor="text1"/>
          <w:sz w:val="18"/>
          <w:szCs w:val="18"/>
        </w:rPr>
        <w:t xml:space="preserve"> </w:t>
      </w:r>
    </w:p>
  </w:footnote>
  <w:footnote w:id="109">
    <w:p w14:paraId="0E447347" w14:textId="7781C8CE" w:rsidR="00672A14" w:rsidRPr="00092ED4" w:rsidRDefault="00672A14" w:rsidP="00D723D1">
      <w:pPr>
        <w:jc w:val="both"/>
        <w:rPr>
          <w:rFonts w:ascii="Book Antiqua" w:hAnsi="Book Antiqua"/>
          <w:sz w:val="18"/>
          <w:szCs w:val="18"/>
        </w:rPr>
      </w:pPr>
      <w:r w:rsidRPr="00675624">
        <w:rPr>
          <w:rStyle w:val="FootnoteReference"/>
          <w:rFonts w:ascii="Book Antiqua" w:hAnsi="Book Antiqua"/>
          <w:sz w:val="18"/>
          <w:szCs w:val="18"/>
        </w:rPr>
        <w:footnoteRef/>
      </w:r>
      <w:r w:rsidRPr="00675624">
        <w:rPr>
          <w:rFonts w:ascii="Book Antiqua" w:hAnsi="Book Antiqua"/>
          <w:sz w:val="18"/>
          <w:szCs w:val="18"/>
        </w:rPr>
        <w:t xml:space="preserve"> David </w:t>
      </w:r>
      <w:proofErr w:type="spellStart"/>
      <w:r w:rsidRPr="00675624">
        <w:rPr>
          <w:rFonts w:ascii="Book Antiqua" w:hAnsi="Book Antiqua"/>
          <w:sz w:val="18"/>
          <w:szCs w:val="18"/>
        </w:rPr>
        <w:t>Pozen</w:t>
      </w:r>
      <w:proofErr w:type="spellEnd"/>
      <w:r w:rsidRPr="00675624">
        <w:rPr>
          <w:rFonts w:ascii="Book Antiqua" w:hAnsi="Book Antiqua"/>
          <w:sz w:val="18"/>
          <w:szCs w:val="18"/>
        </w:rPr>
        <w:t xml:space="preserve">, </w:t>
      </w:r>
      <w:r w:rsidRPr="00EC591E">
        <w:rPr>
          <w:rFonts w:ascii="Book Antiqua" w:hAnsi="Book Antiqua"/>
          <w:sz w:val="18"/>
          <w:szCs w:val="18"/>
        </w:rPr>
        <w:t xml:space="preserve">“Self-Help and the Separation of Powers” (2016) 124 </w:t>
      </w:r>
      <w:r w:rsidRPr="00D723D1">
        <w:rPr>
          <w:rFonts w:ascii="Book Antiqua" w:hAnsi="Book Antiqua"/>
          <w:sz w:val="18"/>
          <w:szCs w:val="18"/>
        </w:rPr>
        <w:t>Yale Law Journal</w:t>
      </w:r>
      <w:r w:rsidRPr="00675624">
        <w:rPr>
          <w:rFonts w:ascii="Book Antiqua" w:hAnsi="Book Antiqua"/>
          <w:sz w:val="18"/>
          <w:szCs w:val="18"/>
        </w:rPr>
        <w:t xml:space="preserve"> </w:t>
      </w:r>
      <w:r w:rsidRPr="00EC591E">
        <w:rPr>
          <w:rFonts w:ascii="Book Antiqua" w:hAnsi="Book Antiqua"/>
          <w:sz w:val="18"/>
          <w:szCs w:val="18"/>
        </w:rPr>
        <w:t xml:space="preserve">2, 8-12. </w:t>
      </w:r>
      <w:r w:rsidRPr="00EC591E">
        <w:rPr>
          <w:rFonts w:ascii="Book Antiqua" w:hAnsi="Book Antiqua"/>
          <w:i/>
          <w:iCs/>
          <w:sz w:val="18"/>
          <w:szCs w:val="18"/>
        </w:rPr>
        <w:t xml:space="preserve">See </w:t>
      </w:r>
      <w:r w:rsidRPr="00EC591E">
        <w:rPr>
          <w:rFonts w:ascii="Book Antiqua" w:hAnsi="Book Antiqua"/>
          <w:sz w:val="18"/>
          <w:szCs w:val="18"/>
        </w:rPr>
        <w:t xml:space="preserve">also </w:t>
      </w:r>
      <w:r w:rsidRPr="00D723D1">
        <w:rPr>
          <w:rFonts w:ascii="Book Antiqua" w:hAnsi="Book Antiqua"/>
          <w:sz w:val="18"/>
          <w:szCs w:val="18"/>
        </w:rPr>
        <w:t>N.W. Barber, “Self-Defence for Institutions” (2013) 72 Cambridge Law Journal</w:t>
      </w:r>
      <w:r w:rsidRPr="00D723D1">
        <w:rPr>
          <w:rFonts w:ascii="Book Antiqua" w:hAnsi="Book Antiqua"/>
          <w:i/>
          <w:iCs/>
          <w:sz w:val="18"/>
          <w:szCs w:val="18"/>
        </w:rPr>
        <w:t xml:space="preserve"> </w:t>
      </w:r>
      <w:r w:rsidRPr="00D723D1">
        <w:rPr>
          <w:rFonts w:ascii="Book Antiqua" w:hAnsi="Book Antiqua"/>
          <w:sz w:val="18"/>
          <w:szCs w:val="18"/>
        </w:rPr>
        <w:t>558, 561.</w:t>
      </w:r>
    </w:p>
  </w:footnote>
  <w:footnote w:id="110">
    <w:p w14:paraId="722D3309" w14:textId="47A934B9" w:rsidR="00672A14" w:rsidRPr="00092ED4" w:rsidRDefault="00672A14" w:rsidP="00675624">
      <w:pPr>
        <w:pStyle w:val="FootnoteText"/>
        <w:jc w:val="both"/>
        <w:rPr>
          <w:rFonts w:ascii="Book Antiqua" w:hAnsi="Book Antiqua"/>
          <w:sz w:val="18"/>
          <w:szCs w:val="18"/>
        </w:rPr>
      </w:pPr>
      <w:r w:rsidRPr="00675624">
        <w:rPr>
          <w:rStyle w:val="FootnoteReference"/>
          <w:rFonts w:ascii="Book Antiqua" w:hAnsi="Book Antiqua"/>
          <w:sz w:val="18"/>
          <w:szCs w:val="18"/>
        </w:rPr>
        <w:footnoteRef/>
      </w:r>
      <w:r w:rsidRPr="00675624">
        <w:rPr>
          <w:rFonts w:ascii="Book Antiqua" w:hAnsi="Book Antiqua"/>
          <w:sz w:val="18"/>
          <w:szCs w:val="18"/>
        </w:rPr>
        <w:t xml:space="preserve"> </w:t>
      </w:r>
      <w:r w:rsidRPr="00675624">
        <w:rPr>
          <w:rFonts w:ascii="Book Antiqua" w:hAnsi="Book Antiqua"/>
          <w:sz w:val="18"/>
          <w:szCs w:val="18"/>
        </w:rPr>
        <w:t xml:space="preserve">Graham Gee </w:t>
      </w:r>
      <w:r w:rsidRPr="00092ED4">
        <w:rPr>
          <w:rFonts w:ascii="Book Antiqua" w:hAnsi="Book Antiqua"/>
          <w:sz w:val="18"/>
          <w:szCs w:val="18"/>
        </w:rPr>
        <w:t xml:space="preserve">and Grégoire Webber, “Rationalism in Public Law” (n </w:t>
      </w:r>
      <w:r w:rsidRPr="00D05017">
        <w:rPr>
          <w:rFonts w:ascii="Book Antiqua" w:hAnsi="Book Antiqua"/>
          <w:sz w:val="18"/>
          <w:szCs w:val="18"/>
        </w:rPr>
        <w:fldChar w:fldCharType="begin"/>
      </w:r>
      <w:r w:rsidRPr="00092ED4">
        <w:rPr>
          <w:rFonts w:ascii="Book Antiqua" w:hAnsi="Book Antiqua"/>
          <w:sz w:val="18"/>
          <w:szCs w:val="18"/>
        </w:rPr>
        <w:instrText xml:space="preserve"> NOTEREF _Ref37320520 \h  \* MERGEFORMAT </w:instrText>
      </w:r>
      <w:r w:rsidRPr="00D05017">
        <w:rPr>
          <w:rFonts w:ascii="Book Antiqua" w:hAnsi="Book Antiqua"/>
          <w:sz w:val="18"/>
          <w:szCs w:val="18"/>
        </w:rPr>
      </w:r>
      <w:r w:rsidRPr="00D05017">
        <w:rPr>
          <w:rFonts w:ascii="Book Antiqua" w:hAnsi="Book Antiqua"/>
          <w:sz w:val="18"/>
          <w:szCs w:val="18"/>
        </w:rPr>
        <w:fldChar w:fldCharType="separate"/>
      </w:r>
      <w:r w:rsidRPr="00092ED4">
        <w:rPr>
          <w:rFonts w:ascii="Book Antiqua" w:hAnsi="Book Antiqua"/>
          <w:sz w:val="18"/>
          <w:szCs w:val="18"/>
        </w:rPr>
        <w:t>112</w:t>
      </w:r>
      <w:r w:rsidRPr="00D05017">
        <w:rPr>
          <w:rFonts w:ascii="Book Antiqua" w:hAnsi="Book Antiqua"/>
          <w:sz w:val="18"/>
          <w:szCs w:val="18"/>
        </w:rPr>
        <w:fldChar w:fldCharType="end"/>
      </w:r>
      <w:r w:rsidRPr="00675624">
        <w:rPr>
          <w:rFonts w:ascii="Book Antiqua" w:hAnsi="Book Antiqua"/>
          <w:sz w:val="18"/>
          <w:szCs w:val="18"/>
        </w:rPr>
        <w:t>)</w:t>
      </w:r>
      <w:r w:rsidRPr="00092ED4">
        <w:rPr>
          <w:rFonts w:ascii="Book Antiqua" w:hAnsi="Book Antiqua"/>
          <w:sz w:val="18"/>
          <w:szCs w:val="18"/>
        </w:rPr>
        <w:t xml:space="preserve"> 732.</w:t>
      </w:r>
    </w:p>
  </w:footnote>
  <w:footnote w:id="111">
    <w:p w14:paraId="0DE53D26" w14:textId="37106969" w:rsidR="00672A14" w:rsidRPr="009C65DA" w:rsidRDefault="00672A14">
      <w:pPr>
        <w:autoSpaceDE w:val="0"/>
        <w:autoSpaceDN w:val="0"/>
        <w:adjustRightInd w:val="0"/>
        <w:jc w:val="both"/>
        <w:rPr>
          <w:rFonts w:ascii="Calibri" w:hAnsi="Calibri" w:cs="Calibri"/>
          <w:sz w:val="18"/>
          <w:szCs w:val="18"/>
        </w:rPr>
      </w:pPr>
      <w:r w:rsidRPr="00675624">
        <w:rPr>
          <w:rStyle w:val="FootnoteReference"/>
          <w:rFonts w:ascii="Book Antiqua" w:hAnsi="Book Antiqua"/>
          <w:sz w:val="18"/>
          <w:szCs w:val="18"/>
        </w:rPr>
        <w:footnoteRef/>
      </w:r>
      <w:r w:rsidRPr="00675624">
        <w:rPr>
          <w:rFonts w:ascii="Book Antiqua" w:hAnsi="Book Antiqua"/>
          <w:sz w:val="18"/>
          <w:szCs w:val="18"/>
        </w:rPr>
        <w:t xml:space="preserve"> Davi</w:t>
      </w:r>
      <w:r w:rsidRPr="00092ED4">
        <w:rPr>
          <w:rFonts w:ascii="Book Antiqua" w:hAnsi="Book Antiqua"/>
          <w:sz w:val="18"/>
          <w:szCs w:val="18"/>
        </w:rPr>
        <w:t>d Kenny, “</w:t>
      </w:r>
      <w:r w:rsidRPr="00092ED4">
        <w:rPr>
          <w:rFonts w:ascii="Book Antiqua" w:hAnsi="Book Antiqua" w:cs="Calibri"/>
          <w:sz w:val="18"/>
          <w:szCs w:val="18"/>
        </w:rPr>
        <w:t xml:space="preserve">Conventions in Judicial Decision-Making: Epistemology and the Limits of Critical Self-Consciousness” (2015) 38 432, </w:t>
      </w:r>
      <w:r w:rsidRPr="00092ED4">
        <w:rPr>
          <w:rFonts w:ascii="Book Antiqua" w:hAnsi="Book Antiqua"/>
          <w:sz w:val="18"/>
          <w:szCs w:val="18"/>
        </w:rPr>
        <w:t>436.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A0371" w14:textId="69FF2347" w:rsidR="00851A80" w:rsidRPr="00851A80" w:rsidRDefault="00851A80">
    <w:pPr>
      <w:pStyle w:val="Header"/>
      <w:rPr>
        <w:lang w:val="en-GB"/>
      </w:rPr>
    </w:pPr>
    <w:r>
      <w:rPr>
        <w:lang w:val="en-GB"/>
      </w:rPr>
      <w:t xml:space="preserve">Forthcoming </w:t>
    </w:r>
    <w:r>
      <w:rPr>
        <w:i/>
        <w:iCs/>
        <w:lang w:val="en-GB"/>
      </w:rPr>
      <w:t xml:space="preserve">Public Law </w:t>
    </w:r>
    <w:r>
      <w:rPr>
        <w:lang w:val="en-GB"/>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9D"/>
    <w:rsid w:val="00006AF4"/>
    <w:rsid w:val="00006F22"/>
    <w:rsid w:val="0001115A"/>
    <w:rsid w:val="00015943"/>
    <w:rsid w:val="00015DA9"/>
    <w:rsid w:val="000266F6"/>
    <w:rsid w:val="00027D15"/>
    <w:rsid w:val="0003051F"/>
    <w:rsid w:val="0003145E"/>
    <w:rsid w:val="00033F06"/>
    <w:rsid w:val="000348D1"/>
    <w:rsid w:val="00034CCD"/>
    <w:rsid w:val="00035FCF"/>
    <w:rsid w:val="00043A96"/>
    <w:rsid w:val="00045E80"/>
    <w:rsid w:val="000473DE"/>
    <w:rsid w:val="000617A3"/>
    <w:rsid w:val="00061F78"/>
    <w:rsid w:val="00063839"/>
    <w:rsid w:val="00067FFE"/>
    <w:rsid w:val="00072235"/>
    <w:rsid w:val="00073FB1"/>
    <w:rsid w:val="00077075"/>
    <w:rsid w:val="00081690"/>
    <w:rsid w:val="000833AA"/>
    <w:rsid w:val="00083A29"/>
    <w:rsid w:val="00085940"/>
    <w:rsid w:val="00086C7B"/>
    <w:rsid w:val="00090471"/>
    <w:rsid w:val="00092ED4"/>
    <w:rsid w:val="00093762"/>
    <w:rsid w:val="000A1BAA"/>
    <w:rsid w:val="000A2C97"/>
    <w:rsid w:val="000A5F4A"/>
    <w:rsid w:val="000B2253"/>
    <w:rsid w:val="000B58DD"/>
    <w:rsid w:val="000C2F42"/>
    <w:rsid w:val="000C5937"/>
    <w:rsid w:val="000C5B17"/>
    <w:rsid w:val="000C6691"/>
    <w:rsid w:val="000D01B6"/>
    <w:rsid w:val="000D1A77"/>
    <w:rsid w:val="000D475D"/>
    <w:rsid w:val="000D537F"/>
    <w:rsid w:val="000D54EE"/>
    <w:rsid w:val="000D5B71"/>
    <w:rsid w:val="000D6751"/>
    <w:rsid w:val="000E3ECD"/>
    <w:rsid w:val="000E4037"/>
    <w:rsid w:val="000E4928"/>
    <w:rsid w:val="000E6ABB"/>
    <w:rsid w:val="000F0F2D"/>
    <w:rsid w:val="000F1575"/>
    <w:rsid w:val="0010139B"/>
    <w:rsid w:val="001114A9"/>
    <w:rsid w:val="00114A76"/>
    <w:rsid w:val="00114E47"/>
    <w:rsid w:val="00116463"/>
    <w:rsid w:val="00130DB2"/>
    <w:rsid w:val="00130F1B"/>
    <w:rsid w:val="00134CCE"/>
    <w:rsid w:val="00135A5C"/>
    <w:rsid w:val="001449B0"/>
    <w:rsid w:val="00145025"/>
    <w:rsid w:val="001455DB"/>
    <w:rsid w:val="00152B85"/>
    <w:rsid w:val="001630FF"/>
    <w:rsid w:val="00164194"/>
    <w:rsid w:val="00164B83"/>
    <w:rsid w:val="00170BDF"/>
    <w:rsid w:val="00171E95"/>
    <w:rsid w:val="0017478B"/>
    <w:rsid w:val="00177D0B"/>
    <w:rsid w:val="0018551C"/>
    <w:rsid w:val="001857F5"/>
    <w:rsid w:val="00192B9F"/>
    <w:rsid w:val="001935DE"/>
    <w:rsid w:val="00194897"/>
    <w:rsid w:val="001A086C"/>
    <w:rsid w:val="001A0CE7"/>
    <w:rsid w:val="001A481D"/>
    <w:rsid w:val="001A5FB8"/>
    <w:rsid w:val="001A714B"/>
    <w:rsid w:val="001B4070"/>
    <w:rsid w:val="001B5389"/>
    <w:rsid w:val="001B540C"/>
    <w:rsid w:val="001B62B4"/>
    <w:rsid w:val="001B79C2"/>
    <w:rsid w:val="001C44DB"/>
    <w:rsid w:val="001C7EB8"/>
    <w:rsid w:val="001D0AB5"/>
    <w:rsid w:val="001D4A11"/>
    <w:rsid w:val="001D5ED5"/>
    <w:rsid w:val="001D6A09"/>
    <w:rsid w:val="001D7781"/>
    <w:rsid w:val="001E23A7"/>
    <w:rsid w:val="001E25C6"/>
    <w:rsid w:val="001E4739"/>
    <w:rsid w:val="001F073F"/>
    <w:rsid w:val="001F238F"/>
    <w:rsid w:val="001F3383"/>
    <w:rsid w:val="001F3C84"/>
    <w:rsid w:val="001F53A4"/>
    <w:rsid w:val="0020538D"/>
    <w:rsid w:val="00206048"/>
    <w:rsid w:val="0021127D"/>
    <w:rsid w:val="002127A8"/>
    <w:rsid w:val="002134EA"/>
    <w:rsid w:val="00214F36"/>
    <w:rsid w:val="002242B8"/>
    <w:rsid w:val="002247F8"/>
    <w:rsid w:val="00224F1B"/>
    <w:rsid w:val="00225313"/>
    <w:rsid w:val="00231EC6"/>
    <w:rsid w:val="002333AE"/>
    <w:rsid w:val="00235183"/>
    <w:rsid w:val="00235CD0"/>
    <w:rsid w:val="0024025C"/>
    <w:rsid w:val="002415B8"/>
    <w:rsid w:val="00243F05"/>
    <w:rsid w:val="00247783"/>
    <w:rsid w:val="00247CC8"/>
    <w:rsid w:val="0025106B"/>
    <w:rsid w:val="002516B9"/>
    <w:rsid w:val="00251E96"/>
    <w:rsid w:val="002540D2"/>
    <w:rsid w:val="0025547E"/>
    <w:rsid w:val="00255640"/>
    <w:rsid w:val="002579FD"/>
    <w:rsid w:val="00263142"/>
    <w:rsid w:val="00263858"/>
    <w:rsid w:val="002666CE"/>
    <w:rsid w:val="00270D42"/>
    <w:rsid w:val="002726E0"/>
    <w:rsid w:val="00274A0F"/>
    <w:rsid w:val="00275E04"/>
    <w:rsid w:val="00281C69"/>
    <w:rsid w:val="00282DD5"/>
    <w:rsid w:val="00284953"/>
    <w:rsid w:val="00292900"/>
    <w:rsid w:val="00295544"/>
    <w:rsid w:val="00295548"/>
    <w:rsid w:val="00295FD5"/>
    <w:rsid w:val="00296EA6"/>
    <w:rsid w:val="002A4BFB"/>
    <w:rsid w:val="002A7067"/>
    <w:rsid w:val="002B1AA0"/>
    <w:rsid w:val="002B564E"/>
    <w:rsid w:val="002C1DC9"/>
    <w:rsid w:val="002C3141"/>
    <w:rsid w:val="002C590F"/>
    <w:rsid w:val="002C7FD0"/>
    <w:rsid w:val="002D4561"/>
    <w:rsid w:val="002D7251"/>
    <w:rsid w:val="002E11FC"/>
    <w:rsid w:val="002E70C7"/>
    <w:rsid w:val="002F52E8"/>
    <w:rsid w:val="002F5317"/>
    <w:rsid w:val="0030494F"/>
    <w:rsid w:val="003056AE"/>
    <w:rsid w:val="003108CA"/>
    <w:rsid w:val="00311E03"/>
    <w:rsid w:val="003128DD"/>
    <w:rsid w:val="003158C6"/>
    <w:rsid w:val="00315A48"/>
    <w:rsid w:val="00316CA7"/>
    <w:rsid w:val="00316FA8"/>
    <w:rsid w:val="0031716F"/>
    <w:rsid w:val="003241E1"/>
    <w:rsid w:val="003250DB"/>
    <w:rsid w:val="0034032E"/>
    <w:rsid w:val="00344C8E"/>
    <w:rsid w:val="00350473"/>
    <w:rsid w:val="00350BDA"/>
    <w:rsid w:val="00355202"/>
    <w:rsid w:val="00357B0D"/>
    <w:rsid w:val="003652E3"/>
    <w:rsid w:val="0037151E"/>
    <w:rsid w:val="00371A15"/>
    <w:rsid w:val="003739B7"/>
    <w:rsid w:val="00373ED7"/>
    <w:rsid w:val="00375506"/>
    <w:rsid w:val="00375BFC"/>
    <w:rsid w:val="00375F42"/>
    <w:rsid w:val="00376D7D"/>
    <w:rsid w:val="00381307"/>
    <w:rsid w:val="00383CD1"/>
    <w:rsid w:val="003853FA"/>
    <w:rsid w:val="00386AE6"/>
    <w:rsid w:val="00386BE4"/>
    <w:rsid w:val="00396CB4"/>
    <w:rsid w:val="003A1329"/>
    <w:rsid w:val="003A714C"/>
    <w:rsid w:val="003B04F7"/>
    <w:rsid w:val="003B4E9C"/>
    <w:rsid w:val="003B5CB0"/>
    <w:rsid w:val="003C1A84"/>
    <w:rsid w:val="003C4C3E"/>
    <w:rsid w:val="003C527E"/>
    <w:rsid w:val="003D055C"/>
    <w:rsid w:val="003E0065"/>
    <w:rsid w:val="003E3DA1"/>
    <w:rsid w:val="003E72F2"/>
    <w:rsid w:val="003E754E"/>
    <w:rsid w:val="003F07D0"/>
    <w:rsid w:val="003F0C22"/>
    <w:rsid w:val="003F199C"/>
    <w:rsid w:val="003F681B"/>
    <w:rsid w:val="00403B57"/>
    <w:rsid w:val="00413717"/>
    <w:rsid w:val="00416470"/>
    <w:rsid w:val="004164AB"/>
    <w:rsid w:val="0041658D"/>
    <w:rsid w:val="00417899"/>
    <w:rsid w:val="00420073"/>
    <w:rsid w:val="0042396A"/>
    <w:rsid w:val="00424CE0"/>
    <w:rsid w:val="0042778E"/>
    <w:rsid w:val="00433630"/>
    <w:rsid w:val="004361E7"/>
    <w:rsid w:val="00442764"/>
    <w:rsid w:val="004445AD"/>
    <w:rsid w:val="004448C4"/>
    <w:rsid w:val="00445A01"/>
    <w:rsid w:val="0044744F"/>
    <w:rsid w:val="00455849"/>
    <w:rsid w:val="00456D63"/>
    <w:rsid w:val="0046208C"/>
    <w:rsid w:val="00462432"/>
    <w:rsid w:val="00464F3A"/>
    <w:rsid w:val="00470748"/>
    <w:rsid w:val="00470B63"/>
    <w:rsid w:val="00472458"/>
    <w:rsid w:val="00480710"/>
    <w:rsid w:val="00480C68"/>
    <w:rsid w:val="00481F71"/>
    <w:rsid w:val="0048486B"/>
    <w:rsid w:val="00492FFE"/>
    <w:rsid w:val="0049486A"/>
    <w:rsid w:val="004961A4"/>
    <w:rsid w:val="004978EF"/>
    <w:rsid w:val="00497B32"/>
    <w:rsid w:val="004A3127"/>
    <w:rsid w:val="004A54B3"/>
    <w:rsid w:val="004A6C5B"/>
    <w:rsid w:val="004A6FF7"/>
    <w:rsid w:val="004B0181"/>
    <w:rsid w:val="004B0385"/>
    <w:rsid w:val="004B0CED"/>
    <w:rsid w:val="004B10CB"/>
    <w:rsid w:val="004B2708"/>
    <w:rsid w:val="004C0DFE"/>
    <w:rsid w:val="004D21A8"/>
    <w:rsid w:val="004D3AA5"/>
    <w:rsid w:val="004E1595"/>
    <w:rsid w:val="004F03D2"/>
    <w:rsid w:val="004F304E"/>
    <w:rsid w:val="004F4D3F"/>
    <w:rsid w:val="004F5CAA"/>
    <w:rsid w:val="005005A0"/>
    <w:rsid w:val="00501D0B"/>
    <w:rsid w:val="00502824"/>
    <w:rsid w:val="00507042"/>
    <w:rsid w:val="00516CE4"/>
    <w:rsid w:val="0052151C"/>
    <w:rsid w:val="005238F9"/>
    <w:rsid w:val="00523A95"/>
    <w:rsid w:val="0052606C"/>
    <w:rsid w:val="00530538"/>
    <w:rsid w:val="00531DBE"/>
    <w:rsid w:val="00536D7E"/>
    <w:rsid w:val="00536F00"/>
    <w:rsid w:val="00541322"/>
    <w:rsid w:val="005425B0"/>
    <w:rsid w:val="005429EC"/>
    <w:rsid w:val="00545148"/>
    <w:rsid w:val="005473FA"/>
    <w:rsid w:val="00547DAC"/>
    <w:rsid w:val="00550AEB"/>
    <w:rsid w:val="00550E82"/>
    <w:rsid w:val="00551C24"/>
    <w:rsid w:val="00552475"/>
    <w:rsid w:val="0056184D"/>
    <w:rsid w:val="00563E7D"/>
    <w:rsid w:val="00565296"/>
    <w:rsid w:val="00571587"/>
    <w:rsid w:val="00580116"/>
    <w:rsid w:val="00581DC8"/>
    <w:rsid w:val="005839A0"/>
    <w:rsid w:val="00583BDD"/>
    <w:rsid w:val="005874F8"/>
    <w:rsid w:val="00587644"/>
    <w:rsid w:val="00590939"/>
    <w:rsid w:val="005914A2"/>
    <w:rsid w:val="00592ED5"/>
    <w:rsid w:val="00594489"/>
    <w:rsid w:val="005B2470"/>
    <w:rsid w:val="005B2985"/>
    <w:rsid w:val="005C10D8"/>
    <w:rsid w:val="005C16BB"/>
    <w:rsid w:val="005C3A6E"/>
    <w:rsid w:val="005C4B61"/>
    <w:rsid w:val="005D00A4"/>
    <w:rsid w:val="005D112E"/>
    <w:rsid w:val="005D2E2A"/>
    <w:rsid w:val="005D3A32"/>
    <w:rsid w:val="005D450C"/>
    <w:rsid w:val="005E6683"/>
    <w:rsid w:val="005E7EDF"/>
    <w:rsid w:val="005F1F32"/>
    <w:rsid w:val="005F36A2"/>
    <w:rsid w:val="005F4D9F"/>
    <w:rsid w:val="00603F74"/>
    <w:rsid w:val="006046F1"/>
    <w:rsid w:val="00604918"/>
    <w:rsid w:val="00605138"/>
    <w:rsid w:val="00607DF1"/>
    <w:rsid w:val="00607E8F"/>
    <w:rsid w:val="00607EB5"/>
    <w:rsid w:val="00610817"/>
    <w:rsid w:val="00614670"/>
    <w:rsid w:val="00614AF7"/>
    <w:rsid w:val="00615037"/>
    <w:rsid w:val="00617A7F"/>
    <w:rsid w:val="00620715"/>
    <w:rsid w:val="00621C4C"/>
    <w:rsid w:val="00630F0E"/>
    <w:rsid w:val="00632BBD"/>
    <w:rsid w:val="00634AB5"/>
    <w:rsid w:val="00637FDF"/>
    <w:rsid w:val="00640984"/>
    <w:rsid w:val="0064446F"/>
    <w:rsid w:val="006454A1"/>
    <w:rsid w:val="00645DEE"/>
    <w:rsid w:val="00646888"/>
    <w:rsid w:val="006474AD"/>
    <w:rsid w:val="006501E0"/>
    <w:rsid w:val="0065261A"/>
    <w:rsid w:val="00652E0E"/>
    <w:rsid w:val="00656029"/>
    <w:rsid w:val="00671613"/>
    <w:rsid w:val="00672A14"/>
    <w:rsid w:val="00675624"/>
    <w:rsid w:val="0068215E"/>
    <w:rsid w:val="006830E7"/>
    <w:rsid w:val="0068431D"/>
    <w:rsid w:val="00685BDD"/>
    <w:rsid w:val="0068627E"/>
    <w:rsid w:val="00686EC0"/>
    <w:rsid w:val="00691453"/>
    <w:rsid w:val="00691E7C"/>
    <w:rsid w:val="00692238"/>
    <w:rsid w:val="00692FEB"/>
    <w:rsid w:val="006933C0"/>
    <w:rsid w:val="00693734"/>
    <w:rsid w:val="006A342E"/>
    <w:rsid w:val="006A47DF"/>
    <w:rsid w:val="006A5677"/>
    <w:rsid w:val="006B6BEF"/>
    <w:rsid w:val="006C1558"/>
    <w:rsid w:val="006C2A2D"/>
    <w:rsid w:val="006C3BBD"/>
    <w:rsid w:val="006D1E8B"/>
    <w:rsid w:val="006D247D"/>
    <w:rsid w:val="006D2DED"/>
    <w:rsid w:val="006E162D"/>
    <w:rsid w:val="006E1C74"/>
    <w:rsid w:val="006E6780"/>
    <w:rsid w:val="006F1251"/>
    <w:rsid w:val="006F4DBE"/>
    <w:rsid w:val="007005AA"/>
    <w:rsid w:val="0070344F"/>
    <w:rsid w:val="007059FE"/>
    <w:rsid w:val="007074F3"/>
    <w:rsid w:val="00710AAB"/>
    <w:rsid w:val="007114FE"/>
    <w:rsid w:val="007124CD"/>
    <w:rsid w:val="00713A86"/>
    <w:rsid w:val="00715129"/>
    <w:rsid w:val="00716BF0"/>
    <w:rsid w:val="00717A1B"/>
    <w:rsid w:val="007223C0"/>
    <w:rsid w:val="00726DF7"/>
    <w:rsid w:val="00727629"/>
    <w:rsid w:val="00734604"/>
    <w:rsid w:val="00740146"/>
    <w:rsid w:val="007425D3"/>
    <w:rsid w:val="00742C3A"/>
    <w:rsid w:val="0074467D"/>
    <w:rsid w:val="00744FB6"/>
    <w:rsid w:val="007463EF"/>
    <w:rsid w:val="00746649"/>
    <w:rsid w:val="00747464"/>
    <w:rsid w:val="00752EA9"/>
    <w:rsid w:val="00757F64"/>
    <w:rsid w:val="00760C4A"/>
    <w:rsid w:val="00770130"/>
    <w:rsid w:val="00771CA0"/>
    <w:rsid w:val="007723BC"/>
    <w:rsid w:val="007745A9"/>
    <w:rsid w:val="007764A7"/>
    <w:rsid w:val="00777493"/>
    <w:rsid w:val="00780BAF"/>
    <w:rsid w:val="0078345A"/>
    <w:rsid w:val="00784886"/>
    <w:rsid w:val="00785BDA"/>
    <w:rsid w:val="0079139A"/>
    <w:rsid w:val="00793A12"/>
    <w:rsid w:val="00796603"/>
    <w:rsid w:val="007A0C2F"/>
    <w:rsid w:val="007A2DA0"/>
    <w:rsid w:val="007A34B4"/>
    <w:rsid w:val="007A3963"/>
    <w:rsid w:val="007A416D"/>
    <w:rsid w:val="007A4DCD"/>
    <w:rsid w:val="007A6412"/>
    <w:rsid w:val="007B4BF4"/>
    <w:rsid w:val="007B502C"/>
    <w:rsid w:val="007C6CB7"/>
    <w:rsid w:val="007C78D8"/>
    <w:rsid w:val="007D2B79"/>
    <w:rsid w:val="007D3626"/>
    <w:rsid w:val="007D3C18"/>
    <w:rsid w:val="007E12ED"/>
    <w:rsid w:val="007E36D0"/>
    <w:rsid w:val="007E415D"/>
    <w:rsid w:val="007E5A2E"/>
    <w:rsid w:val="007E5AA7"/>
    <w:rsid w:val="007E5C37"/>
    <w:rsid w:val="007E6EDD"/>
    <w:rsid w:val="007F064B"/>
    <w:rsid w:val="007F18FD"/>
    <w:rsid w:val="007F1A61"/>
    <w:rsid w:val="007F2365"/>
    <w:rsid w:val="007F32F8"/>
    <w:rsid w:val="007F53F7"/>
    <w:rsid w:val="007F65FF"/>
    <w:rsid w:val="00800B09"/>
    <w:rsid w:val="00804AD3"/>
    <w:rsid w:val="00807FA5"/>
    <w:rsid w:val="008129C2"/>
    <w:rsid w:val="00813C07"/>
    <w:rsid w:val="00815B05"/>
    <w:rsid w:val="00824191"/>
    <w:rsid w:val="008302FC"/>
    <w:rsid w:val="00830D72"/>
    <w:rsid w:val="00830E66"/>
    <w:rsid w:val="00834391"/>
    <w:rsid w:val="008343C2"/>
    <w:rsid w:val="00836AFC"/>
    <w:rsid w:val="00840CDE"/>
    <w:rsid w:val="00842390"/>
    <w:rsid w:val="008469FC"/>
    <w:rsid w:val="00851A80"/>
    <w:rsid w:val="00852939"/>
    <w:rsid w:val="00856784"/>
    <w:rsid w:val="00856788"/>
    <w:rsid w:val="008577C7"/>
    <w:rsid w:val="00862EAC"/>
    <w:rsid w:val="00870BE4"/>
    <w:rsid w:val="0087152E"/>
    <w:rsid w:val="00872117"/>
    <w:rsid w:val="00872C49"/>
    <w:rsid w:val="00874BA9"/>
    <w:rsid w:val="00875A29"/>
    <w:rsid w:val="00876030"/>
    <w:rsid w:val="008809AF"/>
    <w:rsid w:val="00882E0D"/>
    <w:rsid w:val="008831E2"/>
    <w:rsid w:val="00885100"/>
    <w:rsid w:val="00891FEC"/>
    <w:rsid w:val="008967C9"/>
    <w:rsid w:val="008B326D"/>
    <w:rsid w:val="008C2EE0"/>
    <w:rsid w:val="008C5E26"/>
    <w:rsid w:val="008C72AE"/>
    <w:rsid w:val="008D32E2"/>
    <w:rsid w:val="008D453E"/>
    <w:rsid w:val="008D70D1"/>
    <w:rsid w:val="008E2ADB"/>
    <w:rsid w:val="008E52FB"/>
    <w:rsid w:val="008E5F14"/>
    <w:rsid w:val="008E7BEE"/>
    <w:rsid w:val="008F0A5E"/>
    <w:rsid w:val="008F249D"/>
    <w:rsid w:val="008F24A1"/>
    <w:rsid w:val="008F5DC2"/>
    <w:rsid w:val="008F6C12"/>
    <w:rsid w:val="00900028"/>
    <w:rsid w:val="00901B03"/>
    <w:rsid w:val="00906D68"/>
    <w:rsid w:val="009070AF"/>
    <w:rsid w:val="00910FEB"/>
    <w:rsid w:val="009131A3"/>
    <w:rsid w:val="009159D0"/>
    <w:rsid w:val="00915D56"/>
    <w:rsid w:val="00916DE7"/>
    <w:rsid w:val="0092066B"/>
    <w:rsid w:val="009222A3"/>
    <w:rsid w:val="00922C45"/>
    <w:rsid w:val="00925E1B"/>
    <w:rsid w:val="00926887"/>
    <w:rsid w:val="00926945"/>
    <w:rsid w:val="00931C3F"/>
    <w:rsid w:val="00933E4D"/>
    <w:rsid w:val="0093688D"/>
    <w:rsid w:val="00941CC0"/>
    <w:rsid w:val="00946F16"/>
    <w:rsid w:val="009531B4"/>
    <w:rsid w:val="009542F9"/>
    <w:rsid w:val="009579AB"/>
    <w:rsid w:val="009623DB"/>
    <w:rsid w:val="00965ABC"/>
    <w:rsid w:val="00966440"/>
    <w:rsid w:val="00967AF6"/>
    <w:rsid w:val="009705B0"/>
    <w:rsid w:val="0097118E"/>
    <w:rsid w:val="0097134A"/>
    <w:rsid w:val="00974186"/>
    <w:rsid w:val="00977255"/>
    <w:rsid w:val="009772B3"/>
    <w:rsid w:val="00980902"/>
    <w:rsid w:val="009829DF"/>
    <w:rsid w:val="009919B5"/>
    <w:rsid w:val="00994B04"/>
    <w:rsid w:val="009A2302"/>
    <w:rsid w:val="009B0EA3"/>
    <w:rsid w:val="009B160D"/>
    <w:rsid w:val="009B1B77"/>
    <w:rsid w:val="009B1E03"/>
    <w:rsid w:val="009B2789"/>
    <w:rsid w:val="009B2BE0"/>
    <w:rsid w:val="009B2CF2"/>
    <w:rsid w:val="009B36EF"/>
    <w:rsid w:val="009B3778"/>
    <w:rsid w:val="009B6372"/>
    <w:rsid w:val="009C131E"/>
    <w:rsid w:val="009C3276"/>
    <w:rsid w:val="009C4962"/>
    <w:rsid w:val="009C65DA"/>
    <w:rsid w:val="009D01C2"/>
    <w:rsid w:val="009D1959"/>
    <w:rsid w:val="009D1BD1"/>
    <w:rsid w:val="009E49C8"/>
    <w:rsid w:val="009F0106"/>
    <w:rsid w:val="009F2F3B"/>
    <w:rsid w:val="009F57B1"/>
    <w:rsid w:val="009F5AB0"/>
    <w:rsid w:val="009F5ED4"/>
    <w:rsid w:val="00A0000B"/>
    <w:rsid w:val="00A0111A"/>
    <w:rsid w:val="00A020D3"/>
    <w:rsid w:val="00A056F7"/>
    <w:rsid w:val="00A17215"/>
    <w:rsid w:val="00A2065E"/>
    <w:rsid w:val="00A23501"/>
    <w:rsid w:val="00A24A09"/>
    <w:rsid w:val="00A332CD"/>
    <w:rsid w:val="00A40AAF"/>
    <w:rsid w:val="00A42F61"/>
    <w:rsid w:val="00A50D35"/>
    <w:rsid w:val="00A52072"/>
    <w:rsid w:val="00A52A61"/>
    <w:rsid w:val="00A54E48"/>
    <w:rsid w:val="00A5627C"/>
    <w:rsid w:val="00A5775D"/>
    <w:rsid w:val="00A625D5"/>
    <w:rsid w:val="00A644AB"/>
    <w:rsid w:val="00A65458"/>
    <w:rsid w:val="00A70220"/>
    <w:rsid w:val="00A714EE"/>
    <w:rsid w:val="00A73528"/>
    <w:rsid w:val="00A73ECE"/>
    <w:rsid w:val="00A74365"/>
    <w:rsid w:val="00A81685"/>
    <w:rsid w:val="00A826E4"/>
    <w:rsid w:val="00A8304D"/>
    <w:rsid w:val="00A831AF"/>
    <w:rsid w:val="00A845BC"/>
    <w:rsid w:val="00A87600"/>
    <w:rsid w:val="00A94A0D"/>
    <w:rsid w:val="00AA0A1B"/>
    <w:rsid w:val="00AA2080"/>
    <w:rsid w:val="00AA5824"/>
    <w:rsid w:val="00AA646A"/>
    <w:rsid w:val="00AC13AA"/>
    <w:rsid w:val="00AC420A"/>
    <w:rsid w:val="00AC62C7"/>
    <w:rsid w:val="00AD0643"/>
    <w:rsid w:val="00AD7C7A"/>
    <w:rsid w:val="00AE2621"/>
    <w:rsid w:val="00AE7724"/>
    <w:rsid w:val="00AF2E40"/>
    <w:rsid w:val="00AF77E0"/>
    <w:rsid w:val="00B04A9A"/>
    <w:rsid w:val="00B05592"/>
    <w:rsid w:val="00B06B0F"/>
    <w:rsid w:val="00B07F84"/>
    <w:rsid w:val="00B1263E"/>
    <w:rsid w:val="00B1308C"/>
    <w:rsid w:val="00B14250"/>
    <w:rsid w:val="00B14471"/>
    <w:rsid w:val="00B16F07"/>
    <w:rsid w:val="00B173BA"/>
    <w:rsid w:val="00B17FE7"/>
    <w:rsid w:val="00B20A75"/>
    <w:rsid w:val="00B232E1"/>
    <w:rsid w:val="00B233AE"/>
    <w:rsid w:val="00B23EE6"/>
    <w:rsid w:val="00B248CA"/>
    <w:rsid w:val="00B25EAD"/>
    <w:rsid w:val="00B2628D"/>
    <w:rsid w:val="00B26BDF"/>
    <w:rsid w:val="00B26F8C"/>
    <w:rsid w:val="00B27B80"/>
    <w:rsid w:val="00B32BDE"/>
    <w:rsid w:val="00B3405F"/>
    <w:rsid w:val="00B45404"/>
    <w:rsid w:val="00B51263"/>
    <w:rsid w:val="00B563E0"/>
    <w:rsid w:val="00B57C0D"/>
    <w:rsid w:val="00B614E6"/>
    <w:rsid w:val="00B66539"/>
    <w:rsid w:val="00B75ABD"/>
    <w:rsid w:val="00B76AAF"/>
    <w:rsid w:val="00B76EFC"/>
    <w:rsid w:val="00B77C9F"/>
    <w:rsid w:val="00B835E8"/>
    <w:rsid w:val="00B923A3"/>
    <w:rsid w:val="00B93618"/>
    <w:rsid w:val="00B94D2A"/>
    <w:rsid w:val="00BA2DA4"/>
    <w:rsid w:val="00BA5A7A"/>
    <w:rsid w:val="00BA5D1A"/>
    <w:rsid w:val="00BA71DF"/>
    <w:rsid w:val="00BB070F"/>
    <w:rsid w:val="00BB1476"/>
    <w:rsid w:val="00BB3154"/>
    <w:rsid w:val="00BB3AA1"/>
    <w:rsid w:val="00BB4D38"/>
    <w:rsid w:val="00BC0C1F"/>
    <w:rsid w:val="00BC243E"/>
    <w:rsid w:val="00BC332C"/>
    <w:rsid w:val="00BC4E40"/>
    <w:rsid w:val="00BD0708"/>
    <w:rsid w:val="00BD13FC"/>
    <w:rsid w:val="00BD2B86"/>
    <w:rsid w:val="00BD48AD"/>
    <w:rsid w:val="00BD5540"/>
    <w:rsid w:val="00BE2EE4"/>
    <w:rsid w:val="00BE2FB8"/>
    <w:rsid w:val="00BE4D93"/>
    <w:rsid w:val="00BF02BB"/>
    <w:rsid w:val="00BF7139"/>
    <w:rsid w:val="00BF7249"/>
    <w:rsid w:val="00BF75BE"/>
    <w:rsid w:val="00BF7CB0"/>
    <w:rsid w:val="00C033D6"/>
    <w:rsid w:val="00C07A5D"/>
    <w:rsid w:val="00C10A8A"/>
    <w:rsid w:val="00C10CEB"/>
    <w:rsid w:val="00C14A4B"/>
    <w:rsid w:val="00C16D9F"/>
    <w:rsid w:val="00C17F3C"/>
    <w:rsid w:val="00C20ED3"/>
    <w:rsid w:val="00C22B2A"/>
    <w:rsid w:val="00C2691F"/>
    <w:rsid w:val="00C26FC2"/>
    <w:rsid w:val="00C32995"/>
    <w:rsid w:val="00C3483F"/>
    <w:rsid w:val="00C541BF"/>
    <w:rsid w:val="00C637E3"/>
    <w:rsid w:val="00C650B7"/>
    <w:rsid w:val="00C6685D"/>
    <w:rsid w:val="00C7569C"/>
    <w:rsid w:val="00C76D45"/>
    <w:rsid w:val="00C81A59"/>
    <w:rsid w:val="00C84E00"/>
    <w:rsid w:val="00C85DF2"/>
    <w:rsid w:val="00C86046"/>
    <w:rsid w:val="00C863B2"/>
    <w:rsid w:val="00C86544"/>
    <w:rsid w:val="00C907F8"/>
    <w:rsid w:val="00CA04E5"/>
    <w:rsid w:val="00CA0CC4"/>
    <w:rsid w:val="00CA32EF"/>
    <w:rsid w:val="00CA3FD2"/>
    <w:rsid w:val="00CA6AD3"/>
    <w:rsid w:val="00CB019C"/>
    <w:rsid w:val="00CB1A8C"/>
    <w:rsid w:val="00CB205D"/>
    <w:rsid w:val="00CB7971"/>
    <w:rsid w:val="00CB7EFF"/>
    <w:rsid w:val="00CC2354"/>
    <w:rsid w:val="00CC2F7E"/>
    <w:rsid w:val="00CC4FF4"/>
    <w:rsid w:val="00CC5E34"/>
    <w:rsid w:val="00CD22C3"/>
    <w:rsid w:val="00CD38C2"/>
    <w:rsid w:val="00CD71B4"/>
    <w:rsid w:val="00CE06A3"/>
    <w:rsid w:val="00CE2619"/>
    <w:rsid w:val="00CE2AEE"/>
    <w:rsid w:val="00CE44ED"/>
    <w:rsid w:val="00CF006D"/>
    <w:rsid w:val="00CF0CB0"/>
    <w:rsid w:val="00CF579B"/>
    <w:rsid w:val="00D00792"/>
    <w:rsid w:val="00D031C5"/>
    <w:rsid w:val="00D05017"/>
    <w:rsid w:val="00D06B5E"/>
    <w:rsid w:val="00D06BBD"/>
    <w:rsid w:val="00D1027F"/>
    <w:rsid w:val="00D1438C"/>
    <w:rsid w:val="00D17606"/>
    <w:rsid w:val="00D2111F"/>
    <w:rsid w:val="00D21257"/>
    <w:rsid w:val="00D248B6"/>
    <w:rsid w:val="00D262E4"/>
    <w:rsid w:val="00D268CF"/>
    <w:rsid w:val="00D31D50"/>
    <w:rsid w:val="00D33B73"/>
    <w:rsid w:val="00D35644"/>
    <w:rsid w:val="00D4105B"/>
    <w:rsid w:val="00D41B6F"/>
    <w:rsid w:val="00D41B92"/>
    <w:rsid w:val="00D45290"/>
    <w:rsid w:val="00D46796"/>
    <w:rsid w:val="00D47D06"/>
    <w:rsid w:val="00D5050C"/>
    <w:rsid w:val="00D51AB9"/>
    <w:rsid w:val="00D544AC"/>
    <w:rsid w:val="00D56439"/>
    <w:rsid w:val="00D616EC"/>
    <w:rsid w:val="00D6767D"/>
    <w:rsid w:val="00D67B64"/>
    <w:rsid w:val="00D72209"/>
    <w:rsid w:val="00D723D1"/>
    <w:rsid w:val="00D750B2"/>
    <w:rsid w:val="00D80DE1"/>
    <w:rsid w:val="00D82207"/>
    <w:rsid w:val="00D8373B"/>
    <w:rsid w:val="00D84F81"/>
    <w:rsid w:val="00D85583"/>
    <w:rsid w:val="00D85B91"/>
    <w:rsid w:val="00D8760A"/>
    <w:rsid w:val="00D901B6"/>
    <w:rsid w:val="00D9503A"/>
    <w:rsid w:val="00D95EA5"/>
    <w:rsid w:val="00DA1254"/>
    <w:rsid w:val="00DA4A54"/>
    <w:rsid w:val="00DA4B21"/>
    <w:rsid w:val="00DB13F9"/>
    <w:rsid w:val="00DB1420"/>
    <w:rsid w:val="00DB1D37"/>
    <w:rsid w:val="00DC5060"/>
    <w:rsid w:val="00DC61CC"/>
    <w:rsid w:val="00DC68E1"/>
    <w:rsid w:val="00DD5468"/>
    <w:rsid w:val="00DD6451"/>
    <w:rsid w:val="00DE279D"/>
    <w:rsid w:val="00DE56DD"/>
    <w:rsid w:val="00DF4EDD"/>
    <w:rsid w:val="00E00E84"/>
    <w:rsid w:val="00E029BF"/>
    <w:rsid w:val="00E041AB"/>
    <w:rsid w:val="00E109EC"/>
    <w:rsid w:val="00E10B9B"/>
    <w:rsid w:val="00E1308D"/>
    <w:rsid w:val="00E14B8D"/>
    <w:rsid w:val="00E15FC4"/>
    <w:rsid w:val="00E202E6"/>
    <w:rsid w:val="00E21FD4"/>
    <w:rsid w:val="00E225F0"/>
    <w:rsid w:val="00E23D9D"/>
    <w:rsid w:val="00E24C5E"/>
    <w:rsid w:val="00E24EA8"/>
    <w:rsid w:val="00E32144"/>
    <w:rsid w:val="00E33C4A"/>
    <w:rsid w:val="00E34EB7"/>
    <w:rsid w:val="00E45DCE"/>
    <w:rsid w:val="00E4622B"/>
    <w:rsid w:val="00E47439"/>
    <w:rsid w:val="00E51128"/>
    <w:rsid w:val="00E56FE3"/>
    <w:rsid w:val="00E6166A"/>
    <w:rsid w:val="00E65DBF"/>
    <w:rsid w:val="00E66922"/>
    <w:rsid w:val="00E67DE6"/>
    <w:rsid w:val="00E70BF0"/>
    <w:rsid w:val="00E77919"/>
    <w:rsid w:val="00E83F04"/>
    <w:rsid w:val="00E86834"/>
    <w:rsid w:val="00E86A7F"/>
    <w:rsid w:val="00E86D05"/>
    <w:rsid w:val="00E9761B"/>
    <w:rsid w:val="00EA0EA7"/>
    <w:rsid w:val="00EA2511"/>
    <w:rsid w:val="00EA34CF"/>
    <w:rsid w:val="00EA4BAC"/>
    <w:rsid w:val="00EA7EB2"/>
    <w:rsid w:val="00EB3FCD"/>
    <w:rsid w:val="00EB3FF6"/>
    <w:rsid w:val="00EB6241"/>
    <w:rsid w:val="00EC0126"/>
    <w:rsid w:val="00EC0DF4"/>
    <w:rsid w:val="00EC591E"/>
    <w:rsid w:val="00EC5F23"/>
    <w:rsid w:val="00EC74D4"/>
    <w:rsid w:val="00EC769A"/>
    <w:rsid w:val="00ED0807"/>
    <w:rsid w:val="00ED1832"/>
    <w:rsid w:val="00ED4E45"/>
    <w:rsid w:val="00ED6B77"/>
    <w:rsid w:val="00EE0DBF"/>
    <w:rsid w:val="00EE1F08"/>
    <w:rsid w:val="00EE5347"/>
    <w:rsid w:val="00EE537B"/>
    <w:rsid w:val="00EE5D39"/>
    <w:rsid w:val="00EE5F96"/>
    <w:rsid w:val="00EE6019"/>
    <w:rsid w:val="00EF158B"/>
    <w:rsid w:val="00F01ADB"/>
    <w:rsid w:val="00F01F9F"/>
    <w:rsid w:val="00F04AF0"/>
    <w:rsid w:val="00F05556"/>
    <w:rsid w:val="00F05FDF"/>
    <w:rsid w:val="00F120BA"/>
    <w:rsid w:val="00F13F01"/>
    <w:rsid w:val="00F16A53"/>
    <w:rsid w:val="00F20B6A"/>
    <w:rsid w:val="00F2161B"/>
    <w:rsid w:val="00F3068B"/>
    <w:rsid w:val="00F35F4F"/>
    <w:rsid w:val="00F3729F"/>
    <w:rsid w:val="00F3784C"/>
    <w:rsid w:val="00F378BB"/>
    <w:rsid w:val="00F44119"/>
    <w:rsid w:val="00F453F2"/>
    <w:rsid w:val="00F4794B"/>
    <w:rsid w:val="00F5223E"/>
    <w:rsid w:val="00F572B7"/>
    <w:rsid w:val="00F60801"/>
    <w:rsid w:val="00F63818"/>
    <w:rsid w:val="00F66F27"/>
    <w:rsid w:val="00F67D85"/>
    <w:rsid w:val="00F67EFD"/>
    <w:rsid w:val="00F833AB"/>
    <w:rsid w:val="00F86E65"/>
    <w:rsid w:val="00F94249"/>
    <w:rsid w:val="00F96AA8"/>
    <w:rsid w:val="00FA5ADE"/>
    <w:rsid w:val="00FB3073"/>
    <w:rsid w:val="00FB336A"/>
    <w:rsid w:val="00FC07EA"/>
    <w:rsid w:val="00FC6E66"/>
    <w:rsid w:val="00FD1DDC"/>
    <w:rsid w:val="00FD213C"/>
    <w:rsid w:val="00FD5182"/>
    <w:rsid w:val="00FD56D4"/>
    <w:rsid w:val="00FD5B32"/>
    <w:rsid w:val="00FE381B"/>
    <w:rsid w:val="00FE4395"/>
    <w:rsid w:val="00FF0C95"/>
    <w:rsid w:val="00FF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A1B3FA6"/>
  <w14:defaultImageDpi w14:val="32767"/>
  <w15:chartTrackingRefBased/>
  <w15:docId w15:val="{E412F4E6-E6D6-E642-B50E-EA5ABCCE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C591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E7724"/>
    <w:pPr>
      <w:keepNext/>
      <w:keepLines/>
      <w:spacing w:before="240"/>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603F74"/>
    <w:pPr>
      <w:keepNext/>
      <w:keepLines/>
      <w:spacing w:before="40"/>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4">
    <w:name w:val="heading 4"/>
    <w:basedOn w:val="Normal"/>
    <w:next w:val="Normal"/>
    <w:link w:val="Heading4Char"/>
    <w:uiPriority w:val="9"/>
    <w:semiHidden/>
    <w:unhideWhenUsed/>
    <w:qFormat/>
    <w:rsid w:val="00F372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 Char,Footnote Text Char1 Char Char Char,Footnote Text Char Char Char Char Char,Footnote Text Char1 Char Char Char Char Char,Footnote Text Char1 Char Char Char1,Ca,FA Fu,FA Fu?notentext"/>
    <w:basedOn w:val="Normal"/>
    <w:link w:val="FootnoteTextChar"/>
    <w:uiPriority w:val="99"/>
    <w:unhideWhenUsed/>
    <w:qFormat/>
    <w:rsid w:val="00910FEB"/>
    <w:rPr>
      <w:rFonts w:asciiTheme="minorHAnsi" w:eastAsiaTheme="minorHAnsi" w:hAnsiTheme="minorHAnsi" w:cstheme="minorBidi"/>
      <w:sz w:val="20"/>
      <w:szCs w:val="20"/>
      <w:lang w:val="en-IE" w:eastAsia="en-US"/>
    </w:rPr>
  </w:style>
  <w:style w:type="character" w:customStyle="1" w:styleId="FootnoteTextChar">
    <w:name w:val="Footnote Text Char"/>
    <w:aliases w:val="Footnote Text Char2 Char Char,Footnote Text Char Char Char Char,Footnote Text Char1 Char Char Char Char,Footnote Text Char Char Char Char Char Char,Footnote Text Char1 Char Char Char Char Char Char,Ca Char,FA Fu Char"/>
    <w:basedOn w:val="DefaultParagraphFont"/>
    <w:link w:val="FootnoteText"/>
    <w:uiPriority w:val="99"/>
    <w:rsid w:val="00910FEB"/>
    <w:rPr>
      <w:sz w:val="20"/>
      <w:szCs w:val="20"/>
    </w:rPr>
  </w:style>
  <w:style w:type="character" w:styleId="FootnoteReference">
    <w:name w:val="footnote reference"/>
    <w:aliases w:val="16 Point,4_G,Appel note de bas de page,BVI fnr,Footnote Reference Char Char Char,Footnote Reference Char1 Char,Footnote Reference Char3,Footnote number,Footnotes refss,Superscript 6 Point,Texto de nota al pie,f,referencia nota al pie"/>
    <w:basedOn w:val="DefaultParagraphFont"/>
    <w:uiPriority w:val="99"/>
    <w:unhideWhenUsed/>
    <w:rsid w:val="00910FEB"/>
    <w:rPr>
      <w:vertAlign w:val="superscript"/>
    </w:rPr>
  </w:style>
  <w:style w:type="character" w:customStyle="1" w:styleId="Heading1Char">
    <w:name w:val="Heading 1 Char"/>
    <w:basedOn w:val="DefaultParagraphFont"/>
    <w:link w:val="Heading1"/>
    <w:uiPriority w:val="9"/>
    <w:rsid w:val="00AE7724"/>
    <w:rPr>
      <w:rFonts w:asciiTheme="majorHAnsi" w:eastAsiaTheme="majorEastAsia" w:hAnsiTheme="majorHAnsi" w:cstheme="majorBidi"/>
      <w:color w:val="2F5496" w:themeColor="accent1" w:themeShade="BF"/>
      <w:sz w:val="32"/>
      <w:szCs w:val="32"/>
      <w:lang w:val="en-US"/>
    </w:rPr>
  </w:style>
  <w:style w:type="paragraph" w:customStyle="1" w:styleId="p1">
    <w:name w:val="p1"/>
    <w:basedOn w:val="Normal"/>
    <w:rsid w:val="00AE7724"/>
    <w:rPr>
      <w:rFonts w:ascii="Helvetica" w:eastAsiaTheme="minorHAnsi" w:hAnsi="Helvetica"/>
      <w:sz w:val="17"/>
      <w:szCs w:val="17"/>
      <w:lang w:val="en-US" w:eastAsia="en-US"/>
    </w:rPr>
  </w:style>
  <w:style w:type="character" w:customStyle="1" w:styleId="apple-converted-space">
    <w:name w:val="apple-converted-space"/>
    <w:basedOn w:val="DefaultParagraphFont"/>
    <w:rsid w:val="00AE7724"/>
  </w:style>
  <w:style w:type="character" w:styleId="Hyperlink">
    <w:name w:val="Hyperlink"/>
    <w:basedOn w:val="DefaultParagraphFont"/>
    <w:uiPriority w:val="99"/>
    <w:unhideWhenUsed/>
    <w:rsid w:val="00AE7724"/>
    <w:rPr>
      <w:color w:val="0000FF"/>
      <w:u w:val="single"/>
    </w:rPr>
  </w:style>
  <w:style w:type="paragraph" w:styleId="BalloonText">
    <w:name w:val="Balloon Text"/>
    <w:basedOn w:val="Normal"/>
    <w:link w:val="BalloonTextChar"/>
    <w:uiPriority w:val="99"/>
    <w:semiHidden/>
    <w:unhideWhenUsed/>
    <w:rsid w:val="00FD1DDC"/>
    <w:rPr>
      <w:rFonts w:eastAsiaTheme="minorHAnsi"/>
      <w:sz w:val="18"/>
      <w:szCs w:val="18"/>
      <w:lang w:val="en-IE" w:eastAsia="en-US"/>
    </w:rPr>
  </w:style>
  <w:style w:type="character" w:customStyle="1" w:styleId="BalloonTextChar">
    <w:name w:val="Balloon Text Char"/>
    <w:basedOn w:val="DefaultParagraphFont"/>
    <w:link w:val="BalloonText"/>
    <w:uiPriority w:val="99"/>
    <w:semiHidden/>
    <w:rsid w:val="00FD1DDC"/>
    <w:rPr>
      <w:rFonts w:ascii="Times New Roman" w:hAnsi="Times New Roman" w:cs="Times New Roman"/>
      <w:sz w:val="18"/>
      <w:szCs w:val="18"/>
    </w:rPr>
  </w:style>
  <w:style w:type="character" w:customStyle="1" w:styleId="Heading2Char">
    <w:name w:val="Heading 2 Char"/>
    <w:basedOn w:val="DefaultParagraphFont"/>
    <w:link w:val="Heading2"/>
    <w:uiPriority w:val="9"/>
    <w:rsid w:val="00603F74"/>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376D7D"/>
    <w:pPr>
      <w:tabs>
        <w:tab w:val="center" w:pos="4513"/>
        <w:tab w:val="right" w:pos="9026"/>
      </w:tabs>
    </w:pPr>
    <w:rPr>
      <w:rFonts w:asciiTheme="minorHAnsi" w:eastAsiaTheme="minorHAnsi" w:hAnsiTheme="minorHAnsi" w:cstheme="minorBidi"/>
      <w:lang w:val="en-IE" w:eastAsia="en-US"/>
    </w:rPr>
  </w:style>
  <w:style w:type="character" w:customStyle="1" w:styleId="HeaderChar">
    <w:name w:val="Header Char"/>
    <w:basedOn w:val="DefaultParagraphFont"/>
    <w:link w:val="Header"/>
    <w:uiPriority w:val="99"/>
    <w:rsid w:val="00376D7D"/>
  </w:style>
  <w:style w:type="paragraph" w:styleId="Footer">
    <w:name w:val="footer"/>
    <w:basedOn w:val="Normal"/>
    <w:link w:val="FooterChar"/>
    <w:uiPriority w:val="99"/>
    <w:unhideWhenUsed/>
    <w:rsid w:val="00376D7D"/>
    <w:pPr>
      <w:tabs>
        <w:tab w:val="center" w:pos="4513"/>
        <w:tab w:val="right" w:pos="9026"/>
      </w:tabs>
    </w:pPr>
    <w:rPr>
      <w:rFonts w:asciiTheme="minorHAnsi" w:eastAsiaTheme="minorHAnsi" w:hAnsiTheme="minorHAnsi" w:cstheme="minorBidi"/>
      <w:lang w:val="en-IE" w:eastAsia="en-US"/>
    </w:rPr>
  </w:style>
  <w:style w:type="character" w:customStyle="1" w:styleId="FooterChar">
    <w:name w:val="Footer Char"/>
    <w:basedOn w:val="DefaultParagraphFont"/>
    <w:link w:val="Footer"/>
    <w:uiPriority w:val="99"/>
    <w:rsid w:val="00376D7D"/>
  </w:style>
  <w:style w:type="character" w:styleId="UnresolvedMention">
    <w:name w:val="Unresolved Mention"/>
    <w:basedOn w:val="DefaultParagraphFont"/>
    <w:uiPriority w:val="99"/>
    <w:rsid w:val="00862EAC"/>
    <w:rPr>
      <w:color w:val="605E5C"/>
      <w:shd w:val="clear" w:color="auto" w:fill="E1DFDD"/>
    </w:rPr>
  </w:style>
  <w:style w:type="character" w:styleId="CommentReference">
    <w:name w:val="annotation reference"/>
    <w:basedOn w:val="DefaultParagraphFont"/>
    <w:uiPriority w:val="99"/>
    <w:semiHidden/>
    <w:unhideWhenUsed/>
    <w:rsid w:val="001D6A09"/>
    <w:rPr>
      <w:sz w:val="16"/>
      <w:szCs w:val="16"/>
    </w:rPr>
  </w:style>
  <w:style w:type="paragraph" w:styleId="CommentText">
    <w:name w:val="annotation text"/>
    <w:basedOn w:val="Normal"/>
    <w:link w:val="CommentTextChar"/>
    <w:uiPriority w:val="99"/>
    <w:semiHidden/>
    <w:unhideWhenUsed/>
    <w:rsid w:val="001D6A09"/>
    <w:rPr>
      <w:rFonts w:asciiTheme="minorHAnsi" w:eastAsiaTheme="minorHAnsi" w:hAnsiTheme="minorHAnsi" w:cstheme="minorBidi"/>
      <w:sz w:val="20"/>
      <w:szCs w:val="20"/>
      <w:lang w:val="en-IE" w:eastAsia="en-US"/>
    </w:rPr>
  </w:style>
  <w:style w:type="character" w:customStyle="1" w:styleId="CommentTextChar">
    <w:name w:val="Comment Text Char"/>
    <w:basedOn w:val="DefaultParagraphFont"/>
    <w:link w:val="CommentText"/>
    <w:uiPriority w:val="99"/>
    <w:semiHidden/>
    <w:rsid w:val="001D6A09"/>
    <w:rPr>
      <w:sz w:val="20"/>
      <w:szCs w:val="20"/>
    </w:rPr>
  </w:style>
  <w:style w:type="paragraph" w:styleId="CommentSubject">
    <w:name w:val="annotation subject"/>
    <w:basedOn w:val="CommentText"/>
    <w:next w:val="CommentText"/>
    <w:link w:val="CommentSubjectChar"/>
    <w:uiPriority w:val="99"/>
    <w:semiHidden/>
    <w:unhideWhenUsed/>
    <w:rsid w:val="001D6A09"/>
    <w:rPr>
      <w:b/>
      <w:bCs/>
    </w:rPr>
  </w:style>
  <w:style w:type="character" w:customStyle="1" w:styleId="CommentSubjectChar">
    <w:name w:val="Comment Subject Char"/>
    <w:basedOn w:val="CommentTextChar"/>
    <w:link w:val="CommentSubject"/>
    <w:uiPriority w:val="99"/>
    <w:semiHidden/>
    <w:rsid w:val="001D6A09"/>
    <w:rPr>
      <w:b/>
      <w:bCs/>
      <w:sz w:val="20"/>
      <w:szCs w:val="20"/>
    </w:rPr>
  </w:style>
  <w:style w:type="character" w:styleId="FollowedHyperlink">
    <w:name w:val="FollowedHyperlink"/>
    <w:basedOn w:val="DefaultParagraphFont"/>
    <w:uiPriority w:val="99"/>
    <w:semiHidden/>
    <w:unhideWhenUsed/>
    <w:rsid w:val="00F04AF0"/>
    <w:rPr>
      <w:color w:val="954F72" w:themeColor="followedHyperlink"/>
      <w:u w:val="single"/>
    </w:rPr>
  </w:style>
  <w:style w:type="paragraph" w:styleId="EndnoteText">
    <w:name w:val="endnote text"/>
    <w:basedOn w:val="Normal"/>
    <w:link w:val="EndnoteTextChar"/>
    <w:uiPriority w:val="99"/>
    <w:semiHidden/>
    <w:unhideWhenUsed/>
    <w:rsid w:val="009C65DA"/>
    <w:rPr>
      <w:sz w:val="20"/>
      <w:szCs w:val="20"/>
      <w:lang w:val="en-IE"/>
    </w:rPr>
  </w:style>
  <w:style w:type="character" w:customStyle="1" w:styleId="EndnoteTextChar">
    <w:name w:val="Endnote Text Char"/>
    <w:basedOn w:val="DefaultParagraphFont"/>
    <w:link w:val="EndnoteText"/>
    <w:uiPriority w:val="99"/>
    <w:semiHidden/>
    <w:rsid w:val="009C65DA"/>
    <w:rPr>
      <w:rFonts w:ascii="Times New Roman" w:eastAsia="Times New Roman" w:hAnsi="Times New Roman" w:cs="Times New Roman"/>
      <w:sz w:val="20"/>
      <w:szCs w:val="20"/>
      <w:lang w:val="en-IE" w:eastAsia="en-GB"/>
    </w:rPr>
  </w:style>
  <w:style w:type="character" w:styleId="EndnoteReference">
    <w:name w:val="endnote reference"/>
    <w:basedOn w:val="DefaultParagraphFont"/>
    <w:uiPriority w:val="99"/>
    <w:semiHidden/>
    <w:unhideWhenUsed/>
    <w:rsid w:val="009C65DA"/>
    <w:rPr>
      <w:vertAlign w:val="superscript"/>
    </w:rPr>
  </w:style>
  <w:style w:type="character" w:styleId="PageNumber">
    <w:name w:val="page number"/>
    <w:basedOn w:val="DefaultParagraphFont"/>
    <w:uiPriority w:val="99"/>
    <w:semiHidden/>
    <w:unhideWhenUsed/>
    <w:rsid w:val="009F57B1"/>
  </w:style>
  <w:style w:type="character" w:customStyle="1" w:styleId="Heading4Char">
    <w:name w:val="Heading 4 Char"/>
    <w:basedOn w:val="DefaultParagraphFont"/>
    <w:link w:val="Heading4"/>
    <w:uiPriority w:val="9"/>
    <w:semiHidden/>
    <w:rsid w:val="00F3729F"/>
    <w:rPr>
      <w:rFonts w:asciiTheme="majorHAnsi" w:eastAsiaTheme="majorEastAsia" w:hAnsiTheme="majorHAnsi" w:cstheme="majorBidi"/>
      <w:i/>
      <w:iCs/>
      <w:color w:val="2F5496"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2907">
      <w:bodyDiv w:val="1"/>
      <w:marLeft w:val="0"/>
      <w:marRight w:val="0"/>
      <w:marTop w:val="0"/>
      <w:marBottom w:val="0"/>
      <w:divBdr>
        <w:top w:val="none" w:sz="0" w:space="0" w:color="auto"/>
        <w:left w:val="none" w:sz="0" w:space="0" w:color="auto"/>
        <w:bottom w:val="none" w:sz="0" w:space="0" w:color="auto"/>
        <w:right w:val="none" w:sz="0" w:space="0" w:color="auto"/>
      </w:divBdr>
    </w:div>
    <w:div w:id="171578236">
      <w:bodyDiv w:val="1"/>
      <w:marLeft w:val="0"/>
      <w:marRight w:val="0"/>
      <w:marTop w:val="0"/>
      <w:marBottom w:val="0"/>
      <w:divBdr>
        <w:top w:val="none" w:sz="0" w:space="0" w:color="auto"/>
        <w:left w:val="none" w:sz="0" w:space="0" w:color="auto"/>
        <w:bottom w:val="none" w:sz="0" w:space="0" w:color="auto"/>
        <w:right w:val="none" w:sz="0" w:space="0" w:color="auto"/>
      </w:divBdr>
    </w:div>
    <w:div w:id="183789276">
      <w:bodyDiv w:val="1"/>
      <w:marLeft w:val="0"/>
      <w:marRight w:val="0"/>
      <w:marTop w:val="0"/>
      <w:marBottom w:val="0"/>
      <w:divBdr>
        <w:top w:val="none" w:sz="0" w:space="0" w:color="auto"/>
        <w:left w:val="none" w:sz="0" w:space="0" w:color="auto"/>
        <w:bottom w:val="none" w:sz="0" w:space="0" w:color="auto"/>
        <w:right w:val="none" w:sz="0" w:space="0" w:color="auto"/>
      </w:divBdr>
    </w:div>
    <w:div w:id="197739127">
      <w:bodyDiv w:val="1"/>
      <w:marLeft w:val="0"/>
      <w:marRight w:val="0"/>
      <w:marTop w:val="0"/>
      <w:marBottom w:val="0"/>
      <w:divBdr>
        <w:top w:val="none" w:sz="0" w:space="0" w:color="auto"/>
        <w:left w:val="none" w:sz="0" w:space="0" w:color="auto"/>
        <w:bottom w:val="none" w:sz="0" w:space="0" w:color="auto"/>
        <w:right w:val="none" w:sz="0" w:space="0" w:color="auto"/>
      </w:divBdr>
    </w:div>
    <w:div w:id="220560791">
      <w:bodyDiv w:val="1"/>
      <w:marLeft w:val="0"/>
      <w:marRight w:val="0"/>
      <w:marTop w:val="0"/>
      <w:marBottom w:val="0"/>
      <w:divBdr>
        <w:top w:val="none" w:sz="0" w:space="0" w:color="auto"/>
        <w:left w:val="none" w:sz="0" w:space="0" w:color="auto"/>
        <w:bottom w:val="none" w:sz="0" w:space="0" w:color="auto"/>
        <w:right w:val="none" w:sz="0" w:space="0" w:color="auto"/>
      </w:divBdr>
    </w:div>
    <w:div w:id="278493740">
      <w:bodyDiv w:val="1"/>
      <w:marLeft w:val="0"/>
      <w:marRight w:val="0"/>
      <w:marTop w:val="0"/>
      <w:marBottom w:val="0"/>
      <w:divBdr>
        <w:top w:val="none" w:sz="0" w:space="0" w:color="auto"/>
        <w:left w:val="none" w:sz="0" w:space="0" w:color="auto"/>
        <w:bottom w:val="none" w:sz="0" w:space="0" w:color="auto"/>
        <w:right w:val="none" w:sz="0" w:space="0" w:color="auto"/>
      </w:divBdr>
    </w:div>
    <w:div w:id="307323753">
      <w:bodyDiv w:val="1"/>
      <w:marLeft w:val="0"/>
      <w:marRight w:val="0"/>
      <w:marTop w:val="0"/>
      <w:marBottom w:val="0"/>
      <w:divBdr>
        <w:top w:val="none" w:sz="0" w:space="0" w:color="auto"/>
        <w:left w:val="none" w:sz="0" w:space="0" w:color="auto"/>
        <w:bottom w:val="none" w:sz="0" w:space="0" w:color="auto"/>
        <w:right w:val="none" w:sz="0" w:space="0" w:color="auto"/>
      </w:divBdr>
    </w:div>
    <w:div w:id="357782737">
      <w:bodyDiv w:val="1"/>
      <w:marLeft w:val="0"/>
      <w:marRight w:val="0"/>
      <w:marTop w:val="0"/>
      <w:marBottom w:val="0"/>
      <w:divBdr>
        <w:top w:val="none" w:sz="0" w:space="0" w:color="auto"/>
        <w:left w:val="none" w:sz="0" w:space="0" w:color="auto"/>
        <w:bottom w:val="none" w:sz="0" w:space="0" w:color="auto"/>
        <w:right w:val="none" w:sz="0" w:space="0" w:color="auto"/>
      </w:divBdr>
      <w:divsChild>
        <w:div w:id="2047872118">
          <w:marLeft w:val="0"/>
          <w:marRight w:val="0"/>
          <w:marTop w:val="0"/>
          <w:marBottom w:val="0"/>
          <w:divBdr>
            <w:top w:val="none" w:sz="0" w:space="0" w:color="auto"/>
            <w:left w:val="none" w:sz="0" w:space="0" w:color="auto"/>
            <w:bottom w:val="none" w:sz="0" w:space="0" w:color="auto"/>
            <w:right w:val="none" w:sz="0" w:space="0" w:color="auto"/>
          </w:divBdr>
          <w:divsChild>
            <w:div w:id="513495759">
              <w:marLeft w:val="0"/>
              <w:marRight w:val="0"/>
              <w:marTop w:val="0"/>
              <w:marBottom w:val="0"/>
              <w:divBdr>
                <w:top w:val="none" w:sz="0" w:space="0" w:color="auto"/>
                <w:left w:val="none" w:sz="0" w:space="0" w:color="auto"/>
                <w:bottom w:val="none" w:sz="0" w:space="0" w:color="auto"/>
                <w:right w:val="none" w:sz="0" w:space="0" w:color="auto"/>
              </w:divBdr>
              <w:divsChild>
                <w:div w:id="2502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26570">
      <w:bodyDiv w:val="1"/>
      <w:marLeft w:val="0"/>
      <w:marRight w:val="0"/>
      <w:marTop w:val="0"/>
      <w:marBottom w:val="0"/>
      <w:divBdr>
        <w:top w:val="none" w:sz="0" w:space="0" w:color="auto"/>
        <w:left w:val="none" w:sz="0" w:space="0" w:color="auto"/>
        <w:bottom w:val="none" w:sz="0" w:space="0" w:color="auto"/>
        <w:right w:val="none" w:sz="0" w:space="0" w:color="auto"/>
      </w:divBdr>
      <w:divsChild>
        <w:div w:id="20397104">
          <w:marLeft w:val="0"/>
          <w:marRight w:val="0"/>
          <w:marTop w:val="0"/>
          <w:marBottom w:val="0"/>
          <w:divBdr>
            <w:top w:val="none" w:sz="0" w:space="0" w:color="auto"/>
            <w:left w:val="none" w:sz="0" w:space="0" w:color="auto"/>
            <w:bottom w:val="none" w:sz="0" w:space="0" w:color="auto"/>
            <w:right w:val="none" w:sz="0" w:space="0" w:color="auto"/>
          </w:divBdr>
          <w:divsChild>
            <w:div w:id="1096511766">
              <w:marLeft w:val="0"/>
              <w:marRight w:val="0"/>
              <w:marTop w:val="0"/>
              <w:marBottom w:val="0"/>
              <w:divBdr>
                <w:top w:val="none" w:sz="0" w:space="0" w:color="auto"/>
                <w:left w:val="none" w:sz="0" w:space="0" w:color="auto"/>
                <w:bottom w:val="none" w:sz="0" w:space="0" w:color="auto"/>
                <w:right w:val="none" w:sz="0" w:space="0" w:color="auto"/>
              </w:divBdr>
              <w:divsChild>
                <w:div w:id="11424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32575">
      <w:bodyDiv w:val="1"/>
      <w:marLeft w:val="0"/>
      <w:marRight w:val="0"/>
      <w:marTop w:val="0"/>
      <w:marBottom w:val="0"/>
      <w:divBdr>
        <w:top w:val="none" w:sz="0" w:space="0" w:color="auto"/>
        <w:left w:val="none" w:sz="0" w:space="0" w:color="auto"/>
        <w:bottom w:val="none" w:sz="0" w:space="0" w:color="auto"/>
        <w:right w:val="none" w:sz="0" w:space="0" w:color="auto"/>
      </w:divBdr>
    </w:div>
    <w:div w:id="752238291">
      <w:bodyDiv w:val="1"/>
      <w:marLeft w:val="0"/>
      <w:marRight w:val="0"/>
      <w:marTop w:val="0"/>
      <w:marBottom w:val="0"/>
      <w:divBdr>
        <w:top w:val="none" w:sz="0" w:space="0" w:color="auto"/>
        <w:left w:val="none" w:sz="0" w:space="0" w:color="auto"/>
        <w:bottom w:val="none" w:sz="0" w:space="0" w:color="auto"/>
        <w:right w:val="none" w:sz="0" w:space="0" w:color="auto"/>
      </w:divBdr>
    </w:div>
    <w:div w:id="770587049">
      <w:bodyDiv w:val="1"/>
      <w:marLeft w:val="0"/>
      <w:marRight w:val="0"/>
      <w:marTop w:val="0"/>
      <w:marBottom w:val="0"/>
      <w:divBdr>
        <w:top w:val="none" w:sz="0" w:space="0" w:color="auto"/>
        <w:left w:val="none" w:sz="0" w:space="0" w:color="auto"/>
        <w:bottom w:val="none" w:sz="0" w:space="0" w:color="auto"/>
        <w:right w:val="none" w:sz="0" w:space="0" w:color="auto"/>
      </w:divBdr>
      <w:divsChild>
        <w:div w:id="1543402865">
          <w:marLeft w:val="0"/>
          <w:marRight w:val="0"/>
          <w:marTop w:val="0"/>
          <w:marBottom w:val="0"/>
          <w:divBdr>
            <w:top w:val="none" w:sz="0" w:space="0" w:color="auto"/>
            <w:left w:val="none" w:sz="0" w:space="0" w:color="auto"/>
            <w:bottom w:val="none" w:sz="0" w:space="0" w:color="auto"/>
            <w:right w:val="none" w:sz="0" w:space="0" w:color="auto"/>
          </w:divBdr>
          <w:divsChild>
            <w:div w:id="624700878">
              <w:marLeft w:val="0"/>
              <w:marRight w:val="0"/>
              <w:marTop w:val="0"/>
              <w:marBottom w:val="0"/>
              <w:divBdr>
                <w:top w:val="none" w:sz="0" w:space="0" w:color="auto"/>
                <w:left w:val="none" w:sz="0" w:space="0" w:color="auto"/>
                <w:bottom w:val="none" w:sz="0" w:space="0" w:color="auto"/>
                <w:right w:val="none" w:sz="0" w:space="0" w:color="auto"/>
              </w:divBdr>
              <w:divsChild>
                <w:div w:id="1216042491">
                  <w:marLeft w:val="0"/>
                  <w:marRight w:val="0"/>
                  <w:marTop w:val="0"/>
                  <w:marBottom w:val="0"/>
                  <w:divBdr>
                    <w:top w:val="none" w:sz="0" w:space="0" w:color="auto"/>
                    <w:left w:val="none" w:sz="0" w:space="0" w:color="auto"/>
                    <w:bottom w:val="none" w:sz="0" w:space="0" w:color="auto"/>
                    <w:right w:val="none" w:sz="0" w:space="0" w:color="auto"/>
                  </w:divBdr>
                  <w:divsChild>
                    <w:div w:id="12189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56407">
      <w:bodyDiv w:val="1"/>
      <w:marLeft w:val="0"/>
      <w:marRight w:val="0"/>
      <w:marTop w:val="0"/>
      <w:marBottom w:val="0"/>
      <w:divBdr>
        <w:top w:val="none" w:sz="0" w:space="0" w:color="auto"/>
        <w:left w:val="none" w:sz="0" w:space="0" w:color="auto"/>
        <w:bottom w:val="none" w:sz="0" w:space="0" w:color="auto"/>
        <w:right w:val="none" w:sz="0" w:space="0" w:color="auto"/>
      </w:divBdr>
    </w:div>
    <w:div w:id="1129475379">
      <w:bodyDiv w:val="1"/>
      <w:marLeft w:val="0"/>
      <w:marRight w:val="0"/>
      <w:marTop w:val="0"/>
      <w:marBottom w:val="0"/>
      <w:divBdr>
        <w:top w:val="none" w:sz="0" w:space="0" w:color="auto"/>
        <w:left w:val="none" w:sz="0" w:space="0" w:color="auto"/>
        <w:bottom w:val="none" w:sz="0" w:space="0" w:color="auto"/>
        <w:right w:val="none" w:sz="0" w:space="0" w:color="auto"/>
      </w:divBdr>
      <w:divsChild>
        <w:div w:id="760570408">
          <w:marLeft w:val="0"/>
          <w:marRight w:val="0"/>
          <w:marTop w:val="0"/>
          <w:marBottom w:val="0"/>
          <w:divBdr>
            <w:top w:val="none" w:sz="0" w:space="0" w:color="auto"/>
            <w:left w:val="none" w:sz="0" w:space="0" w:color="auto"/>
            <w:bottom w:val="none" w:sz="0" w:space="0" w:color="auto"/>
            <w:right w:val="none" w:sz="0" w:space="0" w:color="auto"/>
          </w:divBdr>
          <w:divsChild>
            <w:div w:id="1177577017">
              <w:marLeft w:val="0"/>
              <w:marRight w:val="0"/>
              <w:marTop w:val="0"/>
              <w:marBottom w:val="0"/>
              <w:divBdr>
                <w:top w:val="none" w:sz="0" w:space="0" w:color="auto"/>
                <w:left w:val="none" w:sz="0" w:space="0" w:color="auto"/>
                <w:bottom w:val="none" w:sz="0" w:space="0" w:color="auto"/>
                <w:right w:val="none" w:sz="0" w:space="0" w:color="auto"/>
              </w:divBdr>
              <w:divsChild>
                <w:div w:id="4140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6764">
      <w:bodyDiv w:val="1"/>
      <w:marLeft w:val="0"/>
      <w:marRight w:val="0"/>
      <w:marTop w:val="0"/>
      <w:marBottom w:val="0"/>
      <w:divBdr>
        <w:top w:val="none" w:sz="0" w:space="0" w:color="auto"/>
        <w:left w:val="none" w:sz="0" w:space="0" w:color="auto"/>
        <w:bottom w:val="none" w:sz="0" w:space="0" w:color="auto"/>
        <w:right w:val="none" w:sz="0" w:space="0" w:color="auto"/>
      </w:divBdr>
      <w:divsChild>
        <w:div w:id="724639584">
          <w:marLeft w:val="0"/>
          <w:marRight w:val="0"/>
          <w:marTop w:val="0"/>
          <w:marBottom w:val="0"/>
          <w:divBdr>
            <w:top w:val="none" w:sz="0" w:space="0" w:color="auto"/>
            <w:left w:val="none" w:sz="0" w:space="0" w:color="auto"/>
            <w:bottom w:val="none" w:sz="0" w:space="0" w:color="auto"/>
            <w:right w:val="none" w:sz="0" w:space="0" w:color="auto"/>
          </w:divBdr>
          <w:divsChild>
            <w:div w:id="1648775275">
              <w:marLeft w:val="0"/>
              <w:marRight w:val="0"/>
              <w:marTop w:val="0"/>
              <w:marBottom w:val="0"/>
              <w:divBdr>
                <w:top w:val="none" w:sz="0" w:space="0" w:color="auto"/>
                <w:left w:val="none" w:sz="0" w:space="0" w:color="auto"/>
                <w:bottom w:val="none" w:sz="0" w:space="0" w:color="auto"/>
                <w:right w:val="none" w:sz="0" w:space="0" w:color="auto"/>
              </w:divBdr>
              <w:divsChild>
                <w:div w:id="9521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77922">
      <w:bodyDiv w:val="1"/>
      <w:marLeft w:val="0"/>
      <w:marRight w:val="0"/>
      <w:marTop w:val="0"/>
      <w:marBottom w:val="0"/>
      <w:divBdr>
        <w:top w:val="none" w:sz="0" w:space="0" w:color="auto"/>
        <w:left w:val="none" w:sz="0" w:space="0" w:color="auto"/>
        <w:bottom w:val="none" w:sz="0" w:space="0" w:color="auto"/>
        <w:right w:val="none" w:sz="0" w:space="0" w:color="auto"/>
      </w:divBdr>
    </w:div>
    <w:div w:id="1190872388">
      <w:bodyDiv w:val="1"/>
      <w:marLeft w:val="0"/>
      <w:marRight w:val="0"/>
      <w:marTop w:val="0"/>
      <w:marBottom w:val="0"/>
      <w:divBdr>
        <w:top w:val="none" w:sz="0" w:space="0" w:color="auto"/>
        <w:left w:val="none" w:sz="0" w:space="0" w:color="auto"/>
        <w:bottom w:val="none" w:sz="0" w:space="0" w:color="auto"/>
        <w:right w:val="none" w:sz="0" w:space="0" w:color="auto"/>
      </w:divBdr>
      <w:divsChild>
        <w:div w:id="1291400801">
          <w:marLeft w:val="0"/>
          <w:marRight w:val="0"/>
          <w:marTop w:val="0"/>
          <w:marBottom w:val="0"/>
          <w:divBdr>
            <w:top w:val="none" w:sz="0" w:space="0" w:color="auto"/>
            <w:left w:val="none" w:sz="0" w:space="0" w:color="auto"/>
            <w:bottom w:val="none" w:sz="0" w:space="0" w:color="auto"/>
            <w:right w:val="none" w:sz="0" w:space="0" w:color="auto"/>
          </w:divBdr>
          <w:divsChild>
            <w:div w:id="1798064485">
              <w:marLeft w:val="0"/>
              <w:marRight w:val="0"/>
              <w:marTop w:val="0"/>
              <w:marBottom w:val="0"/>
              <w:divBdr>
                <w:top w:val="none" w:sz="0" w:space="0" w:color="auto"/>
                <w:left w:val="none" w:sz="0" w:space="0" w:color="auto"/>
                <w:bottom w:val="none" w:sz="0" w:space="0" w:color="auto"/>
                <w:right w:val="none" w:sz="0" w:space="0" w:color="auto"/>
              </w:divBdr>
              <w:divsChild>
                <w:div w:id="5391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9296">
      <w:bodyDiv w:val="1"/>
      <w:marLeft w:val="0"/>
      <w:marRight w:val="0"/>
      <w:marTop w:val="0"/>
      <w:marBottom w:val="0"/>
      <w:divBdr>
        <w:top w:val="none" w:sz="0" w:space="0" w:color="auto"/>
        <w:left w:val="none" w:sz="0" w:space="0" w:color="auto"/>
        <w:bottom w:val="none" w:sz="0" w:space="0" w:color="auto"/>
        <w:right w:val="none" w:sz="0" w:space="0" w:color="auto"/>
      </w:divBdr>
      <w:divsChild>
        <w:div w:id="2038042100">
          <w:marLeft w:val="0"/>
          <w:marRight w:val="0"/>
          <w:marTop w:val="0"/>
          <w:marBottom w:val="0"/>
          <w:divBdr>
            <w:top w:val="none" w:sz="0" w:space="0" w:color="auto"/>
            <w:left w:val="none" w:sz="0" w:space="0" w:color="auto"/>
            <w:bottom w:val="none" w:sz="0" w:space="0" w:color="auto"/>
            <w:right w:val="none" w:sz="0" w:space="0" w:color="auto"/>
          </w:divBdr>
          <w:divsChild>
            <w:div w:id="393771710">
              <w:marLeft w:val="0"/>
              <w:marRight w:val="0"/>
              <w:marTop w:val="0"/>
              <w:marBottom w:val="0"/>
              <w:divBdr>
                <w:top w:val="none" w:sz="0" w:space="0" w:color="auto"/>
                <w:left w:val="none" w:sz="0" w:space="0" w:color="auto"/>
                <w:bottom w:val="none" w:sz="0" w:space="0" w:color="auto"/>
                <w:right w:val="none" w:sz="0" w:space="0" w:color="auto"/>
              </w:divBdr>
              <w:divsChild>
                <w:div w:id="2461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32442">
      <w:bodyDiv w:val="1"/>
      <w:marLeft w:val="0"/>
      <w:marRight w:val="0"/>
      <w:marTop w:val="0"/>
      <w:marBottom w:val="0"/>
      <w:divBdr>
        <w:top w:val="none" w:sz="0" w:space="0" w:color="auto"/>
        <w:left w:val="none" w:sz="0" w:space="0" w:color="auto"/>
        <w:bottom w:val="none" w:sz="0" w:space="0" w:color="auto"/>
        <w:right w:val="none" w:sz="0" w:space="0" w:color="auto"/>
      </w:divBdr>
      <w:divsChild>
        <w:div w:id="1789884313">
          <w:marLeft w:val="0"/>
          <w:marRight w:val="0"/>
          <w:marTop w:val="0"/>
          <w:marBottom w:val="0"/>
          <w:divBdr>
            <w:top w:val="none" w:sz="0" w:space="0" w:color="auto"/>
            <w:left w:val="none" w:sz="0" w:space="0" w:color="auto"/>
            <w:bottom w:val="none" w:sz="0" w:space="0" w:color="auto"/>
            <w:right w:val="none" w:sz="0" w:space="0" w:color="auto"/>
          </w:divBdr>
          <w:divsChild>
            <w:div w:id="1550191379">
              <w:marLeft w:val="0"/>
              <w:marRight w:val="0"/>
              <w:marTop w:val="0"/>
              <w:marBottom w:val="0"/>
              <w:divBdr>
                <w:top w:val="none" w:sz="0" w:space="0" w:color="auto"/>
                <w:left w:val="none" w:sz="0" w:space="0" w:color="auto"/>
                <w:bottom w:val="none" w:sz="0" w:space="0" w:color="auto"/>
                <w:right w:val="none" w:sz="0" w:space="0" w:color="auto"/>
              </w:divBdr>
              <w:divsChild>
                <w:div w:id="8314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20910">
      <w:bodyDiv w:val="1"/>
      <w:marLeft w:val="0"/>
      <w:marRight w:val="0"/>
      <w:marTop w:val="0"/>
      <w:marBottom w:val="0"/>
      <w:divBdr>
        <w:top w:val="none" w:sz="0" w:space="0" w:color="auto"/>
        <w:left w:val="none" w:sz="0" w:space="0" w:color="auto"/>
        <w:bottom w:val="none" w:sz="0" w:space="0" w:color="auto"/>
        <w:right w:val="none" w:sz="0" w:space="0" w:color="auto"/>
      </w:divBdr>
      <w:divsChild>
        <w:div w:id="623540057">
          <w:marLeft w:val="0"/>
          <w:marRight w:val="0"/>
          <w:marTop w:val="0"/>
          <w:marBottom w:val="0"/>
          <w:divBdr>
            <w:top w:val="none" w:sz="0" w:space="0" w:color="auto"/>
            <w:left w:val="none" w:sz="0" w:space="0" w:color="auto"/>
            <w:bottom w:val="none" w:sz="0" w:space="0" w:color="auto"/>
            <w:right w:val="none" w:sz="0" w:space="0" w:color="auto"/>
          </w:divBdr>
          <w:divsChild>
            <w:div w:id="381944820">
              <w:marLeft w:val="0"/>
              <w:marRight w:val="0"/>
              <w:marTop w:val="0"/>
              <w:marBottom w:val="0"/>
              <w:divBdr>
                <w:top w:val="none" w:sz="0" w:space="0" w:color="auto"/>
                <w:left w:val="none" w:sz="0" w:space="0" w:color="auto"/>
                <w:bottom w:val="none" w:sz="0" w:space="0" w:color="auto"/>
                <w:right w:val="none" w:sz="0" w:space="0" w:color="auto"/>
              </w:divBdr>
              <w:divsChild>
                <w:div w:id="604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36441">
      <w:bodyDiv w:val="1"/>
      <w:marLeft w:val="0"/>
      <w:marRight w:val="0"/>
      <w:marTop w:val="0"/>
      <w:marBottom w:val="0"/>
      <w:divBdr>
        <w:top w:val="none" w:sz="0" w:space="0" w:color="auto"/>
        <w:left w:val="none" w:sz="0" w:space="0" w:color="auto"/>
        <w:bottom w:val="none" w:sz="0" w:space="0" w:color="auto"/>
        <w:right w:val="none" w:sz="0" w:space="0" w:color="auto"/>
      </w:divBdr>
      <w:divsChild>
        <w:div w:id="2112309412">
          <w:marLeft w:val="0"/>
          <w:marRight w:val="0"/>
          <w:marTop w:val="0"/>
          <w:marBottom w:val="0"/>
          <w:divBdr>
            <w:top w:val="none" w:sz="0" w:space="0" w:color="auto"/>
            <w:left w:val="none" w:sz="0" w:space="0" w:color="auto"/>
            <w:bottom w:val="none" w:sz="0" w:space="0" w:color="auto"/>
            <w:right w:val="none" w:sz="0" w:space="0" w:color="auto"/>
          </w:divBdr>
          <w:divsChild>
            <w:div w:id="221796882">
              <w:marLeft w:val="0"/>
              <w:marRight w:val="0"/>
              <w:marTop w:val="0"/>
              <w:marBottom w:val="0"/>
              <w:divBdr>
                <w:top w:val="none" w:sz="0" w:space="0" w:color="auto"/>
                <w:left w:val="none" w:sz="0" w:space="0" w:color="auto"/>
                <w:bottom w:val="none" w:sz="0" w:space="0" w:color="auto"/>
                <w:right w:val="none" w:sz="0" w:space="0" w:color="auto"/>
              </w:divBdr>
              <w:divsChild>
                <w:div w:id="14088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8778">
      <w:bodyDiv w:val="1"/>
      <w:marLeft w:val="0"/>
      <w:marRight w:val="0"/>
      <w:marTop w:val="0"/>
      <w:marBottom w:val="0"/>
      <w:divBdr>
        <w:top w:val="none" w:sz="0" w:space="0" w:color="auto"/>
        <w:left w:val="none" w:sz="0" w:space="0" w:color="auto"/>
        <w:bottom w:val="none" w:sz="0" w:space="0" w:color="auto"/>
        <w:right w:val="none" w:sz="0" w:space="0" w:color="auto"/>
      </w:divBdr>
      <w:divsChild>
        <w:div w:id="300157501">
          <w:marLeft w:val="0"/>
          <w:marRight w:val="0"/>
          <w:marTop w:val="0"/>
          <w:marBottom w:val="0"/>
          <w:divBdr>
            <w:top w:val="none" w:sz="0" w:space="0" w:color="auto"/>
            <w:left w:val="none" w:sz="0" w:space="0" w:color="auto"/>
            <w:bottom w:val="none" w:sz="0" w:space="0" w:color="auto"/>
            <w:right w:val="none" w:sz="0" w:space="0" w:color="auto"/>
          </w:divBdr>
          <w:divsChild>
            <w:div w:id="1305356351">
              <w:marLeft w:val="0"/>
              <w:marRight w:val="0"/>
              <w:marTop w:val="0"/>
              <w:marBottom w:val="0"/>
              <w:divBdr>
                <w:top w:val="none" w:sz="0" w:space="0" w:color="auto"/>
                <w:left w:val="none" w:sz="0" w:space="0" w:color="auto"/>
                <w:bottom w:val="none" w:sz="0" w:space="0" w:color="auto"/>
                <w:right w:val="none" w:sz="0" w:space="0" w:color="auto"/>
              </w:divBdr>
              <w:divsChild>
                <w:div w:id="13191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7995">
      <w:bodyDiv w:val="1"/>
      <w:marLeft w:val="0"/>
      <w:marRight w:val="0"/>
      <w:marTop w:val="0"/>
      <w:marBottom w:val="0"/>
      <w:divBdr>
        <w:top w:val="none" w:sz="0" w:space="0" w:color="auto"/>
        <w:left w:val="none" w:sz="0" w:space="0" w:color="auto"/>
        <w:bottom w:val="none" w:sz="0" w:space="0" w:color="auto"/>
        <w:right w:val="none" w:sz="0" w:space="0" w:color="auto"/>
      </w:divBdr>
      <w:divsChild>
        <w:div w:id="1235507472">
          <w:marLeft w:val="0"/>
          <w:marRight w:val="0"/>
          <w:marTop w:val="0"/>
          <w:marBottom w:val="0"/>
          <w:divBdr>
            <w:top w:val="none" w:sz="0" w:space="0" w:color="auto"/>
            <w:left w:val="none" w:sz="0" w:space="0" w:color="auto"/>
            <w:bottom w:val="none" w:sz="0" w:space="0" w:color="auto"/>
            <w:right w:val="none" w:sz="0" w:space="0" w:color="auto"/>
          </w:divBdr>
          <w:divsChild>
            <w:div w:id="508761488">
              <w:marLeft w:val="0"/>
              <w:marRight w:val="0"/>
              <w:marTop w:val="0"/>
              <w:marBottom w:val="0"/>
              <w:divBdr>
                <w:top w:val="none" w:sz="0" w:space="0" w:color="auto"/>
                <w:left w:val="none" w:sz="0" w:space="0" w:color="auto"/>
                <w:bottom w:val="none" w:sz="0" w:space="0" w:color="auto"/>
                <w:right w:val="none" w:sz="0" w:space="0" w:color="auto"/>
              </w:divBdr>
              <w:divsChild>
                <w:div w:id="980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30053">
      <w:bodyDiv w:val="1"/>
      <w:marLeft w:val="0"/>
      <w:marRight w:val="0"/>
      <w:marTop w:val="0"/>
      <w:marBottom w:val="0"/>
      <w:divBdr>
        <w:top w:val="none" w:sz="0" w:space="0" w:color="auto"/>
        <w:left w:val="none" w:sz="0" w:space="0" w:color="auto"/>
        <w:bottom w:val="none" w:sz="0" w:space="0" w:color="auto"/>
        <w:right w:val="none" w:sz="0" w:space="0" w:color="auto"/>
      </w:divBdr>
      <w:divsChild>
        <w:div w:id="17584469">
          <w:marLeft w:val="0"/>
          <w:marRight w:val="0"/>
          <w:marTop w:val="0"/>
          <w:marBottom w:val="0"/>
          <w:divBdr>
            <w:top w:val="none" w:sz="0" w:space="0" w:color="auto"/>
            <w:left w:val="none" w:sz="0" w:space="0" w:color="auto"/>
            <w:bottom w:val="none" w:sz="0" w:space="0" w:color="auto"/>
            <w:right w:val="none" w:sz="0" w:space="0" w:color="auto"/>
          </w:divBdr>
          <w:divsChild>
            <w:div w:id="215968799">
              <w:marLeft w:val="0"/>
              <w:marRight w:val="0"/>
              <w:marTop w:val="0"/>
              <w:marBottom w:val="0"/>
              <w:divBdr>
                <w:top w:val="none" w:sz="0" w:space="0" w:color="auto"/>
                <w:left w:val="none" w:sz="0" w:space="0" w:color="auto"/>
                <w:bottom w:val="none" w:sz="0" w:space="0" w:color="auto"/>
                <w:right w:val="none" w:sz="0" w:space="0" w:color="auto"/>
              </w:divBdr>
              <w:divsChild>
                <w:div w:id="4233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42170">
      <w:bodyDiv w:val="1"/>
      <w:marLeft w:val="0"/>
      <w:marRight w:val="0"/>
      <w:marTop w:val="0"/>
      <w:marBottom w:val="0"/>
      <w:divBdr>
        <w:top w:val="none" w:sz="0" w:space="0" w:color="auto"/>
        <w:left w:val="none" w:sz="0" w:space="0" w:color="auto"/>
        <w:bottom w:val="none" w:sz="0" w:space="0" w:color="auto"/>
        <w:right w:val="none" w:sz="0" w:space="0" w:color="auto"/>
      </w:divBdr>
    </w:div>
    <w:div w:id="1601060985">
      <w:bodyDiv w:val="1"/>
      <w:marLeft w:val="0"/>
      <w:marRight w:val="0"/>
      <w:marTop w:val="0"/>
      <w:marBottom w:val="0"/>
      <w:divBdr>
        <w:top w:val="none" w:sz="0" w:space="0" w:color="auto"/>
        <w:left w:val="none" w:sz="0" w:space="0" w:color="auto"/>
        <w:bottom w:val="none" w:sz="0" w:space="0" w:color="auto"/>
        <w:right w:val="none" w:sz="0" w:space="0" w:color="auto"/>
      </w:divBdr>
      <w:divsChild>
        <w:div w:id="1657106996">
          <w:marLeft w:val="0"/>
          <w:marRight w:val="0"/>
          <w:marTop w:val="0"/>
          <w:marBottom w:val="0"/>
          <w:divBdr>
            <w:top w:val="none" w:sz="0" w:space="0" w:color="auto"/>
            <w:left w:val="none" w:sz="0" w:space="0" w:color="auto"/>
            <w:bottom w:val="none" w:sz="0" w:space="0" w:color="auto"/>
            <w:right w:val="none" w:sz="0" w:space="0" w:color="auto"/>
          </w:divBdr>
          <w:divsChild>
            <w:div w:id="378163612">
              <w:marLeft w:val="0"/>
              <w:marRight w:val="0"/>
              <w:marTop w:val="0"/>
              <w:marBottom w:val="0"/>
              <w:divBdr>
                <w:top w:val="none" w:sz="0" w:space="0" w:color="auto"/>
                <w:left w:val="none" w:sz="0" w:space="0" w:color="auto"/>
                <w:bottom w:val="none" w:sz="0" w:space="0" w:color="auto"/>
                <w:right w:val="none" w:sz="0" w:space="0" w:color="auto"/>
              </w:divBdr>
              <w:divsChild>
                <w:div w:id="13600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3834">
      <w:bodyDiv w:val="1"/>
      <w:marLeft w:val="0"/>
      <w:marRight w:val="0"/>
      <w:marTop w:val="0"/>
      <w:marBottom w:val="0"/>
      <w:divBdr>
        <w:top w:val="none" w:sz="0" w:space="0" w:color="auto"/>
        <w:left w:val="none" w:sz="0" w:space="0" w:color="auto"/>
        <w:bottom w:val="none" w:sz="0" w:space="0" w:color="auto"/>
        <w:right w:val="none" w:sz="0" w:space="0" w:color="auto"/>
      </w:divBdr>
      <w:divsChild>
        <w:div w:id="1019504042">
          <w:marLeft w:val="0"/>
          <w:marRight w:val="0"/>
          <w:marTop w:val="0"/>
          <w:marBottom w:val="0"/>
          <w:divBdr>
            <w:top w:val="none" w:sz="0" w:space="0" w:color="auto"/>
            <w:left w:val="none" w:sz="0" w:space="0" w:color="auto"/>
            <w:bottom w:val="none" w:sz="0" w:space="0" w:color="auto"/>
            <w:right w:val="none" w:sz="0" w:space="0" w:color="auto"/>
          </w:divBdr>
          <w:divsChild>
            <w:div w:id="1245148767">
              <w:marLeft w:val="0"/>
              <w:marRight w:val="0"/>
              <w:marTop w:val="0"/>
              <w:marBottom w:val="0"/>
              <w:divBdr>
                <w:top w:val="none" w:sz="0" w:space="0" w:color="auto"/>
                <w:left w:val="none" w:sz="0" w:space="0" w:color="auto"/>
                <w:bottom w:val="none" w:sz="0" w:space="0" w:color="auto"/>
                <w:right w:val="none" w:sz="0" w:space="0" w:color="auto"/>
              </w:divBdr>
              <w:divsChild>
                <w:div w:id="8360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65722">
      <w:bodyDiv w:val="1"/>
      <w:marLeft w:val="0"/>
      <w:marRight w:val="0"/>
      <w:marTop w:val="0"/>
      <w:marBottom w:val="0"/>
      <w:divBdr>
        <w:top w:val="none" w:sz="0" w:space="0" w:color="auto"/>
        <w:left w:val="none" w:sz="0" w:space="0" w:color="auto"/>
        <w:bottom w:val="none" w:sz="0" w:space="0" w:color="auto"/>
        <w:right w:val="none" w:sz="0" w:space="0" w:color="auto"/>
      </w:divBdr>
      <w:divsChild>
        <w:div w:id="987056749">
          <w:marLeft w:val="0"/>
          <w:marRight w:val="0"/>
          <w:marTop w:val="0"/>
          <w:marBottom w:val="0"/>
          <w:divBdr>
            <w:top w:val="none" w:sz="0" w:space="0" w:color="auto"/>
            <w:left w:val="none" w:sz="0" w:space="0" w:color="auto"/>
            <w:bottom w:val="none" w:sz="0" w:space="0" w:color="auto"/>
            <w:right w:val="none" w:sz="0" w:space="0" w:color="auto"/>
          </w:divBdr>
          <w:divsChild>
            <w:div w:id="133065443">
              <w:marLeft w:val="0"/>
              <w:marRight w:val="0"/>
              <w:marTop w:val="0"/>
              <w:marBottom w:val="0"/>
              <w:divBdr>
                <w:top w:val="none" w:sz="0" w:space="0" w:color="auto"/>
                <w:left w:val="none" w:sz="0" w:space="0" w:color="auto"/>
                <w:bottom w:val="none" w:sz="0" w:space="0" w:color="auto"/>
                <w:right w:val="none" w:sz="0" w:space="0" w:color="auto"/>
              </w:divBdr>
              <w:divsChild>
                <w:div w:id="8444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98269">
      <w:bodyDiv w:val="1"/>
      <w:marLeft w:val="0"/>
      <w:marRight w:val="0"/>
      <w:marTop w:val="0"/>
      <w:marBottom w:val="0"/>
      <w:divBdr>
        <w:top w:val="none" w:sz="0" w:space="0" w:color="auto"/>
        <w:left w:val="none" w:sz="0" w:space="0" w:color="auto"/>
        <w:bottom w:val="none" w:sz="0" w:space="0" w:color="auto"/>
        <w:right w:val="none" w:sz="0" w:space="0" w:color="auto"/>
      </w:divBdr>
    </w:div>
    <w:div w:id="1921793962">
      <w:bodyDiv w:val="1"/>
      <w:marLeft w:val="0"/>
      <w:marRight w:val="0"/>
      <w:marTop w:val="0"/>
      <w:marBottom w:val="0"/>
      <w:divBdr>
        <w:top w:val="none" w:sz="0" w:space="0" w:color="auto"/>
        <w:left w:val="none" w:sz="0" w:space="0" w:color="auto"/>
        <w:bottom w:val="none" w:sz="0" w:space="0" w:color="auto"/>
        <w:right w:val="none" w:sz="0" w:space="0" w:color="auto"/>
      </w:divBdr>
    </w:div>
    <w:div w:id="19338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ptfs-oireachtas.s3.amazonaws.com/DriveH/AWData/Library3/2019-02-27_Reasoned_Response_to_be_laid_before_both_Houses_164802.pdf" TargetMode="External"/><Relationship Id="rId1" Type="http://schemas.openxmlformats.org/officeDocument/2006/relationships/hyperlink" Target="https://data.oireachtas.ie/ie/oireachtas/committee/dail/32/sub_committee_on_dail_reform/reports/2019/2019-04-29_report-memorandum-of-understanding-between-the-government-and-dail-eireann-on-private-members-bill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5166B-B6E9-8041-BC32-76AE26D5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7647</Words>
  <Characters>45506</Characters>
  <Application>Microsoft Office Word</Application>
  <DocSecurity>0</DocSecurity>
  <Lines>758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Kenny</dc:creator>
  <cp:keywords/>
  <dc:description/>
  <cp:lastModifiedBy>Conor Casey</cp:lastModifiedBy>
  <cp:revision>3</cp:revision>
  <dcterms:created xsi:type="dcterms:W3CDTF">2020-09-25T10:17:00Z</dcterms:created>
  <dcterms:modified xsi:type="dcterms:W3CDTF">2020-09-25T10:18:00Z</dcterms:modified>
</cp:coreProperties>
</file>