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C0152" w14:textId="7A93841C" w:rsidR="007F2AB1" w:rsidRPr="00C67555" w:rsidRDefault="00694CFD" w:rsidP="00F8729F">
      <w:pPr>
        <w:pStyle w:val="Heading1"/>
      </w:pPr>
      <w:r>
        <w:t>THE IMPATIENT PATIENT AND T</w:t>
      </w:r>
      <w:r w:rsidRPr="00C67555">
        <w:t>HE UNRECEPTI</w:t>
      </w:r>
      <w:bookmarkStart w:id="0" w:name="_GoBack"/>
      <w:bookmarkEnd w:id="0"/>
      <w:r w:rsidRPr="00C67555">
        <w:t xml:space="preserve">VE RECEPTIONIST: </w:t>
      </w:r>
      <w:r>
        <w:rPr>
          <w:i/>
        </w:rPr>
        <w:t>DARNLEY v CROYDON HEALTH SERVICES NHS</w:t>
      </w:r>
      <w:r w:rsidRPr="00C67555">
        <w:rPr>
          <w:i/>
        </w:rPr>
        <w:t xml:space="preserve"> TRUST</w:t>
      </w:r>
      <w:r>
        <w:t xml:space="preserve"> [2018] UKSC</w:t>
      </w:r>
      <w:r w:rsidRPr="00C67555">
        <w:t xml:space="preserve"> 50.</w:t>
      </w:r>
    </w:p>
    <w:p w14:paraId="4C6B6E7F" w14:textId="77777777" w:rsidR="00DB55AF" w:rsidRDefault="00DB55AF" w:rsidP="00F8729F">
      <w:pPr>
        <w:spacing w:line="240" w:lineRule="auto"/>
        <w:rPr>
          <w:b/>
        </w:rPr>
      </w:pPr>
    </w:p>
    <w:p w14:paraId="5907B998" w14:textId="4450A2CC" w:rsidR="00BA1DAC" w:rsidRDefault="00BA1DAC" w:rsidP="00F8729F">
      <w:pPr>
        <w:spacing w:line="240" w:lineRule="auto"/>
      </w:pPr>
      <w:r w:rsidRPr="00BA1DAC">
        <w:t xml:space="preserve">Craig </w:t>
      </w:r>
      <w:r w:rsidR="00350A6B">
        <w:t>Purshouse</w:t>
      </w:r>
      <w:r w:rsidR="00FB25A9">
        <w:t xml:space="preserve">, </w:t>
      </w:r>
      <w:r>
        <w:t>School of Law, University of Leeds, Liberty Building, Leeds, LS2 9JT</w:t>
      </w:r>
      <w:r w:rsidR="003B4542">
        <w:t xml:space="preserve">. </w:t>
      </w:r>
      <w:r w:rsidRPr="00BA1DAC">
        <w:t>c.j.purshouse@leeds.ac.uk</w:t>
      </w:r>
    </w:p>
    <w:p w14:paraId="17A58C1D" w14:textId="77777777" w:rsidR="00BA1DAC" w:rsidRDefault="00BA1DAC" w:rsidP="00F8729F">
      <w:pPr>
        <w:spacing w:line="240" w:lineRule="auto"/>
        <w:rPr>
          <w:b/>
        </w:rPr>
      </w:pPr>
    </w:p>
    <w:p w14:paraId="54C8DA55" w14:textId="17BC7E03" w:rsidR="003B4542" w:rsidRDefault="003B4542" w:rsidP="00F8729F">
      <w:pPr>
        <w:spacing w:line="240" w:lineRule="auto"/>
        <w:rPr>
          <w:b/>
        </w:rPr>
      </w:pPr>
      <w:r>
        <w:t>I would like to thank Emma Cave</w:t>
      </w:r>
      <w:r w:rsidR="009962E8">
        <w:t>, Sarah Devaney</w:t>
      </w:r>
      <w:r>
        <w:t xml:space="preserve"> and Rob Heywood for helpf</w:t>
      </w:r>
      <w:r w:rsidR="00A16F55">
        <w:t>ul comments on an earlier draft</w:t>
      </w:r>
      <w:r>
        <w:t>.</w:t>
      </w:r>
      <w:r w:rsidR="00B34C96">
        <w:t xml:space="preserve"> </w:t>
      </w:r>
    </w:p>
    <w:p w14:paraId="4644B461" w14:textId="77777777" w:rsidR="003B4542" w:rsidRDefault="003B4542" w:rsidP="00F8729F">
      <w:pPr>
        <w:spacing w:line="240" w:lineRule="auto"/>
        <w:rPr>
          <w:b/>
        </w:rPr>
      </w:pPr>
    </w:p>
    <w:p w14:paraId="507AD175" w14:textId="77777777" w:rsidR="002728D9" w:rsidRDefault="002728D9" w:rsidP="00F8729F">
      <w:pPr>
        <w:spacing w:line="240" w:lineRule="auto"/>
      </w:pPr>
      <w:r>
        <w:rPr>
          <w:b/>
        </w:rPr>
        <w:t>Abstract</w:t>
      </w:r>
    </w:p>
    <w:p w14:paraId="12C24EBF" w14:textId="11735873" w:rsidR="002728D9" w:rsidRPr="002728D9" w:rsidRDefault="002728D9" w:rsidP="00F8729F">
      <w:pPr>
        <w:spacing w:line="240" w:lineRule="auto"/>
      </w:pPr>
      <w:r>
        <w:t xml:space="preserve">In </w:t>
      </w:r>
      <w:r>
        <w:rPr>
          <w:i/>
        </w:rPr>
        <w:t>Darnley v Croydon</w:t>
      </w:r>
      <w:r w:rsidR="007F2CD1">
        <w:rPr>
          <w:i/>
        </w:rPr>
        <w:t xml:space="preserve"> Health Services NHS Trust</w:t>
      </w:r>
      <w:r w:rsidR="00A256F0">
        <w:t xml:space="preserve"> </w:t>
      </w:r>
      <w:r w:rsidR="00A256F0" w:rsidRPr="003414E7">
        <w:t>[2018] UKSC</w:t>
      </w:r>
      <w:r w:rsidR="00D342CE">
        <w:t xml:space="preserve"> 50</w:t>
      </w:r>
      <w:r>
        <w:rPr>
          <w:i/>
        </w:rPr>
        <w:t xml:space="preserve"> </w:t>
      </w:r>
      <w:r>
        <w:t xml:space="preserve">the Supreme Court </w:t>
      </w:r>
      <w:r w:rsidR="00C609C3">
        <w:t>held that a hospital receptionist’s misleading statement about A&amp;E waiting time</w:t>
      </w:r>
      <w:r w:rsidR="00A256F0">
        <w:t>s constituted a breach of duty and that the</w:t>
      </w:r>
      <w:r w:rsidR="00C609C3">
        <w:t xml:space="preserve"> claimant’s decision</w:t>
      </w:r>
      <w:r w:rsidR="00A256F0">
        <w:t>, based on this misinformation,</w:t>
      </w:r>
      <w:r w:rsidR="00C609C3">
        <w:t xml:space="preserve"> to leave the </w:t>
      </w:r>
      <w:r w:rsidR="00794BCF">
        <w:t xml:space="preserve">hospital </w:t>
      </w:r>
      <w:r w:rsidR="00C609C3">
        <w:t>did n</w:t>
      </w:r>
      <w:r w:rsidR="00A256F0">
        <w:t xml:space="preserve">ot break the chain of causation when he was </w:t>
      </w:r>
      <w:r w:rsidR="00784A07">
        <w:t>left paralysed</w:t>
      </w:r>
      <w:r w:rsidR="001C4FA2">
        <w:t xml:space="preserve"> </w:t>
      </w:r>
      <w:proofErr w:type="gramStart"/>
      <w:r w:rsidR="001C4FA2">
        <w:t>as a result of</w:t>
      </w:r>
      <w:proofErr w:type="gramEnd"/>
      <w:r w:rsidR="001C4FA2">
        <w:t xml:space="preserve"> a head injury</w:t>
      </w:r>
      <w:r w:rsidR="00784A07">
        <w:t>.</w:t>
      </w:r>
      <w:r w:rsidR="00F3414F">
        <w:t xml:space="preserve"> </w:t>
      </w:r>
      <w:r w:rsidR="00FA4754">
        <w:t xml:space="preserve">In this commentary, I argue that while the Supreme Court’s treatment of duty of care and breach are, for the most part, a model of doctrinal clarity, its treatment of the causation issue is problematic as it </w:t>
      </w:r>
      <w:r w:rsidR="00732302">
        <w:t>elides the test of whether there has been a break in the chain of causation with that for remoteness</w:t>
      </w:r>
      <w:r w:rsidR="00514094">
        <w:t>. I then comment on</w:t>
      </w:r>
      <w:r w:rsidR="00FA4754">
        <w:t xml:space="preserve"> the Supre</w:t>
      </w:r>
      <w:r w:rsidR="004A384A">
        <w:t xml:space="preserve">me Court’s </w:t>
      </w:r>
      <w:r w:rsidR="002E6EBE">
        <w:t>construction of the patient</w:t>
      </w:r>
      <w:r w:rsidR="00A16F55">
        <w:t xml:space="preserve"> in medical negligence cases.</w:t>
      </w:r>
    </w:p>
    <w:p w14:paraId="4353B5AD" w14:textId="34C3F8D5" w:rsidR="002728D9" w:rsidRPr="00EF6C52" w:rsidRDefault="00EF6C52" w:rsidP="00F8729F">
      <w:pPr>
        <w:spacing w:line="240" w:lineRule="auto"/>
      </w:pPr>
      <w:r w:rsidRPr="00EF6C52">
        <w:rPr>
          <w:b/>
        </w:rPr>
        <w:t>Keywords</w:t>
      </w:r>
      <w:r>
        <w:t>: medical negligence, tort, duty of care, standard of care, causation, autonomy, vulnerability.</w:t>
      </w:r>
    </w:p>
    <w:p w14:paraId="1F473390" w14:textId="77777777" w:rsidR="00F8729F" w:rsidRDefault="00F8729F" w:rsidP="00F8729F">
      <w:pPr>
        <w:spacing w:line="240" w:lineRule="auto"/>
        <w:rPr>
          <w:b/>
        </w:rPr>
      </w:pPr>
    </w:p>
    <w:p w14:paraId="7D6D81D7" w14:textId="3E0DFC01" w:rsidR="007F2AB1" w:rsidRPr="00F8729F" w:rsidRDefault="00C67555" w:rsidP="00F8729F">
      <w:pPr>
        <w:spacing w:line="240" w:lineRule="auto"/>
        <w:jc w:val="center"/>
        <w:rPr>
          <w:b/>
        </w:rPr>
      </w:pPr>
      <w:r w:rsidRPr="00F8729F">
        <w:rPr>
          <w:b/>
        </w:rPr>
        <w:t>INTRODUCTION</w:t>
      </w:r>
    </w:p>
    <w:p w14:paraId="624812EC" w14:textId="77777777" w:rsidR="00F8729F" w:rsidRPr="00C67555" w:rsidRDefault="00F8729F" w:rsidP="00F8729F">
      <w:pPr>
        <w:spacing w:line="240" w:lineRule="auto"/>
        <w:jc w:val="center"/>
      </w:pPr>
    </w:p>
    <w:p w14:paraId="3CE3B851" w14:textId="4A3C012B" w:rsidR="003C3C01" w:rsidRDefault="003C3C01" w:rsidP="00F8729F">
      <w:pPr>
        <w:spacing w:line="240" w:lineRule="auto"/>
      </w:pPr>
      <w:r>
        <w:t xml:space="preserve">In </w:t>
      </w:r>
      <w:r>
        <w:rPr>
          <w:i/>
        </w:rPr>
        <w:t>Montgomery v Lanarkshire Health Board</w:t>
      </w:r>
      <w:r w:rsidR="00EE23A9" w:rsidRPr="00682A8E">
        <w:rPr>
          <w:rStyle w:val="FootnoteReference"/>
        </w:rPr>
        <w:footnoteReference w:id="1"/>
      </w:r>
      <w:r>
        <w:t xml:space="preserve"> the Supreme Court, adopting a pro-patient approach to the law on negligent information disclosure, held that societal changes meant that patients should be treated ‘</w:t>
      </w:r>
      <w:r w:rsidRPr="00A00552">
        <w:t>so far as possible as adults who are capable of understanding that medical treatment is uncertain of success and may involve risks, accepting responsibility for the taking of risks affecting their own lives, and living with the consequences of their choices.</w:t>
      </w:r>
      <w:r>
        <w:t>’</w:t>
      </w:r>
      <w:r>
        <w:rPr>
          <w:rStyle w:val="FootnoteReference"/>
        </w:rPr>
        <w:footnoteReference w:id="2"/>
      </w:r>
    </w:p>
    <w:p w14:paraId="6D1B06B2" w14:textId="0BD174C8" w:rsidR="00784A07" w:rsidRDefault="00EE23A9" w:rsidP="00F8729F">
      <w:pPr>
        <w:spacing w:line="240" w:lineRule="auto"/>
        <w:ind w:firstLine="720"/>
      </w:pPr>
      <w:r>
        <w:t>In an apparent departure from this rhetoric, the Supreme Court in</w:t>
      </w:r>
      <w:r w:rsidR="006A3B55">
        <w:t xml:space="preserve"> </w:t>
      </w:r>
      <w:r w:rsidR="003414E7">
        <w:rPr>
          <w:i/>
        </w:rPr>
        <w:t>Darnley v Croydon Health Services NHS Trust</w:t>
      </w:r>
      <w:r w:rsidR="00D15AD7">
        <w:rPr>
          <w:rStyle w:val="FootnoteReference"/>
        </w:rPr>
        <w:footnoteReference w:id="3"/>
      </w:r>
      <w:r w:rsidR="009D405E">
        <w:t xml:space="preserve"> </w:t>
      </w:r>
      <w:r>
        <w:t>seems to have shielded a claimant from the</w:t>
      </w:r>
      <w:r w:rsidR="00FC2679">
        <w:t xml:space="preserve"> adverse</w:t>
      </w:r>
      <w:r>
        <w:t xml:space="preserve"> consequences of his </w:t>
      </w:r>
      <w:r w:rsidR="00A16F55">
        <w:t>unwise choice to leave the hospital without telling anyone</w:t>
      </w:r>
      <w:r>
        <w:t>. The case concerned</w:t>
      </w:r>
      <w:r w:rsidR="00077DF5">
        <w:t xml:space="preserve"> a hospital’s negligence liability </w:t>
      </w:r>
      <w:r w:rsidR="00F152AC">
        <w:t>when</w:t>
      </w:r>
      <w:r w:rsidR="008C41C4">
        <w:t xml:space="preserve"> its receptionist’</w:t>
      </w:r>
      <w:r w:rsidR="00A256F0">
        <w:t>s</w:t>
      </w:r>
      <w:r w:rsidR="008C41C4">
        <w:t xml:space="preserve"> mi</w:t>
      </w:r>
      <w:r w:rsidR="00A256F0">
        <w:t>sleading statement</w:t>
      </w:r>
      <w:r w:rsidR="008C41C4">
        <w:t xml:space="preserve"> about waiting times in </w:t>
      </w:r>
      <w:r w:rsidR="000A01FF">
        <w:t>the Accident and Emergency</w:t>
      </w:r>
      <w:r w:rsidR="008C41C4">
        <w:t xml:space="preserve"> department led</w:t>
      </w:r>
      <w:r w:rsidR="00FB57C5">
        <w:t xml:space="preserve"> to </w:t>
      </w:r>
      <w:r w:rsidR="006A3B55">
        <w:t>a patient being injured.</w:t>
      </w:r>
      <w:r w:rsidR="001A6BB8">
        <w:t xml:space="preserve"> </w:t>
      </w:r>
      <w:r w:rsidR="00982743">
        <w:t xml:space="preserve">It </w:t>
      </w:r>
      <w:r w:rsidR="00784A07">
        <w:t>was held that the hospital had breached its duty of care and that the claimant’s decision to go home did not break the chain of causation. In this commentary</w:t>
      </w:r>
      <w:r w:rsidR="000828ED">
        <w:t>,</w:t>
      </w:r>
      <w:r w:rsidR="00784A07">
        <w:t xml:space="preserve"> I argue that</w:t>
      </w:r>
      <w:r w:rsidR="000828ED">
        <w:t xml:space="preserve"> while</w:t>
      </w:r>
      <w:r w:rsidR="00784A07">
        <w:t xml:space="preserve"> the Supreme Court’s treatment of duty of care and breach a</w:t>
      </w:r>
      <w:r w:rsidR="000828ED">
        <w:t>re</w:t>
      </w:r>
      <w:r w:rsidR="00FA4754">
        <w:t>, for the most part,</w:t>
      </w:r>
      <w:r w:rsidR="000828ED">
        <w:t xml:space="preserve"> a model of doctrinal clarity, its treatment of the</w:t>
      </w:r>
      <w:r w:rsidR="00F837FE">
        <w:t xml:space="preserve"> legal</w:t>
      </w:r>
      <w:r w:rsidR="000828ED">
        <w:t xml:space="preserve"> causation </w:t>
      </w:r>
      <w:r w:rsidR="00682A8E">
        <w:t xml:space="preserve">(or ‘scope of liability’) </w:t>
      </w:r>
      <w:r w:rsidR="000828ED">
        <w:t xml:space="preserve">issue </w:t>
      </w:r>
      <w:r w:rsidR="008A1DF1">
        <w:t xml:space="preserve">is problematic as it </w:t>
      </w:r>
      <w:r w:rsidR="000828ED">
        <w:t xml:space="preserve">elides </w:t>
      </w:r>
      <w:r w:rsidR="005E0419">
        <w:t>the test</w:t>
      </w:r>
      <w:r w:rsidR="00FC1E69">
        <w:t xml:space="preserve"> </w:t>
      </w:r>
      <w:r w:rsidR="005E0419">
        <w:t xml:space="preserve">of </w:t>
      </w:r>
      <w:r w:rsidR="00FC1E69">
        <w:t>whether there has been a break in the chain of causation</w:t>
      </w:r>
      <w:r w:rsidR="005E0419">
        <w:t xml:space="preserve"> with that for remoteness</w:t>
      </w:r>
      <w:r w:rsidR="00FC1E69">
        <w:t xml:space="preserve">. </w:t>
      </w:r>
      <w:r w:rsidR="00EC14CB">
        <w:t>I then</w:t>
      </w:r>
      <w:r w:rsidR="00F837FE">
        <w:t xml:space="preserve"> comment on</w:t>
      </w:r>
      <w:r w:rsidR="00EC14CB">
        <w:t xml:space="preserve"> the Supreme Court’s </w:t>
      </w:r>
      <w:r w:rsidR="002E6EBE">
        <w:t>construction</w:t>
      </w:r>
      <w:r w:rsidR="00EC14CB">
        <w:t xml:space="preserve"> of</w:t>
      </w:r>
      <w:r w:rsidR="002E6EBE">
        <w:t xml:space="preserve"> the</w:t>
      </w:r>
      <w:r w:rsidR="00EC14CB">
        <w:t xml:space="preserve"> </w:t>
      </w:r>
      <w:r w:rsidR="002E6EBE">
        <w:t>patient</w:t>
      </w:r>
      <w:r w:rsidR="00F837FE">
        <w:t xml:space="preserve"> in medical negligence cases</w:t>
      </w:r>
      <w:r w:rsidR="00B66B86">
        <w:t>.</w:t>
      </w:r>
    </w:p>
    <w:p w14:paraId="40DCC297" w14:textId="77777777" w:rsidR="00784A07" w:rsidRDefault="00784A07" w:rsidP="00F8729F">
      <w:pPr>
        <w:spacing w:line="240" w:lineRule="auto"/>
      </w:pPr>
      <w:r>
        <w:t xml:space="preserve"> </w:t>
      </w:r>
    </w:p>
    <w:p w14:paraId="7021F24B" w14:textId="61F38926" w:rsidR="00784A07" w:rsidRPr="00F8729F" w:rsidRDefault="00C67555" w:rsidP="00F8729F">
      <w:pPr>
        <w:spacing w:line="240" w:lineRule="auto"/>
        <w:jc w:val="center"/>
        <w:rPr>
          <w:b/>
        </w:rPr>
      </w:pPr>
      <w:r w:rsidRPr="00F8729F">
        <w:rPr>
          <w:b/>
        </w:rPr>
        <w:t>FACTS AND DECISION</w:t>
      </w:r>
    </w:p>
    <w:p w14:paraId="020AC8D8" w14:textId="77777777" w:rsidR="00F8729F" w:rsidRPr="00C67555" w:rsidRDefault="00F8729F" w:rsidP="00F8729F">
      <w:pPr>
        <w:spacing w:line="240" w:lineRule="auto"/>
        <w:jc w:val="center"/>
      </w:pPr>
    </w:p>
    <w:p w14:paraId="61592679" w14:textId="20E02A29" w:rsidR="007F2AB1" w:rsidRDefault="0049644B" w:rsidP="00F8729F">
      <w:pPr>
        <w:spacing w:line="240" w:lineRule="auto"/>
      </w:pPr>
      <w:r>
        <w:t>After</w:t>
      </w:r>
      <w:r w:rsidR="000F5168">
        <w:t xml:space="preserve"> </w:t>
      </w:r>
      <w:r w:rsidR="00A8330B">
        <w:t xml:space="preserve">being struck over the head by an unknown assailant, </w:t>
      </w:r>
      <w:r w:rsidR="007F2AB1">
        <w:t>Michael Darnley attended the Accident and Emergency department</w:t>
      </w:r>
      <w:r>
        <w:t xml:space="preserve"> at Mayday Hospital (now called Croydon University Hospital), which was managed by the defendants. </w:t>
      </w:r>
      <w:r w:rsidR="009839BF">
        <w:t>He informed</w:t>
      </w:r>
      <w:r w:rsidR="007F2AB1">
        <w:t xml:space="preserve"> the receptionist </w:t>
      </w:r>
      <w:r w:rsidR="00B4693B">
        <w:t xml:space="preserve">of the assault </w:t>
      </w:r>
      <w:r w:rsidR="00B4693B">
        <w:lastRenderedPageBreak/>
        <w:t>and</w:t>
      </w:r>
      <w:r w:rsidR="007F2AB1">
        <w:t xml:space="preserve"> that his he</w:t>
      </w:r>
      <w:r w:rsidR="009839BF">
        <w:t>ad was in pain</w:t>
      </w:r>
      <w:r w:rsidR="00077DF5">
        <w:t xml:space="preserve">. </w:t>
      </w:r>
      <w:r w:rsidR="00E940EB">
        <w:t xml:space="preserve">She responded </w:t>
      </w:r>
      <w:r w:rsidR="007F2AB1">
        <w:t>that he would have to wai</w:t>
      </w:r>
      <w:r w:rsidR="00077DF5">
        <w:t xml:space="preserve">t four to five hours to be seen but </w:t>
      </w:r>
      <w:r w:rsidR="007F2AB1">
        <w:t>if he collapsed he would be treated as an emergency.</w:t>
      </w:r>
      <w:r w:rsidR="002728D9">
        <w:t xml:space="preserve"> </w:t>
      </w:r>
      <w:r>
        <w:t xml:space="preserve">The claimant waited 19 minutes before deciding to go </w:t>
      </w:r>
      <w:r w:rsidR="007F2AB1">
        <w:t>h</w:t>
      </w:r>
      <w:r>
        <w:t>ome</w:t>
      </w:r>
      <w:r w:rsidR="00DD19B1">
        <w:t xml:space="preserve"> so that he could take some paracetamol.</w:t>
      </w:r>
      <w:r>
        <w:t xml:space="preserve"> </w:t>
      </w:r>
      <w:r w:rsidR="00DD19B1">
        <w:t>H</w:t>
      </w:r>
      <w:r>
        <w:t>e</w:t>
      </w:r>
      <w:r w:rsidR="007F2AB1">
        <w:t xml:space="preserve"> left the hospital without informing the receptionist or anyone else. </w:t>
      </w:r>
      <w:r w:rsidR="00077DF5">
        <w:t>Later, he was brought back</w:t>
      </w:r>
      <w:r w:rsidR="00682A8E">
        <w:t xml:space="preserve"> to the </w:t>
      </w:r>
      <w:r w:rsidR="004E28AD">
        <w:t>hospital</w:t>
      </w:r>
      <w:r w:rsidR="00077DF5">
        <w:t xml:space="preserve"> </w:t>
      </w:r>
      <w:r w:rsidR="00682A8E">
        <w:t>in an ambulance where</w:t>
      </w:r>
      <w:r w:rsidR="00B4693B">
        <w:t xml:space="preserve"> </w:t>
      </w:r>
      <w:r w:rsidR="007F2AB1">
        <w:t xml:space="preserve">an </w:t>
      </w:r>
      <w:r w:rsidR="007F2AB1" w:rsidRPr="00302B39">
        <w:t>extra-</w:t>
      </w:r>
      <w:proofErr w:type="spellStart"/>
      <w:r w:rsidR="007F2AB1" w:rsidRPr="00302B39">
        <w:t>dural</w:t>
      </w:r>
      <w:proofErr w:type="spellEnd"/>
      <w:r w:rsidR="007F2AB1" w:rsidRPr="00302B39">
        <w:t xml:space="preserve"> haematoma </w:t>
      </w:r>
      <w:r w:rsidR="007F2AB1">
        <w:t>was identified</w:t>
      </w:r>
      <w:r w:rsidR="00B4693B">
        <w:t xml:space="preserve"> and an operation performed</w:t>
      </w:r>
      <w:r w:rsidR="007F2AB1">
        <w:t xml:space="preserve">. </w:t>
      </w:r>
      <w:r w:rsidR="00B4693B">
        <w:t>Alas, he</w:t>
      </w:r>
      <w:r w:rsidR="007F2AB1">
        <w:t xml:space="preserve"> suffered permanent brain damage</w:t>
      </w:r>
      <w:bookmarkStart w:id="1" w:name="para7"/>
      <w:r w:rsidR="007F2AB1" w:rsidRPr="002936A9">
        <w:t xml:space="preserve"> in the form of a severe </w:t>
      </w:r>
      <w:bookmarkEnd w:id="1"/>
      <w:r w:rsidR="007F2AB1">
        <w:t>paralys</w:t>
      </w:r>
      <w:r w:rsidR="00B4693B">
        <w:t xml:space="preserve">is of the left side of his body </w:t>
      </w:r>
      <w:r w:rsidR="00DD19B1">
        <w:t xml:space="preserve">and </w:t>
      </w:r>
      <w:r w:rsidR="00B4693B">
        <w:t>so</w:t>
      </w:r>
      <w:r w:rsidR="007F2AB1">
        <w:t xml:space="preserve"> brought a claim in negligence against the defendants.</w:t>
      </w:r>
    </w:p>
    <w:p w14:paraId="52BE3292" w14:textId="276E0F20" w:rsidR="004E28AD" w:rsidRDefault="00A256F0" w:rsidP="00F8729F">
      <w:pPr>
        <w:spacing w:line="240" w:lineRule="auto"/>
        <w:ind w:firstLine="720"/>
      </w:pPr>
      <w:r>
        <w:t>T</w:t>
      </w:r>
      <w:r w:rsidR="007F2AB1">
        <w:t>he claimant was unsuccessful</w:t>
      </w:r>
      <w:r>
        <w:t xml:space="preserve"> in the High Court</w:t>
      </w:r>
      <w:r w:rsidR="007F2AB1">
        <w:t>.</w:t>
      </w:r>
      <w:r w:rsidR="00135210">
        <w:rPr>
          <w:rStyle w:val="FootnoteReference"/>
        </w:rPr>
        <w:footnoteReference w:id="4"/>
      </w:r>
      <w:r w:rsidR="007F2AB1">
        <w:t xml:space="preserve"> </w:t>
      </w:r>
      <w:r w:rsidR="00056E00">
        <w:t>HHJ</w:t>
      </w:r>
      <w:r>
        <w:t xml:space="preserve"> Robinson held that the</w:t>
      </w:r>
      <w:r w:rsidR="007F2AB1">
        <w:t xml:space="preserve"> fact the claimant was not seen within the 19 minutes he was in A&amp;E was </w:t>
      </w:r>
      <w:r w:rsidR="007F2AB1" w:rsidRPr="00077DF5">
        <w:rPr>
          <w:i/>
        </w:rPr>
        <w:t>not</w:t>
      </w:r>
      <w:r w:rsidR="007F2AB1">
        <w:t xml:space="preserve"> a breach of duty. While NICE guidelines specified that those with head injuries should be assessed by a triage nurse within 15 minutes, this was not always possible</w:t>
      </w:r>
      <w:r w:rsidR="00E940EB">
        <w:t xml:space="preserve"> and so seeing a patient</w:t>
      </w:r>
      <w:r w:rsidR="007F2AB1">
        <w:t xml:space="preserve"> within 30 minutes would </w:t>
      </w:r>
      <w:r w:rsidR="00E940EB">
        <w:t>not be a breac</w:t>
      </w:r>
      <w:r w:rsidR="0013334A">
        <w:t xml:space="preserve">h of duty. </w:t>
      </w:r>
    </w:p>
    <w:p w14:paraId="3425DA48" w14:textId="710A13E0" w:rsidR="00E739BE" w:rsidRDefault="004E28AD" w:rsidP="00F8729F">
      <w:pPr>
        <w:spacing w:line="240" w:lineRule="auto"/>
        <w:ind w:firstLine="720"/>
      </w:pPr>
      <w:r>
        <w:t xml:space="preserve">Despite the </w:t>
      </w:r>
      <w:r w:rsidR="00056E00">
        <w:t>patient receiving misleading information, the judge</w:t>
      </w:r>
      <w:r>
        <w:t xml:space="preserve"> concluded that it</w:t>
      </w:r>
      <w:r w:rsidR="007F2AB1">
        <w:t xml:space="preserve"> would not be fair, just and reasonable to impose a duty of care on receptionists in A&amp;E </w:t>
      </w:r>
      <w:r w:rsidR="007F2AB1" w:rsidRPr="006C23C4">
        <w:t>d</w:t>
      </w:r>
      <w:r w:rsidR="007F2AB1">
        <w:t xml:space="preserve">epartments </w:t>
      </w:r>
      <w:r w:rsidR="007F2AB1" w:rsidRPr="006C23C4">
        <w:t>to guard patients against harm caused by failure to wait to be seen</w:t>
      </w:r>
      <w:r w:rsidR="00E940EB">
        <w:t xml:space="preserve"> and</w:t>
      </w:r>
      <w:r w:rsidR="007F2AB1">
        <w:t xml:space="preserve"> the damage was</w:t>
      </w:r>
      <w:r w:rsidR="00B87518">
        <w:t xml:space="preserve"> outside of the scope of the</w:t>
      </w:r>
      <w:r w:rsidR="007F2AB1">
        <w:t xml:space="preserve"> duty owed by the defendant. </w:t>
      </w:r>
      <w:r w:rsidR="00DF5550">
        <w:t xml:space="preserve">Significantly, </w:t>
      </w:r>
      <w:r w:rsidR="00E940EB">
        <w:t>t</w:t>
      </w:r>
      <w:r w:rsidR="00135210">
        <w:t xml:space="preserve">he defendants admitted that if the claimant </w:t>
      </w:r>
      <w:r w:rsidR="00135210">
        <w:rPr>
          <w:i/>
        </w:rPr>
        <w:t>had</w:t>
      </w:r>
      <w:r w:rsidR="00135210">
        <w:t xml:space="preserve"> been seen by </w:t>
      </w:r>
      <w:r w:rsidR="00B87518">
        <w:t xml:space="preserve">a </w:t>
      </w:r>
      <w:r w:rsidR="00135210">
        <w:t>triage nurse then he w</w:t>
      </w:r>
      <w:r w:rsidR="00E940EB">
        <w:t>ould have been prioritised. HHJ Robinson</w:t>
      </w:r>
      <w:r w:rsidR="00F376C5">
        <w:t xml:space="preserve"> also</w:t>
      </w:r>
      <w:r w:rsidR="00E940EB">
        <w:t xml:space="preserve"> found that</w:t>
      </w:r>
      <w:r w:rsidR="00135210">
        <w:t xml:space="preserve"> </w:t>
      </w:r>
      <w:r w:rsidR="00E940EB">
        <w:t>even if Mr Darnley</w:t>
      </w:r>
      <w:r w:rsidR="00135210">
        <w:t xml:space="preserve"> had to wait</w:t>
      </w:r>
      <w:r w:rsidR="009839BF">
        <w:t xml:space="preserve"> longer than 30 minutes</w:t>
      </w:r>
      <w:r w:rsidR="00135210">
        <w:t>, his collapse would have occurred in a hospital setting and so he would have had surgery earlier and pr</w:t>
      </w:r>
      <w:r w:rsidR="009839BF">
        <w:t>obably made a full re</w:t>
      </w:r>
      <w:r w:rsidR="00056E00">
        <w:t>covery. Ultimately, though</w:t>
      </w:r>
      <w:r w:rsidR="00E940EB">
        <w:t>,</w:t>
      </w:r>
      <w:r w:rsidR="00135210">
        <w:t xml:space="preserve"> the </w:t>
      </w:r>
      <w:r w:rsidR="007F2AB1" w:rsidRPr="00E540C9">
        <w:t xml:space="preserve">connection between the alleged inadequacies of the information provided and the harm suffered was broken because </w:t>
      </w:r>
      <w:r w:rsidR="009839BF">
        <w:t>of the claimant’s decision to leave</w:t>
      </w:r>
      <w:r w:rsidR="007F2AB1" w:rsidRPr="00E540C9">
        <w:t>.</w:t>
      </w:r>
    </w:p>
    <w:p w14:paraId="2B33CC55" w14:textId="4DA33862" w:rsidR="008568BF" w:rsidRDefault="007F2AB1" w:rsidP="00F8729F">
      <w:pPr>
        <w:spacing w:line="240" w:lineRule="auto"/>
        <w:ind w:firstLine="720"/>
      </w:pPr>
      <w:r>
        <w:t xml:space="preserve">The claimant’s appeal was rejected by </w:t>
      </w:r>
      <w:r w:rsidR="006D0ACB">
        <w:t xml:space="preserve">the </w:t>
      </w:r>
      <w:r>
        <w:t>Court of Appeal</w:t>
      </w:r>
      <w:r w:rsidR="006D0ACB">
        <w:t>, with the majority</w:t>
      </w:r>
      <w:r>
        <w:t xml:space="preserve"> (Jackson and Sales LLJ</w:t>
      </w:r>
      <w:r w:rsidR="006D0ACB">
        <w:t>) agreeing with t</w:t>
      </w:r>
      <w:r w:rsidR="00DF5550">
        <w:t>he reasoning of HHJ Robinson</w:t>
      </w:r>
      <w:r>
        <w:t>.</w:t>
      </w:r>
      <w:r w:rsidR="00122A7D">
        <w:rPr>
          <w:rStyle w:val="FootnoteReference"/>
        </w:rPr>
        <w:footnoteReference w:id="5"/>
      </w:r>
      <w:r>
        <w:t xml:space="preserve"> </w:t>
      </w:r>
      <w:r w:rsidR="008C680A">
        <w:t>This decision was overturned by the Supreme Court, which</w:t>
      </w:r>
      <w:r w:rsidR="00B52E0C">
        <w:t xml:space="preserve">, agreeing with the dissenting judgment of </w:t>
      </w:r>
      <w:proofErr w:type="spellStart"/>
      <w:r w:rsidR="00B52E0C">
        <w:t>McCombe</w:t>
      </w:r>
      <w:proofErr w:type="spellEnd"/>
      <w:r w:rsidR="00B52E0C">
        <w:t xml:space="preserve"> LJ in the Court of Appeal,</w:t>
      </w:r>
      <w:r w:rsidR="008C680A">
        <w:t xml:space="preserve"> unanimously held</w:t>
      </w:r>
      <w:r w:rsidR="00BD77A4">
        <w:t xml:space="preserve"> that the defendant</w:t>
      </w:r>
      <w:r w:rsidR="009839BF">
        <w:t>s</w:t>
      </w:r>
      <w:r w:rsidR="00BD77A4">
        <w:t xml:space="preserve"> had brea</w:t>
      </w:r>
      <w:r w:rsidR="00135210">
        <w:t>ched their duty of care</w:t>
      </w:r>
      <w:r w:rsidR="009D7530">
        <w:t xml:space="preserve"> and that </w:t>
      </w:r>
      <w:r w:rsidR="00BD77A4">
        <w:t xml:space="preserve">the claimant’s decision to leave did not break the chain of causation. The </w:t>
      </w:r>
      <w:r w:rsidR="006D0ACB">
        <w:t xml:space="preserve">admirably concise </w:t>
      </w:r>
      <w:r w:rsidR="00BD77A4">
        <w:t>judgment of the court was given by Lord Lloyd</w:t>
      </w:r>
      <w:r w:rsidR="009839BF">
        <w:t>-Jones</w:t>
      </w:r>
      <w:r w:rsidR="00B06F37">
        <w:t>.</w:t>
      </w:r>
    </w:p>
    <w:p w14:paraId="7D3299FD" w14:textId="77777777" w:rsidR="00BD77A4" w:rsidRDefault="00BD77A4" w:rsidP="00F8729F">
      <w:pPr>
        <w:spacing w:line="240" w:lineRule="auto"/>
      </w:pPr>
    </w:p>
    <w:p w14:paraId="194A7932" w14:textId="1644E66F" w:rsidR="00BD77A4" w:rsidRDefault="00C67555" w:rsidP="00F8729F">
      <w:pPr>
        <w:spacing w:line="240" w:lineRule="auto"/>
        <w:jc w:val="center"/>
      </w:pPr>
      <w:r w:rsidRPr="00C67555">
        <w:t>DUTY OF CARE: GENERAL PRINCIPLE</w:t>
      </w:r>
    </w:p>
    <w:p w14:paraId="72C7C987" w14:textId="77777777" w:rsidR="00F8729F" w:rsidRPr="00C67555" w:rsidRDefault="00F8729F" w:rsidP="00F8729F">
      <w:pPr>
        <w:spacing w:line="240" w:lineRule="auto"/>
        <w:jc w:val="center"/>
      </w:pPr>
    </w:p>
    <w:p w14:paraId="5918376C" w14:textId="336AB395" w:rsidR="009174E9" w:rsidRDefault="008A23C7" w:rsidP="00F8729F">
      <w:pPr>
        <w:spacing w:line="240" w:lineRule="auto"/>
      </w:pPr>
      <w:r>
        <w:t>Absent a duty of care being owed ‘the defendant may carelessly cause harm to the claimant with impunity.’</w:t>
      </w:r>
      <w:r>
        <w:rPr>
          <w:rStyle w:val="FootnoteReference"/>
        </w:rPr>
        <w:footnoteReference w:id="6"/>
      </w:r>
      <w:r>
        <w:t xml:space="preserve"> This element of the negligence inquiry therefore performs a ‘central normative function’ by ‘demarcating the circumstances in which a defendant will be held liable for carelessly causing damage to another.’</w:t>
      </w:r>
      <w:r>
        <w:rPr>
          <w:rStyle w:val="FootnoteReference"/>
        </w:rPr>
        <w:footnoteReference w:id="7"/>
      </w:r>
      <w:r w:rsidR="00095A7C">
        <w:t xml:space="preserve"> </w:t>
      </w:r>
      <w:r w:rsidR="00D60085">
        <w:t>C</w:t>
      </w:r>
      <w:r>
        <w:t>ontroversy about the proper approach for determining when a duty is owed</w:t>
      </w:r>
      <w:r w:rsidR="00D60085">
        <w:t xml:space="preserve"> has been long-running</w:t>
      </w:r>
      <w:r>
        <w:t xml:space="preserve">. </w:t>
      </w:r>
      <w:r w:rsidR="00122A7D">
        <w:t>In holding that t</w:t>
      </w:r>
      <w:r w:rsidR="00455CBF">
        <w:t>he hospital owed a duty of care,</w:t>
      </w:r>
      <w:r w:rsidR="00122A7D">
        <w:t xml:space="preserve"> </w:t>
      </w:r>
      <w:r w:rsidR="00245464">
        <w:rPr>
          <w:i/>
        </w:rPr>
        <w:t>Darnley</w:t>
      </w:r>
      <w:r w:rsidR="0067386A">
        <w:t xml:space="preserve"> provides</w:t>
      </w:r>
      <w:r w:rsidR="003949E6">
        <w:t xml:space="preserve"> further</w:t>
      </w:r>
      <w:r w:rsidR="0067386A">
        <w:t xml:space="preserve"> confirmation –</w:t>
      </w:r>
      <w:r w:rsidR="00245464">
        <w:t xml:space="preserve"> if</w:t>
      </w:r>
      <w:r w:rsidR="0067386A">
        <w:t xml:space="preserve"> any more were needed –</w:t>
      </w:r>
      <w:r w:rsidR="00501BF8">
        <w:t xml:space="preserve"> that duty questions are not determined by a single universal test</w:t>
      </w:r>
      <w:r w:rsidR="00447F57">
        <w:t>. For decades, many</w:t>
      </w:r>
      <w:r w:rsidR="00102F67">
        <w:t xml:space="preserve"> had taken the landmark case of </w:t>
      </w:r>
      <w:r w:rsidR="00102F67">
        <w:rPr>
          <w:i/>
        </w:rPr>
        <w:t xml:space="preserve">Caparo </w:t>
      </w:r>
      <w:r w:rsidR="00FE7C38">
        <w:rPr>
          <w:i/>
        </w:rPr>
        <w:t xml:space="preserve">Industries plc </w:t>
      </w:r>
      <w:r w:rsidR="00102F67">
        <w:rPr>
          <w:i/>
        </w:rPr>
        <w:t xml:space="preserve">v </w:t>
      </w:r>
      <w:proofErr w:type="spellStart"/>
      <w:r w:rsidR="00102F67">
        <w:rPr>
          <w:i/>
        </w:rPr>
        <w:t>Dickman</w:t>
      </w:r>
      <w:proofErr w:type="spellEnd"/>
      <w:r w:rsidR="00604458">
        <w:rPr>
          <w:rStyle w:val="FootnoteReference"/>
        </w:rPr>
        <w:footnoteReference w:id="8"/>
      </w:r>
      <w:r w:rsidR="00102F67">
        <w:t xml:space="preserve"> to be authority for the proposition that a three-stage test was to be used in </w:t>
      </w:r>
      <w:r w:rsidR="003670CC">
        <w:t>every</w:t>
      </w:r>
      <w:r w:rsidR="00447F57">
        <w:t xml:space="preserve"> duty</w:t>
      </w:r>
      <w:r w:rsidR="003670CC">
        <w:t xml:space="preserve"> case and</w:t>
      </w:r>
      <w:r w:rsidR="00102F67">
        <w:t xml:space="preserve"> that the judge had to ask whether</w:t>
      </w:r>
      <w:r w:rsidR="007C0E91">
        <w:t xml:space="preserve"> the</w:t>
      </w:r>
      <w:r w:rsidR="00245464">
        <w:t xml:space="preserve"> damage was</w:t>
      </w:r>
      <w:r w:rsidR="003414E7">
        <w:t xml:space="preserve"> reasonably foreseeable,</w:t>
      </w:r>
      <w:r w:rsidR="00DD19B1">
        <w:t xml:space="preserve"> whether </w:t>
      </w:r>
      <w:r w:rsidR="00245464">
        <w:t>the defendant and claimant were in a relationshi</w:t>
      </w:r>
      <w:r w:rsidR="003414E7">
        <w:t xml:space="preserve">p of </w:t>
      </w:r>
      <w:proofErr w:type="gramStart"/>
      <w:r w:rsidR="003414E7">
        <w:t>close proximity</w:t>
      </w:r>
      <w:proofErr w:type="gramEnd"/>
      <w:r w:rsidR="003414E7">
        <w:t xml:space="preserve"> and</w:t>
      </w:r>
      <w:r w:rsidR="00DD19B1">
        <w:t xml:space="preserve"> whether </w:t>
      </w:r>
      <w:r w:rsidR="00245464">
        <w:t>imposing liability was fair, just and reasonable.</w:t>
      </w:r>
      <w:r w:rsidR="007C0E91">
        <w:t xml:space="preserve"> </w:t>
      </w:r>
      <w:r w:rsidR="003670CC">
        <w:t xml:space="preserve">It </w:t>
      </w:r>
      <w:r w:rsidR="00447F57">
        <w:t xml:space="preserve">said no such thing. In </w:t>
      </w:r>
      <w:r w:rsidR="00447F57">
        <w:rPr>
          <w:i/>
        </w:rPr>
        <w:t>Caparo</w:t>
      </w:r>
      <w:r w:rsidR="00DF5550">
        <w:rPr>
          <w:i/>
        </w:rPr>
        <w:t xml:space="preserve"> </w:t>
      </w:r>
      <w:r w:rsidR="00DF5550">
        <w:t>itself</w:t>
      </w:r>
      <w:r w:rsidR="003670CC">
        <w:t xml:space="preserve">, </w:t>
      </w:r>
      <w:r w:rsidR="003949E6">
        <w:t>Lord Bridge</w:t>
      </w:r>
      <w:r w:rsidR="00447F57">
        <w:t xml:space="preserve"> discussed several cases that emphasised</w:t>
      </w:r>
      <w:r w:rsidR="00BD1B3B">
        <w:t xml:space="preserve"> ‘</w:t>
      </w:r>
      <w:r w:rsidR="00BD1B3B" w:rsidRPr="00BD1B3B">
        <w:t xml:space="preserve">the inability of any single general principle to provide a practical test which can be applied to every situation to determine </w:t>
      </w:r>
      <w:r w:rsidR="00BD1B3B" w:rsidRPr="00BD1B3B">
        <w:lastRenderedPageBreak/>
        <w:t>whether a duty of care is owed and, if so, what is its scope</w:t>
      </w:r>
      <w:r w:rsidR="00BD1B3B">
        <w:t>’</w:t>
      </w:r>
      <w:r w:rsidR="00DD19B1">
        <w:t>.</w:t>
      </w:r>
      <w:r w:rsidR="00BD1B3B">
        <w:rPr>
          <w:rStyle w:val="FootnoteReference"/>
        </w:rPr>
        <w:footnoteReference w:id="9"/>
      </w:r>
      <w:r w:rsidR="00DD19B1">
        <w:t xml:space="preserve"> </w:t>
      </w:r>
      <w:r w:rsidR="00447F57">
        <w:t>Lord Oliver concluded</w:t>
      </w:r>
      <w:r w:rsidR="00BD1B3B">
        <w:t xml:space="preserve"> </w:t>
      </w:r>
      <w:r w:rsidR="00FE7C38">
        <w:t>‘</w:t>
      </w:r>
      <w:r w:rsidR="00FE7C38" w:rsidRPr="00FE7C38">
        <w:t>it has to be recognised that to search for any single formula which will serve as a general test of liability is to pursue a will-o'-the wisp</w:t>
      </w:r>
      <w:r w:rsidR="003670CC">
        <w:t>.</w:t>
      </w:r>
      <w:r w:rsidR="00FE7C38">
        <w:t>’</w:t>
      </w:r>
      <w:r w:rsidR="00FE7C38">
        <w:rPr>
          <w:rStyle w:val="FootnoteReference"/>
        </w:rPr>
        <w:footnoteReference w:id="10"/>
      </w:r>
      <w:r w:rsidR="00FE7C38">
        <w:t xml:space="preserve"> </w:t>
      </w:r>
      <w:r w:rsidR="00976356">
        <w:t>As Morgan has stated, ‘</w:t>
      </w:r>
      <w:r w:rsidR="00976356" w:rsidRPr="00976356">
        <w:t>One wonders whether anyone who describes </w:t>
      </w:r>
      <w:r w:rsidR="00976356" w:rsidRPr="00976356">
        <w:rPr>
          <w:i/>
          <w:iCs/>
        </w:rPr>
        <w:t>Caparo</w:t>
      </w:r>
      <w:r w:rsidR="00755964">
        <w:t> as creating a ‘test’</w:t>
      </w:r>
      <w:r w:rsidR="00976356" w:rsidRPr="00976356">
        <w:t xml:space="preserve"> for duty of care, c</w:t>
      </w:r>
      <w:r w:rsidR="002F166E">
        <w:t>an actually have read the case –</w:t>
      </w:r>
      <w:r w:rsidR="00976356" w:rsidRPr="00976356">
        <w:t xml:space="preserve"> as opposed to one single sentence in Lord Bridge's s</w:t>
      </w:r>
      <w:r w:rsidR="00976356">
        <w:t>peech, ripped from its context.’</w:t>
      </w:r>
      <w:r w:rsidR="00976356">
        <w:rPr>
          <w:rStyle w:val="FootnoteReference"/>
        </w:rPr>
        <w:footnoteReference w:id="11"/>
      </w:r>
    </w:p>
    <w:p w14:paraId="244A9F26" w14:textId="3C6793F9" w:rsidR="00505D75" w:rsidRPr="009174E9" w:rsidRDefault="00102F67" w:rsidP="00F8729F">
      <w:pPr>
        <w:spacing w:line="240" w:lineRule="auto"/>
        <w:ind w:firstLine="720"/>
      </w:pPr>
      <w:r>
        <w:t>Follo</w:t>
      </w:r>
      <w:r w:rsidR="0004207B">
        <w:t xml:space="preserve">wing dicta to similar effect by Lord </w:t>
      </w:r>
      <w:proofErr w:type="spellStart"/>
      <w:r w:rsidR="0004207B">
        <w:t>Toulson</w:t>
      </w:r>
      <w:proofErr w:type="spellEnd"/>
      <w:r w:rsidR="0004207B">
        <w:t xml:space="preserve"> in</w:t>
      </w:r>
      <w:r>
        <w:t xml:space="preserve"> </w:t>
      </w:r>
      <w:r>
        <w:rPr>
          <w:i/>
        </w:rPr>
        <w:t>Michael</w:t>
      </w:r>
      <w:r w:rsidR="00604458">
        <w:rPr>
          <w:i/>
        </w:rPr>
        <w:t xml:space="preserve"> v Chief Constable of South Wales</w:t>
      </w:r>
      <w:r w:rsidR="00E90729" w:rsidRPr="00604458">
        <w:rPr>
          <w:rStyle w:val="FootnoteReference"/>
        </w:rPr>
        <w:footnoteReference w:id="12"/>
      </w:r>
      <w:r>
        <w:rPr>
          <w:i/>
        </w:rPr>
        <w:t xml:space="preserve"> </w:t>
      </w:r>
      <w:r>
        <w:t xml:space="preserve">and </w:t>
      </w:r>
      <w:r w:rsidR="0004207B">
        <w:t xml:space="preserve">Lord Reed in </w:t>
      </w:r>
      <w:r>
        <w:rPr>
          <w:i/>
        </w:rPr>
        <w:t>Robinson</w:t>
      </w:r>
      <w:r w:rsidR="00976356">
        <w:rPr>
          <w:i/>
        </w:rPr>
        <w:t xml:space="preserve"> v Chief Constable of West Yorkshire</w:t>
      </w:r>
      <w:r>
        <w:t>,</w:t>
      </w:r>
      <w:r w:rsidR="00E90729">
        <w:rPr>
          <w:rStyle w:val="FootnoteReference"/>
        </w:rPr>
        <w:footnoteReference w:id="13"/>
      </w:r>
      <w:r w:rsidR="002158D5">
        <w:t xml:space="preserve"> Lord Lloyd-Jones</w:t>
      </w:r>
      <w:r w:rsidR="0004207B">
        <w:t xml:space="preserve"> reaffirmed</w:t>
      </w:r>
      <w:r w:rsidR="00C174EE">
        <w:t xml:space="preserve"> that the common law in </w:t>
      </w:r>
      <w:r w:rsidR="00BD6248">
        <w:t>England and Wales</w:t>
      </w:r>
      <w:r w:rsidR="00C174EE">
        <w:t xml:space="preserve"> </w:t>
      </w:r>
      <w:r w:rsidR="00503B0B">
        <w:t>had</w:t>
      </w:r>
      <w:r w:rsidR="00C174EE" w:rsidRPr="00923EC0">
        <w:t xml:space="preserve"> </w:t>
      </w:r>
      <w:r w:rsidR="00C174EE">
        <w:t>‘</w:t>
      </w:r>
      <w:r w:rsidR="00C174EE" w:rsidRPr="00923EC0">
        <w:t>abandoned the search for a general principle capable of providing a practical test applicable in every situation in order to determine whether a duty of care is owed and, if so, what is its scope</w:t>
      </w:r>
      <w:r w:rsidR="00C174EE">
        <w:t>.’</w:t>
      </w:r>
      <w:r w:rsidR="00C174EE">
        <w:rPr>
          <w:rStyle w:val="FootnoteReference"/>
        </w:rPr>
        <w:footnoteReference w:id="14"/>
      </w:r>
      <w:r w:rsidR="00C174EE">
        <w:t xml:space="preserve"> Instead, the starting point</w:t>
      </w:r>
      <w:r w:rsidR="00056E00">
        <w:t xml:space="preserve"> </w:t>
      </w:r>
      <w:r w:rsidR="00C174EE">
        <w:t>is</w:t>
      </w:r>
      <w:r w:rsidR="00957096">
        <w:t xml:space="preserve"> the</w:t>
      </w:r>
      <w:r w:rsidR="00C174EE">
        <w:t xml:space="preserve"> </w:t>
      </w:r>
      <w:r w:rsidR="007F046F">
        <w:t xml:space="preserve">previous situations </w:t>
      </w:r>
      <w:r w:rsidR="00C174EE" w:rsidRPr="00923EC0">
        <w:t>wh</w:t>
      </w:r>
      <w:r w:rsidR="007F046F">
        <w:t xml:space="preserve">ere a duty of care has </w:t>
      </w:r>
      <w:r w:rsidR="005F39E9">
        <w:t>been accepted</w:t>
      </w:r>
      <w:r w:rsidR="007F046F">
        <w:t>.</w:t>
      </w:r>
      <w:r w:rsidR="00957096">
        <w:t xml:space="preserve"> The law is only</w:t>
      </w:r>
      <w:r w:rsidR="00C174EE" w:rsidRPr="00923EC0">
        <w:t xml:space="preserve"> </w:t>
      </w:r>
      <w:r w:rsidR="00957096">
        <w:t>‘</w:t>
      </w:r>
      <w:r w:rsidR="00C174EE" w:rsidRPr="00923EC0">
        <w:t>willing to move beyond those situations on an incremental basis, accepting or rejecting a duty of care in novel situations by analogy with established categories</w:t>
      </w:r>
      <w:r w:rsidR="00B0741A">
        <w:t>.</w:t>
      </w:r>
      <w:r w:rsidR="00C174EE">
        <w:t>’</w:t>
      </w:r>
      <w:r w:rsidR="00B0741A">
        <w:rPr>
          <w:rStyle w:val="FootnoteReference"/>
        </w:rPr>
        <w:footnoteReference w:id="15"/>
      </w:r>
      <w:r w:rsidR="00224A16">
        <w:t xml:space="preserve"> </w:t>
      </w:r>
      <w:r w:rsidR="00F7135C">
        <w:t>It is hard to fault this reasoning</w:t>
      </w:r>
      <w:r w:rsidR="00E31A58">
        <w:t xml:space="preserve">. </w:t>
      </w:r>
      <w:r w:rsidR="00505D75">
        <w:t>As I have argued elsewhere:</w:t>
      </w:r>
    </w:p>
    <w:p w14:paraId="5DC84A39" w14:textId="77777777" w:rsidR="00505D75" w:rsidRPr="009174E9" w:rsidRDefault="00505D75" w:rsidP="00F8729F">
      <w:pPr>
        <w:spacing w:line="240" w:lineRule="auto"/>
        <w:ind w:left="567" w:right="567"/>
      </w:pPr>
      <w:r w:rsidRPr="009174E9">
        <w:rPr>
          <w:i/>
        </w:rPr>
        <w:t>Caparo</w:t>
      </w:r>
      <w:r w:rsidRPr="009174E9">
        <w:t xml:space="preserve"> reaches an appropriate balance between certainty and justice. In the normal run of cases, one looks to what has been decided previously and follows those decisions: this creates certainty. However, the modern approach recognises that in exceptional circumstances this will not be appropriate. Where this is so, judges weigh up the policy reasons for and against imposing liability to arrive at the result that has the best outcome.</w:t>
      </w:r>
      <w:r>
        <w:rPr>
          <w:rStyle w:val="FootnoteReference"/>
        </w:rPr>
        <w:footnoteReference w:id="16"/>
      </w:r>
    </w:p>
    <w:p w14:paraId="67D4493E" w14:textId="77777777" w:rsidR="00A328BD" w:rsidRDefault="00A328BD" w:rsidP="00F8729F">
      <w:pPr>
        <w:spacing w:line="240" w:lineRule="auto"/>
        <w:rPr>
          <w:i/>
        </w:rPr>
      </w:pPr>
    </w:p>
    <w:p w14:paraId="560AB5E0" w14:textId="6CA480E2" w:rsidR="00E31A58" w:rsidRDefault="00634790" w:rsidP="00F8729F">
      <w:pPr>
        <w:spacing w:line="240" w:lineRule="auto"/>
      </w:pPr>
      <w:r>
        <w:t>This new method</w:t>
      </w:r>
      <w:r w:rsidR="00A328BD">
        <w:t xml:space="preserve"> </w:t>
      </w:r>
      <w:r w:rsidR="005A07D3">
        <w:t xml:space="preserve">still allows for new duties to </w:t>
      </w:r>
      <w:r w:rsidR="005F39E9">
        <w:t>develop and for policy reasoning</w:t>
      </w:r>
      <w:r w:rsidR="005A07D3">
        <w:t xml:space="preserve"> to take place in appro</w:t>
      </w:r>
      <w:r>
        <w:t xml:space="preserve">priate cases. </w:t>
      </w:r>
      <w:r w:rsidR="00BC6388">
        <w:t>Importantly, t</w:t>
      </w:r>
      <w:r w:rsidR="00E31A58">
        <w:t>h</w:t>
      </w:r>
      <w:r w:rsidR="00BC6388">
        <w:t>e</w:t>
      </w:r>
      <w:r w:rsidR="005A07D3">
        <w:t xml:space="preserve"> restriction</w:t>
      </w:r>
      <w:r w:rsidR="00E31A58">
        <w:t xml:space="preserve"> – not removal –</w:t>
      </w:r>
      <w:r w:rsidR="00266C0F">
        <w:t xml:space="preserve"> of policy</w:t>
      </w:r>
      <w:r w:rsidR="005A07D3">
        <w:t xml:space="preserve"> is not neces</w:t>
      </w:r>
      <w:r w:rsidR="00E31A58">
        <w:t>sarily to a claimant’s disadvantage</w:t>
      </w:r>
      <w:r>
        <w:t xml:space="preserve"> as i</w:t>
      </w:r>
      <w:r w:rsidR="005A07D3">
        <w:t>f the</w:t>
      </w:r>
      <w:r w:rsidR="007042EB">
        <w:t xml:space="preserve">ir case falls within an established duty situation </w:t>
      </w:r>
      <w:r w:rsidR="005A07D3">
        <w:t>ther</w:t>
      </w:r>
      <w:r w:rsidR="002E3C1D">
        <w:t xml:space="preserve">e is less scope for </w:t>
      </w:r>
      <w:r>
        <w:t>the</w:t>
      </w:r>
      <w:r w:rsidR="008337E8">
        <w:t xml:space="preserve"> </w:t>
      </w:r>
      <w:r>
        <w:t>protection of tort law</w:t>
      </w:r>
      <w:r w:rsidR="005A07D3">
        <w:t xml:space="preserve"> to be </w:t>
      </w:r>
      <w:r w:rsidR="00BC6388">
        <w:t>circumscribed</w:t>
      </w:r>
      <w:r w:rsidR="005F39E9">
        <w:t xml:space="preserve"> on spurious</w:t>
      </w:r>
      <w:r>
        <w:t xml:space="preserve"> grounds according to</w:t>
      </w:r>
      <w:r w:rsidR="005A07D3">
        <w:t xml:space="preserve"> the personal </w:t>
      </w:r>
      <w:r>
        <w:t xml:space="preserve">moral </w:t>
      </w:r>
      <w:r w:rsidR="005A07D3">
        <w:t>views of the judge. That said, it must be</w:t>
      </w:r>
      <w:r w:rsidR="00F90A6F">
        <w:t xml:space="preserve"> acknowledged that this could be just</w:t>
      </w:r>
      <w:r w:rsidR="002E3C1D">
        <w:t xml:space="preserve"> a change in emphasis. After all, o</w:t>
      </w:r>
      <w:r w:rsidR="005A07D3">
        <w:t>ne judge’s ortho</w:t>
      </w:r>
      <w:r w:rsidR="002E3C1D">
        <w:t>dox case is another’s novel one</w:t>
      </w:r>
      <w:r>
        <w:t xml:space="preserve"> and so public policy will still be a fundamental part of the law of negligence</w:t>
      </w:r>
      <w:r w:rsidR="00670916">
        <w:t>.</w:t>
      </w:r>
      <w:r w:rsidR="008337E8">
        <w:t xml:space="preserve"> </w:t>
      </w:r>
    </w:p>
    <w:p w14:paraId="73F030DB" w14:textId="77777777" w:rsidR="000072CD" w:rsidRDefault="000072CD" w:rsidP="00F8729F">
      <w:pPr>
        <w:spacing w:line="240" w:lineRule="auto"/>
        <w:rPr>
          <w:b/>
        </w:rPr>
      </w:pPr>
    </w:p>
    <w:p w14:paraId="608F43A2" w14:textId="57EE8EB3" w:rsidR="00BC6388" w:rsidRDefault="00811D10" w:rsidP="00F8729F">
      <w:pPr>
        <w:spacing w:line="240" w:lineRule="auto"/>
        <w:jc w:val="center"/>
      </w:pPr>
      <w:r w:rsidRPr="00C67555">
        <w:t>THE DUTY OF HOSPITALS</w:t>
      </w:r>
    </w:p>
    <w:p w14:paraId="758B2FAF" w14:textId="77777777" w:rsidR="00F8729F" w:rsidRPr="00C67555" w:rsidRDefault="00F8729F" w:rsidP="00F8729F">
      <w:pPr>
        <w:spacing w:line="240" w:lineRule="auto"/>
        <w:jc w:val="center"/>
      </w:pPr>
    </w:p>
    <w:p w14:paraId="73228447" w14:textId="6971FCDA" w:rsidR="000072CD" w:rsidRDefault="000072CD" w:rsidP="00F8729F">
      <w:pPr>
        <w:spacing w:line="240" w:lineRule="auto"/>
      </w:pPr>
      <w:r>
        <w:t xml:space="preserve">It is only in novel cases where judges should consider whether it is fair, just and reasonable to impose or deny a duty of care. </w:t>
      </w:r>
      <w:r>
        <w:rPr>
          <w:i/>
        </w:rPr>
        <w:t>Darnley</w:t>
      </w:r>
      <w:r w:rsidR="00056E00">
        <w:t xml:space="preserve"> was not such a case. Lord Lloyd-Jones maintained that it fell</w:t>
      </w:r>
      <w:r w:rsidRPr="00923EC0">
        <w:t xml:space="preserve"> </w:t>
      </w:r>
      <w:r w:rsidR="00056E00">
        <w:t>‘</w:t>
      </w:r>
      <w:r w:rsidRPr="00923EC0">
        <w:t>squarely within an established category of duty of care</w:t>
      </w:r>
      <w:r w:rsidR="00266C0F">
        <w:t>’</w:t>
      </w:r>
      <w:r w:rsidR="00266C0F">
        <w:rPr>
          <w:rStyle w:val="FootnoteReference"/>
        </w:rPr>
        <w:footnoteReference w:id="17"/>
      </w:r>
      <w:r>
        <w:t xml:space="preserve"> as it has long been established, at least since </w:t>
      </w:r>
      <w:r>
        <w:rPr>
          <w:i/>
        </w:rPr>
        <w:t>Barnett v Chelsea</w:t>
      </w:r>
      <w:r w:rsidR="00266C0F">
        <w:rPr>
          <w:i/>
        </w:rPr>
        <w:t xml:space="preserve"> and Kensington HMC</w:t>
      </w:r>
      <w:r>
        <w:t>,</w:t>
      </w:r>
      <w:r w:rsidR="00266C0F">
        <w:rPr>
          <w:rStyle w:val="FootnoteReference"/>
        </w:rPr>
        <w:footnoteReference w:id="18"/>
      </w:r>
      <w:r>
        <w:t xml:space="preserve"> </w:t>
      </w:r>
      <w:r w:rsidR="00B87518">
        <w:t>that a duty not to cause physical injury is owed</w:t>
      </w:r>
      <w:r>
        <w:t xml:space="preserve"> ‘</w:t>
      </w:r>
      <w:r w:rsidRPr="00923EC0">
        <w:t xml:space="preserve">by those who provide and run a casualty department to persons presenting themselves complaining of illness or injury and before they are treated or received into care in the </w:t>
      </w:r>
      <w:r w:rsidRPr="00923EC0">
        <w:lastRenderedPageBreak/>
        <w:t>hospital’s wards</w:t>
      </w:r>
      <w:r w:rsidR="0054001E">
        <w:t>.</w:t>
      </w:r>
      <w:r>
        <w:t>’</w:t>
      </w:r>
      <w:r w:rsidR="0054001E">
        <w:rPr>
          <w:rStyle w:val="FootnoteReference"/>
        </w:rPr>
        <w:footnoteReference w:id="19"/>
      </w:r>
      <w:r>
        <w:t xml:space="preserve"> The scope of that duty ‘</w:t>
      </w:r>
      <w:r w:rsidRPr="00923EC0">
        <w:t>clearly extends to a duty to take reasonable care not to provide misleading information which may fo</w:t>
      </w:r>
      <w:r>
        <w:t>reseeably cause physical injury</w:t>
      </w:r>
      <w:r w:rsidR="0054001E">
        <w:t>.</w:t>
      </w:r>
      <w:r>
        <w:t>’</w:t>
      </w:r>
      <w:r w:rsidR="0054001E">
        <w:rPr>
          <w:rStyle w:val="FootnoteReference"/>
        </w:rPr>
        <w:footnoteReference w:id="20"/>
      </w:r>
    </w:p>
    <w:p w14:paraId="0E397D40" w14:textId="77777777" w:rsidR="000072CD" w:rsidRDefault="000072CD" w:rsidP="00F8729F">
      <w:pPr>
        <w:spacing w:line="240" w:lineRule="auto"/>
        <w:ind w:firstLine="720"/>
      </w:pPr>
      <w:r>
        <w:t xml:space="preserve">While there </w:t>
      </w:r>
      <w:proofErr w:type="gramStart"/>
      <w:r>
        <w:t>was</w:t>
      </w:r>
      <w:proofErr w:type="gramEnd"/>
      <w:r>
        <w:t xml:space="preserve"> no specific authority dealing with </w:t>
      </w:r>
      <w:r w:rsidRPr="00103841">
        <w:rPr>
          <w:i/>
        </w:rPr>
        <w:t>receptionists</w:t>
      </w:r>
      <w:r>
        <w:t xml:space="preserve"> providing misleading information, it was not necessary ‘</w:t>
      </w:r>
      <w:r w:rsidRPr="00923EC0">
        <w:t>to address, in every instance where the precise factual situation has not previously been the subject of a reported judicial decision, whether it would be fair, just and reasonable to impose a duty of care. It is sufficient that the case falls within an established category in which the law imposes a duty of care.</w:t>
      </w:r>
      <w:r>
        <w:t>’</w:t>
      </w:r>
      <w:r>
        <w:rPr>
          <w:rStyle w:val="FootnoteReference"/>
        </w:rPr>
        <w:footnoteReference w:id="21"/>
      </w:r>
      <w:r>
        <w:t xml:space="preserve"> The duty of the </w:t>
      </w:r>
      <w:r w:rsidR="00710D48">
        <w:t xml:space="preserve">hospital </w:t>
      </w:r>
      <w:r>
        <w:t>‘</w:t>
      </w:r>
      <w:r w:rsidRPr="00923EC0">
        <w:t>must be considered in the round</w:t>
      </w:r>
      <w:r w:rsidR="0054001E">
        <w:t>’</w:t>
      </w:r>
      <w:r w:rsidR="0054001E">
        <w:rPr>
          <w:rStyle w:val="FootnoteReference"/>
        </w:rPr>
        <w:footnoteReference w:id="22"/>
      </w:r>
      <w:r>
        <w:t xml:space="preserve"> and it was not appropriate to distinguish between ‘</w:t>
      </w:r>
      <w:r w:rsidRPr="00923EC0">
        <w:t>medically qualified professionals and administrative staff in determining w</w:t>
      </w:r>
      <w:r>
        <w:t>hether there was a duty of care’</w:t>
      </w:r>
      <w:r w:rsidR="0054001E">
        <w:rPr>
          <w:rStyle w:val="FootnoteReference"/>
        </w:rPr>
        <w:footnoteReference w:id="23"/>
      </w:r>
      <w:r>
        <w:t xml:space="preserve"> at the duty stage (though this might be relevant in assessing breach).</w:t>
      </w:r>
    </w:p>
    <w:p w14:paraId="4E86B1A1" w14:textId="2D1EE7E6" w:rsidR="00736561" w:rsidRDefault="00736561" w:rsidP="00F8729F">
      <w:pPr>
        <w:spacing w:line="240" w:lineRule="auto"/>
        <w:ind w:firstLine="720"/>
      </w:pPr>
      <w:r>
        <w:t>One might question Lord Lloyd-Jones’s lack of tentativeness in declaring</w:t>
      </w:r>
      <w:r>
        <w:rPr>
          <w:i/>
        </w:rPr>
        <w:t xml:space="preserve"> </w:t>
      </w:r>
      <w:r w:rsidR="000072CD">
        <w:t>hospital-patient</w:t>
      </w:r>
      <w:r>
        <w:t xml:space="preserve"> </w:t>
      </w:r>
      <w:r w:rsidR="008337E8">
        <w:t>an established duty category</w:t>
      </w:r>
      <w:r w:rsidR="000950CA">
        <w:t xml:space="preserve"> that applied to these facts</w:t>
      </w:r>
      <w:r w:rsidR="008337E8">
        <w:t>.</w:t>
      </w:r>
      <w:r w:rsidR="000072CD">
        <w:t xml:space="preserve"> </w:t>
      </w:r>
      <w:r>
        <w:t>Of course, h</w:t>
      </w:r>
      <w:r w:rsidR="000072CD">
        <w:t xml:space="preserve">ospitals and health authorities can be held </w:t>
      </w:r>
      <w:r w:rsidR="000072CD" w:rsidRPr="004C3A8B">
        <w:rPr>
          <w:i/>
        </w:rPr>
        <w:t>vicariously</w:t>
      </w:r>
      <w:r w:rsidR="000072CD">
        <w:t xml:space="preserve"> liable for the torts of their employees</w:t>
      </w:r>
      <w:r w:rsidR="0054001E">
        <w:t>, including doctors</w:t>
      </w:r>
      <w:r w:rsidR="00710D48">
        <w:t xml:space="preserve"> (as the defendants in </w:t>
      </w:r>
      <w:r w:rsidR="00710D48">
        <w:rPr>
          <w:i/>
        </w:rPr>
        <w:t>Barnett</w:t>
      </w:r>
      <w:r w:rsidR="00710D48">
        <w:t xml:space="preserve"> were)</w:t>
      </w:r>
      <w:r w:rsidR="0054001E">
        <w:t>,</w:t>
      </w:r>
      <w:r w:rsidR="000072CD">
        <w:t xml:space="preserve"> but the scenarios where they </w:t>
      </w:r>
      <w:r w:rsidR="00D57A7C">
        <w:t>will be directly</w:t>
      </w:r>
      <w:r w:rsidR="00CE616A">
        <w:t xml:space="preserve"> </w:t>
      </w:r>
      <w:r w:rsidR="000072CD">
        <w:t xml:space="preserve">liable </w:t>
      </w:r>
      <w:r w:rsidR="008B1245">
        <w:t>are</w:t>
      </w:r>
      <w:r w:rsidR="000072CD">
        <w:t xml:space="preserve"> less clear-cut</w:t>
      </w:r>
      <w:r w:rsidR="00710D48">
        <w:t>.</w:t>
      </w:r>
      <w:r w:rsidR="00710D48" w:rsidRPr="00710D48">
        <w:rPr>
          <w:rStyle w:val="FootnoteReference"/>
        </w:rPr>
        <w:footnoteReference w:id="24"/>
      </w:r>
      <w:r w:rsidR="000072CD">
        <w:t xml:space="preserve"> </w:t>
      </w:r>
      <w:r w:rsidR="008B1245">
        <w:t>Such cases</w:t>
      </w:r>
      <w:r w:rsidR="000072CD">
        <w:t xml:space="preserve"> have tended to involve unsafe systems rather than single instances of negligence by individual staff members.</w:t>
      </w:r>
      <w:r w:rsidR="008337E8">
        <w:rPr>
          <w:rStyle w:val="FootnoteReference"/>
        </w:rPr>
        <w:footnoteReference w:id="25"/>
      </w:r>
      <w:r w:rsidR="000072CD">
        <w:t xml:space="preserve"> </w:t>
      </w:r>
    </w:p>
    <w:p w14:paraId="20593BDE" w14:textId="5142E350" w:rsidR="008337E8" w:rsidRPr="009C1298" w:rsidRDefault="008337E8" w:rsidP="00F8729F">
      <w:pPr>
        <w:spacing w:line="240" w:lineRule="auto"/>
        <w:ind w:firstLine="720"/>
      </w:pPr>
      <w:r>
        <w:t>The</w:t>
      </w:r>
      <w:r w:rsidR="008B1245">
        <w:t>re is some support for the view that hospital-patient</w:t>
      </w:r>
      <w:r w:rsidR="002C6E14">
        <w:t>, in addition to doctor-patient,</w:t>
      </w:r>
      <w:r w:rsidR="008B1245">
        <w:t xml:space="preserve"> is</w:t>
      </w:r>
      <w:r w:rsidR="002C6E14">
        <w:t xml:space="preserve"> an established duty situation. In</w:t>
      </w:r>
      <w:r w:rsidR="0006680B">
        <w:rPr>
          <w:i/>
          <w:iCs/>
        </w:rPr>
        <w:t xml:space="preserve"> Cassidy v</w:t>
      </w:r>
      <w:r w:rsidRPr="009C1298">
        <w:rPr>
          <w:i/>
          <w:iCs/>
        </w:rPr>
        <w:t xml:space="preserve"> Ministry of Health</w:t>
      </w:r>
      <w:r w:rsidR="002C6E14">
        <w:rPr>
          <w:iCs/>
        </w:rPr>
        <w:t>, Lord Denning opined</w:t>
      </w:r>
      <w:r>
        <w:t>:</w:t>
      </w:r>
      <w:r w:rsidR="00E90729">
        <w:rPr>
          <w:rStyle w:val="FootnoteReference"/>
        </w:rPr>
        <w:footnoteReference w:id="26"/>
      </w:r>
    </w:p>
    <w:p w14:paraId="1A5A66FA" w14:textId="77777777" w:rsidR="008337E8" w:rsidRPr="009C1298" w:rsidRDefault="008337E8" w:rsidP="00F8729F">
      <w:pPr>
        <w:spacing w:line="240" w:lineRule="auto"/>
        <w:ind w:left="567" w:right="567"/>
      </w:pPr>
      <w:r>
        <w:t>[A]</w:t>
      </w:r>
      <w:proofErr w:type="spellStart"/>
      <w:r w:rsidRPr="009C1298">
        <w:t>uthorities</w:t>
      </w:r>
      <w:proofErr w:type="spellEnd"/>
      <w:r w:rsidRPr="009C1298">
        <w:t xml:space="preserve"> who run a hospital</w:t>
      </w:r>
      <w:r>
        <w:t>…</w:t>
      </w:r>
      <w:r w:rsidRPr="009C1298">
        <w:t xml:space="preserve">are in law under the self-same duty as the humblest doctor; whenever they accept a patient for treatment, they must use reasonable care and skill to cure him of his ailment. The hospital authorities cannot, </w:t>
      </w:r>
      <w:r w:rsidR="00F52E2A">
        <w:t>of course, do it by themselves…</w:t>
      </w:r>
      <w:r w:rsidRPr="009C1298">
        <w:t>They must do it by the staff which they employ</w:t>
      </w:r>
      <w:r>
        <w:t>.</w:t>
      </w:r>
    </w:p>
    <w:p w14:paraId="192D488F" w14:textId="77777777" w:rsidR="000072CD" w:rsidRDefault="000072CD" w:rsidP="00F8729F">
      <w:pPr>
        <w:spacing w:line="240" w:lineRule="auto"/>
      </w:pPr>
    </w:p>
    <w:p w14:paraId="79455137" w14:textId="77777777" w:rsidR="00E90729" w:rsidRPr="00E90729" w:rsidRDefault="00596A21" w:rsidP="00F8729F">
      <w:pPr>
        <w:spacing w:line="240" w:lineRule="auto"/>
      </w:pPr>
      <w:r>
        <w:t xml:space="preserve">It is also consistent with </w:t>
      </w:r>
      <w:r>
        <w:rPr>
          <w:i/>
        </w:rPr>
        <w:t>Woodland v Essex CC,</w:t>
      </w:r>
      <w:r w:rsidRPr="00521715">
        <w:rPr>
          <w:rStyle w:val="FootnoteReference"/>
        </w:rPr>
        <w:footnoteReference w:id="27"/>
      </w:r>
      <w:r w:rsidR="00E90729">
        <w:t xml:space="preserve"> </w:t>
      </w:r>
      <w:r>
        <w:t xml:space="preserve">where </w:t>
      </w:r>
      <w:r w:rsidR="00E90729">
        <w:t xml:space="preserve">Lord </w:t>
      </w:r>
      <w:proofErr w:type="spellStart"/>
      <w:r w:rsidR="00E90729">
        <w:t>Sumption</w:t>
      </w:r>
      <w:proofErr w:type="spellEnd"/>
      <w:r w:rsidR="00E90729">
        <w:t xml:space="preserve"> </w:t>
      </w:r>
      <w:r>
        <w:t>suggested that</w:t>
      </w:r>
      <w:r w:rsidR="00E90729">
        <w:t xml:space="preserve"> hospitals owe a non-de</w:t>
      </w:r>
      <w:r w:rsidR="003F7D71">
        <w:t>l</w:t>
      </w:r>
      <w:r w:rsidR="00E90729">
        <w:t>egabl</w:t>
      </w:r>
      <w:r>
        <w:t>e duty of care to patients, which</w:t>
      </w:r>
      <w:r w:rsidR="000B2ED2">
        <w:t xml:space="preserve"> means that</w:t>
      </w:r>
      <w:r w:rsidR="00E90729">
        <w:t xml:space="preserve"> they can be liable for the t</w:t>
      </w:r>
      <w:r>
        <w:t>orts of independent contractors</w:t>
      </w:r>
      <w:r w:rsidR="00E90729">
        <w:t>.</w:t>
      </w:r>
      <w:r>
        <w:t xml:space="preserve"> </w:t>
      </w:r>
      <w:r w:rsidR="002462B8">
        <w:t xml:space="preserve">Whatever one thinks of the decision in </w:t>
      </w:r>
      <w:r w:rsidR="002462B8">
        <w:rPr>
          <w:i/>
        </w:rPr>
        <w:t>Woodland</w:t>
      </w:r>
      <w:r w:rsidR="002462B8">
        <w:t>, if</w:t>
      </w:r>
      <w:r>
        <w:t xml:space="preserve"> hospitals can be liable for single acts of negligence by independent contractors then it is hard to see why they should not be liab</w:t>
      </w:r>
      <w:r w:rsidR="00CB5E6A">
        <w:t>l</w:t>
      </w:r>
      <w:r>
        <w:t xml:space="preserve">e for </w:t>
      </w:r>
      <w:r w:rsidR="001B11BB">
        <w:t>such conduct</w:t>
      </w:r>
      <w:r>
        <w:t xml:space="preserve"> by their own employees.</w:t>
      </w:r>
      <w:r w:rsidR="00827F51">
        <w:rPr>
          <w:rStyle w:val="FootnoteReference"/>
        </w:rPr>
        <w:footnoteReference w:id="28"/>
      </w:r>
    </w:p>
    <w:p w14:paraId="73499ED1" w14:textId="163280D1" w:rsidR="000072CD" w:rsidRPr="004C3A8B" w:rsidRDefault="00596A21" w:rsidP="00F8729F">
      <w:pPr>
        <w:spacing w:line="240" w:lineRule="auto"/>
        <w:ind w:firstLine="720"/>
      </w:pPr>
      <w:r>
        <w:t>In any event</w:t>
      </w:r>
      <w:r w:rsidR="008337E8">
        <w:t xml:space="preserve">, </w:t>
      </w:r>
      <w:r w:rsidR="007745EC">
        <w:t xml:space="preserve">even if the above is incorrect, </w:t>
      </w:r>
      <w:r w:rsidR="0031287E">
        <w:t>th</w:t>
      </w:r>
      <w:r w:rsidR="002C6E14">
        <w:t xml:space="preserve">is case involved </w:t>
      </w:r>
      <w:r w:rsidR="0031287E">
        <w:t>physical injury caused by a positive act.</w:t>
      </w:r>
      <w:r w:rsidR="00B63384">
        <w:rPr>
          <w:rStyle w:val="FootnoteReference"/>
        </w:rPr>
        <w:footnoteReference w:id="29"/>
      </w:r>
      <w:r w:rsidR="00B63384">
        <w:t xml:space="preserve"> </w:t>
      </w:r>
      <w:r w:rsidR="008337E8">
        <w:t xml:space="preserve">It is also, as </w:t>
      </w:r>
      <w:r w:rsidR="001A318E">
        <w:t>Lord Lloyd-J</w:t>
      </w:r>
      <w:r w:rsidR="008337E8">
        <w:t>ones noted, analogous</w:t>
      </w:r>
      <w:r w:rsidR="00B63384">
        <w:t xml:space="preserve"> </w:t>
      </w:r>
      <w:r w:rsidR="000072CD">
        <w:t xml:space="preserve">with </w:t>
      </w:r>
      <w:r w:rsidR="000072CD">
        <w:rPr>
          <w:i/>
        </w:rPr>
        <w:t>Kent v Griffiths</w:t>
      </w:r>
      <w:r w:rsidR="000072CD">
        <w:t>,</w:t>
      </w:r>
      <w:r w:rsidR="005014DF">
        <w:rPr>
          <w:rStyle w:val="FootnoteReference"/>
        </w:rPr>
        <w:footnoteReference w:id="30"/>
      </w:r>
      <w:r w:rsidR="000072CD">
        <w:t xml:space="preserve"> where it was held that the ambulance service owed a duty of care </w:t>
      </w:r>
      <w:r w:rsidR="007D6768">
        <w:t>once</w:t>
      </w:r>
      <w:r w:rsidR="00957096">
        <w:t xml:space="preserve"> </w:t>
      </w:r>
      <w:r w:rsidR="000072CD">
        <w:t>it accepted a 999 call.</w:t>
      </w:r>
      <w:r w:rsidR="000950CA">
        <w:t xml:space="preserve"> It is hard to escape the conclusion that a duty</w:t>
      </w:r>
      <w:r w:rsidR="002C6E14">
        <w:t xml:space="preserve"> of care</w:t>
      </w:r>
      <w:r w:rsidR="000950CA">
        <w:t xml:space="preserve"> was owed here.</w:t>
      </w:r>
      <w:r w:rsidR="001A318E">
        <w:t xml:space="preserve"> </w:t>
      </w:r>
    </w:p>
    <w:p w14:paraId="6A5EB13C" w14:textId="77777777" w:rsidR="000072CD" w:rsidRDefault="000072CD" w:rsidP="00F8729F">
      <w:pPr>
        <w:spacing w:line="240" w:lineRule="auto"/>
        <w:rPr>
          <w:b/>
        </w:rPr>
      </w:pPr>
    </w:p>
    <w:p w14:paraId="4DC227A2" w14:textId="1091D5E3" w:rsidR="000072CD" w:rsidRPr="00F8729F" w:rsidRDefault="00811D10" w:rsidP="00F8729F">
      <w:pPr>
        <w:spacing w:line="240" w:lineRule="auto"/>
        <w:jc w:val="center"/>
        <w:rPr>
          <w:b/>
        </w:rPr>
      </w:pPr>
      <w:r w:rsidRPr="00F8729F">
        <w:rPr>
          <w:b/>
        </w:rPr>
        <w:t>DUTY AND BREACH</w:t>
      </w:r>
    </w:p>
    <w:p w14:paraId="5A7CF6CC" w14:textId="77777777" w:rsidR="00F8729F" w:rsidRPr="00C67555" w:rsidRDefault="00F8729F" w:rsidP="00F8729F">
      <w:pPr>
        <w:spacing w:line="240" w:lineRule="auto"/>
        <w:jc w:val="center"/>
      </w:pPr>
    </w:p>
    <w:p w14:paraId="2C774DB7" w14:textId="67087518" w:rsidR="000072CD" w:rsidRDefault="0015336B" w:rsidP="00F8729F">
      <w:pPr>
        <w:spacing w:line="240" w:lineRule="auto"/>
      </w:pPr>
      <w:r>
        <w:t xml:space="preserve">A welcome development in </w:t>
      </w:r>
      <w:r w:rsidR="00B45FF5">
        <w:t>Lord Lloyd</w:t>
      </w:r>
      <w:r w:rsidR="006F02AA">
        <w:t>-Jones</w:t>
      </w:r>
      <w:r w:rsidR="00B45FF5">
        <w:t xml:space="preserve">’s judgment is in his separation of the duty and breach stages of the negligence analysis. </w:t>
      </w:r>
      <w:r w:rsidR="005145CF">
        <w:t>Many</w:t>
      </w:r>
      <w:r w:rsidR="009D405E">
        <w:t xml:space="preserve"> academics have critiqued</w:t>
      </w:r>
      <w:r w:rsidR="008D05A3">
        <w:t xml:space="preserve"> the tendency to merge the two. Thus, Nolan has argued that using duty of care ‘</w:t>
      </w:r>
      <w:r w:rsidR="008D05A3" w:rsidRPr="006938C4">
        <w:t>to soak up so many of the issues of law raised by negligence litigation inevitably tends to mean that other important questions are under-analysed</w:t>
      </w:r>
      <w:r w:rsidR="007D6768">
        <w:t>.</w:t>
      </w:r>
      <w:r w:rsidR="008D05A3">
        <w:t>’</w:t>
      </w:r>
      <w:r w:rsidR="008D05A3">
        <w:rPr>
          <w:rStyle w:val="FootnoteReference"/>
        </w:rPr>
        <w:footnoteReference w:id="31"/>
      </w:r>
      <w:r w:rsidR="00B561EB">
        <w:t xml:space="preserve"> </w:t>
      </w:r>
      <w:r w:rsidR="008D05A3">
        <w:t xml:space="preserve">Plunkett has </w:t>
      </w:r>
      <w:r w:rsidR="007D6768">
        <w:t xml:space="preserve">also </w:t>
      </w:r>
      <w:r w:rsidR="008D05A3">
        <w:t>pointed out that merging duty and breach ‘conflates issues of law (whether a duty should exist in this situation) with issues of fact (whether the behaviour was careless).’</w:t>
      </w:r>
      <w:r w:rsidR="008D05A3">
        <w:rPr>
          <w:rStyle w:val="FootnoteReference"/>
        </w:rPr>
        <w:footnoteReference w:id="32"/>
      </w:r>
      <w:r w:rsidR="008D05A3">
        <w:t xml:space="preserve"> </w:t>
      </w:r>
      <w:r w:rsidR="00672528">
        <w:t>In rejecting the idea that a duty was owed, the majority in</w:t>
      </w:r>
      <w:r w:rsidR="00B561EB">
        <w:t xml:space="preserve"> the Court of Appeal had emphasised </w:t>
      </w:r>
      <w:r w:rsidR="00672528">
        <w:t xml:space="preserve">what a </w:t>
      </w:r>
      <w:r w:rsidR="00672528">
        <w:rPr>
          <w:i/>
        </w:rPr>
        <w:t xml:space="preserve">reasonable </w:t>
      </w:r>
      <w:r w:rsidR="00672528">
        <w:t>person would do and the difficult conditions that staff in A&amp;E departments have to work. Such observations were, according to the Supreme Court, ‘</w:t>
      </w:r>
      <w:r w:rsidR="00672528" w:rsidRPr="003A5B92">
        <w:t>directed at false targets</w:t>
      </w:r>
      <w:r w:rsidR="00672528">
        <w:t>’ and ‘</w:t>
      </w:r>
      <w:r w:rsidR="00672528" w:rsidRPr="00923EC0">
        <w:t>are really concerned not with the existence of a duty of care but with the question whether there has been a negligent breach of duty as a result of a failure to meet t</w:t>
      </w:r>
      <w:r w:rsidR="00672528">
        <w:t>he standard reasonably expected</w:t>
      </w:r>
      <w:r w:rsidR="00BC1C76">
        <w:t>.’</w:t>
      </w:r>
      <w:r w:rsidR="00BC1C76">
        <w:rPr>
          <w:rStyle w:val="FootnoteReference"/>
        </w:rPr>
        <w:footnoteReference w:id="33"/>
      </w:r>
      <w:r w:rsidR="00672528">
        <w:t xml:space="preserve"> In this regard, the Su</w:t>
      </w:r>
      <w:r w:rsidR="00D57A7C">
        <w:t xml:space="preserve">preme Court were influenced by </w:t>
      </w:r>
      <w:proofErr w:type="spellStart"/>
      <w:r w:rsidR="00672528">
        <w:t>Goudkamp’s</w:t>
      </w:r>
      <w:proofErr w:type="spellEnd"/>
      <w:r w:rsidR="00672528">
        <w:t xml:space="preserve"> </w:t>
      </w:r>
      <w:r w:rsidR="004E2B80">
        <w:t xml:space="preserve">excellent </w:t>
      </w:r>
      <w:r w:rsidR="00672528">
        <w:t xml:space="preserve">case commentary on the Court of Appeal decision where he lamented that the breach element of the action in negligence was </w:t>
      </w:r>
      <w:r w:rsidR="004E2B80">
        <w:t>‘</w:t>
      </w:r>
      <w:r w:rsidR="00672528">
        <w:t>disappearing</w:t>
      </w:r>
      <w:r w:rsidR="004E2B80">
        <w:t>’</w:t>
      </w:r>
      <w:r w:rsidR="00672528">
        <w:t xml:space="preserve"> as a result of judges confusing these issues.</w:t>
      </w:r>
      <w:r w:rsidR="00B45FF5">
        <w:rPr>
          <w:rStyle w:val="FootnoteReference"/>
        </w:rPr>
        <w:footnoteReference w:id="34"/>
      </w:r>
      <w:r w:rsidR="00672528">
        <w:t xml:space="preserve"> </w:t>
      </w:r>
      <w:r w:rsidR="0070240D">
        <w:t>Here is hoping that this aspect of the decision will be followed in future cases.</w:t>
      </w:r>
    </w:p>
    <w:p w14:paraId="77ED337A" w14:textId="77777777" w:rsidR="00B45FF5" w:rsidRDefault="00B45FF5" w:rsidP="00F8729F">
      <w:pPr>
        <w:spacing w:line="240" w:lineRule="auto"/>
      </w:pPr>
    </w:p>
    <w:p w14:paraId="61DCD2E5" w14:textId="46B6715A" w:rsidR="001A28E7" w:rsidRPr="00F8729F" w:rsidRDefault="00C67555" w:rsidP="00F8729F">
      <w:pPr>
        <w:spacing w:line="240" w:lineRule="auto"/>
        <w:jc w:val="center"/>
        <w:rPr>
          <w:b/>
        </w:rPr>
      </w:pPr>
      <w:r w:rsidRPr="00F8729F">
        <w:rPr>
          <w:b/>
        </w:rPr>
        <w:t>THE STANDARD OF CARE</w:t>
      </w:r>
    </w:p>
    <w:p w14:paraId="77B15637" w14:textId="77777777" w:rsidR="00F8729F" w:rsidRPr="00C67555" w:rsidRDefault="00F8729F" w:rsidP="00F8729F">
      <w:pPr>
        <w:spacing w:line="240" w:lineRule="auto"/>
        <w:jc w:val="center"/>
      </w:pPr>
    </w:p>
    <w:p w14:paraId="6F937387" w14:textId="1621DED1" w:rsidR="007071C6" w:rsidRDefault="00793D68" w:rsidP="00F8729F">
      <w:pPr>
        <w:spacing w:line="240" w:lineRule="auto"/>
      </w:pPr>
      <w:r>
        <w:t>A defendant will breach their duty of care if they</w:t>
      </w:r>
      <w:r w:rsidR="00B87518">
        <w:t xml:space="preserve"> fail to</w:t>
      </w:r>
      <w:r>
        <w:t xml:space="preserve"> </w:t>
      </w:r>
      <w:r w:rsidRPr="00DE5AA5">
        <w:t xml:space="preserve">‘do something which a reasonable man, guided upon those considerations which ordinarily regulate the conduct of human affairs, would do, or doing something which a prudent </w:t>
      </w:r>
      <w:r>
        <w:t>and reasonable man would not do</w:t>
      </w:r>
      <w:r w:rsidR="00BC1C76">
        <w:t>.</w:t>
      </w:r>
      <w:r>
        <w:t>’</w:t>
      </w:r>
      <w:r w:rsidR="00BC1C76">
        <w:rPr>
          <w:rStyle w:val="FootnoteReference"/>
        </w:rPr>
        <w:footnoteReference w:id="35"/>
      </w:r>
      <w:r>
        <w:t xml:space="preserve"> This is an objective te</w:t>
      </w:r>
      <w:r w:rsidR="001A28E7">
        <w:t xml:space="preserve">st and the reasonable person is placed in the position of the defendant. In </w:t>
      </w:r>
      <w:r w:rsidR="001A28E7">
        <w:rPr>
          <w:i/>
        </w:rPr>
        <w:t>Darnley</w:t>
      </w:r>
      <w:r w:rsidR="00014E49">
        <w:t>,</w:t>
      </w:r>
      <w:r w:rsidR="001A28E7">
        <w:t xml:space="preserve"> Lord Lloyd-Jones said that in this case </w:t>
      </w:r>
      <w:r w:rsidR="00014E49">
        <w:t>t</w:t>
      </w:r>
      <w:r w:rsidR="001A28E7">
        <w:t>he standard of care was that of ‘</w:t>
      </w:r>
      <w:r w:rsidR="001A28E7" w:rsidRPr="00D50F67">
        <w:t>an averagely competent and well-informed person performing the function of a receptionist at a department providing emergency medical care.</w:t>
      </w:r>
      <w:r w:rsidR="001A28E7">
        <w:t>’</w:t>
      </w:r>
      <w:r w:rsidR="001A28E7">
        <w:rPr>
          <w:rStyle w:val="FootnoteReference"/>
        </w:rPr>
        <w:footnoteReference w:id="36"/>
      </w:r>
      <w:r w:rsidR="00260FA1">
        <w:t xml:space="preserve"> </w:t>
      </w:r>
    </w:p>
    <w:p w14:paraId="06C4082B" w14:textId="421EA303" w:rsidR="004A632A" w:rsidRDefault="0056020A" w:rsidP="00F8729F">
      <w:pPr>
        <w:spacing w:line="240" w:lineRule="auto"/>
      </w:pPr>
      <w:r>
        <w:tab/>
        <w:t xml:space="preserve">The question of whether a defendant has met the standard of care is context dependent and there may be situations where giving incorrect information about waiting times would not be a breach of duty. </w:t>
      </w:r>
      <w:r w:rsidR="00FA4EAE">
        <w:t>Not every ‘error of judgement’</w:t>
      </w:r>
      <w:r w:rsidR="00B561EB">
        <w:rPr>
          <w:rStyle w:val="FootnoteReference"/>
        </w:rPr>
        <w:footnoteReference w:id="37"/>
      </w:r>
      <w:r w:rsidR="00FA4EAE">
        <w:t xml:space="preserve"> is negligent and ‘[a]</w:t>
      </w:r>
      <w:r w:rsidR="004A632A" w:rsidRPr="00A6187B">
        <w:t>n emergency may overburden the available resources, and, if an individual is forced by circumstances to do many things at once, the fact that he does one of them incorrectly should not lightly be taken as negligence’.</w:t>
      </w:r>
      <w:r w:rsidR="009D1BCA">
        <w:rPr>
          <w:rStyle w:val="FootnoteReference"/>
        </w:rPr>
        <w:footnoteReference w:id="38"/>
      </w:r>
      <w:r w:rsidR="00AD16B6">
        <w:t xml:space="preserve"> Yet</w:t>
      </w:r>
      <w:r w:rsidR="00647FA1">
        <w:t xml:space="preserve"> while the A&amp;E department at Croyd</w:t>
      </w:r>
      <w:r w:rsidR="0062259A">
        <w:t>on Hospital was described as bus</w:t>
      </w:r>
      <w:r w:rsidR="00647FA1">
        <w:t>y in the Court of Appeal,</w:t>
      </w:r>
      <w:r w:rsidR="00647FA1">
        <w:rPr>
          <w:rStyle w:val="FootnoteReference"/>
        </w:rPr>
        <w:footnoteReference w:id="39"/>
      </w:r>
      <w:r w:rsidR="00647FA1">
        <w:t xml:space="preserve"> </w:t>
      </w:r>
      <w:r w:rsidR="0062259A">
        <w:t>this did not appear to be a scenario involving</w:t>
      </w:r>
      <w:r w:rsidR="00A65B5C">
        <w:t xml:space="preserve"> ‘battle conditions’</w:t>
      </w:r>
      <w:r w:rsidR="00A65B5C">
        <w:rPr>
          <w:rStyle w:val="FootnoteReference"/>
        </w:rPr>
        <w:footnoteReference w:id="40"/>
      </w:r>
      <w:r w:rsidR="00A65B5C">
        <w:t xml:space="preserve"> and</w:t>
      </w:r>
      <w:r w:rsidR="00AD16B6">
        <w:t xml:space="preserve"> </w:t>
      </w:r>
      <w:r w:rsidR="00260FA1">
        <w:t xml:space="preserve">no reason had been suggested as to why the claimant was not informed about the standard </w:t>
      </w:r>
      <w:r w:rsidR="00260FA1">
        <w:lastRenderedPageBreak/>
        <w:t>procedure on responses to head i</w:t>
      </w:r>
      <w:r w:rsidR="00BC1C76">
        <w:t>njuries</w:t>
      </w:r>
      <w:r w:rsidR="00260FA1">
        <w:t>.</w:t>
      </w:r>
      <w:r w:rsidR="00BC1C76">
        <w:rPr>
          <w:rStyle w:val="FootnoteReference"/>
        </w:rPr>
        <w:footnoteReference w:id="41"/>
      </w:r>
      <w:r w:rsidR="00795802">
        <w:t xml:space="preserve"> T</w:t>
      </w:r>
      <w:r w:rsidR="00FA4EAE">
        <w:t xml:space="preserve">he reasonable </w:t>
      </w:r>
      <w:r w:rsidR="006022AD">
        <w:t>person</w:t>
      </w:r>
      <w:r w:rsidR="00FA4EAE">
        <w:t xml:space="preserve"> would </w:t>
      </w:r>
      <w:r w:rsidR="00DC3EC4">
        <w:t xml:space="preserve">not </w:t>
      </w:r>
      <w:r w:rsidR="00FA4EAE">
        <w:t xml:space="preserve">give misleading information </w:t>
      </w:r>
      <w:r w:rsidR="00FA4EAE" w:rsidRPr="0042469A">
        <w:t xml:space="preserve">for no reason </w:t>
      </w:r>
      <w:r w:rsidR="00FA4EAE">
        <w:t xml:space="preserve">and so breach on the facts of </w:t>
      </w:r>
      <w:r w:rsidR="00FA4EAE">
        <w:rPr>
          <w:i/>
        </w:rPr>
        <w:t>Dar</w:t>
      </w:r>
      <w:r w:rsidR="00DC3EC4">
        <w:rPr>
          <w:i/>
        </w:rPr>
        <w:t>n</w:t>
      </w:r>
      <w:r w:rsidR="00FA4EAE">
        <w:rPr>
          <w:i/>
        </w:rPr>
        <w:t>ley</w:t>
      </w:r>
      <w:r w:rsidR="00FA4EAE">
        <w:t xml:space="preserve"> was a foregone conclusion.</w:t>
      </w:r>
    </w:p>
    <w:p w14:paraId="297A127E" w14:textId="07C896BF" w:rsidR="00260FA1" w:rsidRPr="00795802" w:rsidRDefault="000A1DD3" w:rsidP="00F8729F">
      <w:pPr>
        <w:spacing w:line="240" w:lineRule="auto"/>
      </w:pPr>
      <w:r>
        <w:tab/>
        <w:t xml:space="preserve">Lord Lloyd-Jones acknowledged that receptionists would not have to ‘provide </w:t>
      </w:r>
      <w:r w:rsidRPr="00D50F67">
        <w:t>accurate information to each patient on arrival as to precisely when he or she would be seen by a medically qualified member of s</w:t>
      </w:r>
      <w:r>
        <w:t>taff’ as this would be ‘</w:t>
      </w:r>
      <w:r w:rsidRPr="00D50F67">
        <w:t>impossible.</w:t>
      </w:r>
      <w:r>
        <w:t>’</w:t>
      </w:r>
      <w:r>
        <w:rPr>
          <w:rStyle w:val="FootnoteReference"/>
        </w:rPr>
        <w:footnoteReference w:id="42"/>
      </w:r>
      <w:r>
        <w:t xml:space="preserve"> However, it was </w:t>
      </w:r>
      <w:r w:rsidR="00260FA1">
        <w:t>‘</w:t>
      </w:r>
      <w:r>
        <w:t>not unreasonable</w:t>
      </w:r>
      <w:r w:rsidR="00260FA1">
        <w:t>’</w:t>
      </w:r>
      <w:r>
        <w:t xml:space="preserve"> to expect patients in the position of the claimant to be ‘</w:t>
      </w:r>
      <w:r w:rsidRPr="00D50F67">
        <w:t>provided on arrival, whether orally by a receptionist, by leaflet or prominent notice, with accurate information that they would normally be seen by a triage nurse within 30 minutes.</w:t>
      </w:r>
      <w:r>
        <w:t>’</w:t>
      </w:r>
      <w:r>
        <w:rPr>
          <w:rStyle w:val="FootnoteReference"/>
        </w:rPr>
        <w:footnoteReference w:id="43"/>
      </w:r>
      <w:r>
        <w:t xml:space="preserve"> </w:t>
      </w:r>
      <w:r w:rsidR="00795802">
        <w:t xml:space="preserve">While one might agree that there was a breach on the facts of </w:t>
      </w:r>
      <w:r w:rsidR="00795802">
        <w:rPr>
          <w:i/>
        </w:rPr>
        <w:t>Darnley</w:t>
      </w:r>
      <w:r w:rsidR="00795802">
        <w:t>, this might be placing the standard too high. There are many different targets in the NHS. Are patients supposed to be informed of all of them</w:t>
      </w:r>
      <w:r w:rsidR="009F6157">
        <w:t xml:space="preserve"> when they arrive at A&amp;E</w:t>
      </w:r>
      <w:r w:rsidR="00795802">
        <w:t xml:space="preserve">? </w:t>
      </w:r>
      <w:r w:rsidR="00996E7B">
        <w:t xml:space="preserve">Expect this to be the subject of future litigation. </w:t>
      </w:r>
      <w:r w:rsidR="00A078F4">
        <w:t xml:space="preserve">It might have been better to say that while giving misleading information is a breach, refusing to answer </w:t>
      </w:r>
      <w:r w:rsidR="00AC0936">
        <w:t>could also be a reasonable response</w:t>
      </w:r>
      <w:r w:rsidR="00A078F4">
        <w:t xml:space="preserve">. </w:t>
      </w:r>
    </w:p>
    <w:p w14:paraId="4B244071" w14:textId="68086EB0" w:rsidR="00D366AC" w:rsidRPr="00D366AC" w:rsidRDefault="00700B18" w:rsidP="00F8729F">
      <w:pPr>
        <w:spacing w:line="240" w:lineRule="auto"/>
        <w:ind w:firstLine="720"/>
      </w:pPr>
      <w:r>
        <w:rPr>
          <w:i/>
        </w:rPr>
        <w:t>Darnley</w:t>
      </w:r>
      <w:r>
        <w:t xml:space="preserve"> i</w:t>
      </w:r>
      <w:r w:rsidR="00AF42E0">
        <w:t>nvolved a civilian receptionist</w:t>
      </w:r>
      <w:r>
        <w:t xml:space="preserve"> but</w:t>
      </w:r>
      <w:r w:rsidR="00C14F32">
        <w:t xml:space="preserve"> it </w:t>
      </w:r>
      <w:r w:rsidR="000C09FD">
        <w:t>is unlikely</w:t>
      </w:r>
      <w:r w:rsidR="00C14F32">
        <w:t xml:space="preserve"> hospitals that use nurses as receptionists will </w:t>
      </w:r>
      <w:r w:rsidR="000C09FD">
        <w:t xml:space="preserve">attract a different standard of care. It is true that nurses, as professionals, can usually rely upon the </w:t>
      </w:r>
      <w:r w:rsidR="000C09FD">
        <w:rPr>
          <w:i/>
        </w:rPr>
        <w:t xml:space="preserve">Bolam </w:t>
      </w:r>
      <w:r w:rsidR="000C09FD">
        <w:t>test</w:t>
      </w:r>
      <w:r w:rsidR="00B21190">
        <w:t>,</w:t>
      </w:r>
      <w:r w:rsidR="000C09FD">
        <w:rPr>
          <w:rStyle w:val="FootnoteReference"/>
        </w:rPr>
        <w:footnoteReference w:id="44"/>
      </w:r>
      <w:r w:rsidR="00B21190">
        <w:t xml:space="preserve"> which</w:t>
      </w:r>
      <w:r w:rsidR="000C09FD">
        <w:t xml:space="preserve"> </w:t>
      </w:r>
      <w:r w:rsidR="004338FB">
        <w:t xml:space="preserve">states </w:t>
      </w:r>
      <w:r w:rsidR="00755881">
        <w:t xml:space="preserve">that a professional </w:t>
      </w:r>
      <w:r w:rsidR="00BE3F8A">
        <w:t>is not negligent</w:t>
      </w:r>
      <w:r w:rsidR="000C09FD">
        <w:t xml:space="preserve"> provided they</w:t>
      </w:r>
      <w:r w:rsidR="004338FB" w:rsidRPr="00755881">
        <w:t xml:space="preserve"> act in ‘in accordance with a practice accepted as proper by a responsible body of medical men [professionals] skilled in that particular art</w:t>
      </w:r>
      <w:r w:rsidR="00416E4F">
        <w:t>.</w:t>
      </w:r>
      <w:r w:rsidR="004338FB" w:rsidRPr="00755881">
        <w:t>’</w:t>
      </w:r>
      <w:r w:rsidR="004338FB">
        <w:t xml:space="preserve"> </w:t>
      </w:r>
      <w:r w:rsidR="00B21190">
        <w:t xml:space="preserve">But </w:t>
      </w:r>
      <w:r w:rsidR="000C09FD">
        <w:t>t</w:t>
      </w:r>
      <w:r w:rsidR="00D366AC">
        <w:t xml:space="preserve">he </w:t>
      </w:r>
      <w:r w:rsidR="00D366AC">
        <w:rPr>
          <w:i/>
        </w:rPr>
        <w:t>Bolam</w:t>
      </w:r>
      <w:r w:rsidR="00D366AC">
        <w:t xml:space="preserve"> test ‘</w:t>
      </w:r>
      <w:r w:rsidR="00D366AC" w:rsidRPr="00D366AC">
        <w:t>is typically appropriate where the neglect is said to lie in a conscious choice of available courses made by a train</w:t>
      </w:r>
      <w:r w:rsidR="00130E20">
        <w:t>ed professional, and…</w:t>
      </w:r>
      <w:r w:rsidR="00D366AC" w:rsidRPr="00D366AC">
        <w:t>typically inappropriate where it is in an oversight t</w:t>
      </w:r>
      <w:r w:rsidR="00D366AC">
        <w:t>hat the neglect is said to lie.’</w:t>
      </w:r>
      <w:r w:rsidR="00D366AC">
        <w:rPr>
          <w:rStyle w:val="FootnoteReference"/>
        </w:rPr>
        <w:footnoteReference w:id="45"/>
      </w:r>
      <w:r w:rsidR="00D366AC">
        <w:t xml:space="preserve"> Informing a </w:t>
      </w:r>
      <w:r w:rsidR="00991CEA">
        <w:t xml:space="preserve">patient </w:t>
      </w:r>
      <w:r w:rsidR="00911929">
        <w:t>of</w:t>
      </w:r>
      <w:r w:rsidR="00991CEA">
        <w:t xml:space="preserve"> the expected waiting time for triage does not require any special skill and so the standard of care for clinical receptionists would not be any different</w:t>
      </w:r>
      <w:r w:rsidR="00254EAC">
        <w:t xml:space="preserve"> to non-clinical ones</w:t>
      </w:r>
      <w:r w:rsidR="00991CEA">
        <w:t>.</w:t>
      </w:r>
      <w:r w:rsidR="003709A6">
        <w:rPr>
          <w:rStyle w:val="FootnoteReference"/>
        </w:rPr>
        <w:footnoteReference w:id="46"/>
      </w:r>
      <w:r w:rsidR="00991CEA">
        <w:t xml:space="preserve"> </w:t>
      </w:r>
    </w:p>
    <w:p w14:paraId="48C912A1" w14:textId="77777777" w:rsidR="00434B44" w:rsidRDefault="00434B44" w:rsidP="00F8729F">
      <w:pPr>
        <w:spacing w:line="240" w:lineRule="auto"/>
      </w:pPr>
    </w:p>
    <w:p w14:paraId="64DC93B0" w14:textId="547C6435" w:rsidR="00254EAC" w:rsidRPr="00F8729F" w:rsidRDefault="00C67555" w:rsidP="00F8729F">
      <w:pPr>
        <w:spacing w:line="240" w:lineRule="auto"/>
        <w:jc w:val="center"/>
        <w:rPr>
          <w:b/>
        </w:rPr>
      </w:pPr>
      <w:r w:rsidRPr="00F8729F">
        <w:rPr>
          <w:b/>
        </w:rPr>
        <w:t>CAUSATION AND SCOPE OF LIABILITY</w:t>
      </w:r>
    </w:p>
    <w:p w14:paraId="69456FBE" w14:textId="77777777" w:rsidR="00F8729F" w:rsidRPr="00C67555" w:rsidRDefault="00F8729F" w:rsidP="00F8729F">
      <w:pPr>
        <w:spacing w:line="240" w:lineRule="auto"/>
        <w:jc w:val="center"/>
      </w:pPr>
    </w:p>
    <w:p w14:paraId="7D1AA1AC" w14:textId="4B7E7E72" w:rsidR="00306DCA" w:rsidRPr="00254EAC" w:rsidRDefault="005E6B89" w:rsidP="00F8729F">
      <w:pPr>
        <w:spacing w:line="240" w:lineRule="auto"/>
      </w:pPr>
      <w:proofErr w:type="gramStart"/>
      <w:r>
        <w:t>In order to</w:t>
      </w:r>
      <w:proofErr w:type="gramEnd"/>
      <w:r>
        <w:t xml:space="preserve"> succeed in a negligence action, the claimant must demonstrate on the balance of probabilities that the defendant’s breach of duty caused or materially contributed to their injury. This</w:t>
      </w:r>
      <w:r w:rsidR="00306DCA">
        <w:t xml:space="preserve"> is sometimes</w:t>
      </w:r>
      <w:r>
        <w:t xml:space="preserve"> called the </w:t>
      </w:r>
      <w:proofErr w:type="spellStart"/>
      <w:r>
        <w:t>‘</w:t>
      </w:r>
      <w:r w:rsidR="006D5C04">
        <w:t>cause</w:t>
      </w:r>
      <w:proofErr w:type="spellEnd"/>
      <w:r w:rsidR="006D5C04">
        <w:t>-in-fact’</w:t>
      </w:r>
      <w:r>
        <w:t xml:space="preserve"> stage and is assessed u</w:t>
      </w:r>
      <w:r w:rsidR="00306DCA">
        <w:t xml:space="preserve">sing the </w:t>
      </w:r>
      <w:proofErr w:type="spellStart"/>
      <w:r w:rsidR="00306DCA">
        <w:t>but</w:t>
      </w:r>
      <w:proofErr w:type="spellEnd"/>
      <w:r w:rsidR="00306DCA">
        <w:t xml:space="preserve">-for test. </w:t>
      </w:r>
      <w:r w:rsidR="00BD1D55" w:rsidRPr="00B61C68">
        <w:rPr>
          <w:rFonts w:eastAsia="Calibri" w:cs="Times New Roman"/>
          <w:color w:val="000000"/>
        </w:rPr>
        <w:t xml:space="preserve">One asks: </w:t>
      </w:r>
      <w:r w:rsidR="00BD1D55" w:rsidRPr="008840E0">
        <w:rPr>
          <w:rFonts w:eastAsia="Calibri" w:cs="Times New Roman"/>
          <w:color w:val="000000"/>
        </w:rPr>
        <w:t>but</w:t>
      </w:r>
      <w:r w:rsidR="00545552" w:rsidRPr="008840E0">
        <w:rPr>
          <w:rFonts w:eastAsia="Calibri" w:cs="Times New Roman"/>
          <w:color w:val="000000"/>
        </w:rPr>
        <w:t>-</w:t>
      </w:r>
      <w:r w:rsidR="00BD1D55" w:rsidRPr="008840E0">
        <w:rPr>
          <w:rFonts w:eastAsia="Calibri" w:cs="Times New Roman"/>
          <w:color w:val="000000"/>
        </w:rPr>
        <w:t xml:space="preserve">for </w:t>
      </w:r>
      <w:r w:rsidR="00BD1D55" w:rsidRPr="00B61C68">
        <w:rPr>
          <w:rFonts w:eastAsia="Calibri" w:cs="Times New Roman"/>
          <w:color w:val="000000"/>
        </w:rPr>
        <w:t>the defendant’s breach of duty would the claimant have suffered their injury?</w:t>
      </w:r>
      <w:r w:rsidR="00BD1D55">
        <w:rPr>
          <w:rFonts w:eastAsia="Calibri" w:cs="Times New Roman"/>
          <w:color w:val="000000"/>
        </w:rPr>
        <w:t xml:space="preserve"> If answered in the negative</w:t>
      </w:r>
      <w:r w:rsidR="00EC2F73">
        <w:rPr>
          <w:rFonts w:eastAsia="Calibri" w:cs="Times New Roman"/>
          <w:color w:val="000000"/>
        </w:rPr>
        <w:t xml:space="preserve"> then causation is established.</w:t>
      </w:r>
      <w:r w:rsidR="007A02A9">
        <w:rPr>
          <w:rFonts w:eastAsia="Calibri" w:cs="Times New Roman"/>
          <w:color w:val="000000"/>
        </w:rPr>
        <w:t xml:space="preserve"> </w:t>
      </w:r>
      <w:r w:rsidR="00306DCA">
        <w:rPr>
          <w:rFonts w:eastAsia="Calibri" w:cs="Times New Roman"/>
          <w:color w:val="000000"/>
        </w:rPr>
        <w:t xml:space="preserve">The </w:t>
      </w:r>
      <w:proofErr w:type="spellStart"/>
      <w:r w:rsidR="00306DCA">
        <w:rPr>
          <w:rFonts w:eastAsia="Calibri" w:cs="Times New Roman"/>
          <w:color w:val="000000"/>
        </w:rPr>
        <w:t>but</w:t>
      </w:r>
      <w:proofErr w:type="spellEnd"/>
      <w:r w:rsidR="00306DCA">
        <w:rPr>
          <w:rFonts w:eastAsia="Calibri" w:cs="Times New Roman"/>
          <w:color w:val="000000"/>
        </w:rPr>
        <w:t>-for test was satisfied</w:t>
      </w:r>
      <w:r w:rsidR="00EC2F73">
        <w:rPr>
          <w:rFonts w:eastAsia="Calibri" w:cs="Times New Roman"/>
          <w:color w:val="000000"/>
        </w:rPr>
        <w:t xml:space="preserve"> on the facts in </w:t>
      </w:r>
      <w:r w:rsidR="00EC2F73">
        <w:rPr>
          <w:rFonts w:eastAsia="Calibri" w:cs="Times New Roman"/>
          <w:i/>
          <w:color w:val="000000"/>
        </w:rPr>
        <w:t>Darnley</w:t>
      </w:r>
      <w:r w:rsidR="006D5C04">
        <w:rPr>
          <w:rFonts w:eastAsia="Calibri" w:cs="Times New Roman"/>
          <w:color w:val="000000"/>
        </w:rPr>
        <w:t>.</w:t>
      </w:r>
      <w:r w:rsidR="00DA7162">
        <w:rPr>
          <w:rFonts w:eastAsia="Calibri" w:cs="Times New Roman"/>
          <w:color w:val="000000"/>
        </w:rPr>
        <w:t xml:space="preserve"> </w:t>
      </w:r>
      <w:r w:rsidR="00EC2F73">
        <w:rPr>
          <w:rFonts w:eastAsia="Calibri" w:cs="Times New Roman"/>
          <w:color w:val="000000"/>
        </w:rPr>
        <w:t xml:space="preserve">If the receptionist had informed him of the correct </w:t>
      </w:r>
      <w:r w:rsidR="00306DCA">
        <w:rPr>
          <w:rFonts w:eastAsia="Calibri" w:cs="Times New Roman"/>
          <w:color w:val="000000"/>
        </w:rPr>
        <w:t>waiting times then he</w:t>
      </w:r>
      <w:r w:rsidR="007A02A9">
        <w:rPr>
          <w:rFonts w:eastAsia="Calibri" w:cs="Times New Roman"/>
          <w:color w:val="000000"/>
        </w:rPr>
        <w:t xml:space="preserve"> wo</w:t>
      </w:r>
      <w:r w:rsidR="00BA4B20">
        <w:rPr>
          <w:rFonts w:eastAsia="Calibri" w:cs="Times New Roman"/>
          <w:color w:val="000000"/>
        </w:rPr>
        <w:t xml:space="preserve">uld have been diagnosed earlier or been </w:t>
      </w:r>
      <w:r w:rsidR="007A02A9">
        <w:rPr>
          <w:rFonts w:eastAsia="Calibri" w:cs="Times New Roman"/>
          <w:color w:val="000000"/>
        </w:rPr>
        <w:t xml:space="preserve">in a hospital setting at the </w:t>
      </w:r>
      <w:r w:rsidR="00240139">
        <w:rPr>
          <w:rFonts w:eastAsia="Calibri" w:cs="Times New Roman"/>
          <w:color w:val="000000"/>
        </w:rPr>
        <w:t xml:space="preserve">time of his collapse and </w:t>
      </w:r>
      <w:r w:rsidR="00BA4B20">
        <w:rPr>
          <w:rFonts w:eastAsia="Calibri" w:cs="Times New Roman"/>
          <w:color w:val="000000"/>
        </w:rPr>
        <w:t xml:space="preserve">so </w:t>
      </w:r>
      <w:r w:rsidR="00240139">
        <w:rPr>
          <w:rFonts w:eastAsia="Calibri" w:cs="Times New Roman"/>
          <w:color w:val="000000"/>
        </w:rPr>
        <w:t>his</w:t>
      </w:r>
      <w:r w:rsidR="007A02A9">
        <w:rPr>
          <w:rFonts w:eastAsia="Calibri" w:cs="Times New Roman"/>
          <w:color w:val="000000"/>
        </w:rPr>
        <w:t xml:space="preserve"> surgery would h</w:t>
      </w:r>
      <w:r w:rsidR="00240139">
        <w:rPr>
          <w:rFonts w:eastAsia="Calibri" w:cs="Times New Roman"/>
          <w:color w:val="000000"/>
        </w:rPr>
        <w:t>ave occurred in time to avoid the paralysis.</w:t>
      </w:r>
      <w:r w:rsidR="00306DCA">
        <w:rPr>
          <w:rFonts w:eastAsia="Calibri" w:cs="Times New Roman"/>
          <w:color w:val="000000"/>
        </w:rPr>
        <w:t xml:space="preserve"> His injury would </w:t>
      </w:r>
      <w:r w:rsidR="0033135A">
        <w:rPr>
          <w:rFonts w:eastAsia="Calibri" w:cs="Times New Roman"/>
          <w:color w:val="000000"/>
        </w:rPr>
        <w:t xml:space="preserve">probably </w:t>
      </w:r>
      <w:r w:rsidR="00306DCA">
        <w:rPr>
          <w:rFonts w:eastAsia="Calibri" w:cs="Times New Roman"/>
          <w:color w:val="000000"/>
        </w:rPr>
        <w:t>have been avoided if he had been informed of the correct triage times.</w:t>
      </w:r>
    </w:p>
    <w:p w14:paraId="01B9426B" w14:textId="77777777" w:rsidR="0090749F" w:rsidRPr="00306DCA" w:rsidRDefault="006D5C04" w:rsidP="00F8729F">
      <w:pPr>
        <w:spacing w:line="240" w:lineRule="auto"/>
        <w:ind w:firstLine="720"/>
        <w:rPr>
          <w:rFonts w:eastAsia="Calibri" w:cs="Times New Roman"/>
          <w:color w:val="000000"/>
        </w:rPr>
      </w:pPr>
      <w:r>
        <w:rPr>
          <w:rFonts w:eastAsia="Calibri" w:cs="Times New Roman"/>
          <w:color w:val="000000"/>
        </w:rPr>
        <w:lastRenderedPageBreak/>
        <w:t xml:space="preserve">The defendant’s breach need not be the sole cause of the injury. </w:t>
      </w:r>
      <w:r>
        <w:t>As Stapleton notes, ‘The defendant cannot escape liability by pointing out that it was not the only agency responsible for the claimant’s state at trial.’</w:t>
      </w:r>
      <w:r>
        <w:rPr>
          <w:rStyle w:val="FootnoteReference"/>
        </w:rPr>
        <w:footnoteReference w:id="47"/>
      </w:r>
      <w:r>
        <w:t xml:space="preserve"> The claimant’s decision to leave does not therefore prevent the receptionist’s breach from being a </w:t>
      </w:r>
      <w:r w:rsidRPr="00DA7162">
        <w:rPr>
          <w:i/>
        </w:rPr>
        <w:t>factual</w:t>
      </w:r>
      <w:r>
        <w:t xml:space="preserve"> cause: both sources</w:t>
      </w:r>
      <w:r w:rsidR="00DA7162">
        <w:t xml:space="preserve"> were historically involved in his paralysis and</w:t>
      </w:r>
      <w:r>
        <w:t xml:space="preserve"> ‘played a necessary role in bringing about the entire indivisible injury’.</w:t>
      </w:r>
      <w:r>
        <w:rPr>
          <w:rStyle w:val="FootnoteReference"/>
        </w:rPr>
        <w:footnoteReference w:id="48"/>
      </w:r>
    </w:p>
    <w:p w14:paraId="3B35AAF5" w14:textId="77777777" w:rsidR="006D5C04" w:rsidRPr="006D5C04" w:rsidRDefault="006D5C04" w:rsidP="00F8729F">
      <w:pPr>
        <w:spacing w:line="240" w:lineRule="auto"/>
      </w:pPr>
      <w:r>
        <w:tab/>
      </w:r>
      <w:r w:rsidR="00FE130A">
        <w:t>But</w:t>
      </w:r>
      <w:r>
        <w:t xml:space="preserve"> this is not the end of the inquiry. A defendant will not be liable for </w:t>
      </w:r>
      <w:proofErr w:type="gramStart"/>
      <w:r>
        <w:t>all of</w:t>
      </w:r>
      <w:proofErr w:type="gramEnd"/>
      <w:r>
        <w:t xml:space="preserve"> the consequences of their negligence.</w:t>
      </w:r>
      <w:r>
        <w:rPr>
          <w:rStyle w:val="FootnoteReference"/>
        </w:rPr>
        <w:footnoteReference w:id="49"/>
      </w:r>
      <w:r>
        <w:t xml:space="preserve"> The court also has to consider w</w:t>
      </w:r>
      <w:r w:rsidR="00DA7162">
        <w:t>hether the claimant’s injury falls</w:t>
      </w:r>
      <w:r>
        <w:t xml:space="preserve"> within the scope of the defendant’s liability for consequences. This is s</w:t>
      </w:r>
      <w:r w:rsidR="00DA7162">
        <w:t xml:space="preserve">ometimes known as </w:t>
      </w:r>
      <w:proofErr w:type="spellStart"/>
      <w:r w:rsidR="00DA7162">
        <w:t>‘cause</w:t>
      </w:r>
      <w:proofErr w:type="spellEnd"/>
      <w:r w:rsidR="00DA7162">
        <w:t>-in-law’ and it</w:t>
      </w:r>
      <w:r>
        <w:t xml:space="preserve"> involves an ‘evaluative determination.’</w:t>
      </w:r>
      <w:r>
        <w:rPr>
          <w:rStyle w:val="FootnoteReference"/>
        </w:rPr>
        <w:footnoteReference w:id="50"/>
      </w:r>
      <w:r>
        <w:t xml:space="preserve"> The issue in </w:t>
      </w:r>
      <w:r>
        <w:rPr>
          <w:i/>
        </w:rPr>
        <w:t>Darnley</w:t>
      </w:r>
      <w:r>
        <w:t xml:space="preserve"> was whether, even though the defendant was a </w:t>
      </w:r>
      <w:proofErr w:type="spellStart"/>
      <w:r>
        <w:t>but</w:t>
      </w:r>
      <w:proofErr w:type="spellEnd"/>
      <w:r>
        <w:t>-for cause of the claimant’s injury, they should escape liability because the claimant’s own decision to leave</w:t>
      </w:r>
      <w:r w:rsidR="009E599E">
        <w:t xml:space="preserve"> constituted a new intervening act</w:t>
      </w:r>
      <w:r>
        <w:t xml:space="preserve"> </w:t>
      </w:r>
      <w:r w:rsidR="009E599E">
        <w:t>(a ‘</w:t>
      </w:r>
      <w:proofErr w:type="spellStart"/>
      <w:r w:rsidR="009E599E">
        <w:t>novus</w:t>
      </w:r>
      <w:proofErr w:type="spellEnd"/>
      <w:r w:rsidR="009E599E">
        <w:t xml:space="preserve"> actus </w:t>
      </w:r>
      <w:proofErr w:type="spellStart"/>
      <w:r w:rsidR="009E599E">
        <w:t>interveniens</w:t>
      </w:r>
      <w:proofErr w:type="spellEnd"/>
      <w:r w:rsidR="009E599E">
        <w:t xml:space="preserve">’) that </w:t>
      </w:r>
      <w:r>
        <w:t>broke the chain of causation.</w:t>
      </w:r>
      <w:r w:rsidR="009E599E">
        <w:t xml:space="preserve"> </w:t>
      </w:r>
      <w:r w:rsidR="000001F4">
        <w:t xml:space="preserve">Where </w:t>
      </w:r>
      <w:r w:rsidR="00DA7162">
        <w:t>this occurs, the claimant’s injury</w:t>
      </w:r>
      <w:r w:rsidR="000001F4" w:rsidRPr="00DD1044">
        <w:t xml:space="preserve"> </w:t>
      </w:r>
      <w:r w:rsidR="00DA7162">
        <w:t>‘</w:t>
      </w:r>
      <w:r w:rsidR="000001F4" w:rsidRPr="00DD1044">
        <w:t xml:space="preserve">must be regarded as caused by his own conduct and not by the defender's fault </w:t>
      </w:r>
      <w:r w:rsidR="000001F4">
        <w:t>or the disability caused by it.’</w:t>
      </w:r>
      <w:r w:rsidR="000001F4">
        <w:rPr>
          <w:rStyle w:val="FootnoteReference"/>
        </w:rPr>
        <w:footnoteReference w:id="51"/>
      </w:r>
    </w:p>
    <w:p w14:paraId="14EC59AB" w14:textId="77777777" w:rsidR="006D5C04" w:rsidRDefault="00DA7162" w:rsidP="00F8729F">
      <w:pPr>
        <w:spacing w:line="240" w:lineRule="auto"/>
        <w:ind w:firstLine="720"/>
      </w:pPr>
      <w:r>
        <w:t>Lord Lloyd-Jones believed</w:t>
      </w:r>
      <w:r w:rsidR="006D5C04">
        <w:t xml:space="preserve"> that the Court of Appeal’s decision was ‘inconsistent’ with three findings of fact by the trial judge: 1. If the claimant had been told the correct information he would have been in hospital at the time of his collapse; 2. The decision to leave was motivated by the misleading information; and 3. ‘</w:t>
      </w:r>
      <w:r w:rsidR="006D5C04" w:rsidRPr="00764AD8">
        <w:t>it was reasonably foreseeable that a person who believes that it may be four or five hours before he will be seen by a doctor may decide to leave, in circumstances where that person would have stayed if he believed he would be seen much sooner by a triage nurse</w:t>
      </w:r>
      <w:r w:rsidR="006D5C04">
        <w:t>.’</w:t>
      </w:r>
      <w:r w:rsidR="006D5C04">
        <w:rPr>
          <w:rStyle w:val="FootnoteReference"/>
        </w:rPr>
        <w:footnoteReference w:id="52"/>
      </w:r>
      <w:r w:rsidR="006D5C04">
        <w:t xml:space="preserve"> He said</w:t>
      </w:r>
      <w:r w:rsidR="0033135A">
        <w:t>,</w:t>
      </w:r>
      <w:r w:rsidR="006D5C04">
        <w:t xml:space="preserve"> ‘</w:t>
      </w:r>
      <w:r w:rsidR="006D5C04" w:rsidRPr="00764AD8">
        <w:t>Far from constituting a break in the chain of causation, the appellant’s decision to leave was reasonably foreseeable and was made, at least in part, on the basis of the misleading information that he would have to wait for up to four or five hours before being seen by a doctor.</w:t>
      </w:r>
      <w:r w:rsidR="006D5C04">
        <w:t>’</w:t>
      </w:r>
      <w:r w:rsidR="006D5C04">
        <w:rPr>
          <w:rStyle w:val="FootnoteReference"/>
        </w:rPr>
        <w:footnoteReference w:id="53"/>
      </w:r>
    </w:p>
    <w:p w14:paraId="4A38A560" w14:textId="77777777" w:rsidR="006D5C04" w:rsidRDefault="006D5C04" w:rsidP="00F8729F">
      <w:pPr>
        <w:spacing w:line="240" w:lineRule="auto"/>
        <w:ind w:firstLine="720"/>
      </w:pPr>
      <w:r>
        <w:t xml:space="preserve">With respect, this is not the test for determining whether there has been a break in the chain of causation. </w:t>
      </w:r>
      <w:r w:rsidR="001A6BB8">
        <w:t xml:space="preserve">As discussed above, </w:t>
      </w:r>
      <w:r w:rsidR="001F4CAD">
        <w:t xml:space="preserve">whether </w:t>
      </w:r>
      <w:r w:rsidR="009E599E">
        <w:t xml:space="preserve">the claimant would have stayed if informed of the correct waiting times is a question of </w:t>
      </w:r>
      <w:r w:rsidR="009E599E" w:rsidRPr="009E599E">
        <w:rPr>
          <w:i/>
        </w:rPr>
        <w:t>factual</w:t>
      </w:r>
      <w:r w:rsidR="009E599E">
        <w:t xml:space="preserve"> not legal causation. Furthermore, w</w:t>
      </w:r>
      <w:r>
        <w:t xml:space="preserve">hile a defendant is not liable for unforeseeable consequences according to the test for remoteness in </w:t>
      </w:r>
      <w:r>
        <w:rPr>
          <w:i/>
        </w:rPr>
        <w:t>The Wagon Mound</w:t>
      </w:r>
      <w:r w:rsidR="001F4CAD">
        <w:t>,</w:t>
      </w:r>
      <w:r w:rsidR="00306DCA">
        <w:rPr>
          <w:rStyle w:val="FootnoteReference"/>
        </w:rPr>
        <w:footnoteReference w:id="54"/>
      </w:r>
      <w:r>
        <w:t xml:space="preserve"> this does not mean </w:t>
      </w:r>
      <w:r w:rsidR="00E94257">
        <w:t xml:space="preserve">that they are </w:t>
      </w:r>
      <w:r>
        <w:t xml:space="preserve">liable for </w:t>
      </w:r>
      <w:proofErr w:type="gramStart"/>
      <w:r>
        <w:t>all of</w:t>
      </w:r>
      <w:proofErr w:type="gramEnd"/>
      <w:r>
        <w:t xml:space="preserve"> the foreseeable consequences of their breach of duty.</w:t>
      </w:r>
      <w:r w:rsidR="000001F4">
        <w:rPr>
          <w:rStyle w:val="FootnoteReference"/>
        </w:rPr>
        <w:footnoteReference w:id="55"/>
      </w:r>
      <w:r>
        <w:t xml:space="preserve"> The test for whether the claimant’s action broke the chain of causation </w:t>
      </w:r>
      <w:r w:rsidR="009E599E">
        <w:t xml:space="preserve">is different. </w:t>
      </w:r>
    </w:p>
    <w:p w14:paraId="7A2D2CD0" w14:textId="0A31D53D" w:rsidR="000001F4" w:rsidRDefault="00F9222A" w:rsidP="00F8729F">
      <w:pPr>
        <w:spacing w:line="240" w:lineRule="auto"/>
        <w:ind w:firstLine="720"/>
        <w:rPr>
          <w:iCs/>
        </w:rPr>
      </w:pPr>
      <w:r w:rsidRPr="00D965DB">
        <w:t xml:space="preserve">In </w:t>
      </w:r>
      <w:proofErr w:type="spellStart"/>
      <w:r w:rsidR="00D965DB" w:rsidRPr="00D965DB">
        <w:rPr>
          <w:bCs/>
          <w:i/>
        </w:rPr>
        <w:t>McKew</w:t>
      </w:r>
      <w:proofErr w:type="spellEnd"/>
      <w:r w:rsidR="00D965DB" w:rsidRPr="00D965DB">
        <w:rPr>
          <w:bCs/>
          <w:i/>
        </w:rPr>
        <w:t xml:space="preserve"> v Holland, </w:t>
      </w:r>
      <w:proofErr w:type="spellStart"/>
      <w:r w:rsidR="00D965DB" w:rsidRPr="00D965DB">
        <w:rPr>
          <w:bCs/>
          <w:i/>
        </w:rPr>
        <w:t>Hannen</w:t>
      </w:r>
      <w:proofErr w:type="spellEnd"/>
      <w:r w:rsidR="00D965DB" w:rsidRPr="00D965DB">
        <w:rPr>
          <w:bCs/>
          <w:i/>
        </w:rPr>
        <w:t xml:space="preserve">, </w:t>
      </w:r>
      <w:proofErr w:type="spellStart"/>
      <w:r w:rsidR="00D965DB" w:rsidRPr="00D965DB">
        <w:rPr>
          <w:bCs/>
          <w:i/>
        </w:rPr>
        <w:t>Cubitts</w:t>
      </w:r>
      <w:proofErr w:type="spellEnd"/>
      <w:r w:rsidR="00D965DB" w:rsidRPr="00D965DB">
        <w:rPr>
          <w:bCs/>
          <w:i/>
        </w:rPr>
        <w:t xml:space="preserve"> Ltd</w:t>
      </w:r>
      <w:r w:rsidR="00DA7162">
        <w:rPr>
          <w:bCs/>
          <w:i/>
        </w:rPr>
        <w:t xml:space="preserve"> </w:t>
      </w:r>
      <w:r w:rsidR="00D965DB">
        <w:rPr>
          <w:bCs/>
        </w:rPr>
        <w:t>the pursuer’s leg was injured by his employer’s negligence so that it often gave way. Shortly after the accident he was d</w:t>
      </w:r>
      <w:r w:rsidR="00DF24CB">
        <w:rPr>
          <w:bCs/>
        </w:rPr>
        <w:t>escending a steep staircase that did not have</w:t>
      </w:r>
      <w:r w:rsidR="00D965DB">
        <w:rPr>
          <w:bCs/>
        </w:rPr>
        <w:t xml:space="preserve"> handrail </w:t>
      </w:r>
      <w:r w:rsidR="00DF24CB">
        <w:rPr>
          <w:bCs/>
        </w:rPr>
        <w:t xml:space="preserve">with his daughter </w:t>
      </w:r>
      <w:r w:rsidR="00D965DB">
        <w:rPr>
          <w:bCs/>
        </w:rPr>
        <w:t xml:space="preserve">when </w:t>
      </w:r>
      <w:r w:rsidR="00B73987">
        <w:rPr>
          <w:bCs/>
        </w:rPr>
        <w:t>he lost control of his leg</w:t>
      </w:r>
      <w:r w:rsidR="00D965DB">
        <w:rPr>
          <w:bCs/>
        </w:rPr>
        <w:t xml:space="preserve">. He jumped to the bottom of the staircase to avoid falling and sustained further injury. </w:t>
      </w:r>
      <w:r w:rsidR="000001F4">
        <w:rPr>
          <w:bCs/>
        </w:rPr>
        <w:t xml:space="preserve">It was held that the pursuer’s </w:t>
      </w:r>
      <w:r w:rsidR="009841D9">
        <w:rPr>
          <w:bCs/>
        </w:rPr>
        <w:t xml:space="preserve">method of descending the staircase </w:t>
      </w:r>
      <w:r w:rsidR="000001F4">
        <w:rPr>
          <w:bCs/>
        </w:rPr>
        <w:t>broke the chain of causation.</w:t>
      </w:r>
      <w:r w:rsidR="0027188D">
        <w:rPr>
          <w:bCs/>
        </w:rPr>
        <w:t xml:space="preserve"> He should have descended in a more slow and careful manner so that if his leg buckled he could </w:t>
      </w:r>
      <w:r w:rsidR="0027188D">
        <w:rPr>
          <w:bCs/>
        </w:rPr>
        <w:lastRenderedPageBreak/>
        <w:t>sit down.</w:t>
      </w:r>
      <w:r w:rsidR="000001F4">
        <w:rPr>
          <w:bCs/>
        </w:rPr>
        <w:t xml:space="preserve"> According to Lord Reid, the test was </w:t>
      </w:r>
      <w:r w:rsidR="000001F4" w:rsidRPr="000001F4">
        <w:rPr>
          <w:bCs/>
          <w:i/>
        </w:rPr>
        <w:t>not</w:t>
      </w:r>
      <w:r w:rsidR="0033135A">
        <w:rPr>
          <w:bCs/>
        </w:rPr>
        <w:t xml:space="preserve"> one</w:t>
      </w:r>
      <w:r w:rsidR="000001F4">
        <w:rPr>
          <w:bCs/>
        </w:rPr>
        <w:t xml:space="preserve"> of foreseeability: ‘</w:t>
      </w:r>
      <w:r w:rsidR="000001F4" w:rsidRPr="00DD1044">
        <w:t>it is often easy to foresee unreasonable conduct or some other </w:t>
      </w:r>
      <w:proofErr w:type="spellStart"/>
      <w:r w:rsidR="000001F4" w:rsidRPr="00DD1044">
        <w:rPr>
          <w:i/>
          <w:iCs/>
        </w:rPr>
        <w:t>novus</w:t>
      </w:r>
      <w:proofErr w:type="spellEnd"/>
      <w:r w:rsidR="000001F4" w:rsidRPr="00DD1044">
        <w:rPr>
          <w:i/>
          <w:iCs/>
        </w:rPr>
        <w:t xml:space="preserve"> actus </w:t>
      </w:r>
      <w:proofErr w:type="spellStart"/>
      <w:r w:rsidR="000001F4" w:rsidRPr="00DD1044">
        <w:rPr>
          <w:i/>
          <w:iCs/>
        </w:rPr>
        <w:t>interveniens</w:t>
      </w:r>
      <w:proofErr w:type="spellEnd"/>
      <w:r w:rsidR="000001F4" w:rsidRPr="00DD1044">
        <w:t> as being quite likely. But that does not mean that the defender must pay for damage caused by the </w:t>
      </w:r>
      <w:proofErr w:type="spellStart"/>
      <w:r w:rsidR="000001F4">
        <w:rPr>
          <w:i/>
          <w:iCs/>
        </w:rPr>
        <w:t>novus</w:t>
      </w:r>
      <w:proofErr w:type="spellEnd"/>
      <w:r w:rsidR="000001F4">
        <w:rPr>
          <w:i/>
          <w:iCs/>
        </w:rPr>
        <w:t xml:space="preserve"> actus.</w:t>
      </w:r>
      <w:r w:rsidR="000001F4">
        <w:rPr>
          <w:iCs/>
        </w:rPr>
        <w:t>’</w:t>
      </w:r>
      <w:r w:rsidR="000001F4">
        <w:rPr>
          <w:rStyle w:val="FootnoteReference"/>
          <w:iCs/>
        </w:rPr>
        <w:footnoteReference w:id="56"/>
      </w:r>
      <w:r w:rsidR="000001F4">
        <w:rPr>
          <w:iCs/>
        </w:rPr>
        <w:t xml:space="preserve"> </w:t>
      </w:r>
      <w:r w:rsidR="00F7664D">
        <w:rPr>
          <w:iCs/>
        </w:rPr>
        <w:t>The test was whether the claimant</w:t>
      </w:r>
      <w:r w:rsidR="000001F4">
        <w:rPr>
          <w:iCs/>
        </w:rPr>
        <w:t xml:space="preserve"> had acted ‘unreasonably’.</w:t>
      </w:r>
    </w:p>
    <w:p w14:paraId="321D18B5" w14:textId="77777777" w:rsidR="00850456" w:rsidRPr="007B4D57" w:rsidRDefault="00306DCA" w:rsidP="00F8729F">
      <w:pPr>
        <w:spacing w:line="240" w:lineRule="auto"/>
        <w:ind w:firstLine="720"/>
        <w:rPr>
          <w:b/>
          <w:bCs/>
          <w:i/>
          <w:iCs/>
        </w:rPr>
      </w:pPr>
      <w:r>
        <w:rPr>
          <w:iCs/>
        </w:rPr>
        <w:t xml:space="preserve">Other cases have taken a more sympathetic approach to claimants who act </w:t>
      </w:r>
      <w:r w:rsidR="00D44809">
        <w:rPr>
          <w:iCs/>
        </w:rPr>
        <w:t>‘</w:t>
      </w:r>
      <w:r>
        <w:rPr>
          <w:iCs/>
        </w:rPr>
        <w:t>unreasonably</w:t>
      </w:r>
      <w:r w:rsidR="00D44809">
        <w:rPr>
          <w:iCs/>
        </w:rPr>
        <w:t>’</w:t>
      </w:r>
      <w:r>
        <w:rPr>
          <w:iCs/>
        </w:rPr>
        <w:t xml:space="preserve">. </w:t>
      </w:r>
      <w:r w:rsidR="00850456">
        <w:rPr>
          <w:iCs/>
        </w:rPr>
        <w:t xml:space="preserve">In </w:t>
      </w:r>
      <w:r w:rsidR="00850456">
        <w:rPr>
          <w:i/>
          <w:iCs/>
        </w:rPr>
        <w:t>Reeves</w:t>
      </w:r>
      <w:r w:rsidR="007B4D57">
        <w:rPr>
          <w:i/>
          <w:iCs/>
        </w:rPr>
        <w:t xml:space="preserve"> v </w:t>
      </w:r>
      <w:r w:rsidR="007B4D57" w:rsidRPr="007B4D57">
        <w:rPr>
          <w:bCs/>
          <w:i/>
          <w:iCs/>
        </w:rPr>
        <w:t>Commissioner of Police of the Metropolis</w:t>
      </w:r>
      <w:r w:rsidR="007B4D57">
        <w:rPr>
          <w:rStyle w:val="FootnoteReference"/>
          <w:iCs/>
        </w:rPr>
        <w:footnoteReference w:id="57"/>
      </w:r>
      <w:r w:rsidR="00850456">
        <w:rPr>
          <w:iCs/>
        </w:rPr>
        <w:t xml:space="preserve"> the defendant police force negligently left the flap on a cell door open, giving the deceased the opportunity to hang himself while in police custody. The deceased’s suicide did not break the chain of causation even though he was of sound mind as this was the very thing that the police had a duty to prevent.</w:t>
      </w:r>
    </w:p>
    <w:p w14:paraId="21499606" w14:textId="6AB6EBCD" w:rsidR="00850456" w:rsidRDefault="00850456" w:rsidP="00F8729F">
      <w:pPr>
        <w:spacing w:line="240" w:lineRule="auto"/>
        <w:rPr>
          <w:iCs/>
        </w:rPr>
      </w:pPr>
      <w:r>
        <w:tab/>
      </w:r>
      <w:r>
        <w:rPr>
          <w:iCs/>
        </w:rPr>
        <w:t xml:space="preserve">In </w:t>
      </w:r>
      <w:proofErr w:type="spellStart"/>
      <w:r>
        <w:rPr>
          <w:i/>
          <w:iCs/>
        </w:rPr>
        <w:t>Corr</w:t>
      </w:r>
      <w:proofErr w:type="spellEnd"/>
      <w:r>
        <w:rPr>
          <w:i/>
          <w:iCs/>
        </w:rPr>
        <w:t xml:space="preserve"> v IBC Vehicles Ltd</w:t>
      </w:r>
      <w:r>
        <w:rPr>
          <w:iCs/>
        </w:rPr>
        <w:t xml:space="preserve">, the claimant was disfigured and suffered post-traumatic stress disorder </w:t>
      </w:r>
      <w:proofErr w:type="gramStart"/>
      <w:r>
        <w:rPr>
          <w:iCs/>
        </w:rPr>
        <w:t>as a result of</w:t>
      </w:r>
      <w:proofErr w:type="gramEnd"/>
      <w:r>
        <w:rPr>
          <w:iCs/>
        </w:rPr>
        <w:t xml:space="preserve"> the defendant’s negligence. He eventually committed suicide. It was held that this did not break the chain of causation as the claimant’s unreasonable conduct was ‘</w:t>
      </w:r>
      <w:r w:rsidRPr="00FA0BB0">
        <w:rPr>
          <w:iCs/>
        </w:rPr>
        <w:t>induced</w:t>
      </w:r>
      <w:r>
        <w:rPr>
          <w:iCs/>
        </w:rPr>
        <w:t>’</w:t>
      </w:r>
      <w:r w:rsidRPr="00FA0BB0">
        <w:rPr>
          <w:iCs/>
        </w:rPr>
        <w:t xml:space="preserve"> by the</w:t>
      </w:r>
      <w:r>
        <w:rPr>
          <w:iCs/>
        </w:rPr>
        <w:t xml:space="preserve"> defendant’s </w:t>
      </w:r>
      <w:r w:rsidRPr="00FA0BB0">
        <w:rPr>
          <w:iCs/>
        </w:rPr>
        <w:t>breach of duty</w:t>
      </w:r>
      <w:r>
        <w:rPr>
          <w:iCs/>
        </w:rPr>
        <w:t>.</w:t>
      </w:r>
      <w:r>
        <w:rPr>
          <w:rStyle w:val="FootnoteReference"/>
          <w:iCs/>
        </w:rPr>
        <w:footnoteReference w:id="58"/>
      </w:r>
      <w:r>
        <w:rPr>
          <w:iCs/>
        </w:rPr>
        <w:t xml:space="preserve"> It was also acknowledged that a ‘</w:t>
      </w:r>
      <w:r w:rsidRPr="00540785">
        <w:rPr>
          <w:iCs/>
        </w:rPr>
        <w:t>voluntary, informed decision taken by the victim as an adult of sound mind making and giving effect to a personal</w:t>
      </w:r>
      <w:r>
        <w:rPr>
          <w:iCs/>
        </w:rPr>
        <w:t xml:space="preserve"> decision about his own future’</w:t>
      </w:r>
      <w:r>
        <w:rPr>
          <w:rStyle w:val="FootnoteReference"/>
          <w:iCs/>
        </w:rPr>
        <w:footnoteReference w:id="59"/>
      </w:r>
      <w:r>
        <w:rPr>
          <w:iCs/>
        </w:rPr>
        <w:t xml:space="preserve"> may be an intervening act. </w:t>
      </w:r>
      <w:r w:rsidR="00BD44BC">
        <w:rPr>
          <w:iCs/>
        </w:rPr>
        <w:t>The rationale for the principle was said to be ‘fairness’</w:t>
      </w:r>
      <w:r w:rsidR="00BD44BC">
        <w:rPr>
          <w:rStyle w:val="FootnoteReference"/>
          <w:iCs/>
        </w:rPr>
        <w:footnoteReference w:id="60"/>
      </w:r>
    </w:p>
    <w:p w14:paraId="1F0D157C" w14:textId="357DFED4" w:rsidR="00970C12" w:rsidRDefault="004B2CB1" w:rsidP="00F8729F">
      <w:pPr>
        <w:spacing w:line="240" w:lineRule="auto"/>
        <w:ind w:firstLine="720"/>
      </w:pPr>
      <w:r>
        <w:t xml:space="preserve">More recently, in </w:t>
      </w:r>
      <w:r w:rsidRPr="000316CF">
        <w:rPr>
          <w:i/>
        </w:rPr>
        <w:t>Spencer v Wincanton</w:t>
      </w:r>
      <w:r w:rsidR="00806A1B">
        <w:rPr>
          <w:i/>
        </w:rPr>
        <w:t xml:space="preserve"> </w:t>
      </w:r>
      <w:r w:rsidR="00806A1B" w:rsidRPr="00806A1B">
        <w:rPr>
          <w:bCs/>
          <w:i/>
        </w:rPr>
        <w:t>Holdings Ltd</w:t>
      </w:r>
      <w:r>
        <w:t xml:space="preserve"> </w:t>
      </w:r>
      <w:r w:rsidR="00806A1B">
        <w:t xml:space="preserve">the defendant’s negligence had resulted in the claimant’s leg being amputated. </w:t>
      </w:r>
      <w:r w:rsidR="00093175">
        <w:t>Later, t</w:t>
      </w:r>
      <w:r w:rsidR="00806A1B">
        <w:t>he claimant was</w:t>
      </w:r>
      <w:r w:rsidR="006B2EB3">
        <w:t xml:space="preserve"> filling his car with petrol while</w:t>
      </w:r>
      <w:r w:rsidR="00806A1B">
        <w:t xml:space="preserve"> not wearing his prosthesis or using sticks when he fell and suffered further injury. It was held that the claimant’s conduct did not break the chain of causation. </w:t>
      </w:r>
      <w:proofErr w:type="spellStart"/>
      <w:r w:rsidR="00806A1B">
        <w:t>Sedley</w:t>
      </w:r>
      <w:proofErr w:type="spellEnd"/>
      <w:r w:rsidR="00806A1B">
        <w:t xml:space="preserve"> LJ </w:t>
      </w:r>
      <w:r>
        <w:t>held that the ‘unreasonable’ was a ‘protean adjective’ and that its ‘</w:t>
      </w:r>
      <w:r w:rsidRPr="00EF39D0">
        <w:t xml:space="preserve">nuances run from irrationality </w:t>
      </w:r>
      <w:r>
        <w:t xml:space="preserve">to simple incaution or </w:t>
      </w:r>
      <w:proofErr w:type="spellStart"/>
      <w:r>
        <w:t>unwisdom</w:t>
      </w:r>
      <w:proofErr w:type="spellEnd"/>
      <w:r w:rsidRPr="00EF39D0">
        <w:t>.</w:t>
      </w:r>
      <w:r>
        <w:t>’</w:t>
      </w:r>
      <w:r>
        <w:rPr>
          <w:rStyle w:val="FootnoteReference"/>
        </w:rPr>
        <w:footnoteReference w:id="61"/>
      </w:r>
      <w:r>
        <w:t xml:space="preserve"> He believed that a better approach was one based on ‘fairness’. While this ‘</w:t>
      </w:r>
      <w:r w:rsidRPr="0042520B">
        <w:t>might be thought to take things lit</w:t>
      </w:r>
      <w:r>
        <w:t>tle further than reasonableness’</w:t>
      </w:r>
      <w:r w:rsidRPr="0042520B">
        <w:t xml:space="preserve"> </w:t>
      </w:r>
      <w:r>
        <w:t>it acknowledges that</w:t>
      </w:r>
      <w:r w:rsidRPr="0042520B">
        <w:t xml:space="preserve"> </w:t>
      </w:r>
      <w:r>
        <w:t>‘</w:t>
      </w:r>
      <w:r w:rsidRPr="0042520B">
        <w:t>a succession of consequences which in fact and in logic is infinite will be halted by the law when it becomes unfair to let it continue.</w:t>
      </w:r>
      <w:r>
        <w:t>’</w:t>
      </w:r>
      <w:r>
        <w:rPr>
          <w:rStyle w:val="FootnoteReference"/>
        </w:rPr>
        <w:footnoteReference w:id="62"/>
      </w:r>
      <w:r w:rsidRPr="0042520B">
        <w:t xml:space="preserve"> </w:t>
      </w:r>
      <w:r>
        <w:t>T</w:t>
      </w:r>
      <w:r w:rsidRPr="0042520B">
        <w:t xml:space="preserve">his point is </w:t>
      </w:r>
      <w:r>
        <w:t>‘</w:t>
      </w:r>
      <w:r w:rsidRPr="0042520B">
        <w:t xml:space="preserve">reached when (though not only when) the claimant suffers a further injury which, while it would not have happened without the initial injury, has been in substance brought about by the claimant and not the </w:t>
      </w:r>
      <w:proofErr w:type="spellStart"/>
      <w:r w:rsidRPr="0042520B">
        <w:t>tortfeaso</w:t>
      </w:r>
      <w:r>
        <w:t>r</w:t>
      </w:r>
      <w:proofErr w:type="spellEnd"/>
      <w:r>
        <w:t>.’</w:t>
      </w:r>
      <w:r>
        <w:rPr>
          <w:rStyle w:val="FootnoteReference"/>
        </w:rPr>
        <w:footnoteReference w:id="63"/>
      </w:r>
      <w:r w:rsidR="00BC681B">
        <w:t xml:space="preserve"> </w:t>
      </w:r>
    </w:p>
    <w:p w14:paraId="53FDFD74" w14:textId="750EC473" w:rsidR="004B2CB1" w:rsidRPr="00376DCD" w:rsidRDefault="00296DB5" w:rsidP="00F8729F">
      <w:pPr>
        <w:spacing w:line="240" w:lineRule="auto"/>
        <w:ind w:firstLine="720"/>
      </w:pPr>
      <w:r w:rsidRPr="0027188D">
        <w:rPr>
          <w:i/>
        </w:rPr>
        <w:t>Darnley</w:t>
      </w:r>
      <w:r w:rsidR="00982743">
        <w:rPr>
          <w:i/>
        </w:rPr>
        <w:t xml:space="preserve"> </w:t>
      </w:r>
      <w:r w:rsidR="005D654B">
        <w:t>can be distinguished from</w:t>
      </w:r>
      <w:r w:rsidR="00970C12">
        <w:t xml:space="preserve"> the claimant-friendly approaches in</w:t>
      </w:r>
      <w:r w:rsidR="005D654B">
        <w:t xml:space="preserve"> </w:t>
      </w:r>
      <w:r w:rsidR="005D654B">
        <w:rPr>
          <w:i/>
        </w:rPr>
        <w:t xml:space="preserve">Reeves, </w:t>
      </w:r>
      <w:proofErr w:type="spellStart"/>
      <w:r w:rsidR="005D654B">
        <w:rPr>
          <w:i/>
        </w:rPr>
        <w:t>Corr</w:t>
      </w:r>
      <w:proofErr w:type="spellEnd"/>
      <w:r w:rsidR="005D654B">
        <w:rPr>
          <w:i/>
        </w:rPr>
        <w:t xml:space="preserve"> </w:t>
      </w:r>
      <w:r w:rsidR="005D654B">
        <w:t xml:space="preserve">and </w:t>
      </w:r>
      <w:r w:rsidR="005D654B">
        <w:rPr>
          <w:i/>
        </w:rPr>
        <w:t>Spencer</w:t>
      </w:r>
      <w:r w:rsidR="005D654B">
        <w:t>.</w:t>
      </w:r>
      <w:r w:rsidR="005D654B">
        <w:rPr>
          <w:i/>
        </w:rPr>
        <w:t xml:space="preserve"> </w:t>
      </w:r>
      <w:r w:rsidR="005D654B">
        <w:t>T</w:t>
      </w:r>
      <w:r w:rsidR="00806A1B">
        <w:t xml:space="preserve">he alleged intervening act </w:t>
      </w:r>
      <w:r w:rsidR="005D654B">
        <w:t xml:space="preserve">in </w:t>
      </w:r>
      <w:r w:rsidR="005D654B">
        <w:rPr>
          <w:i/>
        </w:rPr>
        <w:t xml:space="preserve">Reeves </w:t>
      </w:r>
      <w:r w:rsidR="00806A1B">
        <w:t>– the claimant</w:t>
      </w:r>
      <w:r w:rsidR="003709A6">
        <w:t>’</w:t>
      </w:r>
      <w:r w:rsidR="00806A1B">
        <w:t xml:space="preserve">s suicide – was the very thing that the defendant had a duty to prevent. </w:t>
      </w:r>
      <w:r w:rsidR="005D654B">
        <w:t>It cannot be said that the hospital had a duty to prevent Mr Darnley leaving the hospi</w:t>
      </w:r>
      <w:r w:rsidR="00DC3EC4">
        <w:t xml:space="preserve">tal. As he had mental capacity </w:t>
      </w:r>
      <w:r w:rsidR="00C42C96">
        <w:t>–</w:t>
      </w:r>
      <w:r w:rsidR="00DC3EC4">
        <w:t xml:space="preserve"> </w:t>
      </w:r>
      <w:r w:rsidR="00DC3EC4">
        <w:rPr>
          <w:iCs/>
        </w:rPr>
        <w:t>in</w:t>
      </w:r>
      <w:r w:rsidR="00C42C96">
        <w:rPr>
          <w:iCs/>
        </w:rPr>
        <w:t xml:space="preserve"> </w:t>
      </w:r>
      <w:r w:rsidR="00DC3EC4">
        <w:rPr>
          <w:iCs/>
        </w:rPr>
        <w:t xml:space="preserve">the Court of Appeal </w:t>
      </w:r>
      <w:r w:rsidR="00D57E1E">
        <w:t>Jackson LJ described him</w:t>
      </w:r>
      <w:r w:rsidR="00DC3EC4">
        <w:t xml:space="preserve"> as ‘</w:t>
      </w:r>
      <w:r w:rsidR="00DC3EC4" w:rsidRPr="00FB5A2C">
        <w:t>coherent a</w:t>
      </w:r>
      <w:r w:rsidR="00DC3EC4">
        <w:t>nd able to respond to questions’</w:t>
      </w:r>
      <w:r w:rsidR="00DC3EC4">
        <w:rPr>
          <w:rStyle w:val="FootnoteReference"/>
        </w:rPr>
        <w:footnoteReference w:id="64"/>
      </w:r>
      <w:r w:rsidR="00DC3EC4">
        <w:t xml:space="preserve"> – </w:t>
      </w:r>
      <w:r w:rsidR="005D654B">
        <w:t>he was</w:t>
      </w:r>
      <w:r w:rsidR="00850456">
        <w:t xml:space="preserve"> perfectly</w:t>
      </w:r>
      <w:r w:rsidR="005D654B">
        <w:t xml:space="preserve"> entitled to do so. </w:t>
      </w:r>
      <w:proofErr w:type="spellStart"/>
      <w:r w:rsidR="00806A1B" w:rsidRPr="005C2C63">
        <w:rPr>
          <w:i/>
        </w:rPr>
        <w:t>Corr</w:t>
      </w:r>
      <w:proofErr w:type="spellEnd"/>
      <w:r w:rsidR="00806A1B">
        <w:t xml:space="preserve"> and </w:t>
      </w:r>
      <w:r w:rsidR="00806A1B">
        <w:rPr>
          <w:i/>
        </w:rPr>
        <w:t>Spencer</w:t>
      </w:r>
      <w:r w:rsidR="00806A1B">
        <w:t xml:space="preserve"> were also stronger cases than the present. In both, the respective defendant had injured the claimants and placed them in a weakened position where their behaviour was </w:t>
      </w:r>
      <w:r w:rsidR="00970C12">
        <w:t xml:space="preserve">an </w:t>
      </w:r>
      <w:r w:rsidR="00806A1B">
        <w:t>understandable</w:t>
      </w:r>
      <w:r w:rsidR="005D654B">
        <w:t xml:space="preserve"> response</w:t>
      </w:r>
      <w:r w:rsidR="00806A1B">
        <w:t>.</w:t>
      </w:r>
      <w:r w:rsidR="006B2EB3">
        <w:rPr>
          <w:rStyle w:val="FootnoteReference"/>
        </w:rPr>
        <w:footnoteReference w:id="65"/>
      </w:r>
      <w:r w:rsidR="001A6BB8">
        <w:t xml:space="preserve"> In contrast, Mr Darnley was already injured when the receptionist acted carelessly.</w:t>
      </w:r>
    </w:p>
    <w:p w14:paraId="51F128F3" w14:textId="0CE97BB8" w:rsidR="00BC681B" w:rsidRPr="000828ED" w:rsidRDefault="001F4CAD" w:rsidP="00F8729F">
      <w:pPr>
        <w:spacing w:line="240" w:lineRule="auto"/>
        <w:ind w:firstLine="720"/>
        <w:rPr>
          <w:iCs/>
        </w:rPr>
      </w:pPr>
      <w:r>
        <w:lastRenderedPageBreak/>
        <w:t>There might be</w:t>
      </w:r>
      <w:r w:rsidR="00424722">
        <w:t xml:space="preserve"> </w:t>
      </w:r>
      <w:r>
        <w:t>situations where a</w:t>
      </w:r>
      <w:r w:rsidR="00424722">
        <w:t xml:space="preserve"> </w:t>
      </w:r>
      <w:r w:rsidR="00045184">
        <w:t>decision to leave A&amp;E would be reasonable</w:t>
      </w:r>
      <w:r w:rsidR="00424722">
        <w:t xml:space="preserve"> </w:t>
      </w:r>
      <w:r>
        <w:t>b</w:t>
      </w:r>
      <w:r w:rsidR="00424722">
        <w:t>ut</w:t>
      </w:r>
      <w:r w:rsidR="006542BF">
        <w:t xml:space="preserve"> is </w:t>
      </w:r>
      <w:r w:rsidR="006542BF">
        <w:rPr>
          <w:i/>
        </w:rPr>
        <w:t xml:space="preserve">Darnley </w:t>
      </w:r>
      <w:r w:rsidR="006542BF">
        <w:t>one of them</w:t>
      </w:r>
      <w:r w:rsidR="003F77FC">
        <w:t>?</w:t>
      </w:r>
      <w:r w:rsidR="00045184">
        <w:rPr>
          <w:rStyle w:val="FootnoteReference"/>
        </w:rPr>
        <w:footnoteReference w:id="66"/>
      </w:r>
      <w:r w:rsidR="00424722">
        <w:t xml:space="preserve"> </w:t>
      </w:r>
      <w:r w:rsidR="007E2756">
        <w:t>One normally waits longer than 19 minutes for a haircut.</w:t>
      </w:r>
      <w:r w:rsidR="007C049A">
        <w:t xml:space="preserve"> And he could have</w:t>
      </w:r>
      <w:r w:rsidR="00045184">
        <w:t xml:space="preserve"> </w:t>
      </w:r>
      <w:r w:rsidR="007C049A">
        <w:t>obtained paracetamol from the A&amp;E department.</w:t>
      </w:r>
      <w:r w:rsidR="002F11C4">
        <w:t xml:space="preserve"> </w:t>
      </w:r>
      <w:r w:rsidR="00BC681B">
        <w:rPr>
          <w:iCs/>
        </w:rPr>
        <w:t>In the words of HHJ Robinson:</w:t>
      </w:r>
      <w:bookmarkStart w:id="2" w:name="para92"/>
    </w:p>
    <w:p w14:paraId="2BBCDC01" w14:textId="77777777" w:rsidR="00BC681B" w:rsidRPr="00784A07" w:rsidRDefault="00BC681B" w:rsidP="00F8729F">
      <w:pPr>
        <w:spacing w:line="240" w:lineRule="auto"/>
        <w:ind w:left="567" w:right="567"/>
      </w:pPr>
      <w:r w:rsidRPr="00E540C9">
        <w:t xml:space="preserve">It was the Claimant who was aware that he had been struck over the head. He knew he was in pain. He knew that </w:t>
      </w:r>
      <w:proofErr w:type="gramStart"/>
      <w:r w:rsidRPr="00E540C9">
        <w:t>ultimately</w:t>
      </w:r>
      <w:proofErr w:type="gramEnd"/>
      <w:r w:rsidRPr="00E540C9">
        <w:t xml:space="preserve"> he would be seen. He took the decision to leave before he had been seen. Ultimately, it is the Claimant who must take responsibility for the consequences of that decision, not the Defendant by its reception staff.</w:t>
      </w:r>
      <w:bookmarkEnd w:id="2"/>
      <w:r>
        <w:rPr>
          <w:rStyle w:val="FootnoteReference"/>
        </w:rPr>
        <w:footnoteReference w:id="67"/>
      </w:r>
      <w:r>
        <w:t xml:space="preserve"> </w:t>
      </w:r>
    </w:p>
    <w:p w14:paraId="0750D128" w14:textId="77777777" w:rsidR="00FC1E69" w:rsidRDefault="00FC1E69" w:rsidP="00F8729F">
      <w:pPr>
        <w:spacing w:line="240" w:lineRule="auto"/>
        <w:rPr>
          <w:iCs/>
        </w:rPr>
      </w:pPr>
    </w:p>
    <w:p w14:paraId="4274A740" w14:textId="09F0F023" w:rsidR="00B47A0F" w:rsidRDefault="00D57E1E" w:rsidP="00F8729F">
      <w:pPr>
        <w:spacing w:line="240" w:lineRule="auto"/>
      </w:pPr>
      <w:r>
        <w:t xml:space="preserve">What </w:t>
      </w:r>
      <w:r w:rsidR="00FC1E69">
        <w:t>counts as ‘unreasonable’</w:t>
      </w:r>
      <w:r w:rsidR="001B1F7D">
        <w:t xml:space="preserve"> (or, to use </w:t>
      </w:r>
      <w:proofErr w:type="spellStart"/>
      <w:r w:rsidR="001B1F7D">
        <w:t>Sedley</w:t>
      </w:r>
      <w:proofErr w:type="spellEnd"/>
      <w:r w:rsidR="001B1F7D">
        <w:t xml:space="preserve"> LJ’s approach, ‘unfair’)</w:t>
      </w:r>
      <w:r w:rsidR="0049726D">
        <w:t xml:space="preserve"> involves</w:t>
      </w:r>
      <w:r w:rsidR="00FC1E69">
        <w:t xml:space="preserve"> a value judgement on which there </w:t>
      </w:r>
      <w:r w:rsidR="00973550">
        <w:t>will</w:t>
      </w:r>
      <w:r w:rsidR="00FC1E69">
        <w:t xml:space="preserve"> be a diversity of views.</w:t>
      </w:r>
      <w:r w:rsidR="00FC1E69">
        <w:rPr>
          <w:rStyle w:val="FootnoteReference"/>
        </w:rPr>
        <w:footnoteReference w:id="68"/>
      </w:r>
      <w:r w:rsidR="00FC1E69">
        <w:t xml:space="preserve"> </w:t>
      </w:r>
      <w:r w:rsidR="00C459BD">
        <w:t>Although Mr Darnley was no doubt aware that going home would mean he was running a risk of injury, his information deficit means his decision to do so was not fully informed and so might not be so unreasonable as to break the chain of causation.</w:t>
      </w:r>
      <w:r w:rsidR="000F2FAF">
        <w:rPr>
          <w:rStyle w:val="FootnoteReference"/>
        </w:rPr>
        <w:footnoteReference w:id="69"/>
      </w:r>
      <w:r w:rsidR="00C459BD">
        <w:t xml:space="preserve"> </w:t>
      </w:r>
      <w:r>
        <w:rPr>
          <w:iCs/>
        </w:rPr>
        <w:t>Given that ‘unreasonableness’ is</w:t>
      </w:r>
      <w:r w:rsidR="0049726D">
        <w:rPr>
          <w:iCs/>
        </w:rPr>
        <w:t xml:space="preserve"> a question of fact,</w:t>
      </w:r>
      <w:r>
        <w:rPr>
          <w:iCs/>
        </w:rPr>
        <w:t xml:space="preserve"> though,</w:t>
      </w:r>
      <w:r w:rsidR="0049726D">
        <w:rPr>
          <w:iCs/>
        </w:rPr>
        <w:t xml:space="preserve"> we might question whether the Supreme Court was correct to overturn the trial judge and Court of Appeal.</w:t>
      </w:r>
      <w:r w:rsidR="0049726D">
        <w:t xml:space="preserve"> Its</w:t>
      </w:r>
      <w:r w:rsidR="000828ED">
        <w:t xml:space="preserve"> basis for </w:t>
      </w:r>
      <w:r w:rsidR="0049726D">
        <w:t>doing so</w:t>
      </w:r>
      <w:r w:rsidR="000828ED">
        <w:t xml:space="preserve"> – a </w:t>
      </w:r>
      <w:r w:rsidR="00C66533">
        <w:t>new test of</w:t>
      </w:r>
      <w:r w:rsidR="000828ED">
        <w:t xml:space="preserve"> foreseeability</w:t>
      </w:r>
      <w:r w:rsidR="00C66533">
        <w:t xml:space="preserve"> rather than one of reasonableness</w:t>
      </w:r>
      <w:r>
        <w:t xml:space="preserve"> </w:t>
      </w:r>
      <w:r w:rsidR="00650AF3">
        <w:t>– is hard to square</w:t>
      </w:r>
      <w:r w:rsidR="000828ED">
        <w:t xml:space="preserve"> with precedent</w:t>
      </w:r>
      <w:r w:rsidR="00C66533">
        <w:t>.</w:t>
      </w:r>
    </w:p>
    <w:p w14:paraId="1041132D" w14:textId="2C3EA31E" w:rsidR="00CF4FD9" w:rsidRDefault="00F06026" w:rsidP="00F8729F">
      <w:pPr>
        <w:spacing w:line="240" w:lineRule="auto"/>
        <w:ind w:firstLine="720"/>
      </w:pPr>
      <w:r>
        <w:t xml:space="preserve">Even if Mr Darnley’s decision </w:t>
      </w:r>
      <w:r w:rsidR="003B7677">
        <w:t>to go home did not break</w:t>
      </w:r>
      <w:r>
        <w:t xml:space="preserve"> the chain of causation, in future hospitals might be able to rely on the defences of </w:t>
      </w:r>
      <w:proofErr w:type="spellStart"/>
      <w:r w:rsidR="002B1E26">
        <w:rPr>
          <w:i/>
        </w:rPr>
        <w:t>volenti</w:t>
      </w:r>
      <w:proofErr w:type="spellEnd"/>
      <w:r w:rsidR="002B1E26">
        <w:rPr>
          <w:i/>
        </w:rPr>
        <w:t xml:space="preserve"> </w:t>
      </w:r>
      <w:proofErr w:type="gramStart"/>
      <w:r w:rsidR="002B1E26">
        <w:rPr>
          <w:i/>
        </w:rPr>
        <w:t>non fit</w:t>
      </w:r>
      <w:proofErr w:type="gramEnd"/>
      <w:r w:rsidR="002B1E26">
        <w:rPr>
          <w:i/>
        </w:rPr>
        <w:t xml:space="preserve"> injuria </w:t>
      </w:r>
      <w:r w:rsidR="002B1E26">
        <w:t>(voluntary assumption of risk)</w:t>
      </w:r>
      <w:r w:rsidR="00DC2716">
        <w:t xml:space="preserve"> or contributory negligence</w:t>
      </w:r>
      <w:r>
        <w:t>.</w:t>
      </w:r>
      <w:r w:rsidR="008D4AE6">
        <w:rPr>
          <w:rStyle w:val="FootnoteReference"/>
        </w:rPr>
        <w:footnoteReference w:id="70"/>
      </w:r>
      <w:r>
        <w:t xml:space="preserve"> </w:t>
      </w:r>
      <w:r w:rsidR="00D57E1E">
        <w:t xml:space="preserve">These were not argued in the Supreme Court. </w:t>
      </w:r>
      <w:r>
        <w:t>The</w:t>
      </w:r>
      <w:r w:rsidR="00D57E1E">
        <w:t xml:space="preserve"> principle of </w:t>
      </w:r>
      <w:proofErr w:type="spellStart"/>
      <w:r w:rsidR="00D57E1E">
        <w:rPr>
          <w:i/>
        </w:rPr>
        <w:t>volenti</w:t>
      </w:r>
      <w:proofErr w:type="spellEnd"/>
      <w:r>
        <w:t xml:space="preserve"> is that </w:t>
      </w:r>
      <w:r w:rsidR="00426E1B">
        <w:t>‘</w:t>
      </w:r>
      <w:r w:rsidR="00426E1B" w:rsidRPr="00426E1B">
        <w:t>a man who freely and voluntarily incurs a risk of which he has full knowledge cannot complain of injury if that risk mate</w:t>
      </w:r>
      <w:r w:rsidR="00426E1B">
        <w:t>rialises and causes him damage.’</w:t>
      </w:r>
      <w:r w:rsidR="00AC0D3D">
        <w:rPr>
          <w:rStyle w:val="FootnoteReference"/>
        </w:rPr>
        <w:footnoteReference w:id="71"/>
      </w:r>
      <w:r>
        <w:t xml:space="preserve"> </w:t>
      </w:r>
      <w:r w:rsidR="00C459BD">
        <w:t xml:space="preserve">Although </w:t>
      </w:r>
      <w:r w:rsidR="00BB368C">
        <w:t>Mr Darnley</w:t>
      </w:r>
      <w:r w:rsidR="00C459BD">
        <w:t xml:space="preserve"> was no doubt aware that by going home he risked not being treated for his</w:t>
      </w:r>
      <w:r w:rsidR="00FE1740">
        <w:t xml:space="preserve"> head</w:t>
      </w:r>
      <w:r w:rsidR="00C459BD">
        <w:t xml:space="preserve"> injury, </w:t>
      </w:r>
      <w:r w:rsidR="0049726D">
        <w:t xml:space="preserve">the </w:t>
      </w:r>
      <w:r w:rsidR="00C459BD">
        <w:t>fact that his decision to leave was based on false information means that his decision to run these risks might not be regarded as fully voluntary.</w:t>
      </w:r>
      <w:r w:rsidR="008009FE">
        <w:rPr>
          <w:rStyle w:val="FootnoteReference"/>
        </w:rPr>
        <w:footnoteReference w:id="72"/>
      </w:r>
      <w:r w:rsidR="00C459BD">
        <w:t xml:space="preserve"> </w:t>
      </w:r>
      <w:r w:rsidR="006542BF">
        <w:t>A defendant who relied on contributory negligence would be on stronger ground</w:t>
      </w:r>
      <w:r w:rsidR="00CF4FD9">
        <w:t>.</w:t>
      </w:r>
      <w:r w:rsidR="006542BF">
        <w:t xml:space="preserve"> This partial defence requires </w:t>
      </w:r>
      <w:r w:rsidR="00514103">
        <w:t xml:space="preserve">damages to be apportioned </w:t>
      </w:r>
      <w:r w:rsidR="006542BF">
        <w:t xml:space="preserve">when </w:t>
      </w:r>
      <w:r w:rsidR="00514103">
        <w:t>the claimant’s</w:t>
      </w:r>
      <w:r w:rsidR="00A84123">
        <w:t xml:space="preserve"> damage</w:t>
      </w:r>
      <w:r w:rsidR="006542BF">
        <w:t xml:space="preserve"> was partly </w:t>
      </w:r>
      <w:r w:rsidR="00514103">
        <w:t>their own fault</w:t>
      </w:r>
      <w:r w:rsidR="006542BF">
        <w:t>.</w:t>
      </w:r>
      <w:r w:rsidR="006542BF">
        <w:rPr>
          <w:rStyle w:val="FootnoteReference"/>
        </w:rPr>
        <w:footnoteReference w:id="73"/>
      </w:r>
      <w:r w:rsidR="00CF4FD9">
        <w:t xml:space="preserve"> </w:t>
      </w:r>
      <w:r>
        <w:t>In this case, the claimant’s injury was partly the fault of the hospital’s false information and partly a result of his own careless decision to go home without telling anyone. If he had not</w:t>
      </w:r>
      <w:r w:rsidR="004A5E3F">
        <w:t xml:space="preserve"> chosen to go</w:t>
      </w:r>
      <w:r>
        <w:t xml:space="preserve"> home he would not have been injured. </w:t>
      </w:r>
    </w:p>
    <w:p w14:paraId="2B895F6B" w14:textId="77777777" w:rsidR="00F06026" w:rsidRDefault="00F06026" w:rsidP="00F8729F">
      <w:pPr>
        <w:spacing w:line="240" w:lineRule="auto"/>
      </w:pPr>
    </w:p>
    <w:p w14:paraId="501E5CF1" w14:textId="0D4EFB86" w:rsidR="00424722" w:rsidRPr="00F8729F" w:rsidRDefault="00C67555" w:rsidP="00F8729F">
      <w:pPr>
        <w:spacing w:line="240" w:lineRule="auto"/>
        <w:jc w:val="center"/>
        <w:rPr>
          <w:b/>
        </w:rPr>
      </w:pPr>
      <w:r w:rsidRPr="00F8729F">
        <w:rPr>
          <w:b/>
        </w:rPr>
        <w:t>THE CONSTRUCTION OF THE PATIENT: AUTONOMY v VULNERABILITY</w:t>
      </w:r>
    </w:p>
    <w:p w14:paraId="27DCBE4A" w14:textId="77777777" w:rsidR="00F8729F" w:rsidRPr="00C67555" w:rsidRDefault="00F8729F" w:rsidP="00F8729F">
      <w:pPr>
        <w:spacing w:line="240" w:lineRule="auto"/>
        <w:jc w:val="center"/>
      </w:pPr>
    </w:p>
    <w:p w14:paraId="37E077EC" w14:textId="3BC0732A" w:rsidR="001E5479" w:rsidRDefault="00F304AD" w:rsidP="00F8729F">
      <w:pPr>
        <w:spacing w:line="240" w:lineRule="auto"/>
      </w:pPr>
      <w:r>
        <w:lastRenderedPageBreak/>
        <w:t xml:space="preserve">Leaving to one side the above doctrinal issues, </w:t>
      </w:r>
      <w:r>
        <w:rPr>
          <w:i/>
        </w:rPr>
        <w:t>Darnley</w:t>
      </w:r>
      <w:r w:rsidR="00AA3EB2">
        <w:t xml:space="preserve"> is noteworthy for</w:t>
      </w:r>
      <w:r>
        <w:t xml:space="preserve"> </w:t>
      </w:r>
      <w:r w:rsidR="00412A5A">
        <w:t>h</w:t>
      </w:r>
      <w:r>
        <w:t>ow it characterises the patient.</w:t>
      </w:r>
      <w:r w:rsidR="00065BD4">
        <w:rPr>
          <w:rStyle w:val="FootnoteReference"/>
        </w:rPr>
        <w:footnoteReference w:id="74"/>
      </w:r>
      <w:r>
        <w:rPr>
          <w:i/>
        </w:rPr>
        <w:t xml:space="preserve"> </w:t>
      </w:r>
      <w:r w:rsidR="009A17CE">
        <w:t xml:space="preserve">I began this note with a quotation from </w:t>
      </w:r>
      <w:r w:rsidR="009A17CE">
        <w:rPr>
          <w:i/>
        </w:rPr>
        <w:t xml:space="preserve">Montgomery </w:t>
      </w:r>
      <w:r w:rsidR="009A17CE">
        <w:t xml:space="preserve">emphasising that patients should be treated as capable adults responsible for their own choice. </w:t>
      </w:r>
      <w:r>
        <w:t>This equa</w:t>
      </w:r>
      <w:r w:rsidR="00123A0E">
        <w:t>tes the patient with the liberal</w:t>
      </w:r>
      <w:r>
        <w:t xml:space="preserve"> legal subject, who is </w:t>
      </w:r>
      <w:r w:rsidR="00123A0E">
        <w:t xml:space="preserve">usually </w:t>
      </w:r>
      <w:r>
        <w:t>characterised as ‘</w:t>
      </w:r>
      <w:r w:rsidRPr="00EA7E1D">
        <w:t>autonomous, self-contained, self-possessed, self-sufficient and formally equal before the law</w:t>
      </w:r>
      <w:r>
        <w:t>.’</w:t>
      </w:r>
      <w:r>
        <w:rPr>
          <w:rStyle w:val="FootnoteReference"/>
        </w:rPr>
        <w:footnoteReference w:id="75"/>
      </w:r>
    </w:p>
    <w:p w14:paraId="39C47071" w14:textId="77777777" w:rsidR="003B159F" w:rsidRDefault="00F33078" w:rsidP="00F8729F">
      <w:pPr>
        <w:spacing w:line="240" w:lineRule="auto"/>
        <w:ind w:firstLine="720"/>
      </w:pPr>
      <w:r>
        <w:t xml:space="preserve">In </w:t>
      </w:r>
      <w:proofErr w:type="gramStart"/>
      <w:r>
        <w:rPr>
          <w:i/>
        </w:rPr>
        <w:t>Darnley</w:t>
      </w:r>
      <w:proofErr w:type="gramEnd"/>
      <w:r>
        <w:t xml:space="preserve"> a contrasting view of the patient is presented, with Lord Lloyd-Jones </w:t>
      </w:r>
      <w:r w:rsidR="008B25A9">
        <w:t>noting</w:t>
      </w:r>
      <w:r>
        <w:t xml:space="preserve"> that the claimant was ‘</w:t>
      </w:r>
      <w:r w:rsidRPr="00764AD8">
        <w:t>in a particularly vulnerable condition</w:t>
      </w:r>
      <w:r>
        <w:t>.’</w:t>
      </w:r>
      <w:r>
        <w:rPr>
          <w:rStyle w:val="FootnoteReference"/>
        </w:rPr>
        <w:footnoteReference w:id="76"/>
      </w:r>
      <w:r>
        <w:t xml:space="preserve"> </w:t>
      </w:r>
      <w:r w:rsidR="002438E1">
        <w:t xml:space="preserve">This is not the first time that ‘vulnerability’ has appeared in the tort literature. In </w:t>
      </w:r>
      <w:r w:rsidR="002438E1">
        <w:rPr>
          <w:i/>
        </w:rPr>
        <w:t>Woodland v Essex CC</w:t>
      </w:r>
      <w:r w:rsidR="002438E1">
        <w:t xml:space="preserve">, Lord </w:t>
      </w:r>
      <w:proofErr w:type="spellStart"/>
      <w:r w:rsidR="002438E1">
        <w:t>Sumption</w:t>
      </w:r>
      <w:proofErr w:type="spellEnd"/>
      <w:r w:rsidR="002438E1">
        <w:t xml:space="preserve"> highlighted that patients were ‘especially vulnerable or dependent’</w:t>
      </w:r>
      <w:r w:rsidR="002438E1">
        <w:rPr>
          <w:rStyle w:val="FootnoteReference"/>
        </w:rPr>
        <w:footnoteReference w:id="77"/>
      </w:r>
      <w:r w:rsidR="002438E1">
        <w:t xml:space="preserve"> and Jane Stapleton</w:t>
      </w:r>
      <w:r w:rsidR="003B159F">
        <w:t xml:space="preserve"> has argued </w:t>
      </w:r>
      <w:r w:rsidR="002438E1">
        <w:t>that the ‘golden thread’ of morality in tort law is to protect the vulnerable.</w:t>
      </w:r>
      <w:r w:rsidR="002438E1">
        <w:rPr>
          <w:rStyle w:val="FootnoteReference"/>
        </w:rPr>
        <w:footnoteReference w:id="78"/>
      </w:r>
      <w:r w:rsidR="002438E1">
        <w:t xml:space="preserve"> </w:t>
      </w:r>
    </w:p>
    <w:p w14:paraId="5BDBB5C0" w14:textId="5D3D8B57" w:rsidR="002E799E" w:rsidRDefault="00650AF3" w:rsidP="00F8729F">
      <w:pPr>
        <w:spacing w:line="240" w:lineRule="auto"/>
        <w:ind w:firstLine="720"/>
      </w:pPr>
      <w:r>
        <w:t xml:space="preserve">A focus on vulnerability </w:t>
      </w:r>
      <w:r w:rsidR="00927C18">
        <w:t>is broadly consistent with</w:t>
      </w:r>
      <w:r>
        <w:t xml:space="preserve"> </w:t>
      </w:r>
      <w:r w:rsidR="002E799E">
        <w:t xml:space="preserve">Martha </w:t>
      </w:r>
      <w:proofErr w:type="spellStart"/>
      <w:r w:rsidR="002E799E">
        <w:t>Fineman’s</w:t>
      </w:r>
      <w:proofErr w:type="spellEnd"/>
      <w:r w:rsidR="002E799E">
        <w:t xml:space="preserve"> alternative view of the legal subject. </w:t>
      </w:r>
      <w:proofErr w:type="spellStart"/>
      <w:r w:rsidR="002E799E">
        <w:t>Fineman</w:t>
      </w:r>
      <w:proofErr w:type="spellEnd"/>
      <w:r w:rsidR="002E799E">
        <w:t xml:space="preserve"> suggests the vulnerable subject is ‘</w:t>
      </w:r>
      <w:r w:rsidR="002E799E" w:rsidRPr="00B97298">
        <w:t>a more accurate and complete universal figure to place at the heart of social policy</w:t>
      </w:r>
      <w:r w:rsidR="002E799E">
        <w:t>’</w:t>
      </w:r>
      <w:r w:rsidR="002E799E">
        <w:rPr>
          <w:rStyle w:val="FootnoteReference"/>
        </w:rPr>
        <w:footnoteReference w:id="79"/>
      </w:r>
      <w:r w:rsidR="002E799E">
        <w:t xml:space="preserve"> than the liberal one and argues that vulnerability is a ‘</w:t>
      </w:r>
      <w:r w:rsidR="002E799E" w:rsidRPr="007F34B2">
        <w:t>universal, inevitable, enduring aspect of the human condition that must be at the heart of our concept of social and state responsibility</w:t>
      </w:r>
      <w:r w:rsidR="002E799E">
        <w:t>’.</w:t>
      </w:r>
      <w:r w:rsidR="002E799E">
        <w:rPr>
          <w:rStyle w:val="FootnoteReference"/>
        </w:rPr>
        <w:footnoteReference w:id="80"/>
      </w:r>
      <w:r w:rsidR="002E799E">
        <w:t xml:space="preserve"> Vulnerability arises from our embodiment, which carries with it ‘</w:t>
      </w:r>
      <w:r w:rsidR="002E799E" w:rsidRPr="00CB30CD">
        <w:t>the ever-present possibility of harm, injury, and misfortune from mildly adverse to catastrophically devastating events, whether accidental, intentional, or otherwise.</w:t>
      </w:r>
      <w:r w:rsidR="002E799E">
        <w:t>’</w:t>
      </w:r>
      <w:r w:rsidR="002E799E">
        <w:rPr>
          <w:rStyle w:val="FootnoteReference"/>
        </w:rPr>
        <w:footnoteReference w:id="81"/>
      </w:r>
      <w:r w:rsidR="002E799E">
        <w:t xml:space="preserve"> This concept, unlike that of liberal autonomy,</w:t>
      </w:r>
      <w:r w:rsidR="002E799E" w:rsidRPr="00B31E56">
        <w:t xml:space="preserve"> </w:t>
      </w:r>
      <w:r w:rsidR="002E799E">
        <w:t xml:space="preserve">captures the </w:t>
      </w:r>
      <w:r w:rsidR="002E799E" w:rsidRPr="00B31E56">
        <w:t>potential for each of us to become dependent based upon our persistent susceptibility to misfortune and catastrophe.</w:t>
      </w:r>
      <w:r w:rsidR="002E799E">
        <w:t>’</w:t>
      </w:r>
      <w:r w:rsidR="002E799E">
        <w:rPr>
          <w:rStyle w:val="FootnoteReference"/>
        </w:rPr>
        <w:footnoteReference w:id="82"/>
      </w:r>
      <w:r w:rsidR="002E799E">
        <w:t xml:space="preserve"> </w:t>
      </w:r>
    </w:p>
    <w:p w14:paraId="015CC06F" w14:textId="1849CDFB" w:rsidR="009000A2" w:rsidRDefault="009000A2" w:rsidP="00F8729F">
      <w:pPr>
        <w:spacing w:line="240" w:lineRule="auto"/>
        <w:ind w:firstLine="720"/>
      </w:pPr>
      <w:proofErr w:type="spellStart"/>
      <w:r>
        <w:t>Fineman</w:t>
      </w:r>
      <w:proofErr w:type="spellEnd"/>
      <w:r>
        <w:t xml:space="preserve"> developed her vulnerability theory as a ‘</w:t>
      </w:r>
      <w:r w:rsidRPr="009000A2">
        <w:t>counter-disco</w:t>
      </w:r>
      <w:r w:rsidR="00DF459B">
        <w:t>urse with which to confront neo</w:t>
      </w:r>
      <w:r w:rsidRPr="009000A2">
        <w:t>liberalism's fixation on personal responsibility</w:t>
      </w:r>
      <w:r>
        <w:t>.’</w:t>
      </w:r>
      <w:r>
        <w:rPr>
          <w:rStyle w:val="FootnoteReference"/>
        </w:rPr>
        <w:footnoteReference w:id="83"/>
      </w:r>
      <w:r>
        <w:t xml:space="preserve"> </w:t>
      </w:r>
      <w:r w:rsidR="00076DF7">
        <w:t>T</w:t>
      </w:r>
      <w:r w:rsidR="00DF459B">
        <w:t xml:space="preserve">here is </w:t>
      </w:r>
      <w:r w:rsidR="00494928">
        <w:t xml:space="preserve">ample </w:t>
      </w:r>
      <w:r w:rsidR="00E6085C">
        <w:t>e</w:t>
      </w:r>
      <w:r w:rsidR="00DF459B">
        <w:t xml:space="preserve">vidence of </w:t>
      </w:r>
      <w:r w:rsidR="00494928">
        <w:t xml:space="preserve">neoliberal rhetoric </w:t>
      </w:r>
      <w:r w:rsidR="00DF459B">
        <w:t xml:space="preserve">in </w:t>
      </w:r>
      <w:r>
        <w:rPr>
          <w:i/>
        </w:rPr>
        <w:t>Montgomery</w:t>
      </w:r>
      <w:r w:rsidR="00C22893">
        <w:rPr>
          <w:i/>
        </w:rPr>
        <w:t xml:space="preserve">. </w:t>
      </w:r>
      <w:r w:rsidR="00494928">
        <w:t xml:space="preserve">For example, </w:t>
      </w:r>
      <w:r w:rsidR="004E244D">
        <w:t>Lords Kerr and</w:t>
      </w:r>
      <w:r w:rsidR="00C22893">
        <w:t xml:space="preserve"> Reed referred to patients as ‘consumers exercising choices’</w:t>
      </w:r>
      <w:r w:rsidR="00296DB5">
        <w:t>.</w:t>
      </w:r>
      <w:r w:rsidR="00C22893">
        <w:rPr>
          <w:rStyle w:val="FootnoteReference"/>
        </w:rPr>
        <w:footnoteReference w:id="84"/>
      </w:r>
      <w:r w:rsidR="00296DB5">
        <w:rPr>
          <w:i/>
        </w:rPr>
        <w:t xml:space="preserve"> </w:t>
      </w:r>
      <w:r w:rsidR="00296DB5">
        <w:t>C</w:t>
      </w:r>
      <w:r>
        <w:t xml:space="preserve">oncerns about expanding liability for healthcare professionals were </w:t>
      </w:r>
      <w:r w:rsidR="00296DB5">
        <w:t xml:space="preserve">also </w:t>
      </w:r>
      <w:r>
        <w:t xml:space="preserve">dismissed </w:t>
      </w:r>
      <w:r w:rsidR="00296DB5">
        <w:t>on the basis that</w:t>
      </w:r>
      <w:r w:rsidR="0042469A">
        <w:t xml:space="preserve"> a</w:t>
      </w:r>
      <w:r w:rsidR="007C6DF1">
        <w:t xml:space="preserve"> change in approach</w:t>
      </w:r>
      <w:r w:rsidR="00982743">
        <w:t xml:space="preserve"> </w:t>
      </w:r>
      <w:r w:rsidR="00296DB5">
        <w:t>‘</w:t>
      </w:r>
      <w:r w:rsidRPr="00A04A24">
        <w:t xml:space="preserve">may not be welcomed by some healthcare providers; but the reasoning of the House of Lords in </w:t>
      </w:r>
      <w:r w:rsidRPr="00A04A24">
        <w:rPr>
          <w:i/>
        </w:rPr>
        <w:t>Donoghue v Stevenson</w:t>
      </w:r>
      <w:r w:rsidRPr="00A04A24">
        <w:t xml:space="preserve"> [1932] AC 562 was no doubt received in a similar way by the manufacturers of </w:t>
      </w:r>
      <w:r w:rsidRPr="00A04A24">
        <w:lastRenderedPageBreak/>
        <w:t>bottled drinks.</w:t>
      </w:r>
      <w:r>
        <w:t>’</w:t>
      </w:r>
      <w:r>
        <w:rPr>
          <w:rStyle w:val="FootnoteReference"/>
        </w:rPr>
        <w:footnoteReference w:id="85"/>
      </w:r>
      <w:r>
        <w:t xml:space="preserve"> </w:t>
      </w:r>
      <w:r w:rsidR="00C22893">
        <w:t>On this analogy</w:t>
      </w:r>
      <w:r>
        <w:t xml:space="preserve"> patients are consumers and the NHS is just another service provider, no different to a commercial enterprise selling consumer goods for profit</w:t>
      </w:r>
      <w:r w:rsidR="00F25878">
        <w:t>.</w:t>
      </w:r>
      <w:r w:rsidR="00F41E42">
        <w:t xml:space="preserve"> </w:t>
      </w:r>
      <w:r w:rsidR="00C22893">
        <w:t>If a vulnerability ana</w:t>
      </w:r>
      <w:r w:rsidR="00882FA3">
        <w:t>lysis can protect patient interests</w:t>
      </w:r>
      <w:r w:rsidR="00F25878">
        <w:t xml:space="preserve"> while avoiding neoliberal</w:t>
      </w:r>
      <w:r w:rsidR="003B7677">
        <w:t xml:space="preserve"> rationalisations</w:t>
      </w:r>
      <w:r w:rsidR="00C22893">
        <w:t xml:space="preserve"> then it has much to recommend it.</w:t>
      </w:r>
    </w:p>
    <w:p w14:paraId="5E4F241C" w14:textId="7ED59053" w:rsidR="00EC14CB" w:rsidRDefault="00F83D58" w:rsidP="00F8729F">
      <w:pPr>
        <w:spacing w:line="240" w:lineRule="auto"/>
        <w:ind w:firstLine="720"/>
      </w:pPr>
      <w:r>
        <w:t xml:space="preserve">Of course, </w:t>
      </w:r>
      <w:r w:rsidR="00AF5984">
        <w:t xml:space="preserve">the two cases can be reconciled with one another. First, </w:t>
      </w:r>
      <w:r w:rsidR="00EC14CB">
        <w:t>M</w:t>
      </w:r>
      <w:r>
        <w:t>r Darnley’s information deficit</w:t>
      </w:r>
      <w:r w:rsidR="00E50E30">
        <w:t xml:space="preserve"> </w:t>
      </w:r>
      <w:r w:rsidR="00AF5984">
        <w:t xml:space="preserve">means that </w:t>
      </w:r>
      <w:r w:rsidR="00850D04">
        <w:t>h</w:t>
      </w:r>
      <w:r w:rsidR="00EC14CB">
        <w:t xml:space="preserve">is decision </w:t>
      </w:r>
      <w:r w:rsidR="00AF5984">
        <w:t xml:space="preserve">to leave </w:t>
      </w:r>
      <w:r w:rsidR="00EC14CB">
        <w:t>might not be a</w:t>
      </w:r>
      <w:r w:rsidR="00A72D9F">
        <w:t xml:space="preserve">n </w:t>
      </w:r>
      <w:r w:rsidR="00EC14CB">
        <w:t>autonomous one</w:t>
      </w:r>
      <w:r w:rsidR="00AF5984">
        <w:t>. Secondly</w:t>
      </w:r>
      <w:r w:rsidR="00850D04">
        <w:t xml:space="preserve">, </w:t>
      </w:r>
      <w:r w:rsidR="00E4404B">
        <w:rPr>
          <w:i/>
        </w:rPr>
        <w:t xml:space="preserve">Darnley </w:t>
      </w:r>
      <w:r w:rsidR="00296DB5" w:rsidRPr="0027188D">
        <w:t>was not</w:t>
      </w:r>
      <w:r w:rsidR="00130FF0">
        <w:t xml:space="preserve"> </w:t>
      </w:r>
      <w:r w:rsidR="00E4404B">
        <w:t xml:space="preserve">argued as an ‘information </w:t>
      </w:r>
      <w:r w:rsidR="00AD5213">
        <w:t>non-</w:t>
      </w:r>
      <w:r w:rsidR="00E4404B">
        <w:t>disclosure’ case</w:t>
      </w:r>
      <w:r w:rsidR="00106D3F">
        <w:t xml:space="preserve"> </w:t>
      </w:r>
      <w:r w:rsidR="00AC39FC">
        <w:t>(and</w:t>
      </w:r>
      <w:r w:rsidR="00AF5984">
        <w:t>, rightly or wrongly,</w:t>
      </w:r>
      <w:r w:rsidR="00AC39FC">
        <w:t xml:space="preserve"> </w:t>
      </w:r>
      <w:r w:rsidR="00106D3F">
        <w:t xml:space="preserve">that area of </w:t>
      </w:r>
      <w:r w:rsidR="00AC39FC">
        <w:t>law</w:t>
      </w:r>
      <w:r w:rsidR="003B7677">
        <w:t xml:space="preserve"> appears to be developing</w:t>
      </w:r>
      <w:r w:rsidR="00106D3F">
        <w:t xml:space="preserve"> separate rules to those governing the rest of </w:t>
      </w:r>
      <w:r w:rsidR="00AC39FC">
        <w:t xml:space="preserve">medical </w:t>
      </w:r>
      <w:r w:rsidR="00106D3F">
        <w:t>negligence</w:t>
      </w:r>
      <w:r w:rsidR="00AC39FC">
        <w:t>)</w:t>
      </w:r>
      <w:r w:rsidR="00106D3F">
        <w:t>. Finally,</w:t>
      </w:r>
      <w:r w:rsidR="00E4404B">
        <w:t xml:space="preserve"> even if one accepts that we are all vulnerable</w:t>
      </w:r>
      <w:r w:rsidR="00850D04">
        <w:t>,</w:t>
      </w:r>
      <w:r w:rsidR="00E4404B">
        <w:t xml:space="preserve"> this does not </w:t>
      </w:r>
      <w:r w:rsidR="00F16E90">
        <w:t>entail</w:t>
      </w:r>
      <w:r w:rsidR="00850D04">
        <w:t xml:space="preserve"> </w:t>
      </w:r>
      <w:r w:rsidR="009E3C81">
        <w:t xml:space="preserve">preventing patients from being </w:t>
      </w:r>
      <w:r w:rsidR="00850D04">
        <w:t xml:space="preserve">informed of </w:t>
      </w:r>
      <w:r w:rsidR="00106D3F">
        <w:t xml:space="preserve">the </w:t>
      </w:r>
      <w:r w:rsidR="00AF5984">
        <w:t xml:space="preserve">risks in treatment and/or </w:t>
      </w:r>
      <w:r w:rsidR="00850D04">
        <w:t>waiting times</w:t>
      </w:r>
      <w:r w:rsidR="00296DB5">
        <w:t>,</w:t>
      </w:r>
      <w:r w:rsidR="009E3C81">
        <w:t xml:space="preserve"> or removing their ability to choose</w:t>
      </w:r>
      <w:r w:rsidR="00AF5984">
        <w:t xml:space="preserve"> what treatment to accept</w:t>
      </w:r>
      <w:r w:rsidR="00850D04">
        <w:t xml:space="preserve">. </w:t>
      </w:r>
      <w:r w:rsidR="00993689">
        <w:t>Autonomy and vulnerability need not be in opposition to one another.</w:t>
      </w:r>
      <w:r w:rsidR="00372826">
        <w:rPr>
          <w:rStyle w:val="FootnoteReference"/>
        </w:rPr>
        <w:footnoteReference w:id="86"/>
      </w:r>
      <w:r w:rsidR="00993689">
        <w:t xml:space="preserve"> </w:t>
      </w:r>
      <w:r w:rsidR="00850D04">
        <w:t xml:space="preserve">Nonetheless, </w:t>
      </w:r>
      <w:r w:rsidR="00EC14CB">
        <w:t>it w</w:t>
      </w:r>
      <w:r w:rsidR="000103AF">
        <w:t>ill be interesting to see how any tension b</w:t>
      </w:r>
      <w:r w:rsidR="005414E1">
        <w:t>etween these opposing constructions</w:t>
      </w:r>
      <w:r w:rsidR="00FA0688">
        <w:t xml:space="preserve"> of</w:t>
      </w:r>
      <w:r w:rsidR="005414E1">
        <w:t xml:space="preserve"> the patient</w:t>
      </w:r>
      <w:r w:rsidR="00A72D9F">
        <w:t xml:space="preserve"> </w:t>
      </w:r>
      <w:r w:rsidR="00EC14CB">
        <w:t>plays out in future</w:t>
      </w:r>
      <w:r w:rsidR="00131AAA">
        <w:t xml:space="preserve"> </w:t>
      </w:r>
      <w:r w:rsidR="00EC14CB">
        <w:t>cases.</w:t>
      </w:r>
      <w:r w:rsidR="00C50A5B">
        <w:t xml:space="preserve"> </w:t>
      </w:r>
    </w:p>
    <w:p w14:paraId="1D293272" w14:textId="77777777" w:rsidR="00245464" w:rsidRPr="008568BF" w:rsidRDefault="00245464" w:rsidP="00F8729F">
      <w:pPr>
        <w:spacing w:line="240" w:lineRule="auto"/>
      </w:pPr>
    </w:p>
    <w:sectPr w:rsidR="00245464" w:rsidRPr="008568BF" w:rsidSect="006C053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B94E" w14:textId="77777777" w:rsidR="002F7C20" w:rsidRDefault="002F7C20" w:rsidP="00C174EE">
      <w:pPr>
        <w:spacing w:line="240" w:lineRule="auto"/>
      </w:pPr>
      <w:r>
        <w:separator/>
      </w:r>
    </w:p>
  </w:endnote>
  <w:endnote w:type="continuationSeparator" w:id="0">
    <w:p w14:paraId="42B10164" w14:textId="77777777" w:rsidR="002F7C20" w:rsidRDefault="002F7C20" w:rsidP="00C17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A6C6" w14:textId="77777777" w:rsidR="009B5C01" w:rsidRDefault="009B5C01" w:rsidP="007336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9B7D2" w14:textId="77777777" w:rsidR="009B5C01" w:rsidRDefault="009B5C01" w:rsidP="009B5C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FA56" w14:textId="77777777" w:rsidR="009B5C01" w:rsidRDefault="009B5C01" w:rsidP="007336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29F">
      <w:rPr>
        <w:rStyle w:val="PageNumber"/>
        <w:noProof/>
      </w:rPr>
      <w:t>1</w:t>
    </w:r>
    <w:r>
      <w:rPr>
        <w:rStyle w:val="PageNumber"/>
      </w:rPr>
      <w:fldChar w:fldCharType="end"/>
    </w:r>
  </w:p>
  <w:p w14:paraId="74CE6AD0" w14:textId="77777777" w:rsidR="009B5C01" w:rsidRDefault="009B5C01" w:rsidP="009B5C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3868" w14:textId="77777777" w:rsidR="002F7C20" w:rsidRDefault="002F7C20" w:rsidP="00C174EE">
      <w:pPr>
        <w:spacing w:line="240" w:lineRule="auto"/>
      </w:pPr>
      <w:r>
        <w:separator/>
      </w:r>
    </w:p>
  </w:footnote>
  <w:footnote w:type="continuationSeparator" w:id="0">
    <w:p w14:paraId="404F30B1" w14:textId="77777777" w:rsidR="002F7C20" w:rsidRDefault="002F7C20" w:rsidP="00C174EE">
      <w:pPr>
        <w:spacing w:line="240" w:lineRule="auto"/>
      </w:pPr>
      <w:r>
        <w:continuationSeparator/>
      </w:r>
    </w:p>
  </w:footnote>
  <w:footnote w:id="1">
    <w:p w14:paraId="7B0599C5" w14:textId="77D0F8FD" w:rsidR="00EE23A9" w:rsidRDefault="00EE23A9">
      <w:pPr>
        <w:pStyle w:val="FootnoteText"/>
      </w:pPr>
      <w:r>
        <w:rPr>
          <w:rStyle w:val="FootnoteReference"/>
        </w:rPr>
        <w:footnoteRef/>
      </w:r>
      <w:r>
        <w:t xml:space="preserve"> [2015] UKSC 11</w:t>
      </w:r>
    </w:p>
  </w:footnote>
  <w:footnote w:id="2">
    <w:p w14:paraId="5DF4E807" w14:textId="6A2F8A0B" w:rsidR="003C3C01" w:rsidRDefault="003C3C01" w:rsidP="003C3C01">
      <w:pPr>
        <w:pStyle w:val="FootnoteText"/>
      </w:pPr>
      <w:r>
        <w:rPr>
          <w:rStyle w:val="FootnoteReference"/>
        </w:rPr>
        <w:footnoteRef/>
      </w:r>
      <w:r>
        <w:t xml:space="preserve"> </w:t>
      </w:r>
      <w:r w:rsidR="00EE23A9">
        <w:t>Ibid</w:t>
      </w:r>
      <w:r>
        <w:t xml:space="preserve"> at [81] per Lords Reed and Kerr.</w:t>
      </w:r>
    </w:p>
  </w:footnote>
  <w:footnote w:id="3">
    <w:p w14:paraId="2C0B8C9D" w14:textId="77777777" w:rsidR="0054001E" w:rsidRDefault="0054001E">
      <w:pPr>
        <w:pStyle w:val="FootnoteText"/>
      </w:pPr>
      <w:r>
        <w:rPr>
          <w:rStyle w:val="FootnoteReference"/>
        </w:rPr>
        <w:footnoteRef/>
      </w:r>
      <w:r>
        <w:t xml:space="preserve"> </w:t>
      </w:r>
      <w:r w:rsidRPr="003414E7">
        <w:t>[2018] UKSC 50</w:t>
      </w:r>
      <w:r>
        <w:t>.</w:t>
      </w:r>
    </w:p>
  </w:footnote>
  <w:footnote w:id="4">
    <w:p w14:paraId="521E3707" w14:textId="77777777" w:rsidR="0054001E" w:rsidRDefault="0054001E">
      <w:pPr>
        <w:pStyle w:val="FootnoteText"/>
      </w:pPr>
      <w:r>
        <w:rPr>
          <w:rStyle w:val="FootnoteReference"/>
        </w:rPr>
        <w:footnoteRef/>
      </w:r>
      <w:r>
        <w:t xml:space="preserve"> </w:t>
      </w:r>
      <w:r w:rsidRPr="00E540C9">
        <w:rPr>
          <w:bCs/>
        </w:rPr>
        <w:t>[2015] EWHC 2301</w:t>
      </w:r>
      <w:r>
        <w:rPr>
          <w:bCs/>
        </w:rPr>
        <w:t>.</w:t>
      </w:r>
    </w:p>
  </w:footnote>
  <w:footnote w:id="5">
    <w:p w14:paraId="6C31F922" w14:textId="77777777" w:rsidR="0054001E" w:rsidRDefault="0054001E">
      <w:pPr>
        <w:pStyle w:val="FootnoteText"/>
      </w:pPr>
      <w:r>
        <w:rPr>
          <w:rStyle w:val="FootnoteReference"/>
        </w:rPr>
        <w:footnoteRef/>
      </w:r>
      <w:r w:rsidR="00420DB0">
        <w:t xml:space="preserve"> </w:t>
      </w:r>
      <w:r w:rsidR="00420DB0" w:rsidRPr="00420DB0">
        <w:t>[</w:t>
      </w:r>
      <w:r w:rsidR="00222944" w:rsidRPr="00222944">
        <w:t xml:space="preserve">2017] EWCA </w:t>
      </w:r>
      <w:proofErr w:type="spellStart"/>
      <w:r w:rsidR="00222944" w:rsidRPr="00222944">
        <w:t>Civ</w:t>
      </w:r>
      <w:proofErr w:type="spellEnd"/>
      <w:r w:rsidR="00222944" w:rsidRPr="00222944">
        <w:t xml:space="preserve"> 151</w:t>
      </w:r>
      <w:r w:rsidR="00420DB0">
        <w:t>.</w:t>
      </w:r>
    </w:p>
  </w:footnote>
  <w:footnote w:id="6">
    <w:p w14:paraId="542F7547" w14:textId="77777777" w:rsidR="0054001E" w:rsidRDefault="0054001E" w:rsidP="008A23C7">
      <w:pPr>
        <w:pStyle w:val="FootnoteText"/>
      </w:pPr>
      <w:r>
        <w:rPr>
          <w:rStyle w:val="FootnoteReference"/>
        </w:rPr>
        <w:footnoteRef/>
      </w:r>
      <w:r>
        <w:t xml:space="preserve"> </w:t>
      </w:r>
      <w:r w:rsidR="00420DB0">
        <w:t xml:space="preserve">James </w:t>
      </w:r>
      <w:r>
        <w:t>Plunkett</w:t>
      </w:r>
      <w:r w:rsidR="00420DB0">
        <w:t xml:space="preserve">, </w:t>
      </w:r>
      <w:r w:rsidR="00420DB0">
        <w:rPr>
          <w:i/>
        </w:rPr>
        <w:t>The Duty of Care in Negligence</w:t>
      </w:r>
      <w:r w:rsidR="00420DB0">
        <w:t xml:space="preserve"> (Hart, 2018) </w:t>
      </w:r>
      <w:r>
        <w:t>148</w:t>
      </w:r>
      <w:r w:rsidR="00420DB0">
        <w:t>.</w:t>
      </w:r>
    </w:p>
  </w:footnote>
  <w:footnote w:id="7">
    <w:p w14:paraId="3BB2FC3C" w14:textId="77777777" w:rsidR="0054001E" w:rsidRDefault="0054001E">
      <w:pPr>
        <w:pStyle w:val="FootnoteText"/>
      </w:pPr>
      <w:r>
        <w:rPr>
          <w:rStyle w:val="FootnoteReference"/>
        </w:rPr>
        <w:footnoteRef/>
      </w:r>
      <w:r w:rsidR="00420DB0">
        <w:t xml:space="preserve"> Ibid.,</w:t>
      </w:r>
      <w:r>
        <w:t xml:space="preserve"> 1.</w:t>
      </w:r>
    </w:p>
  </w:footnote>
  <w:footnote w:id="8">
    <w:p w14:paraId="5C8362A9" w14:textId="77777777" w:rsidR="00604458" w:rsidRDefault="00604458">
      <w:pPr>
        <w:pStyle w:val="FootnoteText"/>
      </w:pPr>
      <w:r>
        <w:rPr>
          <w:rStyle w:val="FootnoteReference"/>
        </w:rPr>
        <w:footnoteRef/>
      </w:r>
      <w:r>
        <w:t xml:space="preserve"> </w:t>
      </w:r>
      <w:r w:rsidRPr="00604458">
        <w:t>[1990] 2 AC 605</w:t>
      </w:r>
      <w:r>
        <w:t>.</w:t>
      </w:r>
    </w:p>
  </w:footnote>
  <w:footnote w:id="9">
    <w:p w14:paraId="6596BE46" w14:textId="77777777" w:rsidR="0054001E" w:rsidRDefault="0054001E">
      <w:pPr>
        <w:pStyle w:val="FootnoteText"/>
      </w:pPr>
      <w:r>
        <w:rPr>
          <w:rStyle w:val="FootnoteReference"/>
        </w:rPr>
        <w:footnoteRef/>
      </w:r>
      <w:r>
        <w:t xml:space="preserve"> </w:t>
      </w:r>
      <w:r w:rsidR="00604458">
        <w:rPr>
          <w:i/>
        </w:rPr>
        <w:t>Caparo</w:t>
      </w:r>
      <w:r w:rsidR="00604458">
        <w:t>,</w:t>
      </w:r>
      <w:r w:rsidR="00604458">
        <w:rPr>
          <w:i/>
        </w:rPr>
        <w:t xml:space="preserve"> </w:t>
      </w:r>
      <w:r>
        <w:t>617.</w:t>
      </w:r>
    </w:p>
  </w:footnote>
  <w:footnote w:id="10">
    <w:p w14:paraId="630E7325" w14:textId="77777777" w:rsidR="0054001E" w:rsidRDefault="0054001E">
      <w:pPr>
        <w:pStyle w:val="FootnoteText"/>
      </w:pPr>
      <w:r>
        <w:rPr>
          <w:rStyle w:val="FootnoteReference"/>
        </w:rPr>
        <w:footnoteRef/>
      </w:r>
      <w:r>
        <w:t xml:space="preserve"> </w:t>
      </w:r>
      <w:r w:rsidR="00604458">
        <w:rPr>
          <w:i/>
        </w:rPr>
        <w:t>Caparo</w:t>
      </w:r>
      <w:r w:rsidR="00604458">
        <w:t>,</w:t>
      </w:r>
      <w:r w:rsidR="00604458">
        <w:rPr>
          <w:i/>
        </w:rPr>
        <w:t xml:space="preserve"> </w:t>
      </w:r>
      <w:r w:rsidR="00604458">
        <w:t>633</w:t>
      </w:r>
      <w:r>
        <w:t>.</w:t>
      </w:r>
    </w:p>
  </w:footnote>
  <w:footnote w:id="11">
    <w:p w14:paraId="3C644BFA" w14:textId="46B1FE31" w:rsidR="00976356" w:rsidRDefault="00976356">
      <w:pPr>
        <w:pStyle w:val="FootnoteText"/>
      </w:pPr>
      <w:r>
        <w:rPr>
          <w:rStyle w:val="FootnoteReference"/>
        </w:rPr>
        <w:footnoteRef/>
      </w:r>
      <w:r>
        <w:t xml:space="preserve"> </w:t>
      </w:r>
      <w:r w:rsidR="00FB25A9">
        <w:t>Jonathan Morgan, ‘The Rise and Fall of the General Duty of Care’ (2006) 22 PN 206</w:t>
      </w:r>
      <w:r>
        <w:t>, 209.</w:t>
      </w:r>
    </w:p>
  </w:footnote>
  <w:footnote w:id="12">
    <w:p w14:paraId="6EC3811F" w14:textId="77777777" w:rsidR="00E90729" w:rsidRDefault="00E90729">
      <w:pPr>
        <w:pStyle w:val="FootnoteText"/>
      </w:pPr>
      <w:r>
        <w:rPr>
          <w:rStyle w:val="FootnoteReference"/>
        </w:rPr>
        <w:footnoteRef/>
      </w:r>
      <w:r>
        <w:t xml:space="preserve"> </w:t>
      </w:r>
      <w:r w:rsidR="00604458" w:rsidRPr="00604458">
        <w:t>[2015] UKSC 2</w:t>
      </w:r>
      <w:r w:rsidR="00976356">
        <w:t xml:space="preserve"> at [106].</w:t>
      </w:r>
    </w:p>
  </w:footnote>
  <w:footnote w:id="13">
    <w:p w14:paraId="5D3D7127" w14:textId="77777777" w:rsidR="00E90729" w:rsidRPr="00976356" w:rsidRDefault="00E90729">
      <w:pPr>
        <w:pStyle w:val="FootnoteText"/>
        <w:rPr>
          <w:b/>
          <w:bCs/>
        </w:rPr>
      </w:pPr>
      <w:r>
        <w:rPr>
          <w:rStyle w:val="FootnoteReference"/>
        </w:rPr>
        <w:footnoteRef/>
      </w:r>
      <w:r>
        <w:t xml:space="preserve"> </w:t>
      </w:r>
      <w:r w:rsidR="00976356" w:rsidRPr="00976356">
        <w:rPr>
          <w:bCs/>
        </w:rPr>
        <w:t>[2018] UKSC 4</w:t>
      </w:r>
      <w:r w:rsidR="00976356">
        <w:rPr>
          <w:bCs/>
        </w:rPr>
        <w:t xml:space="preserve"> at [21].</w:t>
      </w:r>
    </w:p>
  </w:footnote>
  <w:footnote w:id="14">
    <w:p w14:paraId="192ADEC7" w14:textId="77777777" w:rsidR="0054001E" w:rsidRDefault="0054001E">
      <w:pPr>
        <w:pStyle w:val="FootnoteText"/>
      </w:pPr>
      <w:r>
        <w:rPr>
          <w:rStyle w:val="FootnoteReference"/>
        </w:rPr>
        <w:footnoteRef/>
      </w:r>
      <w:r w:rsidR="00976356">
        <w:t xml:space="preserve"> </w:t>
      </w:r>
      <w:r w:rsidR="00976356">
        <w:rPr>
          <w:i/>
        </w:rPr>
        <w:t>Darnley</w:t>
      </w:r>
      <w:r w:rsidR="00976356">
        <w:t xml:space="preserve"> at</w:t>
      </w:r>
      <w:r>
        <w:t xml:space="preserve"> [15].</w:t>
      </w:r>
    </w:p>
  </w:footnote>
  <w:footnote w:id="15">
    <w:p w14:paraId="1CB14A91" w14:textId="77777777" w:rsidR="00B0741A" w:rsidRDefault="00B0741A">
      <w:pPr>
        <w:pStyle w:val="FootnoteText"/>
      </w:pPr>
      <w:r>
        <w:rPr>
          <w:rStyle w:val="FootnoteReference"/>
        </w:rPr>
        <w:footnoteRef/>
      </w:r>
      <w:r>
        <w:t xml:space="preserve"> </w:t>
      </w:r>
      <w:r w:rsidR="00976356">
        <w:t>Ibid.</w:t>
      </w:r>
    </w:p>
  </w:footnote>
  <w:footnote w:id="16">
    <w:p w14:paraId="58866116" w14:textId="77777777" w:rsidR="0054001E" w:rsidRPr="00505D75" w:rsidRDefault="0054001E" w:rsidP="00505D75">
      <w:pPr>
        <w:pStyle w:val="FootnoteText"/>
      </w:pPr>
      <w:r>
        <w:rPr>
          <w:rStyle w:val="FootnoteReference"/>
        </w:rPr>
        <w:footnoteRef/>
      </w:r>
      <w:r>
        <w:t xml:space="preserve"> </w:t>
      </w:r>
      <w:r w:rsidR="00976356">
        <w:t>Craig Purshouse, ‘</w:t>
      </w:r>
      <w:r>
        <w:t>Arrested Development</w:t>
      </w:r>
      <w:r w:rsidR="00976356">
        <w:t xml:space="preserve">: Police Negligence and the </w:t>
      </w:r>
      <w:r w:rsidR="00976356">
        <w:rPr>
          <w:i/>
        </w:rPr>
        <w:t>Caparo</w:t>
      </w:r>
      <w:r w:rsidR="00976356">
        <w:t xml:space="preserve"> “Test” for Duty of Care’ (2016) 23 Torts Law Journal 1, 8. This </w:t>
      </w:r>
      <w:r w:rsidR="00266C0F">
        <w:t xml:space="preserve">view </w:t>
      </w:r>
      <w:r w:rsidR="00976356">
        <w:t xml:space="preserve">was reflected </w:t>
      </w:r>
      <w:r>
        <w:t xml:space="preserve">Lord Reed’s judgment in </w:t>
      </w:r>
      <w:r>
        <w:rPr>
          <w:i/>
        </w:rPr>
        <w:t>Robinson</w:t>
      </w:r>
      <w:r w:rsidR="00976356">
        <w:t xml:space="preserve"> at </w:t>
      </w:r>
      <w:r w:rsidR="00266C0F">
        <w:t>[29].</w:t>
      </w:r>
    </w:p>
  </w:footnote>
  <w:footnote w:id="17">
    <w:p w14:paraId="6AB8C1C8" w14:textId="77777777" w:rsidR="00266C0F" w:rsidRPr="00266C0F" w:rsidRDefault="00266C0F">
      <w:pPr>
        <w:pStyle w:val="FootnoteText"/>
      </w:pPr>
      <w:r>
        <w:rPr>
          <w:rStyle w:val="FootnoteReference"/>
        </w:rPr>
        <w:footnoteRef/>
      </w:r>
      <w:r>
        <w:t xml:space="preserve"> </w:t>
      </w:r>
      <w:r>
        <w:rPr>
          <w:i/>
        </w:rPr>
        <w:t>Darnley</w:t>
      </w:r>
      <w:r>
        <w:t xml:space="preserve"> at [16].</w:t>
      </w:r>
    </w:p>
  </w:footnote>
  <w:footnote w:id="18">
    <w:p w14:paraId="4CEF1230" w14:textId="77777777" w:rsidR="00266C0F" w:rsidRDefault="00266C0F">
      <w:pPr>
        <w:pStyle w:val="FootnoteText"/>
      </w:pPr>
      <w:r>
        <w:rPr>
          <w:rStyle w:val="FootnoteReference"/>
        </w:rPr>
        <w:footnoteRef/>
      </w:r>
      <w:r>
        <w:t xml:space="preserve"> [1969] 1 QB</w:t>
      </w:r>
      <w:r w:rsidRPr="00266C0F">
        <w:t xml:space="preserve"> 428</w:t>
      </w:r>
      <w:r>
        <w:t>.</w:t>
      </w:r>
    </w:p>
  </w:footnote>
  <w:footnote w:id="19">
    <w:p w14:paraId="0A9990EF" w14:textId="77777777" w:rsidR="0054001E" w:rsidRDefault="0054001E">
      <w:pPr>
        <w:pStyle w:val="FootnoteText"/>
      </w:pPr>
      <w:r>
        <w:rPr>
          <w:rStyle w:val="FootnoteReference"/>
        </w:rPr>
        <w:footnoteRef/>
      </w:r>
      <w:r>
        <w:t xml:space="preserve"> </w:t>
      </w:r>
      <w:r w:rsidR="00266C0F">
        <w:rPr>
          <w:i/>
        </w:rPr>
        <w:t xml:space="preserve">Darnley </w:t>
      </w:r>
      <w:r w:rsidR="00266C0F">
        <w:t xml:space="preserve">at </w:t>
      </w:r>
      <w:r>
        <w:t>[16].</w:t>
      </w:r>
    </w:p>
  </w:footnote>
  <w:footnote w:id="20">
    <w:p w14:paraId="4059DDF7" w14:textId="77777777" w:rsidR="0054001E" w:rsidRDefault="0054001E">
      <w:pPr>
        <w:pStyle w:val="FootnoteText"/>
      </w:pPr>
      <w:r>
        <w:rPr>
          <w:rStyle w:val="FootnoteReference"/>
        </w:rPr>
        <w:footnoteRef/>
      </w:r>
      <w:r w:rsidR="00266C0F">
        <w:t xml:space="preserve"> Ibid.</w:t>
      </w:r>
    </w:p>
  </w:footnote>
  <w:footnote w:id="21">
    <w:p w14:paraId="52A52EF6" w14:textId="77777777" w:rsidR="0054001E" w:rsidRDefault="0054001E" w:rsidP="000072CD">
      <w:pPr>
        <w:pStyle w:val="FootnoteText"/>
      </w:pPr>
      <w:r>
        <w:rPr>
          <w:rStyle w:val="FootnoteReference"/>
        </w:rPr>
        <w:footnoteRef/>
      </w:r>
      <w:r>
        <w:t xml:space="preserve"> </w:t>
      </w:r>
      <w:r w:rsidR="00266C0F">
        <w:t>Ibid.</w:t>
      </w:r>
    </w:p>
  </w:footnote>
  <w:footnote w:id="22">
    <w:p w14:paraId="2607723A" w14:textId="77777777" w:rsidR="0054001E" w:rsidRDefault="0054001E">
      <w:pPr>
        <w:pStyle w:val="FootnoteText"/>
      </w:pPr>
      <w:r>
        <w:rPr>
          <w:rStyle w:val="FootnoteReference"/>
        </w:rPr>
        <w:footnoteRef/>
      </w:r>
      <w:r>
        <w:t xml:space="preserve"> </w:t>
      </w:r>
      <w:r w:rsidR="00266C0F">
        <w:t xml:space="preserve">Ibid, at </w:t>
      </w:r>
      <w:r>
        <w:t>[19]</w:t>
      </w:r>
    </w:p>
  </w:footnote>
  <w:footnote w:id="23">
    <w:p w14:paraId="06B5F344" w14:textId="77777777" w:rsidR="0054001E" w:rsidRDefault="0054001E">
      <w:pPr>
        <w:pStyle w:val="FootnoteText"/>
      </w:pPr>
      <w:r>
        <w:rPr>
          <w:rStyle w:val="FootnoteReference"/>
        </w:rPr>
        <w:footnoteRef/>
      </w:r>
      <w:r>
        <w:t xml:space="preserve"> </w:t>
      </w:r>
      <w:r w:rsidR="00266C0F">
        <w:t xml:space="preserve">Ibid, at </w:t>
      </w:r>
      <w:r>
        <w:t>[17].</w:t>
      </w:r>
    </w:p>
  </w:footnote>
  <w:footnote w:id="24">
    <w:p w14:paraId="0D42232A" w14:textId="7D17594B" w:rsidR="00710D48" w:rsidRDefault="00710D48" w:rsidP="00710D48">
      <w:pPr>
        <w:pStyle w:val="FootnoteText"/>
      </w:pPr>
      <w:r>
        <w:rPr>
          <w:rStyle w:val="FootnoteReference"/>
        </w:rPr>
        <w:footnoteRef/>
      </w:r>
      <w:r>
        <w:t xml:space="preserve"> </w:t>
      </w:r>
      <w:proofErr w:type="spellStart"/>
      <w:r>
        <w:t>Mustill</w:t>
      </w:r>
      <w:proofErr w:type="spellEnd"/>
      <w:r>
        <w:t xml:space="preserve"> LJ in </w:t>
      </w:r>
      <w:r>
        <w:rPr>
          <w:i/>
        </w:rPr>
        <w:t>Wilsher v Essex AHA</w:t>
      </w:r>
      <w:r>
        <w:t xml:space="preserve"> [1988] AC</w:t>
      </w:r>
      <w:r w:rsidRPr="00266C0F">
        <w:t xml:space="preserve"> 1074</w:t>
      </w:r>
      <w:r w:rsidR="00FD4A0B">
        <w:t>, 747 suggested that such a duty might exist.</w:t>
      </w:r>
    </w:p>
  </w:footnote>
  <w:footnote w:id="25">
    <w:p w14:paraId="3D4BC339" w14:textId="77777777" w:rsidR="0054001E" w:rsidRPr="00E97178" w:rsidRDefault="0054001E">
      <w:pPr>
        <w:pStyle w:val="FootnoteText"/>
      </w:pPr>
      <w:r>
        <w:rPr>
          <w:rStyle w:val="FootnoteReference"/>
        </w:rPr>
        <w:footnoteRef/>
      </w:r>
      <w:r>
        <w:t xml:space="preserve"> See </w:t>
      </w:r>
      <w:r>
        <w:rPr>
          <w:i/>
        </w:rPr>
        <w:t xml:space="preserve">Bull v Devon AHA </w:t>
      </w:r>
      <w:r w:rsidRPr="001D4039">
        <w:t>[1993] 4 Med. L.R. 117</w:t>
      </w:r>
      <w:r w:rsidR="003F7D71">
        <w:t>.</w:t>
      </w:r>
    </w:p>
  </w:footnote>
  <w:footnote w:id="26">
    <w:p w14:paraId="28387DCE" w14:textId="77777777" w:rsidR="00E90729" w:rsidRDefault="00E90729">
      <w:pPr>
        <w:pStyle w:val="FootnoteText"/>
      </w:pPr>
      <w:r>
        <w:rPr>
          <w:rStyle w:val="FootnoteReference"/>
        </w:rPr>
        <w:footnoteRef/>
      </w:r>
      <w:r>
        <w:t xml:space="preserve"> </w:t>
      </w:r>
      <w:r w:rsidR="009E0C8F" w:rsidRPr="009E0C8F">
        <w:t>[1951] 2 KB 343</w:t>
      </w:r>
      <w:r w:rsidR="009E0C8F">
        <w:t>, 260.</w:t>
      </w:r>
    </w:p>
  </w:footnote>
  <w:footnote w:id="27">
    <w:p w14:paraId="1A3F0CC6" w14:textId="77777777" w:rsidR="00596A21" w:rsidRDefault="00596A21" w:rsidP="00596A21">
      <w:pPr>
        <w:pStyle w:val="FootnoteText"/>
      </w:pPr>
      <w:r>
        <w:rPr>
          <w:rStyle w:val="FootnoteReference"/>
        </w:rPr>
        <w:footnoteRef/>
      </w:r>
      <w:r>
        <w:t xml:space="preserve"> </w:t>
      </w:r>
      <w:r w:rsidRPr="003F7D71">
        <w:t>[2013] UKSC 66</w:t>
      </w:r>
      <w:r>
        <w:t xml:space="preserve"> at [25].</w:t>
      </w:r>
    </w:p>
  </w:footnote>
  <w:footnote w:id="28">
    <w:p w14:paraId="7FD9BF99" w14:textId="06BCDB20" w:rsidR="00827F51" w:rsidRDefault="00827F51">
      <w:pPr>
        <w:pStyle w:val="FootnoteText"/>
      </w:pPr>
      <w:r>
        <w:rPr>
          <w:rStyle w:val="FootnoteReference"/>
        </w:rPr>
        <w:footnoteRef/>
      </w:r>
      <w:r>
        <w:t xml:space="preserve"> </w:t>
      </w:r>
      <w:r w:rsidR="00FB25A9">
        <w:t xml:space="preserve">For very compelling criticisms of the decision see Paula </w:t>
      </w:r>
      <w:proofErr w:type="spellStart"/>
      <w:r w:rsidR="00FB25A9">
        <w:t>Gilike</w:t>
      </w:r>
      <w:r w:rsidR="00FB25A9" w:rsidRPr="00407831">
        <w:t>r</w:t>
      </w:r>
      <w:proofErr w:type="spellEnd"/>
      <w:r w:rsidR="00FB25A9" w:rsidRPr="00407831">
        <w:t>, ‘</w:t>
      </w:r>
      <w:r w:rsidR="00FB25A9" w:rsidRPr="00407831">
        <w:rPr>
          <w:bCs/>
        </w:rPr>
        <w:t xml:space="preserve">Non-delegable duties and institutional liability for the negligence of hospital staff: fair, just and reasonable?’ </w:t>
      </w:r>
      <w:r w:rsidR="00FB25A9">
        <w:rPr>
          <w:bCs/>
        </w:rPr>
        <w:t>(2017) 33 PN 109, 119-120 and</w:t>
      </w:r>
      <w:r w:rsidR="00FB25A9" w:rsidRPr="00407831">
        <w:t xml:space="preserve"> </w:t>
      </w:r>
      <w:r w:rsidR="00FB25A9" w:rsidRPr="00521715">
        <w:t xml:space="preserve">Christine </w:t>
      </w:r>
      <w:proofErr w:type="spellStart"/>
      <w:r w:rsidR="00FB25A9" w:rsidRPr="00521715">
        <w:t>Beuermann</w:t>
      </w:r>
      <w:proofErr w:type="spellEnd"/>
      <w:r w:rsidR="00FB25A9">
        <w:t>, ‘Do Hospitals Owe a So-Called ‘Non-Delegable’ Duty of Care to Their Patients?’ (2018) 26 Med L Rev 1, 5-6.</w:t>
      </w:r>
    </w:p>
  </w:footnote>
  <w:footnote w:id="29">
    <w:p w14:paraId="5F984F36" w14:textId="77777777" w:rsidR="0054001E" w:rsidRDefault="0054001E" w:rsidP="00B63384">
      <w:pPr>
        <w:pStyle w:val="FootnoteText"/>
      </w:pPr>
      <w:r>
        <w:rPr>
          <w:rStyle w:val="FootnoteReference"/>
        </w:rPr>
        <w:footnoteRef/>
      </w:r>
      <w:r>
        <w:t xml:space="preserve"> </w:t>
      </w:r>
      <w:r w:rsidR="009E0C8F">
        <w:t xml:space="preserve">James Goudkamp, </w:t>
      </w:r>
      <w:r w:rsidR="00673D21">
        <w:t>‘Breach o</w:t>
      </w:r>
      <w:r w:rsidR="00673D21" w:rsidRPr="00673D21">
        <w:t>f Duty: A Di</w:t>
      </w:r>
      <w:r w:rsidR="00673D21">
        <w:t>sappearing Element of the Action i</w:t>
      </w:r>
      <w:r w:rsidR="00673D21" w:rsidRPr="00673D21">
        <w:t>n Negligence?</w:t>
      </w:r>
      <w:r w:rsidR="00673D21">
        <w:t>’ (2017) 76 CLJ 480, 482.</w:t>
      </w:r>
    </w:p>
  </w:footnote>
  <w:footnote w:id="30">
    <w:p w14:paraId="7123A38E" w14:textId="77777777" w:rsidR="005014DF" w:rsidRDefault="005014DF">
      <w:pPr>
        <w:pStyle w:val="FootnoteText"/>
      </w:pPr>
      <w:r>
        <w:rPr>
          <w:rStyle w:val="FootnoteReference"/>
        </w:rPr>
        <w:footnoteRef/>
      </w:r>
      <w:r>
        <w:t xml:space="preserve"> [2001] QB 36.</w:t>
      </w:r>
    </w:p>
  </w:footnote>
  <w:footnote w:id="31">
    <w:p w14:paraId="7F466FB9" w14:textId="77777777" w:rsidR="0054001E" w:rsidRDefault="0054001E" w:rsidP="008D05A3">
      <w:pPr>
        <w:pStyle w:val="FootnoteText"/>
      </w:pPr>
      <w:r>
        <w:rPr>
          <w:rStyle w:val="FootnoteReference"/>
        </w:rPr>
        <w:footnoteRef/>
      </w:r>
      <w:r>
        <w:t xml:space="preserve"> Donal Nolan, ‘Deconstructing the Duty of Care’ (2013) 129 LQR 559, 579.</w:t>
      </w:r>
    </w:p>
  </w:footnote>
  <w:footnote w:id="32">
    <w:p w14:paraId="4C391733" w14:textId="77777777" w:rsidR="0054001E" w:rsidRDefault="0054001E" w:rsidP="008D05A3">
      <w:pPr>
        <w:pStyle w:val="FootnoteText"/>
      </w:pPr>
      <w:r>
        <w:rPr>
          <w:rStyle w:val="FootnoteReference"/>
        </w:rPr>
        <w:footnoteRef/>
      </w:r>
      <w:r>
        <w:t xml:space="preserve"> Plunkett</w:t>
      </w:r>
      <w:r w:rsidR="00BC1C76">
        <w:t xml:space="preserve">, </w:t>
      </w:r>
      <w:r w:rsidR="00BC1C76">
        <w:rPr>
          <w:i/>
        </w:rPr>
        <w:t>Duty of Care</w:t>
      </w:r>
      <w:r w:rsidR="00BC1C76">
        <w:t>,</w:t>
      </w:r>
      <w:r>
        <w:t xml:space="preserve"> 123. See also David Howarth, ‘Negligence After </w:t>
      </w:r>
      <w:r w:rsidRPr="00753C7F">
        <w:rPr>
          <w:i/>
        </w:rPr>
        <w:t>Murphy</w:t>
      </w:r>
      <w:r>
        <w:t>: Time to Re-think’ (1991) 50 CLJ 58, 72.</w:t>
      </w:r>
    </w:p>
  </w:footnote>
  <w:footnote w:id="33">
    <w:p w14:paraId="453BD745" w14:textId="77777777" w:rsidR="00BC1C76" w:rsidRPr="00BC1C76" w:rsidRDefault="00BC1C76">
      <w:pPr>
        <w:pStyle w:val="FootnoteText"/>
      </w:pPr>
      <w:r>
        <w:rPr>
          <w:rStyle w:val="FootnoteReference"/>
        </w:rPr>
        <w:footnoteRef/>
      </w:r>
      <w:r>
        <w:t xml:space="preserve"> </w:t>
      </w:r>
      <w:r>
        <w:rPr>
          <w:i/>
        </w:rPr>
        <w:t>Darnley</w:t>
      </w:r>
      <w:r>
        <w:t xml:space="preserve"> at [21].</w:t>
      </w:r>
    </w:p>
  </w:footnote>
  <w:footnote w:id="34">
    <w:p w14:paraId="23BE4072" w14:textId="3CC03FD1" w:rsidR="0054001E" w:rsidRDefault="0054001E">
      <w:pPr>
        <w:pStyle w:val="FootnoteText"/>
      </w:pPr>
      <w:r>
        <w:rPr>
          <w:rStyle w:val="FootnoteReference"/>
        </w:rPr>
        <w:footnoteRef/>
      </w:r>
      <w:r>
        <w:t xml:space="preserve"> Goudkamp</w:t>
      </w:r>
      <w:r w:rsidR="00BC1C76">
        <w:t xml:space="preserve">, </w:t>
      </w:r>
      <w:r w:rsidR="00EE23A9">
        <w:t>above n 29</w:t>
      </w:r>
      <w:r w:rsidR="00BC1C76">
        <w:t>.</w:t>
      </w:r>
    </w:p>
  </w:footnote>
  <w:footnote w:id="35">
    <w:p w14:paraId="54BB08BD" w14:textId="77777777" w:rsidR="00BC1C76" w:rsidRDefault="00BC1C76">
      <w:pPr>
        <w:pStyle w:val="FootnoteText"/>
      </w:pPr>
      <w:r>
        <w:rPr>
          <w:rStyle w:val="FootnoteReference"/>
        </w:rPr>
        <w:footnoteRef/>
      </w:r>
      <w:r>
        <w:t xml:space="preserve"> </w:t>
      </w:r>
      <w:r w:rsidR="0049644B">
        <w:rPr>
          <w:i/>
        </w:rPr>
        <w:t>Blyth</w:t>
      </w:r>
      <w:r w:rsidRPr="008C3338">
        <w:rPr>
          <w:i/>
        </w:rPr>
        <w:t xml:space="preserve"> v Birmingham Waterworks Co. Ltd</w:t>
      </w:r>
      <w:r>
        <w:t xml:space="preserve"> (1865) 11 Ex 781, 784 per Baron Alderson.</w:t>
      </w:r>
    </w:p>
  </w:footnote>
  <w:footnote w:id="36">
    <w:p w14:paraId="264B24C3" w14:textId="77777777" w:rsidR="0054001E" w:rsidRDefault="0054001E" w:rsidP="001A28E7">
      <w:pPr>
        <w:pStyle w:val="FootnoteText"/>
      </w:pPr>
      <w:r>
        <w:rPr>
          <w:rStyle w:val="FootnoteReference"/>
        </w:rPr>
        <w:footnoteRef/>
      </w:r>
      <w:r w:rsidR="00BC1C76">
        <w:t xml:space="preserve"> At [25].</w:t>
      </w:r>
    </w:p>
  </w:footnote>
  <w:footnote w:id="37">
    <w:p w14:paraId="2C6082E2" w14:textId="77777777" w:rsidR="00B561EB" w:rsidRDefault="00B561EB" w:rsidP="00B561EB">
      <w:pPr>
        <w:pStyle w:val="FootnoteText"/>
      </w:pPr>
      <w:r>
        <w:rPr>
          <w:rStyle w:val="FootnoteReference"/>
        </w:rPr>
        <w:footnoteRef/>
      </w:r>
      <w:r>
        <w:t xml:space="preserve"> </w:t>
      </w:r>
      <w:r>
        <w:rPr>
          <w:i/>
        </w:rPr>
        <w:t xml:space="preserve">Whitehouse v Jordan </w:t>
      </w:r>
      <w:r>
        <w:t>[1981] 1 WLR 246, 263 per Lord Fraser.</w:t>
      </w:r>
    </w:p>
  </w:footnote>
  <w:footnote w:id="38">
    <w:p w14:paraId="1A19E7A6" w14:textId="104A517A" w:rsidR="0054001E" w:rsidRDefault="0054001E" w:rsidP="00113D6B">
      <w:pPr>
        <w:spacing w:line="240" w:lineRule="auto"/>
      </w:pPr>
      <w:r>
        <w:rPr>
          <w:rStyle w:val="FootnoteReference"/>
        </w:rPr>
        <w:footnoteRef/>
      </w:r>
      <w:r>
        <w:t xml:space="preserve"> </w:t>
      </w:r>
      <w:r w:rsidR="00BC1C76">
        <w:rPr>
          <w:i/>
        </w:rPr>
        <w:t>Wilsher</w:t>
      </w:r>
      <w:r w:rsidR="00BC1C76">
        <w:t>, 749 per</w:t>
      </w:r>
      <w:r w:rsidRPr="00A6187B">
        <w:t xml:space="preserve"> </w:t>
      </w:r>
      <w:proofErr w:type="spellStart"/>
      <w:r w:rsidRPr="00A6187B">
        <w:t>Mustill</w:t>
      </w:r>
      <w:proofErr w:type="spellEnd"/>
      <w:r w:rsidRPr="00A6187B">
        <w:t xml:space="preserve"> LJ</w:t>
      </w:r>
      <w:r>
        <w:t xml:space="preserve">. See also </w:t>
      </w:r>
      <w:r w:rsidRPr="00BC1C76">
        <w:rPr>
          <w:bCs/>
          <w:i/>
          <w:iCs/>
        </w:rPr>
        <w:t xml:space="preserve">Ng Chun </w:t>
      </w:r>
      <w:proofErr w:type="spellStart"/>
      <w:r w:rsidRPr="00BC1C76">
        <w:rPr>
          <w:bCs/>
          <w:i/>
          <w:iCs/>
        </w:rPr>
        <w:t>Pui</w:t>
      </w:r>
      <w:proofErr w:type="spellEnd"/>
      <w:r w:rsidRPr="00BC1C76">
        <w:rPr>
          <w:bCs/>
          <w:i/>
          <w:iCs/>
        </w:rPr>
        <w:t xml:space="preserve"> v Lee </w:t>
      </w:r>
      <w:proofErr w:type="spellStart"/>
      <w:r w:rsidRPr="00BC1C76">
        <w:rPr>
          <w:bCs/>
          <w:i/>
          <w:iCs/>
        </w:rPr>
        <w:t>Chuen</w:t>
      </w:r>
      <w:proofErr w:type="spellEnd"/>
      <w:r w:rsidRPr="00BC1C76">
        <w:rPr>
          <w:bCs/>
          <w:i/>
          <w:iCs/>
        </w:rPr>
        <w:t xml:space="preserve"> Tat </w:t>
      </w:r>
      <w:r w:rsidR="00BC1C76">
        <w:rPr>
          <w:bCs/>
          <w:iCs/>
        </w:rPr>
        <w:t>[1988] RTR</w:t>
      </w:r>
      <w:r>
        <w:rPr>
          <w:bCs/>
          <w:iCs/>
        </w:rPr>
        <w:t xml:space="preserve"> 298, </w:t>
      </w:r>
      <w:r>
        <w:t>302 per Lord Griffiths</w:t>
      </w:r>
      <w:r w:rsidR="00113D6B">
        <w:t xml:space="preserve"> on emergencies. </w:t>
      </w:r>
    </w:p>
  </w:footnote>
  <w:footnote w:id="39">
    <w:p w14:paraId="6ED89E19" w14:textId="77777777" w:rsidR="00647FA1" w:rsidRDefault="00647FA1">
      <w:pPr>
        <w:pStyle w:val="FootnoteText"/>
      </w:pPr>
      <w:r>
        <w:rPr>
          <w:rStyle w:val="FootnoteReference"/>
        </w:rPr>
        <w:footnoteRef/>
      </w:r>
      <w:r>
        <w:t xml:space="preserve"> At [36] per Jackson LJ.</w:t>
      </w:r>
    </w:p>
  </w:footnote>
  <w:footnote w:id="40">
    <w:p w14:paraId="07361A46" w14:textId="31A8E947" w:rsidR="0054001E" w:rsidRPr="00BC1C76" w:rsidRDefault="0054001E">
      <w:pPr>
        <w:pStyle w:val="FootnoteText"/>
      </w:pPr>
      <w:r>
        <w:rPr>
          <w:rStyle w:val="FootnoteReference"/>
        </w:rPr>
        <w:footnoteRef/>
      </w:r>
      <w:r>
        <w:t xml:space="preserve"> </w:t>
      </w:r>
      <w:r w:rsidR="00BC1C76">
        <w:rPr>
          <w:i/>
        </w:rPr>
        <w:t>Wilsher</w:t>
      </w:r>
      <w:r w:rsidR="00591A4B">
        <w:t xml:space="preserve">, 749 per </w:t>
      </w:r>
      <w:proofErr w:type="spellStart"/>
      <w:r w:rsidR="00591A4B">
        <w:t>Mustill</w:t>
      </w:r>
      <w:proofErr w:type="spellEnd"/>
      <w:r w:rsidR="00591A4B">
        <w:t xml:space="preserve"> LJ</w:t>
      </w:r>
      <w:r w:rsidR="00BC1C76">
        <w:t>.</w:t>
      </w:r>
    </w:p>
  </w:footnote>
  <w:footnote w:id="41">
    <w:p w14:paraId="419AA634" w14:textId="77777777" w:rsidR="00BC1C76" w:rsidRPr="00BC1C76" w:rsidRDefault="00BC1C76">
      <w:pPr>
        <w:pStyle w:val="FootnoteText"/>
      </w:pPr>
      <w:r>
        <w:rPr>
          <w:rStyle w:val="FootnoteReference"/>
        </w:rPr>
        <w:footnoteRef/>
      </w:r>
      <w:r>
        <w:t xml:space="preserve"> </w:t>
      </w:r>
      <w:proofErr w:type="spellStart"/>
      <w:r>
        <w:rPr>
          <w:i/>
        </w:rPr>
        <w:t>Darnely</w:t>
      </w:r>
      <w:proofErr w:type="spellEnd"/>
      <w:r>
        <w:t xml:space="preserve"> at [26].</w:t>
      </w:r>
    </w:p>
  </w:footnote>
  <w:footnote w:id="42">
    <w:p w14:paraId="09B5F039" w14:textId="50AB391F" w:rsidR="0054001E" w:rsidRDefault="0054001E" w:rsidP="000A1DD3">
      <w:pPr>
        <w:pStyle w:val="FootnoteText"/>
      </w:pPr>
      <w:r>
        <w:rPr>
          <w:rStyle w:val="FootnoteReference"/>
        </w:rPr>
        <w:footnoteRef/>
      </w:r>
      <w:r w:rsidR="00490C16">
        <w:t xml:space="preserve"> Ibid</w:t>
      </w:r>
      <w:r w:rsidR="00A27162">
        <w:t xml:space="preserve"> at [24].</w:t>
      </w:r>
    </w:p>
  </w:footnote>
  <w:footnote w:id="43">
    <w:p w14:paraId="23CD730E" w14:textId="4E15AEC6" w:rsidR="0054001E" w:rsidRDefault="0054001E" w:rsidP="000A1DD3">
      <w:pPr>
        <w:pStyle w:val="FootnoteText"/>
      </w:pPr>
      <w:r>
        <w:rPr>
          <w:rStyle w:val="FootnoteReference"/>
        </w:rPr>
        <w:footnoteRef/>
      </w:r>
      <w:r w:rsidR="00A27162">
        <w:t xml:space="preserve"> Ibid at</w:t>
      </w:r>
      <w:r w:rsidR="00C82E54">
        <w:t xml:space="preserve"> [26].</w:t>
      </w:r>
    </w:p>
  </w:footnote>
  <w:footnote w:id="44">
    <w:p w14:paraId="1BC3AA58" w14:textId="77777777" w:rsidR="0054001E" w:rsidRPr="00791C56" w:rsidRDefault="0054001E" w:rsidP="000C09FD">
      <w:pPr>
        <w:pStyle w:val="FootnoteText"/>
        <w:rPr>
          <w:bCs/>
        </w:rPr>
      </w:pPr>
      <w:r>
        <w:rPr>
          <w:rStyle w:val="FootnoteReference"/>
        </w:rPr>
        <w:footnoteRef/>
      </w:r>
      <w:r w:rsidR="00C82E54">
        <w:t xml:space="preserve"> </w:t>
      </w:r>
      <w:r w:rsidR="0049644B">
        <w:rPr>
          <w:bCs/>
          <w:i/>
          <w:iCs/>
        </w:rPr>
        <w:t>Bolam v</w:t>
      </w:r>
      <w:r w:rsidR="00C82E54" w:rsidRPr="00B86F39">
        <w:rPr>
          <w:bCs/>
          <w:i/>
          <w:iCs/>
        </w:rPr>
        <w:t xml:space="preserve"> </w:t>
      </w:r>
      <w:proofErr w:type="spellStart"/>
      <w:r w:rsidR="00C82E54" w:rsidRPr="00B86F39">
        <w:rPr>
          <w:bCs/>
          <w:i/>
          <w:iCs/>
        </w:rPr>
        <w:t>Friern</w:t>
      </w:r>
      <w:proofErr w:type="spellEnd"/>
      <w:r w:rsidR="00C82E54" w:rsidRPr="00B86F39">
        <w:rPr>
          <w:bCs/>
          <w:i/>
          <w:iCs/>
        </w:rPr>
        <w:t xml:space="preserve"> Hospital Management Committee</w:t>
      </w:r>
      <w:r w:rsidR="0049644B">
        <w:rPr>
          <w:bCs/>
          <w:i/>
          <w:iCs/>
        </w:rPr>
        <w:t xml:space="preserve"> </w:t>
      </w:r>
      <w:r w:rsidR="00C82E54">
        <w:rPr>
          <w:bCs/>
          <w:iCs/>
        </w:rPr>
        <w:t>[1957] 1 WLR</w:t>
      </w:r>
      <w:r w:rsidR="00C82E54" w:rsidRPr="00B86F39">
        <w:rPr>
          <w:bCs/>
          <w:iCs/>
        </w:rPr>
        <w:t xml:space="preserve"> 582</w:t>
      </w:r>
      <w:r w:rsidR="00C82E54">
        <w:rPr>
          <w:bCs/>
          <w:iCs/>
        </w:rPr>
        <w:t>. See</w:t>
      </w:r>
      <w:r>
        <w:t xml:space="preserve"> </w:t>
      </w:r>
      <w:proofErr w:type="spellStart"/>
      <w:r w:rsidRPr="007A2919">
        <w:rPr>
          <w:bCs/>
          <w:i/>
        </w:rPr>
        <w:t>Crammond</w:t>
      </w:r>
      <w:proofErr w:type="spellEnd"/>
      <w:r w:rsidRPr="007A2919">
        <w:rPr>
          <w:bCs/>
          <w:i/>
        </w:rPr>
        <w:t xml:space="preserve"> v Medway NHS Foundation Trust</w:t>
      </w:r>
      <w:r>
        <w:rPr>
          <w:bCs/>
        </w:rPr>
        <w:t xml:space="preserve"> </w:t>
      </w:r>
      <w:r w:rsidRPr="007A2919">
        <w:rPr>
          <w:bCs/>
        </w:rPr>
        <w:t>[2015] EWHC 3540</w:t>
      </w:r>
      <w:r w:rsidR="00C82E54">
        <w:rPr>
          <w:bCs/>
        </w:rPr>
        <w:t xml:space="preserve"> for its application to nurses.</w:t>
      </w:r>
      <w:r w:rsidR="00A253E2">
        <w:rPr>
          <w:bCs/>
        </w:rPr>
        <w:t xml:space="preserve"> It is doubtful that a hospital receptionist would be classed as a professional but </w:t>
      </w:r>
      <w:r w:rsidR="00AD7E5D">
        <w:rPr>
          <w:bCs/>
        </w:rPr>
        <w:t xml:space="preserve">the </w:t>
      </w:r>
      <w:r w:rsidR="00AD7E5D">
        <w:rPr>
          <w:bCs/>
          <w:i/>
        </w:rPr>
        <w:t>Bolam</w:t>
      </w:r>
      <w:r w:rsidR="00791C56">
        <w:rPr>
          <w:bCs/>
        </w:rPr>
        <w:t xml:space="preserve"> test has sometimes been used outside of the traditional professions. See </w:t>
      </w:r>
      <w:r w:rsidR="00791C56">
        <w:rPr>
          <w:bCs/>
          <w:i/>
        </w:rPr>
        <w:t>Bowen v National Trust</w:t>
      </w:r>
      <w:r w:rsidR="00791C56">
        <w:rPr>
          <w:bCs/>
        </w:rPr>
        <w:t xml:space="preserve"> </w:t>
      </w:r>
      <w:r w:rsidR="00791C56" w:rsidRPr="00791C56">
        <w:rPr>
          <w:bCs/>
        </w:rPr>
        <w:t>[2011] EWHC 1992</w:t>
      </w:r>
      <w:r w:rsidR="00791C56">
        <w:rPr>
          <w:bCs/>
        </w:rPr>
        <w:t>.</w:t>
      </w:r>
    </w:p>
  </w:footnote>
  <w:footnote w:id="45">
    <w:p w14:paraId="626277B2" w14:textId="55B90F0F" w:rsidR="0054001E" w:rsidRPr="003709A6" w:rsidRDefault="0054001E">
      <w:pPr>
        <w:pStyle w:val="FootnoteText"/>
        <w:rPr>
          <w:bCs/>
        </w:rPr>
      </w:pPr>
      <w:r>
        <w:rPr>
          <w:rStyle w:val="FootnoteReference"/>
        </w:rPr>
        <w:footnoteRef/>
      </w:r>
      <w:r>
        <w:t xml:space="preserve"> </w:t>
      </w:r>
      <w:r w:rsidRPr="00D366AC">
        <w:rPr>
          <w:bCs/>
          <w:i/>
        </w:rPr>
        <w:t>JD Williams &amp; Co Ltd v Michael Hyde &amp; Associates Ltd</w:t>
      </w:r>
      <w:r>
        <w:rPr>
          <w:bCs/>
        </w:rPr>
        <w:t xml:space="preserve"> </w:t>
      </w:r>
      <w:r w:rsidRPr="00D366AC">
        <w:rPr>
          <w:bCs/>
        </w:rPr>
        <w:t xml:space="preserve">[2000] EWCA </w:t>
      </w:r>
      <w:proofErr w:type="spellStart"/>
      <w:r w:rsidRPr="00D366AC">
        <w:rPr>
          <w:bCs/>
        </w:rPr>
        <w:t>Civ</w:t>
      </w:r>
      <w:proofErr w:type="spellEnd"/>
      <w:r w:rsidRPr="00D366AC">
        <w:rPr>
          <w:bCs/>
        </w:rPr>
        <w:t xml:space="preserve"> 211 at [62] per </w:t>
      </w:r>
      <w:proofErr w:type="spellStart"/>
      <w:r w:rsidRPr="00D366AC">
        <w:rPr>
          <w:bCs/>
        </w:rPr>
        <w:t>Sedley</w:t>
      </w:r>
      <w:proofErr w:type="spellEnd"/>
      <w:r w:rsidRPr="00D366AC">
        <w:rPr>
          <w:bCs/>
        </w:rPr>
        <w:t xml:space="preserve"> LJ </w:t>
      </w:r>
    </w:p>
  </w:footnote>
  <w:footnote w:id="46">
    <w:p w14:paraId="268B346D" w14:textId="76EABFCA" w:rsidR="003709A6" w:rsidRDefault="003709A6">
      <w:pPr>
        <w:pStyle w:val="FootnoteText"/>
      </w:pPr>
      <w:r>
        <w:rPr>
          <w:rStyle w:val="FootnoteReference"/>
        </w:rPr>
        <w:footnoteRef/>
      </w:r>
      <w:r>
        <w:t xml:space="preserve"> The Court of Appeal decision of </w:t>
      </w:r>
      <w:r w:rsidRPr="003709A6">
        <w:rPr>
          <w:bCs/>
          <w:i/>
        </w:rPr>
        <w:t>FB v Rana and Princess Alexandra NHS Trust</w:t>
      </w:r>
      <w:r w:rsidRPr="00E7141A">
        <w:rPr>
          <w:bCs/>
        </w:rPr>
        <w:t xml:space="preserve"> [2017] EWCA </w:t>
      </w:r>
      <w:proofErr w:type="spellStart"/>
      <w:r w:rsidRPr="00E7141A">
        <w:rPr>
          <w:bCs/>
        </w:rPr>
        <w:t>Civ</w:t>
      </w:r>
      <w:proofErr w:type="spellEnd"/>
      <w:r w:rsidRPr="00E7141A">
        <w:rPr>
          <w:bCs/>
        </w:rPr>
        <w:t xml:space="preserve"> 334</w:t>
      </w:r>
      <w:r>
        <w:rPr>
          <w:bCs/>
        </w:rPr>
        <w:t xml:space="preserve"> is arguably analogous. There, it was held that history-taking was a basic requirement of all doctors and did not require a different standard based on a doctor’s seniority.</w:t>
      </w:r>
    </w:p>
  </w:footnote>
  <w:footnote w:id="47">
    <w:p w14:paraId="7696DB0D" w14:textId="77777777" w:rsidR="0054001E" w:rsidRDefault="0054001E" w:rsidP="006D5C04">
      <w:pPr>
        <w:pStyle w:val="FootnoteText"/>
      </w:pPr>
      <w:r>
        <w:rPr>
          <w:rStyle w:val="FootnoteReference"/>
        </w:rPr>
        <w:footnoteRef/>
      </w:r>
      <w:r>
        <w:t xml:space="preserve"> Jane Stapleton, ‘Lords </w:t>
      </w:r>
      <w:proofErr w:type="spellStart"/>
      <w:r>
        <w:t>a’leaping</w:t>
      </w:r>
      <w:proofErr w:type="spellEnd"/>
      <w:r>
        <w:t xml:space="preserve"> evidentiary gaps’ (2002) 10 Torts Law Journal 1, 7.</w:t>
      </w:r>
    </w:p>
  </w:footnote>
  <w:footnote w:id="48">
    <w:p w14:paraId="145E7770" w14:textId="6EA345E9" w:rsidR="0054001E" w:rsidRDefault="0054001E" w:rsidP="006D5C04">
      <w:pPr>
        <w:pStyle w:val="FootnoteText"/>
      </w:pPr>
      <w:r>
        <w:rPr>
          <w:rStyle w:val="FootnoteReference"/>
        </w:rPr>
        <w:footnoteRef/>
      </w:r>
      <w:r>
        <w:t xml:space="preserve"> </w:t>
      </w:r>
      <w:r w:rsidR="00C82E54">
        <w:t>Ibid</w:t>
      </w:r>
      <w:r w:rsidR="005C451B">
        <w:t>,</w:t>
      </w:r>
      <w:r>
        <w:t xml:space="preserve"> 9.</w:t>
      </w:r>
    </w:p>
  </w:footnote>
  <w:footnote w:id="49">
    <w:p w14:paraId="0718C4F4" w14:textId="77777777" w:rsidR="0054001E" w:rsidRDefault="0054001E" w:rsidP="006D5C04">
      <w:pPr>
        <w:pStyle w:val="FootnoteText"/>
      </w:pPr>
      <w:r>
        <w:rPr>
          <w:rStyle w:val="FootnoteReference"/>
        </w:rPr>
        <w:footnoteRef/>
      </w:r>
      <w:r>
        <w:t xml:space="preserve"> Jane Stapleton, </w:t>
      </w:r>
      <w:proofErr w:type="spellStart"/>
      <w:r>
        <w:t>‘Cause</w:t>
      </w:r>
      <w:proofErr w:type="spellEnd"/>
      <w:r>
        <w:t>-in-fact and the scope of liability for consequence’ (2003) 119 LQR 388, 412.</w:t>
      </w:r>
    </w:p>
  </w:footnote>
  <w:footnote w:id="50">
    <w:p w14:paraId="5C488022" w14:textId="77777777" w:rsidR="0054001E" w:rsidRDefault="0054001E" w:rsidP="006D5C04">
      <w:pPr>
        <w:pStyle w:val="FootnoteText"/>
      </w:pPr>
      <w:r>
        <w:rPr>
          <w:rStyle w:val="FootnoteReference"/>
        </w:rPr>
        <w:footnoteRef/>
      </w:r>
      <w:r>
        <w:t xml:space="preserve"> </w:t>
      </w:r>
      <w:r w:rsidR="00C8092B">
        <w:t>Ibid,</w:t>
      </w:r>
      <w:r>
        <w:t xml:space="preserve"> 411</w:t>
      </w:r>
    </w:p>
  </w:footnote>
  <w:footnote w:id="51">
    <w:p w14:paraId="64687ABB" w14:textId="77777777" w:rsidR="0054001E" w:rsidRDefault="0054001E">
      <w:pPr>
        <w:pStyle w:val="FootnoteText"/>
      </w:pPr>
      <w:r>
        <w:rPr>
          <w:rStyle w:val="FootnoteReference"/>
        </w:rPr>
        <w:footnoteRef/>
      </w:r>
      <w:r w:rsidR="00C8092B">
        <w:t xml:space="preserve"> </w:t>
      </w:r>
      <w:proofErr w:type="spellStart"/>
      <w:r w:rsidR="00C8092B" w:rsidRPr="00D965DB">
        <w:rPr>
          <w:bCs/>
          <w:i/>
        </w:rPr>
        <w:t>McKew</w:t>
      </w:r>
      <w:proofErr w:type="spellEnd"/>
      <w:r w:rsidR="00C8092B" w:rsidRPr="00D965DB">
        <w:rPr>
          <w:bCs/>
          <w:i/>
        </w:rPr>
        <w:t xml:space="preserve"> v Holland, </w:t>
      </w:r>
      <w:proofErr w:type="spellStart"/>
      <w:r w:rsidR="00C8092B" w:rsidRPr="00D965DB">
        <w:rPr>
          <w:bCs/>
          <w:i/>
        </w:rPr>
        <w:t>Hannen</w:t>
      </w:r>
      <w:proofErr w:type="spellEnd"/>
      <w:r w:rsidR="00C8092B" w:rsidRPr="00D965DB">
        <w:rPr>
          <w:bCs/>
          <w:i/>
        </w:rPr>
        <w:t xml:space="preserve">, </w:t>
      </w:r>
      <w:proofErr w:type="spellStart"/>
      <w:r w:rsidR="00C8092B" w:rsidRPr="00D965DB">
        <w:rPr>
          <w:bCs/>
          <w:i/>
        </w:rPr>
        <w:t>Cubitts</w:t>
      </w:r>
      <w:proofErr w:type="spellEnd"/>
      <w:r w:rsidR="00C8092B" w:rsidRPr="00D965DB">
        <w:rPr>
          <w:bCs/>
          <w:i/>
        </w:rPr>
        <w:t xml:space="preserve"> (Scotland) Ltd</w:t>
      </w:r>
      <w:r w:rsidR="00C8092B">
        <w:t xml:space="preserve"> </w:t>
      </w:r>
      <w:r w:rsidR="00C8092B">
        <w:rPr>
          <w:bCs/>
        </w:rPr>
        <w:t>[</w:t>
      </w:r>
      <w:r w:rsidR="00C8092B" w:rsidRPr="00D965DB">
        <w:rPr>
          <w:bCs/>
        </w:rPr>
        <w:t>1970</w:t>
      </w:r>
      <w:r w:rsidR="00C8092B">
        <w:rPr>
          <w:bCs/>
        </w:rPr>
        <w:t xml:space="preserve">] SC </w:t>
      </w:r>
      <w:r w:rsidR="00C8092B" w:rsidRPr="00D965DB">
        <w:rPr>
          <w:bCs/>
        </w:rPr>
        <w:t>20</w:t>
      </w:r>
      <w:r w:rsidR="00C8092B">
        <w:rPr>
          <w:bCs/>
        </w:rPr>
        <w:t xml:space="preserve">, </w:t>
      </w:r>
      <w:r>
        <w:t>25 per Lord Reid.</w:t>
      </w:r>
    </w:p>
  </w:footnote>
  <w:footnote w:id="52">
    <w:p w14:paraId="173944BB" w14:textId="77777777" w:rsidR="0054001E" w:rsidRDefault="0054001E" w:rsidP="006D5C04">
      <w:pPr>
        <w:pStyle w:val="FootnoteText"/>
      </w:pPr>
      <w:r>
        <w:rPr>
          <w:rStyle w:val="FootnoteReference"/>
        </w:rPr>
        <w:footnoteRef/>
      </w:r>
      <w:r w:rsidR="00C8092B">
        <w:rPr>
          <w:i/>
        </w:rPr>
        <w:t xml:space="preserve"> Darnley </w:t>
      </w:r>
      <w:r w:rsidR="00C8092B" w:rsidRPr="00C8092B">
        <w:t>a</w:t>
      </w:r>
      <w:r w:rsidRPr="00C8092B">
        <w:t>t</w:t>
      </w:r>
      <w:r>
        <w:t xml:space="preserve"> [29]</w:t>
      </w:r>
    </w:p>
  </w:footnote>
  <w:footnote w:id="53">
    <w:p w14:paraId="0B0E89E3" w14:textId="77777777" w:rsidR="0054001E" w:rsidRDefault="0054001E" w:rsidP="006D5C04">
      <w:pPr>
        <w:pStyle w:val="FootnoteText"/>
      </w:pPr>
      <w:r>
        <w:rPr>
          <w:rStyle w:val="FootnoteReference"/>
        </w:rPr>
        <w:footnoteRef/>
      </w:r>
      <w:r>
        <w:t xml:space="preserve"> </w:t>
      </w:r>
      <w:r w:rsidR="00C8092B">
        <w:t>Ibid.</w:t>
      </w:r>
    </w:p>
  </w:footnote>
  <w:footnote w:id="54">
    <w:p w14:paraId="47CC75AC" w14:textId="77777777" w:rsidR="0054001E" w:rsidRDefault="0054001E">
      <w:pPr>
        <w:pStyle w:val="FootnoteText"/>
      </w:pPr>
      <w:r>
        <w:rPr>
          <w:rStyle w:val="FootnoteReference"/>
        </w:rPr>
        <w:footnoteRef/>
      </w:r>
      <w:r>
        <w:t xml:space="preserve"> </w:t>
      </w:r>
      <w:r w:rsidR="00C8092B" w:rsidRPr="00C8092B">
        <w:rPr>
          <w:i/>
        </w:rPr>
        <w:t xml:space="preserve">Overseas Tankship (UK) Ltd v </w:t>
      </w:r>
      <w:proofErr w:type="spellStart"/>
      <w:r w:rsidR="00C8092B" w:rsidRPr="00C8092B">
        <w:rPr>
          <w:i/>
        </w:rPr>
        <w:t>Morts</w:t>
      </w:r>
      <w:proofErr w:type="spellEnd"/>
      <w:r w:rsidR="00C8092B" w:rsidRPr="00C8092B">
        <w:rPr>
          <w:i/>
        </w:rPr>
        <w:t xml:space="preserve"> Dock &amp; Engineering Co (The Wagon Mound) </w:t>
      </w:r>
      <w:r w:rsidR="00C8092B">
        <w:t>[1961] AC 388.</w:t>
      </w:r>
    </w:p>
  </w:footnote>
  <w:footnote w:id="55">
    <w:p w14:paraId="09CB27C5" w14:textId="77777777" w:rsidR="0054001E" w:rsidRDefault="0054001E">
      <w:pPr>
        <w:pStyle w:val="FootnoteText"/>
      </w:pPr>
      <w:r>
        <w:rPr>
          <w:rStyle w:val="FootnoteReference"/>
        </w:rPr>
        <w:footnoteRef/>
      </w:r>
      <w:r>
        <w:t xml:space="preserve"> </w:t>
      </w:r>
      <w:proofErr w:type="spellStart"/>
      <w:r w:rsidRPr="001C7FF0">
        <w:rPr>
          <w:i/>
        </w:rPr>
        <w:t>McKew</w:t>
      </w:r>
      <w:proofErr w:type="spellEnd"/>
      <w:r>
        <w:t>, 25 per Lord Reid.</w:t>
      </w:r>
    </w:p>
  </w:footnote>
  <w:footnote w:id="56">
    <w:p w14:paraId="51C173B4" w14:textId="77777777" w:rsidR="0054001E" w:rsidRDefault="0054001E" w:rsidP="000001F4">
      <w:pPr>
        <w:pStyle w:val="FootnoteText"/>
      </w:pPr>
      <w:r>
        <w:rPr>
          <w:rStyle w:val="FootnoteReference"/>
        </w:rPr>
        <w:footnoteRef/>
      </w:r>
      <w:r>
        <w:t xml:space="preserve"> </w:t>
      </w:r>
      <w:r w:rsidR="001C7FF0">
        <w:t>Ibid.</w:t>
      </w:r>
    </w:p>
  </w:footnote>
  <w:footnote w:id="57">
    <w:p w14:paraId="058090A5" w14:textId="77777777" w:rsidR="007B4D57" w:rsidRDefault="007B4D57">
      <w:pPr>
        <w:pStyle w:val="FootnoteText"/>
      </w:pPr>
      <w:r>
        <w:rPr>
          <w:rStyle w:val="FootnoteReference"/>
        </w:rPr>
        <w:footnoteRef/>
      </w:r>
      <w:r>
        <w:t xml:space="preserve"> [2000] 1 AC 360.</w:t>
      </w:r>
    </w:p>
  </w:footnote>
  <w:footnote w:id="58">
    <w:p w14:paraId="3039ABA9" w14:textId="77777777" w:rsidR="0054001E" w:rsidRPr="00C8092B" w:rsidRDefault="0054001E" w:rsidP="00850456">
      <w:pPr>
        <w:pStyle w:val="FootnoteText"/>
        <w:rPr>
          <w:iCs/>
        </w:rPr>
      </w:pPr>
      <w:r>
        <w:rPr>
          <w:rStyle w:val="FootnoteReference"/>
        </w:rPr>
        <w:footnoteRef/>
      </w:r>
      <w:r>
        <w:t xml:space="preserve"> </w:t>
      </w:r>
      <w:r w:rsidR="00C8092B" w:rsidRPr="00C8092B">
        <w:rPr>
          <w:iCs/>
        </w:rPr>
        <w:t>[2008] UKHL 13</w:t>
      </w:r>
      <w:r>
        <w:rPr>
          <w:iCs/>
        </w:rPr>
        <w:t xml:space="preserve"> at [17] per Lord Bingham</w:t>
      </w:r>
    </w:p>
  </w:footnote>
  <w:footnote w:id="59">
    <w:p w14:paraId="2F7B4232" w14:textId="77777777" w:rsidR="0054001E" w:rsidRDefault="0054001E" w:rsidP="00850456">
      <w:pPr>
        <w:pStyle w:val="FootnoteText"/>
      </w:pPr>
      <w:r>
        <w:rPr>
          <w:rStyle w:val="FootnoteReference"/>
        </w:rPr>
        <w:footnoteRef/>
      </w:r>
      <w:r>
        <w:t xml:space="preserve"> </w:t>
      </w:r>
      <w:r w:rsidR="00E70778">
        <w:rPr>
          <w:iCs/>
        </w:rPr>
        <w:t>Ibid at</w:t>
      </w:r>
      <w:r>
        <w:rPr>
          <w:iCs/>
        </w:rPr>
        <w:t xml:space="preserve"> [15] per Lord Bingham</w:t>
      </w:r>
    </w:p>
  </w:footnote>
  <w:footnote w:id="60">
    <w:p w14:paraId="06810F23" w14:textId="77777777" w:rsidR="00BD44BC" w:rsidRDefault="00BD44BC" w:rsidP="00BD44BC">
      <w:pPr>
        <w:pStyle w:val="FootnoteText"/>
      </w:pPr>
      <w:r>
        <w:rPr>
          <w:rStyle w:val="FootnoteReference"/>
        </w:rPr>
        <w:footnoteRef/>
      </w:r>
      <w:r>
        <w:t xml:space="preserve"> </w:t>
      </w:r>
      <w:r w:rsidRPr="00E70778">
        <w:t>Ibid</w:t>
      </w:r>
      <w:r>
        <w:t>.</w:t>
      </w:r>
    </w:p>
  </w:footnote>
  <w:footnote w:id="61">
    <w:p w14:paraId="78D446A2" w14:textId="77777777" w:rsidR="0054001E" w:rsidRDefault="0054001E" w:rsidP="004B2CB1">
      <w:pPr>
        <w:pStyle w:val="FootnoteText"/>
      </w:pPr>
      <w:r>
        <w:rPr>
          <w:rStyle w:val="FootnoteReference"/>
        </w:rPr>
        <w:footnoteRef/>
      </w:r>
      <w:r>
        <w:t xml:space="preserve"> </w:t>
      </w:r>
      <w:r w:rsidR="0049644B" w:rsidRPr="00C8092B">
        <w:t xml:space="preserve">[2009] EWCA </w:t>
      </w:r>
      <w:proofErr w:type="spellStart"/>
      <w:r w:rsidR="0049644B" w:rsidRPr="00C8092B">
        <w:t>Civ</w:t>
      </w:r>
      <w:proofErr w:type="spellEnd"/>
      <w:r w:rsidR="0049644B" w:rsidRPr="00C8092B">
        <w:t xml:space="preserve"> 1404</w:t>
      </w:r>
      <w:r w:rsidR="0049644B">
        <w:t xml:space="preserve"> </w:t>
      </w:r>
      <w:r w:rsidR="00E70778">
        <w:t>at [11]</w:t>
      </w:r>
      <w:r>
        <w:t>.</w:t>
      </w:r>
    </w:p>
  </w:footnote>
  <w:footnote w:id="62">
    <w:p w14:paraId="02A69D9B" w14:textId="77777777" w:rsidR="0054001E" w:rsidRDefault="0054001E" w:rsidP="004B2CB1">
      <w:pPr>
        <w:pStyle w:val="FootnoteText"/>
      </w:pPr>
      <w:r>
        <w:rPr>
          <w:rStyle w:val="FootnoteReference"/>
        </w:rPr>
        <w:footnoteRef/>
      </w:r>
      <w:r>
        <w:t xml:space="preserve"> </w:t>
      </w:r>
      <w:r w:rsidR="00222944">
        <w:t>Ibid at [15]</w:t>
      </w:r>
      <w:r>
        <w:t>.</w:t>
      </w:r>
    </w:p>
  </w:footnote>
  <w:footnote w:id="63">
    <w:p w14:paraId="4CF8F463" w14:textId="77777777" w:rsidR="0054001E" w:rsidRDefault="0054001E" w:rsidP="004B2CB1">
      <w:pPr>
        <w:pStyle w:val="FootnoteText"/>
      </w:pPr>
      <w:r>
        <w:rPr>
          <w:rStyle w:val="FootnoteReference"/>
        </w:rPr>
        <w:footnoteRef/>
      </w:r>
      <w:r>
        <w:t xml:space="preserve"> </w:t>
      </w:r>
      <w:r w:rsidR="00222944">
        <w:t>Ibid.</w:t>
      </w:r>
    </w:p>
  </w:footnote>
  <w:footnote w:id="64">
    <w:p w14:paraId="05C452D6" w14:textId="4DB453DF" w:rsidR="00DC3EC4" w:rsidRDefault="00DC3EC4" w:rsidP="00DC3EC4">
      <w:pPr>
        <w:pStyle w:val="FootnoteText"/>
      </w:pPr>
      <w:r>
        <w:rPr>
          <w:rStyle w:val="FootnoteReference"/>
        </w:rPr>
        <w:footnoteRef/>
      </w:r>
      <w:r>
        <w:t xml:space="preserve"> </w:t>
      </w:r>
      <w:r w:rsidR="00EE23A9" w:rsidRPr="00420DB0">
        <w:t>[</w:t>
      </w:r>
      <w:r w:rsidR="00EE23A9" w:rsidRPr="00222944">
        <w:t xml:space="preserve">2017] EWCA </w:t>
      </w:r>
      <w:proofErr w:type="spellStart"/>
      <w:r w:rsidR="00EE23A9" w:rsidRPr="00222944">
        <w:t>Civ</w:t>
      </w:r>
      <w:proofErr w:type="spellEnd"/>
      <w:r w:rsidR="00EE23A9" w:rsidRPr="00222944">
        <w:t xml:space="preserve"> 151</w:t>
      </w:r>
      <w:r w:rsidR="00EE23A9">
        <w:t xml:space="preserve"> </w:t>
      </w:r>
      <w:r>
        <w:t>at [31]</w:t>
      </w:r>
    </w:p>
  </w:footnote>
  <w:footnote w:id="65">
    <w:p w14:paraId="1FE4DBC2" w14:textId="6A9AF323" w:rsidR="006B2EB3" w:rsidRPr="00E64ACF" w:rsidRDefault="006B2EB3">
      <w:pPr>
        <w:pStyle w:val="FootnoteText"/>
        <w:rPr>
          <w:iCs/>
        </w:rPr>
      </w:pPr>
      <w:r>
        <w:rPr>
          <w:rStyle w:val="FootnoteReference"/>
        </w:rPr>
        <w:footnoteRef/>
      </w:r>
      <w:r>
        <w:t xml:space="preserve"> See also</w:t>
      </w:r>
      <w:r w:rsidR="000A27F4">
        <w:t xml:space="preserve"> </w:t>
      </w:r>
      <w:r w:rsidR="000A27F4" w:rsidRPr="000A27F4">
        <w:rPr>
          <w:i/>
          <w:iCs/>
        </w:rPr>
        <w:t>Wieland v Cyril Lord Carpets Ltd</w:t>
      </w:r>
      <w:r w:rsidR="000A27F4">
        <w:rPr>
          <w:iCs/>
        </w:rPr>
        <w:t xml:space="preserve"> </w:t>
      </w:r>
      <w:r w:rsidR="00E64ACF">
        <w:rPr>
          <w:iCs/>
        </w:rPr>
        <w:t>[1969] 3 All ER</w:t>
      </w:r>
      <w:r w:rsidR="00E64ACF" w:rsidRPr="00E64ACF">
        <w:rPr>
          <w:iCs/>
        </w:rPr>
        <w:t xml:space="preserve"> 1006</w:t>
      </w:r>
      <w:r w:rsidR="00E64ACF">
        <w:rPr>
          <w:iCs/>
        </w:rPr>
        <w:t xml:space="preserve">, which, like </w:t>
      </w:r>
      <w:proofErr w:type="spellStart"/>
      <w:r w:rsidR="00E64ACF">
        <w:rPr>
          <w:i/>
          <w:iCs/>
        </w:rPr>
        <w:t>McKew</w:t>
      </w:r>
      <w:proofErr w:type="spellEnd"/>
      <w:r w:rsidR="00E64ACF">
        <w:rPr>
          <w:iCs/>
        </w:rPr>
        <w:t xml:space="preserve"> also involved an injured claimant suffering further injuries after descending a staircase. In </w:t>
      </w:r>
      <w:r w:rsidR="00E64ACF">
        <w:rPr>
          <w:i/>
          <w:iCs/>
        </w:rPr>
        <w:t>Wieland</w:t>
      </w:r>
      <w:r w:rsidR="00E64ACF">
        <w:rPr>
          <w:iCs/>
        </w:rPr>
        <w:t>, though, the claimant had not acted unreasonably.</w:t>
      </w:r>
    </w:p>
  </w:footnote>
  <w:footnote w:id="66">
    <w:p w14:paraId="54BC5961" w14:textId="660225E0" w:rsidR="00045184" w:rsidRPr="00F15B2C" w:rsidRDefault="00045184">
      <w:pPr>
        <w:pStyle w:val="FootnoteText"/>
      </w:pPr>
      <w:r>
        <w:rPr>
          <w:rStyle w:val="FootnoteReference"/>
        </w:rPr>
        <w:footnoteRef/>
      </w:r>
      <w:r>
        <w:t xml:space="preserve"> </w:t>
      </w:r>
      <w:r w:rsidR="00F15B2C">
        <w:t xml:space="preserve">For example, in </w:t>
      </w:r>
      <w:r w:rsidR="00F15B2C" w:rsidRPr="00F15B2C">
        <w:rPr>
          <w:i/>
        </w:rPr>
        <w:t>McCauley v Karim and Croydon Health Services NHS Trust</w:t>
      </w:r>
      <w:r w:rsidR="00F15B2C" w:rsidRPr="00F15B2C">
        <w:t xml:space="preserve"> [2017] EWHC 1795</w:t>
      </w:r>
      <w:r w:rsidR="00F15B2C">
        <w:t xml:space="preserve">, the Court of Appeal decision in </w:t>
      </w:r>
      <w:r w:rsidR="00F15B2C">
        <w:rPr>
          <w:i/>
        </w:rPr>
        <w:t xml:space="preserve">Darnley </w:t>
      </w:r>
      <w:r w:rsidR="00F15B2C">
        <w:t>was distinguished. The claimant had left the (same!) hospital after a six hour wait in A&amp;E.</w:t>
      </w:r>
    </w:p>
  </w:footnote>
  <w:footnote w:id="67">
    <w:p w14:paraId="57AA9031" w14:textId="238CCDCB" w:rsidR="0054001E" w:rsidRDefault="0054001E" w:rsidP="00BC681B">
      <w:pPr>
        <w:pStyle w:val="FootnoteText"/>
      </w:pPr>
      <w:r>
        <w:rPr>
          <w:rStyle w:val="FootnoteReference"/>
        </w:rPr>
        <w:footnoteRef/>
      </w:r>
      <w:r>
        <w:t xml:space="preserve"> </w:t>
      </w:r>
      <w:r w:rsidR="00EE23A9" w:rsidRPr="00E540C9">
        <w:rPr>
          <w:bCs/>
        </w:rPr>
        <w:t>[2015] EWHC 2301</w:t>
      </w:r>
      <w:r w:rsidR="00EE23A9">
        <w:rPr>
          <w:bCs/>
        </w:rPr>
        <w:t xml:space="preserve"> </w:t>
      </w:r>
      <w:r w:rsidR="007B4D57">
        <w:t>at</w:t>
      </w:r>
      <w:r w:rsidR="00222944">
        <w:t xml:space="preserve"> </w:t>
      </w:r>
      <w:r>
        <w:t>[92]</w:t>
      </w:r>
    </w:p>
  </w:footnote>
  <w:footnote w:id="68">
    <w:p w14:paraId="456A8756" w14:textId="77777777" w:rsidR="0054001E" w:rsidRDefault="0054001E" w:rsidP="00FC1E69">
      <w:pPr>
        <w:pStyle w:val="FootnoteText"/>
      </w:pPr>
      <w:r>
        <w:rPr>
          <w:rStyle w:val="FootnoteReference"/>
        </w:rPr>
        <w:footnoteRef/>
      </w:r>
      <w:r>
        <w:t xml:space="preserve"> </w:t>
      </w:r>
      <w:r w:rsidRPr="007B4D57">
        <w:rPr>
          <w:i/>
        </w:rPr>
        <w:t>Glasgow Corp</w:t>
      </w:r>
      <w:r w:rsidR="007B4D57" w:rsidRPr="007B4D57">
        <w:rPr>
          <w:i/>
        </w:rPr>
        <w:t xml:space="preserve"> v Muir</w:t>
      </w:r>
      <w:r w:rsidR="007B4D57">
        <w:t xml:space="preserve"> [1943] AC 448</w:t>
      </w:r>
      <w:r>
        <w:t>, 457 per Lord Macmillan.</w:t>
      </w:r>
    </w:p>
  </w:footnote>
  <w:footnote w:id="69">
    <w:p w14:paraId="22D6B86C" w14:textId="77777777" w:rsidR="000F2FAF" w:rsidRPr="000F2FAF" w:rsidRDefault="000F2FAF">
      <w:pPr>
        <w:pStyle w:val="FootnoteText"/>
      </w:pPr>
      <w:r>
        <w:rPr>
          <w:rStyle w:val="FootnoteReference"/>
        </w:rPr>
        <w:footnoteRef/>
      </w:r>
      <w:r>
        <w:t xml:space="preserve"> </w:t>
      </w:r>
      <w:r w:rsidRPr="007B4D57">
        <w:rPr>
          <w:i/>
        </w:rPr>
        <w:t>Reeves</w:t>
      </w:r>
      <w:r w:rsidR="006A7192">
        <w:t xml:space="preserve">, 367-368 per Lord Hoffmann. </w:t>
      </w:r>
    </w:p>
  </w:footnote>
  <w:footnote w:id="70">
    <w:p w14:paraId="7A048971" w14:textId="68AB1929" w:rsidR="008D4AE6" w:rsidRPr="008D4AE6" w:rsidRDefault="008D4AE6">
      <w:pPr>
        <w:pStyle w:val="FootnoteText"/>
      </w:pPr>
      <w:r>
        <w:rPr>
          <w:rStyle w:val="FootnoteReference"/>
        </w:rPr>
        <w:footnoteRef/>
      </w:r>
      <w:r>
        <w:t xml:space="preserve"> See </w:t>
      </w:r>
      <w:r>
        <w:rPr>
          <w:i/>
        </w:rPr>
        <w:t>Sayers v Harlow UDC</w:t>
      </w:r>
      <w:r>
        <w:t xml:space="preserve"> [1958] 1 WLR 623 for an example of a case where </w:t>
      </w:r>
      <w:r w:rsidR="00EA5681">
        <w:t>the claimant’s attempt to escape from a locked toilet did not break the chain but did involve contributory negligence.</w:t>
      </w:r>
    </w:p>
  </w:footnote>
  <w:footnote w:id="71">
    <w:p w14:paraId="6B5DB336" w14:textId="77777777" w:rsidR="00AC0D3D" w:rsidRDefault="00AC0D3D" w:rsidP="00AC0D3D">
      <w:pPr>
        <w:pStyle w:val="FootnoteText"/>
      </w:pPr>
      <w:r>
        <w:rPr>
          <w:rStyle w:val="FootnoteReference"/>
        </w:rPr>
        <w:footnoteRef/>
      </w:r>
      <w:r>
        <w:t xml:space="preserve"> [1965] AC</w:t>
      </w:r>
      <w:r w:rsidRPr="006A7192">
        <w:t xml:space="preserve"> 656</w:t>
      </w:r>
      <w:r>
        <w:t>, 671.</w:t>
      </w:r>
    </w:p>
  </w:footnote>
  <w:footnote w:id="72">
    <w:p w14:paraId="04B111A3" w14:textId="77777777" w:rsidR="008009FE" w:rsidRPr="008009FE" w:rsidRDefault="008009FE">
      <w:pPr>
        <w:pStyle w:val="FootnoteText"/>
        <w:rPr>
          <w:b/>
          <w:bCs/>
        </w:rPr>
      </w:pPr>
      <w:r>
        <w:rPr>
          <w:rStyle w:val="FootnoteReference"/>
        </w:rPr>
        <w:footnoteRef/>
      </w:r>
      <w:r>
        <w:t xml:space="preserve"> </w:t>
      </w:r>
      <w:r w:rsidR="00EB4C8A">
        <w:t>See</w:t>
      </w:r>
      <w:r w:rsidRPr="008009FE">
        <w:rPr>
          <w:b/>
          <w:bCs/>
        </w:rPr>
        <w:t> </w:t>
      </w:r>
      <w:proofErr w:type="spellStart"/>
      <w:r w:rsidR="00EB4C8A">
        <w:rPr>
          <w:bCs/>
          <w:i/>
        </w:rPr>
        <w:t>Letang</w:t>
      </w:r>
      <w:proofErr w:type="spellEnd"/>
      <w:r w:rsidRPr="008009FE">
        <w:rPr>
          <w:bCs/>
          <w:i/>
        </w:rPr>
        <w:t xml:space="preserve"> v Ottawa Electric Railway Company</w:t>
      </w:r>
      <w:r>
        <w:rPr>
          <w:bCs/>
        </w:rPr>
        <w:t xml:space="preserve"> [1926] AC</w:t>
      </w:r>
      <w:r w:rsidRPr="008009FE">
        <w:rPr>
          <w:bCs/>
        </w:rPr>
        <w:t xml:space="preserve"> 725</w:t>
      </w:r>
      <w:r>
        <w:rPr>
          <w:bCs/>
        </w:rPr>
        <w:t>.</w:t>
      </w:r>
      <w:r w:rsidRPr="008009FE">
        <w:rPr>
          <w:bCs/>
          <w:i/>
        </w:rPr>
        <w:t> </w:t>
      </w:r>
    </w:p>
  </w:footnote>
  <w:footnote w:id="73">
    <w:p w14:paraId="17FE46CD" w14:textId="77777777" w:rsidR="006542BF" w:rsidRDefault="006542BF" w:rsidP="006542BF">
      <w:pPr>
        <w:pStyle w:val="FootnoteText"/>
      </w:pPr>
      <w:r>
        <w:rPr>
          <w:rStyle w:val="FootnoteReference"/>
        </w:rPr>
        <w:footnoteRef/>
      </w:r>
      <w:r>
        <w:t xml:space="preserve"> Section 1(1) and 4, Law Reform (Contributory Negligence) Act 1945</w:t>
      </w:r>
    </w:p>
  </w:footnote>
  <w:footnote w:id="74">
    <w:p w14:paraId="10EEDCE0" w14:textId="77777777" w:rsidR="00065BD4" w:rsidRDefault="00065BD4" w:rsidP="00065BD4">
      <w:pPr>
        <w:pStyle w:val="FootnoteText"/>
      </w:pPr>
      <w:r>
        <w:rPr>
          <w:rStyle w:val="FootnoteReference"/>
        </w:rPr>
        <w:footnoteRef/>
      </w:r>
      <w:r>
        <w:t xml:space="preserve"> For a fuller discussion of the judicial conception of the patient in recent Supreme Court cases see Jonathan Montgomery, ‘Patient No Longer? What Next for Healthcare Law?’ (2017) 70 CLP 73.</w:t>
      </w:r>
    </w:p>
  </w:footnote>
  <w:footnote w:id="75">
    <w:p w14:paraId="204D3568" w14:textId="77777777" w:rsidR="00F304AD" w:rsidRDefault="00F304AD" w:rsidP="00F304AD">
      <w:pPr>
        <w:pStyle w:val="FootnoteText"/>
      </w:pPr>
      <w:r>
        <w:rPr>
          <w:rStyle w:val="FootnoteReference"/>
        </w:rPr>
        <w:footnoteRef/>
      </w:r>
      <w:r>
        <w:t xml:space="preserve"> Rosemary Hunter</w:t>
      </w:r>
      <w:r w:rsidR="0032658B">
        <w:t>, ‘Contesting the Dominant Paradigm: Feminist Critiques of Liberal Legalism’ in Margaret Davies and Vanessa Munro (</w:t>
      </w:r>
      <w:proofErr w:type="spellStart"/>
      <w:r w:rsidR="0032658B">
        <w:t>Eds</w:t>
      </w:r>
      <w:proofErr w:type="spellEnd"/>
      <w:r w:rsidR="0032658B">
        <w:t xml:space="preserve">) </w:t>
      </w:r>
      <w:r w:rsidR="0032658B">
        <w:rPr>
          <w:i/>
        </w:rPr>
        <w:t xml:space="preserve">The </w:t>
      </w:r>
      <w:proofErr w:type="spellStart"/>
      <w:r w:rsidR="0032658B">
        <w:rPr>
          <w:i/>
        </w:rPr>
        <w:t>Ashgate</w:t>
      </w:r>
      <w:proofErr w:type="spellEnd"/>
      <w:r w:rsidR="0032658B">
        <w:rPr>
          <w:i/>
        </w:rPr>
        <w:t xml:space="preserve"> </w:t>
      </w:r>
      <w:r w:rsidR="005F24D7">
        <w:rPr>
          <w:i/>
        </w:rPr>
        <w:t>Research Companion to Feminist L</w:t>
      </w:r>
      <w:r w:rsidR="0032658B">
        <w:rPr>
          <w:i/>
        </w:rPr>
        <w:t xml:space="preserve">egal Theory </w:t>
      </w:r>
      <w:r w:rsidR="0032658B">
        <w:t>(</w:t>
      </w:r>
      <w:proofErr w:type="spellStart"/>
      <w:r w:rsidR="0032658B">
        <w:t>Ashgate</w:t>
      </w:r>
      <w:proofErr w:type="spellEnd"/>
      <w:r w:rsidR="0032658B">
        <w:t>, 2013)</w:t>
      </w:r>
      <w:r>
        <w:t xml:space="preserve"> 13.</w:t>
      </w:r>
    </w:p>
  </w:footnote>
  <w:footnote w:id="76">
    <w:p w14:paraId="4D068D41" w14:textId="77777777" w:rsidR="00F33078" w:rsidRDefault="00F33078" w:rsidP="00F33078">
      <w:pPr>
        <w:pStyle w:val="FootnoteText"/>
      </w:pPr>
      <w:r>
        <w:rPr>
          <w:rStyle w:val="FootnoteReference"/>
        </w:rPr>
        <w:footnoteRef/>
      </w:r>
      <w:r>
        <w:t xml:space="preserve"> </w:t>
      </w:r>
      <w:r w:rsidR="0032658B">
        <w:rPr>
          <w:i/>
        </w:rPr>
        <w:t xml:space="preserve">Darnley </w:t>
      </w:r>
      <w:r w:rsidR="0032658B">
        <w:t xml:space="preserve">at </w:t>
      </w:r>
      <w:r>
        <w:t xml:space="preserve">[29]. </w:t>
      </w:r>
    </w:p>
  </w:footnote>
  <w:footnote w:id="77">
    <w:p w14:paraId="2246410D" w14:textId="565255F9" w:rsidR="002438E1" w:rsidRDefault="002438E1" w:rsidP="002438E1">
      <w:pPr>
        <w:pStyle w:val="FootnoteText"/>
      </w:pPr>
      <w:r>
        <w:rPr>
          <w:rStyle w:val="FootnoteReference"/>
        </w:rPr>
        <w:footnoteRef/>
      </w:r>
      <w:r>
        <w:t xml:space="preserve"> </w:t>
      </w:r>
      <w:r>
        <w:rPr>
          <w:i/>
        </w:rPr>
        <w:t xml:space="preserve">Woodland </w:t>
      </w:r>
      <w:r>
        <w:t xml:space="preserve">at [23]. See </w:t>
      </w:r>
      <w:proofErr w:type="spellStart"/>
      <w:r w:rsidRPr="00521715">
        <w:t>Beuermann</w:t>
      </w:r>
      <w:proofErr w:type="spellEnd"/>
      <w:r>
        <w:t>, abo</w:t>
      </w:r>
      <w:r w:rsidR="00EE23A9">
        <w:t>ve n 28</w:t>
      </w:r>
      <w:r>
        <w:t xml:space="preserve">, 11 and </w:t>
      </w:r>
      <w:proofErr w:type="spellStart"/>
      <w:r>
        <w:t>Gilike</w:t>
      </w:r>
      <w:r w:rsidRPr="00407831">
        <w:t>r</w:t>
      </w:r>
      <w:proofErr w:type="spellEnd"/>
      <w:r w:rsidRPr="00407831">
        <w:t xml:space="preserve">, </w:t>
      </w:r>
      <w:r w:rsidR="00EE23A9">
        <w:t>above n 28</w:t>
      </w:r>
      <w:r>
        <w:t>, 122 for further discussion.</w:t>
      </w:r>
    </w:p>
  </w:footnote>
  <w:footnote w:id="78">
    <w:p w14:paraId="7C3A5986" w14:textId="77777777" w:rsidR="002438E1" w:rsidRPr="009463EB" w:rsidRDefault="002438E1" w:rsidP="002438E1">
      <w:pPr>
        <w:spacing w:line="240" w:lineRule="auto"/>
        <w:jc w:val="left"/>
        <w:rPr>
          <w:rFonts w:eastAsia="Times New Roman" w:cs="Times New Roman"/>
          <w:lang w:eastAsia="en-GB"/>
        </w:rPr>
      </w:pPr>
      <w:r>
        <w:rPr>
          <w:rStyle w:val="FootnoteReference"/>
        </w:rPr>
        <w:footnoteRef/>
      </w:r>
      <w:r>
        <w:t xml:space="preserve"> Jane Stapleton, ‘The Golden Thread at the Heart of Tort Law’ (2003) 24 Australian Bar Review 135, 143. </w:t>
      </w:r>
      <w:r w:rsidRPr="00AF05F8">
        <w:t>See</w:t>
      </w:r>
      <w:r w:rsidRPr="00671FCD">
        <w:rPr>
          <w:i/>
        </w:rPr>
        <w:t xml:space="preserve"> </w:t>
      </w:r>
      <w:r>
        <w:t xml:space="preserve">also </w:t>
      </w:r>
      <w:r w:rsidRPr="00671FCD">
        <w:rPr>
          <w:rFonts w:eastAsia="Times New Roman" w:cs="Times New Roman"/>
          <w:i/>
          <w:lang w:eastAsia="en-GB"/>
        </w:rPr>
        <w:t>Ca</w:t>
      </w:r>
      <w:r>
        <w:rPr>
          <w:rFonts w:eastAsia="Times New Roman" w:cs="Times New Roman"/>
          <w:i/>
          <w:lang w:eastAsia="en-GB"/>
        </w:rPr>
        <w:t>ltex Refineries (</w:t>
      </w:r>
      <w:proofErr w:type="spellStart"/>
      <w:r>
        <w:rPr>
          <w:rFonts w:eastAsia="Times New Roman" w:cs="Times New Roman"/>
          <w:i/>
          <w:lang w:eastAsia="en-GB"/>
        </w:rPr>
        <w:t>Qld</w:t>
      </w:r>
      <w:proofErr w:type="spellEnd"/>
      <w:r>
        <w:rPr>
          <w:rFonts w:eastAsia="Times New Roman" w:cs="Times New Roman"/>
          <w:i/>
          <w:lang w:eastAsia="en-GB"/>
        </w:rPr>
        <w:t xml:space="preserve">) </w:t>
      </w:r>
      <w:proofErr w:type="spellStart"/>
      <w:r>
        <w:rPr>
          <w:rFonts w:eastAsia="Times New Roman" w:cs="Times New Roman"/>
          <w:i/>
          <w:lang w:eastAsia="en-GB"/>
        </w:rPr>
        <w:t>Ptd</w:t>
      </w:r>
      <w:proofErr w:type="spellEnd"/>
      <w:r>
        <w:rPr>
          <w:rFonts w:eastAsia="Times New Roman" w:cs="Times New Roman"/>
          <w:i/>
          <w:lang w:eastAsia="en-GB"/>
        </w:rPr>
        <w:t xml:space="preserve"> Ltd v</w:t>
      </w:r>
      <w:r w:rsidRPr="00671FCD">
        <w:rPr>
          <w:rFonts w:eastAsia="Times New Roman" w:cs="Times New Roman"/>
          <w:i/>
          <w:lang w:eastAsia="en-GB"/>
        </w:rPr>
        <w:t xml:space="preserve"> </w:t>
      </w:r>
      <w:proofErr w:type="spellStart"/>
      <w:r w:rsidRPr="00671FCD">
        <w:rPr>
          <w:rFonts w:eastAsia="Times New Roman" w:cs="Times New Roman"/>
          <w:i/>
          <w:lang w:eastAsia="en-GB"/>
        </w:rPr>
        <w:t>Strava</w:t>
      </w:r>
      <w:r w:rsidRPr="009463EB">
        <w:rPr>
          <w:rFonts w:eastAsia="Times New Roman" w:cs="Times New Roman"/>
          <w:lang w:eastAsia="en-GB"/>
        </w:rPr>
        <w:t>r</w:t>
      </w:r>
      <w:proofErr w:type="spellEnd"/>
      <w:r w:rsidRPr="009463EB">
        <w:rPr>
          <w:rFonts w:eastAsia="Times New Roman" w:cs="Times New Roman"/>
          <w:lang w:eastAsia="en-GB"/>
        </w:rPr>
        <w:t xml:space="preserve"> [2009] NSWCA 258</w:t>
      </w:r>
      <w:r>
        <w:rPr>
          <w:rFonts w:eastAsia="Times New Roman" w:cs="Times New Roman"/>
          <w:lang w:eastAsia="en-GB"/>
        </w:rPr>
        <w:t xml:space="preserve"> at [103] per </w:t>
      </w:r>
      <w:proofErr w:type="spellStart"/>
      <w:r>
        <w:rPr>
          <w:rFonts w:eastAsia="Times New Roman" w:cs="Times New Roman"/>
          <w:lang w:eastAsia="en-GB"/>
        </w:rPr>
        <w:t>Allsop</w:t>
      </w:r>
      <w:proofErr w:type="spellEnd"/>
      <w:r>
        <w:rPr>
          <w:rFonts w:eastAsia="Times New Roman" w:cs="Times New Roman"/>
          <w:lang w:eastAsia="en-GB"/>
        </w:rPr>
        <w:t xml:space="preserve"> P.</w:t>
      </w:r>
    </w:p>
  </w:footnote>
  <w:footnote w:id="79">
    <w:p w14:paraId="3979748E" w14:textId="77777777" w:rsidR="002E799E" w:rsidRDefault="002E799E" w:rsidP="002E799E">
      <w:pPr>
        <w:pStyle w:val="FootnoteText"/>
      </w:pPr>
      <w:r>
        <w:rPr>
          <w:rStyle w:val="FootnoteReference"/>
        </w:rPr>
        <w:footnoteRef/>
      </w:r>
      <w:r>
        <w:t xml:space="preserve"> Martha </w:t>
      </w:r>
      <w:proofErr w:type="spellStart"/>
      <w:r>
        <w:t>Fineman</w:t>
      </w:r>
      <w:proofErr w:type="spellEnd"/>
      <w:r>
        <w:t>, ‘The Vulnerable Subject: Anchoring Equality in the Human Condition’ (2008) 20 Yale Journal of Law &amp; Feminism 1, 11.</w:t>
      </w:r>
    </w:p>
  </w:footnote>
  <w:footnote w:id="80">
    <w:p w14:paraId="03793060" w14:textId="17D139DE" w:rsidR="002E799E" w:rsidRDefault="002E799E" w:rsidP="002E799E">
      <w:pPr>
        <w:pStyle w:val="FootnoteText"/>
      </w:pPr>
      <w:r>
        <w:rPr>
          <w:rStyle w:val="FootnoteReference"/>
        </w:rPr>
        <w:footnoteRef/>
      </w:r>
      <w:r>
        <w:t xml:space="preserve"> Ibid, 8.</w:t>
      </w:r>
      <w:r w:rsidR="002438E1">
        <w:t xml:space="preserve"> </w:t>
      </w:r>
      <w:r w:rsidR="00C81F30">
        <w:t xml:space="preserve">A point of departure between </w:t>
      </w:r>
      <w:proofErr w:type="spellStart"/>
      <w:r w:rsidR="00C81F30">
        <w:t>Fineman’s</w:t>
      </w:r>
      <w:proofErr w:type="spellEnd"/>
      <w:r w:rsidR="00C81F30">
        <w:t xml:space="preserve"> use of vulnerability and the way it is used by Lord Lloyd-Jones and Lord </w:t>
      </w:r>
      <w:proofErr w:type="spellStart"/>
      <w:r w:rsidR="00C81F30">
        <w:t>Sumption</w:t>
      </w:r>
      <w:proofErr w:type="spellEnd"/>
      <w:r w:rsidR="00C81F30">
        <w:t xml:space="preserve"> is that </w:t>
      </w:r>
      <w:proofErr w:type="spellStart"/>
      <w:r w:rsidR="00C81F30">
        <w:t>Fineman</w:t>
      </w:r>
      <w:proofErr w:type="spellEnd"/>
      <w:r w:rsidR="00C81F30">
        <w:t xml:space="preserve"> emphasises that it is a universal condition and so avoids reference to vulnerable groups or populations.   </w:t>
      </w:r>
    </w:p>
  </w:footnote>
  <w:footnote w:id="81">
    <w:p w14:paraId="5B417C9C" w14:textId="77777777" w:rsidR="002E799E" w:rsidRDefault="002E799E" w:rsidP="002E799E">
      <w:pPr>
        <w:pStyle w:val="FootnoteText"/>
      </w:pPr>
      <w:r>
        <w:rPr>
          <w:rStyle w:val="FootnoteReference"/>
        </w:rPr>
        <w:footnoteRef/>
      </w:r>
      <w:r>
        <w:t xml:space="preserve"> Ibid, 9</w:t>
      </w:r>
    </w:p>
  </w:footnote>
  <w:footnote w:id="82">
    <w:p w14:paraId="7A564D2D" w14:textId="77777777" w:rsidR="002E799E" w:rsidRDefault="002E799E" w:rsidP="002E799E">
      <w:pPr>
        <w:pStyle w:val="FootnoteText"/>
      </w:pPr>
      <w:r>
        <w:rPr>
          <w:rStyle w:val="FootnoteReference"/>
        </w:rPr>
        <w:footnoteRef/>
      </w:r>
      <w:r>
        <w:t xml:space="preserve"> Ibid, 12.</w:t>
      </w:r>
    </w:p>
  </w:footnote>
  <w:footnote w:id="83">
    <w:p w14:paraId="1D96E7BF" w14:textId="77777777" w:rsidR="009000A2" w:rsidRPr="009000A2" w:rsidRDefault="009000A2" w:rsidP="009000A2">
      <w:pPr>
        <w:spacing w:line="240" w:lineRule="auto"/>
        <w:jc w:val="left"/>
        <w:rPr>
          <w:rFonts w:eastAsia="Times New Roman" w:cs="Times New Roman"/>
          <w:lang w:eastAsia="en-GB"/>
        </w:rPr>
      </w:pPr>
      <w:r>
        <w:rPr>
          <w:rStyle w:val="FootnoteReference"/>
        </w:rPr>
        <w:footnoteRef/>
      </w:r>
      <w:r>
        <w:t xml:space="preserve"> Martha </w:t>
      </w:r>
      <w:proofErr w:type="spellStart"/>
      <w:r>
        <w:t>Fineman</w:t>
      </w:r>
      <w:proofErr w:type="spellEnd"/>
      <w:r>
        <w:t>, ‘</w:t>
      </w:r>
      <w:r w:rsidRPr="009000A2">
        <w:t>Vulnerability, Resilience, and LGBT Youth</w:t>
      </w:r>
      <w:r>
        <w:t xml:space="preserve">’ (2014) </w:t>
      </w:r>
      <w:r>
        <w:rPr>
          <w:rFonts w:eastAsia="Times New Roman" w:cs="Times New Roman"/>
          <w:lang w:eastAsia="en-GB"/>
        </w:rPr>
        <w:t xml:space="preserve">23 Temp Pol &amp; </w:t>
      </w:r>
      <w:proofErr w:type="spellStart"/>
      <w:r>
        <w:rPr>
          <w:rFonts w:eastAsia="Times New Roman" w:cs="Times New Roman"/>
          <w:lang w:eastAsia="en-GB"/>
        </w:rPr>
        <w:t>Civ</w:t>
      </w:r>
      <w:proofErr w:type="spellEnd"/>
      <w:r>
        <w:rPr>
          <w:rFonts w:eastAsia="Times New Roman" w:cs="Times New Roman"/>
          <w:lang w:eastAsia="en-GB"/>
        </w:rPr>
        <w:t xml:space="preserve"> </w:t>
      </w:r>
      <w:proofErr w:type="spellStart"/>
      <w:r>
        <w:rPr>
          <w:rFonts w:eastAsia="Times New Roman" w:cs="Times New Roman"/>
          <w:lang w:eastAsia="en-GB"/>
        </w:rPr>
        <w:t>Rts</w:t>
      </w:r>
      <w:proofErr w:type="spellEnd"/>
      <w:r>
        <w:rPr>
          <w:rFonts w:eastAsia="Times New Roman" w:cs="Times New Roman"/>
          <w:lang w:eastAsia="en-GB"/>
        </w:rPr>
        <w:t xml:space="preserve"> L Rev</w:t>
      </w:r>
      <w:r w:rsidRPr="009000A2">
        <w:rPr>
          <w:rFonts w:eastAsia="Times New Roman" w:cs="Times New Roman"/>
          <w:lang w:eastAsia="en-GB"/>
        </w:rPr>
        <w:t xml:space="preserve"> 307</w:t>
      </w:r>
      <w:r>
        <w:rPr>
          <w:rFonts w:eastAsia="Times New Roman" w:cs="Times New Roman"/>
          <w:lang w:eastAsia="en-GB"/>
        </w:rPr>
        <w:t>, 310.</w:t>
      </w:r>
    </w:p>
  </w:footnote>
  <w:footnote w:id="84">
    <w:p w14:paraId="41454FD8" w14:textId="77777777" w:rsidR="00C22893" w:rsidRDefault="00C22893" w:rsidP="00C22893">
      <w:pPr>
        <w:pStyle w:val="FootnoteText"/>
      </w:pPr>
      <w:r>
        <w:rPr>
          <w:rStyle w:val="FootnoteReference"/>
        </w:rPr>
        <w:footnoteRef/>
      </w:r>
      <w:r>
        <w:t xml:space="preserve"> Ibid at [75] </w:t>
      </w:r>
    </w:p>
  </w:footnote>
  <w:footnote w:id="85">
    <w:p w14:paraId="1B14F9EC" w14:textId="7B3B5C4D" w:rsidR="009000A2" w:rsidRPr="00F32239" w:rsidRDefault="009000A2" w:rsidP="009000A2">
      <w:pPr>
        <w:pStyle w:val="FootnoteText"/>
      </w:pPr>
      <w:r>
        <w:rPr>
          <w:rStyle w:val="FootnoteReference"/>
        </w:rPr>
        <w:footnoteRef/>
      </w:r>
      <w:r>
        <w:t xml:space="preserve"> At [93] per Lords Reed and Kerr. </w:t>
      </w:r>
      <w:r w:rsidR="007C049A">
        <w:t>A</w:t>
      </w:r>
      <w:r>
        <w:t xml:space="preserve"> similar </w:t>
      </w:r>
      <w:r w:rsidR="007C049A">
        <w:t xml:space="preserve">statement was made by to </w:t>
      </w:r>
      <w:proofErr w:type="spellStart"/>
      <w:r w:rsidR="007C049A">
        <w:t>Callinan</w:t>
      </w:r>
      <w:proofErr w:type="spellEnd"/>
      <w:r w:rsidR="007C049A">
        <w:t xml:space="preserve"> J in the </w:t>
      </w:r>
      <w:r>
        <w:t xml:space="preserve">High Court of Australia decision of </w:t>
      </w:r>
      <w:r w:rsidRPr="00A04A24">
        <w:rPr>
          <w:bCs/>
          <w:i/>
        </w:rPr>
        <w:t>Rosenberg v Percival</w:t>
      </w:r>
      <w:r w:rsidRPr="00A04A24">
        <w:t> [2001] HCA 18</w:t>
      </w:r>
      <w:r>
        <w:t xml:space="preserve"> at [214]: ‘</w:t>
      </w:r>
      <w:r w:rsidRPr="00A04A24">
        <w:t xml:space="preserve">The decision in </w:t>
      </w:r>
      <w:r w:rsidRPr="00171B71">
        <w:rPr>
          <w:i/>
        </w:rPr>
        <w:t xml:space="preserve">Rogers v Whitaker </w:t>
      </w:r>
      <w:r w:rsidRPr="00A04A24">
        <w:t>has been received with some consternat</w:t>
      </w:r>
      <w:r>
        <w:t>ion by the medical profession</w:t>
      </w:r>
      <w:r w:rsidRPr="00A04A24">
        <w:t xml:space="preserve">. No doubt the manufacturers of bottled drinks viewed the reasoning of the House of Lords in </w:t>
      </w:r>
      <w:r w:rsidRPr="00A04A24">
        <w:rPr>
          <w:i/>
        </w:rPr>
        <w:t>Donoghue v Stevenson</w:t>
      </w:r>
      <w:r w:rsidRPr="00A04A24">
        <w:t xml:space="preserve"> in the same way</w:t>
      </w:r>
      <w:r>
        <w:t xml:space="preserve">.’ </w:t>
      </w:r>
    </w:p>
  </w:footnote>
  <w:footnote w:id="86">
    <w:p w14:paraId="2CF94026" w14:textId="0027E29E" w:rsidR="00372826" w:rsidRPr="00372826" w:rsidRDefault="00372826">
      <w:pPr>
        <w:pStyle w:val="FootnoteText"/>
      </w:pPr>
      <w:r>
        <w:rPr>
          <w:rStyle w:val="FootnoteReference"/>
        </w:rPr>
        <w:footnoteRef/>
      </w:r>
      <w:r>
        <w:t xml:space="preserve"> See Catriona Mackenzie, ‘The Importance of Relational Autonomy and Capabilities for an Ethics of Vulne</w:t>
      </w:r>
      <w:r w:rsidR="00C13910">
        <w:t>rability’ in Catriona Mackenzie</w:t>
      </w:r>
      <w:r>
        <w:t xml:space="preserve">, Wendy Rogers and Susan </w:t>
      </w:r>
      <w:proofErr w:type="spellStart"/>
      <w:r>
        <w:t>Dodds</w:t>
      </w:r>
      <w:proofErr w:type="spellEnd"/>
      <w:r>
        <w:t xml:space="preserve"> (</w:t>
      </w:r>
      <w:proofErr w:type="spellStart"/>
      <w:r>
        <w:t>Eds</w:t>
      </w:r>
      <w:proofErr w:type="spellEnd"/>
      <w:r>
        <w:t xml:space="preserve">), </w:t>
      </w:r>
      <w:r>
        <w:rPr>
          <w:i/>
        </w:rPr>
        <w:t>Vulnerability: New Essays in Ethics and Feminist Philosophy</w:t>
      </w:r>
      <w:r>
        <w:t xml:space="preserve"> (OUP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78A"/>
    <w:multiLevelType w:val="hybridMultilevel"/>
    <w:tmpl w:val="D70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139CF"/>
    <w:multiLevelType w:val="hybridMultilevel"/>
    <w:tmpl w:val="07489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4D3612"/>
    <w:multiLevelType w:val="hybridMultilevel"/>
    <w:tmpl w:val="07A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BC791F"/>
    <w:multiLevelType w:val="hybridMultilevel"/>
    <w:tmpl w:val="F18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7228E"/>
    <w:multiLevelType w:val="hybridMultilevel"/>
    <w:tmpl w:val="6D3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E6"/>
    <w:rsid w:val="000001F4"/>
    <w:rsid w:val="000038D6"/>
    <w:rsid w:val="00006B2F"/>
    <w:rsid w:val="000072CD"/>
    <w:rsid w:val="000103AF"/>
    <w:rsid w:val="00014E49"/>
    <w:rsid w:val="00021425"/>
    <w:rsid w:val="000316CF"/>
    <w:rsid w:val="000353C0"/>
    <w:rsid w:val="0004207B"/>
    <w:rsid w:val="00045184"/>
    <w:rsid w:val="00045428"/>
    <w:rsid w:val="000479C4"/>
    <w:rsid w:val="00056E00"/>
    <w:rsid w:val="0005724C"/>
    <w:rsid w:val="000572C3"/>
    <w:rsid w:val="00064F44"/>
    <w:rsid w:val="00065BD4"/>
    <w:rsid w:val="0006680B"/>
    <w:rsid w:val="00071490"/>
    <w:rsid w:val="0007172A"/>
    <w:rsid w:val="000758E1"/>
    <w:rsid w:val="00076DF7"/>
    <w:rsid w:val="00077DF5"/>
    <w:rsid w:val="00082686"/>
    <w:rsid w:val="000828ED"/>
    <w:rsid w:val="00093175"/>
    <w:rsid w:val="000950CA"/>
    <w:rsid w:val="00095A7C"/>
    <w:rsid w:val="000A01FF"/>
    <w:rsid w:val="000A1DD3"/>
    <w:rsid w:val="000A1E38"/>
    <w:rsid w:val="000A261D"/>
    <w:rsid w:val="000A27F4"/>
    <w:rsid w:val="000B0330"/>
    <w:rsid w:val="000B23A1"/>
    <w:rsid w:val="000B2ED2"/>
    <w:rsid w:val="000C09FD"/>
    <w:rsid w:val="000D76F2"/>
    <w:rsid w:val="000D78C6"/>
    <w:rsid w:val="000E189E"/>
    <w:rsid w:val="000E1A36"/>
    <w:rsid w:val="000E4824"/>
    <w:rsid w:val="000F2FAF"/>
    <w:rsid w:val="000F4C8F"/>
    <w:rsid w:val="000F5168"/>
    <w:rsid w:val="00102F67"/>
    <w:rsid w:val="00102F8A"/>
    <w:rsid w:val="00103841"/>
    <w:rsid w:val="001048EC"/>
    <w:rsid w:val="00106D3F"/>
    <w:rsid w:val="00113D6B"/>
    <w:rsid w:val="00120EE9"/>
    <w:rsid w:val="001222A4"/>
    <w:rsid w:val="00122A7D"/>
    <w:rsid w:val="00123A0E"/>
    <w:rsid w:val="00130E20"/>
    <w:rsid w:val="00130FF0"/>
    <w:rsid w:val="00131AAA"/>
    <w:rsid w:val="0013334A"/>
    <w:rsid w:val="0013508F"/>
    <w:rsid w:val="00135210"/>
    <w:rsid w:val="0015336B"/>
    <w:rsid w:val="00154D49"/>
    <w:rsid w:val="00157A07"/>
    <w:rsid w:val="00166A55"/>
    <w:rsid w:val="00171B71"/>
    <w:rsid w:val="00173190"/>
    <w:rsid w:val="00175C4C"/>
    <w:rsid w:val="0019075A"/>
    <w:rsid w:val="00190EA6"/>
    <w:rsid w:val="001A28E7"/>
    <w:rsid w:val="001A318E"/>
    <w:rsid w:val="001A3EF7"/>
    <w:rsid w:val="001A4DFF"/>
    <w:rsid w:val="001A6BB8"/>
    <w:rsid w:val="001B0FE8"/>
    <w:rsid w:val="001B11BB"/>
    <w:rsid w:val="001B1C64"/>
    <w:rsid w:val="001B1F7D"/>
    <w:rsid w:val="001C077C"/>
    <w:rsid w:val="001C36F8"/>
    <w:rsid w:val="001C4FA2"/>
    <w:rsid w:val="001C7FF0"/>
    <w:rsid w:val="001D4039"/>
    <w:rsid w:val="001E5479"/>
    <w:rsid w:val="001F2185"/>
    <w:rsid w:val="001F4CAD"/>
    <w:rsid w:val="002055CD"/>
    <w:rsid w:val="00207D47"/>
    <w:rsid w:val="00207E74"/>
    <w:rsid w:val="002158D5"/>
    <w:rsid w:val="00222586"/>
    <w:rsid w:val="00222944"/>
    <w:rsid w:val="002238ED"/>
    <w:rsid w:val="00224A16"/>
    <w:rsid w:val="00230A90"/>
    <w:rsid w:val="00236B22"/>
    <w:rsid w:val="00240139"/>
    <w:rsid w:val="00240363"/>
    <w:rsid w:val="002438E1"/>
    <w:rsid w:val="00245464"/>
    <w:rsid w:val="002460A0"/>
    <w:rsid w:val="002462B8"/>
    <w:rsid w:val="00254EAC"/>
    <w:rsid w:val="00255008"/>
    <w:rsid w:val="00260FA1"/>
    <w:rsid w:val="00265A7C"/>
    <w:rsid w:val="00265C73"/>
    <w:rsid w:val="00266C0F"/>
    <w:rsid w:val="0027188D"/>
    <w:rsid w:val="002728D9"/>
    <w:rsid w:val="00291124"/>
    <w:rsid w:val="00294C1F"/>
    <w:rsid w:val="00294F51"/>
    <w:rsid w:val="00296DB5"/>
    <w:rsid w:val="002A318D"/>
    <w:rsid w:val="002A778B"/>
    <w:rsid w:val="002B1E26"/>
    <w:rsid w:val="002B6544"/>
    <w:rsid w:val="002B66E1"/>
    <w:rsid w:val="002B69D1"/>
    <w:rsid w:val="002C0D26"/>
    <w:rsid w:val="002C6E14"/>
    <w:rsid w:val="002D04E0"/>
    <w:rsid w:val="002D0D1B"/>
    <w:rsid w:val="002E26D8"/>
    <w:rsid w:val="002E3966"/>
    <w:rsid w:val="002E3C1D"/>
    <w:rsid w:val="002E561D"/>
    <w:rsid w:val="002E6EBE"/>
    <w:rsid w:val="002E799E"/>
    <w:rsid w:val="002F11C4"/>
    <w:rsid w:val="002F166E"/>
    <w:rsid w:val="002F7A4C"/>
    <w:rsid w:val="002F7C20"/>
    <w:rsid w:val="00306D74"/>
    <w:rsid w:val="00306DCA"/>
    <w:rsid w:val="0031287E"/>
    <w:rsid w:val="00316E8E"/>
    <w:rsid w:val="00317C06"/>
    <w:rsid w:val="0032658B"/>
    <w:rsid w:val="00326C4C"/>
    <w:rsid w:val="00326FF0"/>
    <w:rsid w:val="003274D8"/>
    <w:rsid w:val="0033135A"/>
    <w:rsid w:val="003366E6"/>
    <w:rsid w:val="003414E7"/>
    <w:rsid w:val="00350A6B"/>
    <w:rsid w:val="003563EE"/>
    <w:rsid w:val="003578FB"/>
    <w:rsid w:val="003658B7"/>
    <w:rsid w:val="003670CC"/>
    <w:rsid w:val="003709A6"/>
    <w:rsid w:val="00372826"/>
    <w:rsid w:val="00373958"/>
    <w:rsid w:val="00376DCD"/>
    <w:rsid w:val="003800AC"/>
    <w:rsid w:val="0038255E"/>
    <w:rsid w:val="00387520"/>
    <w:rsid w:val="0039058E"/>
    <w:rsid w:val="003949E6"/>
    <w:rsid w:val="003A0306"/>
    <w:rsid w:val="003A440F"/>
    <w:rsid w:val="003A5B92"/>
    <w:rsid w:val="003B159F"/>
    <w:rsid w:val="003B37EC"/>
    <w:rsid w:val="003B4542"/>
    <w:rsid w:val="003B7677"/>
    <w:rsid w:val="003C35EB"/>
    <w:rsid w:val="003C3C01"/>
    <w:rsid w:val="003E7501"/>
    <w:rsid w:val="003F3626"/>
    <w:rsid w:val="003F487E"/>
    <w:rsid w:val="003F77FC"/>
    <w:rsid w:val="003F7D71"/>
    <w:rsid w:val="004018B8"/>
    <w:rsid w:val="0040337A"/>
    <w:rsid w:val="00407133"/>
    <w:rsid w:val="004077BA"/>
    <w:rsid w:val="00407831"/>
    <w:rsid w:val="00412A5A"/>
    <w:rsid w:val="00416E4F"/>
    <w:rsid w:val="0042004F"/>
    <w:rsid w:val="00420DB0"/>
    <w:rsid w:val="0042469A"/>
    <w:rsid w:val="00424722"/>
    <w:rsid w:val="0042520B"/>
    <w:rsid w:val="00426E1B"/>
    <w:rsid w:val="004338FB"/>
    <w:rsid w:val="0043478F"/>
    <w:rsid w:val="00434B44"/>
    <w:rsid w:val="004413FB"/>
    <w:rsid w:val="00447F57"/>
    <w:rsid w:val="00451685"/>
    <w:rsid w:val="00455CBF"/>
    <w:rsid w:val="00456146"/>
    <w:rsid w:val="004878AE"/>
    <w:rsid w:val="00490C16"/>
    <w:rsid w:val="00491012"/>
    <w:rsid w:val="00494928"/>
    <w:rsid w:val="0049644B"/>
    <w:rsid w:val="00496494"/>
    <w:rsid w:val="0049726D"/>
    <w:rsid w:val="00497679"/>
    <w:rsid w:val="004A384A"/>
    <w:rsid w:val="004A5E3F"/>
    <w:rsid w:val="004A632A"/>
    <w:rsid w:val="004A7BDE"/>
    <w:rsid w:val="004B2CB1"/>
    <w:rsid w:val="004B3421"/>
    <w:rsid w:val="004C3A8B"/>
    <w:rsid w:val="004C5A2C"/>
    <w:rsid w:val="004D236B"/>
    <w:rsid w:val="004E244D"/>
    <w:rsid w:val="004E28AD"/>
    <w:rsid w:val="004E2B80"/>
    <w:rsid w:val="004E4C6B"/>
    <w:rsid w:val="004F478F"/>
    <w:rsid w:val="005014DF"/>
    <w:rsid w:val="00501BF8"/>
    <w:rsid w:val="00503B0B"/>
    <w:rsid w:val="00505D75"/>
    <w:rsid w:val="00507A41"/>
    <w:rsid w:val="00510814"/>
    <w:rsid w:val="00510BC1"/>
    <w:rsid w:val="00514094"/>
    <w:rsid w:val="00514103"/>
    <w:rsid w:val="005145CF"/>
    <w:rsid w:val="00517D1C"/>
    <w:rsid w:val="00521715"/>
    <w:rsid w:val="005307D1"/>
    <w:rsid w:val="005333A5"/>
    <w:rsid w:val="0054001E"/>
    <w:rsid w:val="005400B4"/>
    <w:rsid w:val="00540785"/>
    <w:rsid w:val="005414E1"/>
    <w:rsid w:val="005421E0"/>
    <w:rsid w:val="00545552"/>
    <w:rsid w:val="00547E03"/>
    <w:rsid w:val="00552311"/>
    <w:rsid w:val="0056020A"/>
    <w:rsid w:val="00565586"/>
    <w:rsid w:val="00565E6D"/>
    <w:rsid w:val="00571E42"/>
    <w:rsid w:val="0057277A"/>
    <w:rsid w:val="00572FAE"/>
    <w:rsid w:val="00576A2F"/>
    <w:rsid w:val="00582F8A"/>
    <w:rsid w:val="00583CAF"/>
    <w:rsid w:val="00591A4B"/>
    <w:rsid w:val="00596A21"/>
    <w:rsid w:val="005A07D3"/>
    <w:rsid w:val="005A358C"/>
    <w:rsid w:val="005C2C63"/>
    <w:rsid w:val="005C451B"/>
    <w:rsid w:val="005D51DB"/>
    <w:rsid w:val="005D654B"/>
    <w:rsid w:val="005E0419"/>
    <w:rsid w:val="005E0B9A"/>
    <w:rsid w:val="005E6031"/>
    <w:rsid w:val="005E6B89"/>
    <w:rsid w:val="005E6FD4"/>
    <w:rsid w:val="005F24D7"/>
    <w:rsid w:val="005F39E9"/>
    <w:rsid w:val="005F4D18"/>
    <w:rsid w:val="006022AD"/>
    <w:rsid w:val="00604458"/>
    <w:rsid w:val="00607659"/>
    <w:rsid w:val="00616F38"/>
    <w:rsid w:val="00617718"/>
    <w:rsid w:val="0062259A"/>
    <w:rsid w:val="006333B1"/>
    <w:rsid w:val="00634790"/>
    <w:rsid w:val="006427F8"/>
    <w:rsid w:val="00647FA1"/>
    <w:rsid w:val="00650AF3"/>
    <w:rsid w:val="006542BF"/>
    <w:rsid w:val="00656CCC"/>
    <w:rsid w:val="00665FD2"/>
    <w:rsid w:val="00670916"/>
    <w:rsid w:val="00671FCD"/>
    <w:rsid w:val="00672528"/>
    <w:rsid w:val="006735D7"/>
    <w:rsid w:val="0067386A"/>
    <w:rsid w:val="00673D21"/>
    <w:rsid w:val="00680CFD"/>
    <w:rsid w:val="006819A2"/>
    <w:rsid w:val="00682A8E"/>
    <w:rsid w:val="006908B4"/>
    <w:rsid w:val="00692EF0"/>
    <w:rsid w:val="006938C4"/>
    <w:rsid w:val="006940E7"/>
    <w:rsid w:val="00694488"/>
    <w:rsid w:val="00694CFD"/>
    <w:rsid w:val="006A36DC"/>
    <w:rsid w:val="006A3B55"/>
    <w:rsid w:val="006A406A"/>
    <w:rsid w:val="006A7192"/>
    <w:rsid w:val="006B2EB3"/>
    <w:rsid w:val="006B60EE"/>
    <w:rsid w:val="006B6749"/>
    <w:rsid w:val="006C0538"/>
    <w:rsid w:val="006C078B"/>
    <w:rsid w:val="006C07A5"/>
    <w:rsid w:val="006D0ACB"/>
    <w:rsid w:val="006D4852"/>
    <w:rsid w:val="006D5C04"/>
    <w:rsid w:val="006E3D9B"/>
    <w:rsid w:val="006E53FB"/>
    <w:rsid w:val="006F02AA"/>
    <w:rsid w:val="006F051C"/>
    <w:rsid w:val="006F171A"/>
    <w:rsid w:val="006F4502"/>
    <w:rsid w:val="006F764D"/>
    <w:rsid w:val="00700B18"/>
    <w:rsid w:val="0070240D"/>
    <w:rsid w:val="007042EB"/>
    <w:rsid w:val="007071C6"/>
    <w:rsid w:val="00710D48"/>
    <w:rsid w:val="00724788"/>
    <w:rsid w:val="0072731B"/>
    <w:rsid w:val="00727872"/>
    <w:rsid w:val="007307E2"/>
    <w:rsid w:val="00732302"/>
    <w:rsid w:val="007353B4"/>
    <w:rsid w:val="007357DA"/>
    <w:rsid w:val="00736561"/>
    <w:rsid w:val="00737349"/>
    <w:rsid w:val="007462D7"/>
    <w:rsid w:val="007516B8"/>
    <w:rsid w:val="00753C7F"/>
    <w:rsid w:val="00755881"/>
    <w:rsid w:val="00755964"/>
    <w:rsid w:val="007745EC"/>
    <w:rsid w:val="00782FF0"/>
    <w:rsid w:val="00784A07"/>
    <w:rsid w:val="00791C56"/>
    <w:rsid w:val="0079375C"/>
    <w:rsid w:val="00793D68"/>
    <w:rsid w:val="00794BCF"/>
    <w:rsid w:val="00795802"/>
    <w:rsid w:val="007A02A9"/>
    <w:rsid w:val="007A1251"/>
    <w:rsid w:val="007A2919"/>
    <w:rsid w:val="007A5722"/>
    <w:rsid w:val="007A5AE2"/>
    <w:rsid w:val="007B035A"/>
    <w:rsid w:val="007B4D57"/>
    <w:rsid w:val="007C049A"/>
    <w:rsid w:val="007C0E91"/>
    <w:rsid w:val="007C6DF1"/>
    <w:rsid w:val="007D6768"/>
    <w:rsid w:val="007E2756"/>
    <w:rsid w:val="007F046F"/>
    <w:rsid w:val="007F2AB1"/>
    <w:rsid w:val="007F2CD1"/>
    <w:rsid w:val="007F34B2"/>
    <w:rsid w:val="007F6A6C"/>
    <w:rsid w:val="007F7253"/>
    <w:rsid w:val="008009FE"/>
    <w:rsid w:val="008027E4"/>
    <w:rsid w:val="00806A1B"/>
    <w:rsid w:val="00811D10"/>
    <w:rsid w:val="00822572"/>
    <w:rsid w:val="00827F51"/>
    <w:rsid w:val="008337E8"/>
    <w:rsid w:val="00843502"/>
    <w:rsid w:val="0084472C"/>
    <w:rsid w:val="008458E1"/>
    <w:rsid w:val="00850456"/>
    <w:rsid w:val="00850D04"/>
    <w:rsid w:val="0085478F"/>
    <w:rsid w:val="008568BF"/>
    <w:rsid w:val="0085796A"/>
    <w:rsid w:val="008609EE"/>
    <w:rsid w:val="00862AD6"/>
    <w:rsid w:val="00880D23"/>
    <w:rsid w:val="00882FA3"/>
    <w:rsid w:val="008840E0"/>
    <w:rsid w:val="00884466"/>
    <w:rsid w:val="00884A14"/>
    <w:rsid w:val="00894663"/>
    <w:rsid w:val="00894E79"/>
    <w:rsid w:val="008A1DF1"/>
    <w:rsid w:val="008A23C7"/>
    <w:rsid w:val="008B1245"/>
    <w:rsid w:val="008B25A9"/>
    <w:rsid w:val="008B418C"/>
    <w:rsid w:val="008B71C5"/>
    <w:rsid w:val="008C02E7"/>
    <w:rsid w:val="008C41C4"/>
    <w:rsid w:val="008C680A"/>
    <w:rsid w:val="008C7622"/>
    <w:rsid w:val="008D05A3"/>
    <w:rsid w:val="008D0A2D"/>
    <w:rsid w:val="008D305D"/>
    <w:rsid w:val="008D4832"/>
    <w:rsid w:val="008D4AE6"/>
    <w:rsid w:val="008D4DC7"/>
    <w:rsid w:val="008D7F55"/>
    <w:rsid w:val="008E1257"/>
    <w:rsid w:val="008E6933"/>
    <w:rsid w:val="009000A2"/>
    <w:rsid w:val="0090749F"/>
    <w:rsid w:val="00911929"/>
    <w:rsid w:val="009174E9"/>
    <w:rsid w:val="009230D8"/>
    <w:rsid w:val="00925BE2"/>
    <w:rsid w:val="00927C18"/>
    <w:rsid w:val="00931A48"/>
    <w:rsid w:val="0093645A"/>
    <w:rsid w:val="0094029A"/>
    <w:rsid w:val="009463EB"/>
    <w:rsid w:val="009466BF"/>
    <w:rsid w:val="00951AF0"/>
    <w:rsid w:val="00955BE7"/>
    <w:rsid w:val="00957096"/>
    <w:rsid w:val="00960B21"/>
    <w:rsid w:val="00970C12"/>
    <w:rsid w:val="00971B62"/>
    <w:rsid w:val="00973550"/>
    <w:rsid w:val="00976356"/>
    <w:rsid w:val="00976B94"/>
    <w:rsid w:val="00982690"/>
    <w:rsid w:val="00982743"/>
    <w:rsid w:val="009839BF"/>
    <w:rsid w:val="009841D9"/>
    <w:rsid w:val="00984A38"/>
    <w:rsid w:val="00991CEA"/>
    <w:rsid w:val="00993689"/>
    <w:rsid w:val="009956DB"/>
    <w:rsid w:val="00996197"/>
    <w:rsid w:val="009962E8"/>
    <w:rsid w:val="00996E7B"/>
    <w:rsid w:val="0099779E"/>
    <w:rsid w:val="009A17CE"/>
    <w:rsid w:val="009B5C01"/>
    <w:rsid w:val="009C08DE"/>
    <w:rsid w:val="009C1298"/>
    <w:rsid w:val="009C79D8"/>
    <w:rsid w:val="009D1BCA"/>
    <w:rsid w:val="009D3D7F"/>
    <w:rsid w:val="009D405E"/>
    <w:rsid w:val="009D7530"/>
    <w:rsid w:val="009E0C8F"/>
    <w:rsid w:val="009E3C81"/>
    <w:rsid w:val="009E3CA4"/>
    <w:rsid w:val="009E3CB9"/>
    <w:rsid w:val="009E599E"/>
    <w:rsid w:val="009E61AA"/>
    <w:rsid w:val="009E78CC"/>
    <w:rsid w:val="009E7C2C"/>
    <w:rsid w:val="009F1878"/>
    <w:rsid w:val="009F6157"/>
    <w:rsid w:val="00A00552"/>
    <w:rsid w:val="00A01B76"/>
    <w:rsid w:val="00A0329C"/>
    <w:rsid w:val="00A0477F"/>
    <w:rsid w:val="00A04A24"/>
    <w:rsid w:val="00A04AB8"/>
    <w:rsid w:val="00A06590"/>
    <w:rsid w:val="00A078F4"/>
    <w:rsid w:val="00A16F55"/>
    <w:rsid w:val="00A23FB0"/>
    <w:rsid w:val="00A253E2"/>
    <w:rsid w:val="00A256F0"/>
    <w:rsid w:val="00A27162"/>
    <w:rsid w:val="00A328BD"/>
    <w:rsid w:val="00A428B0"/>
    <w:rsid w:val="00A50ADB"/>
    <w:rsid w:val="00A511E0"/>
    <w:rsid w:val="00A51B2D"/>
    <w:rsid w:val="00A6329A"/>
    <w:rsid w:val="00A65B5C"/>
    <w:rsid w:val="00A667F3"/>
    <w:rsid w:val="00A675EF"/>
    <w:rsid w:val="00A72D9F"/>
    <w:rsid w:val="00A8330B"/>
    <w:rsid w:val="00A84123"/>
    <w:rsid w:val="00A86027"/>
    <w:rsid w:val="00A86A6B"/>
    <w:rsid w:val="00A90B1B"/>
    <w:rsid w:val="00A92FF0"/>
    <w:rsid w:val="00AA09BD"/>
    <w:rsid w:val="00AA3EB2"/>
    <w:rsid w:val="00AC0936"/>
    <w:rsid w:val="00AC0D3D"/>
    <w:rsid w:val="00AC39FC"/>
    <w:rsid w:val="00AC5710"/>
    <w:rsid w:val="00AC7201"/>
    <w:rsid w:val="00AD16B6"/>
    <w:rsid w:val="00AD5213"/>
    <w:rsid w:val="00AD7E5D"/>
    <w:rsid w:val="00AE01F4"/>
    <w:rsid w:val="00AF05F8"/>
    <w:rsid w:val="00AF42E0"/>
    <w:rsid w:val="00AF5984"/>
    <w:rsid w:val="00AF6C6F"/>
    <w:rsid w:val="00B045B5"/>
    <w:rsid w:val="00B06F37"/>
    <w:rsid w:val="00B0741A"/>
    <w:rsid w:val="00B21190"/>
    <w:rsid w:val="00B31E56"/>
    <w:rsid w:val="00B34C96"/>
    <w:rsid w:val="00B370E2"/>
    <w:rsid w:val="00B40553"/>
    <w:rsid w:val="00B44071"/>
    <w:rsid w:val="00B45FF5"/>
    <w:rsid w:val="00B4693B"/>
    <w:rsid w:val="00B47A0F"/>
    <w:rsid w:val="00B52E0C"/>
    <w:rsid w:val="00B561EB"/>
    <w:rsid w:val="00B6219F"/>
    <w:rsid w:val="00B63384"/>
    <w:rsid w:val="00B66B86"/>
    <w:rsid w:val="00B67A42"/>
    <w:rsid w:val="00B71432"/>
    <w:rsid w:val="00B721C3"/>
    <w:rsid w:val="00B73987"/>
    <w:rsid w:val="00B81E19"/>
    <w:rsid w:val="00B86F39"/>
    <w:rsid w:val="00B87078"/>
    <w:rsid w:val="00B87518"/>
    <w:rsid w:val="00B87F0E"/>
    <w:rsid w:val="00B91D7C"/>
    <w:rsid w:val="00B97160"/>
    <w:rsid w:val="00B97298"/>
    <w:rsid w:val="00B97E4F"/>
    <w:rsid w:val="00BA1DAC"/>
    <w:rsid w:val="00BA4B20"/>
    <w:rsid w:val="00BB103C"/>
    <w:rsid w:val="00BB368C"/>
    <w:rsid w:val="00BB4949"/>
    <w:rsid w:val="00BB77CD"/>
    <w:rsid w:val="00BB7DB8"/>
    <w:rsid w:val="00BC1C76"/>
    <w:rsid w:val="00BC25EB"/>
    <w:rsid w:val="00BC30CF"/>
    <w:rsid w:val="00BC3D6D"/>
    <w:rsid w:val="00BC6388"/>
    <w:rsid w:val="00BC681B"/>
    <w:rsid w:val="00BD1B3B"/>
    <w:rsid w:val="00BD1D55"/>
    <w:rsid w:val="00BD44BC"/>
    <w:rsid w:val="00BD5F3F"/>
    <w:rsid w:val="00BD6248"/>
    <w:rsid w:val="00BD77A4"/>
    <w:rsid w:val="00BE3F8A"/>
    <w:rsid w:val="00BF1485"/>
    <w:rsid w:val="00BF5216"/>
    <w:rsid w:val="00C13910"/>
    <w:rsid w:val="00C14F32"/>
    <w:rsid w:val="00C165EA"/>
    <w:rsid w:val="00C174EE"/>
    <w:rsid w:val="00C21827"/>
    <w:rsid w:val="00C22893"/>
    <w:rsid w:val="00C334E0"/>
    <w:rsid w:val="00C35E4F"/>
    <w:rsid w:val="00C37210"/>
    <w:rsid w:val="00C42C96"/>
    <w:rsid w:val="00C459BD"/>
    <w:rsid w:val="00C50A5B"/>
    <w:rsid w:val="00C5171D"/>
    <w:rsid w:val="00C52F45"/>
    <w:rsid w:val="00C53CC7"/>
    <w:rsid w:val="00C5518D"/>
    <w:rsid w:val="00C55A55"/>
    <w:rsid w:val="00C609C3"/>
    <w:rsid w:val="00C66533"/>
    <w:rsid w:val="00C67555"/>
    <w:rsid w:val="00C70092"/>
    <w:rsid w:val="00C75E76"/>
    <w:rsid w:val="00C76A95"/>
    <w:rsid w:val="00C80538"/>
    <w:rsid w:val="00C8092B"/>
    <w:rsid w:val="00C81F30"/>
    <w:rsid w:val="00C82E54"/>
    <w:rsid w:val="00C8722B"/>
    <w:rsid w:val="00C930D9"/>
    <w:rsid w:val="00C949FC"/>
    <w:rsid w:val="00CA4141"/>
    <w:rsid w:val="00CB03BA"/>
    <w:rsid w:val="00CB30CD"/>
    <w:rsid w:val="00CB5313"/>
    <w:rsid w:val="00CB5E6A"/>
    <w:rsid w:val="00CB6FB3"/>
    <w:rsid w:val="00CC60C7"/>
    <w:rsid w:val="00CD39AC"/>
    <w:rsid w:val="00CE5620"/>
    <w:rsid w:val="00CE616A"/>
    <w:rsid w:val="00CE7463"/>
    <w:rsid w:val="00CF4FD9"/>
    <w:rsid w:val="00D13E72"/>
    <w:rsid w:val="00D15AD7"/>
    <w:rsid w:val="00D16DF8"/>
    <w:rsid w:val="00D24353"/>
    <w:rsid w:val="00D244F7"/>
    <w:rsid w:val="00D316BB"/>
    <w:rsid w:val="00D342CE"/>
    <w:rsid w:val="00D366AC"/>
    <w:rsid w:val="00D40A04"/>
    <w:rsid w:val="00D40FC9"/>
    <w:rsid w:val="00D43022"/>
    <w:rsid w:val="00D44809"/>
    <w:rsid w:val="00D47721"/>
    <w:rsid w:val="00D53561"/>
    <w:rsid w:val="00D53E30"/>
    <w:rsid w:val="00D57A7C"/>
    <w:rsid w:val="00D57E1E"/>
    <w:rsid w:val="00D60085"/>
    <w:rsid w:val="00D61064"/>
    <w:rsid w:val="00D617C3"/>
    <w:rsid w:val="00D723B3"/>
    <w:rsid w:val="00D75FB3"/>
    <w:rsid w:val="00D8037D"/>
    <w:rsid w:val="00D87002"/>
    <w:rsid w:val="00D90ECE"/>
    <w:rsid w:val="00D965DB"/>
    <w:rsid w:val="00DA097B"/>
    <w:rsid w:val="00DA4A4C"/>
    <w:rsid w:val="00DA7162"/>
    <w:rsid w:val="00DB278C"/>
    <w:rsid w:val="00DB46D9"/>
    <w:rsid w:val="00DB55AF"/>
    <w:rsid w:val="00DC2716"/>
    <w:rsid w:val="00DC3EC4"/>
    <w:rsid w:val="00DD1044"/>
    <w:rsid w:val="00DD19B1"/>
    <w:rsid w:val="00DD22E6"/>
    <w:rsid w:val="00DE71B8"/>
    <w:rsid w:val="00DF24CB"/>
    <w:rsid w:val="00DF459B"/>
    <w:rsid w:val="00DF5550"/>
    <w:rsid w:val="00E13A0F"/>
    <w:rsid w:val="00E1691C"/>
    <w:rsid w:val="00E17304"/>
    <w:rsid w:val="00E2040B"/>
    <w:rsid w:val="00E2455D"/>
    <w:rsid w:val="00E2644C"/>
    <w:rsid w:val="00E31869"/>
    <w:rsid w:val="00E31A58"/>
    <w:rsid w:val="00E331B1"/>
    <w:rsid w:val="00E4404B"/>
    <w:rsid w:val="00E50E30"/>
    <w:rsid w:val="00E52FF1"/>
    <w:rsid w:val="00E55D54"/>
    <w:rsid w:val="00E6085C"/>
    <w:rsid w:val="00E6243C"/>
    <w:rsid w:val="00E649CD"/>
    <w:rsid w:val="00E64ACF"/>
    <w:rsid w:val="00E70778"/>
    <w:rsid w:val="00E71933"/>
    <w:rsid w:val="00E7201B"/>
    <w:rsid w:val="00E730DD"/>
    <w:rsid w:val="00E739BE"/>
    <w:rsid w:val="00E764F3"/>
    <w:rsid w:val="00E860FE"/>
    <w:rsid w:val="00E87E07"/>
    <w:rsid w:val="00E90729"/>
    <w:rsid w:val="00E940EB"/>
    <w:rsid w:val="00E94257"/>
    <w:rsid w:val="00E97178"/>
    <w:rsid w:val="00EA0D0B"/>
    <w:rsid w:val="00EA0D44"/>
    <w:rsid w:val="00EA2DA1"/>
    <w:rsid w:val="00EA5681"/>
    <w:rsid w:val="00EA7E1D"/>
    <w:rsid w:val="00EB1082"/>
    <w:rsid w:val="00EB4C8A"/>
    <w:rsid w:val="00EB71F5"/>
    <w:rsid w:val="00EC14CB"/>
    <w:rsid w:val="00EC2F73"/>
    <w:rsid w:val="00EC43E7"/>
    <w:rsid w:val="00EE23A9"/>
    <w:rsid w:val="00EE3E64"/>
    <w:rsid w:val="00EF39D0"/>
    <w:rsid w:val="00EF6C52"/>
    <w:rsid w:val="00F00C8E"/>
    <w:rsid w:val="00F051CD"/>
    <w:rsid w:val="00F053CB"/>
    <w:rsid w:val="00F06026"/>
    <w:rsid w:val="00F1468E"/>
    <w:rsid w:val="00F152AC"/>
    <w:rsid w:val="00F15B2C"/>
    <w:rsid w:val="00F16E90"/>
    <w:rsid w:val="00F21B00"/>
    <w:rsid w:val="00F25878"/>
    <w:rsid w:val="00F304AD"/>
    <w:rsid w:val="00F30CB9"/>
    <w:rsid w:val="00F32239"/>
    <w:rsid w:val="00F33078"/>
    <w:rsid w:val="00F3414F"/>
    <w:rsid w:val="00F376C5"/>
    <w:rsid w:val="00F41E42"/>
    <w:rsid w:val="00F4474A"/>
    <w:rsid w:val="00F460AE"/>
    <w:rsid w:val="00F52E2A"/>
    <w:rsid w:val="00F55435"/>
    <w:rsid w:val="00F64D6B"/>
    <w:rsid w:val="00F662C1"/>
    <w:rsid w:val="00F66346"/>
    <w:rsid w:val="00F7135C"/>
    <w:rsid w:val="00F7595E"/>
    <w:rsid w:val="00F763CC"/>
    <w:rsid w:val="00F7664D"/>
    <w:rsid w:val="00F82EA6"/>
    <w:rsid w:val="00F837FE"/>
    <w:rsid w:val="00F83D58"/>
    <w:rsid w:val="00F8729F"/>
    <w:rsid w:val="00F90A6F"/>
    <w:rsid w:val="00F90CE8"/>
    <w:rsid w:val="00F9222A"/>
    <w:rsid w:val="00F937B0"/>
    <w:rsid w:val="00F95E78"/>
    <w:rsid w:val="00FA0688"/>
    <w:rsid w:val="00FA070E"/>
    <w:rsid w:val="00FA0BB0"/>
    <w:rsid w:val="00FA4754"/>
    <w:rsid w:val="00FA4EAE"/>
    <w:rsid w:val="00FA7CBC"/>
    <w:rsid w:val="00FB25A9"/>
    <w:rsid w:val="00FB37E0"/>
    <w:rsid w:val="00FB57C5"/>
    <w:rsid w:val="00FB59C2"/>
    <w:rsid w:val="00FC1E69"/>
    <w:rsid w:val="00FC2679"/>
    <w:rsid w:val="00FC2746"/>
    <w:rsid w:val="00FC4E38"/>
    <w:rsid w:val="00FD380E"/>
    <w:rsid w:val="00FD4A0B"/>
    <w:rsid w:val="00FD658F"/>
    <w:rsid w:val="00FE130A"/>
    <w:rsid w:val="00FE1740"/>
    <w:rsid w:val="00FE3384"/>
    <w:rsid w:val="00FE7C38"/>
    <w:rsid w:val="00FF3D96"/>
    <w:rsid w:val="00FF600F"/>
    <w:rsid w:val="00FF7D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59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AB1"/>
    <w:pPr>
      <w:spacing w:line="480" w:lineRule="auto"/>
      <w:jc w:val="both"/>
    </w:pPr>
    <w:rPr>
      <w:rFonts w:ascii="Times New Roman" w:hAnsi="Times New Roman"/>
    </w:rPr>
  </w:style>
  <w:style w:type="paragraph" w:styleId="Heading1">
    <w:name w:val="heading 1"/>
    <w:basedOn w:val="Normal"/>
    <w:next w:val="Normal"/>
    <w:link w:val="Heading1Char"/>
    <w:autoRedefine/>
    <w:uiPriority w:val="9"/>
    <w:qFormat/>
    <w:rsid w:val="00F8729F"/>
    <w:pPr>
      <w:keepNext/>
      <w:keepLines/>
      <w:spacing w:line="240" w:lineRule="auto"/>
      <w:jc w:val="center"/>
      <w:outlineLvl w:val="0"/>
    </w:pPr>
    <w:rPr>
      <w:rFonts w:eastAsiaTheme="majorEastAsia" w:cstheme="majorBidi"/>
      <w:b/>
      <w:color w:val="000000" w:themeColor="text1"/>
    </w:rPr>
  </w:style>
  <w:style w:type="paragraph" w:styleId="Heading2">
    <w:name w:val="heading 2"/>
    <w:basedOn w:val="Normal"/>
    <w:next w:val="Normal"/>
    <w:link w:val="Heading2Char"/>
    <w:autoRedefine/>
    <w:uiPriority w:val="9"/>
    <w:unhideWhenUsed/>
    <w:qFormat/>
    <w:rsid w:val="00BB494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949"/>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F8729F"/>
    <w:rPr>
      <w:rFonts w:ascii="Times New Roman" w:eastAsiaTheme="majorEastAsia" w:hAnsi="Times New Roman" w:cstheme="majorBidi"/>
      <w:b/>
      <w:color w:val="000000" w:themeColor="text1"/>
    </w:rPr>
  </w:style>
  <w:style w:type="paragraph" w:styleId="FootnoteText">
    <w:name w:val="footnote text"/>
    <w:basedOn w:val="Normal"/>
    <w:link w:val="FootnoteTextChar"/>
    <w:uiPriority w:val="99"/>
    <w:unhideWhenUsed/>
    <w:rsid w:val="00C174EE"/>
    <w:pPr>
      <w:spacing w:line="240" w:lineRule="auto"/>
    </w:pPr>
  </w:style>
  <w:style w:type="character" w:customStyle="1" w:styleId="FootnoteTextChar">
    <w:name w:val="Footnote Text Char"/>
    <w:basedOn w:val="DefaultParagraphFont"/>
    <w:link w:val="FootnoteText"/>
    <w:uiPriority w:val="99"/>
    <w:rsid w:val="00C174EE"/>
    <w:rPr>
      <w:rFonts w:ascii="Times New Roman" w:hAnsi="Times New Roman"/>
    </w:rPr>
  </w:style>
  <w:style w:type="character" w:styleId="FootnoteReference">
    <w:name w:val="footnote reference"/>
    <w:basedOn w:val="DefaultParagraphFont"/>
    <w:uiPriority w:val="99"/>
    <w:unhideWhenUsed/>
    <w:rsid w:val="00C174EE"/>
    <w:rPr>
      <w:vertAlign w:val="superscript"/>
    </w:rPr>
  </w:style>
  <w:style w:type="character" w:styleId="CommentReference">
    <w:name w:val="annotation reference"/>
    <w:basedOn w:val="DefaultParagraphFont"/>
    <w:uiPriority w:val="99"/>
    <w:semiHidden/>
    <w:unhideWhenUsed/>
    <w:rsid w:val="00572FAE"/>
    <w:rPr>
      <w:sz w:val="18"/>
      <w:szCs w:val="18"/>
    </w:rPr>
  </w:style>
  <w:style w:type="paragraph" w:styleId="CommentText">
    <w:name w:val="annotation text"/>
    <w:basedOn w:val="Normal"/>
    <w:link w:val="CommentTextChar"/>
    <w:uiPriority w:val="99"/>
    <w:unhideWhenUsed/>
    <w:rsid w:val="00572FAE"/>
    <w:pPr>
      <w:spacing w:line="240" w:lineRule="auto"/>
    </w:pPr>
  </w:style>
  <w:style w:type="character" w:customStyle="1" w:styleId="CommentTextChar">
    <w:name w:val="Comment Text Char"/>
    <w:basedOn w:val="DefaultParagraphFont"/>
    <w:link w:val="CommentText"/>
    <w:uiPriority w:val="99"/>
    <w:rsid w:val="0057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2FAE"/>
    <w:rPr>
      <w:b/>
      <w:bCs/>
      <w:sz w:val="20"/>
      <w:szCs w:val="20"/>
    </w:rPr>
  </w:style>
  <w:style w:type="character" w:customStyle="1" w:styleId="CommentSubjectChar">
    <w:name w:val="Comment Subject Char"/>
    <w:basedOn w:val="CommentTextChar"/>
    <w:link w:val="CommentSubject"/>
    <w:uiPriority w:val="99"/>
    <w:semiHidden/>
    <w:rsid w:val="00572FAE"/>
    <w:rPr>
      <w:rFonts w:ascii="Times New Roman" w:hAnsi="Times New Roman"/>
      <w:b/>
      <w:bCs/>
      <w:sz w:val="20"/>
      <w:szCs w:val="20"/>
    </w:rPr>
  </w:style>
  <w:style w:type="paragraph" w:styleId="BalloonText">
    <w:name w:val="Balloon Text"/>
    <w:basedOn w:val="Normal"/>
    <w:link w:val="BalloonTextChar"/>
    <w:uiPriority w:val="99"/>
    <w:semiHidden/>
    <w:unhideWhenUsed/>
    <w:rsid w:val="00572FAE"/>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72FAE"/>
    <w:rPr>
      <w:rFonts w:ascii="Times New Roman" w:hAnsi="Times New Roman" w:cs="Times New Roman"/>
      <w:sz w:val="18"/>
      <w:szCs w:val="18"/>
    </w:rPr>
  </w:style>
  <w:style w:type="paragraph" w:styleId="ListParagraph">
    <w:name w:val="List Paragraph"/>
    <w:basedOn w:val="Normal"/>
    <w:uiPriority w:val="34"/>
    <w:qFormat/>
    <w:rsid w:val="00434B44"/>
    <w:pPr>
      <w:ind w:left="720"/>
      <w:contextualSpacing/>
    </w:pPr>
  </w:style>
  <w:style w:type="paragraph" w:styleId="NormalWeb">
    <w:name w:val="Normal (Web)"/>
    <w:basedOn w:val="Normal"/>
    <w:uiPriority w:val="99"/>
    <w:semiHidden/>
    <w:unhideWhenUsed/>
    <w:rsid w:val="009C1298"/>
    <w:rPr>
      <w:rFonts w:cs="Times New Roman"/>
    </w:rPr>
  </w:style>
  <w:style w:type="character" w:styleId="Hyperlink">
    <w:name w:val="Hyperlink"/>
    <w:basedOn w:val="DefaultParagraphFont"/>
    <w:uiPriority w:val="99"/>
    <w:unhideWhenUsed/>
    <w:rsid w:val="009C1298"/>
    <w:rPr>
      <w:color w:val="0563C1" w:themeColor="hyperlink"/>
      <w:u w:val="single"/>
    </w:rPr>
  </w:style>
  <w:style w:type="paragraph" w:styleId="Footer">
    <w:name w:val="footer"/>
    <w:basedOn w:val="Normal"/>
    <w:link w:val="FooterChar"/>
    <w:uiPriority w:val="99"/>
    <w:unhideWhenUsed/>
    <w:rsid w:val="009B5C01"/>
    <w:pPr>
      <w:tabs>
        <w:tab w:val="center" w:pos="4513"/>
        <w:tab w:val="right" w:pos="9026"/>
      </w:tabs>
      <w:spacing w:line="240" w:lineRule="auto"/>
    </w:pPr>
  </w:style>
  <w:style w:type="character" w:customStyle="1" w:styleId="FooterChar">
    <w:name w:val="Footer Char"/>
    <w:basedOn w:val="DefaultParagraphFont"/>
    <w:link w:val="Footer"/>
    <w:uiPriority w:val="99"/>
    <w:rsid w:val="009B5C01"/>
    <w:rPr>
      <w:rFonts w:ascii="Times New Roman" w:hAnsi="Times New Roman"/>
    </w:rPr>
  </w:style>
  <w:style w:type="character" w:styleId="PageNumber">
    <w:name w:val="page number"/>
    <w:basedOn w:val="DefaultParagraphFont"/>
    <w:uiPriority w:val="99"/>
    <w:semiHidden/>
    <w:unhideWhenUsed/>
    <w:rsid w:val="009B5C01"/>
  </w:style>
  <w:style w:type="paragraph" w:styleId="Header">
    <w:name w:val="header"/>
    <w:basedOn w:val="Normal"/>
    <w:link w:val="HeaderChar"/>
    <w:uiPriority w:val="99"/>
    <w:unhideWhenUsed/>
    <w:rsid w:val="00B52E0C"/>
    <w:pPr>
      <w:tabs>
        <w:tab w:val="center" w:pos="4513"/>
        <w:tab w:val="right" w:pos="9026"/>
      </w:tabs>
      <w:spacing w:line="240" w:lineRule="auto"/>
    </w:pPr>
  </w:style>
  <w:style w:type="character" w:customStyle="1" w:styleId="HeaderChar">
    <w:name w:val="Header Char"/>
    <w:basedOn w:val="DefaultParagraphFont"/>
    <w:link w:val="Header"/>
    <w:uiPriority w:val="99"/>
    <w:rsid w:val="00B52E0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464">
      <w:bodyDiv w:val="1"/>
      <w:marLeft w:val="0"/>
      <w:marRight w:val="0"/>
      <w:marTop w:val="0"/>
      <w:marBottom w:val="0"/>
      <w:divBdr>
        <w:top w:val="none" w:sz="0" w:space="0" w:color="auto"/>
        <w:left w:val="none" w:sz="0" w:space="0" w:color="auto"/>
        <w:bottom w:val="none" w:sz="0" w:space="0" w:color="auto"/>
        <w:right w:val="none" w:sz="0" w:space="0" w:color="auto"/>
      </w:divBdr>
    </w:div>
    <w:div w:id="14424455">
      <w:bodyDiv w:val="1"/>
      <w:marLeft w:val="0"/>
      <w:marRight w:val="0"/>
      <w:marTop w:val="0"/>
      <w:marBottom w:val="0"/>
      <w:divBdr>
        <w:top w:val="none" w:sz="0" w:space="0" w:color="auto"/>
        <w:left w:val="none" w:sz="0" w:space="0" w:color="auto"/>
        <w:bottom w:val="none" w:sz="0" w:space="0" w:color="auto"/>
        <w:right w:val="none" w:sz="0" w:space="0" w:color="auto"/>
      </w:divBdr>
    </w:div>
    <w:div w:id="21131865">
      <w:bodyDiv w:val="1"/>
      <w:marLeft w:val="0"/>
      <w:marRight w:val="0"/>
      <w:marTop w:val="0"/>
      <w:marBottom w:val="0"/>
      <w:divBdr>
        <w:top w:val="none" w:sz="0" w:space="0" w:color="auto"/>
        <w:left w:val="none" w:sz="0" w:space="0" w:color="auto"/>
        <w:bottom w:val="none" w:sz="0" w:space="0" w:color="auto"/>
        <w:right w:val="none" w:sz="0" w:space="0" w:color="auto"/>
      </w:divBdr>
    </w:div>
    <w:div w:id="35349925">
      <w:bodyDiv w:val="1"/>
      <w:marLeft w:val="0"/>
      <w:marRight w:val="0"/>
      <w:marTop w:val="0"/>
      <w:marBottom w:val="0"/>
      <w:divBdr>
        <w:top w:val="none" w:sz="0" w:space="0" w:color="auto"/>
        <w:left w:val="none" w:sz="0" w:space="0" w:color="auto"/>
        <w:bottom w:val="none" w:sz="0" w:space="0" w:color="auto"/>
        <w:right w:val="none" w:sz="0" w:space="0" w:color="auto"/>
      </w:divBdr>
    </w:div>
    <w:div w:id="42488059">
      <w:bodyDiv w:val="1"/>
      <w:marLeft w:val="0"/>
      <w:marRight w:val="0"/>
      <w:marTop w:val="0"/>
      <w:marBottom w:val="0"/>
      <w:divBdr>
        <w:top w:val="none" w:sz="0" w:space="0" w:color="auto"/>
        <w:left w:val="none" w:sz="0" w:space="0" w:color="auto"/>
        <w:bottom w:val="none" w:sz="0" w:space="0" w:color="auto"/>
        <w:right w:val="none" w:sz="0" w:space="0" w:color="auto"/>
      </w:divBdr>
    </w:div>
    <w:div w:id="53359031">
      <w:bodyDiv w:val="1"/>
      <w:marLeft w:val="0"/>
      <w:marRight w:val="0"/>
      <w:marTop w:val="0"/>
      <w:marBottom w:val="0"/>
      <w:divBdr>
        <w:top w:val="none" w:sz="0" w:space="0" w:color="auto"/>
        <w:left w:val="none" w:sz="0" w:space="0" w:color="auto"/>
        <w:bottom w:val="none" w:sz="0" w:space="0" w:color="auto"/>
        <w:right w:val="none" w:sz="0" w:space="0" w:color="auto"/>
      </w:divBdr>
    </w:div>
    <w:div w:id="55319953">
      <w:bodyDiv w:val="1"/>
      <w:marLeft w:val="0"/>
      <w:marRight w:val="0"/>
      <w:marTop w:val="0"/>
      <w:marBottom w:val="0"/>
      <w:divBdr>
        <w:top w:val="none" w:sz="0" w:space="0" w:color="auto"/>
        <w:left w:val="none" w:sz="0" w:space="0" w:color="auto"/>
        <w:bottom w:val="none" w:sz="0" w:space="0" w:color="auto"/>
        <w:right w:val="none" w:sz="0" w:space="0" w:color="auto"/>
      </w:divBdr>
    </w:div>
    <w:div w:id="55931165">
      <w:bodyDiv w:val="1"/>
      <w:marLeft w:val="0"/>
      <w:marRight w:val="0"/>
      <w:marTop w:val="0"/>
      <w:marBottom w:val="0"/>
      <w:divBdr>
        <w:top w:val="none" w:sz="0" w:space="0" w:color="auto"/>
        <w:left w:val="none" w:sz="0" w:space="0" w:color="auto"/>
        <w:bottom w:val="none" w:sz="0" w:space="0" w:color="auto"/>
        <w:right w:val="none" w:sz="0" w:space="0" w:color="auto"/>
      </w:divBdr>
    </w:div>
    <w:div w:id="60372838">
      <w:bodyDiv w:val="1"/>
      <w:marLeft w:val="0"/>
      <w:marRight w:val="0"/>
      <w:marTop w:val="0"/>
      <w:marBottom w:val="0"/>
      <w:divBdr>
        <w:top w:val="none" w:sz="0" w:space="0" w:color="auto"/>
        <w:left w:val="none" w:sz="0" w:space="0" w:color="auto"/>
        <w:bottom w:val="none" w:sz="0" w:space="0" w:color="auto"/>
        <w:right w:val="none" w:sz="0" w:space="0" w:color="auto"/>
      </w:divBdr>
    </w:div>
    <w:div w:id="61678049">
      <w:bodyDiv w:val="1"/>
      <w:marLeft w:val="0"/>
      <w:marRight w:val="0"/>
      <w:marTop w:val="0"/>
      <w:marBottom w:val="0"/>
      <w:divBdr>
        <w:top w:val="none" w:sz="0" w:space="0" w:color="auto"/>
        <w:left w:val="none" w:sz="0" w:space="0" w:color="auto"/>
        <w:bottom w:val="none" w:sz="0" w:space="0" w:color="auto"/>
        <w:right w:val="none" w:sz="0" w:space="0" w:color="auto"/>
      </w:divBdr>
    </w:div>
    <w:div w:id="65880264">
      <w:bodyDiv w:val="1"/>
      <w:marLeft w:val="0"/>
      <w:marRight w:val="0"/>
      <w:marTop w:val="0"/>
      <w:marBottom w:val="0"/>
      <w:divBdr>
        <w:top w:val="none" w:sz="0" w:space="0" w:color="auto"/>
        <w:left w:val="none" w:sz="0" w:space="0" w:color="auto"/>
        <w:bottom w:val="none" w:sz="0" w:space="0" w:color="auto"/>
        <w:right w:val="none" w:sz="0" w:space="0" w:color="auto"/>
      </w:divBdr>
    </w:div>
    <w:div w:id="67002298">
      <w:bodyDiv w:val="1"/>
      <w:marLeft w:val="0"/>
      <w:marRight w:val="0"/>
      <w:marTop w:val="0"/>
      <w:marBottom w:val="0"/>
      <w:divBdr>
        <w:top w:val="none" w:sz="0" w:space="0" w:color="auto"/>
        <w:left w:val="none" w:sz="0" w:space="0" w:color="auto"/>
        <w:bottom w:val="none" w:sz="0" w:space="0" w:color="auto"/>
        <w:right w:val="none" w:sz="0" w:space="0" w:color="auto"/>
      </w:divBdr>
    </w:div>
    <w:div w:id="93090390">
      <w:bodyDiv w:val="1"/>
      <w:marLeft w:val="0"/>
      <w:marRight w:val="0"/>
      <w:marTop w:val="0"/>
      <w:marBottom w:val="0"/>
      <w:divBdr>
        <w:top w:val="none" w:sz="0" w:space="0" w:color="auto"/>
        <w:left w:val="none" w:sz="0" w:space="0" w:color="auto"/>
        <w:bottom w:val="none" w:sz="0" w:space="0" w:color="auto"/>
        <w:right w:val="none" w:sz="0" w:space="0" w:color="auto"/>
      </w:divBdr>
    </w:div>
    <w:div w:id="112790554">
      <w:bodyDiv w:val="1"/>
      <w:marLeft w:val="0"/>
      <w:marRight w:val="0"/>
      <w:marTop w:val="0"/>
      <w:marBottom w:val="0"/>
      <w:divBdr>
        <w:top w:val="none" w:sz="0" w:space="0" w:color="auto"/>
        <w:left w:val="none" w:sz="0" w:space="0" w:color="auto"/>
        <w:bottom w:val="none" w:sz="0" w:space="0" w:color="auto"/>
        <w:right w:val="none" w:sz="0" w:space="0" w:color="auto"/>
      </w:divBdr>
    </w:div>
    <w:div w:id="116265008">
      <w:bodyDiv w:val="1"/>
      <w:marLeft w:val="0"/>
      <w:marRight w:val="0"/>
      <w:marTop w:val="0"/>
      <w:marBottom w:val="0"/>
      <w:divBdr>
        <w:top w:val="none" w:sz="0" w:space="0" w:color="auto"/>
        <w:left w:val="none" w:sz="0" w:space="0" w:color="auto"/>
        <w:bottom w:val="none" w:sz="0" w:space="0" w:color="auto"/>
        <w:right w:val="none" w:sz="0" w:space="0" w:color="auto"/>
      </w:divBdr>
    </w:div>
    <w:div w:id="134877546">
      <w:bodyDiv w:val="1"/>
      <w:marLeft w:val="0"/>
      <w:marRight w:val="0"/>
      <w:marTop w:val="0"/>
      <w:marBottom w:val="0"/>
      <w:divBdr>
        <w:top w:val="none" w:sz="0" w:space="0" w:color="auto"/>
        <w:left w:val="none" w:sz="0" w:space="0" w:color="auto"/>
        <w:bottom w:val="none" w:sz="0" w:space="0" w:color="auto"/>
        <w:right w:val="none" w:sz="0" w:space="0" w:color="auto"/>
      </w:divBdr>
    </w:div>
    <w:div w:id="146828353">
      <w:bodyDiv w:val="1"/>
      <w:marLeft w:val="0"/>
      <w:marRight w:val="0"/>
      <w:marTop w:val="0"/>
      <w:marBottom w:val="0"/>
      <w:divBdr>
        <w:top w:val="none" w:sz="0" w:space="0" w:color="auto"/>
        <w:left w:val="none" w:sz="0" w:space="0" w:color="auto"/>
        <w:bottom w:val="none" w:sz="0" w:space="0" w:color="auto"/>
        <w:right w:val="none" w:sz="0" w:space="0" w:color="auto"/>
      </w:divBdr>
    </w:div>
    <w:div w:id="160045081">
      <w:bodyDiv w:val="1"/>
      <w:marLeft w:val="0"/>
      <w:marRight w:val="0"/>
      <w:marTop w:val="0"/>
      <w:marBottom w:val="0"/>
      <w:divBdr>
        <w:top w:val="none" w:sz="0" w:space="0" w:color="auto"/>
        <w:left w:val="none" w:sz="0" w:space="0" w:color="auto"/>
        <w:bottom w:val="none" w:sz="0" w:space="0" w:color="auto"/>
        <w:right w:val="none" w:sz="0" w:space="0" w:color="auto"/>
      </w:divBdr>
    </w:div>
    <w:div w:id="160508015">
      <w:bodyDiv w:val="1"/>
      <w:marLeft w:val="0"/>
      <w:marRight w:val="0"/>
      <w:marTop w:val="0"/>
      <w:marBottom w:val="0"/>
      <w:divBdr>
        <w:top w:val="none" w:sz="0" w:space="0" w:color="auto"/>
        <w:left w:val="none" w:sz="0" w:space="0" w:color="auto"/>
        <w:bottom w:val="none" w:sz="0" w:space="0" w:color="auto"/>
        <w:right w:val="none" w:sz="0" w:space="0" w:color="auto"/>
      </w:divBdr>
    </w:div>
    <w:div w:id="184559702">
      <w:bodyDiv w:val="1"/>
      <w:marLeft w:val="0"/>
      <w:marRight w:val="0"/>
      <w:marTop w:val="0"/>
      <w:marBottom w:val="0"/>
      <w:divBdr>
        <w:top w:val="none" w:sz="0" w:space="0" w:color="auto"/>
        <w:left w:val="none" w:sz="0" w:space="0" w:color="auto"/>
        <w:bottom w:val="none" w:sz="0" w:space="0" w:color="auto"/>
        <w:right w:val="none" w:sz="0" w:space="0" w:color="auto"/>
      </w:divBdr>
    </w:div>
    <w:div w:id="210773124">
      <w:bodyDiv w:val="1"/>
      <w:marLeft w:val="0"/>
      <w:marRight w:val="0"/>
      <w:marTop w:val="0"/>
      <w:marBottom w:val="0"/>
      <w:divBdr>
        <w:top w:val="none" w:sz="0" w:space="0" w:color="auto"/>
        <w:left w:val="none" w:sz="0" w:space="0" w:color="auto"/>
        <w:bottom w:val="none" w:sz="0" w:space="0" w:color="auto"/>
        <w:right w:val="none" w:sz="0" w:space="0" w:color="auto"/>
      </w:divBdr>
    </w:div>
    <w:div w:id="231743460">
      <w:bodyDiv w:val="1"/>
      <w:marLeft w:val="0"/>
      <w:marRight w:val="0"/>
      <w:marTop w:val="0"/>
      <w:marBottom w:val="0"/>
      <w:divBdr>
        <w:top w:val="none" w:sz="0" w:space="0" w:color="auto"/>
        <w:left w:val="none" w:sz="0" w:space="0" w:color="auto"/>
        <w:bottom w:val="none" w:sz="0" w:space="0" w:color="auto"/>
        <w:right w:val="none" w:sz="0" w:space="0" w:color="auto"/>
      </w:divBdr>
    </w:div>
    <w:div w:id="246378819">
      <w:bodyDiv w:val="1"/>
      <w:marLeft w:val="0"/>
      <w:marRight w:val="0"/>
      <w:marTop w:val="0"/>
      <w:marBottom w:val="0"/>
      <w:divBdr>
        <w:top w:val="none" w:sz="0" w:space="0" w:color="auto"/>
        <w:left w:val="none" w:sz="0" w:space="0" w:color="auto"/>
        <w:bottom w:val="none" w:sz="0" w:space="0" w:color="auto"/>
        <w:right w:val="none" w:sz="0" w:space="0" w:color="auto"/>
      </w:divBdr>
    </w:div>
    <w:div w:id="247428804">
      <w:bodyDiv w:val="1"/>
      <w:marLeft w:val="0"/>
      <w:marRight w:val="0"/>
      <w:marTop w:val="0"/>
      <w:marBottom w:val="0"/>
      <w:divBdr>
        <w:top w:val="none" w:sz="0" w:space="0" w:color="auto"/>
        <w:left w:val="none" w:sz="0" w:space="0" w:color="auto"/>
        <w:bottom w:val="none" w:sz="0" w:space="0" w:color="auto"/>
        <w:right w:val="none" w:sz="0" w:space="0" w:color="auto"/>
      </w:divBdr>
    </w:div>
    <w:div w:id="251084951">
      <w:bodyDiv w:val="1"/>
      <w:marLeft w:val="0"/>
      <w:marRight w:val="0"/>
      <w:marTop w:val="0"/>
      <w:marBottom w:val="0"/>
      <w:divBdr>
        <w:top w:val="none" w:sz="0" w:space="0" w:color="auto"/>
        <w:left w:val="none" w:sz="0" w:space="0" w:color="auto"/>
        <w:bottom w:val="none" w:sz="0" w:space="0" w:color="auto"/>
        <w:right w:val="none" w:sz="0" w:space="0" w:color="auto"/>
      </w:divBdr>
    </w:div>
    <w:div w:id="289939798">
      <w:bodyDiv w:val="1"/>
      <w:marLeft w:val="0"/>
      <w:marRight w:val="0"/>
      <w:marTop w:val="0"/>
      <w:marBottom w:val="0"/>
      <w:divBdr>
        <w:top w:val="none" w:sz="0" w:space="0" w:color="auto"/>
        <w:left w:val="none" w:sz="0" w:space="0" w:color="auto"/>
        <w:bottom w:val="none" w:sz="0" w:space="0" w:color="auto"/>
        <w:right w:val="none" w:sz="0" w:space="0" w:color="auto"/>
      </w:divBdr>
    </w:div>
    <w:div w:id="294340360">
      <w:bodyDiv w:val="1"/>
      <w:marLeft w:val="0"/>
      <w:marRight w:val="0"/>
      <w:marTop w:val="0"/>
      <w:marBottom w:val="0"/>
      <w:divBdr>
        <w:top w:val="none" w:sz="0" w:space="0" w:color="auto"/>
        <w:left w:val="none" w:sz="0" w:space="0" w:color="auto"/>
        <w:bottom w:val="none" w:sz="0" w:space="0" w:color="auto"/>
        <w:right w:val="none" w:sz="0" w:space="0" w:color="auto"/>
      </w:divBdr>
    </w:div>
    <w:div w:id="303511321">
      <w:bodyDiv w:val="1"/>
      <w:marLeft w:val="0"/>
      <w:marRight w:val="0"/>
      <w:marTop w:val="0"/>
      <w:marBottom w:val="0"/>
      <w:divBdr>
        <w:top w:val="none" w:sz="0" w:space="0" w:color="auto"/>
        <w:left w:val="none" w:sz="0" w:space="0" w:color="auto"/>
        <w:bottom w:val="none" w:sz="0" w:space="0" w:color="auto"/>
        <w:right w:val="none" w:sz="0" w:space="0" w:color="auto"/>
      </w:divBdr>
    </w:div>
    <w:div w:id="342367617">
      <w:bodyDiv w:val="1"/>
      <w:marLeft w:val="0"/>
      <w:marRight w:val="0"/>
      <w:marTop w:val="0"/>
      <w:marBottom w:val="0"/>
      <w:divBdr>
        <w:top w:val="none" w:sz="0" w:space="0" w:color="auto"/>
        <w:left w:val="none" w:sz="0" w:space="0" w:color="auto"/>
        <w:bottom w:val="none" w:sz="0" w:space="0" w:color="auto"/>
        <w:right w:val="none" w:sz="0" w:space="0" w:color="auto"/>
      </w:divBdr>
    </w:div>
    <w:div w:id="354698213">
      <w:bodyDiv w:val="1"/>
      <w:marLeft w:val="0"/>
      <w:marRight w:val="0"/>
      <w:marTop w:val="0"/>
      <w:marBottom w:val="0"/>
      <w:divBdr>
        <w:top w:val="none" w:sz="0" w:space="0" w:color="auto"/>
        <w:left w:val="none" w:sz="0" w:space="0" w:color="auto"/>
        <w:bottom w:val="none" w:sz="0" w:space="0" w:color="auto"/>
        <w:right w:val="none" w:sz="0" w:space="0" w:color="auto"/>
      </w:divBdr>
    </w:div>
    <w:div w:id="373313393">
      <w:bodyDiv w:val="1"/>
      <w:marLeft w:val="0"/>
      <w:marRight w:val="0"/>
      <w:marTop w:val="0"/>
      <w:marBottom w:val="0"/>
      <w:divBdr>
        <w:top w:val="none" w:sz="0" w:space="0" w:color="auto"/>
        <w:left w:val="none" w:sz="0" w:space="0" w:color="auto"/>
        <w:bottom w:val="none" w:sz="0" w:space="0" w:color="auto"/>
        <w:right w:val="none" w:sz="0" w:space="0" w:color="auto"/>
      </w:divBdr>
    </w:div>
    <w:div w:id="389426397">
      <w:bodyDiv w:val="1"/>
      <w:marLeft w:val="0"/>
      <w:marRight w:val="0"/>
      <w:marTop w:val="0"/>
      <w:marBottom w:val="0"/>
      <w:divBdr>
        <w:top w:val="none" w:sz="0" w:space="0" w:color="auto"/>
        <w:left w:val="none" w:sz="0" w:space="0" w:color="auto"/>
        <w:bottom w:val="none" w:sz="0" w:space="0" w:color="auto"/>
        <w:right w:val="none" w:sz="0" w:space="0" w:color="auto"/>
      </w:divBdr>
    </w:div>
    <w:div w:id="405803372">
      <w:bodyDiv w:val="1"/>
      <w:marLeft w:val="0"/>
      <w:marRight w:val="0"/>
      <w:marTop w:val="0"/>
      <w:marBottom w:val="0"/>
      <w:divBdr>
        <w:top w:val="none" w:sz="0" w:space="0" w:color="auto"/>
        <w:left w:val="none" w:sz="0" w:space="0" w:color="auto"/>
        <w:bottom w:val="none" w:sz="0" w:space="0" w:color="auto"/>
        <w:right w:val="none" w:sz="0" w:space="0" w:color="auto"/>
      </w:divBdr>
    </w:div>
    <w:div w:id="431896337">
      <w:bodyDiv w:val="1"/>
      <w:marLeft w:val="0"/>
      <w:marRight w:val="0"/>
      <w:marTop w:val="0"/>
      <w:marBottom w:val="0"/>
      <w:divBdr>
        <w:top w:val="none" w:sz="0" w:space="0" w:color="auto"/>
        <w:left w:val="none" w:sz="0" w:space="0" w:color="auto"/>
        <w:bottom w:val="none" w:sz="0" w:space="0" w:color="auto"/>
        <w:right w:val="none" w:sz="0" w:space="0" w:color="auto"/>
      </w:divBdr>
    </w:div>
    <w:div w:id="435831424">
      <w:bodyDiv w:val="1"/>
      <w:marLeft w:val="0"/>
      <w:marRight w:val="0"/>
      <w:marTop w:val="0"/>
      <w:marBottom w:val="0"/>
      <w:divBdr>
        <w:top w:val="none" w:sz="0" w:space="0" w:color="auto"/>
        <w:left w:val="none" w:sz="0" w:space="0" w:color="auto"/>
        <w:bottom w:val="none" w:sz="0" w:space="0" w:color="auto"/>
        <w:right w:val="none" w:sz="0" w:space="0" w:color="auto"/>
      </w:divBdr>
    </w:div>
    <w:div w:id="447088183">
      <w:bodyDiv w:val="1"/>
      <w:marLeft w:val="0"/>
      <w:marRight w:val="0"/>
      <w:marTop w:val="0"/>
      <w:marBottom w:val="0"/>
      <w:divBdr>
        <w:top w:val="none" w:sz="0" w:space="0" w:color="auto"/>
        <w:left w:val="none" w:sz="0" w:space="0" w:color="auto"/>
        <w:bottom w:val="none" w:sz="0" w:space="0" w:color="auto"/>
        <w:right w:val="none" w:sz="0" w:space="0" w:color="auto"/>
      </w:divBdr>
    </w:div>
    <w:div w:id="451024305">
      <w:bodyDiv w:val="1"/>
      <w:marLeft w:val="0"/>
      <w:marRight w:val="0"/>
      <w:marTop w:val="0"/>
      <w:marBottom w:val="0"/>
      <w:divBdr>
        <w:top w:val="none" w:sz="0" w:space="0" w:color="auto"/>
        <w:left w:val="none" w:sz="0" w:space="0" w:color="auto"/>
        <w:bottom w:val="none" w:sz="0" w:space="0" w:color="auto"/>
        <w:right w:val="none" w:sz="0" w:space="0" w:color="auto"/>
      </w:divBdr>
    </w:div>
    <w:div w:id="452556898">
      <w:bodyDiv w:val="1"/>
      <w:marLeft w:val="0"/>
      <w:marRight w:val="0"/>
      <w:marTop w:val="0"/>
      <w:marBottom w:val="0"/>
      <w:divBdr>
        <w:top w:val="none" w:sz="0" w:space="0" w:color="auto"/>
        <w:left w:val="none" w:sz="0" w:space="0" w:color="auto"/>
        <w:bottom w:val="none" w:sz="0" w:space="0" w:color="auto"/>
        <w:right w:val="none" w:sz="0" w:space="0" w:color="auto"/>
      </w:divBdr>
    </w:div>
    <w:div w:id="466431137">
      <w:bodyDiv w:val="1"/>
      <w:marLeft w:val="0"/>
      <w:marRight w:val="0"/>
      <w:marTop w:val="0"/>
      <w:marBottom w:val="0"/>
      <w:divBdr>
        <w:top w:val="none" w:sz="0" w:space="0" w:color="auto"/>
        <w:left w:val="none" w:sz="0" w:space="0" w:color="auto"/>
        <w:bottom w:val="none" w:sz="0" w:space="0" w:color="auto"/>
        <w:right w:val="none" w:sz="0" w:space="0" w:color="auto"/>
      </w:divBdr>
    </w:div>
    <w:div w:id="478110837">
      <w:bodyDiv w:val="1"/>
      <w:marLeft w:val="0"/>
      <w:marRight w:val="0"/>
      <w:marTop w:val="0"/>
      <w:marBottom w:val="0"/>
      <w:divBdr>
        <w:top w:val="none" w:sz="0" w:space="0" w:color="auto"/>
        <w:left w:val="none" w:sz="0" w:space="0" w:color="auto"/>
        <w:bottom w:val="none" w:sz="0" w:space="0" w:color="auto"/>
        <w:right w:val="none" w:sz="0" w:space="0" w:color="auto"/>
      </w:divBdr>
    </w:div>
    <w:div w:id="490490240">
      <w:bodyDiv w:val="1"/>
      <w:marLeft w:val="0"/>
      <w:marRight w:val="0"/>
      <w:marTop w:val="0"/>
      <w:marBottom w:val="0"/>
      <w:divBdr>
        <w:top w:val="none" w:sz="0" w:space="0" w:color="auto"/>
        <w:left w:val="none" w:sz="0" w:space="0" w:color="auto"/>
        <w:bottom w:val="none" w:sz="0" w:space="0" w:color="auto"/>
        <w:right w:val="none" w:sz="0" w:space="0" w:color="auto"/>
      </w:divBdr>
    </w:div>
    <w:div w:id="502666924">
      <w:bodyDiv w:val="1"/>
      <w:marLeft w:val="0"/>
      <w:marRight w:val="0"/>
      <w:marTop w:val="0"/>
      <w:marBottom w:val="0"/>
      <w:divBdr>
        <w:top w:val="none" w:sz="0" w:space="0" w:color="auto"/>
        <w:left w:val="none" w:sz="0" w:space="0" w:color="auto"/>
        <w:bottom w:val="none" w:sz="0" w:space="0" w:color="auto"/>
        <w:right w:val="none" w:sz="0" w:space="0" w:color="auto"/>
      </w:divBdr>
    </w:div>
    <w:div w:id="509177562">
      <w:bodyDiv w:val="1"/>
      <w:marLeft w:val="0"/>
      <w:marRight w:val="0"/>
      <w:marTop w:val="0"/>
      <w:marBottom w:val="0"/>
      <w:divBdr>
        <w:top w:val="none" w:sz="0" w:space="0" w:color="auto"/>
        <w:left w:val="none" w:sz="0" w:space="0" w:color="auto"/>
        <w:bottom w:val="none" w:sz="0" w:space="0" w:color="auto"/>
        <w:right w:val="none" w:sz="0" w:space="0" w:color="auto"/>
      </w:divBdr>
    </w:div>
    <w:div w:id="509563309">
      <w:bodyDiv w:val="1"/>
      <w:marLeft w:val="0"/>
      <w:marRight w:val="0"/>
      <w:marTop w:val="0"/>
      <w:marBottom w:val="0"/>
      <w:divBdr>
        <w:top w:val="none" w:sz="0" w:space="0" w:color="auto"/>
        <w:left w:val="none" w:sz="0" w:space="0" w:color="auto"/>
        <w:bottom w:val="none" w:sz="0" w:space="0" w:color="auto"/>
        <w:right w:val="none" w:sz="0" w:space="0" w:color="auto"/>
      </w:divBdr>
    </w:div>
    <w:div w:id="530530376">
      <w:bodyDiv w:val="1"/>
      <w:marLeft w:val="0"/>
      <w:marRight w:val="0"/>
      <w:marTop w:val="0"/>
      <w:marBottom w:val="0"/>
      <w:divBdr>
        <w:top w:val="none" w:sz="0" w:space="0" w:color="auto"/>
        <w:left w:val="none" w:sz="0" w:space="0" w:color="auto"/>
        <w:bottom w:val="none" w:sz="0" w:space="0" w:color="auto"/>
        <w:right w:val="none" w:sz="0" w:space="0" w:color="auto"/>
      </w:divBdr>
    </w:div>
    <w:div w:id="558175706">
      <w:bodyDiv w:val="1"/>
      <w:marLeft w:val="0"/>
      <w:marRight w:val="0"/>
      <w:marTop w:val="0"/>
      <w:marBottom w:val="0"/>
      <w:divBdr>
        <w:top w:val="none" w:sz="0" w:space="0" w:color="auto"/>
        <w:left w:val="none" w:sz="0" w:space="0" w:color="auto"/>
        <w:bottom w:val="none" w:sz="0" w:space="0" w:color="auto"/>
        <w:right w:val="none" w:sz="0" w:space="0" w:color="auto"/>
      </w:divBdr>
    </w:div>
    <w:div w:id="560873197">
      <w:bodyDiv w:val="1"/>
      <w:marLeft w:val="0"/>
      <w:marRight w:val="0"/>
      <w:marTop w:val="0"/>
      <w:marBottom w:val="0"/>
      <w:divBdr>
        <w:top w:val="none" w:sz="0" w:space="0" w:color="auto"/>
        <w:left w:val="none" w:sz="0" w:space="0" w:color="auto"/>
        <w:bottom w:val="none" w:sz="0" w:space="0" w:color="auto"/>
        <w:right w:val="none" w:sz="0" w:space="0" w:color="auto"/>
      </w:divBdr>
    </w:div>
    <w:div w:id="562567612">
      <w:bodyDiv w:val="1"/>
      <w:marLeft w:val="0"/>
      <w:marRight w:val="0"/>
      <w:marTop w:val="0"/>
      <w:marBottom w:val="0"/>
      <w:divBdr>
        <w:top w:val="none" w:sz="0" w:space="0" w:color="auto"/>
        <w:left w:val="none" w:sz="0" w:space="0" w:color="auto"/>
        <w:bottom w:val="none" w:sz="0" w:space="0" w:color="auto"/>
        <w:right w:val="none" w:sz="0" w:space="0" w:color="auto"/>
      </w:divBdr>
    </w:div>
    <w:div w:id="576329745">
      <w:bodyDiv w:val="1"/>
      <w:marLeft w:val="0"/>
      <w:marRight w:val="0"/>
      <w:marTop w:val="0"/>
      <w:marBottom w:val="0"/>
      <w:divBdr>
        <w:top w:val="none" w:sz="0" w:space="0" w:color="auto"/>
        <w:left w:val="none" w:sz="0" w:space="0" w:color="auto"/>
        <w:bottom w:val="none" w:sz="0" w:space="0" w:color="auto"/>
        <w:right w:val="none" w:sz="0" w:space="0" w:color="auto"/>
      </w:divBdr>
    </w:div>
    <w:div w:id="577248741">
      <w:bodyDiv w:val="1"/>
      <w:marLeft w:val="0"/>
      <w:marRight w:val="0"/>
      <w:marTop w:val="0"/>
      <w:marBottom w:val="0"/>
      <w:divBdr>
        <w:top w:val="none" w:sz="0" w:space="0" w:color="auto"/>
        <w:left w:val="none" w:sz="0" w:space="0" w:color="auto"/>
        <w:bottom w:val="none" w:sz="0" w:space="0" w:color="auto"/>
        <w:right w:val="none" w:sz="0" w:space="0" w:color="auto"/>
      </w:divBdr>
    </w:div>
    <w:div w:id="579213687">
      <w:bodyDiv w:val="1"/>
      <w:marLeft w:val="0"/>
      <w:marRight w:val="0"/>
      <w:marTop w:val="0"/>
      <w:marBottom w:val="0"/>
      <w:divBdr>
        <w:top w:val="none" w:sz="0" w:space="0" w:color="auto"/>
        <w:left w:val="none" w:sz="0" w:space="0" w:color="auto"/>
        <w:bottom w:val="none" w:sz="0" w:space="0" w:color="auto"/>
        <w:right w:val="none" w:sz="0" w:space="0" w:color="auto"/>
      </w:divBdr>
    </w:div>
    <w:div w:id="602030776">
      <w:bodyDiv w:val="1"/>
      <w:marLeft w:val="0"/>
      <w:marRight w:val="0"/>
      <w:marTop w:val="0"/>
      <w:marBottom w:val="0"/>
      <w:divBdr>
        <w:top w:val="none" w:sz="0" w:space="0" w:color="auto"/>
        <w:left w:val="none" w:sz="0" w:space="0" w:color="auto"/>
        <w:bottom w:val="none" w:sz="0" w:space="0" w:color="auto"/>
        <w:right w:val="none" w:sz="0" w:space="0" w:color="auto"/>
      </w:divBdr>
    </w:div>
    <w:div w:id="624578347">
      <w:bodyDiv w:val="1"/>
      <w:marLeft w:val="0"/>
      <w:marRight w:val="0"/>
      <w:marTop w:val="0"/>
      <w:marBottom w:val="0"/>
      <w:divBdr>
        <w:top w:val="none" w:sz="0" w:space="0" w:color="auto"/>
        <w:left w:val="none" w:sz="0" w:space="0" w:color="auto"/>
        <w:bottom w:val="none" w:sz="0" w:space="0" w:color="auto"/>
        <w:right w:val="none" w:sz="0" w:space="0" w:color="auto"/>
      </w:divBdr>
    </w:div>
    <w:div w:id="633485264">
      <w:bodyDiv w:val="1"/>
      <w:marLeft w:val="0"/>
      <w:marRight w:val="0"/>
      <w:marTop w:val="0"/>
      <w:marBottom w:val="0"/>
      <w:divBdr>
        <w:top w:val="none" w:sz="0" w:space="0" w:color="auto"/>
        <w:left w:val="none" w:sz="0" w:space="0" w:color="auto"/>
        <w:bottom w:val="none" w:sz="0" w:space="0" w:color="auto"/>
        <w:right w:val="none" w:sz="0" w:space="0" w:color="auto"/>
      </w:divBdr>
    </w:div>
    <w:div w:id="644818185">
      <w:bodyDiv w:val="1"/>
      <w:marLeft w:val="0"/>
      <w:marRight w:val="0"/>
      <w:marTop w:val="0"/>
      <w:marBottom w:val="0"/>
      <w:divBdr>
        <w:top w:val="none" w:sz="0" w:space="0" w:color="auto"/>
        <w:left w:val="none" w:sz="0" w:space="0" w:color="auto"/>
        <w:bottom w:val="none" w:sz="0" w:space="0" w:color="auto"/>
        <w:right w:val="none" w:sz="0" w:space="0" w:color="auto"/>
      </w:divBdr>
    </w:div>
    <w:div w:id="651056381">
      <w:bodyDiv w:val="1"/>
      <w:marLeft w:val="0"/>
      <w:marRight w:val="0"/>
      <w:marTop w:val="0"/>
      <w:marBottom w:val="0"/>
      <w:divBdr>
        <w:top w:val="none" w:sz="0" w:space="0" w:color="auto"/>
        <w:left w:val="none" w:sz="0" w:space="0" w:color="auto"/>
        <w:bottom w:val="none" w:sz="0" w:space="0" w:color="auto"/>
        <w:right w:val="none" w:sz="0" w:space="0" w:color="auto"/>
      </w:divBdr>
      <w:divsChild>
        <w:div w:id="49997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935195">
      <w:bodyDiv w:val="1"/>
      <w:marLeft w:val="0"/>
      <w:marRight w:val="0"/>
      <w:marTop w:val="0"/>
      <w:marBottom w:val="0"/>
      <w:divBdr>
        <w:top w:val="none" w:sz="0" w:space="0" w:color="auto"/>
        <w:left w:val="none" w:sz="0" w:space="0" w:color="auto"/>
        <w:bottom w:val="none" w:sz="0" w:space="0" w:color="auto"/>
        <w:right w:val="none" w:sz="0" w:space="0" w:color="auto"/>
      </w:divBdr>
    </w:div>
    <w:div w:id="720708663">
      <w:bodyDiv w:val="1"/>
      <w:marLeft w:val="0"/>
      <w:marRight w:val="0"/>
      <w:marTop w:val="0"/>
      <w:marBottom w:val="0"/>
      <w:divBdr>
        <w:top w:val="none" w:sz="0" w:space="0" w:color="auto"/>
        <w:left w:val="none" w:sz="0" w:space="0" w:color="auto"/>
        <w:bottom w:val="none" w:sz="0" w:space="0" w:color="auto"/>
        <w:right w:val="none" w:sz="0" w:space="0" w:color="auto"/>
      </w:divBdr>
    </w:div>
    <w:div w:id="755519775">
      <w:bodyDiv w:val="1"/>
      <w:marLeft w:val="0"/>
      <w:marRight w:val="0"/>
      <w:marTop w:val="0"/>
      <w:marBottom w:val="0"/>
      <w:divBdr>
        <w:top w:val="none" w:sz="0" w:space="0" w:color="auto"/>
        <w:left w:val="none" w:sz="0" w:space="0" w:color="auto"/>
        <w:bottom w:val="none" w:sz="0" w:space="0" w:color="auto"/>
        <w:right w:val="none" w:sz="0" w:space="0" w:color="auto"/>
      </w:divBdr>
    </w:div>
    <w:div w:id="772213460">
      <w:bodyDiv w:val="1"/>
      <w:marLeft w:val="0"/>
      <w:marRight w:val="0"/>
      <w:marTop w:val="0"/>
      <w:marBottom w:val="0"/>
      <w:divBdr>
        <w:top w:val="none" w:sz="0" w:space="0" w:color="auto"/>
        <w:left w:val="none" w:sz="0" w:space="0" w:color="auto"/>
        <w:bottom w:val="none" w:sz="0" w:space="0" w:color="auto"/>
        <w:right w:val="none" w:sz="0" w:space="0" w:color="auto"/>
      </w:divBdr>
    </w:div>
    <w:div w:id="801847938">
      <w:bodyDiv w:val="1"/>
      <w:marLeft w:val="0"/>
      <w:marRight w:val="0"/>
      <w:marTop w:val="0"/>
      <w:marBottom w:val="0"/>
      <w:divBdr>
        <w:top w:val="none" w:sz="0" w:space="0" w:color="auto"/>
        <w:left w:val="none" w:sz="0" w:space="0" w:color="auto"/>
        <w:bottom w:val="none" w:sz="0" w:space="0" w:color="auto"/>
        <w:right w:val="none" w:sz="0" w:space="0" w:color="auto"/>
      </w:divBdr>
    </w:div>
    <w:div w:id="808864819">
      <w:bodyDiv w:val="1"/>
      <w:marLeft w:val="0"/>
      <w:marRight w:val="0"/>
      <w:marTop w:val="0"/>
      <w:marBottom w:val="0"/>
      <w:divBdr>
        <w:top w:val="none" w:sz="0" w:space="0" w:color="auto"/>
        <w:left w:val="none" w:sz="0" w:space="0" w:color="auto"/>
        <w:bottom w:val="none" w:sz="0" w:space="0" w:color="auto"/>
        <w:right w:val="none" w:sz="0" w:space="0" w:color="auto"/>
      </w:divBdr>
    </w:div>
    <w:div w:id="809444599">
      <w:bodyDiv w:val="1"/>
      <w:marLeft w:val="0"/>
      <w:marRight w:val="0"/>
      <w:marTop w:val="0"/>
      <w:marBottom w:val="0"/>
      <w:divBdr>
        <w:top w:val="none" w:sz="0" w:space="0" w:color="auto"/>
        <w:left w:val="none" w:sz="0" w:space="0" w:color="auto"/>
        <w:bottom w:val="none" w:sz="0" w:space="0" w:color="auto"/>
        <w:right w:val="none" w:sz="0" w:space="0" w:color="auto"/>
      </w:divBdr>
    </w:div>
    <w:div w:id="812404079">
      <w:bodyDiv w:val="1"/>
      <w:marLeft w:val="0"/>
      <w:marRight w:val="0"/>
      <w:marTop w:val="0"/>
      <w:marBottom w:val="0"/>
      <w:divBdr>
        <w:top w:val="none" w:sz="0" w:space="0" w:color="auto"/>
        <w:left w:val="none" w:sz="0" w:space="0" w:color="auto"/>
        <w:bottom w:val="none" w:sz="0" w:space="0" w:color="auto"/>
        <w:right w:val="none" w:sz="0" w:space="0" w:color="auto"/>
      </w:divBdr>
    </w:div>
    <w:div w:id="819811622">
      <w:bodyDiv w:val="1"/>
      <w:marLeft w:val="0"/>
      <w:marRight w:val="0"/>
      <w:marTop w:val="0"/>
      <w:marBottom w:val="0"/>
      <w:divBdr>
        <w:top w:val="none" w:sz="0" w:space="0" w:color="auto"/>
        <w:left w:val="none" w:sz="0" w:space="0" w:color="auto"/>
        <w:bottom w:val="none" w:sz="0" w:space="0" w:color="auto"/>
        <w:right w:val="none" w:sz="0" w:space="0" w:color="auto"/>
      </w:divBdr>
    </w:div>
    <w:div w:id="828861332">
      <w:bodyDiv w:val="1"/>
      <w:marLeft w:val="0"/>
      <w:marRight w:val="0"/>
      <w:marTop w:val="0"/>
      <w:marBottom w:val="0"/>
      <w:divBdr>
        <w:top w:val="none" w:sz="0" w:space="0" w:color="auto"/>
        <w:left w:val="none" w:sz="0" w:space="0" w:color="auto"/>
        <w:bottom w:val="none" w:sz="0" w:space="0" w:color="auto"/>
        <w:right w:val="none" w:sz="0" w:space="0" w:color="auto"/>
      </w:divBdr>
    </w:div>
    <w:div w:id="831071353">
      <w:bodyDiv w:val="1"/>
      <w:marLeft w:val="0"/>
      <w:marRight w:val="0"/>
      <w:marTop w:val="0"/>
      <w:marBottom w:val="0"/>
      <w:divBdr>
        <w:top w:val="none" w:sz="0" w:space="0" w:color="auto"/>
        <w:left w:val="none" w:sz="0" w:space="0" w:color="auto"/>
        <w:bottom w:val="none" w:sz="0" w:space="0" w:color="auto"/>
        <w:right w:val="none" w:sz="0" w:space="0" w:color="auto"/>
      </w:divBdr>
    </w:div>
    <w:div w:id="835001989">
      <w:bodyDiv w:val="1"/>
      <w:marLeft w:val="0"/>
      <w:marRight w:val="0"/>
      <w:marTop w:val="0"/>
      <w:marBottom w:val="0"/>
      <w:divBdr>
        <w:top w:val="none" w:sz="0" w:space="0" w:color="auto"/>
        <w:left w:val="none" w:sz="0" w:space="0" w:color="auto"/>
        <w:bottom w:val="none" w:sz="0" w:space="0" w:color="auto"/>
        <w:right w:val="none" w:sz="0" w:space="0" w:color="auto"/>
      </w:divBdr>
    </w:div>
    <w:div w:id="842551898">
      <w:bodyDiv w:val="1"/>
      <w:marLeft w:val="0"/>
      <w:marRight w:val="0"/>
      <w:marTop w:val="0"/>
      <w:marBottom w:val="0"/>
      <w:divBdr>
        <w:top w:val="none" w:sz="0" w:space="0" w:color="auto"/>
        <w:left w:val="none" w:sz="0" w:space="0" w:color="auto"/>
        <w:bottom w:val="none" w:sz="0" w:space="0" w:color="auto"/>
        <w:right w:val="none" w:sz="0" w:space="0" w:color="auto"/>
      </w:divBdr>
    </w:div>
    <w:div w:id="894006420">
      <w:bodyDiv w:val="1"/>
      <w:marLeft w:val="0"/>
      <w:marRight w:val="0"/>
      <w:marTop w:val="0"/>
      <w:marBottom w:val="0"/>
      <w:divBdr>
        <w:top w:val="none" w:sz="0" w:space="0" w:color="auto"/>
        <w:left w:val="none" w:sz="0" w:space="0" w:color="auto"/>
        <w:bottom w:val="none" w:sz="0" w:space="0" w:color="auto"/>
        <w:right w:val="none" w:sz="0" w:space="0" w:color="auto"/>
      </w:divBdr>
    </w:div>
    <w:div w:id="915481959">
      <w:bodyDiv w:val="1"/>
      <w:marLeft w:val="0"/>
      <w:marRight w:val="0"/>
      <w:marTop w:val="0"/>
      <w:marBottom w:val="0"/>
      <w:divBdr>
        <w:top w:val="none" w:sz="0" w:space="0" w:color="auto"/>
        <w:left w:val="none" w:sz="0" w:space="0" w:color="auto"/>
        <w:bottom w:val="none" w:sz="0" w:space="0" w:color="auto"/>
        <w:right w:val="none" w:sz="0" w:space="0" w:color="auto"/>
      </w:divBdr>
    </w:div>
    <w:div w:id="924220975">
      <w:bodyDiv w:val="1"/>
      <w:marLeft w:val="0"/>
      <w:marRight w:val="0"/>
      <w:marTop w:val="0"/>
      <w:marBottom w:val="0"/>
      <w:divBdr>
        <w:top w:val="none" w:sz="0" w:space="0" w:color="auto"/>
        <w:left w:val="none" w:sz="0" w:space="0" w:color="auto"/>
        <w:bottom w:val="none" w:sz="0" w:space="0" w:color="auto"/>
        <w:right w:val="none" w:sz="0" w:space="0" w:color="auto"/>
      </w:divBdr>
    </w:div>
    <w:div w:id="928658678">
      <w:bodyDiv w:val="1"/>
      <w:marLeft w:val="0"/>
      <w:marRight w:val="0"/>
      <w:marTop w:val="0"/>
      <w:marBottom w:val="0"/>
      <w:divBdr>
        <w:top w:val="none" w:sz="0" w:space="0" w:color="auto"/>
        <w:left w:val="none" w:sz="0" w:space="0" w:color="auto"/>
        <w:bottom w:val="none" w:sz="0" w:space="0" w:color="auto"/>
        <w:right w:val="none" w:sz="0" w:space="0" w:color="auto"/>
      </w:divBdr>
    </w:div>
    <w:div w:id="941183277">
      <w:bodyDiv w:val="1"/>
      <w:marLeft w:val="0"/>
      <w:marRight w:val="0"/>
      <w:marTop w:val="0"/>
      <w:marBottom w:val="0"/>
      <w:divBdr>
        <w:top w:val="none" w:sz="0" w:space="0" w:color="auto"/>
        <w:left w:val="none" w:sz="0" w:space="0" w:color="auto"/>
        <w:bottom w:val="none" w:sz="0" w:space="0" w:color="auto"/>
        <w:right w:val="none" w:sz="0" w:space="0" w:color="auto"/>
      </w:divBdr>
    </w:div>
    <w:div w:id="953947923">
      <w:bodyDiv w:val="1"/>
      <w:marLeft w:val="0"/>
      <w:marRight w:val="0"/>
      <w:marTop w:val="0"/>
      <w:marBottom w:val="0"/>
      <w:divBdr>
        <w:top w:val="none" w:sz="0" w:space="0" w:color="auto"/>
        <w:left w:val="none" w:sz="0" w:space="0" w:color="auto"/>
        <w:bottom w:val="none" w:sz="0" w:space="0" w:color="auto"/>
        <w:right w:val="none" w:sz="0" w:space="0" w:color="auto"/>
      </w:divBdr>
    </w:div>
    <w:div w:id="962032424">
      <w:bodyDiv w:val="1"/>
      <w:marLeft w:val="0"/>
      <w:marRight w:val="0"/>
      <w:marTop w:val="0"/>
      <w:marBottom w:val="0"/>
      <w:divBdr>
        <w:top w:val="none" w:sz="0" w:space="0" w:color="auto"/>
        <w:left w:val="none" w:sz="0" w:space="0" w:color="auto"/>
        <w:bottom w:val="none" w:sz="0" w:space="0" w:color="auto"/>
        <w:right w:val="none" w:sz="0" w:space="0" w:color="auto"/>
      </w:divBdr>
    </w:div>
    <w:div w:id="984237005">
      <w:bodyDiv w:val="1"/>
      <w:marLeft w:val="0"/>
      <w:marRight w:val="0"/>
      <w:marTop w:val="0"/>
      <w:marBottom w:val="0"/>
      <w:divBdr>
        <w:top w:val="none" w:sz="0" w:space="0" w:color="auto"/>
        <w:left w:val="none" w:sz="0" w:space="0" w:color="auto"/>
        <w:bottom w:val="none" w:sz="0" w:space="0" w:color="auto"/>
        <w:right w:val="none" w:sz="0" w:space="0" w:color="auto"/>
      </w:divBdr>
    </w:div>
    <w:div w:id="988048471">
      <w:bodyDiv w:val="1"/>
      <w:marLeft w:val="0"/>
      <w:marRight w:val="0"/>
      <w:marTop w:val="0"/>
      <w:marBottom w:val="0"/>
      <w:divBdr>
        <w:top w:val="none" w:sz="0" w:space="0" w:color="auto"/>
        <w:left w:val="none" w:sz="0" w:space="0" w:color="auto"/>
        <w:bottom w:val="none" w:sz="0" w:space="0" w:color="auto"/>
        <w:right w:val="none" w:sz="0" w:space="0" w:color="auto"/>
      </w:divBdr>
    </w:div>
    <w:div w:id="994067021">
      <w:bodyDiv w:val="1"/>
      <w:marLeft w:val="0"/>
      <w:marRight w:val="0"/>
      <w:marTop w:val="0"/>
      <w:marBottom w:val="0"/>
      <w:divBdr>
        <w:top w:val="none" w:sz="0" w:space="0" w:color="auto"/>
        <w:left w:val="none" w:sz="0" w:space="0" w:color="auto"/>
        <w:bottom w:val="none" w:sz="0" w:space="0" w:color="auto"/>
        <w:right w:val="none" w:sz="0" w:space="0" w:color="auto"/>
      </w:divBdr>
    </w:div>
    <w:div w:id="1020157330">
      <w:bodyDiv w:val="1"/>
      <w:marLeft w:val="0"/>
      <w:marRight w:val="0"/>
      <w:marTop w:val="0"/>
      <w:marBottom w:val="0"/>
      <w:divBdr>
        <w:top w:val="none" w:sz="0" w:space="0" w:color="auto"/>
        <w:left w:val="none" w:sz="0" w:space="0" w:color="auto"/>
        <w:bottom w:val="none" w:sz="0" w:space="0" w:color="auto"/>
        <w:right w:val="none" w:sz="0" w:space="0" w:color="auto"/>
      </w:divBdr>
    </w:div>
    <w:div w:id="1026564813">
      <w:bodyDiv w:val="1"/>
      <w:marLeft w:val="0"/>
      <w:marRight w:val="0"/>
      <w:marTop w:val="0"/>
      <w:marBottom w:val="0"/>
      <w:divBdr>
        <w:top w:val="none" w:sz="0" w:space="0" w:color="auto"/>
        <w:left w:val="none" w:sz="0" w:space="0" w:color="auto"/>
        <w:bottom w:val="none" w:sz="0" w:space="0" w:color="auto"/>
        <w:right w:val="none" w:sz="0" w:space="0" w:color="auto"/>
      </w:divBdr>
    </w:div>
    <w:div w:id="1027558958">
      <w:bodyDiv w:val="1"/>
      <w:marLeft w:val="0"/>
      <w:marRight w:val="0"/>
      <w:marTop w:val="0"/>
      <w:marBottom w:val="0"/>
      <w:divBdr>
        <w:top w:val="none" w:sz="0" w:space="0" w:color="auto"/>
        <w:left w:val="none" w:sz="0" w:space="0" w:color="auto"/>
        <w:bottom w:val="none" w:sz="0" w:space="0" w:color="auto"/>
        <w:right w:val="none" w:sz="0" w:space="0" w:color="auto"/>
      </w:divBdr>
    </w:div>
    <w:div w:id="1055159181">
      <w:bodyDiv w:val="1"/>
      <w:marLeft w:val="0"/>
      <w:marRight w:val="0"/>
      <w:marTop w:val="0"/>
      <w:marBottom w:val="0"/>
      <w:divBdr>
        <w:top w:val="none" w:sz="0" w:space="0" w:color="auto"/>
        <w:left w:val="none" w:sz="0" w:space="0" w:color="auto"/>
        <w:bottom w:val="none" w:sz="0" w:space="0" w:color="auto"/>
        <w:right w:val="none" w:sz="0" w:space="0" w:color="auto"/>
      </w:divBdr>
    </w:div>
    <w:div w:id="1060519241">
      <w:bodyDiv w:val="1"/>
      <w:marLeft w:val="0"/>
      <w:marRight w:val="0"/>
      <w:marTop w:val="0"/>
      <w:marBottom w:val="0"/>
      <w:divBdr>
        <w:top w:val="none" w:sz="0" w:space="0" w:color="auto"/>
        <w:left w:val="none" w:sz="0" w:space="0" w:color="auto"/>
        <w:bottom w:val="none" w:sz="0" w:space="0" w:color="auto"/>
        <w:right w:val="none" w:sz="0" w:space="0" w:color="auto"/>
      </w:divBdr>
    </w:div>
    <w:div w:id="1061363604">
      <w:bodyDiv w:val="1"/>
      <w:marLeft w:val="0"/>
      <w:marRight w:val="0"/>
      <w:marTop w:val="0"/>
      <w:marBottom w:val="0"/>
      <w:divBdr>
        <w:top w:val="none" w:sz="0" w:space="0" w:color="auto"/>
        <w:left w:val="none" w:sz="0" w:space="0" w:color="auto"/>
        <w:bottom w:val="none" w:sz="0" w:space="0" w:color="auto"/>
        <w:right w:val="none" w:sz="0" w:space="0" w:color="auto"/>
      </w:divBdr>
    </w:div>
    <w:div w:id="1081609795">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42578219">
      <w:bodyDiv w:val="1"/>
      <w:marLeft w:val="0"/>
      <w:marRight w:val="0"/>
      <w:marTop w:val="0"/>
      <w:marBottom w:val="0"/>
      <w:divBdr>
        <w:top w:val="none" w:sz="0" w:space="0" w:color="auto"/>
        <w:left w:val="none" w:sz="0" w:space="0" w:color="auto"/>
        <w:bottom w:val="none" w:sz="0" w:space="0" w:color="auto"/>
        <w:right w:val="none" w:sz="0" w:space="0" w:color="auto"/>
      </w:divBdr>
    </w:div>
    <w:div w:id="1158497705">
      <w:bodyDiv w:val="1"/>
      <w:marLeft w:val="0"/>
      <w:marRight w:val="0"/>
      <w:marTop w:val="0"/>
      <w:marBottom w:val="0"/>
      <w:divBdr>
        <w:top w:val="none" w:sz="0" w:space="0" w:color="auto"/>
        <w:left w:val="none" w:sz="0" w:space="0" w:color="auto"/>
        <w:bottom w:val="none" w:sz="0" w:space="0" w:color="auto"/>
        <w:right w:val="none" w:sz="0" w:space="0" w:color="auto"/>
      </w:divBdr>
    </w:div>
    <w:div w:id="1160004200">
      <w:bodyDiv w:val="1"/>
      <w:marLeft w:val="0"/>
      <w:marRight w:val="0"/>
      <w:marTop w:val="0"/>
      <w:marBottom w:val="0"/>
      <w:divBdr>
        <w:top w:val="none" w:sz="0" w:space="0" w:color="auto"/>
        <w:left w:val="none" w:sz="0" w:space="0" w:color="auto"/>
        <w:bottom w:val="none" w:sz="0" w:space="0" w:color="auto"/>
        <w:right w:val="none" w:sz="0" w:space="0" w:color="auto"/>
      </w:divBdr>
    </w:div>
    <w:div w:id="1165626353">
      <w:bodyDiv w:val="1"/>
      <w:marLeft w:val="0"/>
      <w:marRight w:val="0"/>
      <w:marTop w:val="0"/>
      <w:marBottom w:val="0"/>
      <w:divBdr>
        <w:top w:val="none" w:sz="0" w:space="0" w:color="auto"/>
        <w:left w:val="none" w:sz="0" w:space="0" w:color="auto"/>
        <w:bottom w:val="none" w:sz="0" w:space="0" w:color="auto"/>
        <w:right w:val="none" w:sz="0" w:space="0" w:color="auto"/>
      </w:divBdr>
    </w:div>
    <w:div w:id="1171414370">
      <w:bodyDiv w:val="1"/>
      <w:marLeft w:val="0"/>
      <w:marRight w:val="0"/>
      <w:marTop w:val="0"/>
      <w:marBottom w:val="0"/>
      <w:divBdr>
        <w:top w:val="none" w:sz="0" w:space="0" w:color="auto"/>
        <w:left w:val="none" w:sz="0" w:space="0" w:color="auto"/>
        <w:bottom w:val="none" w:sz="0" w:space="0" w:color="auto"/>
        <w:right w:val="none" w:sz="0" w:space="0" w:color="auto"/>
      </w:divBdr>
    </w:div>
    <w:div w:id="1175847235">
      <w:bodyDiv w:val="1"/>
      <w:marLeft w:val="0"/>
      <w:marRight w:val="0"/>
      <w:marTop w:val="0"/>
      <w:marBottom w:val="0"/>
      <w:divBdr>
        <w:top w:val="none" w:sz="0" w:space="0" w:color="auto"/>
        <w:left w:val="none" w:sz="0" w:space="0" w:color="auto"/>
        <w:bottom w:val="none" w:sz="0" w:space="0" w:color="auto"/>
        <w:right w:val="none" w:sz="0" w:space="0" w:color="auto"/>
      </w:divBdr>
    </w:div>
    <w:div w:id="1186941238">
      <w:bodyDiv w:val="1"/>
      <w:marLeft w:val="0"/>
      <w:marRight w:val="0"/>
      <w:marTop w:val="0"/>
      <w:marBottom w:val="0"/>
      <w:divBdr>
        <w:top w:val="none" w:sz="0" w:space="0" w:color="auto"/>
        <w:left w:val="none" w:sz="0" w:space="0" w:color="auto"/>
        <w:bottom w:val="none" w:sz="0" w:space="0" w:color="auto"/>
        <w:right w:val="none" w:sz="0" w:space="0" w:color="auto"/>
      </w:divBdr>
    </w:div>
    <w:div w:id="1191914092">
      <w:bodyDiv w:val="1"/>
      <w:marLeft w:val="0"/>
      <w:marRight w:val="0"/>
      <w:marTop w:val="0"/>
      <w:marBottom w:val="0"/>
      <w:divBdr>
        <w:top w:val="none" w:sz="0" w:space="0" w:color="auto"/>
        <w:left w:val="none" w:sz="0" w:space="0" w:color="auto"/>
        <w:bottom w:val="none" w:sz="0" w:space="0" w:color="auto"/>
        <w:right w:val="none" w:sz="0" w:space="0" w:color="auto"/>
      </w:divBdr>
    </w:div>
    <w:div w:id="1195004454">
      <w:bodyDiv w:val="1"/>
      <w:marLeft w:val="0"/>
      <w:marRight w:val="0"/>
      <w:marTop w:val="0"/>
      <w:marBottom w:val="0"/>
      <w:divBdr>
        <w:top w:val="none" w:sz="0" w:space="0" w:color="auto"/>
        <w:left w:val="none" w:sz="0" w:space="0" w:color="auto"/>
        <w:bottom w:val="none" w:sz="0" w:space="0" w:color="auto"/>
        <w:right w:val="none" w:sz="0" w:space="0" w:color="auto"/>
      </w:divBdr>
    </w:div>
    <w:div w:id="1201820920">
      <w:bodyDiv w:val="1"/>
      <w:marLeft w:val="0"/>
      <w:marRight w:val="0"/>
      <w:marTop w:val="0"/>
      <w:marBottom w:val="0"/>
      <w:divBdr>
        <w:top w:val="none" w:sz="0" w:space="0" w:color="auto"/>
        <w:left w:val="none" w:sz="0" w:space="0" w:color="auto"/>
        <w:bottom w:val="none" w:sz="0" w:space="0" w:color="auto"/>
        <w:right w:val="none" w:sz="0" w:space="0" w:color="auto"/>
      </w:divBdr>
    </w:div>
    <w:div w:id="1202861106">
      <w:bodyDiv w:val="1"/>
      <w:marLeft w:val="0"/>
      <w:marRight w:val="0"/>
      <w:marTop w:val="0"/>
      <w:marBottom w:val="0"/>
      <w:divBdr>
        <w:top w:val="none" w:sz="0" w:space="0" w:color="auto"/>
        <w:left w:val="none" w:sz="0" w:space="0" w:color="auto"/>
        <w:bottom w:val="none" w:sz="0" w:space="0" w:color="auto"/>
        <w:right w:val="none" w:sz="0" w:space="0" w:color="auto"/>
      </w:divBdr>
    </w:div>
    <w:div w:id="1219904183">
      <w:bodyDiv w:val="1"/>
      <w:marLeft w:val="0"/>
      <w:marRight w:val="0"/>
      <w:marTop w:val="0"/>
      <w:marBottom w:val="0"/>
      <w:divBdr>
        <w:top w:val="none" w:sz="0" w:space="0" w:color="auto"/>
        <w:left w:val="none" w:sz="0" w:space="0" w:color="auto"/>
        <w:bottom w:val="none" w:sz="0" w:space="0" w:color="auto"/>
        <w:right w:val="none" w:sz="0" w:space="0" w:color="auto"/>
      </w:divBdr>
    </w:div>
    <w:div w:id="1227645886">
      <w:bodyDiv w:val="1"/>
      <w:marLeft w:val="0"/>
      <w:marRight w:val="0"/>
      <w:marTop w:val="0"/>
      <w:marBottom w:val="0"/>
      <w:divBdr>
        <w:top w:val="none" w:sz="0" w:space="0" w:color="auto"/>
        <w:left w:val="none" w:sz="0" w:space="0" w:color="auto"/>
        <w:bottom w:val="none" w:sz="0" w:space="0" w:color="auto"/>
        <w:right w:val="none" w:sz="0" w:space="0" w:color="auto"/>
      </w:divBdr>
    </w:div>
    <w:div w:id="1254707537">
      <w:bodyDiv w:val="1"/>
      <w:marLeft w:val="0"/>
      <w:marRight w:val="0"/>
      <w:marTop w:val="0"/>
      <w:marBottom w:val="0"/>
      <w:divBdr>
        <w:top w:val="none" w:sz="0" w:space="0" w:color="auto"/>
        <w:left w:val="none" w:sz="0" w:space="0" w:color="auto"/>
        <w:bottom w:val="none" w:sz="0" w:space="0" w:color="auto"/>
        <w:right w:val="none" w:sz="0" w:space="0" w:color="auto"/>
      </w:divBdr>
    </w:div>
    <w:div w:id="1255480780">
      <w:bodyDiv w:val="1"/>
      <w:marLeft w:val="0"/>
      <w:marRight w:val="0"/>
      <w:marTop w:val="0"/>
      <w:marBottom w:val="0"/>
      <w:divBdr>
        <w:top w:val="none" w:sz="0" w:space="0" w:color="auto"/>
        <w:left w:val="none" w:sz="0" w:space="0" w:color="auto"/>
        <w:bottom w:val="none" w:sz="0" w:space="0" w:color="auto"/>
        <w:right w:val="none" w:sz="0" w:space="0" w:color="auto"/>
      </w:divBdr>
    </w:div>
    <w:div w:id="1255743359">
      <w:bodyDiv w:val="1"/>
      <w:marLeft w:val="0"/>
      <w:marRight w:val="0"/>
      <w:marTop w:val="0"/>
      <w:marBottom w:val="0"/>
      <w:divBdr>
        <w:top w:val="none" w:sz="0" w:space="0" w:color="auto"/>
        <w:left w:val="none" w:sz="0" w:space="0" w:color="auto"/>
        <w:bottom w:val="none" w:sz="0" w:space="0" w:color="auto"/>
        <w:right w:val="none" w:sz="0" w:space="0" w:color="auto"/>
      </w:divBdr>
    </w:div>
    <w:div w:id="1268849624">
      <w:bodyDiv w:val="1"/>
      <w:marLeft w:val="0"/>
      <w:marRight w:val="0"/>
      <w:marTop w:val="0"/>
      <w:marBottom w:val="0"/>
      <w:divBdr>
        <w:top w:val="none" w:sz="0" w:space="0" w:color="auto"/>
        <w:left w:val="none" w:sz="0" w:space="0" w:color="auto"/>
        <w:bottom w:val="none" w:sz="0" w:space="0" w:color="auto"/>
        <w:right w:val="none" w:sz="0" w:space="0" w:color="auto"/>
      </w:divBdr>
    </w:div>
    <w:div w:id="1274482361">
      <w:bodyDiv w:val="1"/>
      <w:marLeft w:val="0"/>
      <w:marRight w:val="0"/>
      <w:marTop w:val="0"/>
      <w:marBottom w:val="0"/>
      <w:divBdr>
        <w:top w:val="none" w:sz="0" w:space="0" w:color="auto"/>
        <w:left w:val="none" w:sz="0" w:space="0" w:color="auto"/>
        <w:bottom w:val="none" w:sz="0" w:space="0" w:color="auto"/>
        <w:right w:val="none" w:sz="0" w:space="0" w:color="auto"/>
      </w:divBdr>
    </w:div>
    <w:div w:id="1285381906">
      <w:bodyDiv w:val="1"/>
      <w:marLeft w:val="0"/>
      <w:marRight w:val="0"/>
      <w:marTop w:val="0"/>
      <w:marBottom w:val="0"/>
      <w:divBdr>
        <w:top w:val="none" w:sz="0" w:space="0" w:color="auto"/>
        <w:left w:val="none" w:sz="0" w:space="0" w:color="auto"/>
        <w:bottom w:val="none" w:sz="0" w:space="0" w:color="auto"/>
        <w:right w:val="none" w:sz="0" w:space="0" w:color="auto"/>
      </w:divBdr>
    </w:div>
    <w:div w:id="1287933204">
      <w:bodyDiv w:val="1"/>
      <w:marLeft w:val="0"/>
      <w:marRight w:val="0"/>
      <w:marTop w:val="0"/>
      <w:marBottom w:val="0"/>
      <w:divBdr>
        <w:top w:val="none" w:sz="0" w:space="0" w:color="auto"/>
        <w:left w:val="none" w:sz="0" w:space="0" w:color="auto"/>
        <w:bottom w:val="none" w:sz="0" w:space="0" w:color="auto"/>
        <w:right w:val="none" w:sz="0" w:space="0" w:color="auto"/>
      </w:divBdr>
    </w:div>
    <w:div w:id="1288046224">
      <w:bodyDiv w:val="1"/>
      <w:marLeft w:val="0"/>
      <w:marRight w:val="0"/>
      <w:marTop w:val="0"/>
      <w:marBottom w:val="0"/>
      <w:divBdr>
        <w:top w:val="none" w:sz="0" w:space="0" w:color="auto"/>
        <w:left w:val="none" w:sz="0" w:space="0" w:color="auto"/>
        <w:bottom w:val="none" w:sz="0" w:space="0" w:color="auto"/>
        <w:right w:val="none" w:sz="0" w:space="0" w:color="auto"/>
      </w:divBdr>
    </w:div>
    <w:div w:id="1315984392">
      <w:bodyDiv w:val="1"/>
      <w:marLeft w:val="0"/>
      <w:marRight w:val="0"/>
      <w:marTop w:val="0"/>
      <w:marBottom w:val="0"/>
      <w:divBdr>
        <w:top w:val="none" w:sz="0" w:space="0" w:color="auto"/>
        <w:left w:val="none" w:sz="0" w:space="0" w:color="auto"/>
        <w:bottom w:val="none" w:sz="0" w:space="0" w:color="auto"/>
        <w:right w:val="none" w:sz="0" w:space="0" w:color="auto"/>
      </w:divBdr>
    </w:div>
    <w:div w:id="1320227277">
      <w:bodyDiv w:val="1"/>
      <w:marLeft w:val="0"/>
      <w:marRight w:val="0"/>
      <w:marTop w:val="0"/>
      <w:marBottom w:val="0"/>
      <w:divBdr>
        <w:top w:val="none" w:sz="0" w:space="0" w:color="auto"/>
        <w:left w:val="none" w:sz="0" w:space="0" w:color="auto"/>
        <w:bottom w:val="none" w:sz="0" w:space="0" w:color="auto"/>
        <w:right w:val="none" w:sz="0" w:space="0" w:color="auto"/>
      </w:divBdr>
    </w:div>
    <w:div w:id="1333334293">
      <w:bodyDiv w:val="1"/>
      <w:marLeft w:val="0"/>
      <w:marRight w:val="0"/>
      <w:marTop w:val="0"/>
      <w:marBottom w:val="0"/>
      <w:divBdr>
        <w:top w:val="none" w:sz="0" w:space="0" w:color="auto"/>
        <w:left w:val="none" w:sz="0" w:space="0" w:color="auto"/>
        <w:bottom w:val="none" w:sz="0" w:space="0" w:color="auto"/>
        <w:right w:val="none" w:sz="0" w:space="0" w:color="auto"/>
      </w:divBdr>
    </w:div>
    <w:div w:id="1336419034">
      <w:bodyDiv w:val="1"/>
      <w:marLeft w:val="0"/>
      <w:marRight w:val="0"/>
      <w:marTop w:val="0"/>
      <w:marBottom w:val="0"/>
      <w:divBdr>
        <w:top w:val="none" w:sz="0" w:space="0" w:color="auto"/>
        <w:left w:val="none" w:sz="0" w:space="0" w:color="auto"/>
        <w:bottom w:val="none" w:sz="0" w:space="0" w:color="auto"/>
        <w:right w:val="none" w:sz="0" w:space="0" w:color="auto"/>
      </w:divBdr>
    </w:div>
    <w:div w:id="1347171795">
      <w:bodyDiv w:val="1"/>
      <w:marLeft w:val="0"/>
      <w:marRight w:val="0"/>
      <w:marTop w:val="0"/>
      <w:marBottom w:val="0"/>
      <w:divBdr>
        <w:top w:val="none" w:sz="0" w:space="0" w:color="auto"/>
        <w:left w:val="none" w:sz="0" w:space="0" w:color="auto"/>
        <w:bottom w:val="none" w:sz="0" w:space="0" w:color="auto"/>
        <w:right w:val="none" w:sz="0" w:space="0" w:color="auto"/>
      </w:divBdr>
    </w:div>
    <w:div w:id="1353068567">
      <w:bodyDiv w:val="1"/>
      <w:marLeft w:val="0"/>
      <w:marRight w:val="0"/>
      <w:marTop w:val="0"/>
      <w:marBottom w:val="0"/>
      <w:divBdr>
        <w:top w:val="none" w:sz="0" w:space="0" w:color="auto"/>
        <w:left w:val="none" w:sz="0" w:space="0" w:color="auto"/>
        <w:bottom w:val="none" w:sz="0" w:space="0" w:color="auto"/>
        <w:right w:val="none" w:sz="0" w:space="0" w:color="auto"/>
      </w:divBdr>
    </w:div>
    <w:div w:id="1387872606">
      <w:bodyDiv w:val="1"/>
      <w:marLeft w:val="0"/>
      <w:marRight w:val="0"/>
      <w:marTop w:val="0"/>
      <w:marBottom w:val="0"/>
      <w:divBdr>
        <w:top w:val="none" w:sz="0" w:space="0" w:color="auto"/>
        <w:left w:val="none" w:sz="0" w:space="0" w:color="auto"/>
        <w:bottom w:val="none" w:sz="0" w:space="0" w:color="auto"/>
        <w:right w:val="none" w:sz="0" w:space="0" w:color="auto"/>
      </w:divBdr>
    </w:div>
    <w:div w:id="1413547229">
      <w:bodyDiv w:val="1"/>
      <w:marLeft w:val="0"/>
      <w:marRight w:val="0"/>
      <w:marTop w:val="0"/>
      <w:marBottom w:val="0"/>
      <w:divBdr>
        <w:top w:val="none" w:sz="0" w:space="0" w:color="auto"/>
        <w:left w:val="none" w:sz="0" w:space="0" w:color="auto"/>
        <w:bottom w:val="none" w:sz="0" w:space="0" w:color="auto"/>
        <w:right w:val="none" w:sz="0" w:space="0" w:color="auto"/>
      </w:divBdr>
    </w:div>
    <w:div w:id="1459839800">
      <w:bodyDiv w:val="1"/>
      <w:marLeft w:val="0"/>
      <w:marRight w:val="0"/>
      <w:marTop w:val="0"/>
      <w:marBottom w:val="0"/>
      <w:divBdr>
        <w:top w:val="none" w:sz="0" w:space="0" w:color="auto"/>
        <w:left w:val="none" w:sz="0" w:space="0" w:color="auto"/>
        <w:bottom w:val="none" w:sz="0" w:space="0" w:color="auto"/>
        <w:right w:val="none" w:sz="0" w:space="0" w:color="auto"/>
      </w:divBdr>
    </w:div>
    <w:div w:id="1473596460">
      <w:bodyDiv w:val="1"/>
      <w:marLeft w:val="0"/>
      <w:marRight w:val="0"/>
      <w:marTop w:val="0"/>
      <w:marBottom w:val="0"/>
      <w:divBdr>
        <w:top w:val="none" w:sz="0" w:space="0" w:color="auto"/>
        <w:left w:val="none" w:sz="0" w:space="0" w:color="auto"/>
        <w:bottom w:val="none" w:sz="0" w:space="0" w:color="auto"/>
        <w:right w:val="none" w:sz="0" w:space="0" w:color="auto"/>
      </w:divBdr>
    </w:div>
    <w:div w:id="1490051741">
      <w:bodyDiv w:val="1"/>
      <w:marLeft w:val="0"/>
      <w:marRight w:val="0"/>
      <w:marTop w:val="0"/>
      <w:marBottom w:val="0"/>
      <w:divBdr>
        <w:top w:val="none" w:sz="0" w:space="0" w:color="auto"/>
        <w:left w:val="none" w:sz="0" w:space="0" w:color="auto"/>
        <w:bottom w:val="none" w:sz="0" w:space="0" w:color="auto"/>
        <w:right w:val="none" w:sz="0" w:space="0" w:color="auto"/>
      </w:divBdr>
    </w:div>
    <w:div w:id="1508252438">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16261976">
      <w:bodyDiv w:val="1"/>
      <w:marLeft w:val="0"/>
      <w:marRight w:val="0"/>
      <w:marTop w:val="0"/>
      <w:marBottom w:val="0"/>
      <w:divBdr>
        <w:top w:val="none" w:sz="0" w:space="0" w:color="auto"/>
        <w:left w:val="none" w:sz="0" w:space="0" w:color="auto"/>
        <w:bottom w:val="none" w:sz="0" w:space="0" w:color="auto"/>
        <w:right w:val="none" w:sz="0" w:space="0" w:color="auto"/>
      </w:divBdr>
    </w:div>
    <w:div w:id="1541742491">
      <w:bodyDiv w:val="1"/>
      <w:marLeft w:val="0"/>
      <w:marRight w:val="0"/>
      <w:marTop w:val="0"/>
      <w:marBottom w:val="0"/>
      <w:divBdr>
        <w:top w:val="none" w:sz="0" w:space="0" w:color="auto"/>
        <w:left w:val="none" w:sz="0" w:space="0" w:color="auto"/>
        <w:bottom w:val="none" w:sz="0" w:space="0" w:color="auto"/>
        <w:right w:val="none" w:sz="0" w:space="0" w:color="auto"/>
      </w:divBdr>
    </w:div>
    <w:div w:id="1551728269">
      <w:bodyDiv w:val="1"/>
      <w:marLeft w:val="0"/>
      <w:marRight w:val="0"/>
      <w:marTop w:val="0"/>
      <w:marBottom w:val="0"/>
      <w:divBdr>
        <w:top w:val="none" w:sz="0" w:space="0" w:color="auto"/>
        <w:left w:val="none" w:sz="0" w:space="0" w:color="auto"/>
        <w:bottom w:val="none" w:sz="0" w:space="0" w:color="auto"/>
        <w:right w:val="none" w:sz="0" w:space="0" w:color="auto"/>
      </w:divBdr>
    </w:div>
    <w:div w:id="1554583607">
      <w:bodyDiv w:val="1"/>
      <w:marLeft w:val="0"/>
      <w:marRight w:val="0"/>
      <w:marTop w:val="0"/>
      <w:marBottom w:val="0"/>
      <w:divBdr>
        <w:top w:val="none" w:sz="0" w:space="0" w:color="auto"/>
        <w:left w:val="none" w:sz="0" w:space="0" w:color="auto"/>
        <w:bottom w:val="none" w:sz="0" w:space="0" w:color="auto"/>
        <w:right w:val="none" w:sz="0" w:space="0" w:color="auto"/>
      </w:divBdr>
    </w:div>
    <w:div w:id="1571958731">
      <w:bodyDiv w:val="1"/>
      <w:marLeft w:val="0"/>
      <w:marRight w:val="0"/>
      <w:marTop w:val="0"/>
      <w:marBottom w:val="0"/>
      <w:divBdr>
        <w:top w:val="none" w:sz="0" w:space="0" w:color="auto"/>
        <w:left w:val="none" w:sz="0" w:space="0" w:color="auto"/>
        <w:bottom w:val="none" w:sz="0" w:space="0" w:color="auto"/>
        <w:right w:val="none" w:sz="0" w:space="0" w:color="auto"/>
      </w:divBdr>
    </w:div>
    <w:div w:id="1573542060">
      <w:bodyDiv w:val="1"/>
      <w:marLeft w:val="0"/>
      <w:marRight w:val="0"/>
      <w:marTop w:val="0"/>
      <w:marBottom w:val="0"/>
      <w:divBdr>
        <w:top w:val="none" w:sz="0" w:space="0" w:color="auto"/>
        <w:left w:val="none" w:sz="0" w:space="0" w:color="auto"/>
        <w:bottom w:val="none" w:sz="0" w:space="0" w:color="auto"/>
        <w:right w:val="none" w:sz="0" w:space="0" w:color="auto"/>
      </w:divBdr>
    </w:div>
    <w:div w:id="1575623641">
      <w:bodyDiv w:val="1"/>
      <w:marLeft w:val="0"/>
      <w:marRight w:val="0"/>
      <w:marTop w:val="0"/>
      <w:marBottom w:val="0"/>
      <w:divBdr>
        <w:top w:val="none" w:sz="0" w:space="0" w:color="auto"/>
        <w:left w:val="none" w:sz="0" w:space="0" w:color="auto"/>
        <w:bottom w:val="none" w:sz="0" w:space="0" w:color="auto"/>
        <w:right w:val="none" w:sz="0" w:space="0" w:color="auto"/>
      </w:divBdr>
    </w:div>
    <w:div w:id="1580365122">
      <w:bodyDiv w:val="1"/>
      <w:marLeft w:val="0"/>
      <w:marRight w:val="0"/>
      <w:marTop w:val="0"/>
      <w:marBottom w:val="0"/>
      <w:divBdr>
        <w:top w:val="none" w:sz="0" w:space="0" w:color="auto"/>
        <w:left w:val="none" w:sz="0" w:space="0" w:color="auto"/>
        <w:bottom w:val="none" w:sz="0" w:space="0" w:color="auto"/>
        <w:right w:val="none" w:sz="0" w:space="0" w:color="auto"/>
      </w:divBdr>
    </w:div>
    <w:div w:id="1582106174">
      <w:bodyDiv w:val="1"/>
      <w:marLeft w:val="0"/>
      <w:marRight w:val="0"/>
      <w:marTop w:val="0"/>
      <w:marBottom w:val="0"/>
      <w:divBdr>
        <w:top w:val="none" w:sz="0" w:space="0" w:color="auto"/>
        <w:left w:val="none" w:sz="0" w:space="0" w:color="auto"/>
        <w:bottom w:val="none" w:sz="0" w:space="0" w:color="auto"/>
        <w:right w:val="none" w:sz="0" w:space="0" w:color="auto"/>
      </w:divBdr>
    </w:div>
    <w:div w:id="1587835586">
      <w:bodyDiv w:val="1"/>
      <w:marLeft w:val="0"/>
      <w:marRight w:val="0"/>
      <w:marTop w:val="0"/>
      <w:marBottom w:val="0"/>
      <w:divBdr>
        <w:top w:val="none" w:sz="0" w:space="0" w:color="auto"/>
        <w:left w:val="none" w:sz="0" w:space="0" w:color="auto"/>
        <w:bottom w:val="none" w:sz="0" w:space="0" w:color="auto"/>
        <w:right w:val="none" w:sz="0" w:space="0" w:color="auto"/>
      </w:divBdr>
    </w:div>
    <w:div w:id="1591507263">
      <w:bodyDiv w:val="1"/>
      <w:marLeft w:val="0"/>
      <w:marRight w:val="0"/>
      <w:marTop w:val="0"/>
      <w:marBottom w:val="0"/>
      <w:divBdr>
        <w:top w:val="none" w:sz="0" w:space="0" w:color="auto"/>
        <w:left w:val="none" w:sz="0" w:space="0" w:color="auto"/>
        <w:bottom w:val="none" w:sz="0" w:space="0" w:color="auto"/>
        <w:right w:val="none" w:sz="0" w:space="0" w:color="auto"/>
      </w:divBdr>
    </w:div>
    <w:div w:id="1603536717">
      <w:bodyDiv w:val="1"/>
      <w:marLeft w:val="0"/>
      <w:marRight w:val="0"/>
      <w:marTop w:val="0"/>
      <w:marBottom w:val="0"/>
      <w:divBdr>
        <w:top w:val="none" w:sz="0" w:space="0" w:color="auto"/>
        <w:left w:val="none" w:sz="0" w:space="0" w:color="auto"/>
        <w:bottom w:val="none" w:sz="0" w:space="0" w:color="auto"/>
        <w:right w:val="none" w:sz="0" w:space="0" w:color="auto"/>
      </w:divBdr>
    </w:div>
    <w:div w:id="1609047567">
      <w:bodyDiv w:val="1"/>
      <w:marLeft w:val="0"/>
      <w:marRight w:val="0"/>
      <w:marTop w:val="0"/>
      <w:marBottom w:val="0"/>
      <w:divBdr>
        <w:top w:val="none" w:sz="0" w:space="0" w:color="auto"/>
        <w:left w:val="none" w:sz="0" w:space="0" w:color="auto"/>
        <w:bottom w:val="none" w:sz="0" w:space="0" w:color="auto"/>
        <w:right w:val="none" w:sz="0" w:space="0" w:color="auto"/>
      </w:divBdr>
    </w:div>
    <w:div w:id="1640767716">
      <w:bodyDiv w:val="1"/>
      <w:marLeft w:val="0"/>
      <w:marRight w:val="0"/>
      <w:marTop w:val="0"/>
      <w:marBottom w:val="0"/>
      <w:divBdr>
        <w:top w:val="none" w:sz="0" w:space="0" w:color="auto"/>
        <w:left w:val="none" w:sz="0" w:space="0" w:color="auto"/>
        <w:bottom w:val="none" w:sz="0" w:space="0" w:color="auto"/>
        <w:right w:val="none" w:sz="0" w:space="0" w:color="auto"/>
      </w:divBdr>
    </w:div>
    <w:div w:id="1648821056">
      <w:bodyDiv w:val="1"/>
      <w:marLeft w:val="0"/>
      <w:marRight w:val="0"/>
      <w:marTop w:val="0"/>
      <w:marBottom w:val="0"/>
      <w:divBdr>
        <w:top w:val="none" w:sz="0" w:space="0" w:color="auto"/>
        <w:left w:val="none" w:sz="0" w:space="0" w:color="auto"/>
        <w:bottom w:val="none" w:sz="0" w:space="0" w:color="auto"/>
        <w:right w:val="none" w:sz="0" w:space="0" w:color="auto"/>
      </w:divBdr>
    </w:div>
    <w:div w:id="1661695748">
      <w:bodyDiv w:val="1"/>
      <w:marLeft w:val="0"/>
      <w:marRight w:val="0"/>
      <w:marTop w:val="0"/>
      <w:marBottom w:val="0"/>
      <w:divBdr>
        <w:top w:val="none" w:sz="0" w:space="0" w:color="auto"/>
        <w:left w:val="none" w:sz="0" w:space="0" w:color="auto"/>
        <w:bottom w:val="none" w:sz="0" w:space="0" w:color="auto"/>
        <w:right w:val="none" w:sz="0" w:space="0" w:color="auto"/>
      </w:divBdr>
    </w:div>
    <w:div w:id="1678384486">
      <w:bodyDiv w:val="1"/>
      <w:marLeft w:val="0"/>
      <w:marRight w:val="0"/>
      <w:marTop w:val="0"/>
      <w:marBottom w:val="0"/>
      <w:divBdr>
        <w:top w:val="none" w:sz="0" w:space="0" w:color="auto"/>
        <w:left w:val="none" w:sz="0" w:space="0" w:color="auto"/>
        <w:bottom w:val="none" w:sz="0" w:space="0" w:color="auto"/>
        <w:right w:val="none" w:sz="0" w:space="0" w:color="auto"/>
      </w:divBdr>
    </w:div>
    <w:div w:id="1688211071">
      <w:bodyDiv w:val="1"/>
      <w:marLeft w:val="0"/>
      <w:marRight w:val="0"/>
      <w:marTop w:val="0"/>
      <w:marBottom w:val="0"/>
      <w:divBdr>
        <w:top w:val="none" w:sz="0" w:space="0" w:color="auto"/>
        <w:left w:val="none" w:sz="0" w:space="0" w:color="auto"/>
        <w:bottom w:val="none" w:sz="0" w:space="0" w:color="auto"/>
        <w:right w:val="none" w:sz="0" w:space="0" w:color="auto"/>
      </w:divBdr>
    </w:div>
    <w:div w:id="1690571455">
      <w:bodyDiv w:val="1"/>
      <w:marLeft w:val="0"/>
      <w:marRight w:val="0"/>
      <w:marTop w:val="0"/>
      <w:marBottom w:val="0"/>
      <w:divBdr>
        <w:top w:val="none" w:sz="0" w:space="0" w:color="auto"/>
        <w:left w:val="none" w:sz="0" w:space="0" w:color="auto"/>
        <w:bottom w:val="none" w:sz="0" w:space="0" w:color="auto"/>
        <w:right w:val="none" w:sz="0" w:space="0" w:color="auto"/>
      </w:divBdr>
    </w:div>
    <w:div w:id="1690912653">
      <w:bodyDiv w:val="1"/>
      <w:marLeft w:val="0"/>
      <w:marRight w:val="0"/>
      <w:marTop w:val="0"/>
      <w:marBottom w:val="0"/>
      <w:divBdr>
        <w:top w:val="none" w:sz="0" w:space="0" w:color="auto"/>
        <w:left w:val="none" w:sz="0" w:space="0" w:color="auto"/>
        <w:bottom w:val="none" w:sz="0" w:space="0" w:color="auto"/>
        <w:right w:val="none" w:sz="0" w:space="0" w:color="auto"/>
      </w:divBdr>
    </w:div>
    <w:div w:id="1716080583">
      <w:bodyDiv w:val="1"/>
      <w:marLeft w:val="0"/>
      <w:marRight w:val="0"/>
      <w:marTop w:val="0"/>
      <w:marBottom w:val="0"/>
      <w:divBdr>
        <w:top w:val="none" w:sz="0" w:space="0" w:color="auto"/>
        <w:left w:val="none" w:sz="0" w:space="0" w:color="auto"/>
        <w:bottom w:val="none" w:sz="0" w:space="0" w:color="auto"/>
        <w:right w:val="none" w:sz="0" w:space="0" w:color="auto"/>
      </w:divBdr>
    </w:div>
    <w:div w:id="1744833721">
      <w:bodyDiv w:val="1"/>
      <w:marLeft w:val="0"/>
      <w:marRight w:val="0"/>
      <w:marTop w:val="0"/>
      <w:marBottom w:val="0"/>
      <w:divBdr>
        <w:top w:val="none" w:sz="0" w:space="0" w:color="auto"/>
        <w:left w:val="none" w:sz="0" w:space="0" w:color="auto"/>
        <w:bottom w:val="none" w:sz="0" w:space="0" w:color="auto"/>
        <w:right w:val="none" w:sz="0" w:space="0" w:color="auto"/>
      </w:divBdr>
    </w:div>
    <w:div w:id="1750226658">
      <w:bodyDiv w:val="1"/>
      <w:marLeft w:val="0"/>
      <w:marRight w:val="0"/>
      <w:marTop w:val="0"/>
      <w:marBottom w:val="0"/>
      <w:divBdr>
        <w:top w:val="none" w:sz="0" w:space="0" w:color="auto"/>
        <w:left w:val="none" w:sz="0" w:space="0" w:color="auto"/>
        <w:bottom w:val="none" w:sz="0" w:space="0" w:color="auto"/>
        <w:right w:val="none" w:sz="0" w:space="0" w:color="auto"/>
      </w:divBdr>
    </w:div>
    <w:div w:id="1760440318">
      <w:bodyDiv w:val="1"/>
      <w:marLeft w:val="0"/>
      <w:marRight w:val="0"/>
      <w:marTop w:val="0"/>
      <w:marBottom w:val="0"/>
      <w:divBdr>
        <w:top w:val="none" w:sz="0" w:space="0" w:color="auto"/>
        <w:left w:val="none" w:sz="0" w:space="0" w:color="auto"/>
        <w:bottom w:val="none" w:sz="0" w:space="0" w:color="auto"/>
        <w:right w:val="none" w:sz="0" w:space="0" w:color="auto"/>
      </w:divBdr>
    </w:div>
    <w:div w:id="1761875645">
      <w:bodyDiv w:val="1"/>
      <w:marLeft w:val="0"/>
      <w:marRight w:val="0"/>
      <w:marTop w:val="0"/>
      <w:marBottom w:val="0"/>
      <w:divBdr>
        <w:top w:val="none" w:sz="0" w:space="0" w:color="auto"/>
        <w:left w:val="none" w:sz="0" w:space="0" w:color="auto"/>
        <w:bottom w:val="none" w:sz="0" w:space="0" w:color="auto"/>
        <w:right w:val="none" w:sz="0" w:space="0" w:color="auto"/>
      </w:divBdr>
    </w:div>
    <w:div w:id="1766077993">
      <w:bodyDiv w:val="1"/>
      <w:marLeft w:val="0"/>
      <w:marRight w:val="0"/>
      <w:marTop w:val="0"/>
      <w:marBottom w:val="0"/>
      <w:divBdr>
        <w:top w:val="none" w:sz="0" w:space="0" w:color="auto"/>
        <w:left w:val="none" w:sz="0" w:space="0" w:color="auto"/>
        <w:bottom w:val="none" w:sz="0" w:space="0" w:color="auto"/>
        <w:right w:val="none" w:sz="0" w:space="0" w:color="auto"/>
      </w:divBdr>
    </w:div>
    <w:div w:id="1784183809">
      <w:bodyDiv w:val="1"/>
      <w:marLeft w:val="0"/>
      <w:marRight w:val="0"/>
      <w:marTop w:val="0"/>
      <w:marBottom w:val="0"/>
      <w:divBdr>
        <w:top w:val="none" w:sz="0" w:space="0" w:color="auto"/>
        <w:left w:val="none" w:sz="0" w:space="0" w:color="auto"/>
        <w:bottom w:val="none" w:sz="0" w:space="0" w:color="auto"/>
        <w:right w:val="none" w:sz="0" w:space="0" w:color="auto"/>
      </w:divBdr>
    </w:div>
    <w:div w:id="1789816326">
      <w:bodyDiv w:val="1"/>
      <w:marLeft w:val="0"/>
      <w:marRight w:val="0"/>
      <w:marTop w:val="0"/>
      <w:marBottom w:val="0"/>
      <w:divBdr>
        <w:top w:val="none" w:sz="0" w:space="0" w:color="auto"/>
        <w:left w:val="none" w:sz="0" w:space="0" w:color="auto"/>
        <w:bottom w:val="none" w:sz="0" w:space="0" w:color="auto"/>
        <w:right w:val="none" w:sz="0" w:space="0" w:color="auto"/>
      </w:divBdr>
    </w:div>
    <w:div w:id="1792624908">
      <w:bodyDiv w:val="1"/>
      <w:marLeft w:val="0"/>
      <w:marRight w:val="0"/>
      <w:marTop w:val="0"/>
      <w:marBottom w:val="0"/>
      <w:divBdr>
        <w:top w:val="none" w:sz="0" w:space="0" w:color="auto"/>
        <w:left w:val="none" w:sz="0" w:space="0" w:color="auto"/>
        <w:bottom w:val="none" w:sz="0" w:space="0" w:color="auto"/>
        <w:right w:val="none" w:sz="0" w:space="0" w:color="auto"/>
      </w:divBdr>
    </w:div>
    <w:div w:id="1794443808">
      <w:bodyDiv w:val="1"/>
      <w:marLeft w:val="0"/>
      <w:marRight w:val="0"/>
      <w:marTop w:val="0"/>
      <w:marBottom w:val="0"/>
      <w:divBdr>
        <w:top w:val="none" w:sz="0" w:space="0" w:color="auto"/>
        <w:left w:val="none" w:sz="0" w:space="0" w:color="auto"/>
        <w:bottom w:val="none" w:sz="0" w:space="0" w:color="auto"/>
        <w:right w:val="none" w:sz="0" w:space="0" w:color="auto"/>
      </w:divBdr>
    </w:div>
    <w:div w:id="1797677769">
      <w:bodyDiv w:val="1"/>
      <w:marLeft w:val="0"/>
      <w:marRight w:val="0"/>
      <w:marTop w:val="0"/>
      <w:marBottom w:val="0"/>
      <w:divBdr>
        <w:top w:val="none" w:sz="0" w:space="0" w:color="auto"/>
        <w:left w:val="none" w:sz="0" w:space="0" w:color="auto"/>
        <w:bottom w:val="none" w:sz="0" w:space="0" w:color="auto"/>
        <w:right w:val="none" w:sz="0" w:space="0" w:color="auto"/>
      </w:divBdr>
    </w:div>
    <w:div w:id="1804037911">
      <w:bodyDiv w:val="1"/>
      <w:marLeft w:val="0"/>
      <w:marRight w:val="0"/>
      <w:marTop w:val="0"/>
      <w:marBottom w:val="0"/>
      <w:divBdr>
        <w:top w:val="none" w:sz="0" w:space="0" w:color="auto"/>
        <w:left w:val="none" w:sz="0" w:space="0" w:color="auto"/>
        <w:bottom w:val="none" w:sz="0" w:space="0" w:color="auto"/>
        <w:right w:val="none" w:sz="0" w:space="0" w:color="auto"/>
      </w:divBdr>
    </w:div>
    <w:div w:id="1806582319">
      <w:bodyDiv w:val="1"/>
      <w:marLeft w:val="0"/>
      <w:marRight w:val="0"/>
      <w:marTop w:val="0"/>
      <w:marBottom w:val="0"/>
      <w:divBdr>
        <w:top w:val="none" w:sz="0" w:space="0" w:color="auto"/>
        <w:left w:val="none" w:sz="0" w:space="0" w:color="auto"/>
        <w:bottom w:val="none" w:sz="0" w:space="0" w:color="auto"/>
        <w:right w:val="none" w:sz="0" w:space="0" w:color="auto"/>
      </w:divBdr>
    </w:div>
    <w:div w:id="1830559640">
      <w:bodyDiv w:val="1"/>
      <w:marLeft w:val="0"/>
      <w:marRight w:val="0"/>
      <w:marTop w:val="0"/>
      <w:marBottom w:val="0"/>
      <w:divBdr>
        <w:top w:val="none" w:sz="0" w:space="0" w:color="auto"/>
        <w:left w:val="none" w:sz="0" w:space="0" w:color="auto"/>
        <w:bottom w:val="none" w:sz="0" w:space="0" w:color="auto"/>
        <w:right w:val="none" w:sz="0" w:space="0" w:color="auto"/>
      </w:divBdr>
    </w:div>
    <w:div w:id="1830945258">
      <w:bodyDiv w:val="1"/>
      <w:marLeft w:val="0"/>
      <w:marRight w:val="0"/>
      <w:marTop w:val="0"/>
      <w:marBottom w:val="0"/>
      <w:divBdr>
        <w:top w:val="none" w:sz="0" w:space="0" w:color="auto"/>
        <w:left w:val="none" w:sz="0" w:space="0" w:color="auto"/>
        <w:bottom w:val="none" w:sz="0" w:space="0" w:color="auto"/>
        <w:right w:val="none" w:sz="0" w:space="0" w:color="auto"/>
      </w:divBdr>
    </w:div>
    <w:div w:id="1861776355">
      <w:bodyDiv w:val="1"/>
      <w:marLeft w:val="0"/>
      <w:marRight w:val="0"/>
      <w:marTop w:val="0"/>
      <w:marBottom w:val="0"/>
      <w:divBdr>
        <w:top w:val="none" w:sz="0" w:space="0" w:color="auto"/>
        <w:left w:val="none" w:sz="0" w:space="0" w:color="auto"/>
        <w:bottom w:val="none" w:sz="0" w:space="0" w:color="auto"/>
        <w:right w:val="none" w:sz="0" w:space="0" w:color="auto"/>
      </w:divBdr>
    </w:div>
    <w:div w:id="1882209359">
      <w:bodyDiv w:val="1"/>
      <w:marLeft w:val="0"/>
      <w:marRight w:val="0"/>
      <w:marTop w:val="0"/>
      <w:marBottom w:val="0"/>
      <w:divBdr>
        <w:top w:val="none" w:sz="0" w:space="0" w:color="auto"/>
        <w:left w:val="none" w:sz="0" w:space="0" w:color="auto"/>
        <w:bottom w:val="none" w:sz="0" w:space="0" w:color="auto"/>
        <w:right w:val="none" w:sz="0" w:space="0" w:color="auto"/>
      </w:divBdr>
    </w:div>
    <w:div w:id="1883056441">
      <w:bodyDiv w:val="1"/>
      <w:marLeft w:val="0"/>
      <w:marRight w:val="0"/>
      <w:marTop w:val="0"/>
      <w:marBottom w:val="0"/>
      <w:divBdr>
        <w:top w:val="none" w:sz="0" w:space="0" w:color="auto"/>
        <w:left w:val="none" w:sz="0" w:space="0" w:color="auto"/>
        <w:bottom w:val="none" w:sz="0" w:space="0" w:color="auto"/>
        <w:right w:val="none" w:sz="0" w:space="0" w:color="auto"/>
      </w:divBdr>
    </w:div>
    <w:div w:id="1888102623">
      <w:bodyDiv w:val="1"/>
      <w:marLeft w:val="0"/>
      <w:marRight w:val="0"/>
      <w:marTop w:val="0"/>
      <w:marBottom w:val="0"/>
      <w:divBdr>
        <w:top w:val="none" w:sz="0" w:space="0" w:color="auto"/>
        <w:left w:val="none" w:sz="0" w:space="0" w:color="auto"/>
        <w:bottom w:val="none" w:sz="0" w:space="0" w:color="auto"/>
        <w:right w:val="none" w:sz="0" w:space="0" w:color="auto"/>
      </w:divBdr>
    </w:div>
    <w:div w:id="1900556918">
      <w:bodyDiv w:val="1"/>
      <w:marLeft w:val="0"/>
      <w:marRight w:val="0"/>
      <w:marTop w:val="0"/>
      <w:marBottom w:val="0"/>
      <w:divBdr>
        <w:top w:val="none" w:sz="0" w:space="0" w:color="auto"/>
        <w:left w:val="none" w:sz="0" w:space="0" w:color="auto"/>
        <w:bottom w:val="none" w:sz="0" w:space="0" w:color="auto"/>
        <w:right w:val="none" w:sz="0" w:space="0" w:color="auto"/>
      </w:divBdr>
      <w:divsChild>
        <w:div w:id="192888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421801">
      <w:bodyDiv w:val="1"/>
      <w:marLeft w:val="0"/>
      <w:marRight w:val="0"/>
      <w:marTop w:val="0"/>
      <w:marBottom w:val="0"/>
      <w:divBdr>
        <w:top w:val="none" w:sz="0" w:space="0" w:color="auto"/>
        <w:left w:val="none" w:sz="0" w:space="0" w:color="auto"/>
        <w:bottom w:val="none" w:sz="0" w:space="0" w:color="auto"/>
        <w:right w:val="none" w:sz="0" w:space="0" w:color="auto"/>
      </w:divBdr>
    </w:div>
    <w:div w:id="1919056016">
      <w:bodyDiv w:val="1"/>
      <w:marLeft w:val="0"/>
      <w:marRight w:val="0"/>
      <w:marTop w:val="0"/>
      <w:marBottom w:val="0"/>
      <w:divBdr>
        <w:top w:val="none" w:sz="0" w:space="0" w:color="auto"/>
        <w:left w:val="none" w:sz="0" w:space="0" w:color="auto"/>
        <w:bottom w:val="none" w:sz="0" w:space="0" w:color="auto"/>
        <w:right w:val="none" w:sz="0" w:space="0" w:color="auto"/>
      </w:divBdr>
    </w:div>
    <w:div w:id="1924562373">
      <w:bodyDiv w:val="1"/>
      <w:marLeft w:val="0"/>
      <w:marRight w:val="0"/>
      <w:marTop w:val="0"/>
      <w:marBottom w:val="0"/>
      <w:divBdr>
        <w:top w:val="none" w:sz="0" w:space="0" w:color="auto"/>
        <w:left w:val="none" w:sz="0" w:space="0" w:color="auto"/>
        <w:bottom w:val="none" w:sz="0" w:space="0" w:color="auto"/>
        <w:right w:val="none" w:sz="0" w:space="0" w:color="auto"/>
      </w:divBdr>
    </w:div>
    <w:div w:id="1927418536">
      <w:bodyDiv w:val="1"/>
      <w:marLeft w:val="0"/>
      <w:marRight w:val="0"/>
      <w:marTop w:val="0"/>
      <w:marBottom w:val="0"/>
      <w:divBdr>
        <w:top w:val="none" w:sz="0" w:space="0" w:color="auto"/>
        <w:left w:val="none" w:sz="0" w:space="0" w:color="auto"/>
        <w:bottom w:val="none" w:sz="0" w:space="0" w:color="auto"/>
        <w:right w:val="none" w:sz="0" w:space="0" w:color="auto"/>
      </w:divBdr>
    </w:div>
    <w:div w:id="1929540412">
      <w:bodyDiv w:val="1"/>
      <w:marLeft w:val="0"/>
      <w:marRight w:val="0"/>
      <w:marTop w:val="0"/>
      <w:marBottom w:val="0"/>
      <w:divBdr>
        <w:top w:val="none" w:sz="0" w:space="0" w:color="auto"/>
        <w:left w:val="none" w:sz="0" w:space="0" w:color="auto"/>
        <w:bottom w:val="none" w:sz="0" w:space="0" w:color="auto"/>
        <w:right w:val="none" w:sz="0" w:space="0" w:color="auto"/>
      </w:divBdr>
    </w:div>
    <w:div w:id="1938901167">
      <w:bodyDiv w:val="1"/>
      <w:marLeft w:val="0"/>
      <w:marRight w:val="0"/>
      <w:marTop w:val="0"/>
      <w:marBottom w:val="0"/>
      <w:divBdr>
        <w:top w:val="none" w:sz="0" w:space="0" w:color="auto"/>
        <w:left w:val="none" w:sz="0" w:space="0" w:color="auto"/>
        <w:bottom w:val="none" w:sz="0" w:space="0" w:color="auto"/>
        <w:right w:val="none" w:sz="0" w:space="0" w:color="auto"/>
      </w:divBdr>
    </w:div>
    <w:div w:id="1974754389">
      <w:bodyDiv w:val="1"/>
      <w:marLeft w:val="0"/>
      <w:marRight w:val="0"/>
      <w:marTop w:val="0"/>
      <w:marBottom w:val="0"/>
      <w:divBdr>
        <w:top w:val="none" w:sz="0" w:space="0" w:color="auto"/>
        <w:left w:val="none" w:sz="0" w:space="0" w:color="auto"/>
        <w:bottom w:val="none" w:sz="0" w:space="0" w:color="auto"/>
        <w:right w:val="none" w:sz="0" w:space="0" w:color="auto"/>
      </w:divBdr>
    </w:div>
    <w:div w:id="1995640454">
      <w:bodyDiv w:val="1"/>
      <w:marLeft w:val="0"/>
      <w:marRight w:val="0"/>
      <w:marTop w:val="0"/>
      <w:marBottom w:val="0"/>
      <w:divBdr>
        <w:top w:val="none" w:sz="0" w:space="0" w:color="auto"/>
        <w:left w:val="none" w:sz="0" w:space="0" w:color="auto"/>
        <w:bottom w:val="none" w:sz="0" w:space="0" w:color="auto"/>
        <w:right w:val="none" w:sz="0" w:space="0" w:color="auto"/>
      </w:divBdr>
    </w:div>
    <w:div w:id="2000495738">
      <w:bodyDiv w:val="1"/>
      <w:marLeft w:val="0"/>
      <w:marRight w:val="0"/>
      <w:marTop w:val="0"/>
      <w:marBottom w:val="0"/>
      <w:divBdr>
        <w:top w:val="none" w:sz="0" w:space="0" w:color="auto"/>
        <w:left w:val="none" w:sz="0" w:space="0" w:color="auto"/>
        <w:bottom w:val="none" w:sz="0" w:space="0" w:color="auto"/>
        <w:right w:val="none" w:sz="0" w:space="0" w:color="auto"/>
      </w:divBdr>
    </w:div>
    <w:div w:id="2004620729">
      <w:bodyDiv w:val="1"/>
      <w:marLeft w:val="0"/>
      <w:marRight w:val="0"/>
      <w:marTop w:val="0"/>
      <w:marBottom w:val="0"/>
      <w:divBdr>
        <w:top w:val="none" w:sz="0" w:space="0" w:color="auto"/>
        <w:left w:val="none" w:sz="0" w:space="0" w:color="auto"/>
        <w:bottom w:val="none" w:sz="0" w:space="0" w:color="auto"/>
        <w:right w:val="none" w:sz="0" w:space="0" w:color="auto"/>
      </w:divBdr>
    </w:div>
    <w:div w:id="2041082915">
      <w:bodyDiv w:val="1"/>
      <w:marLeft w:val="0"/>
      <w:marRight w:val="0"/>
      <w:marTop w:val="0"/>
      <w:marBottom w:val="0"/>
      <w:divBdr>
        <w:top w:val="none" w:sz="0" w:space="0" w:color="auto"/>
        <w:left w:val="none" w:sz="0" w:space="0" w:color="auto"/>
        <w:bottom w:val="none" w:sz="0" w:space="0" w:color="auto"/>
        <w:right w:val="none" w:sz="0" w:space="0" w:color="auto"/>
      </w:divBdr>
    </w:div>
    <w:div w:id="2050715305">
      <w:bodyDiv w:val="1"/>
      <w:marLeft w:val="0"/>
      <w:marRight w:val="0"/>
      <w:marTop w:val="0"/>
      <w:marBottom w:val="0"/>
      <w:divBdr>
        <w:top w:val="none" w:sz="0" w:space="0" w:color="auto"/>
        <w:left w:val="none" w:sz="0" w:space="0" w:color="auto"/>
        <w:bottom w:val="none" w:sz="0" w:space="0" w:color="auto"/>
        <w:right w:val="none" w:sz="0" w:space="0" w:color="auto"/>
      </w:divBdr>
    </w:div>
    <w:div w:id="2054192398">
      <w:bodyDiv w:val="1"/>
      <w:marLeft w:val="0"/>
      <w:marRight w:val="0"/>
      <w:marTop w:val="0"/>
      <w:marBottom w:val="0"/>
      <w:divBdr>
        <w:top w:val="none" w:sz="0" w:space="0" w:color="auto"/>
        <w:left w:val="none" w:sz="0" w:space="0" w:color="auto"/>
        <w:bottom w:val="none" w:sz="0" w:space="0" w:color="auto"/>
        <w:right w:val="none" w:sz="0" w:space="0" w:color="auto"/>
      </w:divBdr>
    </w:div>
    <w:div w:id="2096779479">
      <w:bodyDiv w:val="1"/>
      <w:marLeft w:val="0"/>
      <w:marRight w:val="0"/>
      <w:marTop w:val="0"/>
      <w:marBottom w:val="0"/>
      <w:divBdr>
        <w:top w:val="none" w:sz="0" w:space="0" w:color="auto"/>
        <w:left w:val="none" w:sz="0" w:space="0" w:color="auto"/>
        <w:bottom w:val="none" w:sz="0" w:space="0" w:color="auto"/>
        <w:right w:val="none" w:sz="0" w:space="0" w:color="auto"/>
      </w:divBdr>
    </w:div>
    <w:div w:id="2097676347">
      <w:bodyDiv w:val="1"/>
      <w:marLeft w:val="0"/>
      <w:marRight w:val="0"/>
      <w:marTop w:val="0"/>
      <w:marBottom w:val="0"/>
      <w:divBdr>
        <w:top w:val="none" w:sz="0" w:space="0" w:color="auto"/>
        <w:left w:val="none" w:sz="0" w:space="0" w:color="auto"/>
        <w:bottom w:val="none" w:sz="0" w:space="0" w:color="auto"/>
        <w:right w:val="none" w:sz="0" w:space="0" w:color="auto"/>
      </w:divBdr>
    </w:div>
    <w:div w:id="2099986566">
      <w:bodyDiv w:val="1"/>
      <w:marLeft w:val="0"/>
      <w:marRight w:val="0"/>
      <w:marTop w:val="0"/>
      <w:marBottom w:val="0"/>
      <w:divBdr>
        <w:top w:val="none" w:sz="0" w:space="0" w:color="auto"/>
        <w:left w:val="none" w:sz="0" w:space="0" w:color="auto"/>
        <w:bottom w:val="none" w:sz="0" w:space="0" w:color="auto"/>
        <w:right w:val="none" w:sz="0" w:space="0" w:color="auto"/>
      </w:divBdr>
    </w:div>
    <w:div w:id="2116166627">
      <w:bodyDiv w:val="1"/>
      <w:marLeft w:val="0"/>
      <w:marRight w:val="0"/>
      <w:marTop w:val="0"/>
      <w:marBottom w:val="0"/>
      <w:divBdr>
        <w:top w:val="none" w:sz="0" w:space="0" w:color="auto"/>
        <w:left w:val="none" w:sz="0" w:space="0" w:color="auto"/>
        <w:bottom w:val="none" w:sz="0" w:space="0" w:color="auto"/>
        <w:right w:val="none" w:sz="0" w:space="0" w:color="auto"/>
      </w:divBdr>
    </w:div>
    <w:div w:id="2120100364">
      <w:bodyDiv w:val="1"/>
      <w:marLeft w:val="0"/>
      <w:marRight w:val="0"/>
      <w:marTop w:val="0"/>
      <w:marBottom w:val="0"/>
      <w:divBdr>
        <w:top w:val="none" w:sz="0" w:space="0" w:color="auto"/>
        <w:left w:val="none" w:sz="0" w:space="0" w:color="auto"/>
        <w:bottom w:val="none" w:sz="0" w:space="0" w:color="auto"/>
        <w:right w:val="none" w:sz="0" w:space="0" w:color="auto"/>
      </w:divBdr>
    </w:div>
    <w:div w:id="2125070919">
      <w:bodyDiv w:val="1"/>
      <w:marLeft w:val="0"/>
      <w:marRight w:val="0"/>
      <w:marTop w:val="0"/>
      <w:marBottom w:val="0"/>
      <w:divBdr>
        <w:top w:val="none" w:sz="0" w:space="0" w:color="auto"/>
        <w:left w:val="none" w:sz="0" w:space="0" w:color="auto"/>
        <w:bottom w:val="none" w:sz="0" w:space="0" w:color="auto"/>
        <w:right w:val="none" w:sz="0" w:space="0" w:color="auto"/>
      </w:divBdr>
    </w:div>
    <w:div w:id="2126730343">
      <w:bodyDiv w:val="1"/>
      <w:marLeft w:val="0"/>
      <w:marRight w:val="0"/>
      <w:marTop w:val="0"/>
      <w:marBottom w:val="0"/>
      <w:divBdr>
        <w:top w:val="none" w:sz="0" w:space="0" w:color="auto"/>
        <w:left w:val="none" w:sz="0" w:space="0" w:color="auto"/>
        <w:bottom w:val="none" w:sz="0" w:space="0" w:color="auto"/>
        <w:right w:val="none" w:sz="0" w:space="0" w:color="auto"/>
      </w:divBdr>
    </w:div>
    <w:div w:id="2132093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raig/Downloads/Darnley%20commentary%20draft%203%20RH%20Comment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2C24-82EA-FF48-BBC9-4040EBF2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Darnley commentary draft 3 RH Comments 2.dotx</Template>
  <TotalTime>136</TotalTime>
  <Pages>11</Pages>
  <Words>4524</Words>
  <Characters>25791</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Purshouse</dc:creator>
  <cp:keywords/>
  <dc:description/>
  <cp:lastModifiedBy>Craig Purshouse</cp:lastModifiedBy>
  <cp:revision>75</cp:revision>
  <cp:lastPrinted>2018-10-12T13:41:00Z</cp:lastPrinted>
  <dcterms:created xsi:type="dcterms:W3CDTF">2018-10-30T19:21:00Z</dcterms:created>
  <dcterms:modified xsi:type="dcterms:W3CDTF">2019-01-31T14:05:00Z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1571738780</vt:i4>
  </property>
  <property fmtid="{D5CDD505-2E9C-101B-9397-08002B2CF9AE}" pid="3" name="_NewReviewCycle">
    <vt:lpwstr/>
  </property>
  <property fmtid="{D5CDD505-2E9C-101B-9397-08002B2CF9AE}" pid="4" name="_EmailSubject">
    <vt:lpwstr>Favour - Darnley</vt:lpwstr>
  </property>
  <property fmtid="{D5CDD505-2E9C-101B-9397-08002B2CF9AE}" pid="5" name="_AuthorEmail">
    <vt:lpwstr>R.Heywood@uea.ac.uk</vt:lpwstr>
  </property>
  <property fmtid="{D5CDD505-2E9C-101B-9397-08002B2CF9AE}" pid="6" name="_AuthorEmailDisplayName">
    <vt:lpwstr>Rob Heywood (LAW - Staff)</vt:lpwstr>
  </property>
</Properties>
</file>