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C6DC6" w14:textId="6BC102F7" w:rsidR="004C791E" w:rsidRPr="00963288" w:rsidRDefault="004112CD" w:rsidP="00DC5EF6">
      <w:pPr>
        <w:pBdr>
          <w:bottom w:val="single" w:sz="4" w:space="1" w:color="auto"/>
        </w:pBdr>
        <w:contextualSpacing/>
        <w:jc w:val="center"/>
        <w:rPr>
          <w:rFonts w:ascii="Garamond" w:eastAsiaTheme="majorEastAsia" w:hAnsi="Garamond" w:cs="Arial"/>
          <w:b/>
          <w:spacing w:val="5"/>
        </w:rPr>
      </w:pPr>
      <w:bookmarkStart w:id="0" w:name="_GoBack"/>
      <w:bookmarkEnd w:id="0"/>
      <w:r>
        <w:rPr>
          <w:rFonts w:ascii="Garamond" w:eastAsiaTheme="majorEastAsia" w:hAnsi="Garamond" w:cs="Arial"/>
          <w:b/>
          <w:spacing w:val="5"/>
        </w:rPr>
        <w:t xml:space="preserve">THINK OF THE CHILDREN: LIABILITY FOR </w:t>
      </w:r>
      <w:r w:rsidR="00766BC9" w:rsidRPr="00963288">
        <w:rPr>
          <w:rFonts w:ascii="Garamond" w:eastAsiaTheme="majorEastAsia" w:hAnsi="Garamond" w:cs="Arial"/>
          <w:b/>
          <w:spacing w:val="5"/>
        </w:rPr>
        <w:t>NON-</w:t>
      </w:r>
      <w:r w:rsidR="00CE2829" w:rsidRPr="00963288">
        <w:rPr>
          <w:rFonts w:ascii="Garamond" w:eastAsiaTheme="majorEastAsia" w:hAnsi="Garamond" w:cs="Arial"/>
          <w:b/>
          <w:spacing w:val="5"/>
        </w:rPr>
        <w:t xml:space="preserve">DISCLOSURE </w:t>
      </w:r>
      <w:r>
        <w:rPr>
          <w:rFonts w:ascii="Garamond" w:eastAsiaTheme="majorEastAsia" w:hAnsi="Garamond" w:cs="Arial"/>
          <w:b/>
          <w:spacing w:val="5"/>
        </w:rPr>
        <w:t xml:space="preserve">OF INFORMATION </w:t>
      </w:r>
      <w:r w:rsidR="00CE2829" w:rsidRPr="00963288">
        <w:rPr>
          <w:rFonts w:ascii="Garamond" w:eastAsiaTheme="majorEastAsia" w:hAnsi="Garamond" w:cs="Arial"/>
          <w:b/>
          <w:spacing w:val="5"/>
        </w:rPr>
        <w:t>POST</w:t>
      </w:r>
      <w:r w:rsidR="00297DC5" w:rsidRPr="00963288">
        <w:rPr>
          <w:rFonts w:ascii="Garamond" w:eastAsiaTheme="majorEastAsia" w:hAnsi="Garamond" w:cs="Arial"/>
          <w:b/>
          <w:spacing w:val="5"/>
        </w:rPr>
        <w:t>-</w:t>
      </w:r>
      <w:r w:rsidR="00CE2829" w:rsidRPr="00963288">
        <w:rPr>
          <w:rFonts w:ascii="Garamond" w:eastAsiaTheme="majorEastAsia" w:hAnsi="Garamond" w:cs="Arial"/>
          <w:b/>
          <w:i/>
          <w:spacing w:val="5"/>
        </w:rPr>
        <w:t>MONTGOMERY</w:t>
      </w:r>
      <w:r w:rsidR="00CE2829" w:rsidRPr="00963288">
        <w:rPr>
          <w:rFonts w:ascii="Garamond" w:eastAsiaTheme="majorEastAsia" w:hAnsi="Garamond" w:cs="Arial"/>
          <w:b/>
          <w:spacing w:val="5"/>
        </w:rPr>
        <w:t xml:space="preserve"> </w:t>
      </w:r>
    </w:p>
    <w:p w14:paraId="4D447EB8" w14:textId="4FFB1F7C" w:rsidR="004C791E" w:rsidRPr="00963288" w:rsidRDefault="00CE2829" w:rsidP="00DC5EF6">
      <w:pPr>
        <w:contextualSpacing/>
        <w:outlineLvl w:val="0"/>
        <w:rPr>
          <w:rFonts w:ascii="Garamond" w:eastAsiaTheme="majorEastAsia" w:hAnsi="Garamond" w:cs="Arial"/>
          <w:b/>
          <w:bCs/>
        </w:rPr>
      </w:pPr>
      <w:r w:rsidRPr="00963288">
        <w:rPr>
          <w:rFonts w:ascii="Garamond" w:eastAsiaTheme="majorEastAsia" w:hAnsi="Garamond" w:cs="Arial"/>
          <w:b/>
          <w:bCs/>
        </w:rPr>
        <w:t>ABSTRACT</w:t>
      </w:r>
    </w:p>
    <w:p w14:paraId="6786C8AB" w14:textId="04544EFA" w:rsidR="004A3B63" w:rsidRPr="00963288" w:rsidRDefault="004C791E" w:rsidP="00DC5EF6">
      <w:pPr>
        <w:rPr>
          <w:rFonts w:ascii="Garamond" w:eastAsiaTheme="minorEastAsia" w:hAnsi="Garamond" w:cs="Arial"/>
        </w:rPr>
      </w:pPr>
      <w:r w:rsidRPr="00963288">
        <w:rPr>
          <w:rFonts w:ascii="Garamond" w:eastAsiaTheme="minorEastAsia" w:hAnsi="Garamond" w:cs="Arial"/>
        </w:rPr>
        <w:t xml:space="preserve">In 2015 the Supreme Court in </w:t>
      </w:r>
      <w:r w:rsidRPr="00963288">
        <w:rPr>
          <w:rFonts w:ascii="Garamond" w:eastAsiaTheme="minorEastAsia" w:hAnsi="Garamond" w:cs="Arial"/>
          <w:i/>
        </w:rPr>
        <w:t>Montgomery v Lanarkshire Health Board</w:t>
      </w:r>
      <w:r w:rsidRPr="00963288">
        <w:rPr>
          <w:rFonts w:ascii="Garamond" w:eastAsiaTheme="minorEastAsia" w:hAnsi="Garamond" w:cs="Arial"/>
        </w:rPr>
        <w:t xml:space="preserve"> handed down a landmark decision on informed consent to medical treatment, heralding a legal shift to a </w:t>
      </w:r>
      <w:r w:rsidR="007609EE" w:rsidRPr="00963288">
        <w:rPr>
          <w:rFonts w:ascii="Garamond" w:eastAsiaTheme="minorEastAsia" w:hAnsi="Garamond" w:cs="Arial"/>
        </w:rPr>
        <w:t xml:space="preserve">more </w:t>
      </w:r>
      <w:r w:rsidRPr="00963288">
        <w:rPr>
          <w:rFonts w:ascii="Garamond" w:eastAsiaTheme="minorEastAsia" w:hAnsi="Garamond" w:cs="Arial"/>
        </w:rPr>
        <w:t xml:space="preserve">patient-centred approach. </w:t>
      </w:r>
      <w:r w:rsidRPr="00963288">
        <w:rPr>
          <w:rFonts w:ascii="Garamond" w:eastAsiaTheme="minorEastAsia" w:hAnsi="Garamond" w:cs="Arial"/>
          <w:i/>
        </w:rPr>
        <w:t>Montgomery,</w:t>
      </w:r>
      <w:r w:rsidRPr="00963288">
        <w:rPr>
          <w:rFonts w:ascii="Garamond" w:eastAsiaTheme="minorEastAsia" w:hAnsi="Garamond" w:cs="Arial"/>
        </w:rPr>
        <w:t xml:space="preserve"> and the extensive commentary that has followed, focuses on ‘adult persons of sound mind’. </w:t>
      </w:r>
      <w:r w:rsidR="004B65E2">
        <w:rPr>
          <w:rFonts w:ascii="Garamond" w:eastAsiaTheme="minorEastAsia" w:hAnsi="Garamond" w:cs="Arial"/>
        </w:rPr>
        <w:t>Cave and Purshouse</w:t>
      </w:r>
      <w:r w:rsidR="004B65E2" w:rsidRPr="00963288">
        <w:rPr>
          <w:rFonts w:ascii="Garamond" w:eastAsiaTheme="minorEastAsia" w:hAnsi="Garamond" w:cs="Arial"/>
        </w:rPr>
        <w:t xml:space="preserve"> </w:t>
      </w:r>
      <w:r w:rsidR="00DA16C8">
        <w:rPr>
          <w:rFonts w:ascii="Garamond" w:eastAsiaTheme="minorEastAsia" w:hAnsi="Garamond" w:cs="Arial"/>
        </w:rPr>
        <w:t>consider</w:t>
      </w:r>
      <w:r w:rsidRPr="00963288">
        <w:rPr>
          <w:rFonts w:ascii="Garamond" w:eastAsiaTheme="minorEastAsia" w:hAnsi="Garamond" w:cs="Arial"/>
        </w:rPr>
        <w:t xml:space="preserve"> </w:t>
      </w:r>
      <w:r w:rsidR="008E429E" w:rsidRPr="00963288">
        <w:rPr>
          <w:rFonts w:ascii="Garamond" w:eastAsiaTheme="minorEastAsia" w:hAnsi="Garamond" w:cs="Arial"/>
        </w:rPr>
        <w:t xml:space="preserve">the potential claims that may flow from a failure to </w:t>
      </w:r>
      <w:r w:rsidR="007524F5" w:rsidRPr="00963288">
        <w:rPr>
          <w:rFonts w:ascii="Garamond" w:eastAsiaTheme="minorEastAsia" w:hAnsi="Garamond" w:cs="Arial"/>
        </w:rPr>
        <w:t xml:space="preserve">adequately </w:t>
      </w:r>
      <w:r w:rsidR="008E429E" w:rsidRPr="00963288">
        <w:rPr>
          <w:rFonts w:ascii="Garamond" w:eastAsiaTheme="minorEastAsia" w:hAnsi="Garamond" w:cs="Arial"/>
        </w:rPr>
        <w:t xml:space="preserve">inform </w:t>
      </w:r>
      <w:r w:rsidR="002612A7">
        <w:rPr>
          <w:rFonts w:ascii="Garamond" w:eastAsiaTheme="minorEastAsia" w:hAnsi="Garamond" w:cs="Arial"/>
        </w:rPr>
        <w:t>children</w:t>
      </w:r>
      <w:r w:rsidR="00822912">
        <w:rPr>
          <w:rFonts w:ascii="Garamond" w:eastAsiaTheme="minorEastAsia" w:hAnsi="Garamond" w:cs="Arial"/>
        </w:rPr>
        <w:t>.</w:t>
      </w:r>
      <w:r w:rsidR="009436D1" w:rsidRPr="00963288">
        <w:rPr>
          <w:rFonts w:ascii="Garamond" w:eastAsiaTheme="minorEastAsia" w:hAnsi="Garamond" w:cs="Arial"/>
        </w:rPr>
        <w:t xml:space="preserve"> </w:t>
      </w:r>
      <w:r w:rsidR="004B65E2">
        <w:rPr>
          <w:rFonts w:ascii="Garamond" w:eastAsiaTheme="minorEastAsia" w:hAnsi="Garamond" w:cs="Arial"/>
        </w:rPr>
        <w:t>They</w:t>
      </w:r>
      <w:r w:rsidR="008E429E" w:rsidRPr="00963288">
        <w:rPr>
          <w:rFonts w:ascii="Garamond" w:eastAsiaTheme="minorEastAsia" w:hAnsi="Garamond" w:cs="Arial"/>
        </w:rPr>
        <w:t xml:space="preserve"> argue that the relevance of the best interest</w:t>
      </w:r>
      <w:r w:rsidR="00A15BA8" w:rsidRPr="00963288">
        <w:rPr>
          <w:rFonts w:ascii="Garamond" w:eastAsiaTheme="minorEastAsia" w:hAnsi="Garamond" w:cs="Arial"/>
        </w:rPr>
        <w:t>s</w:t>
      </w:r>
      <w:r w:rsidR="008E429E" w:rsidRPr="00963288">
        <w:rPr>
          <w:rFonts w:ascii="Garamond" w:eastAsiaTheme="minorEastAsia" w:hAnsi="Garamond" w:cs="Arial"/>
        </w:rPr>
        <w:t xml:space="preserve"> test blurs the boundaries between negligence an</w:t>
      </w:r>
      <w:r w:rsidR="00685354" w:rsidRPr="00963288">
        <w:rPr>
          <w:rFonts w:ascii="Garamond" w:eastAsiaTheme="minorEastAsia" w:hAnsi="Garamond" w:cs="Arial"/>
        </w:rPr>
        <w:t xml:space="preserve">d battery. </w:t>
      </w:r>
      <w:r w:rsidR="005A79B6">
        <w:rPr>
          <w:rFonts w:ascii="Garamond" w:eastAsiaTheme="minorEastAsia" w:hAnsi="Garamond" w:cs="Arial"/>
        </w:rPr>
        <w:t>Limitations</w:t>
      </w:r>
      <w:r w:rsidR="009F041A">
        <w:rPr>
          <w:rFonts w:ascii="Garamond" w:eastAsiaTheme="minorEastAsia" w:hAnsi="Garamond" w:cs="Arial"/>
        </w:rPr>
        <w:t xml:space="preserve"> on children’s rights to make treatment decisions for themselves impact on their potential to claim in negligence for non-disclosure and, conversely, enhance the potential relevance of the tort of battery.</w:t>
      </w:r>
      <w:r w:rsidR="005A79B6">
        <w:rPr>
          <w:rFonts w:ascii="Garamond" w:eastAsiaTheme="minorEastAsia" w:hAnsi="Garamond" w:cs="Arial"/>
        </w:rPr>
        <w:t xml:space="preserve"> </w:t>
      </w:r>
      <w:r w:rsidR="005D018E" w:rsidRPr="00963288">
        <w:rPr>
          <w:rFonts w:ascii="Garamond" w:eastAsiaTheme="minorEastAsia" w:hAnsi="Garamond" w:cs="Arial"/>
        </w:rPr>
        <w:t>In paediatric cases</w:t>
      </w:r>
      <w:r w:rsidR="005179E8" w:rsidRPr="00963288">
        <w:rPr>
          <w:rFonts w:ascii="Garamond" w:eastAsiaTheme="minorEastAsia" w:hAnsi="Garamond" w:cs="Arial"/>
        </w:rPr>
        <w:t>,</w:t>
      </w:r>
      <w:r w:rsidR="005D018E" w:rsidRPr="00963288">
        <w:rPr>
          <w:rFonts w:ascii="Garamond" w:eastAsiaTheme="minorEastAsia" w:hAnsi="Garamond" w:cs="Arial"/>
        </w:rPr>
        <w:t xml:space="preserve"> </w:t>
      </w:r>
      <w:r w:rsidR="005D018E" w:rsidRPr="00963288">
        <w:rPr>
          <w:rFonts w:ascii="Garamond" w:eastAsiaTheme="minorEastAsia" w:hAnsi="Garamond" w:cs="Arial"/>
          <w:i/>
        </w:rPr>
        <w:t>Montgomery</w:t>
      </w:r>
      <w:r w:rsidR="005D018E" w:rsidRPr="00963288">
        <w:rPr>
          <w:rFonts w:ascii="Garamond" w:eastAsiaTheme="minorEastAsia" w:hAnsi="Garamond" w:cs="Arial"/>
        </w:rPr>
        <w:t xml:space="preserve"> raises expectations that the law is currently ill-equipped to satisfy. </w:t>
      </w:r>
      <w:r w:rsidR="005A79B6">
        <w:rPr>
          <w:rFonts w:ascii="Garamond" w:eastAsiaTheme="minorEastAsia" w:hAnsi="Garamond" w:cs="Arial"/>
        </w:rPr>
        <w:t>T</w:t>
      </w:r>
      <w:r w:rsidR="005A79B6" w:rsidRPr="005A79B6">
        <w:rPr>
          <w:rFonts w:ascii="Garamond" w:eastAsiaTheme="minorEastAsia" w:hAnsi="Garamond" w:cs="Arial"/>
        </w:rPr>
        <w:t xml:space="preserve">ort law provides a legal incentive to disclose relevant information to children but </w:t>
      </w:r>
      <w:r w:rsidR="005A79B6">
        <w:rPr>
          <w:rFonts w:ascii="Garamond" w:eastAsiaTheme="minorEastAsia" w:hAnsi="Garamond" w:cs="Arial"/>
        </w:rPr>
        <w:t>limits</w:t>
      </w:r>
      <w:r w:rsidR="005A79B6" w:rsidRPr="005A79B6">
        <w:rPr>
          <w:rFonts w:ascii="Garamond" w:eastAsiaTheme="minorEastAsia" w:hAnsi="Garamond" w:cs="Arial"/>
        </w:rPr>
        <w:t xml:space="preserve"> the availability of a remedy</w:t>
      </w:r>
      <w:r w:rsidR="005A79B6">
        <w:rPr>
          <w:rFonts w:ascii="Garamond" w:eastAsiaTheme="minorEastAsia" w:hAnsi="Garamond" w:cs="Arial"/>
        </w:rPr>
        <w:t>.</w:t>
      </w:r>
      <w:r w:rsidR="005A79B6" w:rsidRPr="005A79B6" w:rsidDel="005A79B6">
        <w:rPr>
          <w:rFonts w:ascii="Garamond" w:eastAsiaTheme="minorEastAsia" w:hAnsi="Garamond" w:cs="Arial"/>
        </w:rPr>
        <w:t xml:space="preserve"> </w:t>
      </w:r>
    </w:p>
    <w:p w14:paraId="1BDF5CA2" w14:textId="77777777" w:rsidR="00CC181E" w:rsidRDefault="00CC181E" w:rsidP="00DC5EF6">
      <w:pPr>
        <w:contextualSpacing/>
        <w:jc w:val="left"/>
        <w:outlineLvl w:val="0"/>
        <w:rPr>
          <w:rFonts w:ascii="Garamond" w:eastAsiaTheme="majorEastAsia" w:hAnsi="Garamond" w:cs="Arial"/>
          <w:b/>
          <w:bCs/>
        </w:rPr>
      </w:pPr>
    </w:p>
    <w:p w14:paraId="37B3A959" w14:textId="61D74E2F" w:rsidR="004C791E" w:rsidRPr="00963288" w:rsidRDefault="00CE2829" w:rsidP="00DC5EF6">
      <w:pPr>
        <w:contextualSpacing/>
        <w:jc w:val="left"/>
        <w:outlineLvl w:val="0"/>
        <w:rPr>
          <w:rFonts w:ascii="Garamond" w:eastAsiaTheme="majorEastAsia" w:hAnsi="Garamond" w:cs="Arial"/>
          <w:b/>
          <w:bCs/>
        </w:rPr>
      </w:pPr>
      <w:r w:rsidRPr="00963288">
        <w:rPr>
          <w:rFonts w:ascii="Garamond" w:eastAsiaTheme="majorEastAsia" w:hAnsi="Garamond" w:cs="Arial"/>
          <w:b/>
          <w:bCs/>
        </w:rPr>
        <w:t>KEYWORDS</w:t>
      </w:r>
    </w:p>
    <w:p w14:paraId="56E662E7" w14:textId="0AB79F13" w:rsidR="00DC5EF6" w:rsidRPr="00963288" w:rsidRDefault="002D2F3E" w:rsidP="00DC5EF6">
      <w:pPr>
        <w:jc w:val="left"/>
        <w:rPr>
          <w:rFonts w:ascii="Garamond" w:eastAsiaTheme="minorEastAsia" w:hAnsi="Garamond" w:cs="Arial"/>
        </w:rPr>
      </w:pPr>
      <w:r>
        <w:rPr>
          <w:rFonts w:ascii="Garamond" w:eastAsiaTheme="minorEastAsia" w:hAnsi="Garamond" w:cs="Arial"/>
        </w:rPr>
        <w:t>Battery, children, disclosure, i</w:t>
      </w:r>
      <w:r w:rsidR="004C791E" w:rsidRPr="00963288">
        <w:rPr>
          <w:rFonts w:ascii="Garamond" w:eastAsiaTheme="minorEastAsia" w:hAnsi="Garamond" w:cs="Arial"/>
        </w:rPr>
        <w:t xml:space="preserve">nformed consent, </w:t>
      </w:r>
      <w:r w:rsidR="004C791E" w:rsidRPr="00963288">
        <w:rPr>
          <w:rFonts w:ascii="Garamond" w:eastAsiaTheme="minorEastAsia" w:hAnsi="Garamond" w:cs="Arial"/>
          <w:i/>
        </w:rPr>
        <w:t>Montgomery</w:t>
      </w:r>
      <w:r w:rsidR="004C791E" w:rsidRPr="00963288">
        <w:rPr>
          <w:rFonts w:ascii="Garamond" w:eastAsiaTheme="minorEastAsia" w:hAnsi="Garamond" w:cs="Arial"/>
        </w:rPr>
        <w:t xml:space="preserve">, </w:t>
      </w:r>
      <w:r>
        <w:rPr>
          <w:rFonts w:ascii="Garamond" w:eastAsiaTheme="minorEastAsia" w:hAnsi="Garamond" w:cs="Arial"/>
        </w:rPr>
        <w:t xml:space="preserve">negligence, non-disclosure </w:t>
      </w:r>
    </w:p>
    <w:p w14:paraId="5F6D0BFC" w14:textId="77777777" w:rsidR="00DC5EF6" w:rsidRPr="00963288" w:rsidRDefault="00DC5EF6" w:rsidP="00DC5EF6">
      <w:pPr>
        <w:jc w:val="left"/>
        <w:rPr>
          <w:rFonts w:ascii="Garamond" w:eastAsiaTheme="minorEastAsia" w:hAnsi="Garamond" w:cs="Arial"/>
        </w:rPr>
      </w:pPr>
    </w:p>
    <w:p w14:paraId="4EA7BCEB" w14:textId="1F0810E6" w:rsidR="00DC5EF6" w:rsidRPr="00963288" w:rsidRDefault="000835AA" w:rsidP="00DC5EF6">
      <w:pPr>
        <w:jc w:val="center"/>
        <w:outlineLvl w:val="0"/>
        <w:rPr>
          <w:rFonts w:ascii="Garamond" w:eastAsiaTheme="majorEastAsia" w:hAnsi="Garamond" w:cs="Arial"/>
          <w:b/>
          <w:bCs/>
        </w:rPr>
      </w:pPr>
      <w:r w:rsidRPr="00963288">
        <w:rPr>
          <w:rFonts w:ascii="Garamond" w:eastAsiaTheme="majorEastAsia" w:hAnsi="Garamond" w:cs="Arial"/>
          <w:b/>
          <w:bCs/>
        </w:rPr>
        <w:t xml:space="preserve">I. </w:t>
      </w:r>
      <w:r w:rsidR="00CE2829" w:rsidRPr="00963288">
        <w:rPr>
          <w:rFonts w:ascii="Garamond" w:eastAsiaTheme="majorEastAsia" w:hAnsi="Garamond" w:cs="Arial"/>
          <w:b/>
          <w:bCs/>
        </w:rPr>
        <w:t>INTRODUCTION</w:t>
      </w:r>
    </w:p>
    <w:p w14:paraId="6965312C" w14:textId="2737BAE8" w:rsidR="00014D5C" w:rsidRDefault="004C791E" w:rsidP="00DC5EF6">
      <w:pPr>
        <w:rPr>
          <w:rFonts w:ascii="Garamond" w:eastAsiaTheme="minorEastAsia" w:hAnsi="Garamond" w:cs="Arial"/>
        </w:rPr>
      </w:pPr>
      <w:r w:rsidRPr="00963288">
        <w:rPr>
          <w:rFonts w:ascii="Garamond" w:eastAsiaTheme="minorEastAsia" w:hAnsi="Garamond" w:cs="Arial"/>
        </w:rPr>
        <w:t xml:space="preserve">This article considers the potential </w:t>
      </w:r>
      <w:r w:rsidR="00622FC8" w:rsidRPr="00963288">
        <w:rPr>
          <w:rFonts w:ascii="Garamond" w:eastAsiaTheme="minorEastAsia" w:hAnsi="Garamond" w:cs="Arial"/>
        </w:rPr>
        <w:t>tort</w:t>
      </w:r>
      <w:r w:rsidRPr="00963288">
        <w:rPr>
          <w:rFonts w:ascii="Garamond" w:eastAsiaTheme="minorEastAsia" w:hAnsi="Garamond" w:cs="Arial"/>
        </w:rPr>
        <w:t xml:space="preserve"> claims that may follow from a </w:t>
      </w:r>
      <w:r w:rsidR="00AD18F9">
        <w:rPr>
          <w:rFonts w:ascii="Garamond" w:eastAsiaTheme="minorEastAsia" w:hAnsi="Garamond" w:cs="Arial"/>
        </w:rPr>
        <w:t>healthcare practitioner’s (HCP</w:t>
      </w:r>
      <w:r w:rsidR="00110C83">
        <w:rPr>
          <w:rFonts w:ascii="Garamond" w:eastAsiaTheme="minorEastAsia" w:hAnsi="Garamond" w:cs="Arial"/>
        </w:rPr>
        <w:t>’</w:t>
      </w:r>
      <w:r w:rsidR="00AD18F9">
        <w:rPr>
          <w:rFonts w:ascii="Garamond" w:eastAsiaTheme="minorEastAsia" w:hAnsi="Garamond" w:cs="Arial"/>
        </w:rPr>
        <w:t xml:space="preserve">s) </w:t>
      </w:r>
      <w:r w:rsidRPr="00963288">
        <w:rPr>
          <w:rFonts w:ascii="Garamond" w:eastAsiaTheme="minorEastAsia" w:hAnsi="Garamond" w:cs="Arial"/>
        </w:rPr>
        <w:t>non-disclosure of information when treating a child patient</w:t>
      </w:r>
      <w:r w:rsidR="00AD18F9">
        <w:rPr>
          <w:rFonts w:ascii="Garamond" w:eastAsiaTheme="minorEastAsia" w:hAnsi="Garamond" w:cs="Arial"/>
        </w:rPr>
        <w:t xml:space="preserve">. </w:t>
      </w:r>
      <w:r w:rsidR="00222B4C">
        <w:rPr>
          <w:rFonts w:ascii="Garamond" w:eastAsiaTheme="minorEastAsia" w:hAnsi="Garamond" w:cs="Arial"/>
        </w:rPr>
        <w:t>Focusing on children</w:t>
      </w:r>
      <w:r w:rsidR="00014D5C">
        <w:rPr>
          <w:rStyle w:val="FootnoteReference"/>
          <w:rFonts w:ascii="Garamond" w:eastAsiaTheme="minorEastAsia" w:hAnsi="Garamond" w:cs="Arial"/>
        </w:rPr>
        <w:footnoteReference w:id="1"/>
      </w:r>
      <w:r w:rsidR="00014D5C">
        <w:rPr>
          <w:rFonts w:ascii="Garamond" w:eastAsiaTheme="minorEastAsia" w:hAnsi="Garamond" w:cs="Arial"/>
        </w:rPr>
        <w:t xml:space="preserve"> who are capable of contributing to or making treatment decisions, we address situations </w:t>
      </w:r>
      <w:r w:rsidR="00014D5C" w:rsidRPr="00963288">
        <w:rPr>
          <w:rFonts w:ascii="Garamond" w:eastAsiaTheme="minorEastAsia" w:hAnsi="Garamond" w:cs="Arial"/>
        </w:rPr>
        <w:t>where th</w:t>
      </w:r>
      <w:r w:rsidR="00014D5C">
        <w:rPr>
          <w:rFonts w:ascii="Garamond" w:eastAsiaTheme="minorEastAsia" w:hAnsi="Garamond" w:cs="Arial"/>
        </w:rPr>
        <w:t>e</w:t>
      </w:r>
      <w:r w:rsidR="00014D5C" w:rsidRPr="00963288">
        <w:rPr>
          <w:rFonts w:ascii="Garamond" w:eastAsiaTheme="minorEastAsia" w:hAnsi="Garamond" w:cs="Arial"/>
        </w:rPr>
        <w:t xml:space="preserve"> patient would have refused medical treatment </w:t>
      </w:r>
      <w:r w:rsidR="00014D5C">
        <w:rPr>
          <w:rFonts w:ascii="Garamond" w:eastAsiaTheme="minorEastAsia" w:hAnsi="Garamond" w:cs="Arial"/>
        </w:rPr>
        <w:t xml:space="preserve">had relevant information been disclosed. </w:t>
      </w:r>
    </w:p>
    <w:p w14:paraId="411D8BE0" w14:textId="2F75F9CD" w:rsidR="00014D5C" w:rsidRPr="00963288" w:rsidRDefault="00014D5C" w:rsidP="00AD18F9">
      <w:pPr>
        <w:ind w:firstLine="720"/>
        <w:rPr>
          <w:rFonts w:ascii="Garamond" w:eastAsiaTheme="minorEastAsia" w:hAnsi="Garamond" w:cs="Arial"/>
        </w:rPr>
      </w:pPr>
      <w:r>
        <w:rPr>
          <w:rFonts w:ascii="Garamond" w:eastAsiaTheme="minorEastAsia" w:hAnsi="Garamond" w:cs="Arial"/>
        </w:rPr>
        <w:t xml:space="preserve">We begin with a brief reminder of relevant general principles of law. </w:t>
      </w:r>
      <w:r w:rsidRPr="00963288">
        <w:rPr>
          <w:rFonts w:ascii="Garamond" w:eastAsiaTheme="minorEastAsia" w:hAnsi="Garamond" w:cs="Arial"/>
        </w:rPr>
        <w:t>If a</w:t>
      </w:r>
      <w:r>
        <w:rPr>
          <w:rFonts w:ascii="Garamond" w:eastAsiaTheme="minorEastAsia" w:hAnsi="Garamond" w:cs="Arial"/>
        </w:rPr>
        <w:t>n HCP</w:t>
      </w:r>
      <w:r w:rsidRPr="00963288">
        <w:rPr>
          <w:rFonts w:ascii="Garamond" w:eastAsiaTheme="minorEastAsia" w:hAnsi="Garamond" w:cs="Arial"/>
        </w:rPr>
        <w:t xml:space="preserve"> fails to disclose information to a patient then they may commit the tort of battery or the tort of negligence. </w:t>
      </w:r>
      <w:r w:rsidRPr="00963288">
        <w:rPr>
          <w:rFonts w:ascii="Garamond" w:eastAsiaTheme="minorEastAsia" w:hAnsi="Garamond" w:cs="Arial"/>
        </w:rPr>
        <w:lastRenderedPageBreak/>
        <w:t>The former is committed where the medical procedure involves intentional and direct bodily contact with the patient.</w:t>
      </w:r>
      <w:r w:rsidRPr="00963288">
        <w:rPr>
          <w:rStyle w:val="FootnoteReference"/>
          <w:rFonts w:ascii="Garamond" w:eastAsiaTheme="minorEastAsia" w:hAnsi="Garamond" w:cs="Arial"/>
        </w:rPr>
        <w:footnoteReference w:id="2"/>
      </w:r>
      <w:r w:rsidRPr="00963288">
        <w:rPr>
          <w:rFonts w:ascii="Garamond" w:eastAsiaTheme="minorEastAsia" w:hAnsi="Garamond" w:cs="Arial"/>
        </w:rPr>
        <w:t xml:space="preserve"> The consent of the patient is a defence to a battery claim but in order for the consent to be valid, the patient must be informed in broad terms about the nature of the procedure.</w:t>
      </w:r>
      <w:r w:rsidRPr="00963288">
        <w:rPr>
          <w:rStyle w:val="FootnoteReference"/>
          <w:rFonts w:ascii="Garamond" w:eastAsiaTheme="minorEastAsia" w:hAnsi="Garamond" w:cs="Arial"/>
        </w:rPr>
        <w:footnoteReference w:id="3"/>
      </w:r>
      <w:r w:rsidRPr="00963288">
        <w:rPr>
          <w:rFonts w:ascii="Garamond" w:eastAsiaTheme="minorEastAsia" w:hAnsi="Garamond" w:cs="Arial"/>
        </w:rPr>
        <w:t xml:space="preserve"> The tort of negligence is committed if </w:t>
      </w:r>
      <w:r>
        <w:rPr>
          <w:rFonts w:ascii="Garamond" w:eastAsiaTheme="minorEastAsia" w:hAnsi="Garamond" w:cs="Arial"/>
        </w:rPr>
        <w:t>an HCP</w:t>
      </w:r>
      <w:r w:rsidRPr="00963288">
        <w:rPr>
          <w:rFonts w:ascii="Garamond" w:eastAsiaTheme="minorEastAsia" w:hAnsi="Garamond" w:cs="Arial"/>
        </w:rPr>
        <w:t xml:space="preserve"> breaches their duty of care to the claimant and that breach causes actionable damage. The </w:t>
      </w:r>
      <w:r>
        <w:rPr>
          <w:rFonts w:ascii="Garamond" w:eastAsiaTheme="minorEastAsia" w:hAnsi="Garamond" w:cs="Arial"/>
        </w:rPr>
        <w:t>HCP’s</w:t>
      </w:r>
      <w:r w:rsidRPr="00963288">
        <w:rPr>
          <w:rFonts w:ascii="Garamond" w:eastAsiaTheme="minorEastAsia" w:hAnsi="Garamond" w:cs="Arial"/>
        </w:rPr>
        <w:t xml:space="preserve"> duty to take reasonable care not to injure their patient will be breached if they fail to warn </w:t>
      </w:r>
      <w:r>
        <w:rPr>
          <w:rFonts w:ascii="Garamond" w:eastAsiaTheme="minorEastAsia" w:hAnsi="Garamond" w:cs="Arial"/>
        </w:rPr>
        <w:t>the</w:t>
      </w:r>
      <w:r w:rsidRPr="00963288">
        <w:rPr>
          <w:rFonts w:ascii="Garamond" w:eastAsiaTheme="minorEastAsia" w:hAnsi="Garamond" w:cs="Arial"/>
        </w:rPr>
        <w:t xml:space="preserve"> patient of material risks</w:t>
      </w:r>
      <w:r>
        <w:rPr>
          <w:rFonts w:ascii="Garamond" w:eastAsiaTheme="minorEastAsia" w:hAnsi="Garamond" w:cs="Arial"/>
        </w:rPr>
        <w:t xml:space="preserve"> in or reasonable alternatives</w:t>
      </w:r>
      <w:r w:rsidRPr="00963288">
        <w:rPr>
          <w:rFonts w:ascii="Garamond" w:eastAsiaTheme="minorEastAsia" w:hAnsi="Garamond" w:cs="Arial"/>
        </w:rPr>
        <w:t xml:space="preserve"> </w:t>
      </w:r>
      <w:r>
        <w:rPr>
          <w:rFonts w:ascii="Garamond" w:eastAsiaTheme="minorEastAsia" w:hAnsi="Garamond" w:cs="Arial"/>
        </w:rPr>
        <w:t>to</w:t>
      </w:r>
      <w:r w:rsidRPr="00963288">
        <w:rPr>
          <w:rFonts w:ascii="Garamond" w:eastAsiaTheme="minorEastAsia" w:hAnsi="Garamond" w:cs="Arial"/>
        </w:rPr>
        <w:t xml:space="preserve"> the treatment.</w:t>
      </w:r>
      <w:r w:rsidRPr="00963288">
        <w:rPr>
          <w:rFonts w:ascii="Garamond" w:eastAsiaTheme="minorEastAsia" w:hAnsi="Garamond" w:cs="Arial"/>
          <w:vertAlign w:val="superscript"/>
        </w:rPr>
        <w:footnoteReference w:id="4"/>
      </w:r>
      <w:r w:rsidRPr="00963288">
        <w:rPr>
          <w:rFonts w:ascii="Garamond" w:eastAsiaTheme="minorEastAsia" w:hAnsi="Garamond" w:cs="Arial"/>
        </w:rPr>
        <w:t xml:space="preserve"> The breach will have caused injury if the patient would not have consented to the treatment had they been warned and the risk in the treatment eventuates. Both torts therefore require the </w:t>
      </w:r>
      <w:r>
        <w:rPr>
          <w:rFonts w:ascii="Garamond" w:eastAsiaTheme="minorEastAsia" w:hAnsi="Garamond" w:cs="Arial"/>
        </w:rPr>
        <w:t>HCP</w:t>
      </w:r>
      <w:r w:rsidRPr="00963288">
        <w:rPr>
          <w:rFonts w:ascii="Garamond" w:eastAsiaTheme="minorEastAsia" w:hAnsi="Garamond" w:cs="Arial"/>
        </w:rPr>
        <w:t xml:space="preserve"> to provide information to the patient though, as we shall discuss below, the level of information differs between the two. The difference is considerable in adult cases, but we will argue that the requirement to consider the child’s best interests could blur the boundary between negligence and battery.</w:t>
      </w:r>
    </w:p>
    <w:p w14:paraId="402D7E85" w14:textId="01CCB673" w:rsidR="00014D5C" w:rsidRPr="00963288" w:rsidRDefault="00014D5C" w:rsidP="00DC5EF6">
      <w:pPr>
        <w:ind w:firstLine="720"/>
        <w:rPr>
          <w:rFonts w:ascii="Garamond" w:eastAsiaTheme="minorEastAsia" w:hAnsi="Garamond" w:cs="Arial"/>
        </w:rPr>
      </w:pPr>
      <w:r w:rsidRPr="00963288">
        <w:rPr>
          <w:rFonts w:ascii="Garamond" w:eastAsiaTheme="minorEastAsia" w:hAnsi="Garamond" w:cs="Arial"/>
        </w:rPr>
        <w:t xml:space="preserve">With regard to negligence, the Supreme Court decision of </w:t>
      </w:r>
      <w:r w:rsidRPr="00963288">
        <w:rPr>
          <w:rFonts w:ascii="Garamond" w:eastAsiaTheme="minorEastAsia" w:hAnsi="Garamond" w:cs="Arial"/>
          <w:i/>
        </w:rPr>
        <w:t>Montgomery v Lanarkshire Health Board</w:t>
      </w:r>
      <w:r w:rsidRPr="00963288">
        <w:rPr>
          <w:rFonts w:ascii="Garamond" w:eastAsiaTheme="minorEastAsia" w:hAnsi="Garamond" w:cs="Arial"/>
          <w:vertAlign w:val="superscript"/>
        </w:rPr>
        <w:footnoteReference w:id="5"/>
      </w:r>
      <w:r w:rsidRPr="00963288">
        <w:rPr>
          <w:rFonts w:ascii="Garamond" w:eastAsiaTheme="minorEastAsia" w:hAnsi="Garamond" w:cs="Arial"/>
        </w:rPr>
        <w:t xml:space="preserve"> adopted a more patient-centred approach to negligent non-disclosure </w:t>
      </w:r>
      <w:r w:rsidR="0095504C">
        <w:rPr>
          <w:rFonts w:ascii="Garamond" w:eastAsiaTheme="minorEastAsia" w:hAnsi="Garamond" w:cs="Arial"/>
        </w:rPr>
        <w:t xml:space="preserve">of information </w:t>
      </w:r>
      <w:r w:rsidRPr="00963288">
        <w:rPr>
          <w:rFonts w:ascii="Garamond" w:eastAsiaTheme="minorEastAsia" w:hAnsi="Garamond" w:cs="Arial"/>
        </w:rPr>
        <w:t>for ‘adult person(s) of sound mind’,</w:t>
      </w:r>
      <w:r w:rsidRPr="00963288">
        <w:rPr>
          <w:rFonts w:ascii="Garamond" w:eastAsiaTheme="minorEastAsia" w:hAnsi="Garamond" w:cs="Arial"/>
          <w:vertAlign w:val="superscript"/>
        </w:rPr>
        <w:footnoteReference w:id="6"/>
      </w:r>
      <w:r w:rsidRPr="00963288">
        <w:rPr>
          <w:rFonts w:ascii="Garamond" w:eastAsiaTheme="minorEastAsia" w:hAnsi="Garamond" w:cs="Arial"/>
        </w:rPr>
        <w:t xml:space="preserve"> but how far does and should tort law uphold the principle of ‘informed consent’ in the case of children? Despite there being a wealth of academic literature on </w:t>
      </w:r>
      <w:r w:rsidRPr="00963288">
        <w:rPr>
          <w:rFonts w:ascii="Garamond" w:eastAsiaTheme="minorEastAsia" w:hAnsi="Garamond" w:cs="Arial"/>
        </w:rPr>
        <w:lastRenderedPageBreak/>
        <w:t xml:space="preserve">the law of information non-disclosure as it applies to adults, until now the extent to which this law applies to child patients has not been explored in any depth. </w:t>
      </w:r>
    </w:p>
    <w:p w14:paraId="2F22B428" w14:textId="63DD5839" w:rsidR="00FE24AB" w:rsidRPr="00055771" w:rsidRDefault="00014D5C" w:rsidP="00FE24AB">
      <w:pPr>
        <w:ind w:firstLine="720"/>
        <w:rPr>
          <w:rFonts w:ascii="Garamond" w:eastAsiaTheme="minorEastAsia" w:hAnsi="Garamond" w:cs="Arial"/>
        </w:rPr>
      </w:pPr>
      <w:r w:rsidRPr="00963288">
        <w:rPr>
          <w:rFonts w:ascii="Garamond" w:eastAsiaTheme="minorEastAsia" w:hAnsi="Garamond" w:cs="Arial"/>
          <w:iCs/>
        </w:rPr>
        <w:t xml:space="preserve">The lack of legal clarity is problematic as it may result in the autonomy of child patients being violated. </w:t>
      </w:r>
      <w:r w:rsidRPr="00963288">
        <w:rPr>
          <w:rFonts w:ascii="Garamond" w:eastAsiaTheme="minorEastAsia" w:hAnsi="Garamond" w:cs="Arial"/>
        </w:rPr>
        <w:t>Autonomy is equated with a person’s ‘freedom to decide what shall and shall not be done with their body’</w:t>
      </w:r>
      <w:r w:rsidRPr="00963288">
        <w:rPr>
          <w:rFonts w:ascii="Garamond" w:eastAsiaTheme="minorEastAsia" w:hAnsi="Garamond" w:cs="Arial"/>
          <w:vertAlign w:val="superscript"/>
        </w:rPr>
        <w:footnoteReference w:id="7"/>
      </w:r>
      <w:r w:rsidRPr="00963288">
        <w:rPr>
          <w:rFonts w:ascii="Garamond" w:eastAsiaTheme="minorEastAsia" w:hAnsi="Garamond" w:cs="Arial"/>
        </w:rPr>
        <w:t xml:space="preserve"> and</w:t>
      </w:r>
      <w:r w:rsidR="00F86F94">
        <w:rPr>
          <w:rFonts w:ascii="Garamond" w:eastAsiaTheme="minorEastAsia" w:hAnsi="Garamond" w:cs="Arial"/>
        </w:rPr>
        <w:t>, though the weight given to autonomy has sometimes been contested,</w:t>
      </w:r>
      <w:r w:rsidR="00F86F94">
        <w:rPr>
          <w:rStyle w:val="FootnoteReference"/>
          <w:rFonts w:ascii="Garamond" w:eastAsiaTheme="minorEastAsia" w:hAnsi="Garamond" w:cs="Arial"/>
        </w:rPr>
        <w:footnoteReference w:id="8"/>
      </w:r>
      <w:r w:rsidRPr="00963288">
        <w:rPr>
          <w:rFonts w:ascii="Garamond" w:eastAsiaTheme="minorEastAsia" w:hAnsi="Garamond" w:cs="Arial"/>
        </w:rPr>
        <w:t xml:space="preserve"> respecting it is widely considered to be an important ethical principle.</w:t>
      </w:r>
      <w:r w:rsidR="006A6CC4">
        <w:rPr>
          <w:rFonts w:ascii="Garamond" w:eastAsiaTheme="minorEastAsia" w:hAnsi="Garamond" w:cs="Arial"/>
        </w:rPr>
        <w:t xml:space="preserve"> There are different definitions to the term autonomy in the literature. The case law tends to support a liberal conception that seeks to give effect not only to an individual’s current desires but also their long-term choices and values.</w:t>
      </w:r>
      <w:r w:rsidR="006A6CC4">
        <w:rPr>
          <w:rStyle w:val="FootnoteReference"/>
          <w:rFonts w:ascii="Garamond" w:eastAsiaTheme="minorEastAsia" w:hAnsi="Garamond" w:cs="Arial"/>
        </w:rPr>
        <w:footnoteReference w:id="9"/>
      </w:r>
      <w:r w:rsidR="00FE24AB" w:rsidRPr="00FE24AB">
        <w:rPr>
          <w:rFonts w:ascii="Garamond" w:eastAsiaTheme="minorEastAsia" w:hAnsi="Garamond" w:cs="Arial"/>
        </w:rPr>
        <w:t xml:space="preserve"> </w:t>
      </w:r>
      <w:r w:rsidR="00FE24AB">
        <w:rPr>
          <w:rFonts w:ascii="Garamond" w:eastAsiaTheme="minorEastAsia" w:hAnsi="Garamond" w:cs="Arial"/>
        </w:rPr>
        <w:t>It is true that these theories of autonomy can result in different outcomes when determining whether an interference with an individual is morally justified. Whichever of these definitions of autonomy is preferred,</w:t>
      </w:r>
      <w:r w:rsidR="00FE24AB">
        <w:rPr>
          <w:rStyle w:val="FootnoteReference"/>
          <w:rFonts w:ascii="Garamond" w:eastAsiaTheme="minorEastAsia" w:hAnsi="Garamond" w:cs="Arial"/>
        </w:rPr>
        <w:footnoteReference w:id="10"/>
      </w:r>
      <w:r w:rsidR="00FE24AB">
        <w:rPr>
          <w:rFonts w:ascii="Garamond" w:eastAsiaTheme="minorEastAsia" w:hAnsi="Garamond" w:cs="Arial"/>
        </w:rPr>
        <w:t xml:space="preserve"> though, failing to inform a patient of the risks involved in medical treatment could constitute an interference with autonomy and so it is not necessary for us to take a firm stance on this issue for the purposes of this article. </w:t>
      </w:r>
    </w:p>
    <w:p w14:paraId="4BB9B4E6" w14:textId="1C70A53C" w:rsidR="00014D5C" w:rsidRDefault="00E44E5C" w:rsidP="00BB12E5">
      <w:pPr>
        <w:ind w:firstLine="720"/>
        <w:rPr>
          <w:rFonts w:ascii="Garamond" w:eastAsiaTheme="minorEastAsia" w:hAnsi="Garamond" w:cs="Arial"/>
        </w:rPr>
      </w:pPr>
      <w:r>
        <w:rPr>
          <w:rFonts w:ascii="Garamond" w:eastAsiaTheme="minorEastAsia" w:hAnsi="Garamond" w:cs="Arial"/>
        </w:rPr>
        <w:t>It could also be argued that n</w:t>
      </w:r>
      <w:r w:rsidR="00014D5C" w:rsidRPr="00963288">
        <w:rPr>
          <w:rFonts w:ascii="Garamond" w:eastAsiaTheme="minorEastAsia" w:hAnsi="Garamond" w:cs="Arial"/>
        </w:rPr>
        <w:t>egligence focuses on carelessly caused injury and so is arguably ill-suited to protecting autonomy.</w:t>
      </w:r>
      <w:r w:rsidR="00014D5C" w:rsidRPr="00963288">
        <w:rPr>
          <w:rStyle w:val="FootnoteReference"/>
          <w:rFonts w:ascii="Garamond" w:eastAsiaTheme="minorEastAsia" w:hAnsi="Garamond" w:cs="Arial"/>
          <w:iCs/>
        </w:rPr>
        <w:footnoteReference w:id="11"/>
      </w:r>
      <w:r w:rsidR="00014D5C" w:rsidRPr="00963288">
        <w:rPr>
          <w:rFonts w:ascii="Garamond" w:eastAsiaTheme="minorEastAsia" w:hAnsi="Garamond" w:cs="Arial"/>
          <w:iCs/>
        </w:rPr>
        <w:t xml:space="preserve"> </w:t>
      </w:r>
      <w:r w:rsidR="00014D5C" w:rsidRPr="00963288">
        <w:rPr>
          <w:rFonts w:ascii="Garamond" w:eastAsiaTheme="minorEastAsia" w:hAnsi="Garamond" w:cs="Arial"/>
        </w:rPr>
        <w:t xml:space="preserve">But following the decision in </w:t>
      </w:r>
      <w:r w:rsidR="00014D5C" w:rsidRPr="00963288">
        <w:rPr>
          <w:rFonts w:ascii="Garamond" w:eastAsiaTheme="minorEastAsia" w:hAnsi="Garamond" w:cs="Arial"/>
          <w:i/>
        </w:rPr>
        <w:t>Chatterton v Gerson</w:t>
      </w:r>
      <w:r w:rsidR="00014D5C" w:rsidRPr="00963288">
        <w:rPr>
          <w:rStyle w:val="FootnoteReference"/>
          <w:rFonts w:ascii="Garamond" w:eastAsiaTheme="minorEastAsia" w:hAnsi="Garamond" w:cs="Arial"/>
        </w:rPr>
        <w:footnoteReference w:id="12"/>
      </w:r>
      <w:r w:rsidR="00014D5C" w:rsidRPr="00963288">
        <w:rPr>
          <w:rFonts w:ascii="Garamond" w:eastAsiaTheme="minorEastAsia" w:hAnsi="Garamond" w:cs="Arial"/>
        </w:rPr>
        <w:t xml:space="preserve"> to limit the scope of the tort of battery, negligence has become the dominant mechanism for protecting autonomy in medical treatment decisions. In 1999 Jones stated: </w:t>
      </w:r>
    </w:p>
    <w:p w14:paraId="7F6A0B2C" w14:textId="77777777" w:rsidR="00A75ABB" w:rsidRDefault="00A75ABB" w:rsidP="00BB12E5">
      <w:pPr>
        <w:ind w:firstLine="720"/>
        <w:rPr>
          <w:rFonts w:ascii="Garamond" w:eastAsiaTheme="minorEastAsia" w:hAnsi="Garamond" w:cs="Arial"/>
        </w:rPr>
      </w:pPr>
    </w:p>
    <w:p w14:paraId="7C253E5B" w14:textId="2E5DAC7B" w:rsidR="00014D5C" w:rsidRDefault="00014D5C" w:rsidP="00BB12E5">
      <w:pPr>
        <w:ind w:left="567" w:right="567"/>
        <w:rPr>
          <w:rFonts w:ascii="Garamond" w:eastAsiaTheme="minorEastAsia" w:hAnsi="Garamond" w:cs="Arial"/>
        </w:rPr>
      </w:pPr>
      <w:r w:rsidRPr="00963288">
        <w:rPr>
          <w:rFonts w:ascii="Garamond" w:eastAsiaTheme="minorEastAsia" w:hAnsi="Garamond" w:cs="Arial"/>
        </w:rPr>
        <w:lastRenderedPageBreak/>
        <w:t>The underlying ethical principle of informed consent is that one should respect the patient’s autonomy: the capacity to think, decide and act on one’s own thoughts and decisions freely and independently.</w:t>
      </w:r>
      <w:r w:rsidRPr="00963288">
        <w:rPr>
          <w:rFonts w:ascii="Garamond" w:eastAsiaTheme="minorEastAsia" w:hAnsi="Garamond" w:cs="Arial"/>
          <w:vertAlign w:val="superscript"/>
        </w:rPr>
        <w:footnoteReference w:id="13"/>
      </w:r>
      <w:r w:rsidRPr="00963288">
        <w:rPr>
          <w:rFonts w:ascii="Garamond" w:eastAsiaTheme="minorEastAsia" w:hAnsi="Garamond" w:cs="Arial"/>
        </w:rPr>
        <w:t xml:space="preserve"> </w:t>
      </w:r>
    </w:p>
    <w:p w14:paraId="5AAEA4C0" w14:textId="77777777" w:rsidR="00014D5C" w:rsidRDefault="00014D5C" w:rsidP="00CC181E">
      <w:pPr>
        <w:ind w:left="720"/>
        <w:rPr>
          <w:rFonts w:ascii="Garamond" w:eastAsiaTheme="minorEastAsia" w:hAnsi="Garamond" w:cs="Arial"/>
        </w:rPr>
      </w:pPr>
    </w:p>
    <w:p w14:paraId="0A9BADB2" w14:textId="3929300D" w:rsidR="00014D5C" w:rsidRPr="00963288" w:rsidRDefault="00014D5C" w:rsidP="00CC181E">
      <w:pPr>
        <w:rPr>
          <w:rFonts w:ascii="Garamond" w:eastAsiaTheme="minorEastAsia" w:hAnsi="Garamond" w:cs="Arial"/>
        </w:rPr>
      </w:pPr>
      <w:r w:rsidRPr="00963288">
        <w:rPr>
          <w:rFonts w:ascii="Garamond" w:eastAsiaTheme="minorEastAsia" w:hAnsi="Garamond" w:cs="Arial"/>
        </w:rPr>
        <w:t xml:space="preserve">This was confirmed </w:t>
      </w:r>
      <w:r w:rsidRPr="00963288">
        <w:rPr>
          <w:rFonts w:ascii="Garamond" w:eastAsiaTheme="minorEastAsia" w:hAnsi="Garamond" w:cs="Arial"/>
          <w:iCs/>
        </w:rPr>
        <w:t xml:space="preserve">in </w:t>
      </w:r>
      <w:r w:rsidRPr="00963288">
        <w:rPr>
          <w:rFonts w:ascii="Garamond" w:eastAsiaTheme="minorEastAsia" w:hAnsi="Garamond" w:cs="Arial"/>
          <w:i/>
          <w:iCs/>
        </w:rPr>
        <w:t>Montgomery</w:t>
      </w:r>
      <w:r w:rsidRPr="00963288">
        <w:rPr>
          <w:rStyle w:val="FootnoteReference"/>
          <w:rFonts w:ascii="Garamond" w:eastAsiaTheme="minorEastAsia" w:hAnsi="Garamond" w:cs="Arial"/>
          <w:iCs/>
        </w:rPr>
        <w:footnoteReference w:id="14"/>
      </w:r>
      <w:r w:rsidRPr="00963288">
        <w:rPr>
          <w:rFonts w:ascii="Garamond" w:eastAsiaTheme="minorEastAsia" w:hAnsi="Garamond" w:cs="Arial"/>
          <w:iCs/>
        </w:rPr>
        <w:t xml:space="preserve"> and </w:t>
      </w:r>
      <w:r w:rsidRPr="00963288">
        <w:rPr>
          <w:rFonts w:ascii="Garamond" w:eastAsiaTheme="minorEastAsia" w:hAnsi="Garamond" w:cs="Arial"/>
          <w:i/>
          <w:iCs/>
        </w:rPr>
        <w:t>Chester v Afshar</w:t>
      </w:r>
      <w:r w:rsidRPr="00963288">
        <w:rPr>
          <w:rStyle w:val="FootnoteReference"/>
          <w:rFonts w:ascii="Garamond" w:eastAsiaTheme="minorEastAsia" w:hAnsi="Garamond" w:cs="Arial"/>
          <w:iCs/>
        </w:rPr>
        <w:footnoteReference w:id="15"/>
      </w:r>
      <w:r w:rsidRPr="00963288">
        <w:rPr>
          <w:rFonts w:ascii="Garamond" w:eastAsiaTheme="minorEastAsia" w:hAnsi="Garamond" w:cs="Arial"/>
          <w:iCs/>
        </w:rPr>
        <w:t xml:space="preserve"> before it, when the courts recognised the relevance of autonomy when developing the doctrine of informed consent. </w:t>
      </w:r>
      <w:r w:rsidRPr="00963288">
        <w:rPr>
          <w:rFonts w:ascii="Garamond" w:eastAsiaTheme="minorEastAsia" w:hAnsi="Garamond" w:cs="Arial"/>
        </w:rPr>
        <w:t>The issues considered in this article will therefore enable us to assess whether tort law is adequately respecting autonomy in paediatric cases.</w:t>
      </w:r>
    </w:p>
    <w:p w14:paraId="2C5B876A" w14:textId="59DE137F" w:rsidR="00014D5C" w:rsidRPr="00963288" w:rsidRDefault="00014D5C" w:rsidP="00E53C8C">
      <w:pPr>
        <w:ind w:firstLine="720"/>
        <w:rPr>
          <w:rFonts w:ascii="Garamond" w:eastAsiaTheme="minorEastAsia" w:hAnsi="Garamond" w:cs="Arial"/>
        </w:rPr>
      </w:pPr>
      <w:r w:rsidRPr="00963288">
        <w:rPr>
          <w:rFonts w:ascii="Garamond" w:eastAsiaTheme="minorEastAsia" w:hAnsi="Garamond" w:cs="Arial"/>
        </w:rPr>
        <w:t xml:space="preserve">Furthermore, our argument has important implications for </w:t>
      </w:r>
      <w:r>
        <w:rPr>
          <w:rFonts w:ascii="Garamond" w:eastAsiaTheme="minorEastAsia" w:hAnsi="Garamond" w:cs="Arial"/>
        </w:rPr>
        <w:t>access to justice</w:t>
      </w:r>
      <w:r w:rsidRPr="00963288">
        <w:rPr>
          <w:rFonts w:ascii="Garamond" w:eastAsiaTheme="minorEastAsia" w:hAnsi="Garamond" w:cs="Arial"/>
        </w:rPr>
        <w:t xml:space="preserve">. </w:t>
      </w:r>
      <w:r>
        <w:rPr>
          <w:rFonts w:ascii="Garamond" w:eastAsiaTheme="minorEastAsia" w:hAnsi="Garamond" w:cs="Arial"/>
        </w:rPr>
        <w:t>A</w:t>
      </w:r>
      <w:r w:rsidRPr="00963288">
        <w:rPr>
          <w:rFonts w:ascii="Garamond" w:eastAsiaTheme="minorEastAsia" w:hAnsi="Garamond" w:cs="Arial"/>
        </w:rPr>
        <w:t xml:space="preserve"> Freedom of Information </w:t>
      </w:r>
      <w:r>
        <w:rPr>
          <w:rFonts w:ascii="Garamond" w:eastAsiaTheme="minorEastAsia" w:hAnsi="Garamond" w:cs="Arial"/>
        </w:rPr>
        <w:t xml:space="preserve">request submitted by the authors </w:t>
      </w:r>
      <w:r w:rsidRPr="00963288">
        <w:rPr>
          <w:rFonts w:ascii="Garamond" w:eastAsiaTheme="minorEastAsia" w:hAnsi="Garamond" w:cs="Arial"/>
        </w:rPr>
        <w:t xml:space="preserve">to NHS Resolution </w:t>
      </w:r>
      <w:r>
        <w:rPr>
          <w:rFonts w:ascii="Garamond" w:eastAsiaTheme="minorEastAsia" w:hAnsi="Garamond" w:cs="Arial"/>
        </w:rPr>
        <w:t>indicates</w:t>
      </w:r>
      <w:r w:rsidRPr="00963288">
        <w:rPr>
          <w:rFonts w:ascii="Garamond" w:eastAsiaTheme="minorEastAsia" w:hAnsi="Garamond" w:cs="Arial"/>
        </w:rPr>
        <w:t xml:space="preserve"> that, since </w:t>
      </w:r>
      <w:r w:rsidRPr="00963288">
        <w:rPr>
          <w:rFonts w:ascii="Garamond" w:eastAsiaTheme="minorEastAsia" w:hAnsi="Garamond" w:cs="Arial"/>
          <w:i/>
        </w:rPr>
        <w:t>Montgomery</w:t>
      </w:r>
      <w:r w:rsidRPr="00963288">
        <w:rPr>
          <w:rFonts w:ascii="Garamond" w:eastAsiaTheme="minorEastAsia" w:hAnsi="Garamond" w:cs="Arial"/>
        </w:rPr>
        <w:t>, paediatric claims related to non-disclosure of information have increased, whilst the number of successful claims has fallen.</w:t>
      </w:r>
      <w:r w:rsidRPr="00963288">
        <w:rPr>
          <w:rFonts w:ascii="Garamond" w:eastAsiaTheme="minorEastAsia" w:hAnsi="Garamond" w:cs="Arial"/>
          <w:vertAlign w:val="superscript"/>
        </w:rPr>
        <w:footnoteReference w:id="16"/>
      </w:r>
      <w:r w:rsidRPr="00963288">
        <w:rPr>
          <w:rFonts w:ascii="Garamond" w:eastAsiaTheme="minorEastAsia" w:hAnsi="Garamond" w:cs="Arial"/>
        </w:rPr>
        <w:t xml:space="preserve"> This suggest</w:t>
      </w:r>
      <w:r>
        <w:rPr>
          <w:rFonts w:ascii="Garamond" w:eastAsiaTheme="minorEastAsia" w:hAnsi="Garamond" w:cs="Arial"/>
        </w:rPr>
        <w:t>s</w:t>
      </w:r>
      <w:r w:rsidRPr="00963288">
        <w:rPr>
          <w:rFonts w:ascii="Garamond" w:eastAsiaTheme="minorEastAsia" w:hAnsi="Garamond" w:cs="Arial"/>
        </w:rPr>
        <w:t xml:space="preserve"> that raised expectations of information disclosure following </w:t>
      </w:r>
      <w:r w:rsidRPr="00963288">
        <w:rPr>
          <w:rFonts w:ascii="Garamond" w:eastAsiaTheme="minorEastAsia" w:hAnsi="Garamond" w:cs="Arial"/>
          <w:i/>
        </w:rPr>
        <w:t>Montgomery</w:t>
      </w:r>
      <w:r w:rsidRPr="00963288">
        <w:rPr>
          <w:rFonts w:ascii="Garamond" w:eastAsiaTheme="minorEastAsia" w:hAnsi="Garamond" w:cs="Arial"/>
        </w:rPr>
        <w:t xml:space="preserve"> extend beyond ‘adults of sound mind’</w:t>
      </w:r>
      <w:r>
        <w:rPr>
          <w:rFonts w:ascii="Garamond" w:eastAsiaTheme="minorEastAsia" w:hAnsi="Garamond" w:cs="Arial"/>
        </w:rPr>
        <w:t xml:space="preserve"> and that access to justice in paediatric cases is limited</w:t>
      </w:r>
      <w:r w:rsidRPr="00963288">
        <w:rPr>
          <w:rFonts w:ascii="Garamond" w:eastAsiaTheme="minorEastAsia" w:hAnsi="Garamond" w:cs="Arial"/>
        </w:rPr>
        <w:t xml:space="preserve">. </w:t>
      </w:r>
      <w:r>
        <w:rPr>
          <w:rFonts w:ascii="Garamond" w:eastAsiaTheme="minorEastAsia" w:hAnsi="Garamond" w:cs="Arial"/>
        </w:rPr>
        <w:t xml:space="preserve">Indeed, we will </w:t>
      </w:r>
      <w:r w:rsidRPr="00963288">
        <w:rPr>
          <w:rFonts w:ascii="Garamond" w:eastAsiaTheme="minorEastAsia" w:hAnsi="Garamond" w:cs="Arial"/>
        </w:rPr>
        <w:t xml:space="preserve">present </w:t>
      </w:r>
      <w:r>
        <w:rPr>
          <w:rFonts w:ascii="Garamond" w:eastAsiaTheme="minorEastAsia" w:hAnsi="Garamond" w:cs="Arial"/>
        </w:rPr>
        <w:t xml:space="preserve">evidence </w:t>
      </w:r>
      <w:r w:rsidRPr="00963288">
        <w:rPr>
          <w:rFonts w:ascii="Garamond" w:eastAsiaTheme="minorEastAsia" w:hAnsi="Garamond" w:cs="Arial"/>
        </w:rPr>
        <w:t xml:space="preserve">of legal uncertainty as to the mechanisms for protecting information non-disclosure </w:t>
      </w:r>
      <w:r>
        <w:rPr>
          <w:rFonts w:ascii="Garamond" w:eastAsiaTheme="minorEastAsia" w:hAnsi="Garamond" w:cs="Arial"/>
        </w:rPr>
        <w:t>that supports this claim</w:t>
      </w:r>
      <w:r w:rsidRPr="00963288">
        <w:rPr>
          <w:rFonts w:ascii="Garamond" w:eastAsiaTheme="minorEastAsia" w:hAnsi="Garamond" w:cs="Arial"/>
        </w:rPr>
        <w:t>. Clarification here is therefore both timely and important.</w:t>
      </w:r>
    </w:p>
    <w:p w14:paraId="2828415A" w14:textId="7114FE7C" w:rsidR="00014D5C" w:rsidRPr="00963288" w:rsidRDefault="00014D5C">
      <w:pPr>
        <w:ind w:firstLine="720"/>
        <w:rPr>
          <w:rFonts w:ascii="Garamond" w:eastAsiaTheme="minorEastAsia" w:hAnsi="Garamond" w:cs="Arial"/>
          <w:iCs/>
        </w:rPr>
      </w:pPr>
      <w:r w:rsidRPr="00963288">
        <w:rPr>
          <w:rFonts w:ascii="Garamond" w:eastAsiaTheme="minorEastAsia" w:hAnsi="Garamond" w:cs="Arial"/>
        </w:rPr>
        <w:t xml:space="preserve">We focus on children’s interests in receiving information and the tort claims they might bring. Taking the existing law as a starting point, the first part of the article outlines the law so far as it determines when children and proxies can consent to medical treatment. We then set out a number of barriers to a successful claim in negligence for non-disclosure where the treatment involves a child. In particular, we demonstrate that the principle that child patients must be treated </w:t>
      </w:r>
      <w:r w:rsidRPr="00963288">
        <w:rPr>
          <w:rFonts w:ascii="Garamond" w:eastAsiaTheme="minorEastAsia" w:hAnsi="Garamond" w:cs="Arial"/>
        </w:rPr>
        <w:lastRenderedPageBreak/>
        <w:t xml:space="preserve">in their best interests, combined with the fact that proxies can still consent on </w:t>
      </w:r>
      <w:r>
        <w:rPr>
          <w:rFonts w:ascii="Garamond" w:eastAsiaTheme="minorEastAsia" w:hAnsi="Garamond" w:cs="Arial"/>
        </w:rPr>
        <w:t>their</w:t>
      </w:r>
      <w:r w:rsidRPr="00963288">
        <w:rPr>
          <w:rFonts w:ascii="Garamond" w:eastAsiaTheme="minorEastAsia" w:hAnsi="Garamond" w:cs="Arial"/>
        </w:rPr>
        <w:t xml:space="preserve"> behalf, </w:t>
      </w:r>
      <w:r>
        <w:rPr>
          <w:rFonts w:ascii="Garamond" w:eastAsiaTheme="minorEastAsia" w:hAnsi="Garamond" w:cs="Arial"/>
        </w:rPr>
        <w:t>has potential to thwart</w:t>
      </w:r>
      <w:r w:rsidRPr="00963288">
        <w:rPr>
          <w:rFonts w:ascii="Garamond" w:eastAsiaTheme="minorEastAsia" w:hAnsi="Garamond" w:cs="Arial"/>
        </w:rPr>
        <w:t xml:space="preserve"> claims by children for negligent </w:t>
      </w:r>
      <w:r w:rsidR="0095504C">
        <w:rPr>
          <w:rFonts w:ascii="Garamond" w:eastAsiaTheme="minorEastAsia" w:hAnsi="Garamond" w:cs="Arial"/>
        </w:rPr>
        <w:t xml:space="preserve">non-disclosure of </w:t>
      </w:r>
      <w:r w:rsidRPr="00963288">
        <w:rPr>
          <w:rFonts w:ascii="Garamond" w:eastAsiaTheme="minorEastAsia" w:hAnsi="Garamond" w:cs="Arial"/>
        </w:rPr>
        <w:t xml:space="preserve">information. We then consider the tort of battery. Whereas for adult patients, battery offers only limited protection in cases of non-disclosure of information, we argue that the tort has paradoxical significance in paediatric cases. We conclude that </w:t>
      </w:r>
      <w:r>
        <w:rPr>
          <w:rFonts w:ascii="Garamond" w:eastAsiaTheme="minorEastAsia" w:hAnsi="Garamond" w:cs="Arial"/>
        </w:rPr>
        <w:t xml:space="preserve">whilst </w:t>
      </w:r>
      <w:r w:rsidRPr="00963288">
        <w:rPr>
          <w:rFonts w:ascii="Garamond" w:eastAsiaTheme="minorEastAsia" w:hAnsi="Garamond" w:cs="Arial"/>
        </w:rPr>
        <w:t xml:space="preserve">tort law provides a legal incentive to disclose relevant information to children, </w:t>
      </w:r>
      <w:r>
        <w:rPr>
          <w:rFonts w:ascii="Garamond" w:eastAsiaTheme="minorEastAsia" w:hAnsi="Garamond" w:cs="Arial"/>
        </w:rPr>
        <w:t>there are</w:t>
      </w:r>
      <w:r w:rsidRPr="00963288">
        <w:rPr>
          <w:rFonts w:ascii="Garamond" w:eastAsiaTheme="minorEastAsia" w:hAnsi="Garamond" w:cs="Arial"/>
        </w:rPr>
        <w:t xml:space="preserve"> limitations in the availability of a remedy. </w:t>
      </w:r>
    </w:p>
    <w:p w14:paraId="2139E2FC" w14:textId="4C59280D" w:rsidR="00014D5C" w:rsidRPr="00963288" w:rsidRDefault="00882E7F" w:rsidP="00DC5EF6">
      <w:pPr>
        <w:ind w:firstLine="720"/>
        <w:rPr>
          <w:rFonts w:ascii="Garamond" w:eastAsiaTheme="minorEastAsia" w:hAnsi="Garamond" w:cs="Arial"/>
        </w:rPr>
      </w:pPr>
      <w:r>
        <w:rPr>
          <w:rFonts w:ascii="Garamond" w:eastAsiaTheme="minorEastAsia" w:hAnsi="Garamond" w:cs="Arial"/>
        </w:rPr>
        <w:t>T</w:t>
      </w:r>
      <w:r w:rsidR="00014D5C" w:rsidRPr="00963288">
        <w:rPr>
          <w:rFonts w:ascii="Garamond" w:eastAsiaTheme="minorEastAsia" w:hAnsi="Garamond" w:cs="Arial"/>
        </w:rPr>
        <w:t>he term ‘informed consent’ is potentially misleading given that it implies an element of validity which in fact is a matter for battery.</w:t>
      </w:r>
      <w:r w:rsidR="00014D5C" w:rsidRPr="00963288">
        <w:rPr>
          <w:rStyle w:val="FootnoteReference"/>
          <w:rFonts w:ascii="Garamond" w:eastAsiaTheme="minorEastAsia" w:hAnsi="Garamond" w:cs="Arial"/>
        </w:rPr>
        <w:footnoteReference w:id="17"/>
      </w:r>
      <w:r w:rsidR="00014D5C" w:rsidRPr="00963288">
        <w:rPr>
          <w:rFonts w:ascii="Garamond" w:eastAsiaTheme="minorEastAsia" w:hAnsi="Garamond" w:cs="Arial"/>
        </w:rPr>
        <w:t xml:space="preserve"> We will therefore differentiate ‘consent’ </w:t>
      </w:r>
      <w:r w:rsidR="00014D5C">
        <w:rPr>
          <w:rFonts w:ascii="Garamond" w:eastAsiaTheme="minorEastAsia" w:hAnsi="Garamond" w:cs="Arial"/>
        </w:rPr>
        <w:t>from</w:t>
      </w:r>
      <w:r w:rsidR="00014D5C" w:rsidRPr="00963288">
        <w:rPr>
          <w:rFonts w:ascii="Garamond" w:eastAsiaTheme="minorEastAsia" w:hAnsi="Garamond" w:cs="Arial"/>
        </w:rPr>
        <w:t xml:space="preserve"> ‘informed consent’ to distinguish the laws of battery and negligence, and</w:t>
      </w:r>
      <w:r w:rsidR="00014D5C">
        <w:rPr>
          <w:rFonts w:ascii="Garamond" w:eastAsiaTheme="minorEastAsia" w:hAnsi="Garamond" w:cs="Arial"/>
        </w:rPr>
        <w:t xml:space="preserve"> refer to</w:t>
      </w:r>
      <w:r w:rsidR="00014D5C" w:rsidRPr="00963288">
        <w:rPr>
          <w:rFonts w:ascii="Garamond" w:eastAsiaTheme="minorEastAsia" w:hAnsi="Garamond" w:cs="Arial"/>
        </w:rPr>
        <w:t xml:space="preserve"> ‘(informed) consent’ when we seek to capture both torts. </w:t>
      </w:r>
    </w:p>
    <w:p w14:paraId="1ED11A30" w14:textId="77777777" w:rsidR="00014D5C" w:rsidRPr="00963288" w:rsidRDefault="00014D5C" w:rsidP="005B206F">
      <w:pPr>
        <w:rPr>
          <w:rFonts w:ascii="Garamond" w:eastAsiaTheme="minorEastAsia" w:hAnsi="Garamond" w:cs="Arial"/>
        </w:rPr>
      </w:pPr>
    </w:p>
    <w:p w14:paraId="33549368" w14:textId="23917A28" w:rsidR="00014D5C" w:rsidRPr="00963288" w:rsidRDefault="00014D5C" w:rsidP="00DC5EF6">
      <w:pPr>
        <w:jc w:val="center"/>
        <w:outlineLvl w:val="1"/>
        <w:rPr>
          <w:rFonts w:ascii="Garamond" w:eastAsiaTheme="majorEastAsia" w:hAnsi="Garamond" w:cs="Arial"/>
          <w:b/>
          <w:bCs/>
        </w:rPr>
      </w:pPr>
      <w:r w:rsidRPr="00963288">
        <w:rPr>
          <w:rFonts w:ascii="Garamond" w:eastAsiaTheme="majorEastAsia" w:hAnsi="Garamond" w:cs="Arial"/>
          <w:b/>
          <w:bCs/>
        </w:rPr>
        <w:t>II. LEGAL CAPACITY OF CHILDREN</w:t>
      </w:r>
    </w:p>
    <w:p w14:paraId="5932026E" w14:textId="4D73D7E0" w:rsidR="00014D5C" w:rsidRPr="00963288" w:rsidRDefault="00014D5C" w:rsidP="00DC5EF6">
      <w:pPr>
        <w:rPr>
          <w:rFonts w:ascii="Garamond" w:eastAsiaTheme="minorEastAsia" w:hAnsi="Garamond" w:cs="Arial"/>
          <w:iCs/>
        </w:rPr>
      </w:pPr>
      <w:r w:rsidRPr="00963288">
        <w:rPr>
          <w:rFonts w:ascii="Garamond" w:eastAsiaTheme="minorEastAsia" w:hAnsi="Garamond" w:cs="Arial"/>
        </w:rPr>
        <w:t xml:space="preserve">Before discussing the tort remedies for children who have received insufficient information about medical treatment, it is necessary to outline the law on the legal capacity of children. This will determine whether they can consent to treatment and, by extension, is relevant to claims for negligent non-disclosure </w:t>
      </w:r>
      <w:r w:rsidR="0095504C">
        <w:rPr>
          <w:rFonts w:ascii="Garamond" w:eastAsiaTheme="minorEastAsia" w:hAnsi="Garamond" w:cs="Arial"/>
        </w:rPr>
        <w:t xml:space="preserve">of information </w:t>
      </w:r>
      <w:r w:rsidRPr="00963288">
        <w:rPr>
          <w:rFonts w:ascii="Garamond" w:eastAsiaTheme="minorEastAsia" w:hAnsi="Garamond" w:cs="Arial"/>
        </w:rPr>
        <w:t>and battery.</w:t>
      </w:r>
      <w:r w:rsidRPr="00963288">
        <w:rPr>
          <w:rFonts w:ascii="Garamond" w:eastAsiaTheme="minorEastAsia" w:hAnsi="Garamond" w:cs="Arial"/>
          <w:iCs/>
        </w:rPr>
        <w:t xml:space="preserve"> </w:t>
      </w:r>
    </w:p>
    <w:p w14:paraId="5357AE70" w14:textId="3B82C4E7" w:rsidR="00682CFC" w:rsidRPr="00963288" w:rsidRDefault="00014D5C" w:rsidP="00682CFC">
      <w:pPr>
        <w:ind w:firstLine="720"/>
        <w:rPr>
          <w:rFonts w:ascii="Garamond" w:eastAsiaTheme="minorEastAsia" w:hAnsi="Garamond" w:cs="Arial"/>
        </w:rPr>
      </w:pPr>
      <w:r w:rsidRPr="00963288">
        <w:rPr>
          <w:rFonts w:ascii="Garamond" w:eastAsiaTheme="minorEastAsia" w:hAnsi="Garamond" w:cs="Arial"/>
        </w:rPr>
        <w:t xml:space="preserve">It is well established that children under the age of 18 can provide a valid consent in certain circumstances. The law recognises some children to be of sufficiently ‘sound mind’ to provide an effective consent, in which case there is good reason to demand that information about the treatment is disclosed to them. In the landmark case of </w:t>
      </w:r>
      <w:r w:rsidRPr="00963288">
        <w:rPr>
          <w:rFonts w:ascii="Garamond" w:eastAsiaTheme="minorEastAsia" w:hAnsi="Garamond" w:cs="Arial"/>
          <w:i/>
          <w:iCs/>
        </w:rPr>
        <w:t>Gillick v West Norfolk and Wisbech AHA</w:t>
      </w:r>
      <w:r w:rsidRPr="00963288">
        <w:rPr>
          <w:rFonts w:ascii="Garamond" w:eastAsiaTheme="minorEastAsia" w:hAnsi="Garamond" w:cs="Arial"/>
          <w:iCs/>
        </w:rPr>
        <w:t>,</w:t>
      </w:r>
      <w:r w:rsidRPr="00963288">
        <w:rPr>
          <w:rFonts w:ascii="Garamond" w:eastAsiaTheme="minorEastAsia" w:hAnsi="Garamond" w:cs="Arial"/>
          <w:iCs/>
          <w:vertAlign w:val="superscript"/>
        </w:rPr>
        <w:footnoteReference w:id="18"/>
      </w:r>
      <w:r w:rsidRPr="00963288">
        <w:rPr>
          <w:rFonts w:ascii="Garamond" w:eastAsiaTheme="minorEastAsia" w:hAnsi="Garamond" w:cs="Arial"/>
          <w:iCs/>
        </w:rPr>
        <w:t xml:space="preserve"> the House of Lords held that </w:t>
      </w:r>
      <w:r>
        <w:rPr>
          <w:rFonts w:ascii="Garamond" w:eastAsiaTheme="minorEastAsia" w:hAnsi="Garamond" w:cs="Arial"/>
          <w:iCs/>
        </w:rPr>
        <w:t>children under the age of 16 (under 16s)</w:t>
      </w:r>
      <w:r w:rsidRPr="00963288">
        <w:rPr>
          <w:rFonts w:ascii="Garamond" w:eastAsiaTheme="minorEastAsia" w:hAnsi="Garamond" w:cs="Arial"/>
          <w:iCs/>
        </w:rPr>
        <w:t xml:space="preserve"> can consent to medical treatment, provided they have sufficient ‘understanding and intelligence’</w:t>
      </w:r>
      <w:r w:rsidRPr="00963288">
        <w:rPr>
          <w:rFonts w:ascii="Garamond" w:eastAsiaTheme="minorEastAsia" w:hAnsi="Garamond" w:cs="Arial"/>
          <w:iCs/>
          <w:vertAlign w:val="superscript"/>
        </w:rPr>
        <w:footnoteReference w:id="19"/>
      </w:r>
      <w:r w:rsidRPr="00963288">
        <w:rPr>
          <w:rFonts w:ascii="Garamond" w:eastAsiaTheme="minorEastAsia" w:hAnsi="Garamond" w:cs="Arial"/>
          <w:iCs/>
        </w:rPr>
        <w:t xml:space="preserve"> to make the decision.</w:t>
      </w:r>
      <w:r w:rsidRPr="00963288">
        <w:rPr>
          <w:rFonts w:ascii="Garamond" w:eastAsiaTheme="minorEastAsia" w:hAnsi="Garamond" w:cs="Arial"/>
          <w:iCs/>
          <w:vertAlign w:val="superscript"/>
        </w:rPr>
        <w:footnoteReference w:id="20"/>
      </w:r>
      <w:r w:rsidRPr="00963288">
        <w:rPr>
          <w:rFonts w:ascii="Garamond" w:eastAsiaTheme="minorEastAsia" w:hAnsi="Garamond" w:cs="Arial"/>
        </w:rPr>
        <w:t xml:space="preserve"> </w:t>
      </w:r>
      <w:r w:rsidR="00344B11">
        <w:rPr>
          <w:rFonts w:ascii="Garamond" w:eastAsiaTheme="minorEastAsia" w:hAnsi="Garamond" w:cs="Arial"/>
        </w:rPr>
        <w:lastRenderedPageBreak/>
        <w:t>Such children possess ‘</w:t>
      </w:r>
      <w:r w:rsidR="00344B11" w:rsidRPr="009A304D">
        <w:rPr>
          <w:rFonts w:ascii="Garamond" w:eastAsiaTheme="minorEastAsia" w:hAnsi="Garamond" w:cs="Arial"/>
          <w:i/>
        </w:rPr>
        <w:t>Gillick</w:t>
      </w:r>
      <w:r w:rsidR="00344B11">
        <w:rPr>
          <w:rFonts w:ascii="Garamond" w:eastAsiaTheme="minorEastAsia" w:hAnsi="Garamond" w:cs="Arial"/>
        </w:rPr>
        <w:t xml:space="preserve"> competence’, otherwise termed ‘Gillick capacity’ to make the decision.</w:t>
      </w:r>
      <w:r w:rsidR="00344B11">
        <w:rPr>
          <w:rStyle w:val="FootnoteReference"/>
          <w:rFonts w:ascii="Garamond" w:eastAsiaTheme="minorEastAsia" w:hAnsi="Garamond" w:cs="Arial"/>
        </w:rPr>
        <w:footnoteReference w:id="21"/>
      </w:r>
    </w:p>
    <w:p w14:paraId="12F630AF" w14:textId="2E061DC5" w:rsidR="00014D5C" w:rsidRPr="00963288" w:rsidRDefault="00014D5C" w:rsidP="00963288">
      <w:pPr>
        <w:ind w:firstLine="720"/>
        <w:rPr>
          <w:rFonts w:ascii="Garamond" w:eastAsiaTheme="minorEastAsia" w:hAnsi="Garamond" w:cs="Arial"/>
        </w:rPr>
      </w:pPr>
      <w:r>
        <w:rPr>
          <w:rFonts w:ascii="Garamond" w:eastAsiaTheme="minorEastAsia" w:hAnsi="Garamond" w:cs="Arial"/>
        </w:rPr>
        <w:t>According to</w:t>
      </w:r>
      <w:r w:rsidRPr="00963288">
        <w:rPr>
          <w:rFonts w:ascii="Garamond" w:eastAsiaTheme="minorEastAsia" w:hAnsi="Garamond" w:cs="Arial"/>
        </w:rPr>
        <w:t xml:space="preserve"> section 8(1) of the Family Law Reform Act 1969</w:t>
      </w:r>
      <w:r>
        <w:rPr>
          <w:rFonts w:ascii="Garamond" w:eastAsiaTheme="minorEastAsia" w:hAnsi="Garamond" w:cs="Arial"/>
        </w:rPr>
        <w:t>,</w:t>
      </w:r>
      <w:r w:rsidRPr="00963288">
        <w:rPr>
          <w:rFonts w:ascii="Garamond" w:eastAsiaTheme="minorEastAsia" w:hAnsi="Garamond" w:cs="Arial"/>
        </w:rPr>
        <w:t xml:space="preserve"> young people</w:t>
      </w:r>
      <w:r>
        <w:rPr>
          <w:rFonts w:ascii="Garamond" w:eastAsiaTheme="minorEastAsia" w:hAnsi="Garamond" w:cs="Arial"/>
        </w:rPr>
        <w:t xml:space="preserve"> aged 16-17</w:t>
      </w:r>
      <w:r w:rsidRPr="00963288">
        <w:rPr>
          <w:rFonts w:ascii="Garamond" w:eastAsiaTheme="minorEastAsia" w:hAnsi="Garamond" w:cs="Arial"/>
        </w:rPr>
        <w:t xml:space="preserve"> </w:t>
      </w:r>
      <w:r>
        <w:rPr>
          <w:rFonts w:ascii="Garamond" w:eastAsiaTheme="minorEastAsia" w:hAnsi="Garamond" w:cs="Arial"/>
        </w:rPr>
        <w:t>can</w:t>
      </w:r>
      <w:r w:rsidRPr="00963288">
        <w:rPr>
          <w:rFonts w:ascii="Garamond" w:eastAsiaTheme="minorEastAsia" w:hAnsi="Garamond" w:cs="Arial"/>
        </w:rPr>
        <w:t xml:space="preserve"> </w:t>
      </w:r>
      <w:r>
        <w:rPr>
          <w:rFonts w:ascii="Garamond" w:eastAsiaTheme="minorEastAsia" w:hAnsi="Garamond" w:cs="Arial"/>
        </w:rPr>
        <w:t xml:space="preserve">provide </w:t>
      </w:r>
      <w:r w:rsidRPr="00963288">
        <w:rPr>
          <w:rFonts w:ascii="Garamond" w:eastAsiaTheme="minorEastAsia" w:hAnsi="Garamond" w:cs="Arial"/>
        </w:rPr>
        <w:t>consent to surgical, medical or dental treatment which is ‘as effective as it would be if he were of full age’. Most of the provisions of the Mental Capacity Act 2005 (MCA)</w:t>
      </w:r>
      <w:r>
        <w:rPr>
          <w:rFonts w:ascii="Garamond" w:eastAsiaTheme="minorEastAsia" w:hAnsi="Garamond" w:cs="Arial"/>
        </w:rPr>
        <w:t xml:space="preserve"> and accompanying Code</w:t>
      </w:r>
      <w:r w:rsidRPr="00963288">
        <w:rPr>
          <w:rFonts w:ascii="Garamond" w:eastAsiaTheme="minorEastAsia" w:hAnsi="Garamond" w:cs="Arial"/>
        </w:rPr>
        <w:t>,</w:t>
      </w:r>
      <w:r>
        <w:rPr>
          <w:rStyle w:val="FootnoteReference"/>
          <w:rFonts w:ascii="Garamond" w:eastAsiaTheme="minorEastAsia" w:hAnsi="Garamond" w:cs="Arial"/>
        </w:rPr>
        <w:footnoteReference w:id="22"/>
      </w:r>
      <w:r w:rsidRPr="00963288">
        <w:rPr>
          <w:rFonts w:ascii="Garamond" w:eastAsiaTheme="minorEastAsia" w:hAnsi="Garamond" w:cs="Arial"/>
        </w:rPr>
        <w:t xml:space="preserve"> which govern decision-making for adults who lack capacity, also apply to 16-17</w:t>
      </w:r>
      <w:r w:rsidR="006E7E61">
        <w:rPr>
          <w:rFonts w:ascii="Garamond" w:eastAsiaTheme="minorEastAsia" w:hAnsi="Garamond" w:cs="Arial"/>
        </w:rPr>
        <w:t>-</w:t>
      </w:r>
      <w:r w:rsidRPr="00963288">
        <w:rPr>
          <w:rFonts w:ascii="Garamond" w:eastAsiaTheme="minorEastAsia" w:hAnsi="Garamond" w:cs="Arial"/>
        </w:rPr>
        <w:t>year</w:t>
      </w:r>
      <w:r w:rsidR="006E7E61">
        <w:rPr>
          <w:rFonts w:ascii="Garamond" w:eastAsiaTheme="minorEastAsia" w:hAnsi="Garamond" w:cs="Arial"/>
        </w:rPr>
        <w:t>-</w:t>
      </w:r>
      <w:r w:rsidRPr="00963288">
        <w:rPr>
          <w:rFonts w:ascii="Garamond" w:eastAsiaTheme="minorEastAsia" w:hAnsi="Garamond" w:cs="Arial"/>
        </w:rPr>
        <w:t>olds.</w:t>
      </w:r>
      <w:r w:rsidRPr="00963288">
        <w:rPr>
          <w:rFonts w:ascii="Garamond" w:eastAsiaTheme="minorEastAsia" w:hAnsi="Garamond" w:cs="Arial"/>
          <w:vertAlign w:val="superscript"/>
        </w:rPr>
        <w:footnoteReference w:id="23"/>
      </w:r>
      <w:r w:rsidRPr="00963288">
        <w:rPr>
          <w:rFonts w:ascii="Garamond" w:eastAsiaTheme="minorEastAsia" w:hAnsi="Garamond" w:cs="Arial"/>
        </w:rPr>
        <w:t xml:space="preserve"> </w:t>
      </w:r>
      <w:r>
        <w:rPr>
          <w:rFonts w:ascii="Garamond" w:eastAsiaTheme="minorEastAsia" w:hAnsi="Garamond" w:cs="Arial"/>
        </w:rPr>
        <w:t>The Act presumes capacity</w:t>
      </w:r>
      <w:r>
        <w:rPr>
          <w:rStyle w:val="FootnoteReference"/>
          <w:rFonts w:ascii="Garamond" w:eastAsiaTheme="minorEastAsia" w:hAnsi="Garamond" w:cs="Arial"/>
        </w:rPr>
        <w:footnoteReference w:id="24"/>
      </w:r>
      <w:r>
        <w:rPr>
          <w:rFonts w:ascii="Garamond" w:eastAsiaTheme="minorEastAsia" w:hAnsi="Garamond" w:cs="Arial"/>
        </w:rPr>
        <w:t xml:space="preserve"> and sets out a two-stage functional test for incapacity:</w:t>
      </w:r>
      <w:r>
        <w:rPr>
          <w:rStyle w:val="FootnoteReference"/>
          <w:rFonts w:ascii="Garamond" w:eastAsiaTheme="minorEastAsia" w:hAnsi="Garamond" w:cs="Arial"/>
        </w:rPr>
        <w:footnoteReference w:id="25"/>
      </w:r>
      <w:r w:rsidRPr="00963288">
        <w:rPr>
          <w:rFonts w:ascii="Garamond" w:eastAsiaTheme="minorEastAsia" w:hAnsi="Garamond" w:cs="Arial"/>
        </w:rPr>
        <w:t xml:space="preserve"> </w:t>
      </w:r>
      <w:r w:rsidR="00196B90">
        <w:rPr>
          <w:rFonts w:ascii="Garamond" w:eastAsiaTheme="minorEastAsia" w:hAnsi="Garamond" w:cs="Arial"/>
        </w:rPr>
        <w:t>I</w:t>
      </w:r>
      <w:r>
        <w:rPr>
          <w:rFonts w:ascii="Garamond" w:eastAsiaTheme="minorEastAsia" w:hAnsi="Garamond" w:cs="Arial"/>
        </w:rPr>
        <w:t>s there an impairment of or disturbance in the functioning of a person’s mind or brain? If so, is the impairment sufficient that the person lacks capacity to make the relevant decision?</w:t>
      </w:r>
      <w:r w:rsidRPr="00963288">
        <w:rPr>
          <w:rFonts w:ascii="Garamond" w:eastAsiaTheme="minorEastAsia" w:hAnsi="Garamond" w:cs="Arial"/>
        </w:rPr>
        <w:t xml:space="preserve"> </w:t>
      </w:r>
    </w:p>
    <w:p w14:paraId="7AD44E12" w14:textId="0D80A9D7" w:rsidR="00014D5C" w:rsidRPr="00963288" w:rsidRDefault="00014D5C" w:rsidP="00963288">
      <w:pPr>
        <w:ind w:firstLine="720"/>
        <w:rPr>
          <w:rFonts w:ascii="Garamond" w:eastAsiaTheme="minorEastAsia" w:hAnsi="Garamond" w:cs="Arial"/>
        </w:rPr>
      </w:pPr>
      <w:r w:rsidRPr="00963288">
        <w:rPr>
          <w:rFonts w:ascii="Garamond" w:eastAsiaTheme="minorEastAsia" w:hAnsi="Garamond" w:cs="Arial"/>
        </w:rPr>
        <w:t xml:space="preserve">Where </w:t>
      </w:r>
      <w:r>
        <w:rPr>
          <w:rFonts w:ascii="Garamond" w:eastAsiaTheme="minorEastAsia" w:hAnsi="Garamond" w:cs="Arial"/>
        </w:rPr>
        <w:t>a</w:t>
      </w:r>
      <w:r w:rsidRPr="00963288">
        <w:rPr>
          <w:rFonts w:ascii="Garamond" w:eastAsiaTheme="minorEastAsia" w:hAnsi="Garamond" w:cs="Arial"/>
        </w:rPr>
        <w:t xml:space="preserve"> </w:t>
      </w:r>
      <w:r>
        <w:rPr>
          <w:rFonts w:ascii="Garamond" w:eastAsiaTheme="minorEastAsia" w:hAnsi="Garamond" w:cs="Arial"/>
        </w:rPr>
        <w:t>child</w:t>
      </w:r>
      <w:r w:rsidRPr="00963288">
        <w:rPr>
          <w:rFonts w:ascii="Garamond" w:eastAsiaTheme="minorEastAsia" w:hAnsi="Garamond" w:cs="Arial"/>
        </w:rPr>
        <w:t xml:space="preserve"> lacks </w:t>
      </w:r>
      <w:r w:rsidRPr="00963288">
        <w:rPr>
          <w:rFonts w:ascii="Garamond" w:eastAsiaTheme="minorEastAsia" w:hAnsi="Garamond" w:cs="Arial"/>
          <w:i/>
        </w:rPr>
        <w:t>Gillick</w:t>
      </w:r>
      <w:r w:rsidRPr="00963288">
        <w:rPr>
          <w:rFonts w:ascii="Garamond" w:eastAsiaTheme="minorEastAsia" w:hAnsi="Garamond" w:cs="Arial"/>
        </w:rPr>
        <w:t xml:space="preserve"> </w:t>
      </w:r>
      <w:r>
        <w:rPr>
          <w:rFonts w:ascii="Garamond" w:eastAsiaTheme="minorEastAsia" w:hAnsi="Garamond" w:cs="Arial"/>
        </w:rPr>
        <w:t>capacity</w:t>
      </w:r>
      <w:r w:rsidRPr="00963288">
        <w:rPr>
          <w:rFonts w:ascii="Garamond" w:eastAsiaTheme="minorEastAsia" w:hAnsi="Garamond" w:cs="Arial"/>
        </w:rPr>
        <w:t xml:space="preserve">, it was established in </w:t>
      </w:r>
      <w:r w:rsidRPr="00963288">
        <w:rPr>
          <w:rFonts w:ascii="Garamond" w:eastAsiaTheme="minorEastAsia" w:hAnsi="Garamond" w:cs="Arial"/>
          <w:i/>
        </w:rPr>
        <w:t>Re R</w:t>
      </w:r>
      <w:r w:rsidRPr="00963288">
        <w:rPr>
          <w:rFonts w:ascii="Garamond" w:eastAsiaTheme="minorEastAsia" w:hAnsi="Garamond" w:cs="Arial"/>
          <w:vertAlign w:val="superscript"/>
        </w:rPr>
        <w:footnoteReference w:id="26"/>
      </w:r>
      <w:r w:rsidRPr="00963288">
        <w:rPr>
          <w:rFonts w:ascii="Garamond" w:eastAsiaTheme="minorEastAsia" w:hAnsi="Garamond" w:cs="Arial"/>
        </w:rPr>
        <w:t xml:space="preserve"> that proxy consent should be obtained, in which case the </w:t>
      </w:r>
      <w:r>
        <w:rPr>
          <w:rFonts w:ascii="Garamond" w:eastAsiaTheme="minorEastAsia" w:hAnsi="Garamond" w:cs="Arial"/>
        </w:rPr>
        <w:t>HCP</w:t>
      </w:r>
      <w:r w:rsidRPr="00963288">
        <w:rPr>
          <w:rFonts w:ascii="Garamond" w:eastAsiaTheme="minorEastAsia" w:hAnsi="Garamond" w:cs="Arial"/>
        </w:rPr>
        <w:t xml:space="preserve"> must decide what to disclose to the </w:t>
      </w:r>
      <w:r>
        <w:rPr>
          <w:rFonts w:ascii="Garamond" w:eastAsiaTheme="minorEastAsia" w:hAnsi="Garamond" w:cs="Arial"/>
        </w:rPr>
        <w:t>child</w:t>
      </w:r>
      <w:r w:rsidRPr="00963288">
        <w:rPr>
          <w:rFonts w:ascii="Garamond" w:eastAsiaTheme="minorEastAsia" w:hAnsi="Garamond" w:cs="Arial"/>
        </w:rPr>
        <w:t xml:space="preserve"> and proxies respectively.</w:t>
      </w:r>
      <w:r w:rsidRPr="00963288">
        <w:rPr>
          <w:rFonts w:ascii="Garamond" w:eastAsiaTheme="minorEastAsia" w:hAnsi="Garamond" w:cs="Arial"/>
          <w:vertAlign w:val="superscript"/>
        </w:rPr>
        <w:footnoteReference w:id="27"/>
      </w:r>
      <w:r w:rsidRPr="00963288">
        <w:rPr>
          <w:rFonts w:ascii="Garamond" w:eastAsiaTheme="minorEastAsia" w:hAnsi="Garamond" w:cs="Arial"/>
        </w:rPr>
        <w:t xml:space="preserve"> Provided material information is disclosed to the proxy, the incapacitated child’s negligence claim for non-disclosure is likely to fail. </w:t>
      </w:r>
      <w:r>
        <w:rPr>
          <w:rFonts w:ascii="Garamond" w:eastAsiaTheme="minorEastAsia" w:hAnsi="Garamond" w:cs="Arial"/>
        </w:rPr>
        <w:t>Where a 16-17</w:t>
      </w:r>
      <w:r w:rsidR="006E7E61">
        <w:rPr>
          <w:rFonts w:ascii="Garamond" w:eastAsiaTheme="minorEastAsia" w:hAnsi="Garamond" w:cs="Arial"/>
        </w:rPr>
        <w:t>-</w:t>
      </w:r>
      <w:r>
        <w:rPr>
          <w:rFonts w:ascii="Garamond" w:eastAsiaTheme="minorEastAsia" w:hAnsi="Garamond" w:cs="Arial"/>
        </w:rPr>
        <w:t>year</w:t>
      </w:r>
      <w:r w:rsidR="006E7E61">
        <w:rPr>
          <w:rFonts w:ascii="Garamond" w:eastAsiaTheme="minorEastAsia" w:hAnsi="Garamond" w:cs="Arial"/>
        </w:rPr>
        <w:t>-</w:t>
      </w:r>
      <w:r>
        <w:rPr>
          <w:rFonts w:ascii="Garamond" w:eastAsiaTheme="minorEastAsia" w:hAnsi="Garamond" w:cs="Arial"/>
        </w:rPr>
        <w:t>old lacks capacity, the MCA sets out a framework for decision-making in the person’s best interests, requiring (where practicable) consultation with relevant people, including the patient.</w:t>
      </w:r>
      <w:r>
        <w:rPr>
          <w:rStyle w:val="FootnoteReference"/>
          <w:rFonts w:ascii="Garamond" w:eastAsiaTheme="minorEastAsia" w:hAnsi="Garamond" w:cs="Arial"/>
        </w:rPr>
        <w:footnoteReference w:id="28"/>
      </w:r>
      <w:r>
        <w:rPr>
          <w:rFonts w:ascii="Garamond" w:eastAsiaTheme="minorEastAsia" w:hAnsi="Garamond" w:cs="Arial"/>
        </w:rPr>
        <w:t xml:space="preserve"> Where there is a reasonable belief of incapacity, the HCP who examines or treats the patient in their best interests is protected under section 5.  </w:t>
      </w:r>
    </w:p>
    <w:p w14:paraId="09B659FB" w14:textId="54E0A9D3" w:rsidR="00014D5C" w:rsidRPr="00963288" w:rsidRDefault="00014D5C" w:rsidP="00963288">
      <w:pPr>
        <w:ind w:firstLine="720"/>
        <w:rPr>
          <w:rFonts w:ascii="Garamond" w:eastAsiaTheme="minorEastAsia" w:hAnsi="Garamond" w:cs="Arial"/>
        </w:rPr>
      </w:pPr>
      <w:r w:rsidRPr="00963288">
        <w:rPr>
          <w:rFonts w:ascii="Garamond" w:eastAsiaTheme="minorEastAsia" w:hAnsi="Garamond" w:cs="Arial"/>
        </w:rPr>
        <w:lastRenderedPageBreak/>
        <w:t>Whil</w:t>
      </w:r>
      <w:r w:rsidR="00253D22">
        <w:rPr>
          <w:rFonts w:ascii="Garamond" w:eastAsiaTheme="minorEastAsia" w:hAnsi="Garamond" w:cs="Arial"/>
        </w:rPr>
        <w:t>e</w:t>
      </w:r>
      <w:r w:rsidRPr="00963288">
        <w:rPr>
          <w:rFonts w:ascii="Garamond" w:eastAsiaTheme="minorEastAsia" w:hAnsi="Garamond" w:cs="Arial"/>
        </w:rPr>
        <w:t xml:space="preserve"> this article will at times refer specifically to </w:t>
      </w:r>
      <w:r w:rsidRPr="00963288">
        <w:rPr>
          <w:rFonts w:ascii="Garamond" w:eastAsiaTheme="minorEastAsia" w:hAnsi="Garamond" w:cs="Arial"/>
          <w:i/>
        </w:rPr>
        <w:t>Gillick</w:t>
      </w:r>
      <w:r w:rsidRPr="00963288">
        <w:rPr>
          <w:rFonts w:ascii="Garamond" w:eastAsiaTheme="minorEastAsia" w:hAnsi="Garamond" w:cs="Arial"/>
        </w:rPr>
        <w:t xml:space="preserve"> </w:t>
      </w:r>
      <w:r>
        <w:rPr>
          <w:rFonts w:ascii="Garamond" w:eastAsiaTheme="minorEastAsia" w:hAnsi="Garamond" w:cs="Arial"/>
        </w:rPr>
        <w:t>capacity</w:t>
      </w:r>
      <w:r w:rsidRPr="00963288">
        <w:rPr>
          <w:rFonts w:ascii="Garamond" w:eastAsiaTheme="minorEastAsia" w:hAnsi="Garamond" w:cs="Arial"/>
        </w:rPr>
        <w:t xml:space="preserve"> and MCA capacity, so as to distinguish the different legal sources of the child’s ability to consent to treatment, we will employ the generic term ‘capacity’ to denote a child’s satisfaction of either test. </w:t>
      </w:r>
    </w:p>
    <w:p w14:paraId="4ED14500" w14:textId="77777777" w:rsidR="00014D5C" w:rsidRPr="00963288" w:rsidRDefault="00014D5C" w:rsidP="00DC5EF6">
      <w:pPr>
        <w:ind w:firstLine="360"/>
        <w:rPr>
          <w:rFonts w:ascii="Garamond" w:eastAsiaTheme="minorEastAsia" w:hAnsi="Garamond" w:cs="Arial"/>
        </w:rPr>
      </w:pPr>
    </w:p>
    <w:p w14:paraId="1EF18A55" w14:textId="310EF09F" w:rsidR="00014D5C" w:rsidRPr="00963288" w:rsidRDefault="00014D5C" w:rsidP="00DC5EF6">
      <w:pPr>
        <w:pStyle w:val="ListParagraph"/>
        <w:numPr>
          <w:ilvl w:val="0"/>
          <w:numId w:val="9"/>
        </w:numPr>
        <w:spacing w:after="0" w:line="480" w:lineRule="auto"/>
        <w:jc w:val="center"/>
        <w:outlineLvl w:val="1"/>
        <w:rPr>
          <w:rFonts w:ascii="Garamond" w:eastAsiaTheme="majorEastAsia" w:hAnsi="Garamond" w:cs="Arial"/>
          <w:b/>
          <w:bCs/>
          <w:i/>
        </w:rPr>
      </w:pPr>
      <w:r>
        <w:rPr>
          <w:rFonts w:ascii="Garamond" w:eastAsiaTheme="majorEastAsia" w:hAnsi="Garamond" w:cs="Arial"/>
          <w:b/>
          <w:bCs/>
          <w:i/>
        </w:rPr>
        <w:t>The Status of C</w:t>
      </w:r>
      <w:r w:rsidRPr="00963288">
        <w:rPr>
          <w:rFonts w:ascii="Garamond" w:eastAsiaTheme="majorEastAsia" w:hAnsi="Garamond" w:cs="Arial"/>
          <w:b/>
          <w:bCs/>
          <w:i/>
        </w:rPr>
        <w:t>hildren</w:t>
      </w:r>
    </w:p>
    <w:p w14:paraId="4F8DEE22" w14:textId="3464A2E2" w:rsidR="00014D5C" w:rsidRDefault="00014D5C" w:rsidP="00DC5EF6">
      <w:pPr>
        <w:rPr>
          <w:rFonts w:ascii="Garamond" w:eastAsiaTheme="minorEastAsia" w:hAnsi="Garamond" w:cs="Arial"/>
        </w:rPr>
      </w:pPr>
      <w:r w:rsidRPr="00963288">
        <w:rPr>
          <w:rFonts w:ascii="Garamond" w:eastAsiaTheme="minorEastAsia" w:hAnsi="Garamond" w:cs="Arial"/>
        </w:rPr>
        <w:t xml:space="preserve">Should the fact that a patient is a child prevent them from bringing a claim in negligence or battery for non-disclosure? Initially, this does not seem a convincing reason for limiting these rights of action. </w:t>
      </w:r>
      <w:r w:rsidR="00CF702C">
        <w:rPr>
          <w:rFonts w:ascii="Garamond" w:eastAsiaTheme="minorEastAsia" w:hAnsi="Garamond" w:cs="Arial"/>
        </w:rPr>
        <w:t>I</w:t>
      </w:r>
      <w:r w:rsidRPr="00963288">
        <w:rPr>
          <w:rFonts w:ascii="Garamond" w:eastAsiaTheme="minorEastAsia" w:hAnsi="Garamond" w:cs="Arial"/>
        </w:rPr>
        <w:t>t is clear that empowering children to understand their condition and treatment improves their health and wellbeing.</w:t>
      </w:r>
      <w:r w:rsidRPr="00963288">
        <w:rPr>
          <w:rFonts w:ascii="Garamond" w:eastAsiaTheme="minorEastAsia" w:hAnsi="Garamond" w:cs="Arial"/>
          <w:vertAlign w:val="superscript"/>
        </w:rPr>
        <w:footnoteReference w:id="29"/>
      </w:r>
      <w:r w:rsidRPr="00963288">
        <w:rPr>
          <w:rFonts w:ascii="Garamond" w:eastAsiaTheme="minorEastAsia" w:hAnsi="Garamond" w:cs="Arial"/>
        </w:rPr>
        <w:t xml:space="preserve"> Furthermore, assuming that one of the purposes of the law of (informed) consent is to protect autonomy,</w:t>
      </w:r>
      <w:r w:rsidRPr="00963288">
        <w:rPr>
          <w:rFonts w:ascii="Garamond" w:eastAsiaTheme="minorEastAsia" w:hAnsi="Garamond" w:cs="Arial"/>
          <w:vertAlign w:val="superscript"/>
        </w:rPr>
        <w:footnoteReference w:id="30"/>
      </w:r>
      <w:r w:rsidRPr="00963288">
        <w:rPr>
          <w:rFonts w:ascii="Garamond" w:eastAsiaTheme="minorEastAsia" w:hAnsi="Garamond" w:cs="Arial"/>
        </w:rPr>
        <w:t xml:space="preserve"> it should apply to children with capacity as, morally speaking, they have autonomy interests that warrant protection.</w:t>
      </w:r>
      <w:r w:rsidRPr="00963288">
        <w:rPr>
          <w:rFonts w:ascii="Garamond" w:eastAsiaTheme="minorEastAsia" w:hAnsi="Garamond" w:cs="Arial"/>
          <w:vertAlign w:val="superscript"/>
        </w:rPr>
        <w:footnoteReference w:id="31"/>
      </w:r>
      <w:r w:rsidRPr="00963288">
        <w:rPr>
          <w:rFonts w:ascii="Garamond" w:eastAsiaTheme="minorEastAsia" w:hAnsi="Garamond" w:cs="Arial"/>
        </w:rPr>
        <w:t xml:space="preserve"> </w:t>
      </w:r>
    </w:p>
    <w:p w14:paraId="79AF30B6" w14:textId="6CBDAB81" w:rsidR="00014D5C" w:rsidRPr="00991739" w:rsidRDefault="00014D5C" w:rsidP="00DC5EF6">
      <w:pPr>
        <w:ind w:firstLine="720"/>
        <w:rPr>
          <w:rFonts w:ascii="Garamond" w:eastAsiaTheme="minorEastAsia" w:hAnsi="Garamond" w:cs="Arial"/>
          <w:iCs/>
        </w:rPr>
      </w:pPr>
      <w:r>
        <w:rPr>
          <w:rFonts w:ascii="Garamond" w:eastAsiaTheme="minorEastAsia" w:hAnsi="Garamond" w:cs="Arial"/>
          <w:iCs/>
        </w:rPr>
        <w:t>However, capacity does not render a child’s</w:t>
      </w:r>
      <w:r w:rsidR="00253D22">
        <w:rPr>
          <w:rFonts w:ascii="Garamond" w:eastAsiaTheme="minorEastAsia" w:hAnsi="Garamond" w:cs="Arial"/>
          <w:iCs/>
        </w:rPr>
        <w:t xml:space="preserve"> status equal to adults’. While</w:t>
      </w:r>
      <w:r>
        <w:rPr>
          <w:rFonts w:ascii="Garamond" w:eastAsiaTheme="minorEastAsia" w:hAnsi="Garamond" w:cs="Arial"/>
          <w:iCs/>
        </w:rPr>
        <w:t xml:space="preserve"> children with requisite capacity can consent to treatment, they cannot necessarily refuse it. </w:t>
      </w:r>
      <w:r w:rsidRPr="00963288">
        <w:rPr>
          <w:rFonts w:ascii="Garamond" w:eastAsiaTheme="minorEastAsia" w:hAnsi="Garamond" w:cs="Arial"/>
          <w:iCs/>
        </w:rPr>
        <w:t xml:space="preserve">This stems from ambiguity as to the </w:t>
      </w:r>
      <w:r w:rsidRPr="00963288">
        <w:rPr>
          <w:rFonts w:ascii="Garamond" w:eastAsiaTheme="minorEastAsia" w:hAnsi="Garamond" w:cs="Arial"/>
          <w:i/>
          <w:iCs/>
        </w:rPr>
        <w:t>ratio</w:t>
      </w:r>
      <w:r w:rsidRPr="00963288">
        <w:rPr>
          <w:rFonts w:ascii="Garamond" w:eastAsiaTheme="minorEastAsia" w:hAnsi="Garamond" w:cs="Arial"/>
          <w:iCs/>
        </w:rPr>
        <w:t xml:space="preserve"> of </w:t>
      </w:r>
      <w:r w:rsidRPr="00963288">
        <w:rPr>
          <w:rFonts w:ascii="Garamond" w:eastAsiaTheme="minorEastAsia" w:hAnsi="Garamond" w:cs="Arial"/>
          <w:i/>
          <w:iCs/>
        </w:rPr>
        <w:t>Gillick</w:t>
      </w:r>
      <w:r w:rsidRPr="00963288">
        <w:rPr>
          <w:rFonts w:ascii="Garamond" w:eastAsiaTheme="minorEastAsia" w:hAnsi="Garamond" w:cs="Arial"/>
          <w:iCs/>
        </w:rPr>
        <w:t xml:space="preserve">. In the majority, the two leading speeches were given by Lord Fraser and Lord Scarman, with Lord Bridge agreeing with both judgments. Lord Scarman appeared to hold that a child had a right to </w:t>
      </w:r>
      <w:r w:rsidRPr="00963288">
        <w:rPr>
          <w:rFonts w:ascii="Garamond" w:eastAsiaTheme="minorEastAsia" w:hAnsi="Garamond" w:cs="Arial"/>
          <w:i/>
          <w:iCs/>
        </w:rPr>
        <w:t>determine</w:t>
      </w:r>
      <w:r w:rsidRPr="00963288">
        <w:rPr>
          <w:rFonts w:ascii="Garamond" w:eastAsiaTheme="minorEastAsia" w:hAnsi="Garamond" w:cs="Arial"/>
          <w:iCs/>
        </w:rPr>
        <w:t xml:space="preserve"> whether or not they could consent to medical treatment once they </w:t>
      </w:r>
      <w:r>
        <w:rPr>
          <w:rFonts w:ascii="Garamond" w:eastAsiaTheme="minorEastAsia" w:hAnsi="Garamond" w:cs="Arial"/>
          <w:iCs/>
        </w:rPr>
        <w:t>had capacity</w:t>
      </w:r>
      <w:r w:rsidRPr="00963288">
        <w:rPr>
          <w:rFonts w:ascii="Garamond" w:eastAsiaTheme="minorEastAsia" w:hAnsi="Garamond" w:cs="Arial"/>
          <w:iCs/>
        </w:rPr>
        <w:t>.</w:t>
      </w:r>
      <w:r w:rsidRPr="00963288">
        <w:rPr>
          <w:rFonts w:ascii="Garamond" w:eastAsiaTheme="minorEastAsia" w:hAnsi="Garamond" w:cs="Arial"/>
          <w:iCs/>
          <w:vertAlign w:val="superscript"/>
        </w:rPr>
        <w:footnoteReference w:id="32"/>
      </w:r>
      <w:r w:rsidRPr="00963288">
        <w:rPr>
          <w:rFonts w:ascii="Garamond" w:eastAsiaTheme="minorEastAsia" w:hAnsi="Garamond" w:cs="Arial"/>
          <w:iCs/>
        </w:rPr>
        <w:t xml:space="preserve"> According to this view, once a </w:t>
      </w:r>
      <w:r>
        <w:rPr>
          <w:rFonts w:ascii="Garamond" w:eastAsiaTheme="minorEastAsia" w:hAnsi="Garamond" w:cs="Arial"/>
          <w:iCs/>
        </w:rPr>
        <w:t>child</w:t>
      </w:r>
      <w:r w:rsidRPr="00963288">
        <w:rPr>
          <w:rFonts w:ascii="Garamond" w:eastAsiaTheme="minorEastAsia" w:hAnsi="Garamond" w:cs="Arial"/>
          <w:iCs/>
        </w:rPr>
        <w:t xml:space="preserve"> </w:t>
      </w:r>
      <w:r>
        <w:rPr>
          <w:rFonts w:ascii="Garamond" w:eastAsiaTheme="minorEastAsia" w:hAnsi="Garamond" w:cs="Arial"/>
          <w:iCs/>
        </w:rPr>
        <w:t>ha</w:t>
      </w:r>
      <w:r w:rsidRPr="00963288">
        <w:rPr>
          <w:rFonts w:ascii="Garamond" w:eastAsiaTheme="minorEastAsia" w:hAnsi="Garamond" w:cs="Arial"/>
          <w:iCs/>
        </w:rPr>
        <w:t xml:space="preserve">s </w:t>
      </w:r>
      <w:r w:rsidRPr="00963288">
        <w:rPr>
          <w:rFonts w:ascii="Garamond" w:eastAsiaTheme="minorEastAsia" w:hAnsi="Garamond" w:cs="Arial"/>
          <w:i/>
          <w:iCs/>
        </w:rPr>
        <w:t xml:space="preserve">Gillick </w:t>
      </w:r>
      <w:r>
        <w:rPr>
          <w:rFonts w:ascii="Garamond" w:eastAsiaTheme="minorEastAsia" w:hAnsi="Garamond" w:cs="Arial"/>
          <w:iCs/>
        </w:rPr>
        <w:t>capacity</w:t>
      </w:r>
      <w:r w:rsidRPr="00963288">
        <w:rPr>
          <w:rFonts w:ascii="Garamond" w:eastAsiaTheme="minorEastAsia" w:hAnsi="Garamond" w:cs="Arial"/>
          <w:iCs/>
        </w:rPr>
        <w:t xml:space="preserve">, their consent would prevent an action in battery. In contrast, Lord Fraser’s judgment </w:t>
      </w:r>
      <w:r>
        <w:rPr>
          <w:rFonts w:ascii="Garamond" w:eastAsiaTheme="minorEastAsia" w:hAnsi="Garamond" w:cs="Arial"/>
          <w:iCs/>
        </w:rPr>
        <w:t xml:space="preserve">required that </w:t>
      </w:r>
      <w:r w:rsidRPr="00963288">
        <w:rPr>
          <w:rFonts w:ascii="Garamond" w:eastAsiaTheme="minorEastAsia" w:hAnsi="Garamond" w:cs="Arial"/>
          <w:iCs/>
        </w:rPr>
        <w:t>the treatment had to be in the child’s best interests</w:t>
      </w:r>
      <w:r>
        <w:rPr>
          <w:rFonts w:ascii="Garamond" w:eastAsiaTheme="minorEastAsia" w:hAnsi="Garamond" w:cs="Arial"/>
          <w:iCs/>
        </w:rPr>
        <w:t xml:space="preserve"> before the consent to treatment would be considered valid</w:t>
      </w:r>
      <w:r w:rsidRPr="00963288">
        <w:rPr>
          <w:rFonts w:ascii="Garamond" w:eastAsiaTheme="minorEastAsia" w:hAnsi="Garamond" w:cs="Arial"/>
          <w:iCs/>
        </w:rPr>
        <w:t>.</w:t>
      </w:r>
      <w:r w:rsidRPr="00963288">
        <w:rPr>
          <w:rFonts w:ascii="Garamond" w:eastAsiaTheme="minorEastAsia" w:hAnsi="Garamond" w:cs="Arial"/>
          <w:iCs/>
          <w:vertAlign w:val="superscript"/>
        </w:rPr>
        <w:footnoteReference w:id="33"/>
      </w:r>
      <w:r w:rsidRPr="00963288">
        <w:rPr>
          <w:rFonts w:ascii="Garamond" w:eastAsiaTheme="minorEastAsia" w:hAnsi="Garamond" w:cs="Arial"/>
          <w:iCs/>
        </w:rPr>
        <w:t xml:space="preserve"> The consent of a</w:t>
      </w:r>
      <w:r>
        <w:rPr>
          <w:rFonts w:ascii="Garamond" w:eastAsiaTheme="minorEastAsia" w:hAnsi="Garamond" w:cs="Arial"/>
          <w:iCs/>
        </w:rPr>
        <w:t xml:space="preserve"> child with</w:t>
      </w:r>
      <w:r w:rsidRPr="00963288">
        <w:rPr>
          <w:rFonts w:ascii="Garamond" w:eastAsiaTheme="minorEastAsia" w:hAnsi="Garamond" w:cs="Arial"/>
          <w:iCs/>
        </w:rPr>
        <w:t xml:space="preserve"> </w:t>
      </w:r>
      <w:r w:rsidRPr="00963288">
        <w:rPr>
          <w:rFonts w:ascii="Garamond" w:eastAsiaTheme="minorEastAsia" w:hAnsi="Garamond" w:cs="Arial"/>
          <w:i/>
          <w:iCs/>
        </w:rPr>
        <w:t xml:space="preserve">Gillick </w:t>
      </w:r>
      <w:r>
        <w:rPr>
          <w:rFonts w:ascii="Garamond" w:eastAsiaTheme="minorEastAsia" w:hAnsi="Garamond" w:cs="Arial"/>
          <w:iCs/>
        </w:rPr>
        <w:t>capacity</w:t>
      </w:r>
      <w:r w:rsidRPr="00963288">
        <w:rPr>
          <w:rFonts w:ascii="Garamond" w:eastAsiaTheme="minorEastAsia" w:hAnsi="Garamond" w:cs="Arial"/>
          <w:iCs/>
        </w:rPr>
        <w:t xml:space="preserve"> would not be </w:t>
      </w:r>
      <w:r w:rsidRPr="00963288">
        <w:rPr>
          <w:rFonts w:ascii="Garamond" w:eastAsiaTheme="minorEastAsia" w:hAnsi="Garamond" w:cs="Arial"/>
          <w:i/>
          <w:iCs/>
        </w:rPr>
        <w:t>sufficient</w:t>
      </w:r>
      <w:r w:rsidRPr="00963288">
        <w:rPr>
          <w:rFonts w:ascii="Garamond" w:eastAsiaTheme="minorEastAsia" w:hAnsi="Garamond" w:cs="Arial"/>
          <w:iCs/>
        </w:rPr>
        <w:t xml:space="preserve"> to render treatment lawful.</w:t>
      </w:r>
      <w:r w:rsidR="00886464">
        <w:rPr>
          <w:rFonts w:ascii="Garamond" w:eastAsiaTheme="minorEastAsia" w:hAnsi="Garamond" w:cs="Arial"/>
          <w:iCs/>
        </w:rPr>
        <w:t xml:space="preserve"> T</w:t>
      </w:r>
      <w:r w:rsidR="00991739">
        <w:rPr>
          <w:rFonts w:ascii="Garamond" w:eastAsiaTheme="minorEastAsia" w:hAnsi="Garamond" w:cs="Arial"/>
          <w:iCs/>
        </w:rPr>
        <w:t xml:space="preserve">his is because </w:t>
      </w:r>
      <w:r w:rsidR="00594906">
        <w:rPr>
          <w:rFonts w:ascii="Garamond" w:eastAsiaTheme="minorEastAsia" w:hAnsi="Garamond" w:cs="Arial"/>
          <w:iCs/>
        </w:rPr>
        <w:t xml:space="preserve">the </w:t>
      </w:r>
      <w:r w:rsidR="00991739">
        <w:rPr>
          <w:rFonts w:ascii="Garamond" w:eastAsiaTheme="minorEastAsia" w:hAnsi="Garamond" w:cs="Arial"/>
          <w:iCs/>
        </w:rPr>
        <w:t xml:space="preserve">best interests </w:t>
      </w:r>
      <w:r w:rsidR="00594906">
        <w:rPr>
          <w:rFonts w:ascii="Garamond" w:eastAsiaTheme="minorEastAsia" w:hAnsi="Garamond" w:cs="Arial"/>
          <w:iCs/>
        </w:rPr>
        <w:t xml:space="preserve">test is </w:t>
      </w:r>
      <w:r w:rsidR="00886464">
        <w:rPr>
          <w:rFonts w:ascii="Garamond" w:eastAsiaTheme="minorEastAsia" w:hAnsi="Garamond" w:cs="Arial"/>
          <w:iCs/>
        </w:rPr>
        <w:t>not equated with the views</w:t>
      </w:r>
      <w:r w:rsidR="00991739">
        <w:rPr>
          <w:rFonts w:ascii="Garamond" w:eastAsiaTheme="minorEastAsia" w:hAnsi="Garamond" w:cs="Arial"/>
          <w:iCs/>
        </w:rPr>
        <w:t xml:space="preserve"> or desires</w:t>
      </w:r>
      <w:r w:rsidR="00886464">
        <w:rPr>
          <w:rFonts w:ascii="Garamond" w:eastAsiaTheme="minorEastAsia" w:hAnsi="Garamond" w:cs="Arial"/>
          <w:iCs/>
        </w:rPr>
        <w:t xml:space="preserve"> of the child. It is possible for treatment to be in a child patient’s best interests even if the child does </w:t>
      </w:r>
      <w:r w:rsidR="00886464">
        <w:rPr>
          <w:rFonts w:ascii="Garamond" w:eastAsiaTheme="minorEastAsia" w:hAnsi="Garamond" w:cs="Arial"/>
          <w:iCs/>
        </w:rPr>
        <w:lastRenderedPageBreak/>
        <w:t xml:space="preserve">not wish the treatment to occur. </w:t>
      </w:r>
      <w:r w:rsidR="00991739">
        <w:rPr>
          <w:rFonts w:ascii="Garamond" w:eastAsiaTheme="minorEastAsia" w:hAnsi="Garamond" w:cs="Arial"/>
          <w:iCs/>
        </w:rPr>
        <w:t xml:space="preserve">For example, in </w:t>
      </w:r>
      <w:r w:rsidR="00991739">
        <w:rPr>
          <w:rFonts w:ascii="Garamond" w:eastAsiaTheme="minorEastAsia" w:hAnsi="Garamond" w:cs="Arial"/>
          <w:i/>
          <w:iCs/>
        </w:rPr>
        <w:t>Re M (Child: Refusal of Medical Treatment)</w:t>
      </w:r>
      <w:r w:rsidR="00991739" w:rsidRPr="00594906">
        <w:rPr>
          <w:rStyle w:val="FootnoteReference"/>
          <w:rFonts w:ascii="Garamond" w:eastAsiaTheme="minorEastAsia" w:hAnsi="Garamond" w:cs="Arial"/>
          <w:iCs/>
        </w:rPr>
        <w:footnoteReference w:id="34"/>
      </w:r>
      <w:r w:rsidR="00991739">
        <w:rPr>
          <w:rFonts w:ascii="Garamond" w:eastAsiaTheme="minorEastAsia" w:hAnsi="Garamond" w:cs="Arial"/>
          <w:iCs/>
        </w:rPr>
        <w:t xml:space="preserve"> it was held that a 15-year-old girl’s refusal to consent to a heart transplant could be overridden as the operation would be in her best interests. </w:t>
      </w:r>
      <w:r w:rsidR="008256D7">
        <w:rPr>
          <w:rFonts w:ascii="Garamond" w:eastAsiaTheme="minorEastAsia" w:hAnsi="Garamond" w:cs="Arial"/>
          <w:iCs/>
        </w:rPr>
        <w:t>The child’s views will be an important factor in the balancing exercise used to determine best interests</w:t>
      </w:r>
      <w:r w:rsidR="00594906">
        <w:rPr>
          <w:rFonts w:ascii="Garamond" w:eastAsiaTheme="minorEastAsia" w:hAnsi="Garamond" w:cs="Arial"/>
          <w:iCs/>
        </w:rPr>
        <w:t>,</w:t>
      </w:r>
      <w:r w:rsidR="008256D7">
        <w:rPr>
          <w:rFonts w:ascii="Garamond" w:eastAsiaTheme="minorEastAsia" w:hAnsi="Garamond" w:cs="Arial"/>
          <w:iCs/>
        </w:rPr>
        <w:t xml:space="preserve"> but they are not decisive.</w:t>
      </w:r>
    </w:p>
    <w:p w14:paraId="02A3E856" w14:textId="7B4D2744" w:rsidR="00014D5C" w:rsidRPr="00963288" w:rsidRDefault="00014D5C" w:rsidP="00A506DF">
      <w:pPr>
        <w:ind w:firstLine="720"/>
        <w:rPr>
          <w:rFonts w:ascii="Garamond" w:eastAsiaTheme="minorEastAsia" w:hAnsi="Garamond" w:cs="Arial"/>
        </w:rPr>
      </w:pPr>
      <w:r w:rsidRPr="00963288">
        <w:rPr>
          <w:rFonts w:ascii="Garamond" w:eastAsiaTheme="minorEastAsia" w:hAnsi="Garamond" w:cs="Arial"/>
        </w:rPr>
        <w:t xml:space="preserve">Controversy has been generated by the interpretation of </w:t>
      </w:r>
      <w:r w:rsidRPr="00963288">
        <w:rPr>
          <w:rFonts w:ascii="Garamond" w:eastAsiaTheme="minorEastAsia" w:hAnsi="Garamond" w:cs="Arial"/>
          <w:i/>
        </w:rPr>
        <w:t>Gillick</w:t>
      </w:r>
      <w:r w:rsidRPr="00963288">
        <w:rPr>
          <w:rFonts w:ascii="Garamond" w:eastAsiaTheme="minorEastAsia" w:hAnsi="Garamond" w:cs="Arial"/>
        </w:rPr>
        <w:t xml:space="preserve"> in two Court of Appeal decisions where Lord Donaldson M</w:t>
      </w:r>
      <w:r>
        <w:rPr>
          <w:rFonts w:ascii="Garamond" w:eastAsiaTheme="minorEastAsia" w:hAnsi="Garamond" w:cs="Arial"/>
        </w:rPr>
        <w:t>.</w:t>
      </w:r>
      <w:r w:rsidRPr="00963288">
        <w:rPr>
          <w:rFonts w:ascii="Garamond" w:eastAsiaTheme="minorEastAsia" w:hAnsi="Garamond" w:cs="Arial"/>
        </w:rPr>
        <w:t>R</w:t>
      </w:r>
      <w:r>
        <w:rPr>
          <w:rFonts w:ascii="Garamond" w:eastAsiaTheme="minorEastAsia" w:hAnsi="Garamond" w:cs="Arial"/>
        </w:rPr>
        <w:t>.</w:t>
      </w:r>
      <w:r w:rsidRPr="00963288">
        <w:rPr>
          <w:rFonts w:ascii="Garamond" w:eastAsiaTheme="minorEastAsia" w:hAnsi="Garamond" w:cs="Arial"/>
        </w:rPr>
        <w:t xml:space="preserve"> gave the leading judgments: </w:t>
      </w:r>
      <w:r w:rsidRPr="00963288">
        <w:rPr>
          <w:rFonts w:ascii="Garamond" w:eastAsiaTheme="minorEastAsia" w:hAnsi="Garamond" w:cs="Arial"/>
          <w:i/>
        </w:rPr>
        <w:t>Re R</w:t>
      </w:r>
      <w:r w:rsidRPr="00963288">
        <w:rPr>
          <w:rFonts w:ascii="Garamond" w:eastAsiaTheme="minorEastAsia" w:hAnsi="Garamond" w:cs="Arial"/>
          <w:vertAlign w:val="superscript"/>
        </w:rPr>
        <w:footnoteReference w:id="35"/>
      </w:r>
      <w:r w:rsidRPr="00963288">
        <w:rPr>
          <w:rFonts w:ascii="Garamond" w:eastAsiaTheme="minorEastAsia" w:hAnsi="Garamond" w:cs="Arial"/>
        </w:rPr>
        <w:t xml:space="preserve"> and </w:t>
      </w:r>
      <w:r w:rsidRPr="00963288">
        <w:rPr>
          <w:rFonts w:ascii="Garamond" w:eastAsiaTheme="minorEastAsia" w:hAnsi="Garamond" w:cs="Arial"/>
          <w:i/>
        </w:rPr>
        <w:t>Re W</w:t>
      </w:r>
      <w:r w:rsidRPr="00963288">
        <w:rPr>
          <w:rFonts w:ascii="Garamond" w:eastAsiaTheme="minorEastAsia" w:hAnsi="Garamond" w:cs="Arial"/>
        </w:rPr>
        <w:t>.</w:t>
      </w:r>
      <w:r w:rsidRPr="00963288">
        <w:rPr>
          <w:rFonts w:ascii="Garamond" w:eastAsiaTheme="minorEastAsia" w:hAnsi="Garamond" w:cs="Arial"/>
          <w:vertAlign w:val="superscript"/>
        </w:rPr>
        <w:footnoteReference w:id="36"/>
      </w:r>
      <w:r w:rsidRPr="00963288">
        <w:rPr>
          <w:rFonts w:ascii="Garamond" w:eastAsiaTheme="minorEastAsia" w:hAnsi="Garamond" w:cs="Arial"/>
          <w:i/>
        </w:rPr>
        <w:t xml:space="preserve"> </w:t>
      </w:r>
      <w:r w:rsidRPr="00963288">
        <w:rPr>
          <w:rFonts w:ascii="Garamond" w:eastAsiaTheme="minorEastAsia" w:hAnsi="Garamond" w:cs="Arial"/>
        </w:rPr>
        <w:t xml:space="preserve">Lord Donaldson asserted that the </w:t>
      </w:r>
      <w:r w:rsidRPr="00963288">
        <w:rPr>
          <w:rFonts w:ascii="Garamond" w:eastAsiaTheme="minorEastAsia" w:hAnsi="Garamond" w:cs="Arial"/>
          <w:i/>
        </w:rPr>
        <w:t xml:space="preserve">ratio </w:t>
      </w:r>
      <w:r w:rsidRPr="00963288">
        <w:rPr>
          <w:rFonts w:ascii="Garamond" w:eastAsiaTheme="minorEastAsia" w:hAnsi="Garamond" w:cs="Arial"/>
        </w:rPr>
        <w:t xml:space="preserve">of </w:t>
      </w:r>
      <w:r w:rsidRPr="00963288">
        <w:rPr>
          <w:rFonts w:ascii="Garamond" w:eastAsiaTheme="minorEastAsia" w:hAnsi="Garamond" w:cs="Arial"/>
          <w:i/>
        </w:rPr>
        <w:t xml:space="preserve">Gillick </w:t>
      </w:r>
      <w:r w:rsidRPr="00963288">
        <w:rPr>
          <w:rFonts w:ascii="Garamond" w:eastAsiaTheme="minorEastAsia" w:hAnsi="Garamond" w:cs="Arial"/>
        </w:rPr>
        <w:t xml:space="preserve">is that while a </w:t>
      </w:r>
      <w:r>
        <w:rPr>
          <w:rFonts w:ascii="Garamond" w:eastAsiaTheme="minorEastAsia" w:hAnsi="Garamond" w:cs="Arial"/>
        </w:rPr>
        <w:t>child</w:t>
      </w:r>
      <w:r w:rsidRPr="00963288">
        <w:rPr>
          <w:rFonts w:ascii="Garamond" w:eastAsiaTheme="minorEastAsia" w:hAnsi="Garamond" w:cs="Arial"/>
        </w:rPr>
        <w:t xml:space="preserve"> </w:t>
      </w:r>
      <w:r w:rsidR="00682CFC">
        <w:rPr>
          <w:rFonts w:ascii="Garamond" w:eastAsiaTheme="minorEastAsia" w:hAnsi="Garamond" w:cs="Arial"/>
        </w:rPr>
        <w:t xml:space="preserve">with capacity </w:t>
      </w:r>
      <w:r w:rsidRPr="00963288">
        <w:rPr>
          <w:rFonts w:ascii="Garamond" w:eastAsiaTheme="minorEastAsia" w:hAnsi="Garamond" w:cs="Arial"/>
        </w:rPr>
        <w:t>can consent to medical treatment, the court or those with parental responsibility retain a concurrent right to consent.</w:t>
      </w:r>
      <w:r w:rsidRPr="00963288">
        <w:rPr>
          <w:rFonts w:ascii="Garamond" w:eastAsiaTheme="minorEastAsia" w:hAnsi="Garamond" w:cs="Arial"/>
          <w:vertAlign w:val="superscript"/>
        </w:rPr>
        <w:footnoteReference w:id="37"/>
      </w:r>
      <w:r w:rsidRPr="00963288">
        <w:rPr>
          <w:rFonts w:ascii="Garamond" w:eastAsiaTheme="minorEastAsia" w:hAnsi="Garamond" w:cs="Arial"/>
        </w:rPr>
        <w:t xml:space="preserve"> They may override the child’s refusal to consent and provide consent on the </w:t>
      </w:r>
      <w:r>
        <w:rPr>
          <w:rFonts w:ascii="Garamond" w:eastAsiaTheme="minorEastAsia" w:hAnsi="Garamond" w:cs="Arial"/>
        </w:rPr>
        <w:t>child</w:t>
      </w:r>
      <w:r w:rsidRPr="00963288">
        <w:rPr>
          <w:rFonts w:ascii="Garamond" w:eastAsiaTheme="minorEastAsia" w:hAnsi="Garamond" w:cs="Arial"/>
        </w:rPr>
        <w:t xml:space="preserve">’s behalf where so doing would be in the child’s best interests. This means that, in addition to being </w:t>
      </w:r>
      <w:r w:rsidRPr="00963288">
        <w:rPr>
          <w:rFonts w:ascii="Garamond" w:eastAsiaTheme="minorEastAsia" w:hAnsi="Garamond" w:cs="Arial"/>
          <w:i/>
        </w:rPr>
        <w:t>insufficient</w:t>
      </w:r>
      <w:r w:rsidRPr="00963288">
        <w:rPr>
          <w:rFonts w:ascii="Garamond" w:eastAsiaTheme="minorEastAsia" w:hAnsi="Garamond" w:cs="Arial"/>
        </w:rPr>
        <w:t xml:space="preserve">, the consent of a </w:t>
      </w:r>
      <w:r>
        <w:rPr>
          <w:rFonts w:ascii="Garamond" w:eastAsiaTheme="minorEastAsia" w:hAnsi="Garamond" w:cs="Arial"/>
        </w:rPr>
        <w:t>child</w:t>
      </w:r>
      <w:r w:rsidRPr="00963288">
        <w:rPr>
          <w:rFonts w:ascii="Garamond" w:eastAsiaTheme="minorEastAsia" w:hAnsi="Garamond" w:cs="Arial"/>
        </w:rPr>
        <w:t xml:space="preserve"> </w:t>
      </w:r>
      <w:r w:rsidR="00682CFC">
        <w:rPr>
          <w:rFonts w:ascii="Garamond" w:eastAsiaTheme="minorEastAsia" w:hAnsi="Garamond" w:cs="Arial"/>
        </w:rPr>
        <w:t xml:space="preserve">with </w:t>
      </w:r>
      <w:r w:rsidR="00682CFC" w:rsidRPr="009A304D">
        <w:rPr>
          <w:rFonts w:ascii="Garamond" w:eastAsiaTheme="minorEastAsia" w:hAnsi="Garamond" w:cs="Arial"/>
          <w:i/>
        </w:rPr>
        <w:t>Gillick</w:t>
      </w:r>
      <w:r w:rsidR="00682CFC">
        <w:rPr>
          <w:rFonts w:ascii="Garamond" w:eastAsiaTheme="minorEastAsia" w:hAnsi="Garamond" w:cs="Arial"/>
        </w:rPr>
        <w:t xml:space="preserve"> capacity </w:t>
      </w:r>
      <w:r w:rsidRPr="00963288">
        <w:rPr>
          <w:rFonts w:ascii="Garamond" w:eastAsiaTheme="minorEastAsia" w:hAnsi="Garamond" w:cs="Arial"/>
        </w:rPr>
        <w:t xml:space="preserve">is not </w:t>
      </w:r>
      <w:r w:rsidRPr="00963288">
        <w:rPr>
          <w:rFonts w:ascii="Garamond" w:eastAsiaTheme="minorEastAsia" w:hAnsi="Garamond" w:cs="Arial"/>
          <w:i/>
        </w:rPr>
        <w:t>necessary</w:t>
      </w:r>
      <w:r w:rsidRPr="00963288">
        <w:rPr>
          <w:rFonts w:ascii="Garamond" w:eastAsiaTheme="minorEastAsia" w:hAnsi="Garamond" w:cs="Arial"/>
        </w:rPr>
        <w:t xml:space="preserve"> for a</w:t>
      </w:r>
      <w:r>
        <w:rPr>
          <w:rFonts w:ascii="Garamond" w:eastAsiaTheme="minorEastAsia" w:hAnsi="Garamond" w:cs="Arial"/>
        </w:rPr>
        <w:t>n</w:t>
      </w:r>
      <w:r w:rsidRPr="00963288">
        <w:rPr>
          <w:rFonts w:ascii="Garamond" w:eastAsiaTheme="minorEastAsia" w:hAnsi="Garamond" w:cs="Arial"/>
        </w:rPr>
        <w:t xml:space="preserve"> </w:t>
      </w:r>
      <w:r>
        <w:rPr>
          <w:rFonts w:ascii="Garamond" w:eastAsiaTheme="minorEastAsia" w:hAnsi="Garamond" w:cs="Arial"/>
        </w:rPr>
        <w:t>HCP</w:t>
      </w:r>
      <w:r w:rsidRPr="00963288">
        <w:rPr>
          <w:rFonts w:ascii="Garamond" w:eastAsiaTheme="minorEastAsia" w:hAnsi="Garamond" w:cs="Arial"/>
        </w:rPr>
        <w:t xml:space="preserve"> to avoid a battery action. The same principle applies to </w:t>
      </w:r>
      <w:r>
        <w:rPr>
          <w:rFonts w:ascii="Garamond" w:eastAsiaTheme="minorEastAsia" w:hAnsi="Garamond" w:cs="Arial"/>
        </w:rPr>
        <w:t xml:space="preserve">young people </w:t>
      </w:r>
      <w:r w:rsidR="0095504C">
        <w:rPr>
          <w:rFonts w:ascii="Garamond" w:eastAsiaTheme="minorEastAsia" w:hAnsi="Garamond" w:cs="Arial"/>
        </w:rPr>
        <w:t>aged</w:t>
      </w:r>
      <w:r w:rsidR="0095504C" w:rsidRPr="00963288">
        <w:rPr>
          <w:rFonts w:ascii="Garamond" w:eastAsiaTheme="minorEastAsia" w:hAnsi="Garamond" w:cs="Arial"/>
        </w:rPr>
        <w:t xml:space="preserve"> </w:t>
      </w:r>
      <w:r w:rsidRPr="00963288">
        <w:rPr>
          <w:rFonts w:ascii="Garamond" w:eastAsiaTheme="minorEastAsia" w:hAnsi="Garamond" w:cs="Arial"/>
        </w:rPr>
        <w:t>16-17.</w:t>
      </w:r>
      <w:r w:rsidRPr="00963288">
        <w:rPr>
          <w:rStyle w:val="FootnoteReference"/>
          <w:rFonts w:ascii="Garamond" w:eastAsiaTheme="minorEastAsia" w:hAnsi="Garamond" w:cs="Arial"/>
        </w:rPr>
        <w:footnoteReference w:id="38"/>
      </w:r>
      <w:r w:rsidRPr="00963288">
        <w:rPr>
          <w:rFonts w:ascii="Garamond" w:eastAsiaTheme="minorEastAsia" w:hAnsi="Garamond" w:cs="Arial"/>
        </w:rPr>
        <w:t xml:space="preserve"> </w:t>
      </w:r>
    </w:p>
    <w:p w14:paraId="6514DA5F" w14:textId="766C5E22" w:rsidR="00014D5C" w:rsidRPr="00963288" w:rsidRDefault="00014D5C" w:rsidP="00DC5EF6">
      <w:pPr>
        <w:ind w:firstLine="720"/>
        <w:rPr>
          <w:rFonts w:ascii="Garamond" w:eastAsiaTheme="minorEastAsia" w:hAnsi="Garamond" w:cs="Arial"/>
        </w:rPr>
      </w:pPr>
      <w:r w:rsidRPr="00963288">
        <w:rPr>
          <w:rFonts w:ascii="Garamond" w:eastAsiaTheme="minorEastAsia" w:hAnsi="Garamond" w:cs="Arial"/>
        </w:rPr>
        <w:t>With adults, consideration of best interests by the courts only arises if it has been determined that the adult lacks capacity.</w:t>
      </w:r>
      <w:r w:rsidRPr="00963288">
        <w:rPr>
          <w:rStyle w:val="FootnoteReference"/>
          <w:rFonts w:ascii="Garamond" w:eastAsiaTheme="minorEastAsia" w:hAnsi="Garamond" w:cs="Arial"/>
        </w:rPr>
        <w:footnoteReference w:id="39"/>
      </w:r>
      <w:r w:rsidRPr="00963288">
        <w:rPr>
          <w:rFonts w:ascii="Garamond" w:eastAsiaTheme="minorEastAsia" w:hAnsi="Garamond" w:cs="Arial"/>
        </w:rPr>
        <w:t xml:space="preserve"> It has long been established that a person with capacity who has attained the age of 18 may refuse treatment, even if that decision is unwise.</w:t>
      </w:r>
      <w:r w:rsidRPr="00963288">
        <w:rPr>
          <w:rFonts w:ascii="Garamond" w:eastAsiaTheme="minorEastAsia" w:hAnsi="Garamond" w:cs="Arial"/>
          <w:vertAlign w:val="superscript"/>
        </w:rPr>
        <w:footnoteReference w:id="40"/>
      </w:r>
      <w:r w:rsidRPr="00963288">
        <w:rPr>
          <w:rFonts w:ascii="Garamond" w:eastAsiaTheme="minorEastAsia" w:hAnsi="Garamond" w:cs="Arial"/>
        </w:rPr>
        <w:t xml:space="preserve"> As a result, some commentators have argued that it is illogical to say that a </w:t>
      </w:r>
      <w:r>
        <w:rPr>
          <w:rFonts w:ascii="Garamond" w:eastAsiaTheme="minorEastAsia" w:hAnsi="Garamond" w:cs="Arial"/>
        </w:rPr>
        <w:t>child</w:t>
      </w:r>
      <w:r w:rsidRPr="00963288">
        <w:rPr>
          <w:rFonts w:ascii="Garamond" w:eastAsiaTheme="minorEastAsia" w:hAnsi="Garamond" w:cs="Arial"/>
        </w:rPr>
        <w:t>, or any individual, can have the capacity to make a particular decision but is not capable of refusing it.</w:t>
      </w:r>
      <w:r w:rsidRPr="00963288">
        <w:rPr>
          <w:rFonts w:ascii="Garamond" w:eastAsiaTheme="minorEastAsia" w:hAnsi="Garamond" w:cs="Arial"/>
          <w:vertAlign w:val="superscript"/>
        </w:rPr>
        <w:footnoteReference w:id="41"/>
      </w:r>
      <w:r w:rsidRPr="00963288">
        <w:rPr>
          <w:rFonts w:ascii="Garamond" w:eastAsiaTheme="minorEastAsia" w:hAnsi="Garamond" w:cs="Arial"/>
        </w:rPr>
        <w:t xml:space="preserve"> </w:t>
      </w:r>
    </w:p>
    <w:p w14:paraId="6C0A5204" w14:textId="3CACD755" w:rsidR="00014D5C" w:rsidRPr="00963288" w:rsidRDefault="00014D5C" w:rsidP="00A506DF">
      <w:pPr>
        <w:rPr>
          <w:rFonts w:ascii="Garamond" w:eastAsiaTheme="minorEastAsia" w:hAnsi="Garamond" w:cs="Arial"/>
          <w:iCs/>
        </w:rPr>
      </w:pPr>
      <w:r w:rsidRPr="00963288">
        <w:rPr>
          <w:rFonts w:ascii="Garamond" w:eastAsiaTheme="minorEastAsia" w:hAnsi="Garamond" w:cs="Arial"/>
          <w:iCs/>
        </w:rPr>
        <w:tab/>
        <w:t xml:space="preserve">Yet this critique only has force if the aim of the law is to protect children’s </w:t>
      </w:r>
      <w:r w:rsidRPr="00963288">
        <w:rPr>
          <w:rFonts w:ascii="Garamond" w:eastAsiaTheme="minorEastAsia" w:hAnsi="Garamond" w:cs="Arial"/>
          <w:i/>
          <w:iCs/>
        </w:rPr>
        <w:t>autonomy</w:t>
      </w:r>
      <w:r w:rsidRPr="00963288">
        <w:rPr>
          <w:rFonts w:ascii="Garamond" w:eastAsiaTheme="minorEastAsia" w:hAnsi="Garamond" w:cs="Arial"/>
          <w:iCs/>
        </w:rPr>
        <w:t xml:space="preserve">. Lord Donaldson’s interpretation of </w:t>
      </w:r>
      <w:r w:rsidRPr="00963288">
        <w:rPr>
          <w:rFonts w:ascii="Garamond" w:eastAsiaTheme="minorEastAsia" w:hAnsi="Garamond" w:cs="Arial"/>
          <w:i/>
          <w:iCs/>
        </w:rPr>
        <w:t>Gillick</w:t>
      </w:r>
      <w:r w:rsidRPr="00963288">
        <w:rPr>
          <w:rFonts w:ascii="Garamond" w:eastAsiaTheme="minorEastAsia" w:hAnsi="Garamond" w:cs="Arial"/>
          <w:iCs/>
        </w:rPr>
        <w:t xml:space="preserve"> focuses not on its potential to enhance </w:t>
      </w:r>
      <w:r>
        <w:rPr>
          <w:rFonts w:ascii="Garamond" w:eastAsiaTheme="minorEastAsia" w:hAnsi="Garamond" w:cs="Arial"/>
          <w:iCs/>
        </w:rPr>
        <w:t>children’s</w:t>
      </w:r>
      <w:r w:rsidRPr="00963288">
        <w:rPr>
          <w:rFonts w:ascii="Garamond" w:eastAsiaTheme="minorEastAsia" w:hAnsi="Garamond" w:cs="Arial"/>
          <w:iCs/>
        </w:rPr>
        <w:t xml:space="preserve"> autonomy, but to protect </w:t>
      </w:r>
      <w:r>
        <w:rPr>
          <w:rFonts w:ascii="Garamond" w:eastAsiaTheme="minorEastAsia" w:hAnsi="Garamond" w:cs="Arial"/>
          <w:iCs/>
        </w:rPr>
        <w:t>their</w:t>
      </w:r>
      <w:r w:rsidRPr="00963288">
        <w:rPr>
          <w:rFonts w:ascii="Garamond" w:eastAsiaTheme="minorEastAsia" w:hAnsi="Garamond" w:cs="Arial"/>
          <w:iCs/>
        </w:rPr>
        <w:t xml:space="preserve"> </w:t>
      </w:r>
      <w:r w:rsidRPr="00963288">
        <w:rPr>
          <w:rFonts w:ascii="Garamond" w:eastAsiaTheme="minorEastAsia" w:hAnsi="Garamond" w:cs="Arial"/>
          <w:i/>
          <w:iCs/>
        </w:rPr>
        <w:t>welfare</w:t>
      </w:r>
      <w:r w:rsidRPr="00963288">
        <w:rPr>
          <w:rFonts w:ascii="Garamond" w:eastAsiaTheme="minorEastAsia" w:hAnsi="Garamond" w:cs="Arial"/>
          <w:iCs/>
        </w:rPr>
        <w:t xml:space="preserve">. Children can consent to treatment that is in their best interests if they </w:t>
      </w:r>
      <w:r w:rsidRPr="00963288">
        <w:rPr>
          <w:rFonts w:ascii="Garamond" w:eastAsiaTheme="minorEastAsia" w:hAnsi="Garamond" w:cs="Arial"/>
          <w:iCs/>
        </w:rPr>
        <w:lastRenderedPageBreak/>
        <w:t xml:space="preserve">have sufficient understanding and intelligence, just as they can refuse treatment that is not in their best interests. </w:t>
      </w:r>
    </w:p>
    <w:p w14:paraId="42FADC74" w14:textId="59E854DC" w:rsidR="00014D5C" w:rsidRDefault="00014D5C" w:rsidP="00A506DF">
      <w:pPr>
        <w:rPr>
          <w:rFonts w:ascii="Garamond" w:eastAsiaTheme="minorEastAsia" w:hAnsi="Garamond" w:cs="Arial"/>
          <w:iCs/>
        </w:rPr>
      </w:pPr>
      <w:r w:rsidRPr="00963288">
        <w:rPr>
          <w:rFonts w:ascii="Garamond" w:eastAsiaTheme="minorEastAsia" w:hAnsi="Garamond" w:cs="Arial"/>
          <w:iCs/>
        </w:rPr>
        <w:tab/>
        <w:t>Of course, autonomy is a relevant aspect of the child’s welfare: this is clear from reference to the child’s view in the Children Act 1989 welfare checklist</w:t>
      </w:r>
      <w:r w:rsidRPr="00963288">
        <w:rPr>
          <w:rStyle w:val="FootnoteReference"/>
          <w:rFonts w:ascii="Garamond" w:eastAsiaTheme="minorEastAsia" w:hAnsi="Garamond" w:cs="Arial"/>
          <w:iCs/>
        </w:rPr>
        <w:footnoteReference w:id="42"/>
      </w:r>
      <w:r w:rsidRPr="00963288">
        <w:rPr>
          <w:rFonts w:ascii="Garamond" w:eastAsiaTheme="minorEastAsia" w:hAnsi="Garamond" w:cs="Arial"/>
          <w:iCs/>
        </w:rPr>
        <w:t xml:space="preserve"> and from the common law.</w:t>
      </w:r>
      <w:r w:rsidRPr="00963288">
        <w:rPr>
          <w:rStyle w:val="FootnoteReference"/>
          <w:rFonts w:ascii="Garamond" w:eastAsiaTheme="minorEastAsia" w:hAnsi="Garamond" w:cs="Arial"/>
          <w:iCs/>
        </w:rPr>
        <w:footnoteReference w:id="43"/>
      </w:r>
      <w:r w:rsidRPr="00963288">
        <w:rPr>
          <w:rFonts w:ascii="Garamond" w:eastAsiaTheme="minorEastAsia" w:hAnsi="Garamond" w:cs="Arial"/>
          <w:iCs/>
        </w:rPr>
        <w:t xml:space="preserve"> The primary aim of the law, however, is not to protect the autonomy rights of children but to elicit ‘what is best for the welfare of the particular child’.</w:t>
      </w:r>
      <w:r w:rsidRPr="00963288">
        <w:rPr>
          <w:rFonts w:ascii="Garamond" w:eastAsiaTheme="minorEastAsia" w:hAnsi="Garamond" w:cs="Arial"/>
          <w:iCs/>
          <w:vertAlign w:val="superscript"/>
        </w:rPr>
        <w:footnoteReference w:id="44"/>
      </w:r>
      <w:r w:rsidRPr="00963288">
        <w:rPr>
          <w:rFonts w:ascii="Garamond" w:eastAsiaTheme="minorEastAsia" w:hAnsi="Garamond" w:cs="Arial"/>
          <w:iCs/>
        </w:rPr>
        <w:t xml:space="preserve"> According to </w:t>
      </w:r>
      <w:r w:rsidRPr="00963288">
        <w:rPr>
          <w:rFonts w:ascii="Garamond" w:eastAsiaTheme="minorEastAsia" w:hAnsi="Garamond" w:cs="Arial"/>
          <w:i/>
          <w:iCs/>
        </w:rPr>
        <w:t>Re R</w:t>
      </w:r>
      <w:r w:rsidRPr="00963288">
        <w:rPr>
          <w:rFonts w:ascii="Garamond" w:eastAsiaTheme="minorEastAsia" w:hAnsi="Garamond" w:cs="Arial"/>
          <w:iCs/>
        </w:rPr>
        <w:t xml:space="preserve"> and </w:t>
      </w:r>
      <w:r w:rsidRPr="00963288">
        <w:rPr>
          <w:rFonts w:ascii="Garamond" w:eastAsiaTheme="minorEastAsia" w:hAnsi="Garamond" w:cs="Arial"/>
          <w:i/>
          <w:iCs/>
        </w:rPr>
        <w:t>Re W</w:t>
      </w:r>
      <w:r w:rsidRPr="00963288">
        <w:rPr>
          <w:rFonts w:ascii="Garamond" w:eastAsiaTheme="minorEastAsia" w:hAnsi="Garamond" w:cs="Arial"/>
          <w:iCs/>
        </w:rPr>
        <w:t>,</w:t>
      </w:r>
      <w:r w:rsidRPr="00963288">
        <w:rPr>
          <w:rStyle w:val="FootnoteReference"/>
          <w:rFonts w:ascii="Garamond" w:eastAsiaTheme="minorEastAsia" w:hAnsi="Garamond" w:cs="Arial"/>
          <w:iCs/>
        </w:rPr>
        <w:footnoteReference w:id="45"/>
      </w:r>
      <w:r w:rsidRPr="00963288">
        <w:rPr>
          <w:rFonts w:ascii="Garamond" w:eastAsiaTheme="minorEastAsia" w:hAnsi="Garamond" w:cs="Arial"/>
          <w:iCs/>
        </w:rPr>
        <w:t xml:space="preserve"> the child, </w:t>
      </w:r>
      <w:r w:rsidR="0095504C">
        <w:rPr>
          <w:rFonts w:ascii="Garamond" w:eastAsiaTheme="minorEastAsia" w:hAnsi="Garamond" w:cs="Arial"/>
          <w:iCs/>
        </w:rPr>
        <w:t>persons with parental responsibility</w:t>
      </w:r>
      <w:r w:rsidRPr="00963288">
        <w:rPr>
          <w:rFonts w:ascii="Garamond" w:eastAsiaTheme="minorEastAsia" w:hAnsi="Garamond" w:cs="Arial"/>
          <w:iCs/>
        </w:rPr>
        <w:t xml:space="preserve"> and the court can all provide a valid consent in order to protect a</w:t>
      </w:r>
      <w:r>
        <w:rPr>
          <w:rFonts w:ascii="Garamond" w:eastAsiaTheme="minorEastAsia" w:hAnsi="Garamond" w:cs="Arial"/>
          <w:iCs/>
        </w:rPr>
        <w:t xml:space="preserve">n HCP </w:t>
      </w:r>
      <w:r w:rsidRPr="00963288">
        <w:rPr>
          <w:rFonts w:ascii="Garamond" w:eastAsiaTheme="minorEastAsia" w:hAnsi="Garamond" w:cs="Arial"/>
          <w:iCs/>
        </w:rPr>
        <w:t xml:space="preserve">fulfilling that aim. The law therefore allows the child’s refusal of treatment to be overridden to protect </w:t>
      </w:r>
      <w:r>
        <w:rPr>
          <w:rFonts w:ascii="Garamond" w:eastAsiaTheme="minorEastAsia" w:hAnsi="Garamond" w:cs="Arial"/>
          <w:iCs/>
        </w:rPr>
        <w:t xml:space="preserve">their </w:t>
      </w:r>
      <w:r w:rsidRPr="00963288">
        <w:rPr>
          <w:rFonts w:ascii="Garamond" w:eastAsiaTheme="minorEastAsia" w:hAnsi="Garamond" w:cs="Arial"/>
          <w:iCs/>
        </w:rPr>
        <w:t>best interests.</w:t>
      </w:r>
      <w:r>
        <w:rPr>
          <w:rFonts w:ascii="Garamond" w:eastAsiaTheme="minorEastAsia" w:hAnsi="Garamond" w:cs="Arial"/>
          <w:iCs/>
        </w:rPr>
        <w:t xml:space="preserve"> This can impact on information disclosure both in relation to what is relayed to the child and what is shared with proxies. </w:t>
      </w:r>
    </w:p>
    <w:p w14:paraId="6C7BF747" w14:textId="77777777" w:rsidR="00014D5C" w:rsidRPr="00963288" w:rsidRDefault="00014D5C" w:rsidP="00A506DF">
      <w:pPr>
        <w:rPr>
          <w:rFonts w:ascii="Garamond" w:eastAsiaTheme="minorEastAsia" w:hAnsi="Garamond" w:cs="Arial"/>
          <w:iCs/>
        </w:rPr>
      </w:pPr>
    </w:p>
    <w:p w14:paraId="7B1B64E7" w14:textId="4FA411F3" w:rsidR="00014D5C" w:rsidRPr="00963288" w:rsidRDefault="00014D5C" w:rsidP="00DC5EF6">
      <w:pPr>
        <w:pStyle w:val="ListParagraph"/>
        <w:numPr>
          <w:ilvl w:val="0"/>
          <w:numId w:val="9"/>
        </w:numPr>
        <w:spacing w:after="0" w:line="480" w:lineRule="auto"/>
        <w:jc w:val="center"/>
        <w:outlineLvl w:val="1"/>
        <w:rPr>
          <w:rFonts w:ascii="Garamond" w:eastAsiaTheme="majorEastAsia" w:hAnsi="Garamond" w:cs="Arial"/>
          <w:b/>
          <w:bCs/>
          <w:i/>
        </w:rPr>
      </w:pPr>
      <w:r>
        <w:rPr>
          <w:rFonts w:ascii="Garamond" w:eastAsiaTheme="majorEastAsia" w:hAnsi="Garamond" w:cs="Arial"/>
          <w:b/>
          <w:bCs/>
          <w:i/>
        </w:rPr>
        <w:t>Parental S</w:t>
      </w:r>
      <w:r w:rsidRPr="00963288">
        <w:rPr>
          <w:rFonts w:ascii="Garamond" w:eastAsiaTheme="majorEastAsia" w:hAnsi="Garamond" w:cs="Arial"/>
          <w:b/>
          <w:bCs/>
          <w:i/>
        </w:rPr>
        <w:t xml:space="preserve">tatus </w:t>
      </w:r>
      <w:r>
        <w:rPr>
          <w:rFonts w:ascii="Garamond" w:eastAsiaTheme="majorEastAsia" w:hAnsi="Garamond" w:cs="Arial"/>
          <w:b/>
          <w:bCs/>
        </w:rPr>
        <w:t>v</w:t>
      </w:r>
      <w:r w:rsidRPr="00B47717">
        <w:rPr>
          <w:rFonts w:ascii="Garamond" w:eastAsiaTheme="majorEastAsia" w:hAnsi="Garamond" w:cs="Arial"/>
          <w:b/>
          <w:bCs/>
        </w:rPr>
        <w:t>is-à-</w:t>
      </w:r>
      <w:r>
        <w:rPr>
          <w:rFonts w:ascii="Garamond" w:eastAsiaTheme="majorEastAsia" w:hAnsi="Garamond" w:cs="Arial"/>
          <w:b/>
          <w:bCs/>
        </w:rPr>
        <w:t>v</w:t>
      </w:r>
      <w:r w:rsidRPr="00B47717">
        <w:rPr>
          <w:rFonts w:ascii="Garamond" w:eastAsiaTheme="majorEastAsia" w:hAnsi="Garamond" w:cs="Arial"/>
          <w:b/>
          <w:bCs/>
        </w:rPr>
        <w:t xml:space="preserve">is </w:t>
      </w:r>
      <w:r>
        <w:rPr>
          <w:rFonts w:ascii="Garamond" w:eastAsiaTheme="majorEastAsia" w:hAnsi="Garamond" w:cs="Arial"/>
          <w:b/>
          <w:bCs/>
          <w:i/>
        </w:rPr>
        <w:t xml:space="preserve">the </w:t>
      </w:r>
      <w:proofErr w:type="spellStart"/>
      <w:r>
        <w:rPr>
          <w:rFonts w:ascii="Garamond" w:eastAsiaTheme="majorEastAsia" w:hAnsi="Garamond" w:cs="Arial"/>
          <w:b/>
          <w:bCs/>
          <w:i/>
        </w:rPr>
        <w:t>Capacitous</w:t>
      </w:r>
      <w:proofErr w:type="spellEnd"/>
      <w:r>
        <w:rPr>
          <w:rFonts w:ascii="Garamond" w:eastAsiaTheme="majorEastAsia" w:hAnsi="Garamond" w:cs="Arial"/>
          <w:b/>
          <w:bCs/>
          <w:i/>
        </w:rPr>
        <w:t xml:space="preserve"> C</w:t>
      </w:r>
      <w:r w:rsidRPr="00963288">
        <w:rPr>
          <w:rFonts w:ascii="Garamond" w:eastAsiaTheme="majorEastAsia" w:hAnsi="Garamond" w:cs="Arial"/>
          <w:b/>
          <w:bCs/>
          <w:i/>
        </w:rPr>
        <w:t>hild</w:t>
      </w:r>
    </w:p>
    <w:p w14:paraId="3D001BB1" w14:textId="0023342B" w:rsidR="00014D5C" w:rsidRPr="00963288" w:rsidRDefault="00014D5C" w:rsidP="00DC5EF6">
      <w:pPr>
        <w:rPr>
          <w:rFonts w:ascii="Garamond" w:eastAsiaTheme="minorEastAsia" w:hAnsi="Garamond" w:cs="Arial"/>
        </w:rPr>
      </w:pPr>
      <w:r w:rsidRPr="00963288">
        <w:rPr>
          <w:rFonts w:ascii="Garamond" w:eastAsiaTheme="minorEastAsia" w:hAnsi="Garamond" w:cs="Arial"/>
          <w:iCs/>
        </w:rPr>
        <w:t xml:space="preserve">Parental powers are, however, limited in law and practice. In </w:t>
      </w:r>
      <w:r>
        <w:rPr>
          <w:rFonts w:ascii="Garamond" w:eastAsiaTheme="minorEastAsia" w:hAnsi="Garamond" w:cs="Arial"/>
          <w:iCs/>
        </w:rPr>
        <w:t xml:space="preserve">family </w:t>
      </w:r>
      <w:r w:rsidRPr="00963288">
        <w:rPr>
          <w:rFonts w:ascii="Garamond" w:eastAsiaTheme="minorEastAsia" w:hAnsi="Garamond" w:cs="Arial"/>
          <w:iCs/>
        </w:rPr>
        <w:t xml:space="preserve">law, </w:t>
      </w:r>
      <w:r w:rsidRPr="00963288">
        <w:rPr>
          <w:rFonts w:ascii="Garamond" w:eastAsiaTheme="minorEastAsia" w:hAnsi="Garamond" w:cs="Arial"/>
        </w:rPr>
        <w:t>the welfare of the child is the paramount consideration.</w:t>
      </w:r>
      <w:r w:rsidRPr="00963288">
        <w:rPr>
          <w:rFonts w:ascii="Garamond" w:eastAsiaTheme="minorEastAsia" w:hAnsi="Garamond" w:cs="Arial"/>
          <w:vertAlign w:val="superscript"/>
        </w:rPr>
        <w:footnoteReference w:id="46"/>
      </w:r>
      <w:r w:rsidRPr="00963288">
        <w:rPr>
          <w:rFonts w:ascii="Garamond" w:eastAsiaTheme="minorEastAsia" w:hAnsi="Garamond" w:cs="Arial"/>
        </w:rPr>
        <w:t xml:space="preserve"> The definition of parental responsibility in section 3 of the Children Act 1989 balances </w:t>
      </w:r>
      <w:r>
        <w:rPr>
          <w:rFonts w:ascii="Garamond" w:eastAsiaTheme="minorEastAsia" w:hAnsi="Garamond" w:cs="Arial"/>
        </w:rPr>
        <w:t>parental</w:t>
      </w:r>
      <w:r w:rsidRPr="00963288">
        <w:rPr>
          <w:rFonts w:ascii="Garamond" w:eastAsiaTheme="minorEastAsia" w:hAnsi="Garamond" w:cs="Arial"/>
        </w:rPr>
        <w:t xml:space="preserve"> powers and rights with responsibilities. Sir James Munby recently made clear in </w:t>
      </w:r>
      <w:r w:rsidRPr="00963288">
        <w:rPr>
          <w:rFonts w:ascii="Garamond" w:eastAsiaTheme="minorEastAsia" w:hAnsi="Garamond" w:cs="Arial"/>
          <w:i/>
        </w:rPr>
        <w:t xml:space="preserve">Re D </w:t>
      </w:r>
      <w:r w:rsidRPr="00963288">
        <w:rPr>
          <w:rFonts w:ascii="Garamond" w:eastAsiaTheme="minorEastAsia" w:hAnsi="Garamond" w:cs="Arial"/>
        </w:rPr>
        <w:t xml:space="preserve">that </w:t>
      </w:r>
      <w:r w:rsidRPr="00963288">
        <w:rPr>
          <w:rFonts w:ascii="Garamond" w:eastAsiaTheme="minorEastAsia" w:hAnsi="Garamond" w:cs="Arial"/>
          <w:i/>
        </w:rPr>
        <w:t>Re W</w:t>
      </w:r>
      <w:r w:rsidRPr="00963288">
        <w:rPr>
          <w:rFonts w:ascii="Garamond" w:eastAsiaTheme="minorEastAsia" w:hAnsi="Garamond" w:cs="Arial"/>
        </w:rPr>
        <w:t xml:space="preserve"> remains relevant</w:t>
      </w:r>
      <w:r w:rsidRPr="00963288">
        <w:rPr>
          <w:rFonts w:ascii="Garamond" w:eastAsiaTheme="minorEastAsia" w:hAnsi="Garamond" w:cs="Arial"/>
          <w:vertAlign w:val="superscript"/>
        </w:rPr>
        <w:footnoteReference w:id="47"/>
      </w:r>
      <w:r w:rsidRPr="00963288">
        <w:rPr>
          <w:rFonts w:ascii="Garamond" w:eastAsiaTheme="minorEastAsia" w:hAnsi="Garamond" w:cs="Arial"/>
        </w:rPr>
        <w:t xml:space="preserve"> but also noted that, since </w:t>
      </w:r>
      <w:r w:rsidRPr="00963288">
        <w:rPr>
          <w:rFonts w:ascii="Garamond" w:eastAsiaTheme="minorEastAsia" w:hAnsi="Garamond" w:cs="Arial"/>
          <w:i/>
        </w:rPr>
        <w:t>Gillick</w:t>
      </w:r>
      <w:r w:rsidRPr="00963288">
        <w:rPr>
          <w:rFonts w:ascii="Garamond" w:eastAsiaTheme="minorEastAsia" w:hAnsi="Garamond" w:cs="Arial"/>
        </w:rPr>
        <w:t>, the ambit of parental responsibility is ‘to be ascertained by reference to general community standards in contemporary Britain, the standards of reasonable men and women’.</w:t>
      </w:r>
      <w:r w:rsidRPr="00963288">
        <w:rPr>
          <w:rFonts w:ascii="Garamond" w:eastAsiaTheme="minorEastAsia" w:hAnsi="Garamond" w:cs="Arial"/>
          <w:vertAlign w:val="superscript"/>
        </w:rPr>
        <w:footnoteReference w:id="48"/>
      </w:r>
      <w:r w:rsidRPr="00963288">
        <w:rPr>
          <w:rFonts w:ascii="Garamond" w:eastAsiaTheme="minorEastAsia" w:hAnsi="Garamond" w:cs="Arial"/>
        </w:rPr>
        <w:t xml:space="preserve"> In 1993 this ambit extended to providing consent in the best interests of a </w:t>
      </w:r>
      <w:proofErr w:type="spellStart"/>
      <w:r w:rsidRPr="00963288">
        <w:rPr>
          <w:rFonts w:ascii="Garamond" w:eastAsiaTheme="minorEastAsia" w:hAnsi="Garamond" w:cs="Arial"/>
        </w:rPr>
        <w:t>capacitous</w:t>
      </w:r>
      <w:proofErr w:type="spellEnd"/>
      <w:r w:rsidRPr="00963288">
        <w:rPr>
          <w:rFonts w:ascii="Garamond" w:eastAsiaTheme="minorEastAsia" w:hAnsi="Garamond" w:cs="Arial"/>
        </w:rPr>
        <w:t xml:space="preserve"> </w:t>
      </w:r>
      <w:r>
        <w:rPr>
          <w:rFonts w:ascii="Garamond" w:eastAsiaTheme="minorEastAsia" w:hAnsi="Garamond" w:cs="Arial"/>
        </w:rPr>
        <w:t>child</w:t>
      </w:r>
      <w:r w:rsidRPr="00963288">
        <w:rPr>
          <w:rFonts w:ascii="Garamond" w:eastAsiaTheme="minorEastAsia" w:hAnsi="Garamond" w:cs="Arial"/>
        </w:rPr>
        <w:t xml:space="preserve"> refusing treatment. It is questionable whether this remains the case. </w:t>
      </w:r>
    </w:p>
    <w:p w14:paraId="48331ECE" w14:textId="155EFC2E" w:rsidR="00014D5C" w:rsidRPr="00963288" w:rsidRDefault="00014D5C" w:rsidP="00DC5EF6">
      <w:pPr>
        <w:ind w:firstLine="720"/>
        <w:rPr>
          <w:rFonts w:ascii="Garamond" w:eastAsiaTheme="minorEastAsia" w:hAnsi="Garamond" w:cs="Arial"/>
          <w:i/>
        </w:rPr>
      </w:pPr>
      <w:r w:rsidRPr="00963288">
        <w:rPr>
          <w:rFonts w:ascii="Garamond" w:eastAsiaTheme="minorEastAsia" w:hAnsi="Garamond" w:cs="Arial"/>
          <w:iCs/>
        </w:rPr>
        <w:lastRenderedPageBreak/>
        <w:t>Post-</w:t>
      </w:r>
      <w:r w:rsidRPr="00963288">
        <w:rPr>
          <w:rFonts w:ascii="Garamond" w:eastAsiaTheme="minorEastAsia" w:hAnsi="Garamond" w:cs="Arial"/>
          <w:i/>
          <w:iCs/>
        </w:rPr>
        <w:t>Re W</w:t>
      </w:r>
      <w:r w:rsidRPr="00963288">
        <w:rPr>
          <w:rFonts w:ascii="Garamond" w:eastAsiaTheme="minorEastAsia" w:hAnsi="Garamond" w:cs="Arial"/>
          <w:iCs/>
        </w:rPr>
        <w:t xml:space="preserve">, professional guidance at first asserted parental rights to veto </w:t>
      </w:r>
      <w:r w:rsidRPr="00963288">
        <w:rPr>
          <w:rFonts w:ascii="Garamond" w:eastAsiaTheme="minorEastAsia" w:hAnsi="Garamond" w:cs="Arial"/>
        </w:rPr>
        <w:t xml:space="preserve">harmful treatment and recognised a resulting need for </w:t>
      </w:r>
      <w:r w:rsidR="0095504C">
        <w:rPr>
          <w:rFonts w:ascii="Garamond" w:eastAsiaTheme="minorEastAsia" w:hAnsi="Garamond" w:cs="Arial"/>
        </w:rPr>
        <w:t>persons with parental responsibility</w:t>
      </w:r>
      <w:r w:rsidR="0095504C" w:rsidRPr="00963288">
        <w:rPr>
          <w:rFonts w:ascii="Garamond" w:eastAsiaTheme="minorEastAsia" w:hAnsi="Garamond" w:cs="Arial"/>
        </w:rPr>
        <w:t xml:space="preserve"> </w:t>
      </w:r>
      <w:r w:rsidRPr="00963288">
        <w:rPr>
          <w:rFonts w:ascii="Garamond" w:eastAsiaTheme="minorEastAsia" w:hAnsi="Garamond" w:cs="Arial"/>
        </w:rPr>
        <w:t>to be properly informed.</w:t>
      </w:r>
      <w:r w:rsidRPr="00963288">
        <w:rPr>
          <w:rFonts w:ascii="Garamond" w:eastAsiaTheme="minorEastAsia" w:hAnsi="Garamond" w:cs="Arial"/>
          <w:vertAlign w:val="superscript"/>
        </w:rPr>
        <w:footnoteReference w:id="49"/>
      </w:r>
      <w:r w:rsidRPr="00963288">
        <w:rPr>
          <w:rFonts w:ascii="Garamond" w:eastAsiaTheme="minorEastAsia" w:hAnsi="Garamond" w:cs="Arial"/>
        </w:rPr>
        <w:t xml:space="preserve"> But </w:t>
      </w:r>
      <w:r w:rsidRPr="00963288">
        <w:rPr>
          <w:rFonts w:ascii="Garamond" w:eastAsiaTheme="minorEastAsia" w:hAnsi="Garamond" w:cs="Arial"/>
          <w:i/>
        </w:rPr>
        <w:t>Re W</w:t>
      </w:r>
      <w:r w:rsidRPr="00963288">
        <w:rPr>
          <w:rFonts w:ascii="Garamond" w:eastAsiaTheme="minorEastAsia" w:hAnsi="Garamond" w:cs="Arial"/>
        </w:rPr>
        <w:t xml:space="preserve"> was decided before the Human Rights Act 1998 came into force. Article 8 of the E</w:t>
      </w:r>
      <w:r>
        <w:rPr>
          <w:rFonts w:ascii="Garamond" w:eastAsiaTheme="minorEastAsia" w:hAnsi="Garamond" w:cs="Arial"/>
        </w:rPr>
        <w:t xml:space="preserve">uropean </w:t>
      </w:r>
      <w:r w:rsidRPr="00963288">
        <w:rPr>
          <w:rFonts w:ascii="Garamond" w:eastAsiaTheme="minorEastAsia" w:hAnsi="Garamond" w:cs="Arial"/>
        </w:rPr>
        <w:t>C</w:t>
      </w:r>
      <w:r>
        <w:rPr>
          <w:rFonts w:ascii="Garamond" w:eastAsiaTheme="minorEastAsia" w:hAnsi="Garamond" w:cs="Arial"/>
        </w:rPr>
        <w:t xml:space="preserve">ourt of </w:t>
      </w:r>
      <w:r w:rsidRPr="00963288">
        <w:rPr>
          <w:rFonts w:ascii="Garamond" w:eastAsiaTheme="minorEastAsia" w:hAnsi="Garamond" w:cs="Arial"/>
        </w:rPr>
        <w:t>H</w:t>
      </w:r>
      <w:r>
        <w:rPr>
          <w:rFonts w:ascii="Garamond" w:eastAsiaTheme="minorEastAsia" w:hAnsi="Garamond" w:cs="Arial"/>
        </w:rPr>
        <w:t xml:space="preserve">uman </w:t>
      </w:r>
      <w:r w:rsidRPr="00963288">
        <w:rPr>
          <w:rFonts w:ascii="Garamond" w:eastAsiaTheme="minorEastAsia" w:hAnsi="Garamond" w:cs="Arial"/>
        </w:rPr>
        <w:t>R</w:t>
      </w:r>
      <w:r>
        <w:rPr>
          <w:rFonts w:ascii="Garamond" w:eastAsiaTheme="minorEastAsia" w:hAnsi="Garamond" w:cs="Arial"/>
        </w:rPr>
        <w:t>ights (ECHR)</w:t>
      </w:r>
      <w:r w:rsidRPr="00963288">
        <w:rPr>
          <w:rFonts w:ascii="Garamond" w:eastAsiaTheme="minorEastAsia" w:hAnsi="Garamond" w:cs="Arial"/>
        </w:rPr>
        <w:t xml:space="preserve"> has been influential in the backlash against medical paternalism.</w:t>
      </w:r>
      <w:r w:rsidRPr="00963288">
        <w:rPr>
          <w:rFonts w:ascii="Garamond" w:eastAsiaTheme="minorEastAsia" w:hAnsi="Garamond" w:cs="Arial"/>
          <w:vertAlign w:val="superscript"/>
        </w:rPr>
        <w:footnoteReference w:id="50"/>
      </w:r>
      <w:r w:rsidRPr="00963288">
        <w:rPr>
          <w:rFonts w:ascii="Garamond" w:eastAsiaTheme="minorEastAsia" w:hAnsi="Garamond" w:cs="Arial"/>
        </w:rPr>
        <w:t xml:space="preserve"> It was relevant in </w:t>
      </w:r>
      <w:r w:rsidRPr="00963288">
        <w:rPr>
          <w:rFonts w:ascii="Garamond" w:eastAsiaTheme="minorEastAsia" w:hAnsi="Garamond" w:cs="Arial"/>
          <w:i/>
        </w:rPr>
        <w:t>Montgomery</w:t>
      </w:r>
      <w:r w:rsidRPr="00963288">
        <w:rPr>
          <w:rFonts w:ascii="Garamond" w:eastAsiaTheme="minorEastAsia" w:hAnsi="Garamond" w:cs="Arial"/>
          <w:vertAlign w:val="superscript"/>
        </w:rPr>
        <w:footnoteReference w:id="51"/>
      </w:r>
      <w:r w:rsidRPr="00963288">
        <w:rPr>
          <w:rFonts w:ascii="Garamond" w:eastAsiaTheme="minorEastAsia" w:hAnsi="Garamond" w:cs="Arial"/>
        </w:rPr>
        <w:t xml:space="preserve"> and in assertions of </w:t>
      </w:r>
      <w:r>
        <w:rPr>
          <w:rFonts w:ascii="Garamond" w:eastAsiaTheme="minorEastAsia" w:hAnsi="Garamond" w:cs="Arial"/>
        </w:rPr>
        <w:t>children’s</w:t>
      </w:r>
      <w:r w:rsidRPr="00963288">
        <w:rPr>
          <w:rFonts w:ascii="Garamond" w:eastAsiaTheme="minorEastAsia" w:hAnsi="Garamond" w:cs="Arial"/>
        </w:rPr>
        <w:t xml:space="preserve"> autonomy rights in </w:t>
      </w:r>
      <w:r w:rsidRPr="00963288">
        <w:rPr>
          <w:rFonts w:ascii="Garamond" w:eastAsiaTheme="minorEastAsia" w:hAnsi="Garamond" w:cs="Arial"/>
          <w:i/>
        </w:rPr>
        <w:t>Axon.</w:t>
      </w:r>
      <w:r w:rsidRPr="00963288">
        <w:rPr>
          <w:rFonts w:ascii="Garamond" w:eastAsiaTheme="minorEastAsia" w:hAnsi="Garamond" w:cs="Arial"/>
        </w:rPr>
        <w:t xml:space="preserve"> In the latter case Silber J</w:t>
      </w:r>
      <w:r>
        <w:rPr>
          <w:rFonts w:ascii="Garamond" w:eastAsiaTheme="minorEastAsia" w:hAnsi="Garamond" w:cs="Arial"/>
        </w:rPr>
        <w:t>.</w:t>
      </w:r>
      <w:r w:rsidRPr="00963288">
        <w:rPr>
          <w:rFonts w:ascii="Garamond" w:eastAsiaTheme="minorEastAsia" w:hAnsi="Garamond" w:cs="Arial"/>
        </w:rPr>
        <w:t xml:space="preserve"> opined that once a child has capacity to make decisions for herself, </w:t>
      </w:r>
      <w:r w:rsidR="001A1687">
        <w:rPr>
          <w:rFonts w:ascii="Garamond" w:eastAsiaTheme="minorEastAsia" w:hAnsi="Garamond" w:cs="Arial"/>
        </w:rPr>
        <w:t>persons with parental responsibility</w:t>
      </w:r>
      <w:r w:rsidR="001A1687" w:rsidRPr="00963288">
        <w:rPr>
          <w:rFonts w:ascii="Garamond" w:eastAsiaTheme="minorEastAsia" w:hAnsi="Garamond" w:cs="Arial"/>
        </w:rPr>
        <w:t xml:space="preserve"> </w:t>
      </w:r>
      <w:r w:rsidRPr="00963288">
        <w:rPr>
          <w:rFonts w:ascii="Garamond" w:eastAsiaTheme="minorEastAsia" w:hAnsi="Garamond" w:cs="Arial"/>
        </w:rPr>
        <w:t>lose any right under Article 8 to consent on the child’s behalf.</w:t>
      </w:r>
      <w:r w:rsidRPr="00963288">
        <w:rPr>
          <w:rFonts w:ascii="Garamond" w:eastAsiaTheme="minorEastAsia" w:hAnsi="Garamond" w:cs="Arial"/>
          <w:vertAlign w:val="superscript"/>
        </w:rPr>
        <w:footnoteReference w:id="52"/>
      </w:r>
      <w:r w:rsidRPr="00963288">
        <w:rPr>
          <w:rFonts w:ascii="Garamond" w:eastAsiaTheme="minorEastAsia" w:hAnsi="Garamond" w:cs="Arial"/>
        </w:rPr>
        <w:t xml:space="preserve"> </w:t>
      </w:r>
    </w:p>
    <w:p w14:paraId="2207F1CF" w14:textId="523C649A" w:rsidR="00014D5C" w:rsidRDefault="00014D5C" w:rsidP="00BF3236">
      <w:pPr>
        <w:ind w:firstLine="720"/>
        <w:rPr>
          <w:rFonts w:ascii="Garamond" w:eastAsiaTheme="minorEastAsia" w:hAnsi="Garamond" w:cs="Arial"/>
          <w:iCs/>
        </w:rPr>
      </w:pPr>
      <w:r w:rsidRPr="00963288">
        <w:rPr>
          <w:rFonts w:ascii="Garamond" w:eastAsiaTheme="minorEastAsia" w:hAnsi="Garamond" w:cs="Arial"/>
        </w:rPr>
        <w:t xml:space="preserve">Today, professional guidance is more protective of the autonomy rights of </w:t>
      </w:r>
      <w:r>
        <w:rPr>
          <w:rFonts w:ascii="Garamond" w:eastAsiaTheme="minorEastAsia" w:hAnsi="Garamond" w:cs="Arial"/>
        </w:rPr>
        <w:t>children</w:t>
      </w:r>
      <w:r w:rsidRPr="00963288">
        <w:rPr>
          <w:rFonts w:ascii="Garamond" w:eastAsiaTheme="minorEastAsia" w:hAnsi="Garamond" w:cs="Arial"/>
        </w:rPr>
        <w:t xml:space="preserve"> with capacity, urging a court declaration rather than reliance on parental consent where refused treatment would prevent loss of life or grave harm.</w:t>
      </w:r>
      <w:r w:rsidRPr="00963288">
        <w:rPr>
          <w:rFonts w:ascii="Garamond" w:eastAsiaTheme="minorEastAsia" w:hAnsi="Garamond" w:cs="Arial"/>
          <w:vertAlign w:val="superscript"/>
        </w:rPr>
        <w:footnoteReference w:id="53"/>
      </w:r>
      <w:r w:rsidR="004C3320">
        <w:rPr>
          <w:rFonts w:ascii="Garamond" w:eastAsiaTheme="minorEastAsia" w:hAnsi="Garamond" w:cs="Arial"/>
        </w:rPr>
        <w:t xml:space="preserve"> The court is required to take into consideration the wishes and feelings of the child under the welfare checklist set out in section 1(3) of the Children Act 1989. </w:t>
      </w:r>
      <w:r w:rsidRPr="00963288">
        <w:rPr>
          <w:rFonts w:ascii="Garamond" w:eastAsiaTheme="minorEastAsia" w:hAnsi="Garamond" w:cs="Arial"/>
        </w:rPr>
        <w:t xml:space="preserve"> The Care Quality Commission (CQC) goes further still, advising </w:t>
      </w:r>
      <w:r w:rsidRPr="00963288">
        <w:rPr>
          <w:rFonts w:ascii="Garamond" w:eastAsiaTheme="minorEastAsia" w:hAnsi="Garamond" w:cs="Arial"/>
          <w:iCs/>
        </w:rPr>
        <w:t>that: ‘Parents cannot override a competent child’s refusal to accept treatment.’</w:t>
      </w:r>
      <w:r w:rsidRPr="00963288">
        <w:rPr>
          <w:rFonts w:ascii="Garamond" w:eastAsiaTheme="minorEastAsia" w:hAnsi="Garamond" w:cs="Arial"/>
          <w:iCs/>
          <w:vertAlign w:val="superscript"/>
        </w:rPr>
        <w:footnoteReference w:id="54"/>
      </w:r>
      <w:r w:rsidRPr="00963288">
        <w:rPr>
          <w:rFonts w:ascii="Garamond" w:eastAsiaTheme="minorEastAsia" w:hAnsi="Garamond" w:cs="Arial"/>
          <w:iCs/>
        </w:rPr>
        <w:t xml:space="preserve"> This is a bold stance that runs contrary to </w:t>
      </w:r>
      <w:r w:rsidRPr="00963288">
        <w:rPr>
          <w:rFonts w:ascii="Garamond" w:eastAsiaTheme="minorEastAsia" w:hAnsi="Garamond" w:cs="Arial"/>
          <w:i/>
          <w:iCs/>
        </w:rPr>
        <w:t>Re R</w:t>
      </w:r>
      <w:r w:rsidRPr="00963288">
        <w:rPr>
          <w:rFonts w:ascii="Garamond" w:eastAsiaTheme="minorEastAsia" w:hAnsi="Garamond" w:cs="Arial"/>
          <w:iCs/>
        </w:rPr>
        <w:t xml:space="preserve"> and </w:t>
      </w:r>
      <w:r w:rsidRPr="00963288">
        <w:rPr>
          <w:rFonts w:ascii="Garamond" w:eastAsiaTheme="minorEastAsia" w:hAnsi="Garamond" w:cs="Arial"/>
          <w:i/>
          <w:iCs/>
        </w:rPr>
        <w:t>Re W</w:t>
      </w:r>
      <w:r>
        <w:rPr>
          <w:rFonts w:ascii="Garamond" w:eastAsiaTheme="minorEastAsia" w:hAnsi="Garamond" w:cs="Arial"/>
          <w:iCs/>
        </w:rPr>
        <w:t>.</w:t>
      </w:r>
      <w:r w:rsidRPr="00963288">
        <w:rPr>
          <w:rFonts w:ascii="Garamond" w:eastAsiaTheme="minorEastAsia" w:hAnsi="Garamond" w:cs="Arial"/>
          <w:iCs/>
        </w:rPr>
        <w:t xml:space="preserve"> It is </w:t>
      </w:r>
      <w:r w:rsidR="0095504C">
        <w:rPr>
          <w:rFonts w:ascii="Garamond" w:eastAsiaTheme="minorEastAsia" w:hAnsi="Garamond" w:cs="Arial"/>
          <w:iCs/>
        </w:rPr>
        <w:t>an approach that places</w:t>
      </w:r>
      <w:r w:rsidR="0095504C" w:rsidRPr="00963288">
        <w:rPr>
          <w:rFonts w:ascii="Garamond" w:eastAsiaTheme="minorEastAsia" w:hAnsi="Garamond" w:cs="Arial"/>
          <w:iCs/>
        </w:rPr>
        <w:t xml:space="preserve"> </w:t>
      </w:r>
      <w:r w:rsidRPr="00963288">
        <w:rPr>
          <w:rFonts w:ascii="Garamond" w:eastAsiaTheme="minorEastAsia" w:hAnsi="Garamond" w:cs="Arial"/>
          <w:iCs/>
        </w:rPr>
        <w:t xml:space="preserve">dwindling </w:t>
      </w:r>
      <w:r w:rsidR="0095504C">
        <w:rPr>
          <w:rFonts w:ascii="Garamond" w:eastAsiaTheme="minorEastAsia" w:hAnsi="Garamond" w:cs="Arial"/>
          <w:iCs/>
        </w:rPr>
        <w:t xml:space="preserve">emphasis on </w:t>
      </w:r>
      <w:r w:rsidRPr="00963288">
        <w:rPr>
          <w:rFonts w:ascii="Garamond" w:eastAsiaTheme="minorEastAsia" w:hAnsi="Garamond" w:cs="Arial"/>
          <w:iCs/>
        </w:rPr>
        <w:t xml:space="preserve">parental powers once the child has capacity, and the restricted power is </w:t>
      </w:r>
      <w:r w:rsidR="0095504C">
        <w:rPr>
          <w:rFonts w:ascii="Garamond" w:eastAsiaTheme="minorEastAsia" w:hAnsi="Garamond" w:cs="Arial"/>
          <w:iCs/>
        </w:rPr>
        <w:t xml:space="preserve">likely to be </w:t>
      </w:r>
      <w:r w:rsidRPr="00963288">
        <w:rPr>
          <w:rFonts w:ascii="Garamond" w:eastAsiaTheme="minorEastAsia" w:hAnsi="Garamond" w:cs="Arial"/>
          <w:iCs/>
        </w:rPr>
        <w:t xml:space="preserve">matched by a limited right to information about the child’s treatment. </w:t>
      </w:r>
      <w:r w:rsidR="0095504C">
        <w:rPr>
          <w:rFonts w:ascii="Garamond" w:eastAsiaTheme="minorEastAsia" w:hAnsi="Garamond" w:cs="Arial"/>
          <w:iCs/>
        </w:rPr>
        <w:t xml:space="preserve">The case law adopts an approach that encourages </w:t>
      </w:r>
      <w:r>
        <w:rPr>
          <w:rFonts w:ascii="Garamond" w:eastAsiaTheme="minorEastAsia" w:hAnsi="Garamond" w:cs="Arial"/>
          <w:iCs/>
        </w:rPr>
        <w:t>HCPs</w:t>
      </w:r>
      <w:r w:rsidRPr="00963288">
        <w:rPr>
          <w:rFonts w:ascii="Garamond" w:eastAsiaTheme="minorEastAsia" w:hAnsi="Garamond" w:cs="Arial"/>
          <w:iCs/>
        </w:rPr>
        <w:t xml:space="preserve"> </w:t>
      </w:r>
      <w:r w:rsidR="0095504C">
        <w:rPr>
          <w:rFonts w:ascii="Garamond" w:eastAsiaTheme="minorEastAsia" w:hAnsi="Garamond" w:cs="Arial"/>
          <w:iCs/>
        </w:rPr>
        <w:t>to share information</w:t>
      </w:r>
      <w:r w:rsidRPr="00963288">
        <w:rPr>
          <w:rFonts w:ascii="Garamond" w:eastAsiaTheme="minorEastAsia" w:hAnsi="Garamond" w:cs="Arial"/>
          <w:iCs/>
        </w:rPr>
        <w:t xml:space="preserve"> but</w:t>
      </w:r>
      <w:r w:rsidR="0095504C">
        <w:rPr>
          <w:rFonts w:ascii="Garamond" w:eastAsiaTheme="minorEastAsia" w:hAnsi="Garamond" w:cs="Arial"/>
          <w:iCs/>
        </w:rPr>
        <w:t>,</w:t>
      </w:r>
      <w:r w:rsidRPr="00963288">
        <w:rPr>
          <w:rFonts w:ascii="Garamond" w:eastAsiaTheme="minorEastAsia" w:hAnsi="Garamond" w:cs="Arial"/>
          <w:iCs/>
        </w:rPr>
        <w:t xml:space="preserve"> </w:t>
      </w:r>
      <w:r w:rsidR="0095504C">
        <w:rPr>
          <w:rFonts w:ascii="Garamond" w:eastAsiaTheme="minorEastAsia" w:hAnsi="Garamond" w:cs="Arial"/>
          <w:iCs/>
        </w:rPr>
        <w:t>does not extend to</w:t>
      </w:r>
      <w:r w:rsidRPr="00963288">
        <w:rPr>
          <w:rFonts w:ascii="Garamond" w:eastAsiaTheme="minorEastAsia" w:hAnsi="Garamond" w:cs="Arial"/>
          <w:iCs/>
        </w:rPr>
        <w:t xml:space="preserve"> breach</w:t>
      </w:r>
      <w:r w:rsidR="0095504C">
        <w:rPr>
          <w:rFonts w:ascii="Garamond" w:eastAsiaTheme="minorEastAsia" w:hAnsi="Garamond" w:cs="Arial"/>
          <w:iCs/>
        </w:rPr>
        <w:t>ing</w:t>
      </w:r>
      <w:r w:rsidRPr="00963288">
        <w:rPr>
          <w:rFonts w:ascii="Garamond" w:eastAsiaTheme="minorEastAsia" w:hAnsi="Garamond" w:cs="Arial"/>
          <w:iCs/>
        </w:rPr>
        <w:t xml:space="preserve"> the child’s confidentiality without a strong best </w:t>
      </w:r>
      <w:proofErr w:type="gramStart"/>
      <w:r w:rsidRPr="00963288">
        <w:rPr>
          <w:rFonts w:ascii="Garamond" w:eastAsiaTheme="minorEastAsia" w:hAnsi="Garamond" w:cs="Arial"/>
          <w:iCs/>
        </w:rPr>
        <w:t>interests</w:t>
      </w:r>
      <w:proofErr w:type="gramEnd"/>
      <w:r w:rsidRPr="00963288">
        <w:rPr>
          <w:rFonts w:ascii="Garamond" w:eastAsiaTheme="minorEastAsia" w:hAnsi="Garamond" w:cs="Arial"/>
          <w:iCs/>
        </w:rPr>
        <w:t xml:space="preserve"> justification.</w:t>
      </w:r>
      <w:r w:rsidRPr="00963288">
        <w:rPr>
          <w:rFonts w:ascii="Garamond" w:eastAsiaTheme="minorEastAsia" w:hAnsi="Garamond" w:cs="Arial"/>
          <w:iCs/>
          <w:vertAlign w:val="superscript"/>
        </w:rPr>
        <w:footnoteReference w:id="55"/>
      </w:r>
      <w:r w:rsidRPr="00963288">
        <w:rPr>
          <w:rFonts w:ascii="Garamond" w:eastAsiaTheme="minorEastAsia" w:hAnsi="Garamond" w:cs="Arial"/>
          <w:iCs/>
        </w:rPr>
        <w:t xml:space="preserve"> </w:t>
      </w:r>
    </w:p>
    <w:p w14:paraId="47B84D49" w14:textId="0EE933FC" w:rsidR="00014D5C" w:rsidRDefault="00014D5C" w:rsidP="00BF3236">
      <w:pPr>
        <w:ind w:firstLine="720"/>
        <w:rPr>
          <w:rFonts w:ascii="Garamond" w:eastAsiaTheme="minorEastAsia" w:hAnsi="Garamond" w:cs="Arial"/>
          <w:iCs/>
        </w:rPr>
      </w:pPr>
      <w:r>
        <w:rPr>
          <w:rFonts w:ascii="Garamond" w:eastAsiaTheme="minorEastAsia" w:hAnsi="Garamond" w:cs="Arial"/>
          <w:iCs/>
        </w:rPr>
        <w:t xml:space="preserve">If the child lacks capacity, HCPs can rely on parental consent. In this regard, the vagueness and high threshold of the </w:t>
      </w:r>
      <w:r w:rsidRPr="00AD0D5A">
        <w:rPr>
          <w:rFonts w:ascii="Garamond" w:eastAsiaTheme="minorEastAsia" w:hAnsi="Garamond" w:cs="Arial"/>
          <w:i/>
          <w:iCs/>
        </w:rPr>
        <w:t>Gillick</w:t>
      </w:r>
      <w:r>
        <w:rPr>
          <w:rFonts w:ascii="Garamond" w:eastAsiaTheme="minorEastAsia" w:hAnsi="Garamond" w:cs="Arial"/>
          <w:iCs/>
        </w:rPr>
        <w:t xml:space="preserve"> test can result in assessments that effectively focus on outcomes </w:t>
      </w:r>
      <w:r>
        <w:rPr>
          <w:rFonts w:ascii="Garamond" w:eastAsiaTheme="minorEastAsia" w:hAnsi="Garamond" w:cs="Arial"/>
          <w:iCs/>
        </w:rPr>
        <w:lastRenderedPageBreak/>
        <w:t>and inadequately protect autonomy.</w:t>
      </w:r>
      <w:r>
        <w:rPr>
          <w:rStyle w:val="FootnoteReference"/>
          <w:rFonts w:ascii="Garamond" w:eastAsiaTheme="minorEastAsia" w:hAnsi="Garamond" w:cs="Arial"/>
          <w:iCs/>
        </w:rPr>
        <w:footnoteReference w:id="56"/>
      </w:r>
      <w:r>
        <w:rPr>
          <w:rFonts w:ascii="Garamond" w:eastAsiaTheme="minorEastAsia" w:hAnsi="Garamond" w:cs="Arial"/>
          <w:iCs/>
        </w:rPr>
        <w:t xml:space="preserve"> On the other hand, reduced reliance on parental veto means, as we shall see, that HCPs will need to furnish the child with relevant information in order to determine whether the decision is valid and made with capacity. The law is less concerned with a doctor-centred approach protecting HCPs from liability and increasingly sympathetic to a patient-centred approach protecting patient autonomy.</w:t>
      </w:r>
    </w:p>
    <w:p w14:paraId="3E88378E" w14:textId="12DD5307" w:rsidR="00014D5C" w:rsidRPr="00963288" w:rsidRDefault="00014D5C" w:rsidP="003276A9">
      <w:pPr>
        <w:ind w:firstLine="720"/>
        <w:rPr>
          <w:rFonts w:ascii="Garamond" w:eastAsiaTheme="minorEastAsia" w:hAnsi="Garamond" w:cs="Arial"/>
          <w:iCs/>
        </w:rPr>
      </w:pPr>
      <w:r>
        <w:rPr>
          <w:rFonts w:ascii="Garamond" w:eastAsiaTheme="minorEastAsia" w:hAnsi="Garamond" w:cs="Arial"/>
          <w:iCs/>
        </w:rPr>
        <w:t xml:space="preserve">However, the development of respect for children’s autonomy only goes so far. In the next section we argue that limitations on their right to decide may impact on their ability to claim in negligence for non-disclosure of material information.  </w:t>
      </w:r>
    </w:p>
    <w:p w14:paraId="32074057" w14:textId="77777777" w:rsidR="00014D5C" w:rsidRPr="00963288" w:rsidRDefault="00014D5C" w:rsidP="00035F67">
      <w:pPr>
        <w:rPr>
          <w:rFonts w:ascii="Garamond" w:eastAsiaTheme="minorEastAsia" w:hAnsi="Garamond" w:cs="Arial"/>
          <w:iCs/>
        </w:rPr>
      </w:pPr>
    </w:p>
    <w:p w14:paraId="3F729CBE" w14:textId="058E14B0" w:rsidR="00014D5C" w:rsidRPr="00963288" w:rsidRDefault="00014D5C" w:rsidP="004112CD">
      <w:pPr>
        <w:ind w:left="-340" w:firstLine="340"/>
        <w:contextualSpacing/>
        <w:jc w:val="center"/>
        <w:outlineLvl w:val="0"/>
        <w:rPr>
          <w:rFonts w:ascii="Garamond" w:eastAsiaTheme="majorEastAsia" w:hAnsi="Garamond" w:cs="Arial"/>
          <w:b/>
          <w:bCs/>
        </w:rPr>
      </w:pPr>
      <w:r>
        <w:rPr>
          <w:rFonts w:ascii="Garamond" w:eastAsiaTheme="majorEastAsia" w:hAnsi="Garamond" w:cs="Arial"/>
          <w:b/>
          <w:bCs/>
        </w:rPr>
        <w:t>III.</w:t>
      </w:r>
      <w:r w:rsidRPr="00963288">
        <w:rPr>
          <w:rFonts w:ascii="Garamond" w:eastAsiaTheme="majorEastAsia" w:hAnsi="Garamond" w:cs="Arial"/>
          <w:b/>
          <w:bCs/>
        </w:rPr>
        <w:t xml:space="preserve"> NEGLIGENCE</w:t>
      </w:r>
    </w:p>
    <w:p w14:paraId="3457398A" w14:textId="74FEAF04" w:rsidR="00014D5C" w:rsidRPr="009C3AAE" w:rsidRDefault="00253D22" w:rsidP="009C3AAE">
      <w:pPr>
        <w:pStyle w:val="ListParagraph"/>
        <w:numPr>
          <w:ilvl w:val="0"/>
          <w:numId w:val="14"/>
        </w:numPr>
        <w:jc w:val="center"/>
        <w:rPr>
          <w:rFonts w:ascii="Garamond" w:eastAsiaTheme="majorEastAsia" w:hAnsi="Garamond" w:cs="Arial"/>
          <w:b/>
          <w:bCs/>
          <w:i/>
        </w:rPr>
      </w:pPr>
      <w:r>
        <w:rPr>
          <w:rFonts w:ascii="Garamond" w:eastAsiaTheme="majorEastAsia" w:hAnsi="Garamond" w:cs="Arial"/>
          <w:b/>
          <w:bCs/>
          <w:i/>
        </w:rPr>
        <w:t>Negligent Non-D</w:t>
      </w:r>
      <w:r w:rsidR="00014D5C">
        <w:rPr>
          <w:rFonts w:ascii="Garamond" w:eastAsiaTheme="majorEastAsia" w:hAnsi="Garamond" w:cs="Arial"/>
          <w:b/>
          <w:bCs/>
          <w:i/>
        </w:rPr>
        <w:t>isclosure of I</w:t>
      </w:r>
      <w:r w:rsidR="00014D5C" w:rsidRPr="009C3AAE">
        <w:rPr>
          <w:rFonts w:ascii="Garamond" w:eastAsiaTheme="majorEastAsia" w:hAnsi="Garamond" w:cs="Arial"/>
          <w:b/>
          <w:bCs/>
          <w:i/>
        </w:rPr>
        <w:t>nformation</w:t>
      </w:r>
      <w:r w:rsidR="00014D5C" w:rsidRPr="00963288">
        <w:rPr>
          <w:rStyle w:val="FootnoteReference"/>
          <w:rFonts w:ascii="Garamond" w:eastAsiaTheme="majorEastAsia" w:hAnsi="Garamond" w:cs="Arial"/>
          <w:b/>
          <w:bCs/>
        </w:rPr>
        <w:footnoteReference w:id="57"/>
      </w:r>
    </w:p>
    <w:p w14:paraId="69FCD3C9" w14:textId="1DAA965D" w:rsidR="00014D5C" w:rsidRPr="00963288" w:rsidRDefault="00014D5C" w:rsidP="00035F67">
      <w:pPr>
        <w:rPr>
          <w:rFonts w:ascii="Garamond" w:eastAsiaTheme="minorEastAsia" w:hAnsi="Garamond" w:cs="Arial"/>
        </w:rPr>
      </w:pPr>
      <w:r w:rsidRPr="00963288">
        <w:rPr>
          <w:rFonts w:ascii="Garamond" w:eastAsiaTheme="minorEastAsia" w:hAnsi="Garamond" w:cs="Arial"/>
        </w:rPr>
        <w:t xml:space="preserve">The </w:t>
      </w:r>
      <w:r>
        <w:rPr>
          <w:rFonts w:ascii="Garamond" w:eastAsiaTheme="minorEastAsia" w:hAnsi="Garamond" w:cs="Arial"/>
        </w:rPr>
        <w:t>HCP</w:t>
      </w:r>
      <w:r w:rsidRPr="00963288">
        <w:rPr>
          <w:rFonts w:ascii="Garamond" w:eastAsiaTheme="minorEastAsia" w:hAnsi="Garamond" w:cs="Arial"/>
        </w:rPr>
        <w:t>’s duty of care includes giving the patient enough information so that they can make a decision whether to accept or reject treatment.</w:t>
      </w:r>
      <w:r w:rsidRPr="00963288">
        <w:rPr>
          <w:rFonts w:ascii="Garamond" w:eastAsiaTheme="minorEastAsia" w:hAnsi="Garamond" w:cs="Arial"/>
          <w:vertAlign w:val="superscript"/>
        </w:rPr>
        <w:footnoteReference w:id="58"/>
      </w:r>
      <w:r w:rsidRPr="00963288">
        <w:rPr>
          <w:rFonts w:ascii="Garamond" w:eastAsiaTheme="minorEastAsia" w:hAnsi="Garamond" w:cs="Arial"/>
        </w:rPr>
        <w:t xml:space="preserve"> Prior to </w:t>
      </w:r>
      <w:r w:rsidRPr="00963288">
        <w:rPr>
          <w:rFonts w:ascii="Garamond" w:eastAsiaTheme="minorEastAsia" w:hAnsi="Garamond" w:cs="Arial"/>
          <w:i/>
        </w:rPr>
        <w:t>Montgomery</w:t>
      </w:r>
      <w:r w:rsidRPr="00963288">
        <w:rPr>
          <w:rFonts w:ascii="Garamond" w:eastAsiaTheme="minorEastAsia" w:hAnsi="Garamond" w:cs="Arial"/>
        </w:rPr>
        <w:t>,</w:t>
      </w:r>
      <w:r w:rsidRPr="00963288">
        <w:rPr>
          <w:rFonts w:ascii="Garamond" w:eastAsiaTheme="minorEastAsia" w:hAnsi="Garamond" w:cs="Arial"/>
          <w:i/>
        </w:rPr>
        <w:t xml:space="preserve"> </w:t>
      </w:r>
      <w:r w:rsidRPr="00963288">
        <w:rPr>
          <w:rFonts w:ascii="Garamond" w:eastAsiaTheme="minorEastAsia" w:hAnsi="Garamond" w:cs="Arial"/>
        </w:rPr>
        <w:t xml:space="preserve">the case of </w:t>
      </w:r>
      <w:proofErr w:type="spellStart"/>
      <w:r w:rsidRPr="00963288">
        <w:rPr>
          <w:rFonts w:ascii="Garamond" w:eastAsiaTheme="minorEastAsia" w:hAnsi="Garamond" w:cs="Arial"/>
          <w:i/>
        </w:rPr>
        <w:t>Sidaway</w:t>
      </w:r>
      <w:proofErr w:type="spellEnd"/>
      <w:r w:rsidRPr="00963288">
        <w:rPr>
          <w:rFonts w:ascii="Garamond" w:eastAsiaTheme="minorEastAsia" w:hAnsi="Garamond" w:cs="Arial"/>
          <w:i/>
        </w:rPr>
        <w:t xml:space="preserve"> v Bethlem Royal Hospital</w:t>
      </w:r>
      <w:r w:rsidRPr="00963288">
        <w:rPr>
          <w:rFonts w:ascii="Garamond" w:eastAsiaTheme="minorEastAsia" w:hAnsi="Garamond" w:cs="Arial"/>
          <w:vertAlign w:val="superscript"/>
        </w:rPr>
        <w:footnoteReference w:id="59"/>
      </w:r>
      <w:r w:rsidRPr="00963288">
        <w:rPr>
          <w:rFonts w:ascii="Garamond" w:eastAsiaTheme="minorEastAsia" w:hAnsi="Garamond" w:cs="Arial"/>
          <w:i/>
        </w:rPr>
        <w:t xml:space="preserve"> </w:t>
      </w:r>
      <w:r w:rsidRPr="00963288">
        <w:rPr>
          <w:rFonts w:ascii="Garamond" w:eastAsiaTheme="minorEastAsia" w:hAnsi="Garamond" w:cs="Arial"/>
        </w:rPr>
        <w:t xml:space="preserve">governed the standard of care expected of </w:t>
      </w:r>
      <w:r>
        <w:rPr>
          <w:rFonts w:ascii="Garamond" w:eastAsiaTheme="minorEastAsia" w:hAnsi="Garamond" w:cs="Arial"/>
        </w:rPr>
        <w:t>HCPs</w:t>
      </w:r>
      <w:r w:rsidRPr="00963288">
        <w:rPr>
          <w:rFonts w:ascii="Garamond" w:eastAsiaTheme="minorEastAsia" w:hAnsi="Garamond" w:cs="Arial"/>
        </w:rPr>
        <w:t xml:space="preserve"> in information non-disclosure cases. </w:t>
      </w:r>
      <w:r>
        <w:rPr>
          <w:rFonts w:ascii="Garamond" w:eastAsiaTheme="minorEastAsia" w:hAnsi="Garamond" w:cs="Arial"/>
        </w:rPr>
        <w:t>M</w:t>
      </w:r>
      <w:r w:rsidRPr="00963288">
        <w:rPr>
          <w:rFonts w:ascii="Garamond" w:eastAsiaTheme="minorEastAsia" w:hAnsi="Garamond" w:cs="Arial"/>
        </w:rPr>
        <w:t xml:space="preserve">arked differences characterised the speeches of their Lordships but the majority were broadly supportive of utilising the </w:t>
      </w:r>
      <w:r w:rsidRPr="00963288">
        <w:rPr>
          <w:rFonts w:ascii="Garamond" w:eastAsiaTheme="minorEastAsia" w:hAnsi="Garamond" w:cs="Arial"/>
          <w:i/>
        </w:rPr>
        <w:t xml:space="preserve">Bolam </w:t>
      </w:r>
      <w:r w:rsidRPr="00963288">
        <w:rPr>
          <w:rFonts w:ascii="Garamond" w:eastAsiaTheme="minorEastAsia" w:hAnsi="Garamond" w:cs="Arial"/>
        </w:rPr>
        <w:t xml:space="preserve">test </w:t>
      </w:r>
      <w:r>
        <w:rPr>
          <w:rFonts w:ascii="Garamond" w:eastAsiaTheme="minorEastAsia" w:hAnsi="Garamond" w:cs="Arial"/>
        </w:rPr>
        <w:t xml:space="preserve">to </w:t>
      </w:r>
      <w:r w:rsidRPr="00963288">
        <w:rPr>
          <w:rFonts w:ascii="Garamond" w:eastAsiaTheme="minorEastAsia" w:hAnsi="Garamond" w:cs="Arial"/>
        </w:rPr>
        <w:t>determine whether a</w:t>
      </w:r>
      <w:r>
        <w:rPr>
          <w:rFonts w:ascii="Garamond" w:eastAsiaTheme="minorEastAsia" w:hAnsi="Garamond" w:cs="Arial"/>
        </w:rPr>
        <w:t>n</w:t>
      </w:r>
      <w:r w:rsidRPr="00963288">
        <w:rPr>
          <w:rFonts w:ascii="Garamond" w:eastAsiaTheme="minorEastAsia" w:hAnsi="Garamond" w:cs="Arial"/>
        </w:rPr>
        <w:t xml:space="preserve"> </w:t>
      </w:r>
      <w:r>
        <w:rPr>
          <w:rFonts w:ascii="Garamond" w:eastAsiaTheme="minorEastAsia" w:hAnsi="Garamond" w:cs="Arial"/>
        </w:rPr>
        <w:t>HCP</w:t>
      </w:r>
      <w:r w:rsidRPr="00963288">
        <w:rPr>
          <w:rFonts w:ascii="Garamond" w:eastAsiaTheme="minorEastAsia" w:hAnsi="Garamond" w:cs="Arial"/>
        </w:rPr>
        <w:t xml:space="preserve"> had breached their duty to advise patients.</w:t>
      </w:r>
      <w:r w:rsidRPr="00963288">
        <w:rPr>
          <w:rStyle w:val="FootnoteReference"/>
          <w:rFonts w:ascii="Garamond" w:eastAsiaTheme="minorEastAsia" w:hAnsi="Garamond" w:cs="Arial"/>
        </w:rPr>
        <w:footnoteReference w:id="60"/>
      </w:r>
      <w:r w:rsidRPr="00963288">
        <w:rPr>
          <w:rFonts w:ascii="Garamond" w:eastAsiaTheme="minorEastAsia" w:hAnsi="Garamond" w:cs="Arial"/>
        </w:rPr>
        <w:t xml:space="preserve"> </w:t>
      </w:r>
      <w:r>
        <w:rPr>
          <w:rFonts w:ascii="Garamond" w:eastAsiaTheme="minorEastAsia" w:hAnsi="Garamond" w:cs="Arial"/>
        </w:rPr>
        <w:t xml:space="preserve">An HCP </w:t>
      </w:r>
      <w:r w:rsidRPr="00963288">
        <w:rPr>
          <w:rFonts w:ascii="Garamond" w:eastAsiaTheme="minorEastAsia" w:hAnsi="Garamond" w:cs="Arial"/>
        </w:rPr>
        <w:t>would escape liability if he or she could find a responsible body of medical opinion that would have chosen not to inform the patient of a particular risk.</w:t>
      </w:r>
      <w:r w:rsidRPr="00963288">
        <w:rPr>
          <w:rStyle w:val="FootnoteReference"/>
          <w:rFonts w:ascii="Garamond" w:eastAsiaTheme="minorEastAsia" w:hAnsi="Garamond" w:cs="Arial"/>
        </w:rPr>
        <w:footnoteReference w:id="61"/>
      </w:r>
    </w:p>
    <w:p w14:paraId="3ABF7308" w14:textId="26F0910D" w:rsidR="00014D5C" w:rsidRDefault="00014D5C" w:rsidP="0075520C">
      <w:pPr>
        <w:ind w:firstLine="720"/>
        <w:rPr>
          <w:rFonts w:ascii="Garamond" w:eastAsiaTheme="minorEastAsia" w:hAnsi="Garamond" w:cs="Arial"/>
        </w:rPr>
      </w:pPr>
      <w:r w:rsidRPr="00963288">
        <w:rPr>
          <w:rFonts w:ascii="Garamond" w:eastAsiaTheme="minorEastAsia" w:hAnsi="Garamond" w:cs="Arial"/>
        </w:rPr>
        <w:t xml:space="preserve"> In </w:t>
      </w:r>
      <w:r w:rsidRPr="00963288">
        <w:rPr>
          <w:rFonts w:ascii="Garamond" w:eastAsiaTheme="minorEastAsia" w:hAnsi="Garamond" w:cs="Arial"/>
          <w:i/>
        </w:rPr>
        <w:t>Montgomery</w:t>
      </w:r>
      <w:r w:rsidRPr="00963288">
        <w:rPr>
          <w:rFonts w:ascii="Garamond" w:eastAsiaTheme="minorEastAsia" w:hAnsi="Garamond" w:cs="Arial"/>
        </w:rPr>
        <w:t xml:space="preserve"> it was held that the majority decision in </w:t>
      </w:r>
      <w:proofErr w:type="spellStart"/>
      <w:r w:rsidRPr="00963288">
        <w:rPr>
          <w:rFonts w:ascii="Garamond" w:eastAsiaTheme="minorEastAsia" w:hAnsi="Garamond" w:cs="Arial"/>
          <w:i/>
        </w:rPr>
        <w:t>Sidaway</w:t>
      </w:r>
      <w:proofErr w:type="spellEnd"/>
      <w:r w:rsidRPr="00963288">
        <w:rPr>
          <w:rFonts w:ascii="Garamond" w:eastAsiaTheme="minorEastAsia" w:hAnsi="Garamond" w:cs="Arial"/>
        </w:rPr>
        <w:t xml:space="preserve"> was flawed.</w:t>
      </w:r>
      <w:r w:rsidRPr="00963288">
        <w:rPr>
          <w:rFonts w:ascii="Garamond" w:eastAsiaTheme="minorEastAsia" w:hAnsi="Garamond" w:cs="Arial"/>
          <w:vertAlign w:val="superscript"/>
        </w:rPr>
        <w:footnoteReference w:id="62"/>
      </w:r>
      <w:r w:rsidRPr="00963288">
        <w:rPr>
          <w:rFonts w:ascii="Garamond" w:eastAsiaTheme="minorEastAsia" w:hAnsi="Garamond" w:cs="Arial"/>
        </w:rPr>
        <w:t xml:space="preserve"> Echoing Lord Scarman’s dissenting judgment in </w:t>
      </w:r>
      <w:proofErr w:type="spellStart"/>
      <w:r w:rsidRPr="00963288">
        <w:rPr>
          <w:rFonts w:ascii="Garamond" w:eastAsiaTheme="minorEastAsia" w:hAnsi="Garamond" w:cs="Arial"/>
          <w:i/>
        </w:rPr>
        <w:t>Sidaway</w:t>
      </w:r>
      <w:proofErr w:type="spellEnd"/>
      <w:r w:rsidRPr="00963288">
        <w:rPr>
          <w:rFonts w:ascii="Garamond" w:eastAsiaTheme="minorEastAsia" w:hAnsi="Garamond" w:cs="Arial"/>
        </w:rPr>
        <w:t>, Lady Hale asserted that informed consent is firmly part of UK law.</w:t>
      </w:r>
      <w:r w:rsidRPr="00963288">
        <w:rPr>
          <w:rFonts w:ascii="Garamond" w:eastAsiaTheme="minorEastAsia" w:hAnsi="Garamond" w:cs="Arial"/>
          <w:vertAlign w:val="superscript"/>
        </w:rPr>
        <w:footnoteReference w:id="63"/>
      </w:r>
      <w:r w:rsidRPr="00963288">
        <w:rPr>
          <w:rFonts w:ascii="Garamond" w:eastAsiaTheme="minorEastAsia" w:hAnsi="Garamond" w:cs="Arial"/>
        </w:rPr>
        <w:t xml:space="preserve"> Henceforth, </w:t>
      </w:r>
      <w:r>
        <w:rPr>
          <w:rFonts w:ascii="Garamond" w:eastAsiaTheme="minorEastAsia" w:hAnsi="Garamond" w:cs="Arial"/>
        </w:rPr>
        <w:t>HCP</w:t>
      </w:r>
      <w:r w:rsidRPr="00963288">
        <w:rPr>
          <w:rFonts w:ascii="Garamond" w:eastAsiaTheme="minorEastAsia" w:hAnsi="Garamond" w:cs="Arial"/>
        </w:rPr>
        <w:t xml:space="preserve">s must disclose information that a reasonable patient would </w:t>
      </w:r>
      <w:r w:rsidRPr="00963288">
        <w:rPr>
          <w:rFonts w:ascii="Garamond" w:eastAsiaTheme="minorEastAsia" w:hAnsi="Garamond" w:cs="Arial"/>
        </w:rPr>
        <w:lastRenderedPageBreak/>
        <w:t xml:space="preserve">consider significant or, where the </w:t>
      </w:r>
      <w:r>
        <w:rPr>
          <w:rFonts w:ascii="Garamond" w:eastAsiaTheme="minorEastAsia" w:hAnsi="Garamond" w:cs="Arial"/>
        </w:rPr>
        <w:t>HCP</w:t>
      </w:r>
      <w:r w:rsidRPr="00963288">
        <w:rPr>
          <w:rFonts w:ascii="Garamond" w:eastAsiaTheme="minorEastAsia" w:hAnsi="Garamond" w:cs="Arial"/>
        </w:rPr>
        <w:t xml:space="preserve"> is or ought reasonably to be aware, that the actual patient finds significant.</w:t>
      </w:r>
      <w:r w:rsidRPr="00963288">
        <w:rPr>
          <w:rFonts w:ascii="Garamond" w:eastAsiaTheme="minorEastAsia" w:hAnsi="Garamond" w:cs="Arial"/>
          <w:vertAlign w:val="superscript"/>
        </w:rPr>
        <w:footnoteReference w:id="64"/>
      </w:r>
      <w:r w:rsidRPr="00963288">
        <w:rPr>
          <w:rFonts w:ascii="Garamond" w:eastAsiaTheme="minorEastAsia" w:hAnsi="Garamond" w:cs="Arial"/>
        </w:rPr>
        <w:t xml:space="preserve"> Reflecting a shift in ‘societal attitudes towards the practice of medicine’</w:t>
      </w:r>
      <w:r w:rsidRPr="00963288">
        <w:rPr>
          <w:rFonts w:ascii="Garamond" w:eastAsiaTheme="minorEastAsia" w:hAnsi="Garamond" w:cs="Arial"/>
          <w:vertAlign w:val="superscript"/>
        </w:rPr>
        <w:footnoteReference w:id="65"/>
      </w:r>
      <w:r w:rsidRPr="00963288">
        <w:rPr>
          <w:rFonts w:ascii="Garamond" w:eastAsiaTheme="minorEastAsia" w:hAnsi="Garamond" w:cs="Arial"/>
        </w:rPr>
        <w:t xml:space="preserve"> and developments in other common law countries,</w:t>
      </w:r>
      <w:r w:rsidRPr="00963288">
        <w:rPr>
          <w:rFonts w:ascii="Garamond" w:eastAsiaTheme="minorEastAsia" w:hAnsi="Garamond" w:cs="Arial"/>
          <w:vertAlign w:val="superscript"/>
        </w:rPr>
        <w:footnoteReference w:id="66"/>
      </w:r>
      <w:r w:rsidRPr="00963288">
        <w:rPr>
          <w:rFonts w:ascii="Garamond" w:eastAsiaTheme="minorEastAsia" w:hAnsi="Garamond" w:cs="Arial"/>
        </w:rPr>
        <w:t xml:space="preserve"> the decision puts the patient and their rights centre-stage.</w:t>
      </w:r>
      <w:r w:rsidRPr="00963288">
        <w:rPr>
          <w:rFonts w:ascii="Garamond" w:eastAsiaTheme="minorEastAsia" w:hAnsi="Garamond" w:cs="Arial"/>
          <w:vertAlign w:val="superscript"/>
        </w:rPr>
        <w:footnoteReference w:id="67"/>
      </w:r>
      <w:r w:rsidRPr="00963288">
        <w:rPr>
          <w:rFonts w:ascii="Garamond" w:eastAsiaTheme="minorEastAsia" w:hAnsi="Garamond" w:cs="Arial"/>
        </w:rPr>
        <w:t xml:space="preserve"> Lords Kerr and Reed said:</w:t>
      </w:r>
    </w:p>
    <w:p w14:paraId="75F958BD" w14:textId="77777777" w:rsidR="002D7F29" w:rsidRPr="00963288" w:rsidRDefault="002D7F29" w:rsidP="0075520C">
      <w:pPr>
        <w:ind w:firstLine="720"/>
        <w:rPr>
          <w:rFonts w:ascii="Garamond" w:eastAsiaTheme="minorEastAsia" w:hAnsi="Garamond" w:cs="Arial"/>
        </w:rPr>
      </w:pPr>
    </w:p>
    <w:p w14:paraId="2C886B8B" w14:textId="606687B8" w:rsidR="00014D5C" w:rsidRDefault="00014D5C" w:rsidP="004112CD">
      <w:pPr>
        <w:ind w:left="567" w:right="567"/>
        <w:rPr>
          <w:rFonts w:ascii="Garamond" w:eastAsiaTheme="minorEastAsia" w:hAnsi="Garamond" w:cs="Arial"/>
        </w:rPr>
      </w:pPr>
      <w:r w:rsidRPr="00963288">
        <w:rPr>
          <w:rFonts w:ascii="Garamond" w:eastAsiaTheme="minorEastAsia" w:hAnsi="Garamond" w:cs="Arial"/>
        </w:rPr>
        <w:t>An adult person of sound mind is entitled to decide which, if any, of the available forms of treatment to undergo, and her consent must be obtained before treatment interfering with her bodily integrity is undertaken.</w:t>
      </w:r>
      <w:r w:rsidRPr="00963288">
        <w:rPr>
          <w:rFonts w:ascii="Garamond" w:eastAsiaTheme="minorEastAsia" w:hAnsi="Garamond" w:cs="Arial"/>
          <w:vertAlign w:val="superscript"/>
        </w:rPr>
        <w:footnoteReference w:id="68"/>
      </w:r>
    </w:p>
    <w:p w14:paraId="25732AB8" w14:textId="77777777" w:rsidR="00014D5C" w:rsidRDefault="00014D5C" w:rsidP="004112CD">
      <w:pPr>
        <w:ind w:left="-340" w:firstLine="340"/>
        <w:jc w:val="center"/>
        <w:outlineLvl w:val="1"/>
        <w:rPr>
          <w:rFonts w:ascii="Garamond" w:eastAsiaTheme="minorEastAsia" w:hAnsi="Garamond" w:cs="Arial"/>
          <w:i/>
        </w:rPr>
      </w:pPr>
    </w:p>
    <w:p w14:paraId="32821936" w14:textId="60E4C2D0" w:rsidR="00014D5C" w:rsidRPr="00963288" w:rsidRDefault="00014D5C" w:rsidP="004112CD">
      <w:pPr>
        <w:ind w:left="-340" w:firstLine="340"/>
        <w:jc w:val="center"/>
        <w:outlineLvl w:val="1"/>
        <w:rPr>
          <w:rFonts w:ascii="Garamond" w:eastAsiaTheme="majorEastAsia" w:hAnsi="Garamond" w:cs="Arial"/>
          <w:b/>
          <w:bCs/>
          <w:i/>
        </w:rPr>
      </w:pPr>
      <w:r>
        <w:rPr>
          <w:rFonts w:ascii="Garamond" w:eastAsiaTheme="majorEastAsia" w:hAnsi="Garamond" w:cs="Arial"/>
          <w:b/>
          <w:bCs/>
          <w:i/>
        </w:rPr>
        <w:t>B. Negligence Claims by Children with C</w:t>
      </w:r>
      <w:r w:rsidRPr="00963288">
        <w:rPr>
          <w:rFonts w:ascii="Garamond" w:eastAsiaTheme="majorEastAsia" w:hAnsi="Garamond" w:cs="Arial"/>
          <w:b/>
          <w:bCs/>
          <w:i/>
        </w:rPr>
        <w:t>apacity</w:t>
      </w:r>
    </w:p>
    <w:p w14:paraId="440E0BED" w14:textId="74024297" w:rsidR="00014D5C" w:rsidRPr="00963288" w:rsidRDefault="00014D5C" w:rsidP="004112CD">
      <w:pPr>
        <w:rPr>
          <w:rFonts w:ascii="Garamond" w:eastAsiaTheme="minorEastAsia" w:hAnsi="Garamond" w:cs="Arial"/>
          <w:iCs/>
        </w:rPr>
      </w:pPr>
      <w:r w:rsidRPr="00963288">
        <w:rPr>
          <w:rFonts w:ascii="Garamond" w:eastAsiaTheme="minorEastAsia" w:hAnsi="Garamond" w:cs="Arial"/>
          <w:iCs/>
        </w:rPr>
        <w:t xml:space="preserve">For </w:t>
      </w:r>
      <w:r w:rsidRPr="00963288">
        <w:rPr>
          <w:rFonts w:ascii="Garamond" w:eastAsiaTheme="minorEastAsia" w:hAnsi="Garamond" w:cs="Arial"/>
          <w:i/>
          <w:iCs/>
        </w:rPr>
        <w:t>children</w:t>
      </w:r>
      <w:r w:rsidRPr="00963288">
        <w:rPr>
          <w:rFonts w:ascii="Garamond" w:eastAsiaTheme="minorEastAsia" w:hAnsi="Garamond" w:cs="Arial"/>
          <w:iCs/>
        </w:rPr>
        <w:t xml:space="preserve">, the powers of </w:t>
      </w:r>
      <w:r w:rsidR="001A1687">
        <w:rPr>
          <w:rFonts w:ascii="Garamond" w:eastAsiaTheme="minorEastAsia" w:hAnsi="Garamond" w:cs="Arial"/>
        </w:rPr>
        <w:t>persons with parental responsibility</w:t>
      </w:r>
      <w:r w:rsidR="001A1687" w:rsidRPr="00963288">
        <w:rPr>
          <w:rFonts w:ascii="Garamond" w:eastAsiaTheme="minorEastAsia" w:hAnsi="Garamond" w:cs="Arial"/>
        </w:rPr>
        <w:t xml:space="preserve"> </w:t>
      </w:r>
      <w:r w:rsidRPr="00963288">
        <w:rPr>
          <w:rFonts w:ascii="Garamond" w:eastAsiaTheme="minorEastAsia" w:hAnsi="Garamond" w:cs="Arial"/>
          <w:iCs/>
        </w:rPr>
        <w:t xml:space="preserve">to overrule their </w:t>
      </w:r>
      <w:proofErr w:type="spellStart"/>
      <w:r w:rsidRPr="00963288">
        <w:rPr>
          <w:rFonts w:ascii="Garamond" w:eastAsiaTheme="minorEastAsia" w:hAnsi="Garamond" w:cs="Arial"/>
          <w:iCs/>
        </w:rPr>
        <w:t>capacitous</w:t>
      </w:r>
      <w:proofErr w:type="spellEnd"/>
      <w:r w:rsidRPr="00963288">
        <w:rPr>
          <w:rFonts w:ascii="Garamond" w:eastAsiaTheme="minorEastAsia" w:hAnsi="Garamond" w:cs="Arial"/>
          <w:iCs/>
        </w:rPr>
        <w:t xml:space="preserve"> treatment decisions are, in practice, limited. </w:t>
      </w:r>
      <w:r w:rsidRPr="00963288">
        <w:rPr>
          <w:rFonts w:ascii="Garamond" w:eastAsiaTheme="minorEastAsia" w:hAnsi="Garamond" w:cs="Arial"/>
        </w:rPr>
        <w:t xml:space="preserve">However, the </w:t>
      </w:r>
      <w:r w:rsidRPr="00963288">
        <w:rPr>
          <w:rFonts w:ascii="Garamond" w:eastAsiaTheme="minorEastAsia" w:hAnsi="Garamond" w:cs="Arial"/>
          <w:i/>
        </w:rPr>
        <w:t>courts</w:t>
      </w:r>
      <w:r w:rsidRPr="00963288">
        <w:rPr>
          <w:rFonts w:ascii="Garamond" w:eastAsiaTheme="minorEastAsia" w:hAnsi="Garamond" w:cs="Arial"/>
        </w:rPr>
        <w:t xml:space="preserve"> are willing to override a </w:t>
      </w:r>
      <w:proofErr w:type="spellStart"/>
      <w:r w:rsidRPr="00963288">
        <w:rPr>
          <w:rFonts w:ascii="Garamond" w:eastAsiaTheme="minorEastAsia" w:hAnsi="Garamond" w:cs="Arial"/>
        </w:rPr>
        <w:t>capacitous</w:t>
      </w:r>
      <w:proofErr w:type="spellEnd"/>
      <w:r w:rsidRPr="00963288">
        <w:rPr>
          <w:rFonts w:ascii="Garamond" w:eastAsiaTheme="minorEastAsia" w:hAnsi="Garamond" w:cs="Arial"/>
        </w:rPr>
        <w:t xml:space="preserve"> refusal </w:t>
      </w:r>
      <w:r>
        <w:rPr>
          <w:rFonts w:ascii="Garamond" w:eastAsiaTheme="minorEastAsia" w:hAnsi="Garamond" w:cs="Arial"/>
        </w:rPr>
        <w:t xml:space="preserve">in sufficiently serious cases, </w:t>
      </w:r>
      <w:r w:rsidRPr="00963288">
        <w:rPr>
          <w:rFonts w:ascii="Garamond" w:eastAsiaTheme="minorEastAsia" w:hAnsi="Garamond" w:cs="Arial"/>
        </w:rPr>
        <w:t>where the treatment is deemed to be in the child’s best interests.</w:t>
      </w:r>
      <w:r w:rsidRPr="00963288">
        <w:rPr>
          <w:rFonts w:ascii="Garamond" w:eastAsiaTheme="minorEastAsia" w:hAnsi="Garamond" w:cs="Arial"/>
          <w:vertAlign w:val="superscript"/>
        </w:rPr>
        <w:footnoteReference w:id="69"/>
      </w:r>
      <w:r w:rsidRPr="00963288">
        <w:rPr>
          <w:rFonts w:ascii="Garamond" w:eastAsiaTheme="minorEastAsia" w:hAnsi="Garamond" w:cs="Arial"/>
          <w:i/>
        </w:rPr>
        <w:t xml:space="preserve"> </w:t>
      </w:r>
      <w:r>
        <w:rPr>
          <w:rFonts w:ascii="Garamond" w:eastAsiaTheme="minorEastAsia" w:hAnsi="Garamond" w:cs="Arial"/>
          <w:iCs/>
        </w:rPr>
        <w:t xml:space="preserve">Best interests is </w:t>
      </w:r>
      <w:r w:rsidR="0095504C">
        <w:rPr>
          <w:rFonts w:ascii="Garamond" w:eastAsiaTheme="minorEastAsia" w:hAnsi="Garamond" w:cs="Arial"/>
          <w:iCs/>
        </w:rPr>
        <w:t>a primary consideration</w:t>
      </w:r>
      <w:r>
        <w:rPr>
          <w:rFonts w:ascii="Garamond" w:eastAsiaTheme="minorEastAsia" w:hAnsi="Garamond" w:cs="Arial"/>
          <w:iCs/>
        </w:rPr>
        <w:t xml:space="preserve"> as a ‘universal theme of the various national and international instruments’,</w:t>
      </w:r>
      <w:r>
        <w:rPr>
          <w:rStyle w:val="FootnoteReference"/>
          <w:rFonts w:ascii="Garamond" w:eastAsiaTheme="minorEastAsia" w:hAnsi="Garamond" w:cs="Arial"/>
          <w:iCs/>
        </w:rPr>
        <w:footnoteReference w:id="70"/>
      </w:r>
      <w:r>
        <w:rPr>
          <w:rFonts w:ascii="Garamond" w:eastAsiaTheme="minorEastAsia" w:hAnsi="Garamond" w:cs="Arial"/>
          <w:iCs/>
        </w:rPr>
        <w:t xml:space="preserve"> including Article 3 of the United Nations Convention on the Rights of the Child. </w:t>
      </w:r>
      <w:r w:rsidRPr="00963288">
        <w:rPr>
          <w:rFonts w:ascii="Garamond" w:eastAsiaTheme="minorEastAsia" w:hAnsi="Garamond" w:cs="Arial"/>
        </w:rPr>
        <w:t xml:space="preserve">Whilst the principles of informed consent applicable to adults are shifting inexorably from a transferal of responsibility designed to defend </w:t>
      </w:r>
      <w:r>
        <w:rPr>
          <w:rFonts w:ascii="Garamond" w:eastAsiaTheme="minorEastAsia" w:hAnsi="Garamond" w:cs="Arial"/>
        </w:rPr>
        <w:t>HCP</w:t>
      </w:r>
      <w:r w:rsidRPr="00963288">
        <w:rPr>
          <w:rFonts w:ascii="Garamond" w:eastAsiaTheme="minorEastAsia" w:hAnsi="Garamond" w:cs="Arial"/>
        </w:rPr>
        <w:t xml:space="preserve">s from tortious liability to a means of protecting patient autonomy, </w:t>
      </w:r>
      <w:r w:rsidRPr="00963288">
        <w:rPr>
          <w:rFonts w:ascii="Garamond" w:eastAsiaTheme="minorEastAsia" w:hAnsi="Garamond" w:cs="Arial"/>
          <w:i/>
        </w:rPr>
        <w:t>Re W</w:t>
      </w:r>
      <w:r w:rsidRPr="00963288">
        <w:rPr>
          <w:rFonts w:ascii="Garamond" w:eastAsiaTheme="minorEastAsia" w:hAnsi="Garamond" w:cs="Arial"/>
        </w:rPr>
        <w:t xml:space="preserve"> adopted a paternalistic approach whereby a valid and informed consent provides a ‘flak jacket’ to protect the </w:t>
      </w:r>
      <w:r>
        <w:rPr>
          <w:rFonts w:ascii="Garamond" w:eastAsiaTheme="minorEastAsia" w:hAnsi="Garamond" w:cs="Arial"/>
        </w:rPr>
        <w:t>HCP</w:t>
      </w:r>
      <w:r w:rsidRPr="00963288">
        <w:rPr>
          <w:rFonts w:ascii="Garamond" w:eastAsiaTheme="minorEastAsia" w:hAnsi="Garamond" w:cs="Arial"/>
        </w:rPr>
        <w:t xml:space="preserve"> from liability.</w:t>
      </w:r>
      <w:r w:rsidRPr="00963288">
        <w:rPr>
          <w:rStyle w:val="FootnoteReference"/>
          <w:rFonts w:ascii="Garamond" w:eastAsiaTheme="minorEastAsia" w:hAnsi="Garamond" w:cs="Arial"/>
        </w:rPr>
        <w:footnoteReference w:id="71"/>
      </w:r>
      <w:r w:rsidRPr="00963288">
        <w:rPr>
          <w:rFonts w:ascii="Garamond" w:eastAsiaTheme="minorEastAsia" w:hAnsi="Garamond" w:cs="Arial"/>
        </w:rPr>
        <w:t xml:space="preserve"> The decision-making </w:t>
      </w:r>
      <w:r w:rsidRPr="00963288">
        <w:rPr>
          <w:rFonts w:ascii="Garamond" w:eastAsiaTheme="minorEastAsia" w:hAnsi="Garamond" w:cs="Arial"/>
        </w:rPr>
        <w:lastRenderedPageBreak/>
        <w:t>powers conferred on children by virtue of their capacity are restricted.</w:t>
      </w:r>
      <w:r w:rsidRPr="00963288">
        <w:rPr>
          <w:rFonts w:ascii="Garamond" w:eastAsiaTheme="minorEastAsia" w:hAnsi="Garamond" w:cs="Arial"/>
          <w:vertAlign w:val="superscript"/>
        </w:rPr>
        <w:footnoteReference w:id="72"/>
      </w:r>
      <w:r>
        <w:rPr>
          <w:rFonts w:ascii="Garamond" w:eastAsiaTheme="minorEastAsia" w:hAnsi="Garamond" w:cs="Arial"/>
        </w:rPr>
        <w:t xml:space="preserve"> We will argue that</w:t>
      </w:r>
      <w:r w:rsidR="00A140D5">
        <w:rPr>
          <w:rFonts w:ascii="Garamond" w:eastAsiaTheme="minorEastAsia" w:hAnsi="Garamond" w:cs="Arial"/>
        </w:rPr>
        <w:t xml:space="preserve"> the concept of</w:t>
      </w:r>
      <w:r>
        <w:rPr>
          <w:rFonts w:ascii="Garamond" w:eastAsiaTheme="minorEastAsia" w:hAnsi="Garamond" w:cs="Arial"/>
        </w:rPr>
        <w:t xml:space="preserve"> best interests impacts on consenting children’s ability to claim in negligence.</w:t>
      </w:r>
    </w:p>
    <w:p w14:paraId="69EC5EBC" w14:textId="5E3D292E" w:rsidR="00014D5C" w:rsidRPr="00963288" w:rsidRDefault="00014D5C" w:rsidP="004112CD">
      <w:pPr>
        <w:ind w:firstLine="720"/>
        <w:rPr>
          <w:rFonts w:ascii="Garamond" w:eastAsiaTheme="minorEastAsia" w:hAnsi="Garamond" w:cs="Arial"/>
        </w:rPr>
      </w:pPr>
      <w:r w:rsidRPr="00963288">
        <w:rPr>
          <w:rFonts w:ascii="Garamond" w:eastAsiaTheme="minorEastAsia" w:hAnsi="Garamond" w:cs="Arial"/>
          <w:iCs/>
        </w:rPr>
        <w:t>Children can bring claims for negligent diagnosis and treatment.</w:t>
      </w:r>
      <w:r w:rsidRPr="00963288">
        <w:rPr>
          <w:rFonts w:ascii="Garamond" w:eastAsiaTheme="minorEastAsia" w:hAnsi="Garamond" w:cs="Arial"/>
          <w:iCs/>
          <w:vertAlign w:val="superscript"/>
        </w:rPr>
        <w:footnoteReference w:id="73"/>
      </w:r>
      <w:r w:rsidRPr="00963288">
        <w:rPr>
          <w:rFonts w:ascii="Garamond" w:eastAsiaTheme="minorEastAsia" w:hAnsi="Garamond" w:cs="Arial"/>
          <w:iCs/>
        </w:rPr>
        <w:t xml:space="preserve"> It has long been established that </w:t>
      </w:r>
      <w:r>
        <w:rPr>
          <w:rFonts w:ascii="Garamond" w:eastAsiaTheme="minorEastAsia" w:hAnsi="Garamond" w:cs="Arial"/>
          <w:iCs/>
        </w:rPr>
        <w:t>HCP</w:t>
      </w:r>
      <w:r w:rsidRPr="00963288">
        <w:rPr>
          <w:rFonts w:ascii="Garamond" w:eastAsiaTheme="minorEastAsia" w:hAnsi="Garamond" w:cs="Arial"/>
          <w:iCs/>
        </w:rPr>
        <w:t>s owe a duty of care to their patients and that, in addition to diagnosis and treatment, this duty encompasses advising the patient.</w:t>
      </w:r>
      <w:r w:rsidRPr="00963288">
        <w:rPr>
          <w:rFonts w:ascii="Garamond" w:eastAsiaTheme="minorEastAsia" w:hAnsi="Garamond" w:cs="Arial"/>
          <w:iCs/>
          <w:vertAlign w:val="superscript"/>
        </w:rPr>
        <w:footnoteReference w:id="74"/>
      </w:r>
      <w:r w:rsidRPr="00963288">
        <w:rPr>
          <w:rFonts w:ascii="Garamond" w:eastAsiaTheme="minorEastAsia" w:hAnsi="Garamond" w:cs="Arial"/>
          <w:iCs/>
        </w:rPr>
        <w:t xml:space="preserve"> Although sometimes issues may arise about the extent of the </w:t>
      </w:r>
      <w:r>
        <w:rPr>
          <w:rFonts w:ascii="Garamond" w:eastAsiaTheme="minorEastAsia" w:hAnsi="Garamond" w:cs="Arial"/>
          <w:iCs/>
        </w:rPr>
        <w:t>HCP</w:t>
      </w:r>
      <w:r w:rsidRPr="00963288">
        <w:rPr>
          <w:rFonts w:ascii="Garamond" w:eastAsiaTheme="minorEastAsia" w:hAnsi="Garamond" w:cs="Arial"/>
          <w:iCs/>
        </w:rPr>
        <w:t>’s duty to his or her patient,</w:t>
      </w:r>
      <w:r w:rsidRPr="00963288">
        <w:rPr>
          <w:rFonts w:ascii="Garamond" w:eastAsiaTheme="minorEastAsia" w:hAnsi="Garamond" w:cs="Arial"/>
          <w:iCs/>
          <w:vertAlign w:val="superscript"/>
        </w:rPr>
        <w:footnoteReference w:id="75"/>
      </w:r>
      <w:r w:rsidRPr="00963288">
        <w:rPr>
          <w:rFonts w:ascii="Garamond" w:eastAsiaTheme="minorEastAsia" w:hAnsi="Garamond" w:cs="Arial"/>
          <w:iCs/>
        </w:rPr>
        <w:t xml:space="preserve"> there is, ostensibly, no reason why the </w:t>
      </w:r>
      <w:r>
        <w:rPr>
          <w:rFonts w:ascii="Garamond" w:eastAsiaTheme="minorEastAsia" w:hAnsi="Garamond" w:cs="Arial"/>
          <w:iCs/>
        </w:rPr>
        <w:t>HCP</w:t>
      </w:r>
      <w:r w:rsidRPr="00963288">
        <w:rPr>
          <w:rFonts w:ascii="Garamond" w:eastAsiaTheme="minorEastAsia" w:hAnsi="Garamond" w:cs="Arial"/>
          <w:iCs/>
        </w:rPr>
        <w:t xml:space="preserve"> would not owe this duty to </w:t>
      </w:r>
      <w:r>
        <w:rPr>
          <w:rFonts w:ascii="Garamond" w:eastAsiaTheme="minorEastAsia" w:hAnsi="Garamond" w:cs="Arial"/>
          <w:iCs/>
        </w:rPr>
        <w:t>children with capacity</w:t>
      </w:r>
      <w:r w:rsidR="001F285D">
        <w:rPr>
          <w:rFonts w:ascii="Garamond" w:eastAsiaTheme="minorEastAsia" w:hAnsi="Garamond" w:cs="Arial"/>
          <w:iCs/>
        </w:rPr>
        <w:t xml:space="preserve"> whose consent is relied upon</w:t>
      </w:r>
      <w:r w:rsidRPr="00963288">
        <w:rPr>
          <w:rFonts w:ascii="Garamond" w:eastAsiaTheme="minorEastAsia" w:hAnsi="Garamond" w:cs="Arial"/>
          <w:iCs/>
        </w:rPr>
        <w:t>.</w:t>
      </w:r>
    </w:p>
    <w:p w14:paraId="75E51FA0" w14:textId="282AE795" w:rsidR="00014D5C" w:rsidRDefault="00014D5C" w:rsidP="00C824C4">
      <w:pPr>
        <w:ind w:firstLine="720"/>
        <w:rPr>
          <w:rFonts w:ascii="Garamond" w:eastAsiaTheme="minorEastAsia" w:hAnsi="Garamond" w:cs="Arial"/>
        </w:rPr>
      </w:pPr>
      <w:r w:rsidRPr="00963288">
        <w:rPr>
          <w:rFonts w:ascii="Garamond" w:eastAsiaTheme="minorEastAsia" w:hAnsi="Garamond" w:cs="Arial"/>
          <w:iCs/>
        </w:rPr>
        <w:t xml:space="preserve">The test for breach in information non-disclosure cases, set out in </w:t>
      </w:r>
      <w:r w:rsidRPr="00963288">
        <w:rPr>
          <w:rFonts w:ascii="Garamond" w:eastAsiaTheme="minorEastAsia" w:hAnsi="Garamond" w:cs="Arial"/>
          <w:i/>
          <w:iCs/>
        </w:rPr>
        <w:t>Montgomery,</w:t>
      </w:r>
      <w:r w:rsidRPr="00963288">
        <w:rPr>
          <w:rFonts w:ascii="Garamond" w:eastAsiaTheme="minorEastAsia" w:hAnsi="Garamond" w:cs="Arial"/>
          <w:iCs/>
        </w:rPr>
        <w:t xml:space="preserve"> establishes that </w:t>
      </w:r>
      <w:r>
        <w:rPr>
          <w:rFonts w:ascii="Garamond" w:eastAsiaTheme="minorEastAsia" w:hAnsi="Garamond" w:cs="Arial"/>
          <w:iCs/>
        </w:rPr>
        <w:t>an HCP</w:t>
      </w:r>
      <w:r w:rsidRPr="00963288">
        <w:rPr>
          <w:rFonts w:ascii="Garamond" w:eastAsiaTheme="minorEastAsia" w:hAnsi="Garamond" w:cs="Arial"/>
          <w:iCs/>
        </w:rPr>
        <w:t xml:space="preserve"> is</w:t>
      </w:r>
      <w:r w:rsidRPr="00963288">
        <w:rPr>
          <w:rFonts w:ascii="Garamond" w:eastAsiaTheme="minorEastAsia" w:hAnsi="Garamond" w:cs="Arial"/>
        </w:rPr>
        <w:t xml:space="preserve"> under a duty to take reasonable care to ensure that the patient is aware of any material risks involved in any recommended treatment, and of any reasonable alternative or variant treatments.</w:t>
      </w:r>
      <w:r w:rsidRPr="00963288">
        <w:rPr>
          <w:rFonts w:ascii="Garamond" w:eastAsiaTheme="minorEastAsia" w:hAnsi="Garamond" w:cs="Arial"/>
          <w:vertAlign w:val="superscript"/>
        </w:rPr>
        <w:footnoteReference w:id="76"/>
      </w:r>
      <w:r w:rsidRPr="00963288">
        <w:rPr>
          <w:rFonts w:ascii="Garamond" w:eastAsiaTheme="minorEastAsia" w:hAnsi="Garamond" w:cs="Arial"/>
        </w:rPr>
        <w:t xml:space="preserve"> As mentioned earlier, these are assessed from the position of the reasonable patient (or the actual patient where the </w:t>
      </w:r>
      <w:r>
        <w:rPr>
          <w:rFonts w:ascii="Garamond" w:eastAsiaTheme="minorEastAsia" w:hAnsi="Garamond" w:cs="Arial"/>
        </w:rPr>
        <w:t>HCP</w:t>
      </w:r>
      <w:r w:rsidRPr="00963288">
        <w:rPr>
          <w:rFonts w:ascii="Garamond" w:eastAsiaTheme="minorEastAsia" w:hAnsi="Garamond" w:cs="Arial"/>
        </w:rPr>
        <w:t xml:space="preserve"> ought reasonably to be aware that the patient would find the risks or alternatives significant). </w:t>
      </w:r>
    </w:p>
    <w:p w14:paraId="2BFB31C2" w14:textId="24CBABE3" w:rsidR="00014D5C" w:rsidRPr="00963288" w:rsidRDefault="00014D5C" w:rsidP="00C824C4">
      <w:pPr>
        <w:ind w:firstLine="720"/>
        <w:rPr>
          <w:rFonts w:ascii="Garamond" w:eastAsiaTheme="minorEastAsia" w:hAnsi="Garamond" w:cs="Arial"/>
        </w:rPr>
      </w:pPr>
      <w:r>
        <w:rPr>
          <w:rFonts w:ascii="Garamond" w:eastAsiaTheme="minorEastAsia" w:hAnsi="Garamond" w:cs="Arial"/>
        </w:rPr>
        <w:t>For 16-17</w:t>
      </w:r>
      <w:r w:rsidR="006E7E61">
        <w:rPr>
          <w:rFonts w:ascii="Garamond" w:eastAsiaTheme="minorEastAsia" w:hAnsi="Garamond" w:cs="Arial"/>
        </w:rPr>
        <w:t>-</w:t>
      </w:r>
      <w:r>
        <w:rPr>
          <w:rFonts w:ascii="Garamond" w:eastAsiaTheme="minorEastAsia" w:hAnsi="Garamond" w:cs="Arial"/>
        </w:rPr>
        <w:t>year</w:t>
      </w:r>
      <w:r w:rsidR="006E7E61">
        <w:rPr>
          <w:rFonts w:ascii="Garamond" w:eastAsiaTheme="minorEastAsia" w:hAnsi="Garamond" w:cs="Arial"/>
        </w:rPr>
        <w:t>-</w:t>
      </w:r>
      <w:r>
        <w:rPr>
          <w:rFonts w:ascii="Garamond" w:eastAsiaTheme="minorEastAsia" w:hAnsi="Garamond" w:cs="Arial"/>
        </w:rPr>
        <w:t xml:space="preserve">olds, </w:t>
      </w:r>
      <w:r w:rsidRPr="003238D6">
        <w:rPr>
          <w:rFonts w:ascii="Garamond" w:eastAsiaTheme="minorEastAsia" w:hAnsi="Garamond" w:cs="Arial"/>
          <w:i/>
        </w:rPr>
        <w:t>Montgomery</w:t>
      </w:r>
      <w:r>
        <w:rPr>
          <w:rFonts w:ascii="Garamond" w:eastAsiaTheme="minorEastAsia" w:hAnsi="Garamond" w:cs="Arial"/>
        </w:rPr>
        <w:t xml:space="preserve"> is likely to apply because the Family Law Reform Act 1969 treats them like adults. For under 16s, application would rely on the incremental extension from ‘adult patients of sound mind’ to children with </w:t>
      </w:r>
      <w:r w:rsidRPr="003238D6">
        <w:rPr>
          <w:rFonts w:ascii="Garamond" w:eastAsiaTheme="minorEastAsia" w:hAnsi="Garamond" w:cs="Arial"/>
          <w:i/>
        </w:rPr>
        <w:t>Gillick</w:t>
      </w:r>
      <w:r>
        <w:rPr>
          <w:rFonts w:ascii="Garamond" w:eastAsiaTheme="minorEastAsia" w:hAnsi="Garamond" w:cs="Arial"/>
        </w:rPr>
        <w:t xml:space="preserve"> capacity. There are grounds for this given the legal recognition of the child’s capacity and Lady Hale’s statement in </w:t>
      </w:r>
      <w:r w:rsidRPr="003238D6">
        <w:rPr>
          <w:rFonts w:ascii="Garamond" w:eastAsiaTheme="minorEastAsia" w:hAnsi="Garamond" w:cs="Arial"/>
          <w:i/>
        </w:rPr>
        <w:t>Montgomery</w:t>
      </w:r>
      <w:r>
        <w:rPr>
          <w:rFonts w:ascii="Garamond" w:eastAsiaTheme="minorEastAsia" w:hAnsi="Garamond" w:cs="Arial"/>
        </w:rPr>
        <w:t xml:space="preserve"> that: ‘T</w:t>
      </w:r>
      <w:r w:rsidRPr="009071FF">
        <w:rPr>
          <w:rFonts w:ascii="Garamond" w:eastAsiaTheme="minorEastAsia" w:hAnsi="Garamond" w:cs="Arial"/>
        </w:rPr>
        <w:t>he medical profession must respect her choice, unless she lacks the legal capacity to decide</w:t>
      </w:r>
      <w:r>
        <w:rPr>
          <w:rFonts w:ascii="Garamond" w:eastAsiaTheme="minorEastAsia" w:hAnsi="Garamond" w:cs="Arial"/>
        </w:rPr>
        <w:t>.’</w:t>
      </w:r>
      <w:r>
        <w:rPr>
          <w:rStyle w:val="FootnoteReference"/>
          <w:rFonts w:ascii="Garamond" w:eastAsiaTheme="minorEastAsia" w:hAnsi="Garamond" w:cs="Arial"/>
        </w:rPr>
        <w:footnoteReference w:id="77"/>
      </w:r>
      <w:r w:rsidRPr="009071FF">
        <w:rPr>
          <w:rFonts w:ascii="Garamond" w:eastAsiaTheme="minorEastAsia" w:hAnsi="Garamond" w:cs="Arial"/>
        </w:rPr>
        <w:t xml:space="preserve"> </w:t>
      </w:r>
      <w:r>
        <w:rPr>
          <w:rFonts w:ascii="Garamond" w:eastAsiaTheme="minorEastAsia" w:hAnsi="Garamond" w:cs="Arial"/>
        </w:rPr>
        <w:t xml:space="preserve">However, </w:t>
      </w:r>
      <w:r w:rsidR="0012739B">
        <w:rPr>
          <w:rFonts w:ascii="Garamond" w:eastAsiaTheme="minorEastAsia" w:hAnsi="Garamond" w:cs="Arial"/>
        </w:rPr>
        <w:t xml:space="preserve">as </w:t>
      </w:r>
      <w:r>
        <w:rPr>
          <w:rFonts w:ascii="Garamond" w:eastAsiaTheme="minorEastAsia" w:hAnsi="Garamond" w:cs="Arial"/>
        </w:rPr>
        <w:t xml:space="preserve">we have seen, capacity does not equate children with adults, and so this extension is not assured. If </w:t>
      </w:r>
      <w:r w:rsidRPr="002B3E49">
        <w:rPr>
          <w:rFonts w:ascii="Garamond" w:eastAsiaTheme="minorEastAsia" w:hAnsi="Garamond" w:cs="Arial"/>
          <w:i/>
        </w:rPr>
        <w:t>Montgomery</w:t>
      </w:r>
      <w:r>
        <w:rPr>
          <w:rFonts w:ascii="Garamond" w:eastAsiaTheme="minorEastAsia" w:hAnsi="Garamond" w:cs="Arial"/>
        </w:rPr>
        <w:t xml:space="preserve"> were not to apply, HCPs would not be considered negligent if they were acting in accordance with a responsible body of medical opinion ‘</w:t>
      </w:r>
      <w:r w:rsidRPr="00062BD1">
        <w:rPr>
          <w:rFonts w:ascii="Garamond" w:eastAsiaTheme="minorEastAsia" w:hAnsi="Garamond" w:cs="Arial"/>
        </w:rPr>
        <w:t>merely because there is a body of opinion who would take a contrary view</w:t>
      </w:r>
      <w:r>
        <w:rPr>
          <w:rFonts w:ascii="Garamond" w:eastAsiaTheme="minorEastAsia" w:hAnsi="Garamond" w:cs="Arial"/>
        </w:rPr>
        <w:t>’.</w:t>
      </w:r>
      <w:r>
        <w:rPr>
          <w:rStyle w:val="FootnoteReference"/>
          <w:rFonts w:ascii="Garamond" w:eastAsiaTheme="minorEastAsia" w:hAnsi="Garamond" w:cs="Arial"/>
        </w:rPr>
        <w:footnoteReference w:id="78"/>
      </w:r>
      <w:r>
        <w:rPr>
          <w:rFonts w:ascii="Garamond" w:eastAsiaTheme="minorEastAsia" w:hAnsi="Garamond" w:cs="Arial"/>
        </w:rPr>
        <w:t xml:space="preserve"> The focus would not be on what the reasonable or </w:t>
      </w:r>
      <w:r>
        <w:rPr>
          <w:rFonts w:ascii="Garamond" w:eastAsiaTheme="minorEastAsia" w:hAnsi="Garamond" w:cs="Arial"/>
        </w:rPr>
        <w:lastRenderedPageBreak/>
        <w:t>actual patient would want to know, but on what the reasonable doctor would disclose in the circumstances.</w:t>
      </w:r>
    </w:p>
    <w:p w14:paraId="5EB0A2B0" w14:textId="7F1F7096" w:rsidR="00014D5C" w:rsidRPr="00963288" w:rsidRDefault="00014D5C" w:rsidP="004112CD">
      <w:pPr>
        <w:ind w:firstLine="720"/>
        <w:rPr>
          <w:rFonts w:ascii="Garamond" w:eastAsiaTheme="minorEastAsia" w:hAnsi="Garamond" w:cs="Arial"/>
          <w:iCs/>
        </w:rPr>
      </w:pPr>
      <w:r>
        <w:rPr>
          <w:rFonts w:ascii="Garamond" w:eastAsiaTheme="minorEastAsia" w:hAnsi="Garamond" w:cs="Arial"/>
          <w:iCs/>
        </w:rPr>
        <w:t xml:space="preserve">Causation provides a more extensive hurdle. </w:t>
      </w:r>
      <w:r w:rsidRPr="00963288">
        <w:rPr>
          <w:rFonts w:ascii="Garamond" w:eastAsiaTheme="minorEastAsia" w:hAnsi="Garamond" w:cs="Arial"/>
          <w:iCs/>
        </w:rPr>
        <w:t>Usually, i</w:t>
      </w:r>
      <w:r w:rsidRPr="00963288">
        <w:rPr>
          <w:rFonts w:ascii="Garamond" w:eastAsiaTheme="minorEastAsia" w:hAnsi="Garamond" w:cs="Arial"/>
        </w:rPr>
        <w:t xml:space="preserve">n order for </w:t>
      </w:r>
      <w:r>
        <w:rPr>
          <w:rFonts w:ascii="Garamond" w:eastAsiaTheme="minorEastAsia" w:hAnsi="Garamond" w:cs="Arial"/>
        </w:rPr>
        <w:t xml:space="preserve">factual </w:t>
      </w:r>
      <w:r w:rsidRPr="00963288">
        <w:rPr>
          <w:rFonts w:ascii="Garamond" w:eastAsiaTheme="minorEastAsia" w:hAnsi="Garamond" w:cs="Arial"/>
        </w:rPr>
        <w:t xml:space="preserve">causation to be established, the claimant must show on the balance of probabilities that ‘but for’ the failure to warn they would have avoided the damage. First, </w:t>
      </w:r>
      <w:r w:rsidRPr="00963288">
        <w:rPr>
          <w:rFonts w:ascii="Garamond" w:eastAsiaTheme="minorEastAsia" w:hAnsi="Garamond" w:cs="Arial"/>
          <w:iCs/>
        </w:rPr>
        <w:t xml:space="preserve">the failure to warn must have caused </w:t>
      </w:r>
      <w:r w:rsidRPr="00253D22">
        <w:rPr>
          <w:rFonts w:ascii="Garamond" w:eastAsiaTheme="minorEastAsia" w:hAnsi="Garamond" w:cs="Arial"/>
          <w:iCs/>
        </w:rPr>
        <w:t>actionable damage,</w:t>
      </w:r>
      <w:r w:rsidRPr="00963288">
        <w:rPr>
          <w:rFonts w:ascii="Garamond" w:eastAsiaTheme="minorEastAsia" w:hAnsi="Garamond" w:cs="Arial"/>
          <w:iCs/>
        </w:rPr>
        <w:t xml:space="preserve"> which means that the risk inherent in the procedure must have eventuated: no claim will succeed where the procedure improves the claimant’s health</w:t>
      </w:r>
      <w:r w:rsidRPr="00C17C36">
        <w:rPr>
          <w:rFonts w:ascii="Garamond" w:eastAsiaTheme="minorEastAsia" w:hAnsi="Garamond" w:cs="Arial"/>
          <w:iCs/>
        </w:rPr>
        <w:t>.</w:t>
      </w:r>
      <w:r w:rsidRPr="00C17C36">
        <w:rPr>
          <w:rFonts w:ascii="Garamond" w:eastAsiaTheme="minorEastAsia" w:hAnsi="Garamond" w:cs="Arial"/>
        </w:rPr>
        <w:t xml:space="preserve"> Second, the patient must demonstrate that they would not have undergone the treatment if they had been properly warned and thus avoided the bad outcome. Where a patient’s treatment turns out to be unsuccessful, there is an incentive for them to say that they would not have undergone the operation, </w:t>
      </w:r>
      <w:r>
        <w:rPr>
          <w:rFonts w:ascii="Garamond" w:eastAsiaTheme="minorEastAsia" w:hAnsi="Garamond" w:cs="Arial"/>
        </w:rPr>
        <w:t>otherwise</w:t>
      </w:r>
      <w:r w:rsidRPr="00C17C36">
        <w:rPr>
          <w:rFonts w:ascii="Garamond" w:eastAsiaTheme="minorEastAsia" w:hAnsi="Garamond" w:cs="Arial"/>
        </w:rPr>
        <w:t xml:space="preserve"> the claim would fail. The court is wary of hindsight</w:t>
      </w:r>
      <w:r w:rsidRPr="00963288">
        <w:rPr>
          <w:rFonts w:ascii="Garamond" w:eastAsiaTheme="minorEastAsia" w:hAnsi="Garamond" w:cs="Arial"/>
        </w:rPr>
        <w:t xml:space="preserve"> bias</w:t>
      </w:r>
      <w:r w:rsidRPr="00C17C36">
        <w:rPr>
          <w:rFonts w:ascii="Garamond" w:eastAsiaTheme="minorEastAsia" w:hAnsi="Garamond" w:cs="Arial"/>
        </w:rPr>
        <w:t xml:space="preserve"> and will give weight to an objective assessment of whether the reasonable patient would have undergone the procedure if warned (the objective limb). If the reasonable patient would still have gone ahead then it is for the claimant to demonstrate that they would have acted differently to the reasonable patient (the subjective limb).</w:t>
      </w:r>
      <w:r w:rsidRPr="00963288">
        <w:rPr>
          <w:rFonts w:ascii="Garamond" w:eastAsiaTheme="minorEastAsia" w:hAnsi="Garamond" w:cs="Arial"/>
          <w:vertAlign w:val="superscript"/>
        </w:rPr>
        <w:footnoteReference w:id="79"/>
      </w:r>
      <w:r w:rsidRPr="00963288">
        <w:rPr>
          <w:rFonts w:ascii="Garamond" w:eastAsiaTheme="minorEastAsia" w:hAnsi="Garamond" w:cs="Arial"/>
        </w:rPr>
        <w:t xml:space="preserve"> This approach has been confirmed post-</w:t>
      </w:r>
      <w:r w:rsidRPr="00963288">
        <w:rPr>
          <w:rFonts w:ascii="Garamond" w:eastAsiaTheme="minorEastAsia" w:hAnsi="Garamond" w:cs="Arial"/>
          <w:i/>
        </w:rPr>
        <w:t>Montgomery</w:t>
      </w:r>
      <w:r w:rsidRPr="00963288">
        <w:rPr>
          <w:rFonts w:ascii="Garamond" w:eastAsiaTheme="minorEastAsia" w:hAnsi="Garamond" w:cs="Arial"/>
        </w:rPr>
        <w:t>.</w:t>
      </w:r>
      <w:r w:rsidRPr="00963288">
        <w:rPr>
          <w:rFonts w:ascii="Garamond" w:eastAsiaTheme="minorEastAsia" w:hAnsi="Garamond" w:cs="Arial"/>
          <w:vertAlign w:val="superscript"/>
        </w:rPr>
        <w:footnoteReference w:id="80"/>
      </w:r>
      <w:r w:rsidRPr="00963288">
        <w:rPr>
          <w:rFonts w:ascii="Garamond" w:eastAsiaTheme="minorEastAsia" w:hAnsi="Garamond" w:cs="Arial"/>
        </w:rPr>
        <w:t xml:space="preserve"> </w:t>
      </w:r>
      <w:r w:rsidRPr="00963288" w:rsidDel="00E7167A">
        <w:rPr>
          <w:rFonts w:ascii="Garamond" w:eastAsiaTheme="minorEastAsia" w:hAnsi="Garamond" w:cs="Arial"/>
        </w:rPr>
        <w:t xml:space="preserve">Finally, under the exceptional rule in </w:t>
      </w:r>
      <w:r w:rsidRPr="00963288" w:rsidDel="00E7167A">
        <w:rPr>
          <w:rFonts w:ascii="Garamond" w:eastAsiaTheme="minorEastAsia" w:hAnsi="Garamond" w:cs="Arial"/>
          <w:i/>
        </w:rPr>
        <w:t>Chester v Afshar</w:t>
      </w:r>
      <w:r w:rsidRPr="00963288" w:rsidDel="00E7167A">
        <w:rPr>
          <w:rFonts w:ascii="Garamond" w:eastAsiaTheme="minorEastAsia" w:hAnsi="Garamond" w:cs="Arial"/>
        </w:rPr>
        <w:t xml:space="preserve">, causation may also be established if the patient would have </w:t>
      </w:r>
      <w:r w:rsidRPr="00963288" w:rsidDel="00E7167A">
        <w:rPr>
          <w:rFonts w:ascii="Garamond" w:eastAsiaTheme="minorEastAsia" w:hAnsi="Garamond" w:cs="Arial"/>
          <w:i/>
        </w:rPr>
        <w:t xml:space="preserve">delayed </w:t>
      </w:r>
      <w:r w:rsidRPr="00963288" w:rsidDel="00E7167A">
        <w:rPr>
          <w:rFonts w:ascii="Garamond" w:eastAsiaTheme="minorEastAsia" w:hAnsi="Garamond" w:cs="Arial"/>
        </w:rPr>
        <w:t>having the treatment and therefore avoided the risk by running it at a different time or in different circumstances.</w:t>
      </w:r>
      <w:r w:rsidRPr="00963288" w:rsidDel="00E7167A">
        <w:rPr>
          <w:rFonts w:ascii="Garamond" w:eastAsiaTheme="minorEastAsia" w:hAnsi="Garamond" w:cs="Arial"/>
          <w:vertAlign w:val="superscript"/>
        </w:rPr>
        <w:footnoteReference w:id="81"/>
      </w:r>
      <w:r w:rsidRPr="00963288" w:rsidDel="00E7167A">
        <w:rPr>
          <w:rFonts w:ascii="Garamond" w:eastAsiaTheme="minorEastAsia" w:hAnsi="Garamond" w:cs="Arial"/>
          <w:iCs/>
        </w:rPr>
        <w:t xml:space="preserve"> </w:t>
      </w:r>
      <w:r w:rsidRPr="00963288">
        <w:rPr>
          <w:rFonts w:ascii="Garamond" w:eastAsiaTheme="minorEastAsia" w:hAnsi="Garamond" w:cs="Arial"/>
          <w:iCs/>
        </w:rPr>
        <w:t xml:space="preserve">We will consider the </w:t>
      </w:r>
      <w:r w:rsidRPr="00963288">
        <w:rPr>
          <w:rFonts w:ascii="Garamond" w:eastAsiaTheme="minorEastAsia" w:hAnsi="Garamond" w:cs="Arial"/>
          <w:i/>
          <w:iCs/>
        </w:rPr>
        <w:t>Chester</w:t>
      </w:r>
      <w:r w:rsidRPr="00963288">
        <w:rPr>
          <w:rFonts w:ascii="Garamond" w:eastAsiaTheme="minorEastAsia" w:hAnsi="Garamond" w:cs="Arial"/>
          <w:iCs/>
        </w:rPr>
        <w:t xml:space="preserve"> exception below.</w:t>
      </w:r>
    </w:p>
    <w:p w14:paraId="395E1128" w14:textId="749A83E0" w:rsidR="00014D5C" w:rsidRPr="00963288" w:rsidRDefault="00014D5C" w:rsidP="004112CD">
      <w:pPr>
        <w:ind w:firstLine="720"/>
        <w:rPr>
          <w:rFonts w:ascii="Garamond" w:eastAsiaTheme="minorEastAsia" w:hAnsi="Garamond" w:cs="Arial"/>
          <w:iCs/>
        </w:rPr>
      </w:pPr>
      <w:r w:rsidRPr="00963288">
        <w:rPr>
          <w:rFonts w:ascii="Garamond" w:eastAsiaTheme="minorEastAsia" w:hAnsi="Garamond" w:cs="Arial"/>
          <w:i/>
          <w:iCs/>
        </w:rPr>
        <w:t>Prima facie</w:t>
      </w:r>
      <w:r w:rsidRPr="00963288">
        <w:rPr>
          <w:rFonts w:ascii="Garamond" w:eastAsiaTheme="minorEastAsia" w:hAnsi="Garamond" w:cs="Arial"/>
          <w:iCs/>
        </w:rPr>
        <w:t>,</w:t>
      </w:r>
      <w:r w:rsidRPr="00963288">
        <w:rPr>
          <w:rFonts w:ascii="Garamond" w:eastAsiaTheme="minorEastAsia" w:hAnsi="Garamond" w:cs="Arial"/>
          <w:i/>
          <w:iCs/>
        </w:rPr>
        <w:t xml:space="preserve"> </w:t>
      </w:r>
      <w:r w:rsidRPr="00963288">
        <w:rPr>
          <w:rFonts w:ascii="Garamond" w:eastAsiaTheme="minorEastAsia" w:hAnsi="Garamond" w:cs="Arial"/>
          <w:iCs/>
        </w:rPr>
        <w:t>it</w:t>
      </w:r>
      <w:r w:rsidRPr="00963288">
        <w:rPr>
          <w:rFonts w:ascii="Garamond" w:eastAsiaTheme="minorEastAsia" w:hAnsi="Garamond" w:cs="Arial"/>
          <w:i/>
          <w:iCs/>
        </w:rPr>
        <w:t xml:space="preserve"> </w:t>
      </w:r>
      <w:r w:rsidRPr="00963288">
        <w:rPr>
          <w:rFonts w:ascii="Garamond" w:eastAsiaTheme="minorEastAsia" w:hAnsi="Garamond" w:cs="Arial"/>
          <w:iCs/>
        </w:rPr>
        <w:t xml:space="preserve">appears that </w:t>
      </w:r>
      <w:r>
        <w:rPr>
          <w:rFonts w:ascii="Garamond" w:eastAsiaTheme="minorEastAsia" w:hAnsi="Garamond" w:cs="Arial"/>
          <w:iCs/>
        </w:rPr>
        <w:t xml:space="preserve">an HCP </w:t>
      </w:r>
      <w:r w:rsidRPr="00963288">
        <w:rPr>
          <w:rFonts w:ascii="Garamond" w:eastAsiaTheme="minorEastAsia" w:hAnsi="Garamond" w:cs="Arial"/>
          <w:iCs/>
        </w:rPr>
        <w:t xml:space="preserve">should warn a child who has capacity of the risks of treatment. If a </w:t>
      </w:r>
      <w:proofErr w:type="spellStart"/>
      <w:r w:rsidRPr="00963288">
        <w:rPr>
          <w:rFonts w:ascii="Garamond" w:eastAsiaTheme="minorEastAsia" w:hAnsi="Garamond" w:cs="Arial"/>
          <w:iCs/>
        </w:rPr>
        <w:t>capacitous</w:t>
      </w:r>
      <w:proofErr w:type="spellEnd"/>
      <w:r w:rsidRPr="00963288">
        <w:rPr>
          <w:rFonts w:ascii="Garamond" w:eastAsiaTheme="minorEastAsia" w:hAnsi="Garamond" w:cs="Arial"/>
          <w:iCs/>
        </w:rPr>
        <w:t xml:space="preserve"> child has a right to </w:t>
      </w:r>
      <w:r w:rsidRPr="00963288">
        <w:rPr>
          <w:rFonts w:ascii="Garamond" w:eastAsiaTheme="minorEastAsia" w:hAnsi="Garamond" w:cs="Arial"/>
          <w:i/>
          <w:iCs/>
        </w:rPr>
        <w:t>determine</w:t>
      </w:r>
      <w:r w:rsidRPr="00963288">
        <w:rPr>
          <w:rFonts w:ascii="Garamond" w:eastAsiaTheme="minorEastAsia" w:hAnsi="Garamond" w:cs="Arial"/>
          <w:iCs/>
        </w:rPr>
        <w:t xml:space="preserve"> their own medical treatment then</w:t>
      </w:r>
      <w:r>
        <w:rPr>
          <w:rFonts w:ascii="Garamond" w:eastAsiaTheme="minorEastAsia" w:hAnsi="Garamond" w:cs="Arial"/>
          <w:iCs/>
        </w:rPr>
        <w:t xml:space="preserve"> </w:t>
      </w:r>
      <w:r w:rsidRPr="00963288">
        <w:rPr>
          <w:rFonts w:ascii="Garamond" w:eastAsiaTheme="minorEastAsia" w:hAnsi="Garamond" w:cs="Arial"/>
          <w:iCs/>
        </w:rPr>
        <w:t xml:space="preserve">there would be no barriers, beyond those that adults face, to them bringing a negligence claim. A failure by </w:t>
      </w:r>
      <w:r>
        <w:rPr>
          <w:rFonts w:ascii="Garamond" w:eastAsiaTheme="minorEastAsia" w:hAnsi="Garamond" w:cs="Arial"/>
          <w:iCs/>
        </w:rPr>
        <w:t>an HCP</w:t>
      </w:r>
      <w:r w:rsidRPr="00963288">
        <w:rPr>
          <w:rFonts w:ascii="Garamond" w:eastAsiaTheme="minorEastAsia" w:hAnsi="Garamond" w:cs="Arial"/>
          <w:iCs/>
        </w:rPr>
        <w:t xml:space="preserve"> to warn the </w:t>
      </w:r>
      <w:proofErr w:type="spellStart"/>
      <w:r w:rsidRPr="00963288">
        <w:rPr>
          <w:rFonts w:ascii="Garamond" w:eastAsiaTheme="minorEastAsia" w:hAnsi="Garamond" w:cs="Arial"/>
          <w:iCs/>
        </w:rPr>
        <w:t>capacitous</w:t>
      </w:r>
      <w:proofErr w:type="spellEnd"/>
      <w:r w:rsidRPr="00963288">
        <w:rPr>
          <w:rFonts w:ascii="Garamond" w:eastAsiaTheme="minorEastAsia" w:hAnsi="Garamond" w:cs="Arial"/>
          <w:iCs/>
        </w:rPr>
        <w:t xml:space="preserve"> child of material risks in the treatment, or reasonable alternatives </w:t>
      </w:r>
      <w:r w:rsidRPr="00963288">
        <w:rPr>
          <w:rFonts w:ascii="Garamond" w:eastAsiaTheme="minorEastAsia" w:hAnsi="Garamond" w:cs="Arial"/>
          <w:iCs/>
        </w:rPr>
        <w:lastRenderedPageBreak/>
        <w:t>to it, would constitute a breach of duty and, if those risks eventuate</w:t>
      </w:r>
      <w:r>
        <w:rPr>
          <w:rFonts w:ascii="Garamond" w:eastAsiaTheme="minorEastAsia" w:hAnsi="Garamond" w:cs="Arial"/>
          <w:iCs/>
        </w:rPr>
        <w:t>d</w:t>
      </w:r>
      <w:r w:rsidRPr="00963288">
        <w:rPr>
          <w:rFonts w:ascii="Garamond" w:eastAsiaTheme="minorEastAsia" w:hAnsi="Garamond" w:cs="Arial"/>
          <w:iCs/>
        </w:rPr>
        <w:t xml:space="preserve"> and the child would have refused the treatment if warned, causation </w:t>
      </w:r>
      <w:r>
        <w:rPr>
          <w:rFonts w:ascii="Garamond" w:eastAsiaTheme="minorEastAsia" w:hAnsi="Garamond" w:cs="Arial"/>
          <w:iCs/>
        </w:rPr>
        <w:t>c</w:t>
      </w:r>
      <w:r w:rsidRPr="00963288">
        <w:rPr>
          <w:rFonts w:ascii="Garamond" w:eastAsiaTheme="minorEastAsia" w:hAnsi="Garamond" w:cs="Arial"/>
          <w:iCs/>
        </w:rPr>
        <w:t xml:space="preserve">ould be established. The </w:t>
      </w:r>
      <w:r>
        <w:rPr>
          <w:rFonts w:ascii="Garamond" w:eastAsiaTheme="minorEastAsia" w:hAnsi="Garamond" w:cs="Arial"/>
          <w:iCs/>
        </w:rPr>
        <w:t>child</w:t>
      </w:r>
      <w:r w:rsidRPr="00963288">
        <w:rPr>
          <w:rFonts w:ascii="Garamond" w:eastAsiaTheme="minorEastAsia" w:hAnsi="Garamond" w:cs="Arial"/>
          <w:iCs/>
        </w:rPr>
        <w:t xml:space="preserve"> would have been able to avoid the damage by not undergoing the risky treatment. </w:t>
      </w:r>
    </w:p>
    <w:p w14:paraId="68C4EF7D" w14:textId="59D39091" w:rsidR="00014D5C" w:rsidRPr="00963288" w:rsidRDefault="00014D5C" w:rsidP="004112CD">
      <w:pPr>
        <w:ind w:firstLine="720"/>
        <w:rPr>
          <w:rFonts w:ascii="Garamond" w:eastAsiaTheme="minorEastAsia" w:hAnsi="Garamond" w:cs="Arial"/>
          <w:iCs/>
        </w:rPr>
      </w:pPr>
      <w:r w:rsidRPr="00963288">
        <w:rPr>
          <w:rFonts w:ascii="Garamond" w:eastAsiaTheme="minorEastAsia" w:hAnsi="Garamond" w:cs="Arial"/>
          <w:iCs/>
        </w:rPr>
        <w:t xml:space="preserve">A problem with this analysis is that even if </w:t>
      </w:r>
      <w:r>
        <w:rPr>
          <w:rFonts w:ascii="Garamond" w:eastAsiaTheme="minorEastAsia" w:hAnsi="Garamond" w:cs="Arial"/>
          <w:iCs/>
        </w:rPr>
        <w:t>an HCP</w:t>
      </w:r>
      <w:r w:rsidRPr="00963288">
        <w:rPr>
          <w:rFonts w:ascii="Garamond" w:eastAsiaTheme="minorEastAsia" w:hAnsi="Garamond" w:cs="Arial"/>
          <w:iCs/>
        </w:rPr>
        <w:t xml:space="preserve"> breaches their duty to disclose information, provided the treatment is required in the child’s best interests</w:t>
      </w:r>
      <w:r w:rsidR="00CF702C">
        <w:rPr>
          <w:rFonts w:ascii="Garamond" w:eastAsiaTheme="minorEastAsia" w:hAnsi="Garamond" w:cs="Arial"/>
          <w:iCs/>
        </w:rPr>
        <w:t>,</w:t>
      </w:r>
      <w:r w:rsidRPr="00963288">
        <w:rPr>
          <w:rFonts w:ascii="Garamond" w:eastAsiaTheme="minorEastAsia" w:hAnsi="Garamond" w:cs="Arial"/>
          <w:iCs/>
        </w:rPr>
        <w:t xml:space="preserve"> the child will have difficulty convincing the court that they would have avoided the risks involved in the procedure. This is because, given alternative consent would have been provided even if the child had refused the treatment, it is more likely than not that they would have undergone the procedure even if they were properly warned. </w:t>
      </w:r>
    </w:p>
    <w:p w14:paraId="662484F2" w14:textId="66C21DA3" w:rsidR="00014D5C" w:rsidRPr="00963288" w:rsidRDefault="00014D5C" w:rsidP="004112CD">
      <w:pPr>
        <w:ind w:firstLine="720"/>
        <w:rPr>
          <w:rFonts w:ascii="Garamond" w:eastAsiaTheme="minorEastAsia" w:hAnsi="Garamond" w:cs="Arial"/>
          <w:iCs/>
        </w:rPr>
      </w:pPr>
      <w:r w:rsidRPr="00963288">
        <w:rPr>
          <w:rFonts w:ascii="Garamond" w:eastAsiaTheme="minorEastAsia" w:hAnsi="Garamond" w:cs="Arial"/>
          <w:iCs/>
        </w:rPr>
        <w:t xml:space="preserve">Let us imagine that </w:t>
      </w:r>
      <w:r>
        <w:rPr>
          <w:rFonts w:ascii="Garamond" w:eastAsiaTheme="minorEastAsia" w:hAnsi="Garamond" w:cs="Arial"/>
          <w:iCs/>
        </w:rPr>
        <w:t>an HCP</w:t>
      </w:r>
      <w:r w:rsidRPr="00963288">
        <w:rPr>
          <w:rFonts w:ascii="Garamond" w:eastAsiaTheme="minorEastAsia" w:hAnsi="Garamond" w:cs="Arial"/>
          <w:iCs/>
        </w:rPr>
        <w:t xml:space="preserve"> fails to warn a child of a ten per cent risk of paralysis inherent in a procedure and that risk eventuates. The child may be able to demonstrate that if they were warned of the risk then they would not have consented to the operation. But that alone does not mean that they would have avoided the risk. If the case for treatment is compelling on the basis that it is required in the child’s best interests, it is more likely than not that the </w:t>
      </w:r>
      <w:r>
        <w:rPr>
          <w:rFonts w:ascii="Garamond" w:eastAsiaTheme="minorEastAsia" w:hAnsi="Garamond" w:cs="Arial"/>
          <w:iCs/>
        </w:rPr>
        <w:t>HCP</w:t>
      </w:r>
      <w:r w:rsidRPr="00963288">
        <w:rPr>
          <w:rFonts w:ascii="Garamond" w:eastAsiaTheme="minorEastAsia" w:hAnsi="Garamond" w:cs="Arial"/>
          <w:iCs/>
        </w:rPr>
        <w:t xml:space="preserve"> would have been able to obtain alternative consent from a proxy. If so, then it appears that the risk of injury would not have been avoided and the failure to warn would have made no difference to the eventual outcome.</w:t>
      </w:r>
      <w:r w:rsidRPr="00963288">
        <w:rPr>
          <w:rStyle w:val="FootnoteReference"/>
          <w:rFonts w:ascii="Garamond" w:eastAsiaTheme="minorEastAsia" w:hAnsi="Garamond" w:cs="Arial"/>
          <w:iCs/>
        </w:rPr>
        <w:footnoteReference w:id="82"/>
      </w:r>
      <w:r w:rsidRPr="00963288">
        <w:rPr>
          <w:rFonts w:ascii="Garamond" w:eastAsiaTheme="minorEastAsia" w:hAnsi="Garamond" w:cs="Arial"/>
          <w:iCs/>
        </w:rPr>
        <w:t xml:space="preserve"> A negligence claim would fail. </w:t>
      </w:r>
    </w:p>
    <w:p w14:paraId="26D88069" w14:textId="0EE340D5" w:rsidR="00014D5C" w:rsidRPr="00963288" w:rsidRDefault="00014D5C" w:rsidP="004112CD">
      <w:pPr>
        <w:ind w:firstLine="720"/>
        <w:rPr>
          <w:rFonts w:ascii="Garamond" w:eastAsiaTheme="minorEastAsia" w:hAnsi="Garamond" w:cs="Arial"/>
          <w:iCs/>
        </w:rPr>
      </w:pPr>
      <w:r w:rsidRPr="0097297B">
        <w:rPr>
          <w:rFonts w:ascii="Garamond" w:eastAsiaTheme="minorEastAsia" w:hAnsi="Garamond" w:cs="Arial"/>
          <w:i/>
          <w:iCs/>
        </w:rPr>
        <w:t>Chester v Afshar</w:t>
      </w:r>
      <w:r w:rsidRPr="0097297B">
        <w:rPr>
          <w:rFonts w:ascii="Garamond" w:eastAsiaTheme="minorEastAsia" w:hAnsi="Garamond" w:cs="Arial"/>
          <w:iCs/>
        </w:rPr>
        <w:t xml:space="preserve"> may assist children who have not been </w:t>
      </w:r>
      <w:r w:rsidR="001F285D">
        <w:rPr>
          <w:rFonts w:ascii="Garamond" w:eastAsiaTheme="minorEastAsia" w:hAnsi="Garamond" w:cs="Arial"/>
          <w:iCs/>
        </w:rPr>
        <w:t>informed of</w:t>
      </w:r>
      <w:r w:rsidRPr="0097297B">
        <w:rPr>
          <w:rFonts w:ascii="Garamond" w:eastAsiaTheme="minorEastAsia" w:hAnsi="Garamond" w:cs="Arial"/>
          <w:iCs/>
        </w:rPr>
        <w:t xml:space="preserve"> the material risks of treatment: they m</w:t>
      </w:r>
      <w:r>
        <w:rPr>
          <w:rFonts w:ascii="Garamond" w:eastAsiaTheme="minorEastAsia" w:hAnsi="Garamond" w:cs="Arial"/>
          <w:iCs/>
        </w:rPr>
        <w:t>ight</w:t>
      </w:r>
      <w:r w:rsidRPr="0097297B">
        <w:rPr>
          <w:rFonts w:ascii="Garamond" w:eastAsiaTheme="minorEastAsia" w:hAnsi="Garamond" w:cs="Arial"/>
          <w:iCs/>
        </w:rPr>
        <w:t xml:space="preserve"> be able to establish causation if they c</w:t>
      </w:r>
      <w:r>
        <w:rPr>
          <w:rFonts w:ascii="Garamond" w:eastAsiaTheme="minorEastAsia" w:hAnsi="Garamond" w:cs="Arial"/>
          <w:iCs/>
        </w:rPr>
        <w:t>an</w:t>
      </w:r>
      <w:r w:rsidRPr="0097297B">
        <w:rPr>
          <w:rFonts w:ascii="Garamond" w:eastAsiaTheme="minorEastAsia" w:hAnsi="Garamond" w:cs="Arial"/>
          <w:iCs/>
        </w:rPr>
        <w:t xml:space="preserve"> convince the court that they would have </w:t>
      </w:r>
      <w:r w:rsidRPr="0097297B">
        <w:rPr>
          <w:rFonts w:ascii="Garamond" w:eastAsiaTheme="minorEastAsia" w:hAnsi="Garamond" w:cs="Arial"/>
          <w:i/>
          <w:iCs/>
        </w:rPr>
        <w:t>delayed</w:t>
      </w:r>
      <w:r w:rsidRPr="0097297B">
        <w:rPr>
          <w:rFonts w:ascii="Garamond" w:eastAsiaTheme="minorEastAsia" w:hAnsi="Garamond" w:cs="Arial"/>
          <w:iCs/>
        </w:rPr>
        <w:t xml:space="preserve"> the procedure if they had been warned. </w:t>
      </w:r>
      <w:r w:rsidRPr="00963288">
        <w:rPr>
          <w:rFonts w:ascii="Garamond" w:eastAsiaTheme="minorEastAsia" w:hAnsi="Garamond" w:cs="Arial"/>
          <w:iCs/>
        </w:rPr>
        <w:t xml:space="preserve">As the case is complicated, it is worth recounting the facts. In breach of duty, the defendant failed to warn the claimant of a </w:t>
      </w:r>
      <w:r>
        <w:rPr>
          <w:rFonts w:ascii="Garamond" w:eastAsiaTheme="minorEastAsia" w:hAnsi="Garamond" w:cs="Arial"/>
          <w:iCs/>
        </w:rPr>
        <w:t>1-2 per cent</w:t>
      </w:r>
      <w:r w:rsidRPr="00963288">
        <w:rPr>
          <w:rFonts w:ascii="Garamond" w:eastAsiaTheme="minorEastAsia" w:hAnsi="Garamond" w:cs="Arial"/>
          <w:iCs/>
        </w:rPr>
        <w:t xml:space="preserve"> risk of cauda </w:t>
      </w:r>
      <w:r w:rsidR="0095504C" w:rsidRPr="00963288">
        <w:rPr>
          <w:rFonts w:ascii="Garamond" w:eastAsiaTheme="minorEastAsia" w:hAnsi="Garamond" w:cs="Arial"/>
          <w:iCs/>
        </w:rPr>
        <w:t>equin</w:t>
      </w:r>
      <w:r w:rsidR="0095504C">
        <w:rPr>
          <w:rFonts w:ascii="Garamond" w:eastAsiaTheme="minorEastAsia" w:hAnsi="Garamond" w:cs="Arial"/>
          <w:iCs/>
        </w:rPr>
        <w:t>a</w:t>
      </w:r>
      <w:r w:rsidR="0095504C" w:rsidRPr="00963288">
        <w:rPr>
          <w:rFonts w:ascii="Garamond" w:eastAsiaTheme="minorEastAsia" w:hAnsi="Garamond" w:cs="Arial"/>
          <w:iCs/>
        </w:rPr>
        <w:t xml:space="preserve"> </w:t>
      </w:r>
      <w:r w:rsidRPr="00963288">
        <w:rPr>
          <w:rFonts w:ascii="Garamond" w:eastAsiaTheme="minorEastAsia" w:hAnsi="Garamond" w:cs="Arial"/>
          <w:iCs/>
        </w:rPr>
        <w:t xml:space="preserve">syndrome inherent in back surgery. This risk would exist no matter how expertly the surgery was performed. The claimant underwent the surgery on 21 November 1994. Although it was carefully performed, the risk eventuated and she became paralysed. In her claim </w:t>
      </w:r>
      <w:r w:rsidRPr="00963288">
        <w:rPr>
          <w:rFonts w:ascii="Garamond" w:eastAsiaTheme="minorEastAsia" w:hAnsi="Garamond" w:cs="Arial"/>
          <w:iCs/>
        </w:rPr>
        <w:lastRenderedPageBreak/>
        <w:t xml:space="preserve">against the defendant, she did not argue that if warned of this risk she would never have undergone the surgery. </w:t>
      </w:r>
      <w:r w:rsidR="00CF702C">
        <w:rPr>
          <w:rFonts w:ascii="Garamond" w:eastAsiaTheme="minorEastAsia" w:hAnsi="Garamond" w:cs="Arial"/>
          <w:iCs/>
        </w:rPr>
        <w:t>Had she done so</w:t>
      </w:r>
      <w:r w:rsidRPr="00963288">
        <w:rPr>
          <w:rFonts w:ascii="Garamond" w:eastAsiaTheme="minorEastAsia" w:hAnsi="Garamond" w:cs="Arial"/>
          <w:iCs/>
        </w:rPr>
        <w:t xml:space="preserve">, causation would have been straightforward as she would have avoided the risk altogether. Instead, she argued that she would have sought further advice, with the result that the surgery probably would have taken place at a later date.  </w:t>
      </w:r>
    </w:p>
    <w:p w14:paraId="2F06A13C" w14:textId="6EB5A2D1" w:rsidR="00014D5C" w:rsidRDefault="00014D5C" w:rsidP="00DC1449">
      <w:pPr>
        <w:ind w:firstLine="720"/>
        <w:rPr>
          <w:rFonts w:ascii="Garamond" w:eastAsiaTheme="minorEastAsia" w:hAnsi="Garamond" w:cs="Arial"/>
          <w:iCs/>
        </w:rPr>
      </w:pPr>
      <w:r w:rsidRPr="00963288">
        <w:rPr>
          <w:rFonts w:ascii="Garamond" w:eastAsiaTheme="minorEastAsia" w:hAnsi="Garamond" w:cs="Arial"/>
          <w:iCs/>
        </w:rPr>
        <w:t>By a narrow majority, she was successful in the House of Lords (Lords Bingham and Hoffmann dissenting). In the majority, Lord Steyn said that her ‘right of autonomy and dignity can and ought to be vindicated by a narrow and modest departure from traditional causation principles.’</w:t>
      </w:r>
      <w:r w:rsidRPr="00963288">
        <w:rPr>
          <w:rStyle w:val="FootnoteReference"/>
          <w:rFonts w:ascii="Garamond" w:eastAsiaTheme="minorEastAsia" w:hAnsi="Garamond" w:cs="Arial"/>
          <w:iCs/>
        </w:rPr>
        <w:footnoteReference w:id="83"/>
      </w:r>
      <w:r w:rsidRPr="00963288">
        <w:rPr>
          <w:rFonts w:ascii="Garamond" w:eastAsiaTheme="minorEastAsia" w:hAnsi="Garamond" w:cs="Arial"/>
          <w:iCs/>
        </w:rPr>
        <w:t xml:space="preserve"> </w:t>
      </w:r>
      <w:r>
        <w:rPr>
          <w:rFonts w:ascii="Garamond" w:eastAsiaTheme="minorEastAsia" w:hAnsi="Garamond" w:cs="Arial"/>
          <w:iCs/>
        </w:rPr>
        <w:t xml:space="preserve">Although the case </w:t>
      </w:r>
      <w:r w:rsidRPr="00963288">
        <w:rPr>
          <w:rFonts w:ascii="Garamond" w:eastAsiaTheme="minorEastAsia" w:hAnsi="Garamond" w:cs="Arial"/>
          <w:iCs/>
        </w:rPr>
        <w:t>has spurred a vast academic</w:t>
      </w:r>
      <w:r>
        <w:rPr>
          <w:rFonts w:ascii="Garamond" w:eastAsiaTheme="minorEastAsia" w:hAnsi="Garamond" w:cs="Arial"/>
          <w:iCs/>
        </w:rPr>
        <w:t xml:space="preserve"> literature about whether it can be reconciled from ordinary causation principles and, if it cannot, whether such a departure from orthodoxy is justified,</w:t>
      </w:r>
      <w:r w:rsidRPr="00963288">
        <w:rPr>
          <w:rStyle w:val="FootnoteReference"/>
          <w:rFonts w:ascii="Garamond" w:eastAsiaTheme="minorEastAsia" w:hAnsi="Garamond" w:cs="Arial"/>
          <w:iCs/>
        </w:rPr>
        <w:footnoteReference w:id="84"/>
      </w:r>
      <w:r w:rsidRPr="00963288">
        <w:rPr>
          <w:rFonts w:ascii="Garamond" w:eastAsiaTheme="minorEastAsia" w:hAnsi="Garamond" w:cs="Arial"/>
          <w:iCs/>
        </w:rPr>
        <w:t xml:space="preserve"> </w:t>
      </w:r>
      <w:r>
        <w:rPr>
          <w:rFonts w:ascii="Garamond" w:eastAsiaTheme="minorEastAsia" w:hAnsi="Garamond" w:cs="Arial"/>
          <w:iCs/>
        </w:rPr>
        <w:t xml:space="preserve">we do not need to take a stance on these debates. </w:t>
      </w:r>
    </w:p>
    <w:p w14:paraId="3C6C6B20" w14:textId="404414AC" w:rsidR="00014D5C" w:rsidRPr="00963288" w:rsidRDefault="001F285D" w:rsidP="00DC1449">
      <w:pPr>
        <w:ind w:firstLine="720"/>
        <w:rPr>
          <w:rFonts w:ascii="Garamond" w:eastAsiaTheme="minorEastAsia" w:hAnsi="Garamond" w:cs="Arial"/>
          <w:iCs/>
        </w:rPr>
      </w:pPr>
      <w:r w:rsidRPr="001F285D">
        <w:rPr>
          <w:rFonts w:ascii="Garamond" w:eastAsiaTheme="minorEastAsia" w:hAnsi="Garamond" w:cs="Arial"/>
          <w:iCs/>
        </w:rPr>
        <w:t>Notwithstanding</w:t>
      </w:r>
      <w:r w:rsidR="00014D5C" w:rsidRPr="001F285D">
        <w:rPr>
          <w:rFonts w:ascii="Garamond" w:eastAsiaTheme="minorEastAsia" w:hAnsi="Garamond" w:cs="Arial"/>
          <w:iCs/>
        </w:rPr>
        <w:t xml:space="preserve"> some views to the contrary,</w:t>
      </w:r>
      <w:r w:rsidR="00014D5C">
        <w:rPr>
          <w:rStyle w:val="FootnoteReference"/>
          <w:rFonts w:ascii="Garamond" w:eastAsiaTheme="minorEastAsia" w:hAnsi="Garamond" w:cs="Arial"/>
          <w:iCs/>
        </w:rPr>
        <w:footnoteReference w:id="85"/>
      </w:r>
      <w:r w:rsidR="00014D5C">
        <w:rPr>
          <w:rFonts w:ascii="Garamond" w:eastAsiaTheme="minorEastAsia" w:hAnsi="Garamond" w:cs="Arial"/>
          <w:iCs/>
        </w:rPr>
        <w:t xml:space="preserve"> t</w:t>
      </w:r>
      <w:r w:rsidR="00014D5C" w:rsidRPr="00963288">
        <w:rPr>
          <w:rFonts w:ascii="Garamond" w:eastAsiaTheme="minorEastAsia" w:hAnsi="Garamond" w:cs="Arial"/>
          <w:iCs/>
        </w:rPr>
        <w:t xml:space="preserve">he idea that </w:t>
      </w:r>
      <w:r w:rsidR="00014D5C">
        <w:rPr>
          <w:rFonts w:ascii="Garamond" w:eastAsiaTheme="minorEastAsia" w:hAnsi="Garamond" w:cs="Arial"/>
          <w:i/>
          <w:iCs/>
        </w:rPr>
        <w:t xml:space="preserve">Chester </w:t>
      </w:r>
      <w:r w:rsidR="00014D5C">
        <w:rPr>
          <w:rFonts w:ascii="Garamond" w:eastAsiaTheme="minorEastAsia" w:hAnsi="Garamond" w:cs="Arial"/>
          <w:iCs/>
        </w:rPr>
        <w:t xml:space="preserve">means </w:t>
      </w:r>
      <w:r w:rsidR="00014D5C" w:rsidRPr="00963288">
        <w:rPr>
          <w:rFonts w:ascii="Garamond" w:eastAsiaTheme="minorEastAsia" w:hAnsi="Garamond" w:cs="Arial"/>
          <w:iCs/>
        </w:rPr>
        <w:t>damages can be awarded for lost autonomy has been resoundingly rejected by the Court of Appeal in England and Wales and by the highest court in Singapore.</w:t>
      </w:r>
      <w:r w:rsidR="00014D5C" w:rsidRPr="00963288">
        <w:rPr>
          <w:rStyle w:val="FootnoteReference"/>
          <w:rFonts w:ascii="Garamond" w:eastAsiaTheme="minorEastAsia" w:hAnsi="Garamond" w:cs="Arial"/>
          <w:iCs/>
        </w:rPr>
        <w:footnoteReference w:id="86"/>
      </w:r>
      <w:r w:rsidR="00014D5C">
        <w:rPr>
          <w:rFonts w:ascii="Garamond" w:eastAsiaTheme="minorEastAsia" w:hAnsi="Garamond" w:cs="Arial"/>
          <w:iCs/>
        </w:rPr>
        <w:t xml:space="preserve"> A child patient </w:t>
      </w:r>
      <w:r w:rsidR="00014D5C" w:rsidRPr="00963288">
        <w:rPr>
          <w:rFonts w:ascii="Garamond" w:eastAsiaTheme="minorEastAsia" w:hAnsi="Garamond" w:cs="Arial"/>
          <w:iCs/>
        </w:rPr>
        <w:t>must</w:t>
      </w:r>
      <w:r w:rsidR="00014D5C">
        <w:rPr>
          <w:rFonts w:ascii="Garamond" w:eastAsiaTheme="minorEastAsia" w:hAnsi="Garamond" w:cs="Arial"/>
          <w:iCs/>
        </w:rPr>
        <w:t xml:space="preserve"> therefore</w:t>
      </w:r>
      <w:r w:rsidR="00014D5C" w:rsidRPr="00963288">
        <w:rPr>
          <w:rFonts w:ascii="Garamond" w:eastAsiaTheme="minorEastAsia" w:hAnsi="Garamond" w:cs="Arial"/>
          <w:iCs/>
        </w:rPr>
        <w:t xml:space="preserve"> have suffered personal injury as a result of the </w:t>
      </w:r>
      <w:r w:rsidR="00014D5C">
        <w:rPr>
          <w:rFonts w:ascii="Garamond" w:eastAsiaTheme="minorEastAsia" w:hAnsi="Garamond" w:cs="Arial"/>
          <w:iCs/>
        </w:rPr>
        <w:t>HCP</w:t>
      </w:r>
      <w:r w:rsidR="00014D5C" w:rsidRPr="00963288">
        <w:rPr>
          <w:rFonts w:ascii="Garamond" w:eastAsiaTheme="minorEastAsia" w:hAnsi="Garamond" w:cs="Arial"/>
          <w:iCs/>
        </w:rPr>
        <w:t>’s negligent non-disclosure</w:t>
      </w:r>
      <w:r>
        <w:rPr>
          <w:rFonts w:ascii="Garamond" w:eastAsiaTheme="minorEastAsia" w:hAnsi="Garamond" w:cs="Arial"/>
          <w:iCs/>
        </w:rPr>
        <w:t xml:space="preserve"> in order to claim</w:t>
      </w:r>
      <w:r w:rsidR="00014D5C" w:rsidRPr="00963288">
        <w:rPr>
          <w:rFonts w:ascii="Garamond" w:eastAsiaTheme="minorEastAsia" w:hAnsi="Garamond" w:cs="Arial"/>
          <w:iCs/>
        </w:rPr>
        <w:t xml:space="preserve">. </w:t>
      </w:r>
      <w:r w:rsidR="00014D5C">
        <w:rPr>
          <w:rFonts w:ascii="Garamond" w:eastAsiaTheme="minorEastAsia" w:hAnsi="Garamond" w:cs="Arial"/>
          <w:iCs/>
        </w:rPr>
        <w:t>Furthermore, w</w:t>
      </w:r>
      <w:r w:rsidR="00014D5C" w:rsidRPr="00963288">
        <w:rPr>
          <w:rFonts w:ascii="Garamond" w:eastAsiaTheme="minorEastAsia" w:hAnsi="Garamond" w:cs="Arial"/>
          <w:iCs/>
        </w:rPr>
        <w:t>hile</w:t>
      </w:r>
      <w:r w:rsidR="00014D5C">
        <w:rPr>
          <w:rFonts w:ascii="Garamond" w:eastAsiaTheme="minorEastAsia" w:hAnsi="Garamond" w:cs="Arial"/>
          <w:iCs/>
        </w:rPr>
        <w:t>, as Turton notes, subsequent decisions have ‘</w:t>
      </w:r>
      <w:r w:rsidR="00014D5C" w:rsidRPr="00963288">
        <w:rPr>
          <w:rFonts w:ascii="Garamond" w:eastAsiaTheme="minorEastAsia" w:hAnsi="Garamond" w:cs="Arial"/>
          <w:iCs/>
        </w:rPr>
        <w:t xml:space="preserve">sought to confine the </w:t>
      </w:r>
      <w:r w:rsidR="00014D5C" w:rsidRPr="00581C06">
        <w:rPr>
          <w:rFonts w:ascii="Garamond" w:eastAsiaTheme="minorEastAsia" w:hAnsi="Garamond" w:cs="Arial"/>
          <w:i/>
          <w:iCs/>
        </w:rPr>
        <w:t>Chester</w:t>
      </w:r>
      <w:r w:rsidR="00014D5C" w:rsidRPr="00963288">
        <w:rPr>
          <w:rFonts w:ascii="Garamond" w:eastAsiaTheme="minorEastAsia" w:hAnsi="Garamond" w:cs="Arial"/>
          <w:iCs/>
        </w:rPr>
        <w:t xml:space="preserve"> principle narrowly</w:t>
      </w:r>
      <w:r w:rsidR="00014D5C">
        <w:rPr>
          <w:rFonts w:ascii="Garamond" w:eastAsiaTheme="minorEastAsia" w:hAnsi="Garamond" w:cs="Arial"/>
          <w:iCs/>
        </w:rPr>
        <w:t>’,</w:t>
      </w:r>
      <w:r w:rsidR="00014D5C" w:rsidRPr="00963288">
        <w:rPr>
          <w:rStyle w:val="FootnoteReference"/>
          <w:rFonts w:ascii="Garamond" w:eastAsiaTheme="minorEastAsia" w:hAnsi="Garamond" w:cs="Arial"/>
          <w:iCs/>
        </w:rPr>
        <w:footnoteReference w:id="87"/>
      </w:r>
      <w:r w:rsidR="00014D5C" w:rsidRPr="00963288">
        <w:rPr>
          <w:rFonts w:ascii="Garamond" w:eastAsiaTheme="minorEastAsia" w:hAnsi="Garamond" w:cs="Arial"/>
          <w:iCs/>
        </w:rPr>
        <w:t xml:space="preserve"> it allows </w:t>
      </w:r>
      <w:r w:rsidR="00014D5C">
        <w:rPr>
          <w:rFonts w:ascii="Garamond" w:eastAsiaTheme="minorEastAsia" w:hAnsi="Garamond" w:cs="Arial"/>
          <w:iCs/>
        </w:rPr>
        <w:t xml:space="preserve">factual and legal </w:t>
      </w:r>
      <w:r w:rsidR="00014D5C" w:rsidRPr="00963288">
        <w:rPr>
          <w:rFonts w:ascii="Garamond" w:eastAsiaTheme="minorEastAsia" w:hAnsi="Garamond" w:cs="Arial"/>
          <w:iCs/>
        </w:rPr>
        <w:t xml:space="preserve">causation to be established if the patient would have delayed the treatment if warned. </w:t>
      </w:r>
      <w:r w:rsidR="00014D5C" w:rsidRPr="003276A9">
        <w:rPr>
          <w:rFonts w:ascii="Garamond" w:eastAsiaTheme="minorEastAsia" w:hAnsi="Garamond" w:cs="Arial"/>
          <w:iCs/>
        </w:rPr>
        <w:t xml:space="preserve">This may assist a child patient in establishing causation but </w:t>
      </w:r>
      <w:r w:rsidR="00CF702C">
        <w:rPr>
          <w:rFonts w:ascii="Garamond" w:eastAsiaTheme="minorEastAsia" w:hAnsi="Garamond" w:cs="Arial"/>
          <w:iCs/>
        </w:rPr>
        <w:t>i</w:t>
      </w:r>
      <w:r w:rsidR="00014D5C" w:rsidRPr="003276A9">
        <w:rPr>
          <w:rFonts w:ascii="Garamond" w:eastAsiaTheme="minorEastAsia" w:hAnsi="Garamond" w:cs="Arial"/>
          <w:iCs/>
        </w:rPr>
        <w:t xml:space="preserve">t is more likely to be </w:t>
      </w:r>
      <w:r w:rsidR="00CF702C">
        <w:rPr>
          <w:rFonts w:ascii="Garamond" w:eastAsiaTheme="minorEastAsia" w:hAnsi="Garamond" w:cs="Arial"/>
          <w:iCs/>
        </w:rPr>
        <w:t>successful</w:t>
      </w:r>
      <w:r w:rsidR="00014D5C" w:rsidRPr="003276A9">
        <w:rPr>
          <w:rFonts w:ascii="Garamond" w:eastAsiaTheme="minorEastAsia" w:hAnsi="Garamond" w:cs="Arial"/>
          <w:iCs/>
        </w:rPr>
        <w:t xml:space="preserve"> where the treatment is elective and not </w:t>
      </w:r>
      <w:r w:rsidR="00014D5C" w:rsidRPr="003276A9">
        <w:rPr>
          <w:rFonts w:ascii="Garamond" w:eastAsiaTheme="minorEastAsia" w:hAnsi="Garamond" w:cs="Arial"/>
          <w:i/>
          <w:iCs/>
        </w:rPr>
        <w:t>mandated</w:t>
      </w:r>
      <w:r w:rsidR="00014D5C" w:rsidRPr="003276A9">
        <w:rPr>
          <w:rFonts w:ascii="Garamond" w:eastAsiaTheme="minorEastAsia" w:hAnsi="Garamond" w:cs="Arial"/>
          <w:iCs/>
        </w:rPr>
        <w:t xml:space="preserve"> in the child’s best interests.</w:t>
      </w:r>
      <w:r w:rsidR="00014D5C">
        <w:rPr>
          <w:rFonts w:ascii="Garamond" w:eastAsiaTheme="minorEastAsia" w:hAnsi="Garamond" w:cs="Arial"/>
          <w:iCs/>
        </w:rPr>
        <w:t xml:space="preserve"> In the latter type of case, it may not be possible to delay treatment.</w:t>
      </w:r>
    </w:p>
    <w:p w14:paraId="1E3F461C" w14:textId="59A7E171" w:rsidR="00014D5C" w:rsidRDefault="00014D5C" w:rsidP="004112CD">
      <w:pPr>
        <w:rPr>
          <w:rFonts w:ascii="Garamond" w:eastAsiaTheme="minorEastAsia" w:hAnsi="Garamond" w:cs="Arial"/>
          <w:iCs/>
        </w:rPr>
      </w:pPr>
      <w:r w:rsidRPr="00963288">
        <w:rPr>
          <w:rFonts w:ascii="Garamond" w:eastAsiaTheme="minorEastAsia" w:hAnsi="Garamond" w:cs="Arial"/>
          <w:iCs/>
        </w:rPr>
        <w:lastRenderedPageBreak/>
        <w:tab/>
      </w:r>
      <w:r>
        <w:rPr>
          <w:rFonts w:ascii="Garamond" w:eastAsiaTheme="minorEastAsia" w:hAnsi="Garamond" w:cs="Arial"/>
          <w:iCs/>
        </w:rPr>
        <w:t xml:space="preserve">Even if the treatment would ultimately be considered by a court to be in the child’s best interests, </w:t>
      </w:r>
      <w:r w:rsidRPr="00705B48">
        <w:rPr>
          <w:rFonts w:ascii="Garamond" w:eastAsiaTheme="minorEastAsia" w:hAnsi="Garamond" w:cs="Arial"/>
          <w:i/>
          <w:iCs/>
        </w:rPr>
        <w:t>Chester</w:t>
      </w:r>
      <w:r>
        <w:rPr>
          <w:rFonts w:ascii="Garamond" w:eastAsiaTheme="minorEastAsia" w:hAnsi="Garamond" w:cs="Arial"/>
          <w:iCs/>
        </w:rPr>
        <w:t xml:space="preserve"> will assist the child if she can show that the process to determine best interests – namely court authorisation – would have delayed the procedure. Let us imagine </w:t>
      </w:r>
      <w:r w:rsidR="003E2F44">
        <w:rPr>
          <w:rFonts w:ascii="Garamond" w:eastAsiaTheme="minorEastAsia" w:hAnsi="Garamond" w:cs="Arial"/>
          <w:iCs/>
        </w:rPr>
        <w:t xml:space="preserve">during a Monday consultation </w:t>
      </w:r>
      <w:r>
        <w:rPr>
          <w:rFonts w:ascii="Garamond" w:eastAsiaTheme="minorEastAsia" w:hAnsi="Garamond" w:cs="Arial"/>
          <w:iCs/>
        </w:rPr>
        <w:t>a</w:t>
      </w:r>
      <w:r w:rsidR="003E2F44">
        <w:rPr>
          <w:rFonts w:ascii="Garamond" w:eastAsiaTheme="minorEastAsia" w:hAnsi="Garamond" w:cs="Arial"/>
          <w:iCs/>
        </w:rPr>
        <w:t>n HCP fail</w:t>
      </w:r>
      <w:r w:rsidR="00CF702C">
        <w:rPr>
          <w:rFonts w:ascii="Garamond" w:eastAsiaTheme="minorEastAsia" w:hAnsi="Garamond" w:cs="Arial"/>
          <w:iCs/>
        </w:rPr>
        <w:t>ed</w:t>
      </w:r>
      <w:r w:rsidR="003E2F44">
        <w:rPr>
          <w:rFonts w:ascii="Garamond" w:eastAsiaTheme="minorEastAsia" w:hAnsi="Garamond" w:cs="Arial"/>
          <w:iCs/>
        </w:rPr>
        <w:t xml:space="preserve"> to warn a child patient of a 10 per cent risk in surgery. The</w:t>
      </w:r>
      <w:r>
        <w:rPr>
          <w:rFonts w:ascii="Garamond" w:eastAsiaTheme="minorEastAsia" w:hAnsi="Garamond" w:cs="Arial"/>
          <w:iCs/>
        </w:rPr>
        <w:t xml:space="preserve"> child under</w:t>
      </w:r>
      <w:r w:rsidR="00CF702C">
        <w:rPr>
          <w:rFonts w:ascii="Garamond" w:eastAsiaTheme="minorEastAsia" w:hAnsi="Garamond" w:cs="Arial"/>
          <w:iCs/>
        </w:rPr>
        <w:t>went</w:t>
      </w:r>
      <w:r>
        <w:rPr>
          <w:rFonts w:ascii="Garamond" w:eastAsiaTheme="minorEastAsia" w:hAnsi="Garamond" w:cs="Arial"/>
          <w:iCs/>
        </w:rPr>
        <w:t xml:space="preserve"> surgery on a Wednesday and the surgery carried a 10 per cent inherent risk of injury. As in </w:t>
      </w:r>
      <w:r>
        <w:rPr>
          <w:rFonts w:ascii="Garamond" w:eastAsiaTheme="minorEastAsia" w:hAnsi="Garamond" w:cs="Arial"/>
          <w:i/>
          <w:iCs/>
        </w:rPr>
        <w:t>Chester</w:t>
      </w:r>
      <w:r>
        <w:rPr>
          <w:rFonts w:ascii="Garamond" w:eastAsiaTheme="minorEastAsia" w:hAnsi="Garamond" w:cs="Arial"/>
          <w:iCs/>
        </w:rPr>
        <w:t xml:space="preserve">, the evidence indicates that this unfortunate outcome is liable to strike at random (so 10 patients in every 100 will be injured). If this risk eventuated then, according to </w:t>
      </w:r>
      <w:r>
        <w:rPr>
          <w:rFonts w:ascii="Garamond" w:eastAsiaTheme="minorEastAsia" w:hAnsi="Garamond" w:cs="Arial"/>
          <w:i/>
          <w:iCs/>
        </w:rPr>
        <w:t>Chester</w:t>
      </w:r>
      <w:r>
        <w:rPr>
          <w:rFonts w:ascii="Garamond" w:eastAsiaTheme="minorEastAsia" w:hAnsi="Garamond" w:cs="Arial"/>
          <w:iCs/>
        </w:rPr>
        <w:t>, causation would be established if the child claimant could demonstrate that they would have delayed the surgery. If it took place at a later date – say, Friday – then there would be a 90 per cent chance of avoiding injury. It would be more likely than not that the injury would not have occurred.</w:t>
      </w:r>
    </w:p>
    <w:p w14:paraId="69BEB4F6" w14:textId="1331935E" w:rsidR="00014D5C" w:rsidRDefault="00014D5C" w:rsidP="00D1019F">
      <w:pPr>
        <w:rPr>
          <w:rFonts w:ascii="Garamond" w:eastAsiaTheme="minorEastAsia" w:hAnsi="Garamond" w:cs="Arial"/>
          <w:iCs/>
        </w:rPr>
      </w:pPr>
      <w:r>
        <w:rPr>
          <w:rFonts w:ascii="Garamond" w:eastAsiaTheme="minorEastAsia" w:hAnsi="Garamond" w:cs="Arial"/>
          <w:iCs/>
        </w:rPr>
        <w:tab/>
      </w:r>
      <w:r w:rsidRPr="003276A9">
        <w:rPr>
          <w:rFonts w:ascii="Garamond" w:eastAsiaTheme="minorEastAsia" w:hAnsi="Garamond" w:cs="Arial"/>
          <w:i/>
          <w:iCs/>
        </w:rPr>
        <w:t>Chester</w:t>
      </w:r>
      <w:r>
        <w:rPr>
          <w:rFonts w:ascii="Garamond" w:eastAsiaTheme="minorEastAsia" w:hAnsi="Garamond" w:cs="Arial"/>
          <w:iCs/>
        </w:rPr>
        <w:t xml:space="preserve"> therefore offers some hope to child claimants, but it is subject to limitations referred to above regarding criticism of and reluctance to apply the case. Furthermore, it may not be possible to establish delay as there is often a </w:t>
      </w:r>
      <w:r w:rsidR="001F285D">
        <w:rPr>
          <w:rFonts w:ascii="Garamond" w:eastAsiaTheme="minorEastAsia" w:hAnsi="Garamond" w:cs="Arial"/>
          <w:iCs/>
        </w:rPr>
        <w:t xml:space="preserve">time </w:t>
      </w:r>
      <w:r>
        <w:rPr>
          <w:rFonts w:ascii="Garamond" w:eastAsiaTheme="minorEastAsia" w:hAnsi="Garamond" w:cs="Arial"/>
          <w:iCs/>
        </w:rPr>
        <w:t xml:space="preserve">gap between information disclosure and the procedure. </w:t>
      </w:r>
      <w:r w:rsidR="003E2F44">
        <w:rPr>
          <w:rFonts w:ascii="Garamond" w:eastAsiaTheme="minorEastAsia" w:hAnsi="Garamond" w:cs="Arial"/>
          <w:iCs/>
        </w:rPr>
        <w:t>Again, l</w:t>
      </w:r>
      <w:r w:rsidRPr="00963288">
        <w:rPr>
          <w:rFonts w:ascii="Garamond" w:eastAsiaTheme="minorEastAsia" w:hAnsi="Garamond" w:cs="Arial"/>
          <w:iCs/>
        </w:rPr>
        <w:t xml:space="preserve">et us imagine </w:t>
      </w:r>
      <w:r>
        <w:rPr>
          <w:rFonts w:ascii="Garamond" w:eastAsiaTheme="minorEastAsia" w:hAnsi="Garamond" w:cs="Arial"/>
          <w:iCs/>
        </w:rPr>
        <w:t>an HCP</w:t>
      </w:r>
      <w:r w:rsidRPr="00963288">
        <w:rPr>
          <w:rFonts w:ascii="Garamond" w:eastAsiaTheme="minorEastAsia" w:hAnsi="Garamond" w:cs="Arial"/>
          <w:iCs/>
        </w:rPr>
        <w:t xml:space="preserve"> fails to warn the child on </w:t>
      </w:r>
      <w:r>
        <w:rPr>
          <w:rFonts w:ascii="Garamond" w:eastAsiaTheme="minorEastAsia" w:hAnsi="Garamond" w:cs="Arial"/>
          <w:iCs/>
        </w:rPr>
        <w:t>Monday</w:t>
      </w:r>
      <w:r w:rsidRPr="00963288">
        <w:rPr>
          <w:rFonts w:ascii="Garamond" w:eastAsiaTheme="minorEastAsia" w:hAnsi="Garamond" w:cs="Arial"/>
          <w:iCs/>
        </w:rPr>
        <w:t xml:space="preserve"> of a 10</w:t>
      </w:r>
      <w:r>
        <w:rPr>
          <w:rFonts w:ascii="Garamond" w:eastAsiaTheme="minorEastAsia" w:hAnsi="Garamond" w:cs="Arial"/>
          <w:iCs/>
        </w:rPr>
        <w:t xml:space="preserve"> per cent</w:t>
      </w:r>
      <w:r w:rsidRPr="00963288">
        <w:rPr>
          <w:rFonts w:ascii="Garamond" w:eastAsiaTheme="minorEastAsia" w:hAnsi="Garamond" w:cs="Arial"/>
          <w:iCs/>
        </w:rPr>
        <w:t xml:space="preserve"> risk inherent in surgery that is in the child’s best interests and the surgery is scheduled to take place on </w:t>
      </w:r>
      <w:r>
        <w:rPr>
          <w:rFonts w:ascii="Garamond" w:eastAsiaTheme="minorEastAsia" w:hAnsi="Garamond" w:cs="Arial"/>
          <w:iCs/>
        </w:rPr>
        <w:t>Wednesday</w:t>
      </w:r>
      <w:r w:rsidRPr="00963288">
        <w:rPr>
          <w:rFonts w:ascii="Garamond" w:eastAsiaTheme="minorEastAsia" w:hAnsi="Garamond" w:cs="Arial"/>
          <w:iCs/>
        </w:rPr>
        <w:t xml:space="preserve">. </w:t>
      </w:r>
      <w:r>
        <w:rPr>
          <w:rFonts w:ascii="Garamond" w:eastAsiaTheme="minorEastAsia" w:hAnsi="Garamond" w:cs="Arial"/>
          <w:iCs/>
        </w:rPr>
        <w:t>T</w:t>
      </w:r>
      <w:r w:rsidRPr="00963288">
        <w:rPr>
          <w:rFonts w:ascii="Garamond" w:eastAsiaTheme="minorEastAsia" w:hAnsi="Garamond" w:cs="Arial"/>
          <w:iCs/>
        </w:rPr>
        <w:t>he child would not have consented if warned and the risk eventuate</w:t>
      </w:r>
      <w:r>
        <w:rPr>
          <w:rFonts w:ascii="Garamond" w:eastAsiaTheme="minorEastAsia" w:hAnsi="Garamond" w:cs="Arial"/>
          <w:iCs/>
        </w:rPr>
        <w:t>s</w:t>
      </w:r>
      <w:r w:rsidRPr="00963288">
        <w:rPr>
          <w:rFonts w:ascii="Garamond" w:eastAsiaTheme="minorEastAsia" w:hAnsi="Garamond" w:cs="Arial"/>
          <w:iCs/>
        </w:rPr>
        <w:t xml:space="preserve">. </w:t>
      </w:r>
      <w:r>
        <w:rPr>
          <w:rFonts w:ascii="Garamond" w:eastAsiaTheme="minorEastAsia" w:hAnsi="Garamond" w:cs="Arial"/>
          <w:iCs/>
        </w:rPr>
        <w:t>Provided t</w:t>
      </w:r>
      <w:r w:rsidRPr="00963288">
        <w:rPr>
          <w:rFonts w:ascii="Garamond" w:eastAsiaTheme="minorEastAsia" w:hAnsi="Garamond" w:cs="Arial"/>
          <w:iCs/>
        </w:rPr>
        <w:t xml:space="preserve">he consent of the court </w:t>
      </w:r>
      <w:r w:rsidR="00AA0B79">
        <w:rPr>
          <w:rFonts w:ascii="Garamond" w:eastAsiaTheme="minorEastAsia" w:hAnsi="Garamond" w:cs="Arial"/>
          <w:iCs/>
        </w:rPr>
        <w:t xml:space="preserve">or a proxy </w:t>
      </w:r>
      <w:r w:rsidRPr="00963288">
        <w:rPr>
          <w:rFonts w:ascii="Garamond" w:eastAsiaTheme="minorEastAsia" w:hAnsi="Garamond" w:cs="Arial"/>
          <w:iCs/>
        </w:rPr>
        <w:t xml:space="preserve">could be obtained before </w:t>
      </w:r>
      <w:r>
        <w:rPr>
          <w:rFonts w:ascii="Garamond" w:eastAsiaTheme="minorEastAsia" w:hAnsi="Garamond" w:cs="Arial"/>
          <w:iCs/>
        </w:rPr>
        <w:t>Wednesday</w:t>
      </w:r>
      <w:r w:rsidRPr="00963288">
        <w:rPr>
          <w:rFonts w:ascii="Garamond" w:eastAsiaTheme="minorEastAsia" w:hAnsi="Garamond" w:cs="Arial"/>
          <w:iCs/>
        </w:rPr>
        <w:t xml:space="preserve"> and the surgery </w:t>
      </w:r>
      <w:r>
        <w:rPr>
          <w:rFonts w:ascii="Garamond" w:eastAsiaTheme="minorEastAsia" w:hAnsi="Garamond" w:cs="Arial"/>
          <w:iCs/>
        </w:rPr>
        <w:t>proceeds</w:t>
      </w:r>
      <w:r w:rsidRPr="00963288">
        <w:rPr>
          <w:rFonts w:ascii="Garamond" w:eastAsiaTheme="minorEastAsia" w:hAnsi="Garamond" w:cs="Arial"/>
          <w:iCs/>
        </w:rPr>
        <w:t xml:space="preserve"> as planned</w:t>
      </w:r>
      <w:r>
        <w:rPr>
          <w:rFonts w:ascii="Garamond" w:eastAsiaTheme="minorEastAsia" w:hAnsi="Garamond" w:cs="Arial"/>
          <w:iCs/>
        </w:rPr>
        <w:t>, the failure to warn would make no difference.</w:t>
      </w:r>
      <w:r w:rsidRPr="00963288">
        <w:rPr>
          <w:rFonts w:ascii="Garamond" w:eastAsiaTheme="minorEastAsia" w:hAnsi="Garamond" w:cs="Arial"/>
          <w:iCs/>
        </w:rPr>
        <w:t xml:space="preserve"> </w:t>
      </w:r>
      <w:r w:rsidRPr="00963288">
        <w:rPr>
          <w:rFonts w:ascii="Garamond" w:eastAsiaTheme="minorEastAsia" w:hAnsi="Garamond" w:cs="Arial"/>
          <w:i/>
          <w:iCs/>
        </w:rPr>
        <w:t>Chester</w:t>
      </w:r>
      <w:r w:rsidRPr="00963288">
        <w:rPr>
          <w:rFonts w:ascii="Garamond" w:eastAsiaTheme="minorEastAsia" w:hAnsi="Garamond" w:cs="Arial"/>
          <w:iCs/>
        </w:rPr>
        <w:t xml:space="preserve"> </w:t>
      </w:r>
      <w:r>
        <w:rPr>
          <w:rFonts w:ascii="Garamond" w:eastAsiaTheme="minorEastAsia" w:hAnsi="Garamond" w:cs="Arial"/>
          <w:iCs/>
        </w:rPr>
        <w:t xml:space="preserve">offers only limited assistance and causation represents a stumbling block for children. </w:t>
      </w:r>
      <w:r w:rsidR="00FB2CB2">
        <w:rPr>
          <w:rFonts w:ascii="Garamond" w:eastAsiaTheme="minorEastAsia" w:hAnsi="Garamond" w:cs="Arial"/>
          <w:iCs/>
        </w:rPr>
        <w:t>It will only apply in situations where the child can demonstrate that if they had been properly informed the treatment would have been delayed, no alternative consent would have been obtained and that the risk would have been avoided.</w:t>
      </w:r>
    </w:p>
    <w:p w14:paraId="554A0A9A" w14:textId="7C56825A" w:rsidR="00014D5C" w:rsidRPr="00F900C8" w:rsidRDefault="00014D5C" w:rsidP="00581C06">
      <w:pPr>
        <w:ind w:firstLine="720"/>
        <w:rPr>
          <w:rFonts w:ascii="Garamond" w:eastAsiaTheme="minorEastAsia" w:hAnsi="Garamond" w:cs="Arial"/>
        </w:rPr>
      </w:pPr>
      <w:r w:rsidRPr="00CC15C7">
        <w:rPr>
          <w:rFonts w:ascii="Garamond" w:eastAsiaTheme="minorEastAsia" w:hAnsi="Garamond" w:cs="Arial"/>
        </w:rPr>
        <w:t>So far</w:t>
      </w:r>
      <w:r>
        <w:rPr>
          <w:rFonts w:ascii="Garamond" w:eastAsiaTheme="minorEastAsia" w:hAnsi="Garamond" w:cs="Arial"/>
        </w:rPr>
        <w:t>,</w:t>
      </w:r>
      <w:r w:rsidRPr="00CC15C7">
        <w:rPr>
          <w:rFonts w:ascii="Garamond" w:eastAsiaTheme="minorEastAsia" w:hAnsi="Garamond" w:cs="Arial"/>
        </w:rPr>
        <w:t xml:space="preserve"> we have focussed on children with capacity who accept treatment they would have refused (</w:t>
      </w:r>
      <w:r>
        <w:rPr>
          <w:rFonts w:ascii="Garamond" w:eastAsiaTheme="minorEastAsia" w:hAnsi="Garamond" w:cs="Arial"/>
        </w:rPr>
        <w:t>in favour</w:t>
      </w:r>
      <w:r w:rsidRPr="00AC2BA3">
        <w:rPr>
          <w:rFonts w:ascii="Garamond" w:eastAsiaTheme="minorEastAsia" w:hAnsi="Garamond" w:cs="Arial"/>
        </w:rPr>
        <w:t xml:space="preserve"> </w:t>
      </w:r>
      <w:r>
        <w:rPr>
          <w:rFonts w:ascii="Garamond" w:eastAsiaTheme="minorEastAsia" w:hAnsi="Garamond" w:cs="Arial"/>
        </w:rPr>
        <w:t xml:space="preserve">of </w:t>
      </w:r>
      <w:r w:rsidRPr="00AC2BA3">
        <w:rPr>
          <w:rFonts w:ascii="Garamond" w:eastAsiaTheme="minorEastAsia" w:hAnsi="Garamond" w:cs="Arial"/>
        </w:rPr>
        <w:t xml:space="preserve">either no treatment or alternative treatment) if properly informed. </w:t>
      </w:r>
      <w:r>
        <w:rPr>
          <w:rFonts w:ascii="Garamond" w:eastAsiaTheme="minorEastAsia" w:hAnsi="Garamond" w:cs="Arial"/>
        </w:rPr>
        <w:t xml:space="preserve">What of patients who </w:t>
      </w:r>
      <w:r w:rsidRPr="00AC2BA3">
        <w:rPr>
          <w:rFonts w:ascii="Garamond" w:eastAsiaTheme="minorEastAsia" w:hAnsi="Garamond" w:cs="Arial"/>
        </w:rPr>
        <w:t>suffer harm having refused all treatment in circumstances where they would have chosen treatment had they been given material information about reasonable treatment options</w:t>
      </w:r>
      <w:r>
        <w:rPr>
          <w:rFonts w:ascii="Garamond" w:eastAsiaTheme="minorEastAsia" w:hAnsi="Garamond" w:cs="Arial"/>
        </w:rPr>
        <w:t>?</w:t>
      </w:r>
      <w:r w:rsidRPr="00AC2BA3">
        <w:rPr>
          <w:rFonts w:ascii="Garamond" w:eastAsiaTheme="minorEastAsia" w:hAnsi="Garamond" w:cs="Arial"/>
        </w:rPr>
        <w:t xml:space="preserve"> </w:t>
      </w:r>
      <w:r>
        <w:rPr>
          <w:rFonts w:ascii="Garamond" w:eastAsiaTheme="minorEastAsia" w:hAnsi="Garamond" w:cs="Arial"/>
        </w:rPr>
        <w:t xml:space="preserve">If </w:t>
      </w:r>
      <w:r w:rsidRPr="00F900C8">
        <w:rPr>
          <w:rFonts w:ascii="Garamond" w:eastAsiaTheme="minorEastAsia" w:hAnsi="Garamond" w:cs="Arial"/>
          <w:i/>
        </w:rPr>
        <w:t>Montgomery</w:t>
      </w:r>
      <w:r>
        <w:rPr>
          <w:rFonts w:ascii="Garamond" w:eastAsiaTheme="minorEastAsia" w:hAnsi="Garamond" w:cs="Arial"/>
        </w:rPr>
        <w:t xml:space="preserve"> applies to children, it might assist here because whilst the selection of variant and </w:t>
      </w:r>
      <w:r>
        <w:rPr>
          <w:rFonts w:ascii="Garamond" w:eastAsiaTheme="minorEastAsia" w:hAnsi="Garamond" w:cs="Arial"/>
        </w:rPr>
        <w:lastRenderedPageBreak/>
        <w:t>alternative options is a medical consideration,</w:t>
      </w:r>
      <w:r w:rsidRPr="005F2BA4">
        <w:rPr>
          <w:rFonts w:ascii="Garamond" w:eastAsiaTheme="minorEastAsia" w:hAnsi="Garamond" w:cs="Arial"/>
          <w:vertAlign w:val="superscript"/>
        </w:rPr>
        <w:footnoteReference w:id="88"/>
      </w:r>
      <w:r>
        <w:rPr>
          <w:rFonts w:ascii="Garamond" w:eastAsiaTheme="minorEastAsia" w:hAnsi="Garamond" w:cs="Arial"/>
        </w:rPr>
        <w:t xml:space="preserve"> the communication of them to the patient is governed by </w:t>
      </w:r>
      <w:r w:rsidRPr="005B59D9">
        <w:rPr>
          <w:rFonts w:ascii="Garamond" w:eastAsiaTheme="minorEastAsia" w:hAnsi="Garamond" w:cs="Arial"/>
          <w:i/>
        </w:rPr>
        <w:t>Montgomery</w:t>
      </w:r>
      <w:r>
        <w:rPr>
          <w:rFonts w:ascii="Garamond" w:eastAsiaTheme="minorEastAsia" w:hAnsi="Garamond" w:cs="Arial"/>
        </w:rPr>
        <w:t xml:space="preserve"> and therefore by the reasonable and particular patient limbs of the test for materiality.</w:t>
      </w:r>
      <w:r>
        <w:rPr>
          <w:rStyle w:val="FootnoteReference"/>
          <w:rFonts w:ascii="Garamond" w:eastAsiaTheme="minorEastAsia" w:hAnsi="Garamond" w:cs="Arial"/>
        </w:rPr>
        <w:footnoteReference w:id="89"/>
      </w:r>
      <w:r w:rsidRPr="00CC15C7">
        <w:rPr>
          <w:rFonts w:ascii="Garamond" w:hAnsi="Garamond"/>
        </w:rPr>
        <w:t xml:space="preserve"> </w:t>
      </w:r>
      <w:r>
        <w:rPr>
          <w:rFonts w:ascii="Garamond" w:eastAsiaTheme="minorEastAsia" w:hAnsi="Garamond" w:cs="Arial"/>
        </w:rPr>
        <w:t>Again, in the case of non-disclosure, the patient would need to show that the (alternative) treatment would have been accepted and that it would, on balance of probability, have averted the harm suffered. It is unlikely to be enough for the patient to reframe their damage as a loss of a chance of avoiding injury.</w:t>
      </w:r>
      <w:r>
        <w:rPr>
          <w:rStyle w:val="FootnoteReference"/>
          <w:rFonts w:ascii="Garamond" w:eastAsiaTheme="minorEastAsia" w:hAnsi="Garamond" w:cs="Arial"/>
        </w:rPr>
        <w:footnoteReference w:id="90"/>
      </w:r>
      <w:r>
        <w:rPr>
          <w:rFonts w:ascii="Garamond" w:eastAsiaTheme="minorEastAsia" w:hAnsi="Garamond" w:cs="Arial"/>
        </w:rPr>
        <w:t xml:space="preserve"> </w:t>
      </w:r>
    </w:p>
    <w:p w14:paraId="1A358C31" w14:textId="0B09B071" w:rsidR="00014D5C" w:rsidRPr="00CC15C7" w:rsidRDefault="00014D5C" w:rsidP="008F16C4">
      <w:pPr>
        <w:ind w:firstLine="720"/>
        <w:rPr>
          <w:rFonts w:ascii="Garamond" w:eastAsiaTheme="minorEastAsia" w:hAnsi="Garamond" w:cs="Arial"/>
        </w:rPr>
      </w:pPr>
      <w:r>
        <w:rPr>
          <w:rFonts w:ascii="Garamond" w:eastAsiaTheme="minorEastAsia" w:hAnsi="Garamond" w:cs="Arial"/>
        </w:rPr>
        <w:t>A third potential stumbling block exists in the form of the defence of</w:t>
      </w:r>
      <w:r w:rsidRPr="00963288">
        <w:rPr>
          <w:rFonts w:ascii="Garamond" w:eastAsiaTheme="minorEastAsia" w:hAnsi="Garamond" w:cs="Arial"/>
        </w:rPr>
        <w:t xml:space="preserve"> therapeutic exception</w:t>
      </w:r>
      <w:r>
        <w:rPr>
          <w:rFonts w:ascii="Garamond" w:eastAsiaTheme="minorEastAsia" w:hAnsi="Garamond" w:cs="Arial"/>
        </w:rPr>
        <w:t xml:space="preserve">. This </w:t>
      </w:r>
      <w:r w:rsidRPr="00963288">
        <w:rPr>
          <w:rFonts w:ascii="Garamond" w:eastAsiaTheme="minorEastAsia" w:hAnsi="Garamond" w:cs="Arial"/>
        </w:rPr>
        <w:t>applies when disclosure would ‘be seriously detrimental to the patient’s health’.</w:t>
      </w:r>
      <w:r w:rsidRPr="00963288">
        <w:rPr>
          <w:rFonts w:ascii="Garamond" w:eastAsiaTheme="minorEastAsia" w:hAnsi="Garamond" w:cs="Arial"/>
          <w:vertAlign w:val="superscript"/>
        </w:rPr>
        <w:footnoteReference w:id="91"/>
      </w:r>
      <w:r w:rsidRPr="00963288">
        <w:rPr>
          <w:rFonts w:ascii="Garamond" w:eastAsiaTheme="minorEastAsia" w:hAnsi="Garamond" w:cs="Arial"/>
        </w:rPr>
        <w:t xml:space="preserve"> The Department of Health has advised that, for adult patients, ‘serious detriment’ means ‘more than that the patient might become upset or decide to refuse treatment.’</w:t>
      </w:r>
      <w:r w:rsidRPr="00963288">
        <w:rPr>
          <w:rFonts w:ascii="Garamond" w:eastAsiaTheme="minorEastAsia" w:hAnsi="Garamond" w:cs="Arial"/>
          <w:vertAlign w:val="superscript"/>
        </w:rPr>
        <w:footnoteReference w:id="92"/>
      </w:r>
      <w:r w:rsidRPr="00963288">
        <w:rPr>
          <w:rFonts w:ascii="Garamond" w:eastAsiaTheme="minorEastAsia" w:hAnsi="Garamond" w:cs="Arial"/>
        </w:rPr>
        <w:t xml:space="preserve"> Given the legal prioritisation of child welfare, might a broader exception be supported in the case of children? If so, </w:t>
      </w:r>
      <w:r>
        <w:rPr>
          <w:rFonts w:ascii="Garamond" w:eastAsiaTheme="minorEastAsia" w:hAnsi="Garamond" w:cs="Arial"/>
        </w:rPr>
        <w:t>an HCP</w:t>
      </w:r>
      <w:r w:rsidRPr="00CC15C7">
        <w:rPr>
          <w:rFonts w:ascii="Garamond" w:eastAsiaTheme="minorEastAsia" w:hAnsi="Garamond" w:cs="Arial"/>
        </w:rPr>
        <w:t xml:space="preserve"> could argue that informing a child patient of risks would have a negative effect on the child’s health where it is likely to cause the child to refuse beneficial treatment.</w:t>
      </w:r>
      <w:r w:rsidR="00DA52DE">
        <w:rPr>
          <w:rStyle w:val="FootnoteReference"/>
          <w:rFonts w:ascii="Garamond" w:eastAsiaTheme="minorEastAsia" w:hAnsi="Garamond" w:cs="Arial"/>
        </w:rPr>
        <w:footnoteReference w:id="93"/>
      </w:r>
      <w:r w:rsidRPr="00CC15C7">
        <w:rPr>
          <w:rFonts w:ascii="Garamond" w:eastAsiaTheme="minorEastAsia" w:hAnsi="Garamond" w:cs="Arial"/>
        </w:rPr>
        <w:t xml:space="preserve"> The Supreme Court emphasised that this exception was ‘limited’ and should not be abused,</w:t>
      </w:r>
      <w:r w:rsidRPr="00CC15C7">
        <w:rPr>
          <w:rFonts w:ascii="Garamond" w:eastAsiaTheme="minorEastAsia" w:hAnsi="Garamond" w:cs="Arial"/>
          <w:vertAlign w:val="superscript"/>
        </w:rPr>
        <w:footnoteReference w:id="94"/>
      </w:r>
      <w:r w:rsidRPr="00CC15C7">
        <w:rPr>
          <w:rFonts w:ascii="Garamond" w:eastAsiaTheme="minorEastAsia" w:hAnsi="Garamond" w:cs="Arial"/>
        </w:rPr>
        <w:t xml:space="preserve"> but that related to adult patients. We would argue that a child who would be harmed by the disclosure of material information may lack the information required to make a </w:t>
      </w:r>
      <w:proofErr w:type="spellStart"/>
      <w:r w:rsidRPr="00CC15C7">
        <w:rPr>
          <w:rFonts w:ascii="Garamond" w:eastAsiaTheme="minorEastAsia" w:hAnsi="Garamond" w:cs="Arial"/>
        </w:rPr>
        <w:t>capacitous</w:t>
      </w:r>
      <w:proofErr w:type="spellEnd"/>
      <w:r w:rsidRPr="00CC15C7">
        <w:rPr>
          <w:rFonts w:ascii="Garamond" w:eastAsiaTheme="minorEastAsia" w:hAnsi="Garamond" w:cs="Arial"/>
        </w:rPr>
        <w:t xml:space="preserve"> decision,</w:t>
      </w:r>
      <w:r w:rsidRPr="00AC2BA3">
        <w:rPr>
          <w:rFonts w:ascii="Garamond" w:eastAsiaTheme="minorEastAsia" w:hAnsi="Garamond" w:cs="Arial"/>
        </w:rPr>
        <w:t xml:space="preserve"> in which case proxy consent should be sought.</w:t>
      </w:r>
      <w:r w:rsidRPr="00CC15C7">
        <w:rPr>
          <w:rFonts w:ascii="Garamond" w:eastAsiaTheme="minorEastAsia" w:hAnsi="Garamond" w:cs="Arial"/>
          <w:vertAlign w:val="superscript"/>
        </w:rPr>
        <w:footnoteReference w:id="95"/>
      </w:r>
      <w:r w:rsidRPr="00CC15C7">
        <w:rPr>
          <w:rFonts w:ascii="Garamond" w:eastAsiaTheme="minorEastAsia" w:hAnsi="Garamond" w:cs="Arial"/>
        </w:rPr>
        <w:t xml:space="preserve"> </w:t>
      </w:r>
    </w:p>
    <w:p w14:paraId="71088522" w14:textId="78D8138F" w:rsidR="00014D5C" w:rsidRPr="00963288" w:rsidRDefault="00014D5C" w:rsidP="00DF11F8">
      <w:pPr>
        <w:ind w:firstLine="720"/>
        <w:rPr>
          <w:rFonts w:ascii="Garamond" w:eastAsiaTheme="minorEastAsia" w:hAnsi="Garamond" w:cs="Arial"/>
          <w:iCs/>
        </w:rPr>
      </w:pPr>
      <w:r w:rsidRPr="00963288">
        <w:rPr>
          <w:rFonts w:ascii="Garamond" w:eastAsiaTheme="minorEastAsia" w:hAnsi="Garamond" w:cs="Arial"/>
          <w:iCs/>
        </w:rPr>
        <w:lastRenderedPageBreak/>
        <w:t>In practice, it will be sensible for a</w:t>
      </w:r>
      <w:r>
        <w:rPr>
          <w:rFonts w:ascii="Garamond" w:eastAsiaTheme="minorEastAsia" w:hAnsi="Garamond" w:cs="Arial"/>
          <w:iCs/>
        </w:rPr>
        <w:t>n</w:t>
      </w:r>
      <w:r w:rsidRPr="00963288">
        <w:rPr>
          <w:rFonts w:ascii="Garamond" w:eastAsiaTheme="minorEastAsia" w:hAnsi="Garamond" w:cs="Arial"/>
          <w:iCs/>
        </w:rPr>
        <w:t xml:space="preserve"> </w:t>
      </w:r>
      <w:r>
        <w:rPr>
          <w:rFonts w:ascii="Garamond" w:eastAsiaTheme="minorEastAsia" w:hAnsi="Garamond" w:cs="Arial"/>
          <w:iCs/>
        </w:rPr>
        <w:t>HCP</w:t>
      </w:r>
      <w:r w:rsidRPr="00963288">
        <w:rPr>
          <w:rFonts w:ascii="Garamond" w:eastAsiaTheme="minorEastAsia" w:hAnsi="Garamond" w:cs="Arial"/>
          <w:iCs/>
        </w:rPr>
        <w:t xml:space="preserve"> to comply with </w:t>
      </w:r>
      <w:r w:rsidRPr="00963288">
        <w:rPr>
          <w:rFonts w:ascii="Garamond" w:eastAsiaTheme="minorEastAsia" w:hAnsi="Garamond" w:cs="Arial"/>
          <w:i/>
          <w:iCs/>
        </w:rPr>
        <w:t xml:space="preserve">Montgomery </w:t>
      </w:r>
      <w:r w:rsidRPr="00963288">
        <w:rPr>
          <w:rFonts w:ascii="Garamond" w:eastAsiaTheme="minorEastAsia" w:hAnsi="Garamond" w:cs="Arial"/>
          <w:iCs/>
        </w:rPr>
        <w:t xml:space="preserve">and advise children who have capacity of material risks in treatment and reasonable alternatives, particularly because the </w:t>
      </w:r>
      <w:r>
        <w:rPr>
          <w:rFonts w:ascii="Garamond" w:eastAsiaTheme="minorEastAsia" w:hAnsi="Garamond" w:cs="Arial"/>
          <w:iCs/>
        </w:rPr>
        <w:t>HCP</w:t>
      </w:r>
      <w:r w:rsidRPr="00963288">
        <w:rPr>
          <w:rFonts w:ascii="Garamond" w:eastAsiaTheme="minorEastAsia" w:hAnsi="Garamond" w:cs="Arial"/>
          <w:iCs/>
        </w:rPr>
        <w:t xml:space="preserve"> may be incorrect in their assessment that the treatment is in the child’s best interests. The less compelling the case for treatment, the more likely the child will be able to establish that their views were central to a best </w:t>
      </w:r>
      <w:proofErr w:type="gramStart"/>
      <w:r w:rsidRPr="00963288">
        <w:rPr>
          <w:rFonts w:ascii="Garamond" w:eastAsiaTheme="minorEastAsia" w:hAnsi="Garamond" w:cs="Arial"/>
          <w:iCs/>
        </w:rPr>
        <w:t>interests</w:t>
      </w:r>
      <w:proofErr w:type="gramEnd"/>
      <w:r w:rsidRPr="00963288">
        <w:rPr>
          <w:rFonts w:ascii="Garamond" w:eastAsiaTheme="minorEastAsia" w:hAnsi="Garamond" w:cs="Arial"/>
          <w:iCs/>
        </w:rPr>
        <w:t xml:space="preserve"> assessment. Consider, for example, a child who consents to a cosmetic procedure on the basis of inadequate information and can demonstrate that they would have refused consent had they known the risks</w:t>
      </w:r>
      <w:r w:rsidRPr="00DB1109">
        <w:rPr>
          <w:rFonts w:ascii="Garamond" w:eastAsiaTheme="minorEastAsia" w:hAnsi="Garamond" w:cs="Arial"/>
          <w:iCs/>
        </w:rPr>
        <w:t xml:space="preserve">, such that a court would not have considered the procedure to be in the child’s best interests. The child would have been able to avoid the risk in the treatment (as it is likely that a proxy would not have consented to it) and so might succeed in a negligence action. </w:t>
      </w:r>
    </w:p>
    <w:p w14:paraId="6BC8E50C" w14:textId="6C4FF0F3" w:rsidR="00014D5C" w:rsidRDefault="00014D5C" w:rsidP="00581C06">
      <w:pPr>
        <w:ind w:firstLine="720"/>
        <w:rPr>
          <w:rFonts w:ascii="Garamond" w:eastAsiaTheme="minorEastAsia" w:hAnsi="Garamond" w:cs="Arial"/>
          <w:iCs/>
        </w:rPr>
      </w:pPr>
      <w:r w:rsidRPr="00963288">
        <w:rPr>
          <w:rFonts w:ascii="Garamond" w:eastAsiaTheme="minorEastAsia" w:hAnsi="Garamond" w:cs="Arial"/>
          <w:iCs/>
        </w:rPr>
        <w:t>Negligence therefore offers an incentive to disclose information to children</w:t>
      </w:r>
      <w:r>
        <w:rPr>
          <w:rFonts w:ascii="Garamond" w:eastAsiaTheme="minorEastAsia" w:hAnsi="Garamond" w:cs="Arial"/>
          <w:iCs/>
        </w:rPr>
        <w:t xml:space="preserve"> with capacity</w:t>
      </w:r>
      <w:r w:rsidRPr="00963288">
        <w:rPr>
          <w:rFonts w:ascii="Garamond" w:eastAsiaTheme="minorEastAsia" w:hAnsi="Garamond" w:cs="Arial"/>
          <w:iCs/>
        </w:rPr>
        <w:t>, but in the event of non-disclosure</w:t>
      </w:r>
      <w:r>
        <w:rPr>
          <w:rFonts w:ascii="Garamond" w:eastAsiaTheme="minorEastAsia" w:hAnsi="Garamond" w:cs="Arial"/>
          <w:iCs/>
        </w:rPr>
        <w:t>,</w:t>
      </w:r>
      <w:r w:rsidRPr="00963288">
        <w:rPr>
          <w:rFonts w:ascii="Garamond" w:eastAsiaTheme="minorEastAsia" w:hAnsi="Garamond" w:cs="Arial"/>
          <w:iCs/>
        </w:rPr>
        <w:t xml:space="preserve"> the chances of a remedy are slim. </w:t>
      </w:r>
      <w:r>
        <w:rPr>
          <w:rFonts w:ascii="Garamond" w:eastAsiaTheme="minorEastAsia" w:hAnsi="Garamond" w:cs="Arial"/>
          <w:iCs/>
        </w:rPr>
        <w:t>Hurdles exist in relation to breach, causation and the HCP’s ability to rely on the therapeutic exception.</w:t>
      </w:r>
    </w:p>
    <w:p w14:paraId="074B53A4" w14:textId="1507F64C" w:rsidR="00014D5C" w:rsidRDefault="00014D5C" w:rsidP="00581C06">
      <w:pPr>
        <w:ind w:firstLine="720"/>
        <w:rPr>
          <w:rFonts w:ascii="Garamond" w:eastAsiaTheme="minorEastAsia" w:hAnsi="Garamond" w:cs="Arial"/>
          <w:iCs/>
        </w:rPr>
      </w:pPr>
      <w:r>
        <w:rPr>
          <w:rFonts w:ascii="Garamond" w:eastAsiaTheme="minorEastAsia" w:hAnsi="Garamond" w:cs="Arial"/>
          <w:iCs/>
        </w:rPr>
        <w:t xml:space="preserve"> </w:t>
      </w:r>
    </w:p>
    <w:p w14:paraId="7D4936C4" w14:textId="6EF66507" w:rsidR="00014D5C" w:rsidRPr="0097297B" w:rsidRDefault="00014D5C" w:rsidP="004112CD">
      <w:pPr>
        <w:jc w:val="center"/>
        <w:outlineLvl w:val="1"/>
        <w:rPr>
          <w:rFonts w:ascii="Garamond" w:eastAsiaTheme="majorEastAsia" w:hAnsi="Garamond" w:cs="Arial"/>
          <w:b/>
          <w:bCs/>
          <w:i/>
        </w:rPr>
      </w:pPr>
      <w:r>
        <w:rPr>
          <w:rFonts w:ascii="Garamond" w:eastAsiaTheme="majorEastAsia" w:hAnsi="Garamond" w:cs="Arial"/>
          <w:b/>
          <w:bCs/>
          <w:i/>
        </w:rPr>
        <w:t>C</w:t>
      </w:r>
      <w:r w:rsidR="00E33519">
        <w:rPr>
          <w:rFonts w:ascii="Garamond" w:eastAsiaTheme="majorEastAsia" w:hAnsi="Garamond" w:cs="Arial"/>
          <w:b/>
          <w:bCs/>
          <w:i/>
        </w:rPr>
        <w:t>. Negligence C</w:t>
      </w:r>
      <w:r w:rsidRPr="0097297B">
        <w:rPr>
          <w:rFonts w:ascii="Garamond" w:eastAsiaTheme="majorEastAsia" w:hAnsi="Garamond" w:cs="Arial"/>
          <w:b/>
          <w:bCs/>
          <w:i/>
        </w:rPr>
        <w:t xml:space="preserve">laims </w:t>
      </w:r>
      <w:r w:rsidRPr="00963288">
        <w:rPr>
          <w:rFonts w:ascii="Garamond" w:eastAsiaTheme="majorEastAsia" w:hAnsi="Garamond" w:cs="Arial"/>
          <w:b/>
          <w:bCs/>
          <w:i/>
        </w:rPr>
        <w:t xml:space="preserve">by </w:t>
      </w:r>
      <w:r w:rsidR="00E33519">
        <w:rPr>
          <w:rFonts w:ascii="Garamond" w:eastAsiaTheme="majorEastAsia" w:hAnsi="Garamond" w:cs="Arial"/>
          <w:b/>
          <w:bCs/>
          <w:i/>
        </w:rPr>
        <w:t>Children who Lack C</w:t>
      </w:r>
      <w:r>
        <w:rPr>
          <w:rFonts w:ascii="Garamond" w:eastAsiaTheme="majorEastAsia" w:hAnsi="Garamond" w:cs="Arial"/>
          <w:b/>
          <w:bCs/>
          <w:i/>
        </w:rPr>
        <w:t xml:space="preserve">apacity </w:t>
      </w:r>
    </w:p>
    <w:p w14:paraId="2D1426C9" w14:textId="02A0C554" w:rsidR="00014D5C" w:rsidRDefault="00014D5C" w:rsidP="003238D6">
      <w:pPr>
        <w:rPr>
          <w:rFonts w:ascii="Garamond" w:eastAsiaTheme="minorEastAsia" w:hAnsi="Garamond" w:cs="Arial"/>
        </w:rPr>
      </w:pPr>
      <w:r>
        <w:rPr>
          <w:rFonts w:ascii="Garamond" w:eastAsiaTheme="minorEastAsia" w:hAnsi="Garamond" w:cs="Arial"/>
        </w:rPr>
        <w:t>Additional limitations apply if the child lacks capacity. Children in this position maintain an interest in participating in the decision, and a failure to involve them might result in harmful treatment that would otherwise have been refused in their best interests. Nevertheless, given that a proxy will provide consent (or, in the case of 16-17</w:t>
      </w:r>
      <w:r w:rsidR="006E7E61">
        <w:rPr>
          <w:rFonts w:ascii="Garamond" w:eastAsiaTheme="minorEastAsia" w:hAnsi="Garamond" w:cs="Arial"/>
        </w:rPr>
        <w:t>-</w:t>
      </w:r>
      <w:r>
        <w:rPr>
          <w:rFonts w:ascii="Garamond" w:eastAsiaTheme="minorEastAsia" w:hAnsi="Garamond" w:cs="Arial"/>
        </w:rPr>
        <w:t>year</w:t>
      </w:r>
      <w:r w:rsidR="00A17C18">
        <w:rPr>
          <w:rFonts w:ascii="Garamond" w:eastAsiaTheme="minorEastAsia" w:hAnsi="Garamond" w:cs="Arial"/>
        </w:rPr>
        <w:t>-</w:t>
      </w:r>
      <w:r>
        <w:rPr>
          <w:rFonts w:ascii="Garamond" w:eastAsiaTheme="minorEastAsia" w:hAnsi="Garamond" w:cs="Arial"/>
        </w:rPr>
        <w:t>olds, treatment will be provided in accordance with section 5 of the MCA) it is unlikely that a duty of care to</w:t>
      </w:r>
      <w:r w:rsidR="00CF702C">
        <w:rPr>
          <w:rFonts w:ascii="Garamond" w:eastAsiaTheme="minorEastAsia" w:hAnsi="Garamond" w:cs="Arial"/>
        </w:rPr>
        <w:t xml:space="preserve"> disclose information to</w:t>
      </w:r>
      <w:r>
        <w:rPr>
          <w:rFonts w:ascii="Garamond" w:eastAsiaTheme="minorEastAsia" w:hAnsi="Garamond" w:cs="Arial"/>
        </w:rPr>
        <w:t xml:space="preserve"> the child exists. Even if it did, </w:t>
      </w:r>
      <w:r w:rsidRPr="009F583E">
        <w:rPr>
          <w:rFonts w:ascii="Garamond" w:eastAsiaTheme="minorEastAsia" w:hAnsi="Garamond" w:cs="Arial"/>
          <w:i/>
        </w:rPr>
        <w:t>Montgomery</w:t>
      </w:r>
      <w:r>
        <w:rPr>
          <w:rFonts w:ascii="Garamond" w:eastAsiaTheme="minorEastAsia" w:hAnsi="Garamond" w:cs="Arial"/>
          <w:i/>
        </w:rPr>
        <w:t>’s</w:t>
      </w:r>
      <w:r>
        <w:rPr>
          <w:rFonts w:ascii="Garamond" w:eastAsiaTheme="minorEastAsia" w:hAnsi="Garamond" w:cs="Arial"/>
        </w:rPr>
        <w:t xml:space="preserve"> relevance is dubious given </w:t>
      </w:r>
      <w:r w:rsidR="00A17C18">
        <w:rPr>
          <w:rFonts w:ascii="Garamond" w:eastAsiaTheme="minorEastAsia" w:hAnsi="Garamond" w:cs="Arial"/>
        </w:rPr>
        <w:t xml:space="preserve">its </w:t>
      </w:r>
      <w:r>
        <w:rPr>
          <w:rFonts w:ascii="Garamond" w:eastAsiaTheme="minorEastAsia" w:hAnsi="Garamond" w:cs="Arial"/>
        </w:rPr>
        <w:t>explicit restriction to those with capacity</w:t>
      </w:r>
      <w:r w:rsidR="00A17C18">
        <w:rPr>
          <w:rFonts w:ascii="Garamond" w:eastAsiaTheme="minorEastAsia" w:hAnsi="Garamond" w:cs="Arial"/>
        </w:rPr>
        <w:t xml:space="preserve">. If </w:t>
      </w:r>
      <w:r w:rsidR="00A17C18" w:rsidRPr="00A17C18">
        <w:rPr>
          <w:rFonts w:ascii="Garamond" w:eastAsiaTheme="minorEastAsia" w:hAnsi="Garamond" w:cs="Arial"/>
          <w:i/>
        </w:rPr>
        <w:t>Montgomery</w:t>
      </w:r>
      <w:r w:rsidR="00A17C18">
        <w:rPr>
          <w:rFonts w:ascii="Garamond" w:eastAsiaTheme="minorEastAsia" w:hAnsi="Garamond" w:cs="Arial"/>
          <w:i/>
        </w:rPr>
        <w:t xml:space="preserve"> </w:t>
      </w:r>
      <w:r w:rsidR="00A17C18">
        <w:rPr>
          <w:rFonts w:ascii="Garamond" w:eastAsiaTheme="minorEastAsia" w:hAnsi="Garamond" w:cs="Arial"/>
        </w:rPr>
        <w:t xml:space="preserve">does not apply to patients lacking capacity, then the </w:t>
      </w:r>
      <w:r w:rsidRPr="00B22E96">
        <w:rPr>
          <w:rFonts w:ascii="Garamond" w:eastAsiaTheme="minorEastAsia" w:hAnsi="Garamond" w:cs="Arial"/>
          <w:i/>
        </w:rPr>
        <w:t>Bolam</w:t>
      </w:r>
      <w:r>
        <w:rPr>
          <w:rFonts w:ascii="Garamond" w:eastAsiaTheme="minorEastAsia" w:hAnsi="Garamond" w:cs="Arial"/>
        </w:rPr>
        <w:t xml:space="preserve"> </w:t>
      </w:r>
      <w:r w:rsidR="00A17C18">
        <w:rPr>
          <w:rFonts w:ascii="Garamond" w:eastAsiaTheme="minorEastAsia" w:hAnsi="Garamond" w:cs="Arial"/>
        </w:rPr>
        <w:t xml:space="preserve">test </w:t>
      </w:r>
      <w:r>
        <w:rPr>
          <w:rFonts w:ascii="Garamond" w:eastAsiaTheme="minorEastAsia" w:hAnsi="Garamond" w:cs="Arial"/>
        </w:rPr>
        <w:t xml:space="preserve">would </w:t>
      </w:r>
      <w:r w:rsidR="00A17C18">
        <w:rPr>
          <w:rFonts w:ascii="Garamond" w:eastAsiaTheme="minorEastAsia" w:hAnsi="Garamond" w:cs="Arial"/>
        </w:rPr>
        <w:t>continue to govern the standard of care</w:t>
      </w:r>
      <w:r>
        <w:rPr>
          <w:rFonts w:ascii="Garamond" w:eastAsiaTheme="minorEastAsia" w:hAnsi="Garamond" w:cs="Arial"/>
        </w:rPr>
        <w:t xml:space="preserve">. </w:t>
      </w:r>
    </w:p>
    <w:p w14:paraId="7CC6E786" w14:textId="66A53671" w:rsidR="00014D5C" w:rsidRPr="009E5844" w:rsidRDefault="00014D5C" w:rsidP="00B22E96">
      <w:pPr>
        <w:ind w:firstLine="720"/>
        <w:rPr>
          <w:rFonts w:ascii="Garamond" w:eastAsiaTheme="minorEastAsia" w:hAnsi="Garamond" w:cs="Arial"/>
        </w:rPr>
      </w:pPr>
      <w:r>
        <w:rPr>
          <w:rFonts w:ascii="Garamond" w:eastAsiaTheme="minorEastAsia" w:hAnsi="Garamond" w:cs="Arial"/>
        </w:rPr>
        <w:t>A proxy (with parental responsibility) has a right to consent to treatment in an under 16</w:t>
      </w:r>
      <w:r w:rsidR="006E7E61">
        <w:rPr>
          <w:rFonts w:ascii="Garamond" w:eastAsiaTheme="minorEastAsia" w:hAnsi="Garamond" w:cs="Arial"/>
        </w:rPr>
        <w:t>-</w:t>
      </w:r>
      <w:r>
        <w:rPr>
          <w:rFonts w:ascii="Garamond" w:eastAsiaTheme="minorEastAsia" w:hAnsi="Garamond" w:cs="Arial"/>
        </w:rPr>
        <w:t>year</w:t>
      </w:r>
      <w:r w:rsidR="006E7E61">
        <w:rPr>
          <w:rFonts w:ascii="Garamond" w:eastAsiaTheme="minorEastAsia" w:hAnsi="Garamond" w:cs="Arial"/>
        </w:rPr>
        <w:t>-</w:t>
      </w:r>
      <w:r>
        <w:rPr>
          <w:rFonts w:ascii="Garamond" w:eastAsiaTheme="minorEastAsia" w:hAnsi="Garamond" w:cs="Arial"/>
        </w:rPr>
        <w:t xml:space="preserve">old’s best interests and needs relevant information to make an informed and valid decision. However, a claim by the proxy is unlikely to focus on </w:t>
      </w:r>
      <w:r w:rsidRPr="00BE14DF">
        <w:rPr>
          <w:rFonts w:ascii="Garamond" w:eastAsiaTheme="minorEastAsia" w:hAnsi="Garamond" w:cs="Arial"/>
          <w:i/>
        </w:rPr>
        <w:t>their</w:t>
      </w:r>
      <w:r>
        <w:rPr>
          <w:rFonts w:ascii="Garamond" w:eastAsiaTheme="minorEastAsia" w:hAnsi="Garamond" w:cs="Arial"/>
        </w:rPr>
        <w:t xml:space="preserve"> loss of autonomy because t</w:t>
      </w:r>
      <w:r w:rsidRPr="009E5844">
        <w:rPr>
          <w:rFonts w:ascii="Garamond" w:eastAsiaTheme="minorEastAsia" w:hAnsi="Garamond" w:cs="Arial"/>
        </w:rPr>
        <w:t xml:space="preserve">he function </w:t>
      </w:r>
      <w:r w:rsidRPr="009E5844">
        <w:rPr>
          <w:rFonts w:ascii="Garamond" w:eastAsiaTheme="minorEastAsia" w:hAnsi="Garamond" w:cs="Arial"/>
        </w:rPr>
        <w:lastRenderedPageBreak/>
        <w:t>of providing consent is not to protect the autonomy interests of the adult, but to prioritise the child’s welfare.</w:t>
      </w:r>
      <w:r w:rsidRPr="009E5844">
        <w:rPr>
          <w:rFonts w:ascii="Garamond" w:eastAsiaTheme="minorEastAsia" w:hAnsi="Garamond" w:cs="Arial"/>
          <w:vertAlign w:val="superscript"/>
        </w:rPr>
        <w:footnoteReference w:id="96"/>
      </w:r>
      <w:r w:rsidRPr="009E5844">
        <w:rPr>
          <w:rFonts w:ascii="Garamond" w:eastAsiaTheme="minorEastAsia" w:hAnsi="Garamond" w:cs="Arial"/>
        </w:rPr>
        <w:t xml:space="preserve"> </w:t>
      </w:r>
      <w:r>
        <w:rPr>
          <w:rFonts w:ascii="Garamond" w:eastAsiaTheme="minorEastAsia" w:hAnsi="Garamond" w:cs="Arial"/>
        </w:rPr>
        <w:t>The</w:t>
      </w:r>
      <w:r w:rsidR="00A17C18">
        <w:rPr>
          <w:rFonts w:ascii="Garamond" w:eastAsiaTheme="minorEastAsia" w:hAnsi="Garamond" w:cs="Arial"/>
        </w:rPr>
        <w:t xml:space="preserve"> proxy</w:t>
      </w:r>
      <w:r>
        <w:rPr>
          <w:rFonts w:ascii="Garamond" w:eastAsiaTheme="minorEastAsia" w:hAnsi="Garamond" w:cs="Arial"/>
        </w:rPr>
        <w:t xml:space="preserve"> may have a claim </w:t>
      </w:r>
      <w:r w:rsidR="00A17C18">
        <w:rPr>
          <w:rFonts w:ascii="Garamond" w:eastAsiaTheme="minorEastAsia" w:hAnsi="Garamond" w:cs="Arial"/>
        </w:rPr>
        <w:t xml:space="preserve">in negligent information disclosure </w:t>
      </w:r>
      <w:r>
        <w:rPr>
          <w:rFonts w:ascii="Garamond" w:eastAsiaTheme="minorEastAsia" w:hAnsi="Garamond" w:cs="Arial"/>
        </w:rPr>
        <w:t xml:space="preserve">on the child’s behalf if a failure to inform the proxy led to a decision to treat that would have come within the scope of the proxy’s parental responsibility to refuse. </w:t>
      </w:r>
    </w:p>
    <w:p w14:paraId="1A4FC0A9" w14:textId="77777777" w:rsidR="00014D5C" w:rsidRPr="004112CD" w:rsidRDefault="00014D5C" w:rsidP="003238D6">
      <w:pPr>
        <w:rPr>
          <w:rFonts w:ascii="Garamond" w:eastAsiaTheme="minorEastAsia" w:hAnsi="Garamond" w:cs="Arial"/>
        </w:rPr>
      </w:pPr>
    </w:p>
    <w:p w14:paraId="14076FCC" w14:textId="18308CB9" w:rsidR="00014D5C" w:rsidRPr="00963288" w:rsidRDefault="00014D5C" w:rsidP="00DC5EF6">
      <w:pPr>
        <w:ind w:left="-340" w:firstLine="340"/>
        <w:contextualSpacing/>
        <w:jc w:val="center"/>
        <w:outlineLvl w:val="0"/>
        <w:rPr>
          <w:rFonts w:ascii="Garamond" w:eastAsiaTheme="majorEastAsia" w:hAnsi="Garamond" w:cs="Arial"/>
          <w:b/>
          <w:bCs/>
        </w:rPr>
      </w:pPr>
      <w:r w:rsidRPr="00963288">
        <w:rPr>
          <w:rFonts w:ascii="Garamond" w:eastAsiaTheme="majorEastAsia" w:hAnsi="Garamond" w:cs="Arial"/>
          <w:b/>
          <w:bCs/>
        </w:rPr>
        <w:t>I</w:t>
      </w:r>
      <w:r>
        <w:rPr>
          <w:rFonts w:ascii="Garamond" w:eastAsiaTheme="majorEastAsia" w:hAnsi="Garamond" w:cs="Arial"/>
          <w:b/>
          <w:bCs/>
        </w:rPr>
        <w:t>V</w:t>
      </w:r>
      <w:r w:rsidRPr="00963288">
        <w:rPr>
          <w:rFonts w:ascii="Garamond" w:eastAsiaTheme="majorEastAsia" w:hAnsi="Garamond" w:cs="Arial"/>
          <w:b/>
          <w:bCs/>
        </w:rPr>
        <w:t>. BATTERY</w:t>
      </w:r>
    </w:p>
    <w:p w14:paraId="0E044E57" w14:textId="5CFA42EC" w:rsidR="00014D5C" w:rsidRPr="00963288" w:rsidRDefault="00014D5C" w:rsidP="002612A7">
      <w:pPr>
        <w:rPr>
          <w:rFonts w:ascii="Garamond" w:eastAsiaTheme="minorEastAsia" w:hAnsi="Garamond" w:cs="Arial"/>
        </w:rPr>
      </w:pPr>
      <w:r>
        <w:rPr>
          <w:rFonts w:ascii="Garamond" w:eastAsiaTheme="minorEastAsia" w:hAnsi="Garamond" w:cs="Arial"/>
        </w:rPr>
        <w:t xml:space="preserve">Having outlined the </w:t>
      </w:r>
      <w:r w:rsidR="00B5775C">
        <w:rPr>
          <w:rFonts w:ascii="Garamond" w:eastAsiaTheme="minorEastAsia" w:hAnsi="Garamond" w:cs="Arial"/>
        </w:rPr>
        <w:t xml:space="preserve">potential </w:t>
      </w:r>
      <w:r>
        <w:rPr>
          <w:rFonts w:ascii="Garamond" w:eastAsiaTheme="minorEastAsia" w:hAnsi="Garamond" w:cs="Arial"/>
        </w:rPr>
        <w:t xml:space="preserve">difficulties children face in claiming in negligence, we now turn to battery. Our aim is not to provide a single definitive position but to outline a variety of possible arguments that might be raised as to battery’s relevance. These arguments </w:t>
      </w:r>
      <w:r w:rsidR="00B5775C">
        <w:rPr>
          <w:rFonts w:ascii="Garamond" w:eastAsiaTheme="minorEastAsia" w:hAnsi="Garamond" w:cs="Arial"/>
        </w:rPr>
        <w:t xml:space="preserve">demonstrate the paradoxical relevance of battery to children and </w:t>
      </w:r>
      <w:r>
        <w:rPr>
          <w:rFonts w:ascii="Garamond" w:eastAsiaTheme="minorEastAsia" w:hAnsi="Garamond" w:cs="Arial"/>
        </w:rPr>
        <w:t>provide an additional incentive to disclose to children information needed to make a decision.</w:t>
      </w:r>
    </w:p>
    <w:p w14:paraId="5083AEBB" w14:textId="41C166E6" w:rsidR="00014D5C" w:rsidRPr="00963288" w:rsidRDefault="00014D5C" w:rsidP="00927F68">
      <w:pPr>
        <w:ind w:firstLine="720"/>
        <w:rPr>
          <w:rFonts w:ascii="Garamond" w:eastAsiaTheme="minorEastAsia" w:hAnsi="Garamond" w:cs="Arial"/>
        </w:rPr>
      </w:pPr>
      <w:r w:rsidRPr="00963288">
        <w:rPr>
          <w:rFonts w:ascii="Garamond" w:eastAsiaTheme="minorEastAsia" w:hAnsi="Garamond" w:cs="Arial"/>
        </w:rPr>
        <w:t xml:space="preserve">In </w:t>
      </w:r>
      <w:r w:rsidRPr="00963288">
        <w:rPr>
          <w:rFonts w:ascii="Garamond" w:eastAsiaTheme="minorEastAsia" w:hAnsi="Garamond" w:cs="Arial"/>
          <w:i/>
        </w:rPr>
        <w:t>Collins v Wilcock</w:t>
      </w:r>
      <w:r w:rsidRPr="00963288">
        <w:rPr>
          <w:rFonts w:ascii="Garamond" w:eastAsiaTheme="minorEastAsia" w:hAnsi="Garamond" w:cs="Arial"/>
        </w:rPr>
        <w:t>, Goff L</w:t>
      </w:r>
      <w:r>
        <w:rPr>
          <w:rFonts w:ascii="Garamond" w:eastAsiaTheme="minorEastAsia" w:hAnsi="Garamond" w:cs="Arial"/>
        </w:rPr>
        <w:t>.</w:t>
      </w:r>
      <w:r w:rsidRPr="00963288">
        <w:rPr>
          <w:rFonts w:ascii="Garamond" w:eastAsiaTheme="minorEastAsia" w:hAnsi="Garamond" w:cs="Arial"/>
        </w:rPr>
        <w:t>J</w:t>
      </w:r>
      <w:r>
        <w:rPr>
          <w:rFonts w:ascii="Garamond" w:eastAsiaTheme="minorEastAsia" w:hAnsi="Garamond" w:cs="Arial"/>
        </w:rPr>
        <w:t>.</w:t>
      </w:r>
      <w:r w:rsidRPr="00963288">
        <w:rPr>
          <w:rFonts w:ascii="Garamond" w:eastAsiaTheme="minorEastAsia" w:hAnsi="Garamond" w:cs="Arial"/>
        </w:rPr>
        <w:t xml:space="preserve"> defined battery as: ‘the actual infliction of unlawful force on another person’.</w:t>
      </w:r>
      <w:r w:rsidRPr="00963288">
        <w:rPr>
          <w:rFonts w:ascii="Garamond" w:eastAsiaTheme="minorEastAsia" w:hAnsi="Garamond" w:cs="Arial"/>
          <w:vertAlign w:val="superscript"/>
        </w:rPr>
        <w:footnoteReference w:id="97"/>
      </w:r>
      <w:r w:rsidRPr="00963288">
        <w:rPr>
          <w:rFonts w:ascii="Garamond" w:eastAsiaTheme="minorEastAsia" w:hAnsi="Garamond" w:cs="Arial"/>
        </w:rPr>
        <w:t xml:space="preserve"> As a trespass tort, the touching must be intentional and direct.</w:t>
      </w:r>
      <w:r w:rsidRPr="00963288">
        <w:rPr>
          <w:rStyle w:val="FootnoteReference"/>
          <w:rFonts w:ascii="Garamond" w:eastAsiaTheme="minorEastAsia" w:hAnsi="Garamond" w:cs="Arial"/>
        </w:rPr>
        <w:footnoteReference w:id="98"/>
      </w:r>
      <w:r w:rsidRPr="00963288">
        <w:rPr>
          <w:rFonts w:ascii="Garamond" w:eastAsiaTheme="minorEastAsia" w:hAnsi="Garamond" w:cs="Arial"/>
        </w:rPr>
        <w:t xml:space="preserve"> </w:t>
      </w:r>
      <w:r w:rsidR="00170922">
        <w:rPr>
          <w:rFonts w:ascii="Garamond" w:eastAsiaTheme="minorEastAsia" w:hAnsi="Garamond" w:cs="Arial"/>
        </w:rPr>
        <w:t>This tort is actionable per se</w:t>
      </w:r>
      <w:r w:rsidR="003D2857">
        <w:rPr>
          <w:rFonts w:ascii="Garamond" w:eastAsiaTheme="minorEastAsia" w:hAnsi="Garamond" w:cs="Arial"/>
        </w:rPr>
        <w:t xml:space="preserve">, meaning that, unlike with negligence, there is no need for the claimant to suffer any loss or damage. </w:t>
      </w:r>
      <w:r w:rsidRPr="00963288">
        <w:rPr>
          <w:rFonts w:ascii="Garamond" w:eastAsiaTheme="minorEastAsia" w:hAnsi="Garamond" w:cs="Arial"/>
        </w:rPr>
        <w:t>Consent provides ‘those concerned in the treatment with a defence to…a civil claim for damages for trespass to the person’.</w:t>
      </w:r>
      <w:r w:rsidRPr="00963288">
        <w:rPr>
          <w:rFonts w:ascii="Garamond" w:eastAsiaTheme="minorEastAsia" w:hAnsi="Garamond" w:cs="Arial"/>
          <w:vertAlign w:val="superscript"/>
        </w:rPr>
        <w:footnoteReference w:id="99"/>
      </w:r>
      <w:r>
        <w:rPr>
          <w:rFonts w:ascii="Garamond" w:eastAsiaTheme="minorEastAsia" w:hAnsi="Garamond" w:cs="Arial"/>
        </w:rPr>
        <w:t xml:space="preserve"> </w:t>
      </w:r>
      <w:r w:rsidRPr="00963288">
        <w:rPr>
          <w:rFonts w:ascii="Garamond" w:eastAsiaTheme="minorEastAsia" w:hAnsi="Garamond" w:cs="Arial"/>
        </w:rPr>
        <w:t xml:space="preserve">In relation to unconsented to bodily invasions, the case law </w:t>
      </w:r>
      <w:r w:rsidR="00E33519">
        <w:rPr>
          <w:rFonts w:ascii="Garamond" w:eastAsiaTheme="minorEastAsia" w:hAnsi="Garamond" w:cs="Arial"/>
        </w:rPr>
        <w:t>is</w:t>
      </w:r>
      <w:r w:rsidRPr="00963288">
        <w:rPr>
          <w:rFonts w:ascii="Garamond" w:eastAsiaTheme="minorEastAsia" w:hAnsi="Garamond" w:cs="Arial"/>
        </w:rPr>
        <w:t xml:space="preserve"> clear that a claim in battery will lie in the case of an adult with mental capacity,</w:t>
      </w:r>
      <w:r w:rsidRPr="00963288">
        <w:rPr>
          <w:rFonts w:ascii="Garamond" w:eastAsiaTheme="minorEastAsia" w:hAnsi="Garamond" w:cs="Arial"/>
          <w:vertAlign w:val="superscript"/>
        </w:rPr>
        <w:footnoteReference w:id="100"/>
      </w:r>
      <w:r w:rsidRPr="00963288">
        <w:rPr>
          <w:rFonts w:ascii="Garamond" w:eastAsiaTheme="minorEastAsia" w:hAnsi="Garamond" w:cs="Arial"/>
        </w:rPr>
        <w:t xml:space="preserve"> and by extension to a young person of 16 or 17. </w:t>
      </w:r>
      <w:r>
        <w:rPr>
          <w:rFonts w:ascii="Garamond" w:eastAsiaTheme="minorEastAsia" w:hAnsi="Garamond" w:cs="Arial"/>
        </w:rPr>
        <w:t>For children under 16 too</w:t>
      </w:r>
      <w:r w:rsidRPr="00963288">
        <w:rPr>
          <w:rFonts w:ascii="Garamond" w:eastAsiaTheme="minorEastAsia" w:hAnsi="Garamond" w:cs="Arial"/>
        </w:rPr>
        <w:t>, treatment without any consent constitutes a battery</w:t>
      </w:r>
      <w:r>
        <w:rPr>
          <w:rFonts w:ascii="Garamond" w:eastAsiaTheme="minorEastAsia" w:hAnsi="Garamond" w:cs="Arial"/>
        </w:rPr>
        <w:t>, except in cases of emergency</w:t>
      </w:r>
      <w:r w:rsidRPr="00963288">
        <w:rPr>
          <w:rFonts w:ascii="Garamond" w:eastAsiaTheme="minorEastAsia" w:hAnsi="Garamond" w:cs="Arial"/>
        </w:rPr>
        <w:t>.</w:t>
      </w:r>
      <w:r w:rsidRPr="00963288">
        <w:rPr>
          <w:rFonts w:ascii="Garamond" w:eastAsiaTheme="minorEastAsia" w:hAnsi="Garamond" w:cs="Arial"/>
          <w:vertAlign w:val="superscript"/>
        </w:rPr>
        <w:footnoteReference w:id="101"/>
      </w:r>
      <w:r w:rsidRPr="00963288">
        <w:rPr>
          <w:rFonts w:ascii="Garamond" w:eastAsiaTheme="minorEastAsia" w:hAnsi="Garamond" w:cs="Arial"/>
        </w:rPr>
        <w:t xml:space="preserve"> </w:t>
      </w:r>
      <w:r>
        <w:rPr>
          <w:rFonts w:ascii="Garamond" w:eastAsiaTheme="minorEastAsia" w:hAnsi="Garamond" w:cs="Arial"/>
        </w:rPr>
        <w:t>Consent may come from the child or a proxy, such as a parent or the court.</w:t>
      </w:r>
    </w:p>
    <w:p w14:paraId="57E68AFB" w14:textId="2BA38218" w:rsidR="00014D5C" w:rsidRDefault="00014D5C" w:rsidP="00DC5EF6">
      <w:pPr>
        <w:ind w:firstLine="720"/>
        <w:rPr>
          <w:rFonts w:ascii="Garamond" w:eastAsiaTheme="minorEastAsia" w:hAnsi="Garamond" w:cs="Arial"/>
        </w:rPr>
      </w:pPr>
      <w:r w:rsidRPr="00963288">
        <w:rPr>
          <w:rFonts w:ascii="Garamond" w:eastAsiaTheme="minorEastAsia" w:hAnsi="Garamond" w:cs="Arial"/>
        </w:rPr>
        <w:lastRenderedPageBreak/>
        <w:t xml:space="preserve">Historically, the prevalent view in the literature was that ‘it would be very much against the interests of justice if actions which are really based on a failure by the doctor to perform his duty adequately to </w:t>
      </w:r>
      <w:r w:rsidR="00E33519">
        <w:rPr>
          <w:rFonts w:ascii="Garamond" w:eastAsiaTheme="minorEastAsia" w:hAnsi="Garamond" w:cs="Arial"/>
        </w:rPr>
        <w:t>inform were pleaded in trespass</w:t>
      </w:r>
      <w:r w:rsidRPr="00963288">
        <w:rPr>
          <w:rFonts w:ascii="Garamond" w:eastAsiaTheme="minorEastAsia" w:hAnsi="Garamond" w:cs="Arial"/>
        </w:rPr>
        <w:t>’</w:t>
      </w:r>
      <w:r w:rsidR="00E33519">
        <w:rPr>
          <w:rFonts w:ascii="Garamond" w:eastAsiaTheme="minorEastAsia" w:hAnsi="Garamond" w:cs="Arial"/>
        </w:rPr>
        <w:t>.</w:t>
      </w:r>
      <w:r w:rsidRPr="00963288">
        <w:rPr>
          <w:rStyle w:val="FootnoteReference"/>
          <w:rFonts w:ascii="Garamond" w:eastAsiaTheme="minorEastAsia" w:hAnsi="Garamond" w:cs="Arial"/>
        </w:rPr>
        <w:footnoteReference w:id="102"/>
      </w:r>
      <w:r w:rsidRPr="00963288">
        <w:rPr>
          <w:rFonts w:ascii="Garamond" w:eastAsiaTheme="minorEastAsia" w:hAnsi="Garamond" w:cs="Arial"/>
        </w:rPr>
        <w:t xml:space="preserve"> Brazier argued that after </w:t>
      </w:r>
      <w:proofErr w:type="spellStart"/>
      <w:r w:rsidRPr="00963288">
        <w:rPr>
          <w:rFonts w:ascii="Garamond" w:eastAsiaTheme="minorEastAsia" w:hAnsi="Garamond" w:cs="Arial"/>
          <w:i/>
        </w:rPr>
        <w:t>Sidaway</w:t>
      </w:r>
      <w:proofErr w:type="spellEnd"/>
      <w:r w:rsidRPr="00963288">
        <w:rPr>
          <w:rFonts w:ascii="Garamond" w:eastAsiaTheme="minorEastAsia" w:hAnsi="Garamond" w:cs="Arial"/>
        </w:rPr>
        <w:t xml:space="preserve"> </w:t>
      </w:r>
      <w:r w:rsidRPr="00963288">
        <w:rPr>
          <w:rFonts w:ascii="Garamond" w:eastAsiaTheme="minorEastAsia" w:hAnsi="Garamond" w:cs="Arial"/>
          <w:iCs/>
        </w:rPr>
        <w:t>‘[l]</w:t>
      </w:r>
      <w:proofErr w:type="spellStart"/>
      <w:r w:rsidRPr="00963288">
        <w:rPr>
          <w:rFonts w:ascii="Garamond" w:eastAsiaTheme="minorEastAsia" w:hAnsi="Garamond" w:cs="Arial"/>
          <w:iCs/>
        </w:rPr>
        <w:t>iability</w:t>
      </w:r>
      <w:proofErr w:type="spellEnd"/>
      <w:r w:rsidRPr="00963288">
        <w:rPr>
          <w:rFonts w:ascii="Garamond" w:eastAsiaTheme="minorEastAsia" w:hAnsi="Garamond" w:cs="Arial"/>
          <w:iCs/>
        </w:rPr>
        <w:t xml:space="preserve"> in trespass for failure to disclose risks a</w:t>
      </w:r>
      <w:r w:rsidR="00E33519">
        <w:rPr>
          <w:rFonts w:ascii="Garamond" w:eastAsiaTheme="minorEastAsia" w:hAnsi="Garamond" w:cs="Arial"/>
          <w:iCs/>
        </w:rPr>
        <w:t>ppeared to have been stamped on</w:t>
      </w:r>
      <w:r w:rsidRPr="00963288">
        <w:rPr>
          <w:rFonts w:ascii="Garamond" w:eastAsiaTheme="minorEastAsia" w:hAnsi="Garamond" w:cs="Arial"/>
          <w:iCs/>
        </w:rPr>
        <w:t>’</w:t>
      </w:r>
      <w:r w:rsidR="00E33519">
        <w:rPr>
          <w:rFonts w:ascii="Garamond" w:eastAsiaTheme="minorEastAsia" w:hAnsi="Garamond" w:cs="Arial"/>
          <w:iCs/>
        </w:rPr>
        <w:t>.</w:t>
      </w:r>
      <w:r w:rsidRPr="00963288">
        <w:rPr>
          <w:rFonts w:ascii="Garamond" w:eastAsiaTheme="minorEastAsia" w:hAnsi="Garamond" w:cs="Arial"/>
          <w:iCs/>
          <w:vertAlign w:val="superscript"/>
        </w:rPr>
        <w:footnoteReference w:id="103"/>
      </w:r>
      <w:r w:rsidRPr="00963288">
        <w:rPr>
          <w:rFonts w:ascii="Garamond" w:eastAsiaTheme="minorEastAsia" w:hAnsi="Garamond" w:cs="Arial"/>
          <w:iCs/>
        </w:rPr>
        <w:t xml:space="preserve"> </w:t>
      </w:r>
      <w:r w:rsidRPr="00963288">
        <w:rPr>
          <w:rFonts w:ascii="Garamond" w:eastAsiaTheme="minorEastAsia" w:hAnsi="Garamond" w:cs="Arial"/>
        </w:rPr>
        <w:t>She said that bringing an action against a doctor in battery appears to place them on a par with the police officer who beats a suspect.</w:t>
      </w:r>
      <w:r w:rsidRPr="00963288">
        <w:rPr>
          <w:rFonts w:ascii="Garamond" w:eastAsiaTheme="minorEastAsia" w:hAnsi="Garamond" w:cs="Arial"/>
          <w:vertAlign w:val="superscript"/>
        </w:rPr>
        <w:footnoteReference w:id="104"/>
      </w:r>
      <w:r w:rsidRPr="00963288">
        <w:rPr>
          <w:rFonts w:ascii="Garamond" w:eastAsiaTheme="minorEastAsia" w:hAnsi="Garamond" w:cs="Arial"/>
        </w:rPr>
        <w:t xml:space="preserve"> </w:t>
      </w:r>
    </w:p>
    <w:p w14:paraId="2F9F1DD2" w14:textId="304A17D8" w:rsidR="00014D5C" w:rsidRPr="00B5775C" w:rsidRDefault="00014D5C" w:rsidP="00ED2E86">
      <w:pPr>
        <w:ind w:firstLine="720"/>
        <w:rPr>
          <w:rFonts w:ascii="Garamond" w:eastAsiaTheme="minorEastAsia" w:hAnsi="Garamond" w:cs="Arial"/>
        </w:rPr>
      </w:pPr>
      <w:r w:rsidRPr="00B5775C">
        <w:rPr>
          <w:rFonts w:ascii="Garamond" w:eastAsiaTheme="minorEastAsia" w:hAnsi="Garamond" w:cs="Arial"/>
        </w:rPr>
        <w:t xml:space="preserve">There is, however, evidence that the courts could, and should, consider utilising the tort in paediatric cases. The evidence in question is of a more permissive stance regarding the protection of patient autonomy </w:t>
      </w:r>
      <w:r w:rsidRPr="00B5775C">
        <w:rPr>
          <w:rFonts w:ascii="Garamond" w:eastAsiaTheme="minorEastAsia" w:hAnsi="Garamond" w:cs="Arial"/>
          <w:i/>
        </w:rPr>
        <w:t>via</w:t>
      </w:r>
      <w:r w:rsidRPr="00B5775C">
        <w:rPr>
          <w:rFonts w:ascii="Garamond" w:eastAsiaTheme="minorEastAsia" w:hAnsi="Garamond" w:cs="Arial"/>
        </w:rPr>
        <w:t xml:space="preserve"> the tort of battery. Since Brazier’s important article, </w:t>
      </w:r>
      <w:r w:rsidRPr="00B5775C">
        <w:rPr>
          <w:rFonts w:ascii="Garamond" w:eastAsiaTheme="minorEastAsia" w:hAnsi="Garamond" w:cs="Arial"/>
          <w:i/>
        </w:rPr>
        <w:t>F v West Berkshire HA</w:t>
      </w:r>
      <w:r w:rsidRPr="00B5775C">
        <w:rPr>
          <w:rFonts w:ascii="Garamond" w:eastAsiaTheme="minorEastAsia" w:hAnsi="Garamond" w:cs="Arial"/>
          <w:vertAlign w:val="superscript"/>
        </w:rPr>
        <w:footnoteReference w:id="105"/>
      </w:r>
      <w:r w:rsidRPr="00B5775C">
        <w:rPr>
          <w:rFonts w:ascii="Garamond" w:eastAsiaTheme="minorEastAsia" w:hAnsi="Garamond" w:cs="Arial"/>
          <w:i/>
        </w:rPr>
        <w:t xml:space="preserve"> </w:t>
      </w:r>
      <w:r w:rsidRPr="00B5775C">
        <w:rPr>
          <w:rFonts w:ascii="Garamond" w:eastAsiaTheme="minorEastAsia" w:hAnsi="Garamond" w:cs="Arial"/>
        </w:rPr>
        <w:t>confirmed that hostility was not a requirement for battery. There has also been a retreat from medical paternalism</w:t>
      </w:r>
      <w:r w:rsidRPr="00B5775C">
        <w:rPr>
          <w:rStyle w:val="FootnoteReference"/>
          <w:rFonts w:ascii="Garamond" w:eastAsiaTheme="minorEastAsia" w:hAnsi="Garamond" w:cs="Arial"/>
        </w:rPr>
        <w:footnoteReference w:id="106"/>
      </w:r>
      <w:r w:rsidRPr="00B5775C">
        <w:rPr>
          <w:rFonts w:ascii="Garamond" w:eastAsiaTheme="minorEastAsia" w:hAnsi="Garamond" w:cs="Arial"/>
        </w:rPr>
        <w:t xml:space="preserve"> and a reduction in deference to healthcare professionals.</w:t>
      </w:r>
      <w:r w:rsidRPr="00B5775C">
        <w:rPr>
          <w:rStyle w:val="FootnoteReference"/>
          <w:rFonts w:ascii="Garamond" w:eastAsiaTheme="minorEastAsia" w:hAnsi="Garamond" w:cs="Arial"/>
        </w:rPr>
        <w:footnoteReference w:id="107"/>
      </w:r>
      <w:r w:rsidRPr="00B5775C">
        <w:rPr>
          <w:rStyle w:val="FootnoteReference"/>
          <w:rFonts w:ascii="Garamond" w:eastAsiaTheme="minorEastAsia" w:hAnsi="Garamond" w:cs="Arial"/>
        </w:rPr>
        <w:t xml:space="preserve"> </w:t>
      </w:r>
      <w:r w:rsidRPr="00B5775C">
        <w:rPr>
          <w:rFonts w:ascii="Garamond" w:eastAsiaTheme="minorEastAsia" w:hAnsi="Garamond" w:cs="Arial"/>
        </w:rPr>
        <w:t xml:space="preserve">Tacit reliance on battery is at the heart of the landmark decision in </w:t>
      </w:r>
      <w:r w:rsidRPr="00B5775C">
        <w:rPr>
          <w:rFonts w:ascii="Garamond" w:eastAsiaTheme="minorEastAsia" w:hAnsi="Garamond" w:cs="Arial"/>
          <w:i/>
        </w:rPr>
        <w:t>Aintree</w:t>
      </w:r>
      <w:r w:rsidR="00B5775C" w:rsidRPr="00B5775C">
        <w:rPr>
          <w:rFonts w:ascii="Garamond" w:hAnsi="Garamond" w:cs="Arial"/>
          <w:i/>
        </w:rPr>
        <w:t xml:space="preserve"> University Hospitals NHS Trust v James</w:t>
      </w:r>
      <w:r w:rsidRPr="00B5775C">
        <w:rPr>
          <w:rFonts w:ascii="Garamond" w:eastAsiaTheme="minorEastAsia" w:hAnsi="Garamond" w:cs="Arial"/>
        </w:rPr>
        <w:t>.</w:t>
      </w:r>
      <w:r w:rsidRPr="00B5775C">
        <w:rPr>
          <w:rStyle w:val="FootnoteReference"/>
          <w:rFonts w:ascii="Garamond" w:eastAsiaTheme="minorEastAsia" w:hAnsi="Garamond" w:cs="Arial"/>
        </w:rPr>
        <w:footnoteReference w:id="108"/>
      </w:r>
      <w:r w:rsidRPr="00B5775C">
        <w:rPr>
          <w:rFonts w:ascii="Garamond" w:eastAsiaTheme="minorEastAsia" w:hAnsi="Garamond" w:cs="Arial"/>
        </w:rPr>
        <w:t xml:space="preserve"> There, the Supreme Court emphasised the unlawfulness of continued medical treatment that was not justified in the best interests of a patient who lacked capacity. The Court recognised that ‘the fundamental question is whether it is lawful to give the treatment, not whether it is lawful to withhold it.’</w:t>
      </w:r>
      <w:r w:rsidRPr="00B5775C">
        <w:rPr>
          <w:rStyle w:val="FootnoteReference"/>
          <w:rFonts w:ascii="Garamond" w:eastAsiaTheme="minorEastAsia" w:hAnsi="Garamond" w:cs="Arial"/>
        </w:rPr>
        <w:footnoteReference w:id="109"/>
      </w:r>
      <w:r w:rsidRPr="00B5775C">
        <w:rPr>
          <w:rFonts w:ascii="Garamond" w:eastAsiaTheme="minorEastAsia" w:hAnsi="Garamond" w:cs="Arial"/>
        </w:rPr>
        <w:t xml:space="preserve"> Consider also </w:t>
      </w:r>
      <w:r w:rsidR="00B5775C" w:rsidRPr="00B5775C">
        <w:rPr>
          <w:rFonts w:ascii="Garamond" w:eastAsiaTheme="minorEastAsia" w:hAnsi="Garamond" w:cs="Arial"/>
          <w:i/>
        </w:rPr>
        <w:t>Ms B v An NHS Hospital Trust</w:t>
      </w:r>
      <w:r w:rsidRPr="00B5775C">
        <w:rPr>
          <w:rFonts w:ascii="Garamond" w:eastAsiaTheme="minorEastAsia" w:hAnsi="Garamond" w:cs="Arial"/>
        </w:rPr>
        <w:t>,</w:t>
      </w:r>
      <w:r w:rsidRPr="00B5775C">
        <w:rPr>
          <w:rStyle w:val="FootnoteReference"/>
          <w:rFonts w:ascii="Garamond" w:eastAsiaTheme="minorEastAsia" w:hAnsi="Garamond" w:cs="Arial"/>
        </w:rPr>
        <w:footnoteReference w:id="110"/>
      </w:r>
      <w:r w:rsidRPr="00B5775C">
        <w:rPr>
          <w:rFonts w:ascii="Garamond" w:eastAsiaTheme="minorEastAsia" w:hAnsi="Garamond" w:cs="Arial"/>
        </w:rPr>
        <w:t xml:space="preserve"> where Butler-</w:t>
      </w:r>
      <w:proofErr w:type="spellStart"/>
      <w:r w:rsidRPr="00B5775C">
        <w:rPr>
          <w:rFonts w:ascii="Garamond" w:eastAsiaTheme="minorEastAsia" w:hAnsi="Garamond" w:cs="Arial"/>
        </w:rPr>
        <w:t>Sloss</w:t>
      </w:r>
      <w:proofErr w:type="spellEnd"/>
      <w:r w:rsidRPr="00B5775C">
        <w:rPr>
          <w:rFonts w:ascii="Garamond" w:eastAsiaTheme="minorEastAsia" w:hAnsi="Garamond" w:cs="Arial"/>
        </w:rPr>
        <w:t xml:space="preserve"> P. upheld Ms B’s refusal of treatment even though it would result in her death. She had capacity to make the decision so continued treatment, absent valid consent, would constitute a battery.</w:t>
      </w:r>
      <w:r w:rsidRPr="00B5775C">
        <w:rPr>
          <w:rFonts w:ascii="Garamond" w:eastAsiaTheme="minorEastAsia" w:hAnsi="Garamond" w:cs="Arial"/>
          <w:vertAlign w:val="superscript"/>
        </w:rPr>
        <w:footnoteReference w:id="111"/>
      </w:r>
      <w:r w:rsidRPr="00B5775C">
        <w:rPr>
          <w:rFonts w:ascii="Garamond" w:eastAsiaTheme="minorEastAsia" w:hAnsi="Garamond" w:cs="Arial"/>
        </w:rPr>
        <w:t xml:space="preserve"> </w:t>
      </w:r>
    </w:p>
    <w:p w14:paraId="4E65AA1C" w14:textId="122F4B92" w:rsidR="00014D5C" w:rsidRPr="00963288" w:rsidRDefault="00014D5C" w:rsidP="00DC5EF6">
      <w:pPr>
        <w:ind w:firstLine="720"/>
        <w:rPr>
          <w:rFonts w:ascii="Garamond" w:eastAsiaTheme="minorEastAsia" w:hAnsi="Garamond" w:cs="Arial"/>
        </w:rPr>
      </w:pPr>
      <w:r w:rsidRPr="00963288">
        <w:rPr>
          <w:rFonts w:ascii="Garamond" w:eastAsiaTheme="minorEastAsia" w:hAnsi="Garamond" w:cs="Arial"/>
        </w:rPr>
        <w:t xml:space="preserve">An argument that the courts </w:t>
      </w:r>
      <w:r w:rsidRPr="00E33519">
        <w:rPr>
          <w:rFonts w:ascii="Garamond" w:eastAsiaTheme="minorEastAsia" w:hAnsi="Garamond" w:cs="Arial"/>
        </w:rPr>
        <w:t>should</w:t>
      </w:r>
      <w:r w:rsidRPr="00963288">
        <w:rPr>
          <w:rFonts w:ascii="Garamond" w:eastAsiaTheme="minorEastAsia" w:hAnsi="Garamond" w:cs="Arial"/>
        </w:rPr>
        <w:t xml:space="preserve"> permit battery claims in paediatric cases flows from the relevance of best interests and evidence</w:t>
      </w:r>
      <w:r>
        <w:rPr>
          <w:rFonts w:ascii="Garamond" w:eastAsiaTheme="minorEastAsia" w:hAnsi="Garamond" w:cs="Arial"/>
        </w:rPr>
        <w:t xml:space="preserve"> </w:t>
      </w:r>
      <w:r w:rsidRPr="00963288">
        <w:rPr>
          <w:rFonts w:ascii="Garamond" w:eastAsiaTheme="minorEastAsia" w:hAnsi="Garamond" w:cs="Arial"/>
        </w:rPr>
        <w:t xml:space="preserve">of barriers to children claiming in negligence. For adult </w:t>
      </w:r>
      <w:r w:rsidRPr="00963288">
        <w:rPr>
          <w:rFonts w:ascii="Garamond" w:eastAsiaTheme="minorEastAsia" w:hAnsi="Garamond" w:cs="Arial"/>
        </w:rPr>
        <w:lastRenderedPageBreak/>
        <w:t xml:space="preserve">patients, in order for a valid consent to exist it has to be given by someone with capacity, be voluntary and the individual concerned has to know what they are consenting to, which requires them to be given at least </w:t>
      </w:r>
      <w:r w:rsidRPr="00963288">
        <w:rPr>
          <w:rFonts w:ascii="Garamond" w:eastAsiaTheme="minorEastAsia" w:hAnsi="Garamond" w:cs="Arial"/>
          <w:i/>
        </w:rPr>
        <w:t>some</w:t>
      </w:r>
      <w:r w:rsidRPr="00963288">
        <w:rPr>
          <w:rFonts w:ascii="Garamond" w:eastAsiaTheme="minorEastAsia" w:hAnsi="Garamond" w:cs="Arial"/>
        </w:rPr>
        <w:t xml:space="preserve"> information about the treatment. All that is required is that they are informed in broad terms about the nature of the treatment.</w:t>
      </w:r>
      <w:r w:rsidRPr="00963288">
        <w:rPr>
          <w:rFonts w:ascii="Garamond" w:eastAsiaTheme="minorEastAsia" w:hAnsi="Garamond" w:cs="Arial"/>
          <w:vertAlign w:val="superscript"/>
        </w:rPr>
        <w:footnoteReference w:id="112"/>
      </w:r>
      <w:r w:rsidRPr="00963288">
        <w:rPr>
          <w:rFonts w:ascii="Garamond" w:eastAsiaTheme="minorEastAsia" w:hAnsi="Garamond" w:cs="Arial"/>
        </w:rPr>
        <w:t xml:space="preserve"> </w:t>
      </w:r>
    </w:p>
    <w:p w14:paraId="66D30B35" w14:textId="3B72CC2C" w:rsidR="00014D5C" w:rsidRPr="00963288" w:rsidRDefault="00014D5C" w:rsidP="00345ED4">
      <w:pPr>
        <w:ind w:firstLine="720"/>
        <w:rPr>
          <w:rFonts w:ascii="Garamond" w:eastAsiaTheme="minorEastAsia" w:hAnsi="Garamond" w:cs="Arial"/>
        </w:rPr>
      </w:pPr>
      <w:r w:rsidRPr="00963288">
        <w:rPr>
          <w:rFonts w:ascii="Garamond" w:eastAsiaTheme="minorEastAsia" w:hAnsi="Garamond" w:cs="Arial"/>
        </w:rPr>
        <w:t>Paradoxically, the tort that offers minimal protection to adult informational autonomy may have extended significance to under 16s for three reasons: firstly, the application of a different test for capacity; secondly, the requirement to demonstrate capacity; and, thirdly, the relevance of the best interests test regardless of capacity. As we have seen, the best interests test is also relevant to young people of 16</w:t>
      </w:r>
      <w:r>
        <w:rPr>
          <w:rFonts w:ascii="Garamond" w:eastAsiaTheme="minorEastAsia" w:hAnsi="Garamond" w:cs="Arial"/>
        </w:rPr>
        <w:t>-</w:t>
      </w:r>
      <w:r w:rsidRPr="00963288">
        <w:rPr>
          <w:rFonts w:ascii="Garamond" w:eastAsiaTheme="minorEastAsia" w:hAnsi="Garamond" w:cs="Arial"/>
        </w:rPr>
        <w:t xml:space="preserve">17 which suggests that the law of battery may also have special relevance to this age group. </w:t>
      </w:r>
    </w:p>
    <w:p w14:paraId="6B292673" w14:textId="77777777" w:rsidR="00014D5C" w:rsidRPr="00963288" w:rsidRDefault="00014D5C" w:rsidP="00DC5EF6">
      <w:pPr>
        <w:ind w:firstLine="360"/>
        <w:rPr>
          <w:rFonts w:ascii="Garamond" w:eastAsiaTheme="minorEastAsia" w:hAnsi="Garamond" w:cs="Arial"/>
        </w:rPr>
      </w:pPr>
    </w:p>
    <w:p w14:paraId="6CEE2F28" w14:textId="0FC999BE" w:rsidR="00014D5C" w:rsidRPr="00963288" w:rsidRDefault="00246774" w:rsidP="00DC5EF6">
      <w:pPr>
        <w:pStyle w:val="ListParagraph"/>
        <w:numPr>
          <w:ilvl w:val="0"/>
          <w:numId w:val="10"/>
        </w:numPr>
        <w:spacing w:after="0" w:line="480" w:lineRule="auto"/>
        <w:jc w:val="center"/>
        <w:outlineLvl w:val="1"/>
        <w:rPr>
          <w:rFonts w:ascii="Garamond" w:eastAsia="Times New Roman" w:hAnsi="Garamond" w:cs="Arial"/>
          <w:b/>
          <w:bCs/>
          <w:i/>
          <w:color w:val="000000" w:themeColor="text1"/>
          <w:shd w:val="clear" w:color="auto" w:fill="FFFFFF"/>
          <w:lang w:eastAsia="en-GB"/>
        </w:rPr>
      </w:pPr>
      <w:r>
        <w:rPr>
          <w:rFonts w:ascii="Garamond" w:eastAsiaTheme="majorEastAsia" w:hAnsi="Garamond" w:cs="Arial"/>
          <w:b/>
          <w:bCs/>
          <w:i/>
        </w:rPr>
        <w:t>Non-D</w:t>
      </w:r>
      <w:r w:rsidR="00014D5C" w:rsidRPr="00963288">
        <w:rPr>
          <w:rFonts w:ascii="Garamond" w:eastAsiaTheme="majorEastAsia" w:hAnsi="Garamond" w:cs="Arial"/>
          <w:b/>
          <w:bCs/>
          <w:i/>
        </w:rPr>
        <w:t xml:space="preserve">isclosure and the </w:t>
      </w:r>
      <w:r w:rsidR="00014D5C">
        <w:rPr>
          <w:rFonts w:ascii="Garamond" w:eastAsiaTheme="majorEastAsia" w:hAnsi="Garamond" w:cs="Arial"/>
          <w:b/>
          <w:bCs/>
          <w:i/>
        </w:rPr>
        <w:t>Test for C</w:t>
      </w:r>
      <w:r w:rsidR="00014D5C" w:rsidRPr="00963288">
        <w:rPr>
          <w:rFonts w:ascii="Garamond" w:eastAsiaTheme="majorEastAsia" w:hAnsi="Garamond" w:cs="Arial"/>
          <w:b/>
          <w:bCs/>
          <w:i/>
        </w:rPr>
        <w:t>apacity</w:t>
      </w:r>
    </w:p>
    <w:p w14:paraId="19A147AF" w14:textId="16EE9CE6" w:rsidR="00014D5C" w:rsidRPr="000C634E" w:rsidRDefault="00014D5C" w:rsidP="00914716">
      <w:pPr>
        <w:rPr>
          <w:rFonts w:ascii="Garamond" w:eastAsiaTheme="minorEastAsia" w:hAnsi="Garamond" w:cs="Arial"/>
          <w:iCs/>
        </w:rPr>
      </w:pPr>
      <w:r w:rsidRPr="000C634E">
        <w:rPr>
          <w:rFonts w:ascii="Garamond" w:eastAsiaTheme="minorEastAsia" w:hAnsi="Garamond" w:cs="Arial"/>
          <w:iCs/>
        </w:rPr>
        <w:t xml:space="preserve">Let us take the most tentative reason first. For children </w:t>
      </w:r>
      <w:r w:rsidR="00B5775C" w:rsidRPr="000C634E">
        <w:rPr>
          <w:rFonts w:ascii="Garamond" w:eastAsiaTheme="minorEastAsia" w:hAnsi="Garamond" w:cs="Arial"/>
          <w:iCs/>
        </w:rPr>
        <w:t>found to have</w:t>
      </w:r>
      <w:r w:rsidRPr="000C634E">
        <w:rPr>
          <w:rFonts w:ascii="Garamond" w:eastAsiaTheme="minorEastAsia" w:hAnsi="Garamond" w:cs="Arial"/>
          <w:iCs/>
        </w:rPr>
        <w:t xml:space="preserve"> </w:t>
      </w:r>
      <w:r w:rsidRPr="000C634E">
        <w:rPr>
          <w:rFonts w:ascii="Garamond" w:eastAsiaTheme="minorEastAsia" w:hAnsi="Garamond" w:cs="Arial"/>
          <w:i/>
          <w:iCs/>
        </w:rPr>
        <w:t xml:space="preserve">Gillick </w:t>
      </w:r>
      <w:r w:rsidRPr="000C634E">
        <w:rPr>
          <w:rFonts w:ascii="Garamond" w:eastAsiaTheme="minorEastAsia" w:hAnsi="Garamond" w:cs="Arial"/>
          <w:iCs/>
        </w:rPr>
        <w:t>capacity (unlike adults), the tort of battery might be committed where the child is given substandard</w:t>
      </w:r>
      <w:r w:rsidRPr="000C634E">
        <w:rPr>
          <w:rFonts w:ascii="Garamond" w:eastAsiaTheme="minorEastAsia" w:hAnsi="Garamond" w:cs="Arial"/>
          <w:i/>
          <w:iCs/>
        </w:rPr>
        <w:t xml:space="preserve"> </w:t>
      </w:r>
      <w:r w:rsidRPr="000C634E">
        <w:rPr>
          <w:rFonts w:ascii="Garamond" w:eastAsiaTheme="minorEastAsia" w:hAnsi="Garamond" w:cs="Arial"/>
          <w:iCs/>
        </w:rPr>
        <w:t>information because a higher threshold for what constitutes a valid consent may apply.</w:t>
      </w:r>
      <w:r w:rsidR="00981E9B" w:rsidRPr="000C634E">
        <w:rPr>
          <w:rFonts w:ascii="Garamond" w:eastAsiaTheme="minorEastAsia" w:hAnsi="Garamond" w:cs="Arial"/>
          <w:iCs/>
          <w:lang w:val="en-US"/>
        </w:rPr>
        <w:t xml:space="preserve"> Lord Scarman said it was ‘not enough’ that the child should ‘understand the nature of the advice which is being given’.</w:t>
      </w:r>
      <w:r w:rsidRPr="000C634E">
        <w:rPr>
          <w:rStyle w:val="FootnoteReference"/>
          <w:rFonts w:ascii="Garamond" w:eastAsiaTheme="minorEastAsia" w:hAnsi="Garamond" w:cs="Arial"/>
          <w:iCs/>
        </w:rPr>
        <w:footnoteReference w:id="113"/>
      </w:r>
      <w:r w:rsidRPr="000C634E">
        <w:rPr>
          <w:rFonts w:ascii="Garamond" w:eastAsiaTheme="minorEastAsia" w:hAnsi="Garamond" w:cs="Arial"/>
          <w:iCs/>
        </w:rPr>
        <w:t xml:space="preserve"> </w:t>
      </w:r>
    </w:p>
    <w:p w14:paraId="7C89E2E7" w14:textId="7F2D7BCF" w:rsidR="00014D5C" w:rsidRDefault="00014D5C" w:rsidP="00F67526">
      <w:pPr>
        <w:ind w:firstLine="720"/>
        <w:rPr>
          <w:rFonts w:ascii="Garamond" w:eastAsiaTheme="minorEastAsia" w:hAnsi="Garamond" w:cs="Arial"/>
          <w:iCs/>
        </w:rPr>
      </w:pPr>
      <w:r w:rsidRPr="00914716">
        <w:rPr>
          <w:rFonts w:ascii="Garamond" w:eastAsiaTheme="minorEastAsia" w:hAnsi="Garamond" w:cs="Arial"/>
          <w:iCs/>
          <w:lang w:val="en-US"/>
        </w:rPr>
        <w:t>In order for children to have capacity to consent they need to have ‘sufficient maturity and understanding of what is involved.’</w:t>
      </w:r>
      <w:r w:rsidRPr="00914716">
        <w:rPr>
          <w:rFonts w:ascii="Garamond" w:eastAsiaTheme="minorEastAsia" w:hAnsi="Garamond" w:cs="Arial"/>
          <w:iCs/>
          <w:vertAlign w:val="superscript"/>
          <w:lang w:val="en-US"/>
        </w:rPr>
        <w:footnoteReference w:id="114"/>
      </w:r>
      <w:r w:rsidRPr="00914716">
        <w:rPr>
          <w:rFonts w:ascii="Garamond" w:eastAsiaTheme="minorEastAsia" w:hAnsi="Garamond" w:cs="Arial"/>
          <w:iCs/>
          <w:lang w:val="en-US"/>
        </w:rPr>
        <w:t xml:space="preserve"> Lord Scarman said </w:t>
      </w:r>
      <w:r>
        <w:rPr>
          <w:rFonts w:ascii="Garamond" w:eastAsiaTheme="minorEastAsia" w:hAnsi="Garamond" w:cs="Arial"/>
          <w:iCs/>
          <w:lang w:val="en-US"/>
        </w:rPr>
        <w:t>that minors should ‘understand fully what is proposed’.</w:t>
      </w:r>
      <w:r>
        <w:rPr>
          <w:rStyle w:val="FootnoteReference"/>
          <w:rFonts w:ascii="Garamond" w:eastAsiaTheme="minorEastAsia" w:hAnsi="Garamond" w:cs="Arial"/>
          <w:iCs/>
          <w:lang w:val="en-US"/>
        </w:rPr>
        <w:footnoteReference w:id="115"/>
      </w:r>
      <w:r>
        <w:rPr>
          <w:rFonts w:ascii="Garamond" w:eastAsiaTheme="minorEastAsia" w:hAnsi="Garamond" w:cs="Arial"/>
          <w:iCs/>
        </w:rPr>
        <w:t xml:space="preserve"> </w:t>
      </w:r>
      <w:r w:rsidRPr="00963288">
        <w:rPr>
          <w:rFonts w:ascii="Garamond" w:eastAsiaTheme="minorEastAsia" w:hAnsi="Garamond" w:cs="Arial"/>
          <w:iCs/>
        </w:rPr>
        <w:t xml:space="preserve">This indicates that in order for a child to have capacity they need to have a greater understanding </w:t>
      </w:r>
      <w:r>
        <w:rPr>
          <w:rFonts w:ascii="Garamond" w:eastAsiaTheme="minorEastAsia" w:hAnsi="Garamond" w:cs="Arial"/>
          <w:iCs/>
        </w:rPr>
        <w:t xml:space="preserve">of the consequences of the decision </w:t>
      </w:r>
      <w:r w:rsidRPr="00963288">
        <w:rPr>
          <w:rFonts w:ascii="Garamond" w:eastAsiaTheme="minorEastAsia" w:hAnsi="Garamond" w:cs="Arial"/>
          <w:iCs/>
        </w:rPr>
        <w:t>than an adult in a comparable situation, which in turn would impact on the requirements to disclose information.</w:t>
      </w:r>
      <w:r w:rsidRPr="00963288">
        <w:rPr>
          <w:rFonts w:ascii="Garamond" w:eastAsiaTheme="minorEastAsia" w:hAnsi="Garamond" w:cs="Arial"/>
          <w:iCs/>
          <w:vertAlign w:val="superscript"/>
        </w:rPr>
        <w:footnoteReference w:id="116"/>
      </w:r>
      <w:r w:rsidRPr="00963288">
        <w:rPr>
          <w:rFonts w:ascii="Garamond" w:eastAsiaTheme="minorEastAsia" w:hAnsi="Garamond" w:cs="Arial"/>
          <w:iCs/>
        </w:rPr>
        <w:t xml:space="preserve"> If the </w:t>
      </w:r>
      <w:r>
        <w:rPr>
          <w:rFonts w:ascii="Garamond" w:eastAsiaTheme="minorEastAsia" w:hAnsi="Garamond" w:cs="Arial"/>
          <w:iCs/>
        </w:rPr>
        <w:t>child</w:t>
      </w:r>
      <w:r w:rsidRPr="00963288">
        <w:rPr>
          <w:rFonts w:ascii="Garamond" w:eastAsiaTheme="minorEastAsia" w:hAnsi="Garamond" w:cs="Arial"/>
          <w:iCs/>
        </w:rPr>
        <w:t xml:space="preserve">’s consent is to be relied upon, disclosure must enable this high level of understanding or risk liability in battery. </w:t>
      </w:r>
    </w:p>
    <w:p w14:paraId="61FA42A5" w14:textId="28B67462" w:rsidR="00014D5C" w:rsidRDefault="00014D5C" w:rsidP="00C90C45">
      <w:pPr>
        <w:ind w:firstLine="720"/>
        <w:rPr>
          <w:rFonts w:ascii="Garamond" w:eastAsia="Times New Roman" w:hAnsi="Garamond" w:cs="Arial"/>
          <w:lang w:eastAsia="en-GB"/>
        </w:rPr>
      </w:pPr>
      <w:r>
        <w:rPr>
          <w:rFonts w:ascii="Garamond" w:eastAsia="Times New Roman" w:hAnsi="Garamond" w:cs="Arial"/>
          <w:lang w:eastAsia="en-GB"/>
        </w:rPr>
        <w:lastRenderedPageBreak/>
        <w:t xml:space="preserve">What must the child understand? We have seen that </w:t>
      </w:r>
      <w:r w:rsidRPr="00E13DFD">
        <w:rPr>
          <w:rFonts w:ascii="Garamond" w:eastAsia="Times New Roman" w:hAnsi="Garamond" w:cs="Arial"/>
          <w:i/>
          <w:lang w:eastAsia="en-GB"/>
        </w:rPr>
        <w:t>Montgomery</w:t>
      </w:r>
      <w:r>
        <w:rPr>
          <w:rFonts w:ascii="Garamond" w:eastAsia="Times New Roman" w:hAnsi="Garamond" w:cs="Arial"/>
          <w:lang w:eastAsia="en-GB"/>
        </w:rPr>
        <w:t xml:space="preserve"> moves away from the paternalistic model of the HCP proposing a treatment and the patient deciding whether or not to accept it. Instead, where reasonable variant and alternative treatments exist, the HCP should identify them and their risks and the patient should be furnished with information and dialogue sufficient to choose between them. It is unclear whether </w:t>
      </w:r>
      <w:r w:rsidR="00CF702C">
        <w:rPr>
          <w:rFonts w:ascii="Garamond" w:eastAsia="Times New Roman" w:hAnsi="Garamond" w:cs="Arial"/>
          <w:lang w:eastAsia="en-GB"/>
        </w:rPr>
        <w:t xml:space="preserve">the </w:t>
      </w:r>
      <w:r>
        <w:rPr>
          <w:rFonts w:ascii="Garamond" w:eastAsia="Times New Roman" w:hAnsi="Garamond" w:cs="Arial"/>
          <w:lang w:eastAsia="en-GB"/>
        </w:rPr>
        <w:t xml:space="preserve">reasonableness of alternative treatments is determined by </w:t>
      </w:r>
      <w:r w:rsidRPr="00E13DFD">
        <w:rPr>
          <w:rFonts w:ascii="Garamond" w:eastAsia="Times New Roman" w:hAnsi="Garamond" w:cs="Arial"/>
          <w:i/>
          <w:lang w:eastAsia="en-GB"/>
        </w:rPr>
        <w:t>Bolam</w:t>
      </w:r>
      <w:r>
        <w:rPr>
          <w:rFonts w:ascii="Garamond" w:eastAsia="Times New Roman" w:hAnsi="Garamond" w:cs="Arial"/>
          <w:lang w:eastAsia="en-GB"/>
        </w:rPr>
        <w:t xml:space="preserve"> or </w:t>
      </w:r>
      <w:r w:rsidRPr="00E13DFD">
        <w:rPr>
          <w:rFonts w:ascii="Garamond" w:eastAsia="Times New Roman" w:hAnsi="Garamond" w:cs="Arial"/>
          <w:i/>
          <w:lang w:eastAsia="en-GB"/>
        </w:rPr>
        <w:t>Montgomery</w:t>
      </w:r>
      <w:r>
        <w:rPr>
          <w:rFonts w:ascii="Garamond" w:eastAsia="Times New Roman" w:hAnsi="Garamond" w:cs="Arial"/>
          <w:i/>
          <w:lang w:eastAsia="en-GB"/>
        </w:rPr>
        <w:t>,</w:t>
      </w:r>
      <w:r w:rsidRPr="00E13DFD">
        <w:rPr>
          <w:rStyle w:val="FootnoteReference"/>
          <w:rFonts w:ascii="Garamond" w:eastAsia="Times New Roman" w:hAnsi="Garamond" w:cs="Arial"/>
          <w:lang w:eastAsia="en-GB"/>
        </w:rPr>
        <w:footnoteReference w:id="117"/>
      </w:r>
      <w:r>
        <w:rPr>
          <w:rFonts w:ascii="Garamond" w:eastAsia="Times New Roman" w:hAnsi="Garamond" w:cs="Arial"/>
          <w:lang w:eastAsia="en-GB"/>
        </w:rPr>
        <w:t xml:space="preserve"> but the former seems likely.</w:t>
      </w:r>
      <w:r>
        <w:rPr>
          <w:rStyle w:val="FootnoteReference"/>
          <w:rFonts w:ascii="Garamond" w:eastAsia="Times New Roman" w:hAnsi="Garamond" w:cs="Arial"/>
          <w:lang w:eastAsia="en-GB"/>
        </w:rPr>
        <w:footnoteReference w:id="118"/>
      </w:r>
      <w:r>
        <w:rPr>
          <w:rFonts w:ascii="Garamond" w:eastAsia="Times New Roman" w:hAnsi="Garamond" w:cs="Arial"/>
          <w:lang w:eastAsia="en-GB"/>
        </w:rPr>
        <w:t xml:space="preserve"> If </w:t>
      </w:r>
      <w:r w:rsidRPr="00E13DFD">
        <w:rPr>
          <w:rFonts w:ascii="Garamond" w:eastAsia="Times New Roman" w:hAnsi="Garamond" w:cs="Arial"/>
          <w:i/>
          <w:lang w:eastAsia="en-GB"/>
        </w:rPr>
        <w:t>Montgomery</w:t>
      </w:r>
      <w:r>
        <w:rPr>
          <w:rFonts w:ascii="Garamond" w:eastAsia="Times New Roman" w:hAnsi="Garamond" w:cs="Arial"/>
          <w:lang w:eastAsia="en-GB"/>
        </w:rPr>
        <w:t xml:space="preserve"> applies to children, then the standard of disclosure in negligence might have relevance to what is required of the child with </w:t>
      </w:r>
      <w:r w:rsidRPr="00B72446">
        <w:rPr>
          <w:rFonts w:ascii="Garamond" w:eastAsia="Times New Roman" w:hAnsi="Garamond" w:cs="Arial"/>
          <w:i/>
          <w:lang w:eastAsia="en-GB"/>
        </w:rPr>
        <w:t>Gillick</w:t>
      </w:r>
      <w:r>
        <w:rPr>
          <w:rFonts w:ascii="Garamond" w:eastAsia="Times New Roman" w:hAnsi="Garamond" w:cs="Arial"/>
          <w:lang w:eastAsia="en-GB"/>
        </w:rPr>
        <w:t xml:space="preserve"> capacity: coherence might require that the test setting out what must be disclosed (for the purposes of negligence) and the test requiring what must be fully understood (in battery) converge. At the risk of repetition, this is not relevant in adult cases because adults are not required to have full understanding to make a valid consent. </w:t>
      </w:r>
    </w:p>
    <w:p w14:paraId="189B8660" w14:textId="63D61093" w:rsidR="00014D5C" w:rsidRPr="00E13DFD" w:rsidRDefault="00014D5C" w:rsidP="00C90C45">
      <w:pPr>
        <w:ind w:firstLine="720"/>
        <w:rPr>
          <w:rFonts w:ascii="Garamond" w:eastAsia="Times New Roman" w:hAnsi="Garamond" w:cs="Arial"/>
          <w:lang w:eastAsia="en-GB"/>
        </w:rPr>
      </w:pPr>
      <w:r>
        <w:rPr>
          <w:rFonts w:ascii="Garamond" w:eastAsia="Times New Roman" w:hAnsi="Garamond" w:cs="Arial"/>
          <w:lang w:eastAsia="en-GB"/>
        </w:rPr>
        <w:t xml:space="preserve">If </w:t>
      </w:r>
      <w:r w:rsidR="00981E9B">
        <w:rPr>
          <w:rFonts w:ascii="Garamond" w:eastAsia="Times New Roman" w:hAnsi="Garamond" w:cs="Arial"/>
          <w:lang w:eastAsia="en-GB"/>
        </w:rPr>
        <w:t>this interpretation were adopted</w:t>
      </w:r>
      <w:r>
        <w:rPr>
          <w:rFonts w:ascii="Garamond" w:eastAsia="Times New Roman" w:hAnsi="Garamond" w:cs="Arial"/>
          <w:lang w:eastAsia="en-GB"/>
        </w:rPr>
        <w:t xml:space="preserve">, fewer children would be found to have </w:t>
      </w:r>
      <w:r w:rsidRPr="003A502D">
        <w:rPr>
          <w:rFonts w:ascii="Garamond" w:eastAsia="Times New Roman" w:hAnsi="Garamond" w:cs="Arial"/>
          <w:i/>
          <w:lang w:eastAsia="en-GB"/>
        </w:rPr>
        <w:t>Gillick</w:t>
      </w:r>
      <w:r>
        <w:rPr>
          <w:rFonts w:ascii="Garamond" w:eastAsia="Times New Roman" w:hAnsi="Garamond" w:cs="Arial"/>
          <w:lang w:eastAsia="en-GB"/>
        </w:rPr>
        <w:t xml:space="preserve"> capacity</w:t>
      </w:r>
      <w:r w:rsidR="00981E9B">
        <w:rPr>
          <w:rFonts w:ascii="Garamond" w:eastAsia="Times New Roman" w:hAnsi="Garamond" w:cs="Arial"/>
          <w:lang w:eastAsia="en-GB"/>
        </w:rPr>
        <w:t>,</w:t>
      </w:r>
      <w:r>
        <w:rPr>
          <w:rFonts w:ascii="Garamond" w:eastAsia="Times New Roman" w:hAnsi="Garamond" w:cs="Arial"/>
          <w:lang w:eastAsia="en-GB"/>
        </w:rPr>
        <w:t xml:space="preserve"> but non-disclosure of risks or reasonable alternatives could potentially lead to a claim in battery if the child’s consent (as opposed to a proxy’s or the doctrine of necessity) was relied upon. It would need to be established that a failure to provide information resulted in denial of the choice of reasonable alternatives (potentially including not having the treatment), so that the child cannot be said to have fully understood the decision</w:t>
      </w:r>
      <w:r w:rsidR="00CF702C">
        <w:rPr>
          <w:rFonts w:ascii="Garamond" w:eastAsia="Times New Roman" w:hAnsi="Garamond" w:cs="Arial"/>
          <w:lang w:eastAsia="en-GB"/>
        </w:rPr>
        <w:t>. Without this level of understanding</w:t>
      </w:r>
      <w:r>
        <w:rPr>
          <w:rFonts w:ascii="Garamond" w:eastAsia="Times New Roman" w:hAnsi="Garamond" w:cs="Arial"/>
          <w:lang w:eastAsia="en-GB"/>
        </w:rPr>
        <w:t xml:space="preserve"> their decision cannot be regarded as </w:t>
      </w:r>
      <w:proofErr w:type="spellStart"/>
      <w:r>
        <w:rPr>
          <w:rFonts w:ascii="Garamond" w:eastAsia="Times New Roman" w:hAnsi="Garamond" w:cs="Arial"/>
          <w:lang w:eastAsia="en-GB"/>
        </w:rPr>
        <w:t>capacitous</w:t>
      </w:r>
      <w:proofErr w:type="spellEnd"/>
      <w:r>
        <w:rPr>
          <w:rFonts w:ascii="Garamond" w:eastAsia="Times New Roman" w:hAnsi="Garamond" w:cs="Arial"/>
          <w:lang w:eastAsia="en-GB"/>
        </w:rPr>
        <w:t>, thus rendering their consent invalid. In the absence of harm, damages would be minimal, but battery serves a vindicatory function with respect to the interest in physical integrity</w:t>
      </w:r>
      <w:r w:rsidR="00CF702C">
        <w:rPr>
          <w:rFonts w:ascii="Garamond" w:eastAsia="Times New Roman" w:hAnsi="Garamond" w:cs="Arial"/>
          <w:lang w:eastAsia="en-GB"/>
        </w:rPr>
        <w:t>, or protection from</w:t>
      </w:r>
      <w:r>
        <w:rPr>
          <w:rFonts w:ascii="Garamond" w:eastAsia="Times New Roman" w:hAnsi="Garamond" w:cs="Arial"/>
          <w:lang w:eastAsia="en-GB"/>
        </w:rPr>
        <w:t xml:space="preserve"> unwanted physical contact. </w:t>
      </w:r>
    </w:p>
    <w:p w14:paraId="50D2BA98" w14:textId="4310BA7A" w:rsidR="00014D5C" w:rsidRPr="00963288" w:rsidRDefault="00014D5C" w:rsidP="00DC5EF6">
      <w:pPr>
        <w:ind w:firstLine="720"/>
        <w:rPr>
          <w:rFonts w:ascii="Garamond" w:eastAsiaTheme="minorEastAsia" w:hAnsi="Garamond" w:cs="Arial"/>
          <w:iCs/>
        </w:rPr>
      </w:pPr>
      <w:r w:rsidRPr="00963288">
        <w:rPr>
          <w:rFonts w:ascii="Garamond" w:eastAsiaTheme="minorEastAsia" w:hAnsi="Garamond" w:cs="Arial"/>
          <w:iCs/>
        </w:rPr>
        <w:t xml:space="preserve">However, there is evidence of a softening in the judicial approach to </w:t>
      </w:r>
      <w:r w:rsidRPr="00963288">
        <w:rPr>
          <w:rFonts w:ascii="Garamond" w:eastAsiaTheme="minorEastAsia" w:hAnsi="Garamond" w:cs="Arial"/>
          <w:i/>
          <w:iCs/>
        </w:rPr>
        <w:t>Gillick</w:t>
      </w:r>
      <w:r w:rsidRPr="00963288">
        <w:rPr>
          <w:rFonts w:ascii="Garamond" w:eastAsiaTheme="minorEastAsia" w:hAnsi="Garamond" w:cs="Arial"/>
          <w:iCs/>
        </w:rPr>
        <w:t xml:space="preserve"> </w:t>
      </w:r>
      <w:r w:rsidR="00682CFC">
        <w:rPr>
          <w:rFonts w:ascii="Garamond" w:eastAsiaTheme="minorEastAsia" w:hAnsi="Garamond" w:cs="Arial"/>
          <w:iCs/>
        </w:rPr>
        <w:t>capacity</w:t>
      </w:r>
      <w:r w:rsidRPr="00963288">
        <w:rPr>
          <w:rFonts w:ascii="Garamond" w:eastAsiaTheme="minorEastAsia" w:hAnsi="Garamond" w:cs="Arial"/>
          <w:iCs/>
        </w:rPr>
        <w:t xml:space="preserve">. </w:t>
      </w:r>
      <w:r w:rsidRPr="00963288">
        <w:rPr>
          <w:rFonts w:ascii="Garamond" w:eastAsiaTheme="minorEastAsia" w:hAnsi="Garamond" w:cs="Arial"/>
          <w:i/>
          <w:iCs/>
        </w:rPr>
        <w:t>Gillick</w:t>
      </w:r>
      <w:r w:rsidRPr="00963288">
        <w:rPr>
          <w:rFonts w:ascii="Garamond" w:eastAsiaTheme="minorEastAsia" w:hAnsi="Garamond" w:cs="Arial"/>
          <w:iCs/>
        </w:rPr>
        <w:t xml:space="preserve"> was recently applied for the first time in the context of </w:t>
      </w:r>
      <w:r w:rsidR="00076AB6">
        <w:rPr>
          <w:rFonts w:ascii="Garamond" w:eastAsiaTheme="minorEastAsia" w:hAnsi="Garamond" w:cs="Arial"/>
          <w:iCs/>
        </w:rPr>
        <w:t xml:space="preserve">a minor’s </w:t>
      </w:r>
      <w:r w:rsidRPr="00963288">
        <w:rPr>
          <w:rFonts w:ascii="Garamond" w:eastAsiaTheme="minorEastAsia" w:hAnsi="Garamond" w:cs="Arial"/>
          <w:iCs/>
        </w:rPr>
        <w:t xml:space="preserve">consent to adoption in </w:t>
      </w:r>
      <w:r w:rsidRPr="00963288">
        <w:rPr>
          <w:rFonts w:ascii="Garamond" w:eastAsiaTheme="minorEastAsia" w:hAnsi="Garamond" w:cs="Arial"/>
          <w:i/>
          <w:iCs/>
        </w:rPr>
        <w:t>Re S.</w:t>
      </w:r>
      <w:r w:rsidRPr="00963288">
        <w:rPr>
          <w:rFonts w:ascii="Garamond" w:eastAsiaTheme="minorEastAsia" w:hAnsi="Garamond" w:cs="Arial"/>
          <w:iCs/>
          <w:vertAlign w:val="superscript"/>
        </w:rPr>
        <w:footnoteReference w:id="119"/>
      </w:r>
      <w:r w:rsidRPr="00963288">
        <w:rPr>
          <w:rFonts w:ascii="Garamond" w:eastAsiaTheme="minorEastAsia" w:hAnsi="Garamond" w:cs="Arial"/>
          <w:iCs/>
        </w:rPr>
        <w:t xml:space="preserve"> Counsel</w:t>
      </w:r>
      <w:r w:rsidRPr="00963288">
        <w:rPr>
          <w:rFonts w:ascii="Garamond" w:eastAsia="Times New Roman" w:hAnsi="Garamond" w:cs="Arial"/>
          <w:color w:val="000000" w:themeColor="text1"/>
          <w:shd w:val="clear" w:color="auto" w:fill="FFFFFF"/>
          <w:lang w:eastAsia="en-GB"/>
        </w:rPr>
        <w:t xml:space="preserve"> argued that full understanding of the implications of adoption and the legal processes was required. Cobb J</w:t>
      </w:r>
      <w:r>
        <w:rPr>
          <w:rFonts w:ascii="Garamond" w:eastAsia="Times New Roman" w:hAnsi="Garamond" w:cs="Arial"/>
          <w:color w:val="000000" w:themeColor="text1"/>
          <w:shd w:val="clear" w:color="auto" w:fill="FFFFFF"/>
          <w:lang w:eastAsia="en-GB"/>
        </w:rPr>
        <w:t>.</w:t>
      </w:r>
      <w:r w:rsidRPr="00963288">
        <w:rPr>
          <w:rFonts w:ascii="Garamond" w:eastAsia="Times New Roman" w:hAnsi="Garamond" w:cs="Arial"/>
          <w:color w:val="000000" w:themeColor="text1"/>
          <w:shd w:val="clear" w:color="auto" w:fill="FFFFFF"/>
          <w:lang w:eastAsia="en-GB"/>
        </w:rPr>
        <w:t xml:space="preserve"> disagreed, preferring instead to focus on </w:t>
      </w:r>
      <w:r w:rsidRPr="00963288">
        <w:rPr>
          <w:rFonts w:ascii="Garamond" w:eastAsia="Times New Roman" w:hAnsi="Garamond" w:cs="Arial"/>
          <w:i/>
          <w:color w:val="000000" w:themeColor="text1"/>
          <w:shd w:val="clear" w:color="auto" w:fill="FFFFFF"/>
          <w:lang w:eastAsia="en-GB"/>
        </w:rPr>
        <w:t>sufficiency</w:t>
      </w:r>
      <w:r w:rsidRPr="00963288">
        <w:rPr>
          <w:rFonts w:ascii="Garamond" w:eastAsia="Times New Roman" w:hAnsi="Garamond" w:cs="Arial"/>
          <w:color w:val="000000" w:themeColor="text1"/>
          <w:shd w:val="clear" w:color="auto" w:fill="FFFFFF"/>
          <w:lang w:eastAsia="en-GB"/>
        </w:rPr>
        <w:t xml:space="preserve"> of understanding, importing </w:t>
      </w:r>
      <w:r w:rsidRPr="00963288">
        <w:rPr>
          <w:rFonts w:ascii="Garamond" w:eastAsia="Times New Roman" w:hAnsi="Garamond" w:cs="Arial"/>
          <w:color w:val="000000" w:themeColor="text1"/>
          <w:shd w:val="clear" w:color="auto" w:fill="FFFFFF"/>
          <w:lang w:eastAsia="en-GB"/>
        </w:rPr>
        <w:lastRenderedPageBreak/>
        <w:t xml:space="preserve">the (adult) MCA approach to </w:t>
      </w:r>
      <w:r w:rsidRPr="00963288">
        <w:rPr>
          <w:rFonts w:ascii="Garamond" w:eastAsia="Times New Roman" w:hAnsi="Garamond" w:cs="Arial"/>
          <w:i/>
          <w:color w:val="000000" w:themeColor="text1"/>
          <w:shd w:val="clear" w:color="auto" w:fill="FFFFFF"/>
          <w:lang w:eastAsia="en-GB"/>
        </w:rPr>
        <w:t>Gillick</w:t>
      </w:r>
      <w:r w:rsidRPr="00963288">
        <w:rPr>
          <w:rFonts w:ascii="Garamond" w:eastAsia="Times New Roman" w:hAnsi="Garamond" w:cs="Arial"/>
          <w:color w:val="000000" w:themeColor="text1"/>
          <w:shd w:val="clear" w:color="auto" w:fill="FFFFFF"/>
          <w:lang w:eastAsia="en-GB"/>
        </w:rPr>
        <w:t xml:space="preserve"> </w:t>
      </w:r>
      <w:r w:rsidR="00682CFC">
        <w:rPr>
          <w:rFonts w:ascii="Garamond" w:eastAsia="Times New Roman" w:hAnsi="Garamond" w:cs="Arial"/>
          <w:color w:val="000000" w:themeColor="text1"/>
          <w:shd w:val="clear" w:color="auto" w:fill="FFFFFF"/>
          <w:lang w:eastAsia="en-GB"/>
        </w:rPr>
        <w:t>capacity</w:t>
      </w:r>
      <w:r w:rsidRPr="00963288">
        <w:rPr>
          <w:rFonts w:ascii="Garamond" w:eastAsia="Times New Roman" w:hAnsi="Garamond" w:cs="Arial"/>
          <w:color w:val="000000" w:themeColor="text1"/>
          <w:shd w:val="clear" w:color="auto" w:fill="FFFFFF"/>
          <w:lang w:eastAsia="en-GB"/>
        </w:rPr>
        <w:t>.</w:t>
      </w:r>
      <w:r w:rsidRPr="00963288">
        <w:rPr>
          <w:rFonts w:ascii="Garamond" w:eastAsia="Times New Roman" w:hAnsi="Garamond" w:cs="Arial"/>
          <w:color w:val="000000"/>
          <w:spacing w:val="-2"/>
          <w:vertAlign w:val="superscript"/>
          <w:lang w:eastAsia="en-GB"/>
        </w:rPr>
        <w:footnoteReference w:id="120"/>
      </w:r>
      <w:r w:rsidRPr="00963288">
        <w:rPr>
          <w:rFonts w:ascii="Garamond" w:eastAsia="Times New Roman" w:hAnsi="Garamond" w:cs="Arial"/>
          <w:color w:val="000000" w:themeColor="text1"/>
          <w:shd w:val="clear" w:color="auto" w:fill="FFFFFF"/>
          <w:lang w:eastAsia="en-GB"/>
        </w:rPr>
        <w:t xml:space="preserve"> </w:t>
      </w:r>
      <w:r w:rsidRPr="00963288">
        <w:rPr>
          <w:rFonts w:ascii="Garamond" w:eastAsiaTheme="minorEastAsia" w:hAnsi="Garamond" w:cs="Arial"/>
          <w:iCs/>
        </w:rPr>
        <w:t xml:space="preserve">A test based on ‘sufficient’ rather than ‘full’ understanding would enable more children to </w:t>
      </w:r>
      <w:r w:rsidRPr="00914716">
        <w:rPr>
          <w:rFonts w:ascii="Garamond" w:eastAsiaTheme="minorEastAsia" w:hAnsi="Garamond" w:cs="Arial"/>
          <w:iCs/>
        </w:rPr>
        <w:t>provide</w:t>
      </w:r>
      <w:r w:rsidRPr="00963288">
        <w:rPr>
          <w:rFonts w:ascii="Garamond" w:eastAsiaTheme="minorEastAsia" w:hAnsi="Garamond" w:cs="Arial"/>
          <w:iCs/>
        </w:rPr>
        <w:t xml:space="preserve"> consent. </w:t>
      </w:r>
      <w:r>
        <w:rPr>
          <w:rFonts w:ascii="Garamond" w:eastAsiaTheme="minorEastAsia" w:hAnsi="Garamond" w:cs="Arial"/>
          <w:iCs/>
        </w:rPr>
        <w:t xml:space="preserve">Like adults, </w:t>
      </w:r>
      <w:r w:rsidR="00682CFC">
        <w:rPr>
          <w:rFonts w:ascii="Garamond" w:eastAsiaTheme="minorEastAsia" w:hAnsi="Garamond" w:cs="Arial"/>
          <w:iCs/>
        </w:rPr>
        <w:t xml:space="preserve">capacity </w:t>
      </w:r>
      <w:r>
        <w:rPr>
          <w:rFonts w:ascii="Garamond" w:eastAsiaTheme="minorEastAsia" w:hAnsi="Garamond" w:cs="Arial"/>
          <w:iCs/>
        </w:rPr>
        <w:t>would be decision-specific taking into consideration the factual context.</w:t>
      </w:r>
      <w:r>
        <w:rPr>
          <w:rStyle w:val="FootnoteReference"/>
          <w:rFonts w:ascii="Garamond" w:eastAsiaTheme="minorEastAsia" w:hAnsi="Garamond" w:cs="Arial"/>
          <w:iCs/>
        </w:rPr>
        <w:footnoteReference w:id="121"/>
      </w:r>
      <w:r>
        <w:rPr>
          <w:rFonts w:ascii="Garamond" w:eastAsiaTheme="minorEastAsia" w:hAnsi="Garamond" w:cs="Arial"/>
          <w:iCs/>
        </w:rPr>
        <w:t xml:space="preserve"> Like adults, children would be reliant upon negligence if they wanted to argue that disclosure was sufficient to allow valid consent but insufficient to allow informed consent. </w:t>
      </w:r>
    </w:p>
    <w:p w14:paraId="694AABA0" w14:textId="63C3F054" w:rsidR="00014D5C" w:rsidRDefault="00014D5C" w:rsidP="00E13DFD">
      <w:pPr>
        <w:ind w:firstLine="720"/>
        <w:rPr>
          <w:rFonts w:ascii="Garamond" w:eastAsia="Times New Roman" w:hAnsi="Garamond" w:cs="Arial"/>
          <w:lang w:eastAsia="en-GB"/>
        </w:rPr>
      </w:pPr>
      <w:r w:rsidRPr="00963288">
        <w:rPr>
          <w:rFonts w:ascii="Garamond" w:eastAsia="Times New Roman" w:hAnsi="Garamond" w:cs="Arial"/>
          <w:lang w:eastAsia="en-GB"/>
        </w:rPr>
        <w:t xml:space="preserve">It therefore seems that if the </w:t>
      </w:r>
      <w:r w:rsidRPr="00963288">
        <w:rPr>
          <w:rFonts w:ascii="Garamond" w:eastAsia="Times New Roman" w:hAnsi="Garamond" w:cs="Arial"/>
          <w:i/>
          <w:lang w:eastAsia="en-GB"/>
        </w:rPr>
        <w:t>Gillick</w:t>
      </w:r>
      <w:r w:rsidRPr="00963288">
        <w:rPr>
          <w:rFonts w:ascii="Garamond" w:eastAsia="Times New Roman" w:hAnsi="Garamond" w:cs="Arial"/>
          <w:lang w:eastAsia="en-GB"/>
        </w:rPr>
        <w:t xml:space="preserve"> approach is followed, a consenting child may have a claim in battery if the information </w:t>
      </w:r>
      <w:r>
        <w:rPr>
          <w:rFonts w:ascii="Garamond" w:eastAsia="Times New Roman" w:hAnsi="Garamond" w:cs="Arial"/>
          <w:lang w:eastAsia="en-GB"/>
        </w:rPr>
        <w:t xml:space="preserve">was not sufficient to </w:t>
      </w:r>
      <w:r w:rsidRPr="00963288">
        <w:rPr>
          <w:rFonts w:ascii="Garamond" w:eastAsia="Times New Roman" w:hAnsi="Garamond" w:cs="Arial"/>
          <w:lang w:eastAsia="en-GB"/>
        </w:rPr>
        <w:t xml:space="preserve">allow full understanding, but if the reasoning in </w:t>
      </w:r>
      <w:r w:rsidRPr="00963288">
        <w:rPr>
          <w:rFonts w:ascii="Garamond" w:eastAsia="Times New Roman" w:hAnsi="Garamond" w:cs="Arial"/>
          <w:i/>
          <w:lang w:eastAsia="en-GB"/>
        </w:rPr>
        <w:t>Re S</w:t>
      </w:r>
      <w:r w:rsidRPr="00963288">
        <w:rPr>
          <w:rFonts w:ascii="Garamond" w:eastAsia="Times New Roman" w:hAnsi="Garamond" w:cs="Arial"/>
          <w:lang w:eastAsia="en-GB"/>
        </w:rPr>
        <w:t xml:space="preserve"> is applied in medical treatment cases, the information required to ensure ‘sufficient’ understanding would align child and adult cases in this respect.</w:t>
      </w:r>
    </w:p>
    <w:p w14:paraId="53D170B7" w14:textId="77777777" w:rsidR="00014D5C" w:rsidRPr="00963288" w:rsidRDefault="00014D5C" w:rsidP="00DC5EF6">
      <w:pPr>
        <w:ind w:firstLine="360"/>
        <w:rPr>
          <w:rFonts w:ascii="Garamond" w:eastAsia="Times New Roman" w:hAnsi="Garamond" w:cs="Arial"/>
          <w:lang w:eastAsia="en-GB"/>
        </w:rPr>
      </w:pPr>
    </w:p>
    <w:p w14:paraId="0893F005" w14:textId="41B2A126" w:rsidR="00014D5C" w:rsidRPr="00963288" w:rsidRDefault="002161D1" w:rsidP="00DC5EF6">
      <w:pPr>
        <w:pStyle w:val="ListParagraph"/>
        <w:numPr>
          <w:ilvl w:val="0"/>
          <w:numId w:val="10"/>
        </w:numPr>
        <w:spacing w:after="0" w:line="480" w:lineRule="auto"/>
        <w:jc w:val="center"/>
        <w:outlineLvl w:val="1"/>
        <w:rPr>
          <w:rFonts w:ascii="Garamond" w:eastAsiaTheme="majorEastAsia" w:hAnsi="Garamond" w:cs="Arial"/>
          <w:b/>
          <w:bCs/>
          <w:i/>
        </w:rPr>
      </w:pPr>
      <w:r>
        <w:rPr>
          <w:rFonts w:ascii="Garamond" w:eastAsiaTheme="majorEastAsia" w:hAnsi="Garamond" w:cs="Arial"/>
          <w:b/>
          <w:bCs/>
          <w:i/>
        </w:rPr>
        <w:t>Non-D</w:t>
      </w:r>
      <w:r w:rsidR="00014D5C">
        <w:rPr>
          <w:rFonts w:ascii="Garamond" w:eastAsiaTheme="majorEastAsia" w:hAnsi="Garamond" w:cs="Arial"/>
          <w:b/>
          <w:bCs/>
          <w:i/>
        </w:rPr>
        <w:t>isclosure and the Requirement to Demonstrate C</w:t>
      </w:r>
      <w:r w:rsidR="00014D5C" w:rsidRPr="00963288">
        <w:rPr>
          <w:rFonts w:ascii="Garamond" w:eastAsiaTheme="majorEastAsia" w:hAnsi="Garamond" w:cs="Arial"/>
          <w:b/>
          <w:bCs/>
          <w:i/>
        </w:rPr>
        <w:t>apacity</w:t>
      </w:r>
    </w:p>
    <w:p w14:paraId="2A792BE1" w14:textId="7FA3BFDD" w:rsidR="00014D5C" w:rsidRPr="00963288" w:rsidRDefault="00014D5C" w:rsidP="00DD199A">
      <w:pPr>
        <w:rPr>
          <w:rFonts w:ascii="Garamond" w:eastAsiaTheme="minorEastAsia" w:hAnsi="Garamond" w:cs="Arial"/>
          <w:iCs/>
        </w:rPr>
      </w:pPr>
      <w:r>
        <w:rPr>
          <w:rFonts w:ascii="Garamond" w:eastAsiaTheme="minorEastAsia" w:hAnsi="Garamond" w:cs="Arial"/>
        </w:rPr>
        <w:t xml:space="preserve">A related argument focuses on the requirement to demonstrate capacity. </w:t>
      </w:r>
      <w:r w:rsidRPr="00DD199A">
        <w:rPr>
          <w:rFonts w:ascii="Garamond" w:eastAsiaTheme="minorEastAsia" w:hAnsi="Garamond" w:cs="Arial"/>
          <w:i/>
        </w:rPr>
        <w:t>Re S</w:t>
      </w:r>
      <w:r>
        <w:rPr>
          <w:rFonts w:ascii="Garamond" w:eastAsiaTheme="minorEastAsia" w:hAnsi="Garamond" w:cs="Arial"/>
        </w:rPr>
        <w:t xml:space="preserve"> suggests an MCA-aligned approach in relation to the </w:t>
      </w:r>
      <w:r w:rsidRPr="00DD199A">
        <w:rPr>
          <w:rFonts w:ascii="Garamond" w:eastAsiaTheme="minorEastAsia" w:hAnsi="Garamond" w:cs="Arial"/>
          <w:i/>
        </w:rPr>
        <w:t>test</w:t>
      </w:r>
      <w:r>
        <w:rPr>
          <w:rFonts w:ascii="Garamond" w:eastAsiaTheme="minorEastAsia" w:hAnsi="Garamond" w:cs="Arial"/>
        </w:rPr>
        <w:t xml:space="preserve"> for </w:t>
      </w:r>
      <w:r w:rsidR="00F93D30" w:rsidRPr="00F93D30">
        <w:rPr>
          <w:rFonts w:ascii="Garamond" w:eastAsiaTheme="minorEastAsia" w:hAnsi="Garamond" w:cs="Arial"/>
          <w:i/>
        </w:rPr>
        <w:t>Gillick</w:t>
      </w:r>
      <w:r w:rsidR="00F93D30">
        <w:rPr>
          <w:rFonts w:ascii="Garamond" w:eastAsiaTheme="minorEastAsia" w:hAnsi="Garamond" w:cs="Arial"/>
        </w:rPr>
        <w:t xml:space="preserve"> </w:t>
      </w:r>
      <w:r w:rsidR="00682CFC">
        <w:rPr>
          <w:rFonts w:ascii="Garamond" w:eastAsiaTheme="minorEastAsia" w:hAnsi="Garamond" w:cs="Arial"/>
        </w:rPr>
        <w:t xml:space="preserve">capacity </w:t>
      </w:r>
      <w:r>
        <w:rPr>
          <w:rFonts w:ascii="Garamond" w:eastAsiaTheme="minorEastAsia" w:hAnsi="Garamond" w:cs="Arial"/>
        </w:rPr>
        <w:t xml:space="preserve">but does not alter the fact that </w:t>
      </w:r>
      <w:r>
        <w:rPr>
          <w:rFonts w:ascii="Garamond" w:eastAsiaTheme="minorEastAsia" w:hAnsi="Garamond" w:cs="Arial"/>
          <w:iCs/>
        </w:rPr>
        <w:t>f</w:t>
      </w:r>
      <w:r w:rsidRPr="00963288">
        <w:rPr>
          <w:rFonts w:ascii="Garamond" w:eastAsiaTheme="minorEastAsia" w:hAnsi="Garamond" w:cs="Arial"/>
          <w:iCs/>
        </w:rPr>
        <w:t xml:space="preserve">or </w:t>
      </w:r>
      <w:r>
        <w:rPr>
          <w:rFonts w:ascii="Garamond" w:eastAsiaTheme="minorEastAsia" w:hAnsi="Garamond" w:cs="Arial"/>
          <w:iCs/>
        </w:rPr>
        <w:t>children</w:t>
      </w:r>
      <w:r w:rsidRPr="00963288">
        <w:rPr>
          <w:rFonts w:ascii="Garamond" w:eastAsiaTheme="minorEastAsia" w:hAnsi="Garamond" w:cs="Arial"/>
          <w:iCs/>
        </w:rPr>
        <w:t xml:space="preserve"> under the age of 16, capacity is not assumed</w:t>
      </w:r>
      <w:r>
        <w:rPr>
          <w:rFonts w:ascii="Garamond" w:eastAsiaTheme="minorEastAsia" w:hAnsi="Garamond" w:cs="Arial"/>
          <w:iCs/>
        </w:rPr>
        <w:t>:</w:t>
      </w:r>
      <w:r w:rsidRPr="00963288">
        <w:rPr>
          <w:rStyle w:val="FootnoteReference"/>
          <w:rFonts w:ascii="Garamond" w:eastAsiaTheme="minorEastAsia" w:hAnsi="Garamond" w:cs="Arial"/>
          <w:iCs/>
        </w:rPr>
        <w:footnoteReference w:id="122"/>
      </w:r>
      <w:r w:rsidRPr="00963288">
        <w:rPr>
          <w:rFonts w:ascii="Garamond" w:eastAsia="Times New Roman" w:hAnsi="Garamond" w:cs="Arial"/>
          <w:color w:val="000000" w:themeColor="text1"/>
          <w:shd w:val="clear" w:color="auto" w:fill="FFFFFF"/>
          <w:lang w:eastAsia="en-GB"/>
        </w:rPr>
        <w:t xml:space="preserve"> </w:t>
      </w:r>
      <w:r>
        <w:rPr>
          <w:rFonts w:ascii="Garamond" w:eastAsia="Times New Roman" w:hAnsi="Garamond" w:cs="Arial"/>
          <w:color w:val="000000" w:themeColor="text1"/>
          <w:shd w:val="clear" w:color="auto" w:fill="FFFFFF"/>
          <w:lang w:eastAsia="en-GB"/>
        </w:rPr>
        <w:t xml:space="preserve">the section 1(2) presumption of capacity in the Mental Capacity Act 2005 does not apply. </w:t>
      </w:r>
      <w:r w:rsidRPr="00963288">
        <w:rPr>
          <w:rFonts w:ascii="Garamond" w:eastAsiaTheme="minorEastAsia" w:hAnsi="Garamond" w:cs="Arial"/>
          <w:iCs/>
        </w:rPr>
        <w:t>Thus</w:t>
      </w:r>
      <w:r>
        <w:rPr>
          <w:rFonts w:ascii="Garamond" w:eastAsiaTheme="minorEastAsia" w:hAnsi="Garamond" w:cs="Arial"/>
          <w:iCs/>
        </w:rPr>
        <w:t>,</w:t>
      </w:r>
      <w:r w:rsidRPr="00963288">
        <w:rPr>
          <w:rFonts w:ascii="Garamond" w:eastAsiaTheme="minorEastAsia" w:hAnsi="Garamond" w:cs="Arial"/>
          <w:iCs/>
        </w:rPr>
        <w:t xml:space="preserve"> a </w:t>
      </w:r>
      <w:r>
        <w:rPr>
          <w:rFonts w:ascii="Garamond" w:eastAsiaTheme="minorEastAsia" w:hAnsi="Garamond" w:cs="Arial"/>
          <w:iCs/>
        </w:rPr>
        <w:t>child</w:t>
      </w:r>
      <w:r w:rsidRPr="00963288">
        <w:rPr>
          <w:rFonts w:ascii="Garamond" w:eastAsiaTheme="minorEastAsia" w:hAnsi="Garamond" w:cs="Arial"/>
          <w:iCs/>
        </w:rPr>
        <w:t xml:space="preserve"> who is incapable of understanding need not be informed, but a </w:t>
      </w:r>
      <w:r>
        <w:rPr>
          <w:rFonts w:ascii="Garamond" w:eastAsiaTheme="minorEastAsia" w:hAnsi="Garamond" w:cs="Arial"/>
          <w:iCs/>
        </w:rPr>
        <w:t>child</w:t>
      </w:r>
      <w:r w:rsidRPr="00963288">
        <w:rPr>
          <w:rFonts w:ascii="Garamond" w:eastAsiaTheme="minorEastAsia" w:hAnsi="Garamond" w:cs="Arial"/>
          <w:iCs/>
        </w:rPr>
        <w:t xml:space="preserve"> who is so capable </w:t>
      </w:r>
      <w:r>
        <w:rPr>
          <w:rFonts w:ascii="Garamond" w:eastAsiaTheme="minorEastAsia" w:hAnsi="Garamond" w:cs="Arial"/>
          <w:iCs/>
        </w:rPr>
        <w:t xml:space="preserve">and whose consent is relied upon in defence to battery, </w:t>
      </w:r>
      <w:r w:rsidRPr="00963288">
        <w:rPr>
          <w:rFonts w:ascii="Garamond" w:eastAsiaTheme="minorEastAsia" w:hAnsi="Garamond" w:cs="Arial"/>
          <w:iCs/>
        </w:rPr>
        <w:t>must be shown to actually understand the relevant information, which in turn requires information disclosure.</w:t>
      </w:r>
      <w:r>
        <w:rPr>
          <w:rFonts w:ascii="Garamond" w:eastAsiaTheme="minorEastAsia" w:hAnsi="Garamond" w:cs="Arial"/>
          <w:iCs/>
        </w:rPr>
        <w:t xml:space="preserve"> Because under-16s </w:t>
      </w:r>
      <w:r w:rsidRPr="00963288">
        <w:rPr>
          <w:rFonts w:ascii="Garamond" w:eastAsiaTheme="minorEastAsia" w:hAnsi="Garamond" w:cs="Arial"/>
          <w:iCs/>
        </w:rPr>
        <w:t xml:space="preserve">must be </w:t>
      </w:r>
      <w:r w:rsidRPr="00963288">
        <w:rPr>
          <w:rFonts w:ascii="Garamond" w:eastAsiaTheme="minorEastAsia" w:hAnsi="Garamond" w:cs="Arial"/>
          <w:i/>
          <w:iCs/>
        </w:rPr>
        <w:t>shown</w:t>
      </w:r>
      <w:r w:rsidRPr="00963288">
        <w:rPr>
          <w:rFonts w:ascii="Garamond" w:eastAsiaTheme="minorEastAsia" w:hAnsi="Garamond" w:cs="Arial"/>
          <w:iCs/>
        </w:rPr>
        <w:t xml:space="preserve"> to have capacity</w:t>
      </w:r>
      <w:r>
        <w:rPr>
          <w:rFonts w:ascii="Garamond" w:eastAsiaTheme="minorEastAsia" w:hAnsi="Garamond" w:cs="Arial"/>
          <w:iCs/>
        </w:rPr>
        <w:t xml:space="preserve">, it seems </w:t>
      </w:r>
      <w:r w:rsidRPr="00963288">
        <w:rPr>
          <w:rFonts w:ascii="Garamond" w:eastAsiaTheme="minorEastAsia" w:hAnsi="Garamond" w:cs="Arial"/>
          <w:iCs/>
        </w:rPr>
        <w:t xml:space="preserve">an informational component attaches to its assessment. </w:t>
      </w:r>
    </w:p>
    <w:p w14:paraId="7CCDEC67" w14:textId="6DA36020" w:rsidR="00014D5C" w:rsidRDefault="00014D5C" w:rsidP="00014D5C">
      <w:pPr>
        <w:ind w:firstLine="720"/>
        <w:rPr>
          <w:rFonts w:ascii="Garamond" w:eastAsiaTheme="minorEastAsia" w:hAnsi="Garamond" w:cs="Arial"/>
          <w:iCs/>
        </w:rPr>
      </w:pPr>
      <w:r w:rsidRPr="00963288">
        <w:rPr>
          <w:rFonts w:ascii="Garamond" w:eastAsiaTheme="minorEastAsia" w:hAnsi="Garamond" w:cs="Arial"/>
          <w:iCs/>
        </w:rPr>
        <w:t xml:space="preserve">Ambiguity surrounds the potential liability in trespass of </w:t>
      </w:r>
      <w:r>
        <w:rPr>
          <w:rFonts w:ascii="Garamond" w:eastAsiaTheme="minorEastAsia" w:hAnsi="Garamond" w:cs="Arial"/>
          <w:iCs/>
        </w:rPr>
        <w:t xml:space="preserve">an HCP </w:t>
      </w:r>
      <w:r w:rsidRPr="00963288">
        <w:rPr>
          <w:rFonts w:ascii="Garamond" w:eastAsiaTheme="minorEastAsia" w:hAnsi="Garamond" w:cs="Arial"/>
          <w:iCs/>
        </w:rPr>
        <w:t xml:space="preserve">who misjudges (in)capacity. The pre-MCA case law on adults offers some assistance. In </w:t>
      </w:r>
      <w:r w:rsidRPr="00963288">
        <w:rPr>
          <w:rFonts w:ascii="Garamond" w:eastAsiaTheme="minorEastAsia" w:hAnsi="Garamond" w:cs="Arial"/>
          <w:i/>
          <w:iCs/>
        </w:rPr>
        <w:t>Re T</w:t>
      </w:r>
      <w:r w:rsidRPr="00963288">
        <w:rPr>
          <w:rFonts w:ascii="Garamond" w:eastAsiaTheme="minorEastAsia" w:hAnsi="Garamond" w:cs="Arial"/>
          <w:iCs/>
        </w:rPr>
        <w:t xml:space="preserve">, </w:t>
      </w:r>
      <w:proofErr w:type="spellStart"/>
      <w:r w:rsidRPr="00963288">
        <w:rPr>
          <w:rFonts w:ascii="Garamond" w:eastAsiaTheme="minorEastAsia" w:hAnsi="Garamond" w:cs="Arial"/>
          <w:iCs/>
        </w:rPr>
        <w:t>Straughton</w:t>
      </w:r>
      <w:proofErr w:type="spellEnd"/>
      <w:r w:rsidRPr="00963288">
        <w:rPr>
          <w:rFonts w:ascii="Garamond" w:eastAsiaTheme="minorEastAsia" w:hAnsi="Garamond" w:cs="Arial"/>
          <w:iCs/>
        </w:rPr>
        <w:t xml:space="preserve"> L</w:t>
      </w:r>
      <w:r>
        <w:rPr>
          <w:rFonts w:ascii="Garamond" w:eastAsiaTheme="minorEastAsia" w:hAnsi="Garamond" w:cs="Arial"/>
          <w:iCs/>
        </w:rPr>
        <w:t>.</w:t>
      </w:r>
      <w:r w:rsidRPr="00963288">
        <w:rPr>
          <w:rFonts w:ascii="Garamond" w:eastAsiaTheme="minorEastAsia" w:hAnsi="Garamond" w:cs="Arial"/>
          <w:iCs/>
        </w:rPr>
        <w:t>J</w:t>
      </w:r>
      <w:r>
        <w:rPr>
          <w:rFonts w:ascii="Garamond" w:eastAsiaTheme="minorEastAsia" w:hAnsi="Garamond" w:cs="Arial"/>
          <w:iCs/>
        </w:rPr>
        <w:t>.</w:t>
      </w:r>
      <w:r w:rsidRPr="00963288">
        <w:rPr>
          <w:rFonts w:ascii="Garamond" w:eastAsiaTheme="minorEastAsia" w:hAnsi="Garamond" w:cs="Arial"/>
          <w:iCs/>
        </w:rPr>
        <w:t xml:space="preserve"> said:</w:t>
      </w:r>
    </w:p>
    <w:p w14:paraId="2FABAE9A" w14:textId="77777777" w:rsidR="00C50EF1" w:rsidRPr="00963288" w:rsidRDefault="00C50EF1" w:rsidP="00014D5C">
      <w:pPr>
        <w:ind w:firstLine="720"/>
        <w:rPr>
          <w:rFonts w:ascii="Garamond" w:eastAsiaTheme="minorEastAsia" w:hAnsi="Garamond" w:cs="Arial"/>
          <w:iCs/>
        </w:rPr>
      </w:pPr>
    </w:p>
    <w:p w14:paraId="4505AB80" w14:textId="77777777" w:rsidR="00014D5C" w:rsidRPr="00963288" w:rsidRDefault="00014D5C" w:rsidP="00564397">
      <w:pPr>
        <w:ind w:left="567" w:right="567"/>
        <w:rPr>
          <w:rFonts w:ascii="Garamond" w:eastAsiaTheme="minorEastAsia" w:hAnsi="Garamond" w:cs="Arial"/>
          <w:iCs/>
        </w:rPr>
      </w:pPr>
      <w:r w:rsidRPr="00963288">
        <w:rPr>
          <w:rFonts w:ascii="Garamond" w:eastAsiaTheme="minorEastAsia" w:hAnsi="Garamond" w:cs="Arial"/>
          <w:iCs/>
        </w:rPr>
        <w:t xml:space="preserve">Some will say that, when there is doubt whether an apparent refusal of consent is valid in circumstances of urgent necessity, the decision of a doctor acting in good faith </w:t>
      </w:r>
      <w:r w:rsidRPr="00963288">
        <w:rPr>
          <w:rFonts w:ascii="Garamond" w:eastAsiaTheme="minorEastAsia" w:hAnsi="Garamond" w:cs="Arial"/>
          <w:iCs/>
        </w:rPr>
        <w:lastRenderedPageBreak/>
        <w:t xml:space="preserve">ought to be conclusive. … However, I cannot find authority that the decision of a doctor as to the existence or refusal of consent is sufficient protection, if the law subsequently decides otherwise. </w:t>
      </w:r>
      <w:proofErr w:type="gramStart"/>
      <w:r w:rsidRPr="00963288">
        <w:rPr>
          <w:rFonts w:ascii="Garamond" w:eastAsiaTheme="minorEastAsia" w:hAnsi="Garamond" w:cs="Arial"/>
          <w:iCs/>
        </w:rPr>
        <w:t>So</w:t>
      </w:r>
      <w:proofErr w:type="gramEnd"/>
      <w:r w:rsidRPr="00963288">
        <w:rPr>
          <w:rFonts w:ascii="Garamond" w:eastAsiaTheme="minorEastAsia" w:hAnsi="Garamond" w:cs="Arial"/>
          <w:iCs/>
        </w:rPr>
        <w:t xml:space="preserve"> the medical profession, in the future as in the past, must bear the responsibility unless it is possible to obtain a decision from the courts.</w:t>
      </w:r>
      <w:r w:rsidRPr="00963288">
        <w:rPr>
          <w:rFonts w:ascii="Garamond" w:eastAsiaTheme="minorEastAsia" w:hAnsi="Garamond" w:cs="Arial"/>
          <w:iCs/>
          <w:vertAlign w:val="superscript"/>
        </w:rPr>
        <w:footnoteReference w:id="123"/>
      </w:r>
    </w:p>
    <w:p w14:paraId="2E6BA53E" w14:textId="77777777" w:rsidR="00014D5C" w:rsidRPr="00963288" w:rsidRDefault="00014D5C" w:rsidP="00DC5EF6">
      <w:pPr>
        <w:rPr>
          <w:rFonts w:ascii="Garamond" w:eastAsia="Times New Roman" w:hAnsi="Garamond" w:cs="Arial"/>
          <w:color w:val="000000" w:themeColor="text1"/>
          <w:shd w:val="clear" w:color="auto" w:fill="FFFFFF"/>
          <w:lang w:eastAsia="en-GB"/>
        </w:rPr>
      </w:pPr>
    </w:p>
    <w:p w14:paraId="059132CF" w14:textId="678BF1E2" w:rsidR="00014D5C" w:rsidRPr="00963288" w:rsidRDefault="00014D5C" w:rsidP="00DC5EF6">
      <w:pPr>
        <w:rPr>
          <w:rFonts w:ascii="Garamond" w:eastAsiaTheme="minorEastAsia" w:hAnsi="Garamond" w:cs="Arial"/>
          <w:iCs/>
        </w:rPr>
      </w:pPr>
      <w:r w:rsidRPr="00963288">
        <w:rPr>
          <w:rFonts w:ascii="Garamond" w:eastAsia="Times New Roman" w:hAnsi="Garamond" w:cs="Arial"/>
          <w:color w:val="000000" w:themeColor="text1"/>
          <w:shd w:val="clear" w:color="auto" w:fill="FFFFFF"/>
          <w:lang w:eastAsia="en-GB"/>
        </w:rPr>
        <w:t>Outside the application of the MCA, mistaken belief as to the validity of consent or refusal will not necessarily justify treatment.</w:t>
      </w:r>
      <w:r w:rsidRPr="00963288">
        <w:rPr>
          <w:rFonts w:ascii="Garamond" w:eastAsiaTheme="minorEastAsia" w:hAnsi="Garamond" w:cs="Arial"/>
          <w:iCs/>
          <w:vertAlign w:val="superscript"/>
        </w:rPr>
        <w:t xml:space="preserve"> </w:t>
      </w:r>
      <w:r w:rsidRPr="00963288">
        <w:rPr>
          <w:rFonts w:ascii="Garamond" w:eastAsia="Times New Roman" w:hAnsi="Garamond" w:cs="Arial"/>
          <w:color w:val="000000" w:themeColor="text1"/>
          <w:shd w:val="clear" w:color="auto" w:fill="FFFFFF"/>
          <w:lang w:eastAsia="en-GB"/>
        </w:rPr>
        <w:t xml:space="preserve">A test case might develop a defence based on </w:t>
      </w:r>
      <w:r w:rsidRPr="00963288">
        <w:rPr>
          <w:rFonts w:ascii="Garamond" w:eastAsia="Times New Roman" w:hAnsi="Garamond" w:cs="Arial"/>
          <w:i/>
          <w:color w:val="000000" w:themeColor="text1"/>
          <w:shd w:val="clear" w:color="auto" w:fill="FFFFFF"/>
          <w:lang w:eastAsia="en-GB"/>
        </w:rPr>
        <w:t>reasonable</w:t>
      </w:r>
      <w:r w:rsidRPr="00963288">
        <w:rPr>
          <w:rFonts w:ascii="Garamond" w:eastAsia="Times New Roman" w:hAnsi="Garamond" w:cs="Arial"/>
          <w:color w:val="000000" w:themeColor="text1"/>
          <w:shd w:val="clear" w:color="auto" w:fill="FFFFFF"/>
          <w:lang w:eastAsia="en-GB"/>
        </w:rPr>
        <w:t xml:space="preserve"> belief, as per the MCA.</w:t>
      </w:r>
      <w:r w:rsidRPr="00963288">
        <w:rPr>
          <w:rFonts w:ascii="Garamond" w:eastAsia="Times New Roman" w:hAnsi="Garamond" w:cs="Arial"/>
          <w:color w:val="000000" w:themeColor="text1"/>
          <w:shd w:val="clear" w:color="auto" w:fill="FFFFFF"/>
          <w:vertAlign w:val="superscript"/>
          <w:lang w:eastAsia="en-GB"/>
        </w:rPr>
        <w:footnoteReference w:id="124"/>
      </w:r>
      <w:r w:rsidRPr="00963288">
        <w:rPr>
          <w:rFonts w:ascii="Garamond" w:eastAsia="Times New Roman" w:hAnsi="Garamond" w:cs="Arial"/>
          <w:color w:val="000000" w:themeColor="text1"/>
          <w:shd w:val="clear" w:color="auto" w:fill="FFFFFF"/>
          <w:lang w:eastAsia="en-GB"/>
        </w:rPr>
        <w:t xml:space="preserve"> There are </w:t>
      </w:r>
      <w:r w:rsidRPr="009E279E">
        <w:rPr>
          <w:rFonts w:ascii="Garamond" w:eastAsia="Times New Roman" w:hAnsi="Garamond" w:cs="Arial"/>
          <w:color w:val="000000" w:themeColor="text1"/>
          <w:shd w:val="clear" w:color="auto" w:fill="FFFFFF"/>
          <w:lang w:eastAsia="en-GB"/>
        </w:rPr>
        <w:t>good reasons</w:t>
      </w:r>
      <w:r w:rsidRPr="00963288">
        <w:rPr>
          <w:rFonts w:ascii="Garamond" w:eastAsia="Times New Roman" w:hAnsi="Garamond" w:cs="Arial"/>
          <w:color w:val="000000" w:themeColor="text1"/>
          <w:shd w:val="clear" w:color="auto" w:fill="FFFFFF"/>
          <w:lang w:eastAsia="en-GB"/>
        </w:rPr>
        <w:t xml:space="preserve"> for so doing, ‘otherwise, physicians would be encouraged to err on the side of non-treatment if a doubt about the patient’s competence arises’.</w:t>
      </w:r>
      <w:r w:rsidRPr="00963288">
        <w:rPr>
          <w:rFonts w:ascii="Garamond" w:eastAsia="Times New Roman" w:hAnsi="Garamond" w:cs="Arial"/>
          <w:color w:val="000000" w:themeColor="text1"/>
          <w:shd w:val="clear" w:color="auto" w:fill="FFFFFF"/>
          <w:vertAlign w:val="superscript"/>
          <w:lang w:eastAsia="en-GB"/>
        </w:rPr>
        <w:footnoteReference w:id="125"/>
      </w:r>
      <w:r w:rsidRPr="00963288">
        <w:rPr>
          <w:rFonts w:ascii="Garamond" w:eastAsia="Times New Roman" w:hAnsi="Garamond" w:cs="Arial"/>
          <w:color w:val="000000" w:themeColor="text1"/>
          <w:shd w:val="clear" w:color="auto" w:fill="FFFFFF"/>
          <w:lang w:eastAsia="en-GB"/>
        </w:rPr>
        <w:t xml:space="preserve"> If so, then </w:t>
      </w:r>
      <w:r>
        <w:rPr>
          <w:rFonts w:ascii="Garamond" w:eastAsia="Times New Roman" w:hAnsi="Garamond" w:cs="Arial"/>
          <w:color w:val="000000" w:themeColor="text1"/>
          <w:shd w:val="clear" w:color="auto" w:fill="FFFFFF"/>
          <w:lang w:eastAsia="en-GB"/>
        </w:rPr>
        <w:t xml:space="preserve">in order to rely on a child’s consent, </w:t>
      </w:r>
      <w:r w:rsidRPr="00963288">
        <w:rPr>
          <w:rFonts w:ascii="Garamond" w:eastAsia="Times New Roman" w:hAnsi="Garamond" w:cs="Arial"/>
          <w:color w:val="000000" w:themeColor="text1"/>
          <w:shd w:val="clear" w:color="auto" w:fill="FFFFFF"/>
          <w:lang w:eastAsia="en-GB"/>
        </w:rPr>
        <w:t xml:space="preserve">information disclosure must be sufficient to allow </w:t>
      </w:r>
      <w:r w:rsidRPr="00963288">
        <w:rPr>
          <w:rFonts w:ascii="Garamond" w:eastAsiaTheme="minorEastAsia" w:hAnsi="Garamond" w:cs="Arial"/>
          <w:iCs/>
        </w:rPr>
        <w:t>reasonable assessment of capacity</w:t>
      </w:r>
      <w:r>
        <w:rPr>
          <w:rFonts w:ascii="Garamond" w:eastAsiaTheme="minorEastAsia" w:hAnsi="Garamond" w:cs="Arial"/>
          <w:iCs/>
        </w:rPr>
        <w:t xml:space="preserve"> (rather than the basic level of information required for validity in the case of adults</w:t>
      </w:r>
      <w:r w:rsidR="00F93D30">
        <w:rPr>
          <w:rFonts w:ascii="Garamond" w:eastAsiaTheme="minorEastAsia" w:hAnsi="Garamond" w:cs="Arial"/>
          <w:iCs/>
        </w:rPr>
        <w:t xml:space="preserve"> assumed to have capacity</w:t>
      </w:r>
      <w:r>
        <w:rPr>
          <w:rFonts w:ascii="Garamond" w:eastAsiaTheme="minorEastAsia" w:hAnsi="Garamond" w:cs="Arial"/>
          <w:iCs/>
        </w:rPr>
        <w:t>)</w:t>
      </w:r>
      <w:r w:rsidRPr="00963288">
        <w:rPr>
          <w:rFonts w:ascii="Garamond" w:eastAsiaTheme="minorEastAsia" w:hAnsi="Garamond" w:cs="Arial"/>
          <w:iCs/>
        </w:rPr>
        <w:t xml:space="preserve">. Failure to </w:t>
      </w:r>
      <w:r>
        <w:rPr>
          <w:rFonts w:ascii="Garamond" w:eastAsiaTheme="minorEastAsia" w:hAnsi="Garamond" w:cs="Arial"/>
          <w:iCs/>
        </w:rPr>
        <w:t>inform at this level</w:t>
      </w:r>
      <w:r w:rsidRPr="00963288">
        <w:rPr>
          <w:rFonts w:ascii="Garamond" w:eastAsiaTheme="minorEastAsia" w:hAnsi="Garamond" w:cs="Arial"/>
          <w:iCs/>
        </w:rPr>
        <w:t xml:space="preserve"> may give rise to a claim in battery.</w:t>
      </w:r>
    </w:p>
    <w:p w14:paraId="2EE11EEE" w14:textId="77777777" w:rsidR="00014D5C" w:rsidRPr="00963288" w:rsidRDefault="00014D5C" w:rsidP="00DC5EF6">
      <w:pPr>
        <w:rPr>
          <w:rFonts w:ascii="Garamond" w:eastAsiaTheme="minorEastAsia" w:hAnsi="Garamond" w:cs="Arial"/>
          <w:iCs/>
        </w:rPr>
      </w:pPr>
    </w:p>
    <w:p w14:paraId="72AF028D" w14:textId="26D8FB2D" w:rsidR="00014D5C" w:rsidRPr="00963288" w:rsidRDefault="00014D5C" w:rsidP="00517BC4">
      <w:pPr>
        <w:jc w:val="center"/>
        <w:outlineLvl w:val="1"/>
        <w:rPr>
          <w:rFonts w:ascii="Garamond" w:eastAsiaTheme="majorEastAsia" w:hAnsi="Garamond" w:cs="Arial"/>
          <w:b/>
          <w:bCs/>
          <w:i/>
        </w:rPr>
      </w:pPr>
      <w:r w:rsidRPr="00963288">
        <w:rPr>
          <w:rFonts w:ascii="Garamond" w:eastAsiaTheme="majorEastAsia" w:hAnsi="Garamond" w:cs="Arial"/>
          <w:b/>
          <w:bCs/>
        </w:rPr>
        <w:t xml:space="preserve">C. </w:t>
      </w:r>
      <w:r w:rsidR="002161D1">
        <w:rPr>
          <w:rFonts w:ascii="Garamond" w:eastAsiaTheme="majorEastAsia" w:hAnsi="Garamond" w:cs="Arial"/>
          <w:b/>
          <w:bCs/>
          <w:i/>
        </w:rPr>
        <w:t>Non-D</w:t>
      </w:r>
      <w:r>
        <w:rPr>
          <w:rFonts w:ascii="Garamond" w:eastAsiaTheme="majorEastAsia" w:hAnsi="Garamond" w:cs="Arial"/>
          <w:b/>
          <w:bCs/>
          <w:i/>
        </w:rPr>
        <w:t>isclosure and Best I</w:t>
      </w:r>
      <w:r w:rsidRPr="00963288">
        <w:rPr>
          <w:rFonts w:ascii="Garamond" w:eastAsiaTheme="majorEastAsia" w:hAnsi="Garamond" w:cs="Arial"/>
          <w:b/>
          <w:bCs/>
          <w:i/>
        </w:rPr>
        <w:t>nterests</w:t>
      </w:r>
    </w:p>
    <w:p w14:paraId="13D8CD91" w14:textId="125F3293" w:rsidR="00014D5C" w:rsidRDefault="00014D5C" w:rsidP="00AB34BF">
      <w:pPr>
        <w:rPr>
          <w:rFonts w:ascii="Garamond" w:eastAsiaTheme="minorEastAsia" w:hAnsi="Garamond" w:cs="Arial"/>
          <w:iCs/>
        </w:rPr>
      </w:pPr>
      <w:r>
        <w:rPr>
          <w:rFonts w:ascii="Garamond" w:eastAsiaTheme="minorEastAsia" w:hAnsi="Garamond" w:cs="Arial"/>
          <w:iCs/>
        </w:rPr>
        <w:t xml:space="preserve">If information disclosure is required to assess an under 16’s capacity, then even if the treatment is in their best interests, disclosure that is insufficient to assess capacity might result in battery unless the defence of necessity applies, or proxy consent is sought. </w:t>
      </w:r>
    </w:p>
    <w:p w14:paraId="41C70AD6" w14:textId="2D70B698" w:rsidR="00014D5C" w:rsidRDefault="00014D5C" w:rsidP="00B0461F">
      <w:pPr>
        <w:ind w:firstLine="720"/>
        <w:rPr>
          <w:rFonts w:ascii="Garamond" w:eastAsiaTheme="minorEastAsia" w:hAnsi="Garamond" w:cs="Arial"/>
          <w:iCs/>
        </w:rPr>
      </w:pPr>
      <w:r>
        <w:rPr>
          <w:rFonts w:ascii="Garamond" w:eastAsiaTheme="minorEastAsia" w:hAnsi="Garamond" w:cs="Arial"/>
          <w:iCs/>
        </w:rPr>
        <w:t>An alternative argument is that even if basic information is sufficient for children to provide a valid consent, t</w:t>
      </w:r>
      <w:r w:rsidRPr="00963288">
        <w:rPr>
          <w:rFonts w:ascii="Garamond" w:eastAsiaTheme="minorEastAsia" w:hAnsi="Garamond" w:cs="Arial"/>
          <w:iCs/>
        </w:rPr>
        <w:t xml:space="preserve">he tort of battery may </w:t>
      </w:r>
      <w:r>
        <w:rPr>
          <w:rFonts w:ascii="Garamond" w:eastAsiaTheme="minorEastAsia" w:hAnsi="Garamond" w:cs="Arial"/>
          <w:iCs/>
        </w:rPr>
        <w:t>still have</w:t>
      </w:r>
      <w:r w:rsidRPr="00963288">
        <w:rPr>
          <w:rFonts w:ascii="Garamond" w:eastAsiaTheme="minorEastAsia" w:hAnsi="Garamond" w:cs="Arial"/>
          <w:iCs/>
        </w:rPr>
        <w:t xml:space="preserve"> resonance if the correct interpretation of </w:t>
      </w:r>
      <w:r w:rsidRPr="00963288">
        <w:rPr>
          <w:rFonts w:ascii="Garamond" w:eastAsiaTheme="minorEastAsia" w:hAnsi="Garamond" w:cs="Arial"/>
          <w:i/>
          <w:iCs/>
        </w:rPr>
        <w:t>Gillick</w:t>
      </w:r>
      <w:r w:rsidRPr="00963288">
        <w:rPr>
          <w:rFonts w:ascii="Garamond" w:eastAsiaTheme="minorEastAsia" w:hAnsi="Garamond" w:cs="Arial"/>
          <w:iCs/>
        </w:rPr>
        <w:t xml:space="preserve"> and subsequent cases of </w:t>
      </w:r>
      <w:r w:rsidRPr="00963288">
        <w:rPr>
          <w:rFonts w:ascii="Garamond" w:eastAsiaTheme="minorEastAsia" w:hAnsi="Garamond" w:cs="Arial"/>
          <w:i/>
          <w:iCs/>
        </w:rPr>
        <w:t>Re R</w:t>
      </w:r>
      <w:r w:rsidRPr="00963288">
        <w:rPr>
          <w:rFonts w:ascii="Garamond" w:eastAsiaTheme="minorEastAsia" w:hAnsi="Garamond" w:cs="Arial"/>
          <w:iCs/>
        </w:rPr>
        <w:t xml:space="preserve"> and </w:t>
      </w:r>
      <w:r w:rsidRPr="00963288">
        <w:rPr>
          <w:rFonts w:ascii="Garamond" w:eastAsiaTheme="minorEastAsia" w:hAnsi="Garamond" w:cs="Arial"/>
          <w:i/>
          <w:iCs/>
        </w:rPr>
        <w:t>Re W</w:t>
      </w:r>
      <w:r w:rsidRPr="00963288">
        <w:rPr>
          <w:rFonts w:ascii="Garamond" w:eastAsiaTheme="minorEastAsia" w:hAnsi="Garamond" w:cs="Arial"/>
          <w:iCs/>
        </w:rPr>
        <w:t xml:space="preserve"> is that a child must be treated in their best interests.</w:t>
      </w:r>
      <w:r>
        <w:rPr>
          <w:rFonts w:ascii="Garamond" w:eastAsiaTheme="minorEastAsia" w:hAnsi="Garamond" w:cs="Arial"/>
          <w:iCs/>
        </w:rPr>
        <w:t xml:space="preserve"> Battery might be committed if the consent of the child is relied upon in a situation where </w:t>
      </w:r>
      <w:r>
        <w:rPr>
          <w:rFonts w:ascii="Garamond" w:eastAsiaTheme="minorEastAsia" w:hAnsi="Garamond" w:cs="Arial"/>
          <w:iCs/>
        </w:rPr>
        <w:lastRenderedPageBreak/>
        <w:t>consultation is insufficient to generate a reasonable belief that the treatment is in their best interests and the treatment is shown not to be in their best interests.</w:t>
      </w:r>
    </w:p>
    <w:p w14:paraId="3DCF2A8C" w14:textId="54164531" w:rsidR="00014D5C" w:rsidRDefault="00014D5C" w:rsidP="003704FF">
      <w:pPr>
        <w:ind w:firstLine="720"/>
        <w:rPr>
          <w:rFonts w:ascii="Garamond" w:eastAsiaTheme="minorEastAsia" w:hAnsi="Garamond" w:cs="Arial"/>
          <w:iCs/>
        </w:rPr>
      </w:pPr>
      <w:r>
        <w:rPr>
          <w:rFonts w:ascii="Garamond" w:eastAsiaTheme="minorEastAsia" w:hAnsi="Garamond" w:cs="Arial"/>
          <w:iCs/>
        </w:rPr>
        <w:t>This argument develops in three stages. First, because best interests are not a purely medical consideration, consultation is required to make a determination that takes in</w:t>
      </w:r>
      <w:r w:rsidR="00D03790">
        <w:rPr>
          <w:rFonts w:ascii="Garamond" w:eastAsiaTheme="minorEastAsia" w:hAnsi="Garamond" w:cs="Arial"/>
          <w:iCs/>
        </w:rPr>
        <w:t>to account</w:t>
      </w:r>
      <w:r>
        <w:rPr>
          <w:rFonts w:ascii="Garamond" w:eastAsiaTheme="minorEastAsia" w:hAnsi="Garamond" w:cs="Arial"/>
          <w:iCs/>
        </w:rPr>
        <w:t xml:space="preserve"> the particular interest</w:t>
      </w:r>
      <w:r w:rsidR="0017227D">
        <w:rPr>
          <w:rFonts w:ascii="Garamond" w:eastAsiaTheme="minorEastAsia" w:hAnsi="Garamond" w:cs="Arial"/>
          <w:iCs/>
        </w:rPr>
        <w:t>s</w:t>
      </w:r>
      <w:r>
        <w:rPr>
          <w:rFonts w:ascii="Garamond" w:eastAsiaTheme="minorEastAsia" w:hAnsi="Garamond" w:cs="Arial"/>
          <w:iCs/>
        </w:rPr>
        <w:t xml:space="preserve"> of the child. Second, the HCP must have a reasonable belief </w:t>
      </w:r>
      <w:r w:rsidR="00981E9B">
        <w:rPr>
          <w:rFonts w:ascii="Garamond" w:eastAsiaTheme="minorEastAsia" w:hAnsi="Garamond" w:cs="Arial"/>
          <w:iCs/>
        </w:rPr>
        <w:t xml:space="preserve">that a course of action is in the </w:t>
      </w:r>
      <w:r>
        <w:rPr>
          <w:rFonts w:ascii="Garamond" w:eastAsiaTheme="minorEastAsia" w:hAnsi="Garamond" w:cs="Arial"/>
          <w:iCs/>
        </w:rPr>
        <w:t xml:space="preserve">patient’s best interests and the belief will not be reasonable if the HCP failed to adequately consult a child who is capable of contributing to the decision to a level that would determine their best interests. Third, if the child can show that adequate consultation would have led to a different </w:t>
      </w:r>
      <w:r w:rsidR="00981E9B">
        <w:rPr>
          <w:rFonts w:ascii="Garamond" w:eastAsiaTheme="minorEastAsia" w:hAnsi="Garamond" w:cs="Arial"/>
          <w:iCs/>
        </w:rPr>
        <w:t xml:space="preserve">appraisal of their </w:t>
      </w:r>
      <w:r>
        <w:rPr>
          <w:rFonts w:ascii="Garamond" w:eastAsiaTheme="minorEastAsia" w:hAnsi="Garamond" w:cs="Arial"/>
          <w:iCs/>
        </w:rPr>
        <w:t xml:space="preserve">best interests </w:t>
      </w:r>
      <w:r w:rsidR="00981E9B">
        <w:rPr>
          <w:rFonts w:ascii="Garamond" w:eastAsiaTheme="minorEastAsia" w:hAnsi="Garamond" w:cs="Arial"/>
          <w:iCs/>
        </w:rPr>
        <w:t>and therefore a different treatment decision and</w:t>
      </w:r>
      <w:r>
        <w:rPr>
          <w:rFonts w:ascii="Garamond" w:eastAsiaTheme="minorEastAsia" w:hAnsi="Garamond" w:cs="Arial"/>
          <w:iCs/>
        </w:rPr>
        <w:t xml:space="preserve"> the decision taken was contrary to their interests, they might claim in battery. </w:t>
      </w:r>
    </w:p>
    <w:p w14:paraId="1B8213F8" w14:textId="7833862E" w:rsidR="00014D5C" w:rsidRPr="00963288" w:rsidRDefault="00014D5C" w:rsidP="00DC5EF6">
      <w:pPr>
        <w:rPr>
          <w:rFonts w:ascii="Garamond" w:eastAsiaTheme="minorEastAsia" w:hAnsi="Garamond" w:cs="Arial"/>
          <w:iCs/>
        </w:rPr>
      </w:pPr>
      <w:r>
        <w:rPr>
          <w:rFonts w:ascii="Garamond" w:eastAsiaTheme="minorEastAsia" w:hAnsi="Garamond" w:cs="Arial"/>
          <w:iCs/>
        </w:rPr>
        <w:tab/>
      </w:r>
      <w:r w:rsidRPr="00963288">
        <w:rPr>
          <w:rFonts w:ascii="Garamond" w:eastAsiaTheme="minorEastAsia" w:hAnsi="Garamond" w:cs="Arial"/>
          <w:iCs/>
        </w:rPr>
        <w:t>A</w:t>
      </w:r>
      <w:r>
        <w:rPr>
          <w:rFonts w:ascii="Garamond" w:eastAsiaTheme="minorEastAsia" w:hAnsi="Garamond" w:cs="Arial"/>
          <w:iCs/>
        </w:rPr>
        <w:t>n</w:t>
      </w:r>
      <w:r w:rsidRPr="00963288">
        <w:rPr>
          <w:rFonts w:ascii="Garamond" w:eastAsiaTheme="minorEastAsia" w:hAnsi="Garamond" w:cs="Arial"/>
          <w:iCs/>
        </w:rPr>
        <w:t xml:space="preserve"> </w:t>
      </w:r>
      <w:r>
        <w:rPr>
          <w:rFonts w:ascii="Garamond" w:eastAsiaTheme="minorEastAsia" w:hAnsi="Garamond" w:cs="Arial"/>
          <w:iCs/>
        </w:rPr>
        <w:t>HCP</w:t>
      </w:r>
      <w:r w:rsidRPr="00963288">
        <w:rPr>
          <w:rFonts w:ascii="Garamond" w:eastAsiaTheme="minorEastAsia" w:hAnsi="Garamond" w:cs="Arial"/>
          <w:iCs/>
        </w:rPr>
        <w:t xml:space="preserve"> cannot determine the child’s best interests on clinical grounds alone.</w:t>
      </w:r>
      <w:r w:rsidRPr="00963288">
        <w:rPr>
          <w:rFonts w:ascii="Garamond" w:eastAsiaTheme="minorEastAsia" w:hAnsi="Garamond" w:cs="Arial"/>
          <w:iCs/>
          <w:vertAlign w:val="superscript"/>
        </w:rPr>
        <w:footnoteReference w:id="126"/>
      </w:r>
      <w:r w:rsidRPr="00963288">
        <w:rPr>
          <w:rFonts w:ascii="Garamond" w:eastAsiaTheme="minorEastAsia" w:hAnsi="Garamond" w:cs="Arial"/>
          <w:iCs/>
        </w:rPr>
        <w:t xml:space="preserve"> </w:t>
      </w:r>
      <w:r>
        <w:rPr>
          <w:rFonts w:ascii="Garamond" w:eastAsiaTheme="minorEastAsia" w:hAnsi="Garamond" w:cs="Arial"/>
          <w:iCs/>
        </w:rPr>
        <w:t xml:space="preserve">The Supreme Court has recognised that an important part of the best interests determination is to </w:t>
      </w:r>
      <w:r w:rsidR="0017227D">
        <w:rPr>
          <w:rFonts w:ascii="Garamond" w:eastAsiaTheme="minorEastAsia" w:hAnsi="Garamond" w:cs="Arial"/>
          <w:iCs/>
        </w:rPr>
        <w:t>consult the</w:t>
      </w:r>
      <w:r>
        <w:rPr>
          <w:rFonts w:ascii="Garamond" w:eastAsiaTheme="minorEastAsia" w:hAnsi="Garamond" w:cs="Arial"/>
          <w:iCs/>
        </w:rPr>
        <w:t xml:space="preserve"> child</w:t>
      </w:r>
      <w:r w:rsidR="0017227D">
        <w:rPr>
          <w:rFonts w:ascii="Garamond" w:eastAsiaTheme="minorEastAsia" w:hAnsi="Garamond" w:cs="Arial"/>
          <w:iCs/>
        </w:rPr>
        <w:t xml:space="preserve"> to ascertain their</w:t>
      </w:r>
      <w:r>
        <w:rPr>
          <w:rFonts w:ascii="Garamond" w:eastAsiaTheme="minorEastAsia" w:hAnsi="Garamond" w:cs="Arial"/>
          <w:iCs/>
        </w:rPr>
        <w:t xml:space="preserve"> views.</w:t>
      </w:r>
      <w:r>
        <w:rPr>
          <w:rStyle w:val="FootnoteReference"/>
          <w:rFonts w:ascii="Garamond" w:eastAsiaTheme="minorEastAsia" w:hAnsi="Garamond" w:cs="Arial"/>
          <w:iCs/>
        </w:rPr>
        <w:footnoteReference w:id="127"/>
      </w:r>
      <w:r>
        <w:rPr>
          <w:rFonts w:ascii="Garamond" w:eastAsiaTheme="minorEastAsia" w:hAnsi="Garamond" w:cs="Arial"/>
          <w:iCs/>
        </w:rPr>
        <w:t xml:space="preserve"> </w:t>
      </w:r>
      <w:r w:rsidR="0017227D">
        <w:rPr>
          <w:rFonts w:ascii="Garamond" w:eastAsiaTheme="minorEastAsia" w:hAnsi="Garamond" w:cs="Arial"/>
          <w:iCs/>
        </w:rPr>
        <w:t>This</w:t>
      </w:r>
      <w:r w:rsidR="0054309C">
        <w:rPr>
          <w:rFonts w:ascii="Garamond" w:eastAsiaTheme="minorEastAsia" w:hAnsi="Garamond" w:cs="Arial"/>
          <w:iCs/>
        </w:rPr>
        <w:t xml:space="preserve"> emanat</w:t>
      </w:r>
      <w:r w:rsidR="0017227D">
        <w:rPr>
          <w:rFonts w:ascii="Garamond" w:eastAsiaTheme="minorEastAsia" w:hAnsi="Garamond" w:cs="Arial"/>
          <w:iCs/>
        </w:rPr>
        <w:t xml:space="preserve">es from </w:t>
      </w:r>
      <w:r w:rsidR="0017227D" w:rsidRPr="0017227D">
        <w:rPr>
          <w:rFonts w:ascii="Garamond" w:eastAsiaTheme="minorEastAsia" w:hAnsi="Garamond" w:cs="Arial"/>
          <w:iCs/>
        </w:rPr>
        <w:t xml:space="preserve">Article </w:t>
      </w:r>
      <w:r w:rsidR="0017227D">
        <w:rPr>
          <w:rFonts w:ascii="Garamond" w:eastAsiaTheme="minorEastAsia" w:hAnsi="Garamond" w:cs="Arial"/>
          <w:iCs/>
        </w:rPr>
        <w:t>12</w:t>
      </w:r>
      <w:r w:rsidR="0017227D" w:rsidRPr="0017227D">
        <w:rPr>
          <w:rFonts w:ascii="Garamond" w:eastAsiaTheme="minorEastAsia" w:hAnsi="Garamond" w:cs="Arial"/>
          <w:iCs/>
        </w:rPr>
        <w:t xml:space="preserve"> of the United Nations Convention on the Rights of the Child</w:t>
      </w:r>
      <w:r w:rsidR="0054309C">
        <w:rPr>
          <w:rStyle w:val="FootnoteReference"/>
          <w:rFonts w:ascii="Garamond" w:eastAsiaTheme="minorEastAsia" w:hAnsi="Garamond" w:cs="Arial"/>
          <w:iCs/>
        </w:rPr>
        <w:footnoteReference w:id="128"/>
      </w:r>
      <w:r w:rsidR="0054309C">
        <w:rPr>
          <w:rFonts w:ascii="Garamond" w:eastAsiaTheme="minorEastAsia" w:hAnsi="Garamond" w:cs="Arial"/>
          <w:iCs/>
        </w:rPr>
        <w:t xml:space="preserve"> and is featured in the Children Act 1989 welfare checklist.</w:t>
      </w:r>
      <w:r w:rsidR="0054309C">
        <w:rPr>
          <w:rStyle w:val="FootnoteReference"/>
          <w:rFonts w:ascii="Garamond" w:eastAsiaTheme="minorEastAsia" w:hAnsi="Garamond" w:cs="Arial"/>
          <w:iCs/>
        </w:rPr>
        <w:footnoteReference w:id="129"/>
      </w:r>
      <w:r w:rsidR="0017227D" w:rsidRPr="0017227D">
        <w:rPr>
          <w:rFonts w:ascii="Garamond" w:eastAsiaTheme="minorEastAsia" w:hAnsi="Garamond" w:cs="Arial"/>
          <w:iCs/>
        </w:rPr>
        <w:t xml:space="preserve"> </w:t>
      </w:r>
      <w:r>
        <w:rPr>
          <w:rFonts w:ascii="Garamond" w:eastAsiaTheme="minorEastAsia" w:hAnsi="Garamond" w:cs="Arial"/>
          <w:iCs/>
        </w:rPr>
        <w:t>HCP</w:t>
      </w:r>
      <w:r w:rsidRPr="00963288">
        <w:rPr>
          <w:rFonts w:ascii="Garamond" w:eastAsiaTheme="minorEastAsia" w:hAnsi="Garamond" w:cs="Arial"/>
          <w:iCs/>
        </w:rPr>
        <w:t xml:space="preserve">s </w:t>
      </w:r>
      <w:r w:rsidR="0054309C">
        <w:rPr>
          <w:rFonts w:ascii="Garamond" w:eastAsiaTheme="minorEastAsia" w:hAnsi="Garamond" w:cs="Arial"/>
          <w:iCs/>
        </w:rPr>
        <w:t xml:space="preserve">who fail to engage with the child </w:t>
      </w:r>
      <w:r w:rsidRPr="00963288">
        <w:rPr>
          <w:rFonts w:ascii="Garamond" w:eastAsiaTheme="minorEastAsia" w:hAnsi="Garamond" w:cs="Arial"/>
          <w:iCs/>
        </w:rPr>
        <w:t xml:space="preserve">can err in their assessment </w:t>
      </w:r>
      <w:r w:rsidR="0054309C">
        <w:rPr>
          <w:rFonts w:ascii="Garamond" w:eastAsiaTheme="minorEastAsia" w:hAnsi="Garamond" w:cs="Arial"/>
          <w:iCs/>
        </w:rPr>
        <w:t xml:space="preserve">of best interests </w:t>
      </w:r>
      <w:r w:rsidRPr="00963288">
        <w:rPr>
          <w:rFonts w:ascii="Garamond" w:eastAsiaTheme="minorEastAsia" w:hAnsi="Garamond" w:cs="Arial"/>
          <w:iCs/>
        </w:rPr>
        <w:t xml:space="preserve">even if </w:t>
      </w:r>
      <w:r>
        <w:rPr>
          <w:rFonts w:ascii="Garamond" w:eastAsiaTheme="minorEastAsia" w:hAnsi="Garamond" w:cs="Arial"/>
          <w:iCs/>
        </w:rPr>
        <w:t xml:space="preserve">their </w:t>
      </w:r>
      <w:r w:rsidRPr="00963288">
        <w:rPr>
          <w:rFonts w:ascii="Garamond" w:eastAsiaTheme="minorEastAsia" w:hAnsi="Garamond" w:cs="Arial"/>
          <w:iCs/>
        </w:rPr>
        <w:t xml:space="preserve">motives are honourable and a relevant consent is obtained. In the 1976 case of </w:t>
      </w:r>
      <w:r w:rsidRPr="00963288">
        <w:rPr>
          <w:rFonts w:ascii="Garamond" w:eastAsiaTheme="minorEastAsia" w:hAnsi="Garamond" w:cs="Arial"/>
          <w:i/>
          <w:iCs/>
        </w:rPr>
        <w:t>Re D,</w:t>
      </w:r>
      <w:r w:rsidRPr="00963288">
        <w:rPr>
          <w:rFonts w:ascii="Garamond" w:eastAsiaTheme="minorEastAsia" w:hAnsi="Garamond" w:cs="Arial"/>
          <w:iCs/>
          <w:vertAlign w:val="superscript"/>
        </w:rPr>
        <w:footnoteReference w:id="130"/>
      </w:r>
      <w:r w:rsidRPr="00963288">
        <w:rPr>
          <w:rFonts w:ascii="Garamond" w:eastAsiaTheme="minorEastAsia" w:hAnsi="Garamond" w:cs="Arial"/>
          <w:i/>
          <w:iCs/>
        </w:rPr>
        <w:t xml:space="preserve"> </w:t>
      </w:r>
      <w:r w:rsidRPr="00963288">
        <w:rPr>
          <w:rFonts w:ascii="Garamond" w:eastAsiaTheme="minorEastAsia" w:hAnsi="Garamond" w:cs="Arial"/>
          <w:iCs/>
        </w:rPr>
        <w:t>Dr Gordon, a consultant paediatrician, supported by a consultant gynaecologist made a clinical judgement that an 11</w:t>
      </w:r>
      <w:r>
        <w:rPr>
          <w:rFonts w:ascii="Garamond" w:eastAsiaTheme="minorEastAsia" w:hAnsi="Garamond" w:cs="Arial"/>
          <w:iCs/>
        </w:rPr>
        <w:t>-</w:t>
      </w:r>
      <w:r w:rsidRPr="00963288">
        <w:rPr>
          <w:rFonts w:ascii="Garamond" w:eastAsiaTheme="minorEastAsia" w:hAnsi="Garamond" w:cs="Arial"/>
          <w:iCs/>
        </w:rPr>
        <w:t>year</w:t>
      </w:r>
      <w:r>
        <w:rPr>
          <w:rFonts w:ascii="Garamond" w:eastAsiaTheme="minorEastAsia" w:hAnsi="Garamond" w:cs="Arial"/>
          <w:iCs/>
        </w:rPr>
        <w:t>-</w:t>
      </w:r>
      <w:r w:rsidRPr="00963288">
        <w:rPr>
          <w:rFonts w:ascii="Garamond" w:eastAsiaTheme="minorEastAsia" w:hAnsi="Garamond" w:cs="Arial"/>
          <w:iCs/>
        </w:rPr>
        <w:t xml:space="preserve">old girl with </w:t>
      </w:r>
      <w:proofErr w:type="spellStart"/>
      <w:r w:rsidRPr="00963288">
        <w:rPr>
          <w:rFonts w:ascii="Garamond" w:eastAsiaTheme="minorEastAsia" w:hAnsi="Garamond" w:cs="Arial"/>
          <w:iCs/>
        </w:rPr>
        <w:t>Sotos</w:t>
      </w:r>
      <w:proofErr w:type="spellEnd"/>
      <w:r w:rsidRPr="00963288">
        <w:rPr>
          <w:rFonts w:ascii="Garamond" w:eastAsiaTheme="minorEastAsia" w:hAnsi="Garamond" w:cs="Arial"/>
          <w:iCs/>
        </w:rPr>
        <w:t xml:space="preserve"> Syndrome should be sterilised for non-therapeutic purposes with her mother’s consent. A consultant psychiatrist challenged the decision and the court held the operation was neither medically indicated nor necessary, that it would an infringement of her rights</w:t>
      </w:r>
      <w:r>
        <w:rPr>
          <w:rFonts w:ascii="Garamond" w:eastAsiaTheme="minorEastAsia" w:hAnsi="Garamond" w:cs="Arial"/>
          <w:iCs/>
        </w:rPr>
        <w:t xml:space="preserve"> </w:t>
      </w:r>
      <w:r w:rsidRPr="00963288">
        <w:rPr>
          <w:rFonts w:ascii="Garamond" w:eastAsiaTheme="minorEastAsia" w:hAnsi="Garamond" w:cs="Arial"/>
          <w:iCs/>
        </w:rPr>
        <w:t>and was contrary to her best interests.</w:t>
      </w:r>
      <w:r w:rsidRPr="00963288">
        <w:rPr>
          <w:rFonts w:ascii="Garamond" w:eastAsiaTheme="minorEastAsia" w:hAnsi="Garamond" w:cs="Arial"/>
          <w:iCs/>
          <w:vertAlign w:val="superscript"/>
        </w:rPr>
        <w:footnoteReference w:id="131"/>
      </w:r>
      <w:r w:rsidRPr="00963288">
        <w:rPr>
          <w:rFonts w:ascii="Garamond" w:eastAsiaTheme="minorEastAsia" w:hAnsi="Garamond" w:cs="Arial"/>
          <w:iCs/>
        </w:rPr>
        <w:t xml:space="preserve"> The court lamented Dr Gordon’s refusal to consult relevant others.</w:t>
      </w:r>
      <w:r w:rsidRPr="00963288">
        <w:rPr>
          <w:rFonts w:ascii="Garamond" w:eastAsiaTheme="minorEastAsia" w:hAnsi="Garamond" w:cs="Arial"/>
          <w:iCs/>
          <w:vertAlign w:val="superscript"/>
        </w:rPr>
        <w:footnoteReference w:id="132"/>
      </w:r>
      <w:r w:rsidRPr="00963288">
        <w:rPr>
          <w:rFonts w:ascii="Garamond" w:eastAsiaTheme="minorEastAsia" w:hAnsi="Garamond" w:cs="Arial"/>
          <w:iCs/>
        </w:rPr>
        <w:t xml:space="preserve"> The evidence suggested that Dr Gordon had already </w:t>
      </w:r>
      <w:r w:rsidRPr="00963288">
        <w:rPr>
          <w:rFonts w:ascii="Garamond" w:eastAsiaTheme="minorEastAsia" w:hAnsi="Garamond" w:cs="Arial"/>
          <w:iCs/>
        </w:rPr>
        <w:lastRenderedPageBreak/>
        <w:t>performed two similar operations in Sheffield.</w:t>
      </w:r>
      <w:r w:rsidRPr="00963288">
        <w:rPr>
          <w:rFonts w:ascii="Garamond" w:eastAsiaTheme="minorEastAsia" w:hAnsi="Garamond" w:cs="Arial"/>
          <w:iCs/>
          <w:vertAlign w:val="superscript"/>
        </w:rPr>
        <w:footnoteReference w:id="133"/>
      </w:r>
      <w:r w:rsidRPr="00963288">
        <w:rPr>
          <w:rFonts w:ascii="Garamond" w:eastAsiaTheme="minorEastAsia" w:hAnsi="Garamond" w:cs="Arial"/>
          <w:iCs/>
        </w:rPr>
        <w:t xml:space="preserve"> Had those cases come before a court post-operatively, there would have been strong grounds for a claim in trespass given the finding of the court in </w:t>
      </w:r>
      <w:r w:rsidRPr="00963288">
        <w:rPr>
          <w:rFonts w:ascii="Garamond" w:eastAsiaTheme="minorEastAsia" w:hAnsi="Garamond" w:cs="Arial"/>
          <w:i/>
          <w:iCs/>
        </w:rPr>
        <w:t>Re D</w:t>
      </w:r>
      <w:r w:rsidRPr="00963288">
        <w:rPr>
          <w:rFonts w:ascii="Garamond" w:eastAsiaTheme="minorEastAsia" w:hAnsi="Garamond" w:cs="Arial"/>
          <w:iCs/>
        </w:rPr>
        <w:t xml:space="preserve"> that it was, in fact, contrary to D’s interests.</w:t>
      </w:r>
      <w:r w:rsidRPr="00963288">
        <w:rPr>
          <w:rFonts w:ascii="Garamond" w:eastAsiaTheme="minorEastAsia" w:hAnsi="Garamond" w:cs="Arial"/>
          <w:iCs/>
          <w:vertAlign w:val="superscript"/>
        </w:rPr>
        <w:footnoteReference w:id="134"/>
      </w:r>
    </w:p>
    <w:p w14:paraId="596B83C1" w14:textId="73D12D2D" w:rsidR="00014D5C" w:rsidRDefault="00014D5C" w:rsidP="004126D1">
      <w:pPr>
        <w:ind w:firstLine="720"/>
        <w:rPr>
          <w:rFonts w:ascii="Garamond" w:eastAsiaTheme="minorEastAsia" w:hAnsi="Garamond" w:cs="Arial"/>
          <w:iCs/>
          <w:lang w:val="en-US"/>
        </w:rPr>
      </w:pPr>
      <w:r>
        <w:rPr>
          <w:rFonts w:ascii="Garamond" w:eastAsiaTheme="minorEastAsia" w:hAnsi="Garamond" w:cs="Arial"/>
          <w:iCs/>
        </w:rPr>
        <w:t>As for reasonable belief in best interests, we must start with the position relating to 16-17</w:t>
      </w:r>
      <w:r w:rsidR="006E7E61">
        <w:rPr>
          <w:rFonts w:ascii="Garamond" w:eastAsiaTheme="minorEastAsia" w:hAnsi="Garamond" w:cs="Arial"/>
          <w:iCs/>
        </w:rPr>
        <w:t>-</w:t>
      </w:r>
      <w:r>
        <w:rPr>
          <w:rFonts w:ascii="Garamond" w:eastAsiaTheme="minorEastAsia" w:hAnsi="Garamond" w:cs="Arial"/>
          <w:iCs/>
        </w:rPr>
        <w:t>year</w:t>
      </w:r>
      <w:r w:rsidR="006E7E61">
        <w:rPr>
          <w:rFonts w:ascii="Garamond" w:eastAsiaTheme="minorEastAsia" w:hAnsi="Garamond" w:cs="Arial"/>
          <w:iCs/>
        </w:rPr>
        <w:t>-</w:t>
      </w:r>
      <w:r>
        <w:rPr>
          <w:rFonts w:ascii="Garamond" w:eastAsiaTheme="minorEastAsia" w:hAnsi="Garamond" w:cs="Arial"/>
          <w:iCs/>
        </w:rPr>
        <w:t>olds. If they are</w:t>
      </w:r>
      <w:r w:rsidRPr="00963288">
        <w:rPr>
          <w:rFonts w:ascii="Garamond" w:eastAsiaTheme="minorEastAsia" w:hAnsi="Garamond" w:cs="Arial"/>
          <w:iCs/>
        </w:rPr>
        <w:t xml:space="preserve"> </w:t>
      </w:r>
      <w:r>
        <w:rPr>
          <w:rFonts w:ascii="Garamond" w:eastAsiaTheme="minorEastAsia" w:hAnsi="Garamond" w:cs="Arial"/>
          <w:iCs/>
        </w:rPr>
        <w:t>reasonably supposed</w:t>
      </w:r>
      <w:r w:rsidRPr="00963288">
        <w:rPr>
          <w:rFonts w:ascii="Garamond" w:eastAsiaTheme="minorEastAsia" w:hAnsi="Garamond" w:cs="Arial"/>
          <w:iCs/>
        </w:rPr>
        <w:t xml:space="preserve"> to lack capacity, the MCA provides a defence for </w:t>
      </w:r>
      <w:r>
        <w:rPr>
          <w:rFonts w:ascii="Garamond" w:eastAsiaTheme="minorEastAsia" w:hAnsi="Garamond" w:cs="Arial"/>
          <w:iCs/>
        </w:rPr>
        <w:t>an HCP</w:t>
      </w:r>
      <w:r w:rsidRPr="00963288">
        <w:rPr>
          <w:rFonts w:ascii="Garamond" w:eastAsiaTheme="minorEastAsia" w:hAnsi="Garamond" w:cs="Arial"/>
          <w:iCs/>
        </w:rPr>
        <w:t xml:space="preserve"> who, taking account of the factors listed in section 4 of the Act, ‘</w:t>
      </w:r>
      <w:r w:rsidRPr="00963288">
        <w:rPr>
          <w:rFonts w:ascii="Garamond" w:eastAsiaTheme="minorEastAsia" w:hAnsi="Garamond" w:cs="Arial"/>
          <w:i/>
          <w:iCs/>
        </w:rPr>
        <w:t>reasonably</w:t>
      </w:r>
      <w:r w:rsidRPr="00963288">
        <w:rPr>
          <w:rFonts w:ascii="Garamond" w:eastAsiaTheme="minorEastAsia" w:hAnsi="Garamond" w:cs="Arial"/>
          <w:iCs/>
        </w:rPr>
        <w:t xml:space="preserve"> </w:t>
      </w:r>
      <w:r w:rsidRPr="00963288">
        <w:rPr>
          <w:rFonts w:ascii="Garamond" w:eastAsiaTheme="minorEastAsia" w:hAnsi="Garamond" w:cs="Arial"/>
          <w:i/>
          <w:iCs/>
        </w:rPr>
        <w:t>believes</w:t>
      </w:r>
      <w:r w:rsidRPr="00963288">
        <w:rPr>
          <w:rFonts w:ascii="Garamond" w:eastAsiaTheme="minorEastAsia" w:hAnsi="Garamond" w:cs="Arial"/>
          <w:iCs/>
        </w:rPr>
        <w:t xml:space="preserve"> that what he does or decides is in the best interests of the person concerned.’</w:t>
      </w:r>
      <w:r w:rsidRPr="00963288">
        <w:rPr>
          <w:rFonts w:ascii="Garamond" w:eastAsiaTheme="minorEastAsia" w:hAnsi="Garamond" w:cs="Arial"/>
          <w:iCs/>
          <w:vertAlign w:val="superscript"/>
        </w:rPr>
        <w:footnoteReference w:id="135"/>
      </w:r>
      <w:r w:rsidRPr="00963288">
        <w:rPr>
          <w:rFonts w:ascii="Garamond" w:eastAsiaTheme="minorEastAsia" w:hAnsi="Garamond" w:cs="Arial"/>
          <w:iCs/>
        </w:rPr>
        <w:t xml:space="preserve"> This means that the </w:t>
      </w:r>
      <w:r w:rsidRPr="00963288">
        <w:rPr>
          <w:rFonts w:ascii="Garamond" w:eastAsiaTheme="minorEastAsia" w:hAnsi="Garamond" w:cs="Arial"/>
          <w:i/>
          <w:iCs/>
        </w:rPr>
        <w:t>outcome</w:t>
      </w:r>
      <w:r w:rsidRPr="00963288">
        <w:rPr>
          <w:rFonts w:ascii="Garamond" w:eastAsiaTheme="minorEastAsia" w:hAnsi="Garamond" w:cs="Arial"/>
          <w:iCs/>
        </w:rPr>
        <w:t xml:space="preserve"> of the treatment does not </w:t>
      </w:r>
      <w:r w:rsidRPr="00963288">
        <w:rPr>
          <w:rFonts w:ascii="Garamond" w:eastAsiaTheme="minorEastAsia" w:hAnsi="Garamond" w:cs="Arial"/>
          <w:i/>
          <w:iCs/>
        </w:rPr>
        <w:t>actually</w:t>
      </w:r>
      <w:r w:rsidRPr="00963288">
        <w:rPr>
          <w:rFonts w:ascii="Garamond" w:eastAsiaTheme="minorEastAsia" w:hAnsi="Garamond" w:cs="Arial"/>
          <w:iCs/>
        </w:rPr>
        <w:t xml:space="preserve"> have to be in the best interests of the patient lacking capacity provided that the </w:t>
      </w:r>
      <w:r>
        <w:rPr>
          <w:rFonts w:ascii="Garamond" w:eastAsiaTheme="minorEastAsia" w:hAnsi="Garamond" w:cs="Arial"/>
          <w:iCs/>
        </w:rPr>
        <w:t>HCP</w:t>
      </w:r>
      <w:r w:rsidRPr="00963288">
        <w:rPr>
          <w:rFonts w:ascii="Garamond" w:eastAsiaTheme="minorEastAsia" w:hAnsi="Garamond" w:cs="Arial"/>
          <w:iCs/>
        </w:rPr>
        <w:t xml:space="preserve"> </w:t>
      </w:r>
      <w:r w:rsidRPr="00963288">
        <w:rPr>
          <w:rFonts w:ascii="Garamond" w:eastAsiaTheme="minorEastAsia" w:hAnsi="Garamond" w:cs="Arial"/>
          <w:i/>
          <w:iCs/>
        </w:rPr>
        <w:t>reasonably believes</w:t>
      </w:r>
      <w:r w:rsidRPr="00963288">
        <w:rPr>
          <w:rFonts w:ascii="Garamond" w:eastAsiaTheme="minorEastAsia" w:hAnsi="Garamond" w:cs="Arial"/>
          <w:iCs/>
        </w:rPr>
        <w:t xml:space="preserve"> it to be. </w:t>
      </w:r>
      <w:r w:rsidRPr="007A5D32">
        <w:rPr>
          <w:rFonts w:ascii="Garamond" w:eastAsiaTheme="minorEastAsia" w:hAnsi="Garamond" w:cs="Arial"/>
          <w:iCs/>
          <w:lang w:val="en-US"/>
        </w:rPr>
        <w:t xml:space="preserve">Under the MCA, for </w:t>
      </w:r>
      <w:r>
        <w:rPr>
          <w:rFonts w:ascii="Garamond" w:eastAsiaTheme="minorEastAsia" w:hAnsi="Garamond" w:cs="Arial"/>
          <w:iCs/>
          <w:lang w:val="en-US"/>
        </w:rPr>
        <w:t>an HCP</w:t>
      </w:r>
      <w:r w:rsidRPr="007A5D32">
        <w:rPr>
          <w:rFonts w:ascii="Garamond" w:eastAsiaTheme="minorEastAsia" w:hAnsi="Garamond" w:cs="Arial"/>
          <w:iCs/>
          <w:lang w:val="en-US"/>
        </w:rPr>
        <w:t xml:space="preserve">’s ‘reasonable belief’ that treatment was in the </w:t>
      </w:r>
      <w:proofErr w:type="spellStart"/>
      <w:r w:rsidRPr="007A5D32">
        <w:rPr>
          <w:rFonts w:ascii="Garamond" w:eastAsiaTheme="minorEastAsia" w:hAnsi="Garamond" w:cs="Arial"/>
          <w:iCs/>
          <w:lang w:val="en-US"/>
        </w:rPr>
        <w:t>incapacitous</w:t>
      </w:r>
      <w:proofErr w:type="spellEnd"/>
      <w:r w:rsidRPr="007A5D32">
        <w:rPr>
          <w:rFonts w:ascii="Garamond" w:eastAsiaTheme="minorEastAsia" w:hAnsi="Garamond" w:cs="Arial"/>
          <w:iCs/>
          <w:lang w:val="en-US"/>
        </w:rPr>
        <w:t xml:space="preserve"> patient’s best interests to be a valid </w:t>
      </w:r>
      <w:proofErr w:type="spellStart"/>
      <w:r w:rsidRPr="007A5D32">
        <w:rPr>
          <w:rFonts w:ascii="Garamond" w:eastAsiaTheme="minorEastAsia" w:hAnsi="Garamond" w:cs="Arial"/>
          <w:iCs/>
          <w:lang w:val="en-US"/>
        </w:rPr>
        <w:t>defence</w:t>
      </w:r>
      <w:proofErr w:type="spellEnd"/>
      <w:r w:rsidRPr="007A5D32">
        <w:rPr>
          <w:rFonts w:ascii="Garamond" w:eastAsiaTheme="minorEastAsia" w:hAnsi="Garamond" w:cs="Arial"/>
          <w:iCs/>
          <w:lang w:val="en-US"/>
        </w:rPr>
        <w:t xml:space="preserve">, </w:t>
      </w:r>
      <w:r>
        <w:rPr>
          <w:rFonts w:ascii="Garamond" w:eastAsiaTheme="minorEastAsia" w:hAnsi="Garamond" w:cs="Arial"/>
          <w:iCs/>
          <w:lang w:val="en-US"/>
        </w:rPr>
        <w:t xml:space="preserve">certain procedural requirements set out in section 4 must be satisfied. These include, where practicable, consultation with the </w:t>
      </w:r>
      <w:r w:rsidRPr="007A5D32">
        <w:rPr>
          <w:rFonts w:ascii="Garamond" w:eastAsiaTheme="minorEastAsia" w:hAnsi="Garamond" w:cs="Arial"/>
          <w:iCs/>
          <w:lang w:val="en-US"/>
        </w:rPr>
        <w:t>patient</w:t>
      </w:r>
      <w:r>
        <w:rPr>
          <w:rFonts w:ascii="Garamond" w:eastAsiaTheme="minorEastAsia" w:hAnsi="Garamond" w:cs="Arial"/>
          <w:iCs/>
          <w:lang w:val="en-US"/>
        </w:rPr>
        <w:t xml:space="preserve"> and relevant others.</w:t>
      </w:r>
      <w:r>
        <w:rPr>
          <w:rStyle w:val="FootnoteReference"/>
          <w:rFonts w:ascii="Garamond" w:eastAsiaTheme="minorEastAsia" w:hAnsi="Garamond" w:cs="Arial"/>
          <w:iCs/>
          <w:lang w:val="en-US"/>
        </w:rPr>
        <w:footnoteReference w:id="136"/>
      </w:r>
      <w:r>
        <w:rPr>
          <w:rFonts w:ascii="Garamond" w:eastAsiaTheme="minorEastAsia" w:hAnsi="Garamond" w:cs="Arial"/>
          <w:iCs/>
          <w:lang w:val="en-US"/>
        </w:rPr>
        <w:t xml:space="preserve"> Failure to do so can result in battery</w:t>
      </w:r>
      <w:r>
        <w:rPr>
          <w:rStyle w:val="FootnoteReference"/>
          <w:rFonts w:ascii="Garamond" w:eastAsiaTheme="minorEastAsia" w:hAnsi="Garamond" w:cs="Arial"/>
          <w:iCs/>
          <w:lang w:val="en-US"/>
        </w:rPr>
        <w:footnoteReference w:id="137"/>
      </w:r>
      <w:r>
        <w:rPr>
          <w:rFonts w:ascii="Garamond" w:eastAsiaTheme="minorEastAsia" w:hAnsi="Garamond" w:cs="Arial"/>
          <w:iCs/>
          <w:lang w:val="en-US"/>
        </w:rPr>
        <w:t xml:space="preserve"> and breach of Article 8 ECHR.</w:t>
      </w:r>
      <w:r>
        <w:rPr>
          <w:rStyle w:val="FootnoteReference"/>
          <w:rFonts w:ascii="Garamond" w:eastAsiaTheme="minorEastAsia" w:hAnsi="Garamond" w:cs="Arial"/>
          <w:iCs/>
          <w:lang w:val="en-US"/>
        </w:rPr>
        <w:footnoteReference w:id="138"/>
      </w:r>
      <w:r>
        <w:rPr>
          <w:rFonts w:ascii="Garamond" w:eastAsiaTheme="minorEastAsia" w:hAnsi="Garamond" w:cs="Arial"/>
          <w:iCs/>
          <w:lang w:val="en-US"/>
        </w:rPr>
        <w:t xml:space="preserve"> 16-17</w:t>
      </w:r>
      <w:r w:rsidR="006E7E61">
        <w:rPr>
          <w:rFonts w:ascii="Garamond" w:eastAsiaTheme="minorEastAsia" w:hAnsi="Garamond" w:cs="Arial"/>
          <w:iCs/>
          <w:lang w:val="en-US"/>
        </w:rPr>
        <w:t>-</w:t>
      </w:r>
      <w:r>
        <w:rPr>
          <w:rFonts w:ascii="Garamond" w:eastAsiaTheme="minorEastAsia" w:hAnsi="Garamond" w:cs="Arial"/>
          <w:iCs/>
          <w:lang w:val="en-US"/>
        </w:rPr>
        <w:t>year</w:t>
      </w:r>
      <w:r w:rsidR="006E7E61">
        <w:rPr>
          <w:rFonts w:ascii="Garamond" w:eastAsiaTheme="minorEastAsia" w:hAnsi="Garamond" w:cs="Arial"/>
          <w:iCs/>
          <w:lang w:val="en-US"/>
        </w:rPr>
        <w:t>-</w:t>
      </w:r>
      <w:r>
        <w:rPr>
          <w:rFonts w:ascii="Garamond" w:eastAsiaTheme="minorEastAsia" w:hAnsi="Garamond" w:cs="Arial"/>
          <w:iCs/>
          <w:lang w:val="en-US"/>
        </w:rPr>
        <w:t xml:space="preserve">olds who lack capacity cannot consent, but best interests is no </w:t>
      </w:r>
      <w:proofErr w:type="spellStart"/>
      <w:r>
        <w:rPr>
          <w:rFonts w:ascii="Garamond" w:eastAsiaTheme="minorEastAsia" w:hAnsi="Garamond" w:cs="Arial"/>
          <w:iCs/>
          <w:lang w:val="en-US"/>
        </w:rPr>
        <w:t>defence</w:t>
      </w:r>
      <w:proofErr w:type="spellEnd"/>
      <w:r>
        <w:rPr>
          <w:rFonts w:ascii="Garamond" w:eastAsiaTheme="minorEastAsia" w:hAnsi="Garamond" w:cs="Arial"/>
          <w:iCs/>
          <w:lang w:val="en-US"/>
        </w:rPr>
        <w:t xml:space="preserve"> to battery if the best interests decision was not reasonable because they or others were not properly consulted. </w:t>
      </w:r>
    </w:p>
    <w:p w14:paraId="0BC03208" w14:textId="49644DEC" w:rsidR="00014D5C" w:rsidRDefault="00014D5C" w:rsidP="004126D1">
      <w:pPr>
        <w:ind w:firstLine="720"/>
        <w:rPr>
          <w:rFonts w:ascii="Garamond" w:eastAsiaTheme="minorEastAsia" w:hAnsi="Garamond" w:cs="Arial"/>
          <w:iCs/>
          <w:lang w:val="en-US"/>
        </w:rPr>
      </w:pPr>
      <w:r>
        <w:rPr>
          <w:rFonts w:ascii="Garamond" w:eastAsiaTheme="minorEastAsia" w:hAnsi="Garamond" w:cs="Arial"/>
          <w:iCs/>
          <w:lang w:val="en-US"/>
        </w:rPr>
        <w:t>For consenting 16-17</w:t>
      </w:r>
      <w:r w:rsidR="006E7E61">
        <w:rPr>
          <w:rFonts w:ascii="Garamond" w:eastAsiaTheme="minorEastAsia" w:hAnsi="Garamond" w:cs="Arial"/>
          <w:iCs/>
          <w:lang w:val="en-US"/>
        </w:rPr>
        <w:t>-</w:t>
      </w:r>
      <w:r>
        <w:rPr>
          <w:rFonts w:ascii="Garamond" w:eastAsiaTheme="minorEastAsia" w:hAnsi="Garamond" w:cs="Arial"/>
          <w:iCs/>
          <w:lang w:val="en-US"/>
        </w:rPr>
        <w:t>year</w:t>
      </w:r>
      <w:r w:rsidR="006E7E61">
        <w:rPr>
          <w:rFonts w:ascii="Garamond" w:eastAsiaTheme="minorEastAsia" w:hAnsi="Garamond" w:cs="Arial"/>
          <w:iCs/>
          <w:lang w:val="en-US"/>
        </w:rPr>
        <w:t>-</w:t>
      </w:r>
      <w:r>
        <w:rPr>
          <w:rFonts w:ascii="Garamond" w:eastAsiaTheme="minorEastAsia" w:hAnsi="Garamond" w:cs="Arial"/>
          <w:iCs/>
          <w:lang w:val="en-US"/>
        </w:rPr>
        <w:t xml:space="preserve">olds </w:t>
      </w:r>
      <w:r w:rsidRPr="00E71DA0">
        <w:rPr>
          <w:rFonts w:ascii="Garamond" w:eastAsiaTheme="minorEastAsia" w:hAnsi="Garamond" w:cs="Arial"/>
          <w:iCs/>
          <w:lang w:val="en-US"/>
        </w:rPr>
        <w:t xml:space="preserve">with capacity who have been given basic information sufficient to make a valid consent, </w:t>
      </w:r>
      <w:r>
        <w:rPr>
          <w:rFonts w:ascii="Garamond" w:eastAsiaTheme="minorEastAsia" w:hAnsi="Garamond" w:cs="Arial"/>
          <w:iCs/>
          <w:lang w:val="en-US"/>
        </w:rPr>
        <w:t>one might assume that, like adults, they have no claim in battery. B</w:t>
      </w:r>
      <w:r w:rsidRPr="00E71DA0">
        <w:rPr>
          <w:rFonts w:ascii="Garamond" w:eastAsiaTheme="minorEastAsia" w:hAnsi="Garamond" w:cs="Arial"/>
          <w:iCs/>
          <w:lang w:val="en-US"/>
        </w:rPr>
        <w:t xml:space="preserve">ut </w:t>
      </w:r>
      <w:r>
        <w:rPr>
          <w:rFonts w:ascii="Garamond" w:eastAsiaTheme="minorEastAsia" w:hAnsi="Garamond" w:cs="Arial"/>
          <w:iCs/>
          <w:lang w:val="en-US"/>
        </w:rPr>
        <w:t xml:space="preserve">if it is accepted that </w:t>
      </w:r>
      <w:r w:rsidRPr="00E71DA0">
        <w:rPr>
          <w:rFonts w:ascii="Garamond" w:eastAsiaTheme="minorEastAsia" w:hAnsi="Garamond" w:cs="Arial"/>
          <w:i/>
          <w:iCs/>
          <w:lang w:val="en-US"/>
        </w:rPr>
        <w:t>Re W</w:t>
      </w:r>
      <w:r>
        <w:rPr>
          <w:rFonts w:ascii="Garamond" w:eastAsiaTheme="minorEastAsia" w:hAnsi="Garamond" w:cs="Arial"/>
          <w:iCs/>
          <w:lang w:val="en-US"/>
        </w:rPr>
        <w:t xml:space="preserve"> requires the decision to be in their best interests, and there is a failure to adequately consult them to determine those best interests, and a court finds that the decision was not in their best interests, they could argue that their consent was invalid. </w:t>
      </w:r>
    </w:p>
    <w:p w14:paraId="283D6E4B" w14:textId="280E446E" w:rsidR="00014D5C" w:rsidRDefault="00014D5C" w:rsidP="007B7552">
      <w:pPr>
        <w:ind w:firstLine="720"/>
        <w:rPr>
          <w:rFonts w:ascii="Garamond" w:eastAsiaTheme="minorEastAsia" w:hAnsi="Garamond" w:cs="Arial"/>
          <w:iCs/>
          <w:lang w:val="en-US"/>
        </w:rPr>
      </w:pPr>
      <w:r w:rsidRPr="009A6C97">
        <w:rPr>
          <w:rFonts w:ascii="Garamond" w:eastAsiaTheme="minorEastAsia" w:hAnsi="Garamond" w:cs="Arial"/>
          <w:i/>
          <w:iCs/>
          <w:lang w:val="en-US"/>
        </w:rPr>
        <w:lastRenderedPageBreak/>
        <w:t>Re W</w:t>
      </w:r>
      <w:r>
        <w:rPr>
          <w:rFonts w:ascii="Garamond" w:eastAsiaTheme="minorEastAsia" w:hAnsi="Garamond" w:cs="Arial"/>
          <w:iCs/>
          <w:lang w:val="en-US"/>
        </w:rPr>
        <w:t xml:space="preserve"> applies the best interest</w:t>
      </w:r>
      <w:r w:rsidR="001A1687">
        <w:rPr>
          <w:rFonts w:ascii="Garamond" w:eastAsiaTheme="minorEastAsia" w:hAnsi="Garamond" w:cs="Arial"/>
          <w:iCs/>
          <w:lang w:val="en-US"/>
        </w:rPr>
        <w:t>s</w:t>
      </w:r>
      <w:r>
        <w:rPr>
          <w:rFonts w:ascii="Garamond" w:eastAsiaTheme="minorEastAsia" w:hAnsi="Garamond" w:cs="Arial"/>
          <w:iCs/>
          <w:lang w:val="en-US"/>
        </w:rPr>
        <w:t xml:space="preserve"> test regardless of </w:t>
      </w:r>
      <w:r w:rsidR="00682CFC">
        <w:rPr>
          <w:rFonts w:ascii="Garamond" w:eastAsiaTheme="minorEastAsia" w:hAnsi="Garamond" w:cs="Arial"/>
          <w:iCs/>
          <w:lang w:val="en-US"/>
        </w:rPr>
        <w:t>capacity</w:t>
      </w:r>
      <w:r>
        <w:rPr>
          <w:rFonts w:ascii="Garamond" w:eastAsiaTheme="minorEastAsia" w:hAnsi="Garamond" w:cs="Arial"/>
          <w:iCs/>
          <w:lang w:val="en-US"/>
        </w:rPr>
        <w:t xml:space="preserve">. It does so in the specific context of refusal of life-sustaining treatment and may extend no further, but </w:t>
      </w:r>
      <w:r w:rsidRPr="00C17C36">
        <w:rPr>
          <w:rFonts w:ascii="Garamond" w:eastAsiaTheme="minorEastAsia" w:hAnsi="Garamond" w:cs="Arial"/>
        </w:rPr>
        <w:t>welfare is the paramount consideration</w:t>
      </w:r>
      <w:r>
        <w:rPr>
          <w:rFonts w:ascii="Garamond" w:eastAsiaTheme="minorEastAsia" w:hAnsi="Garamond" w:cs="Arial"/>
          <w:iCs/>
          <w:lang w:val="en-US"/>
        </w:rPr>
        <w:t xml:space="preserve"> under the Children Act 1989 and cases such as </w:t>
      </w:r>
      <w:r w:rsidRPr="003276A9">
        <w:rPr>
          <w:rFonts w:ascii="Garamond" w:eastAsiaTheme="minorEastAsia" w:hAnsi="Garamond" w:cs="Arial"/>
          <w:i/>
          <w:iCs/>
          <w:lang w:val="en-US"/>
        </w:rPr>
        <w:t>Re W</w:t>
      </w:r>
      <w:r>
        <w:rPr>
          <w:rFonts w:ascii="Garamond" w:eastAsiaTheme="minorEastAsia" w:hAnsi="Garamond" w:cs="Arial"/>
          <w:iCs/>
          <w:lang w:val="en-US"/>
        </w:rPr>
        <w:t xml:space="preserve"> indicate that the age of 16 is not a ‘bright-line’.</w:t>
      </w:r>
      <w:r>
        <w:rPr>
          <w:rStyle w:val="FootnoteReference"/>
          <w:rFonts w:ascii="Garamond" w:eastAsiaTheme="minorEastAsia" w:hAnsi="Garamond" w:cs="Arial"/>
          <w:iCs/>
          <w:lang w:val="en-US"/>
        </w:rPr>
        <w:footnoteReference w:id="139"/>
      </w:r>
      <w:r>
        <w:rPr>
          <w:rFonts w:ascii="Garamond" w:eastAsiaTheme="minorEastAsia" w:hAnsi="Garamond" w:cs="Arial"/>
          <w:iCs/>
          <w:lang w:val="en-US"/>
        </w:rPr>
        <w:t xml:space="preserve"> Moreover, attempts to limit </w:t>
      </w:r>
      <w:r w:rsidRPr="003276A9">
        <w:rPr>
          <w:rFonts w:ascii="Garamond" w:eastAsiaTheme="minorEastAsia" w:hAnsi="Garamond" w:cs="Arial"/>
          <w:i/>
          <w:iCs/>
          <w:lang w:val="en-US"/>
        </w:rPr>
        <w:t>Re W</w:t>
      </w:r>
      <w:r>
        <w:rPr>
          <w:rFonts w:ascii="Garamond" w:eastAsiaTheme="minorEastAsia" w:hAnsi="Garamond" w:cs="Arial"/>
          <w:iCs/>
          <w:lang w:val="en-US"/>
        </w:rPr>
        <w:t xml:space="preserve"> focus on allowing young people with capacity to define their own best interests. In non-disclosure cases we are concerned with children who have been denied that opportunity due to inadequate consultation. </w:t>
      </w:r>
    </w:p>
    <w:p w14:paraId="10DA99C8" w14:textId="54E0C6CB" w:rsidR="00014D5C" w:rsidRPr="007B7552" w:rsidRDefault="00014D5C" w:rsidP="007B7552">
      <w:pPr>
        <w:ind w:firstLine="720"/>
        <w:rPr>
          <w:rFonts w:ascii="Garamond" w:eastAsiaTheme="minorEastAsia" w:hAnsi="Garamond" w:cs="Arial"/>
          <w:iCs/>
        </w:rPr>
      </w:pPr>
      <w:r>
        <w:rPr>
          <w:rFonts w:ascii="Garamond" w:eastAsiaTheme="minorEastAsia" w:hAnsi="Garamond" w:cs="Arial"/>
          <w:iCs/>
          <w:lang w:val="en-US"/>
        </w:rPr>
        <w:t xml:space="preserve">If the HCP has a reasonable belief that treatment was in the young person’s interests there will be no battery where the child consents, even if consultation was minimal and whether or not it was in fact in their interests. But if the HCP’s view that the decision is in their best interests is unreasonable because consultation was minimal and a court finds that the decision was not in fact in the young person’s best interests, then the child could argue that the limited consultation was insufficient to protect their best interests and rendered their consent invalid. </w:t>
      </w:r>
    </w:p>
    <w:p w14:paraId="37B5B554" w14:textId="66946B5A" w:rsidR="00014D5C" w:rsidRPr="00963288" w:rsidRDefault="00014D5C" w:rsidP="0031773C">
      <w:pPr>
        <w:ind w:firstLine="720"/>
        <w:rPr>
          <w:rFonts w:ascii="Garamond" w:eastAsiaTheme="minorEastAsia" w:hAnsi="Garamond" w:cs="Arial"/>
          <w:iCs/>
        </w:rPr>
      </w:pPr>
      <w:r>
        <w:rPr>
          <w:rFonts w:ascii="Garamond" w:eastAsiaTheme="minorEastAsia" w:hAnsi="Garamond" w:cs="Arial"/>
          <w:iCs/>
        </w:rPr>
        <w:t xml:space="preserve">The position for under 16-year-olds is less clear. </w:t>
      </w:r>
      <w:r w:rsidRPr="00963288">
        <w:rPr>
          <w:rFonts w:ascii="Garamond" w:eastAsiaTheme="minorEastAsia" w:hAnsi="Garamond" w:cs="Arial"/>
          <w:iCs/>
        </w:rPr>
        <w:t xml:space="preserve">In </w:t>
      </w:r>
      <w:r w:rsidRPr="00963288">
        <w:rPr>
          <w:rFonts w:ascii="Garamond" w:eastAsiaTheme="minorEastAsia" w:hAnsi="Garamond" w:cs="Arial"/>
          <w:i/>
          <w:iCs/>
        </w:rPr>
        <w:t>Re F</w:t>
      </w:r>
      <w:r w:rsidRPr="00963288">
        <w:rPr>
          <w:rFonts w:ascii="Garamond" w:eastAsiaTheme="minorEastAsia" w:hAnsi="Garamond" w:cs="Arial"/>
          <w:iCs/>
        </w:rPr>
        <w:t>,</w:t>
      </w:r>
      <w:r w:rsidRPr="00963288">
        <w:rPr>
          <w:rFonts w:ascii="Garamond" w:eastAsiaTheme="minorEastAsia" w:hAnsi="Garamond" w:cs="Arial"/>
          <w:i/>
          <w:iCs/>
        </w:rPr>
        <w:t xml:space="preserve"> </w:t>
      </w:r>
      <w:r w:rsidRPr="00963288">
        <w:rPr>
          <w:rFonts w:ascii="Garamond" w:eastAsiaTheme="minorEastAsia" w:hAnsi="Garamond" w:cs="Arial"/>
          <w:iCs/>
        </w:rPr>
        <w:t>Lord Bridge asserted that where treatment is curative, doctors should be ‘immune from liability in trespass’ where they have ‘acted with due skill and care’.</w:t>
      </w:r>
      <w:r w:rsidRPr="00963288">
        <w:rPr>
          <w:rFonts w:ascii="Garamond" w:eastAsiaTheme="minorEastAsia" w:hAnsi="Garamond" w:cs="Arial"/>
          <w:iCs/>
          <w:vertAlign w:val="superscript"/>
        </w:rPr>
        <w:footnoteReference w:id="140"/>
      </w:r>
      <w:r w:rsidRPr="00963288">
        <w:rPr>
          <w:rFonts w:ascii="Garamond" w:eastAsiaTheme="minorEastAsia" w:hAnsi="Garamond" w:cs="Arial"/>
          <w:iCs/>
        </w:rPr>
        <w:t xml:space="preserve"> Lord Donaldson recognised that the duty</w:t>
      </w:r>
      <w:r>
        <w:rPr>
          <w:rFonts w:ascii="Garamond" w:eastAsiaTheme="minorEastAsia" w:hAnsi="Garamond" w:cs="Arial"/>
          <w:iCs/>
        </w:rPr>
        <w:t xml:space="preserve"> to</w:t>
      </w:r>
      <w:r w:rsidRPr="00963288">
        <w:rPr>
          <w:rFonts w:ascii="Garamond" w:eastAsiaTheme="minorEastAsia" w:hAnsi="Garamond" w:cs="Arial"/>
          <w:iCs/>
        </w:rPr>
        <w:t xml:space="preserve"> </w:t>
      </w:r>
      <w:r>
        <w:rPr>
          <w:rFonts w:ascii="Garamond" w:eastAsiaTheme="minorEastAsia" w:hAnsi="Garamond" w:cs="Arial"/>
          <w:iCs/>
        </w:rPr>
        <w:t xml:space="preserve">consult </w:t>
      </w:r>
      <w:r w:rsidRPr="00963288">
        <w:rPr>
          <w:rFonts w:ascii="Garamond" w:eastAsiaTheme="minorEastAsia" w:hAnsi="Garamond" w:cs="Arial"/>
          <w:iCs/>
        </w:rPr>
        <w:t xml:space="preserve">will vary according to the complexity of the treatment. Where the course is unclear ‘for example, a variety of different treatments are available each involving different potential risks and benefits’, greater consultation may be required ‘in order for the doctor to satisfy </w:t>
      </w:r>
      <w:r>
        <w:rPr>
          <w:rFonts w:ascii="Garamond" w:eastAsiaTheme="minorEastAsia" w:hAnsi="Garamond" w:cs="Arial"/>
          <w:iCs/>
        </w:rPr>
        <w:t xml:space="preserve">himself, </w:t>
      </w:r>
      <w:r w:rsidRPr="0031773C">
        <w:rPr>
          <w:rFonts w:ascii="Garamond" w:eastAsiaTheme="minorEastAsia" w:hAnsi="Garamond" w:cs="Arial"/>
          <w:iCs/>
        </w:rPr>
        <w:t xml:space="preserve">and it may be subsequently a court, </w:t>
      </w:r>
      <w:r w:rsidRPr="00963288">
        <w:rPr>
          <w:rFonts w:ascii="Garamond" w:eastAsiaTheme="minorEastAsia" w:hAnsi="Garamond" w:cs="Arial"/>
          <w:iCs/>
        </w:rPr>
        <w:t>that he is performing his duty under the law and so is immune from suit’.</w:t>
      </w:r>
      <w:r w:rsidRPr="00963288">
        <w:rPr>
          <w:rFonts w:ascii="Garamond" w:eastAsiaTheme="minorEastAsia" w:hAnsi="Garamond" w:cs="Arial"/>
          <w:iCs/>
          <w:vertAlign w:val="superscript"/>
        </w:rPr>
        <w:footnoteReference w:id="141"/>
      </w:r>
      <w:r w:rsidRPr="00963288">
        <w:rPr>
          <w:rFonts w:ascii="Garamond" w:eastAsiaTheme="minorEastAsia" w:hAnsi="Garamond" w:cs="Arial"/>
          <w:iCs/>
        </w:rPr>
        <w:t xml:space="preserve"> </w:t>
      </w:r>
    </w:p>
    <w:p w14:paraId="56229E59" w14:textId="644103F6" w:rsidR="00014D5C" w:rsidRPr="00963288" w:rsidRDefault="00014D5C" w:rsidP="008302DA">
      <w:pPr>
        <w:ind w:firstLine="720"/>
        <w:rPr>
          <w:rFonts w:ascii="Garamond" w:eastAsiaTheme="minorEastAsia" w:hAnsi="Garamond" w:cs="Arial"/>
          <w:iCs/>
        </w:rPr>
      </w:pPr>
      <w:r w:rsidRPr="00963288">
        <w:rPr>
          <w:rFonts w:ascii="Garamond" w:eastAsiaTheme="minorEastAsia" w:hAnsi="Garamond" w:cs="Arial"/>
          <w:iCs/>
        </w:rPr>
        <w:t xml:space="preserve"> Because the principles that influenced the framing of the MCA are </w:t>
      </w:r>
      <w:r>
        <w:rPr>
          <w:rFonts w:ascii="Garamond" w:eastAsiaTheme="minorEastAsia" w:hAnsi="Garamond" w:cs="Arial"/>
          <w:iCs/>
        </w:rPr>
        <w:t xml:space="preserve">also </w:t>
      </w:r>
      <w:r w:rsidRPr="00963288">
        <w:rPr>
          <w:rFonts w:ascii="Garamond" w:eastAsiaTheme="minorEastAsia" w:hAnsi="Garamond" w:cs="Arial"/>
          <w:iCs/>
        </w:rPr>
        <w:t xml:space="preserve">relevant to </w:t>
      </w:r>
      <w:r>
        <w:rPr>
          <w:rFonts w:ascii="Garamond" w:eastAsiaTheme="minorEastAsia" w:hAnsi="Garamond" w:cs="Arial"/>
          <w:iCs/>
        </w:rPr>
        <w:t>under-16s</w:t>
      </w:r>
      <w:r w:rsidRPr="00963288">
        <w:rPr>
          <w:rFonts w:ascii="Garamond" w:eastAsiaTheme="minorEastAsia" w:hAnsi="Garamond" w:cs="Arial"/>
          <w:iCs/>
        </w:rPr>
        <w:t xml:space="preserve">, a court is likely to require reasonable belief rather than proof that the outcome was in the </w:t>
      </w:r>
      <w:r>
        <w:rPr>
          <w:rFonts w:ascii="Garamond" w:eastAsiaTheme="minorEastAsia" w:hAnsi="Garamond" w:cs="Arial"/>
          <w:iCs/>
        </w:rPr>
        <w:t>child’s</w:t>
      </w:r>
      <w:r w:rsidRPr="00963288">
        <w:rPr>
          <w:rFonts w:ascii="Garamond" w:eastAsiaTheme="minorEastAsia" w:hAnsi="Garamond" w:cs="Arial"/>
          <w:iCs/>
        </w:rPr>
        <w:t xml:space="preserve"> best interests. </w:t>
      </w:r>
      <w:r>
        <w:rPr>
          <w:rFonts w:ascii="Garamond" w:eastAsiaTheme="minorEastAsia" w:hAnsi="Garamond" w:cs="Arial"/>
          <w:iCs/>
        </w:rPr>
        <w:t>Again</w:t>
      </w:r>
      <w:r w:rsidRPr="00963288">
        <w:rPr>
          <w:rFonts w:ascii="Garamond" w:eastAsiaTheme="minorEastAsia" w:hAnsi="Garamond" w:cs="Arial"/>
          <w:iCs/>
        </w:rPr>
        <w:t xml:space="preserve">, it will be difficult for </w:t>
      </w:r>
      <w:r>
        <w:rPr>
          <w:rFonts w:ascii="Garamond" w:eastAsiaTheme="minorEastAsia" w:hAnsi="Garamond" w:cs="Arial"/>
          <w:iCs/>
        </w:rPr>
        <w:t>an HCP</w:t>
      </w:r>
      <w:r w:rsidRPr="00963288">
        <w:rPr>
          <w:rFonts w:ascii="Garamond" w:eastAsiaTheme="minorEastAsia" w:hAnsi="Garamond" w:cs="Arial"/>
          <w:iCs/>
        </w:rPr>
        <w:t xml:space="preserve"> who has not sufficiently informed a </w:t>
      </w:r>
      <w:r>
        <w:rPr>
          <w:rFonts w:ascii="Garamond" w:eastAsiaTheme="minorEastAsia" w:hAnsi="Garamond" w:cs="Arial"/>
          <w:iCs/>
        </w:rPr>
        <w:t xml:space="preserve">consenting </w:t>
      </w:r>
      <w:r w:rsidRPr="00963288">
        <w:rPr>
          <w:rFonts w:ascii="Garamond" w:eastAsiaTheme="minorEastAsia" w:hAnsi="Garamond" w:cs="Arial"/>
          <w:iCs/>
        </w:rPr>
        <w:t xml:space="preserve">child to demonstrate that their belief of the child’s best interests was reasonably held. As such, subject to evidence that disclosure would cause harm, the </w:t>
      </w:r>
      <w:r>
        <w:rPr>
          <w:rFonts w:ascii="Garamond" w:eastAsiaTheme="minorEastAsia" w:hAnsi="Garamond" w:cs="Arial"/>
          <w:iCs/>
        </w:rPr>
        <w:t>HCP</w:t>
      </w:r>
      <w:r w:rsidRPr="00963288">
        <w:rPr>
          <w:rFonts w:ascii="Garamond" w:eastAsiaTheme="minorEastAsia" w:hAnsi="Garamond" w:cs="Arial"/>
          <w:iCs/>
        </w:rPr>
        <w:t xml:space="preserve"> will need to inform such </w:t>
      </w:r>
      <w:r w:rsidRPr="00963288">
        <w:rPr>
          <w:rFonts w:ascii="Garamond" w:eastAsiaTheme="minorEastAsia" w:hAnsi="Garamond" w:cs="Arial"/>
          <w:iCs/>
        </w:rPr>
        <w:lastRenderedPageBreak/>
        <w:t xml:space="preserve">children in order to obtain their views and </w:t>
      </w:r>
      <w:r>
        <w:rPr>
          <w:rFonts w:ascii="Garamond" w:eastAsiaTheme="minorEastAsia" w:hAnsi="Garamond" w:cs="Arial"/>
          <w:iCs/>
        </w:rPr>
        <w:t>establish</w:t>
      </w:r>
      <w:r w:rsidRPr="00963288">
        <w:rPr>
          <w:rFonts w:ascii="Garamond" w:eastAsiaTheme="minorEastAsia" w:hAnsi="Garamond" w:cs="Arial"/>
          <w:iCs/>
        </w:rPr>
        <w:t xml:space="preserve"> a reasonable belief of what is in their best interests. </w:t>
      </w:r>
    </w:p>
    <w:p w14:paraId="54EE0E04" w14:textId="6707DA02" w:rsidR="00014D5C" w:rsidRPr="00284855" w:rsidRDefault="00014D5C" w:rsidP="00284855">
      <w:pPr>
        <w:ind w:firstLine="720"/>
        <w:rPr>
          <w:rFonts w:ascii="Garamond" w:eastAsia="Times New Roman" w:hAnsi="Garamond" w:cs="Arial"/>
          <w:lang w:eastAsia="en-GB"/>
        </w:rPr>
      </w:pPr>
      <w:r w:rsidRPr="00284855">
        <w:rPr>
          <w:rFonts w:ascii="Garamond" w:eastAsia="Times New Roman" w:hAnsi="Garamond" w:cs="Arial"/>
          <w:lang w:eastAsia="en-GB"/>
        </w:rPr>
        <w:t xml:space="preserve">The duty to consult does not tell us what and how much information must be communicated. We have seen that the test of materiality governs negligence and that battery requires basic information and, where children are concerned, </w:t>
      </w:r>
      <w:r>
        <w:rPr>
          <w:rFonts w:ascii="Garamond" w:eastAsia="Times New Roman" w:hAnsi="Garamond" w:cs="Arial"/>
          <w:lang w:eastAsia="en-GB"/>
        </w:rPr>
        <w:t xml:space="preserve">this potentially extends to </w:t>
      </w:r>
      <w:r w:rsidRPr="00284855">
        <w:rPr>
          <w:rFonts w:ascii="Garamond" w:eastAsia="Times New Roman" w:hAnsi="Garamond" w:cs="Arial"/>
          <w:lang w:eastAsia="en-GB"/>
        </w:rPr>
        <w:t xml:space="preserve">adequate information to enable a capacity assessment and a best interests decision </w:t>
      </w:r>
      <w:r>
        <w:rPr>
          <w:rFonts w:ascii="Garamond" w:eastAsia="Times New Roman" w:hAnsi="Garamond" w:cs="Arial"/>
          <w:lang w:eastAsia="en-GB"/>
        </w:rPr>
        <w:t>incorporating</w:t>
      </w:r>
      <w:r w:rsidRPr="00284855">
        <w:rPr>
          <w:rFonts w:ascii="Garamond" w:eastAsia="Times New Roman" w:hAnsi="Garamond" w:cs="Arial"/>
          <w:lang w:eastAsia="en-GB"/>
        </w:rPr>
        <w:t xml:space="preserve"> the </w:t>
      </w:r>
      <w:r>
        <w:rPr>
          <w:rFonts w:ascii="Garamond" w:eastAsia="Times New Roman" w:hAnsi="Garamond" w:cs="Arial"/>
          <w:lang w:eastAsia="en-GB"/>
        </w:rPr>
        <w:t xml:space="preserve">child’s </w:t>
      </w:r>
      <w:r w:rsidRPr="00284855">
        <w:rPr>
          <w:rFonts w:ascii="Garamond" w:eastAsia="Times New Roman" w:hAnsi="Garamond" w:cs="Arial"/>
          <w:lang w:eastAsia="en-GB"/>
        </w:rPr>
        <w:t xml:space="preserve">perspective. Damages may flow if it can be shown that the consent was not valid on the basis that the treatment was not in the interests of the child. A failure to consult may result in </w:t>
      </w:r>
      <w:r>
        <w:rPr>
          <w:rFonts w:ascii="Garamond" w:eastAsia="Times New Roman" w:hAnsi="Garamond" w:cs="Arial"/>
          <w:lang w:eastAsia="en-GB"/>
        </w:rPr>
        <w:t xml:space="preserve">battery and </w:t>
      </w:r>
      <w:r w:rsidRPr="00284855">
        <w:rPr>
          <w:rFonts w:ascii="Garamond" w:eastAsia="Times New Roman" w:hAnsi="Garamond" w:cs="Arial"/>
          <w:lang w:eastAsia="en-GB"/>
        </w:rPr>
        <w:t>a declaration of violation of Article 8 if procedure is breached</w:t>
      </w:r>
      <w:r>
        <w:rPr>
          <w:rFonts w:ascii="Garamond" w:eastAsia="Times New Roman" w:hAnsi="Garamond" w:cs="Arial"/>
          <w:lang w:eastAsia="en-GB"/>
        </w:rPr>
        <w:t>. If so, d</w:t>
      </w:r>
      <w:r w:rsidRPr="00284855">
        <w:rPr>
          <w:rFonts w:ascii="Garamond" w:eastAsia="Times New Roman" w:hAnsi="Garamond" w:cs="Arial"/>
          <w:lang w:eastAsia="en-GB"/>
        </w:rPr>
        <w:t xml:space="preserve">amages may be awarded if the breach impacts on treatment. </w:t>
      </w:r>
    </w:p>
    <w:p w14:paraId="49296AAB" w14:textId="3F35BD9E" w:rsidR="00014D5C" w:rsidRDefault="00014D5C" w:rsidP="00284855">
      <w:pPr>
        <w:ind w:firstLine="720"/>
        <w:rPr>
          <w:rFonts w:ascii="Garamond" w:eastAsia="Times New Roman" w:hAnsi="Garamond" w:cs="Arial"/>
          <w:lang w:eastAsia="en-GB"/>
        </w:rPr>
      </w:pPr>
      <w:r w:rsidRPr="00284855">
        <w:rPr>
          <w:rFonts w:ascii="Garamond" w:eastAsia="Times New Roman" w:hAnsi="Garamond" w:cs="Arial"/>
          <w:lang w:eastAsia="en-GB"/>
        </w:rPr>
        <w:t xml:space="preserve">The duty to consult differs according to the procedural requirements with respect to each age group. Under the MCA there must be enough information to facilitate capacity and it is significant that in </w:t>
      </w:r>
      <w:r w:rsidRPr="00284855">
        <w:rPr>
          <w:rFonts w:ascii="Garamond" w:eastAsia="Times New Roman" w:hAnsi="Garamond" w:cs="Arial"/>
          <w:i/>
          <w:lang w:eastAsia="en-GB"/>
        </w:rPr>
        <w:t>Re S,</w:t>
      </w:r>
      <w:r w:rsidRPr="00284855">
        <w:rPr>
          <w:rFonts w:ascii="Garamond" w:eastAsia="Times New Roman" w:hAnsi="Garamond" w:cs="Arial"/>
          <w:lang w:eastAsia="en-GB"/>
        </w:rPr>
        <w:t xml:space="preserve"> Cobb J</w:t>
      </w:r>
      <w:r>
        <w:rPr>
          <w:rFonts w:ascii="Garamond" w:eastAsia="Times New Roman" w:hAnsi="Garamond" w:cs="Arial"/>
          <w:lang w:eastAsia="en-GB"/>
        </w:rPr>
        <w:t>.</w:t>
      </w:r>
      <w:r w:rsidRPr="00284855">
        <w:rPr>
          <w:rFonts w:ascii="Garamond" w:eastAsia="Times New Roman" w:hAnsi="Garamond" w:cs="Arial"/>
          <w:lang w:eastAsia="en-GB"/>
        </w:rPr>
        <w:t xml:space="preserve"> opined that the same duty applies to children.</w:t>
      </w:r>
      <w:r w:rsidRPr="00284855">
        <w:rPr>
          <w:rFonts w:ascii="Garamond" w:eastAsia="Times New Roman" w:hAnsi="Garamond" w:cs="Arial"/>
          <w:vertAlign w:val="superscript"/>
          <w:lang w:eastAsia="en-GB"/>
        </w:rPr>
        <w:footnoteReference w:id="142"/>
      </w:r>
      <w:r w:rsidRPr="00284855">
        <w:rPr>
          <w:rFonts w:ascii="Garamond" w:eastAsia="Times New Roman" w:hAnsi="Garamond" w:cs="Arial"/>
          <w:lang w:eastAsia="en-GB"/>
        </w:rPr>
        <w:t xml:space="preserve"> But a duty to facilitate capacity does not necessarily require disclosure of material risks, benefits and alternative choices, such as is required in relation to ‘adults of sound mind’ under </w:t>
      </w:r>
      <w:r w:rsidRPr="00284855">
        <w:rPr>
          <w:rFonts w:ascii="Garamond" w:eastAsia="Times New Roman" w:hAnsi="Garamond" w:cs="Arial"/>
          <w:i/>
          <w:lang w:eastAsia="en-GB"/>
        </w:rPr>
        <w:t>Montgomery</w:t>
      </w:r>
      <w:r w:rsidRPr="00284855">
        <w:rPr>
          <w:rFonts w:ascii="Garamond" w:eastAsia="Times New Roman" w:hAnsi="Garamond" w:cs="Arial"/>
          <w:lang w:eastAsia="en-GB"/>
        </w:rPr>
        <w:t>.</w:t>
      </w:r>
    </w:p>
    <w:p w14:paraId="49592EED" w14:textId="77777777" w:rsidR="00014D5C" w:rsidRPr="00963288" w:rsidRDefault="00014D5C" w:rsidP="00284855">
      <w:pPr>
        <w:ind w:firstLine="720"/>
        <w:rPr>
          <w:rFonts w:ascii="Garamond" w:eastAsiaTheme="minorEastAsia" w:hAnsi="Garamond" w:cs="Arial"/>
          <w:iCs/>
        </w:rPr>
      </w:pPr>
    </w:p>
    <w:p w14:paraId="1CD031F8" w14:textId="004F1B4C" w:rsidR="00014D5C" w:rsidRPr="00C17C36" w:rsidRDefault="00014D5C" w:rsidP="00DC5EF6">
      <w:pPr>
        <w:contextualSpacing/>
        <w:jc w:val="center"/>
        <w:outlineLvl w:val="0"/>
        <w:rPr>
          <w:rFonts w:ascii="Garamond" w:eastAsiaTheme="majorEastAsia" w:hAnsi="Garamond" w:cs="Arial"/>
          <w:b/>
          <w:bCs/>
        </w:rPr>
      </w:pPr>
      <w:r w:rsidRPr="00C17C36">
        <w:rPr>
          <w:rFonts w:ascii="Garamond" w:eastAsiaTheme="majorEastAsia" w:hAnsi="Garamond" w:cs="Arial"/>
          <w:b/>
          <w:bCs/>
        </w:rPr>
        <w:t>V. CONCLUSION</w:t>
      </w:r>
    </w:p>
    <w:p w14:paraId="15041CDF" w14:textId="7C027D0F" w:rsidR="00014D5C" w:rsidRPr="00C17C36" w:rsidRDefault="00014D5C" w:rsidP="00DC5EF6">
      <w:pPr>
        <w:rPr>
          <w:rFonts w:ascii="Garamond" w:eastAsiaTheme="minorEastAsia" w:hAnsi="Garamond" w:cs="Arial"/>
          <w:iCs/>
        </w:rPr>
      </w:pPr>
      <w:r w:rsidRPr="00C17C36">
        <w:rPr>
          <w:rFonts w:ascii="Garamond" w:eastAsiaTheme="minorEastAsia" w:hAnsi="Garamond" w:cs="Arial"/>
          <w:i/>
        </w:rPr>
        <w:t>Montgomery</w:t>
      </w:r>
      <w:r w:rsidRPr="00C17C36">
        <w:rPr>
          <w:rFonts w:ascii="Garamond" w:eastAsiaTheme="minorEastAsia" w:hAnsi="Garamond" w:cs="Arial"/>
        </w:rPr>
        <w:t xml:space="preserve"> was a landmark decision that has since been extended to apply to other aspects of patient choice.</w:t>
      </w:r>
      <w:r w:rsidRPr="00C17C36">
        <w:rPr>
          <w:rFonts w:ascii="Garamond" w:eastAsiaTheme="minorEastAsia" w:hAnsi="Garamond" w:cs="Arial"/>
          <w:vertAlign w:val="superscript"/>
        </w:rPr>
        <w:footnoteReference w:id="143"/>
      </w:r>
      <w:r w:rsidRPr="00C17C36">
        <w:rPr>
          <w:rFonts w:ascii="Garamond" w:eastAsiaTheme="minorEastAsia" w:hAnsi="Garamond" w:cs="Arial"/>
        </w:rPr>
        <w:t xml:space="preserve"> Though children have the power to consent to treatment in some cases, their powers of choice are limited and their welfare is the paramount consideration. Breach of duty is but one part of the negligence inquiry. A failure to warn does not give rise to a free-standing claim in damages. </w:t>
      </w:r>
      <w:r w:rsidR="00F84FC0">
        <w:rPr>
          <w:rFonts w:ascii="Garamond" w:eastAsiaTheme="minorEastAsia" w:hAnsi="Garamond" w:cs="Arial"/>
        </w:rPr>
        <w:t>While some jurists have made normative a</w:t>
      </w:r>
      <w:r w:rsidR="00AE2D1F">
        <w:rPr>
          <w:rFonts w:ascii="Garamond" w:eastAsiaTheme="minorEastAsia" w:hAnsi="Garamond" w:cs="Arial"/>
        </w:rPr>
        <w:t>rguments about why such claims should be permitted</w:t>
      </w:r>
      <w:r w:rsidR="00F84FC0">
        <w:rPr>
          <w:rFonts w:ascii="Garamond" w:eastAsiaTheme="minorEastAsia" w:hAnsi="Garamond" w:cs="Arial"/>
        </w:rPr>
        <w:t>,</w:t>
      </w:r>
      <w:r w:rsidR="00F84FC0">
        <w:rPr>
          <w:rStyle w:val="FootnoteReference"/>
          <w:rFonts w:ascii="Garamond" w:eastAsiaTheme="minorEastAsia" w:hAnsi="Garamond" w:cs="Arial"/>
        </w:rPr>
        <w:footnoteReference w:id="144"/>
      </w:r>
      <w:r w:rsidR="00F84FC0">
        <w:rPr>
          <w:rFonts w:ascii="Garamond" w:eastAsiaTheme="minorEastAsia" w:hAnsi="Garamond" w:cs="Arial"/>
        </w:rPr>
        <w:t xml:space="preserve"> the Court of Appeal in </w:t>
      </w:r>
      <w:r w:rsidR="00F84FC0">
        <w:rPr>
          <w:rFonts w:ascii="Garamond" w:eastAsiaTheme="minorEastAsia" w:hAnsi="Garamond" w:cs="Arial"/>
          <w:i/>
        </w:rPr>
        <w:t>Shaw v Kovac</w:t>
      </w:r>
      <w:r w:rsidR="00F84FC0" w:rsidRPr="00C17C36">
        <w:rPr>
          <w:rFonts w:ascii="Garamond" w:eastAsiaTheme="minorEastAsia" w:hAnsi="Garamond" w:cs="Arial"/>
          <w:vertAlign w:val="superscript"/>
        </w:rPr>
        <w:footnoteReference w:id="145"/>
      </w:r>
      <w:r w:rsidR="00D0473B">
        <w:rPr>
          <w:rFonts w:ascii="Garamond" w:eastAsiaTheme="minorEastAsia" w:hAnsi="Garamond" w:cs="Arial"/>
          <w:i/>
        </w:rPr>
        <w:t xml:space="preserve"> </w:t>
      </w:r>
      <w:r w:rsidR="00D0473B">
        <w:rPr>
          <w:rFonts w:ascii="Garamond" w:eastAsiaTheme="minorEastAsia" w:hAnsi="Garamond" w:cs="Arial"/>
        </w:rPr>
        <w:t>rejected this argument</w:t>
      </w:r>
      <w:r w:rsidR="00AE2D1F">
        <w:rPr>
          <w:rFonts w:ascii="Garamond" w:eastAsiaTheme="minorEastAsia" w:hAnsi="Garamond" w:cs="Arial"/>
        </w:rPr>
        <w:t xml:space="preserve">. It seems likely that the </w:t>
      </w:r>
      <w:r w:rsidR="00AE2D1F">
        <w:rPr>
          <w:rFonts w:ascii="Garamond" w:eastAsiaTheme="minorEastAsia" w:hAnsi="Garamond" w:cs="Arial"/>
        </w:rPr>
        <w:lastRenderedPageBreak/>
        <w:t>Supreme Court would agree: it refused</w:t>
      </w:r>
      <w:r w:rsidR="00D0473B">
        <w:rPr>
          <w:rFonts w:ascii="Garamond" w:eastAsiaTheme="minorEastAsia" w:hAnsi="Garamond" w:cs="Arial"/>
        </w:rPr>
        <w:t xml:space="preserve"> permission to appeal</w:t>
      </w:r>
      <w:r w:rsidR="00AE2D1F">
        <w:rPr>
          <w:rFonts w:ascii="Garamond" w:eastAsiaTheme="minorEastAsia" w:hAnsi="Garamond" w:cs="Arial"/>
        </w:rPr>
        <w:t xml:space="preserve"> in that case.</w:t>
      </w:r>
      <w:r w:rsidR="00AE2D1F">
        <w:rPr>
          <w:rStyle w:val="FootnoteReference"/>
          <w:rFonts w:ascii="Garamond" w:eastAsiaTheme="minorEastAsia" w:hAnsi="Garamond" w:cs="Arial"/>
        </w:rPr>
        <w:footnoteReference w:id="146"/>
      </w:r>
      <w:r w:rsidR="00F84FC0">
        <w:rPr>
          <w:rFonts w:ascii="Garamond" w:eastAsiaTheme="minorEastAsia" w:hAnsi="Garamond" w:cs="Arial"/>
        </w:rPr>
        <w:t xml:space="preserve"> </w:t>
      </w:r>
      <w:r w:rsidRPr="00C17C36">
        <w:rPr>
          <w:rFonts w:ascii="Garamond" w:eastAsiaTheme="minorEastAsia" w:hAnsi="Garamond" w:cs="Arial"/>
        </w:rPr>
        <w:t>In adult cases, claimants have struggled to show that a failure to disclose reasonable alternatives would have changed the outcome.</w:t>
      </w:r>
      <w:r w:rsidRPr="00C17C36">
        <w:rPr>
          <w:rFonts w:ascii="Garamond" w:eastAsiaTheme="minorEastAsia" w:hAnsi="Garamond" w:cs="Arial"/>
          <w:iCs/>
          <w:vertAlign w:val="superscript"/>
        </w:rPr>
        <w:footnoteReference w:id="147"/>
      </w:r>
      <w:r w:rsidRPr="00C17C36">
        <w:rPr>
          <w:rFonts w:ascii="Garamond" w:eastAsiaTheme="minorEastAsia" w:hAnsi="Garamond" w:cs="Arial"/>
          <w:iCs/>
        </w:rPr>
        <w:t xml:space="preserve"> </w:t>
      </w:r>
      <w:r w:rsidRPr="00C17C36">
        <w:rPr>
          <w:rFonts w:ascii="Garamond" w:eastAsiaTheme="minorEastAsia" w:hAnsi="Garamond" w:cs="Arial"/>
        </w:rPr>
        <w:t xml:space="preserve">It is for </w:t>
      </w:r>
      <w:r>
        <w:rPr>
          <w:rFonts w:ascii="Garamond" w:eastAsiaTheme="minorEastAsia" w:hAnsi="Garamond" w:cs="Arial"/>
        </w:rPr>
        <w:t>these</w:t>
      </w:r>
      <w:r w:rsidRPr="00C17C36">
        <w:rPr>
          <w:rFonts w:ascii="Garamond" w:eastAsiaTheme="minorEastAsia" w:hAnsi="Garamond" w:cs="Arial"/>
        </w:rPr>
        <w:t xml:space="preserve"> reason</w:t>
      </w:r>
      <w:r>
        <w:rPr>
          <w:rFonts w:ascii="Garamond" w:eastAsiaTheme="minorEastAsia" w:hAnsi="Garamond" w:cs="Arial"/>
        </w:rPr>
        <w:t>s</w:t>
      </w:r>
      <w:r w:rsidRPr="00C17C36">
        <w:rPr>
          <w:rFonts w:ascii="Garamond" w:eastAsiaTheme="minorEastAsia" w:hAnsi="Garamond" w:cs="Arial"/>
        </w:rPr>
        <w:t xml:space="preserve"> that many commentators have disputed the ability of the tort system to adequately protect patient autonomy.</w:t>
      </w:r>
      <w:r w:rsidRPr="00C17C36">
        <w:rPr>
          <w:rStyle w:val="FootnoteReference"/>
          <w:rFonts w:ascii="Garamond" w:eastAsiaTheme="minorEastAsia" w:hAnsi="Garamond" w:cs="Arial"/>
        </w:rPr>
        <w:footnoteReference w:id="148"/>
      </w:r>
      <w:r w:rsidRPr="00C17C36">
        <w:rPr>
          <w:rFonts w:ascii="Garamond" w:eastAsiaTheme="minorEastAsia" w:hAnsi="Garamond" w:cs="Arial"/>
        </w:rPr>
        <w:t xml:space="preserve"> We suggest that these criticisms have </w:t>
      </w:r>
      <w:r>
        <w:rPr>
          <w:rFonts w:ascii="Garamond" w:eastAsiaTheme="minorEastAsia" w:hAnsi="Garamond" w:cs="Arial"/>
        </w:rPr>
        <w:t>additional</w:t>
      </w:r>
      <w:r w:rsidRPr="00C17C36">
        <w:rPr>
          <w:rFonts w:ascii="Garamond" w:eastAsiaTheme="minorEastAsia" w:hAnsi="Garamond" w:cs="Arial"/>
        </w:rPr>
        <w:t xml:space="preserve"> force when it comes to children. </w:t>
      </w:r>
    </w:p>
    <w:p w14:paraId="48521673" w14:textId="3B46C67F" w:rsidR="00014D5C" w:rsidRDefault="00014D5C" w:rsidP="00E62E60">
      <w:pPr>
        <w:ind w:firstLine="720"/>
        <w:rPr>
          <w:rFonts w:ascii="Garamond" w:eastAsiaTheme="minorEastAsia" w:hAnsi="Garamond" w:cs="Arial"/>
          <w:iCs/>
        </w:rPr>
      </w:pPr>
      <w:r w:rsidRPr="00C17C36">
        <w:rPr>
          <w:rFonts w:ascii="Garamond" w:eastAsiaTheme="minorEastAsia" w:hAnsi="Garamond" w:cs="Arial"/>
          <w:iCs/>
        </w:rPr>
        <w:t xml:space="preserve">There is scope to challenge the paternalistic interpretation of </w:t>
      </w:r>
      <w:r w:rsidRPr="00C17C36">
        <w:rPr>
          <w:rFonts w:ascii="Garamond" w:eastAsiaTheme="minorEastAsia" w:hAnsi="Garamond" w:cs="Arial"/>
          <w:i/>
          <w:iCs/>
        </w:rPr>
        <w:t>Gillick</w:t>
      </w:r>
      <w:r w:rsidRPr="00C17C36">
        <w:rPr>
          <w:rFonts w:ascii="Garamond" w:eastAsiaTheme="minorEastAsia" w:hAnsi="Garamond" w:cs="Arial"/>
          <w:iCs/>
        </w:rPr>
        <w:t xml:space="preserve">. As we have seen, one interpretation of Lord Scarman’s judgment in </w:t>
      </w:r>
      <w:r w:rsidRPr="00C17C36">
        <w:rPr>
          <w:rFonts w:ascii="Garamond" w:eastAsiaTheme="minorEastAsia" w:hAnsi="Garamond" w:cs="Arial"/>
          <w:i/>
          <w:iCs/>
        </w:rPr>
        <w:t xml:space="preserve">Gillick </w:t>
      </w:r>
      <w:r w:rsidRPr="00C17C36">
        <w:rPr>
          <w:rFonts w:ascii="Garamond" w:eastAsiaTheme="minorEastAsia" w:hAnsi="Garamond" w:cs="Arial"/>
          <w:iCs/>
        </w:rPr>
        <w:t xml:space="preserve">is that the child </w:t>
      </w:r>
      <w:r>
        <w:rPr>
          <w:rFonts w:ascii="Garamond" w:eastAsiaTheme="minorEastAsia" w:hAnsi="Garamond" w:cs="Arial"/>
          <w:iCs/>
        </w:rPr>
        <w:t xml:space="preserve">with capacity </w:t>
      </w:r>
      <w:r w:rsidRPr="00C17C36">
        <w:rPr>
          <w:rFonts w:ascii="Garamond" w:eastAsiaTheme="minorEastAsia" w:hAnsi="Garamond" w:cs="Arial"/>
          <w:iCs/>
        </w:rPr>
        <w:t xml:space="preserve">can make a determinative treatment decision. </w:t>
      </w:r>
      <w:r>
        <w:rPr>
          <w:rFonts w:ascii="Garamond" w:eastAsiaTheme="minorEastAsia" w:hAnsi="Garamond" w:cs="Arial"/>
          <w:iCs/>
        </w:rPr>
        <w:t xml:space="preserve">Sir </w:t>
      </w:r>
      <w:r w:rsidR="00344B11">
        <w:rPr>
          <w:rFonts w:ascii="Garamond" w:eastAsiaTheme="minorEastAsia" w:hAnsi="Garamond" w:cs="Arial"/>
          <w:iCs/>
        </w:rPr>
        <w:t xml:space="preserve">James </w:t>
      </w:r>
      <w:r>
        <w:rPr>
          <w:rFonts w:ascii="Garamond" w:eastAsiaTheme="minorEastAsia" w:hAnsi="Garamond" w:cs="Arial"/>
          <w:iCs/>
        </w:rPr>
        <w:t xml:space="preserve">Munby in </w:t>
      </w:r>
      <w:r w:rsidRPr="00BA6191">
        <w:rPr>
          <w:rFonts w:ascii="Garamond" w:eastAsiaTheme="minorEastAsia" w:hAnsi="Garamond" w:cs="Arial"/>
          <w:i/>
          <w:iCs/>
        </w:rPr>
        <w:t>Re D</w:t>
      </w:r>
      <w:r>
        <w:rPr>
          <w:rFonts w:ascii="Garamond" w:eastAsiaTheme="minorEastAsia" w:hAnsi="Garamond" w:cs="Arial"/>
          <w:iCs/>
        </w:rPr>
        <w:t xml:space="preserve"> recognised as a ‘fundamental principle’ set out in </w:t>
      </w:r>
      <w:r w:rsidRPr="0055216B">
        <w:rPr>
          <w:rFonts w:ascii="Garamond" w:eastAsiaTheme="minorEastAsia" w:hAnsi="Garamond" w:cs="Arial"/>
          <w:i/>
          <w:iCs/>
        </w:rPr>
        <w:t>Gillick</w:t>
      </w:r>
      <w:r>
        <w:rPr>
          <w:rFonts w:ascii="Garamond" w:eastAsiaTheme="minorEastAsia" w:hAnsi="Garamond" w:cs="Arial"/>
          <w:iCs/>
        </w:rPr>
        <w:t xml:space="preserve"> that</w:t>
      </w:r>
      <w:r w:rsidRPr="00B72446">
        <w:t xml:space="preserve"> </w:t>
      </w:r>
      <w:r>
        <w:t>‘t</w:t>
      </w:r>
      <w:r w:rsidRPr="00B72446">
        <w:rPr>
          <w:rFonts w:ascii="Garamond" w:eastAsiaTheme="minorEastAsia" w:hAnsi="Garamond" w:cs="Arial"/>
          <w:iCs/>
        </w:rPr>
        <w:t xml:space="preserve">he exercise of parental responsibility comes to an end not on the attaining of some fixed age but on attaining </w:t>
      </w:r>
      <w:r>
        <w:rPr>
          <w:rFonts w:ascii="Garamond" w:eastAsiaTheme="minorEastAsia" w:hAnsi="Garamond" w:cs="Arial"/>
          <w:iCs/>
        </w:rPr>
        <w:t>‘</w:t>
      </w:r>
      <w:r w:rsidRPr="00B72446">
        <w:rPr>
          <w:rFonts w:ascii="Garamond" w:eastAsiaTheme="minorEastAsia" w:hAnsi="Garamond" w:cs="Arial"/>
          <w:iCs/>
        </w:rPr>
        <w:t>Gillick capacity</w:t>
      </w:r>
      <w:r>
        <w:rPr>
          <w:rFonts w:ascii="Garamond" w:eastAsiaTheme="minorEastAsia" w:hAnsi="Garamond" w:cs="Arial"/>
          <w:iCs/>
        </w:rPr>
        <w:t>’’.</w:t>
      </w:r>
      <w:r>
        <w:rPr>
          <w:rStyle w:val="FootnoteReference"/>
          <w:rFonts w:ascii="Garamond" w:eastAsiaTheme="minorEastAsia" w:hAnsi="Garamond" w:cs="Arial"/>
          <w:iCs/>
        </w:rPr>
        <w:footnoteReference w:id="149"/>
      </w:r>
      <w:r>
        <w:rPr>
          <w:rFonts w:ascii="Garamond" w:eastAsiaTheme="minorEastAsia" w:hAnsi="Garamond" w:cs="Arial"/>
          <w:iCs/>
        </w:rPr>
        <w:t xml:space="preserve"> </w:t>
      </w:r>
      <w:r w:rsidRPr="00C17C36">
        <w:rPr>
          <w:rFonts w:ascii="Garamond" w:eastAsiaTheme="minorEastAsia" w:hAnsi="Garamond" w:cs="Arial"/>
          <w:iCs/>
        </w:rPr>
        <w:t>Mostyn J</w:t>
      </w:r>
      <w:r w:rsidR="00E648C3">
        <w:rPr>
          <w:rFonts w:ascii="Garamond" w:eastAsiaTheme="minorEastAsia" w:hAnsi="Garamond" w:cs="Arial"/>
          <w:iCs/>
        </w:rPr>
        <w:t>.</w:t>
      </w:r>
      <w:r w:rsidRPr="00C17C36">
        <w:rPr>
          <w:rFonts w:ascii="Garamond" w:eastAsiaTheme="minorEastAsia" w:hAnsi="Garamond" w:cs="Arial"/>
          <w:iCs/>
        </w:rPr>
        <w:t xml:space="preserve"> has stated that it was implicit in </w:t>
      </w:r>
      <w:r w:rsidRPr="00C17C36">
        <w:rPr>
          <w:rFonts w:ascii="Garamond" w:eastAsiaTheme="minorEastAsia" w:hAnsi="Garamond" w:cs="Arial"/>
          <w:i/>
          <w:iCs/>
        </w:rPr>
        <w:t xml:space="preserve">Gillick </w:t>
      </w:r>
      <w:r w:rsidRPr="00C17C36">
        <w:rPr>
          <w:rFonts w:ascii="Garamond" w:eastAsiaTheme="minorEastAsia" w:hAnsi="Garamond" w:cs="Arial"/>
          <w:iCs/>
        </w:rPr>
        <w:t xml:space="preserve">that </w:t>
      </w:r>
      <w:r w:rsidRPr="00C17C36">
        <w:rPr>
          <w:rFonts w:ascii="Garamond" w:eastAsiaTheme="minorEastAsia" w:hAnsi="Garamond" w:cs="Arial"/>
        </w:rPr>
        <w:t>‘provided the child, under the age of 16, has sufficient understanding and intelligence, she can then be lawfully prescribed with contraception even if the result of that would lead her to take steps which are wholly contrary to her best interests.’</w:t>
      </w:r>
      <w:r w:rsidRPr="00C17C36">
        <w:rPr>
          <w:rFonts w:ascii="Garamond" w:eastAsiaTheme="minorEastAsia" w:hAnsi="Garamond" w:cs="Arial"/>
          <w:vertAlign w:val="superscript"/>
        </w:rPr>
        <w:footnoteReference w:id="150"/>
      </w:r>
      <w:r w:rsidRPr="00C17C36">
        <w:rPr>
          <w:rFonts w:ascii="Garamond" w:eastAsiaTheme="minorEastAsia" w:hAnsi="Garamond" w:cs="Arial"/>
          <w:iCs/>
        </w:rPr>
        <w:t xml:space="preserve"> </w:t>
      </w:r>
      <w:r w:rsidR="000529F7">
        <w:rPr>
          <w:rFonts w:ascii="Garamond" w:eastAsiaTheme="minorEastAsia" w:hAnsi="Garamond" w:cs="Arial"/>
          <w:iCs/>
        </w:rPr>
        <w:t>Might</w:t>
      </w:r>
      <w:r w:rsidRPr="00C17C36">
        <w:rPr>
          <w:rFonts w:ascii="Garamond" w:eastAsiaTheme="minorEastAsia" w:hAnsi="Garamond" w:cs="Arial"/>
          <w:iCs/>
        </w:rPr>
        <w:t xml:space="preserve"> vindication in </w:t>
      </w:r>
      <w:r w:rsidRPr="00C17C36">
        <w:rPr>
          <w:rFonts w:ascii="Garamond" w:eastAsiaTheme="minorEastAsia" w:hAnsi="Garamond" w:cs="Arial"/>
          <w:i/>
          <w:iCs/>
        </w:rPr>
        <w:t>Montgomery</w:t>
      </w:r>
      <w:r w:rsidRPr="00C17C36">
        <w:rPr>
          <w:rFonts w:ascii="Garamond" w:eastAsiaTheme="minorEastAsia" w:hAnsi="Garamond" w:cs="Arial"/>
          <w:iCs/>
        </w:rPr>
        <w:t xml:space="preserve"> of Lord Scarman’s </w:t>
      </w:r>
      <w:r>
        <w:rPr>
          <w:rFonts w:ascii="Garamond" w:eastAsiaTheme="minorEastAsia" w:hAnsi="Garamond" w:cs="Arial"/>
          <w:iCs/>
        </w:rPr>
        <w:t>pro-patient</w:t>
      </w:r>
      <w:r w:rsidRPr="00C17C36">
        <w:rPr>
          <w:rFonts w:ascii="Garamond" w:eastAsiaTheme="minorEastAsia" w:hAnsi="Garamond" w:cs="Arial"/>
          <w:iCs/>
        </w:rPr>
        <w:t xml:space="preserve"> position taken in </w:t>
      </w:r>
      <w:proofErr w:type="spellStart"/>
      <w:r w:rsidRPr="00C17C36">
        <w:rPr>
          <w:rFonts w:ascii="Garamond" w:eastAsiaTheme="minorEastAsia" w:hAnsi="Garamond" w:cs="Arial"/>
          <w:i/>
          <w:iCs/>
        </w:rPr>
        <w:t>Sidaway</w:t>
      </w:r>
      <w:proofErr w:type="spellEnd"/>
      <w:r w:rsidRPr="00C17C36">
        <w:rPr>
          <w:rFonts w:ascii="Garamond" w:eastAsiaTheme="minorEastAsia" w:hAnsi="Garamond" w:cs="Arial"/>
          <w:iCs/>
        </w:rPr>
        <w:t xml:space="preserve"> one day be emulated in relation to </w:t>
      </w:r>
      <w:r>
        <w:rPr>
          <w:rFonts w:ascii="Garamond" w:eastAsiaTheme="minorEastAsia" w:hAnsi="Garamond" w:cs="Arial"/>
          <w:iCs/>
        </w:rPr>
        <w:t xml:space="preserve">this aspect of </w:t>
      </w:r>
      <w:r w:rsidRPr="00C17C36">
        <w:rPr>
          <w:rFonts w:ascii="Garamond" w:eastAsiaTheme="minorEastAsia" w:hAnsi="Garamond" w:cs="Arial"/>
          <w:iCs/>
        </w:rPr>
        <w:t xml:space="preserve">his Lordship’s position in </w:t>
      </w:r>
      <w:r w:rsidRPr="00C17C36">
        <w:rPr>
          <w:rFonts w:ascii="Garamond" w:eastAsiaTheme="minorEastAsia" w:hAnsi="Garamond" w:cs="Arial"/>
          <w:i/>
          <w:iCs/>
        </w:rPr>
        <w:t>Gillick</w:t>
      </w:r>
      <w:r w:rsidRPr="00C17C36">
        <w:rPr>
          <w:rFonts w:ascii="Garamond" w:eastAsiaTheme="minorEastAsia" w:hAnsi="Garamond" w:cs="Arial"/>
          <w:iCs/>
        </w:rPr>
        <w:t xml:space="preserve">? </w:t>
      </w:r>
    </w:p>
    <w:p w14:paraId="10340DED" w14:textId="466406CE" w:rsidR="00014D5C" w:rsidRPr="00C17C36" w:rsidRDefault="00014D5C" w:rsidP="00BA6191">
      <w:pPr>
        <w:rPr>
          <w:rFonts w:ascii="Garamond" w:eastAsiaTheme="minorEastAsia" w:hAnsi="Garamond" w:cs="Arial"/>
          <w:iCs/>
        </w:rPr>
      </w:pPr>
      <w:r>
        <w:rPr>
          <w:rFonts w:ascii="Garamond" w:eastAsiaTheme="minorEastAsia" w:hAnsi="Garamond" w:cs="Arial"/>
          <w:iCs/>
        </w:rPr>
        <w:tab/>
      </w:r>
      <w:r w:rsidRPr="00C17C36">
        <w:rPr>
          <w:rFonts w:ascii="Garamond" w:eastAsiaTheme="minorEastAsia" w:hAnsi="Garamond" w:cs="Arial"/>
        </w:rPr>
        <w:t xml:space="preserve">For now, </w:t>
      </w:r>
      <w:r w:rsidRPr="00C17C36">
        <w:rPr>
          <w:rFonts w:ascii="Garamond" w:eastAsiaTheme="minorEastAsia" w:hAnsi="Garamond" w:cs="Arial"/>
          <w:iCs/>
        </w:rPr>
        <w:t>an alternative view dominates, based on Lord Fraser’s judgment which appears to require that the treatment must be in the child’s best interests, and that there are cases where this can be determined by others</w:t>
      </w:r>
      <w:r w:rsidR="00804F1E">
        <w:rPr>
          <w:rFonts w:ascii="Garamond" w:eastAsiaTheme="minorEastAsia" w:hAnsi="Garamond" w:cs="Arial"/>
          <w:iCs/>
        </w:rPr>
        <w:t>, even where the child has capacity</w:t>
      </w:r>
      <w:r w:rsidRPr="00C17C36">
        <w:rPr>
          <w:rFonts w:ascii="Garamond" w:eastAsiaTheme="minorEastAsia" w:hAnsi="Garamond" w:cs="Arial"/>
          <w:iCs/>
        </w:rPr>
        <w:t xml:space="preserve">. </w:t>
      </w:r>
      <w:r w:rsidRPr="00C17C36">
        <w:rPr>
          <w:rFonts w:ascii="Garamond" w:eastAsiaTheme="minorEastAsia" w:hAnsi="Garamond" w:cs="Arial"/>
        </w:rPr>
        <w:t>The dominance of best interests in decisions about treatment of children limits the relevance of negligence</w:t>
      </w:r>
      <w:r w:rsidR="001A1687">
        <w:rPr>
          <w:rFonts w:ascii="Garamond" w:eastAsiaTheme="minorEastAsia" w:hAnsi="Garamond" w:cs="Arial"/>
        </w:rPr>
        <w:t>. However,</w:t>
      </w:r>
      <w:r w:rsidRPr="00C17C36">
        <w:rPr>
          <w:rFonts w:ascii="Garamond" w:eastAsiaTheme="minorEastAsia" w:hAnsi="Garamond" w:cs="Arial"/>
        </w:rPr>
        <w:t xml:space="preserve"> </w:t>
      </w:r>
      <w:r>
        <w:rPr>
          <w:rFonts w:ascii="Garamond" w:eastAsiaTheme="minorEastAsia" w:hAnsi="Garamond" w:cs="Arial"/>
        </w:rPr>
        <w:t xml:space="preserve">on the basis of procedural requirements to facilitate participation in order to determine capacity and best interests, it </w:t>
      </w:r>
      <w:r w:rsidRPr="00C17C36">
        <w:rPr>
          <w:rFonts w:ascii="Garamond" w:eastAsiaTheme="minorEastAsia" w:hAnsi="Garamond" w:cs="Arial"/>
        </w:rPr>
        <w:t xml:space="preserve">enhances the relevance of the tort of battery, which for adults offers only limited protection of their right to information. Like adults, children might claim in battery if no </w:t>
      </w:r>
      <w:r w:rsidRPr="00C17C36">
        <w:rPr>
          <w:rFonts w:ascii="Garamond" w:eastAsiaTheme="minorEastAsia" w:hAnsi="Garamond" w:cs="Arial"/>
        </w:rPr>
        <w:lastRenderedPageBreak/>
        <w:t xml:space="preserve">authorisation has been obtained for their treatment. Our focus has been on substandard information disclosure. We have </w:t>
      </w:r>
      <w:r>
        <w:rPr>
          <w:rFonts w:ascii="Garamond" w:eastAsiaTheme="minorEastAsia" w:hAnsi="Garamond" w:cs="Arial"/>
        </w:rPr>
        <w:t xml:space="preserve">considered three ways in which battery might be relevant in light of the test for </w:t>
      </w:r>
      <w:r w:rsidRPr="00150202">
        <w:rPr>
          <w:rFonts w:ascii="Garamond" w:eastAsiaTheme="minorEastAsia" w:hAnsi="Garamond" w:cs="Arial"/>
          <w:i/>
        </w:rPr>
        <w:t>Gillick</w:t>
      </w:r>
      <w:r>
        <w:rPr>
          <w:rFonts w:ascii="Garamond" w:eastAsiaTheme="minorEastAsia" w:hAnsi="Garamond" w:cs="Arial"/>
        </w:rPr>
        <w:t xml:space="preserve"> capacity and the role of best interests. </w:t>
      </w:r>
      <w:r w:rsidRPr="00C17C36">
        <w:rPr>
          <w:rFonts w:ascii="Garamond" w:eastAsiaTheme="minorEastAsia" w:hAnsi="Garamond" w:cs="Arial"/>
        </w:rPr>
        <w:t xml:space="preserve">Because battery is actionable </w:t>
      </w:r>
      <w:r w:rsidRPr="00C17C36">
        <w:rPr>
          <w:rFonts w:ascii="Garamond" w:eastAsiaTheme="minorEastAsia" w:hAnsi="Garamond" w:cs="Arial"/>
          <w:i/>
        </w:rPr>
        <w:t>per se</w:t>
      </w:r>
      <w:r w:rsidRPr="00C17C36">
        <w:rPr>
          <w:rFonts w:ascii="Garamond" w:eastAsiaTheme="minorEastAsia" w:hAnsi="Garamond" w:cs="Arial"/>
        </w:rPr>
        <w:t xml:space="preserve">, this offers a powerful incentive to involve children in decisions made about them. </w:t>
      </w:r>
    </w:p>
    <w:p w14:paraId="4BEB72BB" w14:textId="76C35DDE" w:rsidR="00014D5C" w:rsidRDefault="00014D5C" w:rsidP="00E62E60">
      <w:pPr>
        <w:ind w:firstLine="720"/>
        <w:rPr>
          <w:rFonts w:ascii="Garamond" w:eastAsiaTheme="minorEastAsia" w:hAnsi="Garamond" w:cs="Arial"/>
        </w:rPr>
      </w:pPr>
      <w:r w:rsidRPr="00C17C36">
        <w:rPr>
          <w:rFonts w:ascii="Garamond" w:eastAsiaTheme="minorEastAsia" w:hAnsi="Garamond" w:cs="Arial"/>
        </w:rPr>
        <w:t xml:space="preserve">However, it only goes so far. </w:t>
      </w:r>
      <w:r w:rsidRPr="00C17C36">
        <w:rPr>
          <w:rFonts w:ascii="Garamond" w:eastAsiaTheme="minorEastAsia" w:hAnsi="Garamond" w:cs="Arial"/>
          <w:iCs/>
        </w:rPr>
        <w:t>In practice, the courts have shown reluctan</w:t>
      </w:r>
      <w:r w:rsidR="001A1687">
        <w:rPr>
          <w:rFonts w:ascii="Garamond" w:eastAsiaTheme="minorEastAsia" w:hAnsi="Garamond" w:cs="Arial"/>
          <w:iCs/>
        </w:rPr>
        <w:t>ce</w:t>
      </w:r>
      <w:r w:rsidRPr="00C17C36">
        <w:rPr>
          <w:rFonts w:ascii="Garamond" w:eastAsiaTheme="minorEastAsia" w:hAnsi="Garamond" w:cs="Arial"/>
          <w:iCs/>
        </w:rPr>
        <w:t xml:space="preserve"> to protect patients from battery.</w:t>
      </w:r>
      <w:r w:rsidRPr="00C17C36">
        <w:rPr>
          <w:rFonts w:ascii="Garamond" w:eastAsiaTheme="minorEastAsia" w:hAnsi="Garamond" w:cs="Arial"/>
          <w:iCs/>
          <w:vertAlign w:val="superscript"/>
        </w:rPr>
        <w:footnoteReference w:id="151"/>
      </w:r>
      <w:r w:rsidRPr="00C17C36">
        <w:rPr>
          <w:rFonts w:ascii="Garamond" w:eastAsiaTheme="minorEastAsia" w:hAnsi="Garamond" w:cs="Arial"/>
          <w:iCs/>
        </w:rPr>
        <w:t xml:space="preserve"> Furthermore, </w:t>
      </w:r>
      <w:r w:rsidRPr="00C17C36">
        <w:rPr>
          <w:rFonts w:ascii="Garamond" w:eastAsiaTheme="minorEastAsia" w:hAnsi="Garamond" w:cs="Arial"/>
        </w:rPr>
        <w:t xml:space="preserve">where the </w:t>
      </w:r>
      <w:r>
        <w:rPr>
          <w:rFonts w:ascii="Garamond" w:eastAsiaTheme="minorEastAsia" w:hAnsi="Garamond" w:cs="Arial"/>
        </w:rPr>
        <w:t>HCP</w:t>
      </w:r>
      <w:r w:rsidRPr="00C17C36">
        <w:rPr>
          <w:rFonts w:ascii="Garamond" w:eastAsiaTheme="minorEastAsia" w:hAnsi="Garamond" w:cs="Arial"/>
        </w:rPr>
        <w:t xml:space="preserve"> is satisfied that the decision is in the child’s best interests – for example where no reasonable alternatives exist, the child’s claim is undermined. </w:t>
      </w:r>
      <w:r>
        <w:rPr>
          <w:rFonts w:ascii="Garamond" w:eastAsiaTheme="minorEastAsia" w:hAnsi="Garamond" w:cs="Arial"/>
        </w:rPr>
        <w:t>More effective remedies may lie in the development of human rights claims associated with the duty to consult and the right to autonomy. Sir James Munby P. has lamented:</w:t>
      </w:r>
    </w:p>
    <w:p w14:paraId="3FF4F679" w14:textId="77777777" w:rsidR="00B72C83" w:rsidRDefault="00B72C83" w:rsidP="00E62E60">
      <w:pPr>
        <w:ind w:firstLine="720"/>
        <w:rPr>
          <w:rFonts w:ascii="Garamond" w:eastAsiaTheme="minorEastAsia" w:hAnsi="Garamond" w:cs="Arial"/>
        </w:rPr>
      </w:pPr>
    </w:p>
    <w:p w14:paraId="32A46C8A" w14:textId="26F5D2E0" w:rsidR="00014D5C" w:rsidRDefault="00014D5C" w:rsidP="004150A4">
      <w:pPr>
        <w:ind w:left="567" w:right="567"/>
        <w:rPr>
          <w:rFonts w:ascii="Garamond" w:eastAsiaTheme="minorEastAsia" w:hAnsi="Garamond" w:cs="Arial"/>
        </w:rPr>
      </w:pPr>
      <w:r w:rsidRPr="00BA6191">
        <w:rPr>
          <w:rFonts w:ascii="Garamond" w:eastAsiaTheme="minorEastAsia" w:hAnsi="Garamond" w:cs="Arial"/>
        </w:rPr>
        <w:t xml:space="preserve">our slowness in accepting the </w:t>
      </w:r>
      <w:r>
        <w:rPr>
          <w:rFonts w:ascii="Garamond" w:eastAsiaTheme="minorEastAsia" w:hAnsi="Garamond" w:cs="Arial"/>
        </w:rPr>
        <w:t>…</w:t>
      </w:r>
      <w:r w:rsidRPr="00BA6191">
        <w:rPr>
          <w:rFonts w:ascii="Garamond" w:eastAsiaTheme="minorEastAsia" w:hAnsi="Garamond" w:cs="Arial"/>
        </w:rPr>
        <w:t xml:space="preserve"> profound implications of the undoubted fact that a child has, quite distinct from and sometimes in conflict with his or her parents, the important procedural rights guaranteed by Article 8 of the European Convention</w:t>
      </w:r>
      <w:r>
        <w:rPr>
          <w:rFonts w:ascii="Garamond" w:eastAsiaTheme="minorEastAsia" w:hAnsi="Garamond" w:cs="Arial"/>
        </w:rPr>
        <w:t>.</w:t>
      </w:r>
      <w:r>
        <w:rPr>
          <w:rStyle w:val="FootnoteReference"/>
          <w:rFonts w:ascii="Garamond" w:eastAsiaTheme="minorEastAsia" w:hAnsi="Garamond" w:cs="Arial"/>
        </w:rPr>
        <w:footnoteReference w:id="152"/>
      </w:r>
    </w:p>
    <w:p w14:paraId="3FA30FE2" w14:textId="77777777" w:rsidR="00014D5C" w:rsidRDefault="00014D5C" w:rsidP="004150A4">
      <w:pPr>
        <w:rPr>
          <w:rFonts w:ascii="Garamond" w:eastAsiaTheme="minorEastAsia" w:hAnsi="Garamond" w:cs="Arial"/>
        </w:rPr>
      </w:pPr>
    </w:p>
    <w:p w14:paraId="2701E2C3" w14:textId="7EC292F4" w:rsidR="00014D5C" w:rsidRPr="00963288" w:rsidRDefault="00014D5C" w:rsidP="004150A4">
      <w:pPr>
        <w:rPr>
          <w:rFonts w:ascii="Garamond" w:eastAsiaTheme="minorEastAsia" w:hAnsi="Garamond" w:cs="Arial"/>
        </w:rPr>
      </w:pPr>
      <w:r w:rsidRPr="009E5844">
        <w:rPr>
          <w:rFonts w:ascii="Garamond" w:eastAsiaTheme="minorEastAsia" w:hAnsi="Garamond" w:cs="Arial"/>
        </w:rPr>
        <w:t xml:space="preserve">In </w:t>
      </w:r>
      <w:r w:rsidRPr="009E5844">
        <w:rPr>
          <w:rFonts w:ascii="Garamond" w:eastAsiaTheme="minorEastAsia" w:hAnsi="Garamond" w:cs="Arial"/>
          <w:i/>
        </w:rPr>
        <w:t>Montgomery,</w:t>
      </w:r>
      <w:r w:rsidRPr="009E5844">
        <w:rPr>
          <w:rFonts w:ascii="Garamond" w:eastAsiaTheme="minorEastAsia" w:hAnsi="Garamond" w:cs="Arial"/>
        </w:rPr>
        <w:t xml:space="preserve"> the law finally caught up with professional guidance on adult consent.</w:t>
      </w:r>
      <w:r w:rsidRPr="00963288">
        <w:rPr>
          <w:rFonts w:ascii="Garamond" w:eastAsiaTheme="minorEastAsia" w:hAnsi="Garamond" w:cs="Arial"/>
          <w:vertAlign w:val="superscript"/>
        </w:rPr>
        <w:footnoteReference w:id="153"/>
      </w:r>
      <w:r w:rsidRPr="00963288">
        <w:rPr>
          <w:rFonts w:ascii="Garamond" w:eastAsiaTheme="minorEastAsia" w:hAnsi="Garamond" w:cs="Arial"/>
        </w:rPr>
        <w:t xml:space="preserve"> </w:t>
      </w:r>
      <w:r w:rsidRPr="004150A4">
        <w:rPr>
          <w:rFonts w:ascii="Garamond" w:eastAsiaTheme="minorEastAsia" w:hAnsi="Garamond" w:cs="Arial"/>
        </w:rPr>
        <w:t xml:space="preserve"> </w:t>
      </w:r>
      <w:r w:rsidRPr="00963288">
        <w:rPr>
          <w:rFonts w:ascii="Garamond" w:eastAsiaTheme="minorEastAsia" w:hAnsi="Garamond" w:cs="Arial"/>
        </w:rPr>
        <w:t>Since 2007, the G</w:t>
      </w:r>
      <w:r>
        <w:rPr>
          <w:rFonts w:ascii="Garamond" w:eastAsiaTheme="minorEastAsia" w:hAnsi="Garamond" w:cs="Arial"/>
        </w:rPr>
        <w:t xml:space="preserve">eneral </w:t>
      </w:r>
      <w:r w:rsidRPr="00963288">
        <w:rPr>
          <w:rFonts w:ascii="Garamond" w:eastAsiaTheme="minorEastAsia" w:hAnsi="Garamond" w:cs="Arial"/>
        </w:rPr>
        <w:t>M</w:t>
      </w:r>
      <w:r>
        <w:rPr>
          <w:rFonts w:ascii="Garamond" w:eastAsiaTheme="minorEastAsia" w:hAnsi="Garamond" w:cs="Arial"/>
        </w:rPr>
        <w:t xml:space="preserve">edical </w:t>
      </w:r>
      <w:r w:rsidRPr="00963288">
        <w:rPr>
          <w:rFonts w:ascii="Garamond" w:eastAsiaTheme="minorEastAsia" w:hAnsi="Garamond" w:cs="Arial"/>
        </w:rPr>
        <w:t>C</w:t>
      </w:r>
      <w:r>
        <w:rPr>
          <w:rFonts w:ascii="Garamond" w:eastAsiaTheme="minorEastAsia" w:hAnsi="Garamond" w:cs="Arial"/>
        </w:rPr>
        <w:t>ouncil (GMC)</w:t>
      </w:r>
      <w:r w:rsidRPr="00963288">
        <w:rPr>
          <w:rFonts w:ascii="Garamond" w:eastAsiaTheme="minorEastAsia" w:hAnsi="Garamond" w:cs="Arial"/>
        </w:rPr>
        <w:t xml:space="preserve"> has also set out guidance on information disclosure in relation to children. It establishes th</w:t>
      </w:r>
      <w:r>
        <w:rPr>
          <w:rFonts w:ascii="Garamond" w:eastAsiaTheme="minorEastAsia" w:hAnsi="Garamond" w:cs="Arial"/>
        </w:rPr>
        <w:t xml:space="preserve">at the child’s best interests </w:t>
      </w:r>
      <w:proofErr w:type="gramStart"/>
      <w:r>
        <w:rPr>
          <w:rFonts w:ascii="Garamond" w:eastAsiaTheme="minorEastAsia" w:hAnsi="Garamond" w:cs="Arial"/>
        </w:rPr>
        <w:t>is</w:t>
      </w:r>
      <w:proofErr w:type="gramEnd"/>
      <w:r w:rsidRPr="00963288">
        <w:rPr>
          <w:rFonts w:ascii="Garamond" w:eastAsiaTheme="minorEastAsia" w:hAnsi="Garamond" w:cs="Arial"/>
        </w:rPr>
        <w:t xml:space="preserve"> the guiding principle in all decisions,</w:t>
      </w:r>
      <w:r w:rsidRPr="00963288">
        <w:rPr>
          <w:rFonts w:ascii="Garamond" w:eastAsiaTheme="minorEastAsia" w:hAnsi="Garamond" w:cs="Arial"/>
          <w:vertAlign w:val="superscript"/>
        </w:rPr>
        <w:footnoteReference w:id="154"/>
      </w:r>
      <w:r w:rsidRPr="00963288">
        <w:rPr>
          <w:rFonts w:ascii="Garamond" w:eastAsiaTheme="minorEastAsia" w:hAnsi="Garamond" w:cs="Arial"/>
        </w:rPr>
        <w:t xml:space="preserve"> and emphasises the importance, where appropriate, of good communication between doctor and child.</w:t>
      </w:r>
      <w:r w:rsidRPr="00963288">
        <w:rPr>
          <w:rFonts w:ascii="Garamond" w:eastAsiaTheme="minorEastAsia" w:hAnsi="Garamond" w:cs="Arial"/>
          <w:vertAlign w:val="superscript"/>
        </w:rPr>
        <w:footnoteReference w:id="155"/>
      </w:r>
      <w:r w:rsidRPr="00963288">
        <w:rPr>
          <w:rFonts w:ascii="Garamond" w:eastAsiaTheme="minorEastAsia" w:hAnsi="Garamond" w:cs="Arial"/>
        </w:rPr>
        <w:t xml:space="preserve"> Breach can result in disciplinary action. The GMC also sets out what information should routinely be provided:</w:t>
      </w:r>
    </w:p>
    <w:p w14:paraId="0E6527F6" w14:textId="77777777" w:rsidR="00014D5C" w:rsidRPr="00963288" w:rsidRDefault="00014D5C" w:rsidP="004150A4">
      <w:pPr>
        <w:ind w:left="720"/>
        <w:rPr>
          <w:rFonts w:ascii="Garamond" w:eastAsiaTheme="minorEastAsia" w:hAnsi="Garamond" w:cs="Arial"/>
        </w:rPr>
      </w:pPr>
      <w:r w:rsidRPr="00963288">
        <w:rPr>
          <w:rFonts w:ascii="Garamond" w:eastAsiaTheme="minorEastAsia" w:hAnsi="Garamond" w:cs="Arial"/>
        </w:rPr>
        <w:lastRenderedPageBreak/>
        <w:t xml:space="preserve">You should provide information that is easy to understand and appropriate to their age and maturity about: </w:t>
      </w:r>
    </w:p>
    <w:p w14:paraId="59BAC907" w14:textId="77777777" w:rsidR="00014D5C" w:rsidRPr="00963288" w:rsidRDefault="00014D5C" w:rsidP="004150A4">
      <w:pPr>
        <w:ind w:left="720"/>
        <w:rPr>
          <w:rFonts w:ascii="Garamond" w:eastAsiaTheme="minorEastAsia" w:hAnsi="Garamond" w:cs="Arial"/>
        </w:rPr>
      </w:pPr>
      <w:proofErr w:type="spellStart"/>
      <w:proofErr w:type="gramStart"/>
      <w:r w:rsidRPr="00963288">
        <w:rPr>
          <w:rFonts w:ascii="Garamond" w:eastAsiaTheme="minorEastAsia" w:hAnsi="Garamond" w:cs="Arial"/>
          <w:b/>
          <w:bCs/>
        </w:rPr>
        <w:t>a</w:t>
      </w:r>
      <w:proofErr w:type="spellEnd"/>
      <w:r w:rsidRPr="00963288">
        <w:rPr>
          <w:rFonts w:ascii="Garamond" w:eastAsiaTheme="minorEastAsia" w:hAnsi="Garamond" w:cs="Arial"/>
          <w:b/>
          <w:bCs/>
        </w:rPr>
        <w:t xml:space="preserve"> </w:t>
      </w:r>
      <w:r w:rsidRPr="00963288">
        <w:rPr>
          <w:rFonts w:ascii="Garamond" w:eastAsiaTheme="minorEastAsia" w:hAnsi="Garamond" w:cs="Arial"/>
        </w:rPr>
        <w:t>their</w:t>
      </w:r>
      <w:proofErr w:type="gramEnd"/>
      <w:r w:rsidRPr="00963288">
        <w:rPr>
          <w:rFonts w:ascii="Garamond" w:eastAsiaTheme="minorEastAsia" w:hAnsi="Garamond" w:cs="Arial"/>
        </w:rPr>
        <w:t xml:space="preserve"> conditions </w:t>
      </w:r>
    </w:p>
    <w:p w14:paraId="6DBF0860" w14:textId="77777777" w:rsidR="00014D5C" w:rsidRPr="00963288" w:rsidRDefault="00014D5C" w:rsidP="004150A4">
      <w:pPr>
        <w:ind w:left="720"/>
        <w:rPr>
          <w:rFonts w:ascii="Garamond" w:eastAsiaTheme="minorEastAsia" w:hAnsi="Garamond" w:cs="Arial"/>
        </w:rPr>
      </w:pPr>
      <w:r w:rsidRPr="00963288">
        <w:rPr>
          <w:rFonts w:ascii="Garamond" w:eastAsiaTheme="minorEastAsia" w:hAnsi="Garamond" w:cs="Arial"/>
          <w:b/>
          <w:bCs/>
        </w:rPr>
        <w:t xml:space="preserve">b </w:t>
      </w:r>
      <w:r w:rsidRPr="00963288">
        <w:rPr>
          <w:rFonts w:ascii="Garamond" w:eastAsiaTheme="minorEastAsia" w:hAnsi="Garamond" w:cs="Arial"/>
        </w:rPr>
        <w:t xml:space="preserve">the purpose of investigations and treatments you propose and what that involves, including pain, anaesthetics and stays in hospital </w:t>
      </w:r>
    </w:p>
    <w:p w14:paraId="54B14E39" w14:textId="77777777" w:rsidR="00014D5C" w:rsidRPr="00963288" w:rsidRDefault="00014D5C" w:rsidP="004150A4">
      <w:pPr>
        <w:ind w:left="720"/>
        <w:rPr>
          <w:rFonts w:ascii="Garamond" w:eastAsiaTheme="minorEastAsia" w:hAnsi="Garamond" w:cs="Arial"/>
        </w:rPr>
      </w:pPr>
      <w:r w:rsidRPr="00963288">
        <w:rPr>
          <w:rFonts w:ascii="Garamond" w:eastAsiaTheme="minorEastAsia" w:hAnsi="Garamond" w:cs="Arial"/>
          <w:b/>
          <w:bCs/>
        </w:rPr>
        <w:t xml:space="preserve">c </w:t>
      </w:r>
      <w:r w:rsidRPr="00963288">
        <w:rPr>
          <w:rFonts w:ascii="Garamond" w:eastAsiaTheme="minorEastAsia" w:hAnsi="Garamond" w:cs="Arial"/>
        </w:rPr>
        <w:t xml:space="preserve">the chances of success and the risks of different treatment options, including not having treatment </w:t>
      </w:r>
    </w:p>
    <w:p w14:paraId="3112CA95" w14:textId="77777777" w:rsidR="00014D5C" w:rsidRPr="00963288" w:rsidRDefault="00014D5C" w:rsidP="004150A4">
      <w:pPr>
        <w:ind w:left="720"/>
        <w:rPr>
          <w:rFonts w:ascii="Garamond" w:eastAsiaTheme="minorEastAsia" w:hAnsi="Garamond" w:cs="Arial"/>
        </w:rPr>
      </w:pPr>
      <w:r w:rsidRPr="00963288">
        <w:rPr>
          <w:rFonts w:ascii="Garamond" w:eastAsiaTheme="minorEastAsia" w:hAnsi="Garamond" w:cs="Arial"/>
          <w:b/>
          <w:bCs/>
        </w:rPr>
        <w:t xml:space="preserve">d </w:t>
      </w:r>
      <w:r w:rsidRPr="00963288">
        <w:rPr>
          <w:rFonts w:ascii="Garamond" w:eastAsiaTheme="minorEastAsia" w:hAnsi="Garamond" w:cs="Arial"/>
        </w:rPr>
        <w:t xml:space="preserve">who will be mainly responsible for and involved in their care </w:t>
      </w:r>
    </w:p>
    <w:p w14:paraId="38F282DB" w14:textId="77777777" w:rsidR="00014D5C" w:rsidRPr="00963288" w:rsidRDefault="00014D5C" w:rsidP="004150A4">
      <w:pPr>
        <w:ind w:left="720"/>
        <w:rPr>
          <w:rFonts w:ascii="Garamond" w:eastAsiaTheme="minorEastAsia" w:hAnsi="Garamond" w:cs="Arial"/>
        </w:rPr>
      </w:pPr>
      <w:r w:rsidRPr="00963288">
        <w:rPr>
          <w:rFonts w:ascii="Garamond" w:eastAsiaTheme="minorEastAsia" w:hAnsi="Garamond" w:cs="Arial"/>
          <w:b/>
          <w:bCs/>
        </w:rPr>
        <w:t xml:space="preserve">e </w:t>
      </w:r>
      <w:r w:rsidRPr="00963288">
        <w:rPr>
          <w:rFonts w:ascii="Garamond" w:eastAsiaTheme="minorEastAsia" w:hAnsi="Garamond" w:cs="Arial"/>
        </w:rPr>
        <w:t>their right to change their minds or to ask for a second opinion.</w:t>
      </w:r>
      <w:r w:rsidRPr="00963288">
        <w:rPr>
          <w:rFonts w:ascii="Garamond" w:eastAsiaTheme="minorEastAsia" w:hAnsi="Garamond" w:cs="Arial"/>
          <w:vertAlign w:val="superscript"/>
        </w:rPr>
        <w:footnoteReference w:id="156"/>
      </w:r>
      <w:r w:rsidRPr="00963288">
        <w:rPr>
          <w:rFonts w:ascii="Garamond" w:eastAsiaTheme="minorEastAsia" w:hAnsi="Garamond" w:cs="Arial"/>
        </w:rPr>
        <w:t xml:space="preserve"> </w:t>
      </w:r>
    </w:p>
    <w:p w14:paraId="4A92E566" w14:textId="77777777" w:rsidR="00014D5C" w:rsidRPr="00963288" w:rsidRDefault="00014D5C" w:rsidP="004150A4">
      <w:pPr>
        <w:ind w:left="720"/>
        <w:rPr>
          <w:rFonts w:ascii="Garamond" w:eastAsiaTheme="minorEastAsia" w:hAnsi="Garamond" w:cs="Arial"/>
        </w:rPr>
      </w:pPr>
    </w:p>
    <w:p w14:paraId="4F585B4A" w14:textId="7062D99D" w:rsidR="004150A4" w:rsidRPr="00963288" w:rsidRDefault="00014D5C" w:rsidP="00EC3363">
      <w:pPr>
        <w:rPr>
          <w:rFonts w:ascii="Garamond" w:eastAsiaTheme="minorEastAsia" w:hAnsi="Garamond" w:cs="Arial"/>
        </w:rPr>
      </w:pPr>
      <w:r w:rsidRPr="00963288">
        <w:rPr>
          <w:rFonts w:ascii="Garamond" w:eastAsiaTheme="minorEastAsia" w:hAnsi="Garamond" w:cs="Arial"/>
        </w:rPr>
        <w:t>The GMC advises that this information should only be kept from children if either that is their wish, or if it would cause them serious harm.</w:t>
      </w:r>
      <w:r w:rsidRPr="00963288">
        <w:rPr>
          <w:rFonts w:ascii="Garamond" w:eastAsiaTheme="minorEastAsia" w:hAnsi="Garamond" w:cs="Arial"/>
          <w:vertAlign w:val="superscript"/>
        </w:rPr>
        <w:footnoteReference w:id="157"/>
      </w:r>
      <w:r w:rsidRPr="00963288">
        <w:rPr>
          <w:rFonts w:ascii="Garamond" w:eastAsiaTheme="minorEastAsia" w:hAnsi="Garamond" w:cs="Arial"/>
        </w:rPr>
        <w:t xml:space="preserve"> </w:t>
      </w:r>
      <w:r w:rsidR="004150A4" w:rsidRPr="00963288">
        <w:rPr>
          <w:rFonts w:ascii="Garamond" w:eastAsiaTheme="minorEastAsia" w:hAnsi="Garamond" w:cs="Arial"/>
        </w:rPr>
        <w:t xml:space="preserve">In this respect, the professional requirements to disclose information to children closely mirror the duties in relation to adults as set out in </w:t>
      </w:r>
      <w:r w:rsidR="004150A4" w:rsidRPr="00963288">
        <w:rPr>
          <w:rFonts w:ascii="Garamond" w:eastAsiaTheme="minorEastAsia" w:hAnsi="Garamond" w:cs="Arial"/>
          <w:i/>
        </w:rPr>
        <w:t>Montgomery</w:t>
      </w:r>
      <w:r w:rsidR="004150A4" w:rsidRPr="00963288">
        <w:rPr>
          <w:rFonts w:ascii="Garamond" w:eastAsiaTheme="minorEastAsia" w:hAnsi="Garamond" w:cs="Arial"/>
        </w:rPr>
        <w:t>.</w:t>
      </w:r>
      <w:r w:rsidR="00EC3363">
        <w:rPr>
          <w:rFonts w:ascii="Garamond" w:eastAsiaTheme="minorEastAsia" w:hAnsi="Garamond" w:cs="Arial"/>
        </w:rPr>
        <w:t xml:space="preserve"> </w:t>
      </w:r>
      <w:r w:rsidR="00F1327C">
        <w:rPr>
          <w:rFonts w:ascii="Garamond" w:eastAsiaTheme="minorEastAsia" w:hAnsi="Garamond" w:cs="Arial"/>
        </w:rPr>
        <w:t>HCP</w:t>
      </w:r>
      <w:r w:rsidR="00F1327C" w:rsidRPr="00C17C36">
        <w:rPr>
          <w:rFonts w:ascii="Garamond" w:eastAsiaTheme="minorEastAsia" w:hAnsi="Garamond" w:cs="Arial"/>
        </w:rPr>
        <w:t xml:space="preserve">s </w:t>
      </w:r>
      <w:r w:rsidR="004C791E" w:rsidRPr="00C17C36">
        <w:rPr>
          <w:rFonts w:ascii="Garamond" w:eastAsiaTheme="minorEastAsia" w:hAnsi="Garamond" w:cs="Arial"/>
        </w:rPr>
        <w:t xml:space="preserve">are rightly advised to abide by this guidance lest they treat in a manner that conflicts with the child’s interests, which extend beyond clinical factors and cannot be accurately ascertained without consultation. </w:t>
      </w:r>
      <w:r w:rsidR="004C791E" w:rsidRPr="009E5844">
        <w:rPr>
          <w:rFonts w:ascii="Garamond" w:eastAsiaTheme="minorEastAsia" w:hAnsi="Garamond" w:cs="Arial"/>
        </w:rPr>
        <w:t xml:space="preserve">From the position of the </w:t>
      </w:r>
      <w:r w:rsidR="00886537">
        <w:rPr>
          <w:rFonts w:ascii="Garamond" w:eastAsiaTheme="minorEastAsia" w:hAnsi="Garamond" w:cs="Arial"/>
        </w:rPr>
        <w:t>child</w:t>
      </w:r>
      <w:r w:rsidR="004C791E" w:rsidRPr="009E5844">
        <w:rPr>
          <w:rFonts w:ascii="Garamond" w:eastAsiaTheme="minorEastAsia" w:hAnsi="Garamond" w:cs="Arial"/>
        </w:rPr>
        <w:t xml:space="preserve">, however, the situations in which non-disclosure would give rise to a remedy in tort are limited. </w:t>
      </w:r>
    </w:p>
    <w:p w14:paraId="2CDEB10D" w14:textId="0B8F0C35" w:rsidR="004150A4" w:rsidRDefault="00EC3363" w:rsidP="003C79C2">
      <w:pPr>
        <w:ind w:firstLine="720"/>
        <w:rPr>
          <w:rFonts w:ascii="Garamond" w:eastAsiaTheme="minorEastAsia" w:hAnsi="Garamond" w:cs="Arial"/>
        </w:rPr>
      </w:pPr>
      <w:r w:rsidRPr="00EC3363">
        <w:rPr>
          <w:rFonts w:ascii="Garamond" w:eastAsiaTheme="minorEastAsia" w:hAnsi="Garamond" w:cs="Arial"/>
          <w:i/>
        </w:rPr>
        <w:t>Montgomery</w:t>
      </w:r>
      <w:r>
        <w:rPr>
          <w:rFonts w:ascii="Garamond" w:eastAsiaTheme="minorEastAsia" w:hAnsi="Garamond" w:cs="Arial"/>
        </w:rPr>
        <w:t xml:space="preserve"> reconciled the law on negligent non-disclosure </w:t>
      </w:r>
      <w:r w:rsidR="0095504C">
        <w:rPr>
          <w:rFonts w:ascii="Garamond" w:eastAsiaTheme="minorEastAsia" w:hAnsi="Garamond" w:cs="Arial"/>
        </w:rPr>
        <w:t xml:space="preserve">of information </w:t>
      </w:r>
      <w:r>
        <w:rPr>
          <w:rFonts w:ascii="Garamond" w:eastAsiaTheme="minorEastAsia" w:hAnsi="Garamond" w:cs="Arial"/>
        </w:rPr>
        <w:t xml:space="preserve">in the case of adults with social and legal developments. </w:t>
      </w:r>
      <w:r w:rsidR="004C791E" w:rsidRPr="009E5844">
        <w:rPr>
          <w:rFonts w:ascii="Garamond" w:eastAsiaTheme="minorEastAsia" w:hAnsi="Garamond" w:cs="Arial"/>
        </w:rPr>
        <w:t xml:space="preserve">Is information </w:t>
      </w:r>
      <w:r>
        <w:rPr>
          <w:rFonts w:ascii="Garamond" w:eastAsiaTheme="minorEastAsia" w:hAnsi="Garamond" w:cs="Arial"/>
        </w:rPr>
        <w:t>non-</w:t>
      </w:r>
      <w:r w:rsidR="004C791E" w:rsidRPr="009E5844">
        <w:rPr>
          <w:rFonts w:ascii="Garamond" w:eastAsiaTheme="minorEastAsia" w:hAnsi="Garamond" w:cs="Arial"/>
        </w:rPr>
        <w:t>disclosure in the case of children another area where the law is behind the curve?</w:t>
      </w:r>
      <w:r w:rsidR="00370ACB" w:rsidRPr="009E5844">
        <w:rPr>
          <w:rFonts w:ascii="Garamond" w:eastAsiaTheme="minorEastAsia" w:hAnsi="Garamond" w:cs="Arial"/>
        </w:rPr>
        <w:t xml:space="preserve"> </w:t>
      </w:r>
      <w:r w:rsidR="004C791E" w:rsidRPr="009E5844">
        <w:rPr>
          <w:rFonts w:ascii="Garamond" w:eastAsiaTheme="minorEastAsia" w:hAnsi="Garamond" w:cs="Arial"/>
        </w:rPr>
        <w:t xml:space="preserve">We would argue that </w:t>
      </w:r>
      <w:r w:rsidR="00E94888" w:rsidRPr="009E5844">
        <w:rPr>
          <w:rFonts w:ascii="Garamond" w:eastAsiaTheme="minorEastAsia" w:hAnsi="Garamond" w:cs="Arial"/>
        </w:rPr>
        <w:t>insofar</w:t>
      </w:r>
      <w:r w:rsidR="004C791E" w:rsidRPr="009E5844">
        <w:rPr>
          <w:rFonts w:ascii="Garamond" w:eastAsiaTheme="minorEastAsia" w:hAnsi="Garamond" w:cs="Arial"/>
        </w:rPr>
        <w:t xml:space="preserve"> as the law limits the rights of children with capacity to make medical treatment decisions contrary to their best interests, the tort of negligence is patently ill-suited to the protection</w:t>
      </w:r>
      <w:r w:rsidR="00370ACB" w:rsidRPr="009E5844">
        <w:rPr>
          <w:rFonts w:ascii="Garamond" w:eastAsiaTheme="minorEastAsia" w:hAnsi="Garamond" w:cs="Arial"/>
        </w:rPr>
        <w:t xml:space="preserve"> of their autonomy</w:t>
      </w:r>
      <w:r w:rsidR="004150A4">
        <w:rPr>
          <w:rFonts w:ascii="Garamond" w:eastAsiaTheme="minorEastAsia" w:hAnsi="Garamond" w:cs="Arial"/>
        </w:rPr>
        <w:t>.</w:t>
      </w:r>
    </w:p>
    <w:p w14:paraId="02E29F1B" w14:textId="77777777" w:rsidR="000B6D5F" w:rsidRPr="009E5844" w:rsidRDefault="000B6D5F" w:rsidP="003C79C2">
      <w:pPr>
        <w:ind w:firstLine="720"/>
        <w:rPr>
          <w:rFonts w:ascii="Garamond" w:hAnsi="Garamond"/>
        </w:rPr>
      </w:pPr>
    </w:p>
    <w:sectPr w:rsidR="000B6D5F" w:rsidRPr="009E5844" w:rsidSect="000B6D5F">
      <w:footerReference w:type="even" r:id="rId8"/>
      <w:footerReference w:type="default" r:id="rId9"/>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F99D4" w14:textId="77777777" w:rsidR="00753C02" w:rsidRDefault="00753C02" w:rsidP="004C791E">
      <w:pPr>
        <w:spacing w:line="240" w:lineRule="auto"/>
      </w:pPr>
      <w:r>
        <w:separator/>
      </w:r>
    </w:p>
  </w:endnote>
  <w:endnote w:type="continuationSeparator" w:id="0">
    <w:p w14:paraId="2F958759" w14:textId="77777777" w:rsidR="00753C02" w:rsidRDefault="00753C02" w:rsidP="004C79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85D45" w14:textId="77777777" w:rsidR="004865E9" w:rsidRDefault="004865E9" w:rsidP="00B047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8D18AC" w14:textId="77777777" w:rsidR="004865E9" w:rsidRDefault="004865E9" w:rsidP="00D757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7AAE" w14:textId="200796E0" w:rsidR="004865E9" w:rsidRPr="00D7579A" w:rsidRDefault="004865E9" w:rsidP="00B047F3">
    <w:pPr>
      <w:pStyle w:val="Footer"/>
      <w:framePr w:wrap="none" w:vAnchor="text" w:hAnchor="margin" w:xAlign="right" w:y="1"/>
      <w:rPr>
        <w:rStyle w:val="PageNumber"/>
        <w:rFonts w:ascii="Garamond" w:hAnsi="Garamond"/>
      </w:rPr>
    </w:pPr>
    <w:r w:rsidRPr="00D7579A">
      <w:rPr>
        <w:rStyle w:val="PageNumber"/>
        <w:rFonts w:ascii="Garamond" w:hAnsi="Garamond"/>
      </w:rPr>
      <w:fldChar w:fldCharType="begin"/>
    </w:r>
    <w:r w:rsidRPr="00D7579A">
      <w:rPr>
        <w:rStyle w:val="PageNumber"/>
        <w:rFonts w:ascii="Garamond" w:hAnsi="Garamond"/>
      </w:rPr>
      <w:instrText xml:space="preserve">PAGE  </w:instrText>
    </w:r>
    <w:r w:rsidRPr="00D7579A">
      <w:rPr>
        <w:rStyle w:val="PageNumber"/>
        <w:rFonts w:ascii="Garamond" w:hAnsi="Garamond"/>
      </w:rPr>
      <w:fldChar w:fldCharType="separate"/>
    </w:r>
    <w:r w:rsidR="007B1232">
      <w:rPr>
        <w:rStyle w:val="PageNumber"/>
        <w:rFonts w:ascii="Garamond" w:hAnsi="Garamond"/>
        <w:noProof/>
      </w:rPr>
      <w:t>2</w:t>
    </w:r>
    <w:r w:rsidRPr="00D7579A">
      <w:rPr>
        <w:rStyle w:val="PageNumber"/>
        <w:rFonts w:ascii="Garamond" w:hAnsi="Garamond"/>
      </w:rPr>
      <w:fldChar w:fldCharType="end"/>
    </w:r>
  </w:p>
  <w:p w14:paraId="281B79D4" w14:textId="77777777" w:rsidR="004865E9" w:rsidRDefault="004865E9" w:rsidP="00D7579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178C" w14:textId="77777777" w:rsidR="00753C02" w:rsidRDefault="00753C02" w:rsidP="004C791E">
      <w:pPr>
        <w:spacing w:line="240" w:lineRule="auto"/>
      </w:pPr>
      <w:r>
        <w:separator/>
      </w:r>
    </w:p>
  </w:footnote>
  <w:footnote w:type="continuationSeparator" w:id="0">
    <w:p w14:paraId="74D36A0B" w14:textId="77777777" w:rsidR="00753C02" w:rsidRDefault="00753C02" w:rsidP="004C791E">
      <w:pPr>
        <w:spacing w:line="240" w:lineRule="auto"/>
      </w:pPr>
      <w:r>
        <w:continuationSeparator/>
      </w:r>
    </w:p>
  </w:footnote>
  <w:footnote w:id="1">
    <w:p w14:paraId="7DFBAC33" w14:textId="4EC4073C" w:rsidR="004865E9" w:rsidRDefault="004865E9" w:rsidP="008245CE">
      <w:pPr>
        <w:pStyle w:val="FootnoteText"/>
        <w:jc w:val="left"/>
      </w:pPr>
      <w:r w:rsidRPr="00F82F1F">
        <w:t xml:space="preserve">* All web links last </w:t>
      </w:r>
      <w:r w:rsidRPr="009C4094">
        <w:t xml:space="preserve">accessed </w:t>
      </w:r>
      <w:r w:rsidR="007F7029">
        <w:t>1</w:t>
      </w:r>
      <w:r w:rsidR="007F7029" w:rsidRPr="007F7029">
        <w:rPr>
          <w:vertAlign w:val="superscript"/>
        </w:rPr>
        <w:t>st</w:t>
      </w:r>
      <w:r w:rsidR="007F7029">
        <w:t xml:space="preserve"> June</w:t>
      </w:r>
      <w:r w:rsidRPr="00F82F1F">
        <w:t xml:space="preserve"> 2019.</w:t>
      </w:r>
    </w:p>
    <w:p w14:paraId="6AA4EFA0" w14:textId="0571E8C6" w:rsidR="004865E9" w:rsidRDefault="004865E9">
      <w:pPr>
        <w:pStyle w:val="FootnoteText"/>
      </w:pPr>
      <w:r>
        <w:rPr>
          <w:rStyle w:val="FootnoteReference"/>
        </w:rPr>
        <w:footnoteRef/>
      </w:r>
      <w:r>
        <w:t xml:space="preserve"> ‘Children’ is shorthand for ‘children and young people’. We will differentiate between children aged under 16 and aged 16-17 at various points in the article.</w:t>
      </w:r>
    </w:p>
  </w:footnote>
  <w:footnote w:id="2">
    <w:p w14:paraId="20150FF0" w14:textId="29BDD3C4"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Collins v Wilcock</w:t>
      </w:r>
      <w:r w:rsidRPr="004222E3">
        <w:rPr>
          <w:rFonts w:cs="Arial"/>
          <w:szCs w:val="20"/>
        </w:rPr>
        <w:t xml:space="preserve"> [1984] 3 All ER 374</w:t>
      </w:r>
      <w:r>
        <w:rPr>
          <w:rFonts w:cs="Arial"/>
          <w:szCs w:val="20"/>
        </w:rPr>
        <w:t xml:space="preserve"> (</w:t>
      </w:r>
      <w:proofErr w:type="spellStart"/>
      <w:r>
        <w:rPr>
          <w:rFonts w:cs="Arial"/>
          <w:szCs w:val="20"/>
        </w:rPr>
        <w:t>Div</w:t>
      </w:r>
      <w:proofErr w:type="spellEnd"/>
      <w:r>
        <w:rPr>
          <w:rFonts w:cs="Arial"/>
          <w:szCs w:val="20"/>
        </w:rPr>
        <w:t xml:space="preserve"> Ct), 377 (</w:t>
      </w:r>
      <w:r w:rsidRPr="004222E3">
        <w:rPr>
          <w:rFonts w:cs="Arial"/>
          <w:szCs w:val="20"/>
        </w:rPr>
        <w:t xml:space="preserve">Goff </w:t>
      </w:r>
      <w:r>
        <w:rPr>
          <w:rFonts w:cs="Arial"/>
          <w:szCs w:val="20"/>
        </w:rPr>
        <w:t>L.J</w:t>
      </w:r>
      <w:r w:rsidRPr="004222E3">
        <w:rPr>
          <w:rFonts w:cs="Arial"/>
          <w:szCs w:val="20"/>
        </w:rPr>
        <w:t>.</w:t>
      </w:r>
      <w:r>
        <w:rPr>
          <w:rFonts w:cs="Arial"/>
          <w:szCs w:val="20"/>
        </w:rPr>
        <w:t>).</w:t>
      </w:r>
    </w:p>
  </w:footnote>
  <w:footnote w:id="3">
    <w:p w14:paraId="68425107" w14:textId="1E8C3F9C" w:rsidR="004865E9" w:rsidRPr="004222E3" w:rsidRDefault="004865E9">
      <w:pPr>
        <w:pStyle w:val="FootnoteText"/>
        <w:rPr>
          <w:rFonts w:cs="Arial"/>
          <w:b/>
          <w:bCs/>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Chatterton v Gerson</w:t>
      </w:r>
      <w:r w:rsidRPr="004222E3">
        <w:rPr>
          <w:rFonts w:cs="Arial"/>
          <w:szCs w:val="20"/>
        </w:rPr>
        <w:t xml:space="preserve"> [1981] 1 All ER 257</w:t>
      </w:r>
      <w:r>
        <w:rPr>
          <w:rFonts w:cs="Arial"/>
          <w:szCs w:val="20"/>
        </w:rPr>
        <w:t xml:space="preserve"> (QB)</w:t>
      </w:r>
      <w:r w:rsidRPr="004222E3">
        <w:rPr>
          <w:rFonts w:cs="Arial"/>
          <w:szCs w:val="20"/>
        </w:rPr>
        <w:t>.</w:t>
      </w:r>
      <w:r>
        <w:rPr>
          <w:rFonts w:cs="Arial"/>
          <w:szCs w:val="20"/>
        </w:rPr>
        <w:t xml:space="preserve"> We will refer to consent as a defence to battery but there</w:t>
      </w:r>
      <w:r w:rsidRPr="00434A57">
        <w:rPr>
          <w:rFonts w:cs="Arial"/>
          <w:szCs w:val="20"/>
        </w:rPr>
        <w:t xml:space="preserve"> is </w:t>
      </w:r>
      <w:r w:rsidRPr="004222E3">
        <w:rPr>
          <w:rFonts w:cs="Arial"/>
          <w:szCs w:val="20"/>
        </w:rPr>
        <w:t xml:space="preserve">debate about whether </w:t>
      </w:r>
      <w:r>
        <w:rPr>
          <w:rFonts w:cs="Arial"/>
          <w:szCs w:val="20"/>
        </w:rPr>
        <w:t>this is the case</w:t>
      </w:r>
      <w:r w:rsidRPr="004222E3">
        <w:rPr>
          <w:rFonts w:cs="Arial"/>
          <w:szCs w:val="20"/>
        </w:rPr>
        <w:t xml:space="preserve"> or </w:t>
      </w:r>
      <w:r>
        <w:rPr>
          <w:rFonts w:cs="Arial"/>
          <w:szCs w:val="20"/>
        </w:rPr>
        <w:t xml:space="preserve">whether lack of consent is </w:t>
      </w:r>
      <w:r w:rsidRPr="004222E3">
        <w:rPr>
          <w:rFonts w:cs="Arial"/>
          <w:szCs w:val="20"/>
        </w:rPr>
        <w:t>part of the cause of a</w:t>
      </w:r>
      <w:r w:rsidRPr="007842FA">
        <w:rPr>
          <w:rFonts w:cs="Arial"/>
          <w:szCs w:val="20"/>
        </w:rPr>
        <w:t>ction. If the latter,</w:t>
      </w:r>
      <w:r w:rsidRPr="004222E3">
        <w:rPr>
          <w:rFonts w:cs="Arial"/>
          <w:szCs w:val="20"/>
        </w:rPr>
        <w:t xml:space="preserve"> it would be for the claimant to establish that they did not consent to the defendant’s intentional and direct touching. There is some authority for this proposition </w:t>
      </w:r>
      <w:r w:rsidRPr="00434A57">
        <w:rPr>
          <w:rFonts w:cs="Arial"/>
          <w:szCs w:val="20"/>
        </w:rPr>
        <w:t>(</w:t>
      </w:r>
      <w:r w:rsidRPr="004222E3">
        <w:rPr>
          <w:rFonts w:cs="Arial"/>
          <w:bCs/>
          <w:i/>
          <w:szCs w:val="20"/>
        </w:rPr>
        <w:t>Freeman v Home Office (No. 2)</w:t>
      </w:r>
      <w:r w:rsidRPr="004222E3">
        <w:rPr>
          <w:rFonts w:cs="Arial"/>
          <w:szCs w:val="20"/>
        </w:rPr>
        <w:t xml:space="preserve"> </w:t>
      </w:r>
      <w:r>
        <w:rPr>
          <w:rFonts w:cs="Arial"/>
          <w:szCs w:val="20"/>
        </w:rPr>
        <w:t>[1984] QB</w:t>
      </w:r>
      <w:r w:rsidRPr="000E4585">
        <w:rPr>
          <w:rFonts w:cs="Arial"/>
          <w:szCs w:val="20"/>
        </w:rPr>
        <w:t xml:space="preserve"> 524</w:t>
      </w:r>
      <w:r>
        <w:rPr>
          <w:rFonts w:cs="Arial"/>
          <w:szCs w:val="20"/>
        </w:rPr>
        <w:t xml:space="preserve"> (CA), 539 (McCowan J.)). However, Sir Anthony Clarke M.R. maintained that it was ‘</w:t>
      </w:r>
      <w:r w:rsidRPr="007842FA">
        <w:rPr>
          <w:rFonts w:cs="Arial"/>
          <w:szCs w:val="20"/>
        </w:rPr>
        <w:t>open to debate whether McCowan J</w:t>
      </w:r>
      <w:r>
        <w:rPr>
          <w:rFonts w:cs="Arial"/>
          <w:szCs w:val="20"/>
        </w:rPr>
        <w:t>.’</w:t>
      </w:r>
      <w:r w:rsidRPr="007842FA">
        <w:rPr>
          <w:rFonts w:cs="Arial"/>
          <w:szCs w:val="20"/>
        </w:rPr>
        <w:t>s conclusio</w:t>
      </w:r>
      <w:r>
        <w:rPr>
          <w:rFonts w:cs="Arial"/>
          <w:szCs w:val="20"/>
        </w:rPr>
        <w:t xml:space="preserve">n on burden of proof [in </w:t>
      </w:r>
      <w:r>
        <w:rPr>
          <w:rFonts w:cs="Arial"/>
          <w:i/>
          <w:szCs w:val="20"/>
        </w:rPr>
        <w:t>Freeman</w:t>
      </w:r>
      <w:r>
        <w:rPr>
          <w:rFonts w:cs="Arial"/>
          <w:szCs w:val="20"/>
        </w:rPr>
        <w:t xml:space="preserve">] is correct’ in </w:t>
      </w:r>
      <w:r w:rsidRPr="007842FA">
        <w:rPr>
          <w:rFonts w:cs="Arial"/>
          <w:i/>
          <w:szCs w:val="20"/>
        </w:rPr>
        <w:t>Ashley v Chief Constable of Sussex Police</w:t>
      </w:r>
      <w:r>
        <w:rPr>
          <w:rFonts w:cs="Arial"/>
          <w:szCs w:val="20"/>
        </w:rPr>
        <w:t xml:space="preserve"> </w:t>
      </w:r>
      <w:r w:rsidRPr="000205F0">
        <w:rPr>
          <w:rFonts w:cs="Arial"/>
          <w:bCs/>
          <w:szCs w:val="20"/>
        </w:rPr>
        <w:t xml:space="preserve">[2006] EWCA </w:t>
      </w:r>
      <w:proofErr w:type="spellStart"/>
      <w:r w:rsidRPr="000205F0">
        <w:rPr>
          <w:rFonts w:cs="Arial"/>
          <w:bCs/>
          <w:szCs w:val="20"/>
        </w:rPr>
        <w:t>Civ</w:t>
      </w:r>
      <w:proofErr w:type="spellEnd"/>
      <w:r w:rsidRPr="000205F0">
        <w:rPr>
          <w:rFonts w:cs="Arial"/>
          <w:bCs/>
          <w:szCs w:val="20"/>
        </w:rPr>
        <w:t xml:space="preserve"> 1085</w:t>
      </w:r>
      <w:r>
        <w:rPr>
          <w:rFonts w:cs="Arial"/>
          <w:bCs/>
          <w:szCs w:val="20"/>
        </w:rPr>
        <w:t xml:space="preserve">, </w:t>
      </w:r>
      <w:r w:rsidRPr="000205F0">
        <w:rPr>
          <w:rFonts w:cs="Arial"/>
          <w:bCs/>
          <w:szCs w:val="20"/>
        </w:rPr>
        <w:t>[31].</w:t>
      </w:r>
      <w:r>
        <w:rPr>
          <w:rFonts w:cs="Arial"/>
          <w:bCs/>
          <w:szCs w:val="20"/>
        </w:rPr>
        <w:t xml:space="preserve"> Furthermore, </w:t>
      </w:r>
      <w:r>
        <w:rPr>
          <w:rFonts w:cs="Arial"/>
          <w:szCs w:val="20"/>
        </w:rPr>
        <w:t xml:space="preserve">the editors of </w:t>
      </w:r>
      <w:r>
        <w:rPr>
          <w:rFonts w:cs="Arial"/>
          <w:i/>
          <w:szCs w:val="20"/>
        </w:rPr>
        <w:t xml:space="preserve">Clerk &amp; Lindsell on Torts </w:t>
      </w:r>
      <w:r>
        <w:rPr>
          <w:rFonts w:cs="Arial"/>
          <w:szCs w:val="20"/>
        </w:rPr>
        <w:t xml:space="preserve">note that this appears inconsistent with the weight of authority that states consent is a defence (see the cases listed at [3-104]) and the burden of establishing a defence rests with the defendant. </w:t>
      </w:r>
      <w:r>
        <w:rPr>
          <w:rFonts w:cs="Arial"/>
          <w:bCs/>
          <w:szCs w:val="20"/>
        </w:rPr>
        <w:t>They state: ‘</w:t>
      </w:r>
      <w:r w:rsidRPr="00E30BFD">
        <w:rPr>
          <w:rFonts w:cs="Arial"/>
          <w:bCs/>
          <w:szCs w:val="20"/>
        </w:rPr>
        <w:t>A claimant attacked in the street with a knife should not have to plead and prove that he did not consent to the attack (easy though that may be). By the same token, a competent patient cut by the surgeon’s scalpel should not have to prove the absence of consent—it is a matter for the surgeon to justify by ref</w:t>
      </w:r>
      <w:r>
        <w:rPr>
          <w:rFonts w:cs="Arial"/>
          <w:bCs/>
          <w:szCs w:val="20"/>
        </w:rPr>
        <w:t xml:space="preserve">erence to the patient’s consent’ (MA Jones (Ed) </w:t>
      </w:r>
      <w:r>
        <w:rPr>
          <w:rFonts w:cs="Arial"/>
          <w:bCs/>
          <w:i/>
          <w:szCs w:val="20"/>
        </w:rPr>
        <w:t xml:space="preserve">Clerk &amp; Lindsell on Torts </w:t>
      </w:r>
      <w:r>
        <w:rPr>
          <w:rFonts w:cs="Arial"/>
          <w:bCs/>
          <w:szCs w:val="20"/>
        </w:rPr>
        <w:t>(Sweet &amp; Maxwell, 22</w:t>
      </w:r>
      <w:r w:rsidRPr="00CB0ACE">
        <w:rPr>
          <w:rFonts w:cs="Arial"/>
          <w:bCs/>
          <w:szCs w:val="20"/>
          <w:vertAlign w:val="superscript"/>
        </w:rPr>
        <w:t>nd</w:t>
      </w:r>
      <w:r>
        <w:rPr>
          <w:rFonts w:cs="Arial"/>
          <w:bCs/>
          <w:szCs w:val="20"/>
        </w:rPr>
        <w:t xml:space="preserve"> </w:t>
      </w:r>
      <w:proofErr w:type="spellStart"/>
      <w:r>
        <w:rPr>
          <w:rFonts w:cs="Arial"/>
          <w:bCs/>
          <w:szCs w:val="20"/>
        </w:rPr>
        <w:t>edn</w:t>
      </w:r>
      <w:proofErr w:type="spellEnd"/>
      <w:r>
        <w:rPr>
          <w:rFonts w:cs="Arial"/>
          <w:bCs/>
          <w:szCs w:val="20"/>
        </w:rPr>
        <w:t>, 2018), [15-93]). See also FA Trindade, ‘Intentional Torts: Some Thoughts on Assault and Battery’ (1982) 2 OJLS 211, 229. Whichever view is preferred, it does not affect our core argument.</w:t>
      </w:r>
    </w:p>
  </w:footnote>
  <w:footnote w:id="4">
    <w:p w14:paraId="00635D01" w14:textId="761DCBC9" w:rsidR="004865E9" w:rsidRPr="004222E3" w:rsidRDefault="004865E9" w:rsidP="00D0564C">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The power to choose treatment is s</w:t>
      </w:r>
      <w:r w:rsidRPr="004222E3">
        <w:rPr>
          <w:rFonts w:cs="Arial"/>
          <w:szCs w:val="20"/>
        </w:rPr>
        <w:t xml:space="preserve">ubject to the medical view that the treatment is clinically indicated: </w:t>
      </w:r>
      <w:r w:rsidRPr="004222E3">
        <w:rPr>
          <w:rFonts w:cs="Arial"/>
          <w:i/>
          <w:szCs w:val="20"/>
        </w:rPr>
        <w:t>R (Burke) v General Medical Council</w:t>
      </w:r>
      <w:r w:rsidRPr="004222E3">
        <w:rPr>
          <w:rFonts w:cs="Arial"/>
          <w:szCs w:val="20"/>
        </w:rPr>
        <w:t xml:space="preserve"> [2005] EWCA </w:t>
      </w:r>
      <w:proofErr w:type="spellStart"/>
      <w:r w:rsidRPr="004222E3">
        <w:rPr>
          <w:rFonts w:cs="Arial"/>
          <w:szCs w:val="20"/>
        </w:rPr>
        <w:t>Civ</w:t>
      </w:r>
      <w:proofErr w:type="spellEnd"/>
      <w:r w:rsidRPr="004222E3">
        <w:rPr>
          <w:rFonts w:cs="Arial"/>
          <w:szCs w:val="20"/>
        </w:rPr>
        <w:t xml:space="preserve"> 1003</w:t>
      </w:r>
      <w:r>
        <w:rPr>
          <w:rFonts w:cs="Arial"/>
          <w:szCs w:val="20"/>
        </w:rPr>
        <w:t xml:space="preserve">, [50] (Lord </w:t>
      </w:r>
      <w:r w:rsidRPr="004222E3">
        <w:rPr>
          <w:rFonts w:cs="Arial"/>
          <w:szCs w:val="20"/>
        </w:rPr>
        <w:t>Phillips M</w:t>
      </w:r>
      <w:r>
        <w:rPr>
          <w:rFonts w:cs="Arial"/>
          <w:szCs w:val="20"/>
        </w:rPr>
        <w:t>.</w:t>
      </w:r>
      <w:r w:rsidRPr="004222E3">
        <w:rPr>
          <w:rFonts w:cs="Arial"/>
          <w:szCs w:val="20"/>
        </w:rPr>
        <w:t>R.</w:t>
      </w:r>
      <w:r>
        <w:rPr>
          <w:rFonts w:cs="Arial"/>
          <w:szCs w:val="20"/>
        </w:rPr>
        <w:t>).</w:t>
      </w:r>
    </w:p>
  </w:footnote>
  <w:footnote w:id="5">
    <w:p w14:paraId="41025135" w14:textId="76AEF423" w:rsidR="004865E9" w:rsidRPr="004222E3" w:rsidRDefault="004865E9" w:rsidP="004C791E">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[2015] UKSC 11</w:t>
      </w:r>
      <w:r w:rsidRPr="004222E3">
        <w:rPr>
          <w:rFonts w:cs="Arial"/>
          <w:szCs w:val="20"/>
        </w:rPr>
        <w:t>.</w:t>
      </w:r>
    </w:p>
  </w:footnote>
  <w:footnote w:id="6">
    <w:p w14:paraId="10F226B6" w14:textId="1EB093E9" w:rsidR="004865E9" w:rsidRPr="004222E3" w:rsidRDefault="004865E9" w:rsidP="004C791E">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27BBB">
        <w:rPr>
          <w:rFonts w:cs="Arial"/>
          <w:i/>
          <w:szCs w:val="20"/>
        </w:rPr>
        <w:t>Ibid</w:t>
      </w:r>
      <w:r>
        <w:rPr>
          <w:rFonts w:cs="Arial"/>
          <w:i/>
          <w:szCs w:val="20"/>
        </w:rPr>
        <w:t>.</w:t>
      </w:r>
      <w:r w:rsidRPr="004222E3">
        <w:rPr>
          <w:rFonts w:cs="Arial"/>
          <w:i/>
          <w:szCs w:val="20"/>
        </w:rPr>
        <w:t>,</w:t>
      </w:r>
      <w:r>
        <w:rPr>
          <w:rFonts w:cs="Arial"/>
          <w:szCs w:val="20"/>
        </w:rPr>
        <w:t xml:space="preserve"> [86] (Lords Kerr and Reed).</w:t>
      </w:r>
    </w:p>
  </w:footnote>
  <w:footnote w:id="7">
    <w:p w14:paraId="1B12498A" w14:textId="42E5CC05" w:rsidR="004865E9" w:rsidRPr="004222E3" w:rsidRDefault="004865E9" w:rsidP="00D03D82">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27BBB">
        <w:rPr>
          <w:rFonts w:cs="Arial"/>
          <w:i/>
          <w:szCs w:val="20"/>
        </w:rPr>
        <w:t>Ibid</w:t>
      </w:r>
      <w:r>
        <w:rPr>
          <w:rFonts w:cs="Arial"/>
          <w:i/>
          <w:szCs w:val="20"/>
        </w:rPr>
        <w:t>.</w:t>
      </w:r>
      <w:r>
        <w:rPr>
          <w:rFonts w:cs="Arial"/>
          <w:szCs w:val="20"/>
        </w:rPr>
        <w:t>, [108] (</w:t>
      </w:r>
      <w:r w:rsidRPr="004222E3">
        <w:rPr>
          <w:rFonts w:cs="Arial"/>
          <w:szCs w:val="20"/>
        </w:rPr>
        <w:t>Lady Hale</w:t>
      </w:r>
      <w:r>
        <w:rPr>
          <w:rFonts w:cs="Arial"/>
          <w:szCs w:val="20"/>
        </w:rPr>
        <w:t>)</w:t>
      </w:r>
      <w:r w:rsidRPr="004222E3">
        <w:rPr>
          <w:rFonts w:cs="Arial"/>
          <w:szCs w:val="20"/>
        </w:rPr>
        <w:t>.</w:t>
      </w:r>
    </w:p>
  </w:footnote>
  <w:footnote w:id="8">
    <w:p w14:paraId="69C8C2A2" w14:textId="06745FFA" w:rsidR="004865E9" w:rsidRDefault="004865E9">
      <w:pPr>
        <w:pStyle w:val="FootnoteText"/>
      </w:pPr>
      <w:r>
        <w:rPr>
          <w:rStyle w:val="FootnoteReference"/>
        </w:rPr>
        <w:footnoteRef/>
      </w:r>
      <w:r>
        <w:t xml:space="preserve"> See M Brazier, ‘Do No Harm – Do Patients Have Responsibilities Too?’ (2006) 65 CLJ 397, 400-403.</w:t>
      </w:r>
    </w:p>
  </w:footnote>
  <w:footnote w:id="9">
    <w:p w14:paraId="4B6481E0" w14:textId="42E8CFF5" w:rsidR="006A6CC4" w:rsidRDefault="006A6CC4" w:rsidP="006A6CC4">
      <w:pPr>
        <w:pStyle w:val="FootnoteText"/>
      </w:pPr>
      <w:r>
        <w:rPr>
          <w:rStyle w:val="FootnoteReference"/>
        </w:rPr>
        <w:footnoteRef/>
      </w:r>
      <w:r>
        <w:t xml:space="preserve"> </w:t>
      </w:r>
      <w:r w:rsidRPr="006A6CC4">
        <w:t>See J Coggon, ‘Varied and Principled Understandings of Autonomy in English Law: Justifiable Inconsistency or Blinkered Moralism?’ (2007) 15 Health Care Analysis 235</w:t>
      </w:r>
      <w:r>
        <w:t xml:space="preserve">, </w:t>
      </w:r>
      <w:r w:rsidRPr="006A6CC4">
        <w:t>C Purshouse, ‘How Should Autonomy be Defined in Medical Negligence Cases?’ (2015) 10 Clinical Ethics 107</w:t>
      </w:r>
      <w:r>
        <w:t xml:space="preserve"> and </w:t>
      </w:r>
      <w:r w:rsidRPr="004222E3">
        <w:rPr>
          <w:rFonts w:cs="Arial"/>
          <w:szCs w:val="20"/>
        </w:rPr>
        <w:t>G</w:t>
      </w:r>
      <w:r>
        <w:rPr>
          <w:rFonts w:cs="Arial"/>
          <w:szCs w:val="20"/>
        </w:rPr>
        <w:t xml:space="preserve"> Turton, ‘Informed Consent to Medical Treatment P</w:t>
      </w:r>
      <w:r w:rsidRPr="004222E3">
        <w:rPr>
          <w:rFonts w:cs="Arial"/>
          <w:szCs w:val="20"/>
        </w:rPr>
        <w:t>ost-</w:t>
      </w:r>
      <w:r w:rsidRPr="004222E3">
        <w:rPr>
          <w:rFonts w:cs="Arial"/>
          <w:i/>
          <w:szCs w:val="20"/>
        </w:rPr>
        <w:t>Montgomery</w:t>
      </w:r>
      <w:r w:rsidRPr="004222E3">
        <w:rPr>
          <w:rFonts w:cs="Arial"/>
          <w:szCs w:val="20"/>
        </w:rPr>
        <w:t xml:space="preserve">: Causation and </w:t>
      </w:r>
      <w:r>
        <w:rPr>
          <w:rFonts w:cs="Arial"/>
          <w:szCs w:val="20"/>
        </w:rPr>
        <w:t>C</w:t>
      </w:r>
      <w:r w:rsidRPr="004222E3">
        <w:rPr>
          <w:rFonts w:cs="Arial"/>
          <w:szCs w:val="20"/>
        </w:rPr>
        <w:t xml:space="preserve">oincidence’ (2018) </w:t>
      </w:r>
      <w:r>
        <w:rPr>
          <w:rFonts w:cs="Arial"/>
          <w:szCs w:val="20"/>
        </w:rPr>
        <w:t xml:space="preserve">27 </w:t>
      </w:r>
      <w:r w:rsidRPr="004222E3">
        <w:rPr>
          <w:rFonts w:cs="Arial"/>
          <w:szCs w:val="20"/>
        </w:rPr>
        <w:t xml:space="preserve">Med L Rev </w:t>
      </w:r>
      <w:r>
        <w:rPr>
          <w:rFonts w:cs="Arial"/>
          <w:szCs w:val="20"/>
        </w:rPr>
        <w:t>108.</w:t>
      </w:r>
    </w:p>
  </w:footnote>
  <w:footnote w:id="10">
    <w:p w14:paraId="6166255E" w14:textId="2DDB92FC" w:rsidR="00FE24AB" w:rsidRDefault="00FE24AB" w:rsidP="00FE24AB">
      <w:pPr>
        <w:pStyle w:val="FootnoteText"/>
      </w:pPr>
      <w:r>
        <w:rPr>
          <w:rStyle w:val="FootnoteReference"/>
        </w:rPr>
        <w:footnoteRef/>
      </w:r>
      <w:r>
        <w:t xml:space="preserve"> The second-named author has previously argued that the ‘current desire’ view of autonomy better represents the case law (</w:t>
      </w:r>
      <w:r w:rsidR="006C3ACB">
        <w:t xml:space="preserve">Purshouse, </w:t>
      </w:r>
      <w:r w:rsidR="006C3ACB" w:rsidRPr="006C3ACB">
        <w:rPr>
          <w:i/>
        </w:rPr>
        <w:t>ibid</w:t>
      </w:r>
      <w:r w:rsidR="006C3ACB">
        <w:t>.</w:t>
      </w:r>
      <w:r>
        <w:t xml:space="preserve">) but, as a result of Turton’s critique of his position, he now recants this view. See </w:t>
      </w:r>
      <w:r w:rsidRPr="004222E3">
        <w:rPr>
          <w:rFonts w:cs="Arial"/>
          <w:szCs w:val="20"/>
        </w:rPr>
        <w:t>G</w:t>
      </w:r>
      <w:r>
        <w:rPr>
          <w:rFonts w:cs="Arial"/>
          <w:szCs w:val="20"/>
        </w:rPr>
        <w:t xml:space="preserve"> Turton, </w:t>
      </w:r>
      <w:r w:rsidR="006C3ACB" w:rsidRPr="006C3ACB">
        <w:rPr>
          <w:rFonts w:cs="Arial"/>
          <w:i/>
          <w:szCs w:val="20"/>
        </w:rPr>
        <w:t>ibid</w:t>
      </w:r>
      <w:r w:rsidR="006C3ACB">
        <w:rPr>
          <w:rFonts w:cs="Arial"/>
          <w:szCs w:val="20"/>
        </w:rPr>
        <w:t xml:space="preserve">., </w:t>
      </w:r>
      <w:r>
        <w:rPr>
          <w:rFonts w:cs="Arial"/>
          <w:szCs w:val="20"/>
        </w:rPr>
        <w:t>113-114.</w:t>
      </w:r>
    </w:p>
  </w:footnote>
  <w:footnote w:id="11">
    <w:p w14:paraId="737396C4" w14:textId="401D1E39" w:rsidR="004865E9" w:rsidRPr="00F55B3B" w:rsidRDefault="004865E9" w:rsidP="00BB4495">
      <w:pPr>
        <w:pStyle w:val="FootnoteText"/>
        <w:rPr>
          <w:rFonts w:cs="Arial"/>
          <w:szCs w:val="20"/>
        </w:rPr>
      </w:pPr>
      <w:r w:rsidRPr="004222E3">
        <w:rPr>
          <w:rStyle w:val="FootnoteReference"/>
          <w:rFonts w:cs="Arial"/>
          <w:szCs w:val="20"/>
        </w:rPr>
        <w:footnoteRef/>
      </w:r>
      <w:r w:rsidRPr="004222E3">
        <w:rPr>
          <w:rFonts w:cs="Arial"/>
          <w:szCs w:val="20"/>
        </w:rPr>
        <w:t xml:space="preserve"> </w:t>
      </w:r>
      <w:proofErr w:type="spellStart"/>
      <w:r w:rsidRPr="004222E3">
        <w:rPr>
          <w:rFonts w:eastAsiaTheme="minorEastAsia" w:cs="Arial"/>
          <w:i/>
          <w:iCs/>
          <w:szCs w:val="20"/>
        </w:rPr>
        <w:t>Duce</w:t>
      </w:r>
      <w:proofErr w:type="spellEnd"/>
      <w:r w:rsidRPr="004222E3">
        <w:rPr>
          <w:rFonts w:eastAsiaTheme="minorEastAsia" w:cs="Arial"/>
          <w:i/>
          <w:iCs/>
          <w:szCs w:val="20"/>
        </w:rPr>
        <w:t xml:space="preserve"> v Worcestershire Acute Hospitals NHS Trust</w:t>
      </w:r>
      <w:r w:rsidRPr="004222E3">
        <w:rPr>
          <w:rFonts w:eastAsiaTheme="minorEastAsia" w:cs="Arial"/>
          <w:iCs/>
          <w:szCs w:val="20"/>
        </w:rPr>
        <w:t xml:space="preserve"> </w:t>
      </w:r>
      <w:r w:rsidRPr="004222E3">
        <w:rPr>
          <w:rFonts w:cs="Arial"/>
          <w:szCs w:val="20"/>
        </w:rPr>
        <w:t>[2018] EWCA 1307</w:t>
      </w:r>
      <w:r>
        <w:rPr>
          <w:rFonts w:cs="Arial"/>
          <w:szCs w:val="20"/>
        </w:rPr>
        <w:t>, [88] (</w:t>
      </w:r>
      <w:r w:rsidRPr="004222E3">
        <w:rPr>
          <w:rFonts w:cs="Arial"/>
          <w:szCs w:val="20"/>
        </w:rPr>
        <w:t xml:space="preserve">Leggatt </w:t>
      </w:r>
      <w:r>
        <w:rPr>
          <w:rFonts w:cs="Arial"/>
          <w:szCs w:val="20"/>
        </w:rPr>
        <w:t>L.J</w:t>
      </w:r>
      <w:r w:rsidRPr="004222E3">
        <w:rPr>
          <w:rFonts w:cs="Arial"/>
          <w:szCs w:val="20"/>
        </w:rPr>
        <w:t>.</w:t>
      </w:r>
      <w:r>
        <w:rPr>
          <w:rFonts w:cs="Arial"/>
          <w:szCs w:val="20"/>
        </w:rPr>
        <w:t xml:space="preserve">). For arguments that the claims in battery are more appropriate than negligence in cases of information non-disclosure see </w:t>
      </w:r>
      <w:r w:rsidRPr="004222E3">
        <w:rPr>
          <w:rFonts w:cs="Arial"/>
          <w:szCs w:val="20"/>
        </w:rPr>
        <w:t xml:space="preserve">TK </w:t>
      </w:r>
      <w:r>
        <w:rPr>
          <w:rFonts w:cs="Arial"/>
          <w:bCs/>
          <w:iCs/>
          <w:szCs w:val="20"/>
        </w:rPr>
        <w:t>Feng, ‘Failure of Medical A</w:t>
      </w:r>
      <w:r w:rsidRPr="004222E3">
        <w:rPr>
          <w:rFonts w:cs="Arial"/>
          <w:bCs/>
          <w:iCs/>
          <w:szCs w:val="20"/>
        </w:rPr>
        <w:t xml:space="preserve">dvice: Trespass or </w:t>
      </w:r>
      <w:r>
        <w:rPr>
          <w:rFonts w:cs="Arial"/>
          <w:bCs/>
          <w:iCs/>
          <w:szCs w:val="20"/>
        </w:rPr>
        <w:t>N</w:t>
      </w:r>
      <w:r w:rsidRPr="004222E3">
        <w:rPr>
          <w:rFonts w:cs="Arial"/>
          <w:bCs/>
          <w:iCs/>
          <w:szCs w:val="20"/>
        </w:rPr>
        <w:t>egligence</w:t>
      </w:r>
      <w:r>
        <w:rPr>
          <w:rFonts w:cs="Arial"/>
          <w:bCs/>
          <w:iCs/>
          <w:szCs w:val="20"/>
        </w:rPr>
        <w:t>?</w:t>
      </w:r>
      <w:r w:rsidRPr="004222E3">
        <w:rPr>
          <w:rFonts w:cs="Arial"/>
          <w:bCs/>
          <w:iCs/>
          <w:szCs w:val="20"/>
        </w:rPr>
        <w:t xml:space="preserve">’ (1987) 7 </w:t>
      </w:r>
      <w:r>
        <w:rPr>
          <w:rFonts w:cs="Arial"/>
          <w:bCs/>
          <w:iCs/>
          <w:szCs w:val="20"/>
        </w:rPr>
        <w:t>LS</w:t>
      </w:r>
      <w:r w:rsidRPr="004222E3">
        <w:rPr>
          <w:rFonts w:cs="Arial"/>
          <w:bCs/>
          <w:iCs/>
          <w:szCs w:val="20"/>
        </w:rPr>
        <w:t xml:space="preserve"> 149</w:t>
      </w:r>
      <w:r>
        <w:rPr>
          <w:rFonts w:cs="Arial"/>
          <w:bCs/>
          <w:iCs/>
          <w:szCs w:val="20"/>
        </w:rPr>
        <w:t xml:space="preserve"> and, more recently, A </w:t>
      </w:r>
      <w:proofErr w:type="spellStart"/>
      <w:r>
        <w:rPr>
          <w:rFonts w:cs="Arial"/>
          <w:bCs/>
          <w:iCs/>
          <w:szCs w:val="20"/>
        </w:rPr>
        <w:t>Beever</w:t>
      </w:r>
      <w:proofErr w:type="spellEnd"/>
      <w:r>
        <w:rPr>
          <w:rFonts w:cs="Arial"/>
          <w:bCs/>
          <w:iCs/>
          <w:szCs w:val="20"/>
        </w:rPr>
        <w:t xml:space="preserve">, </w:t>
      </w:r>
      <w:r>
        <w:rPr>
          <w:rFonts w:cs="Arial"/>
          <w:bCs/>
          <w:i/>
          <w:iCs/>
          <w:szCs w:val="20"/>
        </w:rPr>
        <w:t>A Theory of Tort Liability</w:t>
      </w:r>
      <w:r>
        <w:rPr>
          <w:rFonts w:cs="Arial"/>
          <w:bCs/>
          <w:iCs/>
          <w:szCs w:val="20"/>
        </w:rPr>
        <w:t xml:space="preserve"> (Hart: Oxford, 2016), </w:t>
      </w:r>
      <w:proofErr w:type="spellStart"/>
      <w:r>
        <w:rPr>
          <w:rFonts w:cs="Arial"/>
          <w:bCs/>
          <w:iCs/>
          <w:szCs w:val="20"/>
        </w:rPr>
        <w:t>ch</w:t>
      </w:r>
      <w:proofErr w:type="spellEnd"/>
      <w:r>
        <w:rPr>
          <w:rFonts w:cs="Arial"/>
          <w:bCs/>
          <w:iCs/>
          <w:szCs w:val="20"/>
        </w:rPr>
        <w:t xml:space="preserve"> 15. By way of contrast, C </w:t>
      </w:r>
      <w:proofErr w:type="spellStart"/>
      <w:r>
        <w:rPr>
          <w:rFonts w:cs="Arial"/>
          <w:bCs/>
          <w:iCs/>
          <w:szCs w:val="20"/>
        </w:rPr>
        <w:t>Beuermann</w:t>
      </w:r>
      <w:proofErr w:type="spellEnd"/>
      <w:r>
        <w:rPr>
          <w:rFonts w:cs="Arial"/>
          <w:bCs/>
          <w:iCs/>
          <w:szCs w:val="20"/>
        </w:rPr>
        <w:t xml:space="preserve"> has recently argued that the torts of trespass to the person have been overtaken by negligence and are now obsolete (‘Are the Torts of Trespass to the Person Obsolete? Part 2: Continued Evolution’ (2018) 26 Tort L Rev 6, 9-10 and 13-17).</w:t>
      </w:r>
    </w:p>
  </w:footnote>
  <w:footnote w:id="12">
    <w:p w14:paraId="7FAC6D19" w14:textId="5FCDE539" w:rsidR="004865E9" w:rsidRPr="004222E3" w:rsidRDefault="004865E9">
      <w:pPr>
        <w:pStyle w:val="FootnoteText"/>
        <w:rPr>
          <w:rFonts w:cs="Arial"/>
          <w:szCs w:val="20"/>
        </w:rPr>
      </w:pPr>
      <w:r w:rsidRPr="004222E3">
        <w:rPr>
          <w:rStyle w:val="FootnoteReference"/>
          <w:rFonts w:cs="Arial"/>
          <w:szCs w:val="20"/>
        </w:rPr>
        <w:footnoteRef/>
      </w:r>
      <w:r>
        <w:rPr>
          <w:rFonts w:cs="Arial"/>
          <w:szCs w:val="20"/>
        </w:rPr>
        <w:t xml:space="preserve"> (n 3).</w:t>
      </w:r>
    </w:p>
  </w:footnote>
  <w:footnote w:id="13">
    <w:p w14:paraId="1E75985E" w14:textId="61F036D0" w:rsidR="004865E9" w:rsidRPr="004222E3" w:rsidRDefault="004865E9" w:rsidP="00BB4495">
      <w:pPr>
        <w:pStyle w:val="FootnoteText"/>
        <w:rPr>
          <w:rFonts w:cs="Arial"/>
          <w:bCs/>
          <w:szCs w:val="20"/>
        </w:rPr>
      </w:pPr>
      <w:r w:rsidRPr="004222E3">
        <w:rPr>
          <w:rStyle w:val="FootnoteReference"/>
          <w:rFonts w:cs="Arial"/>
          <w:szCs w:val="20"/>
        </w:rPr>
        <w:footnoteRef/>
      </w:r>
      <w:r w:rsidRPr="004222E3">
        <w:rPr>
          <w:rFonts w:cs="Arial"/>
          <w:szCs w:val="20"/>
        </w:rPr>
        <w:t xml:space="preserve"> </w:t>
      </w:r>
      <w:r w:rsidRPr="004222E3">
        <w:rPr>
          <w:rFonts w:cs="Arial"/>
          <w:bCs/>
          <w:szCs w:val="20"/>
        </w:rPr>
        <w:t>M</w:t>
      </w:r>
      <w:r>
        <w:rPr>
          <w:rFonts w:cs="Arial"/>
          <w:bCs/>
          <w:szCs w:val="20"/>
        </w:rPr>
        <w:t>A</w:t>
      </w:r>
      <w:r w:rsidRPr="004222E3">
        <w:rPr>
          <w:rFonts w:cs="Arial"/>
          <w:bCs/>
          <w:szCs w:val="20"/>
        </w:rPr>
        <w:t xml:space="preserve"> Jones, ‘Informed Consent and Other Fairy Stories’ (1999) 7 Med L Rev 103, 123.</w:t>
      </w:r>
    </w:p>
  </w:footnote>
  <w:footnote w:id="14">
    <w:p w14:paraId="38376063" w14:textId="3C3A9C01" w:rsidR="004865E9" w:rsidRPr="004222E3" w:rsidRDefault="004865E9" w:rsidP="0015272E">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(n 5) [68] and [80] (</w:t>
      </w:r>
      <w:r w:rsidRPr="004222E3">
        <w:rPr>
          <w:rFonts w:cs="Arial"/>
          <w:szCs w:val="20"/>
        </w:rPr>
        <w:t>Lords Kerr and Reed</w:t>
      </w:r>
      <w:r>
        <w:rPr>
          <w:rFonts w:cs="Arial"/>
          <w:szCs w:val="20"/>
        </w:rPr>
        <w:t>) and [108] (</w:t>
      </w:r>
      <w:r w:rsidRPr="004222E3">
        <w:rPr>
          <w:rFonts w:cs="Arial"/>
          <w:szCs w:val="20"/>
        </w:rPr>
        <w:t>Lady Hale</w:t>
      </w:r>
      <w:r>
        <w:rPr>
          <w:rFonts w:cs="Arial"/>
          <w:szCs w:val="20"/>
        </w:rPr>
        <w:t>)</w:t>
      </w:r>
      <w:r w:rsidRPr="004222E3">
        <w:rPr>
          <w:rFonts w:cs="Arial"/>
          <w:szCs w:val="20"/>
        </w:rPr>
        <w:t>.</w:t>
      </w:r>
    </w:p>
  </w:footnote>
  <w:footnote w:id="15">
    <w:p w14:paraId="3F79762E" w14:textId="44A9AA99" w:rsidR="004865E9" w:rsidRPr="004222E3" w:rsidRDefault="004865E9" w:rsidP="0015272E">
      <w:pPr>
        <w:pStyle w:val="FootnoteText"/>
        <w:rPr>
          <w:rFonts w:cs="Arial"/>
          <w:szCs w:val="20"/>
        </w:rPr>
      </w:pPr>
      <w:r w:rsidRPr="004222E3">
        <w:rPr>
          <w:rStyle w:val="FootnoteReference"/>
          <w:rFonts w:cs="Arial"/>
          <w:szCs w:val="20"/>
        </w:rPr>
        <w:footnoteRef/>
      </w:r>
      <w:r w:rsidRPr="004222E3">
        <w:rPr>
          <w:rFonts w:cs="Arial"/>
          <w:szCs w:val="20"/>
        </w:rPr>
        <w:t xml:space="preserve"> [2004] UKHL 41</w:t>
      </w:r>
      <w:r>
        <w:rPr>
          <w:rFonts w:cs="Arial"/>
          <w:szCs w:val="20"/>
        </w:rPr>
        <w:t>, [24] (</w:t>
      </w:r>
      <w:r w:rsidRPr="004222E3">
        <w:rPr>
          <w:rFonts w:cs="Arial"/>
          <w:szCs w:val="20"/>
        </w:rPr>
        <w:t>Lord Steyn</w:t>
      </w:r>
      <w:r>
        <w:rPr>
          <w:rFonts w:cs="Arial"/>
          <w:szCs w:val="20"/>
        </w:rPr>
        <w:t>) and [54] and [56]</w:t>
      </w:r>
      <w:r w:rsidRPr="004222E3">
        <w:rPr>
          <w:rFonts w:cs="Arial"/>
          <w:szCs w:val="20"/>
        </w:rPr>
        <w:t xml:space="preserve"> </w:t>
      </w:r>
      <w:r>
        <w:rPr>
          <w:rFonts w:cs="Arial"/>
          <w:szCs w:val="20"/>
        </w:rPr>
        <w:t>(</w:t>
      </w:r>
      <w:r w:rsidRPr="004222E3">
        <w:rPr>
          <w:rFonts w:cs="Arial"/>
          <w:szCs w:val="20"/>
        </w:rPr>
        <w:t>Lord Hope</w:t>
      </w:r>
      <w:r>
        <w:rPr>
          <w:rFonts w:cs="Arial"/>
          <w:szCs w:val="20"/>
        </w:rPr>
        <w:t>)</w:t>
      </w:r>
      <w:r w:rsidRPr="004222E3">
        <w:rPr>
          <w:rFonts w:cs="Arial"/>
          <w:szCs w:val="20"/>
        </w:rPr>
        <w:t>.</w:t>
      </w:r>
    </w:p>
  </w:footnote>
  <w:footnote w:id="16">
    <w:p w14:paraId="432CCFE4" w14:textId="1C3BC6C9" w:rsidR="004865E9" w:rsidRPr="004222E3" w:rsidRDefault="004865E9" w:rsidP="00E53C8C">
      <w:pPr>
        <w:pStyle w:val="FootnoteText"/>
        <w:rPr>
          <w:rFonts w:cs="Arial"/>
          <w:szCs w:val="20"/>
        </w:rPr>
      </w:pPr>
      <w:r w:rsidRPr="004222E3">
        <w:rPr>
          <w:rStyle w:val="FootnoteReference"/>
          <w:rFonts w:cs="Arial"/>
          <w:szCs w:val="20"/>
        </w:rPr>
        <w:footnoteRef/>
      </w:r>
      <w:r w:rsidRPr="004222E3">
        <w:rPr>
          <w:rFonts w:cs="Arial"/>
          <w:szCs w:val="20"/>
        </w:rPr>
        <w:t xml:space="preserve"> FOI_3279, 29 March 2018. Annual number of claims where patient 17 and under where informed consent / failure to warn was the main cause of action: Between 2010/11 and 2014/15 the highest number of annual claims was 14 and the average 11.6. In 2015/16, the year of </w:t>
      </w:r>
      <w:r w:rsidRPr="004222E3">
        <w:rPr>
          <w:rFonts w:cs="Arial"/>
          <w:i/>
          <w:szCs w:val="20"/>
        </w:rPr>
        <w:t>Montgomery,</w:t>
      </w:r>
      <w:r w:rsidRPr="004222E3">
        <w:rPr>
          <w:rFonts w:cs="Arial"/>
          <w:szCs w:val="20"/>
        </w:rPr>
        <w:t xml:space="preserve"> there were 18 and in 2016/17, 27. Claims closed or settled as a periodical payment order for the same age group: Between 2010/11 and 2014/15, the highest was 9 and the average 7.8. In 2015/16 there were under 5 and in 2016/17 there were 6. When expressed as a percentage of claims settled or closed, the average between 2010/11-2014/15 is </w:t>
      </w:r>
      <w:r w:rsidR="00A37F64">
        <w:rPr>
          <w:rFonts w:cs="Arial"/>
          <w:szCs w:val="20"/>
        </w:rPr>
        <w:t>67</w:t>
      </w:r>
      <w:r w:rsidRPr="004222E3">
        <w:rPr>
          <w:rFonts w:cs="Arial"/>
          <w:szCs w:val="20"/>
        </w:rPr>
        <w:t>.2%. In 2016/17 this dropped to 22.2%.</w:t>
      </w:r>
    </w:p>
  </w:footnote>
  <w:footnote w:id="17">
    <w:p w14:paraId="088287F6" w14:textId="478B476B" w:rsidR="004865E9" w:rsidRPr="004222E3" w:rsidRDefault="004865E9" w:rsidP="00C45B38">
      <w:pPr>
        <w:pStyle w:val="CommentText"/>
        <w:rPr>
          <w:rFonts w:ascii="Garamond" w:eastAsia="Times New Roman" w:hAnsi="Garamond" w:cs="Arial"/>
          <w:sz w:val="20"/>
          <w:szCs w:val="20"/>
        </w:rPr>
      </w:pPr>
      <w:r w:rsidRPr="004222E3">
        <w:rPr>
          <w:rStyle w:val="FootnoteReference"/>
          <w:rFonts w:ascii="Garamond" w:hAnsi="Garamond" w:cs="Arial"/>
          <w:sz w:val="20"/>
          <w:szCs w:val="20"/>
        </w:rPr>
        <w:footnoteRef/>
      </w:r>
      <w:r w:rsidRPr="004222E3">
        <w:rPr>
          <w:rFonts w:ascii="Garamond" w:hAnsi="Garamond" w:cs="Arial"/>
          <w:sz w:val="20"/>
          <w:szCs w:val="20"/>
        </w:rPr>
        <w:t xml:space="preserve"> </w:t>
      </w:r>
      <w:r w:rsidRPr="00BB12E5">
        <w:rPr>
          <w:rFonts w:ascii="Garamond" w:eastAsia="Times New Roman" w:hAnsi="Garamond" w:cs="Arial"/>
          <w:i/>
          <w:iCs/>
          <w:sz w:val="20"/>
          <w:szCs w:val="20"/>
        </w:rPr>
        <w:t>Rogers v Whittaker </w:t>
      </w:r>
      <w:r w:rsidRPr="00BB12E5">
        <w:rPr>
          <w:rFonts w:ascii="Garamond" w:hAnsi="Garamond" w:cs="Arial"/>
          <w:sz w:val="20"/>
          <w:szCs w:val="20"/>
        </w:rPr>
        <w:t>(1992) 175 CLR 479 (HCA),</w:t>
      </w:r>
      <w:r>
        <w:rPr>
          <w:rFonts w:ascii="Garamond" w:eastAsia="Times New Roman" w:hAnsi="Garamond" w:cs="Arial"/>
          <w:sz w:val="20"/>
          <w:szCs w:val="20"/>
        </w:rPr>
        <w:t xml:space="preserve"> 490 (</w:t>
      </w:r>
      <w:r w:rsidRPr="00BB12E5">
        <w:rPr>
          <w:rFonts w:ascii="Garamond" w:eastAsia="Times New Roman" w:hAnsi="Garamond" w:cs="Arial"/>
          <w:sz w:val="20"/>
          <w:szCs w:val="20"/>
        </w:rPr>
        <w:t>Mason CJ, Brennan, Dawson, Toohey and McHugh J.J.</w:t>
      </w:r>
      <w:r>
        <w:rPr>
          <w:rFonts w:ascii="Garamond" w:eastAsia="Times New Roman" w:hAnsi="Garamond" w:cs="Arial"/>
          <w:sz w:val="20"/>
          <w:szCs w:val="20"/>
        </w:rPr>
        <w:t>)</w:t>
      </w:r>
      <w:r w:rsidRPr="00BB12E5">
        <w:rPr>
          <w:rFonts w:ascii="Garamond" w:eastAsia="Times New Roman" w:hAnsi="Garamond" w:cs="Arial"/>
          <w:sz w:val="20"/>
          <w:szCs w:val="20"/>
        </w:rPr>
        <w:t xml:space="preserve"> and see </w:t>
      </w:r>
      <w:r w:rsidRPr="003D4DE5">
        <w:rPr>
          <w:rFonts w:ascii="Garamond" w:eastAsia="Times New Roman" w:hAnsi="Garamond" w:cs="Arial"/>
          <w:i/>
          <w:sz w:val="20"/>
          <w:szCs w:val="20"/>
        </w:rPr>
        <w:t>Montgomery</w:t>
      </w:r>
      <w:r w:rsidRPr="003D4DE5">
        <w:rPr>
          <w:rFonts w:ascii="Garamond" w:hAnsi="Garamond" w:cs="Arial"/>
          <w:sz w:val="20"/>
          <w:szCs w:val="20"/>
        </w:rPr>
        <w:t xml:space="preserve"> (n 5) [</w:t>
      </w:r>
      <w:r w:rsidRPr="003D4DE5">
        <w:rPr>
          <w:rFonts w:ascii="Garamond" w:eastAsia="Times New Roman" w:hAnsi="Garamond" w:cs="Arial"/>
          <w:sz w:val="20"/>
          <w:szCs w:val="20"/>
        </w:rPr>
        <w:t>108]</w:t>
      </w:r>
      <w:r>
        <w:rPr>
          <w:rFonts w:ascii="Garamond" w:eastAsia="Times New Roman" w:hAnsi="Garamond" w:cs="Arial"/>
          <w:sz w:val="20"/>
          <w:szCs w:val="20"/>
        </w:rPr>
        <w:t xml:space="preserve"> (</w:t>
      </w:r>
      <w:r w:rsidRPr="00BB12E5">
        <w:rPr>
          <w:rFonts w:ascii="Garamond" w:eastAsia="Times New Roman" w:hAnsi="Garamond" w:cs="Arial"/>
          <w:sz w:val="20"/>
          <w:szCs w:val="20"/>
        </w:rPr>
        <w:t>Lady Hale</w:t>
      </w:r>
      <w:r>
        <w:rPr>
          <w:rFonts w:ascii="Garamond" w:eastAsia="Times New Roman" w:hAnsi="Garamond" w:cs="Arial"/>
          <w:sz w:val="20"/>
          <w:szCs w:val="20"/>
        </w:rPr>
        <w:t>)</w:t>
      </w:r>
      <w:r w:rsidRPr="00BB12E5">
        <w:rPr>
          <w:rFonts w:ascii="Garamond" w:eastAsia="Times New Roman" w:hAnsi="Garamond" w:cs="Arial"/>
          <w:sz w:val="20"/>
          <w:szCs w:val="20"/>
        </w:rPr>
        <w:t>.</w:t>
      </w:r>
    </w:p>
  </w:footnote>
  <w:footnote w:id="18">
    <w:p w14:paraId="3E43CC66" w14:textId="5E14D49F"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[1986] 1 AC 112</w:t>
      </w:r>
      <w:r>
        <w:rPr>
          <w:rFonts w:cs="Arial"/>
          <w:szCs w:val="20"/>
        </w:rPr>
        <w:t xml:space="preserve"> (HL)</w:t>
      </w:r>
      <w:r w:rsidRPr="004222E3">
        <w:rPr>
          <w:rFonts w:cs="Arial"/>
          <w:szCs w:val="20"/>
        </w:rPr>
        <w:t>.</w:t>
      </w:r>
    </w:p>
  </w:footnote>
  <w:footnote w:id="19">
    <w:p w14:paraId="4A0534EE" w14:textId="1B05E82B"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850F72">
        <w:rPr>
          <w:rFonts w:cs="Arial"/>
          <w:i/>
          <w:szCs w:val="20"/>
        </w:rPr>
        <w:t>Ibid</w:t>
      </w:r>
      <w:r>
        <w:rPr>
          <w:rFonts w:cs="Arial"/>
          <w:i/>
          <w:szCs w:val="20"/>
        </w:rPr>
        <w:t>.</w:t>
      </w:r>
      <w:r>
        <w:rPr>
          <w:rFonts w:cs="Arial"/>
          <w:szCs w:val="20"/>
        </w:rPr>
        <w:t>, 170 (</w:t>
      </w:r>
      <w:r w:rsidRPr="00A306E1">
        <w:rPr>
          <w:rFonts w:cs="Arial"/>
          <w:szCs w:val="20"/>
        </w:rPr>
        <w:t>Lord Fraser</w:t>
      </w:r>
      <w:r>
        <w:rPr>
          <w:rFonts w:cs="Arial"/>
          <w:szCs w:val="20"/>
        </w:rPr>
        <w:t>)</w:t>
      </w:r>
      <w:r w:rsidRPr="004222E3">
        <w:rPr>
          <w:rFonts w:cs="Arial"/>
          <w:szCs w:val="20"/>
        </w:rPr>
        <w:t>.</w:t>
      </w:r>
    </w:p>
  </w:footnote>
  <w:footnote w:id="20">
    <w:p w14:paraId="44CC5A10" w14:textId="62739B56"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 xml:space="preserve">Despite later challenges, it remains good law. See </w:t>
      </w:r>
      <w:r w:rsidRPr="004222E3">
        <w:rPr>
          <w:rFonts w:cs="Arial"/>
          <w:i/>
          <w:szCs w:val="20"/>
        </w:rPr>
        <w:t xml:space="preserve">R (Axon) v Secretary of State for Health </w:t>
      </w:r>
      <w:r w:rsidRPr="004222E3">
        <w:rPr>
          <w:rFonts w:cs="Arial"/>
          <w:szCs w:val="20"/>
        </w:rPr>
        <w:t>[2006] EWHC 37 (Admin)</w:t>
      </w:r>
      <w:r>
        <w:rPr>
          <w:rFonts w:cs="Arial"/>
          <w:szCs w:val="20"/>
        </w:rPr>
        <w:t>, [115] (</w:t>
      </w:r>
      <w:r w:rsidRPr="004222E3">
        <w:rPr>
          <w:rFonts w:cs="Arial"/>
          <w:szCs w:val="20"/>
        </w:rPr>
        <w:t>Silber J.</w:t>
      </w:r>
      <w:r>
        <w:rPr>
          <w:rFonts w:cs="Arial"/>
          <w:szCs w:val="20"/>
        </w:rPr>
        <w:t>).</w:t>
      </w:r>
    </w:p>
  </w:footnote>
  <w:footnote w:id="21">
    <w:p w14:paraId="16F91A38" w14:textId="5009D050" w:rsidR="004865E9" w:rsidRDefault="004865E9">
      <w:pPr>
        <w:pStyle w:val="FootnoteText"/>
      </w:pPr>
      <w:r>
        <w:rPr>
          <w:rStyle w:val="FootnoteReference"/>
        </w:rPr>
        <w:footnoteRef/>
      </w:r>
      <w:r>
        <w:t xml:space="preserve"> The terms are used interchangeably by Sir James Munby in </w:t>
      </w:r>
      <w:r>
        <w:rPr>
          <w:i/>
        </w:rPr>
        <w:t>Re D (A C</w:t>
      </w:r>
      <w:r w:rsidRPr="0055216B">
        <w:rPr>
          <w:i/>
        </w:rPr>
        <w:t>hild)</w:t>
      </w:r>
      <w:r>
        <w:t xml:space="preserve"> [2017] EWCA </w:t>
      </w:r>
      <w:proofErr w:type="spellStart"/>
      <w:r>
        <w:t>Civ</w:t>
      </w:r>
      <w:proofErr w:type="spellEnd"/>
      <w:r>
        <w:t xml:space="preserve"> 1695, [83]. We will employ the term ‘Gillick capacity’.</w:t>
      </w:r>
    </w:p>
  </w:footnote>
  <w:footnote w:id="22">
    <w:p w14:paraId="19908405" w14:textId="5C63891D" w:rsidR="004865E9" w:rsidRDefault="004865E9">
      <w:pPr>
        <w:pStyle w:val="FootnoteText"/>
      </w:pPr>
      <w:r>
        <w:rPr>
          <w:rStyle w:val="FootnoteReference"/>
        </w:rPr>
        <w:footnoteRef/>
      </w:r>
      <w:r>
        <w:t xml:space="preserve"> </w:t>
      </w:r>
      <w:r w:rsidRPr="007A7D0E">
        <w:rPr>
          <w:i/>
        </w:rPr>
        <w:t>MCA 2005 Code of Practice</w:t>
      </w:r>
      <w:r>
        <w:t xml:space="preserve"> (TSO: 2007).</w:t>
      </w:r>
    </w:p>
  </w:footnote>
  <w:footnote w:id="23">
    <w:p w14:paraId="6EA7FC37" w14:textId="0E4BB302"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M</w:t>
      </w:r>
      <w:r>
        <w:rPr>
          <w:rFonts w:cs="Arial"/>
          <w:szCs w:val="20"/>
        </w:rPr>
        <w:t>C</w:t>
      </w:r>
      <w:r w:rsidRPr="004222E3">
        <w:rPr>
          <w:rFonts w:cs="Arial"/>
          <w:szCs w:val="20"/>
        </w:rPr>
        <w:t>A 2005, s 2(5).</w:t>
      </w:r>
    </w:p>
  </w:footnote>
  <w:footnote w:id="24">
    <w:p w14:paraId="14DFAF29" w14:textId="120443C9" w:rsidR="004865E9" w:rsidRDefault="004865E9">
      <w:pPr>
        <w:pStyle w:val="FootnoteText"/>
      </w:pPr>
      <w:r>
        <w:rPr>
          <w:rStyle w:val="FootnoteReference"/>
        </w:rPr>
        <w:footnoteRef/>
      </w:r>
      <w:r>
        <w:t xml:space="preserve"> </w:t>
      </w:r>
      <w:r>
        <w:rPr>
          <w:i/>
        </w:rPr>
        <w:t>Ibid.</w:t>
      </w:r>
      <w:r>
        <w:t>, s 1(2).</w:t>
      </w:r>
    </w:p>
  </w:footnote>
  <w:footnote w:id="25">
    <w:p w14:paraId="0EDEC804" w14:textId="1D397858" w:rsidR="004865E9" w:rsidRDefault="004865E9">
      <w:pPr>
        <w:pStyle w:val="FootnoteText"/>
      </w:pPr>
      <w:r>
        <w:rPr>
          <w:rStyle w:val="FootnoteReference"/>
        </w:rPr>
        <w:footnoteRef/>
      </w:r>
      <w:r>
        <w:t xml:space="preserve"> </w:t>
      </w:r>
      <w:r>
        <w:rPr>
          <w:i/>
        </w:rPr>
        <w:t>Ibid.</w:t>
      </w:r>
      <w:r>
        <w:t>, ss 2-3.</w:t>
      </w:r>
    </w:p>
  </w:footnote>
  <w:footnote w:id="26">
    <w:p w14:paraId="05EF7854" w14:textId="4086D14C"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00FA5EFD" w:rsidRPr="00EB2283">
        <w:rPr>
          <w:rFonts w:cs="Arial"/>
          <w:i/>
          <w:szCs w:val="20"/>
        </w:rPr>
        <w:t xml:space="preserve">Re R </w:t>
      </w:r>
      <w:r w:rsidRPr="00FA5EFD">
        <w:rPr>
          <w:rFonts w:cs="Arial"/>
          <w:i/>
          <w:szCs w:val="20"/>
        </w:rPr>
        <w:t>(</w:t>
      </w:r>
      <w:r w:rsidRPr="004222E3">
        <w:rPr>
          <w:rFonts w:cs="Arial"/>
          <w:i/>
          <w:szCs w:val="20"/>
        </w:rPr>
        <w:t>A Minor) (Wardship: Consent to Treatment)</w:t>
      </w:r>
      <w:r w:rsidRPr="004222E3">
        <w:rPr>
          <w:rFonts w:cs="Arial"/>
          <w:szCs w:val="20"/>
        </w:rPr>
        <w:t xml:space="preserve"> [1992] Fam 11</w:t>
      </w:r>
      <w:r>
        <w:rPr>
          <w:rFonts w:cs="Arial"/>
          <w:szCs w:val="20"/>
        </w:rPr>
        <w:t xml:space="preserve"> (CA)</w:t>
      </w:r>
      <w:r w:rsidRPr="004222E3">
        <w:rPr>
          <w:rFonts w:cs="Arial"/>
          <w:szCs w:val="20"/>
        </w:rPr>
        <w:t>.</w:t>
      </w:r>
    </w:p>
  </w:footnote>
  <w:footnote w:id="27">
    <w:p w14:paraId="4EE7D1F5" w14:textId="65871F88"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E8586C">
        <w:rPr>
          <w:rFonts w:cs="Arial"/>
          <w:i/>
          <w:szCs w:val="20"/>
        </w:rPr>
        <w:t>Ibid</w:t>
      </w:r>
      <w:r>
        <w:rPr>
          <w:rFonts w:cs="Arial"/>
          <w:i/>
          <w:szCs w:val="20"/>
        </w:rPr>
        <w:t>.</w:t>
      </w:r>
      <w:r>
        <w:rPr>
          <w:rFonts w:cs="Arial"/>
          <w:szCs w:val="20"/>
        </w:rPr>
        <w:t>, 22 (</w:t>
      </w:r>
      <w:r w:rsidRPr="004222E3">
        <w:rPr>
          <w:rFonts w:cs="Arial"/>
          <w:szCs w:val="20"/>
        </w:rPr>
        <w:t>Lord Donaldson M</w:t>
      </w:r>
      <w:r>
        <w:rPr>
          <w:rFonts w:cs="Arial"/>
          <w:szCs w:val="20"/>
        </w:rPr>
        <w:t>.</w:t>
      </w:r>
      <w:r w:rsidRPr="004222E3">
        <w:rPr>
          <w:rFonts w:cs="Arial"/>
          <w:szCs w:val="20"/>
        </w:rPr>
        <w:t>R.</w:t>
      </w:r>
      <w:r>
        <w:rPr>
          <w:rFonts w:cs="Arial"/>
          <w:szCs w:val="20"/>
        </w:rPr>
        <w:t>).</w:t>
      </w:r>
      <w:r w:rsidRPr="004222E3">
        <w:rPr>
          <w:rFonts w:cs="Arial"/>
          <w:szCs w:val="20"/>
        </w:rPr>
        <w:t xml:space="preserve"> For 16-17</w:t>
      </w:r>
      <w:r>
        <w:rPr>
          <w:rFonts w:cs="Arial"/>
          <w:szCs w:val="20"/>
        </w:rPr>
        <w:t>-</w:t>
      </w:r>
      <w:r w:rsidRPr="004222E3">
        <w:rPr>
          <w:rFonts w:cs="Arial"/>
          <w:szCs w:val="20"/>
        </w:rPr>
        <w:t>year</w:t>
      </w:r>
      <w:r>
        <w:rPr>
          <w:rFonts w:cs="Arial"/>
          <w:szCs w:val="20"/>
        </w:rPr>
        <w:t>-</w:t>
      </w:r>
      <w:r w:rsidRPr="004222E3">
        <w:rPr>
          <w:rFonts w:cs="Arial"/>
          <w:szCs w:val="20"/>
        </w:rPr>
        <w:t xml:space="preserve">olds, </w:t>
      </w:r>
      <w:r>
        <w:rPr>
          <w:rFonts w:cs="Arial"/>
          <w:szCs w:val="20"/>
        </w:rPr>
        <w:t>the</w:t>
      </w:r>
      <w:r w:rsidRPr="004222E3">
        <w:rPr>
          <w:rFonts w:cs="Arial"/>
          <w:szCs w:val="20"/>
        </w:rPr>
        <w:t xml:space="preserve"> MCA 2005</w:t>
      </w:r>
      <w:r>
        <w:rPr>
          <w:rFonts w:cs="Arial"/>
          <w:szCs w:val="20"/>
        </w:rPr>
        <w:t xml:space="preserve"> s 5</w:t>
      </w:r>
      <w:r w:rsidRPr="004222E3">
        <w:rPr>
          <w:rFonts w:cs="Arial"/>
          <w:szCs w:val="20"/>
        </w:rPr>
        <w:t xml:space="preserve"> makes an exception to the requirement to obtain consent in certain circumstances, but </w:t>
      </w:r>
      <w:r>
        <w:rPr>
          <w:rFonts w:eastAsiaTheme="minorEastAsia" w:cs="Arial"/>
        </w:rPr>
        <w:t>persons with parental responsibility</w:t>
      </w:r>
      <w:r w:rsidRPr="00963288">
        <w:rPr>
          <w:rFonts w:eastAsiaTheme="minorEastAsia" w:cs="Arial"/>
        </w:rPr>
        <w:t xml:space="preserve"> </w:t>
      </w:r>
      <w:r w:rsidRPr="004222E3">
        <w:rPr>
          <w:rFonts w:cs="Arial"/>
          <w:szCs w:val="20"/>
        </w:rPr>
        <w:t xml:space="preserve">would usually be consulted in compliance with </w:t>
      </w:r>
      <w:r w:rsidRPr="00A75ABB">
        <w:rPr>
          <w:rFonts w:cs="Arial"/>
          <w:szCs w:val="20"/>
        </w:rPr>
        <w:t>s 4.</w:t>
      </w:r>
    </w:p>
  </w:footnote>
  <w:footnote w:id="28">
    <w:p w14:paraId="4476BECE" w14:textId="3919D8FF" w:rsidR="004865E9" w:rsidRDefault="004865E9">
      <w:pPr>
        <w:pStyle w:val="FootnoteText"/>
      </w:pPr>
      <w:r>
        <w:rPr>
          <w:rStyle w:val="FootnoteReference"/>
        </w:rPr>
        <w:footnoteRef/>
      </w:r>
      <w:r>
        <w:t xml:space="preserve"> MCA 2005, s 4: See below at IV.C.</w:t>
      </w:r>
    </w:p>
  </w:footnote>
  <w:footnote w:id="29">
    <w:p w14:paraId="2E6E861F" w14:textId="66D965AD"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The Values-Based Child and Adolescent Mental Health System Commission, </w:t>
      </w:r>
      <w:r w:rsidRPr="004222E3">
        <w:rPr>
          <w:rFonts w:cs="Arial"/>
          <w:i/>
          <w:szCs w:val="20"/>
        </w:rPr>
        <w:t xml:space="preserve">What Really Matters in Children and Young People’s Mental Health </w:t>
      </w:r>
      <w:r w:rsidRPr="004222E3">
        <w:rPr>
          <w:rFonts w:cs="Arial"/>
          <w:szCs w:val="20"/>
        </w:rPr>
        <w:t>(The Royal College of Psychiatrists</w:t>
      </w:r>
      <w:r>
        <w:rPr>
          <w:rFonts w:cs="Arial"/>
          <w:szCs w:val="20"/>
        </w:rPr>
        <w:t>: 2016</w:t>
      </w:r>
      <w:r w:rsidRPr="004222E3">
        <w:rPr>
          <w:rFonts w:cs="Arial"/>
          <w:szCs w:val="20"/>
        </w:rPr>
        <w:t>), 4, accessible at https://valuesbasedpractice.org/wp-content/uploads/2015/04/Values-based-full-report.pdf.</w:t>
      </w:r>
    </w:p>
  </w:footnote>
  <w:footnote w:id="30">
    <w:p w14:paraId="611C0CE1" w14:textId="6EDA93B1"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Cf</w:t>
      </w:r>
      <w:r>
        <w:rPr>
          <w:rFonts w:cs="Arial"/>
          <w:szCs w:val="20"/>
        </w:rPr>
        <w:t>.</w:t>
      </w:r>
      <w:r w:rsidRPr="004222E3">
        <w:rPr>
          <w:rFonts w:cs="Arial"/>
          <w:szCs w:val="20"/>
        </w:rPr>
        <w:t xml:space="preserve"> T Clark and D Nolan, ‘A </w:t>
      </w:r>
      <w:r>
        <w:rPr>
          <w:rFonts w:cs="Arial"/>
          <w:szCs w:val="20"/>
        </w:rPr>
        <w:t>C</w:t>
      </w:r>
      <w:r w:rsidRPr="004222E3">
        <w:rPr>
          <w:rFonts w:cs="Arial"/>
          <w:szCs w:val="20"/>
        </w:rPr>
        <w:t xml:space="preserve">ritique of </w:t>
      </w:r>
      <w:r w:rsidRPr="004222E3">
        <w:rPr>
          <w:rFonts w:cs="Arial"/>
          <w:i/>
          <w:szCs w:val="20"/>
        </w:rPr>
        <w:t>Chester v Afshar</w:t>
      </w:r>
      <w:r w:rsidRPr="004222E3">
        <w:rPr>
          <w:rFonts w:cs="Arial"/>
          <w:szCs w:val="20"/>
        </w:rPr>
        <w:t>’ (2014) 34 OJLS 659, 676.</w:t>
      </w:r>
    </w:p>
  </w:footnote>
  <w:footnote w:id="31">
    <w:p w14:paraId="0C2707BB" w14:textId="344FDD1E"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See M Brazier and C Bridge, ‘Coercion or </w:t>
      </w:r>
      <w:r>
        <w:rPr>
          <w:rFonts w:cs="Arial"/>
          <w:szCs w:val="20"/>
        </w:rPr>
        <w:t>C</w:t>
      </w:r>
      <w:r w:rsidRPr="004222E3">
        <w:rPr>
          <w:rFonts w:cs="Arial"/>
          <w:szCs w:val="20"/>
        </w:rPr>
        <w:t>aring: Analy</w:t>
      </w:r>
      <w:r>
        <w:rPr>
          <w:rFonts w:cs="Arial"/>
          <w:szCs w:val="20"/>
        </w:rPr>
        <w:t>sing A</w:t>
      </w:r>
      <w:r w:rsidRPr="004222E3">
        <w:rPr>
          <w:rFonts w:cs="Arial"/>
          <w:szCs w:val="20"/>
        </w:rPr>
        <w:t>do</w:t>
      </w:r>
      <w:r>
        <w:rPr>
          <w:rFonts w:cs="Arial"/>
          <w:szCs w:val="20"/>
        </w:rPr>
        <w:t>lescent Autonomy’ (1996) 16 LS</w:t>
      </w:r>
      <w:r w:rsidRPr="004222E3">
        <w:rPr>
          <w:rFonts w:cs="Arial"/>
          <w:szCs w:val="20"/>
        </w:rPr>
        <w:t xml:space="preserve"> 84, 87-92.</w:t>
      </w:r>
    </w:p>
  </w:footnote>
  <w:footnote w:id="32">
    <w:p w14:paraId="51BECBA4" w14:textId="3F813937"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iCs/>
          <w:szCs w:val="20"/>
        </w:rPr>
        <w:t xml:space="preserve">Gillick </w:t>
      </w:r>
      <w:r>
        <w:rPr>
          <w:rFonts w:cs="Arial"/>
          <w:iCs/>
          <w:szCs w:val="20"/>
        </w:rPr>
        <w:t>(n 1</w:t>
      </w:r>
      <w:r w:rsidR="00FA5EFD">
        <w:rPr>
          <w:rFonts w:cs="Arial"/>
          <w:iCs/>
          <w:szCs w:val="20"/>
        </w:rPr>
        <w:t>8</w:t>
      </w:r>
      <w:r>
        <w:rPr>
          <w:rFonts w:cs="Arial"/>
          <w:iCs/>
          <w:szCs w:val="20"/>
        </w:rPr>
        <w:t>)</w:t>
      </w:r>
      <w:r w:rsidRPr="004222E3">
        <w:rPr>
          <w:rFonts w:cs="Arial"/>
          <w:iCs/>
          <w:szCs w:val="20"/>
        </w:rPr>
        <w:t>,</w:t>
      </w:r>
      <w:r w:rsidRPr="004222E3">
        <w:rPr>
          <w:rFonts w:cs="Arial"/>
          <w:i/>
          <w:iCs/>
          <w:szCs w:val="20"/>
        </w:rPr>
        <w:t xml:space="preserve"> </w:t>
      </w:r>
      <w:r>
        <w:rPr>
          <w:rFonts w:cs="Arial"/>
          <w:szCs w:val="20"/>
        </w:rPr>
        <w:t>186.</w:t>
      </w:r>
    </w:p>
  </w:footnote>
  <w:footnote w:id="33">
    <w:p w14:paraId="1F973017" w14:textId="474452D7"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C4354">
        <w:rPr>
          <w:rFonts w:cs="Arial"/>
          <w:i/>
          <w:szCs w:val="20"/>
        </w:rPr>
        <w:t>Ibid</w:t>
      </w:r>
      <w:r>
        <w:rPr>
          <w:rFonts w:cs="Arial"/>
          <w:i/>
          <w:szCs w:val="20"/>
        </w:rPr>
        <w:t>.</w:t>
      </w:r>
      <w:r w:rsidRPr="00A306E1">
        <w:rPr>
          <w:rFonts w:cs="Arial"/>
          <w:szCs w:val="20"/>
        </w:rPr>
        <w:t>, 174</w:t>
      </w:r>
      <w:r>
        <w:rPr>
          <w:rFonts w:cs="Arial"/>
          <w:szCs w:val="20"/>
        </w:rPr>
        <w:t>.</w:t>
      </w:r>
    </w:p>
  </w:footnote>
  <w:footnote w:id="34">
    <w:p w14:paraId="04D5A89B" w14:textId="21C796FB" w:rsidR="00991739" w:rsidRDefault="00991739">
      <w:pPr>
        <w:pStyle w:val="FootnoteText"/>
      </w:pPr>
      <w:r>
        <w:rPr>
          <w:rStyle w:val="FootnoteReference"/>
        </w:rPr>
        <w:footnoteRef/>
      </w:r>
      <w:r>
        <w:t xml:space="preserve"> [1999] 2 FLR 1097.</w:t>
      </w:r>
    </w:p>
  </w:footnote>
  <w:footnote w:id="35">
    <w:p w14:paraId="061CB036" w14:textId="5B7CC194"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(n 2</w:t>
      </w:r>
      <w:r w:rsidR="00FA5EFD">
        <w:rPr>
          <w:rFonts w:cs="Arial"/>
          <w:szCs w:val="20"/>
        </w:rPr>
        <w:t>6</w:t>
      </w:r>
      <w:r>
        <w:rPr>
          <w:rFonts w:cs="Arial"/>
          <w:szCs w:val="20"/>
        </w:rPr>
        <w:t>)</w:t>
      </w:r>
      <w:r w:rsidRPr="004222E3">
        <w:rPr>
          <w:rFonts w:cs="Arial"/>
          <w:szCs w:val="20"/>
        </w:rPr>
        <w:t>.</w:t>
      </w:r>
    </w:p>
  </w:footnote>
  <w:footnote w:id="36">
    <w:p w14:paraId="15A0B088" w14:textId="62A3B011"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[1993] Fam 64</w:t>
      </w:r>
      <w:r>
        <w:rPr>
          <w:rFonts w:cs="Arial"/>
          <w:szCs w:val="20"/>
        </w:rPr>
        <w:t xml:space="preserve"> (CA)</w:t>
      </w:r>
      <w:r w:rsidRPr="004222E3">
        <w:rPr>
          <w:rFonts w:cs="Arial"/>
          <w:szCs w:val="20"/>
        </w:rPr>
        <w:t>.</w:t>
      </w:r>
    </w:p>
  </w:footnote>
  <w:footnote w:id="37">
    <w:p w14:paraId="50A10BA0" w14:textId="5C1B395C" w:rsidR="004865E9" w:rsidRPr="004222E3" w:rsidRDefault="004865E9" w:rsidP="00A506DF">
      <w:pPr>
        <w:pStyle w:val="FootnoteText"/>
      </w:pPr>
      <w:r w:rsidRPr="004222E3">
        <w:rPr>
          <w:rStyle w:val="FootnoteReference"/>
          <w:rFonts w:cs="Arial"/>
          <w:szCs w:val="20"/>
        </w:rPr>
        <w:footnoteRef/>
      </w:r>
      <w:r w:rsidRPr="004222E3">
        <w:t xml:space="preserve"> </w:t>
      </w:r>
      <w:r w:rsidRPr="00BC4354">
        <w:rPr>
          <w:i/>
        </w:rPr>
        <w:t>Ibid</w:t>
      </w:r>
      <w:r>
        <w:t>.</w:t>
      </w:r>
      <w:r w:rsidRPr="004222E3">
        <w:rPr>
          <w:i/>
        </w:rPr>
        <w:t xml:space="preserve">, </w:t>
      </w:r>
      <w:r w:rsidRPr="004222E3">
        <w:t xml:space="preserve">78 and </w:t>
      </w:r>
      <w:r w:rsidRPr="004222E3">
        <w:rPr>
          <w:i/>
        </w:rPr>
        <w:t>Re R</w:t>
      </w:r>
      <w:r>
        <w:t xml:space="preserve"> </w:t>
      </w:r>
      <w:r>
        <w:rPr>
          <w:rFonts w:cs="Arial"/>
          <w:szCs w:val="20"/>
        </w:rPr>
        <w:t>(n 2</w:t>
      </w:r>
      <w:r w:rsidR="004B7CB4">
        <w:rPr>
          <w:rFonts w:cs="Arial"/>
          <w:szCs w:val="20"/>
        </w:rPr>
        <w:t>6</w:t>
      </w:r>
      <w:r>
        <w:rPr>
          <w:rFonts w:cs="Arial"/>
          <w:szCs w:val="20"/>
        </w:rPr>
        <w:t>),</w:t>
      </w:r>
      <w:r w:rsidRPr="004222E3">
        <w:t xml:space="preserve"> 22.</w:t>
      </w:r>
    </w:p>
  </w:footnote>
  <w:footnote w:id="38">
    <w:p w14:paraId="61F0F859" w14:textId="1B745C29" w:rsidR="004865E9" w:rsidRDefault="004865E9">
      <w:pPr>
        <w:pStyle w:val="FootnoteText"/>
      </w:pPr>
      <w:r>
        <w:rPr>
          <w:rStyle w:val="FootnoteReference"/>
        </w:rPr>
        <w:footnoteRef/>
      </w:r>
      <w:r>
        <w:t xml:space="preserve"> </w:t>
      </w:r>
      <w:r w:rsidRPr="00BC4354">
        <w:rPr>
          <w:i/>
        </w:rPr>
        <w:t>Re</w:t>
      </w:r>
      <w:r>
        <w:rPr>
          <w:i/>
        </w:rPr>
        <w:t xml:space="preserve"> W</w:t>
      </w:r>
      <w:r>
        <w:t xml:space="preserve"> (n 3</w:t>
      </w:r>
      <w:r w:rsidR="00FA5EFD">
        <w:t>6</w:t>
      </w:r>
      <w:r>
        <w:t>), 78.</w:t>
      </w:r>
    </w:p>
  </w:footnote>
  <w:footnote w:id="39">
    <w:p w14:paraId="4CB59DB6" w14:textId="0E2D6AE2"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MCA</w:t>
      </w:r>
      <w:r w:rsidRPr="004222E3">
        <w:rPr>
          <w:rFonts w:cs="Arial"/>
          <w:szCs w:val="20"/>
        </w:rPr>
        <w:t xml:space="preserve"> 2005, s 1(5).</w:t>
      </w:r>
    </w:p>
  </w:footnote>
  <w:footnote w:id="40">
    <w:p w14:paraId="4E8BF06A" w14:textId="4B582BBA"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Re T (Adult: Refusal of Treatment) </w:t>
      </w:r>
      <w:r w:rsidRPr="004222E3">
        <w:rPr>
          <w:rFonts w:cs="Arial"/>
          <w:szCs w:val="20"/>
        </w:rPr>
        <w:t>[1993] Fam 95</w:t>
      </w:r>
      <w:r>
        <w:rPr>
          <w:rFonts w:cs="Arial"/>
          <w:szCs w:val="20"/>
        </w:rPr>
        <w:t xml:space="preserve"> (CA), 102 (</w:t>
      </w:r>
      <w:r w:rsidRPr="004222E3">
        <w:rPr>
          <w:rFonts w:cs="Arial"/>
          <w:szCs w:val="20"/>
        </w:rPr>
        <w:t>Lord Donaldson</w:t>
      </w:r>
      <w:r>
        <w:rPr>
          <w:rFonts w:cs="Arial"/>
          <w:szCs w:val="20"/>
        </w:rPr>
        <w:t>)</w:t>
      </w:r>
      <w:r w:rsidRPr="004222E3">
        <w:rPr>
          <w:rFonts w:cs="Arial"/>
          <w:szCs w:val="20"/>
        </w:rPr>
        <w:t xml:space="preserve">; </w:t>
      </w:r>
      <w:r w:rsidRPr="004222E3">
        <w:rPr>
          <w:rFonts w:cs="Arial"/>
          <w:i/>
          <w:szCs w:val="20"/>
        </w:rPr>
        <w:t>An NHS Foundation Trust Hospital v P</w:t>
      </w:r>
      <w:r w:rsidRPr="004222E3">
        <w:rPr>
          <w:rFonts w:cs="Arial"/>
          <w:szCs w:val="20"/>
        </w:rPr>
        <w:t xml:space="preserve"> [2014] EWHC 1650 (Fam)</w:t>
      </w:r>
      <w:r>
        <w:rPr>
          <w:rFonts w:cs="Arial"/>
          <w:szCs w:val="20"/>
        </w:rPr>
        <w:t>, [11] (</w:t>
      </w:r>
      <w:r w:rsidRPr="004222E3">
        <w:rPr>
          <w:rFonts w:cs="Arial"/>
          <w:szCs w:val="20"/>
        </w:rPr>
        <w:t>Baker J</w:t>
      </w:r>
      <w:r>
        <w:rPr>
          <w:rFonts w:cs="Arial"/>
          <w:szCs w:val="20"/>
        </w:rPr>
        <w:t>.)</w:t>
      </w:r>
      <w:r w:rsidRPr="004222E3">
        <w:rPr>
          <w:rFonts w:cs="Arial"/>
          <w:szCs w:val="20"/>
        </w:rPr>
        <w:t>.</w:t>
      </w:r>
    </w:p>
  </w:footnote>
  <w:footnote w:id="41">
    <w:p w14:paraId="6992F7E2" w14:textId="756056C9" w:rsidR="004865E9" w:rsidRPr="004222E3" w:rsidRDefault="004865E9" w:rsidP="0075085F">
      <w:pPr>
        <w:pStyle w:val="FootnoteText"/>
        <w:rPr>
          <w:rFonts w:cs="Arial"/>
          <w:szCs w:val="20"/>
        </w:rPr>
      </w:pPr>
      <w:r w:rsidRPr="004222E3">
        <w:rPr>
          <w:rStyle w:val="FootnoteReference"/>
          <w:rFonts w:cs="Arial"/>
          <w:szCs w:val="20"/>
        </w:rPr>
        <w:footnoteRef/>
      </w:r>
      <w:r>
        <w:rPr>
          <w:rFonts w:cs="Arial"/>
          <w:szCs w:val="20"/>
        </w:rPr>
        <w:t xml:space="preserve"> See J Murphy, ‘W(h)</w:t>
      </w:r>
      <w:proofErr w:type="spellStart"/>
      <w:r>
        <w:rPr>
          <w:rFonts w:cs="Arial"/>
          <w:szCs w:val="20"/>
        </w:rPr>
        <w:t>ither</w:t>
      </w:r>
      <w:proofErr w:type="spellEnd"/>
      <w:r>
        <w:rPr>
          <w:rFonts w:cs="Arial"/>
          <w:szCs w:val="20"/>
        </w:rPr>
        <w:t xml:space="preserve"> Adolescent A</w:t>
      </w:r>
      <w:r w:rsidRPr="004222E3">
        <w:rPr>
          <w:rFonts w:cs="Arial"/>
          <w:szCs w:val="20"/>
        </w:rPr>
        <w:t>utonomy</w:t>
      </w:r>
      <w:r>
        <w:rPr>
          <w:rFonts w:cs="Arial"/>
          <w:szCs w:val="20"/>
        </w:rPr>
        <w:t>?</w:t>
      </w:r>
      <w:r w:rsidRPr="004222E3">
        <w:rPr>
          <w:rFonts w:cs="Arial"/>
          <w:szCs w:val="20"/>
        </w:rPr>
        <w:t>’ (1992) 14 JSWFL 529</w:t>
      </w:r>
      <w:r>
        <w:rPr>
          <w:rFonts w:cs="Arial"/>
          <w:szCs w:val="20"/>
        </w:rPr>
        <w:t>, J Harris, ‘Consent and End of Life D</w:t>
      </w:r>
      <w:r w:rsidRPr="004222E3">
        <w:rPr>
          <w:rFonts w:cs="Arial"/>
          <w:szCs w:val="20"/>
        </w:rPr>
        <w:t xml:space="preserve">ecisions’ (2003) 29 J Med Ethics 10, 12 and M Freeman, ‘Rethinking </w:t>
      </w:r>
      <w:r w:rsidRPr="004222E3">
        <w:rPr>
          <w:rFonts w:cs="Arial"/>
          <w:i/>
          <w:szCs w:val="20"/>
        </w:rPr>
        <w:t>Gillick</w:t>
      </w:r>
      <w:r w:rsidRPr="004222E3">
        <w:rPr>
          <w:rFonts w:cs="Arial"/>
          <w:szCs w:val="20"/>
        </w:rPr>
        <w:t xml:space="preserve">’ (2005) 13 </w:t>
      </w:r>
      <w:proofErr w:type="spellStart"/>
      <w:r w:rsidRPr="004222E3">
        <w:rPr>
          <w:rFonts w:cs="Arial"/>
          <w:szCs w:val="20"/>
        </w:rPr>
        <w:t>Int</w:t>
      </w:r>
      <w:proofErr w:type="spellEnd"/>
      <w:r w:rsidRPr="004222E3">
        <w:rPr>
          <w:rFonts w:cs="Arial"/>
          <w:szCs w:val="20"/>
        </w:rPr>
        <w:t xml:space="preserve"> J Child </w:t>
      </w:r>
      <w:proofErr w:type="spellStart"/>
      <w:r w:rsidRPr="004222E3">
        <w:rPr>
          <w:rFonts w:cs="Arial"/>
          <w:szCs w:val="20"/>
        </w:rPr>
        <w:t>Rts</w:t>
      </w:r>
      <w:proofErr w:type="spellEnd"/>
      <w:r w:rsidRPr="004222E3">
        <w:rPr>
          <w:rFonts w:cs="Arial"/>
          <w:szCs w:val="20"/>
        </w:rPr>
        <w:t xml:space="preserve"> 201, 211. For a limited defence of this dist</w:t>
      </w:r>
      <w:r>
        <w:rPr>
          <w:rFonts w:cs="Arial"/>
          <w:szCs w:val="20"/>
        </w:rPr>
        <w:t>inction see R Heywood, ‘Mature T</w:t>
      </w:r>
      <w:r w:rsidRPr="004222E3">
        <w:rPr>
          <w:rFonts w:cs="Arial"/>
          <w:szCs w:val="20"/>
        </w:rPr>
        <w:t>eena</w:t>
      </w:r>
      <w:r>
        <w:rPr>
          <w:rFonts w:cs="Arial"/>
          <w:szCs w:val="20"/>
        </w:rPr>
        <w:t>gers and Medical Intervention Revisited: A Right to Consent, a Wrong to R</w:t>
      </w:r>
      <w:r w:rsidRPr="004222E3">
        <w:rPr>
          <w:rFonts w:cs="Arial"/>
          <w:szCs w:val="20"/>
        </w:rPr>
        <w:t xml:space="preserve">efuse’ </w:t>
      </w:r>
      <w:r>
        <w:rPr>
          <w:rFonts w:cs="Arial"/>
          <w:szCs w:val="20"/>
        </w:rPr>
        <w:t>[</w:t>
      </w:r>
      <w:r w:rsidRPr="004222E3">
        <w:rPr>
          <w:rFonts w:cs="Arial"/>
          <w:szCs w:val="20"/>
        </w:rPr>
        <w:t>2008</w:t>
      </w:r>
      <w:r>
        <w:rPr>
          <w:rFonts w:cs="Arial"/>
          <w:szCs w:val="20"/>
        </w:rPr>
        <w:t>]</w:t>
      </w:r>
      <w:r w:rsidRPr="004222E3">
        <w:rPr>
          <w:rFonts w:cs="Arial"/>
          <w:szCs w:val="20"/>
        </w:rPr>
        <w:t xml:space="preserve"> 37 CLWR 191. </w:t>
      </w:r>
    </w:p>
  </w:footnote>
  <w:footnote w:id="42">
    <w:p w14:paraId="6A9C5358" w14:textId="77777777" w:rsidR="004865E9" w:rsidRPr="004222E3" w:rsidRDefault="004865E9" w:rsidP="00E85510">
      <w:pPr>
        <w:pStyle w:val="FootnoteText"/>
        <w:rPr>
          <w:rFonts w:cs="Arial"/>
          <w:szCs w:val="20"/>
        </w:rPr>
      </w:pPr>
      <w:r w:rsidRPr="004222E3">
        <w:rPr>
          <w:rStyle w:val="FootnoteReference"/>
          <w:rFonts w:cs="Arial"/>
          <w:szCs w:val="20"/>
        </w:rPr>
        <w:footnoteRef/>
      </w:r>
      <w:r w:rsidRPr="004222E3">
        <w:rPr>
          <w:rFonts w:cs="Arial"/>
          <w:szCs w:val="20"/>
        </w:rPr>
        <w:t xml:space="preserve"> Children Act 1989, s 1(3)(a).</w:t>
      </w:r>
    </w:p>
  </w:footnote>
  <w:footnote w:id="43">
    <w:p w14:paraId="0A364737" w14:textId="5A004D49" w:rsidR="004865E9" w:rsidRPr="00C72FD4" w:rsidRDefault="004865E9" w:rsidP="00E85510">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i/>
          <w:szCs w:val="20"/>
        </w:rPr>
        <w:t>Axon</w:t>
      </w:r>
      <w:r>
        <w:rPr>
          <w:rFonts w:cs="Arial"/>
          <w:szCs w:val="20"/>
        </w:rPr>
        <w:t xml:space="preserve"> (n </w:t>
      </w:r>
      <w:r w:rsidR="00FA5EFD">
        <w:rPr>
          <w:rFonts w:cs="Arial"/>
          <w:szCs w:val="20"/>
        </w:rPr>
        <w:t>20</w:t>
      </w:r>
      <w:r>
        <w:rPr>
          <w:rFonts w:cs="Arial"/>
          <w:szCs w:val="20"/>
        </w:rPr>
        <w:t>).</w:t>
      </w:r>
    </w:p>
  </w:footnote>
  <w:footnote w:id="44">
    <w:p w14:paraId="23F4A091" w14:textId="58A1D2CB"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Gillick</w:t>
      </w:r>
      <w:r>
        <w:rPr>
          <w:rFonts w:cs="Arial"/>
          <w:iCs/>
          <w:szCs w:val="20"/>
        </w:rPr>
        <w:t xml:space="preserve"> (n 1</w:t>
      </w:r>
      <w:r w:rsidR="00FA5EFD">
        <w:rPr>
          <w:rFonts w:cs="Arial"/>
          <w:iCs/>
          <w:szCs w:val="20"/>
        </w:rPr>
        <w:t>8</w:t>
      </w:r>
      <w:r>
        <w:rPr>
          <w:rFonts w:cs="Arial"/>
          <w:iCs/>
          <w:szCs w:val="20"/>
        </w:rPr>
        <w:t>)</w:t>
      </w:r>
      <w:r w:rsidRPr="004222E3">
        <w:rPr>
          <w:rFonts w:cs="Arial"/>
          <w:iCs/>
          <w:szCs w:val="20"/>
        </w:rPr>
        <w:t xml:space="preserve">, </w:t>
      </w:r>
      <w:r>
        <w:rPr>
          <w:rFonts w:cs="Arial"/>
          <w:szCs w:val="20"/>
        </w:rPr>
        <w:t>173 (</w:t>
      </w:r>
      <w:r w:rsidRPr="004222E3">
        <w:rPr>
          <w:rFonts w:cs="Arial"/>
          <w:szCs w:val="20"/>
        </w:rPr>
        <w:t>Lord Fraser</w:t>
      </w:r>
      <w:r>
        <w:rPr>
          <w:rFonts w:cs="Arial"/>
          <w:szCs w:val="20"/>
        </w:rPr>
        <w:t>)</w:t>
      </w:r>
      <w:r w:rsidRPr="004222E3">
        <w:rPr>
          <w:rFonts w:cs="Arial"/>
          <w:szCs w:val="20"/>
        </w:rPr>
        <w:t>.</w:t>
      </w:r>
    </w:p>
  </w:footnote>
  <w:footnote w:id="45">
    <w:p w14:paraId="7CE5E14D" w14:textId="53209774"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Applied in </w:t>
      </w:r>
      <w:r w:rsidRPr="004222E3">
        <w:rPr>
          <w:rFonts w:cs="Arial"/>
          <w:i/>
          <w:szCs w:val="20"/>
        </w:rPr>
        <w:t>An NHS Foundation Trust Hospital v P</w:t>
      </w:r>
      <w:r>
        <w:rPr>
          <w:rFonts w:cs="Arial"/>
          <w:szCs w:val="20"/>
        </w:rPr>
        <w:t xml:space="preserve"> (n </w:t>
      </w:r>
      <w:r w:rsidR="004B7CB4">
        <w:rPr>
          <w:rFonts w:cs="Arial"/>
          <w:szCs w:val="20"/>
        </w:rPr>
        <w:t>40</w:t>
      </w:r>
      <w:r>
        <w:rPr>
          <w:rFonts w:cs="Arial"/>
          <w:szCs w:val="20"/>
        </w:rPr>
        <w:t>),</w:t>
      </w:r>
      <w:r w:rsidRPr="004222E3">
        <w:rPr>
          <w:rFonts w:cs="Arial"/>
          <w:szCs w:val="20"/>
        </w:rPr>
        <w:t xml:space="preserve"> 12.</w:t>
      </w:r>
    </w:p>
  </w:footnote>
  <w:footnote w:id="46">
    <w:p w14:paraId="7AC0A12E" w14:textId="10CF20D7"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Children Act 1989, s1(1).</w:t>
      </w:r>
      <w:r>
        <w:rPr>
          <w:rFonts w:cs="Arial"/>
          <w:szCs w:val="20"/>
        </w:rPr>
        <w:t xml:space="preserve"> See </w:t>
      </w:r>
      <w:r w:rsidRPr="004222E3">
        <w:rPr>
          <w:rFonts w:cs="Arial"/>
          <w:i/>
          <w:szCs w:val="20"/>
        </w:rPr>
        <w:t>J v C</w:t>
      </w:r>
      <w:r w:rsidRPr="004222E3">
        <w:rPr>
          <w:rFonts w:cs="Arial"/>
          <w:szCs w:val="20"/>
        </w:rPr>
        <w:t xml:space="preserve"> [1970] AC 668</w:t>
      </w:r>
      <w:r>
        <w:rPr>
          <w:rFonts w:cs="Arial"/>
          <w:szCs w:val="20"/>
        </w:rPr>
        <w:t xml:space="preserve"> (HL), 710 (Lord </w:t>
      </w:r>
      <w:proofErr w:type="spellStart"/>
      <w:r>
        <w:rPr>
          <w:rFonts w:cs="Arial"/>
          <w:szCs w:val="20"/>
        </w:rPr>
        <w:t>MacDermott</w:t>
      </w:r>
      <w:proofErr w:type="spellEnd"/>
      <w:r>
        <w:rPr>
          <w:rFonts w:cs="Arial"/>
          <w:szCs w:val="20"/>
        </w:rPr>
        <w:t>) and H Reece, ‘The Paramountcy P</w:t>
      </w:r>
      <w:r w:rsidRPr="004222E3">
        <w:rPr>
          <w:rFonts w:cs="Arial"/>
          <w:szCs w:val="20"/>
        </w:rPr>
        <w:t xml:space="preserve">rinciple: Consensus or </w:t>
      </w:r>
      <w:r>
        <w:rPr>
          <w:rFonts w:cs="Arial"/>
          <w:szCs w:val="20"/>
        </w:rPr>
        <w:t>C</w:t>
      </w:r>
      <w:r w:rsidRPr="004222E3">
        <w:rPr>
          <w:rFonts w:cs="Arial"/>
          <w:szCs w:val="20"/>
        </w:rPr>
        <w:t>on</w:t>
      </w:r>
      <w:r>
        <w:rPr>
          <w:rFonts w:cs="Arial"/>
          <w:szCs w:val="20"/>
        </w:rPr>
        <w:t>struct’ (1996) 49 CLP 267, 267.</w:t>
      </w:r>
    </w:p>
  </w:footnote>
  <w:footnote w:id="47">
    <w:p w14:paraId="1BED04BA" w14:textId="245F1196"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Pr>
          <w:i/>
        </w:rPr>
        <w:t>Re D (A C</w:t>
      </w:r>
      <w:r w:rsidRPr="0055216B">
        <w:rPr>
          <w:i/>
        </w:rPr>
        <w:t>hild)</w:t>
      </w:r>
      <w:r>
        <w:t xml:space="preserve"> (n </w:t>
      </w:r>
      <w:r w:rsidR="00FA5EFD">
        <w:t>21</w:t>
      </w:r>
      <w:r>
        <w:t xml:space="preserve">), </w:t>
      </w:r>
      <w:r w:rsidRPr="004222E3">
        <w:rPr>
          <w:rFonts w:cs="Arial"/>
          <w:szCs w:val="20"/>
        </w:rPr>
        <w:t>[126]</w:t>
      </w:r>
      <w:r>
        <w:rPr>
          <w:rFonts w:cs="Arial"/>
          <w:szCs w:val="20"/>
        </w:rPr>
        <w:t>.</w:t>
      </w:r>
    </w:p>
  </w:footnote>
  <w:footnote w:id="48">
    <w:p w14:paraId="6EDB0DDD" w14:textId="0278604E"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52A5A">
        <w:rPr>
          <w:rFonts w:cs="Arial"/>
          <w:i/>
          <w:szCs w:val="20"/>
        </w:rPr>
        <w:t>Ibid</w:t>
      </w:r>
      <w:r>
        <w:rPr>
          <w:rFonts w:cs="Arial"/>
          <w:i/>
          <w:szCs w:val="20"/>
        </w:rPr>
        <w:t>.</w:t>
      </w:r>
      <w:r w:rsidRPr="004222E3">
        <w:rPr>
          <w:rFonts w:cs="Arial"/>
          <w:szCs w:val="20"/>
        </w:rPr>
        <w:t>, [85].</w:t>
      </w:r>
    </w:p>
  </w:footnote>
  <w:footnote w:id="49">
    <w:p w14:paraId="64AFBD43" w14:textId="405F5B4F"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See </w:t>
      </w:r>
      <w:r>
        <w:rPr>
          <w:rFonts w:cs="Arial"/>
          <w:szCs w:val="20"/>
        </w:rPr>
        <w:t xml:space="preserve">e.g. </w:t>
      </w:r>
      <w:r w:rsidRPr="004222E3">
        <w:rPr>
          <w:rFonts w:cs="Arial"/>
          <w:szCs w:val="20"/>
        </w:rPr>
        <w:t xml:space="preserve">Welsh Assembly Government, </w:t>
      </w:r>
      <w:r w:rsidRPr="004222E3">
        <w:rPr>
          <w:rFonts w:cs="Arial"/>
          <w:i/>
          <w:szCs w:val="20"/>
        </w:rPr>
        <w:t>Reference Guide to Consent for Examination or Treatment</w:t>
      </w:r>
      <w:r w:rsidRPr="004222E3">
        <w:rPr>
          <w:rFonts w:cs="Arial"/>
          <w:szCs w:val="20"/>
        </w:rPr>
        <w:t xml:space="preserve"> (2002), 8.3, accessible at </w:t>
      </w:r>
      <w:r w:rsidRPr="00253D22">
        <w:rPr>
          <w:rFonts w:cs="Arial"/>
          <w:szCs w:val="20"/>
        </w:rPr>
        <w:t>http://www.wales.nhs.uk/Publications/treatmentgd-e.pdf</w:t>
      </w:r>
      <w:r w:rsidRPr="004222E3">
        <w:rPr>
          <w:rFonts w:cs="Arial"/>
          <w:szCs w:val="20"/>
        </w:rPr>
        <w:t xml:space="preserve">. </w:t>
      </w:r>
    </w:p>
  </w:footnote>
  <w:footnote w:id="50">
    <w:p w14:paraId="44FC956C" w14:textId="6E3B856A" w:rsidR="004865E9" w:rsidRPr="004222E3" w:rsidRDefault="004865E9" w:rsidP="0075085F">
      <w:pPr>
        <w:pStyle w:val="FootnoteText"/>
        <w:rPr>
          <w:rFonts w:cs="Arial"/>
          <w:szCs w:val="20"/>
        </w:rPr>
      </w:pPr>
      <w:r w:rsidRPr="004222E3">
        <w:rPr>
          <w:rStyle w:val="FootnoteReference"/>
          <w:rFonts w:cs="Arial"/>
          <w:szCs w:val="20"/>
        </w:rPr>
        <w:footnoteRef/>
      </w:r>
      <w:r>
        <w:rPr>
          <w:rFonts w:cs="Arial"/>
          <w:szCs w:val="20"/>
        </w:rPr>
        <w:t xml:space="preserve"> See J Fortin, ‘Accommodating Children’s Rights in the Post Human Rights Act E</w:t>
      </w:r>
      <w:r w:rsidRPr="004222E3">
        <w:rPr>
          <w:rFonts w:cs="Arial"/>
          <w:szCs w:val="20"/>
        </w:rPr>
        <w:t>ra’ (2006) 69 MLR 299, 320,</w:t>
      </w:r>
      <w:r w:rsidRPr="004222E3">
        <w:rPr>
          <w:rFonts w:eastAsia="Calibri" w:cs="Arial"/>
          <w:bCs/>
          <w:i/>
          <w:iCs/>
          <w:szCs w:val="20"/>
        </w:rPr>
        <w:t xml:space="preserve"> Pretty v United Kingdom </w:t>
      </w:r>
      <w:r w:rsidRPr="004222E3">
        <w:rPr>
          <w:rFonts w:cs="Arial"/>
          <w:b/>
          <w:bCs/>
          <w:szCs w:val="20"/>
        </w:rPr>
        <w:t>(</w:t>
      </w:r>
      <w:r w:rsidRPr="004222E3">
        <w:rPr>
          <w:rFonts w:cs="Arial"/>
          <w:bCs/>
          <w:szCs w:val="20"/>
        </w:rPr>
        <w:t xml:space="preserve">2002) 35 EHRR 1 (2346/02) and </w:t>
      </w:r>
      <w:r w:rsidRPr="004222E3">
        <w:rPr>
          <w:rFonts w:eastAsia="Calibri" w:cs="Arial"/>
          <w:bCs/>
          <w:i/>
          <w:iCs/>
          <w:szCs w:val="20"/>
        </w:rPr>
        <w:t xml:space="preserve">VC v Slovakia </w:t>
      </w:r>
      <w:r w:rsidRPr="004222E3">
        <w:rPr>
          <w:rFonts w:cs="Arial"/>
          <w:bCs/>
          <w:szCs w:val="20"/>
        </w:rPr>
        <w:t>(2014) 59 EHRR 29</w:t>
      </w:r>
      <w:r w:rsidRPr="004222E3">
        <w:rPr>
          <w:rFonts w:cs="Arial"/>
          <w:b/>
          <w:bCs/>
          <w:szCs w:val="20"/>
        </w:rPr>
        <w:t xml:space="preserve"> </w:t>
      </w:r>
      <w:r w:rsidRPr="004222E3">
        <w:rPr>
          <w:rFonts w:eastAsia="Calibri" w:cs="Arial"/>
          <w:bCs/>
          <w:iCs/>
          <w:szCs w:val="20"/>
        </w:rPr>
        <w:t>(18968/07)</w:t>
      </w:r>
      <w:r w:rsidRPr="004222E3">
        <w:rPr>
          <w:rFonts w:cs="Arial"/>
          <w:szCs w:val="20"/>
        </w:rPr>
        <w:t>.</w:t>
      </w:r>
    </w:p>
  </w:footnote>
  <w:footnote w:id="51">
    <w:p w14:paraId="28FD2129" w14:textId="6277C630"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Montgomery </w:t>
      </w:r>
      <w:r>
        <w:rPr>
          <w:rFonts w:cs="Arial"/>
          <w:szCs w:val="20"/>
        </w:rPr>
        <w:t>(n 5),</w:t>
      </w:r>
      <w:r w:rsidRPr="004222E3">
        <w:rPr>
          <w:rFonts w:cs="Arial"/>
          <w:szCs w:val="20"/>
        </w:rPr>
        <w:t xml:space="preserve"> [80]</w:t>
      </w:r>
      <w:r>
        <w:rPr>
          <w:rFonts w:cs="Arial"/>
          <w:szCs w:val="20"/>
        </w:rPr>
        <w:t xml:space="preserve"> (Lords Kerr and Reed)</w:t>
      </w:r>
      <w:r w:rsidRPr="004222E3">
        <w:rPr>
          <w:rFonts w:cs="Arial"/>
          <w:szCs w:val="20"/>
        </w:rPr>
        <w:t>.</w:t>
      </w:r>
    </w:p>
  </w:footnote>
  <w:footnote w:id="52">
    <w:p w14:paraId="273F0BF8" w14:textId="6E32762A" w:rsidR="004865E9" w:rsidRPr="004222E3" w:rsidRDefault="004865E9" w:rsidP="007B4F87">
      <w:pPr>
        <w:pStyle w:val="FootnoteText"/>
        <w:rPr>
          <w:rFonts w:cs="Arial"/>
          <w:szCs w:val="20"/>
        </w:rPr>
      </w:pPr>
      <w:r w:rsidRPr="004222E3">
        <w:rPr>
          <w:rStyle w:val="FootnoteReference"/>
          <w:rFonts w:cs="Arial"/>
          <w:szCs w:val="20"/>
        </w:rPr>
        <w:footnoteRef/>
      </w:r>
      <w:r w:rsidRPr="004222E3">
        <w:rPr>
          <w:rFonts w:cs="Arial"/>
          <w:i/>
          <w:szCs w:val="20"/>
        </w:rPr>
        <w:t xml:space="preserve"> Axon</w:t>
      </w:r>
      <w:r w:rsidRPr="004222E3">
        <w:rPr>
          <w:rFonts w:cs="Arial"/>
          <w:szCs w:val="20"/>
        </w:rPr>
        <w:t xml:space="preserve"> </w:t>
      </w:r>
      <w:r>
        <w:rPr>
          <w:rFonts w:cs="Arial"/>
          <w:szCs w:val="20"/>
        </w:rPr>
        <w:t xml:space="preserve">(n </w:t>
      </w:r>
      <w:r w:rsidR="00FA5EFD">
        <w:rPr>
          <w:rFonts w:cs="Arial"/>
          <w:szCs w:val="20"/>
        </w:rPr>
        <w:t>20</w:t>
      </w:r>
      <w:r>
        <w:rPr>
          <w:rFonts w:cs="Arial"/>
          <w:szCs w:val="20"/>
        </w:rPr>
        <w:t>),</w:t>
      </w:r>
      <w:r w:rsidRPr="004222E3">
        <w:rPr>
          <w:rFonts w:cs="Arial"/>
          <w:szCs w:val="20"/>
        </w:rPr>
        <w:t xml:space="preserve"> [130].</w:t>
      </w:r>
    </w:p>
  </w:footnote>
  <w:footnote w:id="53">
    <w:p w14:paraId="752D9DD7" w14:textId="562FFC00"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Department of Health, </w:t>
      </w:r>
      <w:r w:rsidRPr="004222E3">
        <w:rPr>
          <w:rFonts w:cs="Arial"/>
          <w:i/>
          <w:szCs w:val="20"/>
        </w:rPr>
        <w:t>Reference Guide to Consent for Examination or Treatment</w:t>
      </w:r>
      <w:r w:rsidRPr="004222E3">
        <w:rPr>
          <w:rFonts w:cs="Arial"/>
          <w:szCs w:val="20"/>
        </w:rPr>
        <w:t xml:space="preserve"> (2009), 3.15, accessible at </w:t>
      </w:r>
      <w:hyperlink r:id="rId1" w:history="1">
        <w:r w:rsidRPr="009D3634">
          <w:rPr>
            <w:rStyle w:val="Hyperlink"/>
            <w:rFonts w:cs="Arial"/>
            <w:color w:val="auto"/>
            <w:szCs w:val="20"/>
          </w:rPr>
          <w:t>https://www.gov.uk/government/uploads/system/uploads/attachment_data/file/138296/dh_103653__1_.pdf</w:t>
        </w:r>
      </w:hyperlink>
      <w:r w:rsidRPr="004222E3">
        <w:rPr>
          <w:rFonts w:cs="Arial"/>
          <w:szCs w:val="20"/>
        </w:rPr>
        <w:t xml:space="preserve"> </w:t>
      </w:r>
    </w:p>
  </w:footnote>
  <w:footnote w:id="54">
    <w:p w14:paraId="7F05A2AC" w14:textId="767C5C4C"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52A5A">
        <w:rPr>
          <w:rFonts w:cs="Arial"/>
          <w:i/>
          <w:szCs w:val="20"/>
        </w:rPr>
        <w:t>Ibid</w:t>
      </w:r>
      <w:r w:rsidRPr="004222E3">
        <w:rPr>
          <w:rFonts w:cs="Arial"/>
          <w:szCs w:val="20"/>
        </w:rPr>
        <w:t>.</w:t>
      </w:r>
    </w:p>
  </w:footnote>
  <w:footnote w:id="55">
    <w:p w14:paraId="163E8B8F" w14:textId="1D6737FB" w:rsidR="004865E9" w:rsidRPr="004222E3" w:rsidRDefault="004865E9" w:rsidP="0075085F">
      <w:pPr>
        <w:pStyle w:val="FootnoteText"/>
        <w:rPr>
          <w:rFonts w:cs="Arial"/>
          <w:b/>
          <w:szCs w:val="20"/>
        </w:rPr>
      </w:pPr>
      <w:r w:rsidRPr="004222E3">
        <w:rPr>
          <w:rStyle w:val="FootnoteReference"/>
          <w:rFonts w:cs="Arial"/>
          <w:szCs w:val="20"/>
        </w:rPr>
        <w:footnoteRef/>
      </w:r>
      <w:r w:rsidRPr="004222E3">
        <w:rPr>
          <w:rFonts w:cs="Arial"/>
          <w:szCs w:val="20"/>
        </w:rPr>
        <w:t xml:space="preserve"> See </w:t>
      </w:r>
      <w:r w:rsidRPr="004222E3">
        <w:rPr>
          <w:rFonts w:cs="Arial"/>
          <w:i/>
          <w:szCs w:val="20"/>
        </w:rPr>
        <w:t>Gillick</w:t>
      </w:r>
      <w:r w:rsidRPr="004222E3">
        <w:rPr>
          <w:rFonts w:cs="Arial"/>
          <w:szCs w:val="20"/>
        </w:rPr>
        <w:t xml:space="preserve"> </w:t>
      </w:r>
      <w:r>
        <w:rPr>
          <w:rFonts w:cs="Arial"/>
          <w:iCs/>
          <w:szCs w:val="20"/>
        </w:rPr>
        <w:t>(n 1</w:t>
      </w:r>
      <w:r w:rsidR="00FA5EFD">
        <w:rPr>
          <w:rFonts w:cs="Arial"/>
          <w:iCs/>
          <w:szCs w:val="20"/>
        </w:rPr>
        <w:t>8</w:t>
      </w:r>
      <w:r>
        <w:rPr>
          <w:rFonts w:cs="Arial"/>
          <w:iCs/>
          <w:szCs w:val="20"/>
        </w:rPr>
        <w:t>)</w:t>
      </w:r>
      <w:r>
        <w:rPr>
          <w:rFonts w:cs="Arial"/>
          <w:szCs w:val="20"/>
        </w:rPr>
        <w:t>, 174 (</w:t>
      </w:r>
      <w:r w:rsidRPr="004222E3">
        <w:rPr>
          <w:rFonts w:cs="Arial"/>
          <w:szCs w:val="20"/>
        </w:rPr>
        <w:t>Lord Fraser</w:t>
      </w:r>
      <w:r>
        <w:rPr>
          <w:rFonts w:cs="Arial"/>
          <w:szCs w:val="20"/>
        </w:rPr>
        <w:t>)</w:t>
      </w:r>
      <w:r w:rsidRPr="004222E3">
        <w:rPr>
          <w:rFonts w:cs="Arial"/>
          <w:szCs w:val="20"/>
        </w:rPr>
        <w:t xml:space="preserve"> and </w:t>
      </w:r>
      <w:r w:rsidRPr="004222E3">
        <w:rPr>
          <w:rFonts w:cs="Arial"/>
          <w:i/>
          <w:szCs w:val="20"/>
        </w:rPr>
        <w:t xml:space="preserve">Axon </w:t>
      </w:r>
      <w:r>
        <w:rPr>
          <w:rFonts w:cs="Arial"/>
          <w:szCs w:val="20"/>
        </w:rPr>
        <w:t xml:space="preserve">(n </w:t>
      </w:r>
      <w:r w:rsidR="00FA5EFD">
        <w:rPr>
          <w:rFonts w:cs="Arial"/>
          <w:szCs w:val="20"/>
        </w:rPr>
        <w:t>20</w:t>
      </w:r>
      <w:r>
        <w:rPr>
          <w:rFonts w:cs="Arial"/>
          <w:szCs w:val="20"/>
        </w:rPr>
        <w:t>), [103]</w:t>
      </w:r>
      <w:r w:rsidRPr="004222E3">
        <w:rPr>
          <w:rFonts w:cs="Arial"/>
          <w:szCs w:val="20"/>
        </w:rPr>
        <w:t xml:space="preserve"> </w:t>
      </w:r>
      <w:r>
        <w:rPr>
          <w:rFonts w:cs="Arial"/>
          <w:szCs w:val="20"/>
        </w:rPr>
        <w:t>(</w:t>
      </w:r>
      <w:r w:rsidRPr="004222E3">
        <w:rPr>
          <w:rFonts w:cs="Arial"/>
          <w:szCs w:val="20"/>
        </w:rPr>
        <w:t>Silber J.</w:t>
      </w:r>
      <w:r>
        <w:rPr>
          <w:rFonts w:cs="Arial"/>
          <w:szCs w:val="20"/>
        </w:rPr>
        <w:t>).</w:t>
      </w:r>
    </w:p>
  </w:footnote>
  <w:footnote w:id="56">
    <w:p w14:paraId="0E645581" w14:textId="74A14E24" w:rsidR="004865E9" w:rsidRDefault="004865E9">
      <w:pPr>
        <w:pStyle w:val="FootnoteText"/>
      </w:pPr>
      <w:r>
        <w:rPr>
          <w:rStyle w:val="FootnoteReference"/>
        </w:rPr>
        <w:footnoteRef/>
      </w:r>
      <w:r>
        <w:t xml:space="preserve"> </w:t>
      </w:r>
      <w:r w:rsidRPr="004222E3">
        <w:rPr>
          <w:rFonts w:cs="Arial"/>
          <w:szCs w:val="20"/>
        </w:rPr>
        <w:t xml:space="preserve">See E Cave, ‘Goodbye </w:t>
      </w:r>
      <w:r w:rsidRPr="004222E3">
        <w:rPr>
          <w:rFonts w:cs="Arial"/>
          <w:i/>
          <w:szCs w:val="20"/>
        </w:rPr>
        <w:t>Gillick</w:t>
      </w:r>
      <w:r w:rsidRPr="004222E3">
        <w:rPr>
          <w:rFonts w:cs="Arial"/>
          <w:szCs w:val="20"/>
        </w:rPr>
        <w:t>? Ide</w:t>
      </w:r>
      <w:r>
        <w:rPr>
          <w:rFonts w:cs="Arial"/>
          <w:szCs w:val="20"/>
        </w:rPr>
        <w:t>ntifying and Resolving Problems with the Concept of Child Competence’ 24</w:t>
      </w:r>
      <w:r w:rsidRPr="004222E3">
        <w:rPr>
          <w:rFonts w:cs="Arial"/>
          <w:szCs w:val="20"/>
        </w:rPr>
        <w:t xml:space="preserve"> (2014) LS 103</w:t>
      </w:r>
      <w:r>
        <w:rPr>
          <w:rFonts w:cs="Arial"/>
          <w:szCs w:val="20"/>
        </w:rPr>
        <w:t>.</w:t>
      </w:r>
    </w:p>
  </w:footnote>
  <w:footnote w:id="57">
    <w:p w14:paraId="732487AB" w14:textId="77777777"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Whilst non-disclosure may also lead to actionable psychiatric harm, this is beyond the scope of this paper.</w:t>
      </w:r>
    </w:p>
  </w:footnote>
  <w:footnote w:id="58">
    <w:p w14:paraId="5B75A494" w14:textId="2196989B" w:rsidR="004865E9" w:rsidRPr="004222E3" w:rsidRDefault="004865E9" w:rsidP="004112CD">
      <w:pPr>
        <w:pStyle w:val="FootnoteText"/>
        <w:rPr>
          <w:rFonts w:cs="Arial"/>
          <w:b/>
          <w:bCs/>
          <w:szCs w:val="20"/>
        </w:rPr>
      </w:pPr>
      <w:r w:rsidRPr="004222E3">
        <w:rPr>
          <w:rStyle w:val="FootnoteReference"/>
          <w:rFonts w:cs="Arial"/>
          <w:szCs w:val="20"/>
        </w:rPr>
        <w:footnoteRef/>
      </w:r>
      <w:r w:rsidRPr="004222E3">
        <w:rPr>
          <w:rFonts w:cs="Arial"/>
          <w:szCs w:val="20"/>
        </w:rPr>
        <w:t xml:space="preserve"> </w:t>
      </w:r>
      <w:proofErr w:type="spellStart"/>
      <w:r w:rsidRPr="004222E3">
        <w:rPr>
          <w:rFonts w:cs="Arial"/>
          <w:bCs/>
          <w:i/>
          <w:szCs w:val="20"/>
        </w:rPr>
        <w:t>Sidaway</w:t>
      </w:r>
      <w:proofErr w:type="spellEnd"/>
      <w:r>
        <w:rPr>
          <w:rFonts w:cs="Arial"/>
          <w:bCs/>
          <w:i/>
          <w:szCs w:val="20"/>
        </w:rPr>
        <w:t xml:space="preserve"> </w:t>
      </w:r>
      <w:r w:rsidRPr="004222E3">
        <w:rPr>
          <w:rFonts w:cs="Arial"/>
          <w:bCs/>
          <w:i/>
          <w:szCs w:val="20"/>
        </w:rPr>
        <w:t xml:space="preserve">v Bethlem Royal Hospital </w:t>
      </w:r>
      <w:r w:rsidRPr="004222E3">
        <w:rPr>
          <w:rFonts w:cs="Arial"/>
          <w:bCs/>
          <w:szCs w:val="20"/>
        </w:rPr>
        <w:t>[1985] AC 871</w:t>
      </w:r>
      <w:r>
        <w:rPr>
          <w:rFonts w:cs="Arial"/>
          <w:bCs/>
          <w:szCs w:val="20"/>
        </w:rPr>
        <w:t xml:space="preserve"> (HL)</w:t>
      </w:r>
      <w:r w:rsidRPr="004222E3">
        <w:rPr>
          <w:rFonts w:cs="Arial"/>
          <w:bCs/>
          <w:szCs w:val="20"/>
        </w:rPr>
        <w:t xml:space="preserve">, </w:t>
      </w:r>
      <w:r>
        <w:rPr>
          <w:rFonts w:cs="Arial"/>
          <w:bCs/>
          <w:szCs w:val="20"/>
        </w:rPr>
        <w:t>893 (</w:t>
      </w:r>
      <w:r w:rsidRPr="004222E3">
        <w:rPr>
          <w:rFonts w:cs="Arial"/>
          <w:bCs/>
          <w:szCs w:val="20"/>
        </w:rPr>
        <w:t>Lord Diplock</w:t>
      </w:r>
      <w:r>
        <w:rPr>
          <w:rFonts w:cs="Arial"/>
          <w:bCs/>
          <w:szCs w:val="20"/>
        </w:rPr>
        <w:t>)</w:t>
      </w:r>
      <w:r w:rsidRPr="004222E3">
        <w:rPr>
          <w:rFonts w:cs="Arial"/>
          <w:bCs/>
          <w:szCs w:val="20"/>
        </w:rPr>
        <w:t>.</w:t>
      </w:r>
    </w:p>
  </w:footnote>
  <w:footnote w:id="59">
    <w:p w14:paraId="4B37AC8A" w14:textId="77777777"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B52A5A">
        <w:rPr>
          <w:rFonts w:cs="Arial"/>
          <w:i/>
          <w:szCs w:val="20"/>
        </w:rPr>
        <w:t>Ibid</w:t>
      </w:r>
      <w:r w:rsidRPr="004222E3">
        <w:rPr>
          <w:rFonts w:cs="Arial"/>
          <w:szCs w:val="20"/>
        </w:rPr>
        <w:t>.</w:t>
      </w:r>
    </w:p>
  </w:footnote>
  <w:footnote w:id="60">
    <w:p w14:paraId="31E2FDC1" w14:textId="77777777" w:rsidR="004865E9" w:rsidRDefault="004865E9" w:rsidP="004112CD">
      <w:pPr>
        <w:pStyle w:val="FootnoteText"/>
      </w:pPr>
      <w:r>
        <w:rPr>
          <w:rStyle w:val="FootnoteReference"/>
        </w:rPr>
        <w:footnoteRef/>
      </w:r>
      <w:r>
        <w:t xml:space="preserve"> See the judgments of Lord Diplock, Lord Bridge (with whom Lord Keith agreed) and Lord Templeman.</w:t>
      </w:r>
    </w:p>
  </w:footnote>
  <w:footnote w:id="61">
    <w:p w14:paraId="6C2DA3DC" w14:textId="09A305CA" w:rsidR="004865E9" w:rsidRDefault="004865E9" w:rsidP="004112CD">
      <w:pPr>
        <w:pStyle w:val="FootnoteText"/>
      </w:pPr>
      <w:r>
        <w:rPr>
          <w:rStyle w:val="FootnoteReference"/>
        </w:rPr>
        <w:footnoteRef/>
      </w:r>
      <w:r>
        <w:t xml:space="preserve"> See </w:t>
      </w:r>
      <w:r w:rsidRPr="004222E3">
        <w:rPr>
          <w:rFonts w:cs="Arial"/>
          <w:i/>
          <w:szCs w:val="20"/>
        </w:rPr>
        <w:t xml:space="preserve">Bolam v </w:t>
      </w:r>
      <w:proofErr w:type="spellStart"/>
      <w:r w:rsidRPr="004222E3">
        <w:rPr>
          <w:rFonts w:cs="Arial"/>
          <w:i/>
          <w:szCs w:val="20"/>
        </w:rPr>
        <w:t>Friern</w:t>
      </w:r>
      <w:proofErr w:type="spellEnd"/>
      <w:r w:rsidRPr="004222E3">
        <w:rPr>
          <w:rFonts w:cs="Arial"/>
          <w:i/>
          <w:szCs w:val="20"/>
        </w:rPr>
        <w:t xml:space="preserve"> Hospital Management Committee</w:t>
      </w:r>
      <w:r w:rsidRPr="004222E3">
        <w:rPr>
          <w:rFonts w:cs="Arial"/>
          <w:szCs w:val="20"/>
          <w:vertAlign w:val="superscript"/>
        </w:rPr>
        <w:t xml:space="preserve"> </w:t>
      </w:r>
      <w:r w:rsidRPr="004222E3">
        <w:rPr>
          <w:rFonts w:cs="Arial"/>
          <w:szCs w:val="20"/>
        </w:rPr>
        <w:t>[1957] 1 WLR 582</w:t>
      </w:r>
      <w:r>
        <w:rPr>
          <w:rFonts w:cs="Arial"/>
          <w:szCs w:val="20"/>
        </w:rPr>
        <w:t xml:space="preserve"> (QB).</w:t>
      </w:r>
    </w:p>
  </w:footnote>
  <w:footnote w:id="62">
    <w:p w14:paraId="2DF42B74" w14:textId="141AC28B"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Montgomery </w:t>
      </w:r>
      <w:r>
        <w:rPr>
          <w:rFonts w:cs="Arial"/>
          <w:szCs w:val="20"/>
        </w:rPr>
        <w:t>(n 5), [86] (</w:t>
      </w:r>
      <w:r w:rsidRPr="004222E3">
        <w:rPr>
          <w:rFonts w:cs="Arial"/>
          <w:szCs w:val="20"/>
        </w:rPr>
        <w:t>Lords Kerr and Reed</w:t>
      </w:r>
      <w:r>
        <w:rPr>
          <w:rFonts w:cs="Arial"/>
          <w:szCs w:val="20"/>
        </w:rPr>
        <w:t>)</w:t>
      </w:r>
      <w:r w:rsidRPr="004222E3">
        <w:rPr>
          <w:rFonts w:cs="Arial"/>
          <w:szCs w:val="20"/>
        </w:rPr>
        <w:t>.</w:t>
      </w:r>
    </w:p>
  </w:footnote>
  <w:footnote w:id="63">
    <w:p w14:paraId="0B33D6CA" w14:textId="67AEB53E" w:rsidR="004865E9" w:rsidRPr="00A306E1" w:rsidRDefault="004865E9" w:rsidP="004112CD">
      <w:pPr>
        <w:pStyle w:val="FootnoteText"/>
        <w:rPr>
          <w:rFonts w:cs="Arial"/>
          <w:szCs w:val="20"/>
        </w:rPr>
      </w:pPr>
      <w:r w:rsidRPr="00A306E1">
        <w:rPr>
          <w:rStyle w:val="FootnoteReference"/>
          <w:rFonts w:cs="Arial"/>
          <w:szCs w:val="20"/>
        </w:rPr>
        <w:footnoteRef/>
      </w:r>
      <w:r w:rsidRPr="00A306E1">
        <w:rPr>
          <w:rFonts w:cs="Arial"/>
          <w:szCs w:val="20"/>
        </w:rPr>
        <w:t xml:space="preserve"> </w:t>
      </w:r>
      <w:r w:rsidRPr="00B52A5A">
        <w:rPr>
          <w:rFonts w:cs="Arial"/>
          <w:i/>
          <w:szCs w:val="20"/>
        </w:rPr>
        <w:t>Ibid</w:t>
      </w:r>
      <w:r>
        <w:rPr>
          <w:rFonts w:cs="Arial"/>
          <w:i/>
          <w:szCs w:val="20"/>
        </w:rPr>
        <w:t>.</w:t>
      </w:r>
      <w:r w:rsidRPr="00A306E1">
        <w:rPr>
          <w:rFonts w:cs="Arial"/>
          <w:szCs w:val="20"/>
        </w:rPr>
        <w:t>, [107].</w:t>
      </w:r>
    </w:p>
  </w:footnote>
  <w:footnote w:id="64">
    <w:p w14:paraId="5EC3A819" w14:textId="6564B877" w:rsidR="004865E9" w:rsidRPr="00A306E1" w:rsidRDefault="004865E9" w:rsidP="004112CD">
      <w:pPr>
        <w:pStyle w:val="FootnoteText"/>
        <w:rPr>
          <w:rFonts w:cs="Arial"/>
          <w:szCs w:val="20"/>
        </w:rPr>
      </w:pPr>
      <w:r w:rsidRPr="00A306E1">
        <w:rPr>
          <w:rStyle w:val="FootnoteReference"/>
          <w:rFonts w:cs="Arial"/>
          <w:szCs w:val="20"/>
        </w:rPr>
        <w:footnoteRef/>
      </w:r>
      <w:r w:rsidRPr="00A306E1">
        <w:rPr>
          <w:rFonts w:cs="Arial"/>
          <w:szCs w:val="20"/>
        </w:rPr>
        <w:t xml:space="preserve"> </w:t>
      </w:r>
      <w:r w:rsidRPr="00B52A5A">
        <w:rPr>
          <w:rFonts w:cs="Arial"/>
          <w:i/>
          <w:szCs w:val="20"/>
        </w:rPr>
        <w:t>Ibid</w:t>
      </w:r>
      <w:r>
        <w:rPr>
          <w:rFonts w:cs="Arial"/>
          <w:szCs w:val="20"/>
        </w:rPr>
        <w:t>., [87] (Lord Kerr and Reed).</w:t>
      </w:r>
    </w:p>
  </w:footnote>
  <w:footnote w:id="65">
    <w:p w14:paraId="1314A113" w14:textId="1BDB5BEC"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proofErr w:type="spellStart"/>
      <w:r w:rsidRPr="004222E3">
        <w:rPr>
          <w:rFonts w:cs="Arial"/>
          <w:i/>
          <w:szCs w:val="20"/>
        </w:rPr>
        <w:t>Hii</w:t>
      </w:r>
      <w:proofErr w:type="spellEnd"/>
      <w:r w:rsidRPr="004222E3">
        <w:rPr>
          <w:rFonts w:cs="Arial"/>
          <w:i/>
          <w:szCs w:val="20"/>
        </w:rPr>
        <w:t xml:space="preserve"> </w:t>
      </w:r>
      <w:proofErr w:type="spellStart"/>
      <w:r w:rsidRPr="004222E3">
        <w:rPr>
          <w:rFonts w:cs="Arial"/>
          <w:i/>
          <w:szCs w:val="20"/>
        </w:rPr>
        <w:t>Chii</w:t>
      </w:r>
      <w:proofErr w:type="spellEnd"/>
      <w:r w:rsidRPr="004222E3">
        <w:rPr>
          <w:rFonts w:cs="Arial"/>
          <w:i/>
          <w:szCs w:val="20"/>
        </w:rPr>
        <w:t xml:space="preserve"> </w:t>
      </w:r>
      <w:proofErr w:type="spellStart"/>
      <w:r w:rsidRPr="004222E3">
        <w:rPr>
          <w:rFonts w:cs="Arial"/>
          <w:i/>
          <w:szCs w:val="20"/>
        </w:rPr>
        <w:t>Kok</w:t>
      </w:r>
      <w:proofErr w:type="spellEnd"/>
      <w:r w:rsidRPr="004222E3">
        <w:rPr>
          <w:rFonts w:cs="Arial"/>
          <w:i/>
          <w:szCs w:val="20"/>
        </w:rPr>
        <w:t xml:space="preserve"> v </w:t>
      </w:r>
      <w:proofErr w:type="spellStart"/>
      <w:r w:rsidRPr="004222E3">
        <w:rPr>
          <w:rFonts w:cs="Arial"/>
          <w:i/>
          <w:szCs w:val="20"/>
        </w:rPr>
        <w:t>Ooi</w:t>
      </w:r>
      <w:proofErr w:type="spellEnd"/>
      <w:r w:rsidRPr="004222E3">
        <w:rPr>
          <w:rFonts w:cs="Arial"/>
          <w:i/>
          <w:szCs w:val="20"/>
        </w:rPr>
        <w:t xml:space="preserve"> Peng </w:t>
      </w:r>
      <w:proofErr w:type="spellStart"/>
      <w:r w:rsidRPr="004222E3">
        <w:rPr>
          <w:rFonts w:cs="Arial"/>
          <w:i/>
          <w:szCs w:val="20"/>
        </w:rPr>
        <w:t>Jin</w:t>
      </w:r>
      <w:proofErr w:type="spellEnd"/>
      <w:r w:rsidRPr="004222E3">
        <w:rPr>
          <w:rFonts w:cs="Arial"/>
          <w:i/>
          <w:szCs w:val="20"/>
        </w:rPr>
        <w:t xml:space="preserve"> London Lucien</w:t>
      </w:r>
      <w:r>
        <w:rPr>
          <w:rFonts w:cs="Arial"/>
          <w:szCs w:val="20"/>
        </w:rPr>
        <w:t xml:space="preserve"> [2017] SGCA 38</w:t>
      </w:r>
      <w:r w:rsidR="00B72C83">
        <w:rPr>
          <w:rFonts w:cs="Arial"/>
          <w:szCs w:val="20"/>
        </w:rPr>
        <w:t>,</w:t>
      </w:r>
      <w:r>
        <w:rPr>
          <w:rFonts w:cs="Arial"/>
          <w:szCs w:val="20"/>
        </w:rPr>
        <w:t>[120] (</w:t>
      </w:r>
      <w:r w:rsidRPr="004222E3">
        <w:rPr>
          <w:rFonts w:cs="Arial"/>
          <w:szCs w:val="20"/>
        </w:rPr>
        <w:t>Menon C</w:t>
      </w:r>
      <w:r w:rsidR="00B72C83">
        <w:rPr>
          <w:rFonts w:cs="Arial"/>
          <w:szCs w:val="20"/>
        </w:rPr>
        <w:t>.</w:t>
      </w:r>
      <w:r w:rsidRPr="004222E3">
        <w:rPr>
          <w:rFonts w:cs="Arial"/>
          <w:szCs w:val="20"/>
        </w:rPr>
        <w:t>J</w:t>
      </w:r>
      <w:r w:rsidR="00B72C83">
        <w:rPr>
          <w:rFonts w:cs="Arial"/>
          <w:szCs w:val="20"/>
        </w:rPr>
        <w:t>.</w:t>
      </w:r>
      <w:r>
        <w:rPr>
          <w:rFonts w:cs="Arial"/>
          <w:szCs w:val="20"/>
        </w:rPr>
        <w:t>)</w:t>
      </w:r>
      <w:r w:rsidRPr="004222E3">
        <w:rPr>
          <w:rFonts w:cs="Arial"/>
          <w:szCs w:val="20"/>
        </w:rPr>
        <w:t xml:space="preserve">. There is some debate about whether the judgment in </w:t>
      </w:r>
      <w:r w:rsidRPr="004222E3">
        <w:rPr>
          <w:rFonts w:cs="Arial"/>
          <w:i/>
          <w:szCs w:val="20"/>
        </w:rPr>
        <w:t xml:space="preserve">Montgomery </w:t>
      </w:r>
      <w:r w:rsidRPr="004222E3">
        <w:rPr>
          <w:rFonts w:cs="Arial"/>
          <w:szCs w:val="20"/>
        </w:rPr>
        <w:t xml:space="preserve">is actually revolutionary or merely an evolution of the patient-friendly decisions following </w:t>
      </w:r>
      <w:proofErr w:type="spellStart"/>
      <w:r w:rsidRPr="004222E3">
        <w:rPr>
          <w:rFonts w:cs="Arial"/>
          <w:i/>
          <w:szCs w:val="20"/>
        </w:rPr>
        <w:t>Sidaway</w:t>
      </w:r>
      <w:proofErr w:type="spellEnd"/>
      <w:r w:rsidRPr="004222E3">
        <w:rPr>
          <w:rFonts w:cs="Arial"/>
          <w:szCs w:val="20"/>
        </w:rPr>
        <w:t>. S</w:t>
      </w:r>
      <w:r>
        <w:rPr>
          <w:rFonts w:cs="Arial"/>
          <w:szCs w:val="20"/>
        </w:rPr>
        <w:t xml:space="preserve">ee R Heywood and J </w:t>
      </w:r>
      <w:proofErr w:type="spellStart"/>
      <w:r>
        <w:rPr>
          <w:rFonts w:cs="Arial"/>
          <w:szCs w:val="20"/>
        </w:rPr>
        <w:t>Miola</w:t>
      </w:r>
      <w:proofErr w:type="spellEnd"/>
      <w:r>
        <w:rPr>
          <w:rFonts w:cs="Arial"/>
          <w:szCs w:val="20"/>
        </w:rPr>
        <w:t>, ‘The Changing Face of Pre-Operative Medical Disclosure: Placing the Patient at the Heart of the M</w:t>
      </w:r>
      <w:r w:rsidRPr="004222E3">
        <w:rPr>
          <w:rFonts w:cs="Arial"/>
          <w:szCs w:val="20"/>
        </w:rPr>
        <w:t xml:space="preserve">atter’ (2017) 133 LQR 296, 298. </w:t>
      </w:r>
    </w:p>
  </w:footnote>
  <w:footnote w:id="66">
    <w:p w14:paraId="19740F26" w14:textId="49622801"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The fact that Canada (</w:t>
      </w:r>
      <w:proofErr w:type="spellStart"/>
      <w:r w:rsidRPr="004222E3">
        <w:rPr>
          <w:rFonts w:cs="Arial"/>
          <w:i/>
          <w:szCs w:val="20"/>
        </w:rPr>
        <w:t>Reibl</w:t>
      </w:r>
      <w:proofErr w:type="spellEnd"/>
      <w:r w:rsidRPr="004222E3">
        <w:rPr>
          <w:rFonts w:cs="Arial"/>
          <w:i/>
          <w:szCs w:val="20"/>
        </w:rPr>
        <w:t xml:space="preserve"> v Hughes</w:t>
      </w:r>
      <w:r w:rsidRPr="004222E3">
        <w:rPr>
          <w:rFonts w:cs="Arial"/>
          <w:szCs w:val="20"/>
        </w:rPr>
        <w:t xml:space="preserve"> [1980] 2 SCR 880</w:t>
      </w:r>
      <w:r>
        <w:rPr>
          <w:rFonts w:cs="Arial"/>
          <w:szCs w:val="20"/>
        </w:rPr>
        <w:t xml:space="preserve"> (SCC)</w:t>
      </w:r>
      <w:r w:rsidRPr="004222E3">
        <w:rPr>
          <w:rFonts w:cs="Arial"/>
          <w:szCs w:val="20"/>
        </w:rPr>
        <w:t>) and Australia (</w:t>
      </w:r>
      <w:r w:rsidRPr="004222E3">
        <w:rPr>
          <w:rFonts w:cs="Arial"/>
          <w:i/>
          <w:szCs w:val="20"/>
        </w:rPr>
        <w:t>Rogers v Whitaker</w:t>
      </w:r>
      <w:r w:rsidRPr="004222E3">
        <w:rPr>
          <w:rFonts w:cs="Arial"/>
          <w:szCs w:val="20"/>
        </w:rPr>
        <w:t xml:space="preserve"> (1992) 175 CLR 479</w:t>
      </w:r>
      <w:r>
        <w:rPr>
          <w:rFonts w:cs="Arial"/>
          <w:szCs w:val="20"/>
        </w:rPr>
        <w:t xml:space="preserve"> (HCA)</w:t>
      </w:r>
      <w:r w:rsidRPr="004222E3">
        <w:rPr>
          <w:rFonts w:cs="Arial"/>
          <w:szCs w:val="20"/>
        </w:rPr>
        <w:t>) had adopted patient-cent</w:t>
      </w:r>
      <w:r>
        <w:rPr>
          <w:rFonts w:cs="Arial"/>
          <w:szCs w:val="20"/>
        </w:rPr>
        <w:t>red</w:t>
      </w:r>
      <w:r w:rsidRPr="004222E3">
        <w:rPr>
          <w:rFonts w:cs="Arial"/>
          <w:szCs w:val="20"/>
        </w:rPr>
        <w:t xml:space="preserve"> approaches to risk disclosure influenced the decision in </w:t>
      </w:r>
      <w:r w:rsidRPr="004222E3">
        <w:rPr>
          <w:rFonts w:cs="Arial"/>
          <w:i/>
          <w:szCs w:val="20"/>
        </w:rPr>
        <w:t>Montgomery</w:t>
      </w:r>
      <w:r>
        <w:rPr>
          <w:rFonts w:cs="Arial"/>
          <w:szCs w:val="20"/>
        </w:rPr>
        <w:t xml:space="preserve"> (n 5), </w:t>
      </w:r>
      <w:r w:rsidRPr="004222E3">
        <w:rPr>
          <w:rFonts w:cs="Arial"/>
          <w:szCs w:val="20"/>
        </w:rPr>
        <w:t>[70]-[73]. Post-</w:t>
      </w:r>
      <w:r w:rsidRPr="004222E3">
        <w:rPr>
          <w:rFonts w:cs="Arial"/>
          <w:i/>
          <w:szCs w:val="20"/>
        </w:rPr>
        <w:t>Montgomery</w:t>
      </w:r>
      <w:r w:rsidRPr="004222E3">
        <w:rPr>
          <w:rFonts w:cs="Arial"/>
          <w:szCs w:val="20"/>
        </w:rPr>
        <w:t xml:space="preserve">, a similar approach was adopted in Singapore in </w:t>
      </w:r>
      <w:proofErr w:type="spellStart"/>
      <w:r w:rsidRPr="004222E3">
        <w:rPr>
          <w:rFonts w:cs="Arial"/>
          <w:i/>
          <w:szCs w:val="20"/>
        </w:rPr>
        <w:t>Hii</w:t>
      </w:r>
      <w:proofErr w:type="spellEnd"/>
      <w:r w:rsidRPr="004222E3">
        <w:rPr>
          <w:rFonts w:cs="Arial"/>
          <w:i/>
          <w:szCs w:val="20"/>
        </w:rPr>
        <w:t xml:space="preserve"> </w:t>
      </w:r>
      <w:proofErr w:type="spellStart"/>
      <w:r w:rsidRPr="004222E3">
        <w:rPr>
          <w:rFonts w:cs="Arial"/>
          <w:i/>
          <w:szCs w:val="20"/>
        </w:rPr>
        <w:t>Chii</w:t>
      </w:r>
      <w:proofErr w:type="spellEnd"/>
      <w:r w:rsidRPr="004222E3">
        <w:rPr>
          <w:rFonts w:cs="Arial"/>
          <w:i/>
          <w:szCs w:val="20"/>
        </w:rPr>
        <w:t xml:space="preserve"> </w:t>
      </w:r>
      <w:proofErr w:type="spellStart"/>
      <w:r w:rsidRPr="004222E3">
        <w:rPr>
          <w:rFonts w:cs="Arial"/>
          <w:i/>
          <w:szCs w:val="20"/>
        </w:rPr>
        <w:t>Kok</w:t>
      </w:r>
      <w:proofErr w:type="spellEnd"/>
      <w:r w:rsidRPr="004222E3">
        <w:rPr>
          <w:rFonts w:cs="Arial"/>
          <w:i/>
          <w:szCs w:val="20"/>
        </w:rPr>
        <w:t xml:space="preserve"> </w:t>
      </w:r>
      <w:r>
        <w:rPr>
          <w:rFonts w:cs="Arial"/>
          <w:szCs w:val="20"/>
        </w:rPr>
        <w:t>(n 6</w:t>
      </w:r>
      <w:r w:rsidR="00B72C83">
        <w:rPr>
          <w:rFonts w:cs="Arial"/>
          <w:szCs w:val="20"/>
        </w:rPr>
        <w:t>5</w:t>
      </w:r>
      <w:r>
        <w:rPr>
          <w:rFonts w:cs="Arial"/>
          <w:szCs w:val="20"/>
        </w:rPr>
        <w:t>)</w:t>
      </w:r>
      <w:r w:rsidRPr="004222E3">
        <w:rPr>
          <w:rFonts w:cs="Arial"/>
          <w:szCs w:val="20"/>
        </w:rPr>
        <w:t>.</w:t>
      </w:r>
    </w:p>
  </w:footnote>
  <w:footnote w:id="67">
    <w:p w14:paraId="1475F5F4" w14:textId="55A57BD7" w:rsidR="004865E9" w:rsidRPr="004222E3" w:rsidRDefault="004865E9" w:rsidP="004112CD">
      <w:pPr>
        <w:pStyle w:val="FootnoteText"/>
        <w:rPr>
          <w:rFonts w:cs="Arial"/>
          <w:szCs w:val="20"/>
        </w:rPr>
      </w:pPr>
      <w:r w:rsidRPr="004222E3">
        <w:rPr>
          <w:rStyle w:val="FootnoteReference"/>
          <w:rFonts w:cs="Arial"/>
          <w:szCs w:val="20"/>
        </w:rPr>
        <w:footnoteRef/>
      </w:r>
      <w:r>
        <w:rPr>
          <w:rFonts w:cs="Arial"/>
          <w:szCs w:val="20"/>
        </w:rPr>
        <w:t xml:space="preserve"> See T Elliot, ‘A Break with the Past? Or More of the S</w:t>
      </w:r>
      <w:r w:rsidRPr="004222E3">
        <w:rPr>
          <w:rFonts w:cs="Arial"/>
          <w:szCs w:val="20"/>
        </w:rPr>
        <w:t xml:space="preserve">ame?’ (2015) </w:t>
      </w:r>
      <w:r>
        <w:rPr>
          <w:rFonts w:cs="Arial"/>
          <w:szCs w:val="20"/>
        </w:rPr>
        <w:t xml:space="preserve">31 PN 190 and Heywood and </w:t>
      </w:r>
      <w:proofErr w:type="spellStart"/>
      <w:r>
        <w:rPr>
          <w:rFonts w:cs="Arial"/>
          <w:szCs w:val="20"/>
        </w:rPr>
        <w:t>Miola</w:t>
      </w:r>
      <w:proofErr w:type="spellEnd"/>
      <w:r>
        <w:rPr>
          <w:rFonts w:cs="Arial"/>
          <w:szCs w:val="20"/>
        </w:rPr>
        <w:t xml:space="preserve"> (n 6</w:t>
      </w:r>
      <w:r w:rsidR="004B7CB4">
        <w:rPr>
          <w:rFonts w:cs="Arial"/>
          <w:szCs w:val="20"/>
        </w:rPr>
        <w:t>5</w:t>
      </w:r>
      <w:r>
        <w:rPr>
          <w:rFonts w:cs="Arial"/>
          <w:szCs w:val="20"/>
        </w:rPr>
        <w:t>)</w:t>
      </w:r>
      <w:r w:rsidRPr="004222E3">
        <w:rPr>
          <w:rFonts w:cs="Arial"/>
          <w:szCs w:val="20"/>
        </w:rPr>
        <w:t>. C</w:t>
      </w:r>
      <w:r>
        <w:rPr>
          <w:rFonts w:cs="Arial"/>
          <w:szCs w:val="20"/>
        </w:rPr>
        <w:t>f.</w:t>
      </w:r>
      <w:r w:rsidRPr="004222E3">
        <w:rPr>
          <w:rFonts w:cs="Arial"/>
          <w:szCs w:val="20"/>
        </w:rPr>
        <w:t xml:space="preserve"> C Hobson, ‘No (,) </w:t>
      </w:r>
      <w:r>
        <w:rPr>
          <w:rFonts w:cs="Arial"/>
          <w:szCs w:val="20"/>
        </w:rPr>
        <w:t>M</w:t>
      </w:r>
      <w:r w:rsidRPr="004222E3">
        <w:rPr>
          <w:rFonts w:cs="Arial"/>
          <w:szCs w:val="20"/>
        </w:rPr>
        <w:t xml:space="preserve">ore </w:t>
      </w:r>
      <w:r w:rsidRPr="004222E3">
        <w:rPr>
          <w:rFonts w:cs="Arial"/>
          <w:i/>
          <w:szCs w:val="20"/>
        </w:rPr>
        <w:t xml:space="preserve">Bolam </w:t>
      </w:r>
      <w:r>
        <w:rPr>
          <w:rFonts w:cs="Arial"/>
          <w:szCs w:val="20"/>
        </w:rPr>
        <w:t>P</w:t>
      </w:r>
      <w:r w:rsidRPr="004222E3">
        <w:rPr>
          <w:rFonts w:cs="Arial"/>
          <w:szCs w:val="20"/>
        </w:rPr>
        <w:t xml:space="preserve">lease: </w:t>
      </w:r>
      <w:r w:rsidRPr="004222E3">
        <w:rPr>
          <w:rFonts w:cs="Arial"/>
          <w:i/>
          <w:szCs w:val="20"/>
        </w:rPr>
        <w:t>Montgomery v Lanarkshire Health Board</w:t>
      </w:r>
      <w:r w:rsidRPr="004222E3">
        <w:rPr>
          <w:rFonts w:cs="Arial"/>
          <w:szCs w:val="20"/>
        </w:rPr>
        <w:t xml:space="preserve">’ (2016) 79 MLR </w:t>
      </w:r>
      <w:r>
        <w:rPr>
          <w:rFonts w:cs="Arial"/>
          <w:szCs w:val="20"/>
        </w:rPr>
        <w:t>488 and J Montgomery, ‘Patient No Longer? What Next in Healthcare L</w:t>
      </w:r>
      <w:r w:rsidRPr="004222E3">
        <w:rPr>
          <w:rFonts w:cs="Arial"/>
          <w:szCs w:val="20"/>
        </w:rPr>
        <w:t>aw?’ (2017) 70 CLP 73.</w:t>
      </w:r>
    </w:p>
  </w:footnote>
  <w:footnote w:id="68">
    <w:p w14:paraId="0C69609E" w14:textId="2039906A"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Montgomery</w:t>
      </w:r>
      <w:r>
        <w:rPr>
          <w:rFonts w:cs="Arial"/>
          <w:szCs w:val="20"/>
        </w:rPr>
        <w:t xml:space="preserve"> (n 5),</w:t>
      </w:r>
      <w:r w:rsidRPr="004222E3">
        <w:rPr>
          <w:rFonts w:cs="Arial"/>
          <w:szCs w:val="20"/>
        </w:rPr>
        <w:t xml:space="preserve"> [87]. </w:t>
      </w:r>
    </w:p>
  </w:footnote>
  <w:footnote w:id="69">
    <w:p w14:paraId="2FECD56E" w14:textId="488CB9E7"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An NHS Foundation Trust Hospital v P</w:t>
      </w:r>
      <w:r>
        <w:rPr>
          <w:rFonts w:cs="Arial"/>
          <w:szCs w:val="20"/>
        </w:rPr>
        <w:t xml:space="preserve"> (n </w:t>
      </w:r>
      <w:r w:rsidR="00012C09">
        <w:rPr>
          <w:rFonts w:cs="Arial"/>
          <w:szCs w:val="20"/>
        </w:rPr>
        <w:t>40</w:t>
      </w:r>
      <w:r>
        <w:rPr>
          <w:rFonts w:cs="Arial"/>
          <w:szCs w:val="20"/>
        </w:rPr>
        <w:t>).</w:t>
      </w:r>
    </w:p>
  </w:footnote>
  <w:footnote w:id="70">
    <w:p w14:paraId="163FA821" w14:textId="3EFD5379" w:rsidR="004865E9" w:rsidRDefault="004865E9" w:rsidP="00A10322">
      <w:pPr>
        <w:pStyle w:val="FootnoteText"/>
      </w:pPr>
      <w:r>
        <w:rPr>
          <w:rStyle w:val="FootnoteReference"/>
        </w:rPr>
        <w:footnoteRef/>
      </w:r>
      <w:r>
        <w:t xml:space="preserve"> </w:t>
      </w:r>
      <w:r w:rsidRPr="0055216B">
        <w:rPr>
          <w:i/>
        </w:rPr>
        <w:t>ZH (Tanzania) v Secretary of State for the Home Department</w:t>
      </w:r>
      <w:r>
        <w:t xml:space="preserve"> [2011] UKSC 4, [45] (Lord Kerr).</w:t>
      </w:r>
    </w:p>
  </w:footnote>
  <w:footnote w:id="71">
    <w:p w14:paraId="2BC49C80" w14:textId="59C4A1BE" w:rsidR="004865E9" w:rsidRDefault="004865E9" w:rsidP="004112CD">
      <w:pPr>
        <w:pStyle w:val="FootnoteText"/>
      </w:pPr>
      <w:r>
        <w:rPr>
          <w:rStyle w:val="FootnoteReference"/>
        </w:rPr>
        <w:footnoteRef/>
      </w:r>
      <w:r>
        <w:t xml:space="preserve"> </w:t>
      </w:r>
      <w:r>
        <w:rPr>
          <w:i/>
        </w:rPr>
        <w:t xml:space="preserve">Re </w:t>
      </w:r>
      <w:r w:rsidRPr="00CB76F1">
        <w:rPr>
          <w:i/>
        </w:rPr>
        <w:t>W</w:t>
      </w:r>
      <w:r>
        <w:rPr>
          <w:rFonts w:cs="Arial"/>
          <w:szCs w:val="20"/>
        </w:rPr>
        <w:t xml:space="preserve"> (n 3</w:t>
      </w:r>
      <w:r w:rsidR="00FA5EFD">
        <w:rPr>
          <w:rFonts w:cs="Arial"/>
          <w:szCs w:val="20"/>
        </w:rPr>
        <w:t>6</w:t>
      </w:r>
      <w:r>
        <w:rPr>
          <w:rFonts w:cs="Arial"/>
          <w:szCs w:val="20"/>
        </w:rPr>
        <w:t>),</w:t>
      </w:r>
      <w:r>
        <w:rPr>
          <w:i/>
        </w:rPr>
        <w:t xml:space="preserve"> </w:t>
      </w:r>
      <w:r w:rsidRPr="00CB76F1">
        <w:rPr>
          <w:rFonts w:cs="Arial"/>
          <w:szCs w:val="20"/>
        </w:rPr>
        <w:t>78</w:t>
      </w:r>
      <w:r>
        <w:rPr>
          <w:rFonts w:cs="Arial"/>
          <w:szCs w:val="20"/>
        </w:rPr>
        <w:t xml:space="preserve"> (</w:t>
      </w:r>
      <w:r w:rsidRPr="00E62E60">
        <w:rPr>
          <w:rFonts w:cs="Arial"/>
          <w:szCs w:val="20"/>
        </w:rPr>
        <w:t>Lord Donaldson M</w:t>
      </w:r>
      <w:r>
        <w:rPr>
          <w:rFonts w:cs="Arial"/>
          <w:szCs w:val="20"/>
        </w:rPr>
        <w:t>.</w:t>
      </w:r>
      <w:r w:rsidRPr="00E62E60">
        <w:rPr>
          <w:rFonts w:cs="Arial"/>
          <w:szCs w:val="20"/>
        </w:rPr>
        <w:t>R.</w:t>
      </w:r>
      <w:r>
        <w:rPr>
          <w:rFonts w:cs="Arial"/>
          <w:szCs w:val="20"/>
        </w:rPr>
        <w:t>).</w:t>
      </w:r>
    </w:p>
  </w:footnote>
  <w:footnote w:id="72">
    <w:p w14:paraId="30B4B58A" w14:textId="677DD328" w:rsidR="004865E9" w:rsidRPr="004222E3" w:rsidRDefault="004865E9" w:rsidP="004112CD">
      <w:pPr>
        <w:pStyle w:val="FootnoteText"/>
        <w:rPr>
          <w:rFonts w:cs="Arial"/>
          <w:szCs w:val="20"/>
        </w:rPr>
      </w:pPr>
      <w:r w:rsidRPr="004222E3">
        <w:rPr>
          <w:rStyle w:val="FootnoteReference"/>
          <w:rFonts w:cs="Arial"/>
          <w:szCs w:val="20"/>
        </w:rPr>
        <w:footnoteRef/>
      </w:r>
      <w:r>
        <w:rPr>
          <w:rFonts w:cs="Arial"/>
          <w:szCs w:val="20"/>
        </w:rPr>
        <w:t xml:space="preserve"> See </w:t>
      </w:r>
      <w:r w:rsidRPr="004222E3">
        <w:rPr>
          <w:rFonts w:cs="Arial"/>
          <w:szCs w:val="20"/>
        </w:rPr>
        <w:t xml:space="preserve">Cave, ‘Goodbye </w:t>
      </w:r>
      <w:r w:rsidRPr="004222E3">
        <w:rPr>
          <w:rFonts w:cs="Arial"/>
          <w:i/>
          <w:szCs w:val="20"/>
        </w:rPr>
        <w:t>Gillick</w:t>
      </w:r>
      <w:r w:rsidRPr="004222E3">
        <w:rPr>
          <w:rFonts w:cs="Arial"/>
          <w:szCs w:val="20"/>
        </w:rPr>
        <w:t>?</w:t>
      </w:r>
      <w:r>
        <w:rPr>
          <w:rFonts w:cs="Arial"/>
          <w:szCs w:val="20"/>
        </w:rPr>
        <w:t>’</w:t>
      </w:r>
      <w:r w:rsidRPr="004222E3">
        <w:rPr>
          <w:rFonts w:cs="Arial"/>
          <w:szCs w:val="20"/>
        </w:rPr>
        <w:t xml:space="preserve"> </w:t>
      </w:r>
      <w:r>
        <w:rPr>
          <w:rFonts w:cs="Arial"/>
          <w:szCs w:val="20"/>
        </w:rPr>
        <w:t>(n 5</w:t>
      </w:r>
      <w:r w:rsidR="004B7CB4">
        <w:rPr>
          <w:rFonts w:cs="Arial"/>
          <w:szCs w:val="20"/>
        </w:rPr>
        <w:t>6</w:t>
      </w:r>
      <w:r>
        <w:rPr>
          <w:rFonts w:cs="Arial"/>
          <w:szCs w:val="20"/>
        </w:rPr>
        <w:t>)</w:t>
      </w:r>
      <w:r w:rsidRPr="004222E3">
        <w:rPr>
          <w:rFonts w:cs="Arial"/>
          <w:szCs w:val="20"/>
        </w:rPr>
        <w:t>.</w:t>
      </w:r>
    </w:p>
  </w:footnote>
  <w:footnote w:id="73">
    <w:p w14:paraId="1FA53D36" w14:textId="2E2CB5CD"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See </w:t>
      </w:r>
      <w:r>
        <w:rPr>
          <w:rFonts w:cs="Arial"/>
          <w:szCs w:val="20"/>
        </w:rPr>
        <w:t xml:space="preserve">e.g. </w:t>
      </w:r>
      <w:r w:rsidRPr="004222E3">
        <w:rPr>
          <w:rFonts w:cs="Arial"/>
          <w:i/>
          <w:szCs w:val="20"/>
        </w:rPr>
        <w:t>Wilsher v Essex AHA</w:t>
      </w:r>
      <w:r w:rsidRPr="004222E3">
        <w:rPr>
          <w:rFonts w:cs="Arial"/>
          <w:szCs w:val="20"/>
        </w:rPr>
        <w:t xml:space="preserve"> [1988] AC 1074</w:t>
      </w:r>
      <w:r>
        <w:rPr>
          <w:rFonts w:cs="Arial"/>
          <w:szCs w:val="20"/>
        </w:rPr>
        <w:t xml:space="preserve"> (HL)</w:t>
      </w:r>
      <w:r w:rsidRPr="004222E3">
        <w:rPr>
          <w:rFonts w:cs="Arial"/>
          <w:szCs w:val="20"/>
        </w:rPr>
        <w:t xml:space="preserve">; </w:t>
      </w:r>
      <w:r w:rsidRPr="004222E3">
        <w:rPr>
          <w:rFonts w:cs="Arial"/>
          <w:i/>
          <w:szCs w:val="20"/>
        </w:rPr>
        <w:t>P</w:t>
      </w:r>
      <w:r w:rsidRPr="004222E3">
        <w:rPr>
          <w:rFonts w:cs="Arial"/>
          <w:bCs/>
          <w:i/>
          <w:szCs w:val="20"/>
        </w:rPr>
        <w:t>helps v</w:t>
      </w:r>
      <w:r w:rsidRPr="004222E3">
        <w:rPr>
          <w:rFonts w:cs="Arial"/>
          <w:i/>
          <w:szCs w:val="20"/>
        </w:rPr>
        <w:t xml:space="preserve"> Hillingdon LBC </w:t>
      </w:r>
      <w:r w:rsidRPr="004222E3">
        <w:rPr>
          <w:rFonts w:cs="Arial"/>
          <w:szCs w:val="20"/>
        </w:rPr>
        <w:t>[2001] 2 AC 619</w:t>
      </w:r>
      <w:r>
        <w:rPr>
          <w:rFonts w:cs="Arial"/>
          <w:szCs w:val="20"/>
        </w:rPr>
        <w:t xml:space="preserve"> (HL)</w:t>
      </w:r>
      <w:r w:rsidRPr="004222E3">
        <w:rPr>
          <w:rFonts w:cs="Arial"/>
          <w:szCs w:val="20"/>
        </w:rPr>
        <w:t>.</w:t>
      </w:r>
    </w:p>
  </w:footnote>
  <w:footnote w:id="74">
    <w:p w14:paraId="2129FE6F" w14:textId="611A9D44"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proofErr w:type="spellStart"/>
      <w:r w:rsidRPr="004222E3">
        <w:rPr>
          <w:rFonts w:eastAsia="Times New Roman" w:cs="Arial"/>
          <w:i/>
          <w:szCs w:val="20"/>
          <w:shd w:val="clear" w:color="auto" w:fill="FFFFFF"/>
          <w:lang w:eastAsia="en-GB"/>
        </w:rPr>
        <w:t>Sidaway</w:t>
      </w:r>
      <w:proofErr w:type="spellEnd"/>
      <w:r w:rsidRPr="004222E3">
        <w:rPr>
          <w:rFonts w:eastAsia="Times New Roman" w:cs="Arial"/>
          <w:szCs w:val="20"/>
          <w:shd w:val="clear" w:color="auto" w:fill="FFFFFF"/>
          <w:lang w:eastAsia="en-GB"/>
        </w:rPr>
        <w:t xml:space="preserve"> </w:t>
      </w:r>
      <w:r>
        <w:rPr>
          <w:rFonts w:cs="Arial"/>
          <w:bCs/>
          <w:szCs w:val="20"/>
        </w:rPr>
        <w:t>(n 5</w:t>
      </w:r>
      <w:r w:rsidR="00012C09">
        <w:rPr>
          <w:rFonts w:cs="Arial"/>
          <w:bCs/>
          <w:szCs w:val="20"/>
        </w:rPr>
        <w:t>8</w:t>
      </w:r>
      <w:r>
        <w:rPr>
          <w:rFonts w:cs="Arial"/>
          <w:bCs/>
          <w:szCs w:val="20"/>
        </w:rPr>
        <w:t xml:space="preserve">), </w:t>
      </w:r>
      <w:r>
        <w:rPr>
          <w:rFonts w:eastAsia="Times New Roman" w:cs="Arial"/>
          <w:szCs w:val="20"/>
          <w:shd w:val="clear" w:color="auto" w:fill="FFFFFF"/>
          <w:lang w:eastAsia="en-GB"/>
        </w:rPr>
        <w:t>881 (</w:t>
      </w:r>
      <w:r w:rsidRPr="004222E3">
        <w:rPr>
          <w:rFonts w:eastAsia="Times New Roman" w:cs="Arial"/>
          <w:szCs w:val="20"/>
          <w:shd w:val="clear" w:color="auto" w:fill="FFFFFF"/>
          <w:lang w:eastAsia="en-GB"/>
        </w:rPr>
        <w:t>Lord Scarman</w:t>
      </w:r>
      <w:r>
        <w:rPr>
          <w:rFonts w:eastAsia="Times New Roman" w:cs="Arial"/>
          <w:szCs w:val="20"/>
          <w:shd w:val="clear" w:color="auto" w:fill="FFFFFF"/>
          <w:lang w:eastAsia="en-GB"/>
        </w:rPr>
        <w:t>)</w:t>
      </w:r>
      <w:r w:rsidRPr="004222E3">
        <w:rPr>
          <w:rFonts w:eastAsia="Times New Roman" w:cs="Arial"/>
          <w:szCs w:val="20"/>
          <w:shd w:val="clear" w:color="auto" w:fill="FFFFFF"/>
          <w:lang w:eastAsia="en-GB"/>
        </w:rPr>
        <w:t>.</w:t>
      </w:r>
    </w:p>
  </w:footnote>
  <w:footnote w:id="75">
    <w:p w14:paraId="6312BC8B" w14:textId="3C90D58D"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See for example </w:t>
      </w:r>
      <w:r w:rsidRPr="004222E3">
        <w:rPr>
          <w:rFonts w:cs="Arial"/>
          <w:i/>
          <w:szCs w:val="20"/>
        </w:rPr>
        <w:t>McFarlane v Tayside Health Board</w:t>
      </w:r>
      <w:r w:rsidRPr="004222E3">
        <w:rPr>
          <w:rFonts w:cs="Arial"/>
          <w:szCs w:val="20"/>
        </w:rPr>
        <w:t xml:space="preserve"> [2000] 2 AC 59</w:t>
      </w:r>
      <w:r>
        <w:rPr>
          <w:rFonts w:cs="Arial"/>
          <w:szCs w:val="20"/>
        </w:rPr>
        <w:t xml:space="preserve"> (HL)</w:t>
      </w:r>
      <w:r w:rsidRPr="004222E3">
        <w:rPr>
          <w:rFonts w:cs="Arial"/>
          <w:szCs w:val="20"/>
        </w:rPr>
        <w:t>.</w:t>
      </w:r>
    </w:p>
  </w:footnote>
  <w:footnote w:id="76">
    <w:p w14:paraId="60D800A1" w14:textId="6A999A7B"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Montgomery</w:t>
      </w:r>
      <w:r>
        <w:rPr>
          <w:rFonts w:cs="Arial"/>
          <w:szCs w:val="20"/>
        </w:rPr>
        <w:t xml:space="preserve"> (n 5), [87] (</w:t>
      </w:r>
      <w:r w:rsidRPr="004222E3">
        <w:rPr>
          <w:rFonts w:cs="Arial"/>
          <w:szCs w:val="20"/>
        </w:rPr>
        <w:t>Lords Reed and Kerr</w:t>
      </w:r>
      <w:r>
        <w:rPr>
          <w:rFonts w:cs="Arial"/>
          <w:szCs w:val="20"/>
        </w:rPr>
        <w:t>)</w:t>
      </w:r>
      <w:r w:rsidRPr="004222E3">
        <w:rPr>
          <w:rFonts w:cs="Arial"/>
          <w:szCs w:val="20"/>
        </w:rPr>
        <w:t>.</w:t>
      </w:r>
    </w:p>
  </w:footnote>
  <w:footnote w:id="77">
    <w:p w14:paraId="31175BB0" w14:textId="64434A48" w:rsidR="004865E9" w:rsidRDefault="004865E9">
      <w:pPr>
        <w:pStyle w:val="FootnoteText"/>
      </w:pPr>
      <w:r>
        <w:rPr>
          <w:rStyle w:val="FootnoteReference"/>
        </w:rPr>
        <w:footnoteRef/>
      </w:r>
      <w:r>
        <w:t xml:space="preserve"> </w:t>
      </w:r>
      <w:r>
        <w:rPr>
          <w:rFonts w:cs="Arial"/>
          <w:i/>
          <w:szCs w:val="20"/>
        </w:rPr>
        <w:t>Ibid.</w:t>
      </w:r>
      <w:r>
        <w:rPr>
          <w:rFonts w:cs="Arial"/>
          <w:szCs w:val="20"/>
        </w:rPr>
        <w:t>,</w:t>
      </w:r>
      <w:r w:rsidRPr="004222E3">
        <w:rPr>
          <w:rFonts w:cs="Arial"/>
          <w:szCs w:val="20"/>
        </w:rPr>
        <w:t xml:space="preserve"> [</w:t>
      </w:r>
      <w:r>
        <w:rPr>
          <w:rFonts w:cs="Arial"/>
          <w:szCs w:val="20"/>
        </w:rPr>
        <w:t>115</w:t>
      </w:r>
      <w:r w:rsidRPr="004222E3">
        <w:rPr>
          <w:rFonts w:cs="Arial"/>
          <w:szCs w:val="20"/>
        </w:rPr>
        <w:t>]</w:t>
      </w:r>
      <w:r>
        <w:rPr>
          <w:rFonts w:cs="Arial"/>
          <w:szCs w:val="20"/>
        </w:rPr>
        <w:t>.</w:t>
      </w:r>
    </w:p>
  </w:footnote>
  <w:footnote w:id="78">
    <w:p w14:paraId="5F110601" w14:textId="55101D95" w:rsidR="004865E9" w:rsidRPr="003276A9" w:rsidRDefault="004865E9">
      <w:pPr>
        <w:pStyle w:val="FootnoteText"/>
        <w:rPr>
          <w:b/>
          <w:bCs/>
          <w:i/>
        </w:rPr>
      </w:pPr>
      <w:r>
        <w:rPr>
          <w:rStyle w:val="FootnoteReference"/>
        </w:rPr>
        <w:footnoteRef/>
      </w:r>
      <w:r>
        <w:t xml:space="preserve"> </w:t>
      </w:r>
      <w:r w:rsidRPr="004222E3">
        <w:rPr>
          <w:rFonts w:cs="Arial"/>
          <w:i/>
          <w:szCs w:val="20"/>
        </w:rPr>
        <w:t xml:space="preserve">Bolam </w:t>
      </w:r>
      <w:r w:rsidRPr="00550693">
        <w:rPr>
          <w:rFonts w:cs="Arial"/>
          <w:szCs w:val="20"/>
        </w:rPr>
        <w:t xml:space="preserve">(n </w:t>
      </w:r>
      <w:r w:rsidR="00012C09">
        <w:rPr>
          <w:rFonts w:cs="Arial"/>
          <w:szCs w:val="20"/>
        </w:rPr>
        <w:t>61</w:t>
      </w:r>
      <w:r w:rsidRPr="00550693">
        <w:rPr>
          <w:rFonts w:cs="Arial"/>
          <w:szCs w:val="20"/>
        </w:rPr>
        <w:t>),</w:t>
      </w:r>
      <w:r w:rsidRPr="00550693">
        <w:rPr>
          <w:bCs/>
        </w:rPr>
        <w:t xml:space="preserve"> </w:t>
      </w:r>
      <w:r>
        <w:rPr>
          <w:bCs/>
        </w:rPr>
        <w:t>587 (McNair J.).</w:t>
      </w:r>
    </w:p>
  </w:footnote>
  <w:footnote w:id="79">
    <w:p w14:paraId="5F27D2C3" w14:textId="2C60DE06"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Smith v Barking, Havering and Brentwood HA</w:t>
      </w:r>
      <w:r w:rsidRPr="004222E3">
        <w:rPr>
          <w:rFonts w:cs="Arial"/>
          <w:szCs w:val="20"/>
        </w:rPr>
        <w:t xml:space="preserve"> [1994] 5 Med LR 285</w:t>
      </w:r>
      <w:r>
        <w:rPr>
          <w:rFonts w:cs="Arial"/>
          <w:szCs w:val="20"/>
        </w:rPr>
        <w:t xml:space="preserve"> (QB)</w:t>
      </w:r>
      <w:r w:rsidRPr="004222E3">
        <w:rPr>
          <w:rFonts w:cs="Arial"/>
          <w:szCs w:val="20"/>
        </w:rPr>
        <w:t xml:space="preserve">. See also </w:t>
      </w:r>
      <w:r>
        <w:rPr>
          <w:rFonts w:cs="Arial"/>
          <w:szCs w:val="20"/>
        </w:rPr>
        <w:t xml:space="preserve">Turton, </w:t>
      </w:r>
      <w:r w:rsidR="00707CDF">
        <w:rPr>
          <w:rFonts w:cs="Arial"/>
          <w:szCs w:val="20"/>
        </w:rPr>
        <w:t xml:space="preserve">(n </w:t>
      </w:r>
      <w:r w:rsidR="00594906">
        <w:rPr>
          <w:rFonts w:cs="Arial"/>
          <w:szCs w:val="20"/>
        </w:rPr>
        <w:t>9</w:t>
      </w:r>
      <w:r w:rsidR="00707CDF">
        <w:rPr>
          <w:rFonts w:cs="Arial"/>
          <w:szCs w:val="20"/>
        </w:rPr>
        <w:t>)</w:t>
      </w:r>
      <w:r w:rsidRPr="004222E3">
        <w:rPr>
          <w:rFonts w:cs="Arial"/>
          <w:szCs w:val="20"/>
        </w:rPr>
        <w:t xml:space="preserve">. </w:t>
      </w:r>
    </w:p>
  </w:footnote>
  <w:footnote w:id="80">
    <w:p w14:paraId="15CD679F" w14:textId="664BBBD6"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iCs/>
          <w:szCs w:val="20"/>
        </w:rPr>
        <w:t>Diamond v Royal Devon Exeter NHS Foundation Trust</w:t>
      </w:r>
      <w:r>
        <w:rPr>
          <w:rFonts w:cs="Arial"/>
          <w:szCs w:val="20"/>
        </w:rPr>
        <w:t xml:space="preserve"> [2017] EWHC 1485 (QB), [47] (</w:t>
      </w:r>
      <w:r w:rsidRPr="004222E3">
        <w:rPr>
          <w:rFonts w:cs="Arial"/>
          <w:szCs w:val="20"/>
        </w:rPr>
        <w:t>Freedman H</w:t>
      </w:r>
      <w:r>
        <w:rPr>
          <w:rFonts w:cs="Arial"/>
          <w:szCs w:val="20"/>
        </w:rPr>
        <w:t>.</w:t>
      </w:r>
      <w:r w:rsidRPr="004222E3">
        <w:rPr>
          <w:rFonts w:cs="Arial"/>
          <w:szCs w:val="20"/>
        </w:rPr>
        <w:t>H</w:t>
      </w:r>
      <w:r>
        <w:rPr>
          <w:rFonts w:cs="Arial"/>
          <w:szCs w:val="20"/>
        </w:rPr>
        <w:t>.</w:t>
      </w:r>
      <w:r w:rsidRPr="004222E3">
        <w:rPr>
          <w:rFonts w:cs="Arial"/>
          <w:szCs w:val="20"/>
        </w:rPr>
        <w:t>J.</w:t>
      </w:r>
      <w:r>
        <w:rPr>
          <w:rFonts w:cs="Arial"/>
          <w:szCs w:val="20"/>
        </w:rPr>
        <w:t>).</w:t>
      </w:r>
      <w:r w:rsidRPr="004222E3">
        <w:rPr>
          <w:rFonts w:cs="Arial"/>
          <w:szCs w:val="20"/>
        </w:rPr>
        <w:t xml:space="preserve"> Indeed, recent cases on causation could be regarded as more conservative than the patient-</w:t>
      </w:r>
      <w:r>
        <w:rPr>
          <w:rFonts w:cs="Arial"/>
          <w:szCs w:val="20"/>
        </w:rPr>
        <w:t>centr</w:t>
      </w:r>
      <w:r w:rsidRPr="004222E3">
        <w:rPr>
          <w:rFonts w:cs="Arial"/>
          <w:szCs w:val="20"/>
        </w:rPr>
        <w:t>ed approach</w:t>
      </w:r>
      <w:r>
        <w:rPr>
          <w:rFonts w:cs="Arial"/>
          <w:szCs w:val="20"/>
        </w:rPr>
        <w:t xml:space="preserve"> to breach of duty</w:t>
      </w:r>
      <w:r w:rsidRPr="004222E3">
        <w:rPr>
          <w:rFonts w:cs="Arial"/>
          <w:szCs w:val="20"/>
        </w:rPr>
        <w:t xml:space="preserve"> taken in </w:t>
      </w:r>
      <w:r w:rsidRPr="004222E3">
        <w:rPr>
          <w:rFonts w:cs="Arial"/>
          <w:i/>
          <w:szCs w:val="20"/>
        </w:rPr>
        <w:t>Montgomery</w:t>
      </w:r>
      <w:r w:rsidRPr="004222E3">
        <w:rPr>
          <w:rFonts w:cs="Arial"/>
          <w:szCs w:val="20"/>
        </w:rPr>
        <w:t xml:space="preserve">. See </w:t>
      </w:r>
      <w:proofErr w:type="spellStart"/>
      <w:r w:rsidRPr="004222E3">
        <w:rPr>
          <w:rFonts w:eastAsiaTheme="minorEastAsia" w:cs="Arial"/>
          <w:i/>
          <w:iCs/>
          <w:szCs w:val="20"/>
        </w:rPr>
        <w:t>Duce</w:t>
      </w:r>
      <w:proofErr w:type="spellEnd"/>
      <w:r w:rsidRPr="004222E3">
        <w:rPr>
          <w:rFonts w:eastAsiaTheme="minorEastAsia" w:cs="Arial"/>
          <w:i/>
          <w:iCs/>
          <w:szCs w:val="20"/>
        </w:rPr>
        <w:t xml:space="preserve"> </w:t>
      </w:r>
      <w:r>
        <w:rPr>
          <w:rFonts w:eastAsiaTheme="minorEastAsia" w:cs="Arial"/>
          <w:iCs/>
          <w:szCs w:val="20"/>
        </w:rPr>
        <w:t xml:space="preserve">(n </w:t>
      </w:r>
      <w:r w:rsidR="00B72C83">
        <w:rPr>
          <w:rFonts w:eastAsiaTheme="minorEastAsia" w:cs="Arial"/>
          <w:iCs/>
          <w:szCs w:val="20"/>
        </w:rPr>
        <w:t>11</w:t>
      </w:r>
      <w:r>
        <w:rPr>
          <w:rFonts w:eastAsiaTheme="minorEastAsia" w:cs="Arial"/>
          <w:iCs/>
          <w:szCs w:val="20"/>
        </w:rPr>
        <w:t>)</w:t>
      </w:r>
      <w:r w:rsidRPr="004222E3">
        <w:rPr>
          <w:rFonts w:cs="Arial"/>
          <w:szCs w:val="20"/>
        </w:rPr>
        <w:t xml:space="preserve">, </w:t>
      </w:r>
      <w:proofErr w:type="spellStart"/>
      <w:r w:rsidRPr="004222E3">
        <w:rPr>
          <w:rFonts w:cs="Arial"/>
          <w:i/>
          <w:szCs w:val="20"/>
        </w:rPr>
        <w:t>Correia</w:t>
      </w:r>
      <w:proofErr w:type="spellEnd"/>
      <w:r w:rsidRPr="004222E3">
        <w:rPr>
          <w:rFonts w:cs="Arial"/>
          <w:i/>
          <w:szCs w:val="20"/>
        </w:rPr>
        <w:t xml:space="preserve"> v University Hospital of North Staffordshire NHS Trust</w:t>
      </w:r>
      <w:r w:rsidRPr="004222E3">
        <w:rPr>
          <w:rFonts w:cs="Arial"/>
          <w:szCs w:val="20"/>
        </w:rPr>
        <w:t xml:space="preserve"> [2017] EWCA </w:t>
      </w:r>
      <w:proofErr w:type="spellStart"/>
      <w:r w:rsidRPr="004222E3">
        <w:rPr>
          <w:rFonts w:cs="Arial"/>
          <w:szCs w:val="20"/>
        </w:rPr>
        <w:t>Civ</w:t>
      </w:r>
      <w:proofErr w:type="spellEnd"/>
      <w:r w:rsidRPr="004222E3">
        <w:rPr>
          <w:rFonts w:cs="Arial"/>
          <w:szCs w:val="20"/>
        </w:rPr>
        <w:t xml:space="preserve"> 356; </w:t>
      </w:r>
      <w:r w:rsidRPr="004222E3">
        <w:rPr>
          <w:rFonts w:cs="Arial"/>
          <w:i/>
          <w:szCs w:val="20"/>
        </w:rPr>
        <w:t xml:space="preserve">MC &amp; JC v Birmingham Women's NHS Foundation Trust </w:t>
      </w:r>
      <w:r w:rsidRPr="004222E3">
        <w:rPr>
          <w:rFonts w:cs="Arial"/>
          <w:szCs w:val="20"/>
        </w:rPr>
        <w:t>[2016] EWHC 1334</w:t>
      </w:r>
      <w:r>
        <w:rPr>
          <w:rFonts w:cs="Arial"/>
          <w:szCs w:val="20"/>
        </w:rPr>
        <w:t xml:space="preserve"> (QB)</w:t>
      </w:r>
      <w:r w:rsidRPr="004222E3">
        <w:rPr>
          <w:rFonts w:cs="Arial"/>
          <w:szCs w:val="20"/>
        </w:rPr>
        <w:t xml:space="preserve">; </w:t>
      </w:r>
      <w:r w:rsidRPr="004222E3">
        <w:rPr>
          <w:rFonts w:cs="Arial"/>
          <w:i/>
          <w:szCs w:val="20"/>
        </w:rPr>
        <w:t>Barrett v Sandwell &amp; West Birmingham Hospitals NHS Trust</w:t>
      </w:r>
      <w:r w:rsidRPr="004222E3">
        <w:rPr>
          <w:rFonts w:cs="Arial"/>
          <w:szCs w:val="20"/>
        </w:rPr>
        <w:t xml:space="preserve"> [2015] EWHC 2627</w:t>
      </w:r>
      <w:r>
        <w:rPr>
          <w:rFonts w:cs="Arial"/>
          <w:szCs w:val="20"/>
        </w:rPr>
        <w:t xml:space="preserve"> (QB)</w:t>
      </w:r>
      <w:r w:rsidRPr="004222E3">
        <w:rPr>
          <w:rFonts w:cs="Arial"/>
          <w:szCs w:val="20"/>
        </w:rPr>
        <w:t xml:space="preserve">. </w:t>
      </w:r>
    </w:p>
  </w:footnote>
  <w:footnote w:id="81">
    <w:p w14:paraId="040CFE01" w14:textId="0271F15D"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Chester </w:t>
      </w:r>
      <w:r>
        <w:rPr>
          <w:rFonts w:cs="Arial"/>
          <w:szCs w:val="20"/>
        </w:rPr>
        <w:t>(n 1</w:t>
      </w:r>
      <w:r w:rsidR="004B7CB4">
        <w:rPr>
          <w:rFonts w:cs="Arial"/>
          <w:szCs w:val="20"/>
        </w:rPr>
        <w:t>5</w:t>
      </w:r>
      <w:r>
        <w:rPr>
          <w:rFonts w:cs="Arial"/>
          <w:szCs w:val="20"/>
        </w:rPr>
        <w:t>). See J Stapleton, ‘Occam’s Razor Reveals an O</w:t>
      </w:r>
      <w:r w:rsidRPr="004222E3">
        <w:rPr>
          <w:rFonts w:cs="Arial"/>
          <w:szCs w:val="20"/>
        </w:rPr>
        <w:t>rt</w:t>
      </w:r>
      <w:r>
        <w:rPr>
          <w:rFonts w:cs="Arial"/>
          <w:szCs w:val="20"/>
        </w:rPr>
        <w:t>hodox B</w:t>
      </w:r>
      <w:r w:rsidRPr="004222E3">
        <w:rPr>
          <w:rFonts w:cs="Arial"/>
          <w:szCs w:val="20"/>
        </w:rPr>
        <w:t xml:space="preserve">asis for </w:t>
      </w:r>
      <w:r w:rsidRPr="004222E3">
        <w:rPr>
          <w:rFonts w:cs="Arial"/>
          <w:i/>
          <w:szCs w:val="20"/>
        </w:rPr>
        <w:t>Chester v Afshar</w:t>
      </w:r>
      <w:r w:rsidRPr="004222E3">
        <w:rPr>
          <w:rFonts w:cs="Arial"/>
          <w:szCs w:val="20"/>
        </w:rPr>
        <w:t xml:space="preserve">’ (2006) 122 LQR 426. </w:t>
      </w:r>
    </w:p>
  </w:footnote>
  <w:footnote w:id="82">
    <w:p w14:paraId="01792B88" w14:textId="31B02085" w:rsidR="004865E9" w:rsidRDefault="004865E9" w:rsidP="004112CD">
      <w:pPr>
        <w:pStyle w:val="FootnoteText"/>
      </w:pPr>
      <w:r>
        <w:rPr>
          <w:rStyle w:val="FootnoteReference"/>
        </w:rPr>
        <w:footnoteRef/>
      </w:r>
      <w:r>
        <w:t xml:space="preserve"> This is assuming that the proxy consent would have been obtained at the same time. </w:t>
      </w:r>
    </w:p>
  </w:footnote>
  <w:footnote w:id="83">
    <w:p w14:paraId="69B12D70" w14:textId="6845307C" w:rsidR="004865E9" w:rsidRDefault="004865E9" w:rsidP="004112CD">
      <w:pPr>
        <w:pStyle w:val="FootnoteText"/>
      </w:pPr>
      <w:r>
        <w:rPr>
          <w:rStyle w:val="FootnoteReference"/>
        </w:rPr>
        <w:footnoteRef/>
      </w:r>
      <w:r>
        <w:t xml:space="preserve"> </w:t>
      </w:r>
      <w:r w:rsidRPr="004222E3">
        <w:rPr>
          <w:rFonts w:cs="Arial"/>
          <w:i/>
          <w:szCs w:val="20"/>
        </w:rPr>
        <w:t xml:space="preserve">Chester </w:t>
      </w:r>
      <w:r>
        <w:rPr>
          <w:rFonts w:cs="Arial"/>
          <w:szCs w:val="20"/>
        </w:rPr>
        <w:t>(n 1</w:t>
      </w:r>
      <w:r w:rsidR="004B7CB4">
        <w:rPr>
          <w:rFonts w:cs="Arial"/>
          <w:szCs w:val="20"/>
        </w:rPr>
        <w:t>5</w:t>
      </w:r>
      <w:r>
        <w:rPr>
          <w:rFonts w:cs="Arial"/>
          <w:szCs w:val="20"/>
        </w:rPr>
        <w:t>),</w:t>
      </w:r>
      <w:r>
        <w:t xml:space="preserve"> [24].</w:t>
      </w:r>
    </w:p>
  </w:footnote>
  <w:footnote w:id="84">
    <w:p w14:paraId="4D29112E" w14:textId="4161EBA0" w:rsidR="004865E9" w:rsidRDefault="004865E9" w:rsidP="004112CD">
      <w:pPr>
        <w:pStyle w:val="FootnoteText"/>
      </w:pPr>
      <w:r>
        <w:rPr>
          <w:rStyle w:val="FootnoteReference"/>
        </w:rPr>
        <w:footnoteRef/>
      </w:r>
      <w:r>
        <w:t xml:space="preserve"> A useful summary of the debate can be found in Turton (n </w:t>
      </w:r>
      <w:r w:rsidR="00594906">
        <w:t>9</w:t>
      </w:r>
      <w:r>
        <w:t>) 11</w:t>
      </w:r>
      <w:r w:rsidR="00707CDF">
        <w:t>8</w:t>
      </w:r>
      <w:r>
        <w:t>-1</w:t>
      </w:r>
      <w:r w:rsidR="00707CDF">
        <w:t>119</w:t>
      </w:r>
      <w:r>
        <w:t xml:space="preserve"> and Clark and Nolan (n </w:t>
      </w:r>
      <w:r w:rsidR="00FA5EFD">
        <w:t>30</w:t>
      </w:r>
      <w:r>
        <w:t>).</w:t>
      </w:r>
    </w:p>
  </w:footnote>
  <w:footnote w:id="85">
    <w:p w14:paraId="76B28AF3" w14:textId="7391AB61" w:rsidR="004865E9" w:rsidRDefault="004865E9">
      <w:pPr>
        <w:pStyle w:val="FootnoteText"/>
      </w:pPr>
      <w:r>
        <w:rPr>
          <w:rStyle w:val="FootnoteReference"/>
        </w:rPr>
        <w:footnoteRef/>
      </w:r>
      <w:r>
        <w:t xml:space="preserve"> For a recent advocate of the position that lost autonomy should be recognised as actionable damage see </w:t>
      </w:r>
      <w:r>
        <w:rPr>
          <w:iCs/>
        </w:rPr>
        <w:t xml:space="preserve">T Keren-Paz, </w:t>
      </w:r>
      <w:r w:rsidRPr="001168E0">
        <w:rPr>
          <w:iCs/>
        </w:rPr>
        <w:t>‘</w:t>
      </w:r>
      <w:r w:rsidRPr="00A92E7C">
        <w:rPr>
          <w:bCs/>
          <w:iCs/>
        </w:rPr>
        <w:t xml:space="preserve">Compensating </w:t>
      </w:r>
      <w:r>
        <w:rPr>
          <w:bCs/>
          <w:iCs/>
        </w:rPr>
        <w:t>Injury to A</w:t>
      </w:r>
      <w:r w:rsidRPr="00764A76">
        <w:rPr>
          <w:bCs/>
          <w:iCs/>
        </w:rPr>
        <w:t xml:space="preserve">utonomy in </w:t>
      </w:r>
      <w:r>
        <w:rPr>
          <w:bCs/>
          <w:iCs/>
        </w:rPr>
        <w:t>English Negligence L</w:t>
      </w:r>
      <w:r w:rsidRPr="00764A76">
        <w:rPr>
          <w:bCs/>
          <w:iCs/>
        </w:rPr>
        <w:t>aw</w:t>
      </w:r>
      <w:r w:rsidRPr="00A92E7C">
        <w:rPr>
          <w:bCs/>
          <w:iCs/>
        </w:rPr>
        <w:t xml:space="preserve">: Inconsistent </w:t>
      </w:r>
      <w:r>
        <w:rPr>
          <w:bCs/>
          <w:iCs/>
        </w:rPr>
        <w:t>R</w:t>
      </w:r>
      <w:r w:rsidRPr="00A92E7C">
        <w:rPr>
          <w:bCs/>
          <w:iCs/>
        </w:rPr>
        <w:t>ecognition’</w:t>
      </w:r>
      <w:r>
        <w:rPr>
          <w:bCs/>
          <w:iCs/>
        </w:rPr>
        <w:t xml:space="preserve"> (2018) 26 Med L Rev 585, 592-593. </w:t>
      </w:r>
      <w:r>
        <w:t>For a summary of this position see C Purshouse, ‘Liability for Lost Autonomy in Negligence: Undermining the Coherence of Tort L</w:t>
      </w:r>
      <w:r w:rsidRPr="00065231">
        <w:t>aw?</w:t>
      </w:r>
      <w:r>
        <w:t xml:space="preserve">’ </w:t>
      </w:r>
      <w:r w:rsidRPr="00A92E7C">
        <w:rPr>
          <w:iCs/>
        </w:rPr>
        <w:t xml:space="preserve">(2015) 22 </w:t>
      </w:r>
      <w:r>
        <w:rPr>
          <w:iCs/>
        </w:rPr>
        <w:t xml:space="preserve">Torts LJ 226, </w:t>
      </w:r>
      <w:proofErr w:type="spellStart"/>
      <w:r>
        <w:rPr>
          <w:iCs/>
        </w:rPr>
        <w:t>fn</w:t>
      </w:r>
      <w:proofErr w:type="spellEnd"/>
      <w:r>
        <w:rPr>
          <w:iCs/>
        </w:rPr>
        <w:t xml:space="preserve"> 45 and ‘Autonomy, Affinity and the Assessment of Damages: </w:t>
      </w:r>
      <w:r w:rsidRPr="00A92E7C">
        <w:rPr>
          <w:i/>
          <w:iCs/>
        </w:rPr>
        <w:t>ACB v Thomson Medical Pte Ltd</w:t>
      </w:r>
      <w:r>
        <w:rPr>
          <w:iCs/>
        </w:rPr>
        <w:t xml:space="preserve"> [2017] SGCA 20 and </w:t>
      </w:r>
      <w:r w:rsidRPr="00A92E7C">
        <w:rPr>
          <w:i/>
          <w:iCs/>
        </w:rPr>
        <w:t>Shaw v Kovak</w:t>
      </w:r>
      <w:r>
        <w:rPr>
          <w:iCs/>
        </w:rPr>
        <w:t xml:space="preserve"> [2017] EWCA</w:t>
      </w:r>
      <w:r w:rsidRPr="00D815AD">
        <w:rPr>
          <w:iCs/>
        </w:rPr>
        <w:t xml:space="preserve"> </w:t>
      </w:r>
      <w:proofErr w:type="spellStart"/>
      <w:r w:rsidRPr="00D815AD">
        <w:rPr>
          <w:iCs/>
        </w:rPr>
        <w:t>Civ</w:t>
      </w:r>
      <w:proofErr w:type="spellEnd"/>
      <w:r w:rsidRPr="00D815AD">
        <w:rPr>
          <w:iCs/>
        </w:rPr>
        <w:t xml:space="preserve"> 1028</w:t>
      </w:r>
      <w:r>
        <w:rPr>
          <w:iCs/>
        </w:rPr>
        <w:t xml:space="preserve">’ (2018) 26 Med L Rev 675, </w:t>
      </w:r>
      <w:proofErr w:type="spellStart"/>
      <w:r>
        <w:rPr>
          <w:iCs/>
        </w:rPr>
        <w:t>fn</w:t>
      </w:r>
      <w:proofErr w:type="spellEnd"/>
      <w:r>
        <w:rPr>
          <w:iCs/>
        </w:rPr>
        <w:t xml:space="preserve"> 1. </w:t>
      </w:r>
    </w:p>
  </w:footnote>
  <w:footnote w:id="86">
    <w:p w14:paraId="4C1E2174" w14:textId="64993D27" w:rsidR="004865E9" w:rsidRPr="00A92E7C" w:rsidRDefault="004865E9" w:rsidP="00DC1449">
      <w:pPr>
        <w:pStyle w:val="FootnoteText"/>
        <w:rPr>
          <w:b/>
          <w:bCs/>
          <w:iCs/>
        </w:rPr>
      </w:pPr>
      <w:r>
        <w:rPr>
          <w:rStyle w:val="FootnoteReference"/>
        </w:rPr>
        <w:footnoteRef/>
      </w:r>
      <w:r>
        <w:t xml:space="preserve"> See </w:t>
      </w:r>
      <w:r w:rsidRPr="000205F0">
        <w:rPr>
          <w:i/>
          <w:iCs/>
        </w:rPr>
        <w:t>Shaw v Kovak</w:t>
      </w:r>
      <w:r>
        <w:rPr>
          <w:iCs/>
        </w:rPr>
        <w:t xml:space="preserve"> [2017] EWCA</w:t>
      </w:r>
      <w:r w:rsidRPr="00D815AD">
        <w:rPr>
          <w:iCs/>
        </w:rPr>
        <w:t xml:space="preserve"> </w:t>
      </w:r>
      <w:proofErr w:type="spellStart"/>
      <w:r w:rsidRPr="00D815AD">
        <w:rPr>
          <w:iCs/>
        </w:rPr>
        <w:t>Civ</w:t>
      </w:r>
      <w:proofErr w:type="spellEnd"/>
      <w:r w:rsidRPr="00D815AD">
        <w:rPr>
          <w:iCs/>
        </w:rPr>
        <w:t xml:space="preserve"> 1028</w:t>
      </w:r>
      <w:r>
        <w:rPr>
          <w:iCs/>
        </w:rPr>
        <w:t xml:space="preserve"> and </w:t>
      </w:r>
      <w:r w:rsidRPr="000205F0">
        <w:rPr>
          <w:i/>
          <w:iCs/>
        </w:rPr>
        <w:t>ACB v Thomson Medical Pte Ltd</w:t>
      </w:r>
      <w:r>
        <w:rPr>
          <w:iCs/>
        </w:rPr>
        <w:t xml:space="preserve"> [2017] SGCA 20 respectively. The same conclusion was also reached in </w:t>
      </w:r>
      <w:r w:rsidRPr="00A92E7C">
        <w:rPr>
          <w:bCs/>
          <w:i/>
          <w:iCs/>
        </w:rPr>
        <w:t>Diamond</w:t>
      </w:r>
      <w:r>
        <w:rPr>
          <w:bCs/>
          <w:iCs/>
        </w:rPr>
        <w:t xml:space="preserve"> (n </w:t>
      </w:r>
      <w:r w:rsidR="00FA5EFD">
        <w:rPr>
          <w:bCs/>
          <w:iCs/>
        </w:rPr>
        <w:t>80</w:t>
      </w:r>
      <w:r>
        <w:rPr>
          <w:bCs/>
          <w:iCs/>
        </w:rPr>
        <w:t>).</w:t>
      </w:r>
    </w:p>
  </w:footnote>
  <w:footnote w:id="87">
    <w:p w14:paraId="428A7EE3" w14:textId="65CBEDD0" w:rsidR="004865E9" w:rsidRPr="00755C6D" w:rsidRDefault="004865E9" w:rsidP="00DC1449">
      <w:pPr>
        <w:pStyle w:val="FootnoteText"/>
        <w:rPr>
          <w:bCs/>
        </w:rPr>
      </w:pPr>
      <w:r>
        <w:rPr>
          <w:rStyle w:val="FootnoteReference"/>
        </w:rPr>
        <w:footnoteRef/>
      </w:r>
      <w:r>
        <w:t xml:space="preserve"> Turton (n </w:t>
      </w:r>
      <w:r w:rsidR="00594906">
        <w:t>9</w:t>
      </w:r>
      <w:r>
        <w:t>)</w:t>
      </w:r>
      <w:r w:rsidRPr="009D3634">
        <w:t>, 1</w:t>
      </w:r>
      <w:r w:rsidR="00707CDF">
        <w:t>21</w:t>
      </w:r>
      <w:r>
        <w:t xml:space="preserve">. See </w:t>
      </w:r>
      <w:r w:rsidRPr="00A92E7C">
        <w:rPr>
          <w:i/>
        </w:rPr>
        <w:t>Meiklejohn v St George’s Healthcare NHS Trust</w:t>
      </w:r>
      <w:r w:rsidRPr="00883AA4">
        <w:t xml:space="preserve"> [2014] EWCA </w:t>
      </w:r>
      <w:proofErr w:type="spellStart"/>
      <w:r w:rsidRPr="00883AA4">
        <w:t>Civ</w:t>
      </w:r>
      <w:proofErr w:type="spellEnd"/>
      <w:r w:rsidRPr="00883AA4">
        <w:t xml:space="preserve"> 120</w:t>
      </w:r>
      <w:r>
        <w:t xml:space="preserve">, </w:t>
      </w:r>
      <w:r w:rsidRPr="00A92E7C">
        <w:rPr>
          <w:bCs/>
          <w:i/>
        </w:rPr>
        <w:t>Crossman v St George's</w:t>
      </w:r>
      <w:r w:rsidRPr="00A92E7C">
        <w:rPr>
          <w:i/>
        </w:rPr>
        <w:t> Healthcare Trust</w:t>
      </w:r>
      <w:r w:rsidRPr="00883AA4">
        <w:t xml:space="preserve"> [2016] EWHC 2878</w:t>
      </w:r>
      <w:r>
        <w:t xml:space="preserve"> (QB) and </w:t>
      </w:r>
      <w:r w:rsidRPr="00A92E7C">
        <w:rPr>
          <w:bCs/>
          <w:i/>
        </w:rPr>
        <w:t>Correia</w:t>
      </w:r>
      <w:r>
        <w:rPr>
          <w:bCs/>
        </w:rPr>
        <w:t xml:space="preserve"> (n </w:t>
      </w:r>
      <w:r w:rsidR="004B7CB4">
        <w:rPr>
          <w:bCs/>
        </w:rPr>
        <w:t>80</w:t>
      </w:r>
      <w:r>
        <w:rPr>
          <w:bCs/>
        </w:rPr>
        <w:t>).</w:t>
      </w:r>
    </w:p>
  </w:footnote>
  <w:footnote w:id="88">
    <w:p w14:paraId="030EF4A5" w14:textId="5B6F2CF0" w:rsidR="004865E9" w:rsidRPr="0005677C" w:rsidRDefault="004865E9" w:rsidP="00040E00">
      <w:pPr>
        <w:pStyle w:val="FootnoteText"/>
        <w:rPr>
          <w:szCs w:val="20"/>
        </w:rPr>
      </w:pPr>
      <w:r w:rsidRPr="0005677C">
        <w:rPr>
          <w:rStyle w:val="FootnoteReference"/>
          <w:szCs w:val="20"/>
        </w:rPr>
        <w:footnoteRef/>
      </w:r>
      <w:r w:rsidRPr="0005677C">
        <w:rPr>
          <w:szCs w:val="20"/>
        </w:rPr>
        <w:t xml:space="preserve"> </w:t>
      </w:r>
      <w:r w:rsidRPr="004222E3">
        <w:rPr>
          <w:rFonts w:cs="Arial"/>
          <w:i/>
          <w:szCs w:val="20"/>
        </w:rPr>
        <w:t>Montgomery</w:t>
      </w:r>
      <w:r w:rsidRPr="004222E3">
        <w:rPr>
          <w:rFonts w:cs="Arial"/>
          <w:szCs w:val="20"/>
        </w:rPr>
        <w:t xml:space="preserve"> </w:t>
      </w:r>
      <w:r>
        <w:rPr>
          <w:rFonts w:cs="Arial"/>
          <w:szCs w:val="20"/>
        </w:rPr>
        <w:t>(n 5),</w:t>
      </w:r>
      <w:r w:rsidRPr="0005677C">
        <w:rPr>
          <w:szCs w:val="20"/>
        </w:rPr>
        <w:t xml:space="preserve"> [8</w:t>
      </w:r>
      <w:r>
        <w:rPr>
          <w:szCs w:val="20"/>
        </w:rPr>
        <w:t>3</w:t>
      </w:r>
      <w:r w:rsidRPr="0005677C">
        <w:rPr>
          <w:szCs w:val="20"/>
        </w:rPr>
        <w:t>]</w:t>
      </w:r>
      <w:r>
        <w:rPr>
          <w:szCs w:val="20"/>
        </w:rPr>
        <w:t xml:space="preserve">, </w:t>
      </w:r>
      <w:proofErr w:type="spellStart"/>
      <w:r w:rsidRPr="00E13DFD">
        <w:rPr>
          <w:i/>
        </w:rPr>
        <w:t>Duce</w:t>
      </w:r>
      <w:proofErr w:type="spellEnd"/>
      <w:r w:rsidRPr="00E13DFD">
        <w:rPr>
          <w:i/>
        </w:rPr>
        <w:t xml:space="preserve"> </w:t>
      </w:r>
      <w:r>
        <w:t xml:space="preserve">(n </w:t>
      </w:r>
      <w:r w:rsidR="004B7CB4">
        <w:t>11</w:t>
      </w:r>
      <w:r>
        <w:t>), [33] (</w:t>
      </w:r>
      <w:proofErr w:type="spellStart"/>
      <w:r>
        <w:t>Hamblen</w:t>
      </w:r>
      <w:proofErr w:type="spellEnd"/>
      <w:r>
        <w:t xml:space="preserve"> L.J.).</w:t>
      </w:r>
    </w:p>
  </w:footnote>
  <w:footnote w:id="89">
    <w:p w14:paraId="0180A619" w14:textId="531BCE00" w:rsidR="004865E9" w:rsidRDefault="004865E9" w:rsidP="00F900C8">
      <w:pPr>
        <w:pStyle w:val="FootnoteText"/>
      </w:pPr>
      <w:r>
        <w:rPr>
          <w:rStyle w:val="FootnoteReference"/>
        </w:rPr>
        <w:footnoteRef/>
      </w:r>
      <w:r>
        <w:t xml:space="preserve"> </w:t>
      </w:r>
      <w:r w:rsidRPr="004222E3">
        <w:rPr>
          <w:rFonts w:cs="Arial"/>
          <w:i/>
          <w:szCs w:val="20"/>
        </w:rPr>
        <w:t>Montgomery</w:t>
      </w:r>
      <w:r>
        <w:rPr>
          <w:rFonts w:cs="Arial"/>
          <w:szCs w:val="20"/>
        </w:rPr>
        <w:t xml:space="preserve">, </w:t>
      </w:r>
      <w:r w:rsidRPr="00E87FD7">
        <w:rPr>
          <w:rFonts w:cs="Arial"/>
          <w:i/>
          <w:szCs w:val="20"/>
        </w:rPr>
        <w:t>ibid</w:t>
      </w:r>
      <w:r>
        <w:rPr>
          <w:rFonts w:cs="Arial"/>
          <w:szCs w:val="20"/>
        </w:rPr>
        <w:t xml:space="preserve">., [87] (Lords Kerr and Reed) and </w:t>
      </w:r>
      <w:proofErr w:type="spellStart"/>
      <w:r w:rsidRPr="00CC15C7">
        <w:rPr>
          <w:rFonts w:cs="Arial"/>
          <w:i/>
          <w:szCs w:val="20"/>
        </w:rPr>
        <w:t>Sidaway</w:t>
      </w:r>
      <w:proofErr w:type="spellEnd"/>
      <w:r>
        <w:rPr>
          <w:rFonts w:cs="Arial"/>
          <w:bCs/>
          <w:szCs w:val="20"/>
        </w:rPr>
        <w:t xml:space="preserve"> (n 5</w:t>
      </w:r>
      <w:r w:rsidR="00012C09">
        <w:rPr>
          <w:rFonts w:cs="Arial"/>
          <w:bCs/>
          <w:szCs w:val="20"/>
        </w:rPr>
        <w:t>8</w:t>
      </w:r>
      <w:r>
        <w:rPr>
          <w:rFonts w:cs="Arial"/>
          <w:bCs/>
          <w:szCs w:val="20"/>
        </w:rPr>
        <w:t xml:space="preserve">), </w:t>
      </w:r>
      <w:r>
        <w:rPr>
          <w:rFonts w:cs="Arial"/>
          <w:szCs w:val="20"/>
        </w:rPr>
        <w:t>904 (Lord Templeman).</w:t>
      </w:r>
    </w:p>
  </w:footnote>
  <w:footnote w:id="90">
    <w:p w14:paraId="2F632FBF" w14:textId="7EE07DCB" w:rsidR="004865E9" w:rsidRDefault="004865E9" w:rsidP="00F75510">
      <w:pPr>
        <w:pStyle w:val="FootnoteText"/>
      </w:pPr>
      <w:r>
        <w:rPr>
          <w:rStyle w:val="FootnoteReference"/>
        </w:rPr>
        <w:footnoteRef/>
      </w:r>
      <w:r>
        <w:t xml:space="preserve"> </w:t>
      </w:r>
      <w:proofErr w:type="spellStart"/>
      <w:r w:rsidRPr="004661F1">
        <w:rPr>
          <w:i/>
        </w:rPr>
        <w:t>Hotson</w:t>
      </w:r>
      <w:proofErr w:type="spellEnd"/>
      <w:r w:rsidRPr="004661F1">
        <w:rPr>
          <w:i/>
        </w:rPr>
        <w:t xml:space="preserve"> v East Berkshire Area Health Authority</w:t>
      </w:r>
      <w:r w:rsidRPr="004661F1">
        <w:t xml:space="preserve"> [1987] AC 750</w:t>
      </w:r>
      <w:r>
        <w:t xml:space="preserve"> (HL) and </w:t>
      </w:r>
      <w:r w:rsidRPr="004661F1">
        <w:rPr>
          <w:i/>
        </w:rPr>
        <w:t>Gregg v Scott</w:t>
      </w:r>
      <w:r>
        <w:t xml:space="preserve"> </w:t>
      </w:r>
      <w:r w:rsidRPr="004661F1">
        <w:t>[2005] UKHL 2</w:t>
      </w:r>
      <w:r>
        <w:t xml:space="preserve"> do not completely rule out such claims but they appear unlikely and, as far as we are aware, no court has allowed a claim to succeed on this basis (see Rachael </w:t>
      </w:r>
      <w:proofErr w:type="spellStart"/>
      <w:r>
        <w:t>Mulheron</w:t>
      </w:r>
      <w:proofErr w:type="spellEnd"/>
      <w:r>
        <w:t xml:space="preserve">, </w:t>
      </w:r>
      <w:r>
        <w:rPr>
          <w:i/>
        </w:rPr>
        <w:t>Principles of Tort Law</w:t>
      </w:r>
      <w:r>
        <w:t xml:space="preserve"> (CUP: Cambridge, 2016) 469-475). In any event, loss of a chance claims </w:t>
      </w:r>
      <w:proofErr w:type="gramStart"/>
      <w:r>
        <w:t>are</w:t>
      </w:r>
      <w:proofErr w:type="gramEnd"/>
      <w:r>
        <w:t xml:space="preserve"> beyond the scope of this article as the law is equally applicable to adults and raises no issues particular to child patients.</w:t>
      </w:r>
    </w:p>
  </w:footnote>
  <w:footnote w:id="91">
    <w:p w14:paraId="0BBA9A16" w14:textId="73AA0D1C" w:rsidR="004865E9" w:rsidRPr="004222E3" w:rsidRDefault="004865E9" w:rsidP="00DF11F8">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Montgomery</w:t>
      </w:r>
      <w:r>
        <w:rPr>
          <w:rFonts w:cs="Arial"/>
          <w:szCs w:val="20"/>
        </w:rPr>
        <w:t xml:space="preserve"> (n 5)</w:t>
      </w:r>
      <w:r w:rsidRPr="004222E3">
        <w:rPr>
          <w:rFonts w:cs="Arial"/>
          <w:szCs w:val="20"/>
        </w:rPr>
        <w:t xml:space="preserve"> [88]</w:t>
      </w:r>
      <w:r>
        <w:rPr>
          <w:rFonts w:cs="Arial"/>
          <w:szCs w:val="20"/>
        </w:rPr>
        <w:t xml:space="preserve"> (Lord Kerr and Reed)</w:t>
      </w:r>
      <w:r w:rsidRPr="004222E3">
        <w:rPr>
          <w:rFonts w:cs="Arial"/>
          <w:szCs w:val="20"/>
        </w:rPr>
        <w:t xml:space="preserve"> and see [85] and [91]. </w:t>
      </w:r>
    </w:p>
  </w:footnote>
  <w:footnote w:id="92">
    <w:p w14:paraId="10B5E4A9" w14:textId="06526846" w:rsidR="004865E9" w:rsidRPr="004222E3" w:rsidRDefault="004865E9" w:rsidP="00DF11F8">
      <w:pPr>
        <w:pStyle w:val="FootnoteText"/>
        <w:rPr>
          <w:rFonts w:cs="Arial"/>
          <w:szCs w:val="20"/>
        </w:rPr>
      </w:pPr>
      <w:r w:rsidRPr="004222E3">
        <w:rPr>
          <w:rStyle w:val="FootnoteReference"/>
          <w:rFonts w:cs="Arial"/>
          <w:szCs w:val="20"/>
        </w:rPr>
        <w:footnoteRef/>
      </w:r>
      <w:r w:rsidRPr="004222E3">
        <w:rPr>
          <w:rFonts w:cs="Arial"/>
          <w:szCs w:val="20"/>
        </w:rPr>
        <w:t xml:space="preserve"> Department of Health, </w:t>
      </w:r>
      <w:r w:rsidRPr="004222E3">
        <w:rPr>
          <w:rFonts w:cs="Arial"/>
          <w:i/>
          <w:szCs w:val="20"/>
        </w:rPr>
        <w:t>Reference Guide to Consent for Examination or Treatment</w:t>
      </w:r>
      <w:r>
        <w:rPr>
          <w:rFonts w:cs="Arial"/>
          <w:szCs w:val="20"/>
        </w:rPr>
        <w:t xml:space="preserve"> (2009), [19]-[21]</w:t>
      </w:r>
      <w:r w:rsidRPr="004222E3">
        <w:rPr>
          <w:rFonts w:cs="Arial"/>
          <w:szCs w:val="20"/>
        </w:rPr>
        <w:t xml:space="preserve">, accessible at </w:t>
      </w:r>
      <w:hyperlink r:id="rId2" w:history="1">
        <w:r w:rsidRPr="009D3634">
          <w:rPr>
            <w:rStyle w:val="Hyperlink"/>
            <w:rFonts w:cs="Arial"/>
            <w:color w:val="auto"/>
            <w:szCs w:val="20"/>
          </w:rPr>
          <w:t>https://www.gov.uk/government/uploads/system/uploads/attachment_data/file/138296/dh_103653__1_.pdf</w:t>
        </w:r>
      </w:hyperlink>
      <w:r w:rsidRPr="009D3634">
        <w:rPr>
          <w:rFonts w:cs="Arial"/>
          <w:szCs w:val="20"/>
        </w:rPr>
        <w:t>.</w:t>
      </w:r>
    </w:p>
  </w:footnote>
  <w:footnote w:id="93">
    <w:p w14:paraId="0DC29C6C" w14:textId="11600EE1" w:rsidR="004865E9" w:rsidRPr="00DA52DE" w:rsidRDefault="004865E9" w:rsidP="00DA52DE">
      <w:pPr>
        <w:pStyle w:val="FootnoteText"/>
        <w:rPr>
          <w:i/>
        </w:rPr>
      </w:pPr>
      <w:r>
        <w:rPr>
          <w:rStyle w:val="FootnoteReference"/>
        </w:rPr>
        <w:footnoteRef/>
      </w:r>
      <w:r>
        <w:t xml:space="preserve"> Reluctance on the part of HCPs to disclose information they consider harmful is demonstrated in </w:t>
      </w:r>
      <w:r w:rsidRPr="00DA52DE">
        <w:rPr>
          <w:i/>
        </w:rPr>
        <w:t>Re L (Medical Treatment:</w:t>
      </w:r>
      <w:r>
        <w:rPr>
          <w:i/>
        </w:rPr>
        <w:t xml:space="preserve"> </w:t>
      </w:r>
      <w:r w:rsidRPr="00DA52DE">
        <w:rPr>
          <w:i/>
        </w:rPr>
        <w:t>Gillick Competence)</w:t>
      </w:r>
      <w:r>
        <w:t xml:space="preserve"> [1999] 2 FCR 524, [1998] 2 FLR 810. One of the grounds for finding L to be incompetent was that she had not been informed of the likely horrific nature of her death should her refusal of blood products have been upheld.</w:t>
      </w:r>
    </w:p>
  </w:footnote>
  <w:footnote w:id="94">
    <w:p w14:paraId="2D11D062" w14:textId="6656F61D" w:rsidR="004865E9" w:rsidRPr="004222E3" w:rsidRDefault="004865E9" w:rsidP="00DF11F8">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Montgomery</w:t>
      </w:r>
      <w:r w:rsidRPr="004222E3">
        <w:rPr>
          <w:rFonts w:cs="Arial"/>
          <w:szCs w:val="20"/>
        </w:rPr>
        <w:t xml:space="preserve"> </w:t>
      </w:r>
      <w:r>
        <w:rPr>
          <w:rFonts w:cs="Arial"/>
          <w:szCs w:val="20"/>
        </w:rPr>
        <w:t xml:space="preserve">(n 5), </w:t>
      </w:r>
      <w:r w:rsidRPr="004222E3">
        <w:rPr>
          <w:rFonts w:cs="Arial"/>
          <w:szCs w:val="20"/>
        </w:rPr>
        <w:t>[91]</w:t>
      </w:r>
      <w:r>
        <w:rPr>
          <w:rFonts w:cs="Arial"/>
          <w:szCs w:val="20"/>
        </w:rPr>
        <w:t xml:space="preserve"> (Lords Kerr and Reed)</w:t>
      </w:r>
      <w:r w:rsidRPr="004222E3">
        <w:rPr>
          <w:rFonts w:cs="Arial"/>
          <w:szCs w:val="20"/>
        </w:rPr>
        <w:t>.</w:t>
      </w:r>
    </w:p>
  </w:footnote>
  <w:footnote w:id="95">
    <w:p w14:paraId="1F7400CB" w14:textId="6AA9E979" w:rsidR="004865E9" w:rsidRPr="004222E3" w:rsidRDefault="004865E9" w:rsidP="00DF11F8">
      <w:pPr>
        <w:pStyle w:val="FootnoteText"/>
        <w:rPr>
          <w:rFonts w:cs="Arial"/>
          <w:szCs w:val="20"/>
        </w:rPr>
      </w:pPr>
      <w:r w:rsidRPr="004222E3">
        <w:rPr>
          <w:rStyle w:val="FootnoteReference"/>
          <w:rFonts w:cs="Arial"/>
          <w:szCs w:val="20"/>
        </w:rPr>
        <w:footnoteRef/>
      </w:r>
      <w:r w:rsidRPr="004222E3">
        <w:rPr>
          <w:rFonts w:cs="Arial"/>
          <w:szCs w:val="20"/>
        </w:rPr>
        <w:t xml:space="preserve"> See below </w:t>
      </w:r>
      <w:r w:rsidRPr="009D3634">
        <w:rPr>
          <w:rFonts w:cs="Arial"/>
          <w:szCs w:val="20"/>
        </w:rPr>
        <w:t xml:space="preserve">at </w:t>
      </w:r>
      <w:r w:rsidRPr="00102A94">
        <w:rPr>
          <w:rFonts w:cs="Arial"/>
          <w:szCs w:val="20"/>
        </w:rPr>
        <w:t>IV.A</w:t>
      </w:r>
      <w:r w:rsidRPr="009D3634">
        <w:rPr>
          <w:rFonts w:cs="Arial"/>
          <w:szCs w:val="20"/>
        </w:rPr>
        <w:t>.</w:t>
      </w:r>
    </w:p>
  </w:footnote>
  <w:footnote w:id="96">
    <w:p w14:paraId="76C8797D" w14:textId="6CBAB588" w:rsidR="004865E9" w:rsidRPr="004222E3" w:rsidRDefault="004865E9" w:rsidP="004112CD">
      <w:pPr>
        <w:pStyle w:val="FootnoteText"/>
        <w:rPr>
          <w:rFonts w:cs="Arial"/>
          <w:szCs w:val="20"/>
        </w:rPr>
      </w:pPr>
      <w:r w:rsidRPr="004222E3">
        <w:rPr>
          <w:rStyle w:val="FootnoteReference"/>
          <w:rFonts w:cs="Arial"/>
          <w:szCs w:val="20"/>
        </w:rPr>
        <w:footnoteRef/>
      </w:r>
      <w:r w:rsidRPr="004222E3">
        <w:rPr>
          <w:rFonts w:cs="Arial"/>
          <w:szCs w:val="20"/>
        </w:rPr>
        <w:t xml:space="preserve"> Children Act 1989, s 1(1). See also </w:t>
      </w:r>
      <w:r w:rsidRPr="004222E3">
        <w:rPr>
          <w:rFonts w:cs="Arial"/>
          <w:i/>
          <w:szCs w:val="20"/>
        </w:rPr>
        <w:t>Gillick</w:t>
      </w:r>
      <w:r w:rsidRPr="004222E3">
        <w:rPr>
          <w:rFonts w:cs="Arial"/>
          <w:szCs w:val="20"/>
        </w:rPr>
        <w:t xml:space="preserve"> </w:t>
      </w:r>
      <w:r>
        <w:rPr>
          <w:rFonts w:cs="Arial"/>
          <w:iCs/>
          <w:szCs w:val="20"/>
        </w:rPr>
        <w:t>(n 1</w:t>
      </w:r>
      <w:r w:rsidR="00012C09">
        <w:rPr>
          <w:rFonts w:cs="Arial"/>
          <w:iCs/>
          <w:szCs w:val="20"/>
        </w:rPr>
        <w:t>8</w:t>
      </w:r>
      <w:r>
        <w:rPr>
          <w:rFonts w:cs="Arial"/>
          <w:iCs/>
          <w:szCs w:val="20"/>
        </w:rPr>
        <w:t xml:space="preserve">), </w:t>
      </w:r>
      <w:r>
        <w:rPr>
          <w:rFonts w:cs="Arial"/>
          <w:szCs w:val="20"/>
        </w:rPr>
        <w:t>173 (</w:t>
      </w:r>
      <w:r w:rsidRPr="004222E3">
        <w:rPr>
          <w:rFonts w:cs="Arial"/>
          <w:szCs w:val="20"/>
        </w:rPr>
        <w:t>Lord Fraser</w:t>
      </w:r>
      <w:r>
        <w:rPr>
          <w:rFonts w:cs="Arial"/>
          <w:szCs w:val="20"/>
        </w:rPr>
        <w:t>)</w:t>
      </w:r>
      <w:r w:rsidRPr="004222E3">
        <w:rPr>
          <w:rFonts w:cs="Arial"/>
          <w:szCs w:val="20"/>
        </w:rPr>
        <w:t>.</w:t>
      </w:r>
    </w:p>
  </w:footnote>
  <w:footnote w:id="97">
    <w:p w14:paraId="0DB7C4B5" w14:textId="56F1252B" w:rsidR="004865E9" w:rsidRPr="004222E3" w:rsidRDefault="004865E9" w:rsidP="00927F68">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Collins </w:t>
      </w:r>
      <w:r>
        <w:rPr>
          <w:rFonts w:cs="Arial"/>
          <w:szCs w:val="20"/>
        </w:rPr>
        <w:t>(n 2), 377 (</w:t>
      </w:r>
      <w:r w:rsidRPr="004222E3">
        <w:rPr>
          <w:rFonts w:cs="Arial"/>
          <w:szCs w:val="20"/>
        </w:rPr>
        <w:t xml:space="preserve">Goff </w:t>
      </w:r>
      <w:r>
        <w:rPr>
          <w:rFonts w:cs="Arial"/>
          <w:szCs w:val="20"/>
        </w:rPr>
        <w:t>L.J</w:t>
      </w:r>
      <w:r w:rsidRPr="004222E3">
        <w:rPr>
          <w:rFonts w:cs="Arial"/>
          <w:szCs w:val="20"/>
        </w:rPr>
        <w:t>.</w:t>
      </w:r>
      <w:r>
        <w:rPr>
          <w:rFonts w:cs="Arial"/>
          <w:szCs w:val="20"/>
        </w:rPr>
        <w:t>).</w:t>
      </w:r>
      <w:r w:rsidRPr="004222E3">
        <w:rPr>
          <w:rFonts w:cs="Arial"/>
          <w:szCs w:val="20"/>
        </w:rPr>
        <w:t xml:space="preserve"> See also </w:t>
      </w:r>
      <w:r w:rsidRPr="004222E3">
        <w:rPr>
          <w:rFonts w:cs="Arial"/>
          <w:i/>
          <w:szCs w:val="20"/>
        </w:rPr>
        <w:t>Wilson v Pringle</w:t>
      </w:r>
      <w:r w:rsidRPr="004222E3">
        <w:rPr>
          <w:rFonts w:cs="Arial"/>
          <w:szCs w:val="20"/>
        </w:rPr>
        <w:t xml:space="preserve"> [1987] QB 237</w:t>
      </w:r>
      <w:r>
        <w:rPr>
          <w:rFonts w:cs="Arial"/>
          <w:szCs w:val="20"/>
        </w:rPr>
        <w:t xml:space="preserve"> (CA), 252-253 (</w:t>
      </w:r>
      <w:r w:rsidRPr="004222E3">
        <w:rPr>
          <w:rFonts w:cs="Arial"/>
          <w:szCs w:val="20"/>
        </w:rPr>
        <w:t xml:space="preserve">Croom-Johnson </w:t>
      </w:r>
      <w:r>
        <w:rPr>
          <w:rFonts w:cs="Arial"/>
          <w:szCs w:val="20"/>
        </w:rPr>
        <w:t>L.J</w:t>
      </w:r>
      <w:r w:rsidRPr="004222E3">
        <w:rPr>
          <w:rFonts w:cs="Arial"/>
          <w:szCs w:val="20"/>
        </w:rPr>
        <w:t>.</w:t>
      </w:r>
      <w:r>
        <w:rPr>
          <w:rFonts w:cs="Arial"/>
          <w:szCs w:val="20"/>
        </w:rPr>
        <w:t>).</w:t>
      </w:r>
    </w:p>
  </w:footnote>
  <w:footnote w:id="98">
    <w:p w14:paraId="5E0205BB" w14:textId="51D312F3" w:rsidR="004865E9" w:rsidRDefault="004865E9" w:rsidP="00927F68">
      <w:pPr>
        <w:pStyle w:val="FootnoteText"/>
      </w:pPr>
      <w:r>
        <w:rPr>
          <w:rStyle w:val="FootnoteReference"/>
        </w:rPr>
        <w:footnoteRef/>
      </w:r>
      <w:r>
        <w:t xml:space="preserve"> See </w:t>
      </w:r>
      <w:r>
        <w:rPr>
          <w:i/>
        </w:rPr>
        <w:t xml:space="preserve">Wilson </w:t>
      </w:r>
      <w:r>
        <w:t>(n 9</w:t>
      </w:r>
      <w:r w:rsidR="00012C09">
        <w:t>7</w:t>
      </w:r>
      <w:r>
        <w:t xml:space="preserve">), 249 (Croom-Johnson L.J.) and </w:t>
      </w:r>
      <w:r>
        <w:rPr>
          <w:i/>
        </w:rPr>
        <w:t>Reynolds v Clarke</w:t>
      </w:r>
      <w:r>
        <w:t xml:space="preserve"> (1725) 1 </w:t>
      </w:r>
      <w:proofErr w:type="spellStart"/>
      <w:r>
        <w:t>Stra</w:t>
      </w:r>
      <w:proofErr w:type="spellEnd"/>
      <w:r>
        <w:t xml:space="preserve"> 634, 636 (Fortescue C.J.) respectively. Recklessness will suffice for the mental element of the tort according to </w:t>
      </w:r>
      <w:proofErr w:type="spellStart"/>
      <w:r>
        <w:rPr>
          <w:i/>
        </w:rPr>
        <w:t>Bici</w:t>
      </w:r>
      <w:proofErr w:type="spellEnd"/>
      <w:r>
        <w:rPr>
          <w:i/>
        </w:rPr>
        <w:t xml:space="preserve"> v Ministry of Defence</w:t>
      </w:r>
      <w:r>
        <w:t xml:space="preserve"> [2004] EWHC 786 (QB), [67] (Elias J.). </w:t>
      </w:r>
    </w:p>
  </w:footnote>
  <w:footnote w:id="99">
    <w:p w14:paraId="0EA2B6B2" w14:textId="298AC786" w:rsidR="004865E9" w:rsidRPr="004222E3" w:rsidRDefault="004865E9" w:rsidP="00927F68">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Re W</w:t>
      </w:r>
      <w:r>
        <w:rPr>
          <w:rFonts w:cs="Arial"/>
          <w:szCs w:val="20"/>
        </w:rPr>
        <w:t xml:space="preserve"> (n 3</w:t>
      </w:r>
      <w:r w:rsidR="00FA5EFD">
        <w:rPr>
          <w:rFonts w:cs="Arial"/>
          <w:szCs w:val="20"/>
        </w:rPr>
        <w:t>6</w:t>
      </w:r>
      <w:r>
        <w:rPr>
          <w:rFonts w:cs="Arial"/>
          <w:szCs w:val="20"/>
        </w:rPr>
        <w:t>), 76 (</w:t>
      </w:r>
      <w:r w:rsidRPr="004222E3">
        <w:rPr>
          <w:rFonts w:cs="Arial"/>
          <w:szCs w:val="20"/>
        </w:rPr>
        <w:t>Lord Donaldson</w:t>
      </w:r>
      <w:r>
        <w:rPr>
          <w:rFonts w:cs="Arial"/>
          <w:szCs w:val="20"/>
        </w:rPr>
        <w:t xml:space="preserve"> M.R.)</w:t>
      </w:r>
      <w:r w:rsidRPr="004222E3">
        <w:rPr>
          <w:rFonts w:cs="Arial"/>
          <w:szCs w:val="20"/>
        </w:rPr>
        <w:t>.</w:t>
      </w:r>
      <w:r>
        <w:rPr>
          <w:rFonts w:cs="Arial"/>
          <w:szCs w:val="20"/>
        </w:rPr>
        <w:t xml:space="preserve"> Cf. the discussion </w:t>
      </w:r>
      <w:proofErr w:type="spellStart"/>
      <w:r w:rsidRPr="00E33519">
        <w:rPr>
          <w:rFonts w:cs="Arial"/>
          <w:szCs w:val="20"/>
        </w:rPr>
        <w:t>fn</w:t>
      </w:r>
      <w:proofErr w:type="spellEnd"/>
      <w:r w:rsidRPr="00E33519">
        <w:rPr>
          <w:rFonts w:cs="Arial"/>
          <w:szCs w:val="20"/>
        </w:rPr>
        <w:t xml:space="preserve"> 3</w:t>
      </w:r>
      <w:r>
        <w:rPr>
          <w:rFonts w:cs="Arial"/>
          <w:szCs w:val="20"/>
        </w:rPr>
        <w:t xml:space="preserve"> as to whether consent is a defence or absence of consent is part of the cause of action.</w:t>
      </w:r>
    </w:p>
  </w:footnote>
  <w:footnote w:id="100">
    <w:p w14:paraId="4A563F05" w14:textId="0C0959A4"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Chatterton</w:t>
      </w:r>
      <w:r>
        <w:rPr>
          <w:rFonts w:cs="Arial"/>
          <w:szCs w:val="20"/>
        </w:rPr>
        <w:t xml:space="preserve"> (n 3) s</w:t>
      </w:r>
      <w:r w:rsidRPr="004222E3">
        <w:rPr>
          <w:rFonts w:cs="Arial"/>
          <w:szCs w:val="20"/>
        </w:rPr>
        <w:t>ubject to MCA 2005, s 5.</w:t>
      </w:r>
    </w:p>
  </w:footnote>
  <w:footnote w:id="101">
    <w:p w14:paraId="5B891DD2" w14:textId="4C1531F3" w:rsidR="004865E9" w:rsidRPr="004222E3" w:rsidRDefault="004865E9" w:rsidP="00D0564C">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Re R</w:t>
      </w:r>
      <w:r>
        <w:rPr>
          <w:rFonts w:cs="Arial"/>
          <w:szCs w:val="20"/>
        </w:rPr>
        <w:t xml:space="preserve"> (n 2</w:t>
      </w:r>
      <w:r w:rsidR="00FA5EFD">
        <w:rPr>
          <w:rFonts w:cs="Arial"/>
          <w:szCs w:val="20"/>
        </w:rPr>
        <w:t>6</w:t>
      </w:r>
      <w:r>
        <w:rPr>
          <w:rFonts w:cs="Arial"/>
          <w:szCs w:val="20"/>
        </w:rPr>
        <w:t>), 22 (</w:t>
      </w:r>
      <w:r w:rsidRPr="004222E3">
        <w:rPr>
          <w:rFonts w:cs="Arial"/>
          <w:szCs w:val="20"/>
        </w:rPr>
        <w:t>Lord Donaldson M</w:t>
      </w:r>
      <w:r>
        <w:rPr>
          <w:rFonts w:cs="Arial"/>
          <w:szCs w:val="20"/>
        </w:rPr>
        <w:t>.</w:t>
      </w:r>
      <w:r w:rsidRPr="004222E3">
        <w:rPr>
          <w:rFonts w:cs="Arial"/>
          <w:szCs w:val="20"/>
        </w:rPr>
        <w:t>R</w:t>
      </w:r>
      <w:r>
        <w:rPr>
          <w:rFonts w:cs="Arial"/>
          <w:szCs w:val="20"/>
        </w:rPr>
        <w:t>.)</w:t>
      </w:r>
      <w:r w:rsidRPr="004222E3">
        <w:rPr>
          <w:rFonts w:cs="Arial"/>
          <w:szCs w:val="20"/>
        </w:rPr>
        <w:t>; Health and Social Care Act 2008 (Regulated Activities) Regulations 2014, SI 2014/2936, reg 11(1). Once the minor is 16 or over, the need for consent is subject to the MCA 2005: Reg 11(3).</w:t>
      </w:r>
    </w:p>
  </w:footnote>
  <w:footnote w:id="102">
    <w:p w14:paraId="6005FEF2" w14:textId="3F692058" w:rsidR="004865E9" w:rsidRPr="004222E3" w:rsidRDefault="004865E9" w:rsidP="0008530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Chatterton</w:t>
      </w:r>
      <w:r>
        <w:rPr>
          <w:rFonts w:cs="Arial"/>
          <w:szCs w:val="20"/>
        </w:rPr>
        <w:t xml:space="preserve"> (n 3), 443 (Bristow J.). Cf. </w:t>
      </w:r>
      <w:r>
        <w:rPr>
          <w:rFonts w:cs="Arial"/>
          <w:bCs/>
          <w:iCs/>
          <w:szCs w:val="20"/>
        </w:rPr>
        <w:t>Feng (n</w:t>
      </w:r>
      <w:r w:rsidR="00012C09">
        <w:rPr>
          <w:rFonts w:cs="Arial"/>
          <w:bCs/>
          <w:iCs/>
          <w:szCs w:val="20"/>
        </w:rPr>
        <w:t xml:space="preserve"> 11</w:t>
      </w:r>
      <w:r>
        <w:rPr>
          <w:rFonts w:cs="Arial"/>
          <w:bCs/>
          <w:iCs/>
          <w:szCs w:val="20"/>
        </w:rPr>
        <w:t>)</w:t>
      </w:r>
      <w:r w:rsidRPr="004222E3">
        <w:rPr>
          <w:rFonts w:cs="Arial"/>
          <w:bCs/>
          <w:iCs/>
          <w:szCs w:val="20"/>
        </w:rPr>
        <w:t xml:space="preserve">, </w:t>
      </w:r>
      <w:r w:rsidRPr="004222E3">
        <w:rPr>
          <w:rFonts w:cs="Arial"/>
          <w:szCs w:val="20"/>
        </w:rPr>
        <w:t>164</w:t>
      </w:r>
      <w:r>
        <w:rPr>
          <w:rFonts w:cs="Arial"/>
          <w:szCs w:val="20"/>
        </w:rPr>
        <w:t xml:space="preserve"> and </w:t>
      </w:r>
      <w:proofErr w:type="spellStart"/>
      <w:r>
        <w:rPr>
          <w:rFonts w:cs="Arial"/>
          <w:bCs/>
          <w:iCs/>
          <w:szCs w:val="20"/>
        </w:rPr>
        <w:t>Beever</w:t>
      </w:r>
      <w:proofErr w:type="spellEnd"/>
      <w:r>
        <w:rPr>
          <w:rFonts w:cs="Arial"/>
          <w:bCs/>
          <w:iCs/>
          <w:szCs w:val="20"/>
        </w:rPr>
        <w:t xml:space="preserve">, </w:t>
      </w:r>
      <w:r w:rsidRPr="00E024E4">
        <w:rPr>
          <w:rFonts w:cs="Arial"/>
          <w:bCs/>
          <w:iCs/>
          <w:szCs w:val="20"/>
        </w:rPr>
        <w:t xml:space="preserve">(n </w:t>
      </w:r>
      <w:r w:rsidR="00012C09">
        <w:rPr>
          <w:rFonts w:cs="Arial"/>
          <w:bCs/>
          <w:iCs/>
          <w:szCs w:val="20"/>
        </w:rPr>
        <w:t>11</w:t>
      </w:r>
      <w:r w:rsidRPr="00E024E4">
        <w:rPr>
          <w:rFonts w:cs="Arial"/>
          <w:bCs/>
          <w:iCs/>
          <w:szCs w:val="20"/>
        </w:rPr>
        <w:t>)</w:t>
      </w:r>
      <w:r>
        <w:rPr>
          <w:rFonts w:cs="Arial"/>
          <w:bCs/>
          <w:iCs/>
          <w:szCs w:val="20"/>
        </w:rPr>
        <w:t xml:space="preserve"> </w:t>
      </w:r>
      <w:proofErr w:type="spellStart"/>
      <w:r>
        <w:rPr>
          <w:rFonts w:cs="Arial"/>
          <w:bCs/>
          <w:iCs/>
          <w:szCs w:val="20"/>
        </w:rPr>
        <w:t>ch</w:t>
      </w:r>
      <w:proofErr w:type="spellEnd"/>
      <w:r>
        <w:rPr>
          <w:rFonts w:cs="Arial"/>
          <w:bCs/>
          <w:iCs/>
          <w:szCs w:val="20"/>
        </w:rPr>
        <w:t xml:space="preserve"> 15.</w:t>
      </w:r>
    </w:p>
  </w:footnote>
  <w:footnote w:id="103">
    <w:p w14:paraId="61127104" w14:textId="7DB2936E" w:rsidR="004865E9" w:rsidRPr="004222E3" w:rsidRDefault="004865E9" w:rsidP="0008530D">
      <w:pPr>
        <w:pStyle w:val="FootnoteText"/>
        <w:rPr>
          <w:rFonts w:cs="Arial"/>
          <w:bCs/>
          <w:iCs/>
          <w:szCs w:val="20"/>
        </w:rPr>
      </w:pPr>
      <w:r w:rsidRPr="004222E3">
        <w:rPr>
          <w:rStyle w:val="FootnoteReference"/>
          <w:rFonts w:cs="Arial"/>
          <w:szCs w:val="20"/>
        </w:rPr>
        <w:footnoteRef/>
      </w:r>
      <w:r w:rsidRPr="004222E3">
        <w:rPr>
          <w:rFonts w:cs="Arial"/>
          <w:szCs w:val="20"/>
        </w:rPr>
        <w:t xml:space="preserve"> M</w:t>
      </w:r>
      <w:r>
        <w:rPr>
          <w:rFonts w:cs="Arial"/>
          <w:szCs w:val="20"/>
        </w:rPr>
        <w:t xml:space="preserve"> </w:t>
      </w:r>
      <w:r>
        <w:rPr>
          <w:rFonts w:cs="Arial"/>
          <w:bCs/>
          <w:iCs/>
          <w:szCs w:val="20"/>
        </w:rPr>
        <w:t>Brazier, ‘Patient Autonomy and Consent to Treatment: The Role of the L</w:t>
      </w:r>
      <w:r w:rsidRPr="004222E3">
        <w:rPr>
          <w:rFonts w:cs="Arial"/>
          <w:bCs/>
          <w:iCs/>
          <w:szCs w:val="20"/>
        </w:rPr>
        <w:t xml:space="preserve">aw?’ (1987) 7 LS 169, </w:t>
      </w:r>
      <w:r w:rsidRPr="004222E3">
        <w:rPr>
          <w:rFonts w:cs="Arial"/>
          <w:iCs/>
          <w:szCs w:val="20"/>
        </w:rPr>
        <w:t>179.</w:t>
      </w:r>
    </w:p>
  </w:footnote>
  <w:footnote w:id="104">
    <w:p w14:paraId="254E6A43" w14:textId="77777777" w:rsidR="004865E9" w:rsidRPr="004222E3" w:rsidRDefault="004865E9" w:rsidP="0008530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22651A">
        <w:rPr>
          <w:rFonts w:cs="Arial"/>
          <w:i/>
          <w:szCs w:val="20"/>
        </w:rPr>
        <w:t>Ibid</w:t>
      </w:r>
      <w:r w:rsidRPr="004222E3">
        <w:rPr>
          <w:rFonts w:cs="Arial"/>
          <w:szCs w:val="20"/>
        </w:rPr>
        <w:t>.</w:t>
      </w:r>
    </w:p>
  </w:footnote>
  <w:footnote w:id="105">
    <w:p w14:paraId="4C4F4E93" w14:textId="79B16B47" w:rsidR="004865E9" w:rsidRPr="004222E3" w:rsidRDefault="004865E9" w:rsidP="0008530D">
      <w:pPr>
        <w:pStyle w:val="FootnoteText"/>
        <w:rPr>
          <w:rFonts w:cs="Arial"/>
          <w:szCs w:val="20"/>
        </w:rPr>
      </w:pPr>
      <w:r w:rsidRPr="004222E3">
        <w:rPr>
          <w:rStyle w:val="FootnoteReference"/>
          <w:rFonts w:cs="Arial"/>
          <w:szCs w:val="20"/>
        </w:rPr>
        <w:footnoteRef/>
      </w:r>
      <w:r w:rsidRPr="004222E3">
        <w:rPr>
          <w:rFonts w:cs="Arial"/>
          <w:szCs w:val="20"/>
        </w:rPr>
        <w:t xml:space="preserve"> [1990] 2 AC 1</w:t>
      </w:r>
      <w:r>
        <w:rPr>
          <w:rFonts w:cs="Arial"/>
          <w:szCs w:val="20"/>
        </w:rPr>
        <w:t xml:space="preserve"> (HL)</w:t>
      </w:r>
      <w:r w:rsidRPr="004222E3">
        <w:rPr>
          <w:rFonts w:cs="Arial"/>
          <w:szCs w:val="20"/>
        </w:rPr>
        <w:t>.</w:t>
      </w:r>
    </w:p>
  </w:footnote>
  <w:footnote w:id="106">
    <w:p w14:paraId="59E6F741" w14:textId="295F8E76"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Montgomery</w:t>
      </w:r>
      <w:r>
        <w:rPr>
          <w:rFonts w:cs="Arial"/>
          <w:szCs w:val="20"/>
        </w:rPr>
        <w:t xml:space="preserve"> (n 5),</w:t>
      </w:r>
      <w:r w:rsidRPr="004222E3">
        <w:rPr>
          <w:rFonts w:cs="Arial"/>
          <w:szCs w:val="20"/>
        </w:rPr>
        <w:t xml:space="preserve"> [81]</w:t>
      </w:r>
      <w:r>
        <w:rPr>
          <w:rFonts w:cs="Arial"/>
          <w:szCs w:val="20"/>
        </w:rPr>
        <w:t xml:space="preserve"> (Lords Kerr and Reed)</w:t>
      </w:r>
      <w:r w:rsidRPr="004222E3">
        <w:rPr>
          <w:rFonts w:cs="Arial"/>
          <w:szCs w:val="20"/>
        </w:rPr>
        <w:t>.</w:t>
      </w:r>
    </w:p>
  </w:footnote>
  <w:footnote w:id="107">
    <w:p w14:paraId="6CD4E9F3" w14:textId="76436352" w:rsidR="004865E9" w:rsidRPr="004222E3" w:rsidRDefault="004865E9">
      <w:pPr>
        <w:pStyle w:val="FootnoteText"/>
        <w:rPr>
          <w:rFonts w:cs="Arial"/>
          <w:b/>
          <w:bCs/>
          <w:szCs w:val="20"/>
        </w:rPr>
      </w:pPr>
      <w:r w:rsidRPr="004222E3">
        <w:rPr>
          <w:rStyle w:val="FootnoteReference"/>
          <w:rFonts w:cs="Arial"/>
          <w:szCs w:val="20"/>
        </w:rPr>
        <w:footnoteRef/>
      </w:r>
      <w:r w:rsidRPr="004222E3">
        <w:rPr>
          <w:rFonts w:cs="Arial"/>
          <w:szCs w:val="20"/>
        </w:rPr>
        <w:t xml:space="preserve"> See S Devaney and S Holm, ‘</w:t>
      </w:r>
      <w:r>
        <w:rPr>
          <w:rFonts w:cs="Arial"/>
          <w:bCs/>
          <w:szCs w:val="20"/>
        </w:rPr>
        <w:t xml:space="preserve">The Transmutation of Deference in Medicine: An </w:t>
      </w:r>
      <w:proofErr w:type="spellStart"/>
      <w:r>
        <w:rPr>
          <w:rFonts w:cs="Arial"/>
          <w:bCs/>
          <w:szCs w:val="20"/>
        </w:rPr>
        <w:t>Ethico</w:t>
      </w:r>
      <w:proofErr w:type="spellEnd"/>
      <w:r>
        <w:rPr>
          <w:rFonts w:cs="Arial"/>
          <w:bCs/>
          <w:szCs w:val="20"/>
        </w:rPr>
        <w:t>-Legal P</w:t>
      </w:r>
      <w:r w:rsidRPr="004222E3">
        <w:rPr>
          <w:rFonts w:cs="Arial"/>
          <w:bCs/>
          <w:szCs w:val="20"/>
        </w:rPr>
        <w:t>erspective’ (2018) 26 Med L Rev 202.</w:t>
      </w:r>
    </w:p>
  </w:footnote>
  <w:footnote w:id="108">
    <w:p w14:paraId="7A7A47DA" w14:textId="5A279972" w:rsidR="004865E9" w:rsidRPr="004222E3" w:rsidRDefault="004865E9" w:rsidP="00DE25B6">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Aintree University Hospitals NHS Trust v James</w:t>
      </w:r>
      <w:r w:rsidRPr="004222E3">
        <w:rPr>
          <w:rFonts w:cs="Arial"/>
          <w:szCs w:val="20"/>
        </w:rPr>
        <w:t xml:space="preserve"> [2013] UKSC 67</w:t>
      </w:r>
      <w:r>
        <w:rPr>
          <w:rFonts w:cs="Arial"/>
          <w:szCs w:val="20"/>
        </w:rPr>
        <w:t>.</w:t>
      </w:r>
    </w:p>
  </w:footnote>
  <w:footnote w:id="109">
    <w:p w14:paraId="22A57D39" w14:textId="1256AD65" w:rsidR="004865E9" w:rsidRPr="004222E3" w:rsidRDefault="004865E9" w:rsidP="00E20C81">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22651A">
        <w:rPr>
          <w:rFonts w:cs="Arial"/>
          <w:i/>
          <w:szCs w:val="20"/>
        </w:rPr>
        <w:t>Ibid</w:t>
      </w:r>
      <w:r>
        <w:rPr>
          <w:rFonts w:cs="Arial"/>
          <w:szCs w:val="20"/>
        </w:rPr>
        <w:t>.,</w:t>
      </w:r>
      <w:r w:rsidRPr="004222E3">
        <w:rPr>
          <w:rFonts w:cs="Arial"/>
          <w:szCs w:val="20"/>
        </w:rPr>
        <w:t xml:space="preserve"> 20. This was recently confirmed in </w:t>
      </w:r>
      <w:r w:rsidRPr="004222E3">
        <w:rPr>
          <w:rFonts w:cs="Arial"/>
          <w:i/>
          <w:szCs w:val="20"/>
        </w:rPr>
        <w:t>An NHS Trust v Y</w:t>
      </w:r>
      <w:r w:rsidRPr="004222E3">
        <w:rPr>
          <w:rFonts w:cs="Arial"/>
          <w:szCs w:val="20"/>
        </w:rPr>
        <w:t xml:space="preserve"> [2018] UKSC 46</w:t>
      </w:r>
      <w:r>
        <w:rPr>
          <w:rFonts w:cs="Arial"/>
          <w:szCs w:val="20"/>
        </w:rPr>
        <w:t>, [92] (</w:t>
      </w:r>
      <w:r w:rsidRPr="004222E3">
        <w:rPr>
          <w:rFonts w:cs="Arial"/>
          <w:szCs w:val="20"/>
        </w:rPr>
        <w:t>Lady Black</w:t>
      </w:r>
      <w:r>
        <w:rPr>
          <w:rFonts w:cs="Arial"/>
          <w:szCs w:val="20"/>
        </w:rPr>
        <w:t>)</w:t>
      </w:r>
      <w:r w:rsidRPr="004222E3">
        <w:rPr>
          <w:rFonts w:cs="Arial"/>
          <w:szCs w:val="20"/>
        </w:rPr>
        <w:t>.</w:t>
      </w:r>
    </w:p>
  </w:footnote>
  <w:footnote w:id="110">
    <w:p w14:paraId="5270A0C8" w14:textId="3984B9DC"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Ms B v An NHS Hospital Trust </w:t>
      </w:r>
      <w:r w:rsidRPr="004222E3">
        <w:rPr>
          <w:rFonts w:cs="Arial"/>
          <w:szCs w:val="20"/>
        </w:rPr>
        <w:t>[2002] EWHC 429 (Fam).</w:t>
      </w:r>
    </w:p>
  </w:footnote>
  <w:footnote w:id="111">
    <w:p w14:paraId="5049716E" w14:textId="1E204948" w:rsidR="004865E9" w:rsidRPr="004222E3" w:rsidRDefault="004865E9" w:rsidP="0008530D">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79406F">
        <w:rPr>
          <w:rFonts w:cs="Arial"/>
          <w:i/>
          <w:szCs w:val="20"/>
        </w:rPr>
        <w:t>Ibid</w:t>
      </w:r>
      <w:r>
        <w:rPr>
          <w:rFonts w:cs="Arial"/>
          <w:szCs w:val="20"/>
        </w:rPr>
        <w:t>.,</w:t>
      </w:r>
      <w:r w:rsidRPr="004222E3">
        <w:rPr>
          <w:rFonts w:cs="Arial"/>
          <w:szCs w:val="20"/>
        </w:rPr>
        <w:t xml:space="preserve"> [97]. </w:t>
      </w:r>
    </w:p>
  </w:footnote>
  <w:footnote w:id="112">
    <w:p w14:paraId="34E34F96" w14:textId="0C6A59EB"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Chatterton</w:t>
      </w:r>
      <w:r>
        <w:rPr>
          <w:rFonts w:cs="Arial"/>
          <w:szCs w:val="20"/>
        </w:rPr>
        <w:t xml:space="preserve"> (n 3)</w:t>
      </w:r>
      <w:r w:rsidRPr="004222E3">
        <w:rPr>
          <w:rFonts w:cs="Arial"/>
          <w:szCs w:val="20"/>
        </w:rPr>
        <w:t>.</w:t>
      </w:r>
    </w:p>
  </w:footnote>
  <w:footnote w:id="113">
    <w:p w14:paraId="5E5EEBD0" w14:textId="3F0A9EB8" w:rsidR="004865E9" w:rsidRDefault="004865E9">
      <w:pPr>
        <w:pStyle w:val="FootnoteText"/>
      </w:pPr>
      <w:r>
        <w:rPr>
          <w:rStyle w:val="FootnoteReference"/>
        </w:rPr>
        <w:footnoteRef/>
      </w:r>
      <w:r>
        <w:t xml:space="preserve"> </w:t>
      </w:r>
      <w:r>
        <w:rPr>
          <w:rFonts w:eastAsiaTheme="minorEastAsia" w:cs="Arial"/>
          <w:i/>
          <w:iCs/>
          <w:lang w:val="en-US"/>
        </w:rPr>
        <w:t>Gillick</w:t>
      </w:r>
      <w:r>
        <w:rPr>
          <w:rFonts w:eastAsiaTheme="minorEastAsia" w:cs="Arial"/>
          <w:iCs/>
          <w:lang w:val="en-US"/>
        </w:rPr>
        <w:t xml:space="preserve"> </w:t>
      </w:r>
      <w:r>
        <w:rPr>
          <w:rFonts w:cs="Arial"/>
          <w:iCs/>
          <w:szCs w:val="20"/>
        </w:rPr>
        <w:t>(n 1</w:t>
      </w:r>
      <w:r w:rsidR="00B72C83">
        <w:rPr>
          <w:rFonts w:cs="Arial"/>
          <w:iCs/>
          <w:szCs w:val="20"/>
        </w:rPr>
        <w:t>8</w:t>
      </w:r>
      <w:r>
        <w:rPr>
          <w:rFonts w:cs="Arial"/>
          <w:iCs/>
          <w:szCs w:val="20"/>
        </w:rPr>
        <w:t>), 189.</w:t>
      </w:r>
      <w:r>
        <w:rPr>
          <w:rFonts w:eastAsiaTheme="minorEastAsia" w:cs="Arial"/>
          <w:i/>
          <w:iCs/>
          <w:lang w:val="en-US"/>
        </w:rPr>
        <w:t xml:space="preserve"> </w:t>
      </w:r>
    </w:p>
  </w:footnote>
  <w:footnote w:id="114">
    <w:p w14:paraId="08E5B06D" w14:textId="556109C7" w:rsidR="004865E9" w:rsidRPr="00E62E60" w:rsidRDefault="004865E9" w:rsidP="00914716">
      <w:pPr>
        <w:pStyle w:val="FootnoteText"/>
        <w:rPr>
          <w:rFonts w:cs="Arial"/>
          <w:szCs w:val="20"/>
        </w:rPr>
      </w:pPr>
      <w:r w:rsidRPr="00E62E60">
        <w:rPr>
          <w:rStyle w:val="FootnoteReference"/>
          <w:rFonts w:cs="Arial"/>
          <w:szCs w:val="20"/>
        </w:rPr>
        <w:footnoteRef/>
      </w:r>
      <w:r w:rsidRPr="00E62E60">
        <w:rPr>
          <w:rFonts w:cs="Arial"/>
          <w:szCs w:val="20"/>
        </w:rPr>
        <w:t xml:space="preserve"> </w:t>
      </w:r>
      <w:r>
        <w:rPr>
          <w:rFonts w:cs="Arial"/>
          <w:i/>
          <w:szCs w:val="20"/>
        </w:rPr>
        <w:t>Ibid</w:t>
      </w:r>
      <w:r w:rsidRPr="00E62E60">
        <w:rPr>
          <w:rFonts w:cs="Arial"/>
          <w:szCs w:val="20"/>
        </w:rPr>
        <w:t>.</w:t>
      </w:r>
    </w:p>
  </w:footnote>
  <w:footnote w:id="115">
    <w:p w14:paraId="5F8840E5" w14:textId="630803C7" w:rsidR="004865E9" w:rsidRDefault="004865E9">
      <w:pPr>
        <w:pStyle w:val="FootnoteText"/>
      </w:pPr>
      <w:r>
        <w:rPr>
          <w:rStyle w:val="FootnoteReference"/>
        </w:rPr>
        <w:footnoteRef/>
      </w:r>
      <w:r>
        <w:t xml:space="preserve"> </w:t>
      </w:r>
      <w:r w:rsidRPr="0022651A">
        <w:rPr>
          <w:i/>
        </w:rPr>
        <w:t>Ibid</w:t>
      </w:r>
      <w:r>
        <w:t>.</w:t>
      </w:r>
    </w:p>
  </w:footnote>
  <w:footnote w:id="116">
    <w:p w14:paraId="0181D882" w14:textId="6601D1CD" w:rsidR="004865E9" w:rsidRPr="00A306E1" w:rsidRDefault="004865E9" w:rsidP="00C836AC">
      <w:pPr>
        <w:pStyle w:val="FootnoteText"/>
        <w:rPr>
          <w:rFonts w:cs="Arial"/>
          <w:szCs w:val="20"/>
        </w:rPr>
      </w:pPr>
      <w:r w:rsidRPr="00A306E1">
        <w:rPr>
          <w:rStyle w:val="FootnoteReference"/>
          <w:rFonts w:cs="Arial"/>
          <w:szCs w:val="20"/>
        </w:rPr>
        <w:footnoteRef/>
      </w:r>
      <w:r w:rsidRPr="00A306E1">
        <w:rPr>
          <w:rFonts w:cs="Arial"/>
          <w:szCs w:val="20"/>
        </w:rPr>
        <w:t xml:space="preserve"> </w:t>
      </w:r>
      <w:r>
        <w:rPr>
          <w:rFonts w:cs="Arial"/>
          <w:szCs w:val="20"/>
        </w:rPr>
        <w:t xml:space="preserve">On which see </w:t>
      </w:r>
      <w:r w:rsidRPr="009C6891">
        <w:rPr>
          <w:rFonts w:cs="Arial"/>
          <w:szCs w:val="20"/>
        </w:rPr>
        <w:t xml:space="preserve">S Gilmore and J Herring, ‘“No” is the </w:t>
      </w:r>
      <w:r>
        <w:rPr>
          <w:rFonts w:cs="Arial"/>
          <w:szCs w:val="20"/>
        </w:rPr>
        <w:t>H</w:t>
      </w:r>
      <w:r w:rsidRPr="009C6891">
        <w:rPr>
          <w:rFonts w:cs="Arial"/>
          <w:szCs w:val="20"/>
        </w:rPr>
        <w:t xml:space="preserve">ardest </w:t>
      </w:r>
      <w:r>
        <w:rPr>
          <w:rFonts w:cs="Arial"/>
          <w:szCs w:val="20"/>
        </w:rPr>
        <w:t>W</w:t>
      </w:r>
      <w:r w:rsidRPr="009C6891">
        <w:rPr>
          <w:rFonts w:cs="Arial"/>
          <w:szCs w:val="20"/>
        </w:rPr>
        <w:t xml:space="preserve">ord: Consent and </w:t>
      </w:r>
      <w:r>
        <w:rPr>
          <w:rFonts w:cs="Arial"/>
          <w:szCs w:val="20"/>
        </w:rPr>
        <w:t>C</w:t>
      </w:r>
      <w:r w:rsidRPr="009C6891">
        <w:rPr>
          <w:rFonts w:cs="Arial"/>
          <w:szCs w:val="20"/>
        </w:rPr>
        <w:t xml:space="preserve">hildren’s </w:t>
      </w:r>
      <w:r>
        <w:rPr>
          <w:rFonts w:cs="Arial"/>
          <w:szCs w:val="20"/>
        </w:rPr>
        <w:t>A</w:t>
      </w:r>
      <w:r w:rsidRPr="009C6891">
        <w:rPr>
          <w:rFonts w:cs="Arial"/>
          <w:szCs w:val="20"/>
        </w:rPr>
        <w:t xml:space="preserve">utonomy’ </w:t>
      </w:r>
      <w:r>
        <w:rPr>
          <w:rFonts w:cs="Arial"/>
          <w:szCs w:val="20"/>
        </w:rPr>
        <w:t>[</w:t>
      </w:r>
      <w:r w:rsidRPr="009C6891">
        <w:rPr>
          <w:rFonts w:cs="Arial"/>
          <w:szCs w:val="20"/>
        </w:rPr>
        <w:t>2011</w:t>
      </w:r>
      <w:r>
        <w:rPr>
          <w:rFonts w:cs="Arial"/>
          <w:szCs w:val="20"/>
        </w:rPr>
        <w:t>]</w:t>
      </w:r>
      <w:r w:rsidRPr="009C6891">
        <w:rPr>
          <w:rFonts w:cs="Arial"/>
          <w:szCs w:val="20"/>
        </w:rPr>
        <w:t xml:space="preserve"> 23 </w:t>
      </w:r>
      <w:r>
        <w:rPr>
          <w:rFonts w:cs="Arial"/>
          <w:szCs w:val="20"/>
        </w:rPr>
        <w:t>CFLQ</w:t>
      </w:r>
      <w:r w:rsidRPr="009C6891">
        <w:rPr>
          <w:rFonts w:cs="Arial"/>
          <w:szCs w:val="20"/>
        </w:rPr>
        <w:t xml:space="preserve"> 3</w:t>
      </w:r>
      <w:r>
        <w:rPr>
          <w:rFonts w:cs="Arial"/>
          <w:szCs w:val="20"/>
        </w:rPr>
        <w:t xml:space="preserve"> cf. </w:t>
      </w:r>
      <w:r w:rsidRPr="009C6891">
        <w:rPr>
          <w:szCs w:val="20"/>
        </w:rPr>
        <w:t xml:space="preserve">E Cave and J </w:t>
      </w:r>
      <w:proofErr w:type="spellStart"/>
      <w:r w:rsidRPr="009C6891">
        <w:rPr>
          <w:szCs w:val="20"/>
        </w:rPr>
        <w:t>Wallbank</w:t>
      </w:r>
      <w:proofErr w:type="spellEnd"/>
      <w:r>
        <w:rPr>
          <w:szCs w:val="20"/>
        </w:rPr>
        <w:t>, ‘</w:t>
      </w:r>
      <w:r w:rsidRPr="009C6891">
        <w:rPr>
          <w:szCs w:val="20"/>
        </w:rPr>
        <w:t>Minor</w:t>
      </w:r>
      <w:r>
        <w:rPr>
          <w:szCs w:val="20"/>
        </w:rPr>
        <w:t>s' Capacity to Refuse Treatment: A R</w:t>
      </w:r>
      <w:r w:rsidRPr="009C6891">
        <w:rPr>
          <w:szCs w:val="20"/>
        </w:rPr>
        <w:t>eply to G</w:t>
      </w:r>
      <w:r>
        <w:rPr>
          <w:szCs w:val="20"/>
        </w:rPr>
        <w:t>ilmore and Herring' (2012) 20</w:t>
      </w:r>
      <w:r w:rsidRPr="009C6891">
        <w:rPr>
          <w:szCs w:val="20"/>
        </w:rPr>
        <w:t xml:space="preserve"> Med L Rev 423.</w:t>
      </w:r>
    </w:p>
  </w:footnote>
  <w:footnote w:id="117">
    <w:p w14:paraId="3B9A7E89" w14:textId="1577CF04" w:rsidR="004865E9" w:rsidRDefault="004865E9">
      <w:pPr>
        <w:pStyle w:val="FootnoteText"/>
      </w:pPr>
      <w:r>
        <w:rPr>
          <w:rStyle w:val="FootnoteReference"/>
        </w:rPr>
        <w:footnoteRef/>
      </w:r>
      <w:r>
        <w:t xml:space="preserve"> </w:t>
      </w:r>
      <w:r>
        <w:rPr>
          <w:rFonts w:cs="Arial"/>
          <w:szCs w:val="20"/>
        </w:rPr>
        <w:t xml:space="preserve">Heywood and </w:t>
      </w:r>
      <w:proofErr w:type="spellStart"/>
      <w:r>
        <w:rPr>
          <w:rFonts w:cs="Arial"/>
          <w:szCs w:val="20"/>
        </w:rPr>
        <w:t>Miola</w:t>
      </w:r>
      <w:proofErr w:type="spellEnd"/>
      <w:r>
        <w:rPr>
          <w:rFonts w:cs="Arial"/>
          <w:szCs w:val="20"/>
        </w:rPr>
        <w:t xml:space="preserve"> (n 6</w:t>
      </w:r>
      <w:r w:rsidR="004B7CB4">
        <w:rPr>
          <w:rFonts w:cs="Arial"/>
          <w:szCs w:val="20"/>
        </w:rPr>
        <w:t>5</w:t>
      </w:r>
      <w:r>
        <w:rPr>
          <w:rFonts w:cs="Arial"/>
          <w:szCs w:val="20"/>
        </w:rPr>
        <w:t>)</w:t>
      </w:r>
      <w:r w:rsidRPr="00595C70">
        <w:t>.</w:t>
      </w:r>
    </w:p>
  </w:footnote>
  <w:footnote w:id="118">
    <w:p w14:paraId="6CA7864C" w14:textId="304D7B96" w:rsidR="004865E9" w:rsidRDefault="004865E9">
      <w:pPr>
        <w:pStyle w:val="FootnoteText"/>
      </w:pPr>
      <w:r>
        <w:rPr>
          <w:rStyle w:val="FootnoteReference"/>
        </w:rPr>
        <w:footnoteRef/>
      </w:r>
      <w:r>
        <w:t xml:space="preserve"> </w:t>
      </w:r>
      <w:proofErr w:type="spellStart"/>
      <w:r w:rsidRPr="00E13DFD">
        <w:rPr>
          <w:i/>
        </w:rPr>
        <w:t>Duce</w:t>
      </w:r>
      <w:proofErr w:type="spellEnd"/>
      <w:r>
        <w:rPr>
          <w:i/>
        </w:rPr>
        <w:t xml:space="preserve"> </w:t>
      </w:r>
      <w:r>
        <w:t xml:space="preserve">(n </w:t>
      </w:r>
      <w:r w:rsidR="004B7CB4">
        <w:t>11</w:t>
      </w:r>
      <w:r>
        <w:t>).</w:t>
      </w:r>
    </w:p>
  </w:footnote>
  <w:footnote w:id="119">
    <w:p w14:paraId="6D5BA580" w14:textId="77777777" w:rsidR="004865E9" w:rsidRPr="004222E3" w:rsidRDefault="004865E9" w:rsidP="00C836AC">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Re S (Child as Parent: Adoption: Consent)</w:t>
      </w:r>
      <w:r w:rsidRPr="004222E3">
        <w:rPr>
          <w:rFonts w:cs="Arial"/>
          <w:szCs w:val="20"/>
        </w:rPr>
        <w:t xml:space="preserve"> [2017] EWHC 2729 (Fam).</w:t>
      </w:r>
    </w:p>
  </w:footnote>
  <w:footnote w:id="120">
    <w:p w14:paraId="6FE91B21" w14:textId="67BB5883" w:rsidR="004865E9" w:rsidRPr="004222E3" w:rsidRDefault="004865E9" w:rsidP="00C836AC">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0F4EF1">
        <w:rPr>
          <w:rFonts w:cs="Arial"/>
          <w:i/>
          <w:szCs w:val="20"/>
        </w:rPr>
        <w:t>Ibid</w:t>
      </w:r>
      <w:r>
        <w:rPr>
          <w:rFonts w:cs="Arial"/>
          <w:szCs w:val="20"/>
        </w:rPr>
        <w:t xml:space="preserve">., </w:t>
      </w:r>
      <w:r w:rsidRPr="004222E3">
        <w:rPr>
          <w:rFonts w:cs="Arial"/>
          <w:szCs w:val="20"/>
        </w:rPr>
        <w:t>[60].</w:t>
      </w:r>
    </w:p>
  </w:footnote>
  <w:footnote w:id="121">
    <w:p w14:paraId="38DFF275" w14:textId="3D5CF896" w:rsidR="004865E9" w:rsidRDefault="004865E9">
      <w:pPr>
        <w:pStyle w:val="FootnoteText"/>
      </w:pPr>
      <w:r>
        <w:rPr>
          <w:rStyle w:val="FootnoteReference"/>
        </w:rPr>
        <w:footnoteRef/>
      </w:r>
      <w:r>
        <w:t xml:space="preserve"> </w:t>
      </w:r>
      <w:r w:rsidRPr="00E13DFD">
        <w:rPr>
          <w:i/>
        </w:rPr>
        <w:t>City of York Council v C</w:t>
      </w:r>
      <w:r w:rsidRPr="00E13DFD">
        <w:t xml:space="preserve"> [2013] EWCA </w:t>
      </w:r>
      <w:proofErr w:type="spellStart"/>
      <w:r w:rsidRPr="00E13DFD">
        <w:t>Civ</w:t>
      </w:r>
      <w:proofErr w:type="spellEnd"/>
      <w:r w:rsidRPr="00E13DFD">
        <w:t xml:space="preserve"> 478</w:t>
      </w:r>
      <w:r>
        <w:t>,</w:t>
      </w:r>
      <w:r w:rsidRPr="00E13DFD">
        <w:t xml:space="preserve"> [35]</w:t>
      </w:r>
      <w:r>
        <w:t>.</w:t>
      </w:r>
    </w:p>
  </w:footnote>
  <w:footnote w:id="122">
    <w:p w14:paraId="156C6639" w14:textId="278AE6A3" w:rsidR="004865E9" w:rsidRDefault="004865E9">
      <w:pPr>
        <w:pStyle w:val="FootnoteText"/>
      </w:pPr>
      <w:r>
        <w:rPr>
          <w:rStyle w:val="FootnoteReference"/>
        </w:rPr>
        <w:footnoteRef/>
      </w:r>
      <w:r>
        <w:t xml:space="preserve"> </w:t>
      </w:r>
      <w:r w:rsidRPr="004222E3">
        <w:rPr>
          <w:rFonts w:cs="Arial"/>
          <w:i/>
          <w:szCs w:val="20"/>
        </w:rPr>
        <w:t>Gillick</w:t>
      </w:r>
      <w:r>
        <w:rPr>
          <w:rFonts w:cs="Arial"/>
          <w:i/>
          <w:szCs w:val="20"/>
        </w:rPr>
        <w:t xml:space="preserve"> </w:t>
      </w:r>
      <w:r>
        <w:rPr>
          <w:rFonts w:cs="Arial"/>
          <w:iCs/>
          <w:szCs w:val="20"/>
        </w:rPr>
        <w:t>(n 1</w:t>
      </w:r>
      <w:r w:rsidR="004B7CB4">
        <w:rPr>
          <w:rFonts w:cs="Arial"/>
          <w:iCs/>
          <w:szCs w:val="20"/>
        </w:rPr>
        <w:t>8</w:t>
      </w:r>
      <w:r>
        <w:rPr>
          <w:rFonts w:cs="Arial"/>
          <w:iCs/>
          <w:szCs w:val="20"/>
        </w:rPr>
        <w:t>)</w:t>
      </w:r>
      <w:r w:rsidRPr="004222E3">
        <w:rPr>
          <w:rFonts w:cs="Arial"/>
          <w:iCs/>
          <w:szCs w:val="20"/>
        </w:rPr>
        <w:t>,</w:t>
      </w:r>
      <w:r>
        <w:rPr>
          <w:rFonts w:cs="Arial"/>
          <w:szCs w:val="20"/>
        </w:rPr>
        <w:t xml:space="preserve"> 169 (</w:t>
      </w:r>
      <w:r w:rsidRPr="004222E3">
        <w:rPr>
          <w:rFonts w:cs="Arial"/>
          <w:szCs w:val="20"/>
        </w:rPr>
        <w:t>Lord Fraser</w:t>
      </w:r>
      <w:r>
        <w:rPr>
          <w:rFonts w:cs="Arial"/>
          <w:szCs w:val="20"/>
        </w:rPr>
        <w:t>) and 186 (</w:t>
      </w:r>
      <w:r w:rsidRPr="004222E3">
        <w:rPr>
          <w:rFonts w:cs="Arial"/>
          <w:szCs w:val="20"/>
        </w:rPr>
        <w:t>Lord Scarman</w:t>
      </w:r>
      <w:r>
        <w:rPr>
          <w:rFonts w:cs="Arial"/>
          <w:szCs w:val="20"/>
        </w:rPr>
        <w:t>)</w:t>
      </w:r>
      <w:r w:rsidRPr="004222E3">
        <w:rPr>
          <w:rFonts w:cs="Arial"/>
          <w:szCs w:val="20"/>
        </w:rPr>
        <w:t>.</w:t>
      </w:r>
    </w:p>
  </w:footnote>
  <w:footnote w:id="123">
    <w:p w14:paraId="1926EA5E" w14:textId="16BEB716"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Re T</w:t>
      </w:r>
      <w:r w:rsidRPr="004222E3">
        <w:rPr>
          <w:rFonts w:cs="Arial"/>
          <w:szCs w:val="20"/>
        </w:rPr>
        <w:t xml:space="preserve"> [1992] EWCA </w:t>
      </w:r>
      <w:proofErr w:type="spellStart"/>
      <w:r w:rsidRPr="004222E3">
        <w:rPr>
          <w:rFonts w:cs="Arial"/>
          <w:szCs w:val="20"/>
        </w:rPr>
        <w:t>Civ</w:t>
      </w:r>
      <w:proofErr w:type="spellEnd"/>
      <w:r w:rsidRPr="004222E3">
        <w:rPr>
          <w:rFonts w:cs="Arial"/>
          <w:szCs w:val="20"/>
        </w:rPr>
        <w:t xml:space="preserve"> 18</w:t>
      </w:r>
      <w:r>
        <w:rPr>
          <w:rFonts w:cs="Arial"/>
          <w:szCs w:val="20"/>
        </w:rPr>
        <w:t xml:space="preserve">, </w:t>
      </w:r>
      <w:r w:rsidRPr="004222E3">
        <w:rPr>
          <w:rFonts w:cs="Arial"/>
          <w:szCs w:val="20"/>
        </w:rPr>
        <w:t xml:space="preserve">[60]-[61]. And see </w:t>
      </w:r>
      <w:r w:rsidRPr="004222E3">
        <w:rPr>
          <w:rFonts w:cs="Arial"/>
          <w:i/>
          <w:szCs w:val="20"/>
        </w:rPr>
        <w:t>Re F</w:t>
      </w:r>
      <w:r>
        <w:rPr>
          <w:rFonts w:cs="Arial"/>
          <w:i/>
          <w:szCs w:val="20"/>
        </w:rPr>
        <w:t xml:space="preserve"> </w:t>
      </w:r>
      <w:r>
        <w:rPr>
          <w:rFonts w:cs="Arial"/>
          <w:szCs w:val="20"/>
        </w:rPr>
        <w:t>(n 10</w:t>
      </w:r>
      <w:r w:rsidR="004B7CB4">
        <w:rPr>
          <w:rFonts w:cs="Arial"/>
          <w:szCs w:val="20"/>
        </w:rPr>
        <w:t>5</w:t>
      </w:r>
      <w:r>
        <w:rPr>
          <w:rFonts w:cs="Arial"/>
          <w:szCs w:val="20"/>
        </w:rPr>
        <w:t>), 78 (</w:t>
      </w:r>
      <w:r w:rsidRPr="004222E3">
        <w:rPr>
          <w:rFonts w:cs="Arial"/>
          <w:szCs w:val="20"/>
        </w:rPr>
        <w:t>Lord Goff</w:t>
      </w:r>
      <w:r>
        <w:rPr>
          <w:rFonts w:cs="Arial"/>
          <w:szCs w:val="20"/>
        </w:rPr>
        <w:t>)</w:t>
      </w:r>
      <w:r w:rsidRPr="004222E3">
        <w:rPr>
          <w:rFonts w:cs="Arial"/>
          <w:szCs w:val="20"/>
        </w:rPr>
        <w:t>.</w:t>
      </w:r>
    </w:p>
  </w:footnote>
  <w:footnote w:id="124">
    <w:p w14:paraId="04F9C7A8" w14:textId="26204EFC" w:rsidR="004865E9" w:rsidRPr="004222E3"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See </w:t>
      </w:r>
      <w:r w:rsidRPr="004222E3">
        <w:rPr>
          <w:rFonts w:cs="Arial"/>
          <w:i/>
          <w:szCs w:val="20"/>
        </w:rPr>
        <w:t>Re MB (Caesarean Section)</w:t>
      </w:r>
      <w:r w:rsidRPr="004222E3">
        <w:rPr>
          <w:rFonts w:cs="Arial"/>
          <w:szCs w:val="20"/>
        </w:rPr>
        <w:t xml:space="preserve"> [1997] 2 FLR 426</w:t>
      </w:r>
      <w:r>
        <w:rPr>
          <w:rFonts w:cs="Arial"/>
          <w:szCs w:val="20"/>
        </w:rPr>
        <w:t xml:space="preserve"> (CA), 438</w:t>
      </w:r>
      <w:r w:rsidRPr="004222E3">
        <w:rPr>
          <w:rFonts w:cs="Arial"/>
          <w:szCs w:val="20"/>
        </w:rPr>
        <w:t xml:space="preserve"> </w:t>
      </w:r>
      <w:r>
        <w:rPr>
          <w:rFonts w:cs="Arial"/>
          <w:szCs w:val="20"/>
        </w:rPr>
        <w:t>(</w:t>
      </w:r>
      <w:r w:rsidRPr="004222E3">
        <w:rPr>
          <w:rFonts w:cs="Arial"/>
          <w:szCs w:val="20"/>
        </w:rPr>
        <w:t>Butler-</w:t>
      </w:r>
      <w:proofErr w:type="spellStart"/>
      <w:r w:rsidRPr="004222E3">
        <w:rPr>
          <w:rFonts w:cs="Arial"/>
          <w:szCs w:val="20"/>
        </w:rPr>
        <w:t>Sloss</w:t>
      </w:r>
      <w:proofErr w:type="spellEnd"/>
      <w:r w:rsidRPr="004222E3">
        <w:rPr>
          <w:rFonts w:cs="Arial"/>
          <w:szCs w:val="20"/>
        </w:rPr>
        <w:t xml:space="preserve"> </w:t>
      </w:r>
      <w:r>
        <w:rPr>
          <w:rFonts w:cs="Arial"/>
          <w:szCs w:val="20"/>
        </w:rPr>
        <w:t>L.J.)</w:t>
      </w:r>
      <w:r w:rsidRPr="004222E3">
        <w:rPr>
          <w:rFonts w:cs="Arial"/>
          <w:szCs w:val="20"/>
        </w:rPr>
        <w:t xml:space="preserve">: ‘The only situation in which it is lawful for the doctors to intervene is if it is </w:t>
      </w:r>
      <w:r w:rsidRPr="004222E3">
        <w:rPr>
          <w:rFonts w:cs="Arial"/>
          <w:i/>
          <w:szCs w:val="20"/>
        </w:rPr>
        <w:t>believed</w:t>
      </w:r>
      <w:r w:rsidRPr="004222E3">
        <w:rPr>
          <w:rFonts w:cs="Arial"/>
          <w:szCs w:val="20"/>
        </w:rPr>
        <w:t xml:space="preserve"> that the adult patie</w:t>
      </w:r>
      <w:r>
        <w:rPr>
          <w:rFonts w:cs="Arial"/>
          <w:szCs w:val="20"/>
        </w:rPr>
        <w:t>nt lacks the capacity to decide’ (e</w:t>
      </w:r>
      <w:r w:rsidRPr="004222E3">
        <w:rPr>
          <w:rFonts w:cs="Arial"/>
          <w:szCs w:val="20"/>
        </w:rPr>
        <w:t>mphasis added).</w:t>
      </w:r>
    </w:p>
  </w:footnote>
  <w:footnote w:id="125">
    <w:p w14:paraId="7D6D31A6" w14:textId="1244F073" w:rsidR="004865E9" w:rsidRPr="004222E3" w:rsidRDefault="004865E9" w:rsidP="0075085F">
      <w:pPr>
        <w:pStyle w:val="FootnoteText"/>
        <w:rPr>
          <w:rFonts w:cs="Arial"/>
          <w:szCs w:val="20"/>
        </w:rPr>
      </w:pPr>
      <w:r w:rsidRPr="004222E3">
        <w:rPr>
          <w:rStyle w:val="FootnoteReference"/>
          <w:rFonts w:cs="Arial"/>
          <w:szCs w:val="20"/>
        </w:rPr>
        <w:footnoteRef/>
      </w:r>
      <w:r>
        <w:rPr>
          <w:rFonts w:cs="Arial"/>
          <w:szCs w:val="20"/>
        </w:rPr>
        <w:t xml:space="preserve"> S Michalowski, ‘Trial and E</w:t>
      </w:r>
      <w:r w:rsidRPr="004222E3">
        <w:rPr>
          <w:rFonts w:cs="Arial"/>
          <w:szCs w:val="20"/>
        </w:rPr>
        <w:t>rror</w:t>
      </w:r>
      <w:r>
        <w:rPr>
          <w:rFonts w:cs="Arial"/>
          <w:szCs w:val="20"/>
        </w:rPr>
        <w:t xml:space="preserve"> at the End of Life – No Harm D</w:t>
      </w:r>
      <w:r w:rsidRPr="004222E3">
        <w:rPr>
          <w:rFonts w:cs="Arial"/>
          <w:szCs w:val="20"/>
        </w:rPr>
        <w:t>one?’ (2007) 27(1) OJLS 257, 259.</w:t>
      </w:r>
    </w:p>
  </w:footnote>
  <w:footnote w:id="126">
    <w:p w14:paraId="5ECADA3B" w14:textId="2D827F7D" w:rsidR="004865E9" w:rsidRPr="004222E3" w:rsidRDefault="004865E9" w:rsidP="001E6071">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Re T (A Minor) (Wardship Medical Treatment</w:t>
      </w:r>
      <w:r w:rsidRPr="004222E3">
        <w:rPr>
          <w:rFonts w:cs="Arial"/>
          <w:szCs w:val="20"/>
        </w:rPr>
        <w:t>) [1997] 1 WLR 242</w:t>
      </w:r>
      <w:r>
        <w:rPr>
          <w:rFonts w:cs="Arial"/>
          <w:szCs w:val="20"/>
        </w:rPr>
        <w:t xml:space="preserve"> (CA), 250-251 (</w:t>
      </w:r>
      <w:r w:rsidRPr="004222E3">
        <w:rPr>
          <w:rFonts w:cs="Arial"/>
          <w:szCs w:val="20"/>
        </w:rPr>
        <w:t>Butler-</w:t>
      </w:r>
      <w:proofErr w:type="spellStart"/>
      <w:r w:rsidRPr="004222E3">
        <w:rPr>
          <w:rFonts w:cs="Arial"/>
          <w:szCs w:val="20"/>
        </w:rPr>
        <w:t>Sloss</w:t>
      </w:r>
      <w:proofErr w:type="spellEnd"/>
      <w:r w:rsidRPr="004222E3">
        <w:rPr>
          <w:rFonts w:cs="Arial"/>
          <w:szCs w:val="20"/>
        </w:rPr>
        <w:t xml:space="preserve"> </w:t>
      </w:r>
      <w:r>
        <w:rPr>
          <w:rFonts w:cs="Arial"/>
          <w:szCs w:val="20"/>
        </w:rPr>
        <w:t>L.J.)</w:t>
      </w:r>
      <w:r w:rsidRPr="004222E3">
        <w:rPr>
          <w:rFonts w:cs="Arial"/>
          <w:szCs w:val="20"/>
        </w:rPr>
        <w:t xml:space="preserve">, </w:t>
      </w:r>
      <w:r w:rsidRPr="004222E3">
        <w:rPr>
          <w:rFonts w:cs="Arial"/>
          <w:i/>
          <w:szCs w:val="20"/>
        </w:rPr>
        <w:t xml:space="preserve">Aintree </w:t>
      </w:r>
      <w:r>
        <w:rPr>
          <w:rFonts w:cs="Arial"/>
          <w:szCs w:val="20"/>
        </w:rPr>
        <w:t>(n 10</w:t>
      </w:r>
      <w:r w:rsidR="004B7CB4">
        <w:rPr>
          <w:rFonts w:cs="Arial"/>
          <w:szCs w:val="20"/>
        </w:rPr>
        <w:t>8</w:t>
      </w:r>
      <w:r>
        <w:rPr>
          <w:rFonts w:cs="Arial"/>
          <w:szCs w:val="20"/>
        </w:rPr>
        <w:t>), [39] (</w:t>
      </w:r>
      <w:r w:rsidRPr="004222E3">
        <w:rPr>
          <w:rFonts w:cs="Arial"/>
          <w:szCs w:val="20"/>
        </w:rPr>
        <w:t>Lady Hale</w:t>
      </w:r>
      <w:r>
        <w:rPr>
          <w:rFonts w:cs="Arial"/>
          <w:szCs w:val="20"/>
        </w:rPr>
        <w:t>)</w:t>
      </w:r>
      <w:r w:rsidRPr="004222E3">
        <w:rPr>
          <w:rFonts w:cs="Arial"/>
          <w:szCs w:val="20"/>
        </w:rPr>
        <w:t>.</w:t>
      </w:r>
    </w:p>
  </w:footnote>
  <w:footnote w:id="127">
    <w:p w14:paraId="3F6D6765" w14:textId="0261B69B" w:rsidR="004865E9" w:rsidRDefault="004865E9">
      <w:pPr>
        <w:pStyle w:val="FootnoteText"/>
      </w:pPr>
      <w:r>
        <w:rPr>
          <w:rStyle w:val="FootnoteReference"/>
        </w:rPr>
        <w:footnoteRef/>
      </w:r>
      <w:r>
        <w:t xml:space="preserve"> </w:t>
      </w:r>
      <w:r w:rsidRPr="003276A9">
        <w:rPr>
          <w:i/>
        </w:rPr>
        <w:t xml:space="preserve">ZH </w:t>
      </w:r>
      <w:r>
        <w:t xml:space="preserve">(n </w:t>
      </w:r>
      <w:r w:rsidR="00B72C83">
        <w:t>70</w:t>
      </w:r>
      <w:r>
        <w:t>), [34]-[35] (Lady Hale).</w:t>
      </w:r>
    </w:p>
  </w:footnote>
  <w:footnote w:id="128">
    <w:p w14:paraId="34392D90" w14:textId="13DCB252" w:rsidR="004865E9" w:rsidRDefault="004865E9">
      <w:pPr>
        <w:pStyle w:val="FootnoteText"/>
      </w:pPr>
      <w:r>
        <w:rPr>
          <w:rStyle w:val="FootnoteReference"/>
        </w:rPr>
        <w:footnoteRef/>
      </w:r>
      <w:r>
        <w:t xml:space="preserve"> Ibid, [34].</w:t>
      </w:r>
    </w:p>
  </w:footnote>
  <w:footnote w:id="129">
    <w:p w14:paraId="322214AF" w14:textId="74054B1B" w:rsidR="004865E9" w:rsidRDefault="004865E9">
      <w:pPr>
        <w:pStyle w:val="FootnoteText"/>
      </w:pPr>
      <w:r>
        <w:rPr>
          <w:rStyle w:val="FootnoteReference"/>
        </w:rPr>
        <w:footnoteRef/>
      </w:r>
      <w:r>
        <w:t xml:space="preserve"> Children Act 1989, s1(3).</w:t>
      </w:r>
    </w:p>
  </w:footnote>
  <w:footnote w:id="130">
    <w:p w14:paraId="3232DB55" w14:textId="79A703C4" w:rsidR="004865E9" w:rsidRPr="004222E3" w:rsidRDefault="004865E9" w:rsidP="00446100">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i/>
          <w:szCs w:val="20"/>
        </w:rPr>
        <w:t>(A Minor) (Wardship) (S</w:t>
      </w:r>
      <w:r w:rsidRPr="004222E3">
        <w:rPr>
          <w:rFonts w:cs="Arial"/>
          <w:i/>
          <w:szCs w:val="20"/>
        </w:rPr>
        <w:t>terilisation)</w:t>
      </w:r>
      <w:r w:rsidRPr="004222E3">
        <w:rPr>
          <w:rFonts w:cs="Arial"/>
          <w:szCs w:val="20"/>
        </w:rPr>
        <w:t xml:space="preserve"> [1976] Fam 185</w:t>
      </w:r>
      <w:r>
        <w:rPr>
          <w:rFonts w:cs="Arial"/>
          <w:szCs w:val="20"/>
        </w:rPr>
        <w:t xml:space="preserve"> (Fam)</w:t>
      </w:r>
      <w:r w:rsidRPr="004222E3">
        <w:rPr>
          <w:rFonts w:cs="Arial"/>
          <w:szCs w:val="20"/>
        </w:rPr>
        <w:t xml:space="preserve">. Cited in </w:t>
      </w:r>
      <w:r>
        <w:rPr>
          <w:rFonts w:cs="Arial"/>
          <w:i/>
          <w:szCs w:val="20"/>
        </w:rPr>
        <w:t xml:space="preserve">Re </w:t>
      </w:r>
      <w:r w:rsidRPr="004222E3">
        <w:rPr>
          <w:rFonts w:cs="Arial"/>
          <w:i/>
          <w:szCs w:val="20"/>
        </w:rPr>
        <w:t>F</w:t>
      </w:r>
      <w:r>
        <w:rPr>
          <w:rFonts w:cs="Arial"/>
          <w:i/>
          <w:szCs w:val="20"/>
        </w:rPr>
        <w:t xml:space="preserve"> </w:t>
      </w:r>
      <w:r>
        <w:rPr>
          <w:rFonts w:cs="Arial"/>
          <w:szCs w:val="20"/>
        </w:rPr>
        <w:t>(n 10</w:t>
      </w:r>
      <w:r w:rsidR="004B7CB4">
        <w:rPr>
          <w:rFonts w:cs="Arial"/>
          <w:szCs w:val="20"/>
        </w:rPr>
        <w:t>5</w:t>
      </w:r>
      <w:r>
        <w:rPr>
          <w:rFonts w:cs="Arial"/>
          <w:szCs w:val="20"/>
        </w:rPr>
        <w:t>)</w:t>
      </w:r>
      <w:r w:rsidRPr="004222E3">
        <w:rPr>
          <w:rFonts w:cs="Arial"/>
          <w:szCs w:val="20"/>
        </w:rPr>
        <w:t xml:space="preserve">, 20, 41, 69 and 79. </w:t>
      </w:r>
    </w:p>
  </w:footnote>
  <w:footnote w:id="131">
    <w:p w14:paraId="2560A8F2" w14:textId="723E22EE" w:rsidR="004865E9" w:rsidRPr="004222E3" w:rsidRDefault="004865E9" w:rsidP="00516A3A">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i/>
          <w:szCs w:val="20"/>
        </w:rPr>
        <w:t>Re D</w:t>
      </w:r>
      <w:r>
        <w:rPr>
          <w:rFonts w:cs="Arial"/>
          <w:szCs w:val="20"/>
        </w:rPr>
        <w:t>,</w:t>
      </w:r>
      <w:r>
        <w:rPr>
          <w:rFonts w:cs="Arial"/>
          <w:i/>
          <w:szCs w:val="20"/>
        </w:rPr>
        <w:t xml:space="preserve"> i</w:t>
      </w:r>
      <w:r w:rsidRPr="002A5BD7">
        <w:rPr>
          <w:rFonts w:cs="Arial"/>
          <w:i/>
          <w:szCs w:val="20"/>
        </w:rPr>
        <w:t>bid</w:t>
      </w:r>
      <w:r>
        <w:rPr>
          <w:rFonts w:cs="Arial"/>
          <w:szCs w:val="20"/>
        </w:rPr>
        <w:t>., 193 (</w:t>
      </w:r>
      <w:proofErr w:type="spellStart"/>
      <w:r w:rsidRPr="004222E3">
        <w:rPr>
          <w:rFonts w:cs="Arial"/>
          <w:szCs w:val="20"/>
        </w:rPr>
        <w:t>Heilbron</w:t>
      </w:r>
      <w:proofErr w:type="spellEnd"/>
      <w:r w:rsidRPr="004222E3">
        <w:rPr>
          <w:rFonts w:cs="Arial"/>
          <w:szCs w:val="20"/>
        </w:rPr>
        <w:t xml:space="preserve"> J</w:t>
      </w:r>
      <w:r>
        <w:rPr>
          <w:rFonts w:cs="Arial"/>
          <w:szCs w:val="20"/>
        </w:rPr>
        <w:t>.)</w:t>
      </w:r>
      <w:r w:rsidRPr="004222E3">
        <w:rPr>
          <w:rFonts w:cs="Arial"/>
          <w:szCs w:val="20"/>
        </w:rPr>
        <w:t>.</w:t>
      </w:r>
    </w:p>
  </w:footnote>
  <w:footnote w:id="132">
    <w:p w14:paraId="17A8B44C" w14:textId="77777777" w:rsidR="004865E9" w:rsidRPr="004222E3" w:rsidRDefault="004865E9" w:rsidP="00446100">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2A5BD7">
        <w:rPr>
          <w:rFonts w:cs="Arial"/>
          <w:i/>
          <w:szCs w:val="20"/>
        </w:rPr>
        <w:t>Ibid</w:t>
      </w:r>
      <w:r w:rsidRPr="004222E3">
        <w:rPr>
          <w:rFonts w:cs="Arial"/>
          <w:szCs w:val="20"/>
        </w:rPr>
        <w:t>.</w:t>
      </w:r>
    </w:p>
  </w:footnote>
  <w:footnote w:id="133">
    <w:p w14:paraId="3E19905D" w14:textId="7438B0CD" w:rsidR="004865E9" w:rsidRPr="00A306E1" w:rsidRDefault="004865E9" w:rsidP="00446100">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2A5BD7">
        <w:rPr>
          <w:rFonts w:cs="Arial"/>
          <w:i/>
          <w:szCs w:val="20"/>
        </w:rPr>
        <w:t>Ibid</w:t>
      </w:r>
      <w:r>
        <w:rPr>
          <w:rFonts w:cs="Arial"/>
          <w:szCs w:val="20"/>
        </w:rPr>
        <w:t>.,</w:t>
      </w:r>
      <w:r w:rsidRPr="00A306E1">
        <w:rPr>
          <w:rFonts w:cs="Arial"/>
          <w:szCs w:val="20"/>
        </w:rPr>
        <w:t xml:space="preserve"> 194.</w:t>
      </w:r>
    </w:p>
  </w:footnote>
  <w:footnote w:id="134">
    <w:p w14:paraId="75C427EF" w14:textId="17485D89" w:rsidR="004865E9" w:rsidRPr="004222E3" w:rsidRDefault="004865E9" w:rsidP="00446100">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i/>
          <w:szCs w:val="20"/>
        </w:rPr>
        <w:t xml:space="preserve">Re </w:t>
      </w:r>
      <w:r w:rsidRPr="004222E3">
        <w:rPr>
          <w:rFonts w:cs="Arial"/>
          <w:i/>
          <w:szCs w:val="20"/>
        </w:rPr>
        <w:t>F</w:t>
      </w:r>
      <w:r>
        <w:rPr>
          <w:rFonts w:cs="Arial"/>
          <w:i/>
          <w:szCs w:val="20"/>
        </w:rPr>
        <w:t xml:space="preserve"> </w:t>
      </w:r>
      <w:r>
        <w:rPr>
          <w:rFonts w:cs="Arial"/>
          <w:szCs w:val="20"/>
        </w:rPr>
        <w:t>(n 10</w:t>
      </w:r>
      <w:r w:rsidR="00B72C83">
        <w:rPr>
          <w:rFonts w:cs="Arial"/>
          <w:szCs w:val="20"/>
        </w:rPr>
        <w:t>5</w:t>
      </w:r>
      <w:r>
        <w:rPr>
          <w:rFonts w:cs="Arial"/>
          <w:szCs w:val="20"/>
        </w:rPr>
        <w:t>) (CA), 20 (</w:t>
      </w:r>
      <w:r w:rsidRPr="004222E3">
        <w:rPr>
          <w:rFonts w:cs="Arial"/>
          <w:szCs w:val="20"/>
        </w:rPr>
        <w:t>Lord Donaldson</w:t>
      </w:r>
      <w:r>
        <w:rPr>
          <w:rFonts w:cs="Arial"/>
          <w:szCs w:val="20"/>
        </w:rPr>
        <w:t xml:space="preserve"> M.R.)</w:t>
      </w:r>
      <w:r w:rsidRPr="004222E3">
        <w:rPr>
          <w:rFonts w:cs="Arial"/>
          <w:szCs w:val="20"/>
        </w:rPr>
        <w:t>.</w:t>
      </w:r>
    </w:p>
  </w:footnote>
  <w:footnote w:id="135">
    <w:p w14:paraId="164EDA4F" w14:textId="77777777" w:rsidR="004865E9" w:rsidRPr="007A5D32" w:rsidRDefault="004865E9" w:rsidP="0075085F">
      <w:pPr>
        <w:pStyle w:val="FootnoteText"/>
        <w:rPr>
          <w:rFonts w:cs="Arial"/>
          <w:szCs w:val="20"/>
        </w:rPr>
      </w:pPr>
      <w:r w:rsidRPr="004222E3">
        <w:rPr>
          <w:rStyle w:val="FootnoteReference"/>
          <w:rFonts w:cs="Arial"/>
          <w:szCs w:val="20"/>
        </w:rPr>
        <w:footnoteRef/>
      </w:r>
      <w:r w:rsidRPr="004222E3">
        <w:rPr>
          <w:rFonts w:cs="Arial"/>
          <w:szCs w:val="20"/>
        </w:rPr>
        <w:t xml:space="preserve"> MCA 2005, s 4(9) (</w:t>
      </w:r>
      <w:r w:rsidRPr="007A5D32">
        <w:rPr>
          <w:rFonts w:cs="Arial"/>
          <w:szCs w:val="20"/>
        </w:rPr>
        <w:t>emphasis added).</w:t>
      </w:r>
    </w:p>
  </w:footnote>
  <w:footnote w:id="136">
    <w:p w14:paraId="362A46CD" w14:textId="7D5B521F" w:rsidR="004865E9" w:rsidRDefault="004865E9">
      <w:pPr>
        <w:pStyle w:val="FootnoteText"/>
      </w:pPr>
      <w:r>
        <w:rPr>
          <w:rStyle w:val="FootnoteReference"/>
        </w:rPr>
        <w:footnoteRef/>
      </w:r>
      <w:r>
        <w:t xml:space="preserve"> </w:t>
      </w:r>
      <w:r w:rsidRPr="007A5D32">
        <w:rPr>
          <w:lang w:val="en-US"/>
        </w:rPr>
        <w:t>MCA</w:t>
      </w:r>
      <w:r>
        <w:rPr>
          <w:lang w:val="en-US"/>
        </w:rPr>
        <w:t xml:space="preserve"> 2005</w:t>
      </w:r>
      <w:r w:rsidRPr="007A5D32">
        <w:rPr>
          <w:lang w:val="en-US"/>
        </w:rPr>
        <w:t>, s 4(4) and 4(9).</w:t>
      </w:r>
    </w:p>
  </w:footnote>
  <w:footnote w:id="137">
    <w:p w14:paraId="34512A2C" w14:textId="44DC894C" w:rsidR="004865E9" w:rsidRPr="00E72FE0" w:rsidRDefault="004865E9">
      <w:pPr>
        <w:pStyle w:val="FootnoteText"/>
        <w:rPr>
          <w:rFonts w:cs="Arial"/>
        </w:rPr>
      </w:pPr>
      <w:r>
        <w:rPr>
          <w:rStyle w:val="FootnoteReference"/>
        </w:rPr>
        <w:footnoteRef/>
      </w:r>
      <w:r>
        <w:t xml:space="preserve"> </w:t>
      </w:r>
      <w:r w:rsidRPr="00C50EF1">
        <w:rPr>
          <w:rFonts w:cs="Arial"/>
          <w:i/>
        </w:rPr>
        <w:t>ZH v Commissioner of Police for the Metropolis</w:t>
      </w:r>
      <w:r w:rsidRPr="00C50EF1">
        <w:rPr>
          <w:rFonts w:cs="Arial"/>
        </w:rPr>
        <w:t xml:space="preserve"> [</w:t>
      </w:r>
      <w:r w:rsidRPr="00C50EF1">
        <w:rPr>
          <w:rFonts w:cs="Arial"/>
          <w:lang w:val="en-US"/>
        </w:rPr>
        <w:t>2013] EWCA Civ 69,</w:t>
      </w:r>
      <w:r w:rsidRPr="00C50EF1">
        <w:rPr>
          <w:rFonts w:cs="Arial"/>
        </w:rPr>
        <w:t xml:space="preserve"> [88] (Lord Dyson M.R.).</w:t>
      </w:r>
      <w:r w:rsidR="00E72FE0">
        <w:rPr>
          <w:rFonts w:cs="Arial"/>
        </w:rPr>
        <w:t xml:space="preserve"> </w:t>
      </w:r>
      <w:r w:rsidR="00E72FE0" w:rsidRPr="00E72FE0">
        <w:rPr>
          <w:rFonts w:cs="Arial"/>
        </w:rPr>
        <w:t xml:space="preserve">In </w:t>
      </w:r>
      <w:proofErr w:type="spellStart"/>
      <w:r w:rsidR="00E72FE0" w:rsidRPr="004F710C">
        <w:rPr>
          <w:rFonts w:cs="Arial"/>
          <w:i/>
        </w:rPr>
        <w:t>Esegbona</w:t>
      </w:r>
      <w:proofErr w:type="spellEnd"/>
      <w:r w:rsidR="00E72FE0" w:rsidRPr="004F710C">
        <w:rPr>
          <w:rFonts w:cs="Arial"/>
          <w:i/>
        </w:rPr>
        <w:t xml:space="preserve"> v King’s College Hospital NHS FT</w:t>
      </w:r>
      <w:r w:rsidR="00E72FE0" w:rsidRPr="00E72FE0">
        <w:rPr>
          <w:rFonts w:cs="Arial"/>
        </w:rPr>
        <w:t xml:space="preserve"> [2019] EWHC 77 (QB) the hospital failed to make a best interests assessment of an adult patient and avoided consultation with the family in breach of the MCA. Deprivation of liberty safeguards were not followed. Aggravated damages were awarded for false imprisonment.</w:t>
      </w:r>
    </w:p>
  </w:footnote>
  <w:footnote w:id="138">
    <w:p w14:paraId="337B5454" w14:textId="4350910D" w:rsidR="004865E9" w:rsidRPr="00C50EF1" w:rsidRDefault="004865E9" w:rsidP="004126D1">
      <w:pPr>
        <w:pStyle w:val="FootnoteText"/>
      </w:pPr>
      <w:r w:rsidRPr="00C50EF1">
        <w:rPr>
          <w:rStyle w:val="FootnoteReference"/>
        </w:rPr>
        <w:footnoteRef/>
      </w:r>
      <w:r w:rsidRPr="00C50EF1">
        <w:t xml:space="preserve"> </w:t>
      </w:r>
      <w:r w:rsidRPr="00C50EF1">
        <w:rPr>
          <w:i/>
        </w:rPr>
        <w:t>R (on the application of Tracey) v Cambridge University Hospitals NHS Foundation Trust</w:t>
      </w:r>
      <w:r w:rsidRPr="00C50EF1">
        <w:t xml:space="preserve"> [2014] EWCA </w:t>
      </w:r>
      <w:proofErr w:type="spellStart"/>
      <w:r w:rsidRPr="00C50EF1">
        <w:t>Civ</w:t>
      </w:r>
      <w:proofErr w:type="spellEnd"/>
      <w:r w:rsidRPr="00C50EF1">
        <w:t xml:space="preserve"> 822; </w:t>
      </w:r>
      <w:proofErr w:type="spellStart"/>
      <w:r w:rsidRPr="00C50EF1">
        <w:rPr>
          <w:rFonts w:cs="Arial"/>
          <w:i/>
        </w:rPr>
        <w:t>Winspear</w:t>
      </w:r>
      <w:proofErr w:type="spellEnd"/>
      <w:r w:rsidRPr="00C50EF1">
        <w:rPr>
          <w:rFonts w:cs="Arial"/>
          <w:i/>
        </w:rPr>
        <w:t xml:space="preserve"> v City Hospitals Sunderland NHS Foundation Trust</w:t>
      </w:r>
      <w:r w:rsidRPr="00C50EF1">
        <w:rPr>
          <w:rFonts w:cs="Arial"/>
        </w:rPr>
        <w:t xml:space="preserve"> [2015] EWHC 3250 (QB).</w:t>
      </w:r>
    </w:p>
  </w:footnote>
  <w:footnote w:id="139">
    <w:p w14:paraId="6F7A40A4" w14:textId="4E390764" w:rsidR="004865E9" w:rsidRPr="00C50EF1" w:rsidRDefault="004865E9">
      <w:pPr>
        <w:pStyle w:val="FootnoteText"/>
      </w:pPr>
      <w:r w:rsidRPr="00C50EF1">
        <w:rPr>
          <w:rStyle w:val="FootnoteReference"/>
        </w:rPr>
        <w:footnoteRef/>
      </w:r>
      <w:r w:rsidRPr="00C50EF1">
        <w:t xml:space="preserve"> </w:t>
      </w:r>
      <w:r w:rsidRPr="00C50EF1">
        <w:rPr>
          <w:i/>
        </w:rPr>
        <w:t>Re D</w:t>
      </w:r>
      <w:r w:rsidRPr="00C50EF1">
        <w:t xml:space="preserve"> (n </w:t>
      </w:r>
      <w:r w:rsidR="00FA5EFD">
        <w:t>21</w:t>
      </w:r>
      <w:r w:rsidRPr="00C50EF1">
        <w:t>), [126] (Sir James Munby P.)</w:t>
      </w:r>
    </w:p>
  </w:footnote>
  <w:footnote w:id="140">
    <w:p w14:paraId="50FA340D" w14:textId="7CDD7120" w:rsidR="004865E9" w:rsidRPr="00A306E1" w:rsidRDefault="004865E9" w:rsidP="00A44E07">
      <w:pPr>
        <w:pStyle w:val="FootnoteText"/>
        <w:rPr>
          <w:rFonts w:cs="Arial"/>
          <w:szCs w:val="20"/>
        </w:rPr>
      </w:pPr>
      <w:r w:rsidRPr="00A306E1">
        <w:rPr>
          <w:rStyle w:val="FootnoteReference"/>
          <w:rFonts w:cs="Arial"/>
          <w:szCs w:val="20"/>
        </w:rPr>
        <w:footnoteRef/>
      </w:r>
      <w:r w:rsidRPr="00A306E1">
        <w:rPr>
          <w:rFonts w:cs="Arial"/>
          <w:szCs w:val="20"/>
        </w:rPr>
        <w:t xml:space="preserve"> </w:t>
      </w:r>
      <w:r>
        <w:rPr>
          <w:rFonts w:cs="Arial"/>
          <w:i/>
          <w:szCs w:val="20"/>
        </w:rPr>
        <w:t xml:space="preserve">Re </w:t>
      </w:r>
      <w:r w:rsidRPr="004222E3">
        <w:rPr>
          <w:rFonts w:cs="Arial"/>
          <w:i/>
          <w:szCs w:val="20"/>
        </w:rPr>
        <w:t xml:space="preserve">F </w:t>
      </w:r>
      <w:r>
        <w:rPr>
          <w:rFonts w:cs="Arial"/>
          <w:szCs w:val="20"/>
        </w:rPr>
        <w:t>(n 10</w:t>
      </w:r>
      <w:r w:rsidR="00B72C83">
        <w:rPr>
          <w:rFonts w:cs="Arial"/>
          <w:szCs w:val="20"/>
        </w:rPr>
        <w:t>5</w:t>
      </w:r>
      <w:r>
        <w:rPr>
          <w:rFonts w:cs="Arial"/>
          <w:szCs w:val="20"/>
        </w:rPr>
        <w:t>),</w:t>
      </w:r>
      <w:r w:rsidRPr="00A306E1">
        <w:rPr>
          <w:rFonts w:cs="Arial"/>
          <w:szCs w:val="20"/>
        </w:rPr>
        <w:t xml:space="preserve"> 52.</w:t>
      </w:r>
    </w:p>
  </w:footnote>
  <w:footnote w:id="141">
    <w:p w14:paraId="29ABBD14" w14:textId="643989AC" w:rsidR="004865E9" w:rsidRPr="00A306E1" w:rsidRDefault="004865E9" w:rsidP="00A44E07">
      <w:pPr>
        <w:pStyle w:val="FootnoteText"/>
        <w:rPr>
          <w:rFonts w:cs="Arial"/>
          <w:szCs w:val="20"/>
        </w:rPr>
      </w:pPr>
      <w:r w:rsidRPr="00A306E1">
        <w:rPr>
          <w:rStyle w:val="FootnoteReference"/>
          <w:rFonts w:cs="Arial"/>
          <w:szCs w:val="20"/>
        </w:rPr>
        <w:footnoteRef/>
      </w:r>
      <w:r w:rsidRPr="00A306E1">
        <w:rPr>
          <w:rFonts w:cs="Arial"/>
          <w:szCs w:val="20"/>
        </w:rPr>
        <w:t xml:space="preserve"> </w:t>
      </w:r>
      <w:r w:rsidRPr="001D5976">
        <w:rPr>
          <w:rFonts w:cs="Arial"/>
          <w:i/>
          <w:szCs w:val="20"/>
        </w:rPr>
        <w:t>Ibid</w:t>
      </w:r>
      <w:r>
        <w:rPr>
          <w:rFonts w:cs="Arial"/>
          <w:szCs w:val="20"/>
        </w:rPr>
        <w:t>. (CA),</w:t>
      </w:r>
      <w:r w:rsidRPr="00A306E1">
        <w:rPr>
          <w:rFonts w:cs="Arial"/>
          <w:szCs w:val="20"/>
        </w:rPr>
        <w:t xml:space="preserve"> 18.</w:t>
      </w:r>
    </w:p>
  </w:footnote>
  <w:footnote w:id="142">
    <w:p w14:paraId="5287AEAC" w14:textId="5649C4BF" w:rsidR="004865E9" w:rsidRPr="00EA2BBB" w:rsidRDefault="004865E9" w:rsidP="00EA2BBB">
      <w:pPr>
        <w:pStyle w:val="FootnoteText"/>
        <w:rPr>
          <w:rFonts w:cs="Arial"/>
        </w:rPr>
      </w:pPr>
      <w:r w:rsidRPr="00EA2BBB">
        <w:rPr>
          <w:rStyle w:val="FootnoteReference"/>
          <w:rFonts w:cs="Arial"/>
        </w:rPr>
        <w:footnoteRef/>
      </w:r>
      <w:r w:rsidRPr="00EA2BBB">
        <w:rPr>
          <w:rFonts w:cs="Arial"/>
        </w:rPr>
        <w:t xml:space="preserve"> </w:t>
      </w:r>
      <w:r w:rsidRPr="004222E3">
        <w:rPr>
          <w:rFonts w:cs="Arial"/>
          <w:i/>
          <w:szCs w:val="20"/>
        </w:rPr>
        <w:t>Re S</w:t>
      </w:r>
      <w:r>
        <w:rPr>
          <w:rFonts w:cs="Arial"/>
          <w:i/>
          <w:szCs w:val="20"/>
        </w:rPr>
        <w:t xml:space="preserve"> </w:t>
      </w:r>
      <w:r>
        <w:rPr>
          <w:rFonts w:cs="Arial"/>
          <w:szCs w:val="20"/>
        </w:rPr>
        <w:t>(n 11</w:t>
      </w:r>
      <w:r w:rsidR="00B72C83">
        <w:rPr>
          <w:rFonts w:cs="Arial"/>
          <w:szCs w:val="20"/>
        </w:rPr>
        <w:t>9</w:t>
      </w:r>
      <w:r w:rsidRPr="004222E3">
        <w:rPr>
          <w:rFonts w:cs="Arial"/>
          <w:szCs w:val="20"/>
        </w:rPr>
        <w:t>)</w:t>
      </w:r>
      <w:r>
        <w:rPr>
          <w:rFonts w:cs="Arial"/>
          <w:i/>
        </w:rPr>
        <w:t xml:space="preserve">, </w:t>
      </w:r>
      <w:r w:rsidRPr="00EA2BBB">
        <w:rPr>
          <w:rFonts w:cs="Arial"/>
        </w:rPr>
        <w:t>[60].</w:t>
      </w:r>
    </w:p>
  </w:footnote>
  <w:footnote w:id="143">
    <w:p w14:paraId="74A69B3D" w14:textId="039B21A5" w:rsidR="004865E9" w:rsidRPr="004222E3" w:rsidRDefault="004865E9" w:rsidP="004C791E">
      <w:pPr>
        <w:pStyle w:val="FootnoteText"/>
        <w:rPr>
          <w:rFonts w:cs="Arial"/>
          <w:i/>
          <w:szCs w:val="20"/>
        </w:rPr>
      </w:pPr>
      <w:r w:rsidRPr="004222E3">
        <w:rPr>
          <w:rStyle w:val="FootnoteReference"/>
          <w:rFonts w:cs="Arial"/>
          <w:szCs w:val="20"/>
        </w:rPr>
        <w:footnoteRef/>
      </w:r>
      <w:r w:rsidRPr="004222E3">
        <w:rPr>
          <w:rFonts w:cs="Arial"/>
          <w:szCs w:val="20"/>
        </w:rPr>
        <w:t xml:space="preserve"> E</w:t>
      </w:r>
      <w:r>
        <w:rPr>
          <w:rFonts w:cs="Arial"/>
          <w:szCs w:val="20"/>
        </w:rPr>
        <w:t>.</w:t>
      </w:r>
      <w:r w:rsidRPr="004222E3">
        <w:rPr>
          <w:rFonts w:cs="Arial"/>
          <w:szCs w:val="20"/>
        </w:rPr>
        <w:t>g</w:t>
      </w:r>
      <w:r>
        <w:rPr>
          <w:rFonts w:cs="Arial"/>
          <w:szCs w:val="20"/>
        </w:rPr>
        <w:t>.</w:t>
      </w:r>
      <w:r w:rsidRPr="004222E3">
        <w:rPr>
          <w:rFonts w:cs="Arial"/>
          <w:szCs w:val="20"/>
        </w:rPr>
        <w:t xml:space="preserve"> </w:t>
      </w:r>
      <w:r w:rsidRPr="004222E3">
        <w:rPr>
          <w:rFonts w:cs="Arial"/>
          <w:i/>
          <w:szCs w:val="20"/>
        </w:rPr>
        <w:t xml:space="preserve">Jones v Royal Devon and Exeter NHS Foundation Trust, </w:t>
      </w:r>
      <w:r w:rsidRPr="004222E3">
        <w:rPr>
          <w:rFonts w:cs="Arial"/>
          <w:szCs w:val="20"/>
        </w:rPr>
        <w:t>Unreported, 22nd September 2015, on choice of surgeon.</w:t>
      </w:r>
    </w:p>
  </w:footnote>
  <w:footnote w:id="144">
    <w:p w14:paraId="1880CD63" w14:textId="135C5481" w:rsidR="00F84FC0" w:rsidRDefault="00F84FC0">
      <w:pPr>
        <w:pStyle w:val="FootnoteText"/>
      </w:pPr>
      <w:r>
        <w:rPr>
          <w:rStyle w:val="FootnoteReference"/>
        </w:rPr>
        <w:footnoteRef/>
      </w:r>
      <w:r>
        <w:t xml:space="preserve"> See Keren-Paz, (n </w:t>
      </w:r>
      <w:r w:rsidR="00012C09">
        <w:t>85</w:t>
      </w:r>
      <w:r>
        <w:t xml:space="preserve">). For the contrary view, see Purshouse (n </w:t>
      </w:r>
      <w:r w:rsidR="00012C09">
        <w:t>85</w:t>
      </w:r>
      <w:r>
        <w:t>).</w:t>
      </w:r>
    </w:p>
  </w:footnote>
  <w:footnote w:id="145">
    <w:p w14:paraId="17B749D5" w14:textId="26F2FEAA" w:rsidR="00F84FC0" w:rsidRPr="004222E3" w:rsidRDefault="00F84FC0" w:rsidP="00F84FC0">
      <w:pPr>
        <w:pStyle w:val="NoSpacing"/>
        <w:rPr>
          <w:rFonts w:ascii="Garamond" w:eastAsia="Times New Roman" w:hAnsi="Garamond" w:cs="Arial"/>
          <w:sz w:val="20"/>
          <w:szCs w:val="20"/>
          <w:lang w:val="en-GB" w:eastAsia="en-GB"/>
        </w:rPr>
      </w:pPr>
      <w:r w:rsidRPr="004222E3">
        <w:rPr>
          <w:rStyle w:val="FootnoteReference"/>
          <w:rFonts w:ascii="Garamond" w:hAnsi="Garamond" w:cs="Arial"/>
          <w:sz w:val="20"/>
          <w:szCs w:val="20"/>
        </w:rPr>
        <w:footnoteRef/>
      </w:r>
      <w:r w:rsidRPr="004222E3">
        <w:rPr>
          <w:rFonts w:ascii="Garamond" w:hAnsi="Garamond" w:cs="Arial"/>
          <w:sz w:val="20"/>
          <w:szCs w:val="20"/>
        </w:rPr>
        <w:t xml:space="preserve"> </w:t>
      </w:r>
      <w:r>
        <w:rPr>
          <w:rFonts w:ascii="Garamond" w:eastAsia="Times New Roman" w:hAnsi="Garamond" w:cs="Arial"/>
          <w:sz w:val="20"/>
          <w:szCs w:val="20"/>
          <w:shd w:val="clear" w:color="auto" w:fill="FFFFFF"/>
          <w:lang w:val="en-GB" w:eastAsia="en-GB"/>
        </w:rPr>
        <w:t>(n 82)</w:t>
      </w:r>
      <w:r w:rsidRPr="004222E3">
        <w:rPr>
          <w:rFonts w:ascii="Garamond" w:eastAsia="Times New Roman" w:hAnsi="Garamond" w:cs="Arial"/>
          <w:sz w:val="20"/>
          <w:szCs w:val="20"/>
          <w:lang w:val="en-GB" w:eastAsia="en-GB"/>
        </w:rPr>
        <w:t>.</w:t>
      </w:r>
    </w:p>
  </w:footnote>
  <w:footnote w:id="146">
    <w:p w14:paraId="7FA9F2C1" w14:textId="693C16E8" w:rsidR="00AE2D1F" w:rsidRDefault="00AE2D1F">
      <w:pPr>
        <w:pStyle w:val="FootnoteText"/>
      </w:pPr>
      <w:r>
        <w:rPr>
          <w:rStyle w:val="FootnoteReference"/>
        </w:rPr>
        <w:footnoteRef/>
      </w:r>
      <w:r>
        <w:t xml:space="preserve"> </w:t>
      </w:r>
      <w:hyperlink r:id="rId3" w:history="1">
        <w:r w:rsidRPr="00AE2D1F">
          <w:rPr>
            <w:rStyle w:val="Hyperlink"/>
          </w:rPr>
          <w:t>https://www.supremecourt.uk/docs/permission-to-appeal-2017-12-2018-01.pdf</w:t>
        </w:r>
      </w:hyperlink>
    </w:p>
  </w:footnote>
  <w:footnote w:id="147">
    <w:p w14:paraId="73FF53AB" w14:textId="58228B4A" w:rsidR="004865E9" w:rsidRPr="004222E3" w:rsidRDefault="004865E9" w:rsidP="004C791E">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 xml:space="preserve">Diamond </w:t>
      </w:r>
      <w:r>
        <w:rPr>
          <w:rFonts w:cs="Arial"/>
          <w:szCs w:val="20"/>
        </w:rPr>
        <w:t xml:space="preserve">(n </w:t>
      </w:r>
      <w:r w:rsidR="00FA5EFD">
        <w:rPr>
          <w:rFonts w:cs="Arial"/>
          <w:szCs w:val="20"/>
        </w:rPr>
        <w:t>80</w:t>
      </w:r>
      <w:r>
        <w:rPr>
          <w:rFonts w:cs="Arial"/>
          <w:szCs w:val="20"/>
        </w:rPr>
        <w:t>)</w:t>
      </w:r>
      <w:r w:rsidRPr="004222E3">
        <w:rPr>
          <w:rFonts w:cs="Arial"/>
          <w:szCs w:val="20"/>
        </w:rPr>
        <w:t xml:space="preserve">. </w:t>
      </w:r>
    </w:p>
  </w:footnote>
  <w:footnote w:id="148">
    <w:p w14:paraId="469AB29D" w14:textId="6F05470C" w:rsidR="004865E9" w:rsidRPr="004222E3" w:rsidRDefault="004865E9">
      <w:pPr>
        <w:pStyle w:val="FootnoteText"/>
        <w:rPr>
          <w:rFonts w:cs="Arial"/>
          <w:szCs w:val="20"/>
        </w:rPr>
      </w:pPr>
      <w:r w:rsidRPr="004222E3">
        <w:rPr>
          <w:rStyle w:val="FootnoteReference"/>
          <w:rFonts w:cs="Arial"/>
          <w:szCs w:val="20"/>
        </w:rPr>
        <w:footnoteRef/>
      </w:r>
      <w:r w:rsidRPr="004222E3">
        <w:rPr>
          <w:rFonts w:cs="Arial"/>
          <w:szCs w:val="20"/>
        </w:rPr>
        <w:t xml:space="preserve"> See E Jackson, ‘“Informed consent” to medical treatment and the impotence of tort’ in S McLean (ed.), </w:t>
      </w:r>
      <w:r w:rsidRPr="004222E3">
        <w:rPr>
          <w:rFonts w:cs="Arial"/>
          <w:i/>
          <w:szCs w:val="20"/>
        </w:rPr>
        <w:t>First Do No Harm: Law, Ethics and Healthcare</w:t>
      </w:r>
      <w:r w:rsidRPr="004222E3">
        <w:rPr>
          <w:rFonts w:cs="Arial"/>
          <w:szCs w:val="20"/>
        </w:rPr>
        <w:t xml:space="preserve"> (</w:t>
      </w:r>
      <w:r>
        <w:rPr>
          <w:rFonts w:cs="Arial"/>
          <w:szCs w:val="20"/>
        </w:rPr>
        <w:t xml:space="preserve">Routledge: </w:t>
      </w:r>
      <w:r w:rsidRPr="004222E3">
        <w:rPr>
          <w:rFonts w:cs="Arial"/>
          <w:szCs w:val="20"/>
        </w:rPr>
        <w:t>Aldershot 2006).</w:t>
      </w:r>
    </w:p>
  </w:footnote>
  <w:footnote w:id="149">
    <w:p w14:paraId="5225C4E0" w14:textId="40467917" w:rsidR="004865E9" w:rsidRDefault="004865E9" w:rsidP="00BA6191">
      <w:pPr>
        <w:pStyle w:val="FootnoteText"/>
      </w:pPr>
      <w:r>
        <w:rPr>
          <w:rStyle w:val="FootnoteReference"/>
        </w:rPr>
        <w:footnoteRef/>
      </w:r>
      <w:r>
        <w:t xml:space="preserve"> </w:t>
      </w:r>
      <w:r w:rsidRPr="0055216B">
        <w:rPr>
          <w:i/>
        </w:rPr>
        <w:t xml:space="preserve">Re D </w:t>
      </w:r>
      <w:r>
        <w:t xml:space="preserve">(n </w:t>
      </w:r>
      <w:r w:rsidR="00FA5EFD">
        <w:t>21</w:t>
      </w:r>
      <w:r>
        <w:t>), [125] (Sir James Munby P.).</w:t>
      </w:r>
    </w:p>
  </w:footnote>
  <w:footnote w:id="150">
    <w:p w14:paraId="31A122E5" w14:textId="4D00AFF3" w:rsidR="004865E9" w:rsidRPr="004222E3" w:rsidRDefault="004865E9" w:rsidP="004C791E">
      <w:pPr>
        <w:pStyle w:val="FootnoteText"/>
        <w:rPr>
          <w:rFonts w:cs="Arial"/>
          <w:szCs w:val="20"/>
        </w:rPr>
      </w:pPr>
      <w:r w:rsidRPr="004222E3">
        <w:rPr>
          <w:rStyle w:val="FootnoteReference"/>
          <w:rFonts w:cs="Arial"/>
          <w:szCs w:val="20"/>
        </w:rPr>
        <w:footnoteRef/>
      </w:r>
      <w:r w:rsidRPr="004222E3">
        <w:rPr>
          <w:rFonts w:cs="Arial"/>
          <w:szCs w:val="20"/>
        </w:rPr>
        <w:t xml:space="preserve"> </w:t>
      </w:r>
      <w:r w:rsidRPr="004222E3">
        <w:rPr>
          <w:rFonts w:cs="Arial"/>
          <w:i/>
          <w:szCs w:val="20"/>
        </w:rPr>
        <w:t>An NHS Trust v A, B, C and a Local Authority</w:t>
      </w:r>
      <w:r w:rsidRPr="004222E3">
        <w:rPr>
          <w:rFonts w:cs="Arial"/>
          <w:szCs w:val="20"/>
        </w:rPr>
        <w:t xml:space="preserve"> [2014] EWHC 1445 (Fam)</w:t>
      </w:r>
      <w:r>
        <w:rPr>
          <w:rFonts w:cs="Arial"/>
          <w:szCs w:val="20"/>
        </w:rPr>
        <w:t>,</w:t>
      </w:r>
      <w:r w:rsidRPr="004222E3">
        <w:rPr>
          <w:rFonts w:cs="Arial"/>
          <w:szCs w:val="20"/>
        </w:rPr>
        <w:t xml:space="preserve"> [10</w:t>
      </w:r>
      <w:r>
        <w:rPr>
          <w:rFonts w:cs="Arial"/>
          <w:szCs w:val="20"/>
        </w:rPr>
        <w:t>] (</w:t>
      </w:r>
      <w:r w:rsidRPr="004222E3">
        <w:rPr>
          <w:rFonts w:cs="Arial"/>
          <w:szCs w:val="20"/>
        </w:rPr>
        <w:t>Mostyn J.</w:t>
      </w:r>
      <w:r>
        <w:rPr>
          <w:rFonts w:cs="Arial"/>
          <w:szCs w:val="20"/>
        </w:rPr>
        <w:t>).</w:t>
      </w:r>
    </w:p>
  </w:footnote>
  <w:footnote w:id="151">
    <w:p w14:paraId="2E1096B1" w14:textId="6AA02DB6" w:rsidR="004865E9" w:rsidRPr="004222E3" w:rsidRDefault="004865E9" w:rsidP="004C791E">
      <w:pPr>
        <w:pStyle w:val="FootnoteText"/>
        <w:rPr>
          <w:rFonts w:cs="Arial"/>
          <w:szCs w:val="20"/>
        </w:rPr>
      </w:pPr>
      <w:r w:rsidRPr="004222E3">
        <w:rPr>
          <w:rStyle w:val="FootnoteReference"/>
          <w:rFonts w:cs="Arial"/>
          <w:szCs w:val="20"/>
        </w:rPr>
        <w:footnoteRef/>
      </w:r>
      <w:r w:rsidRPr="004222E3">
        <w:rPr>
          <w:rFonts w:cs="Arial"/>
          <w:szCs w:val="20"/>
        </w:rPr>
        <w:t xml:space="preserve"> </w:t>
      </w:r>
      <w:r>
        <w:rPr>
          <w:rFonts w:cs="Arial"/>
          <w:szCs w:val="20"/>
        </w:rPr>
        <w:t>Michalowski (n 142)</w:t>
      </w:r>
      <w:r w:rsidRPr="004222E3">
        <w:rPr>
          <w:rFonts w:cs="Arial"/>
          <w:szCs w:val="20"/>
        </w:rPr>
        <w:t xml:space="preserve">, 265 citing </w:t>
      </w:r>
      <w:r w:rsidRPr="004222E3">
        <w:rPr>
          <w:rFonts w:cs="Arial"/>
          <w:i/>
          <w:szCs w:val="20"/>
        </w:rPr>
        <w:t>Ms B</w:t>
      </w:r>
      <w:r>
        <w:rPr>
          <w:rFonts w:cs="Arial"/>
          <w:i/>
          <w:szCs w:val="20"/>
        </w:rPr>
        <w:t xml:space="preserve"> </w:t>
      </w:r>
      <w:r>
        <w:rPr>
          <w:rFonts w:cs="Arial"/>
          <w:szCs w:val="20"/>
        </w:rPr>
        <w:t>(n 1</w:t>
      </w:r>
      <w:r w:rsidR="00B72C83">
        <w:rPr>
          <w:rFonts w:cs="Arial"/>
          <w:szCs w:val="20"/>
        </w:rPr>
        <w:t>10</w:t>
      </w:r>
      <w:r>
        <w:rPr>
          <w:rFonts w:cs="Arial"/>
          <w:szCs w:val="20"/>
        </w:rPr>
        <w:t>)</w:t>
      </w:r>
      <w:r w:rsidRPr="004222E3">
        <w:rPr>
          <w:rFonts w:cs="Arial"/>
          <w:szCs w:val="20"/>
        </w:rPr>
        <w:t>.</w:t>
      </w:r>
    </w:p>
  </w:footnote>
  <w:footnote w:id="152">
    <w:p w14:paraId="17D7EE9C" w14:textId="250CF2CC" w:rsidR="004865E9" w:rsidRDefault="004865E9">
      <w:pPr>
        <w:pStyle w:val="FootnoteText"/>
      </w:pPr>
      <w:r>
        <w:rPr>
          <w:rStyle w:val="FootnoteReference"/>
        </w:rPr>
        <w:footnoteRef/>
      </w:r>
      <w:r>
        <w:t xml:space="preserve"> </w:t>
      </w:r>
      <w:r w:rsidRPr="00BA6191">
        <w:t xml:space="preserve">The 2017 </w:t>
      </w:r>
      <w:proofErr w:type="spellStart"/>
      <w:r w:rsidRPr="00BA6191">
        <w:t>Parmoor</w:t>
      </w:r>
      <w:proofErr w:type="spellEnd"/>
      <w:r w:rsidRPr="00BA6191">
        <w:t xml:space="preserve"> Lecture to the Howard League for Penal Reform Given by Sir James Munby President of the Family Division</w:t>
      </w:r>
      <w:r>
        <w:t xml:space="preserve">, </w:t>
      </w:r>
      <w:r w:rsidRPr="006D621D">
        <w:rPr>
          <w:i/>
        </w:rPr>
        <w:t>Children Across the Justice Systems</w:t>
      </w:r>
      <w:r>
        <w:t xml:space="preserve">, at </w:t>
      </w:r>
      <w:hyperlink r:id="rId4" w:history="1">
        <w:r w:rsidRPr="001E2FC7">
          <w:rPr>
            <w:rStyle w:val="Hyperlink"/>
          </w:rPr>
          <w:t>https://www.judiciary.uk/wp-content/uploads/2017/10/speech-pfd-children-across-the-justice-systems.pdf</w:t>
        </w:r>
      </w:hyperlink>
      <w:r>
        <w:t xml:space="preserve">, citing </w:t>
      </w:r>
      <w:r w:rsidRPr="006D621D">
        <w:rPr>
          <w:i/>
        </w:rPr>
        <w:t>CF v Secretary of State for the Home Department</w:t>
      </w:r>
      <w:r>
        <w:t xml:space="preserve"> [2004] EWHC 111 (Fam), [158]-[173].</w:t>
      </w:r>
    </w:p>
  </w:footnote>
  <w:footnote w:id="153">
    <w:p w14:paraId="7EDEB1B1" w14:textId="2E2FB062" w:rsidR="004865E9" w:rsidRPr="004222E3" w:rsidRDefault="004865E9" w:rsidP="004150A4">
      <w:pPr>
        <w:pStyle w:val="FootnoteText"/>
        <w:rPr>
          <w:rFonts w:cs="Arial"/>
          <w:szCs w:val="20"/>
        </w:rPr>
      </w:pPr>
      <w:r w:rsidRPr="004222E3">
        <w:rPr>
          <w:rStyle w:val="FootnoteReference"/>
          <w:rFonts w:cs="Arial"/>
          <w:szCs w:val="20"/>
        </w:rPr>
        <w:footnoteRef/>
      </w:r>
      <w:r>
        <w:rPr>
          <w:rFonts w:cs="Arial"/>
          <w:szCs w:val="20"/>
        </w:rPr>
        <w:t xml:space="preserve"> </w:t>
      </w:r>
      <w:r w:rsidRPr="00014D5C">
        <w:rPr>
          <w:rFonts w:cs="Arial"/>
          <w:i/>
          <w:szCs w:val="20"/>
        </w:rPr>
        <w:t>Ibid</w:t>
      </w:r>
      <w:r>
        <w:rPr>
          <w:rFonts w:cs="Arial"/>
          <w:i/>
          <w:szCs w:val="20"/>
        </w:rPr>
        <w:t>.,</w:t>
      </w:r>
      <w:r w:rsidRPr="004222E3">
        <w:rPr>
          <w:rFonts w:cs="Arial"/>
          <w:szCs w:val="20"/>
        </w:rPr>
        <w:t xml:space="preserve"> [77]-[78], referring to GMC, </w:t>
      </w:r>
      <w:r w:rsidRPr="004222E3">
        <w:rPr>
          <w:rFonts w:cs="Arial"/>
          <w:i/>
          <w:szCs w:val="20"/>
        </w:rPr>
        <w:t>Good Medical Practice</w:t>
      </w:r>
      <w:r w:rsidRPr="004222E3">
        <w:rPr>
          <w:rFonts w:cs="Arial"/>
          <w:szCs w:val="20"/>
        </w:rPr>
        <w:t xml:space="preserve"> (2013) accessible at </w:t>
      </w:r>
      <w:r w:rsidRPr="002161D1">
        <w:rPr>
          <w:rFonts w:cs="Arial"/>
          <w:szCs w:val="20"/>
        </w:rPr>
        <w:t>https://www.gmc-uk.org/guidance/good_medical_practice.asp</w:t>
      </w:r>
      <w:r w:rsidRPr="004222E3">
        <w:rPr>
          <w:rFonts w:cs="Arial"/>
          <w:szCs w:val="20"/>
        </w:rPr>
        <w:t xml:space="preserve">; GMC, </w:t>
      </w:r>
      <w:r>
        <w:rPr>
          <w:rFonts w:cs="Arial"/>
          <w:i/>
          <w:szCs w:val="20"/>
        </w:rPr>
        <w:t>Consent: Patients and Doctors Making Decisions T</w:t>
      </w:r>
      <w:r w:rsidRPr="004222E3">
        <w:rPr>
          <w:rFonts w:cs="Arial"/>
          <w:i/>
          <w:szCs w:val="20"/>
        </w:rPr>
        <w:t>ogether</w:t>
      </w:r>
      <w:r w:rsidRPr="004222E3">
        <w:rPr>
          <w:rFonts w:cs="Arial"/>
          <w:szCs w:val="20"/>
        </w:rPr>
        <w:t xml:space="preserve"> (2008), accessible at </w:t>
      </w:r>
      <w:r w:rsidRPr="002161D1">
        <w:rPr>
          <w:rFonts w:cs="Arial"/>
          <w:szCs w:val="20"/>
        </w:rPr>
        <w:t>https://www.gmc-uk.org/guidance/ethical_guidance/consent_guidance_index.asp</w:t>
      </w:r>
      <w:r w:rsidRPr="004222E3">
        <w:rPr>
          <w:rFonts w:cs="Arial"/>
          <w:szCs w:val="20"/>
        </w:rPr>
        <w:t xml:space="preserve">. </w:t>
      </w:r>
    </w:p>
  </w:footnote>
  <w:footnote w:id="154">
    <w:p w14:paraId="7BA0F7F5" w14:textId="07B0D3F9" w:rsidR="004865E9" w:rsidRPr="004222E3" w:rsidRDefault="004865E9" w:rsidP="004150A4">
      <w:pPr>
        <w:pStyle w:val="FootnoteText"/>
        <w:rPr>
          <w:rFonts w:cs="Arial"/>
          <w:szCs w:val="20"/>
        </w:rPr>
      </w:pPr>
      <w:r w:rsidRPr="004222E3">
        <w:rPr>
          <w:rStyle w:val="FootnoteReference"/>
          <w:rFonts w:cs="Arial"/>
          <w:szCs w:val="20"/>
        </w:rPr>
        <w:footnoteRef/>
      </w:r>
      <w:r w:rsidRPr="004222E3">
        <w:rPr>
          <w:rFonts w:cs="Arial"/>
          <w:szCs w:val="20"/>
        </w:rPr>
        <w:t xml:space="preserve"> GMC, </w:t>
      </w:r>
      <w:r w:rsidRPr="004222E3">
        <w:rPr>
          <w:rFonts w:cs="Arial"/>
          <w:i/>
          <w:szCs w:val="20"/>
        </w:rPr>
        <w:t>Guidance 0-18 Years: Guidance for All Doctors</w:t>
      </w:r>
      <w:r w:rsidRPr="004222E3">
        <w:rPr>
          <w:rFonts w:cs="Arial"/>
          <w:szCs w:val="20"/>
        </w:rPr>
        <w:t xml:space="preserve"> (2007), para 8. Accessible at </w:t>
      </w:r>
      <w:r w:rsidRPr="002161D1">
        <w:rPr>
          <w:rFonts w:cs="Arial"/>
          <w:szCs w:val="20"/>
        </w:rPr>
        <w:t>https://www.gmc-uk.org/guidance/ethical_guidance/children_guidance_index.asp</w:t>
      </w:r>
      <w:r w:rsidRPr="004222E3">
        <w:rPr>
          <w:rFonts w:cs="Arial"/>
          <w:szCs w:val="20"/>
        </w:rPr>
        <w:t>.</w:t>
      </w:r>
    </w:p>
  </w:footnote>
  <w:footnote w:id="155">
    <w:p w14:paraId="69556697" w14:textId="4B94DD02" w:rsidR="004865E9" w:rsidRPr="00A306E1" w:rsidRDefault="004865E9" w:rsidP="004150A4">
      <w:pPr>
        <w:pStyle w:val="FootnoteText"/>
        <w:rPr>
          <w:rFonts w:cs="Arial"/>
          <w:szCs w:val="20"/>
        </w:rPr>
      </w:pPr>
      <w:r w:rsidRPr="00A306E1">
        <w:rPr>
          <w:rStyle w:val="FootnoteReference"/>
          <w:rFonts w:cs="Arial"/>
          <w:szCs w:val="20"/>
        </w:rPr>
        <w:footnoteRef/>
      </w:r>
      <w:r w:rsidRPr="00A306E1">
        <w:rPr>
          <w:rFonts w:cs="Arial"/>
          <w:szCs w:val="20"/>
        </w:rPr>
        <w:t xml:space="preserve"> </w:t>
      </w:r>
      <w:r w:rsidRPr="00E473CE">
        <w:rPr>
          <w:rFonts w:cs="Arial"/>
          <w:i/>
          <w:szCs w:val="20"/>
        </w:rPr>
        <w:t>Ibid</w:t>
      </w:r>
      <w:r>
        <w:rPr>
          <w:rFonts w:cs="Arial"/>
          <w:i/>
          <w:szCs w:val="20"/>
        </w:rPr>
        <w:t>.</w:t>
      </w:r>
      <w:r w:rsidRPr="00A306E1">
        <w:rPr>
          <w:rFonts w:cs="Arial"/>
          <w:szCs w:val="20"/>
        </w:rPr>
        <w:t>, [14].</w:t>
      </w:r>
    </w:p>
  </w:footnote>
  <w:footnote w:id="156">
    <w:p w14:paraId="0C4DAC84" w14:textId="28EF7CC1" w:rsidR="004865E9" w:rsidRPr="00764A76" w:rsidRDefault="004865E9" w:rsidP="004150A4">
      <w:pPr>
        <w:pStyle w:val="FootnoteText"/>
        <w:rPr>
          <w:rFonts w:cs="Arial"/>
          <w:szCs w:val="20"/>
        </w:rPr>
      </w:pPr>
      <w:r w:rsidRPr="00764A76">
        <w:rPr>
          <w:rStyle w:val="FootnoteReference"/>
          <w:rFonts w:cs="Arial"/>
          <w:szCs w:val="20"/>
        </w:rPr>
        <w:footnoteRef/>
      </w:r>
      <w:r w:rsidRPr="00764A76">
        <w:rPr>
          <w:rFonts w:cs="Arial"/>
          <w:szCs w:val="20"/>
        </w:rPr>
        <w:t xml:space="preserve"> </w:t>
      </w:r>
      <w:r w:rsidRPr="00E473CE">
        <w:rPr>
          <w:rFonts w:cs="Arial"/>
          <w:i/>
          <w:szCs w:val="20"/>
        </w:rPr>
        <w:t>Ibid</w:t>
      </w:r>
      <w:r>
        <w:rPr>
          <w:rFonts w:cs="Arial"/>
          <w:i/>
          <w:szCs w:val="20"/>
        </w:rPr>
        <w:t>.</w:t>
      </w:r>
      <w:r>
        <w:rPr>
          <w:rFonts w:cs="Arial"/>
          <w:szCs w:val="20"/>
        </w:rPr>
        <w:t>,</w:t>
      </w:r>
      <w:r w:rsidRPr="00764A76">
        <w:rPr>
          <w:rFonts w:cs="Arial"/>
          <w:szCs w:val="20"/>
        </w:rPr>
        <w:t xml:space="preserve"> [17].</w:t>
      </w:r>
    </w:p>
  </w:footnote>
  <w:footnote w:id="157">
    <w:p w14:paraId="1ADFE885" w14:textId="0691C897" w:rsidR="004865E9" w:rsidRPr="00764A76" w:rsidRDefault="004865E9" w:rsidP="004150A4">
      <w:pPr>
        <w:pStyle w:val="FootnoteText"/>
        <w:rPr>
          <w:rFonts w:cs="Arial"/>
          <w:szCs w:val="20"/>
        </w:rPr>
      </w:pPr>
      <w:r w:rsidRPr="00764A76">
        <w:rPr>
          <w:rStyle w:val="FootnoteReference"/>
          <w:rFonts w:cs="Arial"/>
          <w:szCs w:val="20"/>
        </w:rPr>
        <w:footnoteRef/>
      </w:r>
      <w:r w:rsidRPr="00764A76">
        <w:rPr>
          <w:rFonts w:cs="Arial"/>
          <w:szCs w:val="20"/>
        </w:rPr>
        <w:t xml:space="preserve"> </w:t>
      </w:r>
      <w:r w:rsidRPr="00E473CE">
        <w:rPr>
          <w:rFonts w:cs="Arial"/>
          <w:i/>
          <w:szCs w:val="20"/>
        </w:rPr>
        <w:t>Ibid</w:t>
      </w:r>
      <w:r>
        <w:rPr>
          <w:rFonts w:cs="Arial"/>
          <w:i/>
          <w:szCs w:val="20"/>
        </w:rPr>
        <w:t>.</w:t>
      </w:r>
      <w:r>
        <w:rPr>
          <w:rFonts w:cs="Arial"/>
          <w:szCs w:val="20"/>
        </w:rPr>
        <w:t>,</w:t>
      </w:r>
      <w:r w:rsidRPr="00764A76">
        <w:rPr>
          <w:rFonts w:cs="Arial"/>
          <w:szCs w:val="20"/>
        </w:rPr>
        <w:t xml:space="preserve"> [20].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1222B"/>
    <w:multiLevelType w:val="hybridMultilevel"/>
    <w:tmpl w:val="E63C33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69056D"/>
    <w:multiLevelType w:val="hybridMultilevel"/>
    <w:tmpl w:val="4B709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578A1"/>
    <w:multiLevelType w:val="hybridMultilevel"/>
    <w:tmpl w:val="DFD8F07C"/>
    <w:lvl w:ilvl="0" w:tplc="8662FEF0">
      <w:start w:val="1"/>
      <w:numFmt w:val="upperLetter"/>
      <w:lvlText w:val="%1."/>
      <w:lvlJc w:val="left"/>
      <w:pPr>
        <w:ind w:left="720" w:hanging="360"/>
      </w:pPr>
      <w:rPr>
        <w:rFonts w:eastAsiaTheme="majorEastAsia"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A3A77"/>
    <w:multiLevelType w:val="hybridMultilevel"/>
    <w:tmpl w:val="42CC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833A98"/>
    <w:multiLevelType w:val="hybridMultilevel"/>
    <w:tmpl w:val="231C5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8B2D8D"/>
    <w:multiLevelType w:val="hybridMultilevel"/>
    <w:tmpl w:val="147E9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792511"/>
    <w:multiLevelType w:val="hybridMultilevel"/>
    <w:tmpl w:val="AE103ADC"/>
    <w:lvl w:ilvl="0" w:tplc="5D923C60">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7BA0BA4"/>
    <w:multiLevelType w:val="multilevel"/>
    <w:tmpl w:val="D466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5D59F7"/>
    <w:multiLevelType w:val="hybridMultilevel"/>
    <w:tmpl w:val="3932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015DFE"/>
    <w:multiLevelType w:val="hybridMultilevel"/>
    <w:tmpl w:val="77B01F24"/>
    <w:lvl w:ilvl="0" w:tplc="08E0B40A">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6633C5"/>
    <w:multiLevelType w:val="hybridMultilevel"/>
    <w:tmpl w:val="3932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CB13E7"/>
    <w:multiLevelType w:val="hybridMultilevel"/>
    <w:tmpl w:val="3F6A2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B9493A"/>
    <w:multiLevelType w:val="multilevel"/>
    <w:tmpl w:val="D466C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5C2BB0"/>
    <w:multiLevelType w:val="hybridMultilevel"/>
    <w:tmpl w:val="3932C1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13"/>
  </w:num>
  <w:num w:numId="5">
    <w:abstractNumId w:val="12"/>
    <w:lvlOverride w:ilvl="0">
      <w:startOverride w:val="24"/>
    </w:lvlOverride>
  </w:num>
  <w:num w:numId="6">
    <w:abstractNumId w:val="7"/>
  </w:num>
  <w:num w:numId="7">
    <w:abstractNumId w:val="11"/>
  </w:num>
  <w:num w:numId="8">
    <w:abstractNumId w:val="5"/>
  </w:num>
  <w:num w:numId="9">
    <w:abstractNumId w:val="0"/>
  </w:num>
  <w:num w:numId="10">
    <w:abstractNumId w:val="2"/>
  </w:num>
  <w:num w:numId="11">
    <w:abstractNumId w:val="9"/>
  </w:num>
  <w:num w:numId="12">
    <w:abstractNumId w:val="6"/>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1E"/>
    <w:rsid w:val="000057F7"/>
    <w:rsid w:val="00012C09"/>
    <w:rsid w:val="00013B5E"/>
    <w:rsid w:val="00013EA1"/>
    <w:rsid w:val="000143DA"/>
    <w:rsid w:val="00014D5C"/>
    <w:rsid w:val="00014E9A"/>
    <w:rsid w:val="00025E4F"/>
    <w:rsid w:val="0002716E"/>
    <w:rsid w:val="000318A0"/>
    <w:rsid w:val="00033EA5"/>
    <w:rsid w:val="00035F67"/>
    <w:rsid w:val="00040E00"/>
    <w:rsid w:val="00050313"/>
    <w:rsid w:val="000529F7"/>
    <w:rsid w:val="00055771"/>
    <w:rsid w:val="000559BD"/>
    <w:rsid w:val="00055C32"/>
    <w:rsid w:val="000560B6"/>
    <w:rsid w:val="00057695"/>
    <w:rsid w:val="00057B88"/>
    <w:rsid w:val="00062BD1"/>
    <w:rsid w:val="00064ECE"/>
    <w:rsid w:val="00065231"/>
    <w:rsid w:val="00066EE4"/>
    <w:rsid w:val="0006712F"/>
    <w:rsid w:val="00070971"/>
    <w:rsid w:val="00072A4B"/>
    <w:rsid w:val="00075912"/>
    <w:rsid w:val="00076AB6"/>
    <w:rsid w:val="000835AA"/>
    <w:rsid w:val="00084F40"/>
    <w:rsid w:val="0008530D"/>
    <w:rsid w:val="00087257"/>
    <w:rsid w:val="00094C39"/>
    <w:rsid w:val="00094D11"/>
    <w:rsid w:val="000A05C4"/>
    <w:rsid w:val="000A2CB8"/>
    <w:rsid w:val="000A2CBC"/>
    <w:rsid w:val="000A2D2F"/>
    <w:rsid w:val="000A5C05"/>
    <w:rsid w:val="000B0330"/>
    <w:rsid w:val="000B1DA3"/>
    <w:rsid w:val="000B3AFD"/>
    <w:rsid w:val="000B6D5F"/>
    <w:rsid w:val="000C3699"/>
    <w:rsid w:val="000C634E"/>
    <w:rsid w:val="000C717D"/>
    <w:rsid w:val="000C7186"/>
    <w:rsid w:val="000D0294"/>
    <w:rsid w:val="000D0ACF"/>
    <w:rsid w:val="000D2C64"/>
    <w:rsid w:val="000D2E28"/>
    <w:rsid w:val="000D5E69"/>
    <w:rsid w:val="000D5EC2"/>
    <w:rsid w:val="000E29DE"/>
    <w:rsid w:val="000E4299"/>
    <w:rsid w:val="000E4585"/>
    <w:rsid w:val="000E4BF6"/>
    <w:rsid w:val="000E51F8"/>
    <w:rsid w:val="000E5ECE"/>
    <w:rsid w:val="000E6E4F"/>
    <w:rsid w:val="000E72A5"/>
    <w:rsid w:val="000F01EC"/>
    <w:rsid w:val="000F26E0"/>
    <w:rsid w:val="000F3B88"/>
    <w:rsid w:val="000F41D9"/>
    <w:rsid w:val="000F4EF1"/>
    <w:rsid w:val="00102A94"/>
    <w:rsid w:val="00103CF4"/>
    <w:rsid w:val="00104B99"/>
    <w:rsid w:val="00110C83"/>
    <w:rsid w:val="00113454"/>
    <w:rsid w:val="001168E0"/>
    <w:rsid w:val="00122D0D"/>
    <w:rsid w:val="0012334C"/>
    <w:rsid w:val="00123CAB"/>
    <w:rsid w:val="00124AED"/>
    <w:rsid w:val="0012739B"/>
    <w:rsid w:val="00130E7C"/>
    <w:rsid w:val="00133EE6"/>
    <w:rsid w:val="00136CAA"/>
    <w:rsid w:val="0013769D"/>
    <w:rsid w:val="00143463"/>
    <w:rsid w:val="001448BF"/>
    <w:rsid w:val="001451E3"/>
    <w:rsid w:val="001458F0"/>
    <w:rsid w:val="00145B86"/>
    <w:rsid w:val="00150202"/>
    <w:rsid w:val="0015188A"/>
    <w:rsid w:val="0015272E"/>
    <w:rsid w:val="00156FF6"/>
    <w:rsid w:val="00157680"/>
    <w:rsid w:val="001628E2"/>
    <w:rsid w:val="001635FD"/>
    <w:rsid w:val="00167A6C"/>
    <w:rsid w:val="00167C99"/>
    <w:rsid w:val="00170922"/>
    <w:rsid w:val="0017227D"/>
    <w:rsid w:val="001722CA"/>
    <w:rsid w:val="001724D2"/>
    <w:rsid w:val="00172A65"/>
    <w:rsid w:val="00177B28"/>
    <w:rsid w:val="00180456"/>
    <w:rsid w:val="00182B1C"/>
    <w:rsid w:val="001832A6"/>
    <w:rsid w:val="00183DB1"/>
    <w:rsid w:val="001867B6"/>
    <w:rsid w:val="001877E2"/>
    <w:rsid w:val="00191E9B"/>
    <w:rsid w:val="00192391"/>
    <w:rsid w:val="00192BAE"/>
    <w:rsid w:val="0019473D"/>
    <w:rsid w:val="00194EF7"/>
    <w:rsid w:val="00196B90"/>
    <w:rsid w:val="001A0629"/>
    <w:rsid w:val="001A1687"/>
    <w:rsid w:val="001A2A81"/>
    <w:rsid w:val="001A361E"/>
    <w:rsid w:val="001A74CD"/>
    <w:rsid w:val="001A7F83"/>
    <w:rsid w:val="001B1A6D"/>
    <w:rsid w:val="001B343C"/>
    <w:rsid w:val="001B5156"/>
    <w:rsid w:val="001B6AD3"/>
    <w:rsid w:val="001B75B8"/>
    <w:rsid w:val="001D0EB4"/>
    <w:rsid w:val="001D1187"/>
    <w:rsid w:val="001D246E"/>
    <w:rsid w:val="001D48E7"/>
    <w:rsid w:val="001D5976"/>
    <w:rsid w:val="001E26DA"/>
    <w:rsid w:val="001E3625"/>
    <w:rsid w:val="001E4793"/>
    <w:rsid w:val="001E6071"/>
    <w:rsid w:val="001E7E66"/>
    <w:rsid w:val="001F285D"/>
    <w:rsid w:val="001F3481"/>
    <w:rsid w:val="001F3916"/>
    <w:rsid w:val="001F52B9"/>
    <w:rsid w:val="001F6159"/>
    <w:rsid w:val="001F706E"/>
    <w:rsid w:val="00207C97"/>
    <w:rsid w:val="00210419"/>
    <w:rsid w:val="002113AA"/>
    <w:rsid w:val="002128E4"/>
    <w:rsid w:val="00212B19"/>
    <w:rsid w:val="00212BDE"/>
    <w:rsid w:val="00215D30"/>
    <w:rsid w:val="002161D1"/>
    <w:rsid w:val="0022059F"/>
    <w:rsid w:val="00222045"/>
    <w:rsid w:val="00222251"/>
    <w:rsid w:val="0022251F"/>
    <w:rsid w:val="00222B4C"/>
    <w:rsid w:val="0022651A"/>
    <w:rsid w:val="0023217D"/>
    <w:rsid w:val="00233793"/>
    <w:rsid w:val="00234577"/>
    <w:rsid w:val="00235038"/>
    <w:rsid w:val="00236C32"/>
    <w:rsid w:val="00237298"/>
    <w:rsid w:val="00237F99"/>
    <w:rsid w:val="0024241E"/>
    <w:rsid w:val="00245458"/>
    <w:rsid w:val="00245A2C"/>
    <w:rsid w:val="00245E4B"/>
    <w:rsid w:val="00245F1A"/>
    <w:rsid w:val="00246774"/>
    <w:rsid w:val="002475DC"/>
    <w:rsid w:val="00247629"/>
    <w:rsid w:val="00253D22"/>
    <w:rsid w:val="00254E3F"/>
    <w:rsid w:val="0025708C"/>
    <w:rsid w:val="002612A7"/>
    <w:rsid w:val="00265487"/>
    <w:rsid w:val="002668BD"/>
    <w:rsid w:val="00270A65"/>
    <w:rsid w:val="0027591D"/>
    <w:rsid w:val="00280DEF"/>
    <w:rsid w:val="002826A1"/>
    <w:rsid w:val="00284855"/>
    <w:rsid w:val="00286430"/>
    <w:rsid w:val="00286D00"/>
    <w:rsid w:val="0029744D"/>
    <w:rsid w:val="00297DC5"/>
    <w:rsid w:val="002A5BD7"/>
    <w:rsid w:val="002A5E5A"/>
    <w:rsid w:val="002A6D9D"/>
    <w:rsid w:val="002B20CB"/>
    <w:rsid w:val="002B3E49"/>
    <w:rsid w:val="002B3EB2"/>
    <w:rsid w:val="002B7C1A"/>
    <w:rsid w:val="002C0C96"/>
    <w:rsid w:val="002C2FA5"/>
    <w:rsid w:val="002C63A0"/>
    <w:rsid w:val="002C6EB9"/>
    <w:rsid w:val="002C7918"/>
    <w:rsid w:val="002D054E"/>
    <w:rsid w:val="002D2F3E"/>
    <w:rsid w:val="002D6828"/>
    <w:rsid w:val="002D7344"/>
    <w:rsid w:val="002D7B49"/>
    <w:rsid w:val="002D7F29"/>
    <w:rsid w:val="002E16B6"/>
    <w:rsid w:val="002E2073"/>
    <w:rsid w:val="002E632D"/>
    <w:rsid w:val="002E63CC"/>
    <w:rsid w:val="002F1C2B"/>
    <w:rsid w:val="002F3003"/>
    <w:rsid w:val="002F3FC4"/>
    <w:rsid w:val="002F6988"/>
    <w:rsid w:val="002F70CD"/>
    <w:rsid w:val="003040D4"/>
    <w:rsid w:val="0031009B"/>
    <w:rsid w:val="0031137D"/>
    <w:rsid w:val="00312B40"/>
    <w:rsid w:val="00313CD3"/>
    <w:rsid w:val="00315BFA"/>
    <w:rsid w:val="0031773C"/>
    <w:rsid w:val="00317939"/>
    <w:rsid w:val="00322729"/>
    <w:rsid w:val="00322E26"/>
    <w:rsid w:val="00323189"/>
    <w:rsid w:val="003231B3"/>
    <w:rsid w:val="00323343"/>
    <w:rsid w:val="003238D6"/>
    <w:rsid w:val="003276A9"/>
    <w:rsid w:val="00330276"/>
    <w:rsid w:val="00331263"/>
    <w:rsid w:val="003336A1"/>
    <w:rsid w:val="00334483"/>
    <w:rsid w:val="00335CC0"/>
    <w:rsid w:val="00340A6A"/>
    <w:rsid w:val="0034287A"/>
    <w:rsid w:val="00344B11"/>
    <w:rsid w:val="00345ED4"/>
    <w:rsid w:val="00353464"/>
    <w:rsid w:val="0035502D"/>
    <w:rsid w:val="0035503F"/>
    <w:rsid w:val="00356B28"/>
    <w:rsid w:val="003578C1"/>
    <w:rsid w:val="0036241D"/>
    <w:rsid w:val="00363575"/>
    <w:rsid w:val="003671B1"/>
    <w:rsid w:val="00370175"/>
    <w:rsid w:val="003704FF"/>
    <w:rsid w:val="00370ACB"/>
    <w:rsid w:val="00374999"/>
    <w:rsid w:val="00374D7E"/>
    <w:rsid w:val="00376CBE"/>
    <w:rsid w:val="00383A0D"/>
    <w:rsid w:val="00390942"/>
    <w:rsid w:val="00392B86"/>
    <w:rsid w:val="00393849"/>
    <w:rsid w:val="003A25B0"/>
    <w:rsid w:val="003A2F80"/>
    <w:rsid w:val="003A4241"/>
    <w:rsid w:val="003A502D"/>
    <w:rsid w:val="003A7A07"/>
    <w:rsid w:val="003B3BEC"/>
    <w:rsid w:val="003B7920"/>
    <w:rsid w:val="003C18A3"/>
    <w:rsid w:val="003C2EEA"/>
    <w:rsid w:val="003C504E"/>
    <w:rsid w:val="003C7626"/>
    <w:rsid w:val="003C79C2"/>
    <w:rsid w:val="003D03F4"/>
    <w:rsid w:val="003D2786"/>
    <w:rsid w:val="003D2857"/>
    <w:rsid w:val="003D4051"/>
    <w:rsid w:val="003D4DE5"/>
    <w:rsid w:val="003D6352"/>
    <w:rsid w:val="003D6678"/>
    <w:rsid w:val="003E1168"/>
    <w:rsid w:val="003E2F44"/>
    <w:rsid w:val="003E7819"/>
    <w:rsid w:val="003F29D4"/>
    <w:rsid w:val="003F3D4A"/>
    <w:rsid w:val="00400AD3"/>
    <w:rsid w:val="00402C93"/>
    <w:rsid w:val="0040330F"/>
    <w:rsid w:val="004050A6"/>
    <w:rsid w:val="004054CC"/>
    <w:rsid w:val="004112CD"/>
    <w:rsid w:val="004126D1"/>
    <w:rsid w:val="004150A4"/>
    <w:rsid w:val="004160F5"/>
    <w:rsid w:val="00416339"/>
    <w:rsid w:val="0042200A"/>
    <w:rsid w:val="004222E3"/>
    <w:rsid w:val="0042694B"/>
    <w:rsid w:val="00431670"/>
    <w:rsid w:val="0043263F"/>
    <w:rsid w:val="00433CE6"/>
    <w:rsid w:val="00434A57"/>
    <w:rsid w:val="004353D9"/>
    <w:rsid w:val="00437848"/>
    <w:rsid w:val="00437D1E"/>
    <w:rsid w:val="00444D7F"/>
    <w:rsid w:val="00446100"/>
    <w:rsid w:val="00450329"/>
    <w:rsid w:val="004527F9"/>
    <w:rsid w:val="00453875"/>
    <w:rsid w:val="00455249"/>
    <w:rsid w:val="004661F1"/>
    <w:rsid w:val="00470626"/>
    <w:rsid w:val="004722B0"/>
    <w:rsid w:val="004733C8"/>
    <w:rsid w:val="0047596A"/>
    <w:rsid w:val="004833D1"/>
    <w:rsid w:val="004865E9"/>
    <w:rsid w:val="004867A2"/>
    <w:rsid w:val="00486A64"/>
    <w:rsid w:val="00490EE8"/>
    <w:rsid w:val="00490F43"/>
    <w:rsid w:val="00494A80"/>
    <w:rsid w:val="004A2750"/>
    <w:rsid w:val="004A3B63"/>
    <w:rsid w:val="004A6B49"/>
    <w:rsid w:val="004B4A37"/>
    <w:rsid w:val="004B65E2"/>
    <w:rsid w:val="004B68B0"/>
    <w:rsid w:val="004B7874"/>
    <w:rsid w:val="004B7CB4"/>
    <w:rsid w:val="004C0540"/>
    <w:rsid w:val="004C1D13"/>
    <w:rsid w:val="004C3320"/>
    <w:rsid w:val="004C4E31"/>
    <w:rsid w:val="004C5D31"/>
    <w:rsid w:val="004C7589"/>
    <w:rsid w:val="004C791E"/>
    <w:rsid w:val="004D1609"/>
    <w:rsid w:val="004D1CD9"/>
    <w:rsid w:val="004D2941"/>
    <w:rsid w:val="004D4238"/>
    <w:rsid w:val="004D66CB"/>
    <w:rsid w:val="004E07AA"/>
    <w:rsid w:val="004E5C91"/>
    <w:rsid w:val="004E7861"/>
    <w:rsid w:val="004F0165"/>
    <w:rsid w:val="004F2618"/>
    <w:rsid w:val="004F710C"/>
    <w:rsid w:val="00500FDA"/>
    <w:rsid w:val="0050294A"/>
    <w:rsid w:val="00503D37"/>
    <w:rsid w:val="0051057C"/>
    <w:rsid w:val="005105A4"/>
    <w:rsid w:val="005132D2"/>
    <w:rsid w:val="005134E9"/>
    <w:rsid w:val="00516A3A"/>
    <w:rsid w:val="005179E8"/>
    <w:rsid w:val="00517BC4"/>
    <w:rsid w:val="00517D1C"/>
    <w:rsid w:val="00523A5D"/>
    <w:rsid w:val="00523B4E"/>
    <w:rsid w:val="00525DFA"/>
    <w:rsid w:val="005274B8"/>
    <w:rsid w:val="0053351E"/>
    <w:rsid w:val="0053400E"/>
    <w:rsid w:val="0053584A"/>
    <w:rsid w:val="00537CEA"/>
    <w:rsid w:val="0054309C"/>
    <w:rsid w:val="00543372"/>
    <w:rsid w:val="00543FC5"/>
    <w:rsid w:val="00545AA2"/>
    <w:rsid w:val="00545DDE"/>
    <w:rsid w:val="00550693"/>
    <w:rsid w:val="00553FCD"/>
    <w:rsid w:val="00554429"/>
    <w:rsid w:val="00554F3F"/>
    <w:rsid w:val="0056030F"/>
    <w:rsid w:val="00564397"/>
    <w:rsid w:val="00564457"/>
    <w:rsid w:val="0056736C"/>
    <w:rsid w:val="0057111C"/>
    <w:rsid w:val="00575642"/>
    <w:rsid w:val="005767E2"/>
    <w:rsid w:val="005769A8"/>
    <w:rsid w:val="00577F40"/>
    <w:rsid w:val="00580E61"/>
    <w:rsid w:val="00581A23"/>
    <w:rsid w:val="00581C06"/>
    <w:rsid w:val="00583438"/>
    <w:rsid w:val="0058656E"/>
    <w:rsid w:val="00586B9A"/>
    <w:rsid w:val="0059050B"/>
    <w:rsid w:val="00590CA9"/>
    <w:rsid w:val="0059101C"/>
    <w:rsid w:val="00591D8F"/>
    <w:rsid w:val="00593C07"/>
    <w:rsid w:val="00594906"/>
    <w:rsid w:val="00595C70"/>
    <w:rsid w:val="005A0AD2"/>
    <w:rsid w:val="005A1CA9"/>
    <w:rsid w:val="005A50C0"/>
    <w:rsid w:val="005A79B6"/>
    <w:rsid w:val="005B206F"/>
    <w:rsid w:val="005B4639"/>
    <w:rsid w:val="005B59D9"/>
    <w:rsid w:val="005B7325"/>
    <w:rsid w:val="005C2E84"/>
    <w:rsid w:val="005C4B88"/>
    <w:rsid w:val="005C6653"/>
    <w:rsid w:val="005D018E"/>
    <w:rsid w:val="005D0191"/>
    <w:rsid w:val="005D0566"/>
    <w:rsid w:val="005D1E82"/>
    <w:rsid w:val="005D39D7"/>
    <w:rsid w:val="005D4080"/>
    <w:rsid w:val="005D79C0"/>
    <w:rsid w:val="005E3128"/>
    <w:rsid w:val="005E3AEC"/>
    <w:rsid w:val="005E61D3"/>
    <w:rsid w:val="005E7746"/>
    <w:rsid w:val="005E7B95"/>
    <w:rsid w:val="005F2BA4"/>
    <w:rsid w:val="005F3CAD"/>
    <w:rsid w:val="005F7422"/>
    <w:rsid w:val="00600BB5"/>
    <w:rsid w:val="00603D4D"/>
    <w:rsid w:val="006135CA"/>
    <w:rsid w:val="00615ED1"/>
    <w:rsid w:val="00616E84"/>
    <w:rsid w:val="006206BF"/>
    <w:rsid w:val="0062202A"/>
    <w:rsid w:val="00622FC8"/>
    <w:rsid w:val="00624A2F"/>
    <w:rsid w:val="00626484"/>
    <w:rsid w:val="00626555"/>
    <w:rsid w:val="00627AF1"/>
    <w:rsid w:val="00631C84"/>
    <w:rsid w:val="006345C0"/>
    <w:rsid w:val="00646B97"/>
    <w:rsid w:val="006519CA"/>
    <w:rsid w:val="006525B6"/>
    <w:rsid w:val="00654E1A"/>
    <w:rsid w:val="00654E6E"/>
    <w:rsid w:val="00664606"/>
    <w:rsid w:val="00666C9A"/>
    <w:rsid w:val="006731AB"/>
    <w:rsid w:val="00675106"/>
    <w:rsid w:val="00682CFC"/>
    <w:rsid w:val="00685354"/>
    <w:rsid w:val="0068755E"/>
    <w:rsid w:val="00691B38"/>
    <w:rsid w:val="00692560"/>
    <w:rsid w:val="006935FC"/>
    <w:rsid w:val="0069757A"/>
    <w:rsid w:val="006A0A7E"/>
    <w:rsid w:val="006A178F"/>
    <w:rsid w:val="006A1EF7"/>
    <w:rsid w:val="006A2CB2"/>
    <w:rsid w:val="006A490C"/>
    <w:rsid w:val="006A6CC4"/>
    <w:rsid w:val="006A796D"/>
    <w:rsid w:val="006A7AD6"/>
    <w:rsid w:val="006B10AA"/>
    <w:rsid w:val="006B1E99"/>
    <w:rsid w:val="006B25B4"/>
    <w:rsid w:val="006B261F"/>
    <w:rsid w:val="006B52C7"/>
    <w:rsid w:val="006B714B"/>
    <w:rsid w:val="006B7519"/>
    <w:rsid w:val="006C0538"/>
    <w:rsid w:val="006C1E6B"/>
    <w:rsid w:val="006C2764"/>
    <w:rsid w:val="006C28C8"/>
    <w:rsid w:val="006C2E3E"/>
    <w:rsid w:val="006C3ACB"/>
    <w:rsid w:val="006C5B44"/>
    <w:rsid w:val="006D065D"/>
    <w:rsid w:val="006D0758"/>
    <w:rsid w:val="006D2301"/>
    <w:rsid w:val="006D2C1F"/>
    <w:rsid w:val="006D621D"/>
    <w:rsid w:val="006D666E"/>
    <w:rsid w:val="006E016D"/>
    <w:rsid w:val="006E15EE"/>
    <w:rsid w:val="006E19D1"/>
    <w:rsid w:val="006E232E"/>
    <w:rsid w:val="006E411A"/>
    <w:rsid w:val="006E7E61"/>
    <w:rsid w:val="006F13EA"/>
    <w:rsid w:val="006F3113"/>
    <w:rsid w:val="006F5F60"/>
    <w:rsid w:val="0070109F"/>
    <w:rsid w:val="00701ED2"/>
    <w:rsid w:val="007042A4"/>
    <w:rsid w:val="0070566A"/>
    <w:rsid w:val="00705B48"/>
    <w:rsid w:val="00706017"/>
    <w:rsid w:val="00707CDF"/>
    <w:rsid w:val="007146D9"/>
    <w:rsid w:val="007302B2"/>
    <w:rsid w:val="0073068D"/>
    <w:rsid w:val="0073364C"/>
    <w:rsid w:val="00734B05"/>
    <w:rsid w:val="00735A4A"/>
    <w:rsid w:val="007423D1"/>
    <w:rsid w:val="00745D7C"/>
    <w:rsid w:val="0075085F"/>
    <w:rsid w:val="00750C73"/>
    <w:rsid w:val="00750DA3"/>
    <w:rsid w:val="007524F5"/>
    <w:rsid w:val="00752EAB"/>
    <w:rsid w:val="00753C02"/>
    <w:rsid w:val="0075520C"/>
    <w:rsid w:val="00755C6D"/>
    <w:rsid w:val="0075608E"/>
    <w:rsid w:val="0075726F"/>
    <w:rsid w:val="007579CB"/>
    <w:rsid w:val="007609EE"/>
    <w:rsid w:val="00764A76"/>
    <w:rsid w:val="007655AD"/>
    <w:rsid w:val="00765847"/>
    <w:rsid w:val="00766BC9"/>
    <w:rsid w:val="007715F1"/>
    <w:rsid w:val="0077213B"/>
    <w:rsid w:val="00774DF1"/>
    <w:rsid w:val="00776092"/>
    <w:rsid w:val="007842FA"/>
    <w:rsid w:val="00786965"/>
    <w:rsid w:val="007878D8"/>
    <w:rsid w:val="00787DF3"/>
    <w:rsid w:val="0079086C"/>
    <w:rsid w:val="007908BE"/>
    <w:rsid w:val="007939AF"/>
    <w:rsid w:val="0079406F"/>
    <w:rsid w:val="00794EC8"/>
    <w:rsid w:val="00796D38"/>
    <w:rsid w:val="007A0F67"/>
    <w:rsid w:val="007A2DD6"/>
    <w:rsid w:val="007A5D32"/>
    <w:rsid w:val="007A6D56"/>
    <w:rsid w:val="007A7201"/>
    <w:rsid w:val="007A7D0E"/>
    <w:rsid w:val="007B0303"/>
    <w:rsid w:val="007B1232"/>
    <w:rsid w:val="007B4F87"/>
    <w:rsid w:val="007B7552"/>
    <w:rsid w:val="007C21F2"/>
    <w:rsid w:val="007C463B"/>
    <w:rsid w:val="007C6DF3"/>
    <w:rsid w:val="007C70D0"/>
    <w:rsid w:val="007D1CEF"/>
    <w:rsid w:val="007D4947"/>
    <w:rsid w:val="007E09AD"/>
    <w:rsid w:val="007E2766"/>
    <w:rsid w:val="007E671F"/>
    <w:rsid w:val="007E672D"/>
    <w:rsid w:val="007F0E72"/>
    <w:rsid w:val="007F4B80"/>
    <w:rsid w:val="007F5863"/>
    <w:rsid w:val="007F606C"/>
    <w:rsid w:val="007F6622"/>
    <w:rsid w:val="007F668D"/>
    <w:rsid w:val="007F7029"/>
    <w:rsid w:val="00801C2A"/>
    <w:rsid w:val="008042B6"/>
    <w:rsid w:val="00804F1E"/>
    <w:rsid w:val="00806511"/>
    <w:rsid w:val="00812910"/>
    <w:rsid w:val="00815270"/>
    <w:rsid w:val="00815288"/>
    <w:rsid w:val="00822912"/>
    <w:rsid w:val="008245CE"/>
    <w:rsid w:val="008256D7"/>
    <w:rsid w:val="008302DA"/>
    <w:rsid w:val="00834222"/>
    <w:rsid w:val="00834726"/>
    <w:rsid w:val="008353DA"/>
    <w:rsid w:val="0083604B"/>
    <w:rsid w:val="00842427"/>
    <w:rsid w:val="00847176"/>
    <w:rsid w:val="008503A3"/>
    <w:rsid w:val="00850564"/>
    <w:rsid w:val="00850D1C"/>
    <w:rsid w:val="00850F72"/>
    <w:rsid w:val="008536DC"/>
    <w:rsid w:val="00861FBC"/>
    <w:rsid w:val="00865744"/>
    <w:rsid w:val="0086666D"/>
    <w:rsid w:val="00870837"/>
    <w:rsid w:val="00870995"/>
    <w:rsid w:val="00870CF8"/>
    <w:rsid w:val="00873AC0"/>
    <w:rsid w:val="00873E22"/>
    <w:rsid w:val="008757F2"/>
    <w:rsid w:val="008761DA"/>
    <w:rsid w:val="00880239"/>
    <w:rsid w:val="0088068D"/>
    <w:rsid w:val="00881E3F"/>
    <w:rsid w:val="00882E7F"/>
    <w:rsid w:val="00883AA4"/>
    <w:rsid w:val="00886464"/>
    <w:rsid w:val="00886537"/>
    <w:rsid w:val="008879FE"/>
    <w:rsid w:val="00892958"/>
    <w:rsid w:val="00893830"/>
    <w:rsid w:val="00893A8E"/>
    <w:rsid w:val="00895391"/>
    <w:rsid w:val="00896A88"/>
    <w:rsid w:val="008971C7"/>
    <w:rsid w:val="008A0C46"/>
    <w:rsid w:val="008A5927"/>
    <w:rsid w:val="008B0D7C"/>
    <w:rsid w:val="008B344C"/>
    <w:rsid w:val="008B393C"/>
    <w:rsid w:val="008B7124"/>
    <w:rsid w:val="008C6EE9"/>
    <w:rsid w:val="008D54E5"/>
    <w:rsid w:val="008D5B97"/>
    <w:rsid w:val="008D61FB"/>
    <w:rsid w:val="008D6737"/>
    <w:rsid w:val="008E3BB6"/>
    <w:rsid w:val="008E429E"/>
    <w:rsid w:val="008E48B4"/>
    <w:rsid w:val="008E61BF"/>
    <w:rsid w:val="008E6466"/>
    <w:rsid w:val="008E7509"/>
    <w:rsid w:val="008F16C4"/>
    <w:rsid w:val="008F191D"/>
    <w:rsid w:val="008F29B9"/>
    <w:rsid w:val="008F5420"/>
    <w:rsid w:val="008F5ECA"/>
    <w:rsid w:val="008F7A5F"/>
    <w:rsid w:val="00902562"/>
    <w:rsid w:val="009044C4"/>
    <w:rsid w:val="00904AAA"/>
    <w:rsid w:val="009071FF"/>
    <w:rsid w:val="00911DF0"/>
    <w:rsid w:val="00914716"/>
    <w:rsid w:val="00915C17"/>
    <w:rsid w:val="00917F39"/>
    <w:rsid w:val="009263E3"/>
    <w:rsid w:val="00927123"/>
    <w:rsid w:val="0092758B"/>
    <w:rsid w:val="00927F68"/>
    <w:rsid w:val="00930CCB"/>
    <w:rsid w:val="00933FDA"/>
    <w:rsid w:val="009367A7"/>
    <w:rsid w:val="0093792F"/>
    <w:rsid w:val="00940670"/>
    <w:rsid w:val="009415C4"/>
    <w:rsid w:val="009436D1"/>
    <w:rsid w:val="00943DBB"/>
    <w:rsid w:val="00946FCF"/>
    <w:rsid w:val="00947808"/>
    <w:rsid w:val="009508A3"/>
    <w:rsid w:val="009527A2"/>
    <w:rsid w:val="00953286"/>
    <w:rsid w:val="0095504C"/>
    <w:rsid w:val="00963288"/>
    <w:rsid w:val="00964FC7"/>
    <w:rsid w:val="009659C4"/>
    <w:rsid w:val="0096656B"/>
    <w:rsid w:val="0096713B"/>
    <w:rsid w:val="00967B7C"/>
    <w:rsid w:val="00970A7B"/>
    <w:rsid w:val="0097297B"/>
    <w:rsid w:val="00972EA2"/>
    <w:rsid w:val="00981E9B"/>
    <w:rsid w:val="009820A2"/>
    <w:rsid w:val="009820B4"/>
    <w:rsid w:val="00985E76"/>
    <w:rsid w:val="00987BEF"/>
    <w:rsid w:val="00991739"/>
    <w:rsid w:val="00992D47"/>
    <w:rsid w:val="00996C82"/>
    <w:rsid w:val="0099723C"/>
    <w:rsid w:val="009A0305"/>
    <w:rsid w:val="009A304D"/>
    <w:rsid w:val="009A6C97"/>
    <w:rsid w:val="009A7736"/>
    <w:rsid w:val="009B752C"/>
    <w:rsid w:val="009C306B"/>
    <w:rsid w:val="009C3AAE"/>
    <w:rsid w:val="009C4094"/>
    <w:rsid w:val="009C55DC"/>
    <w:rsid w:val="009C55E5"/>
    <w:rsid w:val="009C6891"/>
    <w:rsid w:val="009D0814"/>
    <w:rsid w:val="009D3634"/>
    <w:rsid w:val="009D7694"/>
    <w:rsid w:val="009E279E"/>
    <w:rsid w:val="009E43BE"/>
    <w:rsid w:val="009E4C1A"/>
    <w:rsid w:val="009E5844"/>
    <w:rsid w:val="009E672D"/>
    <w:rsid w:val="009F041A"/>
    <w:rsid w:val="009F1664"/>
    <w:rsid w:val="009F21C7"/>
    <w:rsid w:val="009F2B8D"/>
    <w:rsid w:val="009F2DC8"/>
    <w:rsid w:val="009F5411"/>
    <w:rsid w:val="009F583E"/>
    <w:rsid w:val="009F687F"/>
    <w:rsid w:val="00A037F5"/>
    <w:rsid w:val="00A06180"/>
    <w:rsid w:val="00A10322"/>
    <w:rsid w:val="00A12FDA"/>
    <w:rsid w:val="00A140D5"/>
    <w:rsid w:val="00A14483"/>
    <w:rsid w:val="00A15AE5"/>
    <w:rsid w:val="00A15BA8"/>
    <w:rsid w:val="00A15FB1"/>
    <w:rsid w:val="00A16A98"/>
    <w:rsid w:val="00A16B00"/>
    <w:rsid w:val="00A17C18"/>
    <w:rsid w:val="00A2045C"/>
    <w:rsid w:val="00A25CD5"/>
    <w:rsid w:val="00A306C3"/>
    <w:rsid w:val="00A306E1"/>
    <w:rsid w:val="00A32BCD"/>
    <w:rsid w:val="00A341BA"/>
    <w:rsid w:val="00A37444"/>
    <w:rsid w:val="00A37B1D"/>
    <w:rsid w:val="00A37F64"/>
    <w:rsid w:val="00A400B6"/>
    <w:rsid w:val="00A412A1"/>
    <w:rsid w:val="00A41478"/>
    <w:rsid w:val="00A42F5C"/>
    <w:rsid w:val="00A439EA"/>
    <w:rsid w:val="00A44E07"/>
    <w:rsid w:val="00A506DF"/>
    <w:rsid w:val="00A518E3"/>
    <w:rsid w:val="00A54873"/>
    <w:rsid w:val="00A55BD2"/>
    <w:rsid w:val="00A6080C"/>
    <w:rsid w:val="00A61E4A"/>
    <w:rsid w:val="00A64DA6"/>
    <w:rsid w:val="00A6535B"/>
    <w:rsid w:val="00A71262"/>
    <w:rsid w:val="00A726C4"/>
    <w:rsid w:val="00A73F16"/>
    <w:rsid w:val="00A75ABB"/>
    <w:rsid w:val="00A75DB1"/>
    <w:rsid w:val="00A776F8"/>
    <w:rsid w:val="00A77FBA"/>
    <w:rsid w:val="00A84F41"/>
    <w:rsid w:val="00A8690F"/>
    <w:rsid w:val="00A86CCD"/>
    <w:rsid w:val="00A86D74"/>
    <w:rsid w:val="00A87152"/>
    <w:rsid w:val="00A91132"/>
    <w:rsid w:val="00A92E7C"/>
    <w:rsid w:val="00A93554"/>
    <w:rsid w:val="00AA0B79"/>
    <w:rsid w:val="00AA0CEA"/>
    <w:rsid w:val="00AA63EA"/>
    <w:rsid w:val="00AA7345"/>
    <w:rsid w:val="00AA74A0"/>
    <w:rsid w:val="00AA7909"/>
    <w:rsid w:val="00AB03E7"/>
    <w:rsid w:val="00AB2A40"/>
    <w:rsid w:val="00AB34BF"/>
    <w:rsid w:val="00AB68A9"/>
    <w:rsid w:val="00AC2BA3"/>
    <w:rsid w:val="00AC3C0C"/>
    <w:rsid w:val="00AC3D06"/>
    <w:rsid w:val="00AC716C"/>
    <w:rsid w:val="00AC7C6B"/>
    <w:rsid w:val="00AD0D5A"/>
    <w:rsid w:val="00AD18F9"/>
    <w:rsid w:val="00AD193E"/>
    <w:rsid w:val="00AD2F9C"/>
    <w:rsid w:val="00AD3EBA"/>
    <w:rsid w:val="00AD41FC"/>
    <w:rsid w:val="00AD49AE"/>
    <w:rsid w:val="00AD5DB6"/>
    <w:rsid w:val="00AE08AF"/>
    <w:rsid w:val="00AE0EDC"/>
    <w:rsid w:val="00AE1A4C"/>
    <w:rsid w:val="00AE2D1F"/>
    <w:rsid w:val="00AE35C4"/>
    <w:rsid w:val="00AE493A"/>
    <w:rsid w:val="00AE4CD5"/>
    <w:rsid w:val="00AE661D"/>
    <w:rsid w:val="00AF28C8"/>
    <w:rsid w:val="00AF291B"/>
    <w:rsid w:val="00B00308"/>
    <w:rsid w:val="00B02240"/>
    <w:rsid w:val="00B0461F"/>
    <w:rsid w:val="00B047F3"/>
    <w:rsid w:val="00B06AAB"/>
    <w:rsid w:val="00B073C7"/>
    <w:rsid w:val="00B11B15"/>
    <w:rsid w:val="00B16072"/>
    <w:rsid w:val="00B17C91"/>
    <w:rsid w:val="00B229CB"/>
    <w:rsid w:val="00B22D4A"/>
    <w:rsid w:val="00B22E96"/>
    <w:rsid w:val="00B27BBB"/>
    <w:rsid w:val="00B34741"/>
    <w:rsid w:val="00B34EAB"/>
    <w:rsid w:val="00B36A65"/>
    <w:rsid w:val="00B453D6"/>
    <w:rsid w:val="00B469B4"/>
    <w:rsid w:val="00B47226"/>
    <w:rsid w:val="00B47717"/>
    <w:rsid w:val="00B51740"/>
    <w:rsid w:val="00B52A5A"/>
    <w:rsid w:val="00B53822"/>
    <w:rsid w:val="00B5775C"/>
    <w:rsid w:val="00B66628"/>
    <w:rsid w:val="00B70E08"/>
    <w:rsid w:val="00B72446"/>
    <w:rsid w:val="00B72C83"/>
    <w:rsid w:val="00B731C3"/>
    <w:rsid w:val="00B7781C"/>
    <w:rsid w:val="00B835E4"/>
    <w:rsid w:val="00B84469"/>
    <w:rsid w:val="00B9090A"/>
    <w:rsid w:val="00B90C3F"/>
    <w:rsid w:val="00B9171B"/>
    <w:rsid w:val="00B93B03"/>
    <w:rsid w:val="00BA4E17"/>
    <w:rsid w:val="00BA6191"/>
    <w:rsid w:val="00BB12E5"/>
    <w:rsid w:val="00BB16B4"/>
    <w:rsid w:val="00BB3CA7"/>
    <w:rsid w:val="00BB4495"/>
    <w:rsid w:val="00BB4949"/>
    <w:rsid w:val="00BB4E9C"/>
    <w:rsid w:val="00BC22BB"/>
    <w:rsid w:val="00BC4354"/>
    <w:rsid w:val="00BC5D3E"/>
    <w:rsid w:val="00BC621E"/>
    <w:rsid w:val="00BD4EC8"/>
    <w:rsid w:val="00BE14DF"/>
    <w:rsid w:val="00BE2D91"/>
    <w:rsid w:val="00BE30AF"/>
    <w:rsid w:val="00BE593E"/>
    <w:rsid w:val="00BE7E07"/>
    <w:rsid w:val="00BF1EC2"/>
    <w:rsid w:val="00BF3236"/>
    <w:rsid w:val="00BF403A"/>
    <w:rsid w:val="00BF4703"/>
    <w:rsid w:val="00BF6C63"/>
    <w:rsid w:val="00BF7495"/>
    <w:rsid w:val="00C00C4A"/>
    <w:rsid w:val="00C02273"/>
    <w:rsid w:val="00C02315"/>
    <w:rsid w:val="00C03145"/>
    <w:rsid w:val="00C0372C"/>
    <w:rsid w:val="00C07CCE"/>
    <w:rsid w:val="00C10858"/>
    <w:rsid w:val="00C11DBD"/>
    <w:rsid w:val="00C1772B"/>
    <w:rsid w:val="00C17C36"/>
    <w:rsid w:val="00C21245"/>
    <w:rsid w:val="00C2235F"/>
    <w:rsid w:val="00C236BC"/>
    <w:rsid w:val="00C243F3"/>
    <w:rsid w:val="00C260B5"/>
    <w:rsid w:val="00C369B3"/>
    <w:rsid w:val="00C4138C"/>
    <w:rsid w:val="00C42F3F"/>
    <w:rsid w:val="00C43626"/>
    <w:rsid w:val="00C44370"/>
    <w:rsid w:val="00C4506F"/>
    <w:rsid w:val="00C451CF"/>
    <w:rsid w:val="00C45B38"/>
    <w:rsid w:val="00C460F6"/>
    <w:rsid w:val="00C50EF1"/>
    <w:rsid w:val="00C51F5B"/>
    <w:rsid w:val="00C526B2"/>
    <w:rsid w:val="00C635B3"/>
    <w:rsid w:val="00C643AC"/>
    <w:rsid w:val="00C64D2B"/>
    <w:rsid w:val="00C678C0"/>
    <w:rsid w:val="00C72FD4"/>
    <w:rsid w:val="00C77AA0"/>
    <w:rsid w:val="00C82134"/>
    <w:rsid w:val="00C824C4"/>
    <w:rsid w:val="00C83352"/>
    <w:rsid w:val="00C836AC"/>
    <w:rsid w:val="00C85464"/>
    <w:rsid w:val="00C90C45"/>
    <w:rsid w:val="00C96F6F"/>
    <w:rsid w:val="00CA1FEE"/>
    <w:rsid w:val="00CA3AEE"/>
    <w:rsid w:val="00CA5E65"/>
    <w:rsid w:val="00CA7AB8"/>
    <w:rsid w:val="00CA7EEF"/>
    <w:rsid w:val="00CB05E2"/>
    <w:rsid w:val="00CB0ACE"/>
    <w:rsid w:val="00CB55E7"/>
    <w:rsid w:val="00CB5CA1"/>
    <w:rsid w:val="00CB6685"/>
    <w:rsid w:val="00CB76F1"/>
    <w:rsid w:val="00CC15C7"/>
    <w:rsid w:val="00CC181E"/>
    <w:rsid w:val="00CC3AA2"/>
    <w:rsid w:val="00CD0703"/>
    <w:rsid w:val="00CD087A"/>
    <w:rsid w:val="00CD0A15"/>
    <w:rsid w:val="00CD1ED8"/>
    <w:rsid w:val="00CD7A2A"/>
    <w:rsid w:val="00CE2829"/>
    <w:rsid w:val="00CE4BF0"/>
    <w:rsid w:val="00CE7B45"/>
    <w:rsid w:val="00CF702C"/>
    <w:rsid w:val="00D03790"/>
    <w:rsid w:val="00D03D82"/>
    <w:rsid w:val="00D0457E"/>
    <w:rsid w:val="00D0473B"/>
    <w:rsid w:val="00D04952"/>
    <w:rsid w:val="00D053A7"/>
    <w:rsid w:val="00D0564C"/>
    <w:rsid w:val="00D1019F"/>
    <w:rsid w:val="00D10ED2"/>
    <w:rsid w:val="00D12C6C"/>
    <w:rsid w:val="00D241B7"/>
    <w:rsid w:val="00D334C9"/>
    <w:rsid w:val="00D343E0"/>
    <w:rsid w:val="00D34B10"/>
    <w:rsid w:val="00D44A2D"/>
    <w:rsid w:val="00D45369"/>
    <w:rsid w:val="00D4743D"/>
    <w:rsid w:val="00D47EA3"/>
    <w:rsid w:val="00D50C83"/>
    <w:rsid w:val="00D52373"/>
    <w:rsid w:val="00D542FC"/>
    <w:rsid w:val="00D628FD"/>
    <w:rsid w:val="00D62AF3"/>
    <w:rsid w:val="00D62F87"/>
    <w:rsid w:val="00D71AF5"/>
    <w:rsid w:val="00D724CD"/>
    <w:rsid w:val="00D7579A"/>
    <w:rsid w:val="00D75E8F"/>
    <w:rsid w:val="00D768A7"/>
    <w:rsid w:val="00D8027A"/>
    <w:rsid w:val="00D815AD"/>
    <w:rsid w:val="00D81DB6"/>
    <w:rsid w:val="00D82D84"/>
    <w:rsid w:val="00D8316B"/>
    <w:rsid w:val="00D83D1E"/>
    <w:rsid w:val="00D86B57"/>
    <w:rsid w:val="00D90994"/>
    <w:rsid w:val="00D90E2F"/>
    <w:rsid w:val="00D91228"/>
    <w:rsid w:val="00D919A7"/>
    <w:rsid w:val="00D93AA7"/>
    <w:rsid w:val="00D95289"/>
    <w:rsid w:val="00D97D71"/>
    <w:rsid w:val="00DA16C8"/>
    <w:rsid w:val="00DA1EB6"/>
    <w:rsid w:val="00DA52DE"/>
    <w:rsid w:val="00DB0B2D"/>
    <w:rsid w:val="00DB1109"/>
    <w:rsid w:val="00DB29B3"/>
    <w:rsid w:val="00DB56C6"/>
    <w:rsid w:val="00DB6016"/>
    <w:rsid w:val="00DC1449"/>
    <w:rsid w:val="00DC1CDB"/>
    <w:rsid w:val="00DC2210"/>
    <w:rsid w:val="00DC5EF6"/>
    <w:rsid w:val="00DC75E3"/>
    <w:rsid w:val="00DD199A"/>
    <w:rsid w:val="00DD34AF"/>
    <w:rsid w:val="00DD3F84"/>
    <w:rsid w:val="00DD53C2"/>
    <w:rsid w:val="00DE142C"/>
    <w:rsid w:val="00DE1F04"/>
    <w:rsid w:val="00DE25B6"/>
    <w:rsid w:val="00DE3442"/>
    <w:rsid w:val="00DF071B"/>
    <w:rsid w:val="00DF11F8"/>
    <w:rsid w:val="00DF4F70"/>
    <w:rsid w:val="00E01629"/>
    <w:rsid w:val="00E01C4C"/>
    <w:rsid w:val="00E024E4"/>
    <w:rsid w:val="00E02990"/>
    <w:rsid w:val="00E0714A"/>
    <w:rsid w:val="00E07661"/>
    <w:rsid w:val="00E07D02"/>
    <w:rsid w:val="00E122C2"/>
    <w:rsid w:val="00E12BF5"/>
    <w:rsid w:val="00E135CE"/>
    <w:rsid w:val="00E13DFD"/>
    <w:rsid w:val="00E20C81"/>
    <w:rsid w:val="00E2376C"/>
    <w:rsid w:val="00E24D90"/>
    <w:rsid w:val="00E2627D"/>
    <w:rsid w:val="00E2773C"/>
    <w:rsid w:val="00E30764"/>
    <w:rsid w:val="00E30BFD"/>
    <w:rsid w:val="00E33519"/>
    <w:rsid w:val="00E354C1"/>
    <w:rsid w:val="00E37BDA"/>
    <w:rsid w:val="00E4354B"/>
    <w:rsid w:val="00E4481B"/>
    <w:rsid w:val="00E44E5C"/>
    <w:rsid w:val="00E45021"/>
    <w:rsid w:val="00E45109"/>
    <w:rsid w:val="00E455D6"/>
    <w:rsid w:val="00E45AC5"/>
    <w:rsid w:val="00E47283"/>
    <w:rsid w:val="00E473CE"/>
    <w:rsid w:val="00E47C58"/>
    <w:rsid w:val="00E513BD"/>
    <w:rsid w:val="00E5214A"/>
    <w:rsid w:val="00E53C7E"/>
    <w:rsid w:val="00E53C8C"/>
    <w:rsid w:val="00E55684"/>
    <w:rsid w:val="00E55EF3"/>
    <w:rsid w:val="00E57D5A"/>
    <w:rsid w:val="00E62E60"/>
    <w:rsid w:val="00E648C3"/>
    <w:rsid w:val="00E659FB"/>
    <w:rsid w:val="00E66650"/>
    <w:rsid w:val="00E67E92"/>
    <w:rsid w:val="00E7167A"/>
    <w:rsid w:val="00E71C11"/>
    <w:rsid w:val="00E71DA0"/>
    <w:rsid w:val="00E7270E"/>
    <w:rsid w:val="00E72FE0"/>
    <w:rsid w:val="00E73C50"/>
    <w:rsid w:val="00E746B0"/>
    <w:rsid w:val="00E81D5F"/>
    <w:rsid w:val="00E83B20"/>
    <w:rsid w:val="00E85510"/>
    <w:rsid w:val="00E85840"/>
    <w:rsid w:val="00E8586C"/>
    <w:rsid w:val="00E87EE4"/>
    <w:rsid w:val="00E87FD7"/>
    <w:rsid w:val="00E91EA3"/>
    <w:rsid w:val="00E92661"/>
    <w:rsid w:val="00E94888"/>
    <w:rsid w:val="00E969AD"/>
    <w:rsid w:val="00E97423"/>
    <w:rsid w:val="00EA234A"/>
    <w:rsid w:val="00EA2BBB"/>
    <w:rsid w:val="00EA4859"/>
    <w:rsid w:val="00EA4E5D"/>
    <w:rsid w:val="00EA5CAB"/>
    <w:rsid w:val="00EA7213"/>
    <w:rsid w:val="00EB2283"/>
    <w:rsid w:val="00EB354A"/>
    <w:rsid w:val="00EB4C9B"/>
    <w:rsid w:val="00EB4F92"/>
    <w:rsid w:val="00EC3363"/>
    <w:rsid w:val="00EC692D"/>
    <w:rsid w:val="00ED01AF"/>
    <w:rsid w:val="00ED2E86"/>
    <w:rsid w:val="00ED49C6"/>
    <w:rsid w:val="00ED4A17"/>
    <w:rsid w:val="00ED6986"/>
    <w:rsid w:val="00EE104F"/>
    <w:rsid w:val="00EE1E06"/>
    <w:rsid w:val="00EE4009"/>
    <w:rsid w:val="00EE72D1"/>
    <w:rsid w:val="00EE7844"/>
    <w:rsid w:val="00EF3599"/>
    <w:rsid w:val="00EF6495"/>
    <w:rsid w:val="00F012CC"/>
    <w:rsid w:val="00F03803"/>
    <w:rsid w:val="00F05E4A"/>
    <w:rsid w:val="00F1196D"/>
    <w:rsid w:val="00F1327C"/>
    <w:rsid w:val="00F135C7"/>
    <w:rsid w:val="00F139A0"/>
    <w:rsid w:val="00F14123"/>
    <w:rsid w:val="00F159DF"/>
    <w:rsid w:val="00F15E9D"/>
    <w:rsid w:val="00F17EE4"/>
    <w:rsid w:val="00F232DC"/>
    <w:rsid w:val="00F23428"/>
    <w:rsid w:val="00F238D6"/>
    <w:rsid w:val="00F23B05"/>
    <w:rsid w:val="00F23B9A"/>
    <w:rsid w:val="00F2568F"/>
    <w:rsid w:val="00F25D22"/>
    <w:rsid w:val="00F25D91"/>
    <w:rsid w:val="00F26D2E"/>
    <w:rsid w:val="00F27B96"/>
    <w:rsid w:val="00F27F88"/>
    <w:rsid w:val="00F32AE2"/>
    <w:rsid w:val="00F375F1"/>
    <w:rsid w:val="00F40440"/>
    <w:rsid w:val="00F40A3F"/>
    <w:rsid w:val="00F41B05"/>
    <w:rsid w:val="00F43FED"/>
    <w:rsid w:val="00F50182"/>
    <w:rsid w:val="00F525F1"/>
    <w:rsid w:val="00F52B31"/>
    <w:rsid w:val="00F55B3B"/>
    <w:rsid w:val="00F60805"/>
    <w:rsid w:val="00F6083F"/>
    <w:rsid w:val="00F60B51"/>
    <w:rsid w:val="00F60E23"/>
    <w:rsid w:val="00F61018"/>
    <w:rsid w:val="00F65EFD"/>
    <w:rsid w:val="00F66D2E"/>
    <w:rsid w:val="00F67526"/>
    <w:rsid w:val="00F71290"/>
    <w:rsid w:val="00F7236C"/>
    <w:rsid w:val="00F75510"/>
    <w:rsid w:val="00F76456"/>
    <w:rsid w:val="00F82EA1"/>
    <w:rsid w:val="00F82F1F"/>
    <w:rsid w:val="00F84FC0"/>
    <w:rsid w:val="00F86F94"/>
    <w:rsid w:val="00F900C8"/>
    <w:rsid w:val="00F933B0"/>
    <w:rsid w:val="00F93D30"/>
    <w:rsid w:val="00F94AD7"/>
    <w:rsid w:val="00F979FA"/>
    <w:rsid w:val="00FA26AE"/>
    <w:rsid w:val="00FA4A0B"/>
    <w:rsid w:val="00FA5EFD"/>
    <w:rsid w:val="00FA78A9"/>
    <w:rsid w:val="00FB0E66"/>
    <w:rsid w:val="00FB21B7"/>
    <w:rsid w:val="00FB2CB2"/>
    <w:rsid w:val="00FC5439"/>
    <w:rsid w:val="00FD1ED1"/>
    <w:rsid w:val="00FD2311"/>
    <w:rsid w:val="00FE24AB"/>
    <w:rsid w:val="00FE290D"/>
    <w:rsid w:val="00FE3D3E"/>
    <w:rsid w:val="00FE7589"/>
    <w:rsid w:val="00FE7D9D"/>
    <w:rsid w:val="00FF1049"/>
    <w:rsid w:val="00FF403E"/>
    <w:rsid w:val="00FF78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ED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949"/>
    <w:pPr>
      <w:spacing w:line="480" w:lineRule="auto"/>
      <w:jc w:val="both"/>
    </w:pPr>
    <w:rPr>
      <w:rFonts w:ascii="Times New Roman" w:hAnsi="Times New Roman"/>
    </w:rPr>
  </w:style>
  <w:style w:type="paragraph" w:styleId="Heading1">
    <w:name w:val="heading 1"/>
    <w:basedOn w:val="Normal"/>
    <w:next w:val="Normal"/>
    <w:link w:val="Heading1Char"/>
    <w:autoRedefine/>
    <w:uiPriority w:val="9"/>
    <w:qFormat/>
    <w:rsid w:val="00BB4949"/>
    <w:pPr>
      <w:keepNext/>
      <w:keepLines/>
      <w:spacing w:before="24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BB4949"/>
    <w:pPr>
      <w:keepNext/>
      <w:keepLines/>
      <w:spacing w:before="4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949"/>
    <w:rPr>
      <w:rFonts w:ascii="Times New Roman" w:eastAsiaTheme="majorEastAsia" w:hAnsi="Times New Roman" w:cstheme="majorBidi"/>
      <w:color w:val="000000" w:themeColor="text1"/>
      <w:sz w:val="26"/>
      <w:szCs w:val="26"/>
    </w:rPr>
  </w:style>
  <w:style w:type="character" w:customStyle="1" w:styleId="Heading1Char">
    <w:name w:val="Heading 1 Char"/>
    <w:basedOn w:val="DefaultParagraphFont"/>
    <w:link w:val="Heading1"/>
    <w:uiPriority w:val="9"/>
    <w:rsid w:val="00BB4949"/>
    <w:rPr>
      <w:rFonts w:ascii="Times New Roman" w:eastAsiaTheme="majorEastAsia" w:hAnsi="Times New Roman" w:cstheme="majorBidi"/>
      <w:color w:val="000000" w:themeColor="text1"/>
      <w:sz w:val="32"/>
      <w:szCs w:val="32"/>
    </w:rPr>
  </w:style>
  <w:style w:type="paragraph" w:styleId="FootnoteText">
    <w:name w:val="footnote text"/>
    <w:basedOn w:val="Normal"/>
    <w:link w:val="FootnoteTextChar"/>
    <w:uiPriority w:val="99"/>
    <w:unhideWhenUsed/>
    <w:rsid w:val="00A506DF"/>
    <w:pPr>
      <w:spacing w:line="240" w:lineRule="auto"/>
    </w:pPr>
    <w:rPr>
      <w:rFonts w:ascii="Garamond" w:hAnsi="Garamond"/>
      <w:sz w:val="20"/>
    </w:rPr>
  </w:style>
  <w:style w:type="character" w:customStyle="1" w:styleId="FootnoteTextChar">
    <w:name w:val="Footnote Text Char"/>
    <w:basedOn w:val="DefaultParagraphFont"/>
    <w:link w:val="FootnoteText"/>
    <w:uiPriority w:val="99"/>
    <w:rsid w:val="00A506DF"/>
    <w:rPr>
      <w:rFonts w:ascii="Garamond" w:hAnsi="Garamond"/>
      <w:sz w:val="20"/>
    </w:rPr>
  </w:style>
  <w:style w:type="paragraph" w:styleId="Header">
    <w:name w:val="header"/>
    <w:basedOn w:val="Normal"/>
    <w:link w:val="HeaderChar"/>
    <w:uiPriority w:val="99"/>
    <w:unhideWhenUsed/>
    <w:rsid w:val="004C791E"/>
    <w:pPr>
      <w:tabs>
        <w:tab w:val="center" w:pos="4513"/>
        <w:tab w:val="right" w:pos="9026"/>
      </w:tabs>
      <w:spacing w:line="240" w:lineRule="auto"/>
    </w:pPr>
  </w:style>
  <w:style w:type="character" w:customStyle="1" w:styleId="HeaderChar">
    <w:name w:val="Header Char"/>
    <w:basedOn w:val="DefaultParagraphFont"/>
    <w:link w:val="Header"/>
    <w:uiPriority w:val="99"/>
    <w:rsid w:val="004C791E"/>
    <w:rPr>
      <w:rFonts w:ascii="Times New Roman" w:hAnsi="Times New Roman"/>
    </w:rPr>
  </w:style>
  <w:style w:type="character" w:styleId="Hyperlink">
    <w:name w:val="Hyperlink"/>
    <w:basedOn w:val="DefaultParagraphFont"/>
    <w:uiPriority w:val="99"/>
    <w:unhideWhenUsed/>
    <w:rsid w:val="004C791E"/>
    <w:rPr>
      <w:strike w:val="0"/>
      <w:dstrike w:val="0"/>
      <w:color w:val="006FB7"/>
      <w:u w:val="none"/>
      <w:effect w:val="none"/>
    </w:rPr>
  </w:style>
  <w:style w:type="character" w:styleId="FootnoteReference">
    <w:name w:val="footnote reference"/>
    <w:basedOn w:val="DefaultParagraphFont"/>
    <w:uiPriority w:val="99"/>
    <w:unhideWhenUsed/>
    <w:rsid w:val="004C791E"/>
    <w:rPr>
      <w:vertAlign w:val="superscript"/>
    </w:rPr>
  </w:style>
  <w:style w:type="paragraph" w:styleId="NoSpacing">
    <w:name w:val="No Spacing"/>
    <w:basedOn w:val="Normal"/>
    <w:link w:val="NoSpacingChar"/>
    <w:uiPriority w:val="1"/>
    <w:qFormat/>
    <w:rsid w:val="004C791E"/>
    <w:pPr>
      <w:spacing w:line="240" w:lineRule="auto"/>
      <w:jc w:val="left"/>
    </w:pPr>
    <w:rPr>
      <w:rFonts w:asciiTheme="minorHAnsi" w:eastAsiaTheme="minorEastAsia" w:hAnsiTheme="minorHAnsi"/>
      <w:sz w:val="22"/>
      <w:szCs w:val="22"/>
      <w:lang w:val="en-US"/>
    </w:rPr>
  </w:style>
  <w:style w:type="character" w:customStyle="1" w:styleId="NoSpacingChar">
    <w:name w:val="No Spacing Char"/>
    <w:basedOn w:val="DefaultParagraphFont"/>
    <w:link w:val="NoSpacing"/>
    <w:uiPriority w:val="1"/>
    <w:rsid w:val="004C791E"/>
    <w:rPr>
      <w:rFonts w:eastAsiaTheme="minorEastAsia"/>
      <w:sz w:val="22"/>
      <w:szCs w:val="22"/>
      <w:lang w:val="en-US"/>
    </w:rPr>
  </w:style>
  <w:style w:type="character" w:customStyle="1" w:styleId="st1">
    <w:name w:val="st1"/>
    <w:basedOn w:val="DefaultParagraphFont"/>
    <w:rsid w:val="004C791E"/>
  </w:style>
  <w:style w:type="character" w:styleId="CommentReference">
    <w:name w:val="annotation reference"/>
    <w:basedOn w:val="DefaultParagraphFont"/>
    <w:uiPriority w:val="99"/>
    <w:semiHidden/>
    <w:unhideWhenUsed/>
    <w:rsid w:val="000B6D5F"/>
    <w:rPr>
      <w:sz w:val="18"/>
      <w:szCs w:val="18"/>
    </w:rPr>
  </w:style>
  <w:style w:type="paragraph" w:styleId="CommentText">
    <w:name w:val="annotation text"/>
    <w:basedOn w:val="Normal"/>
    <w:link w:val="CommentTextChar"/>
    <w:uiPriority w:val="99"/>
    <w:unhideWhenUsed/>
    <w:rsid w:val="000B6D5F"/>
    <w:pPr>
      <w:spacing w:line="240" w:lineRule="auto"/>
    </w:pPr>
  </w:style>
  <w:style w:type="character" w:customStyle="1" w:styleId="CommentTextChar">
    <w:name w:val="Comment Text Char"/>
    <w:basedOn w:val="DefaultParagraphFont"/>
    <w:link w:val="CommentText"/>
    <w:uiPriority w:val="99"/>
    <w:rsid w:val="000B6D5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B6D5F"/>
    <w:rPr>
      <w:b/>
      <w:bCs/>
      <w:sz w:val="20"/>
      <w:szCs w:val="20"/>
    </w:rPr>
  </w:style>
  <w:style w:type="character" w:customStyle="1" w:styleId="CommentSubjectChar">
    <w:name w:val="Comment Subject Char"/>
    <w:basedOn w:val="CommentTextChar"/>
    <w:link w:val="CommentSubject"/>
    <w:uiPriority w:val="99"/>
    <w:semiHidden/>
    <w:rsid w:val="000B6D5F"/>
    <w:rPr>
      <w:rFonts w:ascii="Times New Roman" w:hAnsi="Times New Roman"/>
      <w:b/>
      <w:bCs/>
      <w:sz w:val="20"/>
      <w:szCs w:val="20"/>
    </w:rPr>
  </w:style>
  <w:style w:type="paragraph" w:styleId="BalloonText">
    <w:name w:val="Balloon Text"/>
    <w:basedOn w:val="Normal"/>
    <w:link w:val="BalloonTextChar"/>
    <w:uiPriority w:val="99"/>
    <w:semiHidden/>
    <w:unhideWhenUsed/>
    <w:rsid w:val="000B6D5F"/>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B6D5F"/>
    <w:rPr>
      <w:rFonts w:ascii="Times New Roman" w:hAnsi="Times New Roman" w:cs="Times New Roman"/>
      <w:sz w:val="18"/>
      <w:szCs w:val="18"/>
    </w:rPr>
  </w:style>
  <w:style w:type="paragraph" w:styleId="Footer">
    <w:name w:val="footer"/>
    <w:basedOn w:val="Normal"/>
    <w:link w:val="FooterChar"/>
    <w:uiPriority w:val="99"/>
    <w:unhideWhenUsed/>
    <w:rsid w:val="009F2B8D"/>
    <w:pPr>
      <w:tabs>
        <w:tab w:val="center" w:pos="4513"/>
        <w:tab w:val="right" w:pos="9026"/>
      </w:tabs>
      <w:spacing w:line="240" w:lineRule="auto"/>
    </w:pPr>
  </w:style>
  <w:style w:type="character" w:customStyle="1" w:styleId="FooterChar">
    <w:name w:val="Footer Char"/>
    <w:basedOn w:val="DefaultParagraphFont"/>
    <w:link w:val="Footer"/>
    <w:uiPriority w:val="99"/>
    <w:rsid w:val="009F2B8D"/>
    <w:rPr>
      <w:rFonts w:ascii="Times New Roman" w:hAnsi="Times New Roman"/>
    </w:rPr>
  </w:style>
  <w:style w:type="paragraph" w:styleId="ListParagraph">
    <w:name w:val="List Paragraph"/>
    <w:basedOn w:val="Normal"/>
    <w:uiPriority w:val="34"/>
    <w:qFormat/>
    <w:rsid w:val="009F2B8D"/>
    <w:pPr>
      <w:spacing w:after="200" w:line="276" w:lineRule="auto"/>
      <w:ind w:left="720"/>
      <w:contextualSpacing/>
      <w:jc w:val="left"/>
    </w:pPr>
    <w:rPr>
      <w:rFonts w:asciiTheme="minorHAnsi" w:hAnsiTheme="minorHAnsi"/>
      <w:sz w:val="22"/>
      <w:szCs w:val="22"/>
    </w:rPr>
  </w:style>
  <w:style w:type="paragraph" w:styleId="Revision">
    <w:name w:val="Revision"/>
    <w:hidden/>
    <w:uiPriority w:val="99"/>
    <w:semiHidden/>
    <w:rsid w:val="0096713B"/>
    <w:rPr>
      <w:rFonts w:ascii="Times New Roman" w:hAnsi="Times New Roman"/>
    </w:rPr>
  </w:style>
  <w:style w:type="character" w:customStyle="1" w:styleId="apple-converted-space">
    <w:name w:val="apple-converted-space"/>
    <w:basedOn w:val="DefaultParagraphFont"/>
    <w:rsid w:val="003336A1"/>
  </w:style>
  <w:style w:type="character" w:styleId="FollowedHyperlink">
    <w:name w:val="FollowedHyperlink"/>
    <w:basedOn w:val="DefaultParagraphFont"/>
    <w:uiPriority w:val="99"/>
    <w:semiHidden/>
    <w:unhideWhenUsed/>
    <w:rsid w:val="00B9090A"/>
    <w:rPr>
      <w:color w:val="954F72" w:themeColor="followedHyperlink"/>
      <w:u w:val="single"/>
    </w:rPr>
  </w:style>
  <w:style w:type="paragraph" w:styleId="EndnoteText">
    <w:name w:val="endnote text"/>
    <w:basedOn w:val="Normal"/>
    <w:link w:val="EndnoteTextChar"/>
    <w:uiPriority w:val="99"/>
    <w:semiHidden/>
    <w:unhideWhenUsed/>
    <w:rsid w:val="00416339"/>
    <w:pPr>
      <w:spacing w:line="240" w:lineRule="auto"/>
    </w:pPr>
  </w:style>
  <w:style w:type="character" w:customStyle="1" w:styleId="EndnoteTextChar">
    <w:name w:val="Endnote Text Char"/>
    <w:basedOn w:val="DefaultParagraphFont"/>
    <w:link w:val="EndnoteText"/>
    <w:uiPriority w:val="99"/>
    <w:semiHidden/>
    <w:rsid w:val="00416339"/>
    <w:rPr>
      <w:rFonts w:ascii="Times New Roman" w:hAnsi="Times New Roman"/>
    </w:rPr>
  </w:style>
  <w:style w:type="character" w:styleId="EndnoteReference">
    <w:name w:val="endnote reference"/>
    <w:basedOn w:val="DefaultParagraphFont"/>
    <w:uiPriority w:val="99"/>
    <w:semiHidden/>
    <w:unhideWhenUsed/>
    <w:rsid w:val="00416339"/>
    <w:rPr>
      <w:vertAlign w:val="superscript"/>
    </w:rPr>
  </w:style>
  <w:style w:type="character" w:customStyle="1" w:styleId="UnresolvedMention1">
    <w:name w:val="Unresolved Mention1"/>
    <w:basedOn w:val="DefaultParagraphFont"/>
    <w:uiPriority w:val="99"/>
    <w:semiHidden/>
    <w:unhideWhenUsed/>
    <w:rsid w:val="006345C0"/>
    <w:rPr>
      <w:color w:val="808080"/>
      <w:shd w:val="clear" w:color="auto" w:fill="E6E6E6"/>
    </w:rPr>
  </w:style>
  <w:style w:type="character" w:styleId="PageNumber">
    <w:name w:val="page number"/>
    <w:basedOn w:val="DefaultParagraphFont"/>
    <w:uiPriority w:val="99"/>
    <w:semiHidden/>
    <w:unhideWhenUsed/>
    <w:rsid w:val="00D7579A"/>
  </w:style>
  <w:style w:type="paragraph" w:styleId="DocumentMap">
    <w:name w:val="Document Map"/>
    <w:basedOn w:val="Normal"/>
    <w:link w:val="DocumentMapChar"/>
    <w:uiPriority w:val="99"/>
    <w:semiHidden/>
    <w:unhideWhenUsed/>
    <w:rsid w:val="003B3BEC"/>
    <w:pPr>
      <w:spacing w:line="240" w:lineRule="auto"/>
    </w:pPr>
    <w:rPr>
      <w:rFonts w:cs="Times New Roman"/>
    </w:rPr>
  </w:style>
  <w:style w:type="character" w:customStyle="1" w:styleId="DocumentMapChar">
    <w:name w:val="Document Map Char"/>
    <w:basedOn w:val="DefaultParagraphFont"/>
    <w:link w:val="DocumentMap"/>
    <w:uiPriority w:val="99"/>
    <w:semiHidden/>
    <w:rsid w:val="003B3BEC"/>
    <w:rPr>
      <w:rFonts w:ascii="Times New Roman" w:hAnsi="Times New Roman" w:cs="Times New Roman"/>
    </w:rPr>
  </w:style>
  <w:style w:type="character" w:customStyle="1" w:styleId="publication-metatype">
    <w:name w:val="publication-meta__type"/>
    <w:basedOn w:val="DefaultParagraphFont"/>
    <w:rsid w:val="00F23B05"/>
  </w:style>
  <w:style w:type="character" w:styleId="Emphasis">
    <w:name w:val="Emphasis"/>
    <w:basedOn w:val="DefaultParagraphFont"/>
    <w:uiPriority w:val="20"/>
    <w:qFormat/>
    <w:rsid w:val="00F23B05"/>
    <w:rPr>
      <w:i/>
      <w:iCs/>
    </w:rPr>
  </w:style>
  <w:style w:type="paragraph" w:styleId="NormalWeb">
    <w:name w:val="Normal (Web)"/>
    <w:basedOn w:val="Normal"/>
    <w:uiPriority w:val="99"/>
    <w:semiHidden/>
    <w:unhideWhenUsed/>
    <w:rsid w:val="00B72446"/>
    <w:pPr>
      <w:spacing w:before="100" w:beforeAutospacing="1" w:after="100" w:afterAutospacing="1" w:line="240" w:lineRule="auto"/>
      <w:jc w:val="left"/>
    </w:pPr>
    <w:rPr>
      <w:rFonts w:eastAsia="Times New Roman" w:cs="Times New Roman"/>
    </w:rPr>
  </w:style>
  <w:style w:type="character" w:customStyle="1" w:styleId="UnresolvedMention2">
    <w:name w:val="Unresolved Mention2"/>
    <w:basedOn w:val="DefaultParagraphFont"/>
    <w:uiPriority w:val="99"/>
    <w:rsid w:val="00BA6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6414">
      <w:bodyDiv w:val="1"/>
      <w:marLeft w:val="0"/>
      <w:marRight w:val="0"/>
      <w:marTop w:val="0"/>
      <w:marBottom w:val="0"/>
      <w:divBdr>
        <w:top w:val="none" w:sz="0" w:space="0" w:color="auto"/>
        <w:left w:val="none" w:sz="0" w:space="0" w:color="auto"/>
        <w:bottom w:val="none" w:sz="0" w:space="0" w:color="auto"/>
        <w:right w:val="none" w:sz="0" w:space="0" w:color="auto"/>
      </w:divBdr>
    </w:div>
    <w:div w:id="55713301">
      <w:bodyDiv w:val="1"/>
      <w:marLeft w:val="0"/>
      <w:marRight w:val="0"/>
      <w:marTop w:val="0"/>
      <w:marBottom w:val="0"/>
      <w:divBdr>
        <w:top w:val="none" w:sz="0" w:space="0" w:color="auto"/>
        <w:left w:val="none" w:sz="0" w:space="0" w:color="auto"/>
        <w:bottom w:val="none" w:sz="0" w:space="0" w:color="auto"/>
        <w:right w:val="none" w:sz="0" w:space="0" w:color="auto"/>
      </w:divBdr>
    </w:div>
    <w:div w:id="119223919">
      <w:bodyDiv w:val="1"/>
      <w:marLeft w:val="0"/>
      <w:marRight w:val="0"/>
      <w:marTop w:val="0"/>
      <w:marBottom w:val="0"/>
      <w:divBdr>
        <w:top w:val="none" w:sz="0" w:space="0" w:color="auto"/>
        <w:left w:val="none" w:sz="0" w:space="0" w:color="auto"/>
        <w:bottom w:val="none" w:sz="0" w:space="0" w:color="auto"/>
        <w:right w:val="none" w:sz="0" w:space="0" w:color="auto"/>
      </w:divBdr>
    </w:div>
    <w:div w:id="154615706">
      <w:bodyDiv w:val="1"/>
      <w:marLeft w:val="0"/>
      <w:marRight w:val="0"/>
      <w:marTop w:val="0"/>
      <w:marBottom w:val="0"/>
      <w:divBdr>
        <w:top w:val="none" w:sz="0" w:space="0" w:color="auto"/>
        <w:left w:val="none" w:sz="0" w:space="0" w:color="auto"/>
        <w:bottom w:val="none" w:sz="0" w:space="0" w:color="auto"/>
        <w:right w:val="none" w:sz="0" w:space="0" w:color="auto"/>
      </w:divBdr>
    </w:div>
    <w:div w:id="166211828">
      <w:bodyDiv w:val="1"/>
      <w:marLeft w:val="0"/>
      <w:marRight w:val="0"/>
      <w:marTop w:val="0"/>
      <w:marBottom w:val="0"/>
      <w:divBdr>
        <w:top w:val="none" w:sz="0" w:space="0" w:color="auto"/>
        <w:left w:val="none" w:sz="0" w:space="0" w:color="auto"/>
        <w:bottom w:val="none" w:sz="0" w:space="0" w:color="auto"/>
        <w:right w:val="none" w:sz="0" w:space="0" w:color="auto"/>
      </w:divBdr>
    </w:div>
    <w:div w:id="170291731">
      <w:bodyDiv w:val="1"/>
      <w:marLeft w:val="0"/>
      <w:marRight w:val="0"/>
      <w:marTop w:val="0"/>
      <w:marBottom w:val="0"/>
      <w:divBdr>
        <w:top w:val="none" w:sz="0" w:space="0" w:color="auto"/>
        <w:left w:val="none" w:sz="0" w:space="0" w:color="auto"/>
        <w:bottom w:val="none" w:sz="0" w:space="0" w:color="auto"/>
        <w:right w:val="none" w:sz="0" w:space="0" w:color="auto"/>
      </w:divBdr>
    </w:div>
    <w:div w:id="182717827">
      <w:bodyDiv w:val="1"/>
      <w:marLeft w:val="0"/>
      <w:marRight w:val="0"/>
      <w:marTop w:val="0"/>
      <w:marBottom w:val="0"/>
      <w:divBdr>
        <w:top w:val="none" w:sz="0" w:space="0" w:color="auto"/>
        <w:left w:val="none" w:sz="0" w:space="0" w:color="auto"/>
        <w:bottom w:val="none" w:sz="0" w:space="0" w:color="auto"/>
        <w:right w:val="none" w:sz="0" w:space="0" w:color="auto"/>
      </w:divBdr>
    </w:div>
    <w:div w:id="199439177">
      <w:bodyDiv w:val="1"/>
      <w:marLeft w:val="0"/>
      <w:marRight w:val="0"/>
      <w:marTop w:val="0"/>
      <w:marBottom w:val="0"/>
      <w:divBdr>
        <w:top w:val="none" w:sz="0" w:space="0" w:color="auto"/>
        <w:left w:val="none" w:sz="0" w:space="0" w:color="auto"/>
        <w:bottom w:val="none" w:sz="0" w:space="0" w:color="auto"/>
        <w:right w:val="none" w:sz="0" w:space="0" w:color="auto"/>
      </w:divBdr>
    </w:div>
    <w:div w:id="224221816">
      <w:bodyDiv w:val="1"/>
      <w:marLeft w:val="0"/>
      <w:marRight w:val="0"/>
      <w:marTop w:val="0"/>
      <w:marBottom w:val="0"/>
      <w:divBdr>
        <w:top w:val="none" w:sz="0" w:space="0" w:color="auto"/>
        <w:left w:val="none" w:sz="0" w:space="0" w:color="auto"/>
        <w:bottom w:val="none" w:sz="0" w:space="0" w:color="auto"/>
        <w:right w:val="none" w:sz="0" w:space="0" w:color="auto"/>
      </w:divBdr>
    </w:div>
    <w:div w:id="225722902">
      <w:bodyDiv w:val="1"/>
      <w:marLeft w:val="0"/>
      <w:marRight w:val="0"/>
      <w:marTop w:val="0"/>
      <w:marBottom w:val="0"/>
      <w:divBdr>
        <w:top w:val="none" w:sz="0" w:space="0" w:color="auto"/>
        <w:left w:val="none" w:sz="0" w:space="0" w:color="auto"/>
        <w:bottom w:val="none" w:sz="0" w:space="0" w:color="auto"/>
        <w:right w:val="none" w:sz="0" w:space="0" w:color="auto"/>
      </w:divBdr>
    </w:div>
    <w:div w:id="269246085">
      <w:bodyDiv w:val="1"/>
      <w:marLeft w:val="0"/>
      <w:marRight w:val="0"/>
      <w:marTop w:val="0"/>
      <w:marBottom w:val="0"/>
      <w:divBdr>
        <w:top w:val="none" w:sz="0" w:space="0" w:color="auto"/>
        <w:left w:val="none" w:sz="0" w:space="0" w:color="auto"/>
        <w:bottom w:val="none" w:sz="0" w:space="0" w:color="auto"/>
        <w:right w:val="none" w:sz="0" w:space="0" w:color="auto"/>
      </w:divBdr>
    </w:div>
    <w:div w:id="272790081">
      <w:bodyDiv w:val="1"/>
      <w:marLeft w:val="0"/>
      <w:marRight w:val="0"/>
      <w:marTop w:val="0"/>
      <w:marBottom w:val="0"/>
      <w:divBdr>
        <w:top w:val="none" w:sz="0" w:space="0" w:color="auto"/>
        <w:left w:val="none" w:sz="0" w:space="0" w:color="auto"/>
        <w:bottom w:val="none" w:sz="0" w:space="0" w:color="auto"/>
        <w:right w:val="none" w:sz="0" w:space="0" w:color="auto"/>
      </w:divBdr>
    </w:div>
    <w:div w:id="296491991">
      <w:bodyDiv w:val="1"/>
      <w:marLeft w:val="0"/>
      <w:marRight w:val="0"/>
      <w:marTop w:val="0"/>
      <w:marBottom w:val="0"/>
      <w:divBdr>
        <w:top w:val="none" w:sz="0" w:space="0" w:color="auto"/>
        <w:left w:val="none" w:sz="0" w:space="0" w:color="auto"/>
        <w:bottom w:val="none" w:sz="0" w:space="0" w:color="auto"/>
        <w:right w:val="none" w:sz="0" w:space="0" w:color="auto"/>
      </w:divBdr>
    </w:div>
    <w:div w:id="299960542">
      <w:bodyDiv w:val="1"/>
      <w:marLeft w:val="0"/>
      <w:marRight w:val="0"/>
      <w:marTop w:val="0"/>
      <w:marBottom w:val="0"/>
      <w:divBdr>
        <w:top w:val="none" w:sz="0" w:space="0" w:color="auto"/>
        <w:left w:val="none" w:sz="0" w:space="0" w:color="auto"/>
        <w:bottom w:val="none" w:sz="0" w:space="0" w:color="auto"/>
        <w:right w:val="none" w:sz="0" w:space="0" w:color="auto"/>
      </w:divBdr>
    </w:div>
    <w:div w:id="303239198">
      <w:bodyDiv w:val="1"/>
      <w:marLeft w:val="0"/>
      <w:marRight w:val="0"/>
      <w:marTop w:val="0"/>
      <w:marBottom w:val="0"/>
      <w:divBdr>
        <w:top w:val="none" w:sz="0" w:space="0" w:color="auto"/>
        <w:left w:val="none" w:sz="0" w:space="0" w:color="auto"/>
        <w:bottom w:val="none" w:sz="0" w:space="0" w:color="auto"/>
        <w:right w:val="none" w:sz="0" w:space="0" w:color="auto"/>
      </w:divBdr>
    </w:div>
    <w:div w:id="307438484">
      <w:bodyDiv w:val="1"/>
      <w:marLeft w:val="0"/>
      <w:marRight w:val="0"/>
      <w:marTop w:val="0"/>
      <w:marBottom w:val="0"/>
      <w:divBdr>
        <w:top w:val="none" w:sz="0" w:space="0" w:color="auto"/>
        <w:left w:val="none" w:sz="0" w:space="0" w:color="auto"/>
        <w:bottom w:val="none" w:sz="0" w:space="0" w:color="auto"/>
        <w:right w:val="none" w:sz="0" w:space="0" w:color="auto"/>
      </w:divBdr>
    </w:div>
    <w:div w:id="318534215">
      <w:bodyDiv w:val="1"/>
      <w:marLeft w:val="0"/>
      <w:marRight w:val="0"/>
      <w:marTop w:val="0"/>
      <w:marBottom w:val="0"/>
      <w:divBdr>
        <w:top w:val="none" w:sz="0" w:space="0" w:color="auto"/>
        <w:left w:val="none" w:sz="0" w:space="0" w:color="auto"/>
        <w:bottom w:val="none" w:sz="0" w:space="0" w:color="auto"/>
        <w:right w:val="none" w:sz="0" w:space="0" w:color="auto"/>
      </w:divBdr>
    </w:div>
    <w:div w:id="334000691">
      <w:bodyDiv w:val="1"/>
      <w:marLeft w:val="0"/>
      <w:marRight w:val="0"/>
      <w:marTop w:val="0"/>
      <w:marBottom w:val="0"/>
      <w:divBdr>
        <w:top w:val="none" w:sz="0" w:space="0" w:color="auto"/>
        <w:left w:val="none" w:sz="0" w:space="0" w:color="auto"/>
        <w:bottom w:val="none" w:sz="0" w:space="0" w:color="auto"/>
        <w:right w:val="none" w:sz="0" w:space="0" w:color="auto"/>
      </w:divBdr>
    </w:div>
    <w:div w:id="358168842">
      <w:bodyDiv w:val="1"/>
      <w:marLeft w:val="0"/>
      <w:marRight w:val="0"/>
      <w:marTop w:val="0"/>
      <w:marBottom w:val="0"/>
      <w:divBdr>
        <w:top w:val="none" w:sz="0" w:space="0" w:color="auto"/>
        <w:left w:val="none" w:sz="0" w:space="0" w:color="auto"/>
        <w:bottom w:val="none" w:sz="0" w:space="0" w:color="auto"/>
        <w:right w:val="none" w:sz="0" w:space="0" w:color="auto"/>
      </w:divBdr>
    </w:div>
    <w:div w:id="376392746">
      <w:bodyDiv w:val="1"/>
      <w:marLeft w:val="0"/>
      <w:marRight w:val="0"/>
      <w:marTop w:val="0"/>
      <w:marBottom w:val="0"/>
      <w:divBdr>
        <w:top w:val="none" w:sz="0" w:space="0" w:color="auto"/>
        <w:left w:val="none" w:sz="0" w:space="0" w:color="auto"/>
        <w:bottom w:val="none" w:sz="0" w:space="0" w:color="auto"/>
        <w:right w:val="none" w:sz="0" w:space="0" w:color="auto"/>
      </w:divBdr>
    </w:div>
    <w:div w:id="376779388">
      <w:bodyDiv w:val="1"/>
      <w:marLeft w:val="0"/>
      <w:marRight w:val="0"/>
      <w:marTop w:val="0"/>
      <w:marBottom w:val="0"/>
      <w:divBdr>
        <w:top w:val="none" w:sz="0" w:space="0" w:color="auto"/>
        <w:left w:val="none" w:sz="0" w:space="0" w:color="auto"/>
        <w:bottom w:val="none" w:sz="0" w:space="0" w:color="auto"/>
        <w:right w:val="none" w:sz="0" w:space="0" w:color="auto"/>
      </w:divBdr>
    </w:div>
    <w:div w:id="407387163">
      <w:bodyDiv w:val="1"/>
      <w:marLeft w:val="0"/>
      <w:marRight w:val="0"/>
      <w:marTop w:val="0"/>
      <w:marBottom w:val="0"/>
      <w:divBdr>
        <w:top w:val="none" w:sz="0" w:space="0" w:color="auto"/>
        <w:left w:val="none" w:sz="0" w:space="0" w:color="auto"/>
        <w:bottom w:val="none" w:sz="0" w:space="0" w:color="auto"/>
        <w:right w:val="none" w:sz="0" w:space="0" w:color="auto"/>
      </w:divBdr>
    </w:div>
    <w:div w:id="407769606">
      <w:bodyDiv w:val="1"/>
      <w:marLeft w:val="0"/>
      <w:marRight w:val="0"/>
      <w:marTop w:val="0"/>
      <w:marBottom w:val="0"/>
      <w:divBdr>
        <w:top w:val="none" w:sz="0" w:space="0" w:color="auto"/>
        <w:left w:val="none" w:sz="0" w:space="0" w:color="auto"/>
        <w:bottom w:val="none" w:sz="0" w:space="0" w:color="auto"/>
        <w:right w:val="none" w:sz="0" w:space="0" w:color="auto"/>
      </w:divBdr>
    </w:div>
    <w:div w:id="411975177">
      <w:bodyDiv w:val="1"/>
      <w:marLeft w:val="0"/>
      <w:marRight w:val="0"/>
      <w:marTop w:val="0"/>
      <w:marBottom w:val="0"/>
      <w:divBdr>
        <w:top w:val="none" w:sz="0" w:space="0" w:color="auto"/>
        <w:left w:val="none" w:sz="0" w:space="0" w:color="auto"/>
        <w:bottom w:val="none" w:sz="0" w:space="0" w:color="auto"/>
        <w:right w:val="none" w:sz="0" w:space="0" w:color="auto"/>
      </w:divBdr>
      <w:divsChild>
        <w:div w:id="9042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510320">
      <w:bodyDiv w:val="1"/>
      <w:marLeft w:val="0"/>
      <w:marRight w:val="0"/>
      <w:marTop w:val="0"/>
      <w:marBottom w:val="0"/>
      <w:divBdr>
        <w:top w:val="none" w:sz="0" w:space="0" w:color="auto"/>
        <w:left w:val="none" w:sz="0" w:space="0" w:color="auto"/>
        <w:bottom w:val="none" w:sz="0" w:space="0" w:color="auto"/>
        <w:right w:val="none" w:sz="0" w:space="0" w:color="auto"/>
      </w:divBdr>
    </w:div>
    <w:div w:id="448361259">
      <w:bodyDiv w:val="1"/>
      <w:marLeft w:val="0"/>
      <w:marRight w:val="0"/>
      <w:marTop w:val="0"/>
      <w:marBottom w:val="0"/>
      <w:divBdr>
        <w:top w:val="none" w:sz="0" w:space="0" w:color="auto"/>
        <w:left w:val="none" w:sz="0" w:space="0" w:color="auto"/>
        <w:bottom w:val="none" w:sz="0" w:space="0" w:color="auto"/>
        <w:right w:val="none" w:sz="0" w:space="0" w:color="auto"/>
      </w:divBdr>
    </w:div>
    <w:div w:id="461459073">
      <w:bodyDiv w:val="1"/>
      <w:marLeft w:val="0"/>
      <w:marRight w:val="0"/>
      <w:marTop w:val="0"/>
      <w:marBottom w:val="0"/>
      <w:divBdr>
        <w:top w:val="none" w:sz="0" w:space="0" w:color="auto"/>
        <w:left w:val="none" w:sz="0" w:space="0" w:color="auto"/>
        <w:bottom w:val="none" w:sz="0" w:space="0" w:color="auto"/>
        <w:right w:val="none" w:sz="0" w:space="0" w:color="auto"/>
      </w:divBdr>
    </w:div>
    <w:div w:id="498470901">
      <w:bodyDiv w:val="1"/>
      <w:marLeft w:val="0"/>
      <w:marRight w:val="0"/>
      <w:marTop w:val="0"/>
      <w:marBottom w:val="0"/>
      <w:divBdr>
        <w:top w:val="none" w:sz="0" w:space="0" w:color="auto"/>
        <w:left w:val="none" w:sz="0" w:space="0" w:color="auto"/>
        <w:bottom w:val="none" w:sz="0" w:space="0" w:color="auto"/>
        <w:right w:val="none" w:sz="0" w:space="0" w:color="auto"/>
      </w:divBdr>
    </w:div>
    <w:div w:id="533465162">
      <w:bodyDiv w:val="1"/>
      <w:marLeft w:val="0"/>
      <w:marRight w:val="0"/>
      <w:marTop w:val="0"/>
      <w:marBottom w:val="0"/>
      <w:divBdr>
        <w:top w:val="none" w:sz="0" w:space="0" w:color="auto"/>
        <w:left w:val="none" w:sz="0" w:space="0" w:color="auto"/>
        <w:bottom w:val="none" w:sz="0" w:space="0" w:color="auto"/>
        <w:right w:val="none" w:sz="0" w:space="0" w:color="auto"/>
      </w:divBdr>
    </w:div>
    <w:div w:id="534124448">
      <w:bodyDiv w:val="1"/>
      <w:marLeft w:val="0"/>
      <w:marRight w:val="0"/>
      <w:marTop w:val="0"/>
      <w:marBottom w:val="0"/>
      <w:divBdr>
        <w:top w:val="none" w:sz="0" w:space="0" w:color="auto"/>
        <w:left w:val="none" w:sz="0" w:space="0" w:color="auto"/>
        <w:bottom w:val="none" w:sz="0" w:space="0" w:color="auto"/>
        <w:right w:val="none" w:sz="0" w:space="0" w:color="auto"/>
      </w:divBdr>
      <w:divsChild>
        <w:div w:id="1883470530">
          <w:marLeft w:val="0"/>
          <w:marRight w:val="0"/>
          <w:marTop w:val="0"/>
          <w:marBottom w:val="0"/>
          <w:divBdr>
            <w:top w:val="none" w:sz="0" w:space="0" w:color="auto"/>
            <w:left w:val="none" w:sz="0" w:space="0" w:color="auto"/>
            <w:bottom w:val="none" w:sz="0" w:space="0" w:color="auto"/>
            <w:right w:val="none" w:sz="0" w:space="0" w:color="auto"/>
          </w:divBdr>
          <w:divsChild>
            <w:div w:id="884752421">
              <w:marLeft w:val="0"/>
              <w:marRight w:val="0"/>
              <w:marTop w:val="0"/>
              <w:marBottom w:val="0"/>
              <w:divBdr>
                <w:top w:val="none" w:sz="0" w:space="0" w:color="auto"/>
                <w:left w:val="none" w:sz="0" w:space="0" w:color="auto"/>
                <w:bottom w:val="none" w:sz="0" w:space="0" w:color="auto"/>
                <w:right w:val="none" w:sz="0" w:space="0" w:color="auto"/>
              </w:divBdr>
              <w:divsChild>
                <w:div w:id="76788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80893">
      <w:bodyDiv w:val="1"/>
      <w:marLeft w:val="0"/>
      <w:marRight w:val="0"/>
      <w:marTop w:val="0"/>
      <w:marBottom w:val="0"/>
      <w:divBdr>
        <w:top w:val="none" w:sz="0" w:space="0" w:color="auto"/>
        <w:left w:val="none" w:sz="0" w:space="0" w:color="auto"/>
        <w:bottom w:val="none" w:sz="0" w:space="0" w:color="auto"/>
        <w:right w:val="none" w:sz="0" w:space="0" w:color="auto"/>
      </w:divBdr>
    </w:div>
    <w:div w:id="567110102">
      <w:bodyDiv w:val="1"/>
      <w:marLeft w:val="0"/>
      <w:marRight w:val="0"/>
      <w:marTop w:val="0"/>
      <w:marBottom w:val="0"/>
      <w:divBdr>
        <w:top w:val="none" w:sz="0" w:space="0" w:color="auto"/>
        <w:left w:val="none" w:sz="0" w:space="0" w:color="auto"/>
        <w:bottom w:val="none" w:sz="0" w:space="0" w:color="auto"/>
        <w:right w:val="none" w:sz="0" w:space="0" w:color="auto"/>
      </w:divBdr>
    </w:div>
    <w:div w:id="570430834">
      <w:bodyDiv w:val="1"/>
      <w:marLeft w:val="0"/>
      <w:marRight w:val="0"/>
      <w:marTop w:val="0"/>
      <w:marBottom w:val="0"/>
      <w:divBdr>
        <w:top w:val="none" w:sz="0" w:space="0" w:color="auto"/>
        <w:left w:val="none" w:sz="0" w:space="0" w:color="auto"/>
        <w:bottom w:val="none" w:sz="0" w:space="0" w:color="auto"/>
        <w:right w:val="none" w:sz="0" w:space="0" w:color="auto"/>
      </w:divBdr>
      <w:divsChild>
        <w:div w:id="468280331">
          <w:marLeft w:val="0"/>
          <w:marRight w:val="0"/>
          <w:marTop w:val="0"/>
          <w:marBottom w:val="0"/>
          <w:divBdr>
            <w:top w:val="none" w:sz="0" w:space="0" w:color="auto"/>
            <w:left w:val="none" w:sz="0" w:space="0" w:color="auto"/>
            <w:bottom w:val="none" w:sz="0" w:space="0" w:color="auto"/>
            <w:right w:val="none" w:sz="0" w:space="0" w:color="auto"/>
          </w:divBdr>
          <w:divsChild>
            <w:div w:id="568542170">
              <w:marLeft w:val="0"/>
              <w:marRight w:val="0"/>
              <w:marTop w:val="0"/>
              <w:marBottom w:val="0"/>
              <w:divBdr>
                <w:top w:val="none" w:sz="0" w:space="0" w:color="auto"/>
                <w:left w:val="none" w:sz="0" w:space="0" w:color="auto"/>
                <w:bottom w:val="none" w:sz="0" w:space="0" w:color="auto"/>
                <w:right w:val="none" w:sz="0" w:space="0" w:color="auto"/>
              </w:divBdr>
              <w:divsChild>
                <w:div w:id="130438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264386">
      <w:bodyDiv w:val="1"/>
      <w:marLeft w:val="0"/>
      <w:marRight w:val="0"/>
      <w:marTop w:val="0"/>
      <w:marBottom w:val="0"/>
      <w:divBdr>
        <w:top w:val="none" w:sz="0" w:space="0" w:color="auto"/>
        <w:left w:val="none" w:sz="0" w:space="0" w:color="auto"/>
        <w:bottom w:val="none" w:sz="0" w:space="0" w:color="auto"/>
        <w:right w:val="none" w:sz="0" w:space="0" w:color="auto"/>
      </w:divBdr>
    </w:div>
    <w:div w:id="589312489">
      <w:bodyDiv w:val="1"/>
      <w:marLeft w:val="0"/>
      <w:marRight w:val="0"/>
      <w:marTop w:val="0"/>
      <w:marBottom w:val="0"/>
      <w:divBdr>
        <w:top w:val="none" w:sz="0" w:space="0" w:color="auto"/>
        <w:left w:val="none" w:sz="0" w:space="0" w:color="auto"/>
        <w:bottom w:val="none" w:sz="0" w:space="0" w:color="auto"/>
        <w:right w:val="none" w:sz="0" w:space="0" w:color="auto"/>
      </w:divBdr>
      <w:divsChild>
        <w:div w:id="1543858247">
          <w:marLeft w:val="0"/>
          <w:marRight w:val="0"/>
          <w:marTop w:val="0"/>
          <w:marBottom w:val="0"/>
          <w:divBdr>
            <w:top w:val="none" w:sz="0" w:space="0" w:color="auto"/>
            <w:left w:val="none" w:sz="0" w:space="0" w:color="auto"/>
            <w:bottom w:val="none" w:sz="0" w:space="0" w:color="auto"/>
            <w:right w:val="none" w:sz="0" w:space="0" w:color="auto"/>
          </w:divBdr>
          <w:divsChild>
            <w:div w:id="18479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9321">
      <w:bodyDiv w:val="1"/>
      <w:marLeft w:val="0"/>
      <w:marRight w:val="0"/>
      <w:marTop w:val="0"/>
      <w:marBottom w:val="0"/>
      <w:divBdr>
        <w:top w:val="none" w:sz="0" w:space="0" w:color="auto"/>
        <w:left w:val="none" w:sz="0" w:space="0" w:color="auto"/>
        <w:bottom w:val="none" w:sz="0" w:space="0" w:color="auto"/>
        <w:right w:val="none" w:sz="0" w:space="0" w:color="auto"/>
      </w:divBdr>
    </w:div>
    <w:div w:id="591204100">
      <w:bodyDiv w:val="1"/>
      <w:marLeft w:val="0"/>
      <w:marRight w:val="0"/>
      <w:marTop w:val="0"/>
      <w:marBottom w:val="0"/>
      <w:divBdr>
        <w:top w:val="none" w:sz="0" w:space="0" w:color="auto"/>
        <w:left w:val="none" w:sz="0" w:space="0" w:color="auto"/>
        <w:bottom w:val="none" w:sz="0" w:space="0" w:color="auto"/>
        <w:right w:val="none" w:sz="0" w:space="0" w:color="auto"/>
      </w:divBdr>
    </w:div>
    <w:div w:id="592665785">
      <w:bodyDiv w:val="1"/>
      <w:marLeft w:val="0"/>
      <w:marRight w:val="0"/>
      <w:marTop w:val="0"/>
      <w:marBottom w:val="0"/>
      <w:divBdr>
        <w:top w:val="none" w:sz="0" w:space="0" w:color="auto"/>
        <w:left w:val="none" w:sz="0" w:space="0" w:color="auto"/>
        <w:bottom w:val="none" w:sz="0" w:space="0" w:color="auto"/>
        <w:right w:val="none" w:sz="0" w:space="0" w:color="auto"/>
      </w:divBdr>
    </w:div>
    <w:div w:id="603340090">
      <w:bodyDiv w:val="1"/>
      <w:marLeft w:val="0"/>
      <w:marRight w:val="0"/>
      <w:marTop w:val="0"/>
      <w:marBottom w:val="0"/>
      <w:divBdr>
        <w:top w:val="none" w:sz="0" w:space="0" w:color="auto"/>
        <w:left w:val="none" w:sz="0" w:space="0" w:color="auto"/>
        <w:bottom w:val="none" w:sz="0" w:space="0" w:color="auto"/>
        <w:right w:val="none" w:sz="0" w:space="0" w:color="auto"/>
      </w:divBdr>
    </w:div>
    <w:div w:id="607859446">
      <w:bodyDiv w:val="1"/>
      <w:marLeft w:val="0"/>
      <w:marRight w:val="0"/>
      <w:marTop w:val="0"/>
      <w:marBottom w:val="0"/>
      <w:divBdr>
        <w:top w:val="none" w:sz="0" w:space="0" w:color="auto"/>
        <w:left w:val="none" w:sz="0" w:space="0" w:color="auto"/>
        <w:bottom w:val="none" w:sz="0" w:space="0" w:color="auto"/>
        <w:right w:val="none" w:sz="0" w:space="0" w:color="auto"/>
      </w:divBdr>
    </w:div>
    <w:div w:id="638458695">
      <w:bodyDiv w:val="1"/>
      <w:marLeft w:val="0"/>
      <w:marRight w:val="0"/>
      <w:marTop w:val="0"/>
      <w:marBottom w:val="0"/>
      <w:divBdr>
        <w:top w:val="none" w:sz="0" w:space="0" w:color="auto"/>
        <w:left w:val="none" w:sz="0" w:space="0" w:color="auto"/>
        <w:bottom w:val="none" w:sz="0" w:space="0" w:color="auto"/>
        <w:right w:val="none" w:sz="0" w:space="0" w:color="auto"/>
      </w:divBdr>
    </w:div>
    <w:div w:id="639305701">
      <w:bodyDiv w:val="1"/>
      <w:marLeft w:val="0"/>
      <w:marRight w:val="0"/>
      <w:marTop w:val="0"/>
      <w:marBottom w:val="0"/>
      <w:divBdr>
        <w:top w:val="none" w:sz="0" w:space="0" w:color="auto"/>
        <w:left w:val="none" w:sz="0" w:space="0" w:color="auto"/>
        <w:bottom w:val="none" w:sz="0" w:space="0" w:color="auto"/>
        <w:right w:val="none" w:sz="0" w:space="0" w:color="auto"/>
      </w:divBdr>
    </w:div>
    <w:div w:id="670062971">
      <w:bodyDiv w:val="1"/>
      <w:marLeft w:val="0"/>
      <w:marRight w:val="0"/>
      <w:marTop w:val="0"/>
      <w:marBottom w:val="0"/>
      <w:divBdr>
        <w:top w:val="none" w:sz="0" w:space="0" w:color="auto"/>
        <w:left w:val="none" w:sz="0" w:space="0" w:color="auto"/>
        <w:bottom w:val="none" w:sz="0" w:space="0" w:color="auto"/>
        <w:right w:val="none" w:sz="0" w:space="0" w:color="auto"/>
      </w:divBdr>
    </w:div>
    <w:div w:id="676230829">
      <w:bodyDiv w:val="1"/>
      <w:marLeft w:val="0"/>
      <w:marRight w:val="0"/>
      <w:marTop w:val="0"/>
      <w:marBottom w:val="0"/>
      <w:divBdr>
        <w:top w:val="none" w:sz="0" w:space="0" w:color="auto"/>
        <w:left w:val="none" w:sz="0" w:space="0" w:color="auto"/>
        <w:bottom w:val="none" w:sz="0" w:space="0" w:color="auto"/>
        <w:right w:val="none" w:sz="0" w:space="0" w:color="auto"/>
      </w:divBdr>
    </w:div>
    <w:div w:id="732434856">
      <w:bodyDiv w:val="1"/>
      <w:marLeft w:val="0"/>
      <w:marRight w:val="0"/>
      <w:marTop w:val="0"/>
      <w:marBottom w:val="0"/>
      <w:divBdr>
        <w:top w:val="none" w:sz="0" w:space="0" w:color="auto"/>
        <w:left w:val="none" w:sz="0" w:space="0" w:color="auto"/>
        <w:bottom w:val="none" w:sz="0" w:space="0" w:color="auto"/>
        <w:right w:val="none" w:sz="0" w:space="0" w:color="auto"/>
      </w:divBdr>
    </w:div>
    <w:div w:id="740950039">
      <w:bodyDiv w:val="1"/>
      <w:marLeft w:val="0"/>
      <w:marRight w:val="0"/>
      <w:marTop w:val="0"/>
      <w:marBottom w:val="0"/>
      <w:divBdr>
        <w:top w:val="none" w:sz="0" w:space="0" w:color="auto"/>
        <w:left w:val="none" w:sz="0" w:space="0" w:color="auto"/>
        <w:bottom w:val="none" w:sz="0" w:space="0" w:color="auto"/>
        <w:right w:val="none" w:sz="0" w:space="0" w:color="auto"/>
      </w:divBdr>
    </w:div>
    <w:div w:id="759836787">
      <w:bodyDiv w:val="1"/>
      <w:marLeft w:val="0"/>
      <w:marRight w:val="0"/>
      <w:marTop w:val="0"/>
      <w:marBottom w:val="0"/>
      <w:divBdr>
        <w:top w:val="none" w:sz="0" w:space="0" w:color="auto"/>
        <w:left w:val="none" w:sz="0" w:space="0" w:color="auto"/>
        <w:bottom w:val="none" w:sz="0" w:space="0" w:color="auto"/>
        <w:right w:val="none" w:sz="0" w:space="0" w:color="auto"/>
      </w:divBdr>
      <w:divsChild>
        <w:div w:id="1310132693">
          <w:marLeft w:val="0"/>
          <w:marRight w:val="0"/>
          <w:marTop w:val="0"/>
          <w:marBottom w:val="0"/>
          <w:divBdr>
            <w:top w:val="none" w:sz="0" w:space="0" w:color="auto"/>
            <w:left w:val="none" w:sz="0" w:space="0" w:color="auto"/>
            <w:bottom w:val="none" w:sz="0" w:space="0" w:color="auto"/>
            <w:right w:val="none" w:sz="0" w:space="0" w:color="auto"/>
          </w:divBdr>
          <w:divsChild>
            <w:div w:id="538468414">
              <w:marLeft w:val="0"/>
              <w:marRight w:val="0"/>
              <w:marTop w:val="0"/>
              <w:marBottom w:val="0"/>
              <w:divBdr>
                <w:top w:val="none" w:sz="0" w:space="0" w:color="auto"/>
                <w:left w:val="none" w:sz="0" w:space="0" w:color="auto"/>
                <w:bottom w:val="none" w:sz="0" w:space="0" w:color="auto"/>
                <w:right w:val="none" w:sz="0" w:space="0" w:color="auto"/>
              </w:divBdr>
              <w:divsChild>
                <w:div w:id="14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792">
      <w:bodyDiv w:val="1"/>
      <w:marLeft w:val="0"/>
      <w:marRight w:val="0"/>
      <w:marTop w:val="0"/>
      <w:marBottom w:val="0"/>
      <w:divBdr>
        <w:top w:val="none" w:sz="0" w:space="0" w:color="auto"/>
        <w:left w:val="none" w:sz="0" w:space="0" w:color="auto"/>
        <w:bottom w:val="none" w:sz="0" w:space="0" w:color="auto"/>
        <w:right w:val="none" w:sz="0" w:space="0" w:color="auto"/>
      </w:divBdr>
    </w:div>
    <w:div w:id="854538029">
      <w:bodyDiv w:val="1"/>
      <w:marLeft w:val="0"/>
      <w:marRight w:val="0"/>
      <w:marTop w:val="0"/>
      <w:marBottom w:val="0"/>
      <w:divBdr>
        <w:top w:val="none" w:sz="0" w:space="0" w:color="auto"/>
        <w:left w:val="none" w:sz="0" w:space="0" w:color="auto"/>
        <w:bottom w:val="none" w:sz="0" w:space="0" w:color="auto"/>
        <w:right w:val="none" w:sz="0" w:space="0" w:color="auto"/>
      </w:divBdr>
    </w:div>
    <w:div w:id="880284995">
      <w:bodyDiv w:val="1"/>
      <w:marLeft w:val="0"/>
      <w:marRight w:val="0"/>
      <w:marTop w:val="0"/>
      <w:marBottom w:val="0"/>
      <w:divBdr>
        <w:top w:val="none" w:sz="0" w:space="0" w:color="auto"/>
        <w:left w:val="none" w:sz="0" w:space="0" w:color="auto"/>
        <w:bottom w:val="none" w:sz="0" w:space="0" w:color="auto"/>
        <w:right w:val="none" w:sz="0" w:space="0" w:color="auto"/>
      </w:divBdr>
    </w:div>
    <w:div w:id="882836759">
      <w:bodyDiv w:val="1"/>
      <w:marLeft w:val="0"/>
      <w:marRight w:val="0"/>
      <w:marTop w:val="0"/>
      <w:marBottom w:val="0"/>
      <w:divBdr>
        <w:top w:val="none" w:sz="0" w:space="0" w:color="auto"/>
        <w:left w:val="none" w:sz="0" w:space="0" w:color="auto"/>
        <w:bottom w:val="none" w:sz="0" w:space="0" w:color="auto"/>
        <w:right w:val="none" w:sz="0" w:space="0" w:color="auto"/>
      </w:divBdr>
    </w:div>
    <w:div w:id="888687733">
      <w:bodyDiv w:val="1"/>
      <w:marLeft w:val="0"/>
      <w:marRight w:val="0"/>
      <w:marTop w:val="0"/>
      <w:marBottom w:val="0"/>
      <w:divBdr>
        <w:top w:val="none" w:sz="0" w:space="0" w:color="auto"/>
        <w:left w:val="none" w:sz="0" w:space="0" w:color="auto"/>
        <w:bottom w:val="none" w:sz="0" w:space="0" w:color="auto"/>
        <w:right w:val="none" w:sz="0" w:space="0" w:color="auto"/>
      </w:divBdr>
      <w:divsChild>
        <w:div w:id="167793044">
          <w:marLeft w:val="0"/>
          <w:marRight w:val="0"/>
          <w:marTop w:val="0"/>
          <w:marBottom w:val="0"/>
          <w:divBdr>
            <w:top w:val="none" w:sz="0" w:space="0" w:color="auto"/>
            <w:left w:val="none" w:sz="0" w:space="0" w:color="auto"/>
            <w:bottom w:val="none" w:sz="0" w:space="0" w:color="auto"/>
            <w:right w:val="none" w:sz="0" w:space="0" w:color="auto"/>
          </w:divBdr>
        </w:div>
      </w:divsChild>
    </w:div>
    <w:div w:id="896016108">
      <w:bodyDiv w:val="1"/>
      <w:marLeft w:val="0"/>
      <w:marRight w:val="0"/>
      <w:marTop w:val="0"/>
      <w:marBottom w:val="0"/>
      <w:divBdr>
        <w:top w:val="none" w:sz="0" w:space="0" w:color="auto"/>
        <w:left w:val="none" w:sz="0" w:space="0" w:color="auto"/>
        <w:bottom w:val="none" w:sz="0" w:space="0" w:color="auto"/>
        <w:right w:val="none" w:sz="0" w:space="0" w:color="auto"/>
      </w:divBdr>
    </w:div>
    <w:div w:id="930814320">
      <w:bodyDiv w:val="1"/>
      <w:marLeft w:val="0"/>
      <w:marRight w:val="0"/>
      <w:marTop w:val="0"/>
      <w:marBottom w:val="0"/>
      <w:divBdr>
        <w:top w:val="none" w:sz="0" w:space="0" w:color="auto"/>
        <w:left w:val="none" w:sz="0" w:space="0" w:color="auto"/>
        <w:bottom w:val="none" w:sz="0" w:space="0" w:color="auto"/>
        <w:right w:val="none" w:sz="0" w:space="0" w:color="auto"/>
      </w:divBdr>
    </w:div>
    <w:div w:id="935940589">
      <w:bodyDiv w:val="1"/>
      <w:marLeft w:val="0"/>
      <w:marRight w:val="0"/>
      <w:marTop w:val="0"/>
      <w:marBottom w:val="0"/>
      <w:divBdr>
        <w:top w:val="none" w:sz="0" w:space="0" w:color="auto"/>
        <w:left w:val="none" w:sz="0" w:space="0" w:color="auto"/>
        <w:bottom w:val="none" w:sz="0" w:space="0" w:color="auto"/>
        <w:right w:val="none" w:sz="0" w:space="0" w:color="auto"/>
      </w:divBdr>
      <w:divsChild>
        <w:div w:id="375862440">
          <w:marLeft w:val="0"/>
          <w:marRight w:val="0"/>
          <w:marTop w:val="0"/>
          <w:marBottom w:val="0"/>
          <w:divBdr>
            <w:top w:val="none" w:sz="0" w:space="0" w:color="auto"/>
            <w:left w:val="none" w:sz="0" w:space="0" w:color="auto"/>
            <w:bottom w:val="none" w:sz="0" w:space="0" w:color="auto"/>
            <w:right w:val="none" w:sz="0" w:space="0" w:color="auto"/>
          </w:divBdr>
          <w:divsChild>
            <w:div w:id="1901480796">
              <w:marLeft w:val="0"/>
              <w:marRight w:val="0"/>
              <w:marTop w:val="0"/>
              <w:marBottom w:val="0"/>
              <w:divBdr>
                <w:top w:val="none" w:sz="0" w:space="0" w:color="auto"/>
                <w:left w:val="none" w:sz="0" w:space="0" w:color="auto"/>
                <w:bottom w:val="none" w:sz="0" w:space="0" w:color="auto"/>
                <w:right w:val="none" w:sz="0" w:space="0" w:color="auto"/>
              </w:divBdr>
              <w:divsChild>
                <w:div w:id="390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51639">
      <w:bodyDiv w:val="1"/>
      <w:marLeft w:val="0"/>
      <w:marRight w:val="0"/>
      <w:marTop w:val="0"/>
      <w:marBottom w:val="0"/>
      <w:divBdr>
        <w:top w:val="none" w:sz="0" w:space="0" w:color="auto"/>
        <w:left w:val="none" w:sz="0" w:space="0" w:color="auto"/>
        <w:bottom w:val="none" w:sz="0" w:space="0" w:color="auto"/>
        <w:right w:val="none" w:sz="0" w:space="0" w:color="auto"/>
      </w:divBdr>
    </w:div>
    <w:div w:id="1015688765">
      <w:bodyDiv w:val="1"/>
      <w:marLeft w:val="0"/>
      <w:marRight w:val="0"/>
      <w:marTop w:val="0"/>
      <w:marBottom w:val="0"/>
      <w:divBdr>
        <w:top w:val="none" w:sz="0" w:space="0" w:color="auto"/>
        <w:left w:val="none" w:sz="0" w:space="0" w:color="auto"/>
        <w:bottom w:val="none" w:sz="0" w:space="0" w:color="auto"/>
        <w:right w:val="none" w:sz="0" w:space="0" w:color="auto"/>
      </w:divBdr>
    </w:div>
    <w:div w:id="1042940866">
      <w:bodyDiv w:val="1"/>
      <w:marLeft w:val="0"/>
      <w:marRight w:val="0"/>
      <w:marTop w:val="0"/>
      <w:marBottom w:val="0"/>
      <w:divBdr>
        <w:top w:val="none" w:sz="0" w:space="0" w:color="auto"/>
        <w:left w:val="none" w:sz="0" w:space="0" w:color="auto"/>
        <w:bottom w:val="none" w:sz="0" w:space="0" w:color="auto"/>
        <w:right w:val="none" w:sz="0" w:space="0" w:color="auto"/>
      </w:divBdr>
    </w:div>
    <w:div w:id="1060978512">
      <w:bodyDiv w:val="1"/>
      <w:marLeft w:val="0"/>
      <w:marRight w:val="0"/>
      <w:marTop w:val="0"/>
      <w:marBottom w:val="0"/>
      <w:divBdr>
        <w:top w:val="none" w:sz="0" w:space="0" w:color="auto"/>
        <w:left w:val="none" w:sz="0" w:space="0" w:color="auto"/>
        <w:bottom w:val="none" w:sz="0" w:space="0" w:color="auto"/>
        <w:right w:val="none" w:sz="0" w:space="0" w:color="auto"/>
      </w:divBdr>
    </w:div>
    <w:div w:id="1072240390">
      <w:bodyDiv w:val="1"/>
      <w:marLeft w:val="0"/>
      <w:marRight w:val="0"/>
      <w:marTop w:val="0"/>
      <w:marBottom w:val="0"/>
      <w:divBdr>
        <w:top w:val="none" w:sz="0" w:space="0" w:color="auto"/>
        <w:left w:val="none" w:sz="0" w:space="0" w:color="auto"/>
        <w:bottom w:val="none" w:sz="0" w:space="0" w:color="auto"/>
        <w:right w:val="none" w:sz="0" w:space="0" w:color="auto"/>
      </w:divBdr>
    </w:div>
    <w:div w:id="1078163970">
      <w:bodyDiv w:val="1"/>
      <w:marLeft w:val="0"/>
      <w:marRight w:val="0"/>
      <w:marTop w:val="0"/>
      <w:marBottom w:val="0"/>
      <w:divBdr>
        <w:top w:val="none" w:sz="0" w:space="0" w:color="auto"/>
        <w:left w:val="none" w:sz="0" w:space="0" w:color="auto"/>
        <w:bottom w:val="none" w:sz="0" w:space="0" w:color="auto"/>
        <w:right w:val="none" w:sz="0" w:space="0" w:color="auto"/>
      </w:divBdr>
    </w:div>
    <w:div w:id="1090615125">
      <w:bodyDiv w:val="1"/>
      <w:marLeft w:val="0"/>
      <w:marRight w:val="0"/>
      <w:marTop w:val="0"/>
      <w:marBottom w:val="0"/>
      <w:divBdr>
        <w:top w:val="none" w:sz="0" w:space="0" w:color="auto"/>
        <w:left w:val="none" w:sz="0" w:space="0" w:color="auto"/>
        <w:bottom w:val="none" w:sz="0" w:space="0" w:color="auto"/>
        <w:right w:val="none" w:sz="0" w:space="0" w:color="auto"/>
      </w:divBdr>
      <w:divsChild>
        <w:div w:id="894967612">
          <w:marLeft w:val="0"/>
          <w:marRight w:val="0"/>
          <w:marTop w:val="0"/>
          <w:marBottom w:val="0"/>
          <w:divBdr>
            <w:top w:val="none" w:sz="0" w:space="0" w:color="auto"/>
            <w:left w:val="none" w:sz="0" w:space="0" w:color="auto"/>
            <w:bottom w:val="none" w:sz="0" w:space="0" w:color="auto"/>
            <w:right w:val="none" w:sz="0" w:space="0" w:color="auto"/>
          </w:divBdr>
          <w:divsChild>
            <w:div w:id="552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5345">
      <w:bodyDiv w:val="1"/>
      <w:marLeft w:val="0"/>
      <w:marRight w:val="0"/>
      <w:marTop w:val="0"/>
      <w:marBottom w:val="0"/>
      <w:divBdr>
        <w:top w:val="none" w:sz="0" w:space="0" w:color="auto"/>
        <w:left w:val="none" w:sz="0" w:space="0" w:color="auto"/>
        <w:bottom w:val="none" w:sz="0" w:space="0" w:color="auto"/>
        <w:right w:val="none" w:sz="0" w:space="0" w:color="auto"/>
      </w:divBdr>
    </w:div>
    <w:div w:id="1103458834">
      <w:bodyDiv w:val="1"/>
      <w:marLeft w:val="0"/>
      <w:marRight w:val="0"/>
      <w:marTop w:val="0"/>
      <w:marBottom w:val="0"/>
      <w:divBdr>
        <w:top w:val="none" w:sz="0" w:space="0" w:color="auto"/>
        <w:left w:val="none" w:sz="0" w:space="0" w:color="auto"/>
        <w:bottom w:val="none" w:sz="0" w:space="0" w:color="auto"/>
        <w:right w:val="none" w:sz="0" w:space="0" w:color="auto"/>
      </w:divBdr>
    </w:div>
    <w:div w:id="1125269558">
      <w:bodyDiv w:val="1"/>
      <w:marLeft w:val="0"/>
      <w:marRight w:val="0"/>
      <w:marTop w:val="0"/>
      <w:marBottom w:val="0"/>
      <w:divBdr>
        <w:top w:val="none" w:sz="0" w:space="0" w:color="auto"/>
        <w:left w:val="none" w:sz="0" w:space="0" w:color="auto"/>
        <w:bottom w:val="none" w:sz="0" w:space="0" w:color="auto"/>
        <w:right w:val="none" w:sz="0" w:space="0" w:color="auto"/>
      </w:divBdr>
    </w:div>
    <w:div w:id="1149710355">
      <w:bodyDiv w:val="1"/>
      <w:marLeft w:val="0"/>
      <w:marRight w:val="0"/>
      <w:marTop w:val="0"/>
      <w:marBottom w:val="0"/>
      <w:divBdr>
        <w:top w:val="none" w:sz="0" w:space="0" w:color="auto"/>
        <w:left w:val="none" w:sz="0" w:space="0" w:color="auto"/>
        <w:bottom w:val="none" w:sz="0" w:space="0" w:color="auto"/>
        <w:right w:val="none" w:sz="0" w:space="0" w:color="auto"/>
      </w:divBdr>
    </w:div>
    <w:div w:id="1204439563">
      <w:bodyDiv w:val="1"/>
      <w:marLeft w:val="0"/>
      <w:marRight w:val="0"/>
      <w:marTop w:val="0"/>
      <w:marBottom w:val="0"/>
      <w:divBdr>
        <w:top w:val="none" w:sz="0" w:space="0" w:color="auto"/>
        <w:left w:val="none" w:sz="0" w:space="0" w:color="auto"/>
        <w:bottom w:val="none" w:sz="0" w:space="0" w:color="auto"/>
        <w:right w:val="none" w:sz="0" w:space="0" w:color="auto"/>
      </w:divBdr>
    </w:div>
    <w:div w:id="1213418905">
      <w:bodyDiv w:val="1"/>
      <w:marLeft w:val="0"/>
      <w:marRight w:val="0"/>
      <w:marTop w:val="0"/>
      <w:marBottom w:val="0"/>
      <w:divBdr>
        <w:top w:val="none" w:sz="0" w:space="0" w:color="auto"/>
        <w:left w:val="none" w:sz="0" w:space="0" w:color="auto"/>
        <w:bottom w:val="none" w:sz="0" w:space="0" w:color="auto"/>
        <w:right w:val="none" w:sz="0" w:space="0" w:color="auto"/>
      </w:divBdr>
    </w:div>
    <w:div w:id="1242762911">
      <w:bodyDiv w:val="1"/>
      <w:marLeft w:val="0"/>
      <w:marRight w:val="0"/>
      <w:marTop w:val="0"/>
      <w:marBottom w:val="0"/>
      <w:divBdr>
        <w:top w:val="none" w:sz="0" w:space="0" w:color="auto"/>
        <w:left w:val="none" w:sz="0" w:space="0" w:color="auto"/>
        <w:bottom w:val="none" w:sz="0" w:space="0" w:color="auto"/>
        <w:right w:val="none" w:sz="0" w:space="0" w:color="auto"/>
      </w:divBdr>
    </w:div>
    <w:div w:id="1292789156">
      <w:bodyDiv w:val="1"/>
      <w:marLeft w:val="0"/>
      <w:marRight w:val="0"/>
      <w:marTop w:val="0"/>
      <w:marBottom w:val="0"/>
      <w:divBdr>
        <w:top w:val="none" w:sz="0" w:space="0" w:color="auto"/>
        <w:left w:val="none" w:sz="0" w:space="0" w:color="auto"/>
        <w:bottom w:val="none" w:sz="0" w:space="0" w:color="auto"/>
        <w:right w:val="none" w:sz="0" w:space="0" w:color="auto"/>
      </w:divBdr>
    </w:div>
    <w:div w:id="1325356085">
      <w:bodyDiv w:val="1"/>
      <w:marLeft w:val="0"/>
      <w:marRight w:val="0"/>
      <w:marTop w:val="0"/>
      <w:marBottom w:val="0"/>
      <w:divBdr>
        <w:top w:val="none" w:sz="0" w:space="0" w:color="auto"/>
        <w:left w:val="none" w:sz="0" w:space="0" w:color="auto"/>
        <w:bottom w:val="none" w:sz="0" w:space="0" w:color="auto"/>
        <w:right w:val="none" w:sz="0" w:space="0" w:color="auto"/>
      </w:divBdr>
    </w:div>
    <w:div w:id="1372148270">
      <w:bodyDiv w:val="1"/>
      <w:marLeft w:val="0"/>
      <w:marRight w:val="0"/>
      <w:marTop w:val="0"/>
      <w:marBottom w:val="0"/>
      <w:divBdr>
        <w:top w:val="none" w:sz="0" w:space="0" w:color="auto"/>
        <w:left w:val="none" w:sz="0" w:space="0" w:color="auto"/>
        <w:bottom w:val="none" w:sz="0" w:space="0" w:color="auto"/>
        <w:right w:val="none" w:sz="0" w:space="0" w:color="auto"/>
      </w:divBdr>
      <w:divsChild>
        <w:div w:id="41292436">
          <w:marLeft w:val="0"/>
          <w:marRight w:val="0"/>
          <w:marTop w:val="0"/>
          <w:marBottom w:val="300"/>
          <w:divBdr>
            <w:top w:val="none" w:sz="0" w:space="0" w:color="auto"/>
            <w:left w:val="none" w:sz="0" w:space="0" w:color="auto"/>
            <w:bottom w:val="none" w:sz="0" w:space="0" w:color="auto"/>
            <w:right w:val="none" w:sz="0" w:space="0" w:color="auto"/>
          </w:divBdr>
          <w:divsChild>
            <w:div w:id="1992248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8603140">
      <w:bodyDiv w:val="1"/>
      <w:marLeft w:val="0"/>
      <w:marRight w:val="0"/>
      <w:marTop w:val="0"/>
      <w:marBottom w:val="0"/>
      <w:divBdr>
        <w:top w:val="none" w:sz="0" w:space="0" w:color="auto"/>
        <w:left w:val="none" w:sz="0" w:space="0" w:color="auto"/>
        <w:bottom w:val="none" w:sz="0" w:space="0" w:color="auto"/>
        <w:right w:val="none" w:sz="0" w:space="0" w:color="auto"/>
      </w:divBdr>
    </w:div>
    <w:div w:id="1407798397">
      <w:bodyDiv w:val="1"/>
      <w:marLeft w:val="0"/>
      <w:marRight w:val="0"/>
      <w:marTop w:val="0"/>
      <w:marBottom w:val="0"/>
      <w:divBdr>
        <w:top w:val="none" w:sz="0" w:space="0" w:color="auto"/>
        <w:left w:val="none" w:sz="0" w:space="0" w:color="auto"/>
        <w:bottom w:val="none" w:sz="0" w:space="0" w:color="auto"/>
        <w:right w:val="none" w:sz="0" w:space="0" w:color="auto"/>
      </w:divBdr>
    </w:div>
    <w:div w:id="1422556655">
      <w:bodyDiv w:val="1"/>
      <w:marLeft w:val="0"/>
      <w:marRight w:val="0"/>
      <w:marTop w:val="0"/>
      <w:marBottom w:val="0"/>
      <w:divBdr>
        <w:top w:val="none" w:sz="0" w:space="0" w:color="auto"/>
        <w:left w:val="none" w:sz="0" w:space="0" w:color="auto"/>
        <w:bottom w:val="none" w:sz="0" w:space="0" w:color="auto"/>
        <w:right w:val="none" w:sz="0" w:space="0" w:color="auto"/>
      </w:divBdr>
    </w:div>
    <w:div w:id="1466198571">
      <w:bodyDiv w:val="1"/>
      <w:marLeft w:val="0"/>
      <w:marRight w:val="0"/>
      <w:marTop w:val="0"/>
      <w:marBottom w:val="0"/>
      <w:divBdr>
        <w:top w:val="none" w:sz="0" w:space="0" w:color="auto"/>
        <w:left w:val="none" w:sz="0" w:space="0" w:color="auto"/>
        <w:bottom w:val="none" w:sz="0" w:space="0" w:color="auto"/>
        <w:right w:val="none" w:sz="0" w:space="0" w:color="auto"/>
      </w:divBdr>
    </w:div>
    <w:div w:id="1472555566">
      <w:bodyDiv w:val="1"/>
      <w:marLeft w:val="0"/>
      <w:marRight w:val="0"/>
      <w:marTop w:val="0"/>
      <w:marBottom w:val="0"/>
      <w:divBdr>
        <w:top w:val="none" w:sz="0" w:space="0" w:color="auto"/>
        <w:left w:val="none" w:sz="0" w:space="0" w:color="auto"/>
        <w:bottom w:val="none" w:sz="0" w:space="0" w:color="auto"/>
        <w:right w:val="none" w:sz="0" w:space="0" w:color="auto"/>
      </w:divBdr>
    </w:div>
    <w:div w:id="1486777417">
      <w:bodyDiv w:val="1"/>
      <w:marLeft w:val="0"/>
      <w:marRight w:val="0"/>
      <w:marTop w:val="0"/>
      <w:marBottom w:val="0"/>
      <w:divBdr>
        <w:top w:val="none" w:sz="0" w:space="0" w:color="auto"/>
        <w:left w:val="none" w:sz="0" w:space="0" w:color="auto"/>
        <w:bottom w:val="none" w:sz="0" w:space="0" w:color="auto"/>
        <w:right w:val="none" w:sz="0" w:space="0" w:color="auto"/>
      </w:divBdr>
    </w:div>
    <w:div w:id="1506244018">
      <w:bodyDiv w:val="1"/>
      <w:marLeft w:val="0"/>
      <w:marRight w:val="0"/>
      <w:marTop w:val="0"/>
      <w:marBottom w:val="0"/>
      <w:divBdr>
        <w:top w:val="none" w:sz="0" w:space="0" w:color="auto"/>
        <w:left w:val="none" w:sz="0" w:space="0" w:color="auto"/>
        <w:bottom w:val="none" w:sz="0" w:space="0" w:color="auto"/>
        <w:right w:val="none" w:sz="0" w:space="0" w:color="auto"/>
      </w:divBdr>
    </w:div>
    <w:div w:id="1548839068">
      <w:bodyDiv w:val="1"/>
      <w:marLeft w:val="0"/>
      <w:marRight w:val="0"/>
      <w:marTop w:val="0"/>
      <w:marBottom w:val="0"/>
      <w:divBdr>
        <w:top w:val="none" w:sz="0" w:space="0" w:color="auto"/>
        <w:left w:val="none" w:sz="0" w:space="0" w:color="auto"/>
        <w:bottom w:val="none" w:sz="0" w:space="0" w:color="auto"/>
        <w:right w:val="none" w:sz="0" w:space="0" w:color="auto"/>
      </w:divBdr>
    </w:div>
    <w:div w:id="1565139647">
      <w:bodyDiv w:val="1"/>
      <w:marLeft w:val="0"/>
      <w:marRight w:val="0"/>
      <w:marTop w:val="0"/>
      <w:marBottom w:val="0"/>
      <w:divBdr>
        <w:top w:val="none" w:sz="0" w:space="0" w:color="auto"/>
        <w:left w:val="none" w:sz="0" w:space="0" w:color="auto"/>
        <w:bottom w:val="none" w:sz="0" w:space="0" w:color="auto"/>
        <w:right w:val="none" w:sz="0" w:space="0" w:color="auto"/>
      </w:divBdr>
    </w:div>
    <w:div w:id="1573350025">
      <w:bodyDiv w:val="1"/>
      <w:marLeft w:val="0"/>
      <w:marRight w:val="0"/>
      <w:marTop w:val="0"/>
      <w:marBottom w:val="0"/>
      <w:divBdr>
        <w:top w:val="none" w:sz="0" w:space="0" w:color="auto"/>
        <w:left w:val="none" w:sz="0" w:space="0" w:color="auto"/>
        <w:bottom w:val="none" w:sz="0" w:space="0" w:color="auto"/>
        <w:right w:val="none" w:sz="0" w:space="0" w:color="auto"/>
      </w:divBdr>
    </w:div>
    <w:div w:id="1621951927">
      <w:bodyDiv w:val="1"/>
      <w:marLeft w:val="0"/>
      <w:marRight w:val="0"/>
      <w:marTop w:val="0"/>
      <w:marBottom w:val="0"/>
      <w:divBdr>
        <w:top w:val="none" w:sz="0" w:space="0" w:color="auto"/>
        <w:left w:val="none" w:sz="0" w:space="0" w:color="auto"/>
        <w:bottom w:val="none" w:sz="0" w:space="0" w:color="auto"/>
        <w:right w:val="none" w:sz="0" w:space="0" w:color="auto"/>
      </w:divBdr>
    </w:div>
    <w:div w:id="1635478211">
      <w:bodyDiv w:val="1"/>
      <w:marLeft w:val="0"/>
      <w:marRight w:val="0"/>
      <w:marTop w:val="0"/>
      <w:marBottom w:val="0"/>
      <w:divBdr>
        <w:top w:val="none" w:sz="0" w:space="0" w:color="auto"/>
        <w:left w:val="none" w:sz="0" w:space="0" w:color="auto"/>
        <w:bottom w:val="none" w:sz="0" w:space="0" w:color="auto"/>
        <w:right w:val="none" w:sz="0" w:space="0" w:color="auto"/>
      </w:divBdr>
    </w:div>
    <w:div w:id="1636451799">
      <w:bodyDiv w:val="1"/>
      <w:marLeft w:val="0"/>
      <w:marRight w:val="0"/>
      <w:marTop w:val="0"/>
      <w:marBottom w:val="0"/>
      <w:divBdr>
        <w:top w:val="none" w:sz="0" w:space="0" w:color="auto"/>
        <w:left w:val="none" w:sz="0" w:space="0" w:color="auto"/>
        <w:bottom w:val="none" w:sz="0" w:space="0" w:color="auto"/>
        <w:right w:val="none" w:sz="0" w:space="0" w:color="auto"/>
      </w:divBdr>
    </w:div>
    <w:div w:id="1676108579">
      <w:bodyDiv w:val="1"/>
      <w:marLeft w:val="0"/>
      <w:marRight w:val="0"/>
      <w:marTop w:val="0"/>
      <w:marBottom w:val="0"/>
      <w:divBdr>
        <w:top w:val="none" w:sz="0" w:space="0" w:color="auto"/>
        <w:left w:val="none" w:sz="0" w:space="0" w:color="auto"/>
        <w:bottom w:val="none" w:sz="0" w:space="0" w:color="auto"/>
        <w:right w:val="none" w:sz="0" w:space="0" w:color="auto"/>
      </w:divBdr>
    </w:div>
    <w:div w:id="1704329467">
      <w:bodyDiv w:val="1"/>
      <w:marLeft w:val="0"/>
      <w:marRight w:val="0"/>
      <w:marTop w:val="0"/>
      <w:marBottom w:val="0"/>
      <w:divBdr>
        <w:top w:val="none" w:sz="0" w:space="0" w:color="auto"/>
        <w:left w:val="none" w:sz="0" w:space="0" w:color="auto"/>
        <w:bottom w:val="none" w:sz="0" w:space="0" w:color="auto"/>
        <w:right w:val="none" w:sz="0" w:space="0" w:color="auto"/>
      </w:divBdr>
    </w:div>
    <w:div w:id="1729645576">
      <w:bodyDiv w:val="1"/>
      <w:marLeft w:val="0"/>
      <w:marRight w:val="0"/>
      <w:marTop w:val="0"/>
      <w:marBottom w:val="0"/>
      <w:divBdr>
        <w:top w:val="none" w:sz="0" w:space="0" w:color="auto"/>
        <w:left w:val="none" w:sz="0" w:space="0" w:color="auto"/>
        <w:bottom w:val="none" w:sz="0" w:space="0" w:color="auto"/>
        <w:right w:val="none" w:sz="0" w:space="0" w:color="auto"/>
      </w:divBdr>
    </w:div>
    <w:div w:id="1733262585">
      <w:bodyDiv w:val="1"/>
      <w:marLeft w:val="0"/>
      <w:marRight w:val="0"/>
      <w:marTop w:val="0"/>
      <w:marBottom w:val="0"/>
      <w:divBdr>
        <w:top w:val="none" w:sz="0" w:space="0" w:color="auto"/>
        <w:left w:val="none" w:sz="0" w:space="0" w:color="auto"/>
        <w:bottom w:val="none" w:sz="0" w:space="0" w:color="auto"/>
        <w:right w:val="none" w:sz="0" w:space="0" w:color="auto"/>
      </w:divBdr>
    </w:div>
    <w:div w:id="1734738389">
      <w:bodyDiv w:val="1"/>
      <w:marLeft w:val="0"/>
      <w:marRight w:val="0"/>
      <w:marTop w:val="0"/>
      <w:marBottom w:val="0"/>
      <w:divBdr>
        <w:top w:val="none" w:sz="0" w:space="0" w:color="auto"/>
        <w:left w:val="none" w:sz="0" w:space="0" w:color="auto"/>
        <w:bottom w:val="none" w:sz="0" w:space="0" w:color="auto"/>
        <w:right w:val="none" w:sz="0" w:space="0" w:color="auto"/>
      </w:divBdr>
    </w:div>
    <w:div w:id="1737586185">
      <w:bodyDiv w:val="1"/>
      <w:marLeft w:val="0"/>
      <w:marRight w:val="0"/>
      <w:marTop w:val="0"/>
      <w:marBottom w:val="0"/>
      <w:divBdr>
        <w:top w:val="none" w:sz="0" w:space="0" w:color="auto"/>
        <w:left w:val="none" w:sz="0" w:space="0" w:color="auto"/>
        <w:bottom w:val="none" w:sz="0" w:space="0" w:color="auto"/>
        <w:right w:val="none" w:sz="0" w:space="0" w:color="auto"/>
      </w:divBdr>
    </w:div>
    <w:div w:id="1739672288">
      <w:bodyDiv w:val="1"/>
      <w:marLeft w:val="0"/>
      <w:marRight w:val="0"/>
      <w:marTop w:val="0"/>
      <w:marBottom w:val="0"/>
      <w:divBdr>
        <w:top w:val="none" w:sz="0" w:space="0" w:color="auto"/>
        <w:left w:val="none" w:sz="0" w:space="0" w:color="auto"/>
        <w:bottom w:val="none" w:sz="0" w:space="0" w:color="auto"/>
        <w:right w:val="none" w:sz="0" w:space="0" w:color="auto"/>
      </w:divBdr>
    </w:div>
    <w:div w:id="1750926454">
      <w:bodyDiv w:val="1"/>
      <w:marLeft w:val="0"/>
      <w:marRight w:val="0"/>
      <w:marTop w:val="0"/>
      <w:marBottom w:val="0"/>
      <w:divBdr>
        <w:top w:val="none" w:sz="0" w:space="0" w:color="auto"/>
        <w:left w:val="none" w:sz="0" w:space="0" w:color="auto"/>
        <w:bottom w:val="none" w:sz="0" w:space="0" w:color="auto"/>
        <w:right w:val="none" w:sz="0" w:space="0" w:color="auto"/>
      </w:divBdr>
    </w:div>
    <w:div w:id="1779056524">
      <w:bodyDiv w:val="1"/>
      <w:marLeft w:val="0"/>
      <w:marRight w:val="0"/>
      <w:marTop w:val="0"/>
      <w:marBottom w:val="0"/>
      <w:divBdr>
        <w:top w:val="none" w:sz="0" w:space="0" w:color="auto"/>
        <w:left w:val="none" w:sz="0" w:space="0" w:color="auto"/>
        <w:bottom w:val="none" w:sz="0" w:space="0" w:color="auto"/>
        <w:right w:val="none" w:sz="0" w:space="0" w:color="auto"/>
      </w:divBdr>
    </w:div>
    <w:div w:id="1847354754">
      <w:bodyDiv w:val="1"/>
      <w:marLeft w:val="0"/>
      <w:marRight w:val="0"/>
      <w:marTop w:val="0"/>
      <w:marBottom w:val="0"/>
      <w:divBdr>
        <w:top w:val="none" w:sz="0" w:space="0" w:color="auto"/>
        <w:left w:val="none" w:sz="0" w:space="0" w:color="auto"/>
        <w:bottom w:val="none" w:sz="0" w:space="0" w:color="auto"/>
        <w:right w:val="none" w:sz="0" w:space="0" w:color="auto"/>
      </w:divBdr>
    </w:div>
    <w:div w:id="1855343088">
      <w:bodyDiv w:val="1"/>
      <w:marLeft w:val="0"/>
      <w:marRight w:val="0"/>
      <w:marTop w:val="0"/>
      <w:marBottom w:val="0"/>
      <w:divBdr>
        <w:top w:val="none" w:sz="0" w:space="0" w:color="auto"/>
        <w:left w:val="none" w:sz="0" w:space="0" w:color="auto"/>
        <w:bottom w:val="none" w:sz="0" w:space="0" w:color="auto"/>
        <w:right w:val="none" w:sz="0" w:space="0" w:color="auto"/>
      </w:divBdr>
    </w:div>
    <w:div w:id="1874683510">
      <w:bodyDiv w:val="1"/>
      <w:marLeft w:val="0"/>
      <w:marRight w:val="0"/>
      <w:marTop w:val="0"/>
      <w:marBottom w:val="0"/>
      <w:divBdr>
        <w:top w:val="none" w:sz="0" w:space="0" w:color="auto"/>
        <w:left w:val="none" w:sz="0" w:space="0" w:color="auto"/>
        <w:bottom w:val="none" w:sz="0" w:space="0" w:color="auto"/>
        <w:right w:val="none" w:sz="0" w:space="0" w:color="auto"/>
      </w:divBdr>
    </w:div>
    <w:div w:id="1881624953">
      <w:bodyDiv w:val="1"/>
      <w:marLeft w:val="0"/>
      <w:marRight w:val="0"/>
      <w:marTop w:val="0"/>
      <w:marBottom w:val="0"/>
      <w:divBdr>
        <w:top w:val="none" w:sz="0" w:space="0" w:color="auto"/>
        <w:left w:val="none" w:sz="0" w:space="0" w:color="auto"/>
        <w:bottom w:val="none" w:sz="0" w:space="0" w:color="auto"/>
        <w:right w:val="none" w:sz="0" w:space="0" w:color="auto"/>
      </w:divBdr>
    </w:div>
    <w:div w:id="1902132491">
      <w:bodyDiv w:val="1"/>
      <w:marLeft w:val="0"/>
      <w:marRight w:val="0"/>
      <w:marTop w:val="0"/>
      <w:marBottom w:val="0"/>
      <w:divBdr>
        <w:top w:val="none" w:sz="0" w:space="0" w:color="auto"/>
        <w:left w:val="none" w:sz="0" w:space="0" w:color="auto"/>
        <w:bottom w:val="none" w:sz="0" w:space="0" w:color="auto"/>
        <w:right w:val="none" w:sz="0" w:space="0" w:color="auto"/>
      </w:divBdr>
    </w:div>
    <w:div w:id="1934194577">
      <w:bodyDiv w:val="1"/>
      <w:marLeft w:val="0"/>
      <w:marRight w:val="0"/>
      <w:marTop w:val="0"/>
      <w:marBottom w:val="0"/>
      <w:divBdr>
        <w:top w:val="none" w:sz="0" w:space="0" w:color="auto"/>
        <w:left w:val="none" w:sz="0" w:space="0" w:color="auto"/>
        <w:bottom w:val="none" w:sz="0" w:space="0" w:color="auto"/>
        <w:right w:val="none" w:sz="0" w:space="0" w:color="auto"/>
      </w:divBdr>
    </w:div>
    <w:div w:id="1936741528">
      <w:bodyDiv w:val="1"/>
      <w:marLeft w:val="0"/>
      <w:marRight w:val="0"/>
      <w:marTop w:val="0"/>
      <w:marBottom w:val="0"/>
      <w:divBdr>
        <w:top w:val="none" w:sz="0" w:space="0" w:color="auto"/>
        <w:left w:val="none" w:sz="0" w:space="0" w:color="auto"/>
        <w:bottom w:val="none" w:sz="0" w:space="0" w:color="auto"/>
        <w:right w:val="none" w:sz="0" w:space="0" w:color="auto"/>
      </w:divBdr>
    </w:div>
    <w:div w:id="1970668413">
      <w:bodyDiv w:val="1"/>
      <w:marLeft w:val="0"/>
      <w:marRight w:val="0"/>
      <w:marTop w:val="0"/>
      <w:marBottom w:val="0"/>
      <w:divBdr>
        <w:top w:val="none" w:sz="0" w:space="0" w:color="auto"/>
        <w:left w:val="none" w:sz="0" w:space="0" w:color="auto"/>
        <w:bottom w:val="none" w:sz="0" w:space="0" w:color="auto"/>
        <w:right w:val="none" w:sz="0" w:space="0" w:color="auto"/>
      </w:divBdr>
    </w:div>
    <w:div w:id="1974015397">
      <w:bodyDiv w:val="1"/>
      <w:marLeft w:val="0"/>
      <w:marRight w:val="0"/>
      <w:marTop w:val="0"/>
      <w:marBottom w:val="0"/>
      <w:divBdr>
        <w:top w:val="none" w:sz="0" w:space="0" w:color="auto"/>
        <w:left w:val="none" w:sz="0" w:space="0" w:color="auto"/>
        <w:bottom w:val="none" w:sz="0" w:space="0" w:color="auto"/>
        <w:right w:val="none" w:sz="0" w:space="0" w:color="auto"/>
      </w:divBdr>
    </w:div>
    <w:div w:id="2107921103">
      <w:bodyDiv w:val="1"/>
      <w:marLeft w:val="0"/>
      <w:marRight w:val="0"/>
      <w:marTop w:val="0"/>
      <w:marBottom w:val="0"/>
      <w:divBdr>
        <w:top w:val="none" w:sz="0" w:space="0" w:color="auto"/>
        <w:left w:val="none" w:sz="0" w:space="0" w:color="auto"/>
        <w:bottom w:val="none" w:sz="0" w:space="0" w:color="auto"/>
        <w:right w:val="none" w:sz="0" w:space="0" w:color="auto"/>
      </w:divBdr>
    </w:div>
    <w:div w:id="2118674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supremecourt.uk/docs/permission-to-appeal-2017-12-2018-01.pdf" TargetMode="External"/><Relationship Id="rId4" Type="http://schemas.openxmlformats.org/officeDocument/2006/relationships/hyperlink" Target="https://www.judiciary.uk/wp-content/uploads/2017/10/speech-pfd-children-across-the-justice-systems.pdf" TargetMode="External"/><Relationship Id="rId1" Type="http://schemas.openxmlformats.org/officeDocument/2006/relationships/hyperlink" Target="https://www.gov.uk/government/uploads/system/uploads/attachment_data/file/138296/dh_103653__1_.pdf" TargetMode="External"/><Relationship Id="rId2" Type="http://schemas.openxmlformats.org/officeDocument/2006/relationships/hyperlink" Target="https://www.gov.uk/government/uploads/system/uploads/attachment_data/file/138296/dh_103653_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55BBB-BEF0-414F-8B00-C3ED572D7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8796</Words>
  <Characters>50138</Characters>
  <Application>Microsoft Macintosh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Manager/>
  <Company>Durham University</Company>
  <LinksUpToDate>false</LinksUpToDate>
  <CharactersWithSpaces>58817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Purshouse, Emma Cave</dc:creator>
  <cp:keywords/>
  <dc:description/>
  <cp:lastModifiedBy>Craig Purshouse</cp:lastModifiedBy>
  <cp:revision>2</cp:revision>
  <cp:lastPrinted>2018-08-24T13:47:00Z</cp:lastPrinted>
  <dcterms:created xsi:type="dcterms:W3CDTF">2020-02-05T16:43:00Z</dcterms:created>
  <dcterms:modified xsi:type="dcterms:W3CDTF">2020-02-05T16:43:00Z</dcterms:modified>
  <cp:category/>
</cp:coreProperties>
</file>