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25F51" w14:textId="4E0A18E3" w:rsidR="00E56416" w:rsidRPr="00E744FD" w:rsidRDefault="00E56416" w:rsidP="00A610F8">
      <w:pPr>
        <w:keepNext/>
        <w:keepLines/>
        <w:spacing w:before="240" w:line="360" w:lineRule="auto"/>
        <w:jc w:val="center"/>
        <w:outlineLvl w:val="0"/>
        <w:rPr>
          <w:rFonts w:eastAsiaTheme="majorEastAsia" w:cs="Times New Roman"/>
          <w:b/>
          <w:color w:val="000000" w:themeColor="text1"/>
          <w:sz w:val="32"/>
          <w:szCs w:val="32"/>
        </w:rPr>
      </w:pPr>
      <w:r>
        <w:rPr>
          <w:rFonts w:eastAsiaTheme="majorEastAsia" w:cs="Times New Roman"/>
          <w:b/>
          <w:color w:val="000000" w:themeColor="text1"/>
          <w:sz w:val="32"/>
          <w:szCs w:val="32"/>
        </w:rPr>
        <w:t>Flourishing Under Private Law</w:t>
      </w:r>
      <w:r w:rsidR="00E0511B">
        <w:rPr>
          <w:rFonts w:eastAsiaTheme="majorEastAsia" w:cs="Times New Roman"/>
          <w:b/>
          <w:color w:val="000000" w:themeColor="text1"/>
          <w:sz w:val="32"/>
          <w:szCs w:val="32"/>
        </w:rPr>
        <w:t>?</w:t>
      </w:r>
      <w:r w:rsidRPr="00342CD7">
        <w:rPr>
          <w:rFonts w:eastAsiaTheme="majorEastAsia" w:cs="Times New Roman"/>
          <w:b/>
          <w:color w:val="000000" w:themeColor="text1"/>
          <w:sz w:val="32"/>
          <w:szCs w:val="32"/>
        </w:rPr>
        <w:t xml:space="preserve"> A Critique of McBride’s Explanatory Theory</w:t>
      </w:r>
    </w:p>
    <w:p w14:paraId="09A2F416" w14:textId="2BA7EC82" w:rsidR="009B1ACE" w:rsidRPr="002F0D73" w:rsidRDefault="002F0D73" w:rsidP="002F0D73">
      <w:pPr>
        <w:keepNext/>
        <w:keepLines/>
        <w:spacing w:before="40" w:line="360" w:lineRule="auto"/>
        <w:jc w:val="center"/>
        <w:outlineLvl w:val="1"/>
        <w:rPr>
          <w:rFonts w:eastAsiaTheme="majorEastAsia" w:cs="Times New Roman"/>
          <w:color w:val="000000" w:themeColor="text1"/>
        </w:rPr>
      </w:pPr>
      <w:r w:rsidRPr="002F0D73">
        <w:rPr>
          <w:rFonts w:eastAsiaTheme="majorEastAsia" w:cs="Times New Roman"/>
          <w:color w:val="000000" w:themeColor="text1"/>
        </w:rPr>
        <w:t>Craig Purshouse*</w:t>
      </w:r>
    </w:p>
    <w:p w14:paraId="511F3E4A" w14:textId="5B976114" w:rsidR="00C811AA" w:rsidRPr="00C811AA" w:rsidRDefault="00C811AA" w:rsidP="00A610F8">
      <w:pPr>
        <w:keepNext/>
        <w:keepLines/>
        <w:spacing w:before="40" w:line="360" w:lineRule="auto"/>
        <w:outlineLvl w:val="1"/>
        <w:rPr>
          <w:rFonts w:eastAsiaTheme="majorEastAsia" w:cs="Times New Roman"/>
          <w:color w:val="000000" w:themeColor="text1"/>
        </w:rPr>
      </w:pPr>
      <w:bookmarkStart w:id="0" w:name="_GoBack"/>
      <w:r>
        <w:rPr>
          <w:rFonts w:eastAsiaTheme="majorEastAsia" w:cs="Times New Roman"/>
          <w:b/>
          <w:color w:val="000000" w:themeColor="text1"/>
        </w:rPr>
        <w:t xml:space="preserve">Abstract: </w:t>
      </w:r>
      <w:r>
        <w:rPr>
          <w:rFonts w:eastAsiaTheme="majorEastAsia" w:cs="Times New Roman"/>
          <w:color w:val="000000" w:themeColor="text1"/>
        </w:rPr>
        <w:t xml:space="preserve">In </w:t>
      </w:r>
      <w:proofErr w:type="gramStart"/>
      <w:r>
        <w:rPr>
          <w:rFonts w:cs="Times New Roman"/>
          <w:i/>
        </w:rPr>
        <w:t>The</w:t>
      </w:r>
      <w:proofErr w:type="gramEnd"/>
      <w:r>
        <w:rPr>
          <w:rFonts w:cs="Times New Roman"/>
          <w:i/>
        </w:rPr>
        <w:t xml:space="preserve"> Humanity of Private Law</w:t>
      </w:r>
      <w:r w:rsidRPr="00C86EBE">
        <w:rPr>
          <w:rFonts w:cs="Times New Roman"/>
          <w:i/>
        </w:rPr>
        <w:t xml:space="preserve"> Part 1: The Explanatio</w:t>
      </w:r>
      <w:r>
        <w:rPr>
          <w:rFonts w:cs="Times New Roman"/>
          <w:i/>
        </w:rPr>
        <w:t>n</w:t>
      </w:r>
      <w:r>
        <w:rPr>
          <w:rFonts w:cs="Times New Roman"/>
        </w:rPr>
        <w:t xml:space="preserve">, Nicholas McBride </w:t>
      </w:r>
      <w:r w:rsidR="00F35FD8">
        <w:rPr>
          <w:rFonts w:cs="Times New Roman"/>
        </w:rPr>
        <w:t>builds upon</w:t>
      </w:r>
      <w:r w:rsidR="00E02FCC">
        <w:rPr>
          <w:rFonts w:cs="Times New Roman"/>
        </w:rPr>
        <w:t xml:space="preserve"> the work of the ‘new natural law theorists’ to </w:t>
      </w:r>
      <w:r w:rsidR="00300460">
        <w:rPr>
          <w:rFonts w:cs="Times New Roman"/>
        </w:rPr>
        <w:t>develop</w:t>
      </w:r>
      <w:r>
        <w:rPr>
          <w:rFonts w:cs="Times New Roman"/>
        </w:rPr>
        <w:t xml:space="preserve"> an explanatory account of private law</w:t>
      </w:r>
      <w:r w:rsidR="006024B7">
        <w:rPr>
          <w:rFonts w:cs="Times New Roman"/>
        </w:rPr>
        <w:t>. His central argument is</w:t>
      </w:r>
      <w:r>
        <w:rPr>
          <w:rFonts w:cs="Times New Roman"/>
        </w:rPr>
        <w:t xml:space="preserve"> that private law is concerned with the flourishing of its subjects</w:t>
      </w:r>
      <w:r w:rsidR="00675BAC">
        <w:rPr>
          <w:rFonts w:cs="Times New Roman"/>
        </w:rPr>
        <w:t xml:space="preserve"> while maintaining its legitimacy</w:t>
      </w:r>
      <w:r>
        <w:rPr>
          <w:rFonts w:cs="Times New Roman"/>
        </w:rPr>
        <w:t>. In this article</w:t>
      </w:r>
      <w:r w:rsidR="00E02FCC">
        <w:rPr>
          <w:rFonts w:cs="Times New Roman"/>
        </w:rPr>
        <w:t>,</w:t>
      </w:r>
      <w:r w:rsidR="00E74853">
        <w:rPr>
          <w:rFonts w:cs="Times New Roman"/>
        </w:rPr>
        <w:t xml:space="preserve"> I argue that</w:t>
      </w:r>
      <w:r w:rsidR="00C404B7">
        <w:rPr>
          <w:rFonts w:cs="Times New Roman"/>
        </w:rPr>
        <w:t>, once fleshed out, McBride’s central thesis is</w:t>
      </w:r>
      <w:r w:rsidR="00E74853">
        <w:rPr>
          <w:rFonts w:cs="Times New Roman"/>
        </w:rPr>
        <w:t xml:space="preserve"> unpersuasive</w:t>
      </w:r>
      <w:r w:rsidR="009628B2">
        <w:rPr>
          <w:rFonts w:cs="Times New Roman"/>
        </w:rPr>
        <w:t xml:space="preserve"> and that </w:t>
      </w:r>
      <w:r w:rsidR="00F16976">
        <w:rPr>
          <w:rFonts w:cs="Times New Roman"/>
        </w:rPr>
        <w:t>significant</w:t>
      </w:r>
      <w:r>
        <w:rPr>
          <w:rFonts w:cs="Times New Roman"/>
        </w:rPr>
        <w:t xml:space="preserve"> areas of private law doctrine do not match </w:t>
      </w:r>
      <w:r w:rsidR="00C404B7">
        <w:rPr>
          <w:rFonts w:cs="Times New Roman"/>
        </w:rPr>
        <w:t xml:space="preserve">his </w:t>
      </w:r>
      <w:r>
        <w:rPr>
          <w:rFonts w:cs="Times New Roman"/>
        </w:rPr>
        <w:t xml:space="preserve">explanations. </w:t>
      </w:r>
    </w:p>
    <w:bookmarkEnd w:id="0"/>
    <w:p w14:paraId="07C2269C" w14:textId="77777777" w:rsidR="00C811AA" w:rsidRPr="00C811AA" w:rsidRDefault="00C811AA" w:rsidP="00A610F8">
      <w:pPr>
        <w:keepNext/>
        <w:keepLines/>
        <w:spacing w:before="40" w:line="360" w:lineRule="auto"/>
        <w:outlineLvl w:val="1"/>
        <w:rPr>
          <w:rFonts w:eastAsiaTheme="majorEastAsia" w:cs="Times New Roman"/>
          <w:b/>
          <w:color w:val="000000" w:themeColor="text1"/>
        </w:rPr>
      </w:pPr>
    </w:p>
    <w:p w14:paraId="2B02F0A4" w14:textId="2BAC6ABB" w:rsidR="001E5DF4" w:rsidRPr="00C87768" w:rsidRDefault="001E5DF4" w:rsidP="00A610F8">
      <w:pPr>
        <w:pStyle w:val="ListParagraph"/>
        <w:keepNext/>
        <w:keepLines/>
        <w:numPr>
          <w:ilvl w:val="0"/>
          <w:numId w:val="3"/>
        </w:numPr>
        <w:spacing w:before="40" w:line="360" w:lineRule="auto"/>
        <w:jc w:val="center"/>
        <w:outlineLvl w:val="1"/>
        <w:rPr>
          <w:rFonts w:eastAsiaTheme="majorEastAsia" w:cs="Times New Roman"/>
          <w:b/>
          <w:color w:val="000000" w:themeColor="text1"/>
        </w:rPr>
      </w:pPr>
      <w:r w:rsidRPr="00C87768">
        <w:rPr>
          <w:rFonts w:eastAsiaTheme="majorEastAsia" w:cs="Times New Roman"/>
          <w:b/>
          <w:color w:val="000000" w:themeColor="text1"/>
        </w:rPr>
        <w:t>Introduction</w:t>
      </w:r>
    </w:p>
    <w:p w14:paraId="79DEE232" w14:textId="4876D1A2" w:rsidR="00635850" w:rsidRDefault="001E5DF4" w:rsidP="00A610F8">
      <w:pPr>
        <w:spacing w:line="360" w:lineRule="auto"/>
        <w:rPr>
          <w:rFonts w:cs="Times New Roman"/>
        </w:rPr>
      </w:pPr>
      <w:r>
        <w:rPr>
          <w:rFonts w:cs="Times New Roman"/>
        </w:rPr>
        <w:t xml:space="preserve">What is the best explanation of private law? </w:t>
      </w:r>
      <w:r w:rsidRPr="00C86EBE">
        <w:rPr>
          <w:rFonts w:cs="Times New Roman"/>
        </w:rPr>
        <w:t>F</w:t>
      </w:r>
      <w:r>
        <w:rPr>
          <w:rFonts w:cs="Times New Roman"/>
        </w:rPr>
        <w:t>or many of us familiar, never mind</w:t>
      </w:r>
      <w:r w:rsidRPr="00C86EBE">
        <w:rPr>
          <w:rFonts w:cs="Times New Roman"/>
        </w:rPr>
        <w:t xml:space="preserve"> exasperated, with the state of the current theoretical debates, any answer</w:t>
      </w:r>
      <w:r>
        <w:rPr>
          <w:rFonts w:cs="Times New Roman"/>
        </w:rPr>
        <w:t xml:space="preserve"> </w:t>
      </w:r>
      <w:r w:rsidRPr="00C86EBE">
        <w:rPr>
          <w:rFonts w:cs="Times New Roman"/>
        </w:rPr>
        <w:t xml:space="preserve">that is not some variation on, or combination of, ‘corrective justice’, ‘rights’ or, most questionably, ‘the </w:t>
      </w:r>
      <w:r>
        <w:rPr>
          <w:rFonts w:cs="Times New Roman"/>
        </w:rPr>
        <w:t xml:space="preserve">legal </w:t>
      </w:r>
      <w:r w:rsidRPr="00C86EBE">
        <w:rPr>
          <w:rFonts w:cs="Times New Roman"/>
        </w:rPr>
        <w:t>philosophy of Immanuel Kant’ comes as a blessed relief.</w:t>
      </w:r>
      <w:r w:rsidR="0041630D" w:rsidRPr="00C86EBE">
        <w:rPr>
          <w:rFonts w:cs="Times New Roman"/>
        </w:rPr>
        <w:t xml:space="preserve"> In this respect, Nicholas McBride is off to an auspicious start with his </w:t>
      </w:r>
      <w:r w:rsidR="0041630D">
        <w:rPr>
          <w:rFonts w:cs="Times New Roman"/>
        </w:rPr>
        <w:t xml:space="preserve">impressive </w:t>
      </w:r>
      <w:r w:rsidR="00F35FD8">
        <w:rPr>
          <w:rFonts w:cs="Times New Roman"/>
        </w:rPr>
        <w:t xml:space="preserve">new monograph, </w:t>
      </w:r>
      <w:r w:rsidR="0041630D">
        <w:rPr>
          <w:rFonts w:cs="Times New Roman"/>
          <w:i/>
        </w:rPr>
        <w:t>The Humanity of Private Law</w:t>
      </w:r>
      <w:r w:rsidR="0041630D" w:rsidRPr="00C86EBE">
        <w:rPr>
          <w:rFonts w:cs="Times New Roman"/>
          <w:i/>
        </w:rPr>
        <w:t xml:space="preserve"> Part 1: The Explanation</w:t>
      </w:r>
      <w:r w:rsidR="00F35FD8">
        <w:rPr>
          <w:rFonts w:cs="Times New Roman"/>
        </w:rPr>
        <w:t>, which</w:t>
      </w:r>
      <w:r w:rsidR="0041630D">
        <w:rPr>
          <w:rFonts w:cs="Times New Roman"/>
        </w:rPr>
        <w:t xml:space="preserve"> </w:t>
      </w:r>
      <w:r w:rsidR="0041630D" w:rsidRPr="00C86EBE">
        <w:rPr>
          <w:rFonts w:cs="Times New Roman"/>
        </w:rPr>
        <w:t>sets out ‘a way of thinking about private law’.</w:t>
      </w:r>
      <w:r w:rsidR="00635850">
        <w:rPr>
          <w:rStyle w:val="FootnoteReference"/>
          <w:rFonts w:cs="Times New Roman"/>
        </w:rPr>
        <w:footnoteReference w:id="1"/>
      </w:r>
      <w:r w:rsidR="00635850" w:rsidRPr="00C86EBE">
        <w:rPr>
          <w:rFonts w:cs="Times New Roman"/>
        </w:rPr>
        <w:t xml:space="preserve"> Put simply, he argues that private law is concerned with promoting the flourishing of its subjects</w:t>
      </w:r>
      <w:r w:rsidR="00635850">
        <w:rPr>
          <w:rFonts w:cs="Times New Roman"/>
        </w:rPr>
        <w:t xml:space="preserve"> while preserving its legitimacy</w:t>
      </w:r>
      <w:r w:rsidR="00635850" w:rsidRPr="00C86EBE">
        <w:rPr>
          <w:rFonts w:cs="Times New Roman"/>
        </w:rPr>
        <w:t>.</w:t>
      </w:r>
      <w:r w:rsidR="00635850">
        <w:rPr>
          <w:rStyle w:val="FootnoteReference"/>
          <w:rFonts w:cs="Times New Roman"/>
        </w:rPr>
        <w:footnoteReference w:id="2"/>
      </w:r>
      <w:r w:rsidR="00635850" w:rsidRPr="00C86EBE">
        <w:rPr>
          <w:rFonts w:cs="Times New Roman"/>
        </w:rPr>
        <w:t xml:space="preserve"> </w:t>
      </w:r>
      <w:r w:rsidR="00635850">
        <w:rPr>
          <w:rFonts w:cs="Times New Roman"/>
        </w:rPr>
        <w:t>At first sight, t</w:t>
      </w:r>
      <w:r w:rsidR="00635850" w:rsidRPr="00C86EBE">
        <w:rPr>
          <w:rFonts w:cs="Times New Roman"/>
        </w:rPr>
        <w:t xml:space="preserve">his might seem unobjectionable. Who could deny that flourishing is A Good Thing? And we should be slow to accuse judges and other lawmakers of deliberately crafting the opposite: a private law that </w:t>
      </w:r>
      <w:r w:rsidR="00635850" w:rsidRPr="006B6BDC">
        <w:rPr>
          <w:rFonts w:cs="Times New Roman"/>
        </w:rPr>
        <w:t>diminishes</w:t>
      </w:r>
      <w:r w:rsidR="00635850" w:rsidRPr="00C86EBE">
        <w:rPr>
          <w:rFonts w:cs="Times New Roman"/>
        </w:rPr>
        <w:t xml:space="preserve"> people’s flourishing</w:t>
      </w:r>
      <w:r w:rsidR="00B010C8">
        <w:rPr>
          <w:rFonts w:cs="Times New Roman"/>
        </w:rPr>
        <w:t xml:space="preserve"> and is unconcerned with maintaining its legitimacy</w:t>
      </w:r>
      <w:r w:rsidR="00635850" w:rsidRPr="00C86EBE">
        <w:rPr>
          <w:rFonts w:cs="Times New Roman"/>
        </w:rPr>
        <w:t xml:space="preserve">. But </w:t>
      </w:r>
      <w:r w:rsidR="00635850">
        <w:rPr>
          <w:rFonts w:cs="Times New Roman"/>
        </w:rPr>
        <w:t>first impressions can be deceiving</w:t>
      </w:r>
      <w:r w:rsidR="00635850" w:rsidRPr="00C86EBE">
        <w:rPr>
          <w:rFonts w:cs="Times New Roman"/>
        </w:rPr>
        <w:t xml:space="preserve">. In what follows I give an overview of </w:t>
      </w:r>
      <w:r w:rsidR="00635850">
        <w:rPr>
          <w:rFonts w:cs="Times New Roman"/>
          <w:i/>
        </w:rPr>
        <w:t>HPL</w:t>
      </w:r>
      <w:r w:rsidR="00635850" w:rsidRPr="00C86EBE">
        <w:rPr>
          <w:rFonts w:cs="Times New Roman"/>
        </w:rPr>
        <w:t xml:space="preserve"> before arguing that this theory is unpersuasive as an explanatory a</w:t>
      </w:r>
      <w:r w:rsidR="00635850">
        <w:rPr>
          <w:rFonts w:cs="Times New Roman"/>
        </w:rPr>
        <w:t xml:space="preserve">ccount of private law doctrine. </w:t>
      </w:r>
    </w:p>
    <w:p w14:paraId="551D56DC" w14:textId="77777777" w:rsidR="00635850" w:rsidRDefault="00635850" w:rsidP="00A610F8">
      <w:pPr>
        <w:spacing w:line="360" w:lineRule="auto"/>
        <w:rPr>
          <w:rFonts w:cs="Times New Roman"/>
        </w:rPr>
      </w:pPr>
    </w:p>
    <w:p w14:paraId="11246FF1" w14:textId="4878880C" w:rsidR="00635850" w:rsidRPr="00C87768" w:rsidRDefault="00635850" w:rsidP="00A610F8">
      <w:pPr>
        <w:pStyle w:val="ListParagraph"/>
        <w:numPr>
          <w:ilvl w:val="0"/>
          <w:numId w:val="3"/>
        </w:numPr>
        <w:spacing w:line="360" w:lineRule="auto"/>
        <w:jc w:val="center"/>
        <w:rPr>
          <w:rFonts w:cs="Times New Roman"/>
        </w:rPr>
      </w:pPr>
      <w:r w:rsidRPr="00C87768">
        <w:rPr>
          <w:rFonts w:eastAsiaTheme="majorEastAsia" w:cs="Times New Roman"/>
          <w:b/>
          <w:color w:val="000000" w:themeColor="text1"/>
        </w:rPr>
        <w:t>The Theory</w:t>
      </w:r>
    </w:p>
    <w:p w14:paraId="490DBADC" w14:textId="6ABF2B49" w:rsidR="00635850" w:rsidRPr="00E3266A" w:rsidRDefault="00635850" w:rsidP="00A610F8">
      <w:pPr>
        <w:spacing w:line="360" w:lineRule="auto"/>
        <w:rPr>
          <w:rFonts w:cs="Times New Roman"/>
        </w:rPr>
      </w:pPr>
      <w:r>
        <w:rPr>
          <w:rFonts w:cs="Times New Roman"/>
        </w:rPr>
        <w:lastRenderedPageBreak/>
        <w:t>Recent years have seen a backlash in the academic literature to the idea that a single explanatory theory can account for the whole of tort law. The parade of charges levelled against universal tort theories include: they cannot justify divergences in the common law;</w:t>
      </w:r>
      <w:r>
        <w:rPr>
          <w:rStyle w:val="FootnoteReference"/>
          <w:rFonts w:cs="Times New Roman"/>
        </w:rPr>
        <w:footnoteReference w:id="3"/>
      </w:r>
      <w:r>
        <w:rPr>
          <w:rFonts w:cs="Times New Roman"/>
        </w:rPr>
        <w:t xml:space="preserve"> struggle to explain tort statutes;</w:t>
      </w:r>
      <w:r>
        <w:rPr>
          <w:rStyle w:val="FootnoteReference"/>
          <w:rFonts w:cs="Times New Roman"/>
        </w:rPr>
        <w:footnoteReference w:id="4"/>
      </w:r>
      <w:r>
        <w:t xml:space="preserve"> give a partial account of the law and suffer from problems of fit with important areas of tort doctrine;</w:t>
      </w:r>
      <w:r>
        <w:rPr>
          <w:rStyle w:val="FootnoteReference"/>
        </w:rPr>
        <w:footnoteReference w:id="5"/>
      </w:r>
      <w:r>
        <w:t xml:space="preserve"> wrongly maintain that tort law is in ‘</w:t>
      </w:r>
      <w:r w:rsidRPr="008C4A1A">
        <w:t>in the process of becoming steadily more coherent</w:t>
      </w:r>
      <w:r>
        <w:t>’;</w:t>
      </w:r>
      <w:r>
        <w:rPr>
          <w:rStyle w:val="FootnoteReference"/>
        </w:rPr>
        <w:footnoteReference w:id="6"/>
      </w:r>
      <w:r>
        <w:t xml:space="preserve"> fail to account for the fuzzy boundaries of tort law and ‘hybrid torts’;</w:t>
      </w:r>
      <w:r>
        <w:rPr>
          <w:rStyle w:val="FootnoteReference"/>
        </w:rPr>
        <w:footnoteReference w:id="7"/>
      </w:r>
      <w:r>
        <w:t xml:space="preserve"> further a right-wing political ideology;</w:t>
      </w:r>
      <w:r>
        <w:rPr>
          <w:rStyle w:val="FootnoteReference"/>
        </w:rPr>
        <w:footnoteReference w:id="8"/>
      </w:r>
      <w:r>
        <w:t xml:space="preserve"> and are normatively unappealing.</w:t>
      </w:r>
      <w:r>
        <w:rPr>
          <w:rStyle w:val="FootnoteReference"/>
        </w:rPr>
        <w:footnoteReference w:id="9"/>
      </w:r>
      <w:r>
        <w:t xml:space="preserve"> And the above critiques relate only to one aspect of private law. Given this, the idea that a single theory can encompass such diverse legal topics as the validity of a marriage, whether body parts can be owned and insurance contracts will be greeted by many with scepticism.</w:t>
      </w:r>
      <w:r>
        <w:rPr>
          <w:rStyle w:val="FootnoteReference"/>
        </w:rPr>
        <w:footnoteReference w:id="10"/>
      </w:r>
      <w:r>
        <w:t xml:space="preserve"> </w:t>
      </w:r>
    </w:p>
    <w:p w14:paraId="2EC6530E" w14:textId="00A0B38B" w:rsidR="00635850" w:rsidRDefault="00D833FF" w:rsidP="00A610F8">
      <w:pPr>
        <w:spacing w:line="360" w:lineRule="auto"/>
        <w:ind w:firstLine="720"/>
        <w:rPr>
          <w:rFonts w:cs="Times New Roman"/>
        </w:rPr>
      </w:pPr>
      <w:r>
        <w:rPr>
          <w:rFonts w:cs="Times New Roman"/>
        </w:rPr>
        <w:t>McBride finds previous attempts to find a single explanatory theory of private law to be defective</w:t>
      </w:r>
      <w:r w:rsidR="004F2A9B">
        <w:rPr>
          <w:rFonts w:cs="Times New Roman"/>
        </w:rPr>
        <w:t>. He</w:t>
      </w:r>
      <w:r w:rsidR="00635850">
        <w:rPr>
          <w:rFonts w:cs="Times New Roman"/>
        </w:rPr>
        <w:t xml:space="preserve"> skilfully disposes of</w:t>
      </w:r>
      <w:r w:rsidR="004F2A9B">
        <w:rPr>
          <w:rFonts w:cs="Times New Roman"/>
        </w:rPr>
        <w:t xml:space="preserve"> explanatory</w:t>
      </w:r>
      <w:r w:rsidR="00635850" w:rsidRPr="00C80E3C">
        <w:rPr>
          <w:rFonts w:cs="Times New Roman"/>
        </w:rPr>
        <w:t xml:space="preserve"> </w:t>
      </w:r>
      <w:r w:rsidR="00035B86">
        <w:rPr>
          <w:rFonts w:cs="Times New Roman"/>
        </w:rPr>
        <w:t>‘</w:t>
      </w:r>
      <w:r w:rsidR="00635850" w:rsidRPr="00C80E3C">
        <w:rPr>
          <w:rFonts w:cs="Times New Roman"/>
        </w:rPr>
        <w:t>law and economics</w:t>
      </w:r>
      <w:r w:rsidR="00035B86">
        <w:rPr>
          <w:rFonts w:cs="Times New Roman"/>
        </w:rPr>
        <w:t>’</w:t>
      </w:r>
      <w:r w:rsidR="00635850" w:rsidRPr="00C80E3C">
        <w:rPr>
          <w:rFonts w:cs="Times New Roman"/>
        </w:rPr>
        <w:t xml:space="preserve"> </w:t>
      </w:r>
      <w:r w:rsidR="004F2A9B">
        <w:rPr>
          <w:rFonts w:cs="Times New Roman"/>
        </w:rPr>
        <w:t xml:space="preserve">theories </w:t>
      </w:r>
      <w:r w:rsidR="00635850" w:rsidRPr="00C80E3C">
        <w:rPr>
          <w:rFonts w:cs="Times New Roman"/>
        </w:rPr>
        <w:t xml:space="preserve">(private law is </w:t>
      </w:r>
      <w:r w:rsidR="00635850" w:rsidRPr="00C80E3C">
        <w:rPr>
          <w:rFonts w:cs="Times New Roman"/>
        </w:rPr>
        <w:lastRenderedPageBreak/>
        <w:t>concerned with wealth maximisation),</w:t>
      </w:r>
      <w:r w:rsidR="00635850">
        <w:rPr>
          <w:rStyle w:val="FootnoteReference"/>
          <w:rFonts w:cs="Times New Roman"/>
        </w:rPr>
        <w:footnoteReference w:id="11"/>
      </w:r>
      <w:r w:rsidR="00635850" w:rsidRPr="00C80E3C">
        <w:rPr>
          <w:rFonts w:cs="Times New Roman"/>
        </w:rPr>
        <w:t xml:space="preserve"> Kantian accounts (private law is concerned with protecting our independence)</w:t>
      </w:r>
      <w:r w:rsidR="00635850">
        <w:rPr>
          <w:rStyle w:val="FootnoteReference"/>
          <w:rFonts w:cs="Times New Roman"/>
        </w:rPr>
        <w:footnoteReference w:id="12"/>
      </w:r>
      <w:r w:rsidR="00635850" w:rsidRPr="00C80E3C">
        <w:rPr>
          <w:rFonts w:cs="Times New Roman"/>
        </w:rPr>
        <w:t xml:space="preserve"> and a group of theories known as legal moralism (private law is applied morality).</w:t>
      </w:r>
      <w:r w:rsidR="00635850">
        <w:rPr>
          <w:rStyle w:val="FootnoteReference"/>
          <w:rFonts w:cs="Times New Roman"/>
        </w:rPr>
        <w:footnoteReference w:id="13"/>
      </w:r>
      <w:r w:rsidR="004F2A9B">
        <w:rPr>
          <w:rFonts w:cs="Times New Roman"/>
        </w:rPr>
        <w:t xml:space="preserve"> Each one</w:t>
      </w:r>
      <w:r w:rsidR="00635850" w:rsidRPr="00C80E3C">
        <w:rPr>
          <w:rFonts w:cs="Times New Roman"/>
        </w:rPr>
        <w:t xml:space="preserve"> ‘fails to provide us with a satisfying explanation of private law – either because of lack of fit, or lack of plausibil</w:t>
      </w:r>
      <w:r w:rsidR="00635850">
        <w:rPr>
          <w:rFonts w:cs="Times New Roman"/>
        </w:rPr>
        <w:t>ity.’</w:t>
      </w:r>
      <w:r w:rsidR="00635850">
        <w:rPr>
          <w:rStyle w:val="FootnoteReference"/>
          <w:rFonts w:cs="Times New Roman"/>
        </w:rPr>
        <w:footnoteReference w:id="14"/>
      </w:r>
      <w:r w:rsidR="00635850" w:rsidRPr="00C80E3C">
        <w:rPr>
          <w:rFonts w:cs="Times New Roman"/>
        </w:rPr>
        <w:t xml:space="preserve"> </w:t>
      </w:r>
      <w:r w:rsidR="00635850">
        <w:rPr>
          <w:rFonts w:cs="Times New Roman"/>
        </w:rPr>
        <w:t>Moreover, he demonstrates that</w:t>
      </w:r>
      <w:r w:rsidR="00635850" w:rsidRPr="00C80E3C">
        <w:rPr>
          <w:rFonts w:cs="Times New Roman"/>
        </w:rPr>
        <w:t xml:space="preserve"> </w:t>
      </w:r>
      <w:r w:rsidR="00635850">
        <w:rPr>
          <w:rFonts w:cs="Times New Roman"/>
        </w:rPr>
        <w:t>economic and Kantian theories are unpersuasive because</w:t>
      </w:r>
      <w:r w:rsidR="00635850" w:rsidRPr="00C80E3C">
        <w:rPr>
          <w:rFonts w:cs="Times New Roman"/>
        </w:rPr>
        <w:t xml:space="preserve"> neither wealth nor independence are intrinsically valuable.</w:t>
      </w:r>
      <w:r w:rsidR="00635850">
        <w:rPr>
          <w:rStyle w:val="FootnoteReference"/>
          <w:rFonts w:cs="Times New Roman"/>
        </w:rPr>
        <w:footnoteReference w:id="15"/>
      </w:r>
      <w:r w:rsidR="00635850" w:rsidRPr="00C80E3C">
        <w:rPr>
          <w:rFonts w:cs="Times New Roman"/>
        </w:rPr>
        <w:t xml:space="preserve"> </w:t>
      </w:r>
    </w:p>
    <w:p w14:paraId="1CBF3C66" w14:textId="20AF2D45" w:rsidR="00635850" w:rsidRPr="00C86EBE" w:rsidRDefault="00635850" w:rsidP="00A610F8">
      <w:pPr>
        <w:spacing w:line="360" w:lineRule="auto"/>
        <w:ind w:firstLine="720"/>
        <w:rPr>
          <w:rFonts w:eastAsia="Times New Roman" w:cs="Times New Roman"/>
          <w:lang w:eastAsia="en-GB"/>
        </w:rPr>
      </w:pPr>
      <w:r>
        <w:rPr>
          <w:rFonts w:cs="Times New Roman"/>
        </w:rPr>
        <w:t xml:space="preserve">Instead, </w:t>
      </w:r>
      <w:r w:rsidRPr="00C86EBE">
        <w:rPr>
          <w:rFonts w:cs="Times New Roman"/>
        </w:rPr>
        <w:t>McBride proposes a ‘humane’ view of private law, called ‘F’. According to F ‘the rules and doctrines of English priva</w:t>
      </w:r>
      <w:r w:rsidR="004F2A9B">
        <w:rPr>
          <w:rFonts w:cs="Times New Roman"/>
        </w:rPr>
        <w:t>te law are concerned to promote</w:t>
      </w:r>
      <w:r w:rsidRPr="00C86EBE">
        <w:rPr>
          <w:rFonts w:cs="Times New Roman"/>
        </w:rPr>
        <w:t xml:space="preserve"> its subjects’ fl</w:t>
      </w:r>
      <w:r>
        <w:rPr>
          <w:rFonts w:cs="Times New Roman"/>
        </w:rPr>
        <w:t>ourishing as human beings.’</w:t>
      </w:r>
      <w:r>
        <w:rPr>
          <w:rStyle w:val="FootnoteReference"/>
          <w:rFonts w:cs="Times New Roman"/>
        </w:rPr>
        <w:footnoteReference w:id="16"/>
      </w:r>
      <w:r w:rsidR="00035B86">
        <w:rPr>
          <w:rFonts w:cs="Times New Roman"/>
        </w:rPr>
        <w:t xml:space="preserve"> Private law</w:t>
      </w:r>
      <w:r w:rsidRPr="00C86EBE">
        <w:rPr>
          <w:rFonts w:cs="Times New Roman"/>
        </w:rPr>
        <w:t xml:space="preserve"> does this by ‘</w:t>
      </w:r>
      <w:r w:rsidRPr="00C86EBE">
        <w:rPr>
          <w:rFonts w:eastAsia="Times New Roman" w:cs="Times New Roman"/>
          <w:lang w:eastAsia="en-GB"/>
        </w:rPr>
        <w:t xml:space="preserve">(a) </w:t>
      </w:r>
      <w:r w:rsidRPr="00C86EBE">
        <w:rPr>
          <w:rFonts w:eastAsia="Times New Roman" w:cs="Times New Roman"/>
          <w:i/>
          <w:lang w:eastAsia="en-GB"/>
        </w:rPr>
        <w:t xml:space="preserve">protecting </w:t>
      </w:r>
      <w:r w:rsidRPr="00C86EBE">
        <w:rPr>
          <w:rFonts w:eastAsia="Times New Roman" w:cs="Times New Roman"/>
          <w:lang w:eastAsia="en-GB"/>
        </w:rPr>
        <w:t xml:space="preserve">them from suffering setbacks to their flourishing, and (b) </w:t>
      </w:r>
      <w:r w:rsidRPr="00C86EBE">
        <w:rPr>
          <w:rFonts w:eastAsia="Times New Roman" w:cs="Times New Roman"/>
          <w:i/>
          <w:lang w:eastAsia="en-GB"/>
        </w:rPr>
        <w:t xml:space="preserve">empowering </w:t>
      </w:r>
      <w:r w:rsidRPr="00C86EBE">
        <w:rPr>
          <w:rFonts w:eastAsia="Times New Roman" w:cs="Times New Roman"/>
          <w:lang w:eastAsia="en-GB"/>
        </w:rPr>
        <w:t>people to enter into transactions that will help them to</w:t>
      </w:r>
      <w:r>
        <w:rPr>
          <w:rFonts w:eastAsia="Times New Roman" w:cs="Times New Roman"/>
          <w:lang w:eastAsia="en-GB"/>
        </w:rPr>
        <w:t xml:space="preserve"> flourish as human beings’</w:t>
      </w:r>
      <w:r>
        <w:rPr>
          <w:rStyle w:val="FootnoteReference"/>
          <w:rFonts w:eastAsia="Times New Roman" w:cs="Times New Roman"/>
          <w:lang w:eastAsia="en-GB"/>
        </w:rPr>
        <w:footnoteReference w:id="17"/>
      </w:r>
      <w:r w:rsidRPr="00C86EBE">
        <w:rPr>
          <w:rFonts w:eastAsia="Times New Roman" w:cs="Times New Roman"/>
          <w:lang w:eastAsia="en-GB"/>
        </w:rPr>
        <w:t xml:space="preserve"> but is constrained by the </w:t>
      </w:r>
      <w:r>
        <w:rPr>
          <w:rFonts w:eastAsia="Times New Roman" w:cs="Times New Roman"/>
          <w:lang w:eastAsia="en-GB"/>
        </w:rPr>
        <w:t xml:space="preserve">need to </w:t>
      </w:r>
      <w:r w:rsidR="004F2A9B">
        <w:rPr>
          <w:rFonts w:eastAsia="Times New Roman" w:cs="Times New Roman"/>
          <w:lang w:eastAsia="en-GB"/>
        </w:rPr>
        <w:t>maintain the law’s</w:t>
      </w:r>
      <w:r>
        <w:rPr>
          <w:rFonts w:eastAsia="Times New Roman" w:cs="Times New Roman"/>
          <w:lang w:eastAsia="en-GB"/>
        </w:rPr>
        <w:t xml:space="preserve"> legitimacy.</w:t>
      </w:r>
      <w:r>
        <w:rPr>
          <w:rStyle w:val="FootnoteReference"/>
          <w:rFonts w:eastAsia="Times New Roman" w:cs="Times New Roman"/>
          <w:lang w:eastAsia="en-GB"/>
        </w:rPr>
        <w:footnoteReference w:id="18"/>
      </w:r>
    </w:p>
    <w:p w14:paraId="6F7CD3EB" w14:textId="7B686DB1" w:rsidR="00635850" w:rsidRPr="00C86EBE" w:rsidRDefault="00635850" w:rsidP="00A610F8">
      <w:pPr>
        <w:spacing w:line="360" w:lineRule="auto"/>
        <w:ind w:firstLine="720"/>
        <w:rPr>
          <w:rFonts w:cs="Times New Roman"/>
        </w:rPr>
      </w:pPr>
      <w:r w:rsidRPr="00C86EBE">
        <w:rPr>
          <w:rFonts w:cs="Times New Roman"/>
        </w:rPr>
        <w:t xml:space="preserve">McBride refers to </w:t>
      </w:r>
      <w:r>
        <w:rPr>
          <w:rFonts w:cs="Times New Roman"/>
        </w:rPr>
        <w:t xml:space="preserve">the vision of flourishing adopted by </w:t>
      </w:r>
      <w:r>
        <w:rPr>
          <w:rFonts w:cs="Times New Roman"/>
          <w:lang w:eastAsia="en-GB"/>
        </w:rPr>
        <w:t>English private</w:t>
      </w:r>
      <w:r w:rsidR="00035B86">
        <w:rPr>
          <w:rFonts w:cs="Times New Roman"/>
          <w:lang w:eastAsia="en-GB"/>
        </w:rPr>
        <w:t xml:space="preserve"> law</w:t>
      </w:r>
      <w:r>
        <w:rPr>
          <w:rFonts w:cs="Times New Roman"/>
          <w:lang w:eastAsia="en-GB"/>
        </w:rPr>
        <w:t xml:space="preserve"> as the ‘RP’</w:t>
      </w:r>
      <w:r w:rsidRPr="00C86EBE">
        <w:rPr>
          <w:rFonts w:cs="Times New Roman"/>
          <w:lang w:eastAsia="en-GB"/>
        </w:rPr>
        <w:t>.</w:t>
      </w:r>
      <w:r>
        <w:rPr>
          <w:rStyle w:val="FootnoteReference"/>
          <w:rFonts w:cs="Times New Roman"/>
          <w:lang w:eastAsia="en-GB"/>
        </w:rPr>
        <w:footnoteReference w:id="19"/>
      </w:r>
      <w:r w:rsidRPr="00C86EBE">
        <w:rPr>
          <w:rFonts w:cs="Times New Roman"/>
          <w:lang w:eastAsia="en-GB"/>
        </w:rPr>
        <w:t xml:space="preserve"> RP stands for both ‘reflective picture’ (‘the picture of human flourishing that most people living </w:t>
      </w:r>
      <w:r w:rsidRPr="00C86EBE">
        <w:rPr>
          <w:rFonts w:cs="Times New Roman"/>
          <w:lang w:eastAsia="en-GB"/>
        </w:rPr>
        <w:lastRenderedPageBreak/>
        <w:t>in modern Western liberal societies would endorse if they reflected for a while on what human flourishing involve’) and ‘received picture’ (</w:t>
      </w:r>
      <w:r>
        <w:rPr>
          <w:rFonts w:cs="Times New Roman"/>
          <w:lang w:eastAsia="en-GB"/>
        </w:rPr>
        <w:t>‘t</w:t>
      </w:r>
      <w:r w:rsidRPr="00C86EBE">
        <w:rPr>
          <w:rFonts w:cs="Times New Roman"/>
          <w:lang w:eastAsia="en-GB"/>
        </w:rPr>
        <w:t>he picture of human flourishing that the culture of modern Western liberal societies encourage</w:t>
      </w:r>
      <w:r>
        <w:rPr>
          <w:rFonts w:cs="Times New Roman"/>
          <w:lang w:eastAsia="en-GB"/>
        </w:rPr>
        <w:t xml:space="preserve">s </w:t>
      </w:r>
      <w:r w:rsidRPr="00C86EBE">
        <w:rPr>
          <w:rFonts w:cs="Times New Roman"/>
          <w:lang w:eastAsia="en-GB"/>
        </w:rPr>
        <w:t>us to adopt when we consider what hu</w:t>
      </w:r>
      <w:r>
        <w:rPr>
          <w:rFonts w:cs="Times New Roman"/>
          <w:lang w:eastAsia="en-GB"/>
        </w:rPr>
        <w:t>man flourishing involves’).</w:t>
      </w:r>
      <w:r>
        <w:rPr>
          <w:rStyle w:val="FootnoteReference"/>
          <w:rFonts w:cs="Times New Roman"/>
          <w:lang w:eastAsia="en-GB"/>
        </w:rPr>
        <w:footnoteReference w:id="20"/>
      </w:r>
    </w:p>
    <w:p w14:paraId="0EE5D519" w14:textId="4CC41636" w:rsidR="00635850" w:rsidRPr="00C86EBE" w:rsidRDefault="00635850" w:rsidP="00A610F8">
      <w:pPr>
        <w:spacing w:line="360" w:lineRule="auto"/>
        <w:rPr>
          <w:rFonts w:cs="Times New Roman"/>
          <w:lang w:eastAsia="en-GB"/>
        </w:rPr>
      </w:pPr>
      <w:r w:rsidRPr="00C86EBE">
        <w:rPr>
          <w:rFonts w:cs="Times New Roman"/>
        </w:rPr>
        <w:tab/>
        <w:t>A flourishing life is one that is ‘going</w:t>
      </w:r>
      <w:r>
        <w:rPr>
          <w:rFonts w:cs="Times New Roman"/>
        </w:rPr>
        <w:t xml:space="preserve"> well’</w:t>
      </w:r>
      <w:r w:rsidRPr="00C86EBE">
        <w:rPr>
          <w:rFonts w:cs="Times New Roman"/>
        </w:rPr>
        <w:t>.</w:t>
      </w:r>
      <w:r>
        <w:rPr>
          <w:rStyle w:val="FootnoteReference"/>
          <w:rFonts w:cs="Times New Roman"/>
        </w:rPr>
        <w:footnoteReference w:id="21"/>
      </w:r>
      <w:r w:rsidRPr="00C86EBE">
        <w:rPr>
          <w:rFonts w:cs="Times New Roman"/>
        </w:rPr>
        <w:t xml:space="preserve"> Someone cannot be flourishing if their life is going badly </w:t>
      </w:r>
      <w:r>
        <w:rPr>
          <w:rFonts w:cs="Times New Roman"/>
        </w:rPr>
        <w:t xml:space="preserve">but </w:t>
      </w:r>
      <w:r w:rsidR="00AB2770">
        <w:rPr>
          <w:rFonts w:cs="Times New Roman"/>
        </w:rPr>
        <w:t>there is no requirement</w:t>
      </w:r>
      <w:r>
        <w:rPr>
          <w:rFonts w:cs="Times New Roman"/>
        </w:rPr>
        <w:t xml:space="preserve"> </w:t>
      </w:r>
      <w:r w:rsidR="00365BFC">
        <w:rPr>
          <w:rFonts w:cs="Times New Roman"/>
        </w:rPr>
        <w:t>that</w:t>
      </w:r>
      <w:r>
        <w:rPr>
          <w:rFonts w:cs="Times New Roman"/>
        </w:rPr>
        <w:t xml:space="preserve"> their life </w:t>
      </w:r>
      <w:r w:rsidR="00AB2770">
        <w:rPr>
          <w:rFonts w:cs="Times New Roman"/>
        </w:rPr>
        <w:t>be</w:t>
      </w:r>
      <w:r>
        <w:rPr>
          <w:rFonts w:cs="Times New Roman"/>
        </w:rPr>
        <w:t xml:space="preserve"> </w:t>
      </w:r>
      <w:proofErr w:type="spellStart"/>
      <w:r>
        <w:rPr>
          <w:rFonts w:cs="Times New Roman"/>
        </w:rPr>
        <w:t>unimprovable</w:t>
      </w:r>
      <w:proofErr w:type="spellEnd"/>
      <w:r w:rsidRPr="00C86EBE">
        <w:rPr>
          <w:rFonts w:cs="Times New Roman"/>
        </w:rPr>
        <w:t>.</w:t>
      </w:r>
      <w:r>
        <w:rPr>
          <w:rStyle w:val="FootnoteReference"/>
          <w:rFonts w:cs="Times New Roman"/>
        </w:rPr>
        <w:footnoteReference w:id="22"/>
      </w:r>
      <w:r w:rsidRPr="00C86EBE">
        <w:rPr>
          <w:rFonts w:cs="Times New Roman"/>
        </w:rPr>
        <w:t xml:space="preserve"> </w:t>
      </w:r>
      <w:r>
        <w:rPr>
          <w:rFonts w:cs="Times New Roman"/>
          <w:lang w:eastAsia="en-GB"/>
        </w:rPr>
        <w:t>McBride’s</w:t>
      </w:r>
      <w:r w:rsidRPr="00C86EBE">
        <w:rPr>
          <w:rFonts w:cs="Times New Roman"/>
          <w:lang w:eastAsia="en-GB"/>
        </w:rPr>
        <w:t xml:space="preserve"> starting point </w:t>
      </w:r>
      <w:r>
        <w:rPr>
          <w:rFonts w:cs="Times New Roman"/>
          <w:lang w:eastAsia="en-GB"/>
        </w:rPr>
        <w:t xml:space="preserve">for the RP </w:t>
      </w:r>
      <w:r w:rsidRPr="00C86EBE">
        <w:rPr>
          <w:rFonts w:cs="Times New Roman"/>
          <w:lang w:eastAsia="en-GB"/>
        </w:rPr>
        <w:t xml:space="preserve">is </w:t>
      </w:r>
      <w:r w:rsidRPr="00C86EBE">
        <w:rPr>
          <w:rFonts w:cs="Times New Roman"/>
          <w:i/>
          <w:lang w:eastAsia="en-GB"/>
        </w:rPr>
        <w:t xml:space="preserve">Natural Law and Natural Rights </w:t>
      </w:r>
      <w:r w:rsidRPr="00C86EBE">
        <w:rPr>
          <w:rFonts w:cs="Times New Roman"/>
          <w:lang w:eastAsia="en-GB"/>
        </w:rPr>
        <w:t xml:space="preserve">by John </w:t>
      </w:r>
      <w:proofErr w:type="spellStart"/>
      <w:r w:rsidRPr="00C86EBE">
        <w:rPr>
          <w:rFonts w:cs="Times New Roman"/>
          <w:lang w:eastAsia="en-GB"/>
        </w:rPr>
        <w:t>Finnis</w:t>
      </w:r>
      <w:proofErr w:type="spellEnd"/>
      <w:r w:rsidRPr="00C86EBE">
        <w:rPr>
          <w:rFonts w:cs="Times New Roman"/>
          <w:lang w:eastAsia="en-GB"/>
        </w:rPr>
        <w:t>.</w:t>
      </w:r>
      <w:r>
        <w:rPr>
          <w:rStyle w:val="FootnoteReference"/>
          <w:rFonts w:cs="Times New Roman"/>
          <w:lang w:eastAsia="en-GB"/>
        </w:rPr>
        <w:footnoteReference w:id="23"/>
      </w:r>
      <w:r>
        <w:rPr>
          <w:rFonts w:cs="Times New Roman"/>
        </w:rPr>
        <w:t xml:space="preserve"> For </w:t>
      </w:r>
      <w:proofErr w:type="spellStart"/>
      <w:r>
        <w:rPr>
          <w:rFonts w:cs="Times New Roman"/>
          <w:lang w:eastAsia="en-GB"/>
        </w:rPr>
        <w:t>Finnis</w:t>
      </w:r>
      <w:proofErr w:type="spellEnd"/>
      <w:r>
        <w:rPr>
          <w:rFonts w:cs="Times New Roman"/>
          <w:lang w:eastAsia="en-GB"/>
        </w:rPr>
        <w:t>, the basic goods required for a flourishing life are: knowledge, skilful performance in work and play, bodily life and the components of its fullness, friendship, marriage, practical reasonableness and ‘harmony with the widest reaches and most ultimate source of all reality including meaning and value’ (sometimes referred to as ‘religion’).</w:t>
      </w:r>
      <w:r>
        <w:rPr>
          <w:rStyle w:val="FootnoteReference"/>
          <w:rFonts w:cs="Times New Roman"/>
          <w:lang w:eastAsia="en-GB"/>
        </w:rPr>
        <w:footnoteReference w:id="24"/>
      </w:r>
      <w:r>
        <w:rPr>
          <w:rFonts w:cs="Times New Roman"/>
          <w:lang w:eastAsia="en-GB"/>
        </w:rPr>
        <w:t xml:space="preserve">  </w:t>
      </w:r>
    </w:p>
    <w:p w14:paraId="033DFE90" w14:textId="0636522C" w:rsidR="00635850" w:rsidRDefault="00635850" w:rsidP="00A610F8">
      <w:pPr>
        <w:spacing w:line="360" w:lineRule="auto"/>
        <w:ind w:firstLine="720"/>
        <w:contextualSpacing/>
        <w:rPr>
          <w:rFonts w:eastAsia="Times New Roman" w:cs="Times New Roman"/>
          <w:lang w:eastAsia="en-GB"/>
        </w:rPr>
      </w:pPr>
      <w:r>
        <w:rPr>
          <w:rFonts w:cs="Times New Roman"/>
          <w:lang w:eastAsia="en-GB"/>
        </w:rPr>
        <w:t xml:space="preserve">Mercifully, </w:t>
      </w:r>
      <w:proofErr w:type="spellStart"/>
      <w:r>
        <w:rPr>
          <w:rFonts w:cs="Times New Roman"/>
          <w:lang w:eastAsia="en-GB"/>
        </w:rPr>
        <w:t>Finnis’s</w:t>
      </w:r>
      <w:proofErr w:type="spellEnd"/>
      <w:r>
        <w:rPr>
          <w:rFonts w:cs="Times New Roman"/>
          <w:lang w:eastAsia="en-GB"/>
        </w:rPr>
        <w:t xml:space="preserve"> </w:t>
      </w:r>
      <w:r w:rsidR="00AB2770">
        <w:rPr>
          <w:rFonts w:cs="Times New Roman"/>
          <w:lang w:eastAsia="en-GB"/>
        </w:rPr>
        <w:t>views have not been adopted wholesale</w:t>
      </w:r>
      <w:r>
        <w:rPr>
          <w:rFonts w:cs="Times New Roman"/>
          <w:lang w:eastAsia="en-GB"/>
        </w:rPr>
        <w:t>.</w:t>
      </w:r>
      <w:r w:rsidR="00AB2770">
        <w:rPr>
          <w:rFonts w:cs="Times New Roman"/>
          <w:lang w:eastAsia="en-GB"/>
        </w:rPr>
        <w:t xml:space="preserve"> Additions and modifications have been made to his framework.</w:t>
      </w:r>
      <w:r>
        <w:rPr>
          <w:rFonts w:cs="Times New Roman"/>
          <w:lang w:eastAsia="en-GB"/>
        </w:rPr>
        <w:t xml:space="preserve"> Out go</w:t>
      </w:r>
      <w:r w:rsidR="007F6FF8">
        <w:rPr>
          <w:rFonts w:cs="Times New Roman"/>
          <w:lang w:eastAsia="en-GB"/>
        </w:rPr>
        <w:t xml:space="preserve">es </w:t>
      </w:r>
      <w:proofErr w:type="spellStart"/>
      <w:r w:rsidR="007F6FF8">
        <w:rPr>
          <w:rFonts w:cs="Times New Roman"/>
          <w:lang w:eastAsia="en-GB"/>
        </w:rPr>
        <w:t>Finnis’s</w:t>
      </w:r>
      <w:proofErr w:type="spellEnd"/>
      <w:r>
        <w:rPr>
          <w:rFonts w:cs="Times New Roman"/>
          <w:lang w:eastAsia="en-GB"/>
        </w:rPr>
        <w:t xml:space="preserve"> homophobia and injunctions against contraception;</w:t>
      </w:r>
      <w:r>
        <w:rPr>
          <w:rStyle w:val="FootnoteReference"/>
          <w:rFonts w:cs="Times New Roman"/>
          <w:lang w:eastAsia="en-GB"/>
        </w:rPr>
        <w:footnoteReference w:id="25"/>
      </w:r>
      <w:r>
        <w:rPr>
          <w:rFonts w:cs="Times New Roman"/>
          <w:lang w:eastAsia="en-GB"/>
        </w:rPr>
        <w:t xml:space="preserve"> in come</w:t>
      </w:r>
      <w:r w:rsidR="007F6FF8">
        <w:rPr>
          <w:rFonts w:cs="Times New Roman"/>
          <w:lang w:eastAsia="en-GB"/>
        </w:rPr>
        <w:t>s</w:t>
      </w:r>
      <w:r>
        <w:rPr>
          <w:rFonts w:cs="Times New Roman"/>
          <w:lang w:eastAsia="en-GB"/>
        </w:rPr>
        <w:t xml:space="preserve"> having a ‘desire of the heart’, ‘living in a caring society that seeks to promote the flourishing of everyone in that society’ and being free from anxiety about one’s flourishing being impaired.</w:t>
      </w:r>
      <w:r>
        <w:rPr>
          <w:rStyle w:val="FootnoteReference"/>
          <w:rFonts w:cs="Times New Roman"/>
          <w:lang w:eastAsia="en-GB"/>
        </w:rPr>
        <w:footnoteReference w:id="26"/>
      </w:r>
      <w:r>
        <w:rPr>
          <w:rFonts w:cs="Times New Roman"/>
          <w:lang w:eastAsia="en-GB"/>
        </w:rPr>
        <w:t xml:space="preserve"> Enjoyment of the goods should not be dependent on anyone else’s suffering.</w:t>
      </w:r>
      <w:r>
        <w:rPr>
          <w:rStyle w:val="FootnoteReference"/>
          <w:rFonts w:cs="Times New Roman"/>
          <w:lang w:eastAsia="en-GB"/>
        </w:rPr>
        <w:footnoteReference w:id="27"/>
      </w:r>
    </w:p>
    <w:p w14:paraId="1CB3482F" w14:textId="41FE1FC8" w:rsidR="00635850" w:rsidRPr="00C86EBE" w:rsidRDefault="00635850" w:rsidP="00A610F8">
      <w:pPr>
        <w:spacing w:line="360" w:lineRule="auto"/>
        <w:ind w:firstLine="720"/>
        <w:rPr>
          <w:rFonts w:eastAsia="Times New Roman" w:cs="Times New Roman"/>
          <w:lang w:eastAsia="en-GB"/>
        </w:rPr>
      </w:pPr>
      <w:r>
        <w:rPr>
          <w:rFonts w:eastAsia="Times New Roman" w:cs="Times New Roman"/>
          <w:lang w:eastAsia="en-GB"/>
        </w:rPr>
        <w:t>O</w:t>
      </w:r>
      <w:r w:rsidRPr="00C86EBE">
        <w:rPr>
          <w:rFonts w:eastAsia="Times New Roman" w:cs="Times New Roman"/>
          <w:lang w:eastAsia="en-GB"/>
        </w:rPr>
        <w:t xml:space="preserve">ne does not need to participate in </w:t>
      </w:r>
      <w:proofErr w:type="gramStart"/>
      <w:r w:rsidRPr="00C86EBE">
        <w:rPr>
          <w:rFonts w:eastAsia="Times New Roman" w:cs="Times New Roman"/>
          <w:i/>
          <w:lang w:eastAsia="en-GB"/>
        </w:rPr>
        <w:t>all</w:t>
      </w:r>
      <w:r>
        <w:rPr>
          <w:rFonts w:eastAsia="Times New Roman" w:cs="Times New Roman"/>
          <w:lang w:eastAsia="en-GB"/>
        </w:rPr>
        <w:t xml:space="preserve"> of</w:t>
      </w:r>
      <w:proofErr w:type="gramEnd"/>
      <w:r>
        <w:rPr>
          <w:rFonts w:eastAsia="Times New Roman" w:cs="Times New Roman"/>
          <w:lang w:eastAsia="en-GB"/>
        </w:rPr>
        <w:t xml:space="preserve"> the basic</w:t>
      </w:r>
      <w:r w:rsidRPr="00C86EBE">
        <w:rPr>
          <w:rFonts w:eastAsia="Times New Roman" w:cs="Times New Roman"/>
          <w:lang w:eastAsia="en-GB"/>
        </w:rPr>
        <w:t xml:space="preserve"> goods but someone’s flourishing will be impaired ‘if they do not </w:t>
      </w:r>
      <w:r w:rsidRPr="00C86EBE">
        <w:rPr>
          <w:rFonts w:eastAsia="Times New Roman" w:cs="Times New Roman"/>
          <w:i/>
          <w:lang w:eastAsia="en-GB"/>
        </w:rPr>
        <w:t>acknowledge</w:t>
      </w:r>
      <w:r w:rsidRPr="00C86EBE">
        <w:rPr>
          <w:rFonts w:eastAsia="Times New Roman" w:cs="Times New Roman"/>
          <w:lang w:eastAsia="en-GB"/>
        </w:rPr>
        <w:t xml:space="preserve"> that all of the basic goods </w:t>
      </w:r>
      <w:r w:rsidRPr="00C86EBE">
        <w:rPr>
          <w:rFonts w:eastAsia="Times New Roman" w:cs="Times New Roman"/>
          <w:i/>
          <w:lang w:eastAsia="en-GB"/>
        </w:rPr>
        <w:t>are</w:t>
      </w:r>
      <w:r w:rsidRPr="00C86EBE">
        <w:rPr>
          <w:rFonts w:eastAsia="Times New Roman" w:cs="Times New Roman"/>
          <w:lang w:eastAsia="en-GB"/>
        </w:rPr>
        <w:t xml:space="preserve"> goods, and are </w:t>
      </w:r>
      <w:r w:rsidRPr="00C86EBE">
        <w:rPr>
          <w:rFonts w:eastAsia="Times New Roman" w:cs="Times New Roman"/>
          <w:i/>
          <w:lang w:eastAsia="en-GB"/>
        </w:rPr>
        <w:t>not open</w:t>
      </w:r>
      <w:r w:rsidRPr="00C86EBE">
        <w:rPr>
          <w:rFonts w:eastAsia="Times New Roman" w:cs="Times New Roman"/>
          <w:lang w:eastAsia="en-GB"/>
        </w:rPr>
        <w:t xml:space="preserve"> to acting on the reasons for choosing an</w:t>
      </w:r>
      <w:r>
        <w:rPr>
          <w:rFonts w:eastAsia="Times New Roman" w:cs="Times New Roman"/>
          <w:lang w:eastAsia="en-GB"/>
        </w:rPr>
        <w:t>d acting that they supply.’</w:t>
      </w:r>
      <w:r>
        <w:rPr>
          <w:rStyle w:val="FootnoteReference"/>
          <w:rFonts w:eastAsia="Times New Roman" w:cs="Times New Roman"/>
          <w:lang w:eastAsia="en-GB"/>
        </w:rPr>
        <w:footnoteReference w:id="28"/>
      </w:r>
      <w:r w:rsidRPr="00C86EBE">
        <w:rPr>
          <w:rFonts w:eastAsia="Times New Roman" w:cs="Times New Roman"/>
          <w:lang w:eastAsia="en-GB"/>
        </w:rPr>
        <w:t xml:space="preserve"> The basic goods a</w:t>
      </w:r>
      <w:r>
        <w:rPr>
          <w:rFonts w:eastAsia="Times New Roman" w:cs="Times New Roman"/>
          <w:lang w:eastAsia="en-GB"/>
        </w:rPr>
        <w:t>re all equally basic. N</w:t>
      </w:r>
      <w:r w:rsidRPr="00C86EBE">
        <w:rPr>
          <w:rFonts w:eastAsia="Times New Roman" w:cs="Times New Roman"/>
          <w:lang w:eastAsia="en-GB"/>
        </w:rPr>
        <w:t xml:space="preserve">o objective priority of value </w:t>
      </w:r>
      <w:r>
        <w:rPr>
          <w:rFonts w:eastAsia="Times New Roman" w:cs="Times New Roman"/>
          <w:lang w:eastAsia="en-GB"/>
        </w:rPr>
        <w:t xml:space="preserve">exists </w:t>
      </w:r>
      <w:r w:rsidRPr="00C86EBE">
        <w:rPr>
          <w:rFonts w:eastAsia="Times New Roman" w:cs="Times New Roman"/>
          <w:lang w:eastAsia="en-GB"/>
        </w:rPr>
        <w:t>among them a</w:t>
      </w:r>
      <w:r>
        <w:rPr>
          <w:rFonts w:eastAsia="Times New Roman" w:cs="Times New Roman"/>
          <w:lang w:eastAsia="en-GB"/>
        </w:rPr>
        <w:t xml:space="preserve">nd they are </w:t>
      </w:r>
      <w:r>
        <w:rPr>
          <w:rFonts w:eastAsia="Times New Roman" w:cs="Times New Roman"/>
          <w:lang w:eastAsia="en-GB"/>
        </w:rPr>
        <w:lastRenderedPageBreak/>
        <w:t>incommensurable</w:t>
      </w:r>
      <w:r w:rsidRPr="00C86EBE">
        <w:rPr>
          <w:rFonts w:eastAsia="Times New Roman" w:cs="Times New Roman"/>
          <w:lang w:eastAsia="en-GB"/>
        </w:rPr>
        <w:t>.</w:t>
      </w:r>
      <w:r>
        <w:rPr>
          <w:rStyle w:val="FootnoteReference"/>
          <w:rFonts w:eastAsia="Times New Roman" w:cs="Times New Roman"/>
          <w:lang w:eastAsia="en-GB"/>
        </w:rPr>
        <w:footnoteReference w:id="29"/>
      </w:r>
      <w:r w:rsidRPr="00C86EBE">
        <w:rPr>
          <w:rFonts w:eastAsia="Times New Roman" w:cs="Times New Roman"/>
          <w:lang w:eastAsia="en-GB"/>
        </w:rPr>
        <w:t xml:space="preserve"> There is no single correct way to flourish: a flourishing life involves being open to participating in the </w:t>
      </w:r>
      <w:r w:rsidR="00EB0CB9">
        <w:rPr>
          <w:rFonts w:eastAsia="Times New Roman" w:cs="Times New Roman"/>
          <w:lang w:eastAsia="en-GB"/>
        </w:rPr>
        <w:t xml:space="preserve">various </w:t>
      </w:r>
      <w:r w:rsidRPr="00C86EBE">
        <w:rPr>
          <w:rFonts w:eastAsia="Times New Roman" w:cs="Times New Roman"/>
          <w:lang w:eastAsia="en-GB"/>
        </w:rPr>
        <w:t>goods ‘in proportions and intensities to be determined by the</w:t>
      </w:r>
      <w:r>
        <w:rPr>
          <w:rFonts w:eastAsia="Times New Roman" w:cs="Times New Roman"/>
          <w:lang w:eastAsia="en-GB"/>
        </w:rPr>
        <w:t xml:space="preserve"> individual leading that life’</w:t>
      </w:r>
      <w:r w:rsidRPr="00C86EBE">
        <w:rPr>
          <w:rFonts w:eastAsia="Times New Roman" w:cs="Times New Roman"/>
          <w:lang w:eastAsia="en-GB"/>
        </w:rPr>
        <w:t>.</w:t>
      </w:r>
      <w:r>
        <w:rPr>
          <w:rStyle w:val="FootnoteReference"/>
          <w:rFonts w:eastAsia="Times New Roman" w:cs="Times New Roman"/>
          <w:lang w:eastAsia="en-GB"/>
        </w:rPr>
        <w:footnoteReference w:id="30"/>
      </w:r>
      <w:r w:rsidRPr="00C86EBE">
        <w:rPr>
          <w:rFonts w:eastAsia="Times New Roman" w:cs="Times New Roman"/>
          <w:lang w:eastAsia="en-GB"/>
        </w:rPr>
        <w:t xml:space="preserve"> However, anyone with ‘even the barest awareness of the state of the culture in Western liberal societies would readily agree that the RP is the account of human flourishing that we are encouraged to adopt and endorse as a result of living in such </w:t>
      </w:r>
      <w:r>
        <w:rPr>
          <w:rFonts w:eastAsia="Times New Roman" w:cs="Times New Roman"/>
          <w:lang w:eastAsia="en-GB"/>
        </w:rPr>
        <w:t>societies’.</w:t>
      </w:r>
      <w:r>
        <w:rPr>
          <w:rStyle w:val="FootnoteReference"/>
          <w:rFonts w:eastAsia="Times New Roman" w:cs="Times New Roman"/>
          <w:lang w:eastAsia="en-GB"/>
        </w:rPr>
        <w:footnoteReference w:id="31"/>
      </w:r>
      <w:r>
        <w:rPr>
          <w:rFonts w:eastAsia="Times New Roman" w:cs="Times New Roman"/>
          <w:lang w:eastAsia="en-GB"/>
        </w:rPr>
        <w:t xml:space="preserve"> Additionally, </w:t>
      </w:r>
      <w:r w:rsidRPr="00C86EBE">
        <w:rPr>
          <w:rFonts w:eastAsia="Times New Roman" w:cs="Times New Roman"/>
          <w:lang w:eastAsia="en-GB"/>
        </w:rPr>
        <w:t>the RP is ‘the vision of human flourishing that the courts have in mind in shaping those elements of private law that are concerned with pr</w:t>
      </w:r>
      <w:r>
        <w:rPr>
          <w:rFonts w:eastAsia="Times New Roman" w:cs="Times New Roman"/>
          <w:lang w:eastAsia="en-GB"/>
        </w:rPr>
        <w:t>omoting human flourishing’</w:t>
      </w:r>
      <w:r w:rsidRPr="00C86EBE">
        <w:rPr>
          <w:rFonts w:eastAsia="Times New Roman" w:cs="Times New Roman"/>
          <w:lang w:eastAsia="en-GB"/>
        </w:rPr>
        <w:t>.</w:t>
      </w:r>
      <w:r>
        <w:rPr>
          <w:rStyle w:val="FootnoteReference"/>
          <w:rFonts w:eastAsia="Times New Roman" w:cs="Times New Roman"/>
          <w:lang w:eastAsia="en-GB"/>
        </w:rPr>
        <w:footnoteReference w:id="32"/>
      </w:r>
    </w:p>
    <w:p w14:paraId="2D6DFEE5" w14:textId="3948711D" w:rsidR="00635850" w:rsidRDefault="00635850" w:rsidP="00A610F8">
      <w:pPr>
        <w:spacing w:line="360" w:lineRule="auto"/>
        <w:ind w:firstLine="720"/>
        <w:contextualSpacing/>
        <w:rPr>
          <w:rFonts w:eastAsia="Times New Roman" w:cs="Times New Roman"/>
          <w:lang w:eastAsia="en-GB"/>
        </w:rPr>
      </w:pPr>
      <w:proofErr w:type="gramStart"/>
      <w:r w:rsidRPr="00C86EBE">
        <w:rPr>
          <w:rFonts w:eastAsia="Times New Roman" w:cs="Times New Roman"/>
          <w:lang w:eastAsia="en-GB"/>
        </w:rPr>
        <w:t>In order to</w:t>
      </w:r>
      <w:proofErr w:type="gramEnd"/>
      <w:r w:rsidRPr="00C86EBE">
        <w:rPr>
          <w:rFonts w:eastAsia="Times New Roman" w:cs="Times New Roman"/>
          <w:lang w:eastAsia="en-GB"/>
        </w:rPr>
        <w:t xml:space="preserve"> enjoy the primary goods, there are a number of secondary goods that ‘it is very likely that someone will also have t</w:t>
      </w:r>
      <w:r>
        <w:rPr>
          <w:rFonts w:eastAsia="Times New Roman" w:cs="Times New Roman"/>
          <w:lang w:eastAsia="en-GB"/>
        </w:rPr>
        <w:t>o enjoy on a stable basis’</w:t>
      </w:r>
      <w:r w:rsidRPr="00C86EBE">
        <w:rPr>
          <w:rFonts w:eastAsia="Times New Roman" w:cs="Times New Roman"/>
          <w:lang w:eastAsia="en-GB"/>
        </w:rPr>
        <w:t>.</w:t>
      </w:r>
      <w:r>
        <w:rPr>
          <w:rStyle w:val="FootnoteReference"/>
          <w:rFonts w:eastAsia="Times New Roman" w:cs="Times New Roman"/>
          <w:lang w:eastAsia="en-GB"/>
        </w:rPr>
        <w:footnoteReference w:id="33"/>
      </w:r>
      <w:r w:rsidR="00CF077C">
        <w:rPr>
          <w:rFonts w:eastAsia="Times New Roman" w:cs="Times New Roman"/>
          <w:lang w:eastAsia="en-GB"/>
        </w:rPr>
        <w:t xml:space="preserve"> These </w:t>
      </w:r>
      <w:r>
        <w:rPr>
          <w:rFonts w:eastAsia="Times New Roman" w:cs="Times New Roman"/>
          <w:lang w:eastAsia="en-GB"/>
        </w:rPr>
        <w:t>goods include:</w:t>
      </w:r>
    </w:p>
    <w:p w14:paraId="6FD861E4" w14:textId="20957812" w:rsidR="00635850" w:rsidRDefault="00635850" w:rsidP="00A610F8">
      <w:pPr>
        <w:spacing w:line="360" w:lineRule="auto"/>
        <w:ind w:left="567" w:right="567"/>
        <w:contextualSpacing/>
        <w:rPr>
          <w:rFonts w:eastAsia="Times New Roman" w:cs="Times New Roman"/>
          <w:lang w:eastAsia="en-GB"/>
        </w:rPr>
      </w:pPr>
      <w:r w:rsidRPr="00C86EBE">
        <w:rPr>
          <w:rFonts w:eastAsia="Times New Roman" w:cs="Times New Roman"/>
          <w:lang w:eastAsia="en-GB"/>
        </w:rPr>
        <w:t>(</w:t>
      </w:r>
      <w:proofErr w:type="spellStart"/>
      <w:r w:rsidRPr="00C86EBE">
        <w:rPr>
          <w:rFonts w:eastAsia="Times New Roman" w:cs="Times New Roman"/>
          <w:lang w:eastAsia="en-GB"/>
        </w:rPr>
        <w:t>a</w:t>
      </w:r>
      <w:proofErr w:type="spellEnd"/>
      <w:r w:rsidRPr="00C86EBE">
        <w:rPr>
          <w:rFonts w:eastAsia="Times New Roman" w:cs="Times New Roman"/>
          <w:lang w:eastAsia="en-GB"/>
        </w:rPr>
        <w:t xml:space="preserve">) </w:t>
      </w:r>
      <w:proofErr w:type="spellStart"/>
      <w:r w:rsidRPr="00C86EBE">
        <w:rPr>
          <w:rFonts w:eastAsia="Times New Roman" w:cs="Times New Roman"/>
          <w:lang w:eastAsia="en-GB"/>
        </w:rPr>
        <w:t>a</w:t>
      </w:r>
      <w:proofErr w:type="spellEnd"/>
      <w:r w:rsidRPr="00C86EBE">
        <w:rPr>
          <w:rFonts w:eastAsia="Times New Roman" w:cs="Times New Roman"/>
          <w:lang w:eastAsia="en-GB"/>
        </w:rPr>
        <w:t xml:space="preserve"> home; (b) private property; (c) a reasonable level of income; (d) an occupation affording opportunities for skilful mastery and creativity; (e) a decent environment (physical, cultural and political); (f) the ability to mix with other people without shame and without being misled at to the character of those other people; (g) the space and freedom to decide for yourself how you will lead your life</w:t>
      </w:r>
      <w:r>
        <w:rPr>
          <w:rFonts w:eastAsia="Times New Roman" w:cs="Times New Roman"/>
          <w:lang w:eastAsia="en-GB"/>
        </w:rPr>
        <w:t>; (h) freedom from anxiety over whether you will be deprived in the future of any of goods (a)-(g).</w:t>
      </w:r>
      <w:r>
        <w:rPr>
          <w:rStyle w:val="FootnoteReference"/>
          <w:rFonts w:eastAsia="Times New Roman" w:cs="Times New Roman"/>
          <w:lang w:eastAsia="en-GB"/>
        </w:rPr>
        <w:footnoteReference w:id="34"/>
      </w:r>
    </w:p>
    <w:p w14:paraId="6BA0A63D" w14:textId="77777777" w:rsidR="00635850" w:rsidRDefault="00635850" w:rsidP="00A610F8">
      <w:pPr>
        <w:spacing w:line="360" w:lineRule="auto"/>
        <w:rPr>
          <w:rFonts w:eastAsia="Times New Roman" w:cs="Times New Roman"/>
          <w:lang w:eastAsia="en-GB"/>
        </w:rPr>
      </w:pPr>
    </w:p>
    <w:p w14:paraId="24E50293" w14:textId="2642603C" w:rsidR="00635850" w:rsidRDefault="00635850" w:rsidP="00A610F8">
      <w:pPr>
        <w:spacing w:line="360" w:lineRule="auto"/>
        <w:rPr>
          <w:rFonts w:eastAsia="Times New Roman" w:cs="Times New Roman"/>
          <w:lang w:eastAsia="en-GB"/>
        </w:rPr>
      </w:pPr>
      <w:r w:rsidRPr="00C86EBE">
        <w:rPr>
          <w:rFonts w:eastAsia="Times New Roman" w:cs="Times New Roman"/>
          <w:lang w:eastAsia="en-GB"/>
        </w:rPr>
        <w:lastRenderedPageBreak/>
        <w:t>Unlike the primary goods, these goods are onl</w:t>
      </w:r>
      <w:r>
        <w:rPr>
          <w:rFonts w:eastAsia="Times New Roman" w:cs="Times New Roman"/>
          <w:lang w:eastAsia="en-GB"/>
        </w:rPr>
        <w:t>y instrumentally valuable.</w:t>
      </w:r>
      <w:r>
        <w:rPr>
          <w:rStyle w:val="FootnoteReference"/>
          <w:rFonts w:eastAsia="Times New Roman" w:cs="Times New Roman"/>
          <w:lang w:eastAsia="en-GB"/>
        </w:rPr>
        <w:footnoteReference w:id="35"/>
      </w:r>
      <w:r w:rsidRPr="00C86EBE">
        <w:rPr>
          <w:rFonts w:eastAsia="Times New Roman" w:cs="Times New Roman"/>
          <w:lang w:eastAsia="en-GB"/>
        </w:rPr>
        <w:t xml:space="preserve"> </w:t>
      </w:r>
      <w:r>
        <w:rPr>
          <w:rFonts w:eastAsia="Times New Roman" w:cs="Times New Roman"/>
          <w:lang w:eastAsia="en-GB"/>
        </w:rPr>
        <w:t>Finally</w:t>
      </w:r>
      <w:r w:rsidRPr="00C86EBE">
        <w:rPr>
          <w:rFonts w:eastAsia="Times New Roman" w:cs="Times New Roman"/>
          <w:lang w:eastAsia="en-GB"/>
        </w:rPr>
        <w:t xml:space="preserve">, there are </w:t>
      </w:r>
      <w:proofErr w:type="gramStart"/>
      <w:r w:rsidRPr="00C86EBE">
        <w:rPr>
          <w:rFonts w:eastAsia="Times New Roman" w:cs="Times New Roman"/>
          <w:lang w:eastAsia="en-GB"/>
        </w:rPr>
        <w:t>a number of</w:t>
      </w:r>
      <w:proofErr w:type="gramEnd"/>
      <w:r w:rsidRPr="00C86EBE">
        <w:rPr>
          <w:rFonts w:eastAsia="Times New Roman" w:cs="Times New Roman"/>
          <w:lang w:eastAsia="en-GB"/>
        </w:rPr>
        <w:t xml:space="preserve"> tertiary goods, such as money and contract law, that </w:t>
      </w:r>
      <w:r w:rsidR="00035B86">
        <w:rPr>
          <w:rFonts w:eastAsia="Times New Roman" w:cs="Times New Roman"/>
          <w:lang w:eastAsia="en-GB"/>
        </w:rPr>
        <w:t>enable</w:t>
      </w:r>
      <w:r w:rsidRPr="00C86EBE">
        <w:rPr>
          <w:rFonts w:eastAsia="Times New Roman" w:cs="Times New Roman"/>
          <w:lang w:eastAsia="en-GB"/>
        </w:rPr>
        <w:t xml:space="preserve"> people to</w:t>
      </w:r>
      <w:r>
        <w:rPr>
          <w:rFonts w:eastAsia="Times New Roman" w:cs="Times New Roman"/>
          <w:lang w:eastAsia="en-GB"/>
        </w:rPr>
        <w:t xml:space="preserve"> enjoy the secondary goods</w:t>
      </w:r>
      <w:r w:rsidRPr="00C86EBE">
        <w:rPr>
          <w:rFonts w:eastAsia="Times New Roman" w:cs="Times New Roman"/>
          <w:lang w:eastAsia="en-GB"/>
        </w:rPr>
        <w:t>.</w:t>
      </w:r>
      <w:r>
        <w:rPr>
          <w:rStyle w:val="FootnoteReference"/>
          <w:rFonts w:eastAsia="Times New Roman" w:cs="Times New Roman"/>
          <w:lang w:eastAsia="en-GB"/>
        </w:rPr>
        <w:footnoteReference w:id="36"/>
      </w:r>
      <w:r>
        <w:rPr>
          <w:rFonts w:eastAsia="Times New Roman" w:cs="Times New Roman"/>
          <w:lang w:eastAsia="en-GB"/>
        </w:rPr>
        <w:t xml:space="preserve"> </w:t>
      </w:r>
    </w:p>
    <w:p w14:paraId="00A09088" w14:textId="4BBECEC1" w:rsidR="00635850" w:rsidRPr="0087207F" w:rsidRDefault="00635850" w:rsidP="00A610F8">
      <w:pPr>
        <w:spacing w:line="360" w:lineRule="auto"/>
        <w:ind w:firstLine="720"/>
        <w:rPr>
          <w:rFonts w:eastAsia="Times New Roman" w:cs="Times New Roman"/>
          <w:lang w:eastAsia="en-GB"/>
        </w:rPr>
      </w:pPr>
      <w:r w:rsidRPr="00C86EBE">
        <w:rPr>
          <w:rFonts w:eastAsia="Times New Roman" w:cs="Times New Roman"/>
          <w:lang w:eastAsia="en-GB"/>
        </w:rPr>
        <w:t>McBride th</w:t>
      </w:r>
      <w:r>
        <w:rPr>
          <w:rFonts w:eastAsia="Times New Roman" w:cs="Times New Roman"/>
          <w:lang w:eastAsia="en-GB"/>
        </w:rPr>
        <w:t xml:space="preserve">en divides private law </w:t>
      </w:r>
      <w:r w:rsidRPr="00C86EBE">
        <w:rPr>
          <w:rFonts w:eastAsia="Times New Roman" w:cs="Times New Roman"/>
          <w:lang w:eastAsia="en-GB"/>
        </w:rPr>
        <w:t xml:space="preserve">into our basic obligations, transactions and </w:t>
      </w:r>
      <w:r>
        <w:rPr>
          <w:rFonts w:eastAsia="Times New Roman" w:cs="Times New Roman"/>
          <w:lang w:eastAsia="en-GB"/>
        </w:rPr>
        <w:t>doctrines concerned with preserving its</w:t>
      </w:r>
      <w:r w:rsidRPr="00C86EBE">
        <w:rPr>
          <w:rFonts w:eastAsia="Times New Roman" w:cs="Times New Roman"/>
          <w:lang w:eastAsia="en-GB"/>
        </w:rPr>
        <w:t xml:space="preserve"> legitimacy. </w:t>
      </w:r>
      <w:r>
        <w:rPr>
          <w:rFonts w:eastAsia="Times New Roman" w:cs="Times New Roman"/>
          <w:lang w:eastAsia="en-GB"/>
        </w:rPr>
        <w:t>He</w:t>
      </w:r>
      <w:r w:rsidRPr="00C86EBE">
        <w:rPr>
          <w:rFonts w:eastAsia="Times New Roman" w:cs="Times New Roman"/>
          <w:lang w:eastAsia="en-GB"/>
        </w:rPr>
        <w:t xml:space="preserve"> uses the terminology ‘basic obligations’ for the law of torts. Basic obligations involve a duty that D owes C </w:t>
      </w:r>
      <w:proofErr w:type="gramStart"/>
      <w:r w:rsidRPr="00C86EBE">
        <w:rPr>
          <w:rFonts w:eastAsia="Times New Roman" w:cs="Times New Roman"/>
          <w:lang w:eastAsia="en-GB"/>
        </w:rPr>
        <w:t>which</w:t>
      </w:r>
      <w:proofErr w:type="gramEnd"/>
      <w:r w:rsidRPr="00C86EBE">
        <w:rPr>
          <w:rFonts w:eastAsia="Times New Roman" w:cs="Times New Roman"/>
          <w:lang w:eastAsia="en-GB"/>
        </w:rPr>
        <w:t xml:space="preserve"> C has not paid for or done anything special</w:t>
      </w:r>
      <w:r w:rsidR="00EB0CB9">
        <w:rPr>
          <w:rFonts w:eastAsia="Times New Roman" w:cs="Times New Roman"/>
          <w:lang w:eastAsia="en-GB"/>
        </w:rPr>
        <w:t xml:space="preserve"> for</w:t>
      </w:r>
      <w:r w:rsidRPr="00C86EBE">
        <w:rPr>
          <w:rFonts w:eastAsia="Times New Roman" w:cs="Times New Roman"/>
          <w:lang w:eastAsia="en-GB"/>
        </w:rPr>
        <w:t xml:space="preserve"> in order for</w:t>
      </w:r>
      <w:r>
        <w:rPr>
          <w:rFonts w:eastAsia="Times New Roman" w:cs="Times New Roman"/>
          <w:lang w:eastAsia="en-GB"/>
        </w:rPr>
        <w:t xml:space="preserve"> D to come under that duty</w:t>
      </w:r>
      <w:r w:rsidRPr="00C86EBE">
        <w:rPr>
          <w:rFonts w:eastAsia="Times New Roman" w:cs="Times New Roman"/>
          <w:lang w:eastAsia="en-GB"/>
        </w:rPr>
        <w:t>.</w:t>
      </w:r>
      <w:r>
        <w:rPr>
          <w:rStyle w:val="FootnoteReference"/>
          <w:rFonts w:eastAsia="Times New Roman" w:cs="Times New Roman"/>
          <w:lang w:eastAsia="en-GB"/>
        </w:rPr>
        <w:footnoteReference w:id="37"/>
      </w:r>
      <w:r w:rsidRPr="00C86EBE">
        <w:rPr>
          <w:rFonts w:eastAsia="Times New Roman" w:cs="Times New Roman"/>
          <w:lang w:eastAsia="en-GB"/>
        </w:rPr>
        <w:t xml:space="preserve"> </w:t>
      </w:r>
    </w:p>
    <w:p w14:paraId="2AD55DB1" w14:textId="7E753713" w:rsidR="00635850" w:rsidRPr="00C86EBE" w:rsidRDefault="00635850" w:rsidP="00A610F8">
      <w:pPr>
        <w:spacing w:line="360" w:lineRule="auto"/>
        <w:ind w:firstLine="720"/>
        <w:rPr>
          <w:rFonts w:cs="Times New Roman"/>
          <w:lang w:eastAsia="en-GB"/>
        </w:rPr>
      </w:pPr>
      <w:r>
        <w:rPr>
          <w:rFonts w:cs="Times New Roman"/>
          <w:lang w:eastAsia="en-GB"/>
        </w:rPr>
        <w:t>From this, he derives</w:t>
      </w:r>
      <w:r w:rsidRPr="00C86EBE">
        <w:rPr>
          <w:rFonts w:cs="Times New Roman"/>
          <w:lang w:eastAsia="en-GB"/>
        </w:rPr>
        <w:t xml:space="preserve"> what he cal</w:t>
      </w:r>
      <w:r>
        <w:rPr>
          <w:rFonts w:cs="Times New Roman"/>
          <w:lang w:eastAsia="en-GB"/>
        </w:rPr>
        <w:t xml:space="preserve">ls the ‘Basic Obligation Claim’. </w:t>
      </w:r>
      <w:proofErr w:type="gramStart"/>
      <w:r>
        <w:rPr>
          <w:rFonts w:cs="Times New Roman"/>
          <w:lang w:eastAsia="en-GB"/>
        </w:rPr>
        <w:t>This states</w:t>
      </w:r>
      <w:proofErr w:type="gramEnd"/>
      <w:r>
        <w:rPr>
          <w:rFonts w:cs="Times New Roman"/>
          <w:lang w:eastAsia="en-GB"/>
        </w:rPr>
        <w:t>:</w:t>
      </w:r>
      <w:r w:rsidRPr="00C86EBE">
        <w:rPr>
          <w:rFonts w:cs="Times New Roman"/>
          <w:lang w:eastAsia="en-GB"/>
        </w:rPr>
        <w:t xml:space="preserve"> ‘(1) in determining what basic obligations we owe each other, private law is concerned to promote the flourishing of its subjects; and (2) the particular conception of human flourishing that it has in mind in doing this i</w:t>
      </w:r>
      <w:r>
        <w:rPr>
          <w:rFonts w:cs="Times New Roman"/>
          <w:lang w:eastAsia="en-GB"/>
        </w:rPr>
        <w:t>s that supplied by the RP’</w:t>
      </w:r>
      <w:r w:rsidRPr="00C86EBE">
        <w:rPr>
          <w:rFonts w:cs="Times New Roman"/>
          <w:lang w:eastAsia="en-GB"/>
        </w:rPr>
        <w:t>.</w:t>
      </w:r>
      <w:r>
        <w:rPr>
          <w:rStyle w:val="FootnoteReference"/>
          <w:rFonts w:cs="Times New Roman"/>
          <w:lang w:eastAsia="en-GB"/>
        </w:rPr>
        <w:footnoteReference w:id="38"/>
      </w:r>
      <w:r w:rsidRPr="00C86EBE">
        <w:rPr>
          <w:rFonts w:cs="Times New Roman"/>
          <w:lang w:eastAsia="en-GB"/>
        </w:rPr>
        <w:t xml:space="preserve"> English private law will not impose a basic obligation on D to see that an event does not occur unless that event will adversely affect one of C’s primary, secondary or tertiary goods. Whether it imposes an obligation will dep</w:t>
      </w:r>
      <w:r>
        <w:rPr>
          <w:rFonts w:cs="Times New Roman"/>
          <w:lang w:eastAsia="en-GB"/>
        </w:rPr>
        <w:t>end on a balancing process</w:t>
      </w:r>
      <w:r w:rsidRPr="00C86EBE">
        <w:rPr>
          <w:rFonts w:cs="Times New Roman"/>
          <w:lang w:eastAsia="en-GB"/>
        </w:rPr>
        <w:t xml:space="preserve"> that wei</w:t>
      </w:r>
      <w:r>
        <w:rPr>
          <w:rFonts w:cs="Times New Roman"/>
          <w:lang w:eastAsia="en-GB"/>
        </w:rPr>
        <w:t>gh</w:t>
      </w:r>
      <w:r w:rsidRPr="00C86EBE">
        <w:rPr>
          <w:rFonts w:cs="Times New Roman"/>
          <w:lang w:eastAsia="en-GB"/>
        </w:rPr>
        <w:t>s ‘the costs of recognising a particular basic obliga</w:t>
      </w:r>
      <w:r>
        <w:rPr>
          <w:rFonts w:cs="Times New Roman"/>
          <w:lang w:eastAsia="en-GB"/>
        </w:rPr>
        <w:t>tion against the benefits’</w:t>
      </w:r>
      <w:r w:rsidRPr="00C86EBE">
        <w:rPr>
          <w:rFonts w:cs="Times New Roman"/>
          <w:lang w:eastAsia="en-GB"/>
        </w:rPr>
        <w:t>.</w:t>
      </w:r>
      <w:r>
        <w:rPr>
          <w:rStyle w:val="FootnoteReference"/>
          <w:rFonts w:cs="Times New Roman"/>
          <w:lang w:eastAsia="en-GB"/>
        </w:rPr>
        <w:footnoteReference w:id="39"/>
      </w:r>
      <w:r w:rsidRPr="00C86EBE">
        <w:rPr>
          <w:rFonts w:cs="Times New Roman"/>
          <w:lang w:eastAsia="en-GB"/>
        </w:rPr>
        <w:t xml:space="preserve"> </w:t>
      </w:r>
    </w:p>
    <w:p w14:paraId="56781030" w14:textId="3A096C2F" w:rsidR="00635850" w:rsidRPr="00C86EBE" w:rsidRDefault="00635850" w:rsidP="00A610F8">
      <w:pPr>
        <w:spacing w:line="360" w:lineRule="auto"/>
        <w:ind w:firstLine="720"/>
        <w:rPr>
          <w:rFonts w:cs="Times New Roman"/>
          <w:lang w:eastAsia="en-GB"/>
        </w:rPr>
      </w:pPr>
      <w:r w:rsidRPr="00C86EBE">
        <w:rPr>
          <w:rFonts w:cs="Times New Roman"/>
          <w:lang w:eastAsia="en-GB"/>
        </w:rPr>
        <w:t>McBride defines a transaction as involving ‘the performance of a legal act that is designed to confer some right or advantage either on the person performing the act or on another’ with a legal act being ‘an act that could not be performed without the law’s enabling so</w:t>
      </w:r>
      <w:r>
        <w:rPr>
          <w:rFonts w:cs="Times New Roman"/>
          <w:lang w:eastAsia="en-GB"/>
        </w:rPr>
        <w:t>meone to perform that act’</w:t>
      </w:r>
      <w:r w:rsidRPr="00C86EBE">
        <w:rPr>
          <w:rFonts w:cs="Times New Roman"/>
          <w:lang w:eastAsia="en-GB"/>
        </w:rPr>
        <w:t>.</w:t>
      </w:r>
      <w:r>
        <w:rPr>
          <w:rStyle w:val="FootnoteReference"/>
          <w:rFonts w:cs="Times New Roman"/>
          <w:lang w:eastAsia="en-GB"/>
        </w:rPr>
        <w:footnoteReference w:id="40"/>
      </w:r>
      <w:r w:rsidRPr="00C86EBE">
        <w:rPr>
          <w:rFonts w:cs="Times New Roman"/>
          <w:lang w:eastAsia="en-GB"/>
        </w:rPr>
        <w:t xml:space="preserve"> His ‘Transaction Claim’ is that private law enables us to enter into these different types of transaction </w:t>
      </w:r>
      <w:proofErr w:type="gramStart"/>
      <w:r w:rsidRPr="00C86EBE">
        <w:rPr>
          <w:rFonts w:cs="Times New Roman"/>
          <w:lang w:eastAsia="en-GB"/>
        </w:rPr>
        <w:t>in order to</w:t>
      </w:r>
      <w:proofErr w:type="gramEnd"/>
      <w:r w:rsidRPr="00C86EBE">
        <w:rPr>
          <w:rFonts w:cs="Times New Roman"/>
          <w:lang w:eastAsia="en-GB"/>
        </w:rPr>
        <w:t xml:space="preserve"> allow us to e</w:t>
      </w:r>
      <w:r>
        <w:rPr>
          <w:rFonts w:cs="Times New Roman"/>
          <w:lang w:eastAsia="en-GB"/>
        </w:rPr>
        <w:t>nhance our RP-flourishing’.</w:t>
      </w:r>
      <w:r>
        <w:rPr>
          <w:rStyle w:val="FootnoteReference"/>
          <w:rFonts w:cs="Times New Roman"/>
          <w:lang w:eastAsia="en-GB"/>
        </w:rPr>
        <w:footnoteReference w:id="41"/>
      </w:r>
      <w:r w:rsidRPr="00C86EBE">
        <w:rPr>
          <w:rFonts w:cs="Times New Roman"/>
          <w:lang w:eastAsia="en-GB"/>
        </w:rPr>
        <w:t xml:space="preserve"> </w:t>
      </w:r>
    </w:p>
    <w:p w14:paraId="652CB445" w14:textId="30D4CB85" w:rsidR="00635850" w:rsidRDefault="00635850" w:rsidP="00A610F8">
      <w:pPr>
        <w:spacing w:line="360" w:lineRule="auto"/>
        <w:ind w:firstLine="720"/>
        <w:rPr>
          <w:rFonts w:cs="Times New Roman"/>
          <w:lang w:eastAsia="en-GB"/>
        </w:rPr>
      </w:pPr>
      <w:r>
        <w:rPr>
          <w:rFonts w:cs="Times New Roman"/>
          <w:lang w:eastAsia="en-GB"/>
        </w:rPr>
        <w:t>In carrying out these functions, p</w:t>
      </w:r>
      <w:r w:rsidRPr="00C86EBE">
        <w:rPr>
          <w:rFonts w:cs="Times New Roman"/>
          <w:lang w:eastAsia="en-GB"/>
        </w:rPr>
        <w:t>rivate law must ensure it does not endanger its own legitimacy – the belief by the law’s subjects that they should obey the law – otherwise it will be impossible fo</w:t>
      </w:r>
      <w:r>
        <w:rPr>
          <w:rFonts w:cs="Times New Roman"/>
          <w:lang w:eastAsia="en-GB"/>
        </w:rPr>
        <w:t>r it to pursue these goals</w:t>
      </w:r>
      <w:r w:rsidRPr="00C86EBE">
        <w:rPr>
          <w:rFonts w:cs="Times New Roman"/>
          <w:lang w:eastAsia="en-GB"/>
        </w:rPr>
        <w:t>.</w:t>
      </w:r>
      <w:r>
        <w:rPr>
          <w:rStyle w:val="FootnoteReference"/>
          <w:rFonts w:cs="Times New Roman"/>
          <w:lang w:eastAsia="en-GB"/>
        </w:rPr>
        <w:footnoteReference w:id="42"/>
      </w:r>
      <w:r w:rsidRPr="00C86EBE">
        <w:rPr>
          <w:rFonts w:cs="Times New Roman"/>
          <w:lang w:eastAsia="en-GB"/>
        </w:rPr>
        <w:t xml:space="preserve"> According to McBride, this legitimacy-preserving function explains many aspects of the law that initially appear inconsistent with a concern for promoting flourishing</w:t>
      </w:r>
      <w:r>
        <w:rPr>
          <w:rFonts w:cs="Times New Roman"/>
          <w:lang w:eastAsia="en-GB"/>
        </w:rPr>
        <w:t>,</w:t>
      </w:r>
      <w:r w:rsidRPr="00C86EBE">
        <w:rPr>
          <w:rFonts w:cs="Times New Roman"/>
          <w:lang w:eastAsia="en-GB"/>
        </w:rPr>
        <w:t xml:space="preserve"> such as the objective standard of care in negligence. Basic obligations </w:t>
      </w:r>
      <w:r w:rsidRPr="00C86EBE">
        <w:rPr>
          <w:rFonts w:cs="Times New Roman"/>
          <w:lang w:eastAsia="en-GB"/>
        </w:rPr>
        <w:lastRenderedPageBreak/>
        <w:t>that take the form of duties to succeed, or that are difficult to achieve, might be thought incompatible with the idea that private law is concerned with the promotion of people’s fl</w:t>
      </w:r>
      <w:r w:rsidRPr="00963763">
        <w:rPr>
          <w:rFonts w:cs="Times New Roman"/>
          <w:lang w:eastAsia="en-GB"/>
        </w:rPr>
        <w:t>ourishing but they are sometimes vital</w:t>
      </w:r>
      <w:r w:rsidRPr="00C86EBE">
        <w:rPr>
          <w:rFonts w:cs="Times New Roman"/>
          <w:lang w:eastAsia="en-GB"/>
        </w:rPr>
        <w:t xml:space="preserve"> to mai</w:t>
      </w:r>
      <w:r>
        <w:rPr>
          <w:rFonts w:cs="Times New Roman"/>
          <w:lang w:eastAsia="en-GB"/>
        </w:rPr>
        <w:t>ntain the law’s legitimacy</w:t>
      </w:r>
      <w:r w:rsidRPr="00C86EBE">
        <w:rPr>
          <w:rFonts w:cs="Times New Roman"/>
          <w:lang w:eastAsia="en-GB"/>
        </w:rPr>
        <w:t>.</w:t>
      </w:r>
      <w:r>
        <w:rPr>
          <w:rStyle w:val="FootnoteReference"/>
          <w:rFonts w:cs="Times New Roman"/>
          <w:lang w:eastAsia="en-GB"/>
        </w:rPr>
        <w:footnoteReference w:id="43"/>
      </w:r>
      <w:r w:rsidRPr="00C86EBE">
        <w:rPr>
          <w:rFonts w:cs="Times New Roman"/>
          <w:lang w:eastAsia="en-GB"/>
        </w:rPr>
        <w:t xml:space="preserve"> </w:t>
      </w:r>
      <w:r>
        <w:rPr>
          <w:rFonts w:cs="Times New Roman"/>
          <w:lang w:eastAsia="en-GB"/>
        </w:rPr>
        <w:t>Yet a tailored standard</w:t>
      </w:r>
      <w:r w:rsidRPr="00C86EBE">
        <w:rPr>
          <w:rFonts w:cs="Times New Roman"/>
          <w:lang w:eastAsia="en-GB"/>
        </w:rPr>
        <w:t xml:space="preserve"> of care would </w:t>
      </w:r>
      <w:r>
        <w:rPr>
          <w:rFonts w:cs="Times New Roman"/>
          <w:lang w:eastAsia="en-GB"/>
        </w:rPr>
        <w:t>‘</w:t>
      </w:r>
      <w:r w:rsidRPr="00C86EBE">
        <w:rPr>
          <w:rFonts w:cs="Times New Roman"/>
          <w:lang w:eastAsia="en-GB"/>
        </w:rPr>
        <w:t>discriminate unacceptably in favour of inexperienced drivers and against experienced drivers’</w:t>
      </w:r>
      <w:r>
        <w:rPr>
          <w:rFonts w:cs="Times New Roman"/>
          <w:lang w:eastAsia="en-GB"/>
        </w:rPr>
        <w:t>.</w:t>
      </w:r>
      <w:r>
        <w:rPr>
          <w:rStyle w:val="FootnoteReference"/>
          <w:rFonts w:cs="Times New Roman"/>
          <w:lang w:eastAsia="en-GB"/>
        </w:rPr>
        <w:footnoteReference w:id="44"/>
      </w:r>
      <w:r w:rsidRPr="00C86EBE">
        <w:rPr>
          <w:rFonts w:cs="Times New Roman"/>
          <w:lang w:eastAsia="en-GB"/>
        </w:rPr>
        <w:t xml:space="preserve"> </w:t>
      </w:r>
      <w:r>
        <w:rPr>
          <w:rFonts w:cs="Times New Roman"/>
          <w:lang w:eastAsia="en-GB"/>
        </w:rPr>
        <w:t>I</w:t>
      </w:r>
      <w:r w:rsidRPr="00C86EBE">
        <w:rPr>
          <w:rFonts w:cs="Times New Roman"/>
          <w:lang w:eastAsia="en-GB"/>
        </w:rPr>
        <w:t xml:space="preserve">nexperienced drivers ‘would get the benefit of nearby experienced drivers’ driving with a great deal of care and skill, while not having to drive with anywhere near the same </w:t>
      </w:r>
      <w:r>
        <w:rPr>
          <w:rFonts w:cs="Times New Roman"/>
          <w:lang w:eastAsia="en-GB"/>
        </w:rPr>
        <w:t>care and skill themselves’</w:t>
      </w:r>
      <w:r w:rsidRPr="00C86EBE">
        <w:rPr>
          <w:rFonts w:cs="Times New Roman"/>
          <w:lang w:eastAsia="en-GB"/>
        </w:rPr>
        <w:t>.</w:t>
      </w:r>
      <w:r>
        <w:rPr>
          <w:rStyle w:val="FootnoteReference"/>
          <w:rFonts w:cs="Times New Roman"/>
          <w:lang w:eastAsia="en-GB"/>
        </w:rPr>
        <w:footnoteReference w:id="45"/>
      </w:r>
      <w:r w:rsidRPr="00C86EBE">
        <w:rPr>
          <w:rFonts w:cs="Times New Roman"/>
          <w:lang w:eastAsia="en-GB"/>
        </w:rPr>
        <w:t xml:space="preserve"> An objective standard of care maintains legitimacy by ensuring the law is not ‘unacceptably balanced against the interests of the strong and clever in favour of the interes</w:t>
      </w:r>
      <w:r>
        <w:rPr>
          <w:rFonts w:cs="Times New Roman"/>
          <w:lang w:eastAsia="en-GB"/>
        </w:rPr>
        <w:t>ts of the weak and stupid’</w:t>
      </w:r>
      <w:r w:rsidRPr="00C86EBE">
        <w:rPr>
          <w:rFonts w:cs="Times New Roman"/>
          <w:lang w:eastAsia="en-GB"/>
        </w:rPr>
        <w:t>.</w:t>
      </w:r>
      <w:r>
        <w:rPr>
          <w:rStyle w:val="FootnoteReference"/>
          <w:rFonts w:cs="Times New Roman"/>
          <w:lang w:eastAsia="en-GB"/>
        </w:rPr>
        <w:footnoteReference w:id="46"/>
      </w:r>
      <w:r w:rsidRPr="00C86EBE">
        <w:rPr>
          <w:rFonts w:cs="Times New Roman"/>
          <w:lang w:eastAsia="en-GB"/>
        </w:rPr>
        <w:t xml:space="preserve"> </w:t>
      </w:r>
      <w:r w:rsidR="00CB5797">
        <w:rPr>
          <w:rFonts w:cs="Times New Roman"/>
          <w:lang w:eastAsia="en-GB"/>
        </w:rPr>
        <w:t xml:space="preserve">In my view, </w:t>
      </w:r>
      <w:r w:rsidRPr="00C86EBE">
        <w:rPr>
          <w:rFonts w:cs="Times New Roman"/>
          <w:lang w:eastAsia="en-GB"/>
        </w:rPr>
        <w:t xml:space="preserve">this </w:t>
      </w:r>
      <w:r>
        <w:rPr>
          <w:rFonts w:cs="Times New Roman"/>
          <w:lang w:eastAsia="en-GB"/>
        </w:rPr>
        <w:t>point about legitimacy is one of the most perceptive</w:t>
      </w:r>
      <w:r w:rsidRPr="00C86EBE">
        <w:rPr>
          <w:rFonts w:cs="Times New Roman"/>
          <w:lang w:eastAsia="en-GB"/>
        </w:rPr>
        <w:t xml:space="preserve"> observations in </w:t>
      </w:r>
      <w:r w:rsidRPr="001039CF">
        <w:rPr>
          <w:rFonts w:cs="Times New Roman"/>
          <w:i/>
          <w:lang w:eastAsia="en-GB"/>
        </w:rPr>
        <w:t>HPL</w:t>
      </w:r>
      <w:r w:rsidRPr="00C86EBE">
        <w:rPr>
          <w:rFonts w:cs="Times New Roman"/>
          <w:lang w:eastAsia="en-GB"/>
        </w:rPr>
        <w:t xml:space="preserve"> and one which, if incorporated into rival theories, would improve the</w:t>
      </w:r>
      <w:r>
        <w:rPr>
          <w:rFonts w:cs="Times New Roman"/>
          <w:lang w:eastAsia="en-GB"/>
        </w:rPr>
        <w:t>ir ability to fit the case law.</w:t>
      </w:r>
      <w:r>
        <w:rPr>
          <w:rStyle w:val="FootnoteReference"/>
          <w:rFonts w:cs="Times New Roman"/>
          <w:lang w:eastAsia="en-GB"/>
        </w:rPr>
        <w:footnoteReference w:id="47"/>
      </w:r>
      <w:r w:rsidRPr="00C86EBE">
        <w:rPr>
          <w:rFonts w:cs="Times New Roman"/>
          <w:lang w:eastAsia="en-GB"/>
        </w:rPr>
        <w:t xml:space="preserve"> </w:t>
      </w:r>
    </w:p>
    <w:p w14:paraId="45259809" w14:textId="77777777" w:rsidR="00635850" w:rsidRPr="001039CF" w:rsidRDefault="00635850" w:rsidP="00A610F8">
      <w:pPr>
        <w:spacing w:line="360" w:lineRule="auto"/>
        <w:rPr>
          <w:rFonts w:cs="Times New Roman"/>
          <w:lang w:eastAsia="en-GB"/>
        </w:rPr>
      </w:pPr>
    </w:p>
    <w:p w14:paraId="7F0CA65C" w14:textId="136FFFC9" w:rsidR="00635850" w:rsidRPr="00C87768" w:rsidRDefault="00635850" w:rsidP="00A610F8">
      <w:pPr>
        <w:pStyle w:val="ListParagraph"/>
        <w:keepNext/>
        <w:keepLines/>
        <w:numPr>
          <w:ilvl w:val="0"/>
          <w:numId w:val="3"/>
        </w:numPr>
        <w:spacing w:before="40" w:line="360" w:lineRule="auto"/>
        <w:jc w:val="center"/>
        <w:outlineLvl w:val="1"/>
        <w:rPr>
          <w:rFonts w:eastAsiaTheme="majorEastAsia" w:cs="Times New Roman"/>
          <w:b/>
          <w:color w:val="000000" w:themeColor="text1"/>
        </w:rPr>
      </w:pPr>
      <w:r w:rsidRPr="00C87768">
        <w:rPr>
          <w:rFonts w:eastAsiaTheme="majorEastAsia" w:cs="Times New Roman"/>
          <w:b/>
          <w:color w:val="000000" w:themeColor="text1"/>
        </w:rPr>
        <w:t>The Critique</w:t>
      </w:r>
    </w:p>
    <w:p w14:paraId="71AD585C" w14:textId="7A71A8F3" w:rsidR="00635850" w:rsidRDefault="00635850" w:rsidP="00A610F8">
      <w:pPr>
        <w:keepNext/>
        <w:keepLines/>
        <w:spacing w:before="40" w:line="360" w:lineRule="auto"/>
        <w:outlineLvl w:val="1"/>
        <w:rPr>
          <w:rFonts w:cs="Times New Roman"/>
        </w:rPr>
      </w:pPr>
      <w:r w:rsidRPr="00C86EBE">
        <w:rPr>
          <w:rFonts w:cs="Times New Roman"/>
        </w:rPr>
        <w:t>Let us now consider how F stands up as an explanation of private law.</w:t>
      </w:r>
      <w:r>
        <w:rPr>
          <w:rFonts w:cs="Times New Roman"/>
        </w:rPr>
        <w:t xml:space="preserve"> In </w:t>
      </w:r>
      <w:r w:rsidR="00C80BBC">
        <w:rPr>
          <w:rFonts w:cs="Times New Roman"/>
        </w:rPr>
        <w:t>this section</w:t>
      </w:r>
      <w:r>
        <w:rPr>
          <w:rFonts w:cs="Times New Roman"/>
        </w:rPr>
        <w:t xml:space="preserve"> I</w:t>
      </w:r>
      <w:r w:rsidR="00190D9F">
        <w:rPr>
          <w:rFonts w:cs="Times New Roman"/>
        </w:rPr>
        <w:t xml:space="preserve"> will detail </w:t>
      </w:r>
      <w:proofErr w:type="gramStart"/>
      <w:r w:rsidR="00190D9F">
        <w:rPr>
          <w:rFonts w:cs="Times New Roman"/>
        </w:rPr>
        <w:t>a number of</w:t>
      </w:r>
      <w:proofErr w:type="gramEnd"/>
      <w:r w:rsidR="00190D9F">
        <w:rPr>
          <w:rFonts w:cs="Times New Roman"/>
        </w:rPr>
        <w:t xml:space="preserve"> significant flaw</w:t>
      </w:r>
      <w:r>
        <w:rPr>
          <w:rFonts w:cs="Times New Roman"/>
        </w:rPr>
        <w:t xml:space="preserve">s with </w:t>
      </w:r>
      <w:r w:rsidR="00B54345">
        <w:rPr>
          <w:rFonts w:cs="Times New Roman"/>
        </w:rPr>
        <w:t>the theory itself</w:t>
      </w:r>
      <w:r>
        <w:rPr>
          <w:rFonts w:cs="Times New Roman"/>
        </w:rPr>
        <w:t xml:space="preserve"> before demonstrating that many of McBride’s explanations are hard to square with private law doctrine. </w:t>
      </w:r>
    </w:p>
    <w:p w14:paraId="50B6A9A6" w14:textId="77777777" w:rsidR="00635850" w:rsidRDefault="00635850" w:rsidP="00A610F8">
      <w:pPr>
        <w:keepNext/>
        <w:keepLines/>
        <w:spacing w:before="40" w:line="360" w:lineRule="auto"/>
        <w:outlineLvl w:val="1"/>
        <w:rPr>
          <w:rFonts w:eastAsiaTheme="majorEastAsia" w:cs="Times New Roman"/>
          <w:color w:val="000000" w:themeColor="text1"/>
        </w:rPr>
      </w:pPr>
    </w:p>
    <w:p w14:paraId="161FF90D" w14:textId="27FDC55D" w:rsidR="00635850" w:rsidRPr="00C87768" w:rsidRDefault="00635850" w:rsidP="00A610F8">
      <w:pPr>
        <w:pStyle w:val="ListParagraph"/>
        <w:keepNext/>
        <w:keepLines/>
        <w:numPr>
          <w:ilvl w:val="0"/>
          <w:numId w:val="4"/>
        </w:numPr>
        <w:spacing w:before="40" w:line="360" w:lineRule="auto"/>
        <w:outlineLvl w:val="1"/>
        <w:rPr>
          <w:rFonts w:eastAsiaTheme="majorEastAsia" w:cs="Times New Roman"/>
          <w:color w:val="000000" w:themeColor="text1"/>
        </w:rPr>
      </w:pPr>
      <w:r w:rsidRPr="00C87768">
        <w:rPr>
          <w:rFonts w:eastAsiaTheme="majorEastAsia" w:cs="Times New Roman"/>
          <w:b/>
          <w:color w:val="000000" w:themeColor="text1"/>
        </w:rPr>
        <w:t>Incommensurable…when it suits</w:t>
      </w:r>
    </w:p>
    <w:p w14:paraId="346C4420" w14:textId="3628F2E1" w:rsidR="00635850" w:rsidRPr="00C86EBE" w:rsidRDefault="00B54345" w:rsidP="00A610F8">
      <w:pPr>
        <w:spacing w:line="360" w:lineRule="auto"/>
        <w:rPr>
          <w:rFonts w:cs="Times New Roman"/>
          <w:lang w:eastAsia="en-GB"/>
        </w:rPr>
      </w:pPr>
      <w:r>
        <w:rPr>
          <w:rFonts w:cs="Times New Roman"/>
          <w:lang w:eastAsia="en-GB"/>
        </w:rPr>
        <w:t>A major flaw with McBride’s theory is that it</w:t>
      </w:r>
      <w:r w:rsidR="00635850">
        <w:rPr>
          <w:rFonts w:cs="Times New Roman"/>
          <w:lang w:eastAsia="en-GB"/>
        </w:rPr>
        <w:t xml:space="preserve"> struggles to account for conflicts between the basic goods. </w:t>
      </w:r>
      <w:r w:rsidR="00635850" w:rsidRPr="00C86EBE">
        <w:rPr>
          <w:rFonts w:cs="Times New Roman"/>
        </w:rPr>
        <w:t xml:space="preserve">Take </w:t>
      </w:r>
      <w:r w:rsidR="00635850" w:rsidRPr="00C86EBE">
        <w:rPr>
          <w:rFonts w:cs="Times New Roman"/>
          <w:i/>
        </w:rPr>
        <w:t>Miller v Jackson</w:t>
      </w:r>
      <w:r w:rsidR="00635850" w:rsidRPr="00C86EBE">
        <w:rPr>
          <w:rFonts w:cs="Times New Roman"/>
        </w:rPr>
        <w:t>,</w:t>
      </w:r>
      <w:r w:rsidR="00635850">
        <w:rPr>
          <w:rStyle w:val="FootnoteReference"/>
          <w:rFonts w:cs="Times New Roman"/>
        </w:rPr>
        <w:footnoteReference w:id="48"/>
      </w:r>
      <w:r w:rsidR="00635850" w:rsidRPr="00C86EBE">
        <w:rPr>
          <w:rFonts w:cs="Times New Roman"/>
        </w:rPr>
        <w:t xml:space="preserve"> where the Court of Appeal was divided on whether an injunction should be granted when balls from a cricket club</w:t>
      </w:r>
      <w:r w:rsidR="00635850">
        <w:rPr>
          <w:rFonts w:cs="Times New Roman"/>
        </w:rPr>
        <w:t xml:space="preserve"> were hit onto the property of the claimants</w:t>
      </w:r>
      <w:r w:rsidR="00635850" w:rsidRPr="00C86EBE">
        <w:rPr>
          <w:rFonts w:cs="Times New Roman"/>
        </w:rPr>
        <w:t xml:space="preserve">. According to McBride, Lord Denning saw this case as a conflict between </w:t>
      </w:r>
      <w:r w:rsidR="00635850">
        <w:rPr>
          <w:rFonts w:cs="Times New Roman"/>
          <w:lang w:eastAsia="en-GB"/>
        </w:rPr>
        <w:t xml:space="preserve">a </w:t>
      </w:r>
      <w:r w:rsidR="00635850" w:rsidRPr="00C86EBE">
        <w:rPr>
          <w:rFonts w:cs="Times New Roman"/>
          <w:lang w:eastAsia="en-GB"/>
        </w:rPr>
        <w:t xml:space="preserve">primary good (skill in play for the cricket club) and a secondary good (enjoyment of home for the claimants) and, as the former is more important it should be prioritised and the injunction </w:t>
      </w:r>
      <w:r w:rsidR="00635850" w:rsidRPr="00C86EBE">
        <w:rPr>
          <w:rFonts w:cs="Times New Roman"/>
          <w:lang w:eastAsia="en-GB"/>
        </w:rPr>
        <w:lastRenderedPageBreak/>
        <w:t xml:space="preserve">denied. </w:t>
      </w:r>
      <w:r w:rsidR="00635850">
        <w:rPr>
          <w:rFonts w:cs="Times New Roman"/>
          <w:lang w:eastAsia="en-GB"/>
        </w:rPr>
        <w:t xml:space="preserve">So far, so good. </w:t>
      </w:r>
      <w:r w:rsidR="00635850" w:rsidRPr="00C86EBE">
        <w:rPr>
          <w:rFonts w:cs="Times New Roman"/>
          <w:lang w:eastAsia="en-GB"/>
        </w:rPr>
        <w:t>By way of contrast, the other judges</w:t>
      </w:r>
      <w:r>
        <w:rPr>
          <w:rFonts w:cs="Times New Roman"/>
          <w:lang w:eastAsia="en-GB"/>
        </w:rPr>
        <w:t xml:space="preserve"> (Geoffrey Lane and Cumming-Bruce LJJ)</w:t>
      </w:r>
      <w:r w:rsidR="00635850" w:rsidRPr="00C86EBE">
        <w:rPr>
          <w:rFonts w:cs="Times New Roman"/>
          <w:lang w:eastAsia="en-GB"/>
        </w:rPr>
        <w:t xml:space="preserve"> saw the</w:t>
      </w:r>
      <w:r w:rsidR="00AB0577">
        <w:rPr>
          <w:rFonts w:cs="Times New Roman"/>
          <w:lang w:eastAsia="en-GB"/>
        </w:rPr>
        <w:t xml:space="preserve"> case as a conflict between </w:t>
      </w:r>
      <w:r w:rsidR="00635850" w:rsidRPr="00C86EBE">
        <w:rPr>
          <w:rFonts w:cs="Times New Roman"/>
          <w:lang w:eastAsia="en-GB"/>
        </w:rPr>
        <w:t>primary goods</w:t>
      </w:r>
      <w:r w:rsidR="00635850">
        <w:rPr>
          <w:rFonts w:cs="Times New Roman"/>
          <w:lang w:eastAsia="en-GB"/>
        </w:rPr>
        <w:t>:</w:t>
      </w:r>
      <w:r w:rsidR="00635850" w:rsidRPr="00C86EBE">
        <w:rPr>
          <w:rFonts w:cs="Times New Roman"/>
          <w:lang w:eastAsia="en-GB"/>
        </w:rPr>
        <w:t xml:space="preserve"> D’s mastery of </w:t>
      </w:r>
      <w:r w:rsidR="00AB0577">
        <w:rPr>
          <w:rFonts w:cs="Times New Roman"/>
          <w:lang w:eastAsia="en-GB"/>
        </w:rPr>
        <w:t xml:space="preserve">a </w:t>
      </w:r>
      <w:r w:rsidR="00635850" w:rsidRPr="00C86EBE">
        <w:rPr>
          <w:rFonts w:cs="Times New Roman"/>
          <w:lang w:eastAsia="en-GB"/>
        </w:rPr>
        <w:t xml:space="preserve">trade and game and </w:t>
      </w:r>
      <w:r w:rsidR="00AB0577">
        <w:rPr>
          <w:rFonts w:cs="Times New Roman"/>
          <w:lang w:eastAsia="en-GB"/>
        </w:rPr>
        <w:t xml:space="preserve">C’s enjoyment </w:t>
      </w:r>
      <w:r w:rsidR="00635850" w:rsidRPr="00C86EBE">
        <w:rPr>
          <w:rFonts w:cs="Times New Roman"/>
          <w:lang w:eastAsia="en-GB"/>
        </w:rPr>
        <w:t>of life and health.</w:t>
      </w:r>
      <w:r w:rsidR="00635850">
        <w:rPr>
          <w:rStyle w:val="FootnoteReference"/>
          <w:rFonts w:cs="Times New Roman"/>
          <w:lang w:eastAsia="en-GB"/>
        </w:rPr>
        <w:footnoteReference w:id="49"/>
      </w:r>
      <w:r w:rsidR="00635850" w:rsidRPr="00C86EBE">
        <w:rPr>
          <w:rFonts w:cs="Times New Roman"/>
          <w:lang w:eastAsia="en-GB"/>
        </w:rPr>
        <w:t xml:space="preserve"> </w:t>
      </w:r>
    </w:p>
    <w:p w14:paraId="6185E40C" w14:textId="3232D8BD" w:rsidR="00635850" w:rsidRPr="003C564D" w:rsidRDefault="00635850" w:rsidP="00A610F8">
      <w:pPr>
        <w:spacing w:line="360" w:lineRule="auto"/>
        <w:rPr>
          <w:rFonts w:cs="Times New Roman"/>
          <w:lang w:eastAsia="en-GB"/>
        </w:rPr>
      </w:pPr>
      <w:r w:rsidRPr="00C86EBE">
        <w:rPr>
          <w:rFonts w:cs="Times New Roman"/>
          <w:lang w:eastAsia="en-GB"/>
        </w:rPr>
        <w:tab/>
        <w:t>McBride’s method of resolving conflicts</w:t>
      </w:r>
      <w:r w:rsidR="00880BE8">
        <w:rPr>
          <w:rFonts w:cs="Times New Roman"/>
          <w:lang w:eastAsia="en-GB"/>
        </w:rPr>
        <w:t xml:space="preserve"> between primary goods</w:t>
      </w:r>
      <w:r w:rsidRPr="00C86EBE">
        <w:rPr>
          <w:rFonts w:cs="Times New Roman"/>
          <w:lang w:eastAsia="en-GB"/>
        </w:rPr>
        <w:t xml:space="preserve"> highlights a significant inconsistency with his theory. </w:t>
      </w:r>
      <w:r w:rsidR="003C564D">
        <w:rPr>
          <w:rFonts w:cs="Times New Roman"/>
          <w:lang w:eastAsia="en-GB"/>
        </w:rPr>
        <w:t xml:space="preserve">Consider his discussion of </w:t>
      </w:r>
      <w:r w:rsidR="003C564D">
        <w:rPr>
          <w:rFonts w:cs="Times New Roman"/>
          <w:i/>
          <w:lang w:eastAsia="en-GB"/>
        </w:rPr>
        <w:t>Miller</w:t>
      </w:r>
      <w:r w:rsidR="003C564D">
        <w:rPr>
          <w:rFonts w:cs="Times New Roman"/>
          <w:lang w:eastAsia="en-GB"/>
        </w:rPr>
        <w:t>:</w:t>
      </w:r>
    </w:p>
    <w:p w14:paraId="688A9732" w14:textId="2BA8C728" w:rsidR="00635850" w:rsidRPr="00C86EBE" w:rsidRDefault="00635850" w:rsidP="00A610F8">
      <w:pPr>
        <w:spacing w:line="360" w:lineRule="auto"/>
        <w:ind w:left="567" w:right="567"/>
        <w:rPr>
          <w:rFonts w:cs="Times New Roman"/>
          <w:lang w:eastAsia="en-GB"/>
        </w:rPr>
      </w:pPr>
      <w:r w:rsidRPr="00C86EBE">
        <w:rPr>
          <w:rFonts w:cs="Times New Roman"/>
          <w:lang w:eastAsia="en-GB"/>
        </w:rPr>
        <w:t xml:space="preserve">On this view of the case, and assuming </w:t>
      </w:r>
      <w:r>
        <w:rPr>
          <w:rFonts w:cs="Times New Roman"/>
          <w:lang w:eastAsia="en-GB"/>
        </w:rPr>
        <w:t>[the Basic Obligations Claim]</w:t>
      </w:r>
      <w:r w:rsidRPr="00C86EBE">
        <w:rPr>
          <w:rFonts w:cs="Times New Roman"/>
          <w:lang w:eastAsia="en-GB"/>
        </w:rPr>
        <w:t xml:space="preserve"> is correct, one would have expected these two judges to find </w:t>
      </w:r>
      <w:r w:rsidRPr="00C86EBE">
        <w:rPr>
          <w:rFonts w:cs="Times New Roman"/>
          <w:i/>
          <w:lang w:eastAsia="en-GB"/>
        </w:rPr>
        <w:t>Miller v Jackson</w:t>
      </w:r>
      <w:r w:rsidRPr="00C86EBE">
        <w:rPr>
          <w:rFonts w:cs="Times New Roman"/>
          <w:lang w:eastAsia="en-GB"/>
        </w:rPr>
        <w:t xml:space="preserve"> a very difficult case – how do you choose between different people’s enjoyment of the primary goods if you are concerned to promote </w:t>
      </w:r>
      <w:r w:rsidRPr="00C86EBE">
        <w:rPr>
          <w:rFonts w:cs="Times New Roman"/>
          <w:i/>
          <w:lang w:eastAsia="en-GB"/>
        </w:rPr>
        <w:t xml:space="preserve">everyone’s </w:t>
      </w:r>
      <w:r w:rsidRPr="00C86EBE">
        <w:rPr>
          <w:rFonts w:cs="Times New Roman"/>
          <w:lang w:eastAsia="en-GB"/>
        </w:rPr>
        <w:t>RP-flourishing? The answer is that you don’t: you attempt to find a compromise that will promote everyone’s interests</w:t>
      </w:r>
      <w:r>
        <w:rPr>
          <w:rFonts w:cs="Times New Roman"/>
          <w:lang w:eastAsia="en-GB"/>
        </w:rPr>
        <w:t>.</w:t>
      </w:r>
      <w:r>
        <w:rPr>
          <w:rStyle w:val="FootnoteReference"/>
          <w:rFonts w:cs="Times New Roman"/>
          <w:lang w:eastAsia="en-GB"/>
        </w:rPr>
        <w:footnoteReference w:id="50"/>
      </w:r>
    </w:p>
    <w:p w14:paraId="27D73627" w14:textId="77777777" w:rsidR="00635850" w:rsidRPr="00C86EBE" w:rsidRDefault="00635850" w:rsidP="00A610F8">
      <w:pPr>
        <w:spacing w:line="360" w:lineRule="auto"/>
        <w:rPr>
          <w:rFonts w:cs="Times New Roman"/>
          <w:lang w:eastAsia="en-GB"/>
        </w:rPr>
      </w:pPr>
    </w:p>
    <w:p w14:paraId="0645399B" w14:textId="2E2D1C43" w:rsidR="00635850" w:rsidRPr="00C86EBE" w:rsidRDefault="00635850" w:rsidP="00A610F8">
      <w:pPr>
        <w:spacing w:line="360" w:lineRule="auto"/>
        <w:contextualSpacing/>
        <w:rPr>
          <w:rFonts w:cs="Times New Roman"/>
          <w:lang w:eastAsia="en-GB"/>
        </w:rPr>
      </w:pPr>
      <w:r w:rsidRPr="00C86EBE">
        <w:rPr>
          <w:rFonts w:cs="Times New Roman"/>
        </w:rPr>
        <w:t>Indeed</w:t>
      </w:r>
      <w:r>
        <w:rPr>
          <w:rFonts w:cs="Times New Roman"/>
        </w:rPr>
        <w:t>,</w:t>
      </w:r>
      <w:r w:rsidRPr="00C86EBE">
        <w:rPr>
          <w:rFonts w:cs="Times New Roman"/>
        </w:rPr>
        <w:t xml:space="preserve"> McBride states the Basic Obligation Clai</w:t>
      </w:r>
      <w:r w:rsidR="003F4EEE">
        <w:rPr>
          <w:rFonts w:cs="Times New Roman"/>
        </w:rPr>
        <w:t xml:space="preserve">m will only impose ‘a basic obligation </w:t>
      </w:r>
      <w:r w:rsidRPr="00C86EBE">
        <w:rPr>
          <w:rFonts w:cs="Times New Roman"/>
        </w:rPr>
        <w:t>X</w:t>
      </w:r>
      <w:r w:rsidR="003F4EEE">
        <w:rPr>
          <w:rFonts w:cs="Times New Roman"/>
        </w:rPr>
        <w:t>’ when ‘[</w:t>
      </w:r>
      <w:proofErr w:type="spellStart"/>
      <w:r w:rsidR="003F4EEE">
        <w:rPr>
          <w:rFonts w:cs="Times New Roman"/>
        </w:rPr>
        <w:t>i</w:t>
      </w:r>
      <w:proofErr w:type="spellEnd"/>
      <w:r w:rsidR="003F4EEE">
        <w:rPr>
          <w:rFonts w:cs="Times New Roman"/>
        </w:rPr>
        <w:t>]</w:t>
      </w:r>
      <w:proofErr w:type="spellStart"/>
      <w:r w:rsidRPr="00C86EBE">
        <w:rPr>
          <w:rFonts w:cs="Times New Roman"/>
          <w:lang w:eastAsia="en-GB"/>
        </w:rPr>
        <w:t>mposing</w:t>
      </w:r>
      <w:proofErr w:type="spellEnd"/>
      <w:r w:rsidRPr="00C86EBE">
        <w:rPr>
          <w:rFonts w:cs="Times New Roman"/>
          <w:lang w:eastAsia="en-GB"/>
        </w:rPr>
        <w:t xml:space="preserve"> X on me will not do more harm than good, in that imposing X on me will not do more harm to my own RP-flourishing than the good that would be done by imposing X on me in terms of protecting you from suffering a setback to your own RP-flourishing</w:t>
      </w:r>
      <w:r>
        <w:rPr>
          <w:rFonts w:cs="Times New Roman"/>
          <w:lang w:eastAsia="en-GB"/>
        </w:rPr>
        <w:t>’.</w:t>
      </w:r>
      <w:r>
        <w:rPr>
          <w:rStyle w:val="FootnoteReference"/>
          <w:rFonts w:cs="Times New Roman"/>
          <w:lang w:eastAsia="en-GB"/>
        </w:rPr>
        <w:footnoteReference w:id="51"/>
      </w:r>
      <w:r w:rsidRPr="00C86EBE">
        <w:rPr>
          <w:rFonts w:cs="Times New Roman"/>
          <w:lang w:eastAsia="en-GB"/>
        </w:rPr>
        <w:t xml:space="preserve"> It depends u</w:t>
      </w:r>
      <w:r>
        <w:rPr>
          <w:rFonts w:cs="Times New Roman"/>
          <w:lang w:eastAsia="en-GB"/>
        </w:rPr>
        <w:t xml:space="preserve">pon on a </w:t>
      </w:r>
      <w:r w:rsidR="00EA29AC">
        <w:rPr>
          <w:rFonts w:cs="Times New Roman"/>
          <w:lang w:eastAsia="en-GB"/>
        </w:rPr>
        <w:t>‘</w:t>
      </w:r>
      <w:r>
        <w:rPr>
          <w:rFonts w:cs="Times New Roman"/>
          <w:lang w:eastAsia="en-GB"/>
        </w:rPr>
        <w:t>balancing process</w:t>
      </w:r>
      <w:r w:rsidR="00EA29AC">
        <w:rPr>
          <w:rFonts w:cs="Times New Roman"/>
          <w:lang w:eastAsia="en-GB"/>
        </w:rPr>
        <w:t>’</w:t>
      </w:r>
      <w:r>
        <w:rPr>
          <w:rStyle w:val="FootnoteReference"/>
          <w:rFonts w:cs="Times New Roman"/>
          <w:lang w:eastAsia="en-GB"/>
        </w:rPr>
        <w:footnoteReference w:id="52"/>
      </w:r>
      <w:r w:rsidR="003C564D">
        <w:rPr>
          <w:rFonts w:cs="Times New Roman"/>
          <w:lang w:eastAsia="en-GB"/>
        </w:rPr>
        <w:t xml:space="preserve"> that weigh</w:t>
      </w:r>
      <w:r w:rsidRPr="00C86EBE">
        <w:rPr>
          <w:rFonts w:cs="Times New Roman"/>
          <w:lang w:eastAsia="en-GB"/>
        </w:rPr>
        <w:t xml:space="preserve">s ‘the costs of recognising a </w:t>
      </w:r>
      <w:proofErr w:type="gramStart"/>
      <w:r w:rsidRPr="00C86EBE">
        <w:rPr>
          <w:rFonts w:cs="Times New Roman"/>
          <w:lang w:eastAsia="en-GB"/>
        </w:rPr>
        <w:t>particular basic</w:t>
      </w:r>
      <w:proofErr w:type="gramEnd"/>
      <w:r w:rsidRPr="00C86EBE">
        <w:rPr>
          <w:rFonts w:cs="Times New Roman"/>
          <w:lang w:eastAsia="en-GB"/>
        </w:rPr>
        <w:t xml:space="preserve"> obliga</w:t>
      </w:r>
      <w:r>
        <w:rPr>
          <w:rFonts w:cs="Times New Roman"/>
          <w:lang w:eastAsia="en-GB"/>
        </w:rPr>
        <w:t>tion against the benefits’</w:t>
      </w:r>
      <w:r w:rsidRPr="00C86EBE">
        <w:rPr>
          <w:rFonts w:cs="Times New Roman"/>
          <w:lang w:eastAsia="en-GB"/>
        </w:rPr>
        <w:t>.</w:t>
      </w:r>
      <w:r>
        <w:rPr>
          <w:rStyle w:val="FootnoteReference"/>
          <w:rFonts w:cs="Times New Roman"/>
          <w:lang w:eastAsia="en-GB"/>
        </w:rPr>
        <w:footnoteReference w:id="53"/>
      </w:r>
    </w:p>
    <w:p w14:paraId="020B4410" w14:textId="0E2EC047" w:rsidR="00635850" w:rsidRDefault="00635850" w:rsidP="00A610F8">
      <w:pPr>
        <w:spacing w:line="360" w:lineRule="auto"/>
        <w:contextualSpacing/>
        <w:rPr>
          <w:rFonts w:cs="Times New Roman"/>
          <w:lang w:eastAsia="en-GB"/>
        </w:rPr>
      </w:pPr>
      <w:r w:rsidRPr="00C86EBE">
        <w:rPr>
          <w:rFonts w:cs="Times New Roman"/>
          <w:lang w:eastAsia="en-GB"/>
        </w:rPr>
        <w:tab/>
        <w:t xml:space="preserve">But how is one supposed to weigh the costs and benefits if the </w:t>
      </w:r>
      <w:r>
        <w:rPr>
          <w:rFonts w:cs="Times New Roman"/>
          <w:lang w:eastAsia="en-GB"/>
        </w:rPr>
        <w:t xml:space="preserve">basic </w:t>
      </w:r>
      <w:r w:rsidRPr="00C86EBE">
        <w:rPr>
          <w:rFonts w:cs="Times New Roman"/>
          <w:lang w:eastAsia="en-GB"/>
        </w:rPr>
        <w:t>goods are incommensurable</w:t>
      </w:r>
      <w:r>
        <w:rPr>
          <w:rFonts w:cs="Times New Roman"/>
          <w:lang w:eastAsia="en-GB"/>
        </w:rPr>
        <w:t xml:space="preserve"> and have no priority of value</w:t>
      </w:r>
      <w:r w:rsidRPr="00C86EBE">
        <w:rPr>
          <w:rFonts w:cs="Times New Roman"/>
          <w:lang w:eastAsia="en-GB"/>
        </w:rPr>
        <w:t>? If the basic goods are incommensurable then this is not possible. One would not be able to s</w:t>
      </w:r>
      <w:r>
        <w:rPr>
          <w:rFonts w:cs="Times New Roman"/>
          <w:lang w:eastAsia="en-GB"/>
        </w:rPr>
        <w:t>ay that better friendships are</w:t>
      </w:r>
      <w:r w:rsidRPr="00C86EBE">
        <w:rPr>
          <w:rFonts w:cs="Times New Roman"/>
          <w:lang w:eastAsia="en-GB"/>
        </w:rPr>
        <w:t xml:space="preserve"> worth the trade-off of a shorter life or whether one should sacrifice a desire of the heart in exch</w:t>
      </w:r>
      <w:r>
        <w:rPr>
          <w:rFonts w:cs="Times New Roman"/>
          <w:lang w:eastAsia="en-GB"/>
        </w:rPr>
        <w:t>ange for a life partner.</w:t>
      </w:r>
      <w:r>
        <w:rPr>
          <w:rStyle w:val="FootnoteReference"/>
          <w:rFonts w:cs="Times New Roman"/>
          <w:lang w:eastAsia="en-GB"/>
        </w:rPr>
        <w:footnoteReference w:id="54"/>
      </w:r>
      <w:r>
        <w:rPr>
          <w:rFonts w:cs="Times New Roman"/>
          <w:lang w:eastAsia="en-GB"/>
        </w:rPr>
        <w:t xml:space="preserve"> </w:t>
      </w:r>
      <w:r w:rsidR="00141A20">
        <w:rPr>
          <w:rFonts w:cs="Times New Roman"/>
          <w:lang w:eastAsia="en-GB"/>
        </w:rPr>
        <w:t>The theory does not help us balance competing basic goods against one another in the cases where they clash.</w:t>
      </w:r>
    </w:p>
    <w:p w14:paraId="08BF9217" w14:textId="5C95C3F4" w:rsidR="00635850" w:rsidRDefault="00635850" w:rsidP="00A610F8">
      <w:pPr>
        <w:spacing w:line="360" w:lineRule="auto"/>
        <w:rPr>
          <w:rFonts w:cs="Times New Roman"/>
          <w:lang w:eastAsia="en-GB"/>
        </w:rPr>
      </w:pPr>
      <w:r>
        <w:rPr>
          <w:rFonts w:cs="Times New Roman"/>
          <w:lang w:eastAsia="en-GB"/>
        </w:rPr>
        <w:lastRenderedPageBreak/>
        <w:tab/>
      </w:r>
      <w:r w:rsidRPr="00C86EBE">
        <w:rPr>
          <w:rFonts w:cs="Times New Roman"/>
          <w:lang w:eastAsia="en-GB"/>
        </w:rPr>
        <w:t>McBride believes this will not be a</w:t>
      </w:r>
      <w:r w:rsidRPr="00963763">
        <w:rPr>
          <w:rFonts w:cs="Times New Roman"/>
          <w:lang w:eastAsia="en-GB"/>
        </w:rPr>
        <w:t xml:space="preserve">n issue in most cases. If we are to take his word for it, </w:t>
      </w:r>
      <w:proofErr w:type="gramStart"/>
      <w:r>
        <w:rPr>
          <w:rFonts w:cs="Times New Roman"/>
          <w:lang w:eastAsia="en-GB"/>
        </w:rPr>
        <w:t>the majority of</w:t>
      </w:r>
      <w:proofErr w:type="gramEnd"/>
      <w:r>
        <w:rPr>
          <w:rFonts w:cs="Times New Roman"/>
          <w:lang w:eastAsia="en-GB"/>
        </w:rPr>
        <w:t xml:space="preserve"> </w:t>
      </w:r>
      <w:r w:rsidRPr="00963763">
        <w:rPr>
          <w:rFonts w:cs="Times New Roman"/>
          <w:lang w:eastAsia="en-GB"/>
        </w:rPr>
        <w:t>private nuisance cases ‘</w:t>
      </w:r>
      <w:r w:rsidRPr="00C86EBE">
        <w:rPr>
          <w:rFonts w:cs="Times New Roman"/>
          <w:lang w:eastAsia="en-GB"/>
        </w:rPr>
        <w:t>do not present the conflict of primary goods that…</w:t>
      </w:r>
      <w:r w:rsidRPr="00C86EBE">
        <w:rPr>
          <w:rFonts w:cs="Times New Roman"/>
          <w:i/>
          <w:lang w:eastAsia="en-GB"/>
        </w:rPr>
        <w:t>Miller v Jackson</w:t>
      </w:r>
      <w:r w:rsidRPr="00C86EBE">
        <w:rPr>
          <w:rFonts w:cs="Times New Roman"/>
          <w:lang w:eastAsia="en-GB"/>
        </w:rPr>
        <w:t xml:space="preserve"> presented. Most such cases involve a conflict between the secondary good of being able to enjoy one’s home undisturbed, and the </w:t>
      </w:r>
      <w:r>
        <w:rPr>
          <w:rFonts w:cs="Times New Roman"/>
          <w:lang w:eastAsia="en-GB"/>
        </w:rPr>
        <w:t>tertiary</w:t>
      </w:r>
      <w:r w:rsidRPr="00C86EBE">
        <w:rPr>
          <w:rFonts w:cs="Times New Roman"/>
          <w:lang w:eastAsia="en-GB"/>
        </w:rPr>
        <w:t xml:space="preserve"> good of being able to make money.’</w:t>
      </w:r>
      <w:r>
        <w:rPr>
          <w:rStyle w:val="FootnoteReference"/>
          <w:rFonts w:cs="Times New Roman"/>
          <w:lang w:eastAsia="en-GB"/>
        </w:rPr>
        <w:footnoteReference w:id="55"/>
      </w:r>
      <w:r w:rsidRPr="00C86EBE">
        <w:rPr>
          <w:rFonts w:cs="Times New Roman"/>
          <w:lang w:eastAsia="en-GB"/>
        </w:rPr>
        <w:t xml:space="preserve"> This is an optimistic view to say the least.</w:t>
      </w:r>
      <w:r>
        <w:rPr>
          <w:rStyle w:val="FootnoteReference"/>
          <w:rFonts w:cs="Times New Roman"/>
          <w:lang w:eastAsia="en-GB"/>
        </w:rPr>
        <w:footnoteReference w:id="56"/>
      </w:r>
      <w:r w:rsidRPr="00C86EBE">
        <w:rPr>
          <w:rFonts w:cs="Times New Roman"/>
          <w:lang w:eastAsia="en-GB"/>
        </w:rPr>
        <w:t xml:space="preserve"> And it is not hard to </w:t>
      </w:r>
      <w:r>
        <w:rPr>
          <w:rFonts w:cs="Times New Roman"/>
          <w:lang w:eastAsia="en-GB"/>
        </w:rPr>
        <w:t>dispute</w:t>
      </w:r>
      <w:r w:rsidRPr="00C86EBE">
        <w:rPr>
          <w:rFonts w:cs="Times New Roman"/>
          <w:lang w:eastAsia="en-GB"/>
        </w:rPr>
        <w:t xml:space="preserve"> it. If someone is disturbing one’s enjoyment of one’s h</w:t>
      </w:r>
      <w:r w:rsidR="00717FE5">
        <w:rPr>
          <w:rFonts w:cs="Times New Roman"/>
          <w:lang w:eastAsia="en-GB"/>
        </w:rPr>
        <w:t>ome then many primary goods will</w:t>
      </w:r>
      <w:r w:rsidRPr="00C86EBE">
        <w:rPr>
          <w:rFonts w:cs="Times New Roman"/>
          <w:lang w:eastAsia="en-GB"/>
        </w:rPr>
        <w:t xml:space="preserve"> be affected. The factory pumping </w:t>
      </w:r>
      <w:r>
        <w:rPr>
          <w:rFonts w:cs="Times New Roman"/>
          <w:lang w:eastAsia="en-GB"/>
        </w:rPr>
        <w:t xml:space="preserve">toxic fumes </w:t>
      </w:r>
      <w:r w:rsidR="009102A9">
        <w:rPr>
          <w:rFonts w:cs="Times New Roman"/>
          <w:lang w:eastAsia="en-GB"/>
        </w:rPr>
        <w:t>will be affecting its neighbour</w:t>
      </w:r>
      <w:r>
        <w:rPr>
          <w:rFonts w:cs="Times New Roman"/>
          <w:lang w:eastAsia="en-GB"/>
        </w:rPr>
        <w:t>s</w:t>
      </w:r>
      <w:r w:rsidR="009102A9">
        <w:rPr>
          <w:rFonts w:cs="Times New Roman"/>
          <w:lang w:eastAsia="en-GB"/>
        </w:rPr>
        <w:t>’</w:t>
      </w:r>
      <w:r>
        <w:rPr>
          <w:rFonts w:cs="Times New Roman"/>
          <w:lang w:eastAsia="en-GB"/>
        </w:rPr>
        <w:t xml:space="preserve"> </w:t>
      </w:r>
      <w:r w:rsidRPr="00C86EBE">
        <w:rPr>
          <w:rFonts w:cs="Times New Roman"/>
          <w:lang w:eastAsia="en-GB"/>
        </w:rPr>
        <w:t xml:space="preserve">health, </w:t>
      </w:r>
      <w:r>
        <w:rPr>
          <w:rFonts w:cs="Times New Roman"/>
          <w:lang w:eastAsia="en-GB"/>
        </w:rPr>
        <w:t xml:space="preserve">and possibly their </w:t>
      </w:r>
      <w:r w:rsidRPr="00C86EBE">
        <w:rPr>
          <w:rFonts w:cs="Times New Roman"/>
          <w:lang w:eastAsia="en-GB"/>
        </w:rPr>
        <w:t xml:space="preserve">friendships </w:t>
      </w:r>
      <w:r w:rsidR="009102A9">
        <w:rPr>
          <w:rFonts w:cs="Times New Roman"/>
          <w:lang w:eastAsia="en-GB"/>
        </w:rPr>
        <w:t>(people</w:t>
      </w:r>
      <w:r>
        <w:rPr>
          <w:rFonts w:cs="Times New Roman"/>
          <w:lang w:eastAsia="en-GB"/>
        </w:rPr>
        <w:t xml:space="preserve"> may not want to visit) as well as other goods. Similarly, </w:t>
      </w:r>
      <w:r w:rsidR="009102A9">
        <w:rPr>
          <w:rFonts w:cs="Times New Roman"/>
          <w:lang w:eastAsia="en-GB"/>
        </w:rPr>
        <w:t>many polluters are</w:t>
      </w:r>
      <w:r>
        <w:rPr>
          <w:rFonts w:cs="Times New Roman"/>
          <w:lang w:eastAsia="en-GB"/>
        </w:rPr>
        <w:t xml:space="preserve"> likely to be carrying out a trade involving some degree of skill. </w:t>
      </w:r>
      <w:r w:rsidR="00141A20">
        <w:rPr>
          <w:rFonts w:cs="Times New Roman"/>
          <w:lang w:eastAsia="en-GB"/>
        </w:rPr>
        <w:t>As such, t</w:t>
      </w:r>
      <w:r w:rsidR="00717FE5">
        <w:rPr>
          <w:rFonts w:cs="Times New Roman"/>
          <w:lang w:eastAsia="en-GB"/>
        </w:rPr>
        <w:t xml:space="preserve">his shortcoming in McBride’s framework is therefore likely to be of practical significance in many nuisance cases. </w:t>
      </w:r>
    </w:p>
    <w:p w14:paraId="556A80A7" w14:textId="77777777" w:rsidR="00635850" w:rsidRPr="00AA7F8C" w:rsidRDefault="00635850" w:rsidP="00A610F8">
      <w:pPr>
        <w:spacing w:line="360" w:lineRule="auto"/>
        <w:contextualSpacing/>
        <w:rPr>
          <w:rFonts w:cs="Times New Roman"/>
          <w:lang w:eastAsia="en-GB"/>
        </w:rPr>
      </w:pPr>
    </w:p>
    <w:p w14:paraId="5C61B4A1" w14:textId="1F6E833E" w:rsidR="00635850" w:rsidRPr="00C87768" w:rsidRDefault="00635850" w:rsidP="00A610F8">
      <w:pPr>
        <w:pStyle w:val="ListParagraph"/>
        <w:numPr>
          <w:ilvl w:val="0"/>
          <w:numId w:val="4"/>
        </w:numPr>
        <w:spacing w:line="360" w:lineRule="auto"/>
        <w:rPr>
          <w:rFonts w:cs="Times New Roman"/>
          <w:b/>
          <w:lang w:eastAsia="en-GB"/>
        </w:rPr>
      </w:pPr>
      <w:r w:rsidRPr="00C87768">
        <w:rPr>
          <w:rFonts w:cs="Times New Roman"/>
          <w:b/>
          <w:lang w:eastAsia="en-GB"/>
        </w:rPr>
        <w:t>The secondary and tertiary goods</w:t>
      </w:r>
    </w:p>
    <w:p w14:paraId="799C6FEF" w14:textId="7E15FA25" w:rsidR="00635850" w:rsidRDefault="001A4B5F" w:rsidP="00A610F8">
      <w:pPr>
        <w:spacing w:line="360" w:lineRule="auto"/>
        <w:rPr>
          <w:rFonts w:eastAsia="Times New Roman" w:cs="Times New Roman"/>
          <w:lang w:eastAsia="en-GB"/>
        </w:rPr>
      </w:pPr>
      <w:r>
        <w:rPr>
          <w:rFonts w:cs="Times New Roman"/>
          <w:lang w:eastAsia="en-GB"/>
        </w:rPr>
        <w:t>It is not only clashes between the</w:t>
      </w:r>
      <w:r w:rsidR="00635850">
        <w:rPr>
          <w:rFonts w:cs="Times New Roman"/>
          <w:lang w:eastAsia="en-GB"/>
        </w:rPr>
        <w:t xml:space="preserve"> basic goods that render the RP </w:t>
      </w:r>
      <w:r w:rsidR="00DE4660">
        <w:rPr>
          <w:rFonts w:cs="Times New Roman"/>
          <w:lang w:eastAsia="en-GB"/>
        </w:rPr>
        <w:t>questionable</w:t>
      </w:r>
      <w:r w:rsidR="00635850">
        <w:rPr>
          <w:rFonts w:cs="Times New Roman"/>
          <w:lang w:eastAsia="en-GB"/>
        </w:rPr>
        <w:t xml:space="preserve">. </w:t>
      </w:r>
      <w:r w:rsidR="00635850">
        <w:rPr>
          <w:rFonts w:eastAsia="Times New Roman" w:cs="Times New Roman"/>
          <w:lang w:eastAsia="en-GB"/>
        </w:rPr>
        <w:t>Recall McBride’s catalogue of secondary and tertiary goods. Unless I am mistaken, there appears to be repetition with some of the goods. Take</w:t>
      </w:r>
      <w:r>
        <w:rPr>
          <w:rFonts w:eastAsia="Times New Roman" w:cs="Times New Roman"/>
          <w:lang w:eastAsia="en-GB"/>
        </w:rPr>
        <w:t>, for example,</w:t>
      </w:r>
      <w:r w:rsidR="00635850">
        <w:rPr>
          <w:rFonts w:eastAsia="Times New Roman" w:cs="Times New Roman"/>
          <w:lang w:eastAsia="en-GB"/>
        </w:rPr>
        <w:t xml:space="preserve"> ‘a reasonable l</w:t>
      </w:r>
      <w:r>
        <w:rPr>
          <w:rFonts w:eastAsia="Times New Roman" w:cs="Times New Roman"/>
          <w:lang w:eastAsia="en-GB"/>
        </w:rPr>
        <w:t xml:space="preserve">evel of income’. It could </w:t>
      </w:r>
      <w:r w:rsidR="00635850">
        <w:rPr>
          <w:rFonts w:eastAsia="Times New Roman" w:cs="Times New Roman"/>
          <w:lang w:eastAsia="en-GB"/>
        </w:rPr>
        <w:t>be reframed as ‘money’, which is a tertiary good.</w:t>
      </w:r>
      <w:r w:rsidR="008F7D95">
        <w:rPr>
          <w:rStyle w:val="FootnoteReference"/>
          <w:rFonts w:eastAsia="Times New Roman" w:cs="Times New Roman"/>
          <w:lang w:eastAsia="en-GB"/>
        </w:rPr>
        <w:footnoteReference w:id="57"/>
      </w:r>
      <w:r w:rsidR="00635850">
        <w:rPr>
          <w:rFonts w:eastAsia="Times New Roman" w:cs="Times New Roman"/>
          <w:lang w:eastAsia="en-GB"/>
        </w:rPr>
        <w:t xml:space="preserve"> This does not bode well. If certain goods appear in more than one place on the hierarchy then the goalposts can be shifted: they </w:t>
      </w:r>
      <w:r w:rsidR="00635850">
        <w:rPr>
          <w:rFonts w:eastAsia="Times New Roman" w:cs="Times New Roman"/>
          <w:lang w:eastAsia="en-GB"/>
        </w:rPr>
        <w:lastRenderedPageBreak/>
        <w:t xml:space="preserve">can be classed as secondary goods for some purposes and tertiary goods </w:t>
      </w:r>
      <w:r w:rsidR="00B741BF">
        <w:rPr>
          <w:rFonts w:eastAsia="Times New Roman" w:cs="Times New Roman"/>
          <w:lang w:eastAsia="en-GB"/>
        </w:rPr>
        <w:t xml:space="preserve">for others, </w:t>
      </w:r>
      <w:r w:rsidR="00635850">
        <w:rPr>
          <w:rFonts w:eastAsia="Times New Roman" w:cs="Times New Roman"/>
          <w:lang w:eastAsia="en-GB"/>
        </w:rPr>
        <w:t xml:space="preserve">when it suits. </w:t>
      </w:r>
    </w:p>
    <w:p w14:paraId="6D071D49" w14:textId="5936AB98" w:rsidR="00635850" w:rsidRDefault="00635850" w:rsidP="00A610F8">
      <w:pPr>
        <w:spacing w:line="360" w:lineRule="auto"/>
        <w:ind w:firstLine="720"/>
        <w:rPr>
          <w:rFonts w:eastAsia="Times New Roman" w:cs="Times New Roman"/>
          <w:lang w:eastAsia="en-GB"/>
        </w:rPr>
      </w:pPr>
      <w:r>
        <w:rPr>
          <w:rFonts w:eastAsia="Times New Roman" w:cs="Times New Roman"/>
          <w:lang w:eastAsia="en-GB"/>
        </w:rPr>
        <w:t xml:space="preserve">For example, in </w:t>
      </w:r>
      <w:r>
        <w:rPr>
          <w:rFonts w:cs="Times New Roman"/>
          <w:i/>
        </w:rPr>
        <w:t>D&amp;</w:t>
      </w:r>
      <w:r w:rsidRPr="00C86EBE">
        <w:rPr>
          <w:rFonts w:cs="Times New Roman"/>
          <w:i/>
        </w:rPr>
        <w:t>F Estates</w:t>
      </w:r>
      <w:r>
        <w:rPr>
          <w:rFonts w:cs="Times New Roman"/>
          <w:i/>
        </w:rPr>
        <w:t xml:space="preserve"> Ltd</w:t>
      </w:r>
      <w:r w:rsidRPr="00C86EBE">
        <w:rPr>
          <w:rFonts w:cs="Times New Roman"/>
          <w:i/>
        </w:rPr>
        <w:t xml:space="preserve"> v Church Commissioners</w:t>
      </w:r>
      <w:r w:rsidRPr="00C86EBE">
        <w:rPr>
          <w:rFonts w:cs="Times New Roman"/>
        </w:rPr>
        <w:t>,</w:t>
      </w:r>
      <w:r>
        <w:rPr>
          <w:rStyle w:val="FootnoteReference"/>
          <w:rFonts w:cs="Times New Roman"/>
        </w:rPr>
        <w:footnoteReference w:id="58"/>
      </w:r>
      <w:r>
        <w:rPr>
          <w:rFonts w:cs="Times New Roman"/>
        </w:rPr>
        <w:t xml:space="preserve"> </w:t>
      </w:r>
      <w:r w:rsidRPr="00C86EBE">
        <w:rPr>
          <w:rFonts w:cs="Times New Roman"/>
        </w:rPr>
        <w:t>a case on recovery of pure</w:t>
      </w:r>
      <w:r>
        <w:rPr>
          <w:rFonts w:cs="Times New Roman"/>
        </w:rPr>
        <w:t xml:space="preserve"> economic loss in negligence, t</w:t>
      </w:r>
      <w:r w:rsidRPr="00C86EBE">
        <w:rPr>
          <w:rFonts w:cs="Times New Roman"/>
        </w:rPr>
        <w:t xml:space="preserve">he House of Lords rejected a claim by the owners of a block of flats that the sub-contractors involved in plastering the flats owed them a duty of care when they suffered purely economic loss </w:t>
      </w:r>
      <w:proofErr w:type="gramStart"/>
      <w:r w:rsidRPr="00C86EBE">
        <w:rPr>
          <w:rFonts w:cs="Times New Roman"/>
        </w:rPr>
        <w:t>as a result of</w:t>
      </w:r>
      <w:proofErr w:type="gramEnd"/>
      <w:r w:rsidRPr="00C86EBE">
        <w:rPr>
          <w:rFonts w:cs="Times New Roman"/>
        </w:rPr>
        <w:t xml:space="preserve"> the </w:t>
      </w:r>
      <w:r w:rsidRPr="00963763">
        <w:rPr>
          <w:rFonts w:cs="Times New Roman"/>
        </w:rPr>
        <w:t>defective work. McBride pronounces the result of this case to be</w:t>
      </w:r>
      <w:r w:rsidRPr="00C86EBE">
        <w:rPr>
          <w:rFonts w:cs="Times New Roman"/>
        </w:rPr>
        <w:t xml:space="preserve"> ‘plainly correct’ but that it is a tough c</w:t>
      </w:r>
      <w:r>
        <w:rPr>
          <w:rFonts w:cs="Times New Roman"/>
        </w:rPr>
        <w:t>ase due to its reasoning</w:t>
      </w:r>
      <w:r w:rsidRPr="00C86EBE">
        <w:rPr>
          <w:rFonts w:cs="Times New Roman"/>
        </w:rPr>
        <w:t>.</w:t>
      </w:r>
      <w:r>
        <w:rPr>
          <w:rStyle w:val="FootnoteReference"/>
          <w:rFonts w:cs="Times New Roman"/>
        </w:rPr>
        <w:footnoteReference w:id="59"/>
      </w:r>
      <w:r w:rsidRPr="00C86EBE">
        <w:rPr>
          <w:rFonts w:cs="Times New Roman"/>
        </w:rPr>
        <w:t xml:space="preserve"> </w:t>
      </w:r>
      <w:r>
        <w:rPr>
          <w:rFonts w:eastAsia="Times New Roman" w:cs="Times New Roman"/>
          <w:lang w:eastAsia="en-GB"/>
        </w:rPr>
        <w:t>According to McBride</w:t>
      </w:r>
      <w:r>
        <w:rPr>
          <w:rFonts w:eastAsia="Times New Roman" w:cs="Times New Roman"/>
          <w:i/>
          <w:lang w:eastAsia="en-GB"/>
        </w:rPr>
        <w:t xml:space="preserve"> </w:t>
      </w:r>
      <w:r>
        <w:rPr>
          <w:rFonts w:eastAsia="Times New Roman" w:cs="Times New Roman"/>
          <w:lang w:eastAsia="en-GB"/>
        </w:rPr>
        <w:t>the claimant lost because D’s duty of care was imposed ‘to protect [C’s] health and safety, not [C’s] bank account.’</w:t>
      </w:r>
      <w:r>
        <w:rPr>
          <w:rStyle w:val="FootnoteReference"/>
          <w:rFonts w:eastAsia="Times New Roman" w:cs="Times New Roman"/>
          <w:lang w:eastAsia="en-GB"/>
        </w:rPr>
        <w:footnoteReference w:id="60"/>
      </w:r>
      <w:r>
        <w:rPr>
          <w:rFonts w:eastAsia="Times New Roman" w:cs="Times New Roman"/>
          <w:lang w:eastAsia="en-GB"/>
        </w:rPr>
        <w:t xml:space="preserve"> </w:t>
      </w:r>
    </w:p>
    <w:p w14:paraId="2B5B59FC" w14:textId="0C1CE6C5" w:rsidR="00635850" w:rsidRDefault="00635850" w:rsidP="00A610F8">
      <w:pPr>
        <w:spacing w:line="360" w:lineRule="auto"/>
        <w:ind w:firstLine="720"/>
        <w:rPr>
          <w:rFonts w:eastAsia="Times New Roman" w:cs="Times New Roman"/>
          <w:lang w:eastAsia="en-GB"/>
        </w:rPr>
      </w:pPr>
      <w:r>
        <w:rPr>
          <w:rFonts w:eastAsia="Times New Roman" w:cs="Times New Roman"/>
          <w:lang w:eastAsia="en-GB"/>
        </w:rPr>
        <w:t xml:space="preserve">Contrast this approach with </w:t>
      </w:r>
      <w:r w:rsidRPr="00C63327">
        <w:rPr>
          <w:rFonts w:eastAsia="Times New Roman" w:cs="Times New Roman"/>
          <w:i/>
          <w:lang w:eastAsia="en-GB"/>
        </w:rPr>
        <w:t>Smith v Eric S Bush</w:t>
      </w:r>
      <w:r w:rsidRPr="003535D2">
        <w:rPr>
          <w:rFonts w:eastAsia="Times New Roman" w:cs="Times New Roman"/>
          <w:iCs/>
          <w:lang w:eastAsia="en-GB"/>
        </w:rPr>
        <w:t>.</w:t>
      </w:r>
      <w:r w:rsidRPr="00C63327">
        <w:rPr>
          <w:rStyle w:val="FootnoteReference"/>
          <w:rFonts w:eastAsia="Times New Roman" w:cs="Times New Roman"/>
          <w:lang w:eastAsia="en-GB"/>
        </w:rPr>
        <w:footnoteReference w:id="61"/>
      </w:r>
      <w:r w:rsidRPr="00C63327">
        <w:rPr>
          <w:rFonts w:eastAsia="Times New Roman" w:cs="Times New Roman"/>
          <w:lang w:eastAsia="en-GB"/>
        </w:rPr>
        <w:t xml:space="preserve"> </w:t>
      </w:r>
      <w:r>
        <w:rPr>
          <w:rFonts w:eastAsia="Times New Roman" w:cs="Times New Roman"/>
          <w:lang w:eastAsia="en-GB"/>
        </w:rPr>
        <w:t>It</w:t>
      </w:r>
      <w:r w:rsidRPr="00C63327">
        <w:rPr>
          <w:rFonts w:eastAsia="Times New Roman" w:cs="Times New Roman"/>
          <w:lang w:eastAsia="en-GB"/>
        </w:rPr>
        <w:t xml:space="preserve"> was held that a </w:t>
      </w:r>
      <w:proofErr w:type="spellStart"/>
      <w:r w:rsidRPr="00C63327">
        <w:rPr>
          <w:rFonts w:eastAsia="Times New Roman" w:cs="Times New Roman"/>
          <w:lang w:eastAsia="en-GB"/>
        </w:rPr>
        <w:t>valuer</w:t>
      </w:r>
      <w:proofErr w:type="spellEnd"/>
      <w:r w:rsidRPr="00C63327">
        <w:rPr>
          <w:rFonts w:eastAsia="Times New Roman" w:cs="Times New Roman"/>
          <w:lang w:eastAsia="en-GB"/>
        </w:rPr>
        <w:t xml:space="preserve"> instructed by a prospective mortgagee to carry out a valuation of a house owed a duty of care to the prospective mortgagor if the </w:t>
      </w:r>
      <w:proofErr w:type="spellStart"/>
      <w:r w:rsidRPr="00C63327">
        <w:rPr>
          <w:rFonts w:eastAsia="Times New Roman" w:cs="Times New Roman"/>
          <w:lang w:eastAsia="en-GB"/>
        </w:rPr>
        <w:t>valuer</w:t>
      </w:r>
      <w:proofErr w:type="spellEnd"/>
      <w:r w:rsidRPr="00C63327">
        <w:rPr>
          <w:rFonts w:eastAsia="Times New Roman" w:cs="Times New Roman"/>
          <w:lang w:eastAsia="en-GB"/>
        </w:rPr>
        <w:t xml:space="preserve"> was aware that the mortgagor would probably purchase the house in reliance on the valuation without an independent survey.</w:t>
      </w:r>
      <w:r>
        <w:rPr>
          <w:rFonts w:eastAsia="Times New Roman" w:cs="Times New Roman"/>
          <w:lang w:eastAsia="en-GB"/>
        </w:rPr>
        <w:t xml:space="preserve"> </w:t>
      </w:r>
    </w:p>
    <w:p w14:paraId="751939EC" w14:textId="44703ED9" w:rsidR="00635850" w:rsidRDefault="00635850" w:rsidP="00A610F8">
      <w:pPr>
        <w:spacing w:line="360" w:lineRule="auto"/>
        <w:ind w:firstLine="720"/>
        <w:rPr>
          <w:rFonts w:eastAsia="Times New Roman" w:cs="Times New Roman"/>
          <w:lang w:eastAsia="en-GB"/>
        </w:rPr>
      </w:pPr>
      <w:r>
        <w:rPr>
          <w:rFonts w:eastAsia="Times New Roman" w:cs="Times New Roman"/>
          <w:lang w:eastAsia="en-GB"/>
        </w:rPr>
        <w:t>Normally these two cases are distinguished on the basis that there was an assumption of responsibility in the latter but not in the former.</w:t>
      </w:r>
      <w:r w:rsidR="00CA606C">
        <w:rPr>
          <w:rStyle w:val="FootnoteReference"/>
          <w:rFonts w:eastAsia="Times New Roman" w:cs="Times New Roman"/>
          <w:lang w:eastAsia="en-GB"/>
        </w:rPr>
        <w:footnoteReference w:id="62"/>
      </w:r>
      <w:r>
        <w:rPr>
          <w:rFonts w:eastAsia="Times New Roman" w:cs="Times New Roman"/>
          <w:lang w:eastAsia="en-GB"/>
        </w:rPr>
        <w:t xml:space="preserve"> Whatever on</w:t>
      </w:r>
      <w:r w:rsidR="00CA606C">
        <w:rPr>
          <w:rFonts w:eastAsia="Times New Roman" w:cs="Times New Roman"/>
          <w:lang w:eastAsia="en-GB"/>
        </w:rPr>
        <w:t xml:space="preserve">e thinks of such an explanation, </w:t>
      </w:r>
      <w:r>
        <w:rPr>
          <w:rFonts w:eastAsia="Times New Roman" w:cs="Times New Roman"/>
          <w:lang w:eastAsia="en-GB"/>
        </w:rPr>
        <w:t xml:space="preserve">it is not the tack that McBride chooses to pursue. Instead, we are told that in </w:t>
      </w:r>
      <w:r>
        <w:rPr>
          <w:rFonts w:eastAsia="Times New Roman" w:cs="Times New Roman"/>
          <w:i/>
          <w:lang w:eastAsia="en-GB"/>
        </w:rPr>
        <w:t>Smith</w:t>
      </w:r>
      <w:r>
        <w:rPr>
          <w:rFonts w:eastAsia="Times New Roman" w:cs="Times New Roman"/>
          <w:lang w:eastAsia="en-GB"/>
        </w:rPr>
        <w:t xml:space="preserve"> ‘</w:t>
      </w:r>
      <w:r>
        <w:rPr>
          <w:rFonts w:eastAsia="Times New Roman" w:cs="Times New Roman"/>
          <w:i/>
          <w:lang w:eastAsia="en-GB"/>
        </w:rPr>
        <w:t>Purchaser</w:t>
      </w:r>
      <w:r>
        <w:rPr>
          <w:rFonts w:eastAsia="Times New Roman" w:cs="Times New Roman"/>
          <w:lang w:eastAsia="en-GB"/>
        </w:rPr>
        <w:t xml:space="preserve"> does not just stand to lose some money. </w:t>
      </w:r>
      <w:r>
        <w:rPr>
          <w:rFonts w:eastAsia="Times New Roman" w:cs="Times New Roman"/>
          <w:i/>
          <w:lang w:eastAsia="en-GB"/>
        </w:rPr>
        <w:t>Purchaser</w:t>
      </w:r>
      <w:r>
        <w:rPr>
          <w:rFonts w:eastAsia="Times New Roman" w:cs="Times New Roman"/>
          <w:lang w:eastAsia="en-GB"/>
        </w:rPr>
        <w:t xml:space="preserve"> stands to suffer a particularly devastating form of pure economic loss that will threaten his ability to enjoy the secondary goods of enjoying a home and a reasonable level of income.’</w:t>
      </w:r>
      <w:r>
        <w:rPr>
          <w:rStyle w:val="FootnoteReference"/>
          <w:rFonts w:eastAsia="Times New Roman" w:cs="Times New Roman"/>
          <w:lang w:eastAsia="en-GB"/>
        </w:rPr>
        <w:footnoteReference w:id="63"/>
      </w:r>
      <w:r>
        <w:rPr>
          <w:rFonts w:eastAsia="Times New Roman" w:cs="Times New Roman"/>
          <w:lang w:eastAsia="en-GB"/>
        </w:rPr>
        <w:t xml:space="preserve"> In other words, in </w:t>
      </w:r>
      <w:r>
        <w:rPr>
          <w:rFonts w:eastAsia="Times New Roman" w:cs="Times New Roman"/>
          <w:i/>
          <w:lang w:eastAsia="en-GB"/>
        </w:rPr>
        <w:t>D&amp;F</w:t>
      </w:r>
      <w:r>
        <w:rPr>
          <w:rFonts w:eastAsia="Times New Roman" w:cs="Times New Roman"/>
          <w:lang w:eastAsia="en-GB"/>
        </w:rPr>
        <w:t xml:space="preserve"> only the tertiary good of money was in play so the claimant lost but in </w:t>
      </w:r>
      <w:r>
        <w:rPr>
          <w:rFonts w:eastAsia="Times New Roman" w:cs="Times New Roman"/>
          <w:i/>
          <w:lang w:eastAsia="en-GB"/>
        </w:rPr>
        <w:t xml:space="preserve">Smith </w:t>
      </w:r>
      <w:r>
        <w:rPr>
          <w:rFonts w:eastAsia="Times New Roman" w:cs="Times New Roman"/>
          <w:lang w:eastAsia="en-GB"/>
        </w:rPr>
        <w:t xml:space="preserve">the form of economic loss threatened secondary goods. But is this not also true of </w:t>
      </w:r>
      <w:r w:rsidRPr="00C63327">
        <w:rPr>
          <w:rFonts w:eastAsia="Times New Roman" w:cs="Times New Roman"/>
          <w:i/>
          <w:lang w:eastAsia="en-GB"/>
        </w:rPr>
        <w:t>D&amp;F</w:t>
      </w:r>
      <w:r>
        <w:rPr>
          <w:rFonts w:eastAsia="Times New Roman" w:cs="Times New Roman"/>
          <w:lang w:eastAsia="en-GB"/>
        </w:rPr>
        <w:t xml:space="preserve">? Income would have been expended getting the walls plastered in </w:t>
      </w:r>
      <w:r>
        <w:rPr>
          <w:rFonts w:eastAsia="Times New Roman" w:cs="Times New Roman"/>
          <w:i/>
          <w:lang w:eastAsia="en-GB"/>
        </w:rPr>
        <w:t xml:space="preserve">D&amp;F </w:t>
      </w:r>
      <w:r>
        <w:rPr>
          <w:rFonts w:eastAsia="Times New Roman" w:cs="Times New Roman"/>
          <w:lang w:eastAsia="en-GB"/>
        </w:rPr>
        <w:t>and it would have affected the enjoyment of the claimants</w:t>
      </w:r>
      <w:r w:rsidR="004B67E8">
        <w:rPr>
          <w:rFonts w:eastAsia="Times New Roman" w:cs="Times New Roman"/>
          <w:lang w:eastAsia="en-GB"/>
        </w:rPr>
        <w:t>’</w:t>
      </w:r>
      <w:r>
        <w:rPr>
          <w:rFonts w:eastAsia="Times New Roman" w:cs="Times New Roman"/>
          <w:lang w:eastAsia="en-GB"/>
        </w:rPr>
        <w:t xml:space="preserve"> home. If the secondary goods of ‘property’ and ‘</w:t>
      </w:r>
      <w:r w:rsidR="006772AE">
        <w:rPr>
          <w:rFonts w:eastAsia="Times New Roman" w:cs="Times New Roman"/>
          <w:lang w:eastAsia="en-GB"/>
        </w:rPr>
        <w:t xml:space="preserve">reasonable level of income’ were </w:t>
      </w:r>
      <w:r>
        <w:rPr>
          <w:rFonts w:eastAsia="Times New Roman" w:cs="Times New Roman"/>
          <w:lang w:eastAsia="en-GB"/>
        </w:rPr>
        <w:t xml:space="preserve">present in </w:t>
      </w:r>
      <w:r w:rsidRPr="00EC0720">
        <w:rPr>
          <w:rFonts w:eastAsia="Times New Roman" w:cs="Times New Roman"/>
          <w:i/>
          <w:lang w:eastAsia="en-GB"/>
        </w:rPr>
        <w:t>Smith</w:t>
      </w:r>
      <w:r>
        <w:rPr>
          <w:rFonts w:eastAsia="Times New Roman" w:cs="Times New Roman"/>
          <w:lang w:eastAsia="en-GB"/>
        </w:rPr>
        <w:t xml:space="preserve">, they were also in play in </w:t>
      </w:r>
      <w:r>
        <w:rPr>
          <w:rFonts w:eastAsia="Times New Roman" w:cs="Times New Roman"/>
          <w:i/>
          <w:lang w:eastAsia="en-GB"/>
        </w:rPr>
        <w:t>D&amp;F</w:t>
      </w:r>
      <w:r>
        <w:rPr>
          <w:rFonts w:eastAsia="Times New Roman" w:cs="Times New Roman"/>
          <w:lang w:eastAsia="en-GB"/>
        </w:rPr>
        <w:t xml:space="preserve">. In both cases, the claimants had suffered pure economic loss due to acquiring defective property and sued parties who had not actually damaged the property. </w:t>
      </w:r>
      <w:r w:rsidRPr="00EC0720">
        <w:rPr>
          <w:rFonts w:eastAsia="Times New Roman" w:cs="Times New Roman"/>
          <w:lang w:eastAsia="en-GB"/>
        </w:rPr>
        <w:t>By</w:t>
      </w:r>
      <w:r>
        <w:rPr>
          <w:rFonts w:eastAsia="Times New Roman" w:cs="Times New Roman"/>
          <w:lang w:eastAsia="en-GB"/>
        </w:rPr>
        <w:t xml:space="preserve"> repeating certain goods in his hierarchy, McBride </w:t>
      </w:r>
      <w:proofErr w:type="gramStart"/>
      <w:r>
        <w:rPr>
          <w:rFonts w:eastAsia="Times New Roman" w:cs="Times New Roman"/>
          <w:lang w:eastAsia="en-GB"/>
        </w:rPr>
        <w:t>is able to</w:t>
      </w:r>
      <w:proofErr w:type="gramEnd"/>
      <w:r>
        <w:rPr>
          <w:rFonts w:eastAsia="Times New Roman" w:cs="Times New Roman"/>
          <w:lang w:eastAsia="en-GB"/>
        </w:rPr>
        <w:t xml:space="preserve"> </w:t>
      </w:r>
      <w:r>
        <w:rPr>
          <w:rFonts w:eastAsia="Times New Roman" w:cs="Times New Roman"/>
          <w:lang w:eastAsia="en-GB"/>
        </w:rPr>
        <w:lastRenderedPageBreak/>
        <w:t xml:space="preserve">selectively slide between the different levels – here the tertiary (‘money’) and secondary (‘reasonable level of income’) goods – as and when it suits him. The hierarchy of goods does not </w:t>
      </w:r>
      <w:r w:rsidR="00E62DB3">
        <w:rPr>
          <w:rFonts w:eastAsia="Times New Roman" w:cs="Times New Roman"/>
          <w:lang w:eastAsia="en-GB"/>
        </w:rPr>
        <w:t>provide a satisfactory explanation of</w:t>
      </w:r>
      <w:r>
        <w:rPr>
          <w:rFonts w:eastAsia="Times New Roman" w:cs="Times New Roman"/>
          <w:lang w:eastAsia="en-GB"/>
        </w:rPr>
        <w:t xml:space="preserve"> the different outcomes in these two cases.</w:t>
      </w:r>
    </w:p>
    <w:p w14:paraId="515397ED" w14:textId="77777777" w:rsidR="00635850" w:rsidRDefault="00635850" w:rsidP="00A610F8">
      <w:pPr>
        <w:spacing w:line="360" w:lineRule="auto"/>
        <w:rPr>
          <w:rFonts w:eastAsia="Times New Roman" w:cs="Times New Roman"/>
          <w:lang w:eastAsia="en-GB"/>
        </w:rPr>
      </w:pPr>
    </w:p>
    <w:p w14:paraId="639901C3" w14:textId="2B0B408B" w:rsidR="00635850" w:rsidRPr="00C87768" w:rsidRDefault="00635850" w:rsidP="00A610F8">
      <w:pPr>
        <w:pStyle w:val="ListParagraph"/>
        <w:numPr>
          <w:ilvl w:val="0"/>
          <w:numId w:val="4"/>
        </w:numPr>
        <w:spacing w:line="360" w:lineRule="auto"/>
        <w:rPr>
          <w:rFonts w:cs="Times New Roman"/>
        </w:rPr>
      </w:pPr>
      <w:proofErr w:type="spellStart"/>
      <w:r w:rsidRPr="00C87768">
        <w:rPr>
          <w:rFonts w:cs="Times New Roman"/>
          <w:b/>
        </w:rPr>
        <w:t>Unfalsifiability</w:t>
      </w:r>
      <w:proofErr w:type="spellEnd"/>
      <w:r w:rsidRPr="00C87768">
        <w:rPr>
          <w:rFonts w:cs="Times New Roman"/>
          <w:b/>
        </w:rPr>
        <w:t xml:space="preserve"> </w:t>
      </w:r>
    </w:p>
    <w:p w14:paraId="35B5EEDF" w14:textId="646BF3DA" w:rsidR="00D23F00" w:rsidRDefault="00635850" w:rsidP="00D23F00">
      <w:pPr>
        <w:spacing w:line="360" w:lineRule="auto"/>
        <w:rPr>
          <w:rFonts w:cs="Times New Roman"/>
        </w:rPr>
      </w:pPr>
      <w:r>
        <w:rPr>
          <w:rFonts w:cs="Times New Roman"/>
        </w:rPr>
        <w:t xml:space="preserve">As mentioned earlier, McBride critiques Kantian and economic theories of private law. Of these theories, </w:t>
      </w:r>
      <w:r w:rsidRPr="00C86EBE">
        <w:rPr>
          <w:rFonts w:cs="Times New Roman"/>
        </w:rPr>
        <w:t xml:space="preserve">McBride states that their ‘obscure and abstract nature’ provide their proponents with opportunities to say that they perfectly fit private law but this also ‘makes that claim </w:t>
      </w:r>
      <w:r w:rsidRPr="00C86EBE">
        <w:rPr>
          <w:rFonts w:cs="Times New Roman"/>
          <w:i/>
        </w:rPr>
        <w:t>unfalsifiable</w:t>
      </w:r>
      <w:r w:rsidRPr="00C86EBE">
        <w:rPr>
          <w:rFonts w:cs="Times New Roman"/>
        </w:rPr>
        <w:t xml:space="preserve"> – one that could imagine them finding some way to argue that private law still fits [law and economics or Kantian theories] even if it said </w:t>
      </w:r>
      <w:proofErr w:type="gramStart"/>
      <w:r w:rsidRPr="00C86EBE">
        <w:rPr>
          <w:rFonts w:cs="Times New Roman"/>
        </w:rPr>
        <w:t>the complete opposite of</w:t>
      </w:r>
      <w:proofErr w:type="gramEnd"/>
      <w:r w:rsidRPr="00C86EBE">
        <w:rPr>
          <w:rFonts w:cs="Times New Roman"/>
        </w:rPr>
        <w:t xml:space="preserve"> what it current</w:t>
      </w:r>
      <w:r>
        <w:rPr>
          <w:rFonts w:cs="Times New Roman"/>
        </w:rPr>
        <w:t>ly says.’</w:t>
      </w:r>
      <w:r>
        <w:rPr>
          <w:rStyle w:val="FootnoteReference"/>
          <w:rFonts w:cs="Times New Roman"/>
        </w:rPr>
        <w:footnoteReference w:id="64"/>
      </w:r>
      <w:r w:rsidRPr="00C86EBE">
        <w:rPr>
          <w:rFonts w:cs="Times New Roman"/>
        </w:rPr>
        <w:t xml:space="preserve"> This same accusation can be levelled against McBride’s theory. </w:t>
      </w:r>
      <w:r w:rsidRPr="00963763">
        <w:rPr>
          <w:rFonts w:cs="Times New Roman"/>
        </w:rPr>
        <w:t>Once</w:t>
      </w:r>
      <w:r w:rsidRPr="00C86EBE">
        <w:rPr>
          <w:rFonts w:cs="Times New Roman"/>
        </w:rPr>
        <w:t xml:space="preserve"> we distinguish F from the work of the ‘new natural law’ theorists, who are not shy </w:t>
      </w:r>
      <w:r w:rsidRPr="00963763">
        <w:rPr>
          <w:rFonts w:cs="Times New Roman"/>
        </w:rPr>
        <w:t>about making rigid</w:t>
      </w:r>
      <w:r w:rsidRPr="00C86EBE">
        <w:rPr>
          <w:rFonts w:cs="Times New Roman"/>
        </w:rPr>
        <w:t xml:space="preserve"> prescriptive claims, then it becomes </w:t>
      </w:r>
      <w:r w:rsidRPr="00963763">
        <w:rPr>
          <w:rFonts w:cs="Times New Roman"/>
        </w:rPr>
        <w:t xml:space="preserve">overly </w:t>
      </w:r>
      <w:r w:rsidRPr="00C86EBE">
        <w:rPr>
          <w:rFonts w:cs="Times New Roman"/>
        </w:rPr>
        <w:t xml:space="preserve">abstract and flexible. </w:t>
      </w:r>
    </w:p>
    <w:p w14:paraId="7FB7A224" w14:textId="189497DF" w:rsidR="00635850" w:rsidRPr="00C86EBE" w:rsidRDefault="000575CF" w:rsidP="00A610F8">
      <w:pPr>
        <w:spacing w:line="360" w:lineRule="auto"/>
        <w:ind w:firstLine="720"/>
        <w:rPr>
          <w:rFonts w:cs="Times New Roman"/>
        </w:rPr>
      </w:pPr>
      <w:r>
        <w:rPr>
          <w:rFonts w:cs="Times New Roman"/>
        </w:rPr>
        <w:t xml:space="preserve">Consider again </w:t>
      </w:r>
      <w:r>
        <w:rPr>
          <w:rFonts w:cs="Times New Roman"/>
          <w:i/>
        </w:rPr>
        <w:t>D&amp;F</w:t>
      </w:r>
      <w:r w:rsidR="000D20B3">
        <w:rPr>
          <w:rFonts w:cs="Times New Roman"/>
          <w:i/>
        </w:rPr>
        <w:t xml:space="preserve"> Estates</w:t>
      </w:r>
      <w:r w:rsidR="000D20B3">
        <w:rPr>
          <w:rFonts w:cs="Times New Roman"/>
        </w:rPr>
        <w:t xml:space="preserve">. </w:t>
      </w:r>
      <w:r w:rsidR="00635850">
        <w:rPr>
          <w:rFonts w:cs="Times New Roman"/>
        </w:rPr>
        <w:t xml:space="preserve">Discussed in the </w:t>
      </w:r>
      <w:r w:rsidR="00D23F00">
        <w:rPr>
          <w:rFonts w:cs="Times New Roman"/>
        </w:rPr>
        <w:t>previous section</w:t>
      </w:r>
      <w:r w:rsidR="00635850">
        <w:rPr>
          <w:rFonts w:cs="Times New Roman"/>
        </w:rPr>
        <w:t>, this case forms a key plank of McBride’s argument and features in both the introduction and conclusion</w:t>
      </w:r>
      <w:r w:rsidR="00A44F9B">
        <w:rPr>
          <w:rFonts w:cs="Times New Roman"/>
        </w:rPr>
        <w:t xml:space="preserve"> of </w:t>
      </w:r>
      <w:r w:rsidR="00A44F9B">
        <w:rPr>
          <w:rFonts w:cs="Times New Roman"/>
          <w:i/>
        </w:rPr>
        <w:t>HPL</w:t>
      </w:r>
      <w:r w:rsidR="00635850">
        <w:rPr>
          <w:rFonts w:cs="Times New Roman"/>
        </w:rPr>
        <w:t xml:space="preserve"> as an example of a troublesome case that, unlike rival accounts of private law, F can explain. McBride believes that the result in this case – that the defendant owed the claimant no duty of care – </w:t>
      </w:r>
      <w:r w:rsidR="00635850" w:rsidRPr="00C86EBE">
        <w:rPr>
          <w:rFonts w:cs="Times New Roman"/>
        </w:rPr>
        <w:t xml:space="preserve">can be explained </w:t>
      </w:r>
      <w:r w:rsidR="00635850">
        <w:rPr>
          <w:rFonts w:cs="Times New Roman"/>
        </w:rPr>
        <w:t>by F on the basis that</w:t>
      </w:r>
      <w:r w:rsidR="00635850" w:rsidRPr="00C86EBE">
        <w:rPr>
          <w:rFonts w:cs="Times New Roman"/>
        </w:rPr>
        <w:t xml:space="preserve"> the harm that has been suffered</w:t>
      </w:r>
      <w:r w:rsidR="00635850">
        <w:rPr>
          <w:rFonts w:cs="Times New Roman"/>
        </w:rPr>
        <w:t xml:space="preserve"> by the claimant (pure economic loss)</w:t>
      </w:r>
      <w:r w:rsidR="00635850" w:rsidRPr="00C86EBE">
        <w:rPr>
          <w:rFonts w:cs="Times New Roman"/>
        </w:rPr>
        <w:t xml:space="preserve"> was not the type of harm that D was under a duty to prevent</w:t>
      </w:r>
      <w:r w:rsidR="00635850">
        <w:rPr>
          <w:rFonts w:cs="Times New Roman"/>
        </w:rPr>
        <w:t>.</w:t>
      </w:r>
      <w:r w:rsidR="00635850">
        <w:rPr>
          <w:rStyle w:val="FootnoteReference"/>
          <w:rFonts w:cs="Times New Roman"/>
        </w:rPr>
        <w:footnoteReference w:id="65"/>
      </w:r>
      <w:r w:rsidR="00635850">
        <w:rPr>
          <w:rFonts w:cs="Times New Roman"/>
        </w:rPr>
        <w:t xml:space="preserve"> </w:t>
      </w:r>
    </w:p>
    <w:p w14:paraId="28D86271" w14:textId="1F855AA9" w:rsidR="00722081" w:rsidRDefault="00635850" w:rsidP="00A610F8">
      <w:pPr>
        <w:spacing w:line="360" w:lineRule="auto"/>
        <w:ind w:firstLine="720"/>
        <w:rPr>
          <w:rFonts w:cs="Times New Roman"/>
        </w:rPr>
      </w:pPr>
      <w:r w:rsidRPr="00C86EBE">
        <w:rPr>
          <w:rFonts w:cs="Times New Roman"/>
        </w:rPr>
        <w:t xml:space="preserve">But </w:t>
      </w:r>
      <w:r w:rsidR="00043411">
        <w:rPr>
          <w:rFonts w:cs="Times New Roman"/>
        </w:rPr>
        <w:t xml:space="preserve">this is question-begging and </w:t>
      </w:r>
      <w:r w:rsidRPr="00C86EBE">
        <w:rPr>
          <w:rFonts w:cs="Times New Roman"/>
        </w:rPr>
        <w:t xml:space="preserve">his theory could result in the opposite conclusion. One could argue that the primary good of </w:t>
      </w:r>
      <w:r w:rsidR="00566B5E">
        <w:rPr>
          <w:rFonts w:cs="Times New Roman"/>
        </w:rPr>
        <w:t>a</w:t>
      </w:r>
      <w:r w:rsidRPr="00C86EBE">
        <w:rPr>
          <w:rFonts w:cs="Times New Roman"/>
        </w:rPr>
        <w:t xml:space="preserve"> home</w:t>
      </w:r>
      <w:r w:rsidR="00081D3A">
        <w:rPr>
          <w:rFonts w:cs="Times New Roman"/>
        </w:rPr>
        <w:t xml:space="preserve"> is endangered by the defendant’s carelessness</w:t>
      </w:r>
      <w:r w:rsidR="0011258F">
        <w:rPr>
          <w:rFonts w:cs="Times New Roman"/>
        </w:rPr>
        <w:t xml:space="preserve"> in </w:t>
      </w:r>
      <w:r w:rsidR="0011258F">
        <w:rPr>
          <w:rFonts w:cs="Times New Roman"/>
          <w:i/>
        </w:rPr>
        <w:t>D&amp;F Estates</w:t>
      </w:r>
      <w:r w:rsidRPr="00C86EBE">
        <w:rPr>
          <w:rFonts w:cs="Times New Roman"/>
        </w:rPr>
        <w:t>. It is not obvious that a concern with flourishing means the defen</w:t>
      </w:r>
      <w:r>
        <w:rPr>
          <w:rFonts w:cs="Times New Roman"/>
        </w:rPr>
        <w:t>dant should win</w:t>
      </w:r>
      <w:r w:rsidR="00043411">
        <w:rPr>
          <w:rFonts w:cs="Times New Roman"/>
        </w:rPr>
        <w:t xml:space="preserve"> in this type of case</w:t>
      </w:r>
      <w:r w:rsidR="00D23F00">
        <w:rPr>
          <w:rFonts w:cs="Times New Roman"/>
        </w:rPr>
        <w:t xml:space="preserve"> and a different outcome could be justified using F</w:t>
      </w:r>
      <w:r>
        <w:rPr>
          <w:rFonts w:cs="Times New Roman"/>
        </w:rPr>
        <w:t>.</w:t>
      </w:r>
      <w:r w:rsidR="00B700F1">
        <w:rPr>
          <w:rFonts w:cs="Times New Roman"/>
        </w:rPr>
        <w:t xml:space="preserve"> </w:t>
      </w:r>
      <w:r w:rsidR="00B700F1">
        <w:t>Indeed, the case has not been followed in most other common law countries and it is possible that these judges were just as concerned with flourishing and legitimacy as English judges.</w:t>
      </w:r>
      <w:r w:rsidR="00805B61">
        <w:rPr>
          <w:rStyle w:val="FootnoteReference"/>
          <w:rFonts w:cs="Times New Roman"/>
        </w:rPr>
        <w:footnoteReference w:id="66"/>
      </w:r>
      <w:r w:rsidR="00B700F1">
        <w:t xml:space="preserve"> </w:t>
      </w:r>
    </w:p>
    <w:p w14:paraId="064D5E9C" w14:textId="50C63562" w:rsidR="00722081" w:rsidRPr="00C86EBE" w:rsidRDefault="00043411" w:rsidP="00CE7FF5">
      <w:pPr>
        <w:spacing w:line="360" w:lineRule="auto"/>
        <w:ind w:firstLine="562"/>
        <w:rPr>
          <w:rFonts w:cs="Times New Roman"/>
          <w:lang w:eastAsia="en-GB"/>
        </w:rPr>
      </w:pPr>
      <w:r>
        <w:rPr>
          <w:rFonts w:cs="Times New Roman"/>
        </w:rPr>
        <w:lastRenderedPageBreak/>
        <w:t>There are further examples where F can give opposing answers to the same questions.</w:t>
      </w:r>
      <w:r w:rsidR="00AA391D">
        <w:rPr>
          <w:rFonts w:cs="Times New Roman"/>
        </w:rPr>
        <w:t xml:space="preserve"> Take the, now abolished, torts of enticement and seduction</w:t>
      </w:r>
      <w:r w:rsidR="00722081">
        <w:rPr>
          <w:rFonts w:cs="Times New Roman"/>
        </w:rPr>
        <w:t>.</w:t>
      </w:r>
      <w:r w:rsidR="00AA391D">
        <w:rPr>
          <w:rStyle w:val="FootnoteReference"/>
          <w:rFonts w:cs="Times New Roman"/>
          <w:lang w:eastAsia="en-GB"/>
        </w:rPr>
        <w:footnoteReference w:id="67"/>
      </w:r>
      <w:r w:rsidR="00722081">
        <w:rPr>
          <w:rFonts w:cs="Times New Roman"/>
        </w:rPr>
        <w:t xml:space="preserve"> </w:t>
      </w:r>
      <w:r w:rsidR="00722081" w:rsidRPr="00C86EBE">
        <w:rPr>
          <w:rFonts w:cs="Times New Roman"/>
          <w:lang w:eastAsia="en-GB"/>
        </w:rPr>
        <w:t>McBride states:</w:t>
      </w:r>
    </w:p>
    <w:p w14:paraId="613331FB" w14:textId="77777777" w:rsidR="00722081" w:rsidRPr="00C86EBE" w:rsidRDefault="00722081" w:rsidP="00A610F8">
      <w:pPr>
        <w:spacing w:line="360" w:lineRule="auto"/>
        <w:ind w:left="562" w:right="562"/>
        <w:rPr>
          <w:rFonts w:cs="Times New Roman"/>
        </w:rPr>
      </w:pPr>
      <w:r w:rsidRPr="00C86EBE">
        <w:rPr>
          <w:rFonts w:cs="Times New Roman"/>
          <w:lang w:eastAsia="en-GB"/>
        </w:rPr>
        <w:t xml:space="preserve">until 1970, in the case where B was A’s wife, C would owe A </w:t>
      </w:r>
      <w:proofErr w:type="spellStart"/>
      <w:r w:rsidRPr="00C86EBE">
        <w:rPr>
          <w:rFonts w:cs="Times New Roman"/>
          <w:lang w:eastAsia="en-GB"/>
        </w:rPr>
        <w:t>a</w:t>
      </w:r>
      <w:proofErr w:type="spellEnd"/>
      <w:r w:rsidRPr="00C86EBE">
        <w:rPr>
          <w:rFonts w:cs="Times New Roman"/>
          <w:lang w:eastAsia="en-GB"/>
        </w:rPr>
        <w:t xml:space="preserve"> duty not to commit adultery with B, and a duty not to induce B to leave A… the existence of such a duty should not surprise us; but neither should its abolition. Obviously, such a duty has the potential to cause much more harm to B’s (and C’s) RP-flourishing than any good it might do by way of reassuring A about the secu</w:t>
      </w:r>
      <w:r>
        <w:rPr>
          <w:rFonts w:cs="Times New Roman"/>
          <w:lang w:eastAsia="en-GB"/>
        </w:rPr>
        <w:t>rity of his marriage to B.</w:t>
      </w:r>
      <w:r>
        <w:rPr>
          <w:rStyle w:val="FootnoteReference"/>
          <w:rFonts w:cs="Times New Roman"/>
          <w:lang w:eastAsia="en-GB"/>
        </w:rPr>
        <w:footnoteReference w:id="68"/>
      </w:r>
    </w:p>
    <w:p w14:paraId="04114394" w14:textId="77777777" w:rsidR="00722081" w:rsidRPr="00C86EBE" w:rsidRDefault="00722081" w:rsidP="00A610F8">
      <w:pPr>
        <w:spacing w:line="360" w:lineRule="auto"/>
        <w:rPr>
          <w:rFonts w:cs="Times New Roman"/>
        </w:rPr>
      </w:pPr>
    </w:p>
    <w:p w14:paraId="07C4DEB7" w14:textId="2CD05E81" w:rsidR="00635850" w:rsidRDefault="00722081" w:rsidP="00A610F8">
      <w:pPr>
        <w:spacing w:line="360" w:lineRule="auto"/>
        <w:rPr>
          <w:rFonts w:cs="Times New Roman"/>
        </w:rPr>
      </w:pPr>
      <w:proofErr w:type="gramStart"/>
      <w:r w:rsidRPr="00C86EBE">
        <w:rPr>
          <w:rFonts w:cs="Times New Roman"/>
        </w:rPr>
        <w:t>So</w:t>
      </w:r>
      <w:proofErr w:type="gramEnd"/>
      <w:r w:rsidRPr="00C86EBE">
        <w:rPr>
          <w:rFonts w:cs="Times New Roman"/>
        </w:rPr>
        <w:t xml:space="preserve"> these</w:t>
      </w:r>
      <w:r>
        <w:rPr>
          <w:rFonts w:cs="Times New Roman"/>
        </w:rPr>
        <w:t xml:space="preserve"> torts both promoted the</w:t>
      </w:r>
      <w:r w:rsidRPr="00C86EBE">
        <w:rPr>
          <w:rFonts w:cs="Times New Roman"/>
        </w:rPr>
        <w:t xml:space="preserve"> good of marriage</w:t>
      </w:r>
      <w:r>
        <w:rPr>
          <w:rFonts w:cs="Times New Roman"/>
        </w:rPr>
        <w:t xml:space="preserve"> (or life having a life partner) and harmed that same good</w:t>
      </w:r>
      <w:r w:rsidRPr="00C86EBE">
        <w:rPr>
          <w:rFonts w:cs="Times New Roman"/>
        </w:rPr>
        <w:t xml:space="preserve">. </w:t>
      </w:r>
    </w:p>
    <w:p w14:paraId="3D14B491" w14:textId="77777777" w:rsidR="004A34A6" w:rsidRDefault="004A34A6" w:rsidP="00A610F8">
      <w:pPr>
        <w:spacing w:line="360" w:lineRule="auto"/>
        <w:ind w:firstLine="567"/>
        <w:rPr>
          <w:rFonts w:cs="Times New Roman"/>
        </w:rPr>
      </w:pPr>
      <w:r>
        <w:rPr>
          <w:rFonts w:cs="Times New Roman"/>
        </w:rPr>
        <w:t>Additionally, consider McBride’s view of the general economic torts:</w:t>
      </w:r>
    </w:p>
    <w:p w14:paraId="5E5FE8EE" w14:textId="77777777" w:rsidR="004A34A6" w:rsidRDefault="004A34A6" w:rsidP="00A610F8">
      <w:pPr>
        <w:spacing w:line="360" w:lineRule="auto"/>
        <w:ind w:left="567" w:right="567"/>
        <w:rPr>
          <w:rFonts w:cs="Times New Roman"/>
        </w:rPr>
      </w:pPr>
      <w:r>
        <w:rPr>
          <w:rFonts w:cs="Times New Roman"/>
        </w:rPr>
        <w:t xml:space="preserve">…people’s interests in pursuing the tertiary good of having and making money do count for </w:t>
      </w:r>
      <w:r>
        <w:rPr>
          <w:rFonts w:cs="Times New Roman"/>
          <w:i/>
        </w:rPr>
        <w:t>something</w:t>
      </w:r>
      <w:r>
        <w:rPr>
          <w:rFonts w:cs="Times New Roman"/>
        </w:rPr>
        <w:t xml:space="preserve"> to a private law that is committed to promoting the RP-flourishing of its subjects, and that something is enough to justify people coming under an obligation not </w:t>
      </w:r>
      <w:r>
        <w:rPr>
          <w:rFonts w:cs="Times New Roman"/>
          <w:i/>
        </w:rPr>
        <w:t>intentionally</w:t>
      </w:r>
      <w:r>
        <w:rPr>
          <w:rFonts w:cs="Times New Roman"/>
        </w:rPr>
        <w:t xml:space="preserve"> to cause someone to suffer pure economic loss by (</w:t>
      </w:r>
      <w:proofErr w:type="spellStart"/>
      <w:r>
        <w:rPr>
          <w:rFonts w:cs="Times New Roman"/>
        </w:rPr>
        <w:t>i</w:t>
      </w:r>
      <w:proofErr w:type="spellEnd"/>
      <w:r>
        <w:rPr>
          <w:rFonts w:cs="Times New Roman"/>
        </w:rPr>
        <w:t xml:space="preserve">) doing something that is independently unlawful, or (ii) </w:t>
      </w:r>
      <w:proofErr w:type="gramStart"/>
      <w:r>
        <w:rPr>
          <w:rFonts w:cs="Times New Roman"/>
        </w:rPr>
        <w:t>combining together</w:t>
      </w:r>
      <w:proofErr w:type="gramEnd"/>
      <w:r>
        <w:rPr>
          <w:rFonts w:cs="Times New Roman"/>
        </w:rPr>
        <w:t xml:space="preserve"> with other people to cause that someone that loss.</w:t>
      </w:r>
      <w:r>
        <w:rPr>
          <w:rStyle w:val="FootnoteReference"/>
          <w:rFonts w:cs="Times New Roman"/>
        </w:rPr>
        <w:footnoteReference w:id="69"/>
      </w:r>
    </w:p>
    <w:p w14:paraId="2077CC87" w14:textId="77777777" w:rsidR="004A34A6" w:rsidRDefault="004A34A6" w:rsidP="00A610F8">
      <w:pPr>
        <w:spacing w:line="360" w:lineRule="auto"/>
        <w:rPr>
          <w:rFonts w:cs="Times New Roman"/>
        </w:rPr>
      </w:pPr>
    </w:p>
    <w:p w14:paraId="77DA7A0D" w14:textId="5C6AA661" w:rsidR="004A34A6" w:rsidRDefault="004A34A6" w:rsidP="00A610F8">
      <w:pPr>
        <w:spacing w:line="360" w:lineRule="auto"/>
        <w:rPr>
          <w:rFonts w:cs="Times New Roman"/>
        </w:rPr>
      </w:pPr>
      <w:r>
        <w:rPr>
          <w:rFonts w:cs="Times New Roman"/>
        </w:rPr>
        <w:t>This ensures that ‘the existence of this obligation has no adverse effect on healthy competition in the marketplace or people’s abilities to go about their lives free from the fear that what they do might end up in their being sued for doing something legally wrong.’</w:t>
      </w:r>
      <w:r>
        <w:rPr>
          <w:rStyle w:val="FootnoteReference"/>
          <w:rFonts w:cs="Times New Roman"/>
        </w:rPr>
        <w:footnoteReference w:id="70"/>
      </w:r>
      <w:r w:rsidR="00A65138">
        <w:rPr>
          <w:rFonts w:cs="Times New Roman"/>
        </w:rPr>
        <w:t xml:space="preserve"> </w:t>
      </w:r>
    </w:p>
    <w:p w14:paraId="2E4C37EB" w14:textId="100205FE" w:rsidR="002A5F02" w:rsidRPr="006E0155" w:rsidRDefault="002A5F02" w:rsidP="00A610F8">
      <w:pPr>
        <w:spacing w:line="360" w:lineRule="auto"/>
        <w:ind w:firstLine="720"/>
        <w:rPr>
          <w:rFonts w:cs="Times New Roman"/>
          <w:iCs/>
        </w:rPr>
      </w:pPr>
      <w:r>
        <w:rPr>
          <w:rFonts w:cs="Times New Roman"/>
        </w:rPr>
        <w:t>Let us take the situation where A and B combine and use lawful means to cause economic loss to C.</w:t>
      </w:r>
      <w:r w:rsidR="00CF3680">
        <w:rPr>
          <w:rStyle w:val="FootnoteReference"/>
          <w:rFonts w:cs="Times New Roman"/>
        </w:rPr>
        <w:footnoteReference w:id="71"/>
      </w:r>
      <w:r>
        <w:rPr>
          <w:rFonts w:cs="Times New Roman"/>
        </w:rPr>
        <w:t xml:space="preserve"> This will constitute the tort of lawful means conspiracy if </w:t>
      </w:r>
      <w:r w:rsidR="00765785">
        <w:rPr>
          <w:rFonts w:cs="Times New Roman"/>
        </w:rPr>
        <w:t xml:space="preserve">A and B’s </w:t>
      </w:r>
      <w:r>
        <w:rPr>
          <w:rFonts w:cs="Times New Roman"/>
        </w:rPr>
        <w:t>predominant purpose is to injure the C, even if they ‘</w:t>
      </w:r>
      <w:r w:rsidRPr="00C95715">
        <w:rPr>
          <w:rFonts w:eastAsia="Times New Roman"/>
          <w:lang w:eastAsia="en-GB"/>
        </w:rPr>
        <w:t xml:space="preserve">do nothing which would have been </w:t>
      </w:r>
      <w:r w:rsidRPr="00C95715">
        <w:rPr>
          <w:rFonts w:eastAsia="Times New Roman"/>
          <w:lang w:eastAsia="en-GB"/>
        </w:rPr>
        <w:lastRenderedPageBreak/>
        <w:t>actionable if done by an individual acting alone</w:t>
      </w:r>
      <w:r>
        <w:rPr>
          <w:rFonts w:eastAsia="Times New Roman"/>
          <w:lang w:eastAsia="en-GB"/>
        </w:rPr>
        <w:t>’.</w:t>
      </w:r>
      <w:r>
        <w:rPr>
          <w:rStyle w:val="FootnoteReference"/>
          <w:rFonts w:eastAsia="Times New Roman"/>
          <w:lang w:eastAsia="en-GB"/>
        </w:rPr>
        <w:footnoteReference w:id="72"/>
      </w:r>
      <w:r>
        <w:rPr>
          <w:rFonts w:eastAsia="Times New Roman"/>
          <w:lang w:eastAsia="en-GB"/>
        </w:rPr>
        <w:t xml:space="preserve"> Yet if this is not A and B’s predominant purpose – say, where their main purpose was to increase their own profits – no tort is committed. This was confirmed in </w:t>
      </w:r>
      <w:r>
        <w:rPr>
          <w:rFonts w:eastAsia="Times New Roman"/>
          <w:i/>
          <w:lang w:eastAsia="en-GB"/>
        </w:rPr>
        <w:t xml:space="preserve">Mogul Steamship Co Ltd v McGregor, </w:t>
      </w:r>
      <w:proofErr w:type="spellStart"/>
      <w:r>
        <w:rPr>
          <w:rFonts w:eastAsia="Times New Roman"/>
          <w:i/>
          <w:lang w:eastAsia="en-GB"/>
        </w:rPr>
        <w:t>Gow</w:t>
      </w:r>
      <w:proofErr w:type="spellEnd"/>
      <w:r>
        <w:rPr>
          <w:rFonts w:eastAsia="Times New Roman"/>
          <w:i/>
          <w:lang w:eastAsia="en-GB"/>
        </w:rPr>
        <w:t xml:space="preserve"> &amp; Co.</w:t>
      </w:r>
      <w:r>
        <w:rPr>
          <w:rStyle w:val="FootnoteReference"/>
          <w:rFonts w:eastAsia="Times New Roman"/>
          <w:lang w:eastAsia="en-GB"/>
        </w:rPr>
        <w:footnoteReference w:id="73"/>
      </w:r>
      <w:r>
        <w:rPr>
          <w:rFonts w:eastAsia="Times New Roman"/>
          <w:i/>
          <w:lang w:eastAsia="en-GB"/>
        </w:rPr>
        <w:t xml:space="preserve"> </w:t>
      </w:r>
      <w:r>
        <w:rPr>
          <w:rFonts w:eastAsia="Times New Roman"/>
          <w:lang w:eastAsia="en-GB"/>
        </w:rPr>
        <w:t>and the principle has been affirmed ever since.</w:t>
      </w:r>
      <w:r>
        <w:rPr>
          <w:rStyle w:val="FootnoteReference"/>
          <w:rFonts w:eastAsia="Times New Roman"/>
          <w:lang w:eastAsia="en-GB"/>
        </w:rPr>
        <w:footnoteReference w:id="74"/>
      </w:r>
      <w:r>
        <w:rPr>
          <w:rFonts w:eastAsia="Times New Roman"/>
          <w:lang w:eastAsia="en-GB"/>
        </w:rPr>
        <w:t xml:space="preserve"> </w:t>
      </w:r>
    </w:p>
    <w:p w14:paraId="027DC71C" w14:textId="3BAB84B2" w:rsidR="002A5F02" w:rsidRDefault="002A5F02" w:rsidP="00A610F8">
      <w:pPr>
        <w:spacing w:line="360" w:lineRule="auto"/>
        <w:rPr>
          <w:rFonts w:cs="Times New Roman"/>
        </w:rPr>
      </w:pPr>
      <w:r>
        <w:rPr>
          <w:rFonts w:cs="Times New Roman"/>
        </w:rPr>
        <w:t xml:space="preserve"> </w:t>
      </w:r>
      <w:r>
        <w:rPr>
          <w:rFonts w:cs="Times New Roman"/>
        </w:rPr>
        <w:tab/>
        <w:t xml:space="preserve">Yet </w:t>
      </w:r>
      <w:r w:rsidR="00765785">
        <w:rPr>
          <w:rFonts w:cs="Times New Roman"/>
        </w:rPr>
        <w:t>i</w:t>
      </w:r>
      <w:r>
        <w:rPr>
          <w:rFonts w:cs="Times New Roman"/>
        </w:rPr>
        <w:t xml:space="preserve">n both scenarios, the tertiary good of money (and, for that matter, the secondary good of having a reasonable level of income) is </w:t>
      </w:r>
      <w:r w:rsidR="00B07D6C">
        <w:rPr>
          <w:rFonts w:cs="Times New Roman"/>
        </w:rPr>
        <w:t xml:space="preserve">usually </w:t>
      </w:r>
      <w:r>
        <w:rPr>
          <w:rFonts w:cs="Times New Roman"/>
        </w:rPr>
        <w:t xml:space="preserve">in play for all the parties </w:t>
      </w:r>
      <w:r w:rsidR="00B07D6C">
        <w:rPr>
          <w:rFonts w:cs="Times New Roman"/>
        </w:rPr>
        <w:t xml:space="preserve">in both types of </w:t>
      </w:r>
      <w:r>
        <w:rPr>
          <w:rFonts w:cs="Times New Roman"/>
        </w:rPr>
        <w:t xml:space="preserve">cases. If, as in the </w:t>
      </w:r>
      <w:r>
        <w:rPr>
          <w:rFonts w:cs="Times New Roman"/>
          <w:i/>
        </w:rPr>
        <w:t>Mogul Steamship</w:t>
      </w:r>
      <w:r>
        <w:rPr>
          <w:rFonts w:cs="Times New Roman"/>
        </w:rPr>
        <w:t xml:space="preserve"> case, A and B </w:t>
      </w:r>
      <w:proofErr w:type="gramStart"/>
      <w:r>
        <w:rPr>
          <w:rFonts w:cs="Times New Roman"/>
        </w:rPr>
        <w:t>are allowed to</w:t>
      </w:r>
      <w:proofErr w:type="gramEnd"/>
      <w:r>
        <w:rPr>
          <w:rFonts w:cs="Times New Roman"/>
        </w:rPr>
        <w:t xml:space="preserve"> combine together to cause C loss then the good of money is promoted for A and B but diminished for C. On the other hand, if A and B are prevented from so combining, as in cases of lawful means</w:t>
      </w:r>
      <w:r w:rsidR="00CF3680">
        <w:rPr>
          <w:rFonts w:cs="Times New Roman"/>
        </w:rPr>
        <w:t xml:space="preserve"> conspiracy, then the reverse might be</w:t>
      </w:r>
      <w:r>
        <w:rPr>
          <w:rFonts w:cs="Times New Roman"/>
        </w:rPr>
        <w:t xml:space="preserve"> true</w:t>
      </w:r>
      <w:r w:rsidR="00CF3680">
        <w:rPr>
          <w:rFonts w:cs="Times New Roman"/>
        </w:rPr>
        <w:t xml:space="preserve"> (unless they are combining solely out of spite)</w:t>
      </w:r>
      <w:r>
        <w:rPr>
          <w:rFonts w:cs="Times New Roman"/>
        </w:rPr>
        <w:t xml:space="preserve">. The RP and the Basic Obligations Claim say nothing about ‘predominant purposes’ and could be used to justify the opposite decision in the </w:t>
      </w:r>
      <w:r>
        <w:rPr>
          <w:rFonts w:cs="Times New Roman"/>
          <w:i/>
        </w:rPr>
        <w:t>Mogul Steamship</w:t>
      </w:r>
      <w:r>
        <w:rPr>
          <w:rFonts w:cs="Times New Roman"/>
        </w:rPr>
        <w:t xml:space="preserve"> case or, alternatively, the removal of the lawful conspiracy tort.</w:t>
      </w:r>
    </w:p>
    <w:p w14:paraId="76586964" w14:textId="476CB6FA" w:rsidR="00635850" w:rsidRDefault="00635850" w:rsidP="00A610F8">
      <w:pPr>
        <w:spacing w:line="360" w:lineRule="auto"/>
        <w:ind w:firstLine="720"/>
        <w:rPr>
          <w:rFonts w:cs="Times New Roman"/>
        </w:rPr>
      </w:pPr>
      <w:r w:rsidRPr="00C86EBE">
        <w:rPr>
          <w:rFonts w:cs="Times New Roman"/>
        </w:rPr>
        <w:t>F can therefore give opposing answers to the same questi</w:t>
      </w:r>
      <w:r w:rsidR="001754FB">
        <w:rPr>
          <w:rFonts w:cs="Times New Roman"/>
        </w:rPr>
        <w:t>on. This should not surprise us. M</w:t>
      </w:r>
      <w:r w:rsidRPr="00C86EBE">
        <w:rPr>
          <w:rFonts w:cs="Times New Roman"/>
        </w:rPr>
        <w:t>ost human a</w:t>
      </w:r>
      <w:r>
        <w:rPr>
          <w:rFonts w:cs="Times New Roman"/>
        </w:rPr>
        <w:t>ctions will promote and harm at least one of</w:t>
      </w:r>
      <w:r w:rsidRPr="00C86EBE">
        <w:rPr>
          <w:rFonts w:cs="Times New Roman"/>
        </w:rPr>
        <w:t xml:space="preserve"> the basic goods</w:t>
      </w:r>
      <w:r>
        <w:rPr>
          <w:rFonts w:cs="Times New Roman"/>
        </w:rPr>
        <w:t xml:space="preserve"> and the RP does not provide a metric for balancing them against one another</w:t>
      </w:r>
      <w:r w:rsidRPr="00C86EBE">
        <w:rPr>
          <w:rFonts w:cs="Times New Roman"/>
        </w:rPr>
        <w:t>.</w:t>
      </w:r>
      <w:r>
        <w:rPr>
          <w:rFonts w:cs="Times New Roman"/>
        </w:rPr>
        <w:t xml:space="preserve"> </w:t>
      </w:r>
      <w:r w:rsidR="00755973">
        <w:rPr>
          <w:rFonts w:cs="Times New Roman"/>
        </w:rPr>
        <w:t>Fundamentally,</w:t>
      </w:r>
      <w:r>
        <w:rPr>
          <w:rFonts w:cs="Times New Roman"/>
        </w:rPr>
        <w:t xml:space="preserve"> </w:t>
      </w:r>
      <w:r w:rsidR="00D23F00">
        <w:rPr>
          <w:rFonts w:cs="Times New Roman"/>
        </w:rPr>
        <w:t>this means that F</w:t>
      </w:r>
      <w:r>
        <w:rPr>
          <w:rFonts w:cs="Times New Roman"/>
        </w:rPr>
        <w:t xml:space="preserve"> is unfalsifiable</w:t>
      </w:r>
      <w:r w:rsidR="00D23F00">
        <w:rPr>
          <w:rFonts w:cs="Times New Roman"/>
        </w:rPr>
        <w:t xml:space="preserve"> and suffers from the same defect that McBride levels at rival theorists</w:t>
      </w:r>
      <w:r>
        <w:rPr>
          <w:rFonts w:cs="Times New Roman"/>
        </w:rPr>
        <w:t>.</w:t>
      </w:r>
      <w:r w:rsidR="001754FB">
        <w:rPr>
          <w:rStyle w:val="FootnoteReference"/>
          <w:rFonts w:cs="Times New Roman"/>
        </w:rPr>
        <w:footnoteReference w:id="75"/>
      </w:r>
      <w:r>
        <w:rPr>
          <w:rFonts w:cs="Times New Roman"/>
        </w:rPr>
        <w:t xml:space="preserve"> </w:t>
      </w:r>
    </w:p>
    <w:p w14:paraId="4630D022" w14:textId="77777777" w:rsidR="00635850" w:rsidRDefault="00635850" w:rsidP="00A610F8">
      <w:pPr>
        <w:keepNext/>
        <w:keepLines/>
        <w:spacing w:before="40" w:line="360" w:lineRule="auto"/>
        <w:outlineLvl w:val="1"/>
        <w:rPr>
          <w:rFonts w:eastAsiaTheme="majorEastAsia" w:cs="Times New Roman"/>
          <w:b/>
          <w:color w:val="000000" w:themeColor="text1"/>
        </w:rPr>
      </w:pPr>
    </w:p>
    <w:p w14:paraId="3D9B0CA3" w14:textId="62F4D1C2" w:rsidR="00635850" w:rsidRPr="00C87768" w:rsidRDefault="00635850" w:rsidP="00A610F8">
      <w:pPr>
        <w:pStyle w:val="ListParagraph"/>
        <w:keepNext/>
        <w:keepLines/>
        <w:numPr>
          <w:ilvl w:val="0"/>
          <w:numId w:val="4"/>
        </w:numPr>
        <w:spacing w:before="40" w:line="360" w:lineRule="auto"/>
        <w:outlineLvl w:val="1"/>
        <w:rPr>
          <w:rFonts w:eastAsiaTheme="majorEastAsia" w:cs="Times New Roman"/>
          <w:color w:val="000000" w:themeColor="text1"/>
        </w:rPr>
      </w:pPr>
      <w:r w:rsidRPr="00C87768">
        <w:rPr>
          <w:rFonts w:eastAsiaTheme="majorEastAsia" w:cs="Times New Roman"/>
          <w:b/>
          <w:color w:val="000000" w:themeColor="text1"/>
        </w:rPr>
        <w:t>Fit</w:t>
      </w:r>
    </w:p>
    <w:p w14:paraId="08A88981" w14:textId="0547EC6E" w:rsidR="00635850" w:rsidRDefault="00755973" w:rsidP="00A610F8">
      <w:pPr>
        <w:spacing w:line="360" w:lineRule="auto"/>
        <w:rPr>
          <w:rFonts w:cs="Times New Roman"/>
        </w:rPr>
      </w:pPr>
      <w:r>
        <w:rPr>
          <w:rFonts w:cs="Times New Roman"/>
        </w:rPr>
        <w:t>D</w:t>
      </w:r>
      <w:r w:rsidR="00635850">
        <w:rPr>
          <w:rFonts w:cs="Times New Roman"/>
        </w:rPr>
        <w:t xml:space="preserve">ifficulties for McBride’s theory do not end there. </w:t>
      </w:r>
      <w:r w:rsidR="00635850" w:rsidRPr="00C86EBE">
        <w:rPr>
          <w:rFonts w:cs="Times New Roman"/>
        </w:rPr>
        <w:t>One problem that plagues the work of many private law theorists is th</w:t>
      </w:r>
      <w:r w:rsidR="00635850" w:rsidRPr="00963763">
        <w:rPr>
          <w:rFonts w:cs="Times New Roman"/>
        </w:rPr>
        <w:t>at whenever an inconvenient area of law</w:t>
      </w:r>
      <w:r w:rsidR="00635850" w:rsidRPr="00C86EBE">
        <w:rPr>
          <w:rFonts w:cs="Times New Roman"/>
        </w:rPr>
        <w:t xml:space="preserve"> has been at odds with the </w:t>
      </w:r>
      <w:r w:rsidR="00635850" w:rsidRPr="00C86EBE">
        <w:rPr>
          <w:rFonts w:cs="Times New Roman"/>
        </w:rPr>
        <w:lastRenderedPageBreak/>
        <w:t>theo</w:t>
      </w:r>
      <w:r w:rsidR="00635850">
        <w:rPr>
          <w:rFonts w:cs="Times New Roman"/>
        </w:rPr>
        <w:t>ry, the theory wins the day.</w:t>
      </w:r>
      <w:r w:rsidR="00635850">
        <w:rPr>
          <w:rStyle w:val="FootnoteReference"/>
          <w:rFonts w:cs="Times New Roman"/>
        </w:rPr>
        <w:footnoteReference w:id="76"/>
      </w:r>
      <w:r w:rsidR="00635850">
        <w:rPr>
          <w:rFonts w:cs="Times New Roman"/>
        </w:rPr>
        <w:t xml:space="preserve"> Doctrine can then be dismissed as </w:t>
      </w:r>
      <w:r w:rsidR="00635850" w:rsidRPr="00C86EBE">
        <w:rPr>
          <w:rFonts w:cs="Times New Roman"/>
        </w:rPr>
        <w:t>wrong</w:t>
      </w:r>
      <w:r w:rsidR="00635850">
        <w:rPr>
          <w:rFonts w:cs="Times New Roman"/>
        </w:rPr>
        <w:t>,</w:t>
      </w:r>
      <w:r w:rsidR="00635850">
        <w:rPr>
          <w:rStyle w:val="FootnoteReference"/>
          <w:rFonts w:cs="Times New Roman"/>
        </w:rPr>
        <w:footnoteReference w:id="77"/>
      </w:r>
      <w:r w:rsidR="00635850">
        <w:rPr>
          <w:rFonts w:cs="Times New Roman"/>
        </w:rPr>
        <w:t xml:space="preserve"> anomalous</w:t>
      </w:r>
      <w:r w:rsidR="00635850">
        <w:rPr>
          <w:rStyle w:val="FootnoteReference"/>
          <w:rFonts w:cs="Times New Roman"/>
        </w:rPr>
        <w:footnoteReference w:id="78"/>
      </w:r>
      <w:r w:rsidR="00635850">
        <w:rPr>
          <w:rFonts w:cs="Times New Roman"/>
        </w:rPr>
        <w:t xml:space="preserve"> or </w:t>
      </w:r>
      <w:r w:rsidR="00635850" w:rsidRPr="00C86EBE">
        <w:rPr>
          <w:rFonts w:cs="Times New Roman"/>
        </w:rPr>
        <w:t>not part of priv</w:t>
      </w:r>
      <w:r w:rsidR="00635850">
        <w:rPr>
          <w:rFonts w:cs="Times New Roman"/>
        </w:rPr>
        <w:t>ate law</w:t>
      </w:r>
      <w:r w:rsidR="00635850" w:rsidRPr="00963763">
        <w:rPr>
          <w:rFonts w:cs="Times New Roman"/>
        </w:rPr>
        <w:t>.</w:t>
      </w:r>
      <w:r w:rsidR="00635850">
        <w:rPr>
          <w:rStyle w:val="FootnoteReference"/>
          <w:rFonts w:cs="Times New Roman"/>
        </w:rPr>
        <w:footnoteReference w:id="79"/>
      </w:r>
      <w:r w:rsidR="00635850" w:rsidRPr="00963763">
        <w:rPr>
          <w:rFonts w:cs="Times New Roman"/>
        </w:rPr>
        <w:t xml:space="preserve"> </w:t>
      </w:r>
    </w:p>
    <w:p w14:paraId="5FD31FA1" w14:textId="69F26EBD" w:rsidR="00635850" w:rsidRPr="00C86EBE" w:rsidRDefault="00635850" w:rsidP="00A610F8">
      <w:pPr>
        <w:spacing w:line="360" w:lineRule="auto"/>
        <w:ind w:firstLine="720"/>
        <w:rPr>
          <w:rFonts w:cs="Times New Roman"/>
        </w:rPr>
      </w:pPr>
      <w:r>
        <w:rPr>
          <w:rFonts w:cs="Times New Roman"/>
        </w:rPr>
        <w:t xml:space="preserve">Certainly, </w:t>
      </w:r>
      <w:r w:rsidRPr="00C86EBE">
        <w:rPr>
          <w:rFonts w:cs="Times New Roman"/>
        </w:rPr>
        <w:t>McBride is not immune from this tendency.</w:t>
      </w:r>
      <w:r w:rsidRPr="00C86EBE">
        <w:rPr>
          <w:rFonts w:cs="Times New Roman"/>
          <w:lang w:eastAsia="en-GB"/>
        </w:rPr>
        <w:t xml:space="preserve"> In a</w:t>
      </w:r>
      <w:r>
        <w:rPr>
          <w:rFonts w:cs="Times New Roman"/>
          <w:lang w:eastAsia="en-GB"/>
        </w:rPr>
        <w:t xml:space="preserve"> notable understatement, he</w:t>
      </w:r>
      <w:r w:rsidRPr="00C86EBE">
        <w:rPr>
          <w:rFonts w:cs="Times New Roman"/>
          <w:lang w:eastAsia="en-GB"/>
        </w:rPr>
        <w:t xml:space="preserve"> concedes that his theory </w:t>
      </w:r>
      <w:r>
        <w:rPr>
          <w:rFonts w:cs="Times New Roman"/>
          <w:lang w:eastAsia="en-GB"/>
        </w:rPr>
        <w:t>‘cannot explain everything’</w:t>
      </w:r>
      <w:r w:rsidRPr="00C86EBE">
        <w:rPr>
          <w:rFonts w:cs="Times New Roman"/>
          <w:lang w:eastAsia="en-GB"/>
        </w:rPr>
        <w:t>.</w:t>
      </w:r>
      <w:r>
        <w:rPr>
          <w:rStyle w:val="FootnoteReference"/>
          <w:rFonts w:cs="Times New Roman"/>
          <w:lang w:eastAsia="en-GB"/>
        </w:rPr>
        <w:footnoteReference w:id="80"/>
      </w:r>
      <w:r w:rsidRPr="00C86EBE">
        <w:rPr>
          <w:rFonts w:cs="Times New Roman"/>
          <w:lang w:eastAsia="en-GB"/>
        </w:rPr>
        <w:t xml:space="preserve"> A non-exhaustive list of private law doctrines, which, by its author’s own admission, the theory cannot</w:t>
      </w:r>
      <w:r w:rsidRPr="00963763">
        <w:rPr>
          <w:rFonts w:cs="Times New Roman"/>
          <w:lang w:eastAsia="en-GB"/>
        </w:rPr>
        <w:t xml:space="preserve"> fully</w:t>
      </w:r>
      <w:r w:rsidRPr="00C86EBE">
        <w:rPr>
          <w:rFonts w:cs="Times New Roman"/>
          <w:lang w:eastAsia="en-GB"/>
        </w:rPr>
        <w:t xml:space="preserve"> explain includes conversion,</w:t>
      </w:r>
      <w:r>
        <w:rPr>
          <w:rStyle w:val="FootnoteReference"/>
          <w:rFonts w:cs="Times New Roman"/>
          <w:lang w:eastAsia="en-GB"/>
        </w:rPr>
        <w:footnoteReference w:id="81"/>
      </w:r>
      <w:r w:rsidRPr="00C86EBE">
        <w:rPr>
          <w:rFonts w:cs="Times New Roman"/>
          <w:lang w:eastAsia="en-GB"/>
        </w:rPr>
        <w:t xml:space="preserve"> non-delegable duties of care,</w:t>
      </w:r>
      <w:r>
        <w:rPr>
          <w:rStyle w:val="FootnoteReference"/>
          <w:rFonts w:cs="Times New Roman"/>
          <w:lang w:eastAsia="en-GB"/>
        </w:rPr>
        <w:footnoteReference w:id="82"/>
      </w:r>
      <w:r w:rsidRPr="00C86EBE">
        <w:rPr>
          <w:rFonts w:cs="Times New Roman"/>
          <w:lang w:eastAsia="en-GB"/>
        </w:rPr>
        <w:t xml:space="preserve"> </w:t>
      </w:r>
      <w:r w:rsidR="00755973">
        <w:rPr>
          <w:rFonts w:cs="Times New Roman"/>
          <w:lang w:eastAsia="en-GB"/>
        </w:rPr>
        <w:t xml:space="preserve">aspects </w:t>
      </w:r>
      <w:r>
        <w:rPr>
          <w:rFonts w:cs="Times New Roman"/>
          <w:lang w:eastAsia="en-GB"/>
        </w:rPr>
        <w:t xml:space="preserve">of the law of </w:t>
      </w:r>
      <w:r w:rsidRPr="00C86EBE">
        <w:rPr>
          <w:rFonts w:cs="Times New Roman"/>
          <w:lang w:eastAsia="en-GB"/>
        </w:rPr>
        <w:t>defamation</w:t>
      </w:r>
      <w:r>
        <w:rPr>
          <w:rStyle w:val="FootnoteReference"/>
          <w:rFonts w:cs="Times New Roman"/>
          <w:lang w:eastAsia="en-GB"/>
        </w:rPr>
        <w:footnoteReference w:id="83"/>
      </w:r>
      <w:r w:rsidRPr="00C86EBE">
        <w:rPr>
          <w:rFonts w:cs="Times New Roman"/>
          <w:lang w:eastAsia="en-GB"/>
        </w:rPr>
        <w:t xml:space="preserve"> </w:t>
      </w:r>
      <w:r>
        <w:rPr>
          <w:rFonts w:cs="Times New Roman"/>
          <w:lang w:eastAsia="en-GB"/>
        </w:rPr>
        <w:t xml:space="preserve">and </w:t>
      </w:r>
      <w:r w:rsidRPr="00C86EBE">
        <w:rPr>
          <w:rFonts w:cs="Times New Roman"/>
          <w:lang w:eastAsia="en-GB"/>
        </w:rPr>
        <w:t>vicarious liability,</w:t>
      </w:r>
      <w:r>
        <w:rPr>
          <w:rStyle w:val="FootnoteReference"/>
          <w:rFonts w:cs="Times New Roman"/>
          <w:lang w:eastAsia="en-GB"/>
        </w:rPr>
        <w:footnoteReference w:id="84"/>
      </w:r>
      <w:r w:rsidRPr="00C86EBE">
        <w:rPr>
          <w:rFonts w:cs="Times New Roman"/>
          <w:lang w:eastAsia="en-GB"/>
        </w:rPr>
        <w:t xml:space="preserve"> liabilities arising under the Consumer Protection Act 1987</w:t>
      </w:r>
      <w:r>
        <w:rPr>
          <w:rStyle w:val="FootnoteReference"/>
          <w:rFonts w:cs="Times New Roman"/>
          <w:lang w:eastAsia="en-GB"/>
        </w:rPr>
        <w:footnoteReference w:id="85"/>
      </w:r>
      <w:r w:rsidRPr="00C86EBE">
        <w:rPr>
          <w:rFonts w:cs="Times New Roman"/>
          <w:lang w:eastAsia="en-GB"/>
        </w:rPr>
        <w:t xml:space="preserve"> and the principle in </w:t>
      </w:r>
      <w:r w:rsidRPr="00C86EBE">
        <w:rPr>
          <w:rFonts w:cs="Times New Roman"/>
          <w:i/>
          <w:lang w:eastAsia="en-GB"/>
        </w:rPr>
        <w:t>Hedley Byrne v Heller</w:t>
      </w:r>
      <w:r w:rsidRPr="00C86EBE">
        <w:rPr>
          <w:rFonts w:cs="Times New Roman"/>
          <w:lang w:eastAsia="en-GB"/>
        </w:rPr>
        <w:t>.</w:t>
      </w:r>
      <w:r>
        <w:rPr>
          <w:rStyle w:val="FootnoteReference"/>
          <w:rFonts w:cs="Times New Roman"/>
          <w:lang w:eastAsia="en-GB"/>
        </w:rPr>
        <w:footnoteReference w:id="86"/>
      </w:r>
      <w:r w:rsidRPr="00C86EBE">
        <w:rPr>
          <w:rFonts w:cs="Times New Roman"/>
          <w:lang w:eastAsia="en-GB"/>
        </w:rPr>
        <w:t xml:space="preserve"> </w:t>
      </w:r>
    </w:p>
    <w:p w14:paraId="1B7DF5EB" w14:textId="573E9FB7" w:rsidR="00635850" w:rsidRDefault="00635850" w:rsidP="00A610F8">
      <w:pPr>
        <w:spacing w:line="360" w:lineRule="auto"/>
        <w:rPr>
          <w:rFonts w:cs="Times New Roman"/>
          <w:lang w:eastAsia="en-GB"/>
        </w:rPr>
      </w:pPr>
      <w:r w:rsidRPr="00C86EBE">
        <w:rPr>
          <w:rFonts w:cs="Times New Roman"/>
          <w:lang w:eastAsia="en-GB"/>
        </w:rPr>
        <w:tab/>
        <w:t xml:space="preserve">If McBride was </w:t>
      </w:r>
      <w:r>
        <w:rPr>
          <w:rFonts w:cs="Times New Roman"/>
          <w:lang w:eastAsia="en-GB"/>
        </w:rPr>
        <w:t>outlining a</w:t>
      </w:r>
      <w:r w:rsidRPr="00C86EBE">
        <w:rPr>
          <w:rFonts w:cs="Times New Roman"/>
          <w:lang w:eastAsia="en-GB"/>
        </w:rPr>
        <w:t xml:space="preserve"> normative theory – a theory about what the law </w:t>
      </w:r>
      <w:r w:rsidRPr="00C86EBE">
        <w:rPr>
          <w:rFonts w:cs="Times New Roman"/>
          <w:i/>
          <w:lang w:eastAsia="en-GB"/>
        </w:rPr>
        <w:t>should</w:t>
      </w:r>
      <w:r w:rsidRPr="00C86EBE">
        <w:rPr>
          <w:rFonts w:cs="Times New Roman"/>
          <w:lang w:eastAsia="en-GB"/>
        </w:rPr>
        <w:t xml:space="preserve"> look like – </w:t>
      </w:r>
      <w:r>
        <w:rPr>
          <w:rFonts w:cs="Times New Roman"/>
          <w:lang w:eastAsia="en-GB"/>
        </w:rPr>
        <w:t xml:space="preserve">in this volume </w:t>
      </w:r>
      <w:r w:rsidRPr="00C86EBE">
        <w:rPr>
          <w:rFonts w:cs="Times New Roman"/>
          <w:lang w:eastAsia="en-GB"/>
        </w:rPr>
        <w:t>then there would be no problem dismissing these aspects of private law as ‘wrong’</w:t>
      </w:r>
      <w:r>
        <w:rPr>
          <w:rFonts w:cs="Times New Roman"/>
          <w:lang w:eastAsia="en-GB"/>
        </w:rPr>
        <w:t xml:space="preserve"> and arguing that the law would be better if these doctrines were expunged or changed</w:t>
      </w:r>
      <w:r w:rsidRPr="00C86EBE">
        <w:rPr>
          <w:rFonts w:cs="Times New Roman"/>
          <w:lang w:eastAsia="en-GB"/>
        </w:rPr>
        <w:t>.</w:t>
      </w:r>
      <w:r>
        <w:rPr>
          <w:rFonts w:cs="Times New Roman"/>
          <w:lang w:eastAsia="en-GB"/>
        </w:rPr>
        <w:t xml:space="preserve"> For example, one might agree, as I do, with McBride that </w:t>
      </w:r>
      <w:r>
        <w:rPr>
          <w:rFonts w:cs="Times New Roman"/>
          <w:i/>
          <w:lang w:eastAsia="en-GB"/>
        </w:rPr>
        <w:t xml:space="preserve">Hedley Byrne </w:t>
      </w:r>
      <w:r>
        <w:rPr>
          <w:rFonts w:cs="Times New Roman"/>
          <w:lang w:eastAsia="en-GB"/>
        </w:rPr>
        <w:t xml:space="preserve">was a wrong-turn in the law – his take-down of the principle is a </w:t>
      </w:r>
      <w:r w:rsidRPr="00AC7F3E">
        <w:rPr>
          <w:rFonts w:cs="Times New Roman"/>
          <w:i/>
          <w:lang w:eastAsia="en-GB"/>
        </w:rPr>
        <w:t>tour de force</w:t>
      </w:r>
      <w:r>
        <w:rPr>
          <w:rFonts w:cs="Times New Roman"/>
          <w:lang w:eastAsia="en-GB"/>
        </w:rPr>
        <w:t xml:space="preserve">, even if one does not subscribe to F – but that is a </w:t>
      </w:r>
      <w:r w:rsidRPr="00747110">
        <w:rPr>
          <w:rFonts w:cs="Times New Roman"/>
          <w:i/>
          <w:lang w:eastAsia="en-GB"/>
        </w:rPr>
        <w:t>normative</w:t>
      </w:r>
      <w:r>
        <w:rPr>
          <w:rFonts w:cs="Times New Roman"/>
          <w:lang w:eastAsia="en-GB"/>
        </w:rPr>
        <w:t xml:space="preserve"> critique. </w:t>
      </w:r>
    </w:p>
    <w:p w14:paraId="1593FAD7" w14:textId="7F92F8E2" w:rsidR="00635850" w:rsidRPr="00C86EBE" w:rsidRDefault="00635850" w:rsidP="00A610F8">
      <w:pPr>
        <w:spacing w:line="360" w:lineRule="auto"/>
        <w:ind w:firstLine="720"/>
        <w:rPr>
          <w:rFonts w:cs="Times New Roman"/>
          <w:lang w:eastAsia="en-GB"/>
        </w:rPr>
      </w:pPr>
      <w:r>
        <w:rPr>
          <w:rFonts w:cs="Times New Roman"/>
          <w:lang w:eastAsia="en-GB"/>
        </w:rPr>
        <w:t>McBride’s aim, at least in volume</w:t>
      </w:r>
      <w:r w:rsidR="001754FB">
        <w:rPr>
          <w:rFonts w:cs="Times New Roman"/>
          <w:lang w:eastAsia="en-GB"/>
        </w:rPr>
        <w:t xml:space="preserve"> 1, is explanatory rather than</w:t>
      </w:r>
      <w:r>
        <w:rPr>
          <w:rFonts w:cs="Times New Roman"/>
          <w:lang w:eastAsia="en-GB"/>
        </w:rPr>
        <w:t xml:space="preserve"> normative. </w:t>
      </w:r>
      <w:r>
        <w:rPr>
          <w:rFonts w:cs="Times New Roman"/>
        </w:rPr>
        <w:t>Despite believing that F is the best explanation of private law, he suggests that the RP</w:t>
      </w:r>
      <w:r w:rsidRPr="00C86EBE">
        <w:rPr>
          <w:rFonts w:cs="Times New Roman"/>
        </w:rPr>
        <w:t xml:space="preserve"> is not the best </w:t>
      </w:r>
      <w:r w:rsidRPr="00C86EBE">
        <w:rPr>
          <w:rFonts w:cs="Times New Roman"/>
        </w:rPr>
        <w:lastRenderedPageBreak/>
        <w:t xml:space="preserve">possible version of human flourishing and will explore a </w:t>
      </w:r>
      <w:r>
        <w:rPr>
          <w:rFonts w:cs="Times New Roman"/>
        </w:rPr>
        <w:t>superior</w:t>
      </w:r>
      <w:r w:rsidRPr="00C86EBE">
        <w:rPr>
          <w:rFonts w:cs="Times New Roman"/>
        </w:rPr>
        <w:t xml:space="preserve"> version in volume 2</w:t>
      </w:r>
      <w:r>
        <w:rPr>
          <w:rFonts w:cs="Times New Roman"/>
        </w:rPr>
        <w:t>.</w:t>
      </w:r>
      <w:r>
        <w:rPr>
          <w:rStyle w:val="FootnoteReference"/>
          <w:rFonts w:cs="Times New Roman"/>
        </w:rPr>
        <w:footnoteReference w:id="87"/>
      </w:r>
      <w:r>
        <w:rPr>
          <w:rFonts w:cs="Times New Roman"/>
        </w:rPr>
        <w:t xml:space="preserve"> </w:t>
      </w:r>
      <w:r w:rsidRPr="00C86EBE">
        <w:rPr>
          <w:rFonts w:cs="Times New Roman"/>
        </w:rPr>
        <w:t>He believes there are three different models of human flourishing:</w:t>
      </w:r>
    </w:p>
    <w:p w14:paraId="690AD82E" w14:textId="77777777" w:rsidR="00635850" w:rsidRPr="008232E7" w:rsidRDefault="00635850" w:rsidP="00A610F8">
      <w:pPr>
        <w:numPr>
          <w:ilvl w:val="0"/>
          <w:numId w:val="1"/>
        </w:numPr>
        <w:spacing w:line="360" w:lineRule="auto"/>
        <w:contextualSpacing/>
        <w:rPr>
          <w:rFonts w:cs="Times New Roman"/>
        </w:rPr>
      </w:pPr>
      <w:r w:rsidRPr="008232E7">
        <w:rPr>
          <w:rFonts w:cs="Times New Roman"/>
        </w:rPr>
        <w:t>The Possessions Model (‘where someone can be said to be flourishing if they possess certain goods’);</w:t>
      </w:r>
    </w:p>
    <w:p w14:paraId="601440E3" w14:textId="77777777" w:rsidR="00635850" w:rsidRPr="008232E7" w:rsidRDefault="00635850" w:rsidP="00A610F8">
      <w:pPr>
        <w:numPr>
          <w:ilvl w:val="0"/>
          <w:numId w:val="1"/>
        </w:numPr>
        <w:spacing w:line="360" w:lineRule="auto"/>
        <w:contextualSpacing/>
        <w:rPr>
          <w:rFonts w:cs="Times New Roman"/>
        </w:rPr>
      </w:pPr>
      <w:r w:rsidRPr="008232E7">
        <w:rPr>
          <w:rFonts w:cs="Times New Roman"/>
        </w:rPr>
        <w:t xml:space="preserve">The Service Model (‘where someone can be said to be flourishing insofar as they devote their life to advancing or achieving some worthy project or cause’); and </w:t>
      </w:r>
    </w:p>
    <w:p w14:paraId="040A3F0D" w14:textId="77777777" w:rsidR="00635850" w:rsidRPr="00C86EBE" w:rsidRDefault="00635850" w:rsidP="00A610F8">
      <w:pPr>
        <w:numPr>
          <w:ilvl w:val="0"/>
          <w:numId w:val="1"/>
        </w:numPr>
        <w:spacing w:line="360" w:lineRule="auto"/>
        <w:contextualSpacing/>
        <w:rPr>
          <w:rFonts w:cs="Times New Roman"/>
        </w:rPr>
      </w:pPr>
      <w:r w:rsidRPr="008232E7">
        <w:rPr>
          <w:rFonts w:cs="Times New Roman"/>
        </w:rPr>
        <w:t>The Journey Model (‘where someone can be</w:t>
      </w:r>
      <w:r w:rsidRPr="00C86EBE">
        <w:rPr>
          <w:rFonts w:cs="Times New Roman"/>
        </w:rPr>
        <w:t xml:space="preserve"> said to be flourishing insofar as their life is going in the right direction, towards a part</w:t>
      </w:r>
      <w:r>
        <w:rPr>
          <w:rFonts w:cs="Times New Roman"/>
        </w:rPr>
        <w:t>icular state or goal’)</w:t>
      </w:r>
      <w:r w:rsidRPr="00C86EBE">
        <w:rPr>
          <w:rFonts w:cs="Times New Roman"/>
        </w:rPr>
        <w:t>.</w:t>
      </w:r>
      <w:r>
        <w:rPr>
          <w:rStyle w:val="FootnoteReference"/>
          <w:rFonts w:cs="Times New Roman"/>
        </w:rPr>
        <w:footnoteReference w:id="88"/>
      </w:r>
    </w:p>
    <w:p w14:paraId="18218F7F" w14:textId="77777777" w:rsidR="00635850" w:rsidRPr="00C86EBE" w:rsidRDefault="00635850" w:rsidP="00A610F8">
      <w:pPr>
        <w:spacing w:line="360" w:lineRule="auto"/>
        <w:rPr>
          <w:rFonts w:cs="Times New Roman"/>
        </w:rPr>
      </w:pPr>
    </w:p>
    <w:p w14:paraId="162992D3" w14:textId="40EB85FA" w:rsidR="00635850" w:rsidRDefault="00635850" w:rsidP="00A610F8">
      <w:pPr>
        <w:spacing w:line="360" w:lineRule="auto"/>
        <w:rPr>
          <w:rFonts w:cs="Times New Roman"/>
        </w:rPr>
      </w:pPr>
      <w:r>
        <w:rPr>
          <w:rFonts w:cs="Times New Roman"/>
        </w:rPr>
        <w:t>Of these, McBride believes the Journey Model is preferable and</w:t>
      </w:r>
      <w:r w:rsidRPr="008232E7">
        <w:rPr>
          <w:rFonts w:cs="Times New Roman"/>
        </w:rPr>
        <w:t xml:space="preserve"> acknowledges that if the Possessions Model is incorrect then the RP is </w:t>
      </w:r>
      <w:r>
        <w:rPr>
          <w:rFonts w:cs="Times New Roman"/>
        </w:rPr>
        <w:t xml:space="preserve">wrong </w:t>
      </w:r>
      <w:r w:rsidRPr="008232E7">
        <w:rPr>
          <w:rFonts w:cs="Times New Roman"/>
        </w:rPr>
        <w:t>because the RP is based on a Possessions Model of flourishing</w:t>
      </w:r>
      <w:r w:rsidRPr="00C86EBE">
        <w:rPr>
          <w:rFonts w:cs="Times New Roman"/>
        </w:rPr>
        <w:t>.</w:t>
      </w:r>
      <w:r>
        <w:rPr>
          <w:rStyle w:val="FootnoteReference"/>
          <w:rFonts w:cs="Times New Roman"/>
        </w:rPr>
        <w:footnoteReference w:id="89"/>
      </w:r>
      <w:r>
        <w:rPr>
          <w:rFonts w:cs="Times New Roman"/>
        </w:rPr>
        <w:t xml:space="preserve"> In volume 2 he plans to </w:t>
      </w:r>
      <w:r w:rsidRPr="00C86EBE">
        <w:rPr>
          <w:rFonts w:cs="Times New Roman"/>
        </w:rPr>
        <w:t>explore what private law based on a Journey Model of human flourishing</w:t>
      </w:r>
      <w:r>
        <w:rPr>
          <w:rFonts w:cs="Times New Roman"/>
        </w:rPr>
        <w:t xml:space="preserve"> would look like</w:t>
      </w:r>
      <w:r w:rsidRPr="00C86EBE">
        <w:rPr>
          <w:rFonts w:cs="Times New Roman"/>
        </w:rPr>
        <w:t xml:space="preserve"> and will conclude that if ‘it is legitimate for private law to protect and promote human flourishing then private law i</w:t>
      </w:r>
      <w:r>
        <w:rPr>
          <w:rFonts w:cs="Times New Roman"/>
        </w:rPr>
        <w:t>s need of major reform’</w:t>
      </w:r>
      <w:r w:rsidRPr="00C86EBE">
        <w:rPr>
          <w:rFonts w:cs="Times New Roman"/>
        </w:rPr>
        <w:t>.</w:t>
      </w:r>
      <w:r>
        <w:rPr>
          <w:rStyle w:val="FootnoteReference"/>
          <w:rFonts w:cs="Times New Roman"/>
        </w:rPr>
        <w:footnoteReference w:id="90"/>
      </w:r>
      <w:r>
        <w:rPr>
          <w:rFonts w:cs="Times New Roman"/>
        </w:rPr>
        <w:t xml:space="preserve"> It is therefore open for McBride to say that F is correct as an explanatory theory of private law but that he sees this theory as normatively undesirable. He does not necessarily endorse the RP. </w:t>
      </w:r>
    </w:p>
    <w:p w14:paraId="4171433F" w14:textId="582D7217" w:rsidR="00635850" w:rsidRPr="00963763" w:rsidRDefault="00635850" w:rsidP="00A610F8">
      <w:pPr>
        <w:spacing w:line="360" w:lineRule="auto"/>
        <w:ind w:firstLine="567"/>
        <w:rPr>
          <w:rFonts w:cs="Times New Roman"/>
          <w:lang w:eastAsia="en-GB"/>
        </w:rPr>
      </w:pPr>
      <w:r>
        <w:rPr>
          <w:rFonts w:cs="Times New Roman"/>
          <w:lang w:eastAsia="en-GB"/>
        </w:rPr>
        <w:t xml:space="preserve">Nonetheless, </w:t>
      </w:r>
      <w:r w:rsidRPr="00C86EBE">
        <w:rPr>
          <w:rFonts w:cs="Times New Roman"/>
          <w:lang w:eastAsia="en-GB"/>
        </w:rPr>
        <w:t xml:space="preserve">the inability of an explanatory theory of private law to </w:t>
      </w:r>
      <w:proofErr w:type="gramStart"/>
      <w:r w:rsidRPr="00C86EBE">
        <w:rPr>
          <w:rFonts w:cs="Times New Roman"/>
          <w:lang w:eastAsia="en-GB"/>
        </w:rPr>
        <w:t>actually</w:t>
      </w:r>
      <w:r>
        <w:rPr>
          <w:rFonts w:cs="Times New Roman"/>
          <w:lang w:eastAsia="en-GB"/>
        </w:rPr>
        <w:t xml:space="preserve"> </w:t>
      </w:r>
      <w:r w:rsidRPr="00C86EBE">
        <w:rPr>
          <w:rFonts w:cs="Times New Roman"/>
          <w:lang w:eastAsia="en-GB"/>
        </w:rPr>
        <w:t>explain</w:t>
      </w:r>
      <w:proofErr w:type="gramEnd"/>
      <w:r w:rsidRPr="00C86EBE">
        <w:rPr>
          <w:rFonts w:cs="Times New Roman"/>
          <w:lang w:eastAsia="en-GB"/>
        </w:rPr>
        <w:t xml:space="preserve"> large swathes of private law doctrine raises doubts about its persuasiveness, even if one is inclined to share McBride’s disdain for some or all of above mentioned doctrines</w:t>
      </w:r>
      <w:r>
        <w:rPr>
          <w:rFonts w:cs="Times New Roman"/>
          <w:lang w:eastAsia="en-GB"/>
        </w:rPr>
        <w:t>.</w:t>
      </w:r>
      <w:r w:rsidRPr="00C86EBE">
        <w:rPr>
          <w:rFonts w:cs="Times New Roman"/>
          <w:lang w:eastAsia="en-GB"/>
        </w:rPr>
        <w:t xml:space="preserve"> </w:t>
      </w:r>
      <w:r w:rsidRPr="00963763">
        <w:rPr>
          <w:rFonts w:cs="Times New Roman"/>
          <w:lang w:eastAsia="en-GB"/>
        </w:rPr>
        <w:t>As Murphy has stated</w:t>
      </w:r>
      <w:r>
        <w:rPr>
          <w:rFonts w:cs="Times New Roman"/>
          <w:lang w:eastAsia="en-GB"/>
        </w:rPr>
        <w:t xml:space="preserve"> of universal tort theories</w:t>
      </w:r>
      <w:r w:rsidRPr="00963763">
        <w:rPr>
          <w:rFonts w:cs="Times New Roman"/>
          <w:lang w:eastAsia="en-GB"/>
        </w:rPr>
        <w:t xml:space="preserve">: </w:t>
      </w:r>
    </w:p>
    <w:p w14:paraId="312DA6F9" w14:textId="77777777" w:rsidR="00635850" w:rsidRPr="00C86EBE" w:rsidRDefault="00635850" w:rsidP="00A610F8">
      <w:pPr>
        <w:spacing w:line="360" w:lineRule="auto"/>
        <w:ind w:left="567" w:right="567"/>
        <w:rPr>
          <w:rFonts w:cs="Times New Roman"/>
          <w:lang w:eastAsia="en-GB"/>
        </w:rPr>
      </w:pPr>
      <w:r w:rsidRPr="00963763">
        <w:rPr>
          <w:rFonts w:cs="Times New Roman"/>
          <w:lang w:eastAsia="en-GB"/>
        </w:rPr>
        <w:t>If a putatively explanatory theory of tort law cannot account for well established, widely recognised and practically significant tor</w:t>
      </w:r>
      <w:r>
        <w:rPr>
          <w:rFonts w:cs="Times New Roman"/>
          <w:lang w:eastAsia="en-GB"/>
        </w:rPr>
        <w:t xml:space="preserve">ts, then that theory may be fairly </w:t>
      </w:r>
      <w:r w:rsidRPr="00963763">
        <w:rPr>
          <w:rFonts w:cs="Times New Roman"/>
          <w:lang w:eastAsia="en-GB"/>
        </w:rPr>
        <w:t>described as being beset by a significant problem of fit.</w:t>
      </w:r>
      <w:r w:rsidRPr="00963763">
        <w:rPr>
          <w:rStyle w:val="FootnoteReference"/>
          <w:rFonts w:cs="Times New Roman"/>
          <w:lang w:eastAsia="en-GB"/>
        </w:rPr>
        <w:footnoteReference w:id="91"/>
      </w:r>
    </w:p>
    <w:p w14:paraId="3F6B6531" w14:textId="77777777" w:rsidR="00635850" w:rsidRPr="00963763" w:rsidRDefault="00635850" w:rsidP="00A610F8">
      <w:pPr>
        <w:spacing w:line="360" w:lineRule="auto"/>
        <w:rPr>
          <w:rFonts w:cs="Times New Roman"/>
          <w:lang w:eastAsia="en-GB"/>
        </w:rPr>
      </w:pPr>
    </w:p>
    <w:p w14:paraId="1615CE43" w14:textId="531563B5" w:rsidR="00635850" w:rsidRPr="00C86EBE" w:rsidRDefault="00635850" w:rsidP="00A610F8">
      <w:pPr>
        <w:spacing w:line="360" w:lineRule="auto"/>
        <w:rPr>
          <w:rFonts w:cs="Times New Roman"/>
        </w:rPr>
      </w:pPr>
      <w:r>
        <w:rPr>
          <w:rFonts w:cs="Times New Roman"/>
          <w:lang w:eastAsia="en-GB"/>
        </w:rPr>
        <w:lastRenderedPageBreak/>
        <w:t>Recognising</w:t>
      </w:r>
      <w:r w:rsidRPr="00C86EBE">
        <w:rPr>
          <w:rFonts w:cs="Times New Roman"/>
          <w:lang w:eastAsia="en-GB"/>
        </w:rPr>
        <w:t xml:space="preserve"> </w:t>
      </w:r>
      <w:r>
        <w:rPr>
          <w:rFonts w:cs="Times New Roman"/>
          <w:lang w:eastAsia="en-GB"/>
        </w:rPr>
        <w:t>such concerns, McBride states that</w:t>
      </w:r>
      <w:r w:rsidRPr="00C86EBE">
        <w:rPr>
          <w:rFonts w:cs="Times New Roman"/>
          <w:lang w:eastAsia="en-GB"/>
        </w:rPr>
        <w:t xml:space="preserve"> ‘</w:t>
      </w:r>
      <w:r w:rsidRPr="00C86EBE">
        <w:rPr>
          <w:rFonts w:cs="Times New Roman"/>
        </w:rPr>
        <w:t xml:space="preserve">it is not a good feature of a theory of private law that it is able to explain </w:t>
      </w:r>
      <w:r w:rsidRPr="00C86EBE">
        <w:rPr>
          <w:rFonts w:cs="Times New Roman"/>
          <w:i/>
        </w:rPr>
        <w:t>every</w:t>
      </w:r>
      <w:r>
        <w:rPr>
          <w:rFonts w:cs="Times New Roman"/>
        </w:rPr>
        <w:t xml:space="preserve"> aspect of private law’</w:t>
      </w:r>
      <w:r w:rsidRPr="00C86EBE">
        <w:rPr>
          <w:rFonts w:cs="Times New Roman"/>
        </w:rPr>
        <w:t>.</w:t>
      </w:r>
      <w:r>
        <w:rPr>
          <w:rStyle w:val="FootnoteReference"/>
          <w:rFonts w:cs="Times New Roman"/>
        </w:rPr>
        <w:footnoteReference w:id="92"/>
      </w:r>
      <w:r w:rsidRPr="00C86EBE">
        <w:rPr>
          <w:rFonts w:cs="Times New Roman"/>
        </w:rPr>
        <w:t xml:space="preserve"> A theory that could explain every aspect of private law ‘would probably have to be so vague and abstract in its key ideas that it would be able to explain English private </w:t>
      </w:r>
      <w:r w:rsidRPr="00C86EBE">
        <w:rPr>
          <w:rFonts w:cs="Times New Roman"/>
          <w:i/>
        </w:rPr>
        <w:t>whatever it said</w:t>
      </w:r>
      <w:r w:rsidRPr="00C86EBE">
        <w:rPr>
          <w:rFonts w:cs="Times New Roman"/>
        </w:rPr>
        <w:t>, and would there</w:t>
      </w:r>
      <w:r>
        <w:rPr>
          <w:rFonts w:cs="Times New Roman"/>
        </w:rPr>
        <w:t>fore explain nothing at all’.</w:t>
      </w:r>
      <w:r>
        <w:rPr>
          <w:rStyle w:val="FootnoteReference"/>
          <w:rFonts w:cs="Times New Roman"/>
        </w:rPr>
        <w:footnoteReference w:id="93"/>
      </w:r>
      <w:r w:rsidRPr="00C86EBE">
        <w:rPr>
          <w:rFonts w:cs="Times New Roman"/>
        </w:rPr>
        <w:t xml:space="preserve">  Such a theory would be implausible as: </w:t>
      </w:r>
    </w:p>
    <w:p w14:paraId="5D96A26D" w14:textId="77777777" w:rsidR="00635850" w:rsidRPr="00C86EBE" w:rsidRDefault="00635850" w:rsidP="00A610F8">
      <w:pPr>
        <w:spacing w:line="360" w:lineRule="auto"/>
        <w:ind w:left="567" w:right="567"/>
        <w:rPr>
          <w:rFonts w:cs="Times New Roman"/>
        </w:rPr>
      </w:pPr>
      <w:r w:rsidRPr="00C86EBE">
        <w:rPr>
          <w:rFonts w:cs="Times New Roman"/>
        </w:rPr>
        <w:t xml:space="preserve">there </w:t>
      </w:r>
      <w:r w:rsidRPr="00C86EBE">
        <w:rPr>
          <w:rFonts w:cs="Times New Roman"/>
          <w:i/>
        </w:rPr>
        <w:t>must</w:t>
      </w:r>
      <w:r w:rsidRPr="00C86EBE">
        <w:rPr>
          <w:rFonts w:cs="Times New Roman"/>
        </w:rPr>
        <w:t xml:space="preserve"> be pockets of private law that have gone wrong, because of the influence of bad judges, or the weight of history, or bad ideas. It would be incredible if </w:t>
      </w:r>
      <w:r w:rsidRPr="00C86EBE">
        <w:rPr>
          <w:rFonts w:cs="Times New Roman"/>
          <w:i/>
        </w:rPr>
        <w:t xml:space="preserve">every </w:t>
      </w:r>
      <w:r w:rsidRPr="00C86EBE">
        <w:rPr>
          <w:rFonts w:cs="Times New Roman"/>
        </w:rPr>
        <w:t xml:space="preserve">aspect of private law were developed and fine-tuned to fit a </w:t>
      </w:r>
      <w:proofErr w:type="gramStart"/>
      <w:r w:rsidRPr="00C86EBE">
        <w:rPr>
          <w:rFonts w:cs="Times New Roman"/>
        </w:rPr>
        <w:t>par</w:t>
      </w:r>
      <w:r>
        <w:rPr>
          <w:rFonts w:cs="Times New Roman"/>
        </w:rPr>
        <w:t>ticular idea</w:t>
      </w:r>
      <w:proofErr w:type="gramEnd"/>
      <w:r>
        <w:rPr>
          <w:rFonts w:cs="Times New Roman"/>
        </w:rPr>
        <w:t xml:space="preserve"> of private law</w:t>
      </w:r>
      <w:r w:rsidRPr="00C86EBE">
        <w:rPr>
          <w:rFonts w:cs="Times New Roman"/>
        </w:rPr>
        <w:t>.</w:t>
      </w:r>
      <w:r>
        <w:rPr>
          <w:rStyle w:val="FootnoteReference"/>
          <w:rFonts w:cs="Times New Roman"/>
        </w:rPr>
        <w:footnoteReference w:id="94"/>
      </w:r>
    </w:p>
    <w:p w14:paraId="76E21160" w14:textId="77777777" w:rsidR="00635850" w:rsidRPr="00C86EBE" w:rsidRDefault="00635850" w:rsidP="00A610F8">
      <w:pPr>
        <w:spacing w:line="360" w:lineRule="auto"/>
        <w:rPr>
          <w:rFonts w:cs="Times New Roman"/>
          <w:lang w:eastAsia="en-GB"/>
        </w:rPr>
      </w:pPr>
    </w:p>
    <w:p w14:paraId="59C191A6" w14:textId="73F70167" w:rsidR="00635850" w:rsidRPr="00C86EBE" w:rsidRDefault="00635850" w:rsidP="00A610F8">
      <w:pPr>
        <w:spacing w:line="360" w:lineRule="auto"/>
        <w:rPr>
          <w:rFonts w:cs="Times New Roman"/>
        </w:rPr>
      </w:pPr>
      <w:r>
        <w:rPr>
          <w:rFonts w:cs="Times New Roman"/>
          <w:lang w:eastAsia="en-GB"/>
        </w:rPr>
        <w:t xml:space="preserve">It is hard to disagree. A theory of private law need not explain every single case or doctrine. Judges often make mistakes. But there must come a point where </w:t>
      </w:r>
      <w:r w:rsidRPr="00C86EBE">
        <w:rPr>
          <w:rFonts w:cs="Times New Roman"/>
          <w:lang w:eastAsia="en-GB"/>
        </w:rPr>
        <w:t>a</w:t>
      </w:r>
      <w:r>
        <w:rPr>
          <w:rFonts w:cs="Times New Roman"/>
          <w:lang w:eastAsia="en-GB"/>
        </w:rPr>
        <w:t xml:space="preserve">n </w:t>
      </w:r>
      <w:r w:rsidRPr="00AD6EA3">
        <w:rPr>
          <w:rFonts w:cs="Times New Roman"/>
          <w:i/>
          <w:lang w:eastAsia="en-GB"/>
        </w:rPr>
        <w:t>explanatory</w:t>
      </w:r>
      <w:r w:rsidRPr="00C86EBE">
        <w:rPr>
          <w:rFonts w:cs="Times New Roman"/>
          <w:lang w:eastAsia="en-GB"/>
        </w:rPr>
        <w:t xml:space="preserve"> theory’s lack of fit with the case law mean</w:t>
      </w:r>
      <w:r>
        <w:rPr>
          <w:rFonts w:cs="Times New Roman"/>
          <w:lang w:eastAsia="en-GB"/>
        </w:rPr>
        <w:t>s</w:t>
      </w:r>
      <w:r w:rsidRPr="00C86EBE">
        <w:rPr>
          <w:rFonts w:cs="Times New Roman"/>
          <w:lang w:eastAsia="en-GB"/>
        </w:rPr>
        <w:t xml:space="preserve"> that </w:t>
      </w:r>
      <w:r>
        <w:rPr>
          <w:rFonts w:cs="Times New Roman"/>
          <w:lang w:eastAsia="en-GB"/>
        </w:rPr>
        <w:t>it is unsuccessful.</w:t>
      </w:r>
      <w:r>
        <w:rPr>
          <w:rStyle w:val="FootnoteReference"/>
          <w:rFonts w:cs="Times New Roman"/>
          <w:lang w:eastAsia="en-GB"/>
        </w:rPr>
        <w:footnoteReference w:id="95"/>
      </w:r>
      <w:r>
        <w:rPr>
          <w:rFonts w:cs="Times New Roman"/>
          <w:i/>
          <w:lang w:eastAsia="en-GB"/>
        </w:rPr>
        <w:t xml:space="preserve"> </w:t>
      </w:r>
      <w:r w:rsidRPr="00963763">
        <w:rPr>
          <w:rFonts w:cs="Times New Roman"/>
        </w:rPr>
        <w:t>E</w:t>
      </w:r>
      <w:r w:rsidRPr="00C86EBE">
        <w:rPr>
          <w:rFonts w:cs="Times New Roman"/>
        </w:rPr>
        <w:t>ven</w:t>
      </w:r>
      <w:r>
        <w:rPr>
          <w:rFonts w:cs="Times New Roman"/>
        </w:rPr>
        <w:t xml:space="preserve"> if </w:t>
      </w:r>
      <w:r w:rsidR="008D144F">
        <w:rPr>
          <w:rFonts w:cs="Times New Roman"/>
        </w:rPr>
        <w:t xml:space="preserve">the above lists </w:t>
      </w:r>
      <w:r>
        <w:rPr>
          <w:rFonts w:cs="Times New Roman"/>
        </w:rPr>
        <w:t>represents a small number of anomalies</w:t>
      </w:r>
      <w:r w:rsidR="008D144F">
        <w:rPr>
          <w:rFonts w:cs="Times New Roman"/>
        </w:rPr>
        <w:t xml:space="preserve"> (and there is scope for disagreement)</w:t>
      </w:r>
      <w:r>
        <w:rPr>
          <w:rFonts w:cs="Times New Roman"/>
        </w:rPr>
        <w:t xml:space="preserve">, </w:t>
      </w:r>
      <w:r w:rsidRPr="00C86EBE">
        <w:rPr>
          <w:rFonts w:cs="Times New Roman"/>
        </w:rPr>
        <w:t>ther</w:t>
      </w:r>
      <w:r w:rsidRPr="00963763">
        <w:rPr>
          <w:rFonts w:cs="Times New Roman"/>
        </w:rPr>
        <w:t xml:space="preserve">e is </w:t>
      </w:r>
      <w:r>
        <w:rPr>
          <w:rFonts w:cs="Times New Roman"/>
        </w:rPr>
        <w:t>evidence</w:t>
      </w:r>
      <w:r w:rsidRPr="00963763">
        <w:rPr>
          <w:rFonts w:cs="Times New Roman"/>
        </w:rPr>
        <w:t xml:space="preserve"> that </w:t>
      </w:r>
      <w:r>
        <w:rPr>
          <w:rFonts w:cs="Times New Roman"/>
        </w:rPr>
        <w:t xml:space="preserve">the F cannot account for more areas of private law than McBride acknowledges. </w:t>
      </w:r>
      <w:r w:rsidRPr="00C86EBE">
        <w:rPr>
          <w:rFonts w:cs="Times New Roman"/>
        </w:rPr>
        <w:t>Let u</w:t>
      </w:r>
      <w:r>
        <w:rPr>
          <w:rFonts w:cs="Times New Roman"/>
        </w:rPr>
        <w:t xml:space="preserve">s now </w:t>
      </w:r>
      <w:proofErr w:type="gramStart"/>
      <w:r>
        <w:rPr>
          <w:rFonts w:cs="Times New Roman"/>
        </w:rPr>
        <w:t>take a look</w:t>
      </w:r>
      <w:proofErr w:type="gramEnd"/>
      <w:r>
        <w:rPr>
          <w:rFonts w:cs="Times New Roman"/>
        </w:rPr>
        <w:t xml:space="preserve"> at some of his explanations</w:t>
      </w:r>
      <w:r w:rsidRPr="00C86EBE">
        <w:rPr>
          <w:rFonts w:cs="Times New Roman"/>
        </w:rPr>
        <w:t>.</w:t>
      </w:r>
    </w:p>
    <w:p w14:paraId="71FD7E38" w14:textId="77777777" w:rsidR="00635850" w:rsidRPr="00C86EBE" w:rsidRDefault="00635850" w:rsidP="00A610F8">
      <w:pPr>
        <w:spacing w:line="360" w:lineRule="auto"/>
        <w:rPr>
          <w:rFonts w:cs="Times New Roman"/>
        </w:rPr>
      </w:pPr>
    </w:p>
    <w:p w14:paraId="24E02048" w14:textId="6ED49B9D" w:rsidR="00635850" w:rsidRPr="00C87768" w:rsidRDefault="00635850" w:rsidP="00A610F8">
      <w:pPr>
        <w:pStyle w:val="ListParagraph"/>
        <w:numPr>
          <w:ilvl w:val="0"/>
          <w:numId w:val="4"/>
        </w:numPr>
        <w:spacing w:line="360" w:lineRule="auto"/>
        <w:rPr>
          <w:rFonts w:cs="Times New Roman"/>
        </w:rPr>
      </w:pPr>
      <w:r w:rsidRPr="00C87768">
        <w:rPr>
          <w:rFonts w:cs="Times New Roman"/>
          <w:b/>
        </w:rPr>
        <w:t>Property</w:t>
      </w:r>
    </w:p>
    <w:p w14:paraId="45434066" w14:textId="35C9890E" w:rsidR="00635850" w:rsidRPr="00C86EBE" w:rsidRDefault="00635850" w:rsidP="00A610F8">
      <w:pPr>
        <w:spacing w:line="360" w:lineRule="auto"/>
        <w:rPr>
          <w:rFonts w:cs="Times New Roman"/>
        </w:rPr>
      </w:pPr>
      <w:r w:rsidRPr="00C86EBE">
        <w:rPr>
          <w:rFonts w:cs="Times New Roman"/>
        </w:rPr>
        <w:t>McBride’s discussion of private law’s protection of property</w:t>
      </w:r>
      <w:r>
        <w:rPr>
          <w:rFonts w:cs="Times New Roman"/>
        </w:rPr>
        <w:t xml:space="preserve"> poses problems of fit for his theory</w:t>
      </w:r>
      <w:r w:rsidRPr="00C86EBE">
        <w:rPr>
          <w:rFonts w:cs="Times New Roman"/>
        </w:rPr>
        <w:t>.  Property is on</w:t>
      </w:r>
      <w:r>
        <w:rPr>
          <w:rFonts w:cs="Times New Roman"/>
        </w:rPr>
        <w:t>e of the secondary goods under the RP</w:t>
      </w:r>
      <w:r w:rsidRPr="00C86EBE">
        <w:rPr>
          <w:rFonts w:cs="Times New Roman"/>
        </w:rPr>
        <w:t xml:space="preserve">. According to McBride, a private law based on F might </w:t>
      </w:r>
      <w:r w:rsidRPr="00C86EBE">
        <w:rPr>
          <w:rFonts w:cs="Times New Roman"/>
          <w:lang w:eastAsia="en-GB"/>
        </w:rPr>
        <w:t xml:space="preserve">‘might well also recognise the existence of absolute obligations not to interfere with other people’s enjoyment of </w:t>
      </w:r>
      <w:r w:rsidRPr="00C86EBE">
        <w:rPr>
          <w:rFonts w:cs="Times New Roman"/>
          <w:i/>
          <w:lang w:eastAsia="en-GB"/>
        </w:rPr>
        <w:t>secondary goods</w:t>
      </w:r>
      <w:r>
        <w:rPr>
          <w:rFonts w:cs="Times New Roman"/>
          <w:lang w:eastAsia="en-GB"/>
        </w:rPr>
        <w:t>’</w:t>
      </w:r>
      <w:r w:rsidRPr="00C86EBE">
        <w:rPr>
          <w:rFonts w:cs="Times New Roman"/>
          <w:lang w:eastAsia="en-GB"/>
        </w:rPr>
        <w:t>.</w:t>
      </w:r>
      <w:r>
        <w:rPr>
          <w:rStyle w:val="FootnoteReference"/>
          <w:rFonts w:cs="Times New Roman"/>
          <w:lang w:eastAsia="en-GB"/>
        </w:rPr>
        <w:footnoteReference w:id="96"/>
      </w:r>
      <w:r w:rsidRPr="00C86EBE">
        <w:rPr>
          <w:rFonts w:cs="Times New Roman"/>
          <w:lang w:eastAsia="en-GB"/>
        </w:rPr>
        <w:t xml:space="preserve"> The justification for an absolute obligation not to interfere with secondary goods is because it secures a further secondary good, ‘the </w:t>
      </w:r>
      <w:r w:rsidRPr="00C86EBE">
        <w:rPr>
          <w:rFonts w:cs="Times New Roman"/>
          <w:i/>
          <w:lang w:eastAsia="en-GB"/>
        </w:rPr>
        <w:t>security of knowing</w:t>
      </w:r>
      <w:r w:rsidRPr="00C86EBE">
        <w:rPr>
          <w:rFonts w:cs="Times New Roman"/>
          <w:lang w:eastAsia="en-GB"/>
        </w:rPr>
        <w:t xml:space="preserve"> that what they have cannot be taken away from them in the name of the greater good or the public interest’, which is essentia</w:t>
      </w:r>
      <w:r>
        <w:rPr>
          <w:rFonts w:cs="Times New Roman"/>
          <w:lang w:eastAsia="en-GB"/>
        </w:rPr>
        <w:t>l for people’s flourishing</w:t>
      </w:r>
      <w:r w:rsidRPr="00C86EBE">
        <w:rPr>
          <w:rFonts w:cs="Times New Roman"/>
          <w:lang w:eastAsia="en-GB"/>
        </w:rPr>
        <w:t>.</w:t>
      </w:r>
      <w:r>
        <w:rPr>
          <w:rStyle w:val="FootnoteReference"/>
          <w:rFonts w:cs="Times New Roman"/>
          <w:lang w:eastAsia="en-GB"/>
        </w:rPr>
        <w:footnoteReference w:id="97"/>
      </w:r>
    </w:p>
    <w:p w14:paraId="16338D31" w14:textId="7DFD23B6" w:rsidR="00635850" w:rsidRDefault="00635850" w:rsidP="00A610F8">
      <w:pPr>
        <w:spacing w:line="360" w:lineRule="auto"/>
        <w:ind w:firstLine="720"/>
        <w:rPr>
          <w:rFonts w:cs="Times New Roman"/>
          <w:lang w:eastAsia="en-GB"/>
        </w:rPr>
      </w:pPr>
      <w:r w:rsidRPr="00C86EBE">
        <w:rPr>
          <w:rFonts w:cs="Times New Roman"/>
          <w:lang w:eastAsia="en-GB"/>
        </w:rPr>
        <w:t xml:space="preserve">But if the primary goods are more important than the secondary goods we would not expect private property to </w:t>
      </w:r>
      <w:r>
        <w:rPr>
          <w:rFonts w:cs="Times New Roman"/>
          <w:lang w:eastAsia="en-GB"/>
        </w:rPr>
        <w:t xml:space="preserve">be </w:t>
      </w:r>
      <w:r w:rsidRPr="00C86EBE">
        <w:rPr>
          <w:rFonts w:cs="Times New Roman"/>
          <w:lang w:eastAsia="en-GB"/>
        </w:rPr>
        <w:t xml:space="preserve">protected to the extent that it currently is in private law. It is far </w:t>
      </w:r>
      <w:r w:rsidRPr="00C86EBE">
        <w:rPr>
          <w:rFonts w:cs="Times New Roman"/>
          <w:lang w:eastAsia="en-GB"/>
        </w:rPr>
        <w:lastRenderedPageBreak/>
        <w:t xml:space="preserve">easier to establish that one is owed a duty of care in negligence if one </w:t>
      </w:r>
      <w:r>
        <w:rPr>
          <w:rFonts w:cs="Times New Roman"/>
          <w:lang w:eastAsia="en-GB"/>
        </w:rPr>
        <w:t xml:space="preserve">suffers </w:t>
      </w:r>
      <w:r w:rsidRPr="00C86EBE">
        <w:rPr>
          <w:rFonts w:cs="Times New Roman"/>
          <w:lang w:eastAsia="en-GB"/>
        </w:rPr>
        <w:t xml:space="preserve">property damage than if one </w:t>
      </w:r>
      <w:r>
        <w:rPr>
          <w:rFonts w:cs="Times New Roman"/>
          <w:lang w:eastAsia="en-GB"/>
        </w:rPr>
        <w:t xml:space="preserve">suffers </w:t>
      </w:r>
      <w:r w:rsidRPr="00C86EBE">
        <w:rPr>
          <w:rFonts w:cs="Times New Roman"/>
          <w:lang w:eastAsia="en-GB"/>
        </w:rPr>
        <w:t>psychiatric injury.</w:t>
      </w:r>
      <w:r w:rsidRPr="00C86EBE">
        <w:rPr>
          <w:rFonts w:cs="Times New Roman"/>
          <w:vertAlign w:val="superscript"/>
          <w:lang w:eastAsia="en-GB"/>
        </w:rPr>
        <w:footnoteReference w:id="98"/>
      </w:r>
      <w:r w:rsidRPr="00C86EBE">
        <w:rPr>
          <w:rFonts w:cs="Times New Roman"/>
          <w:lang w:eastAsia="en-GB"/>
        </w:rPr>
        <w:t xml:space="preserve"> Being free from a psychiatric disorder is fundamental to many primary goods. If one is suffering from a psychiatric injury then one cannot be said to be in ‘good health’. Many psychiatric injuries will result in one being ‘muddled and confused’ and unable to identify with the way one’s life is going. </w:t>
      </w:r>
      <w:r>
        <w:rPr>
          <w:rFonts w:cs="Times New Roman"/>
          <w:lang w:eastAsia="en-GB"/>
        </w:rPr>
        <w:t>Relationships might break down. Anxiety about one’s future will often occur. All t</w:t>
      </w:r>
      <w:r w:rsidR="008F343D">
        <w:rPr>
          <w:rFonts w:cs="Times New Roman"/>
          <w:lang w:eastAsia="en-GB"/>
        </w:rPr>
        <w:t xml:space="preserve">his might also be true </w:t>
      </w:r>
      <w:r w:rsidRPr="00C86EBE">
        <w:rPr>
          <w:rFonts w:cs="Times New Roman"/>
          <w:lang w:eastAsia="en-GB"/>
        </w:rPr>
        <w:t>of negligently inflicted ‘mere’ distress or anxiety, for which the tort of negligence provides no protection.</w:t>
      </w:r>
      <w:r w:rsidRPr="00C86EBE">
        <w:rPr>
          <w:rFonts w:cs="Times New Roman"/>
          <w:vertAlign w:val="superscript"/>
          <w:lang w:eastAsia="en-GB"/>
        </w:rPr>
        <w:footnoteReference w:id="99"/>
      </w:r>
      <w:r>
        <w:rPr>
          <w:rFonts w:cs="Times New Roman"/>
          <w:lang w:eastAsia="en-GB"/>
        </w:rPr>
        <w:t xml:space="preserve"> Assuming</w:t>
      </w:r>
      <w:r w:rsidRPr="00C86EBE">
        <w:rPr>
          <w:rFonts w:cs="Times New Roman"/>
          <w:lang w:eastAsia="en-GB"/>
        </w:rPr>
        <w:t xml:space="preserve"> F is correct</w:t>
      </w:r>
      <w:r>
        <w:rPr>
          <w:rFonts w:cs="Times New Roman"/>
          <w:lang w:eastAsia="en-GB"/>
        </w:rPr>
        <w:t>, we would expect to</w:t>
      </w:r>
      <w:r w:rsidRPr="00C86EBE">
        <w:rPr>
          <w:rFonts w:cs="Times New Roman"/>
          <w:lang w:eastAsia="en-GB"/>
        </w:rPr>
        <w:t xml:space="preserve"> find it easier</w:t>
      </w:r>
      <w:r>
        <w:rPr>
          <w:rFonts w:cs="Times New Roman"/>
          <w:lang w:eastAsia="en-GB"/>
        </w:rPr>
        <w:t xml:space="preserve"> for someone to establish that a defendant</w:t>
      </w:r>
      <w:r w:rsidRPr="00C86EBE">
        <w:rPr>
          <w:rFonts w:cs="Times New Roman"/>
          <w:lang w:eastAsia="en-GB"/>
        </w:rPr>
        <w:t xml:space="preserve"> owes them a duty of care not to cause them to suffer a psychiatric injury than property damage but this </w:t>
      </w:r>
      <w:r>
        <w:rPr>
          <w:rFonts w:cs="Times New Roman"/>
          <w:lang w:eastAsia="en-GB"/>
        </w:rPr>
        <w:t>the opposite of the current position</w:t>
      </w:r>
      <w:r w:rsidRPr="00C86EBE">
        <w:rPr>
          <w:rFonts w:cs="Times New Roman"/>
          <w:lang w:eastAsia="en-GB"/>
        </w:rPr>
        <w:t>.</w:t>
      </w:r>
      <w:r>
        <w:rPr>
          <w:rStyle w:val="FootnoteReference"/>
          <w:rFonts w:cs="Times New Roman"/>
          <w:lang w:eastAsia="en-GB"/>
        </w:rPr>
        <w:footnoteReference w:id="100"/>
      </w:r>
      <w:r w:rsidRPr="00C86EBE">
        <w:rPr>
          <w:rFonts w:cs="Times New Roman"/>
          <w:lang w:eastAsia="en-GB"/>
        </w:rPr>
        <w:t xml:space="preserve"> </w:t>
      </w:r>
    </w:p>
    <w:p w14:paraId="1AAAD0C6" w14:textId="4AC30737" w:rsidR="00635850" w:rsidRDefault="00635850" w:rsidP="00A610F8">
      <w:pPr>
        <w:spacing w:line="360" w:lineRule="auto"/>
        <w:ind w:firstLine="720"/>
        <w:rPr>
          <w:rFonts w:cs="Times New Roman"/>
          <w:lang w:eastAsia="en-GB"/>
        </w:rPr>
      </w:pPr>
      <w:r w:rsidRPr="00C86EBE">
        <w:rPr>
          <w:rFonts w:cs="Times New Roman"/>
          <w:lang w:eastAsia="en-GB"/>
        </w:rPr>
        <w:t xml:space="preserve">The </w:t>
      </w:r>
      <w:proofErr w:type="spellStart"/>
      <w:r w:rsidRPr="00C86EBE">
        <w:rPr>
          <w:rFonts w:cs="Times New Roman"/>
          <w:lang w:eastAsia="en-GB"/>
        </w:rPr>
        <w:t>unpersuasiveness</w:t>
      </w:r>
      <w:proofErr w:type="spellEnd"/>
      <w:r w:rsidRPr="00C86EBE">
        <w:rPr>
          <w:rFonts w:cs="Times New Roman"/>
          <w:lang w:eastAsia="en-GB"/>
        </w:rPr>
        <w:t xml:space="preserve"> of F as an explanation of the law of property is heightened when we reflect </w:t>
      </w:r>
      <w:r>
        <w:rPr>
          <w:rFonts w:cs="Times New Roman"/>
          <w:lang w:eastAsia="en-GB"/>
        </w:rPr>
        <w:t xml:space="preserve">upon </w:t>
      </w:r>
      <w:r w:rsidRPr="00C86EBE">
        <w:rPr>
          <w:rFonts w:cs="Times New Roman"/>
          <w:lang w:eastAsia="en-GB"/>
        </w:rPr>
        <w:t>McBride’s claim that ‘where the private ownership of a putative object of property (call it, ‘O’) would do nothing to contribute to the RP-flourishing of the owner, then private ownership of O will not be possible and O wi</w:t>
      </w:r>
      <w:r>
        <w:rPr>
          <w:rFonts w:cs="Times New Roman"/>
          <w:lang w:eastAsia="en-GB"/>
        </w:rPr>
        <w:t>ll not amount to property’.</w:t>
      </w:r>
      <w:r>
        <w:rPr>
          <w:rStyle w:val="FootnoteReference"/>
          <w:rFonts w:cs="Times New Roman"/>
          <w:lang w:eastAsia="en-GB"/>
        </w:rPr>
        <w:footnoteReference w:id="101"/>
      </w:r>
      <w:r w:rsidRPr="00C86EBE">
        <w:rPr>
          <w:rFonts w:cs="Times New Roman"/>
          <w:lang w:eastAsia="en-GB"/>
        </w:rPr>
        <w:t xml:space="preserve"> </w:t>
      </w:r>
    </w:p>
    <w:p w14:paraId="141CC191" w14:textId="75C29C54" w:rsidR="00635850" w:rsidRDefault="00635850" w:rsidP="00A610F8">
      <w:pPr>
        <w:spacing w:line="360" w:lineRule="auto"/>
        <w:ind w:firstLine="720"/>
        <w:rPr>
          <w:rFonts w:cs="Times New Roman"/>
          <w:lang w:eastAsia="en-GB"/>
        </w:rPr>
      </w:pPr>
      <w:r>
        <w:rPr>
          <w:rFonts w:cs="Times New Roman"/>
          <w:lang w:eastAsia="en-GB"/>
        </w:rPr>
        <w:t>McBride</w:t>
      </w:r>
      <w:r w:rsidRPr="00C86EBE">
        <w:rPr>
          <w:rFonts w:cs="Times New Roman"/>
          <w:lang w:eastAsia="en-GB"/>
        </w:rPr>
        <w:t xml:space="preserve"> cites the example of illegal drugs</w:t>
      </w:r>
      <w:r w:rsidR="00A3260C">
        <w:rPr>
          <w:rFonts w:cs="Times New Roman"/>
          <w:lang w:eastAsia="en-GB"/>
        </w:rPr>
        <w:t>:</w:t>
      </w:r>
      <w:r w:rsidRPr="00C86EBE">
        <w:rPr>
          <w:rFonts w:cs="Times New Roman"/>
          <w:lang w:eastAsia="en-GB"/>
        </w:rPr>
        <w:t xml:space="preserve"> ‘The possession of a bag of cocaine by a private individual does not to promote the RP-flourishing of that individual, and so a bag of cocaine in the hands of a private individual is incapable of being owned and therefore </w:t>
      </w:r>
      <w:r>
        <w:rPr>
          <w:rFonts w:cs="Times New Roman"/>
          <w:lang w:eastAsia="en-GB"/>
        </w:rPr>
        <w:t>amounting to property’</w:t>
      </w:r>
      <w:r w:rsidRPr="00C86EBE">
        <w:rPr>
          <w:rFonts w:cs="Times New Roman"/>
          <w:lang w:eastAsia="en-GB"/>
        </w:rPr>
        <w:t>.</w:t>
      </w:r>
      <w:r>
        <w:rPr>
          <w:rStyle w:val="FootnoteReference"/>
          <w:rFonts w:cs="Times New Roman"/>
          <w:lang w:eastAsia="en-GB"/>
        </w:rPr>
        <w:footnoteReference w:id="102"/>
      </w:r>
      <w:r w:rsidRPr="00C86EBE">
        <w:rPr>
          <w:rFonts w:cs="Times New Roman"/>
          <w:lang w:eastAsia="en-GB"/>
        </w:rPr>
        <w:t xml:space="preserve"> No one would claim that someone addicted to cocaine is flourishing. But not all drugs are as bad as each other. Certain illegal drugs, it is sometime</w:t>
      </w:r>
      <w:r>
        <w:rPr>
          <w:rFonts w:cs="Times New Roman"/>
          <w:lang w:eastAsia="en-GB"/>
        </w:rPr>
        <w:t>s</w:t>
      </w:r>
      <w:r w:rsidRPr="00C86EBE">
        <w:rPr>
          <w:rFonts w:cs="Times New Roman"/>
          <w:lang w:eastAsia="en-GB"/>
        </w:rPr>
        <w:t xml:space="preserve"> argued, can improve mental health and thus promote </w:t>
      </w:r>
      <w:r>
        <w:rPr>
          <w:rFonts w:cs="Times New Roman"/>
          <w:lang w:eastAsia="en-GB"/>
        </w:rPr>
        <w:t>several</w:t>
      </w:r>
      <w:r w:rsidRPr="00C86EBE">
        <w:rPr>
          <w:rFonts w:cs="Times New Roman"/>
          <w:lang w:eastAsia="en-GB"/>
        </w:rPr>
        <w:t xml:space="preserve"> of the primary goods.</w:t>
      </w:r>
      <w:r>
        <w:rPr>
          <w:rStyle w:val="FootnoteReference"/>
          <w:rFonts w:cs="Times New Roman"/>
          <w:lang w:eastAsia="en-GB"/>
        </w:rPr>
        <w:footnoteReference w:id="103"/>
      </w:r>
      <w:r w:rsidRPr="00C86EBE">
        <w:rPr>
          <w:rFonts w:cs="Times New Roman"/>
          <w:lang w:eastAsia="en-GB"/>
        </w:rPr>
        <w:t xml:space="preserve"> There is ev</w:t>
      </w:r>
      <w:r>
        <w:rPr>
          <w:rFonts w:cs="Times New Roman"/>
          <w:lang w:eastAsia="en-GB"/>
        </w:rPr>
        <w:t xml:space="preserve">idence that </w:t>
      </w:r>
      <w:r>
        <w:rPr>
          <w:rFonts w:cs="Times New Roman"/>
          <w:lang w:eastAsia="en-GB"/>
        </w:rPr>
        <w:lastRenderedPageBreak/>
        <w:t xml:space="preserve">tobacco is </w:t>
      </w:r>
      <w:r w:rsidR="00190D9F">
        <w:rPr>
          <w:rFonts w:cs="Times New Roman"/>
          <w:lang w:eastAsia="en-GB"/>
        </w:rPr>
        <w:t>much</w:t>
      </w:r>
      <w:r w:rsidR="00A3260C">
        <w:rPr>
          <w:rFonts w:cs="Times New Roman"/>
          <w:lang w:eastAsia="en-GB"/>
        </w:rPr>
        <w:t xml:space="preserve"> </w:t>
      </w:r>
      <w:r>
        <w:rPr>
          <w:rFonts w:cs="Times New Roman"/>
          <w:lang w:eastAsia="en-GB"/>
        </w:rPr>
        <w:t>more harmful than MDMA (ecstasy)</w:t>
      </w:r>
      <w:r w:rsidRPr="00C86EBE">
        <w:rPr>
          <w:rFonts w:cs="Times New Roman"/>
          <w:lang w:eastAsia="en-GB"/>
        </w:rPr>
        <w:t>.</w:t>
      </w:r>
      <w:r>
        <w:rPr>
          <w:rStyle w:val="FootnoteReference"/>
          <w:rFonts w:cs="Times New Roman"/>
          <w:lang w:eastAsia="en-GB"/>
        </w:rPr>
        <w:footnoteReference w:id="104"/>
      </w:r>
      <w:r w:rsidRPr="00C86EBE">
        <w:rPr>
          <w:rFonts w:cs="Times New Roman"/>
          <w:lang w:eastAsia="en-GB"/>
        </w:rPr>
        <w:t xml:space="preserve"> If McBride’s</w:t>
      </w:r>
      <w:r>
        <w:rPr>
          <w:rFonts w:cs="Times New Roman"/>
          <w:lang w:eastAsia="en-GB"/>
        </w:rPr>
        <w:t xml:space="preserve"> property</w:t>
      </w:r>
      <w:r w:rsidRPr="00C86EBE">
        <w:rPr>
          <w:rFonts w:cs="Times New Roman"/>
          <w:lang w:eastAsia="en-GB"/>
        </w:rPr>
        <w:t xml:space="preserve"> claim is correct then a packet of </w:t>
      </w:r>
      <w:r>
        <w:rPr>
          <w:rFonts w:cs="Times New Roman"/>
          <w:lang w:eastAsia="en-GB"/>
        </w:rPr>
        <w:t xml:space="preserve">cigarettes </w:t>
      </w:r>
      <w:r w:rsidRPr="00C86EBE">
        <w:rPr>
          <w:rFonts w:cs="Times New Roman"/>
          <w:lang w:eastAsia="en-GB"/>
        </w:rPr>
        <w:t>would be inc</w:t>
      </w:r>
      <w:r>
        <w:rPr>
          <w:rFonts w:cs="Times New Roman"/>
          <w:lang w:eastAsia="en-GB"/>
        </w:rPr>
        <w:t>apable of being property or MDMA</w:t>
      </w:r>
      <w:r w:rsidRPr="00C86EBE">
        <w:rPr>
          <w:rFonts w:cs="Times New Roman"/>
          <w:lang w:eastAsia="en-GB"/>
        </w:rPr>
        <w:t xml:space="preserve"> would be capable of being </w:t>
      </w:r>
      <w:r>
        <w:rPr>
          <w:rFonts w:cs="Times New Roman"/>
          <w:lang w:eastAsia="en-GB"/>
        </w:rPr>
        <w:t>owned. It is not open for McBride to reply</w:t>
      </w:r>
      <w:r w:rsidRPr="00C86EBE">
        <w:rPr>
          <w:rFonts w:cs="Times New Roman"/>
          <w:lang w:eastAsia="en-GB"/>
        </w:rPr>
        <w:t xml:space="preserve"> that drugs are bad merely because the law says they are whereas </w:t>
      </w:r>
      <w:r>
        <w:rPr>
          <w:rFonts w:cs="Times New Roman"/>
          <w:lang w:eastAsia="en-GB"/>
        </w:rPr>
        <w:t>cigarettes are</w:t>
      </w:r>
      <w:r w:rsidRPr="00C86EBE">
        <w:rPr>
          <w:rFonts w:cs="Times New Roman"/>
          <w:lang w:eastAsia="en-GB"/>
        </w:rPr>
        <w:t xml:space="preserve"> not </w:t>
      </w:r>
      <w:r>
        <w:rPr>
          <w:rFonts w:cs="Times New Roman"/>
          <w:lang w:eastAsia="en-GB"/>
        </w:rPr>
        <w:t>because the law permits them. This would not explain why the law is as it is (‘X is unlawful because the law says so’ is not a compelling justification). Also, if this were the case, many of his arguments</w:t>
      </w:r>
      <w:r w:rsidRPr="00C86EBE">
        <w:rPr>
          <w:rFonts w:cs="Times New Roman"/>
          <w:lang w:eastAsia="en-GB"/>
        </w:rPr>
        <w:t xml:space="preserve"> elsewhere would fall away (the principle in </w:t>
      </w:r>
      <w:r w:rsidRPr="00C86EBE">
        <w:rPr>
          <w:rFonts w:cs="Times New Roman"/>
          <w:i/>
          <w:lang w:eastAsia="en-GB"/>
        </w:rPr>
        <w:t>Hedley Byrne</w:t>
      </w:r>
      <w:r w:rsidRPr="00C86EBE">
        <w:rPr>
          <w:rFonts w:cs="Times New Roman"/>
          <w:lang w:eastAsia="en-GB"/>
        </w:rPr>
        <w:t xml:space="preserve"> is also part of the law but he does not </w:t>
      </w:r>
      <w:proofErr w:type="spellStart"/>
      <w:r w:rsidRPr="00C86EBE">
        <w:rPr>
          <w:rFonts w:cs="Times New Roman"/>
          <w:lang w:eastAsia="en-GB"/>
        </w:rPr>
        <w:t>resile</w:t>
      </w:r>
      <w:proofErr w:type="spellEnd"/>
      <w:r w:rsidRPr="00C86EBE">
        <w:rPr>
          <w:rFonts w:cs="Times New Roman"/>
          <w:lang w:eastAsia="en-GB"/>
        </w:rPr>
        <w:t xml:space="preserve"> from criticising it).</w:t>
      </w:r>
      <w:r>
        <w:rPr>
          <w:rFonts w:cs="Times New Roman"/>
          <w:lang w:eastAsia="en-GB"/>
        </w:rPr>
        <w:t xml:space="preserve"> </w:t>
      </w:r>
    </w:p>
    <w:p w14:paraId="6264B1F9" w14:textId="625A000D" w:rsidR="00635850" w:rsidRDefault="00635850" w:rsidP="00A610F8">
      <w:pPr>
        <w:spacing w:line="360" w:lineRule="auto"/>
        <w:ind w:firstLine="720"/>
        <w:rPr>
          <w:rFonts w:cs="Times New Roman"/>
          <w:lang w:eastAsia="en-GB"/>
        </w:rPr>
      </w:pPr>
      <w:r>
        <w:rPr>
          <w:rFonts w:cs="Times New Roman"/>
          <w:lang w:eastAsia="en-GB"/>
        </w:rPr>
        <w:t xml:space="preserve">Perhaps McBride is not referring to the general level but to specific owners of property. If so, his claim is also </w:t>
      </w:r>
      <w:r w:rsidR="001B303E">
        <w:rPr>
          <w:rFonts w:cs="Times New Roman"/>
          <w:lang w:eastAsia="en-GB"/>
        </w:rPr>
        <w:t>assailable</w:t>
      </w:r>
      <w:r>
        <w:rPr>
          <w:rFonts w:cs="Times New Roman"/>
          <w:lang w:eastAsia="en-GB"/>
        </w:rPr>
        <w:t>. I doubt whether McBride would perceive someone spending all day every day playing computer games as flourishing.</w:t>
      </w:r>
      <w:r>
        <w:rPr>
          <w:rStyle w:val="FootnoteReference"/>
          <w:rFonts w:cs="Times New Roman"/>
          <w:lang w:eastAsia="en-GB"/>
        </w:rPr>
        <w:footnoteReference w:id="105"/>
      </w:r>
      <w:r>
        <w:rPr>
          <w:rFonts w:cs="Times New Roman"/>
          <w:lang w:eastAsia="en-GB"/>
        </w:rPr>
        <w:t xml:space="preserve"> Yet such an individual could own a copy of </w:t>
      </w:r>
      <w:r>
        <w:rPr>
          <w:rFonts w:cs="Times New Roman"/>
          <w:i/>
          <w:lang w:eastAsia="en-GB"/>
        </w:rPr>
        <w:t>The Sims</w:t>
      </w:r>
      <w:r>
        <w:rPr>
          <w:rFonts w:cs="Times New Roman"/>
          <w:lang w:eastAsia="en-GB"/>
        </w:rPr>
        <w:t>. F therefore struggles to explain the law of property.</w:t>
      </w:r>
    </w:p>
    <w:p w14:paraId="1E7ABDDA" w14:textId="77777777" w:rsidR="00635850" w:rsidRPr="00C86EBE" w:rsidRDefault="00635850" w:rsidP="00A610F8">
      <w:pPr>
        <w:spacing w:line="360" w:lineRule="auto"/>
        <w:rPr>
          <w:rFonts w:cs="Times New Roman"/>
        </w:rPr>
      </w:pPr>
    </w:p>
    <w:p w14:paraId="65D2092B" w14:textId="33CA5729" w:rsidR="00635850" w:rsidRPr="00C87768" w:rsidRDefault="00635850" w:rsidP="00A610F8">
      <w:pPr>
        <w:pStyle w:val="ListParagraph"/>
        <w:numPr>
          <w:ilvl w:val="0"/>
          <w:numId w:val="4"/>
        </w:numPr>
        <w:spacing w:line="360" w:lineRule="auto"/>
        <w:rPr>
          <w:rFonts w:cs="Times New Roman"/>
          <w:b/>
        </w:rPr>
      </w:pPr>
      <w:r w:rsidRPr="00C87768">
        <w:rPr>
          <w:rFonts w:cs="Times New Roman"/>
          <w:b/>
        </w:rPr>
        <w:t>Contracts</w:t>
      </w:r>
    </w:p>
    <w:p w14:paraId="45B6A092" w14:textId="254A3EC9" w:rsidR="00635850" w:rsidRPr="00C86EBE" w:rsidRDefault="00635850" w:rsidP="00A610F8">
      <w:pPr>
        <w:spacing w:line="360" w:lineRule="auto"/>
        <w:rPr>
          <w:rFonts w:cs="Times New Roman"/>
          <w:lang w:eastAsia="en-GB"/>
        </w:rPr>
      </w:pPr>
      <w:r w:rsidRPr="00C86EBE">
        <w:rPr>
          <w:rFonts w:cs="Times New Roman"/>
          <w:lang w:eastAsia="en-GB"/>
        </w:rPr>
        <w:t>A similar criticism can be made about McBride’s explanation of contract</w:t>
      </w:r>
      <w:r>
        <w:rPr>
          <w:rFonts w:cs="Times New Roman"/>
          <w:lang w:eastAsia="en-GB"/>
        </w:rPr>
        <w:t xml:space="preserve"> law</w:t>
      </w:r>
      <w:r w:rsidRPr="00C86EBE">
        <w:rPr>
          <w:rFonts w:cs="Times New Roman"/>
          <w:lang w:eastAsia="en-GB"/>
        </w:rPr>
        <w:t>. Contract law is ‘solely’ concerned with ‘facilitating RP-flouri</w:t>
      </w:r>
      <w:r>
        <w:rPr>
          <w:rFonts w:cs="Times New Roman"/>
          <w:lang w:eastAsia="en-GB"/>
        </w:rPr>
        <w:t>shing enhancing exchanges’</w:t>
      </w:r>
      <w:r w:rsidRPr="00C86EBE">
        <w:rPr>
          <w:rFonts w:cs="Times New Roman"/>
          <w:lang w:eastAsia="en-GB"/>
        </w:rPr>
        <w:t>.</w:t>
      </w:r>
      <w:r>
        <w:rPr>
          <w:rStyle w:val="FootnoteReference"/>
          <w:rFonts w:cs="Times New Roman"/>
          <w:lang w:eastAsia="en-GB"/>
        </w:rPr>
        <w:footnoteReference w:id="106"/>
      </w:r>
      <w:r w:rsidRPr="00C86EBE">
        <w:rPr>
          <w:rFonts w:cs="Times New Roman"/>
          <w:lang w:eastAsia="en-GB"/>
        </w:rPr>
        <w:t xml:space="preserve"> Exchanges that ‘would be expected </w:t>
      </w:r>
      <w:r w:rsidRPr="00C86EBE">
        <w:rPr>
          <w:rFonts w:cs="Times New Roman"/>
          <w:i/>
          <w:lang w:eastAsia="en-GB"/>
        </w:rPr>
        <w:t xml:space="preserve">not </w:t>
      </w:r>
      <w:r w:rsidRPr="00C86EBE">
        <w:rPr>
          <w:rFonts w:cs="Times New Roman"/>
          <w:lang w:eastAsia="en-GB"/>
        </w:rPr>
        <w:t xml:space="preserve">to promote, but instead to damage, the RP-flourishing of one or both of the parties to the exchange will receive little to no support </w:t>
      </w:r>
      <w:r>
        <w:rPr>
          <w:rFonts w:cs="Times New Roman"/>
          <w:lang w:eastAsia="en-GB"/>
        </w:rPr>
        <w:t>from the law of contract.’</w:t>
      </w:r>
      <w:r>
        <w:rPr>
          <w:rStyle w:val="FootnoteReference"/>
          <w:rFonts w:cs="Times New Roman"/>
          <w:lang w:eastAsia="en-GB"/>
        </w:rPr>
        <w:footnoteReference w:id="107"/>
      </w:r>
      <w:r w:rsidRPr="00C86EBE">
        <w:rPr>
          <w:rFonts w:cs="Times New Roman"/>
          <w:lang w:eastAsia="en-GB"/>
        </w:rPr>
        <w:t xml:space="preserve"> </w:t>
      </w:r>
      <w:r>
        <w:rPr>
          <w:rFonts w:cs="Times New Roman"/>
          <w:lang w:eastAsia="en-GB"/>
        </w:rPr>
        <w:t>Consequently</w:t>
      </w:r>
      <w:r w:rsidRPr="00C86EBE">
        <w:rPr>
          <w:rFonts w:cs="Times New Roman"/>
          <w:lang w:eastAsia="en-GB"/>
        </w:rPr>
        <w:t>, if ‘a particular type of exchange is likely – should it become sufficiently common – to harm people’s general capacities for RP-flourishing, then contract law would refuse to encourage or support the making o</w:t>
      </w:r>
      <w:r>
        <w:rPr>
          <w:rFonts w:cs="Times New Roman"/>
          <w:lang w:eastAsia="en-GB"/>
        </w:rPr>
        <w:t>f that type of exchange.’</w:t>
      </w:r>
      <w:r>
        <w:rPr>
          <w:rStyle w:val="FootnoteReference"/>
          <w:rFonts w:cs="Times New Roman"/>
          <w:lang w:eastAsia="en-GB"/>
        </w:rPr>
        <w:footnoteReference w:id="108"/>
      </w:r>
      <w:r>
        <w:rPr>
          <w:rFonts w:cs="Times New Roman"/>
          <w:lang w:eastAsia="en-GB"/>
        </w:rPr>
        <w:t xml:space="preserve"> Such is the theory, at least. Yet, to use the example given above, contracts for the sale of cigarettes are still permitted despite not promoting flourishing at the general level. And contracts for the sale of alcohol to alcoholics are permitted, indicating that this argument is not true in respect to specific contracts.</w:t>
      </w:r>
    </w:p>
    <w:p w14:paraId="0A3AD4BD" w14:textId="0F1D4046" w:rsidR="00635850" w:rsidRPr="00C86EBE" w:rsidRDefault="00635850" w:rsidP="00A610F8">
      <w:pPr>
        <w:spacing w:line="360" w:lineRule="auto"/>
        <w:ind w:firstLine="720"/>
        <w:rPr>
          <w:rFonts w:cs="Times New Roman"/>
          <w:lang w:eastAsia="en-GB"/>
        </w:rPr>
      </w:pPr>
      <w:r w:rsidRPr="00C86EBE">
        <w:rPr>
          <w:rFonts w:cs="Times New Roman"/>
          <w:lang w:eastAsia="en-GB"/>
        </w:rPr>
        <w:t>McBride believes that the fact</w:t>
      </w:r>
      <w:r>
        <w:rPr>
          <w:rFonts w:cs="Times New Roman"/>
          <w:lang w:eastAsia="en-GB"/>
        </w:rPr>
        <w:t xml:space="preserve"> that agreements to pay for sex,</w:t>
      </w:r>
      <w:r w:rsidRPr="00C86EBE">
        <w:rPr>
          <w:rFonts w:cs="Times New Roman"/>
          <w:lang w:eastAsia="en-GB"/>
        </w:rPr>
        <w:t xml:space="preserve"> babies</w:t>
      </w:r>
      <w:r>
        <w:rPr>
          <w:rFonts w:cs="Times New Roman"/>
          <w:lang w:eastAsia="en-GB"/>
        </w:rPr>
        <w:t xml:space="preserve"> and body parts</w:t>
      </w:r>
      <w:r w:rsidRPr="00C86EBE">
        <w:rPr>
          <w:rFonts w:cs="Times New Roman"/>
          <w:lang w:eastAsia="en-GB"/>
        </w:rPr>
        <w:t xml:space="preserve"> are all legally unenforceable supports his claim. If such things could be bought and sold then society would ‘quickly become divided into a master class and a servant class for s</w:t>
      </w:r>
      <w:r>
        <w:rPr>
          <w:rFonts w:cs="Times New Roman"/>
          <w:lang w:eastAsia="en-GB"/>
        </w:rPr>
        <w:t xml:space="preserve">ex, babies </w:t>
      </w:r>
      <w:r>
        <w:rPr>
          <w:rFonts w:cs="Times New Roman"/>
          <w:lang w:eastAsia="en-GB"/>
        </w:rPr>
        <w:lastRenderedPageBreak/>
        <w:t>and body parts’</w:t>
      </w:r>
      <w:r w:rsidRPr="00C86EBE">
        <w:rPr>
          <w:rFonts w:cs="Times New Roman"/>
          <w:lang w:eastAsia="en-GB"/>
        </w:rPr>
        <w:t>.</w:t>
      </w:r>
      <w:r>
        <w:rPr>
          <w:rStyle w:val="FootnoteReference"/>
          <w:rFonts w:cs="Times New Roman"/>
          <w:lang w:eastAsia="en-GB"/>
        </w:rPr>
        <w:footnoteReference w:id="109"/>
      </w:r>
      <w:r w:rsidRPr="00C86EBE">
        <w:rPr>
          <w:rFonts w:cs="Times New Roman"/>
          <w:lang w:eastAsia="en-GB"/>
        </w:rPr>
        <w:t xml:space="preserve"> Those without independent wealth ‘would have little choice but to join the servant class, and those with independent wealth could hardly be expected to resist the temptation to become me</w:t>
      </w:r>
      <w:r>
        <w:rPr>
          <w:rFonts w:cs="Times New Roman"/>
          <w:lang w:eastAsia="en-GB"/>
        </w:rPr>
        <w:t>mbers of the master class’</w:t>
      </w:r>
      <w:r w:rsidRPr="00C86EBE">
        <w:rPr>
          <w:rFonts w:cs="Times New Roman"/>
          <w:lang w:eastAsia="en-GB"/>
        </w:rPr>
        <w:t>.</w:t>
      </w:r>
      <w:r>
        <w:rPr>
          <w:rStyle w:val="FootnoteReference"/>
          <w:rFonts w:cs="Times New Roman"/>
          <w:lang w:eastAsia="en-GB"/>
        </w:rPr>
        <w:footnoteReference w:id="110"/>
      </w:r>
      <w:r w:rsidRPr="00C86EBE">
        <w:rPr>
          <w:rFonts w:cs="Times New Roman"/>
          <w:lang w:eastAsia="en-GB"/>
        </w:rPr>
        <w:t xml:space="preserve"> McBride maintains that: </w:t>
      </w:r>
    </w:p>
    <w:p w14:paraId="0E000605" w14:textId="77777777" w:rsidR="00635850" w:rsidRPr="00C86EBE" w:rsidRDefault="00635850" w:rsidP="00A610F8">
      <w:pPr>
        <w:spacing w:line="360" w:lineRule="auto"/>
        <w:ind w:left="562" w:right="562"/>
        <w:rPr>
          <w:rFonts w:cs="Times New Roman"/>
          <w:lang w:eastAsia="en-GB"/>
        </w:rPr>
      </w:pPr>
      <w:r w:rsidRPr="00C86EBE">
        <w:rPr>
          <w:rFonts w:cs="Times New Roman"/>
          <w:lang w:eastAsia="en-GB"/>
        </w:rPr>
        <w:t>While the law of contract cannot prevent such a society coming into existence – for all we know, it may be coming into existence right now – it can disrupt the creation of such a society by refusing legal enforcement to arrangements for the sale and purchase of sex, babies and body organs. And that is precisely what i</w:t>
      </w:r>
      <w:r>
        <w:rPr>
          <w:rFonts w:cs="Times New Roman"/>
          <w:lang w:eastAsia="en-GB"/>
        </w:rPr>
        <w:t>t does.</w:t>
      </w:r>
      <w:r>
        <w:rPr>
          <w:rStyle w:val="FootnoteReference"/>
          <w:rFonts w:cs="Times New Roman"/>
          <w:lang w:eastAsia="en-GB"/>
        </w:rPr>
        <w:footnoteReference w:id="111"/>
      </w:r>
    </w:p>
    <w:p w14:paraId="31F39980" w14:textId="77777777" w:rsidR="00635850" w:rsidRPr="00C86EBE" w:rsidRDefault="00635850" w:rsidP="00A610F8">
      <w:pPr>
        <w:spacing w:line="360" w:lineRule="auto"/>
        <w:ind w:right="567"/>
        <w:rPr>
          <w:rFonts w:cs="Times New Roman"/>
          <w:lang w:eastAsia="en-GB"/>
        </w:rPr>
      </w:pPr>
    </w:p>
    <w:p w14:paraId="5EC9EC48" w14:textId="45F43B00" w:rsidR="00635850" w:rsidRDefault="00635850" w:rsidP="00A610F8">
      <w:pPr>
        <w:spacing w:line="360" w:lineRule="auto"/>
        <w:rPr>
          <w:rFonts w:cs="Times New Roman"/>
          <w:lang w:eastAsia="en-GB"/>
        </w:rPr>
      </w:pPr>
      <w:r>
        <w:rPr>
          <w:rFonts w:cs="Times New Roman"/>
          <w:lang w:eastAsia="en-GB"/>
        </w:rPr>
        <w:t xml:space="preserve">Readers </w:t>
      </w:r>
      <w:r w:rsidRPr="00C86EBE">
        <w:rPr>
          <w:rFonts w:cs="Times New Roman"/>
          <w:lang w:eastAsia="en-GB"/>
        </w:rPr>
        <w:t>with a less active i</w:t>
      </w:r>
      <w:r>
        <w:rPr>
          <w:rFonts w:cs="Times New Roman"/>
          <w:lang w:eastAsia="en-GB"/>
        </w:rPr>
        <w:t>magination may dispute this lurid picture</w:t>
      </w:r>
      <w:r w:rsidRPr="00C86EBE">
        <w:rPr>
          <w:rFonts w:cs="Times New Roman"/>
          <w:lang w:eastAsia="en-GB"/>
        </w:rPr>
        <w:t xml:space="preserve">. Leaving to one side the idea that the surrogacy contract is </w:t>
      </w:r>
      <w:r>
        <w:rPr>
          <w:rFonts w:cs="Times New Roman"/>
          <w:lang w:eastAsia="en-GB"/>
        </w:rPr>
        <w:t>one</w:t>
      </w:r>
      <w:r w:rsidRPr="00C86EBE">
        <w:rPr>
          <w:rFonts w:cs="Times New Roman"/>
          <w:lang w:eastAsia="en-GB"/>
        </w:rPr>
        <w:t xml:space="preserve"> for a baby rather than a service,</w:t>
      </w:r>
      <w:r w:rsidRPr="00C86EBE">
        <w:rPr>
          <w:rFonts w:cs="Times New Roman"/>
          <w:vertAlign w:val="superscript"/>
          <w:lang w:eastAsia="en-GB"/>
        </w:rPr>
        <w:footnoteReference w:id="112"/>
      </w:r>
      <w:r w:rsidRPr="00C86EBE">
        <w:rPr>
          <w:rFonts w:cs="Times New Roman"/>
          <w:lang w:eastAsia="en-GB"/>
        </w:rPr>
        <w:t xml:space="preserve"> </w:t>
      </w:r>
      <w:r w:rsidRPr="00631935">
        <w:rPr>
          <w:rFonts w:cs="Times New Roman"/>
          <w:lang w:eastAsia="en-GB"/>
        </w:rPr>
        <w:t>the jurisdictions</w:t>
      </w:r>
      <w:r w:rsidRPr="00C86EBE">
        <w:rPr>
          <w:rFonts w:cs="Times New Roman"/>
          <w:lang w:eastAsia="en-GB"/>
        </w:rPr>
        <w:t xml:space="preserve"> where surrogacy contracts are enforceable</w:t>
      </w:r>
      <w:r>
        <w:rPr>
          <w:rFonts w:cs="Times New Roman"/>
          <w:lang w:eastAsia="en-GB"/>
        </w:rPr>
        <w:t>, such as California,</w:t>
      </w:r>
      <w:r w:rsidRPr="00C86EBE">
        <w:rPr>
          <w:rFonts w:cs="Times New Roman"/>
          <w:lang w:eastAsia="en-GB"/>
        </w:rPr>
        <w:t xml:space="preserve"> have not resulted in society being divided into a master and servant class, any more than the UK at present.</w:t>
      </w:r>
      <w:r>
        <w:rPr>
          <w:rStyle w:val="FootnoteReference"/>
          <w:rFonts w:cs="Times New Roman"/>
          <w:lang w:eastAsia="en-GB"/>
        </w:rPr>
        <w:footnoteReference w:id="113"/>
      </w:r>
      <w:r w:rsidRPr="00C86EBE">
        <w:rPr>
          <w:rFonts w:cs="Times New Roman"/>
          <w:lang w:eastAsia="en-GB"/>
        </w:rPr>
        <w:t xml:space="preserve"> Similar points can be made with the selling of sex. Is New Zealand where, sex work is fully decriminalised, such a society?</w:t>
      </w:r>
      <w:r w:rsidRPr="00C86EBE">
        <w:rPr>
          <w:rFonts w:cs="Times New Roman"/>
          <w:vertAlign w:val="superscript"/>
          <w:lang w:eastAsia="en-GB"/>
        </w:rPr>
        <w:footnoteReference w:id="114"/>
      </w:r>
      <w:r w:rsidRPr="00C86EBE">
        <w:rPr>
          <w:rFonts w:cs="Times New Roman"/>
          <w:lang w:eastAsia="en-GB"/>
        </w:rPr>
        <w:t xml:space="preserve"> </w:t>
      </w:r>
      <w:r w:rsidRPr="00963763">
        <w:rPr>
          <w:rFonts w:cs="Times New Roman"/>
          <w:lang w:eastAsia="en-GB"/>
        </w:rPr>
        <w:t>As an explanation of</w:t>
      </w:r>
      <w:r w:rsidRPr="00C86EBE">
        <w:rPr>
          <w:rFonts w:cs="Times New Roman"/>
          <w:lang w:eastAsia="en-GB"/>
        </w:rPr>
        <w:t xml:space="preserve"> why these contracts are considered, by some, to be objectionable</w:t>
      </w:r>
      <w:r w:rsidRPr="00963763">
        <w:rPr>
          <w:rFonts w:cs="Times New Roman"/>
          <w:lang w:eastAsia="en-GB"/>
        </w:rPr>
        <w:t>, this reasoning appears distinctly dubious.</w:t>
      </w:r>
      <w:r>
        <w:rPr>
          <w:rFonts w:cs="Times New Roman"/>
          <w:lang w:eastAsia="en-GB"/>
        </w:rPr>
        <w:t xml:space="preserve"> </w:t>
      </w:r>
      <w:r w:rsidR="00D20C61">
        <w:rPr>
          <w:rFonts w:cs="Times New Roman"/>
          <w:lang w:eastAsia="en-GB"/>
        </w:rPr>
        <w:t>Whatever one thinks about the potential of such contracts to promote flourishing, t</w:t>
      </w:r>
      <w:r>
        <w:rPr>
          <w:rFonts w:cs="Times New Roman"/>
          <w:lang w:eastAsia="en-GB"/>
        </w:rPr>
        <w:t>he main</w:t>
      </w:r>
      <w:r w:rsidRPr="00963763">
        <w:rPr>
          <w:rFonts w:cs="Times New Roman"/>
          <w:lang w:eastAsia="en-GB"/>
        </w:rPr>
        <w:t xml:space="preserve"> impetus for the Surrogacy Arrangements Act 1985 was the ‘moral panic’</w:t>
      </w:r>
      <w:r>
        <w:rPr>
          <w:rFonts w:cs="Times New Roman"/>
          <w:lang w:eastAsia="en-GB"/>
        </w:rPr>
        <w:t xml:space="preserve"> of the Baby Cotton affair and</w:t>
      </w:r>
      <w:r w:rsidRPr="00963763">
        <w:rPr>
          <w:rFonts w:cs="Times New Roman"/>
          <w:lang w:eastAsia="en-GB"/>
        </w:rPr>
        <w:t xml:space="preserve"> </w:t>
      </w:r>
      <w:r>
        <w:rPr>
          <w:rFonts w:cs="Times New Roman"/>
          <w:lang w:eastAsia="en-GB"/>
        </w:rPr>
        <w:t xml:space="preserve">a </w:t>
      </w:r>
      <w:r w:rsidRPr="00963763">
        <w:rPr>
          <w:rFonts w:cs="Times New Roman"/>
          <w:lang w:eastAsia="en-GB"/>
        </w:rPr>
        <w:t xml:space="preserve">concern for the welfare of children born </w:t>
      </w:r>
      <w:proofErr w:type="gramStart"/>
      <w:r w:rsidRPr="00963763">
        <w:rPr>
          <w:rFonts w:cs="Times New Roman"/>
          <w:lang w:eastAsia="en-GB"/>
        </w:rPr>
        <w:t>as a result of</w:t>
      </w:r>
      <w:proofErr w:type="gramEnd"/>
      <w:r w:rsidRPr="00963763">
        <w:rPr>
          <w:rFonts w:cs="Times New Roman"/>
          <w:lang w:eastAsia="en-GB"/>
        </w:rPr>
        <w:t xml:space="preserve"> such arrangements.</w:t>
      </w:r>
      <w:r w:rsidRPr="00963763">
        <w:rPr>
          <w:rStyle w:val="FootnoteReference"/>
          <w:rFonts w:cs="Times New Roman"/>
          <w:lang w:eastAsia="en-GB"/>
        </w:rPr>
        <w:footnoteReference w:id="115"/>
      </w:r>
    </w:p>
    <w:p w14:paraId="6D8C8B21" w14:textId="5C06FEFB" w:rsidR="00635850" w:rsidRPr="00C86EBE" w:rsidRDefault="00635850" w:rsidP="00A610F8">
      <w:pPr>
        <w:spacing w:line="360" w:lineRule="auto"/>
        <w:ind w:firstLine="720"/>
        <w:rPr>
          <w:rFonts w:cs="Times New Roman"/>
          <w:lang w:eastAsia="en-GB"/>
        </w:rPr>
      </w:pPr>
      <w:r w:rsidRPr="00C86EBE">
        <w:rPr>
          <w:rFonts w:cs="Times New Roman"/>
          <w:lang w:eastAsia="en-GB"/>
        </w:rPr>
        <w:t xml:space="preserve">In any event, even if McBride </w:t>
      </w:r>
      <w:r>
        <w:rPr>
          <w:rFonts w:cs="Times New Roman"/>
          <w:i/>
          <w:lang w:eastAsia="en-GB"/>
        </w:rPr>
        <w:t>is</w:t>
      </w:r>
      <w:r w:rsidRPr="00C86EBE">
        <w:rPr>
          <w:rFonts w:cs="Times New Roman"/>
          <w:lang w:eastAsia="en-GB"/>
        </w:rPr>
        <w:t xml:space="preserve"> correct about surrogacy and sex, his argument proves too much. The view that contract law would try to prevent a master and servant class is hard to </w:t>
      </w:r>
      <w:r w:rsidRPr="00C86EBE">
        <w:rPr>
          <w:rFonts w:cs="Times New Roman"/>
          <w:lang w:eastAsia="en-GB"/>
        </w:rPr>
        <w:lastRenderedPageBreak/>
        <w:t xml:space="preserve">take seriously when one considers that the law literally allows contracts for someone to become a servant. </w:t>
      </w:r>
      <w:r>
        <w:rPr>
          <w:rFonts w:cs="Times New Roman"/>
          <w:lang w:eastAsia="en-GB"/>
        </w:rPr>
        <w:t>Why would contract law be opposed to a master and servant class for sex, body parts and babies but have no qualms about such a class developing for other goods and services? If private law wanted to prevent a master-servant society then drastic reform of many employment contracts would be a better place to start.</w:t>
      </w:r>
    </w:p>
    <w:p w14:paraId="43C264FA" w14:textId="77777777" w:rsidR="00635850" w:rsidRPr="00C86EBE" w:rsidRDefault="00635850" w:rsidP="00A610F8">
      <w:pPr>
        <w:spacing w:line="360" w:lineRule="auto"/>
        <w:rPr>
          <w:rFonts w:cs="Times New Roman"/>
          <w:lang w:eastAsia="en-GB"/>
        </w:rPr>
      </w:pPr>
    </w:p>
    <w:p w14:paraId="13A8AB8E" w14:textId="0FDAEB79" w:rsidR="00635850" w:rsidRPr="00C87768" w:rsidRDefault="00635850" w:rsidP="00A610F8">
      <w:pPr>
        <w:pStyle w:val="ListParagraph"/>
        <w:numPr>
          <w:ilvl w:val="0"/>
          <w:numId w:val="4"/>
        </w:numPr>
        <w:spacing w:line="360" w:lineRule="auto"/>
        <w:rPr>
          <w:rFonts w:cs="Times New Roman"/>
          <w:lang w:eastAsia="en-GB"/>
        </w:rPr>
      </w:pPr>
      <w:r w:rsidRPr="00C87768">
        <w:rPr>
          <w:rFonts w:cs="Times New Roman"/>
          <w:b/>
          <w:lang w:eastAsia="en-GB"/>
        </w:rPr>
        <w:t>Whose flourishing?</w:t>
      </w:r>
    </w:p>
    <w:p w14:paraId="48CA2D2B" w14:textId="2A19E2E3" w:rsidR="00635850" w:rsidRPr="00C86EBE" w:rsidRDefault="00635850" w:rsidP="00A610F8">
      <w:pPr>
        <w:spacing w:line="360" w:lineRule="auto"/>
        <w:rPr>
          <w:rFonts w:cs="Times New Roman"/>
          <w:lang w:eastAsia="en-GB"/>
        </w:rPr>
      </w:pPr>
      <w:r w:rsidRPr="00C86EBE">
        <w:rPr>
          <w:rFonts w:cs="Times New Roman"/>
          <w:lang w:eastAsia="en-GB"/>
        </w:rPr>
        <w:t xml:space="preserve">This brings us to another </w:t>
      </w:r>
      <w:r w:rsidR="00B212E6">
        <w:rPr>
          <w:rFonts w:cs="Times New Roman"/>
          <w:lang w:eastAsia="en-GB"/>
        </w:rPr>
        <w:t>weakness</w:t>
      </w:r>
      <w:r w:rsidRPr="00C86EBE">
        <w:rPr>
          <w:rFonts w:cs="Times New Roman"/>
          <w:lang w:eastAsia="en-GB"/>
        </w:rPr>
        <w:t xml:space="preserve"> with McBride’s explanation. It is not clear whether F is concerned with the flourishing of the </w:t>
      </w:r>
      <w:r>
        <w:rPr>
          <w:rFonts w:cs="Times New Roman"/>
          <w:lang w:eastAsia="en-GB"/>
        </w:rPr>
        <w:t xml:space="preserve">individual </w:t>
      </w:r>
      <w:r w:rsidRPr="00C86EBE">
        <w:rPr>
          <w:rFonts w:cs="Times New Roman"/>
          <w:lang w:eastAsia="en-GB"/>
        </w:rPr>
        <w:t xml:space="preserve">parties to a case or society </w:t>
      </w:r>
      <w:r>
        <w:rPr>
          <w:rFonts w:cs="Times New Roman"/>
          <w:lang w:eastAsia="en-GB"/>
        </w:rPr>
        <w:t>at large. With companies, he outline</w:t>
      </w:r>
      <w:r w:rsidRPr="00C86EBE">
        <w:rPr>
          <w:rFonts w:cs="Times New Roman"/>
          <w:lang w:eastAsia="en-GB"/>
        </w:rPr>
        <w:t xml:space="preserve">s </w:t>
      </w:r>
      <w:r>
        <w:rPr>
          <w:rFonts w:cs="Times New Roman"/>
          <w:lang w:eastAsia="en-GB"/>
        </w:rPr>
        <w:t>their benefits</w:t>
      </w:r>
      <w:r w:rsidRPr="00C86EBE">
        <w:rPr>
          <w:rFonts w:cs="Times New Roman"/>
          <w:lang w:eastAsia="en-GB"/>
        </w:rPr>
        <w:t xml:space="preserve"> thus:</w:t>
      </w:r>
    </w:p>
    <w:p w14:paraId="0F33A882" w14:textId="36B61CEE" w:rsidR="00635850" w:rsidRPr="00C86EBE" w:rsidRDefault="00635850" w:rsidP="00A610F8">
      <w:pPr>
        <w:spacing w:line="360" w:lineRule="auto"/>
        <w:ind w:left="567" w:right="567"/>
        <w:rPr>
          <w:rFonts w:cs="Times New Roman"/>
          <w:lang w:eastAsia="en-GB"/>
        </w:rPr>
      </w:pPr>
      <w:r w:rsidRPr="00C86EBE">
        <w:rPr>
          <w:rFonts w:cs="Times New Roman"/>
          <w:lang w:eastAsia="en-GB"/>
        </w:rPr>
        <w:t>The natural advantages that companies possess in performing the function of creating and supplying goods and services is a large part of the reason why modern Western liberal societies have experienced a “great enrichment” over the last 200 years or so, becoming far wealthier – by order</w:t>
      </w:r>
      <w:r>
        <w:rPr>
          <w:rFonts w:cs="Times New Roman"/>
          <w:lang w:eastAsia="en-GB"/>
        </w:rPr>
        <w:t>s</w:t>
      </w:r>
      <w:r w:rsidRPr="00C86EBE">
        <w:rPr>
          <w:rFonts w:cs="Times New Roman"/>
          <w:lang w:eastAsia="en-GB"/>
        </w:rPr>
        <w:t xml:space="preserve"> of thousands of per cent – than their predecessors. Without companies, it would simply not be possible for as many people to</w:t>
      </w:r>
      <w:r>
        <w:rPr>
          <w:rFonts w:cs="Times New Roman"/>
          <w:lang w:eastAsia="en-GB"/>
        </w:rPr>
        <w:t xml:space="preserve"> RP-flourish as they do today.</w:t>
      </w:r>
      <w:r>
        <w:rPr>
          <w:rStyle w:val="FootnoteReference"/>
          <w:rFonts w:cs="Times New Roman"/>
          <w:lang w:eastAsia="en-GB"/>
        </w:rPr>
        <w:footnoteReference w:id="116"/>
      </w:r>
    </w:p>
    <w:p w14:paraId="4BD44D8E" w14:textId="77777777" w:rsidR="00635850" w:rsidRPr="00C86EBE" w:rsidRDefault="00635850" w:rsidP="00A610F8">
      <w:pPr>
        <w:spacing w:line="360" w:lineRule="auto"/>
        <w:rPr>
          <w:rFonts w:cs="Times New Roman"/>
          <w:lang w:eastAsia="en-GB"/>
        </w:rPr>
      </w:pPr>
    </w:p>
    <w:p w14:paraId="2AB0219F" w14:textId="2932E541" w:rsidR="00635850" w:rsidRPr="00C86EBE" w:rsidRDefault="00635850" w:rsidP="00A610F8">
      <w:pPr>
        <w:spacing w:line="360" w:lineRule="auto"/>
        <w:rPr>
          <w:rFonts w:cs="Times New Roman"/>
          <w:lang w:eastAsia="en-GB"/>
        </w:rPr>
      </w:pPr>
      <w:r>
        <w:rPr>
          <w:rFonts w:cs="Times New Roman"/>
          <w:iCs/>
          <w:lang w:eastAsia="en-GB"/>
        </w:rPr>
        <w:t xml:space="preserve">Aspects of this statement can be contested but </w:t>
      </w:r>
      <w:r w:rsidR="002A320F">
        <w:rPr>
          <w:rFonts w:cs="Times New Roman"/>
          <w:iCs/>
          <w:lang w:eastAsia="en-GB"/>
        </w:rPr>
        <w:t>w</w:t>
      </w:r>
      <w:r w:rsidRPr="00C86EBE">
        <w:rPr>
          <w:rFonts w:cs="Times New Roman"/>
          <w:lang w:eastAsia="en-GB"/>
        </w:rPr>
        <w:t xml:space="preserve">hat is of interest here is that McBride does not rely upon these supposed benefits to society brought by companies. </w:t>
      </w:r>
      <w:r>
        <w:rPr>
          <w:rFonts w:cs="Times New Roman"/>
          <w:lang w:eastAsia="en-GB"/>
        </w:rPr>
        <w:t>His</w:t>
      </w:r>
      <w:r w:rsidRPr="00C86EBE">
        <w:rPr>
          <w:rFonts w:cs="Times New Roman"/>
          <w:lang w:eastAsia="en-GB"/>
        </w:rPr>
        <w:t xml:space="preserve"> </w:t>
      </w:r>
      <w:r w:rsidRPr="007B30C2">
        <w:rPr>
          <w:rFonts w:cs="Times New Roman"/>
          <w:lang w:eastAsia="en-GB"/>
        </w:rPr>
        <w:t>Transaction Claim</w:t>
      </w:r>
      <w:r>
        <w:rPr>
          <w:rFonts w:cs="Times New Roman"/>
          <w:lang w:eastAsia="en-GB"/>
        </w:rPr>
        <w:t xml:space="preserve"> states</w:t>
      </w:r>
      <w:r w:rsidRPr="00C86EBE">
        <w:rPr>
          <w:rFonts w:cs="Times New Roman"/>
          <w:lang w:eastAsia="en-GB"/>
        </w:rPr>
        <w:t xml:space="preserve"> that ‘you are empowered to create a company not because your doing so will enhance </w:t>
      </w:r>
      <w:r w:rsidRPr="00C86EBE">
        <w:rPr>
          <w:rFonts w:cs="Times New Roman"/>
          <w:i/>
          <w:lang w:eastAsia="en-GB"/>
        </w:rPr>
        <w:t>other people’s</w:t>
      </w:r>
      <w:r w:rsidRPr="00C86EBE">
        <w:rPr>
          <w:rFonts w:cs="Times New Roman"/>
          <w:lang w:eastAsia="en-GB"/>
        </w:rPr>
        <w:t xml:space="preserve"> RP-flourishing, but because</w:t>
      </w:r>
      <w:r>
        <w:rPr>
          <w:rFonts w:cs="Times New Roman"/>
          <w:lang w:eastAsia="en-GB"/>
        </w:rPr>
        <w:t xml:space="preserve"> it will enhance your own’</w:t>
      </w:r>
      <w:r w:rsidRPr="00C86EBE">
        <w:rPr>
          <w:rFonts w:cs="Times New Roman"/>
          <w:lang w:eastAsia="en-GB"/>
        </w:rPr>
        <w:t>.</w:t>
      </w:r>
      <w:r>
        <w:rPr>
          <w:rStyle w:val="FootnoteReference"/>
          <w:rFonts w:cs="Times New Roman"/>
          <w:lang w:eastAsia="en-GB"/>
        </w:rPr>
        <w:footnoteReference w:id="117"/>
      </w:r>
      <w:r>
        <w:rPr>
          <w:rFonts w:cs="Times New Roman"/>
          <w:lang w:eastAsia="en-GB"/>
        </w:rPr>
        <w:t xml:space="preserve"> In other words, F</w:t>
      </w:r>
      <w:r w:rsidRPr="00C86EBE">
        <w:rPr>
          <w:rFonts w:cs="Times New Roman"/>
          <w:lang w:eastAsia="en-GB"/>
        </w:rPr>
        <w:t xml:space="preserve"> is not concerned with the flourish</w:t>
      </w:r>
      <w:r>
        <w:rPr>
          <w:rFonts w:cs="Times New Roman"/>
          <w:lang w:eastAsia="en-GB"/>
        </w:rPr>
        <w:t xml:space="preserve">ing of society </w:t>
      </w:r>
      <w:proofErr w:type="gramStart"/>
      <w:r>
        <w:rPr>
          <w:rFonts w:cs="Times New Roman"/>
          <w:lang w:eastAsia="en-GB"/>
        </w:rPr>
        <w:t>as a whole but</w:t>
      </w:r>
      <w:proofErr w:type="gramEnd"/>
      <w:r>
        <w:rPr>
          <w:rFonts w:cs="Times New Roman"/>
          <w:lang w:eastAsia="en-GB"/>
        </w:rPr>
        <w:t xml:space="preserve"> with</w:t>
      </w:r>
      <w:r w:rsidRPr="00C86EBE">
        <w:rPr>
          <w:rFonts w:cs="Times New Roman"/>
          <w:lang w:eastAsia="en-GB"/>
        </w:rPr>
        <w:t xml:space="preserve"> the flourishing of individuals who set up companies. Apparently, </w:t>
      </w:r>
      <w:r>
        <w:rPr>
          <w:rFonts w:cs="Times New Roman"/>
        </w:rPr>
        <w:t>companies</w:t>
      </w:r>
      <w:r w:rsidRPr="00C86EBE">
        <w:rPr>
          <w:rFonts w:cs="Times New Roman"/>
        </w:rPr>
        <w:t xml:space="preserve"> promote the goods of ‘</w:t>
      </w:r>
      <w:r w:rsidRPr="00C86EBE">
        <w:rPr>
          <w:rFonts w:cs="Times New Roman"/>
          <w:lang w:eastAsia="en-GB"/>
        </w:rPr>
        <w:t xml:space="preserve">friendship, creativity, satisfying a “desire of the heart” to see some </w:t>
      </w:r>
      <w:r w:rsidRPr="00E3266A">
        <w:rPr>
          <w:rFonts w:cs="Times New Roman"/>
          <w:lang w:eastAsia="en-GB"/>
        </w:rPr>
        <w:t>meaningful project or cause</w:t>
      </w:r>
      <w:r>
        <w:rPr>
          <w:rFonts w:cs="Times New Roman"/>
          <w:lang w:eastAsia="en-GB"/>
        </w:rPr>
        <w:t xml:space="preserve"> </w:t>
      </w:r>
      <w:r w:rsidRPr="00C86EBE">
        <w:rPr>
          <w:rFonts w:cs="Times New Roman"/>
          <w:lang w:eastAsia="en-GB"/>
        </w:rPr>
        <w:t>promoted or pursued, and identifying with how one’s life is going’</w:t>
      </w:r>
      <w:r>
        <w:rPr>
          <w:rFonts w:cs="Times New Roman"/>
          <w:lang w:eastAsia="en-GB"/>
        </w:rPr>
        <w:t>.</w:t>
      </w:r>
      <w:r>
        <w:rPr>
          <w:rStyle w:val="FootnoteReference"/>
          <w:rFonts w:cs="Times New Roman"/>
          <w:lang w:eastAsia="en-GB"/>
        </w:rPr>
        <w:footnoteReference w:id="118"/>
      </w:r>
    </w:p>
    <w:p w14:paraId="040D7FA4" w14:textId="643392DF" w:rsidR="00635850" w:rsidRDefault="00635850" w:rsidP="00A610F8">
      <w:pPr>
        <w:spacing w:line="360" w:lineRule="auto"/>
        <w:ind w:firstLine="720"/>
        <w:rPr>
          <w:rFonts w:cs="Times New Roman"/>
          <w:lang w:eastAsia="en-GB"/>
        </w:rPr>
      </w:pPr>
      <w:r w:rsidRPr="00C86EBE">
        <w:rPr>
          <w:rFonts w:cs="Times New Roman"/>
          <w:lang w:eastAsia="en-GB"/>
        </w:rPr>
        <w:t>There are several problems with this analysis.</w:t>
      </w:r>
      <w:r>
        <w:rPr>
          <w:rFonts w:cs="Times New Roman"/>
          <w:lang w:eastAsia="en-GB"/>
        </w:rPr>
        <w:t xml:space="preserve"> S</w:t>
      </w:r>
      <w:r w:rsidRPr="00C86EBE">
        <w:rPr>
          <w:rFonts w:cs="Times New Roman"/>
          <w:lang w:eastAsia="en-GB"/>
        </w:rPr>
        <w:t xml:space="preserve">etting up a company might be good for the flourishing of </w:t>
      </w:r>
      <w:r>
        <w:rPr>
          <w:rFonts w:cs="Times New Roman"/>
          <w:lang w:eastAsia="en-GB"/>
        </w:rPr>
        <w:t xml:space="preserve">the shareholders but bad for the rest of us. Perhaps the East India Company, British American Tobacco and Monsanto promote or promoted ‘creativity’ but we might hesitate before describing them as unalloyed goods for society. </w:t>
      </w:r>
      <w:r>
        <w:rPr>
          <w:rFonts w:eastAsia="Times New Roman" w:cs="Times New Roman"/>
          <w:lang w:eastAsia="en-GB"/>
        </w:rPr>
        <w:t>A similar point can be made about</w:t>
      </w:r>
      <w:r w:rsidRPr="00C86EBE">
        <w:rPr>
          <w:rFonts w:eastAsia="Times New Roman" w:cs="Times New Roman"/>
          <w:lang w:eastAsia="en-GB"/>
        </w:rPr>
        <w:t xml:space="preserve"> the law of pr</w:t>
      </w:r>
      <w:r>
        <w:rPr>
          <w:rFonts w:eastAsia="Times New Roman" w:cs="Times New Roman"/>
          <w:lang w:eastAsia="en-GB"/>
        </w:rPr>
        <w:t xml:space="preserve">operty: </w:t>
      </w:r>
      <w:r w:rsidRPr="00C86EBE">
        <w:rPr>
          <w:rFonts w:eastAsia="Times New Roman" w:cs="Times New Roman"/>
          <w:lang w:eastAsia="en-GB"/>
        </w:rPr>
        <w:t>it</w:t>
      </w:r>
      <w:r>
        <w:rPr>
          <w:rFonts w:eastAsia="Times New Roman" w:cs="Times New Roman"/>
          <w:lang w:eastAsia="en-GB"/>
        </w:rPr>
        <w:t xml:space="preserve"> might promote</w:t>
      </w:r>
      <w:r w:rsidRPr="00C86EBE">
        <w:rPr>
          <w:rFonts w:eastAsia="Times New Roman" w:cs="Times New Roman"/>
          <w:lang w:eastAsia="en-GB"/>
        </w:rPr>
        <w:t xml:space="preserve"> the flourishing of property-owners</w:t>
      </w:r>
      <w:r w:rsidRPr="00963763">
        <w:rPr>
          <w:rFonts w:eastAsia="Times New Roman" w:cs="Times New Roman"/>
          <w:lang w:eastAsia="en-GB"/>
        </w:rPr>
        <w:t xml:space="preserve"> but the homeless </w:t>
      </w:r>
      <w:r w:rsidRPr="00C86EBE">
        <w:rPr>
          <w:rFonts w:eastAsia="Times New Roman" w:cs="Times New Roman"/>
          <w:lang w:eastAsia="en-GB"/>
        </w:rPr>
        <w:lastRenderedPageBreak/>
        <w:t xml:space="preserve">might not </w:t>
      </w:r>
      <w:r w:rsidRPr="00963763">
        <w:rPr>
          <w:rFonts w:eastAsia="Times New Roman" w:cs="Times New Roman"/>
          <w:lang w:eastAsia="en-GB"/>
        </w:rPr>
        <w:t>take such a rose-tinted view</w:t>
      </w:r>
      <w:r>
        <w:rPr>
          <w:rFonts w:eastAsia="Times New Roman" w:cs="Times New Roman"/>
          <w:lang w:eastAsia="en-GB"/>
        </w:rPr>
        <w:t xml:space="preserve">. </w:t>
      </w:r>
      <w:r>
        <w:rPr>
          <w:rFonts w:cs="Times New Roman"/>
          <w:lang w:eastAsia="en-GB"/>
        </w:rPr>
        <w:t>I</w:t>
      </w:r>
      <w:r w:rsidR="00CF4E46">
        <w:rPr>
          <w:rFonts w:cs="Times New Roman"/>
          <w:lang w:eastAsia="en-GB"/>
        </w:rPr>
        <w:t>t</w:t>
      </w:r>
      <w:r>
        <w:rPr>
          <w:rFonts w:cs="Times New Roman"/>
          <w:lang w:eastAsia="en-GB"/>
        </w:rPr>
        <w:t xml:space="preserve"> is hard to describe such a system as concerned with the promotion of flourishing</w:t>
      </w:r>
      <w:r>
        <w:rPr>
          <w:rFonts w:cs="Times New Roman"/>
          <w:i/>
          <w:lang w:eastAsia="en-GB"/>
        </w:rPr>
        <w:t xml:space="preserve"> tout court</w:t>
      </w:r>
      <w:r>
        <w:rPr>
          <w:rFonts w:cs="Times New Roman"/>
          <w:lang w:eastAsia="en-GB"/>
        </w:rPr>
        <w:t xml:space="preserve">. Even if it was, allowing companies to diminish the flourishing of some people </w:t>
      </w:r>
      <w:proofErr w:type="gramStart"/>
      <w:r w:rsidR="002A320F">
        <w:rPr>
          <w:rFonts w:cs="Times New Roman"/>
          <w:lang w:eastAsia="en-GB"/>
        </w:rPr>
        <w:t>in order to</w:t>
      </w:r>
      <w:proofErr w:type="gramEnd"/>
      <w:r w:rsidR="002A320F">
        <w:rPr>
          <w:rFonts w:cs="Times New Roman"/>
          <w:lang w:eastAsia="en-GB"/>
        </w:rPr>
        <w:t xml:space="preserve"> promote</w:t>
      </w:r>
      <w:r>
        <w:rPr>
          <w:rFonts w:cs="Times New Roman"/>
          <w:lang w:eastAsia="en-GB"/>
        </w:rPr>
        <w:t xml:space="preserve"> flourishing generally would arguably</w:t>
      </w:r>
      <w:r w:rsidRPr="00C86EBE">
        <w:rPr>
          <w:rFonts w:cs="Times New Roman"/>
          <w:lang w:eastAsia="en-GB"/>
        </w:rPr>
        <w:t xml:space="preserve"> </w:t>
      </w:r>
      <w:r w:rsidR="002A320F">
        <w:rPr>
          <w:rFonts w:cs="Times New Roman"/>
          <w:lang w:eastAsia="en-GB"/>
        </w:rPr>
        <w:t xml:space="preserve">be </w:t>
      </w:r>
      <w:r w:rsidRPr="00C86EBE">
        <w:rPr>
          <w:rFonts w:cs="Times New Roman"/>
          <w:lang w:eastAsia="en-GB"/>
        </w:rPr>
        <w:t xml:space="preserve">inconsistent with </w:t>
      </w:r>
      <w:r>
        <w:rPr>
          <w:rFonts w:cs="Times New Roman"/>
          <w:lang w:eastAsia="en-GB"/>
        </w:rPr>
        <w:t xml:space="preserve">McBride’s belief </w:t>
      </w:r>
      <w:r w:rsidRPr="00C86EBE">
        <w:rPr>
          <w:rFonts w:cs="Times New Roman"/>
          <w:lang w:eastAsia="en-GB"/>
        </w:rPr>
        <w:t>that in order to flourish, ‘</w:t>
      </w:r>
      <w:r>
        <w:rPr>
          <w:rFonts w:eastAsia="Times New Roman" w:cs="Times New Roman"/>
          <w:lang w:eastAsia="en-GB"/>
        </w:rPr>
        <w:t>Enjoyment of [the basic] goods…</w:t>
      </w:r>
      <w:r w:rsidRPr="00C86EBE">
        <w:rPr>
          <w:rFonts w:eastAsia="Times New Roman" w:cs="Times New Roman"/>
          <w:lang w:eastAsia="en-GB"/>
        </w:rPr>
        <w:t xml:space="preserve">is not dependent on </w:t>
      </w:r>
      <w:r w:rsidRPr="0079329F">
        <w:rPr>
          <w:rFonts w:eastAsia="Times New Roman" w:cs="Times New Roman"/>
          <w:i/>
          <w:lang w:eastAsia="en-GB"/>
        </w:rPr>
        <w:t>anyone else’s</w:t>
      </w:r>
      <w:r>
        <w:rPr>
          <w:rFonts w:eastAsia="Times New Roman" w:cs="Times New Roman"/>
          <w:lang w:eastAsia="en-GB"/>
        </w:rPr>
        <w:t xml:space="preserve"> suffering’</w:t>
      </w:r>
      <w:r w:rsidR="001B688F">
        <w:rPr>
          <w:rFonts w:eastAsia="Times New Roman" w:cs="Times New Roman"/>
          <w:lang w:eastAsia="en-GB"/>
        </w:rPr>
        <w:t>.</w:t>
      </w:r>
      <w:r>
        <w:rPr>
          <w:rStyle w:val="FootnoteReference"/>
          <w:rFonts w:eastAsia="Times New Roman" w:cs="Times New Roman"/>
          <w:lang w:eastAsia="en-GB"/>
        </w:rPr>
        <w:footnoteReference w:id="119"/>
      </w:r>
      <w:r>
        <w:rPr>
          <w:rFonts w:eastAsia="Times New Roman" w:cs="Times New Roman"/>
          <w:lang w:eastAsia="en-GB"/>
        </w:rPr>
        <w:t xml:space="preserve"> </w:t>
      </w:r>
    </w:p>
    <w:p w14:paraId="54FAB623" w14:textId="5E797ADD" w:rsidR="00635850" w:rsidRDefault="00635850" w:rsidP="00A610F8">
      <w:pPr>
        <w:spacing w:line="360" w:lineRule="auto"/>
        <w:ind w:firstLine="720"/>
        <w:rPr>
          <w:rFonts w:cs="Times New Roman"/>
          <w:lang w:eastAsia="en-GB"/>
        </w:rPr>
      </w:pPr>
      <w:r>
        <w:rPr>
          <w:rFonts w:cs="Times New Roman"/>
          <w:lang w:eastAsia="en-GB"/>
        </w:rPr>
        <w:t xml:space="preserve">This issue is one of externalities: where the costs or benefits of a </w:t>
      </w:r>
      <w:proofErr w:type="gramStart"/>
      <w:r>
        <w:rPr>
          <w:rFonts w:cs="Times New Roman"/>
          <w:lang w:eastAsia="en-GB"/>
        </w:rPr>
        <w:t>particular activity</w:t>
      </w:r>
      <w:proofErr w:type="gramEnd"/>
      <w:r>
        <w:rPr>
          <w:rFonts w:cs="Times New Roman"/>
          <w:lang w:eastAsia="en-GB"/>
        </w:rPr>
        <w:t xml:space="preserve"> are borne by third parties. Analysis of externalities is one of the great insights of law and economics.</w:t>
      </w:r>
      <w:r>
        <w:rPr>
          <w:rStyle w:val="FootnoteReference"/>
          <w:rFonts w:cs="Times New Roman"/>
          <w:lang w:eastAsia="en-GB"/>
        </w:rPr>
        <w:footnoteReference w:id="120"/>
      </w:r>
      <w:r>
        <w:rPr>
          <w:rFonts w:cs="Times New Roman"/>
          <w:lang w:eastAsia="en-GB"/>
        </w:rPr>
        <w:t xml:space="preserve"> While McBride’s criticisms of this school of thought – outlined above – have force, his theory would have been strengthened by greater engagement with this problem.</w:t>
      </w:r>
    </w:p>
    <w:p w14:paraId="10567AF6" w14:textId="5F443D5D" w:rsidR="00635850" w:rsidRDefault="00635850" w:rsidP="00A610F8">
      <w:pPr>
        <w:spacing w:line="360" w:lineRule="auto"/>
        <w:rPr>
          <w:rFonts w:cs="Times New Roman"/>
          <w:lang w:eastAsia="en-GB"/>
        </w:rPr>
      </w:pPr>
      <w:r w:rsidRPr="00963763">
        <w:rPr>
          <w:rFonts w:cs="Times New Roman"/>
          <w:lang w:eastAsia="en-GB"/>
        </w:rPr>
        <w:tab/>
      </w:r>
      <w:r w:rsidR="00190D9F">
        <w:rPr>
          <w:rFonts w:cs="Times New Roman"/>
          <w:lang w:eastAsia="en-GB"/>
        </w:rPr>
        <w:t>Putting</w:t>
      </w:r>
      <w:r w:rsidRPr="00C86EBE">
        <w:rPr>
          <w:rFonts w:cs="Times New Roman"/>
          <w:lang w:eastAsia="en-GB"/>
        </w:rPr>
        <w:t xml:space="preserve"> this</w:t>
      </w:r>
      <w:r>
        <w:rPr>
          <w:rFonts w:cs="Times New Roman"/>
          <w:lang w:eastAsia="en-GB"/>
        </w:rPr>
        <w:t xml:space="preserve"> concern</w:t>
      </w:r>
      <w:r w:rsidRPr="00C86EBE">
        <w:rPr>
          <w:rFonts w:cs="Times New Roman"/>
          <w:lang w:eastAsia="en-GB"/>
        </w:rPr>
        <w:t xml:space="preserve"> to one side, it highlights an inconsistency in McBride’s argument. Let us return to McBride’s reason why private law does not permit contracts for the sale of sex or babies. There</w:t>
      </w:r>
      <w:r>
        <w:rPr>
          <w:rFonts w:cs="Times New Roman"/>
          <w:lang w:eastAsia="en-GB"/>
        </w:rPr>
        <w:t>,</w:t>
      </w:r>
      <w:r w:rsidRPr="00C86EBE">
        <w:rPr>
          <w:rFonts w:cs="Times New Roman"/>
          <w:lang w:eastAsia="en-GB"/>
        </w:rPr>
        <w:t xml:space="preserve"> he argued that contracts for surrogacy and sex should not be permitted because allowing them could lead to a master-servant society. Yet he did not claim that</w:t>
      </w:r>
      <w:r>
        <w:rPr>
          <w:rFonts w:cs="Times New Roman"/>
          <w:lang w:eastAsia="en-GB"/>
        </w:rPr>
        <w:t xml:space="preserve"> a contract for surrogacy</w:t>
      </w:r>
      <w:r w:rsidRPr="00C86EBE">
        <w:rPr>
          <w:rFonts w:cs="Times New Roman"/>
          <w:lang w:eastAsia="en-GB"/>
        </w:rPr>
        <w:t xml:space="preserve"> </w:t>
      </w:r>
      <w:r>
        <w:rPr>
          <w:rFonts w:cs="Times New Roman"/>
          <w:lang w:eastAsia="en-GB"/>
        </w:rPr>
        <w:t>w</w:t>
      </w:r>
      <w:r w:rsidRPr="00C86EBE">
        <w:rPr>
          <w:rFonts w:cs="Times New Roman"/>
          <w:lang w:eastAsia="en-GB"/>
        </w:rPr>
        <w:t>ould not improve the flourishing of the individuals involved. In fact, such an outcome is perfectly possible. For example, the surrogate is making money and helping an infertile couple; the infertile couple get the child they want. Both pa</w:t>
      </w:r>
      <w:r>
        <w:rPr>
          <w:rFonts w:cs="Times New Roman"/>
          <w:lang w:eastAsia="en-GB"/>
        </w:rPr>
        <w:t>rties flourish and achieve several</w:t>
      </w:r>
      <w:r w:rsidRPr="00C86EBE">
        <w:rPr>
          <w:rFonts w:cs="Times New Roman"/>
          <w:lang w:eastAsia="en-GB"/>
        </w:rPr>
        <w:t xml:space="preserve"> goods (desire of the heart, </w:t>
      </w:r>
      <w:r w:rsidRPr="00963763">
        <w:rPr>
          <w:rFonts w:cs="Times New Roman"/>
          <w:lang w:eastAsia="en-GB"/>
        </w:rPr>
        <w:t xml:space="preserve">improved relationship with one’s </w:t>
      </w:r>
      <w:r>
        <w:rPr>
          <w:rFonts w:cs="Times New Roman"/>
          <w:lang w:eastAsia="en-GB"/>
        </w:rPr>
        <w:t>partner</w:t>
      </w:r>
      <w:r w:rsidRPr="00963763">
        <w:rPr>
          <w:rFonts w:cs="Times New Roman"/>
          <w:lang w:eastAsia="en-GB"/>
        </w:rPr>
        <w:t>, ability to buy a home</w:t>
      </w:r>
      <w:r>
        <w:rPr>
          <w:rFonts w:cs="Times New Roman"/>
          <w:lang w:eastAsia="en-GB"/>
        </w:rPr>
        <w:t>, money</w:t>
      </w:r>
      <w:r w:rsidR="00190D9F">
        <w:rPr>
          <w:rFonts w:cs="Times New Roman"/>
          <w:lang w:eastAsia="en-GB"/>
        </w:rPr>
        <w:t>, friendships</w:t>
      </w:r>
      <w:r w:rsidRPr="00C86EBE">
        <w:rPr>
          <w:rFonts w:cs="Times New Roman"/>
          <w:lang w:eastAsia="en-GB"/>
        </w:rPr>
        <w:t xml:space="preserve"> etc</w:t>
      </w:r>
      <w:r w:rsidRPr="00963763">
        <w:rPr>
          <w:rFonts w:cs="Times New Roman"/>
          <w:lang w:eastAsia="en-GB"/>
        </w:rPr>
        <w:t>.</w:t>
      </w:r>
      <w:r w:rsidRPr="00C86EBE">
        <w:rPr>
          <w:rFonts w:cs="Times New Roman"/>
          <w:lang w:eastAsia="en-GB"/>
        </w:rPr>
        <w:t>).</w:t>
      </w:r>
      <w:r w:rsidRPr="00C86EBE">
        <w:rPr>
          <w:rFonts w:cs="Times New Roman"/>
          <w:vertAlign w:val="superscript"/>
          <w:lang w:eastAsia="en-GB"/>
        </w:rPr>
        <w:footnoteReference w:id="121"/>
      </w:r>
      <w:r w:rsidRPr="00C86EBE">
        <w:rPr>
          <w:rFonts w:cs="Times New Roman"/>
          <w:lang w:eastAsia="en-GB"/>
        </w:rPr>
        <w:t xml:space="preserve"> </w:t>
      </w:r>
      <w:r>
        <w:rPr>
          <w:rFonts w:cs="Times New Roman"/>
          <w:lang w:eastAsia="en-GB"/>
        </w:rPr>
        <w:t>But McBride was concerned about the effect on society. Of course, with surrogacy there is a third party involved: the child. Yet all available evidence indicates that the parent-child relationship is unaffected by surrogacy.</w:t>
      </w:r>
      <w:r>
        <w:rPr>
          <w:rStyle w:val="FootnoteReference"/>
          <w:rFonts w:cs="Times New Roman"/>
          <w:lang w:eastAsia="en-GB"/>
        </w:rPr>
        <w:footnoteReference w:id="122"/>
      </w:r>
      <w:r>
        <w:rPr>
          <w:rFonts w:cs="Times New Roman"/>
          <w:lang w:eastAsia="en-GB"/>
        </w:rPr>
        <w:t xml:space="preserve"> Besides, why would private law be concerned with this (alleged) negative externality but not those generated by company and property law?</w:t>
      </w:r>
    </w:p>
    <w:p w14:paraId="60B7FB31" w14:textId="72B15938" w:rsidR="00635850" w:rsidRDefault="00635850" w:rsidP="00A610F8">
      <w:pPr>
        <w:spacing w:line="360" w:lineRule="auto"/>
        <w:ind w:firstLine="720"/>
        <w:rPr>
          <w:rFonts w:cs="Times New Roman"/>
          <w:lang w:eastAsia="en-GB"/>
        </w:rPr>
      </w:pPr>
      <w:r>
        <w:rPr>
          <w:rFonts w:cs="Times New Roman"/>
          <w:lang w:eastAsia="en-GB"/>
        </w:rPr>
        <w:t xml:space="preserve">Analogies could be made here with the perennial debate about whether private law is concerned with corrective justice or distributive justice but I will spare readers a summary of </w:t>
      </w:r>
      <w:r>
        <w:rPr>
          <w:rFonts w:cs="Times New Roman"/>
          <w:lang w:eastAsia="en-GB"/>
        </w:rPr>
        <w:lastRenderedPageBreak/>
        <w:t>literature with which they are no doubt familiar.</w:t>
      </w:r>
      <w:r>
        <w:rPr>
          <w:rStyle w:val="FootnoteReference"/>
          <w:rFonts w:cs="Times New Roman"/>
          <w:lang w:eastAsia="en-GB"/>
        </w:rPr>
        <w:footnoteReference w:id="123"/>
      </w:r>
      <w:r>
        <w:rPr>
          <w:rFonts w:cs="Times New Roman"/>
          <w:lang w:eastAsia="en-GB"/>
        </w:rPr>
        <w:t xml:space="preserve"> For present purposes, it is </w:t>
      </w:r>
      <w:r w:rsidR="00805FDF">
        <w:rPr>
          <w:rFonts w:cs="Times New Roman"/>
          <w:lang w:eastAsia="en-GB"/>
        </w:rPr>
        <w:t xml:space="preserve">crucial </w:t>
      </w:r>
      <w:r>
        <w:rPr>
          <w:rFonts w:cs="Times New Roman"/>
          <w:lang w:eastAsia="en-GB"/>
        </w:rPr>
        <w:t>to note that i</w:t>
      </w:r>
      <w:r w:rsidRPr="00C86EBE">
        <w:rPr>
          <w:rFonts w:cs="Times New Roman"/>
          <w:lang w:eastAsia="en-GB"/>
        </w:rPr>
        <w:t xml:space="preserve">f the effect on society is what matters then we might question the benefits that companies bring and thus whether </w:t>
      </w:r>
      <w:r>
        <w:rPr>
          <w:rFonts w:cs="Times New Roman"/>
          <w:lang w:eastAsia="en-GB"/>
        </w:rPr>
        <w:t>F</w:t>
      </w:r>
      <w:r w:rsidRPr="00C86EBE">
        <w:rPr>
          <w:rFonts w:cs="Times New Roman"/>
          <w:lang w:eastAsia="en-GB"/>
        </w:rPr>
        <w:t xml:space="preserve"> can explain this part of the law. If the effects on </w:t>
      </w:r>
      <w:r>
        <w:rPr>
          <w:rFonts w:cs="Times New Roman"/>
          <w:lang w:eastAsia="en-GB"/>
        </w:rPr>
        <w:t xml:space="preserve">the </w:t>
      </w:r>
      <w:r w:rsidRPr="00C86EBE">
        <w:rPr>
          <w:rFonts w:cs="Times New Roman"/>
          <w:lang w:eastAsia="en-GB"/>
        </w:rPr>
        <w:t xml:space="preserve">individuals involved in a transaction </w:t>
      </w:r>
      <w:r w:rsidR="00805FDF">
        <w:rPr>
          <w:rFonts w:cs="Times New Roman"/>
          <w:lang w:eastAsia="en-GB"/>
        </w:rPr>
        <w:t xml:space="preserve">are paramount </w:t>
      </w:r>
      <w:r w:rsidRPr="00C86EBE">
        <w:rPr>
          <w:rFonts w:cs="Times New Roman"/>
          <w:lang w:eastAsia="en-GB"/>
        </w:rPr>
        <w:t xml:space="preserve">then we might question the unenforceability of contracts for sex and surrogacy. </w:t>
      </w:r>
      <w:r>
        <w:rPr>
          <w:rFonts w:cs="Times New Roman"/>
          <w:lang w:eastAsia="en-GB"/>
        </w:rPr>
        <w:t xml:space="preserve">If </w:t>
      </w:r>
      <w:r w:rsidR="00805FDF">
        <w:rPr>
          <w:rFonts w:cs="Times New Roman"/>
          <w:lang w:eastAsia="en-GB"/>
        </w:rPr>
        <w:t xml:space="preserve">both are important </w:t>
      </w:r>
      <w:r>
        <w:rPr>
          <w:rFonts w:cs="Times New Roman"/>
          <w:lang w:eastAsia="en-GB"/>
        </w:rPr>
        <w:t xml:space="preserve">then we will need a theory outlining which should be the focus </w:t>
      </w:r>
      <w:proofErr w:type="gramStart"/>
      <w:r>
        <w:rPr>
          <w:rFonts w:cs="Times New Roman"/>
          <w:lang w:eastAsia="en-GB"/>
        </w:rPr>
        <w:t>in particular cases</w:t>
      </w:r>
      <w:proofErr w:type="gramEnd"/>
      <w:r>
        <w:rPr>
          <w:rFonts w:cs="Times New Roman"/>
          <w:lang w:eastAsia="en-GB"/>
        </w:rPr>
        <w:t xml:space="preserve">. McBride’s explanation is therefore inconsistent and indicates that the gap between theory and doctrine is greater than his portrayal. </w:t>
      </w:r>
    </w:p>
    <w:p w14:paraId="690F6B66" w14:textId="77777777" w:rsidR="00635850" w:rsidRDefault="00635850" w:rsidP="00A610F8">
      <w:pPr>
        <w:spacing w:line="360" w:lineRule="auto"/>
        <w:contextualSpacing/>
        <w:rPr>
          <w:rFonts w:cs="Times New Roman"/>
          <w:lang w:eastAsia="en-GB"/>
        </w:rPr>
      </w:pPr>
    </w:p>
    <w:p w14:paraId="0F981886" w14:textId="648AED2B" w:rsidR="00635850" w:rsidRPr="00C87768" w:rsidRDefault="00635850" w:rsidP="00A610F8">
      <w:pPr>
        <w:pStyle w:val="ListParagraph"/>
        <w:numPr>
          <w:ilvl w:val="0"/>
          <w:numId w:val="1"/>
        </w:numPr>
        <w:spacing w:line="360" w:lineRule="auto"/>
        <w:jc w:val="center"/>
        <w:rPr>
          <w:rFonts w:cs="Times New Roman"/>
          <w:b/>
          <w:lang w:eastAsia="en-GB"/>
        </w:rPr>
      </w:pPr>
      <w:r w:rsidRPr="00C87768">
        <w:rPr>
          <w:rFonts w:cs="Times New Roman"/>
          <w:b/>
          <w:lang w:eastAsia="en-GB"/>
        </w:rPr>
        <w:t>Conclusion</w:t>
      </w:r>
    </w:p>
    <w:p w14:paraId="2B556FF4" w14:textId="1CE5FD5C" w:rsidR="00635850" w:rsidRDefault="00635850" w:rsidP="00A610F8">
      <w:pPr>
        <w:spacing w:line="360" w:lineRule="auto"/>
        <w:contextualSpacing/>
        <w:rPr>
          <w:rFonts w:cs="Times New Roman"/>
          <w:lang w:eastAsia="en-GB"/>
        </w:rPr>
      </w:pPr>
      <w:r>
        <w:rPr>
          <w:rFonts w:cs="Times New Roman"/>
          <w:lang w:eastAsia="en-GB"/>
        </w:rPr>
        <w:t>I have argued above that McBride’s central thesis – that private law is concerned with the promotion of flourishing</w:t>
      </w:r>
      <w:r w:rsidR="00E07C2A">
        <w:rPr>
          <w:rFonts w:cs="Times New Roman"/>
          <w:lang w:eastAsia="en-GB"/>
        </w:rPr>
        <w:t xml:space="preserve"> while preserving its legitimacy</w:t>
      </w:r>
      <w:r>
        <w:rPr>
          <w:rFonts w:cs="Times New Roman"/>
          <w:lang w:eastAsia="en-GB"/>
        </w:rPr>
        <w:t xml:space="preserve"> – may appear intuitively attractive at the general level but once flesh is put on its bones it becomes </w:t>
      </w:r>
      <w:proofErr w:type="spellStart"/>
      <w:r w:rsidR="00E07C2A">
        <w:rPr>
          <w:rFonts w:cs="Times New Roman"/>
          <w:lang w:eastAsia="en-GB"/>
        </w:rPr>
        <w:t>uncompelling</w:t>
      </w:r>
      <w:proofErr w:type="spellEnd"/>
      <w:r w:rsidR="00E07C2A">
        <w:rPr>
          <w:rFonts w:cs="Times New Roman"/>
          <w:lang w:eastAsia="en-GB"/>
        </w:rPr>
        <w:t xml:space="preserve"> </w:t>
      </w:r>
      <w:r>
        <w:rPr>
          <w:rFonts w:cs="Times New Roman"/>
          <w:lang w:eastAsia="en-GB"/>
        </w:rPr>
        <w:t xml:space="preserve">and fails to match </w:t>
      </w:r>
      <w:r w:rsidR="009605E0">
        <w:rPr>
          <w:rFonts w:cs="Times New Roman"/>
          <w:lang w:eastAsia="en-GB"/>
        </w:rPr>
        <w:t xml:space="preserve">significant areas of </w:t>
      </w:r>
      <w:r>
        <w:rPr>
          <w:rFonts w:cs="Times New Roman"/>
          <w:lang w:eastAsia="en-GB"/>
        </w:rPr>
        <w:t xml:space="preserve">private law doctrine. The criticisms that I have raised in this article are by no means irrefutable but they do present substantial challenges for F. Unless they are addressed (and we do have a second book to look forward to, so this is possible), then, despite being packed with insights and constituting an outstanding piece of scholarship, </w:t>
      </w:r>
      <w:r>
        <w:rPr>
          <w:rFonts w:cs="Times New Roman"/>
          <w:i/>
          <w:lang w:eastAsia="en-GB"/>
        </w:rPr>
        <w:t xml:space="preserve">The Humanity of Private Law </w:t>
      </w:r>
      <w:r>
        <w:rPr>
          <w:rFonts w:cs="Times New Roman"/>
          <w:lang w:eastAsia="en-GB"/>
        </w:rPr>
        <w:t>fails in its ambition of explaining private law.</w:t>
      </w:r>
    </w:p>
    <w:p w14:paraId="46B89DCB" w14:textId="22173448" w:rsidR="00635850" w:rsidRDefault="00635850" w:rsidP="00A610F8">
      <w:pPr>
        <w:spacing w:line="360" w:lineRule="auto"/>
        <w:ind w:firstLine="720"/>
        <w:rPr>
          <w:rFonts w:cs="Times New Roman"/>
          <w:lang w:eastAsia="en-GB"/>
        </w:rPr>
      </w:pPr>
      <w:r>
        <w:rPr>
          <w:rFonts w:cs="Times New Roman"/>
          <w:lang w:eastAsia="en-GB"/>
        </w:rPr>
        <w:t xml:space="preserve">Can the theory be saved? </w:t>
      </w:r>
      <w:r w:rsidR="00E07C2A">
        <w:rPr>
          <w:rFonts w:cs="Times New Roman"/>
          <w:lang w:eastAsia="en-GB"/>
        </w:rPr>
        <w:t>T</w:t>
      </w:r>
      <w:r w:rsidRPr="00C86EBE">
        <w:rPr>
          <w:rFonts w:cs="Times New Roman"/>
          <w:lang w:eastAsia="en-GB"/>
        </w:rPr>
        <w:t xml:space="preserve">he </w:t>
      </w:r>
      <w:r>
        <w:rPr>
          <w:rFonts w:cs="Times New Roman"/>
          <w:lang w:eastAsia="en-GB"/>
        </w:rPr>
        <w:t xml:space="preserve">basic </w:t>
      </w:r>
      <w:r w:rsidRPr="00C86EBE">
        <w:rPr>
          <w:rFonts w:cs="Times New Roman"/>
          <w:lang w:eastAsia="en-GB"/>
        </w:rPr>
        <w:t xml:space="preserve">goods </w:t>
      </w:r>
      <w:r w:rsidR="00E07C2A">
        <w:rPr>
          <w:rFonts w:cs="Times New Roman"/>
          <w:lang w:eastAsia="en-GB"/>
        </w:rPr>
        <w:t>might</w:t>
      </w:r>
      <w:r w:rsidRPr="00C86EBE">
        <w:rPr>
          <w:rFonts w:cs="Times New Roman"/>
          <w:lang w:eastAsia="en-GB"/>
        </w:rPr>
        <w:t xml:space="preserve"> not actually incommensurable</w:t>
      </w:r>
      <w:r>
        <w:rPr>
          <w:rFonts w:cs="Times New Roman"/>
          <w:lang w:eastAsia="en-GB"/>
        </w:rPr>
        <w:t xml:space="preserve"> (or, at least, </w:t>
      </w:r>
      <w:r w:rsidR="009605E0">
        <w:rPr>
          <w:rFonts w:cs="Times New Roman"/>
          <w:lang w:eastAsia="en-GB"/>
        </w:rPr>
        <w:t>they might not be</w:t>
      </w:r>
      <w:r>
        <w:rPr>
          <w:rFonts w:cs="Times New Roman"/>
          <w:lang w:eastAsia="en-GB"/>
        </w:rPr>
        <w:t xml:space="preserve"> incomparable)</w:t>
      </w:r>
      <w:r w:rsidRPr="00C86EBE">
        <w:rPr>
          <w:rFonts w:cs="Times New Roman"/>
          <w:lang w:eastAsia="en-GB"/>
        </w:rPr>
        <w:t>.</w:t>
      </w:r>
      <w:r>
        <w:rPr>
          <w:rStyle w:val="FootnoteReference"/>
          <w:rFonts w:cs="Times New Roman"/>
          <w:lang w:eastAsia="en-GB"/>
        </w:rPr>
        <w:footnoteReference w:id="124"/>
      </w:r>
      <w:r w:rsidRPr="00C86EBE">
        <w:rPr>
          <w:rFonts w:cs="Times New Roman"/>
          <w:lang w:eastAsia="en-GB"/>
        </w:rPr>
        <w:t xml:space="preserve"> People who say that things are incommensurable are fond of remarking</w:t>
      </w:r>
      <w:r>
        <w:rPr>
          <w:rFonts w:cs="Times New Roman"/>
          <w:lang w:eastAsia="en-GB"/>
        </w:rPr>
        <w:t xml:space="preserve"> that something</w:t>
      </w:r>
      <w:r w:rsidRPr="00C86EBE">
        <w:rPr>
          <w:rFonts w:cs="Times New Roman"/>
          <w:lang w:eastAsia="en-GB"/>
        </w:rPr>
        <w:t xml:space="preserve"> is like ‘comparing apples and oranges’. But </w:t>
      </w:r>
      <w:r w:rsidR="00E07C2A">
        <w:rPr>
          <w:rFonts w:cs="Times New Roman"/>
          <w:lang w:eastAsia="en-GB"/>
        </w:rPr>
        <w:t>they</w:t>
      </w:r>
      <w:r w:rsidRPr="00C86EBE">
        <w:rPr>
          <w:rFonts w:cs="Times New Roman"/>
          <w:lang w:eastAsia="en-GB"/>
        </w:rPr>
        <w:t xml:space="preserve"> have </w:t>
      </w:r>
      <w:r w:rsidRPr="00C4308E">
        <w:rPr>
          <w:rFonts w:cs="Times New Roman"/>
          <w:i/>
          <w:lang w:eastAsia="en-GB"/>
        </w:rPr>
        <w:t>usually</w:t>
      </w:r>
      <w:r w:rsidRPr="00C86EBE">
        <w:rPr>
          <w:rFonts w:cs="Times New Roman"/>
          <w:lang w:eastAsia="en-GB"/>
        </w:rPr>
        <w:t xml:space="preserve"> not thought about the issue</w:t>
      </w:r>
      <w:r w:rsidRPr="00963763">
        <w:rPr>
          <w:rFonts w:cs="Times New Roman"/>
          <w:lang w:eastAsia="en-GB"/>
        </w:rPr>
        <w:t xml:space="preserve"> for</w:t>
      </w:r>
      <w:r>
        <w:rPr>
          <w:rFonts w:cs="Times New Roman"/>
          <w:lang w:eastAsia="en-GB"/>
        </w:rPr>
        <w:t xml:space="preserve"> long enough.</w:t>
      </w:r>
      <w:r w:rsidRPr="00C86EBE">
        <w:rPr>
          <w:rFonts w:cs="Times New Roman"/>
          <w:lang w:eastAsia="en-GB"/>
        </w:rPr>
        <w:t xml:space="preserve"> Apples and oranges can be compared by a range of metrics</w:t>
      </w:r>
      <w:r>
        <w:rPr>
          <w:rFonts w:cs="Times New Roman"/>
          <w:lang w:eastAsia="en-GB"/>
        </w:rPr>
        <w:t>:</w:t>
      </w:r>
      <w:r w:rsidRPr="00C86EBE">
        <w:rPr>
          <w:rFonts w:cs="Times New Roman"/>
          <w:lang w:eastAsia="en-GB"/>
        </w:rPr>
        <w:t xml:space="preserve"> weight, price</w:t>
      </w:r>
      <w:r>
        <w:rPr>
          <w:rFonts w:cs="Times New Roman"/>
          <w:lang w:eastAsia="en-GB"/>
        </w:rPr>
        <w:t>,</w:t>
      </w:r>
      <w:r w:rsidRPr="00C86EBE">
        <w:rPr>
          <w:rFonts w:cs="Times New Roman"/>
          <w:lang w:eastAsia="en-GB"/>
        </w:rPr>
        <w:t xml:space="preserve"> </w:t>
      </w:r>
      <w:r w:rsidRPr="00963763">
        <w:rPr>
          <w:rFonts w:cs="Times New Roman"/>
          <w:lang w:eastAsia="en-GB"/>
        </w:rPr>
        <w:t>vitamins and minerals (and</w:t>
      </w:r>
      <w:r>
        <w:rPr>
          <w:rFonts w:cs="Times New Roman"/>
          <w:lang w:eastAsia="en-GB"/>
        </w:rPr>
        <w:t xml:space="preserve"> probably </w:t>
      </w:r>
      <w:r w:rsidRPr="00C86EBE">
        <w:rPr>
          <w:rFonts w:cs="Times New Roman"/>
          <w:lang w:eastAsia="en-GB"/>
        </w:rPr>
        <w:t>taste</w:t>
      </w:r>
      <w:r>
        <w:rPr>
          <w:rFonts w:cs="Times New Roman"/>
          <w:lang w:eastAsia="en-GB"/>
        </w:rPr>
        <w:t>: who prefers apples?</w:t>
      </w:r>
      <w:r w:rsidRPr="00963763">
        <w:rPr>
          <w:rFonts w:cs="Times New Roman"/>
          <w:lang w:eastAsia="en-GB"/>
        </w:rPr>
        <w:t>)</w:t>
      </w:r>
      <w:r w:rsidRPr="00C86EBE">
        <w:rPr>
          <w:rFonts w:cs="Times New Roman"/>
          <w:lang w:eastAsia="en-GB"/>
        </w:rPr>
        <w:t xml:space="preserve">. </w:t>
      </w:r>
      <w:r>
        <w:rPr>
          <w:rFonts w:cs="Times New Roman"/>
          <w:lang w:eastAsia="en-GB"/>
        </w:rPr>
        <w:t xml:space="preserve">As Chang states: </w:t>
      </w:r>
    </w:p>
    <w:p w14:paraId="209E7668" w14:textId="18C33B3B" w:rsidR="00635850" w:rsidRDefault="00635850" w:rsidP="00A610F8">
      <w:pPr>
        <w:spacing w:line="360" w:lineRule="auto"/>
        <w:ind w:left="567" w:right="567"/>
        <w:rPr>
          <w:rFonts w:cs="Times New Roman"/>
          <w:lang w:eastAsia="en-GB"/>
        </w:rPr>
      </w:pPr>
      <w:r w:rsidRPr="00C96773">
        <w:rPr>
          <w:rFonts w:cs="Times New Roman"/>
          <w:lang w:eastAsia="en-GB"/>
        </w:rPr>
        <w:lastRenderedPageBreak/>
        <w:t>Two items are never comparable, simpliciter; they are always comparab</w:t>
      </w:r>
      <w:r>
        <w:rPr>
          <w:rFonts w:cs="Times New Roman"/>
          <w:lang w:eastAsia="en-GB"/>
        </w:rPr>
        <w:t xml:space="preserve">le in some respect or respects. </w:t>
      </w:r>
      <w:r w:rsidRPr="00C96773">
        <w:rPr>
          <w:rFonts w:cs="Times New Roman"/>
          <w:lang w:eastAsia="en-GB"/>
        </w:rPr>
        <w:t>Chalk is comparable with cheese in some respects – cheese tastes better. Apples are comparable with oranges in some respects – apples are worse with</w:t>
      </w:r>
      <w:r>
        <w:rPr>
          <w:rFonts w:cs="Times New Roman"/>
          <w:lang w:eastAsia="en-GB"/>
        </w:rPr>
        <w:t xml:space="preserve"> respect to preventing scurvy…</w:t>
      </w:r>
      <w:r w:rsidRPr="00C96773">
        <w:rPr>
          <w:rFonts w:cs="Times New Roman"/>
          <w:lang w:eastAsia="en-GB"/>
        </w:rPr>
        <w:t>As the negation of claims of comparability, claims of incomparability must have the same logical form. Two items are never incomparable, simpliciter</w:t>
      </w:r>
      <w:r w:rsidR="00756993">
        <w:rPr>
          <w:rFonts w:cs="Times New Roman"/>
          <w:lang w:eastAsia="en-GB"/>
        </w:rPr>
        <w:t>.</w:t>
      </w:r>
      <w:r>
        <w:rPr>
          <w:rStyle w:val="FootnoteReference"/>
          <w:rFonts w:cs="Times New Roman"/>
          <w:lang w:eastAsia="en-GB"/>
        </w:rPr>
        <w:footnoteReference w:id="125"/>
      </w:r>
    </w:p>
    <w:p w14:paraId="58D41FE7" w14:textId="77777777" w:rsidR="00635850" w:rsidRDefault="00635850" w:rsidP="00A610F8">
      <w:pPr>
        <w:spacing w:line="360" w:lineRule="auto"/>
        <w:contextualSpacing/>
        <w:rPr>
          <w:rFonts w:cs="Times New Roman"/>
          <w:lang w:eastAsia="en-GB"/>
        </w:rPr>
      </w:pPr>
    </w:p>
    <w:p w14:paraId="4E3F982B" w14:textId="2B8D13D4" w:rsidR="00635850" w:rsidRDefault="00635850" w:rsidP="00A610F8">
      <w:pPr>
        <w:spacing w:line="360" w:lineRule="auto"/>
        <w:contextualSpacing/>
        <w:rPr>
          <w:rFonts w:cs="Times New Roman"/>
          <w:lang w:eastAsia="en-GB"/>
        </w:rPr>
      </w:pPr>
      <w:r w:rsidRPr="00C86EBE">
        <w:rPr>
          <w:rFonts w:cs="Times New Roman"/>
          <w:lang w:eastAsia="en-GB"/>
        </w:rPr>
        <w:t>One could take a common metric – such as the maximisation of welfare o</w:t>
      </w:r>
      <w:r>
        <w:rPr>
          <w:rFonts w:cs="Times New Roman"/>
          <w:lang w:eastAsia="en-GB"/>
        </w:rPr>
        <w:t>r preferences – to resolve the</w:t>
      </w:r>
      <w:r w:rsidRPr="00C86EBE">
        <w:rPr>
          <w:rFonts w:cs="Times New Roman"/>
          <w:lang w:eastAsia="en-GB"/>
        </w:rPr>
        <w:t xml:space="preserve"> </w:t>
      </w:r>
      <w:r>
        <w:rPr>
          <w:rFonts w:cs="Times New Roman"/>
          <w:lang w:eastAsia="en-GB"/>
        </w:rPr>
        <w:t>apparent conflicts between the goods in McBride’s scheme. It is possible that many of</w:t>
      </w:r>
      <w:r w:rsidRPr="00C86EBE">
        <w:rPr>
          <w:rFonts w:cs="Times New Roman"/>
          <w:lang w:eastAsia="en-GB"/>
        </w:rPr>
        <w:t xml:space="preserve"> the basic goods could serve as useful mid-level principles about the types of things that usually promote flourishing – nobody denies that good hea</w:t>
      </w:r>
      <w:r>
        <w:rPr>
          <w:rFonts w:cs="Times New Roman"/>
          <w:lang w:eastAsia="en-GB"/>
        </w:rPr>
        <w:t>lth is something worth having</w:t>
      </w:r>
      <w:r w:rsidRPr="00C86EBE">
        <w:rPr>
          <w:rFonts w:cs="Times New Roman"/>
          <w:lang w:eastAsia="en-GB"/>
        </w:rPr>
        <w:t xml:space="preserve"> – but when two goods conflict, they could be weighed against each other to determine which consequences will satisfy people’s preferences or improve their welfare (depending upon what metric is used).</w:t>
      </w:r>
      <w:r>
        <w:rPr>
          <w:rFonts w:cs="Times New Roman"/>
          <w:lang w:eastAsia="en-GB"/>
        </w:rPr>
        <w:t xml:space="preserve"> </w:t>
      </w:r>
      <w:r w:rsidR="00CF4E46">
        <w:rPr>
          <w:rFonts w:cs="Times New Roman"/>
          <w:lang w:eastAsia="en-GB"/>
        </w:rPr>
        <w:t>J</w:t>
      </w:r>
      <w:r w:rsidRPr="00C86EBE">
        <w:rPr>
          <w:rFonts w:cs="Times New Roman"/>
          <w:lang w:eastAsia="en-GB"/>
        </w:rPr>
        <w:t xml:space="preserve">udges balance </w:t>
      </w:r>
      <w:proofErr w:type="gramStart"/>
      <w:r w:rsidRPr="00C86EBE">
        <w:rPr>
          <w:rFonts w:cs="Times New Roman"/>
          <w:lang w:eastAsia="en-GB"/>
        </w:rPr>
        <w:t>a number of</w:t>
      </w:r>
      <w:proofErr w:type="gramEnd"/>
      <w:r w:rsidRPr="00C86EBE">
        <w:rPr>
          <w:rFonts w:cs="Times New Roman"/>
          <w:lang w:eastAsia="en-GB"/>
        </w:rPr>
        <w:t xml:space="preserve"> </w:t>
      </w:r>
      <w:r>
        <w:rPr>
          <w:rFonts w:cs="Times New Roman"/>
          <w:lang w:eastAsia="en-GB"/>
        </w:rPr>
        <w:t>alleged</w:t>
      </w:r>
      <w:r w:rsidRPr="00C86EBE">
        <w:rPr>
          <w:rFonts w:cs="Times New Roman"/>
          <w:lang w:eastAsia="en-GB"/>
        </w:rPr>
        <w:t xml:space="preserve"> ‘incommensurable’ factors (e.g. the need to maintain certainty in law, what will be best for society as a whole or, to use one of McBride’s insights, the need to maintain legitimacy) when deciding private law cases and have different views on the correct balance.</w:t>
      </w:r>
      <w:r>
        <w:rPr>
          <w:rStyle w:val="FootnoteReference"/>
          <w:rFonts w:cs="Times New Roman"/>
          <w:lang w:eastAsia="en-GB"/>
        </w:rPr>
        <w:footnoteReference w:id="126"/>
      </w:r>
      <w:r w:rsidRPr="00C86EBE">
        <w:rPr>
          <w:rFonts w:cs="Times New Roman"/>
          <w:lang w:eastAsia="en-GB"/>
        </w:rPr>
        <w:t xml:space="preserve"> In this respect,</w:t>
      </w:r>
      <w:r w:rsidRPr="00963763">
        <w:rPr>
          <w:rFonts w:cs="Times New Roman"/>
          <w:lang w:eastAsia="en-GB"/>
        </w:rPr>
        <w:t xml:space="preserve"> </w:t>
      </w:r>
      <w:r>
        <w:rPr>
          <w:rFonts w:cs="Times New Roman"/>
          <w:lang w:eastAsia="en-GB"/>
        </w:rPr>
        <w:t>a utilitarian explanation</w:t>
      </w:r>
      <w:r w:rsidRPr="00963763">
        <w:rPr>
          <w:rFonts w:cs="Times New Roman"/>
          <w:lang w:eastAsia="en-GB"/>
        </w:rPr>
        <w:t xml:space="preserve"> </w:t>
      </w:r>
      <w:r w:rsidRPr="00C86EBE">
        <w:rPr>
          <w:rFonts w:cs="Times New Roman"/>
          <w:lang w:eastAsia="en-GB"/>
        </w:rPr>
        <w:t xml:space="preserve">may be a better </w:t>
      </w:r>
      <w:r>
        <w:rPr>
          <w:rFonts w:cs="Times New Roman"/>
          <w:lang w:eastAsia="en-GB"/>
        </w:rPr>
        <w:t>account for the fact</w:t>
      </w:r>
      <w:r w:rsidRPr="00C86EBE">
        <w:rPr>
          <w:rFonts w:cs="Times New Roman"/>
          <w:lang w:eastAsia="en-GB"/>
        </w:rPr>
        <w:t xml:space="preserve"> </w:t>
      </w:r>
      <w:r>
        <w:rPr>
          <w:rFonts w:cs="Times New Roman"/>
          <w:lang w:eastAsia="en-GB"/>
        </w:rPr>
        <w:t>that aspects of</w:t>
      </w:r>
      <w:r w:rsidRPr="00C86EBE">
        <w:rPr>
          <w:rFonts w:cs="Times New Roman"/>
          <w:lang w:eastAsia="en-GB"/>
        </w:rPr>
        <w:t xml:space="preserve"> private law can sometimes appear</w:t>
      </w:r>
      <w:r>
        <w:rPr>
          <w:rFonts w:cs="Times New Roman"/>
          <w:lang w:eastAsia="en-GB"/>
        </w:rPr>
        <w:t xml:space="preserve"> untidy.</w:t>
      </w:r>
      <w:r>
        <w:rPr>
          <w:rStyle w:val="FootnoteReference"/>
          <w:rFonts w:cs="Times New Roman"/>
          <w:lang w:eastAsia="en-GB"/>
        </w:rPr>
        <w:footnoteReference w:id="127"/>
      </w:r>
      <w:r>
        <w:rPr>
          <w:rFonts w:cs="Times New Roman"/>
          <w:lang w:eastAsia="en-GB"/>
        </w:rPr>
        <w:t xml:space="preserve"> </w:t>
      </w:r>
    </w:p>
    <w:p w14:paraId="08735B66" w14:textId="77777777" w:rsidR="00E07C2A" w:rsidRDefault="00635850" w:rsidP="00A610F8">
      <w:pPr>
        <w:spacing w:line="360" w:lineRule="auto"/>
        <w:ind w:firstLine="720"/>
        <w:contextualSpacing/>
        <w:rPr>
          <w:rFonts w:cs="Times New Roman"/>
          <w:lang w:eastAsia="en-GB"/>
        </w:rPr>
      </w:pPr>
      <w:r>
        <w:rPr>
          <w:rFonts w:cs="Times New Roman"/>
          <w:lang w:eastAsia="en-GB"/>
        </w:rPr>
        <w:t xml:space="preserve">Another way in which the theory could be strengthened would be to say that judges have been </w:t>
      </w:r>
      <w:r w:rsidRPr="00FB5AA1">
        <w:rPr>
          <w:rFonts w:cs="Times New Roman"/>
          <w:i/>
          <w:lang w:eastAsia="en-GB"/>
        </w:rPr>
        <w:t>aiming</w:t>
      </w:r>
      <w:r>
        <w:rPr>
          <w:rFonts w:cs="Times New Roman"/>
          <w:lang w:eastAsia="en-GB"/>
        </w:rPr>
        <w:t xml:space="preserve"> to promote flourishing but have sometimes been mistaken about the best way of doing this. After all, if, as McBride hints, judges have been wrong about the very model of flourishing that should be used, they could have been equally misguided about what promotes flourishing under their chosen model. The areas that he believes cannot be explained by F, such as significant parts of the law of vicarious liability or the principle in </w:t>
      </w:r>
      <w:r>
        <w:rPr>
          <w:rFonts w:cs="Times New Roman"/>
          <w:i/>
          <w:lang w:eastAsia="en-GB"/>
        </w:rPr>
        <w:t>Hedley Byrne</w:t>
      </w:r>
      <w:r>
        <w:rPr>
          <w:rFonts w:cs="Times New Roman"/>
          <w:lang w:eastAsia="en-GB"/>
        </w:rPr>
        <w:t xml:space="preserve">, could then be encompassed by the theory. For example, judges might have decided </w:t>
      </w:r>
      <w:r>
        <w:rPr>
          <w:rFonts w:cs="Times New Roman"/>
          <w:i/>
          <w:lang w:eastAsia="en-GB"/>
        </w:rPr>
        <w:t xml:space="preserve">Lister v </w:t>
      </w:r>
      <w:proofErr w:type="spellStart"/>
      <w:r>
        <w:rPr>
          <w:rFonts w:cs="Times New Roman"/>
          <w:i/>
          <w:lang w:eastAsia="en-GB"/>
        </w:rPr>
        <w:t>Hesley</w:t>
      </w:r>
      <w:proofErr w:type="spellEnd"/>
      <w:r>
        <w:rPr>
          <w:rFonts w:cs="Times New Roman"/>
          <w:i/>
          <w:lang w:eastAsia="en-GB"/>
        </w:rPr>
        <w:t xml:space="preserve"> Hall Ltd</w:t>
      </w:r>
      <w:r>
        <w:rPr>
          <w:rFonts w:cs="Times New Roman"/>
          <w:lang w:eastAsia="en-GB"/>
        </w:rPr>
        <w:t>.</w:t>
      </w:r>
      <w:r>
        <w:rPr>
          <w:rStyle w:val="FootnoteReference"/>
          <w:rFonts w:cs="Times New Roman"/>
          <w:lang w:eastAsia="en-GB"/>
        </w:rPr>
        <w:footnoteReference w:id="128"/>
      </w:r>
      <w:r>
        <w:rPr>
          <w:rFonts w:cs="Times New Roman"/>
          <w:lang w:eastAsia="en-GB"/>
        </w:rPr>
        <w:t xml:space="preserve"> or </w:t>
      </w:r>
      <w:r>
        <w:rPr>
          <w:rFonts w:cs="Times New Roman"/>
          <w:i/>
          <w:lang w:eastAsia="en-GB"/>
        </w:rPr>
        <w:t xml:space="preserve">Hedley Byrne </w:t>
      </w:r>
      <w:r>
        <w:rPr>
          <w:rFonts w:cs="Times New Roman"/>
          <w:lang w:eastAsia="en-GB"/>
        </w:rPr>
        <w:t xml:space="preserve">in a way that they </w:t>
      </w:r>
      <w:r w:rsidRPr="006453BD">
        <w:rPr>
          <w:rFonts w:cs="Times New Roman"/>
          <w:i/>
          <w:lang w:eastAsia="en-GB"/>
        </w:rPr>
        <w:t>thought</w:t>
      </w:r>
      <w:r>
        <w:rPr>
          <w:rFonts w:cs="Times New Roman"/>
          <w:lang w:eastAsia="en-GB"/>
        </w:rPr>
        <w:t xml:space="preserve"> would promote flourishing but have been completely mistaken about the best way of obtaining such an outcome. </w:t>
      </w:r>
    </w:p>
    <w:p w14:paraId="42A316F9" w14:textId="79CE4DAD" w:rsidR="00512A77" w:rsidRDefault="00E07C2A" w:rsidP="00A610F8">
      <w:pPr>
        <w:spacing w:line="360" w:lineRule="auto"/>
        <w:ind w:firstLine="720"/>
        <w:contextualSpacing/>
        <w:rPr>
          <w:rFonts w:cs="Times New Roman"/>
          <w:lang w:eastAsia="en-GB"/>
        </w:rPr>
      </w:pPr>
      <w:r>
        <w:rPr>
          <w:rFonts w:cs="Times New Roman"/>
          <w:lang w:eastAsia="en-GB"/>
        </w:rPr>
        <w:lastRenderedPageBreak/>
        <w:t>Finally</w:t>
      </w:r>
      <w:r w:rsidR="00635850">
        <w:rPr>
          <w:rFonts w:cs="Times New Roman"/>
          <w:lang w:eastAsia="en-GB"/>
        </w:rPr>
        <w:t>, McBride might need to concede that contract, property and company law as they presently exist are not structured in a way that promotes the flourishing of most people (admittedly, this is a political or normative question). Accepting this</w:t>
      </w:r>
      <w:r w:rsidR="00CF4E46">
        <w:rPr>
          <w:rFonts w:cs="Times New Roman"/>
          <w:lang w:eastAsia="en-GB"/>
        </w:rPr>
        <w:t xml:space="preserve"> view</w:t>
      </w:r>
      <w:r w:rsidR="00635850">
        <w:rPr>
          <w:rFonts w:cs="Times New Roman"/>
          <w:lang w:eastAsia="en-GB"/>
        </w:rPr>
        <w:t xml:space="preserve"> does not mean that judges did not have this as an </w:t>
      </w:r>
      <w:r w:rsidR="00635850" w:rsidRPr="00526061">
        <w:rPr>
          <w:rFonts w:cs="Times New Roman"/>
          <w:i/>
          <w:lang w:eastAsia="en-GB"/>
        </w:rPr>
        <w:t>aim</w:t>
      </w:r>
      <w:r w:rsidR="00635850">
        <w:rPr>
          <w:rFonts w:cs="Times New Roman"/>
          <w:lang w:eastAsia="en-GB"/>
        </w:rPr>
        <w:t xml:space="preserve"> when developing contract, property and company law: the class and politics of lawmakers mean that they may have confused what will promote flourishing for </w:t>
      </w:r>
      <w:r w:rsidR="00635850" w:rsidRPr="00FA756C">
        <w:rPr>
          <w:rFonts w:cs="Times New Roman"/>
          <w:i/>
          <w:lang w:eastAsia="en-GB"/>
        </w:rPr>
        <w:t xml:space="preserve">people </w:t>
      </w:r>
      <w:r w:rsidRPr="00FA756C">
        <w:rPr>
          <w:rFonts w:cs="Times New Roman"/>
          <w:i/>
          <w:lang w:eastAsia="en-GB"/>
        </w:rPr>
        <w:t>generally</w:t>
      </w:r>
      <w:r>
        <w:rPr>
          <w:rFonts w:cs="Times New Roman"/>
          <w:lang w:eastAsia="en-GB"/>
        </w:rPr>
        <w:t xml:space="preserve"> </w:t>
      </w:r>
      <w:r w:rsidR="00635850">
        <w:rPr>
          <w:rFonts w:cs="Times New Roman"/>
          <w:lang w:eastAsia="en-GB"/>
        </w:rPr>
        <w:t xml:space="preserve">with what will promote flourishing for </w:t>
      </w:r>
      <w:r w:rsidR="00635850" w:rsidRPr="007E29C5">
        <w:rPr>
          <w:rFonts w:cs="Times New Roman"/>
          <w:i/>
          <w:lang w:eastAsia="en-GB"/>
        </w:rPr>
        <w:t>people</w:t>
      </w:r>
      <w:r w:rsidR="00635850">
        <w:rPr>
          <w:rFonts w:cs="Times New Roman"/>
          <w:lang w:eastAsia="en-GB"/>
        </w:rPr>
        <w:t xml:space="preserve"> </w:t>
      </w:r>
      <w:r w:rsidR="00635850" w:rsidRPr="007E29C5">
        <w:rPr>
          <w:rFonts w:cs="Times New Roman"/>
          <w:i/>
          <w:lang w:eastAsia="en-GB"/>
        </w:rPr>
        <w:t>like them</w:t>
      </w:r>
      <w:r w:rsidR="00635850">
        <w:rPr>
          <w:rFonts w:cs="Times New Roman"/>
          <w:lang w:eastAsia="en-GB"/>
        </w:rPr>
        <w:t>.</w:t>
      </w:r>
      <w:r w:rsidR="00635850">
        <w:rPr>
          <w:rStyle w:val="FootnoteReference"/>
          <w:rFonts w:cs="Times New Roman"/>
          <w:lang w:eastAsia="en-GB"/>
        </w:rPr>
        <w:footnoteReference w:id="129"/>
      </w:r>
      <w:r w:rsidR="00635850">
        <w:rPr>
          <w:rFonts w:cs="Times New Roman"/>
          <w:lang w:eastAsia="en-GB"/>
        </w:rPr>
        <w:t xml:space="preserve"> </w:t>
      </w:r>
      <w:r w:rsidR="001E5DF4">
        <w:rPr>
          <w:rFonts w:cs="Times New Roman"/>
          <w:lang w:eastAsia="en-GB"/>
        </w:rPr>
        <w:t>Of course, such a theory would be at the more abstract end of the spectrum but perhaps we need to acknowledge that a</w:t>
      </w:r>
      <w:r w:rsidR="007766AB">
        <w:rPr>
          <w:rFonts w:cs="Times New Roman"/>
          <w:lang w:eastAsia="en-GB"/>
        </w:rPr>
        <w:t>ny</w:t>
      </w:r>
      <w:r w:rsidR="001E5DF4">
        <w:rPr>
          <w:rFonts w:cs="Times New Roman"/>
          <w:lang w:eastAsia="en-GB"/>
        </w:rPr>
        <w:t xml:space="preserve"> model encompassing everything from the law of marriage to the rule in </w:t>
      </w:r>
      <w:proofErr w:type="spellStart"/>
      <w:r w:rsidR="001E5DF4">
        <w:rPr>
          <w:rFonts w:cs="Times New Roman"/>
          <w:i/>
          <w:lang w:eastAsia="en-GB"/>
        </w:rPr>
        <w:t>Rylands</w:t>
      </w:r>
      <w:proofErr w:type="spellEnd"/>
      <w:r w:rsidR="001E5DF4">
        <w:rPr>
          <w:rFonts w:cs="Times New Roman"/>
          <w:i/>
          <w:lang w:eastAsia="en-GB"/>
        </w:rPr>
        <w:t xml:space="preserve"> v Fletcher</w:t>
      </w:r>
      <w:r w:rsidR="001E5DF4">
        <w:rPr>
          <w:rFonts w:cs="Times New Roman"/>
          <w:lang w:eastAsia="en-GB"/>
        </w:rPr>
        <w:t xml:space="preserve"> cannot be anything else.</w:t>
      </w:r>
      <w:r w:rsidR="0071731E">
        <w:rPr>
          <w:rFonts w:cs="Times New Roman"/>
          <w:lang w:eastAsia="en-GB"/>
        </w:rPr>
        <w:t xml:space="preserve"> </w:t>
      </w:r>
    </w:p>
    <w:p w14:paraId="57DF3948" w14:textId="77777777" w:rsidR="00FD24A8" w:rsidRDefault="00FD24A8" w:rsidP="00A610F8">
      <w:pPr>
        <w:spacing w:line="360" w:lineRule="auto"/>
      </w:pPr>
    </w:p>
    <w:sectPr w:rsidR="00FD24A8" w:rsidSect="006C0538">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25826" w14:textId="77777777" w:rsidR="00056603" w:rsidRDefault="00056603" w:rsidP="001E5DF4">
      <w:pPr>
        <w:spacing w:line="240" w:lineRule="auto"/>
      </w:pPr>
      <w:r>
        <w:separator/>
      </w:r>
    </w:p>
  </w:endnote>
  <w:endnote w:type="continuationSeparator" w:id="0">
    <w:p w14:paraId="46B8B6D8" w14:textId="77777777" w:rsidR="00056603" w:rsidRDefault="00056603" w:rsidP="001E5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8A3D6" w14:textId="77777777" w:rsidR="00E07C2A" w:rsidRDefault="00E07C2A" w:rsidP="00FD24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207AF" w14:textId="77777777" w:rsidR="00E07C2A" w:rsidRDefault="00E07C2A" w:rsidP="00FD24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361C" w14:textId="1BB25B83" w:rsidR="00E07C2A" w:rsidRDefault="00E07C2A" w:rsidP="00FD24A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7E8E">
      <w:rPr>
        <w:rStyle w:val="PageNumber"/>
        <w:noProof/>
      </w:rPr>
      <w:t>1</w:t>
    </w:r>
    <w:r>
      <w:rPr>
        <w:rStyle w:val="PageNumber"/>
      </w:rPr>
      <w:fldChar w:fldCharType="end"/>
    </w:r>
  </w:p>
  <w:p w14:paraId="1E66D7B8" w14:textId="77777777" w:rsidR="00E07C2A" w:rsidRDefault="00E07C2A" w:rsidP="00FD24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CBFF8" w14:textId="77777777" w:rsidR="00056603" w:rsidRDefault="00056603" w:rsidP="001E5DF4">
      <w:pPr>
        <w:spacing w:line="240" w:lineRule="auto"/>
      </w:pPr>
      <w:r>
        <w:separator/>
      </w:r>
    </w:p>
  </w:footnote>
  <w:footnote w:type="continuationSeparator" w:id="0">
    <w:p w14:paraId="74059AC4" w14:textId="77777777" w:rsidR="00056603" w:rsidRDefault="00056603" w:rsidP="001E5DF4">
      <w:pPr>
        <w:spacing w:line="240" w:lineRule="auto"/>
      </w:pPr>
      <w:r>
        <w:continuationSeparator/>
      </w:r>
    </w:p>
  </w:footnote>
  <w:footnote w:id="1">
    <w:p w14:paraId="12BB72F5" w14:textId="0A487D81" w:rsidR="005F0616" w:rsidRDefault="002F0D73" w:rsidP="002F0D73">
      <w:pPr>
        <w:spacing w:line="360" w:lineRule="auto"/>
      </w:pPr>
      <w:r w:rsidRPr="002F0D73">
        <w:rPr>
          <w:rFonts w:cs="Times New Roman"/>
        </w:rPr>
        <w:t>*</w:t>
      </w:r>
      <w:r>
        <w:rPr>
          <w:rFonts w:cs="Times New Roman"/>
        </w:rPr>
        <w:t xml:space="preserve"> </w:t>
      </w:r>
      <w:r w:rsidR="00C646DC" w:rsidRPr="002F0D73">
        <w:rPr>
          <w:rFonts w:cs="Times New Roman"/>
        </w:rPr>
        <w:t xml:space="preserve">I am grateful to John Murphy and Dan </w:t>
      </w:r>
      <w:proofErr w:type="spellStart"/>
      <w:r w:rsidR="00C646DC" w:rsidRPr="002F0D73">
        <w:rPr>
          <w:rFonts w:cs="Times New Roman"/>
        </w:rPr>
        <w:t>Priel</w:t>
      </w:r>
      <w:proofErr w:type="spellEnd"/>
      <w:r w:rsidR="00C646DC" w:rsidRPr="002F0D73">
        <w:rPr>
          <w:rFonts w:cs="Times New Roman"/>
        </w:rPr>
        <w:t xml:space="preserve"> for helpful comments. </w:t>
      </w:r>
      <w:r w:rsidR="005F0616" w:rsidRPr="002F0D73">
        <w:rPr>
          <w:rFonts w:cs="Times New Roman"/>
        </w:rPr>
        <w:t>All web links last accessed 10 February 2020.</w:t>
      </w:r>
    </w:p>
    <w:p w14:paraId="31F9C32C" w14:textId="0543BD22" w:rsidR="00E07C2A" w:rsidRPr="009D2554" w:rsidRDefault="00E07C2A" w:rsidP="00C35048">
      <w:pPr>
        <w:spacing w:line="360" w:lineRule="auto"/>
        <w:rPr>
          <w:rFonts w:eastAsia="Times New Roman"/>
          <w:lang w:eastAsia="en-GB"/>
        </w:rPr>
      </w:pPr>
      <w:r>
        <w:rPr>
          <w:rStyle w:val="FootnoteReference"/>
        </w:rPr>
        <w:footnoteRef/>
      </w:r>
      <w:r>
        <w:t xml:space="preserve"> </w:t>
      </w:r>
      <w:r w:rsidR="00F24583">
        <w:t xml:space="preserve">Nicholas McBride, </w:t>
      </w:r>
      <w:r w:rsidR="00F24583">
        <w:rPr>
          <w:i/>
        </w:rPr>
        <w:t>The Humanity of Private Law Part 1: The Explanation</w:t>
      </w:r>
      <w:r w:rsidR="00F24583">
        <w:t xml:space="preserve"> (OUP 2019) (hereafter </w:t>
      </w:r>
      <w:r w:rsidR="00F24583">
        <w:rPr>
          <w:i/>
        </w:rPr>
        <w:t>HPL</w:t>
      </w:r>
      <w:r w:rsidR="00F24583">
        <w:t>)</w:t>
      </w:r>
      <w:r>
        <w:rPr>
          <w:rFonts w:cs="Times New Roman"/>
        </w:rPr>
        <w:t xml:space="preserve"> v</w:t>
      </w:r>
      <w:r w:rsidRPr="00C86EBE">
        <w:rPr>
          <w:rFonts w:cs="Times New Roman"/>
        </w:rPr>
        <w:t>iii</w:t>
      </w:r>
      <w:r>
        <w:rPr>
          <w:rFonts w:cs="Times New Roman"/>
        </w:rPr>
        <w:t>.</w:t>
      </w:r>
      <w:r w:rsidR="00163DFC">
        <w:rPr>
          <w:rFonts w:cs="Times New Roman"/>
        </w:rPr>
        <w:t xml:space="preserve"> </w:t>
      </w:r>
    </w:p>
  </w:footnote>
  <w:footnote w:id="2">
    <w:p w14:paraId="1FB83F37" w14:textId="605E117A" w:rsidR="00E07C2A" w:rsidRPr="00E15424" w:rsidRDefault="00E07C2A" w:rsidP="00C35048">
      <w:pPr>
        <w:pStyle w:val="FootnoteText"/>
        <w:spacing w:line="360" w:lineRule="auto"/>
      </w:pPr>
      <w:r>
        <w:rPr>
          <w:rStyle w:val="FootnoteReference"/>
        </w:rPr>
        <w:footnoteRef/>
      </w:r>
      <w:r>
        <w:t xml:space="preserve"> ibid 30-31.</w:t>
      </w:r>
    </w:p>
  </w:footnote>
  <w:footnote w:id="3">
    <w:p w14:paraId="728578A0" w14:textId="05620AEB" w:rsidR="00E07C2A" w:rsidRDefault="00E07C2A" w:rsidP="00C35048">
      <w:pPr>
        <w:pStyle w:val="FootnoteText"/>
        <w:spacing w:line="360" w:lineRule="auto"/>
      </w:pPr>
      <w:r>
        <w:rPr>
          <w:rStyle w:val="FootnoteReference"/>
        </w:rPr>
        <w:footnoteRef/>
      </w:r>
      <w:r>
        <w:t xml:space="preserve"> </w:t>
      </w:r>
      <w:r w:rsidRPr="00F6436D">
        <w:rPr>
          <w:rFonts w:cs="Times New Roman"/>
        </w:rPr>
        <w:t>J</w:t>
      </w:r>
      <w:r>
        <w:rPr>
          <w:rFonts w:cs="Times New Roman"/>
        </w:rPr>
        <w:t>ames Goudkamp and John Murphy, ‘</w:t>
      </w:r>
      <w:r w:rsidRPr="00F6436D">
        <w:rPr>
          <w:rFonts w:cs="Times New Roman"/>
        </w:rPr>
        <w:t>Divergent Evolution in the Law of Torts: Jurisdictional Isolation, Jurisprudential Diver</w:t>
      </w:r>
      <w:r>
        <w:rPr>
          <w:rFonts w:cs="Times New Roman"/>
        </w:rPr>
        <w:t>gence and Explanatory Theories’</w:t>
      </w:r>
      <w:r w:rsidRPr="00F6436D">
        <w:rPr>
          <w:rFonts w:cs="Times New Roman"/>
        </w:rPr>
        <w:t xml:space="preserve"> in Andrew Robertson and Michael Tilbury (</w:t>
      </w:r>
      <w:proofErr w:type="spellStart"/>
      <w:r w:rsidRPr="00F6436D">
        <w:rPr>
          <w:rFonts w:cs="Times New Roman"/>
        </w:rPr>
        <w:t>eds</w:t>
      </w:r>
      <w:proofErr w:type="spellEnd"/>
      <w:r w:rsidRPr="00F6436D">
        <w:rPr>
          <w:rFonts w:cs="Times New Roman"/>
        </w:rPr>
        <w:t xml:space="preserve">), </w:t>
      </w:r>
      <w:r w:rsidRPr="00F6436D">
        <w:rPr>
          <w:rFonts w:cs="Times New Roman"/>
          <w:i/>
        </w:rPr>
        <w:t>The Common Law of Obligations: Divergence and Unity</w:t>
      </w:r>
      <w:r>
        <w:rPr>
          <w:rFonts w:cs="Times New Roman"/>
        </w:rPr>
        <w:t xml:space="preserve"> (Hart </w:t>
      </w:r>
      <w:r w:rsidRPr="00F6436D">
        <w:rPr>
          <w:rFonts w:cs="Times New Roman"/>
        </w:rPr>
        <w:t>2015)</w:t>
      </w:r>
      <w:r>
        <w:rPr>
          <w:rFonts w:cs="Times New Roman"/>
        </w:rPr>
        <w:t>.</w:t>
      </w:r>
    </w:p>
  </w:footnote>
  <w:footnote w:id="4">
    <w:p w14:paraId="0DADF09F" w14:textId="4002FE69" w:rsidR="00E07C2A" w:rsidRDefault="00E07C2A" w:rsidP="00C35048">
      <w:pPr>
        <w:pStyle w:val="FootnoteText"/>
        <w:spacing w:line="360" w:lineRule="auto"/>
      </w:pPr>
      <w:r>
        <w:rPr>
          <w:rStyle w:val="FootnoteReference"/>
        </w:rPr>
        <w:footnoteRef/>
      </w:r>
      <w:r>
        <w:t xml:space="preserve"> James Goudkamp and John Murphy, </w:t>
      </w:r>
      <w:r w:rsidRPr="0041630D">
        <w:t xml:space="preserve">‘Tort Statutes and Tort Theories’ (2015) 131 </w:t>
      </w:r>
      <w:r>
        <w:t>LQR 133.</w:t>
      </w:r>
    </w:p>
  </w:footnote>
  <w:footnote w:id="5">
    <w:p w14:paraId="55C14154" w14:textId="290A6372" w:rsidR="00E07C2A" w:rsidRDefault="00E07C2A" w:rsidP="00C35048">
      <w:pPr>
        <w:pStyle w:val="FootnoteText"/>
        <w:spacing w:line="360" w:lineRule="auto"/>
      </w:pPr>
      <w:r>
        <w:rPr>
          <w:rStyle w:val="FootnoteReference"/>
        </w:rPr>
        <w:footnoteRef/>
      </w:r>
      <w:r>
        <w:t xml:space="preserve"> See James Goudkamp and John Murphy, ‘The Failure of Universal Theories of Tort Law’ (2015) 21 LT 47 (in particular, they argue that universal tort theories cannot account for: recovery of pure economic loss in negligence, breach of duty, the rule in </w:t>
      </w:r>
      <w:proofErr w:type="spellStart"/>
      <w:r w:rsidRPr="004C6AE3">
        <w:rPr>
          <w:i/>
        </w:rPr>
        <w:t>Ryland</w:t>
      </w:r>
      <w:r>
        <w:rPr>
          <w:i/>
        </w:rPr>
        <w:t>s</w:t>
      </w:r>
      <w:proofErr w:type="spellEnd"/>
      <w:r>
        <w:rPr>
          <w:i/>
        </w:rPr>
        <w:t xml:space="preserve"> v Fletcher</w:t>
      </w:r>
      <w:r>
        <w:t xml:space="preserve">, the defence of illegality and the availability of punitive damages), </w:t>
      </w:r>
      <w:r w:rsidRPr="0016106E">
        <w:t xml:space="preserve">Peter Cane, 'Corrective Justice and Correlativity in Private Law' (1996) 16 </w:t>
      </w:r>
      <w:r>
        <w:t>OJLS</w:t>
      </w:r>
      <w:r w:rsidRPr="0016106E">
        <w:t xml:space="preserve"> 471</w:t>
      </w:r>
      <w:r>
        <w:t xml:space="preserve"> (corrective justice cannot explain much of private law, particularly strict liability), Christian Witting ‘</w:t>
      </w:r>
      <w:r w:rsidRPr="0041630D">
        <w:t xml:space="preserve">The House That Dr </w:t>
      </w:r>
      <w:proofErr w:type="spellStart"/>
      <w:r w:rsidRPr="0041630D">
        <w:t>Beever</w:t>
      </w:r>
      <w:proofErr w:type="spellEnd"/>
      <w:r w:rsidRPr="0041630D">
        <w:t xml:space="preserve"> Built: Corrective Justice, Prin</w:t>
      </w:r>
      <w:r>
        <w:t>ciple and the Law o</w:t>
      </w:r>
      <w:r w:rsidR="008D39F9">
        <w:t>f Negligence’ (2008) 71 MLR 621</w:t>
      </w:r>
      <w:r>
        <w:t xml:space="preserve"> (corrective justice cannot explain the law of negligence), Dan </w:t>
      </w:r>
      <w:proofErr w:type="spellStart"/>
      <w:r>
        <w:t>Priel</w:t>
      </w:r>
      <w:proofErr w:type="spellEnd"/>
      <w:r>
        <w:t xml:space="preserve">, ‘Land Use Priorities and the Law of Nuisance’ (2015) 39 </w:t>
      </w:r>
      <w:proofErr w:type="spellStart"/>
      <w:r>
        <w:t>Melb</w:t>
      </w:r>
      <w:proofErr w:type="spellEnd"/>
      <w:r>
        <w:t xml:space="preserve"> U L Rev 346 (corrective justice cannot explain the law of private nuisance).</w:t>
      </w:r>
    </w:p>
  </w:footnote>
  <w:footnote w:id="6">
    <w:p w14:paraId="71F42541" w14:textId="73A2FBED" w:rsidR="00E07C2A" w:rsidRDefault="00E07C2A" w:rsidP="00C35048">
      <w:pPr>
        <w:spacing w:line="360" w:lineRule="auto"/>
      </w:pPr>
      <w:r>
        <w:rPr>
          <w:rStyle w:val="FootnoteReference"/>
        </w:rPr>
        <w:footnoteRef/>
      </w:r>
      <w:r>
        <w:t xml:space="preserve"> John Murphy, ‘</w:t>
      </w:r>
      <w:r w:rsidRPr="003F4D29">
        <w:t>Contemporary Tort Theory and Tort Law’s Evolution</w:t>
      </w:r>
      <w:r>
        <w:t>’ (2019) CJLJ 413, 415.</w:t>
      </w:r>
    </w:p>
  </w:footnote>
  <w:footnote w:id="7">
    <w:p w14:paraId="3E46247A" w14:textId="45D4ACDA" w:rsidR="00E07C2A" w:rsidRDefault="00E07C2A" w:rsidP="00C35048">
      <w:pPr>
        <w:pStyle w:val="FootnoteText"/>
        <w:spacing w:line="360" w:lineRule="auto"/>
      </w:pPr>
      <w:r>
        <w:rPr>
          <w:rStyle w:val="FootnoteReference"/>
        </w:rPr>
        <w:footnoteRef/>
      </w:r>
      <w:r w:rsidR="00AA5409">
        <w:t xml:space="preserve"> </w:t>
      </w:r>
      <w:r>
        <w:t>John Murphy, ‘</w:t>
      </w:r>
      <w:r w:rsidRPr="00FE0FD2">
        <w:t>Hybrid Tor</w:t>
      </w:r>
      <w:r>
        <w:t>ts and Contemporary Tort Theory’ (2019) McGill LJ (forthcoming).</w:t>
      </w:r>
    </w:p>
  </w:footnote>
  <w:footnote w:id="8">
    <w:p w14:paraId="23F22B86" w14:textId="1EFAE6E7" w:rsidR="00E07C2A" w:rsidRDefault="00E07C2A" w:rsidP="00C35048">
      <w:pPr>
        <w:pStyle w:val="FootnoteText"/>
        <w:spacing w:line="360" w:lineRule="auto"/>
      </w:pPr>
      <w:r>
        <w:rPr>
          <w:rStyle w:val="FootnoteReference"/>
        </w:rPr>
        <w:footnoteRef/>
      </w:r>
      <w:r>
        <w:t xml:space="preserve"> Dan </w:t>
      </w:r>
      <w:proofErr w:type="spellStart"/>
      <w:r>
        <w:t>Priel</w:t>
      </w:r>
      <w:proofErr w:type="spellEnd"/>
      <w:r>
        <w:t xml:space="preserve">, </w:t>
      </w:r>
      <w:r w:rsidRPr="00963763">
        <w:rPr>
          <w:rFonts w:cs="Times New Roman"/>
        </w:rPr>
        <w:t xml:space="preserve">‘Torts, Rights and Right-Wing Ideology’ </w:t>
      </w:r>
      <w:r>
        <w:rPr>
          <w:rFonts w:cs="Times New Roman"/>
        </w:rPr>
        <w:t>(2011) 19 Torts LJ 1.</w:t>
      </w:r>
    </w:p>
  </w:footnote>
  <w:footnote w:id="9">
    <w:p w14:paraId="1C7C66EF" w14:textId="472DBD59" w:rsidR="00E07C2A" w:rsidRPr="00FE0FD2" w:rsidRDefault="00E07C2A" w:rsidP="00C35048">
      <w:pPr>
        <w:pStyle w:val="FootnoteText"/>
        <w:spacing w:line="360" w:lineRule="auto"/>
      </w:pPr>
      <w:r>
        <w:rPr>
          <w:rStyle w:val="FootnoteReference"/>
        </w:rPr>
        <w:footnoteRef/>
      </w:r>
      <w:r>
        <w:t xml:space="preserve"> </w:t>
      </w:r>
      <w:proofErr w:type="spellStart"/>
      <w:r>
        <w:t>Tsachi</w:t>
      </w:r>
      <w:proofErr w:type="spellEnd"/>
      <w:r>
        <w:t xml:space="preserve"> Keren-Paz, </w:t>
      </w:r>
      <w:r w:rsidRPr="00FE0FD2">
        <w:rPr>
          <w:i/>
        </w:rPr>
        <w:t>Torts, Egalitarianism and Distributive Justice</w:t>
      </w:r>
      <w:r>
        <w:t xml:space="preserve"> (</w:t>
      </w:r>
      <w:proofErr w:type="spellStart"/>
      <w:r>
        <w:t>Ashgate</w:t>
      </w:r>
      <w:proofErr w:type="spellEnd"/>
      <w:r>
        <w:t xml:space="preserve"> 2007).</w:t>
      </w:r>
    </w:p>
  </w:footnote>
  <w:footnote w:id="10">
    <w:p w14:paraId="17A83EC8" w14:textId="26B44CAE" w:rsidR="00E07C2A" w:rsidRDefault="00E07C2A" w:rsidP="00C35048">
      <w:pPr>
        <w:pStyle w:val="FootnoteText"/>
        <w:spacing w:line="360" w:lineRule="auto"/>
      </w:pPr>
      <w:r>
        <w:rPr>
          <w:rStyle w:val="FootnoteReference"/>
        </w:rPr>
        <w:footnoteRef/>
      </w:r>
      <w:r>
        <w:t xml:space="preserve"> See Steve Hedley, ‘Is Private Law Meaningless?’ (2011) 64 CLP 89, 90 and Steve Hedley, ‘The Rise and Fall of Private Law Theory’ (2018) </w:t>
      </w:r>
      <w:r w:rsidRPr="00386512">
        <w:t xml:space="preserve">134 </w:t>
      </w:r>
      <w:r>
        <w:t>LQR</w:t>
      </w:r>
      <w:r w:rsidRPr="00386512">
        <w:t xml:space="preserve"> 214</w:t>
      </w:r>
    </w:p>
  </w:footnote>
  <w:footnote w:id="11">
    <w:p w14:paraId="6B859B97" w14:textId="5A801A76" w:rsidR="00E07C2A" w:rsidRDefault="00E07C2A" w:rsidP="00C35048">
      <w:pPr>
        <w:pStyle w:val="FootnoteText"/>
        <w:spacing w:line="360" w:lineRule="auto"/>
      </w:pPr>
      <w:r>
        <w:rPr>
          <w:rStyle w:val="FootnoteReference"/>
        </w:rPr>
        <w:footnoteRef/>
      </w:r>
      <w:r>
        <w:t xml:space="preserve"> See Richard Posner, ‘A Theory of Negligence’ (1972) 1 J Leg Stud 29.</w:t>
      </w:r>
    </w:p>
  </w:footnote>
  <w:footnote w:id="12">
    <w:p w14:paraId="7FAED59B" w14:textId="2AD10EEF" w:rsidR="00E07C2A" w:rsidRDefault="00E07C2A" w:rsidP="00C35048">
      <w:pPr>
        <w:pStyle w:val="FootnoteText"/>
        <w:spacing w:line="360" w:lineRule="auto"/>
      </w:pPr>
      <w:r>
        <w:rPr>
          <w:rStyle w:val="FootnoteReference"/>
        </w:rPr>
        <w:footnoteRef/>
      </w:r>
      <w:r>
        <w:t xml:space="preserve"> See Ernest </w:t>
      </w:r>
      <w:proofErr w:type="spellStart"/>
      <w:r>
        <w:t>Weinrib</w:t>
      </w:r>
      <w:proofErr w:type="spellEnd"/>
      <w:r>
        <w:t xml:space="preserve">, </w:t>
      </w:r>
      <w:r>
        <w:rPr>
          <w:i/>
        </w:rPr>
        <w:t>The Idea of Private Law</w:t>
      </w:r>
      <w:r>
        <w:t xml:space="preserve"> (OUP 2012), Allan </w:t>
      </w:r>
      <w:proofErr w:type="spellStart"/>
      <w:r>
        <w:t>Beever</w:t>
      </w:r>
      <w:proofErr w:type="spellEnd"/>
      <w:r>
        <w:t xml:space="preserve">, </w:t>
      </w:r>
      <w:r>
        <w:rPr>
          <w:i/>
        </w:rPr>
        <w:t xml:space="preserve">Rediscovering the Law of Negligence </w:t>
      </w:r>
      <w:r>
        <w:t xml:space="preserve">(Hart 2007) and Allan </w:t>
      </w:r>
      <w:proofErr w:type="spellStart"/>
      <w:r>
        <w:t>Beever</w:t>
      </w:r>
      <w:proofErr w:type="spellEnd"/>
      <w:r>
        <w:t xml:space="preserve">, </w:t>
      </w:r>
      <w:r>
        <w:rPr>
          <w:i/>
        </w:rPr>
        <w:t xml:space="preserve">A Theory of Tort Liability </w:t>
      </w:r>
      <w:r>
        <w:t>(Hart 2016).</w:t>
      </w:r>
    </w:p>
  </w:footnote>
  <w:footnote w:id="13">
    <w:p w14:paraId="2CCBDCF0" w14:textId="5D5EF230" w:rsidR="00E07C2A" w:rsidRDefault="00E07C2A" w:rsidP="00C35048">
      <w:pPr>
        <w:pStyle w:val="FootnoteText"/>
        <w:spacing w:line="360" w:lineRule="auto"/>
      </w:pPr>
      <w:r>
        <w:rPr>
          <w:rStyle w:val="FootnoteReference"/>
        </w:rPr>
        <w:footnoteRef/>
      </w:r>
      <w:r>
        <w:t xml:space="preserve"> The latter includes </w:t>
      </w:r>
      <w:r>
        <w:rPr>
          <w:rFonts w:cs="Times New Roman"/>
        </w:rPr>
        <w:t xml:space="preserve">John </w:t>
      </w:r>
      <w:r w:rsidRPr="00C80E3C">
        <w:rPr>
          <w:rFonts w:cs="Times New Roman"/>
        </w:rPr>
        <w:t xml:space="preserve">Goldberg and </w:t>
      </w:r>
      <w:r>
        <w:rPr>
          <w:rFonts w:cs="Times New Roman"/>
        </w:rPr>
        <w:t xml:space="preserve">Benjamin </w:t>
      </w:r>
      <w:proofErr w:type="spellStart"/>
      <w:r w:rsidRPr="00C80E3C">
        <w:rPr>
          <w:rFonts w:cs="Times New Roman"/>
        </w:rPr>
        <w:t>Zipusrky’s</w:t>
      </w:r>
      <w:proofErr w:type="spellEnd"/>
      <w:r w:rsidRPr="00C80E3C">
        <w:rPr>
          <w:rFonts w:cs="Times New Roman"/>
        </w:rPr>
        <w:t xml:space="preserve"> civil recourse theo</w:t>
      </w:r>
      <w:r>
        <w:rPr>
          <w:rFonts w:cs="Times New Roman"/>
        </w:rPr>
        <w:t xml:space="preserve">ry (tort law is concerned with </w:t>
      </w:r>
      <w:r w:rsidRPr="00C80E3C">
        <w:rPr>
          <w:rFonts w:cs="Times New Roman"/>
        </w:rPr>
        <w:t>providing victims with an avenue of civil recourse against those w</w:t>
      </w:r>
      <w:r>
        <w:rPr>
          <w:rFonts w:cs="Times New Roman"/>
        </w:rPr>
        <w:t>ho have wrongfully injured them</w:t>
      </w:r>
      <w:r w:rsidRPr="00C80E3C">
        <w:rPr>
          <w:rFonts w:cs="Times New Roman"/>
        </w:rPr>
        <w:t>) and John Gardner’s continuity thesis (if D breaches a moral duty to C to do X then they will owe C a new duty to undo the harmful consequences that results from the breach of that duty</w:t>
      </w:r>
      <w:r>
        <w:rPr>
          <w:rFonts w:cs="Times New Roman"/>
        </w:rPr>
        <w:t xml:space="preserve">) See John Goldberg and Benjamin </w:t>
      </w:r>
      <w:proofErr w:type="spellStart"/>
      <w:r>
        <w:rPr>
          <w:rFonts w:cs="Times New Roman"/>
        </w:rPr>
        <w:t>Zipursky</w:t>
      </w:r>
      <w:proofErr w:type="spellEnd"/>
      <w:r>
        <w:rPr>
          <w:rFonts w:cs="Times New Roman"/>
        </w:rPr>
        <w:t>, ‘Torts as Wrongs’ (2010) 88 Texas LR 917 and John Gardner, ‘What is Tort Law For? Part 1: The Place of Corrective Justice (2011) L &amp; Phil 1.</w:t>
      </w:r>
    </w:p>
  </w:footnote>
  <w:footnote w:id="14">
    <w:p w14:paraId="1DB1EB7D" w14:textId="50898126" w:rsidR="00E07C2A" w:rsidRPr="0068214D" w:rsidRDefault="00E07C2A" w:rsidP="00C35048">
      <w:pPr>
        <w:pStyle w:val="FootnoteText"/>
        <w:spacing w:line="360" w:lineRule="auto"/>
      </w:pPr>
      <w:r>
        <w:rPr>
          <w:rStyle w:val="FootnoteReference"/>
        </w:rPr>
        <w:footnoteRef/>
      </w:r>
      <w:r>
        <w:t xml:space="preserve"> </w:t>
      </w:r>
      <w:r>
        <w:rPr>
          <w:i/>
        </w:rPr>
        <w:t>HPL</w:t>
      </w:r>
      <w:r>
        <w:t xml:space="preserve"> 28.</w:t>
      </w:r>
    </w:p>
  </w:footnote>
  <w:footnote w:id="15">
    <w:p w14:paraId="1488D811" w14:textId="653EAE0D" w:rsidR="00E07C2A" w:rsidRPr="002B3850" w:rsidRDefault="00E07C2A" w:rsidP="00C35048">
      <w:pPr>
        <w:pStyle w:val="FootnoteText"/>
        <w:spacing w:line="360" w:lineRule="auto"/>
      </w:pPr>
      <w:r>
        <w:rPr>
          <w:rStyle w:val="FootnoteReference"/>
        </w:rPr>
        <w:footnoteRef/>
      </w:r>
      <w:r>
        <w:t xml:space="preserve"> ibid 10-11 and 13-14. He also criticises legal moralist theories as they perpetuate the idea that morality is a code rather than a map. Although I need not engage with this debate for the purposes of this </w:t>
      </w:r>
      <w:r w:rsidR="00B953F5">
        <w:t>article</w:t>
      </w:r>
      <w:r>
        <w:t>, I found this argument unconvincing as I doubt that this critique is open to work based on the new natural law.</w:t>
      </w:r>
    </w:p>
  </w:footnote>
  <w:footnote w:id="16">
    <w:p w14:paraId="5B31B54A" w14:textId="78747580" w:rsidR="00E07C2A" w:rsidRDefault="00E07C2A" w:rsidP="00C35048">
      <w:pPr>
        <w:pStyle w:val="FootnoteText"/>
        <w:spacing w:line="360" w:lineRule="auto"/>
      </w:pPr>
      <w:r>
        <w:rPr>
          <w:rStyle w:val="FootnoteReference"/>
        </w:rPr>
        <w:footnoteRef/>
      </w:r>
      <w:r>
        <w:t xml:space="preserve"> ibid 30.</w:t>
      </w:r>
    </w:p>
  </w:footnote>
  <w:footnote w:id="17">
    <w:p w14:paraId="1D04B3BF" w14:textId="5388BCA9" w:rsidR="00E07C2A" w:rsidRDefault="00E07C2A" w:rsidP="00C35048">
      <w:pPr>
        <w:pStyle w:val="FootnoteText"/>
        <w:spacing w:line="360" w:lineRule="auto"/>
      </w:pPr>
      <w:r>
        <w:rPr>
          <w:rStyle w:val="FootnoteReference"/>
        </w:rPr>
        <w:footnoteRef/>
      </w:r>
      <w:r>
        <w:t xml:space="preserve"> i</w:t>
      </w:r>
      <w:r w:rsidRPr="001C0797">
        <w:t>bid</w:t>
      </w:r>
      <w:r>
        <w:t xml:space="preserve"> 70.</w:t>
      </w:r>
    </w:p>
  </w:footnote>
  <w:footnote w:id="18">
    <w:p w14:paraId="58707463" w14:textId="6F6AE8BC" w:rsidR="00E07C2A" w:rsidRDefault="00E07C2A" w:rsidP="00C35048">
      <w:pPr>
        <w:pStyle w:val="FootnoteText"/>
        <w:spacing w:line="360" w:lineRule="auto"/>
      </w:pPr>
      <w:r>
        <w:rPr>
          <w:rStyle w:val="FootnoteReference"/>
        </w:rPr>
        <w:footnoteRef/>
      </w:r>
      <w:r>
        <w:t xml:space="preserve"> i</w:t>
      </w:r>
      <w:r w:rsidRPr="001C0797">
        <w:t>bid</w:t>
      </w:r>
      <w:r>
        <w:t xml:space="preserve"> 30-31.</w:t>
      </w:r>
    </w:p>
  </w:footnote>
  <w:footnote w:id="19">
    <w:p w14:paraId="6D2DD72C" w14:textId="13262315" w:rsidR="00E07C2A" w:rsidRDefault="00E07C2A" w:rsidP="00C35048">
      <w:pPr>
        <w:pStyle w:val="FootnoteText"/>
        <w:spacing w:line="360" w:lineRule="auto"/>
      </w:pPr>
      <w:r>
        <w:rPr>
          <w:rStyle w:val="FootnoteReference"/>
        </w:rPr>
        <w:footnoteRef/>
      </w:r>
      <w:r>
        <w:t xml:space="preserve"> ibid 82.</w:t>
      </w:r>
    </w:p>
  </w:footnote>
  <w:footnote w:id="20">
    <w:p w14:paraId="12A4B1B1" w14:textId="54B67206" w:rsidR="00E07C2A" w:rsidRDefault="00E07C2A" w:rsidP="00C35048">
      <w:pPr>
        <w:pStyle w:val="FootnoteText"/>
        <w:spacing w:line="360" w:lineRule="auto"/>
      </w:pPr>
      <w:r>
        <w:rPr>
          <w:rStyle w:val="FootnoteReference"/>
        </w:rPr>
        <w:footnoteRef/>
      </w:r>
      <w:r>
        <w:t xml:space="preserve"> i</w:t>
      </w:r>
      <w:r w:rsidRPr="00152F87">
        <w:t>bid</w:t>
      </w:r>
      <w:r>
        <w:t>.</w:t>
      </w:r>
    </w:p>
  </w:footnote>
  <w:footnote w:id="21">
    <w:p w14:paraId="53418CC5" w14:textId="556BB863" w:rsidR="00E07C2A" w:rsidRDefault="00E07C2A" w:rsidP="00C35048">
      <w:pPr>
        <w:pStyle w:val="FootnoteText"/>
        <w:spacing w:line="360" w:lineRule="auto"/>
      </w:pPr>
      <w:r>
        <w:rPr>
          <w:rStyle w:val="FootnoteReference"/>
        </w:rPr>
        <w:footnoteRef/>
      </w:r>
      <w:r>
        <w:t xml:space="preserve"> ibid.</w:t>
      </w:r>
    </w:p>
  </w:footnote>
  <w:footnote w:id="22">
    <w:p w14:paraId="14C2479F" w14:textId="1BA28183" w:rsidR="00E07C2A" w:rsidRDefault="00E07C2A" w:rsidP="00C35048">
      <w:pPr>
        <w:pStyle w:val="FootnoteText"/>
        <w:spacing w:line="360" w:lineRule="auto"/>
      </w:pPr>
      <w:r>
        <w:rPr>
          <w:rStyle w:val="FootnoteReference"/>
        </w:rPr>
        <w:footnoteRef/>
      </w:r>
      <w:r>
        <w:t xml:space="preserve"> ibid 83</w:t>
      </w:r>
    </w:p>
  </w:footnote>
  <w:footnote w:id="23">
    <w:p w14:paraId="7C42615F" w14:textId="3FCE4F57" w:rsidR="00E07C2A" w:rsidRPr="002D072A" w:rsidRDefault="00E07C2A" w:rsidP="00C35048">
      <w:pPr>
        <w:pStyle w:val="FootnoteText"/>
        <w:spacing w:line="360" w:lineRule="auto"/>
      </w:pPr>
      <w:r>
        <w:rPr>
          <w:rStyle w:val="FootnoteReference"/>
        </w:rPr>
        <w:footnoteRef/>
      </w:r>
      <w:r>
        <w:t xml:space="preserve"> (2</w:t>
      </w:r>
      <w:r w:rsidRPr="00F02B90">
        <w:rPr>
          <w:vertAlign w:val="superscript"/>
        </w:rPr>
        <w:t>nd</w:t>
      </w:r>
      <w:r w:rsidR="00001DA9">
        <w:t xml:space="preserve"> end, OUP 2011)</w:t>
      </w:r>
      <w:r>
        <w:t>.</w:t>
      </w:r>
    </w:p>
  </w:footnote>
  <w:footnote w:id="24">
    <w:p w14:paraId="199E65B6" w14:textId="4E493F66" w:rsidR="00E07C2A" w:rsidRDefault="00E07C2A" w:rsidP="00C35048">
      <w:pPr>
        <w:pStyle w:val="FootnoteText"/>
        <w:spacing w:line="360" w:lineRule="auto"/>
      </w:pPr>
      <w:r>
        <w:rPr>
          <w:rStyle w:val="FootnoteReference"/>
        </w:rPr>
        <w:footnoteRef/>
      </w:r>
      <w:r>
        <w:t xml:space="preserve"> ibid 420.</w:t>
      </w:r>
    </w:p>
  </w:footnote>
  <w:footnote w:id="25">
    <w:p w14:paraId="187EC2C3" w14:textId="30A8052F" w:rsidR="00E07C2A" w:rsidRDefault="00E07C2A" w:rsidP="00C35048">
      <w:pPr>
        <w:pStyle w:val="FootnoteText"/>
        <w:spacing w:line="360" w:lineRule="auto"/>
      </w:pPr>
      <w:r>
        <w:rPr>
          <w:rStyle w:val="FootnoteReference"/>
        </w:rPr>
        <w:footnoteRef/>
      </w:r>
      <w:r>
        <w:t xml:space="preserve"> See </w:t>
      </w:r>
      <w:r>
        <w:rPr>
          <w:rFonts w:cs="Times New Roman"/>
        </w:rPr>
        <w:t xml:space="preserve">John </w:t>
      </w:r>
      <w:proofErr w:type="spellStart"/>
      <w:r w:rsidRPr="00963763">
        <w:rPr>
          <w:rFonts w:cs="Times New Roman"/>
        </w:rPr>
        <w:t>Finnis</w:t>
      </w:r>
      <w:proofErr w:type="spellEnd"/>
      <w:r>
        <w:rPr>
          <w:rFonts w:cs="Times New Roman"/>
        </w:rPr>
        <w:t xml:space="preserve">, ‘Law, Morality and “Sexual Orientation”’ (1994) 69 Notre Dame L Rev 1049 and </w:t>
      </w:r>
      <w:r>
        <w:rPr>
          <w:i/>
        </w:rPr>
        <w:t>Moral Absolutes: Tradition, Revision and Truth</w:t>
      </w:r>
      <w:r>
        <w:t xml:space="preserve"> (Catholic University of America Press, 1991)</w:t>
      </w:r>
      <w:r>
        <w:rPr>
          <w:i/>
        </w:rPr>
        <w:t xml:space="preserve"> </w:t>
      </w:r>
      <w:proofErr w:type="spellStart"/>
      <w:r>
        <w:t>ch</w:t>
      </w:r>
      <w:proofErr w:type="spellEnd"/>
      <w:r>
        <w:t xml:space="preserve"> iv</w:t>
      </w:r>
      <w:r>
        <w:rPr>
          <w:rFonts w:cs="Times New Roman"/>
        </w:rPr>
        <w:t xml:space="preserve">. For criticisms see Nicholas </w:t>
      </w:r>
      <w:proofErr w:type="spellStart"/>
      <w:r w:rsidRPr="00963763">
        <w:rPr>
          <w:rFonts w:cs="Times New Roman"/>
        </w:rPr>
        <w:t>Bamforth</w:t>
      </w:r>
      <w:proofErr w:type="spellEnd"/>
      <w:r>
        <w:rPr>
          <w:rFonts w:cs="Times New Roman"/>
        </w:rPr>
        <w:t xml:space="preserve"> and David Richards, </w:t>
      </w:r>
      <w:r w:rsidRPr="00C86EBE">
        <w:rPr>
          <w:rFonts w:cs="Times New Roman"/>
          <w:i/>
          <w:lang w:eastAsia="en-GB"/>
        </w:rPr>
        <w:t>Patriarchal Religion, Sexuality, and Gender: A Critique of New Natural Law</w:t>
      </w:r>
      <w:r>
        <w:rPr>
          <w:rFonts w:cs="Times New Roman"/>
          <w:lang w:eastAsia="en-GB"/>
        </w:rPr>
        <w:t xml:space="preserve"> (CUP 2011)</w:t>
      </w:r>
      <w:r w:rsidRPr="00963763">
        <w:rPr>
          <w:rFonts w:cs="Times New Roman"/>
        </w:rPr>
        <w:t xml:space="preserve"> 277.</w:t>
      </w:r>
    </w:p>
  </w:footnote>
  <w:footnote w:id="26">
    <w:p w14:paraId="62EFA94F" w14:textId="38DBBB75" w:rsidR="00E07C2A" w:rsidRDefault="00E07C2A" w:rsidP="00C35048">
      <w:pPr>
        <w:pStyle w:val="FootnoteText"/>
        <w:spacing w:line="360" w:lineRule="auto"/>
      </w:pPr>
      <w:r>
        <w:rPr>
          <w:rStyle w:val="FootnoteReference"/>
        </w:rPr>
        <w:footnoteRef/>
      </w:r>
      <w:r>
        <w:t xml:space="preserve"> </w:t>
      </w:r>
      <w:r>
        <w:rPr>
          <w:i/>
        </w:rPr>
        <w:t xml:space="preserve">HPL </w:t>
      </w:r>
      <w:r>
        <w:t>107.</w:t>
      </w:r>
    </w:p>
  </w:footnote>
  <w:footnote w:id="27">
    <w:p w14:paraId="6FB9CD58" w14:textId="25FEC752" w:rsidR="00E07C2A" w:rsidRDefault="00E07C2A" w:rsidP="00C35048">
      <w:pPr>
        <w:pStyle w:val="FootnoteText"/>
        <w:spacing w:line="360" w:lineRule="auto"/>
      </w:pPr>
      <w:r>
        <w:rPr>
          <w:rStyle w:val="FootnoteReference"/>
        </w:rPr>
        <w:footnoteRef/>
      </w:r>
      <w:r>
        <w:t xml:space="preserve"> ibid.</w:t>
      </w:r>
    </w:p>
  </w:footnote>
  <w:footnote w:id="28">
    <w:p w14:paraId="1F3F20B4" w14:textId="3A7D0E2D" w:rsidR="00E07C2A" w:rsidRDefault="00E07C2A" w:rsidP="00C35048">
      <w:pPr>
        <w:pStyle w:val="FootnoteText"/>
        <w:spacing w:line="360" w:lineRule="auto"/>
      </w:pPr>
      <w:r>
        <w:rPr>
          <w:rStyle w:val="FootnoteReference"/>
        </w:rPr>
        <w:footnoteRef/>
      </w:r>
      <w:r>
        <w:t xml:space="preserve"> ibid 85.</w:t>
      </w:r>
    </w:p>
  </w:footnote>
  <w:footnote w:id="29">
    <w:p w14:paraId="53D66D89" w14:textId="1AC5AA1B" w:rsidR="00E07C2A" w:rsidRDefault="00E07C2A" w:rsidP="00C35048">
      <w:pPr>
        <w:pStyle w:val="FootnoteText"/>
        <w:spacing w:line="360" w:lineRule="auto"/>
      </w:pPr>
      <w:r>
        <w:rPr>
          <w:rStyle w:val="FootnoteReference"/>
        </w:rPr>
        <w:footnoteRef/>
      </w:r>
      <w:r>
        <w:t xml:space="preserve"> i</w:t>
      </w:r>
      <w:r w:rsidRPr="001C0797">
        <w:t>bid</w:t>
      </w:r>
      <w:r>
        <w:t>.</w:t>
      </w:r>
    </w:p>
  </w:footnote>
  <w:footnote w:id="30">
    <w:p w14:paraId="6434F9EF" w14:textId="7DC74F20" w:rsidR="00E07C2A" w:rsidRDefault="00E07C2A" w:rsidP="00C35048">
      <w:pPr>
        <w:pStyle w:val="FootnoteText"/>
        <w:spacing w:line="360" w:lineRule="auto"/>
      </w:pPr>
      <w:r>
        <w:rPr>
          <w:rStyle w:val="FootnoteReference"/>
        </w:rPr>
        <w:footnoteRef/>
      </w:r>
      <w:r>
        <w:t xml:space="preserve"> ibid 86.</w:t>
      </w:r>
    </w:p>
  </w:footnote>
  <w:footnote w:id="31">
    <w:p w14:paraId="5F652582" w14:textId="60B35A1C" w:rsidR="00E07C2A" w:rsidRPr="00E41D1D" w:rsidRDefault="00E07C2A" w:rsidP="00C35048">
      <w:pPr>
        <w:pStyle w:val="FootnoteText"/>
        <w:spacing w:line="360" w:lineRule="auto"/>
      </w:pPr>
      <w:r>
        <w:rPr>
          <w:rStyle w:val="FootnoteReference"/>
        </w:rPr>
        <w:footnoteRef/>
      </w:r>
      <w:r>
        <w:t xml:space="preserve"> ibid 108. This is open to question. Similar claims could arguably be made by some of the rival theories that McBride is quick to dismiss, such as the capabilities approach developed by Sen and Nussbaum. See Amartya Sen, </w:t>
      </w:r>
      <w:r>
        <w:rPr>
          <w:i/>
        </w:rPr>
        <w:t>The Idea of Justice</w:t>
      </w:r>
      <w:r>
        <w:t xml:space="preserve"> (Penguin, 2010) </w:t>
      </w:r>
      <w:proofErr w:type="spellStart"/>
      <w:r>
        <w:t>pt</w:t>
      </w:r>
      <w:proofErr w:type="spellEnd"/>
      <w:r>
        <w:t xml:space="preserve"> III and Martha Nussbaum, </w:t>
      </w:r>
      <w:r w:rsidRPr="00E41D1D">
        <w:rPr>
          <w:i/>
        </w:rPr>
        <w:t>Creating Capabilities: The Human Development Approach</w:t>
      </w:r>
      <w:r>
        <w:t xml:space="preserve"> (HUP, 2011).</w:t>
      </w:r>
    </w:p>
  </w:footnote>
  <w:footnote w:id="32">
    <w:p w14:paraId="465CC458" w14:textId="02E4E9EC" w:rsidR="00E07C2A" w:rsidRDefault="00E07C2A" w:rsidP="00C35048">
      <w:pPr>
        <w:pStyle w:val="FootnoteText"/>
        <w:spacing w:line="360" w:lineRule="auto"/>
      </w:pPr>
      <w:r>
        <w:rPr>
          <w:rStyle w:val="FootnoteReference"/>
        </w:rPr>
        <w:footnoteRef/>
      </w:r>
      <w:r>
        <w:t xml:space="preserve"> ibid 114.</w:t>
      </w:r>
    </w:p>
  </w:footnote>
  <w:footnote w:id="33">
    <w:p w14:paraId="6FE52ED2" w14:textId="345E2A93" w:rsidR="00E07C2A" w:rsidRDefault="00E07C2A" w:rsidP="00C35048">
      <w:pPr>
        <w:pStyle w:val="FootnoteText"/>
        <w:spacing w:line="360" w:lineRule="auto"/>
      </w:pPr>
      <w:r>
        <w:rPr>
          <w:rStyle w:val="FootnoteReference"/>
        </w:rPr>
        <w:footnoteRef/>
      </w:r>
      <w:r>
        <w:t xml:space="preserve"> ibid 124.</w:t>
      </w:r>
    </w:p>
  </w:footnote>
  <w:footnote w:id="34">
    <w:p w14:paraId="5B306BB3" w14:textId="259803D0" w:rsidR="00E07C2A" w:rsidRPr="0079329F" w:rsidRDefault="00E07C2A" w:rsidP="00C35048">
      <w:pPr>
        <w:pStyle w:val="FootnoteText"/>
        <w:spacing w:line="360" w:lineRule="auto"/>
      </w:pPr>
      <w:r>
        <w:rPr>
          <w:rStyle w:val="FootnoteReference"/>
        </w:rPr>
        <w:footnoteRef/>
      </w:r>
      <w:r>
        <w:t xml:space="preserve"> ibid.</w:t>
      </w:r>
      <w:r w:rsidR="005B75EC">
        <w:t xml:space="preserve"> </w:t>
      </w:r>
      <w:r w:rsidR="005B75EC">
        <w:rPr>
          <w:rFonts w:eastAsia="Times New Roman" w:cs="Times New Roman"/>
          <w:lang w:eastAsia="en-GB"/>
        </w:rPr>
        <w:t xml:space="preserve">McBride includes a table on page 107 of </w:t>
      </w:r>
      <w:r w:rsidR="005B75EC">
        <w:rPr>
          <w:rFonts w:eastAsia="Times New Roman" w:cs="Times New Roman"/>
          <w:i/>
          <w:lang w:eastAsia="en-GB"/>
        </w:rPr>
        <w:t>The Humanity of Private Law</w:t>
      </w:r>
      <w:r w:rsidR="005B75EC">
        <w:rPr>
          <w:rFonts w:eastAsia="Times New Roman" w:cs="Times New Roman"/>
          <w:lang w:eastAsia="en-GB"/>
        </w:rPr>
        <w:t xml:space="preserve"> where the secondary goods are referred to as ‘external goods’ and included with the catalogue basic goods. The tertiary goods are not included in this table. </w:t>
      </w:r>
    </w:p>
  </w:footnote>
  <w:footnote w:id="35">
    <w:p w14:paraId="70E22D6A" w14:textId="2B574D40" w:rsidR="00E07C2A" w:rsidRDefault="00E07C2A" w:rsidP="00C35048">
      <w:pPr>
        <w:pStyle w:val="FootnoteText"/>
        <w:spacing w:line="360" w:lineRule="auto"/>
      </w:pPr>
      <w:r>
        <w:rPr>
          <w:rStyle w:val="FootnoteReference"/>
        </w:rPr>
        <w:footnoteRef/>
      </w:r>
      <w:r>
        <w:t xml:space="preserve"> ibid.</w:t>
      </w:r>
    </w:p>
  </w:footnote>
  <w:footnote w:id="36">
    <w:p w14:paraId="55D40397" w14:textId="77777777" w:rsidR="00E07C2A" w:rsidRDefault="00E07C2A" w:rsidP="00C35048">
      <w:pPr>
        <w:pStyle w:val="FootnoteText"/>
        <w:spacing w:line="360" w:lineRule="auto"/>
      </w:pPr>
      <w:r>
        <w:rPr>
          <w:rStyle w:val="FootnoteReference"/>
        </w:rPr>
        <w:footnoteRef/>
      </w:r>
      <w:r>
        <w:t xml:space="preserve"> ibid.</w:t>
      </w:r>
    </w:p>
  </w:footnote>
  <w:footnote w:id="37">
    <w:p w14:paraId="6E9E9FD3" w14:textId="3520D9C4" w:rsidR="00E07C2A" w:rsidRDefault="00E07C2A" w:rsidP="00C35048">
      <w:pPr>
        <w:pStyle w:val="FootnoteText"/>
        <w:spacing w:line="360" w:lineRule="auto"/>
      </w:pPr>
      <w:r>
        <w:rPr>
          <w:rStyle w:val="FootnoteReference"/>
        </w:rPr>
        <w:footnoteRef/>
      </w:r>
      <w:r>
        <w:t xml:space="preserve"> ibid 115.</w:t>
      </w:r>
    </w:p>
  </w:footnote>
  <w:footnote w:id="38">
    <w:p w14:paraId="56664C80" w14:textId="0DFC817D" w:rsidR="00E07C2A" w:rsidRDefault="00E07C2A" w:rsidP="00C35048">
      <w:pPr>
        <w:pStyle w:val="FootnoteText"/>
        <w:spacing w:line="360" w:lineRule="auto"/>
      </w:pPr>
      <w:r>
        <w:rPr>
          <w:rStyle w:val="FootnoteReference"/>
        </w:rPr>
        <w:footnoteRef/>
      </w:r>
      <w:r>
        <w:t xml:space="preserve"> ibid 123.</w:t>
      </w:r>
    </w:p>
  </w:footnote>
  <w:footnote w:id="39">
    <w:p w14:paraId="2D91A53D" w14:textId="46E8AA89" w:rsidR="00E07C2A" w:rsidRDefault="00E07C2A" w:rsidP="00C35048">
      <w:pPr>
        <w:pStyle w:val="FootnoteText"/>
        <w:spacing w:line="360" w:lineRule="auto"/>
      </w:pPr>
      <w:r>
        <w:rPr>
          <w:rStyle w:val="FootnoteReference"/>
        </w:rPr>
        <w:footnoteRef/>
      </w:r>
      <w:r>
        <w:t xml:space="preserve"> ibid 127.</w:t>
      </w:r>
    </w:p>
  </w:footnote>
  <w:footnote w:id="40">
    <w:p w14:paraId="477CEDBA" w14:textId="33BFDF00" w:rsidR="00E07C2A" w:rsidRDefault="00E07C2A" w:rsidP="00C35048">
      <w:pPr>
        <w:pStyle w:val="FootnoteText"/>
        <w:spacing w:line="360" w:lineRule="auto"/>
      </w:pPr>
      <w:r>
        <w:rPr>
          <w:rStyle w:val="FootnoteReference"/>
        </w:rPr>
        <w:footnoteRef/>
      </w:r>
      <w:r>
        <w:t xml:space="preserve"> i</w:t>
      </w:r>
      <w:r w:rsidRPr="001C0797">
        <w:t>bid</w:t>
      </w:r>
      <w:r>
        <w:t xml:space="preserve"> 154.</w:t>
      </w:r>
    </w:p>
  </w:footnote>
  <w:footnote w:id="41">
    <w:p w14:paraId="1EB8C6DF" w14:textId="77535D28" w:rsidR="00E07C2A" w:rsidRDefault="00E07C2A" w:rsidP="00C35048">
      <w:pPr>
        <w:pStyle w:val="FootnoteText"/>
        <w:spacing w:line="360" w:lineRule="auto"/>
      </w:pPr>
      <w:r>
        <w:rPr>
          <w:rStyle w:val="FootnoteReference"/>
        </w:rPr>
        <w:footnoteRef/>
      </w:r>
      <w:r>
        <w:t xml:space="preserve"> ibid.</w:t>
      </w:r>
    </w:p>
  </w:footnote>
  <w:footnote w:id="42">
    <w:p w14:paraId="31B22BBC" w14:textId="7DDBDDDD" w:rsidR="00E07C2A" w:rsidRDefault="00E07C2A" w:rsidP="00C35048">
      <w:pPr>
        <w:pStyle w:val="FootnoteText"/>
        <w:spacing w:line="360" w:lineRule="auto"/>
      </w:pPr>
      <w:r>
        <w:rPr>
          <w:rStyle w:val="FootnoteReference"/>
        </w:rPr>
        <w:footnoteRef/>
      </w:r>
      <w:r>
        <w:t xml:space="preserve"> ibid 199.</w:t>
      </w:r>
    </w:p>
  </w:footnote>
  <w:footnote w:id="43">
    <w:p w14:paraId="6EBEC698" w14:textId="5BC76504" w:rsidR="00E07C2A" w:rsidRDefault="00E07C2A" w:rsidP="00C35048">
      <w:pPr>
        <w:pStyle w:val="FootnoteText"/>
        <w:spacing w:line="360" w:lineRule="auto"/>
      </w:pPr>
      <w:r>
        <w:rPr>
          <w:rStyle w:val="FootnoteReference"/>
        </w:rPr>
        <w:footnoteRef/>
      </w:r>
      <w:r>
        <w:t xml:space="preserve"> ibid 203.</w:t>
      </w:r>
    </w:p>
  </w:footnote>
  <w:footnote w:id="44">
    <w:p w14:paraId="6439BCD3" w14:textId="1F4F2FB8" w:rsidR="00E07C2A" w:rsidRDefault="00E07C2A" w:rsidP="00C35048">
      <w:pPr>
        <w:pStyle w:val="FootnoteText"/>
        <w:spacing w:line="360" w:lineRule="auto"/>
      </w:pPr>
      <w:r>
        <w:rPr>
          <w:rStyle w:val="FootnoteReference"/>
        </w:rPr>
        <w:footnoteRef/>
      </w:r>
      <w:r>
        <w:t xml:space="preserve"> ibid.</w:t>
      </w:r>
    </w:p>
  </w:footnote>
  <w:footnote w:id="45">
    <w:p w14:paraId="48E64CB6" w14:textId="5B94BF82" w:rsidR="00E07C2A" w:rsidRDefault="00E07C2A" w:rsidP="00C35048">
      <w:pPr>
        <w:pStyle w:val="FootnoteText"/>
        <w:spacing w:line="360" w:lineRule="auto"/>
      </w:pPr>
      <w:r>
        <w:rPr>
          <w:rStyle w:val="FootnoteReference"/>
        </w:rPr>
        <w:footnoteRef/>
      </w:r>
      <w:r>
        <w:t xml:space="preserve"> ibid.</w:t>
      </w:r>
    </w:p>
  </w:footnote>
  <w:footnote w:id="46">
    <w:p w14:paraId="4619D0DC" w14:textId="7F7C6573" w:rsidR="00E07C2A" w:rsidRDefault="00E07C2A" w:rsidP="00C35048">
      <w:pPr>
        <w:pStyle w:val="FootnoteText"/>
        <w:spacing w:line="360" w:lineRule="auto"/>
      </w:pPr>
      <w:r>
        <w:rPr>
          <w:rStyle w:val="FootnoteReference"/>
        </w:rPr>
        <w:footnoteRef/>
      </w:r>
      <w:r>
        <w:t xml:space="preserve"> ibid 241.</w:t>
      </w:r>
    </w:p>
  </w:footnote>
  <w:footnote w:id="47">
    <w:p w14:paraId="135568BC" w14:textId="1361D7F4" w:rsidR="00E07C2A" w:rsidRPr="00C172E5" w:rsidRDefault="00E07C2A" w:rsidP="00C35048">
      <w:pPr>
        <w:pStyle w:val="FootnoteText"/>
        <w:spacing w:line="360" w:lineRule="auto"/>
      </w:pPr>
      <w:r>
        <w:rPr>
          <w:rStyle w:val="FootnoteReference"/>
        </w:rPr>
        <w:footnoteRef/>
      </w:r>
      <w:r>
        <w:t xml:space="preserve"> Being the subject of Lord </w:t>
      </w:r>
      <w:proofErr w:type="spellStart"/>
      <w:r>
        <w:t>Sumption’s</w:t>
      </w:r>
      <w:proofErr w:type="spellEnd"/>
      <w:r>
        <w:t xml:space="preserve"> recent Reith Lectures, it is also very timely. See Jonathan </w:t>
      </w:r>
      <w:proofErr w:type="spellStart"/>
      <w:r>
        <w:t>Sumption</w:t>
      </w:r>
      <w:proofErr w:type="spellEnd"/>
      <w:r>
        <w:t xml:space="preserve">, </w:t>
      </w:r>
      <w:r>
        <w:rPr>
          <w:i/>
        </w:rPr>
        <w:t>Trials of the State: Law and the Decline of Politics</w:t>
      </w:r>
      <w:r>
        <w:t xml:space="preserve"> (Profile Books, 2019) 24.</w:t>
      </w:r>
    </w:p>
  </w:footnote>
  <w:footnote w:id="48">
    <w:p w14:paraId="663459D4" w14:textId="77777777" w:rsidR="00E07C2A" w:rsidRDefault="00E07C2A" w:rsidP="00C35048">
      <w:pPr>
        <w:pStyle w:val="FootnoteText"/>
        <w:spacing w:line="360" w:lineRule="auto"/>
      </w:pPr>
      <w:r w:rsidRPr="00FA756C">
        <w:rPr>
          <w:rStyle w:val="FootnoteReference"/>
        </w:rPr>
        <w:footnoteRef/>
      </w:r>
      <w:r w:rsidRPr="00FA756C">
        <w:t xml:space="preserve"> </w:t>
      </w:r>
      <w:r w:rsidRPr="002C0B04">
        <w:t>[1977] QB 966.</w:t>
      </w:r>
    </w:p>
  </w:footnote>
  <w:footnote w:id="49">
    <w:p w14:paraId="01670A43" w14:textId="1A807F76" w:rsidR="00E07C2A" w:rsidRPr="00F6436D" w:rsidRDefault="00E07C2A" w:rsidP="00C35048">
      <w:pPr>
        <w:pStyle w:val="FootnoteText"/>
        <w:spacing w:line="360" w:lineRule="auto"/>
      </w:pPr>
      <w:r>
        <w:rPr>
          <w:rStyle w:val="FootnoteReference"/>
        </w:rPr>
        <w:footnoteRef/>
      </w:r>
      <w:r>
        <w:t xml:space="preserve"> </w:t>
      </w:r>
      <w:r>
        <w:rPr>
          <w:i/>
        </w:rPr>
        <w:t>HPL</w:t>
      </w:r>
      <w:r w:rsidR="00FC5240">
        <w:t>116</w:t>
      </w:r>
      <w:r>
        <w:t>.</w:t>
      </w:r>
    </w:p>
  </w:footnote>
  <w:footnote w:id="50">
    <w:p w14:paraId="04ED1B0F" w14:textId="7A3F8D9A" w:rsidR="00E07C2A" w:rsidRPr="007511F6" w:rsidRDefault="00E07C2A" w:rsidP="00C35048">
      <w:pPr>
        <w:pStyle w:val="FootnoteText"/>
        <w:spacing w:line="360" w:lineRule="auto"/>
      </w:pPr>
      <w:r>
        <w:rPr>
          <w:rStyle w:val="FootnoteReference"/>
        </w:rPr>
        <w:footnoteRef/>
      </w:r>
      <w:r>
        <w:t xml:space="preserve"> ibid</w:t>
      </w:r>
      <w:r>
        <w:rPr>
          <w:i/>
        </w:rPr>
        <w:t xml:space="preserve"> </w:t>
      </w:r>
      <w:r>
        <w:t>129.</w:t>
      </w:r>
    </w:p>
  </w:footnote>
  <w:footnote w:id="51">
    <w:p w14:paraId="75556021" w14:textId="54DA3321" w:rsidR="00E07C2A" w:rsidRDefault="00E07C2A" w:rsidP="00C35048">
      <w:pPr>
        <w:pStyle w:val="FootnoteText"/>
        <w:spacing w:line="360" w:lineRule="auto"/>
      </w:pPr>
      <w:r>
        <w:rPr>
          <w:rStyle w:val="FootnoteReference"/>
        </w:rPr>
        <w:footnoteRef/>
      </w:r>
      <w:r>
        <w:t xml:space="preserve"> ibid 115-116.</w:t>
      </w:r>
    </w:p>
  </w:footnote>
  <w:footnote w:id="52">
    <w:p w14:paraId="6755CEF7" w14:textId="0D6D8B63" w:rsidR="00E07C2A" w:rsidRDefault="00E07C2A" w:rsidP="00C35048">
      <w:pPr>
        <w:pStyle w:val="FootnoteText"/>
        <w:spacing w:line="360" w:lineRule="auto"/>
      </w:pPr>
      <w:r>
        <w:rPr>
          <w:rStyle w:val="FootnoteReference"/>
        </w:rPr>
        <w:footnoteRef/>
      </w:r>
      <w:r>
        <w:t xml:space="preserve"> ibid</w:t>
      </w:r>
      <w:r>
        <w:rPr>
          <w:i/>
        </w:rPr>
        <w:t xml:space="preserve"> </w:t>
      </w:r>
      <w:r>
        <w:t>125.</w:t>
      </w:r>
    </w:p>
  </w:footnote>
  <w:footnote w:id="53">
    <w:p w14:paraId="61F1D908" w14:textId="1B5EF9F0" w:rsidR="00E07C2A" w:rsidRDefault="00E07C2A" w:rsidP="00C35048">
      <w:pPr>
        <w:pStyle w:val="FootnoteText"/>
        <w:spacing w:line="360" w:lineRule="auto"/>
      </w:pPr>
      <w:r>
        <w:rPr>
          <w:rStyle w:val="FootnoteReference"/>
        </w:rPr>
        <w:footnoteRef/>
      </w:r>
      <w:r>
        <w:rPr>
          <w:i/>
        </w:rPr>
        <w:t xml:space="preserve"> </w:t>
      </w:r>
      <w:r>
        <w:t>ibid 127.</w:t>
      </w:r>
    </w:p>
  </w:footnote>
  <w:footnote w:id="54">
    <w:p w14:paraId="0B15EC16" w14:textId="2EC45FE9" w:rsidR="00E07C2A" w:rsidRDefault="00E07C2A" w:rsidP="00C35048">
      <w:pPr>
        <w:pStyle w:val="FootnoteText"/>
        <w:spacing w:line="360" w:lineRule="auto"/>
      </w:pPr>
      <w:r>
        <w:rPr>
          <w:rStyle w:val="FootnoteReference"/>
        </w:rPr>
        <w:footnoteRef/>
      </w:r>
      <w:r>
        <w:t xml:space="preserve"> Ruth Chang, in contrast to McBride’s scheme, would dispute the idea that goods are incomparable because they belong to a certain type. </w:t>
      </w:r>
      <w:r>
        <w:rPr>
          <w:rFonts w:cs="Times New Roman"/>
          <w:lang w:eastAsia="en-GB"/>
        </w:rPr>
        <w:t xml:space="preserve">She gives the example that a superficial and banal friendship – albeit, still a friendship – would not necessarily be preferable a million </w:t>
      </w:r>
      <w:proofErr w:type="spellStart"/>
      <w:r>
        <w:rPr>
          <w:rFonts w:cs="Times New Roman"/>
          <w:lang w:eastAsia="en-GB"/>
        </w:rPr>
        <w:t>dollars worth</w:t>
      </w:r>
      <w:proofErr w:type="spellEnd"/>
      <w:r>
        <w:rPr>
          <w:rFonts w:cs="Times New Roman"/>
          <w:lang w:eastAsia="en-GB"/>
        </w:rPr>
        <w:t xml:space="preserve"> of mere market goods (see ‘Against Constitutive Incommensurability or Buying and Selling Friends’ (2001) 11 Philosophical Issues 33, 56). According to McBride’s scheme the friendship would be of more value. </w:t>
      </w:r>
    </w:p>
  </w:footnote>
  <w:footnote w:id="55">
    <w:p w14:paraId="1228DFA1" w14:textId="2B4355B3" w:rsidR="00E07C2A" w:rsidRDefault="00E07C2A" w:rsidP="00C35048">
      <w:pPr>
        <w:pStyle w:val="FootnoteText"/>
        <w:spacing w:line="360" w:lineRule="auto"/>
      </w:pPr>
      <w:r>
        <w:rPr>
          <w:rStyle w:val="FootnoteReference"/>
        </w:rPr>
        <w:footnoteRef/>
      </w:r>
      <w:r>
        <w:t xml:space="preserve"> </w:t>
      </w:r>
      <w:r>
        <w:rPr>
          <w:i/>
        </w:rPr>
        <w:t>HPL</w:t>
      </w:r>
      <w:r>
        <w:t xml:space="preserve"> 129.</w:t>
      </w:r>
    </w:p>
  </w:footnote>
  <w:footnote w:id="56">
    <w:p w14:paraId="4517E43A" w14:textId="77777777" w:rsidR="00E07C2A" w:rsidRPr="008E1988" w:rsidRDefault="00E07C2A" w:rsidP="00C35048">
      <w:pPr>
        <w:pStyle w:val="FootnoteText"/>
        <w:spacing w:line="360" w:lineRule="auto"/>
      </w:pPr>
      <w:r>
        <w:rPr>
          <w:rStyle w:val="FootnoteReference"/>
        </w:rPr>
        <w:footnoteRef/>
      </w:r>
      <w:r>
        <w:t xml:space="preserve"> For criticisms of the idea that the law of nuisance is concerned with land use priorities see </w:t>
      </w:r>
      <w:proofErr w:type="spellStart"/>
      <w:r>
        <w:t>Priel</w:t>
      </w:r>
      <w:proofErr w:type="spellEnd"/>
      <w:r>
        <w:t xml:space="preserve">, ‘Land Use Priorities’ </w:t>
      </w:r>
      <w:r w:rsidRPr="00635850">
        <w:rPr>
          <w:highlight w:val="yellow"/>
        </w:rPr>
        <w:t>(n 5)</w:t>
      </w:r>
      <w:r>
        <w:t xml:space="preserve">, 365. </w:t>
      </w:r>
      <w:proofErr w:type="spellStart"/>
      <w:r>
        <w:t>Priel</w:t>
      </w:r>
      <w:proofErr w:type="spellEnd"/>
      <w:r>
        <w:t xml:space="preserve"> criticises the theory of nuisance developed by Allan </w:t>
      </w:r>
      <w:proofErr w:type="spellStart"/>
      <w:r>
        <w:t>Beever</w:t>
      </w:r>
      <w:proofErr w:type="spellEnd"/>
      <w:r>
        <w:t xml:space="preserve"> in </w:t>
      </w:r>
      <w:r>
        <w:rPr>
          <w:i/>
        </w:rPr>
        <w:t>The Law of Private Nuisance</w:t>
      </w:r>
      <w:r>
        <w:t xml:space="preserve"> (Hart 2013).</w:t>
      </w:r>
    </w:p>
  </w:footnote>
  <w:footnote w:id="57">
    <w:p w14:paraId="12E9D39D" w14:textId="2A743482" w:rsidR="008F7D95" w:rsidRDefault="008F7D95" w:rsidP="00C35048">
      <w:pPr>
        <w:pStyle w:val="FootnoteText"/>
        <w:spacing w:line="360" w:lineRule="auto"/>
      </w:pPr>
      <w:r>
        <w:rPr>
          <w:rStyle w:val="FootnoteReference"/>
        </w:rPr>
        <w:footnoteRef/>
      </w:r>
      <w:r>
        <w:t xml:space="preserve"> One might even argue that </w:t>
      </w:r>
      <w:r w:rsidR="005F1653">
        <w:t xml:space="preserve">‘money’ should be a secondary good and a ‘reasonable level of income’ the tertiary good as the latter allows one to obtain the former. </w:t>
      </w:r>
      <w:r w:rsidR="008E3438">
        <w:t>It is undeniable that if I earn enough income I</w:t>
      </w:r>
      <w:r w:rsidR="005F1653">
        <w:t xml:space="preserve"> can save up part of my salary to obtain a store of money. Howev</w:t>
      </w:r>
      <w:r w:rsidR="008E3438">
        <w:t>er, the better view is that these goods</w:t>
      </w:r>
      <w:r w:rsidR="005F1653">
        <w:t xml:space="preserve"> are indistinguishabl</w:t>
      </w:r>
      <w:r w:rsidR="008E3438">
        <w:t>e as i</w:t>
      </w:r>
      <w:r w:rsidR="005F1653">
        <w:t xml:space="preserve">f I have a large store of money it can </w:t>
      </w:r>
      <w:r w:rsidR="008E3438">
        <w:t xml:space="preserve">also </w:t>
      </w:r>
      <w:r w:rsidR="005F1653">
        <w:t>lead to me having a reasonable level of income (</w:t>
      </w:r>
      <w:r w:rsidR="008E3438">
        <w:t>e.g.</w:t>
      </w:r>
      <w:r w:rsidR="005F1653">
        <w:t xml:space="preserve"> compensatory damages awarded as a lump sum</w:t>
      </w:r>
      <w:r w:rsidR="008F6691">
        <w:t xml:space="preserve"> or savings in a pension).</w:t>
      </w:r>
      <w:r w:rsidR="008E3438">
        <w:t xml:space="preserve"> </w:t>
      </w:r>
      <w:r w:rsidR="00264FB4">
        <w:t>Ignoring interest</w:t>
      </w:r>
      <w:r w:rsidR="00CA606C">
        <w:t xml:space="preserve"> and living costs</w:t>
      </w:r>
      <w:r w:rsidR="00264FB4">
        <w:t xml:space="preserve">, </w:t>
      </w:r>
      <w:r w:rsidR="008E3438">
        <w:t xml:space="preserve">£100,000 </w:t>
      </w:r>
      <w:r w:rsidR="00E70CD3">
        <w:t xml:space="preserve">per year </w:t>
      </w:r>
      <w:r w:rsidR="008E3438">
        <w:t xml:space="preserve">for ten years could allow me to save £1,000,000 </w:t>
      </w:r>
      <w:r w:rsidR="00CA606C">
        <w:t xml:space="preserve">(i.e. an income can lead to a store of money) </w:t>
      </w:r>
      <w:r w:rsidR="008E3438">
        <w:t>and £1,000,000 as a lump sum could allow me</w:t>
      </w:r>
      <w:r w:rsidR="00E70CD3">
        <w:t xml:space="preserve"> to have £100,000 per year for ten years</w:t>
      </w:r>
      <w:r w:rsidR="00CA606C">
        <w:t xml:space="preserve"> (money can lead to income)</w:t>
      </w:r>
      <w:r w:rsidR="00E70CD3">
        <w:t>.</w:t>
      </w:r>
    </w:p>
  </w:footnote>
  <w:footnote w:id="58">
    <w:p w14:paraId="7BA4BAC8" w14:textId="77777777" w:rsidR="00E07C2A" w:rsidRDefault="00E07C2A" w:rsidP="00C35048">
      <w:pPr>
        <w:pStyle w:val="FootnoteText"/>
        <w:spacing w:line="360" w:lineRule="auto"/>
      </w:pPr>
      <w:r>
        <w:rPr>
          <w:rStyle w:val="FootnoteReference"/>
        </w:rPr>
        <w:footnoteRef/>
      </w:r>
      <w:r>
        <w:t xml:space="preserve"> </w:t>
      </w:r>
      <w:r w:rsidRPr="00F6436D">
        <w:t>[1989] AC 177</w:t>
      </w:r>
      <w:r>
        <w:t>.</w:t>
      </w:r>
    </w:p>
  </w:footnote>
  <w:footnote w:id="59">
    <w:p w14:paraId="4DDB857A" w14:textId="1B1424CA" w:rsidR="00E07C2A" w:rsidRDefault="00E07C2A" w:rsidP="00C35048">
      <w:pPr>
        <w:pStyle w:val="FootnoteText"/>
        <w:spacing w:line="360" w:lineRule="auto"/>
      </w:pPr>
      <w:r>
        <w:rPr>
          <w:rStyle w:val="FootnoteReference"/>
        </w:rPr>
        <w:footnoteRef/>
      </w:r>
      <w:r>
        <w:t xml:space="preserve"> </w:t>
      </w:r>
      <w:r>
        <w:rPr>
          <w:i/>
        </w:rPr>
        <w:t>HPL</w:t>
      </w:r>
      <w:r>
        <w:t xml:space="preserve"> 6.</w:t>
      </w:r>
    </w:p>
  </w:footnote>
  <w:footnote w:id="60">
    <w:p w14:paraId="1CEF51E0" w14:textId="513B90DD" w:rsidR="00E07C2A" w:rsidRPr="00961DC2" w:rsidRDefault="00E07C2A" w:rsidP="00C35048">
      <w:pPr>
        <w:pStyle w:val="FootnoteText"/>
        <w:spacing w:line="360" w:lineRule="auto"/>
      </w:pPr>
      <w:r>
        <w:rPr>
          <w:rStyle w:val="FootnoteReference"/>
        </w:rPr>
        <w:footnoteRef/>
      </w:r>
      <w:r>
        <w:t xml:space="preserve"> ibid 242.</w:t>
      </w:r>
    </w:p>
  </w:footnote>
  <w:footnote w:id="61">
    <w:p w14:paraId="522667B2" w14:textId="0034EA21" w:rsidR="00E07C2A" w:rsidRDefault="00E07C2A" w:rsidP="00C35048">
      <w:pPr>
        <w:pStyle w:val="FootnoteText"/>
        <w:spacing w:line="360" w:lineRule="auto"/>
      </w:pPr>
      <w:r>
        <w:rPr>
          <w:rStyle w:val="FootnoteReference"/>
        </w:rPr>
        <w:footnoteRef/>
      </w:r>
      <w:r>
        <w:t xml:space="preserve"> </w:t>
      </w:r>
      <w:r w:rsidRPr="00C63327">
        <w:rPr>
          <w:rFonts w:eastAsia="Times New Roman" w:cs="Times New Roman"/>
          <w:lang w:eastAsia="en-GB"/>
        </w:rPr>
        <w:t>[1990] 1 AC 831</w:t>
      </w:r>
      <w:r>
        <w:rPr>
          <w:rFonts w:eastAsia="Times New Roman" w:cs="Times New Roman"/>
          <w:lang w:eastAsia="en-GB"/>
        </w:rPr>
        <w:t>.</w:t>
      </w:r>
    </w:p>
  </w:footnote>
  <w:footnote w:id="62">
    <w:p w14:paraId="2127F070" w14:textId="0F82B2AE" w:rsidR="00CA606C" w:rsidRDefault="00CA606C" w:rsidP="00C35048">
      <w:pPr>
        <w:pStyle w:val="FootnoteText"/>
        <w:spacing w:line="360" w:lineRule="auto"/>
      </w:pPr>
      <w:r>
        <w:rPr>
          <w:rStyle w:val="FootnoteReference"/>
        </w:rPr>
        <w:footnoteRef/>
      </w:r>
      <w:r>
        <w:t xml:space="preserve"> </w:t>
      </w:r>
      <w:r w:rsidR="00B700F1">
        <w:t>For a critique see</w:t>
      </w:r>
      <w:r>
        <w:t xml:space="preserve"> Jane Stapleton, ‘Duty of Care and Economic Loss: A Wider A</w:t>
      </w:r>
      <w:r w:rsidRPr="00CA606C">
        <w:t>genda</w:t>
      </w:r>
      <w:r>
        <w:t>’ (</w:t>
      </w:r>
      <w:r w:rsidR="00B700F1">
        <w:t>1991</w:t>
      </w:r>
      <w:r>
        <w:t>)</w:t>
      </w:r>
      <w:r w:rsidR="00B700F1">
        <w:t xml:space="preserve"> 107</w:t>
      </w:r>
      <w:r>
        <w:t xml:space="preserve"> LQR </w:t>
      </w:r>
      <w:r w:rsidR="00B700F1">
        <w:t xml:space="preserve">249, </w:t>
      </w:r>
      <w:r>
        <w:t>277-283</w:t>
      </w:r>
      <w:r w:rsidR="00B700F1">
        <w:t>.</w:t>
      </w:r>
    </w:p>
  </w:footnote>
  <w:footnote w:id="63">
    <w:p w14:paraId="0DA28873" w14:textId="2639A1FA" w:rsidR="00E07C2A" w:rsidRPr="000B73E0" w:rsidRDefault="00E07C2A" w:rsidP="00C35048">
      <w:pPr>
        <w:pStyle w:val="FootnoteText"/>
        <w:spacing w:line="360" w:lineRule="auto"/>
      </w:pPr>
      <w:r>
        <w:rPr>
          <w:rStyle w:val="FootnoteReference"/>
        </w:rPr>
        <w:footnoteRef/>
      </w:r>
      <w:r>
        <w:t xml:space="preserve"> </w:t>
      </w:r>
      <w:r>
        <w:rPr>
          <w:i/>
        </w:rPr>
        <w:t>HPL</w:t>
      </w:r>
      <w:r w:rsidR="00424DE9">
        <w:t xml:space="preserve"> 134.</w:t>
      </w:r>
    </w:p>
  </w:footnote>
  <w:footnote w:id="64">
    <w:p w14:paraId="5F7C03C3" w14:textId="4BAA5779" w:rsidR="00E07C2A" w:rsidRDefault="00E07C2A" w:rsidP="00C35048">
      <w:pPr>
        <w:pStyle w:val="FootnoteText"/>
        <w:spacing w:line="360" w:lineRule="auto"/>
      </w:pPr>
      <w:r>
        <w:rPr>
          <w:rStyle w:val="FootnoteReference"/>
        </w:rPr>
        <w:footnoteRef/>
      </w:r>
      <w:r>
        <w:t xml:space="preserve"> </w:t>
      </w:r>
      <w:r w:rsidR="009048D2">
        <w:rPr>
          <w:i/>
        </w:rPr>
        <w:t>HPL</w:t>
      </w:r>
      <w:r>
        <w:rPr>
          <w:i/>
        </w:rPr>
        <w:t xml:space="preserve"> </w:t>
      </w:r>
      <w:r>
        <w:t>28.</w:t>
      </w:r>
    </w:p>
  </w:footnote>
  <w:footnote w:id="65">
    <w:p w14:paraId="76E3499C" w14:textId="0AC135A1" w:rsidR="00E07C2A" w:rsidRDefault="00E07C2A" w:rsidP="00C35048">
      <w:pPr>
        <w:pStyle w:val="FootnoteText"/>
        <w:spacing w:line="360" w:lineRule="auto"/>
      </w:pPr>
      <w:r>
        <w:rPr>
          <w:rStyle w:val="FootnoteReference"/>
        </w:rPr>
        <w:footnoteRef/>
      </w:r>
      <w:r>
        <w:t xml:space="preserve"> </w:t>
      </w:r>
      <w:r w:rsidR="00FE1685">
        <w:t>ibid</w:t>
      </w:r>
      <w:r>
        <w:t xml:space="preserve"> 242.</w:t>
      </w:r>
    </w:p>
  </w:footnote>
  <w:footnote w:id="66">
    <w:p w14:paraId="276B1A7C" w14:textId="5B96F999" w:rsidR="00805B61" w:rsidRDefault="00805B61" w:rsidP="00C35048">
      <w:pPr>
        <w:pStyle w:val="FootnoteText"/>
        <w:spacing w:line="360" w:lineRule="auto"/>
      </w:pPr>
      <w:r>
        <w:rPr>
          <w:rStyle w:val="FootnoteReference"/>
        </w:rPr>
        <w:footnoteRef/>
      </w:r>
      <w:r>
        <w:t xml:space="preserve"> </w:t>
      </w:r>
      <w:r w:rsidR="0011258F">
        <w:t>S</w:t>
      </w:r>
      <w:r>
        <w:t xml:space="preserve">ee </w:t>
      </w:r>
      <w:r w:rsidRPr="00F6436D">
        <w:rPr>
          <w:rFonts w:cs="Times New Roman"/>
          <w:bCs/>
          <w:i/>
        </w:rPr>
        <w:t>Bryan v Maloney</w:t>
      </w:r>
      <w:r w:rsidRPr="00963763">
        <w:rPr>
          <w:rFonts w:cs="Times New Roman"/>
          <w:bCs/>
        </w:rPr>
        <w:t xml:space="preserve"> [1995] HCA 17</w:t>
      </w:r>
      <w:r>
        <w:rPr>
          <w:rFonts w:cs="Times New Roman"/>
          <w:bCs/>
        </w:rPr>
        <w:t xml:space="preserve"> (Australia), </w:t>
      </w:r>
      <w:r w:rsidRPr="00F6436D">
        <w:rPr>
          <w:rFonts w:cs="Times New Roman"/>
          <w:i/>
        </w:rPr>
        <w:t>Winnipeg Condominium Corporatio</w:t>
      </w:r>
      <w:r>
        <w:rPr>
          <w:rFonts w:cs="Times New Roman"/>
          <w:i/>
        </w:rPr>
        <w:t>n No. 36 v. Bird Construction Co</w:t>
      </w:r>
      <w:r w:rsidRPr="00963763">
        <w:rPr>
          <w:rFonts w:cs="Times New Roman"/>
        </w:rPr>
        <w:t xml:space="preserve"> [1995] 1 SCR 85</w:t>
      </w:r>
      <w:r>
        <w:rPr>
          <w:rFonts w:cs="Times New Roman"/>
        </w:rPr>
        <w:t xml:space="preserve"> (Canada), </w:t>
      </w:r>
      <w:r w:rsidRPr="00F6436D">
        <w:rPr>
          <w:rFonts w:cs="Times New Roman"/>
          <w:i/>
        </w:rPr>
        <w:t>Invercargill City Council v Hamlin</w:t>
      </w:r>
      <w:r>
        <w:rPr>
          <w:rFonts w:cs="Times New Roman"/>
        </w:rPr>
        <w:t xml:space="preserve"> [1996] AC</w:t>
      </w:r>
      <w:r w:rsidRPr="00963763">
        <w:rPr>
          <w:rFonts w:cs="Times New Roman"/>
        </w:rPr>
        <w:t xml:space="preserve"> 624</w:t>
      </w:r>
      <w:r>
        <w:rPr>
          <w:rFonts w:cs="Times New Roman"/>
        </w:rPr>
        <w:t xml:space="preserve"> (New Zealand) and </w:t>
      </w:r>
      <w:r w:rsidRPr="00963763">
        <w:rPr>
          <w:rFonts w:cs="Times New Roman"/>
          <w:i/>
          <w:iCs/>
        </w:rPr>
        <w:t>RSP Architects v MCST Plan No 1075 (Eastern Lagoon</w:t>
      </w:r>
      <w:r w:rsidRPr="00963763">
        <w:rPr>
          <w:rFonts w:cs="Times New Roman"/>
          <w:iCs/>
        </w:rPr>
        <w:t>) [1999] 2 SLR (R) 134</w:t>
      </w:r>
      <w:r>
        <w:rPr>
          <w:rFonts w:cs="Times New Roman"/>
          <w:iCs/>
        </w:rPr>
        <w:t xml:space="preserve"> (Singapore).</w:t>
      </w:r>
      <w:r w:rsidR="002F54E3">
        <w:rPr>
          <w:rFonts w:cs="Times New Roman"/>
          <w:iCs/>
        </w:rPr>
        <w:t xml:space="preserve"> </w:t>
      </w:r>
    </w:p>
  </w:footnote>
  <w:footnote w:id="67">
    <w:p w14:paraId="35841A8A" w14:textId="7528F529" w:rsidR="00AA391D" w:rsidRPr="00722081" w:rsidRDefault="00AA391D" w:rsidP="00C35048">
      <w:pPr>
        <w:pStyle w:val="FootnoteText"/>
        <w:spacing w:line="360" w:lineRule="auto"/>
      </w:pPr>
      <w:r>
        <w:rPr>
          <w:rStyle w:val="FootnoteReference"/>
        </w:rPr>
        <w:footnoteRef/>
      </w:r>
      <w:r>
        <w:t xml:space="preserve"> </w:t>
      </w:r>
      <w:r w:rsidRPr="00C86EBE">
        <w:rPr>
          <w:rFonts w:cs="Times New Roman"/>
        </w:rPr>
        <w:t>Law Reform (Miscellaneous Provisions) Act 1970</w:t>
      </w:r>
      <w:r>
        <w:rPr>
          <w:rFonts w:cs="Times New Roman"/>
        </w:rPr>
        <w:t xml:space="preserve"> </w:t>
      </w:r>
      <w:proofErr w:type="spellStart"/>
      <w:r>
        <w:rPr>
          <w:rFonts w:cs="Times New Roman"/>
        </w:rPr>
        <w:t>ss</w:t>
      </w:r>
      <w:proofErr w:type="spellEnd"/>
      <w:r>
        <w:rPr>
          <w:rFonts w:cs="Times New Roman"/>
        </w:rPr>
        <w:t xml:space="preserve"> 4-5. These torts are discussed by McBride </w:t>
      </w:r>
      <w:r w:rsidR="00722081">
        <w:rPr>
          <w:rFonts w:cs="Times New Roman"/>
        </w:rPr>
        <w:t xml:space="preserve">at </w:t>
      </w:r>
      <w:r w:rsidR="00722081">
        <w:rPr>
          <w:rFonts w:cs="Times New Roman"/>
          <w:i/>
        </w:rPr>
        <w:t xml:space="preserve">HPL </w:t>
      </w:r>
      <w:r w:rsidR="00722081">
        <w:rPr>
          <w:rFonts w:cs="Times New Roman"/>
        </w:rPr>
        <w:t>184.</w:t>
      </w:r>
    </w:p>
  </w:footnote>
  <w:footnote w:id="68">
    <w:p w14:paraId="0F6EE83E" w14:textId="77777777" w:rsidR="00722081" w:rsidRDefault="00722081" w:rsidP="00C35048">
      <w:pPr>
        <w:pStyle w:val="FootnoteText"/>
        <w:spacing w:line="360" w:lineRule="auto"/>
      </w:pPr>
      <w:r>
        <w:rPr>
          <w:rStyle w:val="FootnoteReference"/>
        </w:rPr>
        <w:footnoteRef/>
      </w:r>
      <w:r>
        <w:t xml:space="preserve"> </w:t>
      </w:r>
      <w:r>
        <w:rPr>
          <w:i/>
        </w:rPr>
        <w:t xml:space="preserve">HPL </w:t>
      </w:r>
      <w:r>
        <w:t>184.</w:t>
      </w:r>
    </w:p>
  </w:footnote>
  <w:footnote w:id="69">
    <w:p w14:paraId="7EFF0C00" w14:textId="77777777" w:rsidR="004A34A6" w:rsidRPr="00C1262F" w:rsidRDefault="004A34A6" w:rsidP="00C35048">
      <w:pPr>
        <w:pStyle w:val="FootnoteText"/>
        <w:spacing w:line="360" w:lineRule="auto"/>
      </w:pPr>
      <w:r>
        <w:rPr>
          <w:rStyle w:val="FootnoteReference"/>
        </w:rPr>
        <w:footnoteRef/>
      </w:r>
      <w:r>
        <w:t xml:space="preserve"> i</w:t>
      </w:r>
      <w:r w:rsidRPr="002C0B04">
        <w:t>bid</w:t>
      </w:r>
      <w:r>
        <w:t xml:space="preserve"> 131.</w:t>
      </w:r>
    </w:p>
  </w:footnote>
  <w:footnote w:id="70">
    <w:p w14:paraId="197C51B7" w14:textId="77777777" w:rsidR="004A34A6" w:rsidRPr="007D53D8" w:rsidRDefault="004A34A6" w:rsidP="00C35048">
      <w:pPr>
        <w:pStyle w:val="FootnoteText"/>
        <w:spacing w:line="360" w:lineRule="auto"/>
      </w:pPr>
      <w:r>
        <w:rPr>
          <w:rStyle w:val="FootnoteReference"/>
        </w:rPr>
        <w:footnoteRef/>
      </w:r>
      <w:r>
        <w:t xml:space="preserve"> ibid.</w:t>
      </w:r>
    </w:p>
  </w:footnote>
  <w:footnote w:id="71">
    <w:p w14:paraId="38AC9BDE" w14:textId="4AD17EDE" w:rsidR="00CF3680" w:rsidRDefault="00CF3680" w:rsidP="00C35048">
      <w:pPr>
        <w:pStyle w:val="FootnoteText"/>
        <w:spacing w:line="360" w:lineRule="auto"/>
      </w:pPr>
      <w:r>
        <w:rPr>
          <w:rStyle w:val="FootnoteReference"/>
        </w:rPr>
        <w:footnoteRef/>
      </w:r>
      <w:r>
        <w:t xml:space="preserve"> See John Murphy, ‘Malice as an Ingredient of Tort Liability’ (2019) 78 CLJ 355.</w:t>
      </w:r>
    </w:p>
  </w:footnote>
  <w:footnote w:id="72">
    <w:p w14:paraId="4219839B" w14:textId="77777777" w:rsidR="002A5F02" w:rsidRDefault="002A5F02" w:rsidP="00C35048">
      <w:pPr>
        <w:pStyle w:val="FootnoteText"/>
        <w:spacing w:line="360" w:lineRule="auto"/>
      </w:pPr>
      <w:r>
        <w:rPr>
          <w:rStyle w:val="FootnoteReference"/>
        </w:rPr>
        <w:footnoteRef/>
      </w:r>
      <w:r>
        <w:t xml:space="preserve"> </w:t>
      </w:r>
      <w:r w:rsidRPr="00924B04">
        <w:rPr>
          <w:i/>
        </w:rPr>
        <w:t xml:space="preserve">Lonrho Plc v Fayed </w:t>
      </w:r>
      <w:r w:rsidRPr="00C95715">
        <w:t>[1992] 1 AC 448</w:t>
      </w:r>
      <w:r>
        <w:t xml:space="preserve">, 465 per Lord Bridge. See also </w:t>
      </w:r>
      <w:r w:rsidRPr="00FD24A8">
        <w:rPr>
          <w:i/>
        </w:rPr>
        <w:t xml:space="preserve">JSC BTA Bank v </w:t>
      </w:r>
      <w:proofErr w:type="spellStart"/>
      <w:r w:rsidRPr="00FD24A8">
        <w:rPr>
          <w:i/>
        </w:rPr>
        <w:t>Khrapunov</w:t>
      </w:r>
      <w:proofErr w:type="spellEnd"/>
      <w:r w:rsidRPr="00FD24A8">
        <w:t xml:space="preserve"> [2018] UKSC 19</w:t>
      </w:r>
      <w:r>
        <w:t xml:space="preserve"> at [9] per Lord </w:t>
      </w:r>
      <w:proofErr w:type="spellStart"/>
      <w:r>
        <w:t>Sumption</w:t>
      </w:r>
      <w:proofErr w:type="spellEnd"/>
      <w:r>
        <w:t xml:space="preserve"> and Lord Lloyd-Jones.</w:t>
      </w:r>
    </w:p>
  </w:footnote>
  <w:footnote w:id="73">
    <w:p w14:paraId="67DABACE" w14:textId="77777777" w:rsidR="002A5F02" w:rsidRDefault="002A5F02" w:rsidP="00C35048">
      <w:pPr>
        <w:pStyle w:val="FootnoteText"/>
        <w:spacing w:line="360" w:lineRule="auto"/>
      </w:pPr>
      <w:r>
        <w:rPr>
          <w:rStyle w:val="FootnoteReference"/>
        </w:rPr>
        <w:footnoteRef/>
      </w:r>
      <w:r>
        <w:t xml:space="preserve"> </w:t>
      </w:r>
      <w:r>
        <w:rPr>
          <w:rFonts w:eastAsia="Times New Roman"/>
          <w:lang w:eastAsia="en-GB"/>
        </w:rPr>
        <w:t>[1892] AC 25.</w:t>
      </w:r>
    </w:p>
  </w:footnote>
  <w:footnote w:id="74">
    <w:p w14:paraId="4D3D6772" w14:textId="77777777" w:rsidR="002A5F02" w:rsidRPr="002B4822" w:rsidRDefault="002A5F02" w:rsidP="00C35048">
      <w:pPr>
        <w:pStyle w:val="FootnoteText"/>
        <w:spacing w:line="360" w:lineRule="auto"/>
      </w:pPr>
      <w:r>
        <w:rPr>
          <w:rStyle w:val="FootnoteReference"/>
        </w:rPr>
        <w:footnoteRef/>
      </w:r>
      <w:r>
        <w:t xml:space="preserve"> See </w:t>
      </w:r>
      <w:r>
        <w:rPr>
          <w:rFonts w:eastAsia="Times New Roman"/>
          <w:i/>
          <w:lang w:eastAsia="en-GB"/>
        </w:rPr>
        <w:t xml:space="preserve">Mogul Steamship Co Ltd v McGregor, </w:t>
      </w:r>
      <w:proofErr w:type="spellStart"/>
      <w:r>
        <w:rPr>
          <w:rFonts w:eastAsia="Times New Roman"/>
          <w:i/>
          <w:lang w:eastAsia="en-GB"/>
        </w:rPr>
        <w:t>Gow</w:t>
      </w:r>
      <w:proofErr w:type="spellEnd"/>
      <w:r>
        <w:rPr>
          <w:rFonts w:eastAsia="Times New Roman"/>
          <w:i/>
          <w:lang w:eastAsia="en-GB"/>
        </w:rPr>
        <w:t xml:space="preserve"> &amp; Co</w:t>
      </w:r>
      <w:r>
        <w:rPr>
          <w:rFonts w:eastAsia="Times New Roman"/>
          <w:lang w:eastAsia="en-GB"/>
        </w:rPr>
        <w:t xml:space="preserve"> [1892] AC 25,</w:t>
      </w:r>
      <w:r>
        <w:rPr>
          <w:i/>
        </w:rPr>
        <w:t xml:space="preserve"> Lonrho Ltd v Shell Petroleum Co</w:t>
      </w:r>
      <w:r>
        <w:t xml:space="preserve"> [1982] AC 173 and</w:t>
      </w:r>
      <w:r>
        <w:rPr>
          <w:i/>
        </w:rPr>
        <w:t xml:space="preserve"> Total Network SL v HMRC</w:t>
      </w:r>
      <w:r>
        <w:t xml:space="preserve"> [2008] 1 AC</w:t>
      </w:r>
      <w:r w:rsidRPr="0082680B">
        <w:t xml:space="preserve"> 1174</w:t>
      </w:r>
      <w:r>
        <w:t xml:space="preserve"> at [38] per Lord Hope.</w:t>
      </w:r>
    </w:p>
  </w:footnote>
  <w:footnote w:id="75">
    <w:p w14:paraId="37B27D64" w14:textId="1B9A191A" w:rsidR="001754FB" w:rsidRPr="001754FB" w:rsidRDefault="001754FB" w:rsidP="00C35048">
      <w:pPr>
        <w:pStyle w:val="FootnoteText"/>
        <w:spacing w:line="360" w:lineRule="auto"/>
      </w:pPr>
      <w:r>
        <w:rPr>
          <w:rStyle w:val="FootnoteReference"/>
        </w:rPr>
        <w:footnoteRef/>
      </w:r>
      <w:r>
        <w:t xml:space="preserve"> </w:t>
      </w:r>
      <w:r>
        <w:rPr>
          <w:i/>
        </w:rPr>
        <w:t>HPL</w:t>
      </w:r>
      <w:r>
        <w:t xml:space="preserve"> 28.</w:t>
      </w:r>
    </w:p>
  </w:footnote>
  <w:footnote w:id="76">
    <w:p w14:paraId="4B3C232D" w14:textId="7169DE39" w:rsidR="00E07C2A" w:rsidRPr="001F4485" w:rsidRDefault="00E07C2A" w:rsidP="00C35048">
      <w:pPr>
        <w:spacing w:line="360" w:lineRule="auto"/>
        <w:rPr>
          <w:rFonts w:eastAsia="Times New Roman" w:cs="Times New Roman"/>
          <w:color w:val="000000" w:themeColor="text1"/>
          <w:lang w:eastAsia="en-GB"/>
        </w:rPr>
      </w:pPr>
      <w:r>
        <w:rPr>
          <w:rStyle w:val="FootnoteReference"/>
        </w:rPr>
        <w:footnoteRef/>
      </w:r>
      <w:r>
        <w:t xml:space="preserve"> Jane Stapleton, ‘Taking the Judges Seriously’ (2018) Clarendon Law Lectures. Available at </w:t>
      </w:r>
      <w:r w:rsidRPr="00FA756C">
        <w:rPr>
          <w:rFonts w:eastAsia="Times New Roman" w:cs="Times New Roman"/>
          <w:lang w:eastAsia="en-GB"/>
        </w:rPr>
        <w:t>https://www.law.ox.ac.uk/clarendon-law-lecture-series</w:t>
      </w:r>
      <w:r w:rsidRPr="001F4485">
        <w:rPr>
          <w:rFonts w:eastAsia="Times New Roman" w:cs="Times New Roman"/>
          <w:color w:val="000000" w:themeColor="text1"/>
          <w:lang w:eastAsia="en-GB"/>
        </w:rPr>
        <w:t xml:space="preserve"> </w:t>
      </w:r>
    </w:p>
  </w:footnote>
  <w:footnote w:id="77">
    <w:p w14:paraId="412375C7" w14:textId="7B08FC95" w:rsidR="00E07C2A" w:rsidRDefault="00E07C2A" w:rsidP="00C35048">
      <w:pPr>
        <w:pStyle w:val="FootnoteText"/>
        <w:spacing w:line="360" w:lineRule="auto"/>
      </w:pPr>
      <w:r>
        <w:rPr>
          <w:rStyle w:val="FootnoteReference"/>
        </w:rPr>
        <w:footnoteRef/>
      </w:r>
      <w:r>
        <w:t xml:space="preserve"> See for example, </w:t>
      </w:r>
      <w:proofErr w:type="spellStart"/>
      <w:r>
        <w:t>Beever’s</w:t>
      </w:r>
      <w:proofErr w:type="spellEnd"/>
      <w:r>
        <w:t xml:space="preserve"> views of </w:t>
      </w:r>
      <w:r w:rsidRPr="002C0B04">
        <w:rPr>
          <w:i/>
        </w:rPr>
        <w:t>White v Jones</w:t>
      </w:r>
      <w:r>
        <w:t xml:space="preserve"> </w:t>
      </w:r>
      <w:r w:rsidRPr="002C0B04">
        <w:t>[1995] 2 AC 207</w:t>
      </w:r>
      <w:r>
        <w:t xml:space="preserve"> in </w:t>
      </w:r>
      <w:r>
        <w:rPr>
          <w:i/>
        </w:rPr>
        <w:t>Rediscovering</w:t>
      </w:r>
      <w:r>
        <w:t xml:space="preserve"> </w:t>
      </w:r>
      <w:r w:rsidRPr="001330FF">
        <w:rPr>
          <w:highlight w:val="yellow"/>
        </w:rPr>
        <w:t>(n 12)</w:t>
      </w:r>
      <w:r>
        <w:t xml:space="preserve"> 268 and Robert Stevens, ‘The Unjust Enrichment Disaster’ (2018) 134 LQR 574 (arguing that several restitution cases were incorrectly decided).</w:t>
      </w:r>
    </w:p>
  </w:footnote>
  <w:footnote w:id="78">
    <w:p w14:paraId="4787AA48" w14:textId="401A6AAC" w:rsidR="00E07C2A" w:rsidRDefault="00E07C2A" w:rsidP="00C35048">
      <w:pPr>
        <w:pStyle w:val="FootnoteText"/>
        <w:spacing w:line="360" w:lineRule="auto"/>
      </w:pPr>
      <w:r>
        <w:rPr>
          <w:rStyle w:val="FootnoteReference"/>
        </w:rPr>
        <w:footnoteRef/>
      </w:r>
      <w:r>
        <w:t xml:space="preserve"> See the examples given in John Murphy, ‘Malice as an Ingredient of Tort Liability’ (2019) 78 CLJ 355, 356.</w:t>
      </w:r>
    </w:p>
  </w:footnote>
  <w:footnote w:id="79">
    <w:p w14:paraId="26ED3B31" w14:textId="7730D9AC" w:rsidR="00E07C2A" w:rsidRPr="00F81893" w:rsidRDefault="00E07C2A" w:rsidP="00C35048">
      <w:pPr>
        <w:pStyle w:val="FootnoteText"/>
        <w:spacing w:line="360" w:lineRule="auto"/>
      </w:pPr>
      <w:r>
        <w:rPr>
          <w:rStyle w:val="FootnoteReference"/>
        </w:rPr>
        <w:footnoteRef/>
      </w:r>
      <w:r>
        <w:t xml:space="preserve"> See e.g. </w:t>
      </w:r>
      <w:proofErr w:type="spellStart"/>
      <w:r>
        <w:t>Weinrib’s</w:t>
      </w:r>
      <w:proofErr w:type="spellEnd"/>
      <w:r>
        <w:t xml:space="preserve"> argument in </w:t>
      </w:r>
      <w:r>
        <w:rPr>
          <w:i/>
        </w:rPr>
        <w:t xml:space="preserve">Idea </w:t>
      </w:r>
      <w:r w:rsidRPr="001330FF">
        <w:rPr>
          <w:highlight w:val="yellow"/>
        </w:rPr>
        <w:t>(n 12)</w:t>
      </w:r>
      <w:r>
        <w:t xml:space="preserve"> 151 </w:t>
      </w:r>
      <w:proofErr w:type="spellStart"/>
      <w:r>
        <w:t>fn</w:t>
      </w:r>
      <w:proofErr w:type="spellEnd"/>
      <w:r>
        <w:t xml:space="preserve"> 12 that public authority liability in negligence is ‘closer to the judicial review of administrative actions’. </w:t>
      </w:r>
    </w:p>
  </w:footnote>
  <w:footnote w:id="80">
    <w:p w14:paraId="5D1E4BD0" w14:textId="5F75278F" w:rsidR="00E07C2A" w:rsidRDefault="00E07C2A" w:rsidP="00C35048">
      <w:pPr>
        <w:pStyle w:val="FootnoteText"/>
        <w:spacing w:line="360" w:lineRule="auto"/>
      </w:pPr>
      <w:r w:rsidRPr="001F4485">
        <w:rPr>
          <w:rStyle w:val="FootnoteReference"/>
          <w:color w:val="000000" w:themeColor="text1"/>
        </w:rPr>
        <w:footnoteRef/>
      </w:r>
      <w:r w:rsidRPr="001F4485">
        <w:rPr>
          <w:color w:val="000000" w:themeColor="text1"/>
        </w:rPr>
        <w:t xml:space="preserve"> </w:t>
      </w:r>
      <w:r>
        <w:rPr>
          <w:i/>
          <w:color w:val="000000" w:themeColor="text1"/>
        </w:rPr>
        <w:t xml:space="preserve">HPL </w:t>
      </w:r>
      <w:r w:rsidRPr="001F4485">
        <w:rPr>
          <w:color w:val="000000" w:themeColor="text1"/>
        </w:rPr>
        <w:t>242</w:t>
      </w:r>
      <w:r>
        <w:rPr>
          <w:color w:val="000000" w:themeColor="text1"/>
        </w:rPr>
        <w:t>.</w:t>
      </w:r>
    </w:p>
  </w:footnote>
  <w:footnote w:id="81">
    <w:p w14:paraId="20E56A65" w14:textId="18204A5A" w:rsidR="00E07C2A" w:rsidRPr="00F42E61" w:rsidRDefault="00E07C2A" w:rsidP="00C35048">
      <w:pPr>
        <w:pStyle w:val="FootnoteText"/>
        <w:spacing w:line="360" w:lineRule="auto"/>
      </w:pPr>
      <w:r>
        <w:rPr>
          <w:rStyle w:val="FootnoteReference"/>
        </w:rPr>
        <w:footnoteRef/>
      </w:r>
      <w:r>
        <w:t xml:space="preserve"> i</w:t>
      </w:r>
      <w:r w:rsidRPr="008B73C0">
        <w:t>bid</w:t>
      </w:r>
      <w:r>
        <w:t>.</w:t>
      </w:r>
    </w:p>
  </w:footnote>
  <w:footnote w:id="82">
    <w:p w14:paraId="13CD7656" w14:textId="3D3736F2" w:rsidR="00E07C2A" w:rsidRPr="00F42E61" w:rsidRDefault="00E07C2A" w:rsidP="00C35048">
      <w:pPr>
        <w:pStyle w:val="FootnoteText"/>
        <w:spacing w:line="360" w:lineRule="auto"/>
      </w:pPr>
      <w:r>
        <w:rPr>
          <w:rStyle w:val="FootnoteReference"/>
        </w:rPr>
        <w:footnoteRef/>
      </w:r>
      <w:r>
        <w:t xml:space="preserve"> ibid 245.</w:t>
      </w:r>
    </w:p>
  </w:footnote>
  <w:footnote w:id="83">
    <w:p w14:paraId="6BC682C7" w14:textId="77777777" w:rsidR="00E07C2A" w:rsidRPr="00F42E61" w:rsidRDefault="00E07C2A" w:rsidP="00C35048">
      <w:pPr>
        <w:pStyle w:val="FootnoteText"/>
        <w:spacing w:line="360" w:lineRule="auto"/>
      </w:pPr>
      <w:r>
        <w:rPr>
          <w:rStyle w:val="FootnoteReference"/>
        </w:rPr>
        <w:footnoteRef/>
      </w:r>
      <w:r>
        <w:t xml:space="preserve"> ibid 243.</w:t>
      </w:r>
    </w:p>
  </w:footnote>
  <w:footnote w:id="84">
    <w:p w14:paraId="688E6279" w14:textId="655B37B4" w:rsidR="00E07C2A" w:rsidRPr="00F42E61" w:rsidRDefault="00E07C2A" w:rsidP="00C35048">
      <w:pPr>
        <w:pStyle w:val="FootnoteText"/>
        <w:spacing w:line="360" w:lineRule="auto"/>
      </w:pPr>
      <w:r>
        <w:rPr>
          <w:rStyle w:val="FootnoteReference"/>
        </w:rPr>
        <w:footnoteRef/>
      </w:r>
      <w:r>
        <w:t xml:space="preserve"> ibid 248.</w:t>
      </w:r>
    </w:p>
  </w:footnote>
  <w:footnote w:id="85">
    <w:p w14:paraId="76DC2CA4" w14:textId="59D8BF6B" w:rsidR="00E07C2A" w:rsidRPr="00F42E61" w:rsidRDefault="00E07C2A" w:rsidP="00C35048">
      <w:pPr>
        <w:pStyle w:val="FootnoteText"/>
        <w:spacing w:line="360" w:lineRule="auto"/>
      </w:pPr>
      <w:r>
        <w:rPr>
          <w:rStyle w:val="FootnoteReference"/>
        </w:rPr>
        <w:footnoteRef/>
      </w:r>
      <w:r>
        <w:t xml:space="preserve"> ibid 249</w:t>
      </w:r>
    </w:p>
  </w:footnote>
  <w:footnote w:id="86">
    <w:p w14:paraId="0FF04799" w14:textId="533FFC4D" w:rsidR="00E07C2A" w:rsidRPr="006E07C1" w:rsidRDefault="00E07C2A" w:rsidP="00C35048">
      <w:pPr>
        <w:pStyle w:val="FootnoteText"/>
        <w:spacing w:line="360" w:lineRule="auto"/>
      </w:pPr>
      <w:r>
        <w:rPr>
          <w:rStyle w:val="FootnoteReference"/>
        </w:rPr>
        <w:footnoteRef/>
      </w:r>
      <w:r>
        <w:t xml:space="preserve"> ibid 235.</w:t>
      </w:r>
    </w:p>
  </w:footnote>
  <w:footnote w:id="87">
    <w:p w14:paraId="2107DEAD" w14:textId="58BEF14F" w:rsidR="00E07C2A" w:rsidRDefault="00E07C2A" w:rsidP="00C35048">
      <w:pPr>
        <w:pStyle w:val="FootnoteText"/>
        <w:spacing w:line="360" w:lineRule="auto"/>
      </w:pPr>
      <w:r>
        <w:rPr>
          <w:rStyle w:val="FootnoteReference"/>
        </w:rPr>
        <w:footnoteRef/>
      </w:r>
      <w:r>
        <w:t xml:space="preserve"> ibid</w:t>
      </w:r>
      <w:r>
        <w:rPr>
          <w:i/>
        </w:rPr>
        <w:t xml:space="preserve"> </w:t>
      </w:r>
      <w:r>
        <w:t>33.</w:t>
      </w:r>
    </w:p>
  </w:footnote>
  <w:footnote w:id="88">
    <w:p w14:paraId="45F6650B" w14:textId="229A52BA" w:rsidR="00E07C2A" w:rsidRDefault="00E07C2A" w:rsidP="00C35048">
      <w:pPr>
        <w:pStyle w:val="FootnoteText"/>
        <w:spacing w:line="360" w:lineRule="auto"/>
      </w:pPr>
      <w:r>
        <w:rPr>
          <w:rStyle w:val="FootnoteReference"/>
        </w:rPr>
        <w:footnoteRef/>
      </w:r>
      <w:r>
        <w:t xml:space="preserve"> i</w:t>
      </w:r>
      <w:r w:rsidRPr="008B73C0">
        <w:t>bid</w:t>
      </w:r>
      <w:r>
        <w:t>.</w:t>
      </w:r>
    </w:p>
  </w:footnote>
  <w:footnote w:id="89">
    <w:p w14:paraId="49CFA237" w14:textId="303C4DA6" w:rsidR="00E07C2A" w:rsidRDefault="00E07C2A" w:rsidP="00C35048">
      <w:pPr>
        <w:pStyle w:val="FootnoteText"/>
        <w:spacing w:line="360" w:lineRule="auto"/>
      </w:pPr>
      <w:r>
        <w:rPr>
          <w:rStyle w:val="FootnoteReference"/>
        </w:rPr>
        <w:footnoteRef/>
      </w:r>
      <w:r>
        <w:t xml:space="preserve"> ibid</w:t>
      </w:r>
      <w:r>
        <w:rPr>
          <w:i/>
        </w:rPr>
        <w:t xml:space="preserve"> </w:t>
      </w:r>
      <w:r>
        <w:t>34.</w:t>
      </w:r>
    </w:p>
  </w:footnote>
  <w:footnote w:id="90">
    <w:p w14:paraId="3D8EE65B" w14:textId="293CDA8B" w:rsidR="00E07C2A" w:rsidRDefault="00E07C2A" w:rsidP="00C35048">
      <w:pPr>
        <w:pStyle w:val="FootnoteText"/>
        <w:spacing w:line="360" w:lineRule="auto"/>
      </w:pPr>
      <w:r>
        <w:rPr>
          <w:rStyle w:val="FootnoteReference"/>
        </w:rPr>
        <w:footnoteRef/>
      </w:r>
      <w:r>
        <w:t xml:space="preserve"> ibid. I have some doubts whether the Journey Model complies with McBride’s own requirements for human flourishing listed on p 33 but will await volume 2 to see whether these are resolved.</w:t>
      </w:r>
    </w:p>
  </w:footnote>
  <w:footnote w:id="91">
    <w:p w14:paraId="45C82E6A" w14:textId="28D8E6C0" w:rsidR="00E07C2A" w:rsidRPr="00963763" w:rsidRDefault="00E07C2A" w:rsidP="00C35048">
      <w:pPr>
        <w:pStyle w:val="FootnoteText"/>
        <w:spacing w:line="360" w:lineRule="auto"/>
        <w:rPr>
          <w:rFonts w:cs="Times New Roman"/>
        </w:rPr>
      </w:pPr>
      <w:r w:rsidRPr="00963763">
        <w:rPr>
          <w:rStyle w:val="FootnoteReference"/>
          <w:rFonts w:cs="Times New Roman"/>
        </w:rPr>
        <w:footnoteRef/>
      </w:r>
      <w:r w:rsidRPr="00963763">
        <w:rPr>
          <w:rFonts w:cs="Times New Roman"/>
        </w:rPr>
        <w:t xml:space="preserve"> </w:t>
      </w:r>
      <w:r>
        <w:rPr>
          <w:rFonts w:cs="Times New Roman"/>
        </w:rPr>
        <w:t xml:space="preserve">See John Murphy ‘Hybrid Torts’ </w:t>
      </w:r>
      <w:r w:rsidRPr="001330FF">
        <w:rPr>
          <w:rFonts w:cs="Times New Roman"/>
          <w:highlight w:val="yellow"/>
        </w:rPr>
        <w:t>(n 7)</w:t>
      </w:r>
      <w:r>
        <w:rPr>
          <w:rFonts w:cs="Times New Roman"/>
        </w:rPr>
        <w:t xml:space="preserve"> and Peter Cane ‘Anatomy of Private Law Theory: A 25</w:t>
      </w:r>
      <w:r w:rsidRPr="001F4485">
        <w:rPr>
          <w:rFonts w:cs="Times New Roman"/>
          <w:vertAlign w:val="superscript"/>
        </w:rPr>
        <w:t>th</w:t>
      </w:r>
      <w:r>
        <w:rPr>
          <w:rFonts w:cs="Times New Roman"/>
        </w:rPr>
        <w:t xml:space="preserve"> Anniversary Essay’ (2005) 25 OJLS 203, 207. </w:t>
      </w:r>
    </w:p>
  </w:footnote>
  <w:footnote w:id="92">
    <w:p w14:paraId="2BA9695B" w14:textId="6FD246C2" w:rsidR="00E07C2A" w:rsidRDefault="00E07C2A" w:rsidP="00C35048">
      <w:pPr>
        <w:pStyle w:val="FootnoteText"/>
        <w:spacing w:line="360" w:lineRule="auto"/>
      </w:pPr>
      <w:r>
        <w:rPr>
          <w:rStyle w:val="FootnoteReference"/>
        </w:rPr>
        <w:footnoteRef/>
      </w:r>
      <w:r>
        <w:t xml:space="preserve"> </w:t>
      </w:r>
      <w:r>
        <w:rPr>
          <w:i/>
        </w:rPr>
        <w:t>HPL</w:t>
      </w:r>
      <w:r>
        <w:t xml:space="preserve"> 39.</w:t>
      </w:r>
    </w:p>
  </w:footnote>
  <w:footnote w:id="93">
    <w:p w14:paraId="1D3BA187" w14:textId="77369AC1" w:rsidR="00E07C2A" w:rsidRPr="001F4485" w:rsidRDefault="00E07C2A" w:rsidP="00C35048">
      <w:pPr>
        <w:pStyle w:val="FootnoteText"/>
        <w:spacing w:line="360" w:lineRule="auto"/>
      </w:pPr>
      <w:r>
        <w:rPr>
          <w:rStyle w:val="FootnoteReference"/>
        </w:rPr>
        <w:footnoteRef/>
      </w:r>
      <w:r>
        <w:t xml:space="preserve"> ibid.</w:t>
      </w:r>
    </w:p>
  </w:footnote>
  <w:footnote w:id="94">
    <w:p w14:paraId="13B066E0" w14:textId="011DA47D" w:rsidR="00E07C2A" w:rsidRPr="001F4485" w:rsidRDefault="00E07C2A" w:rsidP="00C35048">
      <w:pPr>
        <w:pStyle w:val="FootnoteText"/>
        <w:spacing w:line="360" w:lineRule="auto"/>
      </w:pPr>
      <w:r>
        <w:rPr>
          <w:rStyle w:val="FootnoteReference"/>
        </w:rPr>
        <w:footnoteRef/>
      </w:r>
      <w:r>
        <w:t xml:space="preserve"> ibid.</w:t>
      </w:r>
    </w:p>
  </w:footnote>
  <w:footnote w:id="95">
    <w:p w14:paraId="71676701" w14:textId="77777777" w:rsidR="00E07C2A" w:rsidRDefault="00E07C2A" w:rsidP="00C35048">
      <w:pPr>
        <w:pStyle w:val="FootnoteText"/>
        <w:spacing w:line="360" w:lineRule="auto"/>
      </w:pPr>
      <w:r>
        <w:rPr>
          <w:rStyle w:val="FootnoteReference"/>
        </w:rPr>
        <w:footnoteRef/>
      </w:r>
      <w:r>
        <w:t xml:space="preserve"> </w:t>
      </w:r>
      <w:r>
        <w:rPr>
          <w:rFonts w:cs="Times New Roman"/>
        </w:rPr>
        <w:t>John Murphy, ‘Rights, R</w:t>
      </w:r>
      <w:r w:rsidRPr="00963763">
        <w:rPr>
          <w:rFonts w:cs="Times New Roman"/>
        </w:rPr>
        <w:t>eductionism</w:t>
      </w:r>
      <w:r>
        <w:rPr>
          <w:rFonts w:cs="Times New Roman"/>
        </w:rPr>
        <w:t xml:space="preserve"> and Tort Law’ (2008) 28 OJLS 393, 407</w:t>
      </w:r>
    </w:p>
  </w:footnote>
  <w:footnote w:id="96">
    <w:p w14:paraId="26E78415" w14:textId="693BFF36" w:rsidR="00E07C2A" w:rsidRDefault="00E07C2A" w:rsidP="00C35048">
      <w:pPr>
        <w:pStyle w:val="FootnoteText"/>
        <w:spacing w:line="360" w:lineRule="auto"/>
      </w:pPr>
      <w:r>
        <w:rPr>
          <w:rStyle w:val="FootnoteReference"/>
        </w:rPr>
        <w:footnoteRef/>
      </w:r>
      <w:r>
        <w:t xml:space="preserve"> </w:t>
      </w:r>
      <w:r>
        <w:rPr>
          <w:i/>
        </w:rPr>
        <w:t xml:space="preserve">HPL </w:t>
      </w:r>
      <w:r>
        <w:t>119.</w:t>
      </w:r>
    </w:p>
  </w:footnote>
  <w:footnote w:id="97">
    <w:p w14:paraId="1AC2D0B4" w14:textId="3EF72EED" w:rsidR="00E07C2A" w:rsidRDefault="00E07C2A" w:rsidP="00C35048">
      <w:pPr>
        <w:pStyle w:val="FootnoteText"/>
        <w:spacing w:line="360" w:lineRule="auto"/>
      </w:pPr>
      <w:r>
        <w:rPr>
          <w:rStyle w:val="FootnoteReference"/>
        </w:rPr>
        <w:footnoteRef/>
      </w:r>
      <w:r>
        <w:t xml:space="preserve"> ibid.</w:t>
      </w:r>
    </w:p>
  </w:footnote>
  <w:footnote w:id="98">
    <w:p w14:paraId="3ECD5046" w14:textId="77777777" w:rsidR="00E07C2A" w:rsidRPr="00963763" w:rsidRDefault="00E07C2A" w:rsidP="00C35048">
      <w:pPr>
        <w:pStyle w:val="FootnoteText"/>
        <w:spacing w:line="360" w:lineRule="auto"/>
        <w:rPr>
          <w:rFonts w:cs="Times New Roman"/>
        </w:rPr>
      </w:pPr>
      <w:r w:rsidRPr="00963763">
        <w:rPr>
          <w:rStyle w:val="FootnoteReference"/>
          <w:rFonts w:cs="Times New Roman"/>
        </w:rPr>
        <w:footnoteRef/>
      </w:r>
      <w:r>
        <w:rPr>
          <w:rFonts w:cs="Times New Roman"/>
        </w:rPr>
        <w:t xml:space="preserve"> See </w:t>
      </w:r>
      <w:r>
        <w:rPr>
          <w:rFonts w:cs="Times New Roman"/>
          <w:i/>
        </w:rPr>
        <w:t xml:space="preserve">White v Chief Constable of South Yorkshire </w:t>
      </w:r>
      <w:r w:rsidRPr="007F2E40">
        <w:rPr>
          <w:rFonts w:cs="Times New Roman"/>
        </w:rPr>
        <w:t>Police</w:t>
      </w:r>
      <w:r>
        <w:rPr>
          <w:rFonts w:cs="Times New Roman"/>
        </w:rPr>
        <w:t xml:space="preserve"> [1999] 2 AC</w:t>
      </w:r>
      <w:r w:rsidRPr="007F2E40">
        <w:rPr>
          <w:rFonts w:cs="Times New Roman"/>
        </w:rPr>
        <w:t xml:space="preserve"> 455</w:t>
      </w:r>
      <w:r>
        <w:rPr>
          <w:rFonts w:cs="Times New Roman"/>
        </w:rPr>
        <w:t xml:space="preserve">, </w:t>
      </w:r>
      <w:r w:rsidRPr="007F2E40">
        <w:rPr>
          <w:rFonts w:cs="Times New Roman"/>
        </w:rPr>
        <w:t>492</w:t>
      </w:r>
      <w:r>
        <w:rPr>
          <w:rFonts w:cs="Times New Roman"/>
        </w:rPr>
        <w:t>-493 per Lord Steyn and 501 per Lord Hoffmann.</w:t>
      </w:r>
    </w:p>
  </w:footnote>
  <w:footnote w:id="99">
    <w:p w14:paraId="658D60D3" w14:textId="77777777" w:rsidR="00E07C2A" w:rsidRPr="007F2E40" w:rsidRDefault="00E07C2A" w:rsidP="00C35048">
      <w:pPr>
        <w:pStyle w:val="FootnoteText"/>
        <w:spacing w:line="360" w:lineRule="auto"/>
        <w:rPr>
          <w:rFonts w:cs="Times New Roman"/>
          <w:i/>
        </w:rPr>
      </w:pPr>
      <w:r w:rsidRPr="00963763">
        <w:rPr>
          <w:rStyle w:val="FootnoteReference"/>
          <w:rFonts w:cs="Times New Roman"/>
        </w:rPr>
        <w:footnoteRef/>
      </w:r>
      <w:r>
        <w:rPr>
          <w:rFonts w:cs="Times New Roman"/>
        </w:rPr>
        <w:t xml:space="preserve"> </w:t>
      </w:r>
      <w:proofErr w:type="spellStart"/>
      <w:r w:rsidRPr="00212A36">
        <w:rPr>
          <w:bCs/>
          <w:i/>
        </w:rPr>
        <w:t>McLoughlin</w:t>
      </w:r>
      <w:proofErr w:type="spellEnd"/>
      <w:r w:rsidRPr="00212A36">
        <w:rPr>
          <w:bCs/>
          <w:i/>
        </w:rPr>
        <w:t xml:space="preserve"> v O’Brian</w:t>
      </w:r>
      <w:r w:rsidRPr="00212A36">
        <w:rPr>
          <w:bCs/>
        </w:rPr>
        <w:t xml:space="preserve"> [1983] 1 AC 410</w:t>
      </w:r>
      <w:r>
        <w:rPr>
          <w:bCs/>
        </w:rPr>
        <w:t>, 431 per Lord Bridge.</w:t>
      </w:r>
    </w:p>
  </w:footnote>
  <w:footnote w:id="100">
    <w:p w14:paraId="6CE7645D" w14:textId="69F17444" w:rsidR="00E07C2A" w:rsidRPr="00052B9B" w:rsidRDefault="00E07C2A" w:rsidP="00C35048">
      <w:pPr>
        <w:pStyle w:val="FootnoteText"/>
        <w:spacing w:line="360" w:lineRule="auto"/>
      </w:pPr>
      <w:r>
        <w:rPr>
          <w:rStyle w:val="FootnoteReference"/>
        </w:rPr>
        <w:footnoteRef/>
      </w:r>
      <w:r>
        <w:t xml:space="preserve"> Indeed, it is easier to claim for psychiatric injury </w:t>
      </w:r>
      <w:proofErr w:type="gramStart"/>
      <w:r>
        <w:t>as a result of</w:t>
      </w:r>
      <w:proofErr w:type="gramEnd"/>
      <w:r>
        <w:t xml:space="preserve"> damage to property than it is to claim for psychiatric injury caused by the death of a close friend, despite the latter being a basic good and property being merely a secondary good. Compare </w:t>
      </w:r>
      <w:proofErr w:type="spellStart"/>
      <w:r>
        <w:rPr>
          <w:i/>
        </w:rPr>
        <w:t>Attia</w:t>
      </w:r>
      <w:proofErr w:type="spellEnd"/>
      <w:r>
        <w:rPr>
          <w:i/>
        </w:rPr>
        <w:t xml:space="preserve"> v British Gas</w:t>
      </w:r>
      <w:r>
        <w:t xml:space="preserve"> [1988] QB</w:t>
      </w:r>
      <w:r w:rsidRPr="006C7C1C">
        <w:t xml:space="preserve"> 304</w:t>
      </w:r>
      <w:r>
        <w:t xml:space="preserve"> with </w:t>
      </w:r>
      <w:proofErr w:type="spellStart"/>
      <w:r w:rsidRPr="00FA756C">
        <w:rPr>
          <w:i/>
        </w:rPr>
        <w:t>Alcock</w:t>
      </w:r>
      <w:proofErr w:type="spellEnd"/>
      <w:r w:rsidRPr="00FA756C">
        <w:rPr>
          <w:i/>
        </w:rPr>
        <w:t xml:space="preserve"> v Chief Constable of South Yorkshire Police</w:t>
      </w:r>
      <w:r w:rsidRPr="00431058">
        <w:t xml:space="preserve"> [1992] 1 AC 310</w:t>
      </w:r>
      <w:r>
        <w:t>.</w:t>
      </w:r>
    </w:p>
  </w:footnote>
  <w:footnote w:id="101">
    <w:p w14:paraId="7BC85EDB" w14:textId="2BD01450" w:rsidR="00E07C2A" w:rsidRDefault="00E07C2A" w:rsidP="00C35048">
      <w:pPr>
        <w:pStyle w:val="FootnoteText"/>
        <w:spacing w:line="360" w:lineRule="auto"/>
      </w:pPr>
      <w:r>
        <w:rPr>
          <w:rStyle w:val="FootnoteReference"/>
        </w:rPr>
        <w:footnoteRef/>
      </w:r>
      <w:r>
        <w:t xml:space="preserve"> </w:t>
      </w:r>
      <w:r>
        <w:rPr>
          <w:i/>
        </w:rPr>
        <w:t xml:space="preserve">HPL </w:t>
      </w:r>
      <w:r>
        <w:t>145.</w:t>
      </w:r>
    </w:p>
  </w:footnote>
  <w:footnote w:id="102">
    <w:p w14:paraId="50EC0074" w14:textId="5DCC5E4B" w:rsidR="00E07C2A" w:rsidRDefault="00E07C2A" w:rsidP="00C35048">
      <w:pPr>
        <w:pStyle w:val="FootnoteText"/>
        <w:spacing w:line="360" w:lineRule="auto"/>
      </w:pPr>
      <w:r>
        <w:rPr>
          <w:rStyle w:val="FootnoteReference"/>
        </w:rPr>
        <w:footnoteRef/>
      </w:r>
      <w:r>
        <w:t xml:space="preserve"> ibid</w:t>
      </w:r>
      <w:r>
        <w:rPr>
          <w:i/>
        </w:rPr>
        <w:t xml:space="preserve"> </w:t>
      </w:r>
      <w:r>
        <w:t>144-145.</w:t>
      </w:r>
    </w:p>
  </w:footnote>
  <w:footnote w:id="103">
    <w:p w14:paraId="08DA3697" w14:textId="6E1CBF2F" w:rsidR="00E07C2A" w:rsidRDefault="00E07C2A" w:rsidP="00C35048">
      <w:pPr>
        <w:pStyle w:val="FootnoteText"/>
        <w:spacing w:line="360" w:lineRule="auto"/>
      </w:pPr>
      <w:r>
        <w:rPr>
          <w:rStyle w:val="FootnoteReference"/>
        </w:rPr>
        <w:footnoteRef/>
      </w:r>
      <w:r>
        <w:t xml:space="preserve"> Alex </w:t>
      </w:r>
      <w:proofErr w:type="spellStart"/>
      <w:r>
        <w:t>Therrien</w:t>
      </w:r>
      <w:proofErr w:type="spellEnd"/>
      <w:r>
        <w:t>, ‘</w:t>
      </w:r>
      <w:r w:rsidRPr="00527C3F">
        <w:t>Could psychedelics transform mental health?</w:t>
      </w:r>
      <w:r>
        <w:t>’ (</w:t>
      </w:r>
      <w:r w:rsidRPr="00527C3F">
        <w:t>1 July 2018</w:t>
      </w:r>
      <w:r>
        <w:t xml:space="preserve">, BBC News) </w:t>
      </w:r>
      <w:r w:rsidRPr="00527C3F">
        <w:t>https://www.bbc.co.uk/news/health-44575139</w:t>
      </w:r>
      <w:r>
        <w:t xml:space="preserve"> </w:t>
      </w:r>
    </w:p>
  </w:footnote>
  <w:footnote w:id="104">
    <w:p w14:paraId="366CE72B" w14:textId="77777777" w:rsidR="00E07C2A" w:rsidRDefault="00E07C2A" w:rsidP="00C35048">
      <w:pPr>
        <w:pStyle w:val="FootnoteText"/>
        <w:spacing w:line="360" w:lineRule="auto"/>
      </w:pPr>
      <w:r>
        <w:rPr>
          <w:rStyle w:val="FootnoteReference"/>
        </w:rPr>
        <w:footnoteRef/>
      </w:r>
      <w:r>
        <w:t xml:space="preserve"> See David Nutt et al, ‘Development of a Rational Scale to Assess the Harm of Drugs of Potential Misuse’ (2007) 369 The Lancet 1047.</w:t>
      </w:r>
    </w:p>
  </w:footnote>
  <w:footnote w:id="105">
    <w:p w14:paraId="1629A632" w14:textId="4AC53D1F" w:rsidR="00E07C2A" w:rsidRDefault="00E07C2A" w:rsidP="00C35048">
      <w:pPr>
        <w:pStyle w:val="FootnoteText"/>
        <w:spacing w:line="360" w:lineRule="auto"/>
      </w:pPr>
      <w:r>
        <w:rPr>
          <w:rStyle w:val="FootnoteReference"/>
        </w:rPr>
        <w:footnoteRef/>
      </w:r>
      <w:r>
        <w:t xml:space="preserve"> </w:t>
      </w:r>
      <w:r>
        <w:rPr>
          <w:i/>
        </w:rPr>
        <w:t>HPL</w:t>
      </w:r>
      <w:r>
        <w:t xml:space="preserve"> 30.</w:t>
      </w:r>
    </w:p>
  </w:footnote>
  <w:footnote w:id="106">
    <w:p w14:paraId="0AED2BD3" w14:textId="5F70BC03" w:rsidR="00E07C2A" w:rsidRDefault="00E07C2A" w:rsidP="00C35048">
      <w:pPr>
        <w:pStyle w:val="FootnoteText"/>
        <w:spacing w:line="360" w:lineRule="auto"/>
      </w:pPr>
      <w:r>
        <w:rPr>
          <w:rStyle w:val="FootnoteReference"/>
        </w:rPr>
        <w:footnoteRef/>
      </w:r>
      <w:r>
        <w:t xml:space="preserve"> ibid</w:t>
      </w:r>
      <w:r>
        <w:rPr>
          <w:i/>
        </w:rPr>
        <w:t xml:space="preserve"> </w:t>
      </w:r>
      <w:r>
        <w:t>169.</w:t>
      </w:r>
    </w:p>
  </w:footnote>
  <w:footnote w:id="107">
    <w:p w14:paraId="47B6F0E7" w14:textId="1DC46EED" w:rsidR="00E07C2A" w:rsidRDefault="00E07C2A" w:rsidP="00C35048">
      <w:pPr>
        <w:pStyle w:val="FootnoteText"/>
        <w:spacing w:line="360" w:lineRule="auto"/>
      </w:pPr>
      <w:r>
        <w:rPr>
          <w:rStyle w:val="FootnoteReference"/>
        </w:rPr>
        <w:footnoteRef/>
      </w:r>
      <w:r>
        <w:t xml:space="preserve"> ibid</w:t>
      </w:r>
      <w:r>
        <w:rPr>
          <w:i/>
        </w:rPr>
        <w:t xml:space="preserve"> </w:t>
      </w:r>
      <w:r>
        <w:t>167.</w:t>
      </w:r>
    </w:p>
  </w:footnote>
  <w:footnote w:id="108">
    <w:p w14:paraId="5044B10C" w14:textId="3F495445" w:rsidR="00E07C2A" w:rsidRDefault="00E07C2A" w:rsidP="00C35048">
      <w:pPr>
        <w:pStyle w:val="FootnoteText"/>
        <w:spacing w:line="360" w:lineRule="auto"/>
      </w:pPr>
      <w:r>
        <w:rPr>
          <w:rStyle w:val="FootnoteReference"/>
        </w:rPr>
        <w:footnoteRef/>
      </w:r>
      <w:r>
        <w:t xml:space="preserve"> ibid 169.</w:t>
      </w:r>
    </w:p>
  </w:footnote>
  <w:footnote w:id="109">
    <w:p w14:paraId="7648FF1C" w14:textId="1DCD640C" w:rsidR="00E07C2A" w:rsidRDefault="00E07C2A" w:rsidP="00C35048">
      <w:pPr>
        <w:pStyle w:val="FootnoteText"/>
        <w:spacing w:line="360" w:lineRule="auto"/>
      </w:pPr>
      <w:r>
        <w:rPr>
          <w:rStyle w:val="FootnoteReference"/>
        </w:rPr>
        <w:footnoteRef/>
      </w:r>
      <w:r>
        <w:t xml:space="preserve"> ibid.</w:t>
      </w:r>
    </w:p>
  </w:footnote>
  <w:footnote w:id="110">
    <w:p w14:paraId="696FC8A2" w14:textId="3B0C4E4B" w:rsidR="00E07C2A" w:rsidRDefault="00E07C2A" w:rsidP="00C35048">
      <w:pPr>
        <w:pStyle w:val="FootnoteText"/>
        <w:spacing w:line="360" w:lineRule="auto"/>
      </w:pPr>
      <w:r>
        <w:rPr>
          <w:rStyle w:val="FootnoteReference"/>
        </w:rPr>
        <w:footnoteRef/>
      </w:r>
      <w:r>
        <w:t xml:space="preserve"> ibid.</w:t>
      </w:r>
    </w:p>
  </w:footnote>
  <w:footnote w:id="111">
    <w:p w14:paraId="0070EB9D" w14:textId="0B7062EF" w:rsidR="00E07C2A" w:rsidRDefault="00E07C2A" w:rsidP="00C35048">
      <w:pPr>
        <w:pStyle w:val="FootnoteText"/>
        <w:spacing w:line="360" w:lineRule="auto"/>
      </w:pPr>
      <w:r>
        <w:rPr>
          <w:rStyle w:val="FootnoteReference"/>
        </w:rPr>
        <w:footnoteRef/>
      </w:r>
      <w:r>
        <w:t xml:space="preserve"> ibid 170.</w:t>
      </w:r>
    </w:p>
  </w:footnote>
  <w:footnote w:id="112">
    <w:p w14:paraId="070B83B6" w14:textId="77777777" w:rsidR="00E07C2A" w:rsidRPr="00963763" w:rsidRDefault="00E07C2A" w:rsidP="00C35048">
      <w:pPr>
        <w:pStyle w:val="FootnoteText"/>
        <w:spacing w:line="360" w:lineRule="auto"/>
        <w:rPr>
          <w:rFonts w:cs="Times New Roman"/>
        </w:rPr>
      </w:pPr>
      <w:r w:rsidRPr="00963763">
        <w:rPr>
          <w:rStyle w:val="FootnoteReference"/>
          <w:rFonts w:cs="Times New Roman"/>
        </w:rPr>
        <w:footnoteRef/>
      </w:r>
      <w:r w:rsidRPr="00963763">
        <w:rPr>
          <w:rFonts w:cs="Times New Roman"/>
        </w:rPr>
        <w:t xml:space="preserve"> See </w:t>
      </w:r>
      <w:r>
        <w:rPr>
          <w:rFonts w:cs="Times New Roman"/>
        </w:rPr>
        <w:t xml:space="preserve">Craig </w:t>
      </w:r>
      <w:r w:rsidRPr="00963763">
        <w:rPr>
          <w:rFonts w:cs="Times New Roman"/>
        </w:rPr>
        <w:t xml:space="preserve">Purshouse and </w:t>
      </w:r>
      <w:r>
        <w:rPr>
          <w:rFonts w:cs="Times New Roman"/>
        </w:rPr>
        <w:t xml:space="preserve">Kate </w:t>
      </w:r>
      <w:r w:rsidRPr="00963763">
        <w:rPr>
          <w:rFonts w:cs="Times New Roman"/>
        </w:rPr>
        <w:t>Bracegirdle</w:t>
      </w:r>
      <w:r>
        <w:rPr>
          <w:rFonts w:cs="Times New Roman"/>
        </w:rPr>
        <w:t xml:space="preserve"> ‘The Problem of Unenforceable Surrogacy Contracts: Can Unjust Enrichment Provide a Solution?’ (2018) 26 Med L Rev 557, 575-578.</w:t>
      </w:r>
    </w:p>
  </w:footnote>
  <w:footnote w:id="113">
    <w:p w14:paraId="5FC88DE5" w14:textId="77777777" w:rsidR="00E07C2A" w:rsidRDefault="00E07C2A" w:rsidP="00C35048">
      <w:pPr>
        <w:pStyle w:val="FootnoteText"/>
        <w:spacing w:line="360" w:lineRule="auto"/>
      </w:pPr>
      <w:r>
        <w:rPr>
          <w:rStyle w:val="FootnoteReference"/>
        </w:rPr>
        <w:footnoteRef/>
      </w:r>
      <w:r>
        <w:t xml:space="preserve"> There is greater inequality in the USA than the UK but it is highly doubtful that the reason for such disparities is the enforceability of surrogacy contracts.</w:t>
      </w:r>
    </w:p>
  </w:footnote>
  <w:footnote w:id="114">
    <w:p w14:paraId="2BF8790D" w14:textId="60399DA5" w:rsidR="00E07C2A" w:rsidRPr="004C328B" w:rsidRDefault="00E07C2A" w:rsidP="00C35048">
      <w:pPr>
        <w:pStyle w:val="FootnoteText"/>
        <w:spacing w:line="360" w:lineRule="auto"/>
        <w:rPr>
          <w:rFonts w:cs="Times New Roman"/>
          <w:b/>
          <w:bCs/>
          <w:lang w:eastAsia="en-GB"/>
        </w:rPr>
      </w:pPr>
      <w:r w:rsidRPr="00963763">
        <w:rPr>
          <w:rStyle w:val="FootnoteReference"/>
          <w:rFonts w:cs="Times New Roman"/>
        </w:rPr>
        <w:footnoteRef/>
      </w:r>
      <w:r w:rsidRPr="00963763">
        <w:rPr>
          <w:rFonts w:cs="Times New Roman"/>
        </w:rPr>
        <w:t xml:space="preserve"> </w:t>
      </w:r>
      <w:r>
        <w:rPr>
          <w:rFonts w:cs="Times New Roman"/>
        </w:rPr>
        <w:t xml:space="preserve">See s 7, </w:t>
      </w:r>
      <w:r w:rsidRPr="00963763">
        <w:rPr>
          <w:rFonts w:cs="Times New Roman"/>
          <w:bCs/>
          <w:lang w:val="en-NZ" w:eastAsia="en-GB"/>
        </w:rPr>
        <w:t>Pro</w:t>
      </w:r>
      <w:r>
        <w:rPr>
          <w:rFonts w:cs="Times New Roman"/>
          <w:bCs/>
          <w:lang w:val="en-NZ" w:eastAsia="en-GB"/>
        </w:rPr>
        <w:t xml:space="preserve">stitution Reform Act 2003, which states that such </w:t>
      </w:r>
      <w:r w:rsidRPr="00963763">
        <w:rPr>
          <w:rFonts w:cs="Times New Roman"/>
          <w:bCs/>
          <w:lang w:val="en-NZ" w:eastAsia="en-GB"/>
        </w:rPr>
        <w:t>contracts</w:t>
      </w:r>
      <w:r>
        <w:rPr>
          <w:rFonts w:cs="Times New Roman"/>
          <w:bCs/>
          <w:lang w:val="en-NZ" w:eastAsia="en-GB"/>
        </w:rPr>
        <w:t xml:space="preserve"> are</w:t>
      </w:r>
      <w:r w:rsidRPr="00963763">
        <w:rPr>
          <w:rFonts w:cs="Times New Roman"/>
          <w:bCs/>
          <w:lang w:val="en-NZ" w:eastAsia="en-GB"/>
        </w:rPr>
        <w:t xml:space="preserve"> not void or illegal</w:t>
      </w:r>
      <w:r>
        <w:rPr>
          <w:rFonts w:cs="Times New Roman"/>
          <w:bCs/>
          <w:lang w:val="en-NZ" w:eastAsia="en-GB"/>
        </w:rPr>
        <w:t xml:space="preserve">. An argument could also be advanced that, in a capitalist society, permitting kidney sales could promote flourishing. See Janet Radcliffe Richards, </w:t>
      </w:r>
      <w:r w:rsidRPr="004C328B">
        <w:rPr>
          <w:rFonts w:cs="Times New Roman"/>
          <w:bCs/>
          <w:i/>
          <w:lang w:eastAsia="en-GB"/>
        </w:rPr>
        <w:t>Careless Thought Costs Lives: The Ethics of Transplants</w:t>
      </w:r>
      <w:r>
        <w:rPr>
          <w:rFonts w:cs="Times New Roman"/>
          <w:bCs/>
          <w:lang w:eastAsia="en-GB"/>
        </w:rPr>
        <w:t xml:space="preserve"> (OUP 2012) 42-101. </w:t>
      </w:r>
    </w:p>
  </w:footnote>
  <w:footnote w:id="115">
    <w:p w14:paraId="7648A443" w14:textId="77777777" w:rsidR="00E07C2A" w:rsidRPr="00963763" w:rsidRDefault="00E07C2A" w:rsidP="00C35048">
      <w:pPr>
        <w:pStyle w:val="FootnoteText"/>
        <w:spacing w:line="360" w:lineRule="auto"/>
        <w:rPr>
          <w:rFonts w:cs="Times New Roman"/>
        </w:rPr>
      </w:pPr>
      <w:r w:rsidRPr="00963763">
        <w:rPr>
          <w:rStyle w:val="FootnoteReference"/>
          <w:rFonts w:cs="Times New Roman"/>
        </w:rPr>
        <w:footnoteRef/>
      </w:r>
      <w:r>
        <w:rPr>
          <w:rFonts w:cs="Times New Roman"/>
        </w:rPr>
        <w:t xml:space="preserve"> See Michael Freeman, ‘Does Surrogacy Have a Future After Brazier?’ (1999) 7 Med L Rev 1, 2-6.</w:t>
      </w:r>
    </w:p>
  </w:footnote>
  <w:footnote w:id="116">
    <w:p w14:paraId="5BD2958D" w14:textId="5AD2B38C" w:rsidR="00E07C2A" w:rsidRDefault="00E07C2A" w:rsidP="00C35048">
      <w:pPr>
        <w:pStyle w:val="FootnoteText"/>
        <w:spacing w:line="360" w:lineRule="auto"/>
      </w:pPr>
      <w:r>
        <w:rPr>
          <w:rStyle w:val="FootnoteReference"/>
        </w:rPr>
        <w:footnoteRef/>
      </w:r>
      <w:r>
        <w:t xml:space="preserve"> </w:t>
      </w:r>
      <w:r>
        <w:rPr>
          <w:i/>
        </w:rPr>
        <w:t>HPL</w:t>
      </w:r>
      <w:r>
        <w:t xml:space="preserve"> 178.</w:t>
      </w:r>
    </w:p>
  </w:footnote>
  <w:footnote w:id="117">
    <w:p w14:paraId="38C01BC3" w14:textId="68AFBA7A" w:rsidR="00E07C2A" w:rsidRDefault="00E07C2A" w:rsidP="00C35048">
      <w:pPr>
        <w:pStyle w:val="FootnoteText"/>
        <w:spacing w:line="360" w:lineRule="auto"/>
      </w:pPr>
      <w:r>
        <w:rPr>
          <w:rStyle w:val="FootnoteReference"/>
        </w:rPr>
        <w:footnoteRef/>
      </w:r>
      <w:r>
        <w:t xml:space="preserve"> ibid.</w:t>
      </w:r>
    </w:p>
  </w:footnote>
  <w:footnote w:id="118">
    <w:p w14:paraId="5DD8B547" w14:textId="04F00994" w:rsidR="00E07C2A" w:rsidRDefault="00E07C2A" w:rsidP="00C35048">
      <w:pPr>
        <w:pStyle w:val="FootnoteText"/>
        <w:spacing w:line="360" w:lineRule="auto"/>
      </w:pPr>
      <w:r>
        <w:rPr>
          <w:rStyle w:val="FootnoteReference"/>
        </w:rPr>
        <w:footnoteRef/>
      </w:r>
      <w:r>
        <w:t xml:space="preserve"> ibid.</w:t>
      </w:r>
    </w:p>
  </w:footnote>
  <w:footnote w:id="119">
    <w:p w14:paraId="1AC804F3" w14:textId="77777777" w:rsidR="00E07C2A" w:rsidRDefault="00E07C2A" w:rsidP="00C35048">
      <w:pPr>
        <w:pStyle w:val="FootnoteText"/>
        <w:spacing w:line="360" w:lineRule="auto"/>
      </w:pPr>
      <w:r>
        <w:rPr>
          <w:rStyle w:val="FootnoteReference"/>
        </w:rPr>
        <w:footnoteRef/>
      </w:r>
      <w:r>
        <w:t xml:space="preserve"> ibid 107 (my emphasis).</w:t>
      </w:r>
    </w:p>
  </w:footnote>
  <w:footnote w:id="120">
    <w:p w14:paraId="475C8B26" w14:textId="6119E2D9" w:rsidR="00E07C2A" w:rsidRDefault="00E07C2A" w:rsidP="00C35048">
      <w:pPr>
        <w:pStyle w:val="FootnoteText"/>
        <w:spacing w:line="360" w:lineRule="auto"/>
      </w:pPr>
      <w:r>
        <w:rPr>
          <w:rStyle w:val="FootnoteReference"/>
        </w:rPr>
        <w:footnoteRef/>
      </w:r>
      <w:r>
        <w:t xml:space="preserve"> See RH Coase, ‘The Problem of Social Cost’ (1960) 3 JLE 1. </w:t>
      </w:r>
    </w:p>
  </w:footnote>
  <w:footnote w:id="121">
    <w:p w14:paraId="4038BDE0" w14:textId="77777777" w:rsidR="00E07C2A" w:rsidRPr="00963763" w:rsidRDefault="00E07C2A" w:rsidP="00C35048">
      <w:pPr>
        <w:pStyle w:val="FootnoteText"/>
        <w:spacing w:line="360" w:lineRule="auto"/>
        <w:rPr>
          <w:rFonts w:cs="Times New Roman"/>
        </w:rPr>
      </w:pPr>
      <w:r w:rsidRPr="00963763">
        <w:rPr>
          <w:rStyle w:val="FootnoteReference"/>
          <w:rFonts w:cs="Times New Roman"/>
        </w:rPr>
        <w:footnoteRef/>
      </w:r>
      <w:r w:rsidRPr="00963763">
        <w:rPr>
          <w:rFonts w:cs="Times New Roman"/>
        </w:rPr>
        <w:t xml:space="preserve"> </w:t>
      </w:r>
      <w:r>
        <w:rPr>
          <w:rFonts w:cs="Times New Roman"/>
        </w:rPr>
        <w:t xml:space="preserve">See </w:t>
      </w:r>
      <w:r w:rsidRPr="00963763">
        <w:rPr>
          <w:rFonts w:cs="Times New Roman"/>
        </w:rPr>
        <w:t>Kim Cotton</w:t>
      </w:r>
      <w:r>
        <w:rPr>
          <w:rFonts w:cs="Times New Roman"/>
        </w:rPr>
        <w:t>, ‘The UK’s Antiquated Laws on Surrogacy: A Personal and Professional P</w:t>
      </w:r>
      <w:r w:rsidRPr="003A3696">
        <w:rPr>
          <w:rFonts w:cs="Times New Roman"/>
        </w:rPr>
        <w:t>erspective</w:t>
      </w:r>
      <w:r>
        <w:rPr>
          <w:rFonts w:cs="Times New Roman"/>
        </w:rPr>
        <w:t>’ (2016) 4 J Med L &amp; Ethics 229.</w:t>
      </w:r>
    </w:p>
  </w:footnote>
  <w:footnote w:id="122">
    <w:p w14:paraId="547A40A8" w14:textId="1BF00294" w:rsidR="00E07C2A" w:rsidRPr="00E374F4" w:rsidRDefault="00E07C2A" w:rsidP="00C35048">
      <w:pPr>
        <w:pStyle w:val="FootnoteText"/>
        <w:spacing w:line="360" w:lineRule="auto"/>
      </w:pPr>
      <w:r>
        <w:rPr>
          <w:rStyle w:val="FootnoteReference"/>
        </w:rPr>
        <w:footnoteRef/>
      </w:r>
      <w:r>
        <w:t xml:space="preserve"> England and Wales Law Commission and Scottish Law Commission, </w:t>
      </w:r>
      <w:r>
        <w:rPr>
          <w:i/>
        </w:rPr>
        <w:t>Building Families through Surrogacy: A New Law – A Joint Consultation Paper</w:t>
      </w:r>
      <w:r>
        <w:t xml:space="preserve"> (Consultation Paper 244, 2019) 28-31. </w:t>
      </w:r>
    </w:p>
  </w:footnote>
  <w:footnote w:id="123">
    <w:p w14:paraId="5BD9071A" w14:textId="5577E688" w:rsidR="00E07C2A" w:rsidRDefault="00E07C2A" w:rsidP="00C35048">
      <w:pPr>
        <w:pStyle w:val="FootnoteText"/>
        <w:spacing w:line="360" w:lineRule="auto"/>
      </w:pPr>
      <w:r>
        <w:rPr>
          <w:rStyle w:val="FootnoteReference"/>
        </w:rPr>
        <w:footnoteRef/>
      </w:r>
      <w:r>
        <w:t xml:space="preserve"> See the sources at </w:t>
      </w:r>
      <w:r w:rsidRPr="001330FF">
        <w:rPr>
          <w:highlight w:val="yellow"/>
        </w:rPr>
        <w:t>n 12</w:t>
      </w:r>
      <w:r>
        <w:t xml:space="preserve"> above for accounts of corrective justice. For accounts of distributive justice see Keren-Paz, </w:t>
      </w:r>
      <w:r>
        <w:rPr>
          <w:i/>
        </w:rPr>
        <w:t>Torts, Egalitarianism and Distributive Justice</w:t>
      </w:r>
      <w:r>
        <w:t xml:space="preserve"> </w:t>
      </w:r>
      <w:r w:rsidRPr="001330FF">
        <w:rPr>
          <w:highlight w:val="yellow"/>
        </w:rPr>
        <w:t>(n 9),</w:t>
      </w:r>
      <w:r>
        <w:t xml:space="preserve"> Peter Cane ‘Distributive Justice and Tort Law’ (2001) NZLR 401, 413 and Dan </w:t>
      </w:r>
      <w:proofErr w:type="spellStart"/>
      <w:r>
        <w:t>Priel</w:t>
      </w:r>
      <w:proofErr w:type="spellEnd"/>
      <w:r>
        <w:t>, ‘Private Law: Commutative or Distributive?’ (2014) 77 MLR 308.</w:t>
      </w:r>
    </w:p>
  </w:footnote>
  <w:footnote w:id="124">
    <w:p w14:paraId="1CBDE5BD" w14:textId="038A0BE5" w:rsidR="00E07C2A" w:rsidRDefault="00E07C2A" w:rsidP="00C35048">
      <w:pPr>
        <w:pStyle w:val="FootnoteText"/>
        <w:spacing w:line="360" w:lineRule="auto"/>
      </w:pPr>
      <w:r>
        <w:rPr>
          <w:rStyle w:val="FootnoteReference"/>
        </w:rPr>
        <w:footnoteRef/>
      </w:r>
      <w:r>
        <w:t xml:space="preserve"> For a useful discussion of incommensurability see Ruth Chang ‘Introduction’ in </w:t>
      </w:r>
      <w:r w:rsidRPr="00580004">
        <w:rPr>
          <w:bCs/>
          <w:i/>
          <w:iCs/>
        </w:rPr>
        <w:t>Incommensurability, Incomparability, and Practical Reason</w:t>
      </w:r>
      <w:r>
        <w:t xml:space="preserve"> (HUP, 1998). </w:t>
      </w:r>
      <w:r>
        <w:rPr>
          <w:rFonts w:cs="Times New Roman"/>
          <w:lang w:eastAsia="en-GB"/>
        </w:rPr>
        <w:t>Chang reserves the term ‘incommensurable’ for items that cannot be precisely ‘</w:t>
      </w:r>
      <w:r w:rsidRPr="0066108A">
        <w:rPr>
          <w:rFonts w:cs="Times New Roman"/>
          <w:lang w:eastAsia="en-GB"/>
        </w:rPr>
        <w:t>measured by some common scale of units of value</w:t>
      </w:r>
      <w:r>
        <w:rPr>
          <w:rFonts w:cs="Times New Roman"/>
          <w:lang w:eastAsia="en-GB"/>
        </w:rPr>
        <w:t xml:space="preserve">’ and distinguishes this from ‘incomparable’, which refers to items that cannot be compared. Goods being incommensurable is not fatal to utilitarianism (it does not require a precise valuation of different options). </w:t>
      </w:r>
    </w:p>
  </w:footnote>
  <w:footnote w:id="125">
    <w:p w14:paraId="59890DD3" w14:textId="742DBDE2" w:rsidR="00E07C2A" w:rsidRDefault="00E07C2A" w:rsidP="00C35048">
      <w:pPr>
        <w:pStyle w:val="FootnoteText"/>
        <w:spacing w:line="360" w:lineRule="auto"/>
      </w:pPr>
      <w:r>
        <w:rPr>
          <w:rStyle w:val="FootnoteReference"/>
        </w:rPr>
        <w:footnoteRef/>
      </w:r>
      <w:r>
        <w:t xml:space="preserve"> Ruth Chang, ‘Value Incomparability and Incommensurability’ in </w:t>
      </w:r>
      <w:proofErr w:type="spellStart"/>
      <w:r>
        <w:t>Iwao</w:t>
      </w:r>
      <w:proofErr w:type="spellEnd"/>
      <w:r>
        <w:t xml:space="preserve"> Hirose and Jonas Olson (</w:t>
      </w:r>
      <w:proofErr w:type="spellStart"/>
      <w:r>
        <w:t>eds</w:t>
      </w:r>
      <w:proofErr w:type="spellEnd"/>
      <w:r>
        <w:t xml:space="preserve">), </w:t>
      </w:r>
      <w:r w:rsidRPr="00580004">
        <w:rPr>
          <w:i/>
        </w:rPr>
        <w:t>The Oxford Handbook of Value Theory</w:t>
      </w:r>
      <w:r>
        <w:t xml:space="preserve"> (OUP, 2015) 208.</w:t>
      </w:r>
    </w:p>
  </w:footnote>
  <w:footnote w:id="126">
    <w:p w14:paraId="1B857F3A" w14:textId="7C57EFD9" w:rsidR="00E07C2A" w:rsidRDefault="00E07C2A" w:rsidP="00C35048">
      <w:pPr>
        <w:pStyle w:val="FootnoteText"/>
        <w:spacing w:line="360" w:lineRule="auto"/>
      </w:pPr>
      <w:r>
        <w:rPr>
          <w:rStyle w:val="FootnoteReference"/>
        </w:rPr>
        <w:footnoteRef/>
      </w:r>
      <w:r>
        <w:t xml:space="preserve"> John Murphy, ‘</w:t>
      </w:r>
      <w:r w:rsidRPr="00A41DB2">
        <w:rPr>
          <w:bCs/>
        </w:rPr>
        <w:t>Evolution’</w:t>
      </w:r>
      <w:r>
        <w:rPr>
          <w:bCs/>
        </w:rPr>
        <w:t xml:space="preserve"> </w:t>
      </w:r>
      <w:r w:rsidRPr="001330FF">
        <w:rPr>
          <w:bCs/>
          <w:highlight w:val="yellow"/>
        </w:rPr>
        <w:t>(n 6)</w:t>
      </w:r>
      <w:r>
        <w:rPr>
          <w:bCs/>
        </w:rPr>
        <w:t xml:space="preserve"> 415.</w:t>
      </w:r>
    </w:p>
  </w:footnote>
  <w:footnote w:id="127">
    <w:p w14:paraId="6B6EA61D" w14:textId="645D0080" w:rsidR="00E07C2A" w:rsidRDefault="00E07C2A" w:rsidP="00C35048">
      <w:pPr>
        <w:pStyle w:val="FootnoteText"/>
        <w:spacing w:line="360" w:lineRule="auto"/>
      </w:pPr>
      <w:r>
        <w:rPr>
          <w:rStyle w:val="FootnoteReference"/>
        </w:rPr>
        <w:footnoteRef/>
      </w:r>
      <w:r>
        <w:t xml:space="preserve"> See Craig Purshouse, ‘Utilitarianism as Tort Theory: Countering the Caricature’ (2018) 38 LS 24. </w:t>
      </w:r>
    </w:p>
  </w:footnote>
  <w:footnote w:id="128">
    <w:p w14:paraId="220C70D2" w14:textId="77777777" w:rsidR="00E07C2A" w:rsidRDefault="00E07C2A" w:rsidP="00C35048">
      <w:pPr>
        <w:pStyle w:val="FootnoteText"/>
        <w:spacing w:line="360" w:lineRule="auto"/>
      </w:pPr>
      <w:r>
        <w:rPr>
          <w:rStyle w:val="FootnoteReference"/>
        </w:rPr>
        <w:footnoteRef/>
      </w:r>
      <w:r>
        <w:t xml:space="preserve"> </w:t>
      </w:r>
      <w:r w:rsidRPr="00C237C8">
        <w:t>[2002] 1 AC 215</w:t>
      </w:r>
      <w:r>
        <w:t>.</w:t>
      </w:r>
    </w:p>
  </w:footnote>
  <w:footnote w:id="129">
    <w:p w14:paraId="04E32AAB" w14:textId="39E41041" w:rsidR="00E07C2A" w:rsidRPr="0011112C" w:rsidRDefault="00E07C2A" w:rsidP="00C35048">
      <w:pPr>
        <w:spacing w:line="360" w:lineRule="auto"/>
        <w:jc w:val="left"/>
        <w:rPr>
          <w:rFonts w:eastAsia="Times New Roman" w:cs="Times New Roman"/>
          <w:lang w:eastAsia="en-GB"/>
        </w:rPr>
      </w:pPr>
      <w:r>
        <w:rPr>
          <w:rStyle w:val="FootnoteReference"/>
        </w:rPr>
        <w:footnoteRef/>
      </w:r>
      <w:r>
        <w:t xml:space="preserve"> See </w:t>
      </w:r>
      <w:r w:rsidRPr="0011112C">
        <w:rPr>
          <w:rFonts w:eastAsia="Times New Roman" w:cs="Times New Roman"/>
          <w:lang w:eastAsia="en-GB"/>
        </w:rPr>
        <w:t>JAG Griffith</w:t>
      </w:r>
      <w:r>
        <w:rPr>
          <w:rFonts w:eastAsia="Times New Roman" w:cs="Times New Roman"/>
          <w:lang w:eastAsia="en-GB"/>
        </w:rPr>
        <w:t>,</w:t>
      </w:r>
      <w:r w:rsidRPr="0011112C">
        <w:rPr>
          <w:rFonts w:eastAsia="Times New Roman" w:cs="Times New Roman"/>
          <w:lang w:eastAsia="en-GB"/>
        </w:rPr>
        <w:t xml:space="preserve"> </w:t>
      </w:r>
      <w:r w:rsidRPr="000E3592">
        <w:rPr>
          <w:rFonts w:eastAsia="Times New Roman" w:cs="Times New Roman"/>
          <w:i/>
          <w:lang w:eastAsia="en-GB"/>
        </w:rPr>
        <w:t>The Politics of the Judiciary</w:t>
      </w:r>
      <w:r>
        <w:rPr>
          <w:rFonts w:eastAsia="Times New Roman" w:cs="Times New Roman"/>
          <w:lang w:eastAsia="en-GB"/>
        </w:rPr>
        <w:t xml:space="preserve"> (5</w:t>
      </w:r>
      <w:r w:rsidRPr="000E3592">
        <w:rPr>
          <w:rFonts w:eastAsia="Times New Roman" w:cs="Times New Roman"/>
          <w:vertAlign w:val="superscript"/>
          <w:lang w:eastAsia="en-GB"/>
        </w:rPr>
        <w:t>th</w:t>
      </w:r>
      <w:r>
        <w:rPr>
          <w:rFonts w:eastAsia="Times New Roman" w:cs="Times New Roman"/>
          <w:lang w:eastAsia="en-GB"/>
        </w:rPr>
        <w:t xml:space="preserve"> </w:t>
      </w:r>
      <w:proofErr w:type="spellStart"/>
      <w:r>
        <w:rPr>
          <w:rFonts w:eastAsia="Times New Roman" w:cs="Times New Roman"/>
          <w:lang w:eastAsia="en-GB"/>
        </w:rPr>
        <w:t>edn</w:t>
      </w:r>
      <w:proofErr w:type="spellEnd"/>
      <w:r>
        <w:rPr>
          <w:rFonts w:eastAsia="Times New Roman" w:cs="Times New Roman"/>
          <w:lang w:eastAsia="en-GB"/>
        </w:rPr>
        <w:t xml:space="preserve">, Fontana Press 1997) </w:t>
      </w:r>
      <w:r w:rsidRPr="0011112C">
        <w:rPr>
          <w:rFonts w:eastAsia="Times New Roman" w:cs="Times New Roman"/>
          <w:lang w:eastAsia="en-GB"/>
        </w:rPr>
        <w:t>293</w:t>
      </w:r>
      <w:r>
        <w:rPr>
          <w:rFonts w:eastAsia="Times New Roman" w:cs="Times New Roman"/>
          <w:lang w:eastAsia="en-GB"/>
        </w:rPr>
        <w:t xml:space="preserve"> and </w:t>
      </w:r>
      <w:r w:rsidRPr="0011112C">
        <w:rPr>
          <w:rFonts w:eastAsia="Times New Roman" w:cs="Times New Roman"/>
          <w:lang w:eastAsia="en-GB"/>
        </w:rPr>
        <w:t>Lord Devlin ‘Judges and</w:t>
      </w:r>
      <w:r>
        <w:rPr>
          <w:rFonts w:eastAsia="Times New Roman" w:cs="Times New Roman"/>
          <w:lang w:eastAsia="en-GB"/>
        </w:rPr>
        <w:t xml:space="preserve"> Lawmakers’ (1976) 39 MLR 1, 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3134"/>
    <w:multiLevelType w:val="hybridMultilevel"/>
    <w:tmpl w:val="5EEE68BE"/>
    <w:lvl w:ilvl="0" w:tplc="A4920B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8783A"/>
    <w:multiLevelType w:val="hybridMultilevel"/>
    <w:tmpl w:val="3450585E"/>
    <w:lvl w:ilvl="0" w:tplc="BA34E9CE">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D70521"/>
    <w:multiLevelType w:val="hybridMultilevel"/>
    <w:tmpl w:val="EC30A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88265B"/>
    <w:multiLevelType w:val="hybridMultilevel"/>
    <w:tmpl w:val="440E2726"/>
    <w:lvl w:ilvl="0" w:tplc="A152312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F278CE"/>
    <w:multiLevelType w:val="hybridMultilevel"/>
    <w:tmpl w:val="820C744A"/>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63"/>
    <w:rsid w:val="00001DA9"/>
    <w:rsid w:val="0000752B"/>
    <w:rsid w:val="0001605A"/>
    <w:rsid w:val="000161EC"/>
    <w:rsid w:val="0002003B"/>
    <w:rsid w:val="000217F5"/>
    <w:rsid w:val="00027410"/>
    <w:rsid w:val="00035B86"/>
    <w:rsid w:val="00035BB4"/>
    <w:rsid w:val="00037575"/>
    <w:rsid w:val="00041068"/>
    <w:rsid w:val="00043411"/>
    <w:rsid w:val="00044ED5"/>
    <w:rsid w:val="00052B9B"/>
    <w:rsid w:val="000544E5"/>
    <w:rsid w:val="0005469D"/>
    <w:rsid w:val="00054A35"/>
    <w:rsid w:val="000551F5"/>
    <w:rsid w:val="00056603"/>
    <w:rsid w:val="00057231"/>
    <w:rsid w:val="000575CF"/>
    <w:rsid w:val="00061F73"/>
    <w:rsid w:val="0006451F"/>
    <w:rsid w:val="000658AB"/>
    <w:rsid w:val="00067143"/>
    <w:rsid w:val="0007175B"/>
    <w:rsid w:val="00071839"/>
    <w:rsid w:val="00072A96"/>
    <w:rsid w:val="0008030F"/>
    <w:rsid w:val="00081D3A"/>
    <w:rsid w:val="00083792"/>
    <w:rsid w:val="000873E3"/>
    <w:rsid w:val="000910A9"/>
    <w:rsid w:val="000914D2"/>
    <w:rsid w:val="00092288"/>
    <w:rsid w:val="00092B4F"/>
    <w:rsid w:val="00094F74"/>
    <w:rsid w:val="000A25F3"/>
    <w:rsid w:val="000A3D40"/>
    <w:rsid w:val="000A7930"/>
    <w:rsid w:val="000B0330"/>
    <w:rsid w:val="000D1FF0"/>
    <w:rsid w:val="000D20B3"/>
    <w:rsid w:val="000D6346"/>
    <w:rsid w:val="000E0132"/>
    <w:rsid w:val="000E20EB"/>
    <w:rsid w:val="000E3592"/>
    <w:rsid w:val="000E4135"/>
    <w:rsid w:val="000F0843"/>
    <w:rsid w:val="000F1AAC"/>
    <w:rsid w:val="000F5BE1"/>
    <w:rsid w:val="001039CF"/>
    <w:rsid w:val="00107767"/>
    <w:rsid w:val="0011258F"/>
    <w:rsid w:val="00117032"/>
    <w:rsid w:val="00121256"/>
    <w:rsid w:val="001235DB"/>
    <w:rsid w:val="00127FA6"/>
    <w:rsid w:val="001330FF"/>
    <w:rsid w:val="0013737C"/>
    <w:rsid w:val="001407E9"/>
    <w:rsid w:val="00141A20"/>
    <w:rsid w:val="00145C8C"/>
    <w:rsid w:val="00152F87"/>
    <w:rsid w:val="00154C9C"/>
    <w:rsid w:val="00156E27"/>
    <w:rsid w:val="0016106E"/>
    <w:rsid w:val="00163DFC"/>
    <w:rsid w:val="001655A8"/>
    <w:rsid w:val="00174DD1"/>
    <w:rsid w:val="00174F5A"/>
    <w:rsid w:val="001754FB"/>
    <w:rsid w:val="00183A19"/>
    <w:rsid w:val="00190C90"/>
    <w:rsid w:val="00190D9F"/>
    <w:rsid w:val="001A30A4"/>
    <w:rsid w:val="001A4B5F"/>
    <w:rsid w:val="001A6478"/>
    <w:rsid w:val="001B077C"/>
    <w:rsid w:val="001B25B3"/>
    <w:rsid w:val="001B303E"/>
    <w:rsid w:val="001B41CB"/>
    <w:rsid w:val="001B5957"/>
    <w:rsid w:val="001B5A2F"/>
    <w:rsid w:val="001B62D4"/>
    <w:rsid w:val="001B688F"/>
    <w:rsid w:val="001B6EFB"/>
    <w:rsid w:val="001C0797"/>
    <w:rsid w:val="001C2142"/>
    <w:rsid w:val="001C6026"/>
    <w:rsid w:val="001D2051"/>
    <w:rsid w:val="001D46AE"/>
    <w:rsid w:val="001D4982"/>
    <w:rsid w:val="001E257C"/>
    <w:rsid w:val="001E37FE"/>
    <w:rsid w:val="001E5096"/>
    <w:rsid w:val="001E5DF4"/>
    <w:rsid w:val="001E64B2"/>
    <w:rsid w:val="001F10CB"/>
    <w:rsid w:val="001F1672"/>
    <w:rsid w:val="001F4FFE"/>
    <w:rsid w:val="001F7E8E"/>
    <w:rsid w:val="00201BD8"/>
    <w:rsid w:val="002029EB"/>
    <w:rsid w:val="00212EE5"/>
    <w:rsid w:val="00213489"/>
    <w:rsid w:val="00216161"/>
    <w:rsid w:val="00225D6C"/>
    <w:rsid w:val="00230D85"/>
    <w:rsid w:val="00236BC7"/>
    <w:rsid w:val="00242F15"/>
    <w:rsid w:val="0024530B"/>
    <w:rsid w:val="00254E9A"/>
    <w:rsid w:val="00264504"/>
    <w:rsid w:val="00264760"/>
    <w:rsid w:val="00264DA6"/>
    <w:rsid w:val="00264FB4"/>
    <w:rsid w:val="002662A9"/>
    <w:rsid w:val="00280A7F"/>
    <w:rsid w:val="00281FEF"/>
    <w:rsid w:val="00283152"/>
    <w:rsid w:val="0028736E"/>
    <w:rsid w:val="00295870"/>
    <w:rsid w:val="002A1598"/>
    <w:rsid w:val="002A2EE0"/>
    <w:rsid w:val="002A320F"/>
    <w:rsid w:val="002A5F02"/>
    <w:rsid w:val="002B0542"/>
    <w:rsid w:val="002B3850"/>
    <w:rsid w:val="002B3BC2"/>
    <w:rsid w:val="002B4822"/>
    <w:rsid w:val="002B7263"/>
    <w:rsid w:val="002B7D81"/>
    <w:rsid w:val="002C0B04"/>
    <w:rsid w:val="002C5F6F"/>
    <w:rsid w:val="002D072A"/>
    <w:rsid w:val="002D23B2"/>
    <w:rsid w:val="002D2FB3"/>
    <w:rsid w:val="002E4663"/>
    <w:rsid w:val="002E6CDD"/>
    <w:rsid w:val="002F0D73"/>
    <w:rsid w:val="002F2F30"/>
    <w:rsid w:val="002F54E3"/>
    <w:rsid w:val="00300460"/>
    <w:rsid w:val="00306EF1"/>
    <w:rsid w:val="00314269"/>
    <w:rsid w:val="00314A91"/>
    <w:rsid w:val="00315139"/>
    <w:rsid w:val="003174E1"/>
    <w:rsid w:val="003251E8"/>
    <w:rsid w:val="00334026"/>
    <w:rsid w:val="0034453C"/>
    <w:rsid w:val="00345C4D"/>
    <w:rsid w:val="0034632B"/>
    <w:rsid w:val="00346341"/>
    <w:rsid w:val="003535D2"/>
    <w:rsid w:val="00354320"/>
    <w:rsid w:val="0035464F"/>
    <w:rsid w:val="00365BFC"/>
    <w:rsid w:val="00366627"/>
    <w:rsid w:val="003860CE"/>
    <w:rsid w:val="00390009"/>
    <w:rsid w:val="00392DD1"/>
    <w:rsid w:val="00394C12"/>
    <w:rsid w:val="00396B64"/>
    <w:rsid w:val="003979F6"/>
    <w:rsid w:val="003A7A54"/>
    <w:rsid w:val="003B2329"/>
    <w:rsid w:val="003B3BF3"/>
    <w:rsid w:val="003B4BB2"/>
    <w:rsid w:val="003C093F"/>
    <w:rsid w:val="003C564D"/>
    <w:rsid w:val="003D4534"/>
    <w:rsid w:val="003D556B"/>
    <w:rsid w:val="003F1BCF"/>
    <w:rsid w:val="003F4D29"/>
    <w:rsid w:val="003F4EEE"/>
    <w:rsid w:val="0040659B"/>
    <w:rsid w:val="00407A3C"/>
    <w:rsid w:val="0041630D"/>
    <w:rsid w:val="00423509"/>
    <w:rsid w:val="00424DE9"/>
    <w:rsid w:val="00425D91"/>
    <w:rsid w:val="00426609"/>
    <w:rsid w:val="004272AE"/>
    <w:rsid w:val="00431058"/>
    <w:rsid w:val="004370F8"/>
    <w:rsid w:val="00437E22"/>
    <w:rsid w:val="0044251A"/>
    <w:rsid w:val="00443A7C"/>
    <w:rsid w:val="004452A7"/>
    <w:rsid w:val="00446FB3"/>
    <w:rsid w:val="0045183F"/>
    <w:rsid w:val="00451CEE"/>
    <w:rsid w:val="004547BA"/>
    <w:rsid w:val="0047021D"/>
    <w:rsid w:val="0047111D"/>
    <w:rsid w:val="0047422E"/>
    <w:rsid w:val="00480F46"/>
    <w:rsid w:val="00484543"/>
    <w:rsid w:val="004856EE"/>
    <w:rsid w:val="0049344F"/>
    <w:rsid w:val="00495112"/>
    <w:rsid w:val="00495CDF"/>
    <w:rsid w:val="00495E10"/>
    <w:rsid w:val="00496837"/>
    <w:rsid w:val="004A0D2B"/>
    <w:rsid w:val="004A1AA2"/>
    <w:rsid w:val="004A34A6"/>
    <w:rsid w:val="004B4B20"/>
    <w:rsid w:val="004B6291"/>
    <w:rsid w:val="004B67E8"/>
    <w:rsid w:val="004C0F3E"/>
    <w:rsid w:val="004C143E"/>
    <w:rsid w:val="004C328B"/>
    <w:rsid w:val="004D0095"/>
    <w:rsid w:val="004D1ECF"/>
    <w:rsid w:val="004E1217"/>
    <w:rsid w:val="004F0EBC"/>
    <w:rsid w:val="004F2A9B"/>
    <w:rsid w:val="004F6707"/>
    <w:rsid w:val="00504C4B"/>
    <w:rsid w:val="00505664"/>
    <w:rsid w:val="00512659"/>
    <w:rsid w:val="00512A77"/>
    <w:rsid w:val="00517D1C"/>
    <w:rsid w:val="005228DA"/>
    <w:rsid w:val="00526949"/>
    <w:rsid w:val="00526DCA"/>
    <w:rsid w:val="0053548D"/>
    <w:rsid w:val="0053675E"/>
    <w:rsid w:val="00543BAE"/>
    <w:rsid w:val="00547C6C"/>
    <w:rsid w:val="00557669"/>
    <w:rsid w:val="00562CDD"/>
    <w:rsid w:val="005651F0"/>
    <w:rsid w:val="00566B5E"/>
    <w:rsid w:val="00570E45"/>
    <w:rsid w:val="00573E90"/>
    <w:rsid w:val="00580004"/>
    <w:rsid w:val="00583011"/>
    <w:rsid w:val="0059099F"/>
    <w:rsid w:val="005942F6"/>
    <w:rsid w:val="00596A26"/>
    <w:rsid w:val="005B4460"/>
    <w:rsid w:val="005B47CC"/>
    <w:rsid w:val="005B75EC"/>
    <w:rsid w:val="005C42D3"/>
    <w:rsid w:val="005C481A"/>
    <w:rsid w:val="005C4F2A"/>
    <w:rsid w:val="005D79C6"/>
    <w:rsid w:val="005F0616"/>
    <w:rsid w:val="005F071F"/>
    <w:rsid w:val="005F1653"/>
    <w:rsid w:val="005F2FBD"/>
    <w:rsid w:val="005F4D57"/>
    <w:rsid w:val="006024B7"/>
    <w:rsid w:val="00616C0C"/>
    <w:rsid w:val="006203B7"/>
    <w:rsid w:val="00620F74"/>
    <w:rsid w:val="00622870"/>
    <w:rsid w:val="00627B81"/>
    <w:rsid w:val="00630DAD"/>
    <w:rsid w:val="00631935"/>
    <w:rsid w:val="0063342C"/>
    <w:rsid w:val="00635850"/>
    <w:rsid w:val="00637310"/>
    <w:rsid w:val="0064619D"/>
    <w:rsid w:val="00647310"/>
    <w:rsid w:val="00656329"/>
    <w:rsid w:val="0066108A"/>
    <w:rsid w:val="00662F86"/>
    <w:rsid w:val="00671DBD"/>
    <w:rsid w:val="00675BAC"/>
    <w:rsid w:val="00675BC5"/>
    <w:rsid w:val="006772AE"/>
    <w:rsid w:val="006B28E4"/>
    <w:rsid w:val="006B6BDC"/>
    <w:rsid w:val="006B775F"/>
    <w:rsid w:val="006B7AFC"/>
    <w:rsid w:val="006C0538"/>
    <w:rsid w:val="006C7C1C"/>
    <w:rsid w:val="006D2302"/>
    <w:rsid w:val="006D38E8"/>
    <w:rsid w:val="006D57E2"/>
    <w:rsid w:val="006E0155"/>
    <w:rsid w:val="006E07C1"/>
    <w:rsid w:val="006E224B"/>
    <w:rsid w:val="006E68A7"/>
    <w:rsid w:val="006F718E"/>
    <w:rsid w:val="00702049"/>
    <w:rsid w:val="00702627"/>
    <w:rsid w:val="00711776"/>
    <w:rsid w:val="00711DBF"/>
    <w:rsid w:val="00712B2F"/>
    <w:rsid w:val="00716523"/>
    <w:rsid w:val="0071731E"/>
    <w:rsid w:val="00717FE5"/>
    <w:rsid w:val="00722081"/>
    <w:rsid w:val="00722420"/>
    <w:rsid w:val="00725CB3"/>
    <w:rsid w:val="007333B1"/>
    <w:rsid w:val="00735094"/>
    <w:rsid w:val="00745C89"/>
    <w:rsid w:val="00747BD9"/>
    <w:rsid w:val="007511F6"/>
    <w:rsid w:val="007536C1"/>
    <w:rsid w:val="00754187"/>
    <w:rsid w:val="007554DB"/>
    <w:rsid w:val="00755973"/>
    <w:rsid w:val="00755F62"/>
    <w:rsid w:val="00756993"/>
    <w:rsid w:val="00765785"/>
    <w:rsid w:val="00766227"/>
    <w:rsid w:val="007671A1"/>
    <w:rsid w:val="007764B1"/>
    <w:rsid w:val="007766AB"/>
    <w:rsid w:val="00786F60"/>
    <w:rsid w:val="00790C9C"/>
    <w:rsid w:val="007B3C80"/>
    <w:rsid w:val="007C06B9"/>
    <w:rsid w:val="007C0838"/>
    <w:rsid w:val="007C7525"/>
    <w:rsid w:val="007D33EC"/>
    <w:rsid w:val="007D53D8"/>
    <w:rsid w:val="007D59F5"/>
    <w:rsid w:val="007E1601"/>
    <w:rsid w:val="007F1CC3"/>
    <w:rsid w:val="007F3744"/>
    <w:rsid w:val="007F5D3D"/>
    <w:rsid w:val="007F6FF8"/>
    <w:rsid w:val="007F72A1"/>
    <w:rsid w:val="008009A4"/>
    <w:rsid w:val="00805B61"/>
    <w:rsid w:val="00805FDF"/>
    <w:rsid w:val="00806215"/>
    <w:rsid w:val="00807247"/>
    <w:rsid w:val="00811E35"/>
    <w:rsid w:val="00812DF2"/>
    <w:rsid w:val="0081569F"/>
    <w:rsid w:val="00822A4A"/>
    <w:rsid w:val="00823266"/>
    <w:rsid w:val="0082656F"/>
    <w:rsid w:val="0082680B"/>
    <w:rsid w:val="00832D93"/>
    <w:rsid w:val="00843F8A"/>
    <w:rsid w:val="00845F15"/>
    <w:rsid w:val="00847A1E"/>
    <w:rsid w:val="0085330D"/>
    <w:rsid w:val="008632B7"/>
    <w:rsid w:val="008638D6"/>
    <w:rsid w:val="00865804"/>
    <w:rsid w:val="00872130"/>
    <w:rsid w:val="008747FA"/>
    <w:rsid w:val="0087490E"/>
    <w:rsid w:val="00880245"/>
    <w:rsid w:val="00880BE8"/>
    <w:rsid w:val="008814AA"/>
    <w:rsid w:val="00884084"/>
    <w:rsid w:val="008857F7"/>
    <w:rsid w:val="0089406D"/>
    <w:rsid w:val="008A0BA1"/>
    <w:rsid w:val="008B5AE8"/>
    <w:rsid w:val="008B73C0"/>
    <w:rsid w:val="008C561E"/>
    <w:rsid w:val="008D0197"/>
    <w:rsid w:val="008D144F"/>
    <w:rsid w:val="008D1B7D"/>
    <w:rsid w:val="008D39F9"/>
    <w:rsid w:val="008D6E4C"/>
    <w:rsid w:val="008E1988"/>
    <w:rsid w:val="008E3438"/>
    <w:rsid w:val="008E4F76"/>
    <w:rsid w:val="008F0060"/>
    <w:rsid w:val="008F343D"/>
    <w:rsid w:val="008F406A"/>
    <w:rsid w:val="008F6691"/>
    <w:rsid w:val="008F7D95"/>
    <w:rsid w:val="00900C19"/>
    <w:rsid w:val="00902E9D"/>
    <w:rsid w:val="009048D2"/>
    <w:rsid w:val="00905612"/>
    <w:rsid w:val="00905DA3"/>
    <w:rsid w:val="009102A9"/>
    <w:rsid w:val="00910FC6"/>
    <w:rsid w:val="00912181"/>
    <w:rsid w:val="00913C55"/>
    <w:rsid w:val="00914F2D"/>
    <w:rsid w:val="0091556E"/>
    <w:rsid w:val="00924B04"/>
    <w:rsid w:val="00933570"/>
    <w:rsid w:val="00934490"/>
    <w:rsid w:val="00935E4F"/>
    <w:rsid w:val="00940887"/>
    <w:rsid w:val="00940F57"/>
    <w:rsid w:val="00943393"/>
    <w:rsid w:val="00945978"/>
    <w:rsid w:val="00952A63"/>
    <w:rsid w:val="009554A7"/>
    <w:rsid w:val="009605E0"/>
    <w:rsid w:val="009608A3"/>
    <w:rsid w:val="009628B2"/>
    <w:rsid w:val="00965628"/>
    <w:rsid w:val="00973632"/>
    <w:rsid w:val="00981A32"/>
    <w:rsid w:val="00984190"/>
    <w:rsid w:val="00997194"/>
    <w:rsid w:val="009A3F07"/>
    <w:rsid w:val="009A5E82"/>
    <w:rsid w:val="009B1ACE"/>
    <w:rsid w:val="009B4B6D"/>
    <w:rsid w:val="009B6AC7"/>
    <w:rsid w:val="009D2132"/>
    <w:rsid w:val="009D5610"/>
    <w:rsid w:val="009E0618"/>
    <w:rsid w:val="009E11D9"/>
    <w:rsid w:val="009E7329"/>
    <w:rsid w:val="00A12FE5"/>
    <w:rsid w:val="00A14CFA"/>
    <w:rsid w:val="00A151AF"/>
    <w:rsid w:val="00A17A2F"/>
    <w:rsid w:val="00A252D4"/>
    <w:rsid w:val="00A27AC0"/>
    <w:rsid w:val="00A313A4"/>
    <w:rsid w:val="00A3260C"/>
    <w:rsid w:val="00A332B6"/>
    <w:rsid w:val="00A33B89"/>
    <w:rsid w:val="00A3556F"/>
    <w:rsid w:val="00A3613D"/>
    <w:rsid w:val="00A36C06"/>
    <w:rsid w:val="00A415F6"/>
    <w:rsid w:val="00A41DB2"/>
    <w:rsid w:val="00A43F46"/>
    <w:rsid w:val="00A44F9B"/>
    <w:rsid w:val="00A4530B"/>
    <w:rsid w:val="00A46360"/>
    <w:rsid w:val="00A5100A"/>
    <w:rsid w:val="00A52356"/>
    <w:rsid w:val="00A572C2"/>
    <w:rsid w:val="00A60458"/>
    <w:rsid w:val="00A610F8"/>
    <w:rsid w:val="00A64913"/>
    <w:rsid w:val="00A65138"/>
    <w:rsid w:val="00A652B9"/>
    <w:rsid w:val="00A73546"/>
    <w:rsid w:val="00A7551F"/>
    <w:rsid w:val="00A83B2F"/>
    <w:rsid w:val="00A915D3"/>
    <w:rsid w:val="00A92156"/>
    <w:rsid w:val="00A96986"/>
    <w:rsid w:val="00AA057B"/>
    <w:rsid w:val="00AA22DB"/>
    <w:rsid w:val="00AA391D"/>
    <w:rsid w:val="00AA499B"/>
    <w:rsid w:val="00AA5409"/>
    <w:rsid w:val="00AA7F8C"/>
    <w:rsid w:val="00AB0577"/>
    <w:rsid w:val="00AB2770"/>
    <w:rsid w:val="00AB3B99"/>
    <w:rsid w:val="00AB4307"/>
    <w:rsid w:val="00AB5037"/>
    <w:rsid w:val="00AB7BE9"/>
    <w:rsid w:val="00AC2D89"/>
    <w:rsid w:val="00AD42DB"/>
    <w:rsid w:val="00AD5109"/>
    <w:rsid w:val="00AE3F91"/>
    <w:rsid w:val="00AE7992"/>
    <w:rsid w:val="00B010C8"/>
    <w:rsid w:val="00B07D6C"/>
    <w:rsid w:val="00B1040B"/>
    <w:rsid w:val="00B12B8D"/>
    <w:rsid w:val="00B1347E"/>
    <w:rsid w:val="00B212E6"/>
    <w:rsid w:val="00B24715"/>
    <w:rsid w:val="00B32931"/>
    <w:rsid w:val="00B3711E"/>
    <w:rsid w:val="00B425F2"/>
    <w:rsid w:val="00B45703"/>
    <w:rsid w:val="00B54345"/>
    <w:rsid w:val="00B60803"/>
    <w:rsid w:val="00B624BD"/>
    <w:rsid w:val="00B700F1"/>
    <w:rsid w:val="00B73E28"/>
    <w:rsid w:val="00B741BF"/>
    <w:rsid w:val="00B767D7"/>
    <w:rsid w:val="00B777D2"/>
    <w:rsid w:val="00B84BE3"/>
    <w:rsid w:val="00B85B1A"/>
    <w:rsid w:val="00B85B8B"/>
    <w:rsid w:val="00B90629"/>
    <w:rsid w:val="00B94B7E"/>
    <w:rsid w:val="00B953F5"/>
    <w:rsid w:val="00B95D95"/>
    <w:rsid w:val="00BA1784"/>
    <w:rsid w:val="00BA45D1"/>
    <w:rsid w:val="00BA786C"/>
    <w:rsid w:val="00BB1076"/>
    <w:rsid w:val="00BB2AB3"/>
    <w:rsid w:val="00BB4949"/>
    <w:rsid w:val="00BC366E"/>
    <w:rsid w:val="00BC3758"/>
    <w:rsid w:val="00BC63E3"/>
    <w:rsid w:val="00BC6767"/>
    <w:rsid w:val="00BD1548"/>
    <w:rsid w:val="00BD4F88"/>
    <w:rsid w:val="00BD71C9"/>
    <w:rsid w:val="00BF0622"/>
    <w:rsid w:val="00BF3051"/>
    <w:rsid w:val="00BF3B8B"/>
    <w:rsid w:val="00C005C0"/>
    <w:rsid w:val="00C0325B"/>
    <w:rsid w:val="00C045B4"/>
    <w:rsid w:val="00C1262F"/>
    <w:rsid w:val="00C14702"/>
    <w:rsid w:val="00C14E1B"/>
    <w:rsid w:val="00C15782"/>
    <w:rsid w:val="00C1797B"/>
    <w:rsid w:val="00C20752"/>
    <w:rsid w:val="00C27842"/>
    <w:rsid w:val="00C30991"/>
    <w:rsid w:val="00C32AD2"/>
    <w:rsid w:val="00C34566"/>
    <w:rsid w:val="00C34863"/>
    <w:rsid w:val="00C35048"/>
    <w:rsid w:val="00C404B7"/>
    <w:rsid w:val="00C420A5"/>
    <w:rsid w:val="00C468FC"/>
    <w:rsid w:val="00C502A4"/>
    <w:rsid w:val="00C53825"/>
    <w:rsid w:val="00C578F7"/>
    <w:rsid w:val="00C63327"/>
    <w:rsid w:val="00C646DC"/>
    <w:rsid w:val="00C71F24"/>
    <w:rsid w:val="00C7539D"/>
    <w:rsid w:val="00C77681"/>
    <w:rsid w:val="00C80BBC"/>
    <w:rsid w:val="00C811AA"/>
    <w:rsid w:val="00C87768"/>
    <w:rsid w:val="00C95715"/>
    <w:rsid w:val="00C96773"/>
    <w:rsid w:val="00CA0A06"/>
    <w:rsid w:val="00CA606C"/>
    <w:rsid w:val="00CB388F"/>
    <w:rsid w:val="00CB3A7B"/>
    <w:rsid w:val="00CB5797"/>
    <w:rsid w:val="00CB6964"/>
    <w:rsid w:val="00CC330A"/>
    <w:rsid w:val="00CE5D86"/>
    <w:rsid w:val="00CE7FF5"/>
    <w:rsid w:val="00CF077C"/>
    <w:rsid w:val="00CF3680"/>
    <w:rsid w:val="00CF4E46"/>
    <w:rsid w:val="00D0584D"/>
    <w:rsid w:val="00D108A2"/>
    <w:rsid w:val="00D117DB"/>
    <w:rsid w:val="00D12343"/>
    <w:rsid w:val="00D20C61"/>
    <w:rsid w:val="00D23594"/>
    <w:rsid w:val="00D23F00"/>
    <w:rsid w:val="00D37A4B"/>
    <w:rsid w:val="00D448FA"/>
    <w:rsid w:val="00D6092B"/>
    <w:rsid w:val="00D6158F"/>
    <w:rsid w:val="00D63963"/>
    <w:rsid w:val="00D6502A"/>
    <w:rsid w:val="00D722CC"/>
    <w:rsid w:val="00D74F32"/>
    <w:rsid w:val="00D833FF"/>
    <w:rsid w:val="00D84AC3"/>
    <w:rsid w:val="00D95C4D"/>
    <w:rsid w:val="00DA79AA"/>
    <w:rsid w:val="00DB0164"/>
    <w:rsid w:val="00DB4979"/>
    <w:rsid w:val="00DB4B9A"/>
    <w:rsid w:val="00DC1E8F"/>
    <w:rsid w:val="00DC5DF7"/>
    <w:rsid w:val="00DC60CF"/>
    <w:rsid w:val="00DC6414"/>
    <w:rsid w:val="00DD79AA"/>
    <w:rsid w:val="00DE349D"/>
    <w:rsid w:val="00DE4660"/>
    <w:rsid w:val="00DE5F2D"/>
    <w:rsid w:val="00E00FAE"/>
    <w:rsid w:val="00E02FCC"/>
    <w:rsid w:val="00E0511B"/>
    <w:rsid w:val="00E07C2A"/>
    <w:rsid w:val="00E15424"/>
    <w:rsid w:val="00E15ACB"/>
    <w:rsid w:val="00E16078"/>
    <w:rsid w:val="00E20564"/>
    <w:rsid w:val="00E2665D"/>
    <w:rsid w:val="00E27A14"/>
    <w:rsid w:val="00E3266A"/>
    <w:rsid w:val="00E34B20"/>
    <w:rsid w:val="00E3731D"/>
    <w:rsid w:val="00E374F4"/>
    <w:rsid w:val="00E40EA4"/>
    <w:rsid w:val="00E41D1D"/>
    <w:rsid w:val="00E44590"/>
    <w:rsid w:val="00E45A86"/>
    <w:rsid w:val="00E45B9D"/>
    <w:rsid w:val="00E51784"/>
    <w:rsid w:val="00E51BE0"/>
    <w:rsid w:val="00E52BC0"/>
    <w:rsid w:val="00E5618E"/>
    <w:rsid w:val="00E56416"/>
    <w:rsid w:val="00E6055B"/>
    <w:rsid w:val="00E61213"/>
    <w:rsid w:val="00E629B2"/>
    <w:rsid w:val="00E62DB3"/>
    <w:rsid w:val="00E70CD3"/>
    <w:rsid w:val="00E72CF2"/>
    <w:rsid w:val="00E74853"/>
    <w:rsid w:val="00E91A4B"/>
    <w:rsid w:val="00EA29AC"/>
    <w:rsid w:val="00EA57EF"/>
    <w:rsid w:val="00EB0CB9"/>
    <w:rsid w:val="00EB0F68"/>
    <w:rsid w:val="00EB1525"/>
    <w:rsid w:val="00EB2B47"/>
    <w:rsid w:val="00EB4167"/>
    <w:rsid w:val="00EB485E"/>
    <w:rsid w:val="00EB5160"/>
    <w:rsid w:val="00EB6471"/>
    <w:rsid w:val="00EC0720"/>
    <w:rsid w:val="00EC1A2B"/>
    <w:rsid w:val="00ED33E4"/>
    <w:rsid w:val="00EE23A0"/>
    <w:rsid w:val="00EE40E9"/>
    <w:rsid w:val="00EF7903"/>
    <w:rsid w:val="00F02B90"/>
    <w:rsid w:val="00F1046A"/>
    <w:rsid w:val="00F12A85"/>
    <w:rsid w:val="00F12F5A"/>
    <w:rsid w:val="00F1512D"/>
    <w:rsid w:val="00F16976"/>
    <w:rsid w:val="00F24583"/>
    <w:rsid w:val="00F330DB"/>
    <w:rsid w:val="00F34BE3"/>
    <w:rsid w:val="00F3529D"/>
    <w:rsid w:val="00F35FD8"/>
    <w:rsid w:val="00F4137B"/>
    <w:rsid w:val="00F42E61"/>
    <w:rsid w:val="00F46527"/>
    <w:rsid w:val="00F67449"/>
    <w:rsid w:val="00F7139A"/>
    <w:rsid w:val="00F71816"/>
    <w:rsid w:val="00F77BBD"/>
    <w:rsid w:val="00F81893"/>
    <w:rsid w:val="00F94C01"/>
    <w:rsid w:val="00F95F09"/>
    <w:rsid w:val="00FA0726"/>
    <w:rsid w:val="00FA1A59"/>
    <w:rsid w:val="00FA30B7"/>
    <w:rsid w:val="00FA3923"/>
    <w:rsid w:val="00FA3C88"/>
    <w:rsid w:val="00FA756C"/>
    <w:rsid w:val="00FA7DED"/>
    <w:rsid w:val="00FB5CD4"/>
    <w:rsid w:val="00FC5240"/>
    <w:rsid w:val="00FC66BF"/>
    <w:rsid w:val="00FD24A8"/>
    <w:rsid w:val="00FD3E44"/>
    <w:rsid w:val="00FD6379"/>
    <w:rsid w:val="00FD6D76"/>
    <w:rsid w:val="00FD73EB"/>
    <w:rsid w:val="00FE0FD2"/>
    <w:rsid w:val="00FE1685"/>
    <w:rsid w:val="00FE75C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9F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DF4"/>
    <w:pPr>
      <w:spacing w:line="480" w:lineRule="auto"/>
      <w:jc w:val="both"/>
    </w:pPr>
    <w:rPr>
      <w:rFonts w:ascii="Times New Roman" w:hAnsi="Times New Roman"/>
    </w:rPr>
  </w:style>
  <w:style w:type="paragraph" w:styleId="Heading1">
    <w:name w:val="heading 1"/>
    <w:basedOn w:val="Normal"/>
    <w:next w:val="Normal"/>
    <w:link w:val="Heading1Char"/>
    <w:autoRedefine/>
    <w:uiPriority w:val="9"/>
    <w:qFormat/>
    <w:rsid w:val="00BB4949"/>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BB494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949"/>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BB4949"/>
    <w:rPr>
      <w:rFonts w:ascii="Times New Roman" w:eastAsiaTheme="majorEastAsia" w:hAnsi="Times New Roman" w:cstheme="majorBidi"/>
      <w:color w:val="000000" w:themeColor="text1"/>
      <w:sz w:val="32"/>
      <w:szCs w:val="32"/>
    </w:rPr>
  </w:style>
  <w:style w:type="paragraph" w:styleId="FootnoteText">
    <w:name w:val="footnote text"/>
    <w:basedOn w:val="Normal"/>
    <w:link w:val="FootnoteTextChar"/>
    <w:uiPriority w:val="99"/>
    <w:unhideWhenUsed/>
    <w:rsid w:val="001E5DF4"/>
    <w:pPr>
      <w:spacing w:line="240" w:lineRule="auto"/>
    </w:pPr>
  </w:style>
  <w:style w:type="character" w:customStyle="1" w:styleId="FootnoteTextChar">
    <w:name w:val="Footnote Text Char"/>
    <w:basedOn w:val="DefaultParagraphFont"/>
    <w:link w:val="FootnoteText"/>
    <w:uiPriority w:val="99"/>
    <w:rsid w:val="001E5DF4"/>
    <w:rPr>
      <w:rFonts w:ascii="Times New Roman" w:hAnsi="Times New Roman"/>
    </w:rPr>
  </w:style>
  <w:style w:type="character" w:styleId="FootnoteReference">
    <w:name w:val="footnote reference"/>
    <w:basedOn w:val="DefaultParagraphFont"/>
    <w:uiPriority w:val="99"/>
    <w:unhideWhenUsed/>
    <w:rsid w:val="001E5DF4"/>
    <w:rPr>
      <w:vertAlign w:val="superscript"/>
    </w:rPr>
  </w:style>
  <w:style w:type="character" w:styleId="CommentReference">
    <w:name w:val="annotation reference"/>
    <w:basedOn w:val="DefaultParagraphFont"/>
    <w:uiPriority w:val="99"/>
    <w:semiHidden/>
    <w:unhideWhenUsed/>
    <w:rsid w:val="001E5DF4"/>
    <w:rPr>
      <w:sz w:val="18"/>
      <w:szCs w:val="18"/>
    </w:rPr>
  </w:style>
  <w:style w:type="paragraph" w:styleId="CommentText">
    <w:name w:val="annotation text"/>
    <w:basedOn w:val="Normal"/>
    <w:link w:val="CommentTextChar"/>
    <w:uiPriority w:val="99"/>
    <w:unhideWhenUsed/>
    <w:rsid w:val="001E5DF4"/>
    <w:pPr>
      <w:spacing w:line="240" w:lineRule="auto"/>
    </w:pPr>
  </w:style>
  <w:style w:type="character" w:customStyle="1" w:styleId="CommentTextChar">
    <w:name w:val="Comment Text Char"/>
    <w:basedOn w:val="DefaultParagraphFont"/>
    <w:link w:val="CommentText"/>
    <w:uiPriority w:val="99"/>
    <w:rsid w:val="001E5DF4"/>
    <w:rPr>
      <w:rFonts w:ascii="Times New Roman" w:hAnsi="Times New Roman"/>
    </w:rPr>
  </w:style>
  <w:style w:type="paragraph" w:styleId="Footer">
    <w:name w:val="footer"/>
    <w:basedOn w:val="Normal"/>
    <w:link w:val="FooterChar"/>
    <w:uiPriority w:val="99"/>
    <w:unhideWhenUsed/>
    <w:rsid w:val="001E5DF4"/>
    <w:pPr>
      <w:tabs>
        <w:tab w:val="center" w:pos="4513"/>
        <w:tab w:val="right" w:pos="9026"/>
      </w:tabs>
      <w:spacing w:line="240" w:lineRule="auto"/>
    </w:pPr>
  </w:style>
  <w:style w:type="character" w:customStyle="1" w:styleId="FooterChar">
    <w:name w:val="Footer Char"/>
    <w:basedOn w:val="DefaultParagraphFont"/>
    <w:link w:val="Footer"/>
    <w:uiPriority w:val="99"/>
    <w:rsid w:val="001E5DF4"/>
    <w:rPr>
      <w:rFonts w:ascii="Times New Roman" w:hAnsi="Times New Roman"/>
    </w:rPr>
  </w:style>
  <w:style w:type="character" w:styleId="PageNumber">
    <w:name w:val="page number"/>
    <w:basedOn w:val="DefaultParagraphFont"/>
    <w:uiPriority w:val="99"/>
    <w:semiHidden/>
    <w:unhideWhenUsed/>
    <w:rsid w:val="001E5DF4"/>
  </w:style>
  <w:style w:type="character" w:styleId="Hyperlink">
    <w:name w:val="Hyperlink"/>
    <w:basedOn w:val="DefaultParagraphFont"/>
    <w:uiPriority w:val="99"/>
    <w:unhideWhenUsed/>
    <w:rsid w:val="001E5DF4"/>
    <w:rPr>
      <w:color w:val="0000FF"/>
      <w:u w:val="single"/>
    </w:rPr>
  </w:style>
  <w:style w:type="paragraph" w:styleId="BalloonText">
    <w:name w:val="Balloon Text"/>
    <w:basedOn w:val="Normal"/>
    <w:link w:val="BalloonTextChar"/>
    <w:uiPriority w:val="99"/>
    <w:semiHidden/>
    <w:unhideWhenUsed/>
    <w:rsid w:val="001E5DF4"/>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1E5DF4"/>
    <w:rPr>
      <w:rFonts w:ascii="Times New Roman" w:hAnsi="Times New Roman" w:cs="Times New Roman"/>
      <w:sz w:val="18"/>
      <w:szCs w:val="18"/>
    </w:rPr>
  </w:style>
  <w:style w:type="paragraph" w:styleId="NoSpacing">
    <w:name w:val="No Spacing"/>
    <w:uiPriority w:val="1"/>
    <w:qFormat/>
    <w:rsid w:val="00C63327"/>
    <w:pPr>
      <w:jc w:val="both"/>
    </w:pPr>
    <w:rPr>
      <w:rFonts w:ascii="Times New Roman" w:eastAsia="Calibri" w:hAnsi="Times New Roman" w:cs="Calibri"/>
      <w:szCs w:val="22"/>
    </w:rPr>
  </w:style>
  <w:style w:type="paragraph" w:styleId="CommentSubject">
    <w:name w:val="annotation subject"/>
    <w:basedOn w:val="CommentText"/>
    <w:next w:val="CommentText"/>
    <w:link w:val="CommentSubjectChar"/>
    <w:uiPriority w:val="99"/>
    <w:semiHidden/>
    <w:unhideWhenUsed/>
    <w:rsid w:val="000544E5"/>
    <w:rPr>
      <w:b/>
      <w:bCs/>
      <w:sz w:val="20"/>
      <w:szCs w:val="20"/>
    </w:rPr>
  </w:style>
  <w:style w:type="character" w:customStyle="1" w:styleId="CommentSubjectChar">
    <w:name w:val="Comment Subject Char"/>
    <w:basedOn w:val="CommentTextChar"/>
    <w:link w:val="CommentSubject"/>
    <w:uiPriority w:val="99"/>
    <w:semiHidden/>
    <w:rsid w:val="000544E5"/>
    <w:rPr>
      <w:rFonts w:ascii="Times New Roman" w:hAnsi="Times New Roman"/>
      <w:b/>
      <w:bCs/>
      <w:sz w:val="20"/>
      <w:szCs w:val="20"/>
    </w:rPr>
  </w:style>
  <w:style w:type="paragraph" w:styleId="EndnoteText">
    <w:name w:val="endnote text"/>
    <w:basedOn w:val="Normal"/>
    <w:link w:val="EndnoteTextChar"/>
    <w:uiPriority w:val="99"/>
    <w:unhideWhenUsed/>
    <w:rsid w:val="0041630D"/>
    <w:pPr>
      <w:spacing w:line="240" w:lineRule="auto"/>
    </w:pPr>
  </w:style>
  <w:style w:type="character" w:customStyle="1" w:styleId="EndnoteTextChar">
    <w:name w:val="Endnote Text Char"/>
    <w:basedOn w:val="DefaultParagraphFont"/>
    <w:link w:val="EndnoteText"/>
    <w:uiPriority w:val="99"/>
    <w:rsid w:val="0041630D"/>
    <w:rPr>
      <w:rFonts w:ascii="Times New Roman" w:hAnsi="Times New Roman"/>
    </w:rPr>
  </w:style>
  <w:style w:type="character" w:styleId="EndnoteReference">
    <w:name w:val="endnote reference"/>
    <w:basedOn w:val="DefaultParagraphFont"/>
    <w:uiPriority w:val="99"/>
    <w:semiHidden/>
    <w:unhideWhenUsed/>
    <w:rsid w:val="0041630D"/>
    <w:rPr>
      <w:vertAlign w:val="superscript"/>
    </w:rPr>
  </w:style>
  <w:style w:type="paragraph" w:styleId="ListParagraph">
    <w:name w:val="List Paragraph"/>
    <w:basedOn w:val="Normal"/>
    <w:uiPriority w:val="34"/>
    <w:qFormat/>
    <w:rsid w:val="00C8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8051">
      <w:bodyDiv w:val="1"/>
      <w:marLeft w:val="0"/>
      <w:marRight w:val="0"/>
      <w:marTop w:val="0"/>
      <w:marBottom w:val="0"/>
      <w:divBdr>
        <w:top w:val="none" w:sz="0" w:space="0" w:color="auto"/>
        <w:left w:val="none" w:sz="0" w:space="0" w:color="auto"/>
        <w:bottom w:val="none" w:sz="0" w:space="0" w:color="auto"/>
        <w:right w:val="none" w:sz="0" w:space="0" w:color="auto"/>
      </w:divBdr>
    </w:div>
    <w:div w:id="141972694">
      <w:bodyDiv w:val="1"/>
      <w:marLeft w:val="0"/>
      <w:marRight w:val="0"/>
      <w:marTop w:val="0"/>
      <w:marBottom w:val="0"/>
      <w:divBdr>
        <w:top w:val="none" w:sz="0" w:space="0" w:color="auto"/>
        <w:left w:val="none" w:sz="0" w:space="0" w:color="auto"/>
        <w:bottom w:val="none" w:sz="0" w:space="0" w:color="auto"/>
        <w:right w:val="none" w:sz="0" w:space="0" w:color="auto"/>
      </w:divBdr>
    </w:div>
    <w:div w:id="162286613">
      <w:bodyDiv w:val="1"/>
      <w:marLeft w:val="0"/>
      <w:marRight w:val="0"/>
      <w:marTop w:val="0"/>
      <w:marBottom w:val="0"/>
      <w:divBdr>
        <w:top w:val="none" w:sz="0" w:space="0" w:color="auto"/>
        <w:left w:val="none" w:sz="0" w:space="0" w:color="auto"/>
        <w:bottom w:val="none" w:sz="0" w:space="0" w:color="auto"/>
        <w:right w:val="none" w:sz="0" w:space="0" w:color="auto"/>
      </w:divBdr>
    </w:div>
    <w:div w:id="181668305">
      <w:bodyDiv w:val="1"/>
      <w:marLeft w:val="0"/>
      <w:marRight w:val="0"/>
      <w:marTop w:val="0"/>
      <w:marBottom w:val="0"/>
      <w:divBdr>
        <w:top w:val="none" w:sz="0" w:space="0" w:color="auto"/>
        <w:left w:val="none" w:sz="0" w:space="0" w:color="auto"/>
        <w:bottom w:val="none" w:sz="0" w:space="0" w:color="auto"/>
        <w:right w:val="none" w:sz="0" w:space="0" w:color="auto"/>
      </w:divBdr>
    </w:div>
    <w:div w:id="193540220">
      <w:bodyDiv w:val="1"/>
      <w:marLeft w:val="0"/>
      <w:marRight w:val="0"/>
      <w:marTop w:val="0"/>
      <w:marBottom w:val="0"/>
      <w:divBdr>
        <w:top w:val="none" w:sz="0" w:space="0" w:color="auto"/>
        <w:left w:val="none" w:sz="0" w:space="0" w:color="auto"/>
        <w:bottom w:val="none" w:sz="0" w:space="0" w:color="auto"/>
        <w:right w:val="none" w:sz="0" w:space="0" w:color="auto"/>
      </w:divBdr>
    </w:div>
    <w:div w:id="246304770">
      <w:bodyDiv w:val="1"/>
      <w:marLeft w:val="0"/>
      <w:marRight w:val="0"/>
      <w:marTop w:val="0"/>
      <w:marBottom w:val="0"/>
      <w:divBdr>
        <w:top w:val="none" w:sz="0" w:space="0" w:color="auto"/>
        <w:left w:val="none" w:sz="0" w:space="0" w:color="auto"/>
        <w:bottom w:val="none" w:sz="0" w:space="0" w:color="auto"/>
        <w:right w:val="none" w:sz="0" w:space="0" w:color="auto"/>
      </w:divBdr>
    </w:div>
    <w:div w:id="319313365">
      <w:bodyDiv w:val="1"/>
      <w:marLeft w:val="0"/>
      <w:marRight w:val="0"/>
      <w:marTop w:val="0"/>
      <w:marBottom w:val="0"/>
      <w:divBdr>
        <w:top w:val="none" w:sz="0" w:space="0" w:color="auto"/>
        <w:left w:val="none" w:sz="0" w:space="0" w:color="auto"/>
        <w:bottom w:val="none" w:sz="0" w:space="0" w:color="auto"/>
        <w:right w:val="none" w:sz="0" w:space="0" w:color="auto"/>
      </w:divBdr>
    </w:div>
    <w:div w:id="363142643">
      <w:bodyDiv w:val="1"/>
      <w:marLeft w:val="0"/>
      <w:marRight w:val="0"/>
      <w:marTop w:val="0"/>
      <w:marBottom w:val="0"/>
      <w:divBdr>
        <w:top w:val="none" w:sz="0" w:space="0" w:color="auto"/>
        <w:left w:val="none" w:sz="0" w:space="0" w:color="auto"/>
        <w:bottom w:val="none" w:sz="0" w:space="0" w:color="auto"/>
        <w:right w:val="none" w:sz="0" w:space="0" w:color="auto"/>
      </w:divBdr>
    </w:div>
    <w:div w:id="470513824">
      <w:bodyDiv w:val="1"/>
      <w:marLeft w:val="0"/>
      <w:marRight w:val="0"/>
      <w:marTop w:val="0"/>
      <w:marBottom w:val="0"/>
      <w:divBdr>
        <w:top w:val="none" w:sz="0" w:space="0" w:color="auto"/>
        <w:left w:val="none" w:sz="0" w:space="0" w:color="auto"/>
        <w:bottom w:val="none" w:sz="0" w:space="0" w:color="auto"/>
        <w:right w:val="none" w:sz="0" w:space="0" w:color="auto"/>
      </w:divBdr>
    </w:div>
    <w:div w:id="496769331">
      <w:bodyDiv w:val="1"/>
      <w:marLeft w:val="0"/>
      <w:marRight w:val="0"/>
      <w:marTop w:val="0"/>
      <w:marBottom w:val="0"/>
      <w:divBdr>
        <w:top w:val="none" w:sz="0" w:space="0" w:color="auto"/>
        <w:left w:val="none" w:sz="0" w:space="0" w:color="auto"/>
        <w:bottom w:val="none" w:sz="0" w:space="0" w:color="auto"/>
        <w:right w:val="none" w:sz="0" w:space="0" w:color="auto"/>
      </w:divBdr>
    </w:div>
    <w:div w:id="511183756">
      <w:bodyDiv w:val="1"/>
      <w:marLeft w:val="0"/>
      <w:marRight w:val="0"/>
      <w:marTop w:val="0"/>
      <w:marBottom w:val="0"/>
      <w:divBdr>
        <w:top w:val="none" w:sz="0" w:space="0" w:color="auto"/>
        <w:left w:val="none" w:sz="0" w:space="0" w:color="auto"/>
        <w:bottom w:val="none" w:sz="0" w:space="0" w:color="auto"/>
        <w:right w:val="none" w:sz="0" w:space="0" w:color="auto"/>
      </w:divBdr>
    </w:div>
    <w:div w:id="516817458">
      <w:bodyDiv w:val="1"/>
      <w:marLeft w:val="0"/>
      <w:marRight w:val="0"/>
      <w:marTop w:val="0"/>
      <w:marBottom w:val="0"/>
      <w:divBdr>
        <w:top w:val="none" w:sz="0" w:space="0" w:color="auto"/>
        <w:left w:val="none" w:sz="0" w:space="0" w:color="auto"/>
        <w:bottom w:val="none" w:sz="0" w:space="0" w:color="auto"/>
        <w:right w:val="none" w:sz="0" w:space="0" w:color="auto"/>
      </w:divBdr>
    </w:div>
    <w:div w:id="517306589">
      <w:bodyDiv w:val="1"/>
      <w:marLeft w:val="0"/>
      <w:marRight w:val="0"/>
      <w:marTop w:val="0"/>
      <w:marBottom w:val="0"/>
      <w:divBdr>
        <w:top w:val="none" w:sz="0" w:space="0" w:color="auto"/>
        <w:left w:val="none" w:sz="0" w:space="0" w:color="auto"/>
        <w:bottom w:val="none" w:sz="0" w:space="0" w:color="auto"/>
        <w:right w:val="none" w:sz="0" w:space="0" w:color="auto"/>
      </w:divBdr>
    </w:div>
    <w:div w:id="539904860">
      <w:bodyDiv w:val="1"/>
      <w:marLeft w:val="0"/>
      <w:marRight w:val="0"/>
      <w:marTop w:val="0"/>
      <w:marBottom w:val="0"/>
      <w:divBdr>
        <w:top w:val="none" w:sz="0" w:space="0" w:color="auto"/>
        <w:left w:val="none" w:sz="0" w:space="0" w:color="auto"/>
        <w:bottom w:val="none" w:sz="0" w:space="0" w:color="auto"/>
        <w:right w:val="none" w:sz="0" w:space="0" w:color="auto"/>
      </w:divBdr>
    </w:div>
    <w:div w:id="568534812">
      <w:bodyDiv w:val="1"/>
      <w:marLeft w:val="0"/>
      <w:marRight w:val="0"/>
      <w:marTop w:val="0"/>
      <w:marBottom w:val="0"/>
      <w:divBdr>
        <w:top w:val="none" w:sz="0" w:space="0" w:color="auto"/>
        <w:left w:val="none" w:sz="0" w:space="0" w:color="auto"/>
        <w:bottom w:val="none" w:sz="0" w:space="0" w:color="auto"/>
        <w:right w:val="none" w:sz="0" w:space="0" w:color="auto"/>
      </w:divBdr>
    </w:div>
    <w:div w:id="624578833">
      <w:bodyDiv w:val="1"/>
      <w:marLeft w:val="0"/>
      <w:marRight w:val="0"/>
      <w:marTop w:val="0"/>
      <w:marBottom w:val="0"/>
      <w:divBdr>
        <w:top w:val="none" w:sz="0" w:space="0" w:color="auto"/>
        <w:left w:val="none" w:sz="0" w:space="0" w:color="auto"/>
        <w:bottom w:val="none" w:sz="0" w:space="0" w:color="auto"/>
        <w:right w:val="none" w:sz="0" w:space="0" w:color="auto"/>
      </w:divBdr>
    </w:div>
    <w:div w:id="627856618">
      <w:bodyDiv w:val="1"/>
      <w:marLeft w:val="0"/>
      <w:marRight w:val="0"/>
      <w:marTop w:val="0"/>
      <w:marBottom w:val="0"/>
      <w:divBdr>
        <w:top w:val="none" w:sz="0" w:space="0" w:color="auto"/>
        <w:left w:val="none" w:sz="0" w:space="0" w:color="auto"/>
        <w:bottom w:val="none" w:sz="0" w:space="0" w:color="auto"/>
        <w:right w:val="none" w:sz="0" w:space="0" w:color="auto"/>
      </w:divBdr>
    </w:div>
    <w:div w:id="734815820">
      <w:bodyDiv w:val="1"/>
      <w:marLeft w:val="0"/>
      <w:marRight w:val="0"/>
      <w:marTop w:val="0"/>
      <w:marBottom w:val="0"/>
      <w:divBdr>
        <w:top w:val="none" w:sz="0" w:space="0" w:color="auto"/>
        <w:left w:val="none" w:sz="0" w:space="0" w:color="auto"/>
        <w:bottom w:val="none" w:sz="0" w:space="0" w:color="auto"/>
        <w:right w:val="none" w:sz="0" w:space="0" w:color="auto"/>
      </w:divBdr>
    </w:div>
    <w:div w:id="754546225">
      <w:bodyDiv w:val="1"/>
      <w:marLeft w:val="0"/>
      <w:marRight w:val="0"/>
      <w:marTop w:val="0"/>
      <w:marBottom w:val="0"/>
      <w:divBdr>
        <w:top w:val="none" w:sz="0" w:space="0" w:color="auto"/>
        <w:left w:val="none" w:sz="0" w:space="0" w:color="auto"/>
        <w:bottom w:val="none" w:sz="0" w:space="0" w:color="auto"/>
        <w:right w:val="none" w:sz="0" w:space="0" w:color="auto"/>
      </w:divBdr>
    </w:div>
    <w:div w:id="772093169">
      <w:bodyDiv w:val="1"/>
      <w:marLeft w:val="0"/>
      <w:marRight w:val="0"/>
      <w:marTop w:val="0"/>
      <w:marBottom w:val="0"/>
      <w:divBdr>
        <w:top w:val="none" w:sz="0" w:space="0" w:color="auto"/>
        <w:left w:val="none" w:sz="0" w:space="0" w:color="auto"/>
        <w:bottom w:val="none" w:sz="0" w:space="0" w:color="auto"/>
        <w:right w:val="none" w:sz="0" w:space="0" w:color="auto"/>
      </w:divBdr>
    </w:div>
    <w:div w:id="839854494">
      <w:bodyDiv w:val="1"/>
      <w:marLeft w:val="0"/>
      <w:marRight w:val="0"/>
      <w:marTop w:val="0"/>
      <w:marBottom w:val="0"/>
      <w:divBdr>
        <w:top w:val="none" w:sz="0" w:space="0" w:color="auto"/>
        <w:left w:val="none" w:sz="0" w:space="0" w:color="auto"/>
        <w:bottom w:val="none" w:sz="0" w:space="0" w:color="auto"/>
        <w:right w:val="none" w:sz="0" w:space="0" w:color="auto"/>
      </w:divBdr>
    </w:div>
    <w:div w:id="931087745">
      <w:bodyDiv w:val="1"/>
      <w:marLeft w:val="0"/>
      <w:marRight w:val="0"/>
      <w:marTop w:val="0"/>
      <w:marBottom w:val="0"/>
      <w:divBdr>
        <w:top w:val="none" w:sz="0" w:space="0" w:color="auto"/>
        <w:left w:val="none" w:sz="0" w:space="0" w:color="auto"/>
        <w:bottom w:val="none" w:sz="0" w:space="0" w:color="auto"/>
        <w:right w:val="none" w:sz="0" w:space="0" w:color="auto"/>
      </w:divBdr>
    </w:div>
    <w:div w:id="934022559">
      <w:bodyDiv w:val="1"/>
      <w:marLeft w:val="0"/>
      <w:marRight w:val="0"/>
      <w:marTop w:val="0"/>
      <w:marBottom w:val="0"/>
      <w:divBdr>
        <w:top w:val="none" w:sz="0" w:space="0" w:color="auto"/>
        <w:left w:val="none" w:sz="0" w:space="0" w:color="auto"/>
        <w:bottom w:val="none" w:sz="0" w:space="0" w:color="auto"/>
        <w:right w:val="none" w:sz="0" w:space="0" w:color="auto"/>
      </w:divBdr>
    </w:div>
    <w:div w:id="959872089">
      <w:bodyDiv w:val="1"/>
      <w:marLeft w:val="0"/>
      <w:marRight w:val="0"/>
      <w:marTop w:val="0"/>
      <w:marBottom w:val="0"/>
      <w:divBdr>
        <w:top w:val="none" w:sz="0" w:space="0" w:color="auto"/>
        <w:left w:val="none" w:sz="0" w:space="0" w:color="auto"/>
        <w:bottom w:val="none" w:sz="0" w:space="0" w:color="auto"/>
        <w:right w:val="none" w:sz="0" w:space="0" w:color="auto"/>
      </w:divBdr>
    </w:div>
    <w:div w:id="961110985">
      <w:bodyDiv w:val="1"/>
      <w:marLeft w:val="0"/>
      <w:marRight w:val="0"/>
      <w:marTop w:val="0"/>
      <w:marBottom w:val="0"/>
      <w:divBdr>
        <w:top w:val="none" w:sz="0" w:space="0" w:color="auto"/>
        <w:left w:val="none" w:sz="0" w:space="0" w:color="auto"/>
        <w:bottom w:val="none" w:sz="0" w:space="0" w:color="auto"/>
        <w:right w:val="none" w:sz="0" w:space="0" w:color="auto"/>
      </w:divBdr>
    </w:div>
    <w:div w:id="1116362683">
      <w:bodyDiv w:val="1"/>
      <w:marLeft w:val="0"/>
      <w:marRight w:val="0"/>
      <w:marTop w:val="0"/>
      <w:marBottom w:val="0"/>
      <w:divBdr>
        <w:top w:val="none" w:sz="0" w:space="0" w:color="auto"/>
        <w:left w:val="none" w:sz="0" w:space="0" w:color="auto"/>
        <w:bottom w:val="none" w:sz="0" w:space="0" w:color="auto"/>
        <w:right w:val="none" w:sz="0" w:space="0" w:color="auto"/>
      </w:divBdr>
    </w:div>
    <w:div w:id="1116558343">
      <w:bodyDiv w:val="1"/>
      <w:marLeft w:val="0"/>
      <w:marRight w:val="0"/>
      <w:marTop w:val="0"/>
      <w:marBottom w:val="0"/>
      <w:divBdr>
        <w:top w:val="none" w:sz="0" w:space="0" w:color="auto"/>
        <w:left w:val="none" w:sz="0" w:space="0" w:color="auto"/>
        <w:bottom w:val="none" w:sz="0" w:space="0" w:color="auto"/>
        <w:right w:val="none" w:sz="0" w:space="0" w:color="auto"/>
      </w:divBdr>
    </w:div>
    <w:div w:id="1140266554">
      <w:bodyDiv w:val="1"/>
      <w:marLeft w:val="0"/>
      <w:marRight w:val="0"/>
      <w:marTop w:val="0"/>
      <w:marBottom w:val="0"/>
      <w:divBdr>
        <w:top w:val="none" w:sz="0" w:space="0" w:color="auto"/>
        <w:left w:val="none" w:sz="0" w:space="0" w:color="auto"/>
        <w:bottom w:val="none" w:sz="0" w:space="0" w:color="auto"/>
        <w:right w:val="none" w:sz="0" w:space="0" w:color="auto"/>
      </w:divBdr>
    </w:div>
    <w:div w:id="1144081482">
      <w:bodyDiv w:val="1"/>
      <w:marLeft w:val="0"/>
      <w:marRight w:val="0"/>
      <w:marTop w:val="0"/>
      <w:marBottom w:val="0"/>
      <w:divBdr>
        <w:top w:val="none" w:sz="0" w:space="0" w:color="auto"/>
        <w:left w:val="none" w:sz="0" w:space="0" w:color="auto"/>
        <w:bottom w:val="none" w:sz="0" w:space="0" w:color="auto"/>
        <w:right w:val="none" w:sz="0" w:space="0" w:color="auto"/>
      </w:divBdr>
    </w:div>
    <w:div w:id="1160196995">
      <w:bodyDiv w:val="1"/>
      <w:marLeft w:val="0"/>
      <w:marRight w:val="0"/>
      <w:marTop w:val="0"/>
      <w:marBottom w:val="0"/>
      <w:divBdr>
        <w:top w:val="none" w:sz="0" w:space="0" w:color="auto"/>
        <w:left w:val="none" w:sz="0" w:space="0" w:color="auto"/>
        <w:bottom w:val="none" w:sz="0" w:space="0" w:color="auto"/>
        <w:right w:val="none" w:sz="0" w:space="0" w:color="auto"/>
      </w:divBdr>
    </w:div>
    <w:div w:id="1201086579">
      <w:bodyDiv w:val="1"/>
      <w:marLeft w:val="0"/>
      <w:marRight w:val="0"/>
      <w:marTop w:val="0"/>
      <w:marBottom w:val="0"/>
      <w:divBdr>
        <w:top w:val="none" w:sz="0" w:space="0" w:color="auto"/>
        <w:left w:val="none" w:sz="0" w:space="0" w:color="auto"/>
        <w:bottom w:val="none" w:sz="0" w:space="0" w:color="auto"/>
        <w:right w:val="none" w:sz="0" w:space="0" w:color="auto"/>
      </w:divBdr>
    </w:div>
    <w:div w:id="1268002057">
      <w:bodyDiv w:val="1"/>
      <w:marLeft w:val="0"/>
      <w:marRight w:val="0"/>
      <w:marTop w:val="0"/>
      <w:marBottom w:val="0"/>
      <w:divBdr>
        <w:top w:val="none" w:sz="0" w:space="0" w:color="auto"/>
        <w:left w:val="none" w:sz="0" w:space="0" w:color="auto"/>
        <w:bottom w:val="none" w:sz="0" w:space="0" w:color="auto"/>
        <w:right w:val="none" w:sz="0" w:space="0" w:color="auto"/>
      </w:divBdr>
    </w:div>
    <w:div w:id="1281229828">
      <w:bodyDiv w:val="1"/>
      <w:marLeft w:val="0"/>
      <w:marRight w:val="0"/>
      <w:marTop w:val="0"/>
      <w:marBottom w:val="0"/>
      <w:divBdr>
        <w:top w:val="none" w:sz="0" w:space="0" w:color="auto"/>
        <w:left w:val="none" w:sz="0" w:space="0" w:color="auto"/>
        <w:bottom w:val="none" w:sz="0" w:space="0" w:color="auto"/>
        <w:right w:val="none" w:sz="0" w:space="0" w:color="auto"/>
      </w:divBdr>
    </w:div>
    <w:div w:id="1314800796">
      <w:bodyDiv w:val="1"/>
      <w:marLeft w:val="0"/>
      <w:marRight w:val="0"/>
      <w:marTop w:val="0"/>
      <w:marBottom w:val="0"/>
      <w:divBdr>
        <w:top w:val="none" w:sz="0" w:space="0" w:color="auto"/>
        <w:left w:val="none" w:sz="0" w:space="0" w:color="auto"/>
        <w:bottom w:val="none" w:sz="0" w:space="0" w:color="auto"/>
        <w:right w:val="none" w:sz="0" w:space="0" w:color="auto"/>
      </w:divBdr>
    </w:div>
    <w:div w:id="1322923675">
      <w:bodyDiv w:val="1"/>
      <w:marLeft w:val="0"/>
      <w:marRight w:val="0"/>
      <w:marTop w:val="0"/>
      <w:marBottom w:val="0"/>
      <w:divBdr>
        <w:top w:val="none" w:sz="0" w:space="0" w:color="auto"/>
        <w:left w:val="none" w:sz="0" w:space="0" w:color="auto"/>
        <w:bottom w:val="none" w:sz="0" w:space="0" w:color="auto"/>
        <w:right w:val="none" w:sz="0" w:space="0" w:color="auto"/>
      </w:divBdr>
    </w:div>
    <w:div w:id="1363245913">
      <w:bodyDiv w:val="1"/>
      <w:marLeft w:val="0"/>
      <w:marRight w:val="0"/>
      <w:marTop w:val="0"/>
      <w:marBottom w:val="0"/>
      <w:divBdr>
        <w:top w:val="none" w:sz="0" w:space="0" w:color="auto"/>
        <w:left w:val="none" w:sz="0" w:space="0" w:color="auto"/>
        <w:bottom w:val="none" w:sz="0" w:space="0" w:color="auto"/>
        <w:right w:val="none" w:sz="0" w:space="0" w:color="auto"/>
      </w:divBdr>
    </w:div>
    <w:div w:id="1367289129">
      <w:bodyDiv w:val="1"/>
      <w:marLeft w:val="0"/>
      <w:marRight w:val="0"/>
      <w:marTop w:val="0"/>
      <w:marBottom w:val="0"/>
      <w:divBdr>
        <w:top w:val="none" w:sz="0" w:space="0" w:color="auto"/>
        <w:left w:val="none" w:sz="0" w:space="0" w:color="auto"/>
        <w:bottom w:val="none" w:sz="0" w:space="0" w:color="auto"/>
        <w:right w:val="none" w:sz="0" w:space="0" w:color="auto"/>
      </w:divBdr>
    </w:div>
    <w:div w:id="1466042129">
      <w:bodyDiv w:val="1"/>
      <w:marLeft w:val="0"/>
      <w:marRight w:val="0"/>
      <w:marTop w:val="0"/>
      <w:marBottom w:val="0"/>
      <w:divBdr>
        <w:top w:val="none" w:sz="0" w:space="0" w:color="auto"/>
        <w:left w:val="none" w:sz="0" w:space="0" w:color="auto"/>
        <w:bottom w:val="none" w:sz="0" w:space="0" w:color="auto"/>
        <w:right w:val="none" w:sz="0" w:space="0" w:color="auto"/>
      </w:divBdr>
    </w:div>
    <w:div w:id="1495032141">
      <w:bodyDiv w:val="1"/>
      <w:marLeft w:val="0"/>
      <w:marRight w:val="0"/>
      <w:marTop w:val="0"/>
      <w:marBottom w:val="0"/>
      <w:divBdr>
        <w:top w:val="none" w:sz="0" w:space="0" w:color="auto"/>
        <w:left w:val="none" w:sz="0" w:space="0" w:color="auto"/>
        <w:bottom w:val="none" w:sz="0" w:space="0" w:color="auto"/>
        <w:right w:val="none" w:sz="0" w:space="0" w:color="auto"/>
      </w:divBdr>
    </w:div>
    <w:div w:id="1523934679">
      <w:bodyDiv w:val="1"/>
      <w:marLeft w:val="0"/>
      <w:marRight w:val="0"/>
      <w:marTop w:val="0"/>
      <w:marBottom w:val="0"/>
      <w:divBdr>
        <w:top w:val="none" w:sz="0" w:space="0" w:color="auto"/>
        <w:left w:val="none" w:sz="0" w:space="0" w:color="auto"/>
        <w:bottom w:val="none" w:sz="0" w:space="0" w:color="auto"/>
        <w:right w:val="none" w:sz="0" w:space="0" w:color="auto"/>
      </w:divBdr>
    </w:div>
    <w:div w:id="1640842713">
      <w:bodyDiv w:val="1"/>
      <w:marLeft w:val="0"/>
      <w:marRight w:val="0"/>
      <w:marTop w:val="0"/>
      <w:marBottom w:val="0"/>
      <w:divBdr>
        <w:top w:val="none" w:sz="0" w:space="0" w:color="auto"/>
        <w:left w:val="none" w:sz="0" w:space="0" w:color="auto"/>
        <w:bottom w:val="none" w:sz="0" w:space="0" w:color="auto"/>
        <w:right w:val="none" w:sz="0" w:space="0" w:color="auto"/>
      </w:divBdr>
    </w:div>
    <w:div w:id="1746342955">
      <w:bodyDiv w:val="1"/>
      <w:marLeft w:val="0"/>
      <w:marRight w:val="0"/>
      <w:marTop w:val="0"/>
      <w:marBottom w:val="0"/>
      <w:divBdr>
        <w:top w:val="none" w:sz="0" w:space="0" w:color="auto"/>
        <w:left w:val="none" w:sz="0" w:space="0" w:color="auto"/>
        <w:bottom w:val="none" w:sz="0" w:space="0" w:color="auto"/>
        <w:right w:val="none" w:sz="0" w:space="0" w:color="auto"/>
      </w:divBdr>
    </w:div>
    <w:div w:id="1790050782">
      <w:bodyDiv w:val="1"/>
      <w:marLeft w:val="0"/>
      <w:marRight w:val="0"/>
      <w:marTop w:val="0"/>
      <w:marBottom w:val="0"/>
      <w:divBdr>
        <w:top w:val="none" w:sz="0" w:space="0" w:color="auto"/>
        <w:left w:val="none" w:sz="0" w:space="0" w:color="auto"/>
        <w:bottom w:val="none" w:sz="0" w:space="0" w:color="auto"/>
        <w:right w:val="none" w:sz="0" w:space="0" w:color="auto"/>
      </w:divBdr>
    </w:div>
    <w:div w:id="1807694926">
      <w:bodyDiv w:val="1"/>
      <w:marLeft w:val="0"/>
      <w:marRight w:val="0"/>
      <w:marTop w:val="0"/>
      <w:marBottom w:val="0"/>
      <w:divBdr>
        <w:top w:val="none" w:sz="0" w:space="0" w:color="auto"/>
        <w:left w:val="none" w:sz="0" w:space="0" w:color="auto"/>
        <w:bottom w:val="none" w:sz="0" w:space="0" w:color="auto"/>
        <w:right w:val="none" w:sz="0" w:space="0" w:color="auto"/>
      </w:divBdr>
    </w:div>
    <w:div w:id="1831019210">
      <w:bodyDiv w:val="1"/>
      <w:marLeft w:val="0"/>
      <w:marRight w:val="0"/>
      <w:marTop w:val="0"/>
      <w:marBottom w:val="0"/>
      <w:divBdr>
        <w:top w:val="none" w:sz="0" w:space="0" w:color="auto"/>
        <w:left w:val="none" w:sz="0" w:space="0" w:color="auto"/>
        <w:bottom w:val="none" w:sz="0" w:space="0" w:color="auto"/>
        <w:right w:val="none" w:sz="0" w:space="0" w:color="auto"/>
      </w:divBdr>
    </w:div>
    <w:div w:id="1865745365">
      <w:bodyDiv w:val="1"/>
      <w:marLeft w:val="0"/>
      <w:marRight w:val="0"/>
      <w:marTop w:val="0"/>
      <w:marBottom w:val="0"/>
      <w:divBdr>
        <w:top w:val="none" w:sz="0" w:space="0" w:color="auto"/>
        <w:left w:val="none" w:sz="0" w:space="0" w:color="auto"/>
        <w:bottom w:val="none" w:sz="0" w:space="0" w:color="auto"/>
        <w:right w:val="none" w:sz="0" w:space="0" w:color="auto"/>
      </w:divBdr>
    </w:div>
    <w:div w:id="1875388766">
      <w:bodyDiv w:val="1"/>
      <w:marLeft w:val="0"/>
      <w:marRight w:val="0"/>
      <w:marTop w:val="0"/>
      <w:marBottom w:val="0"/>
      <w:divBdr>
        <w:top w:val="none" w:sz="0" w:space="0" w:color="auto"/>
        <w:left w:val="none" w:sz="0" w:space="0" w:color="auto"/>
        <w:bottom w:val="none" w:sz="0" w:space="0" w:color="auto"/>
        <w:right w:val="none" w:sz="0" w:space="0" w:color="auto"/>
      </w:divBdr>
    </w:div>
    <w:div w:id="1981306717">
      <w:bodyDiv w:val="1"/>
      <w:marLeft w:val="0"/>
      <w:marRight w:val="0"/>
      <w:marTop w:val="0"/>
      <w:marBottom w:val="0"/>
      <w:divBdr>
        <w:top w:val="none" w:sz="0" w:space="0" w:color="auto"/>
        <w:left w:val="none" w:sz="0" w:space="0" w:color="auto"/>
        <w:bottom w:val="none" w:sz="0" w:space="0" w:color="auto"/>
        <w:right w:val="none" w:sz="0" w:space="0" w:color="auto"/>
      </w:divBdr>
    </w:div>
    <w:div w:id="1990744368">
      <w:bodyDiv w:val="1"/>
      <w:marLeft w:val="0"/>
      <w:marRight w:val="0"/>
      <w:marTop w:val="0"/>
      <w:marBottom w:val="0"/>
      <w:divBdr>
        <w:top w:val="none" w:sz="0" w:space="0" w:color="auto"/>
        <w:left w:val="none" w:sz="0" w:space="0" w:color="auto"/>
        <w:bottom w:val="none" w:sz="0" w:space="0" w:color="auto"/>
        <w:right w:val="none" w:sz="0" w:space="0" w:color="auto"/>
      </w:divBdr>
    </w:div>
    <w:div w:id="2073194450">
      <w:bodyDiv w:val="1"/>
      <w:marLeft w:val="0"/>
      <w:marRight w:val="0"/>
      <w:marTop w:val="0"/>
      <w:marBottom w:val="0"/>
      <w:divBdr>
        <w:top w:val="none" w:sz="0" w:space="0" w:color="auto"/>
        <w:left w:val="none" w:sz="0" w:space="0" w:color="auto"/>
        <w:bottom w:val="none" w:sz="0" w:space="0" w:color="auto"/>
        <w:right w:val="none" w:sz="0" w:space="0" w:color="auto"/>
      </w:divBdr>
    </w:div>
    <w:div w:id="2111310670">
      <w:bodyDiv w:val="1"/>
      <w:marLeft w:val="0"/>
      <w:marRight w:val="0"/>
      <w:marTop w:val="0"/>
      <w:marBottom w:val="0"/>
      <w:divBdr>
        <w:top w:val="none" w:sz="0" w:space="0" w:color="auto"/>
        <w:left w:val="none" w:sz="0" w:space="0" w:color="auto"/>
        <w:bottom w:val="none" w:sz="0" w:space="0" w:color="auto"/>
        <w:right w:val="none" w:sz="0" w:space="0" w:color="auto"/>
      </w:divBdr>
    </w:div>
    <w:div w:id="2117751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4481-64F6-DE40-82C1-5EF8D44B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24</Pages>
  <Words>6260</Words>
  <Characters>35682</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41859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Purshouse</dc:creator>
  <cp:keywords/>
  <dc:description/>
  <cp:lastModifiedBy>Craig Purshouse</cp:lastModifiedBy>
  <cp:revision>31</cp:revision>
  <cp:lastPrinted>2019-08-30T15:52:00Z</cp:lastPrinted>
  <dcterms:created xsi:type="dcterms:W3CDTF">2020-02-22T14:46:00Z</dcterms:created>
  <dcterms:modified xsi:type="dcterms:W3CDTF">2020-10-08T07:09:00Z</dcterms:modified>
</cp:coreProperties>
</file>