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9312" w14:textId="130EDE29" w:rsidR="00CA2D40" w:rsidRPr="00C31A32" w:rsidRDefault="00CA2D40" w:rsidP="00A91FCD">
      <w:pPr>
        <w:pStyle w:val="ListParagraph"/>
        <w:spacing w:after="0" w:line="276" w:lineRule="auto"/>
        <w:ind w:left="0"/>
        <w:jc w:val="center"/>
        <w:rPr>
          <w:rFonts w:ascii="Times New Roman" w:hAnsi="Times New Roman" w:cs="Times New Roman"/>
          <w:bCs/>
          <w:i/>
          <w:iCs/>
          <w:sz w:val="36"/>
          <w:szCs w:val="36"/>
        </w:rPr>
      </w:pPr>
      <w:r w:rsidRPr="00C31A32">
        <w:rPr>
          <w:rFonts w:ascii="Times New Roman" w:hAnsi="Times New Roman" w:cs="Times New Roman"/>
          <w:bCs/>
          <w:i/>
          <w:iCs/>
          <w:sz w:val="36"/>
          <w:szCs w:val="36"/>
        </w:rPr>
        <w:t>‘Conversion Therapy’ As Degrading Treatment</w:t>
      </w:r>
    </w:p>
    <w:p w14:paraId="11592616" w14:textId="77777777" w:rsidR="00A91FCD" w:rsidRPr="00C31A32" w:rsidRDefault="00A91FCD" w:rsidP="00CA2D40">
      <w:pPr>
        <w:spacing w:after="0" w:line="276" w:lineRule="auto"/>
        <w:jc w:val="both"/>
        <w:rPr>
          <w:rFonts w:ascii="Times New Roman" w:hAnsi="Times New Roman" w:cs="Times New Roman"/>
          <w:sz w:val="36"/>
          <w:szCs w:val="36"/>
        </w:rPr>
      </w:pPr>
    </w:p>
    <w:p w14:paraId="6D674E02" w14:textId="027E8420" w:rsidR="00A91FCD" w:rsidRPr="00C31A32" w:rsidRDefault="00A91FCD" w:rsidP="00A91FCD">
      <w:pPr>
        <w:spacing w:after="0" w:line="276" w:lineRule="auto"/>
        <w:jc w:val="center"/>
        <w:rPr>
          <w:rFonts w:ascii="Times New Roman" w:hAnsi="Times New Roman" w:cs="Times New Roman"/>
          <w:sz w:val="28"/>
          <w:szCs w:val="28"/>
        </w:rPr>
      </w:pPr>
      <w:r w:rsidRPr="00C31A32">
        <w:rPr>
          <w:rFonts w:ascii="Times New Roman" w:hAnsi="Times New Roman" w:cs="Times New Roman"/>
          <w:sz w:val="28"/>
          <w:szCs w:val="28"/>
        </w:rPr>
        <w:t>Ilias Trispiotis</w:t>
      </w:r>
      <w:r w:rsidRPr="00C31A32">
        <w:rPr>
          <w:rStyle w:val="FootnoteReference"/>
          <w:rFonts w:ascii="Times New Roman" w:hAnsi="Times New Roman" w:cs="Times New Roman"/>
          <w:sz w:val="28"/>
          <w:szCs w:val="28"/>
        </w:rPr>
        <w:footnoteReference w:customMarkFollows="1" w:id="1"/>
        <w:t>*</w:t>
      </w:r>
      <w:r w:rsidRPr="00C31A32">
        <w:rPr>
          <w:rFonts w:ascii="Times New Roman" w:hAnsi="Times New Roman" w:cs="Times New Roman"/>
          <w:sz w:val="28"/>
          <w:szCs w:val="28"/>
        </w:rPr>
        <w:t xml:space="preserve"> and Craig </w:t>
      </w:r>
      <w:proofErr w:type="spellStart"/>
      <w:r w:rsidRPr="00C31A32">
        <w:rPr>
          <w:rFonts w:ascii="Times New Roman" w:hAnsi="Times New Roman" w:cs="Times New Roman"/>
          <w:sz w:val="28"/>
          <w:szCs w:val="28"/>
        </w:rPr>
        <w:t>Purshouse</w:t>
      </w:r>
      <w:proofErr w:type="spellEnd"/>
      <w:r w:rsidRPr="00C31A32">
        <w:rPr>
          <w:rStyle w:val="FootnoteReference"/>
          <w:rFonts w:ascii="Times New Roman" w:hAnsi="Times New Roman" w:cs="Times New Roman"/>
          <w:sz w:val="28"/>
          <w:szCs w:val="28"/>
        </w:rPr>
        <w:footnoteReference w:customMarkFollows="1" w:id="2"/>
        <w:t>**</w:t>
      </w:r>
    </w:p>
    <w:p w14:paraId="237EDE08" w14:textId="450A7BCC" w:rsidR="00CA2D40" w:rsidRPr="00C31A32" w:rsidRDefault="00DF1322" w:rsidP="00CA2D40">
      <w:pPr>
        <w:spacing w:after="0" w:line="276" w:lineRule="auto"/>
        <w:jc w:val="both"/>
        <w:rPr>
          <w:rFonts w:ascii="Times New Roman" w:hAnsi="Times New Roman" w:cs="Times New Roman"/>
          <w:sz w:val="24"/>
          <w:szCs w:val="24"/>
        </w:rPr>
      </w:pPr>
      <w:r w:rsidRPr="00C31A32">
        <w:rPr>
          <w:rFonts w:ascii="Times New Roman" w:hAnsi="Times New Roman" w:cs="Times New Roman"/>
          <w:sz w:val="24"/>
          <w:szCs w:val="24"/>
        </w:rPr>
        <w:t>___________________________________________________________________________</w:t>
      </w:r>
    </w:p>
    <w:p w14:paraId="7E21551D" w14:textId="3E3C0A2A" w:rsidR="00A91FCD" w:rsidRPr="00C31A32" w:rsidRDefault="00A91FCD" w:rsidP="00CA2D40">
      <w:pPr>
        <w:spacing w:after="0" w:line="276" w:lineRule="auto"/>
        <w:jc w:val="both"/>
        <w:rPr>
          <w:rFonts w:ascii="Times New Roman" w:hAnsi="Times New Roman" w:cs="Times New Roman"/>
          <w:sz w:val="24"/>
          <w:szCs w:val="24"/>
        </w:rPr>
      </w:pPr>
    </w:p>
    <w:p w14:paraId="205ECAEC" w14:textId="54E81D56" w:rsidR="00DF1322" w:rsidRPr="00C31A32" w:rsidRDefault="00DF1322" w:rsidP="00CA2D40">
      <w:pPr>
        <w:spacing w:after="0" w:line="276" w:lineRule="auto"/>
        <w:jc w:val="both"/>
        <w:rPr>
          <w:rFonts w:ascii="Times New Roman" w:hAnsi="Times New Roman" w:cs="Times New Roman"/>
          <w:sz w:val="24"/>
          <w:szCs w:val="24"/>
        </w:rPr>
      </w:pPr>
      <w:r w:rsidRPr="00C31A32">
        <w:rPr>
          <w:rFonts w:ascii="Times New Roman" w:hAnsi="Times New Roman" w:cs="Times New Roman"/>
          <w:b/>
          <w:bCs/>
          <w:sz w:val="24"/>
          <w:szCs w:val="24"/>
        </w:rPr>
        <w:t xml:space="preserve">Abstract </w:t>
      </w:r>
      <w:r w:rsidRPr="00C31A32">
        <w:rPr>
          <w:rFonts w:ascii="Times New Roman" w:hAnsi="Times New Roman" w:cs="Times New Roman"/>
          <w:sz w:val="24"/>
          <w:szCs w:val="24"/>
        </w:rPr>
        <w:t xml:space="preserve">– </w:t>
      </w:r>
      <w:r w:rsidR="004361A7" w:rsidRPr="00C31A32">
        <w:rPr>
          <w:rFonts w:ascii="Times New Roman" w:hAnsi="Times New Roman" w:cs="Times New Roman"/>
          <w:sz w:val="24"/>
          <w:szCs w:val="24"/>
        </w:rPr>
        <w:t>This article responds to the widespread uncertainty in UK and international human rights law over the legality of ‘conversion therapy’, a set of practices that aim to eradicate LGBTIQ+ sexualities and gender identities. The article pursues two main arguments. Firstly, it is argued that all forms of ‘conversion therapy’ are disrespectful of the equal moral value of LGBTIQ+ people and violate specific protected areas of liberty and equality that are inherent in the idea of human dignity. Secondly, the article develops a theoretical account of degrading treatment under Article 3 ECHR that illuminates the relationship between the prohibition of degrading treatment, human dignity and antidiscrimination. It is then argued that ‘conversion therapy’, in all its different forms, spawns the specific kind of degradation that UK and international human rights law prohibit. The article ends by analysing the positive state obligations that arise in this context.</w:t>
      </w:r>
    </w:p>
    <w:p w14:paraId="07EEBAC4" w14:textId="6C7F988A" w:rsidR="00DF1322" w:rsidRPr="00C31A32" w:rsidRDefault="00DF1322" w:rsidP="00CA2D40">
      <w:pPr>
        <w:spacing w:after="0" w:line="276" w:lineRule="auto"/>
        <w:jc w:val="both"/>
        <w:rPr>
          <w:rFonts w:ascii="Times New Roman" w:hAnsi="Times New Roman" w:cs="Times New Roman"/>
          <w:sz w:val="24"/>
          <w:szCs w:val="24"/>
        </w:rPr>
      </w:pPr>
    </w:p>
    <w:p w14:paraId="760BCDD5" w14:textId="050FFD55" w:rsidR="00DF1322" w:rsidRPr="00C31A32" w:rsidRDefault="00DF1322" w:rsidP="00CA2D40">
      <w:pPr>
        <w:spacing w:after="0" w:line="276" w:lineRule="auto"/>
        <w:jc w:val="both"/>
        <w:rPr>
          <w:rFonts w:ascii="Times New Roman" w:hAnsi="Times New Roman" w:cs="Times New Roman"/>
          <w:sz w:val="24"/>
          <w:szCs w:val="24"/>
        </w:rPr>
      </w:pPr>
      <w:r w:rsidRPr="00C31A32">
        <w:rPr>
          <w:rFonts w:ascii="Times New Roman" w:hAnsi="Times New Roman" w:cs="Times New Roman"/>
          <w:b/>
          <w:bCs/>
          <w:sz w:val="24"/>
          <w:szCs w:val="24"/>
        </w:rPr>
        <w:t xml:space="preserve">Keywords: </w:t>
      </w:r>
      <w:r w:rsidR="00365AEA" w:rsidRPr="00C31A32">
        <w:rPr>
          <w:rFonts w:ascii="Times New Roman" w:hAnsi="Times New Roman" w:cs="Times New Roman"/>
          <w:b/>
          <w:bCs/>
          <w:sz w:val="24"/>
          <w:szCs w:val="24"/>
        </w:rPr>
        <w:t>‘</w:t>
      </w:r>
      <w:r w:rsidR="00365AEA" w:rsidRPr="00C31A32">
        <w:rPr>
          <w:rFonts w:ascii="Times New Roman" w:hAnsi="Times New Roman" w:cs="Times New Roman"/>
          <w:sz w:val="24"/>
          <w:szCs w:val="24"/>
        </w:rPr>
        <w:t>conversion therapy</w:t>
      </w:r>
      <w:r w:rsidR="00365AEA" w:rsidRPr="00C31A32">
        <w:rPr>
          <w:rFonts w:ascii="Times New Roman" w:hAnsi="Times New Roman" w:cs="Times New Roman"/>
          <w:sz w:val="24"/>
          <w:szCs w:val="24"/>
        </w:rPr>
        <w:t>’</w:t>
      </w:r>
      <w:r w:rsidR="00D07040" w:rsidRPr="00C31A32">
        <w:rPr>
          <w:rFonts w:ascii="Times New Roman" w:hAnsi="Times New Roman" w:cs="Times New Roman"/>
          <w:sz w:val="24"/>
          <w:szCs w:val="24"/>
        </w:rPr>
        <w:t>,</w:t>
      </w:r>
      <w:r w:rsidR="00365AEA" w:rsidRPr="00C31A32">
        <w:rPr>
          <w:rFonts w:ascii="Times New Roman" w:hAnsi="Times New Roman" w:cs="Times New Roman"/>
          <w:sz w:val="24"/>
          <w:szCs w:val="24"/>
        </w:rPr>
        <w:t xml:space="preserve"> sexual orientation</w:t>
      </w:r>
      <w:r w:rsidR="00D07040" w:rsidRPr="00C31A32">
        <w:rPr>
          <w:rFonts w:ascii="Times New Roman" w:hAnsi="Times New Roman" w:cs="Times New Roman"/>
          <w:sz w:val="24"/>
          <w:szCs w:val="24"/>
        </w:rPr>
        <w:t>,</w:t>
      </w:r>
      <w:r w:rsidR="00365AEA" w:rsidRPr="00C31A32">
        <w:rPr>
          <w:rFonts w:ascii="Times New Roman" w:hAnsi="Times New Roman" w:cs="Times New Roman"/>
          <w:sz w:val="24"/>
          <w:szCs w:val="24"/>
        </w:rPr>
        <w:t xml:space="preserve"> discrimination law</w:t>
      </w:r>
      <w:r w:rsidR="00D07040" w:rsidRPr="00C31A32">
        <w:rPr>
          <w:rFonts w:ascii="Times New Roman" w:hAnsi="Times New Roman" w:cs="Times New Roman"/>
          <w:sz w:val="24"/>
          <w:szCs w:val="24"/>
        </w:rPr>
        <w:t>,</w:t>
      </w:r>
      <w:r w:rsidR="00365AEA" w:rsidRPr="00C31A32">
        <w:rPr>
          <w:rFonts w:ascii="Times New Roman" w:hAnsi="Times New Roman" w:cs="Times New Roman"/>
          <w:sz w:val="24"/>
          <w:szCs w:val="24"/>
        </w:rPr>
        <w:t xml:space="preserve"> degrading treatment</w:t>
      </w:r>
      <w:r w:rsidR="00D07040" w:rsidRPr="00C31A32">
        <w:rPr>
          <w:rFonts w:ascii="Times New Roman" w:hAnsi="Times New Roman" w:cs="Times New Roman"/>
          <w:sz w:val="24"/>
          <w:szCs w:val="24"/>
        </w:rPr>
        <w:t>, Article 3 ECHR, equality,</w:t>
      </w:r>
      <w:r w:rsidR="00365AEA" w:rsidRPr="00C31A32">
        <w:rPr>
          <w:rFonts w:ascii="Times New Roman" w:hAnsi="Times New Roman" w:cs="Times New Roman"/>
          <w:sz w:val="24"/>
          <w:szCs w:val="24"/>
        </w:rPr>
        <w:t xml:space="preserve"> human rights law.</w:t>
      </w:r>
    </w:p>
    <w:p w14:paraId="14BC2427" w14:textId="10C3B394" w:rsidR="00D07040" w:rsidRPr="00C31A32" w:rsidRDefault="00D07040" w:rsidP="00CA2D40">
      <w:pPr>
        <w:spacing w:after="0" w:line="276" w:lineRule="auto"/>
        <w:jc w:val="both"/>
        <w:rPr>
          <w:rFonts w:ascii="Times New Roman" w:hAnsi="Times New Roman" w:cs="Times New Roman"/>
          <w:sz w:val="24"/>
          <w:szCs w:val="24"/>
        </w:rPr>
      </w:pPr>
    </w:p>
    <w:p w14:paraId="3ECCEC37" w14:textId="77777777" w:rsidR="00D07040" w:rsidRPr="00C31A32" w:rsidRDefault="00D07040" w:rsidP="00CA2D40">
      <w:pPr>
        <w:spacing w:after="0" w:line="276" w:lineRule="auto"/>
        <w:jc w:val="both"/>
        <w:rPr>
          <w:rFonts w:ascii="Times New Roman" w:hAnsi="Times New Roman" w:cs="Times New Roman"/>
          <w:sz w:val="24"/>
          <w:szCs w:val="24"/>
        </w:rPr>
      </w:pPr>
    </w:p>
    <w:p w14:paraId="5518A9C1" w14:textId="77777777" w:rsidR="00CA2D40" w:rsidRPr="00C31A32" w:rsidRDefault="00CA2D40" w:rsidP="00CA2D40">
      <w:pPr>
        <w:pStyle w:val="ListParagraph"/>
        <w:numPr>
          <w:ilvl w:val="0"/>
          <w:numId w:val="13"/>
        </w:numPr>
        <w:spacing w:after="0" w:line="276" w:lineRule="auto"/>
        <w:jc w:val="center"/>
        <w:rPr>
          <w:rFonts w:ascii="Times New Roman" w:hAnsi="Times New Roman" w:cs="Times New Roman"/>
          <w:i/>
          <w:iCs/>
          <w:sz w:val="28"/>
          <w:szCs w:val="28"/>
        </w:rPr>
      </w:pPr>
      <w:r w:rsidRPr="00C31A32">
        <w:rPr>
          <w:rFonts w:ascii="Times New Roman" w:hAnsi="Times New Roman" w:cs="Times New Roman"/>
          <w:i/>
          <w:iCs/>
          <w:sz w:val="28"/>
          <w:szCs w:val="28"/>
        </w:rPr>
        <w:t>Introduction</w:t>
      </w:r>
    </w:p>
    <w:p w14:paraId="2E352A94" w14:textId="77777777" w:rsidR="00CA2D40" w:rsidRPr="00C31A32" w:rsidRDefault="00CA2D40" w:rsidP="00CA2D40">
      <w:pPr>
        <w:spacing w:after="0" w:line="276" w:lineRule="auto"/>
        <w:jc w:val="both"/>
        <w:rPr>
          <w:rFonts w:ascii="Times New Roman" w:hAnsi="Times New Roman" w:cs="Times New Roman"/>
          <w:sz w:val="24"/>
          <w:szCs w:val="24"/>
        </w:rPr>
      </w:pPr>
    </w:p>
    <w:p w14:paraId="48AF44F5" w14:textId="2BF5DC56" w:rsidR="00CA2D40" w:rsidRPr="00C31A32" w:rsidRDefault="00CA2D40" w:rsidP="00CA2D40">
      <w:pPr>
        <w:spacing w:after="0" w:line="276" w:lineRule="auto"/>
        <w:jc w:val="both"/>
        <w:rPr>
          <w:rFonts w:ascii="Times New Roman" w:hAnsi="Times New Roman" w:cs="Times New Roman"/>
          <w:sz w:val="24"/>
          <w:szCs w:val="24"/>
        </w:rPr>
      </w:pPr>
      <w:r w:rsidRPr="00C31A32">
        <w:rPr>
          <w:rFonts w:ascii="Times New Roman" w:hAnsi="Times New Roman" w:cs="Times New Roman"/>
          <w:sz w:val="24"/>
          <w:szCs w:val="24"/>
        </w:rPr>
        <w:t xml:space="preserve">‘Conversion therapy’, a widely discredited practice </w:t>
      </w:r>
      <w:r w:rsidR="00601FD4" w:rsidRPr="00C31A32">
        <w:rPr>
          <w:rFonts w:ascii="Times New Roman" w:hAnsi="Times New Roman" w:cs="Times New Roman"/>
          <w:sz w:val="24"/>
          <w:szCs w:val="24"/>
        </w:rPr>
        <w:t>which</w:t>
      </w:r>
      <w:r w:rsidR="00A52CB2" w:rsidRPr="00C31A32">
        <w:rPr>
          <w:rFonts w:ascii="Times New Roman" w:hAnsi="Times New Roman" w:cs="Times New Roman"/>
          <w:sz w:val="24"/>
          <w:szCs w:val="24"/>
        </w:rPr>
        <w:t>,</w:t>
      </w:r>
      <w:r w:rsidR="00CC3273" w:rsidRPr="00C31A32">
        <w:rPr>
          <w:rFonts w:ascii="Times New Roman" w:hAnsi="Times New Roman" w:cs="Times New Roman"/>
          <w:sz w:val="24"/>
          <w:szCs w:val="24"/>
        </w:rPr>
        <w:t xml:space="preserve"> </w:t>
      </w:r>
      <w:r w:rsidR="00561100" w:rsidRPr="00C31A32">
        <w:rPr>
          <w:rFonts w:ascii="Times New Roman" w:hAnsi="Times New Roman" w:cs="Times New Roman"/>
          <w:sz w:val="24"/>
          <w:szCs w:val="24"/>
        </w:rPr>
        <w:t>according to the UN</w:t>
      </w:r>
      <w:r w:rsidR="00A52CB2" w:rsidRPr="00C31A32">
        <w:rPr>
          <w:rFonts w:ascii="Times New Roman" w:hAnsi="Times New Roman" w:cs="Times New Roman"/>
          <w:sz w:val="24"/>
          <w:szCs w:val="24"/>
        </w:rPr>
        <w:t>,</w:t>
      </w:r>
      <w:r w:rsidR="00561100" w:rsidRPr="00C31A32">
        <w:rPr>
          <w:rFonts w:ascii="Times New Roman" w:hAnsi="Times New Roman" w:cs="Times New Roman"/>
          <w:sz w:val="24"/>
          <w:szCs w:val="24"/>
        </w:rPr>
        <w:t xml:space="preserve"> </w:t>
      </w:r>
      <w:r w:rsidR="00CC3273" w:rsidRPr="00C31A32">
        <w:rPr>
          <w:rFonts w:ascii="Times New Roman" w:hAnsi="Times New Roman" w:cs="Times New Roman"/>
          <w:sz w:val="24"/>
          <w:szCs w:val="24"/>
        </w:rPr>
        <w:t>aims</w:t>
      </w:r>
      <w:r w:rsidRPr="00C31A32">
        <w:rPr>
          <w:rFonts w:ascii="Times New Roman" w:hAnsi="Times New Roman" w:cs="Times New Roman"/>
          <w:sz w:val="24"/>
          <w:szCs w:val="24"/>
        </w:rPr>
        <w:t xml:space="preserve"> to ‘cure’ LGBTIQ+ people by changing or repressing non-heteronormative sexualities and gender identities,</w:t>
      </w:r>
      <w:r w:rsidRPr="00C31A32">
        <w:rPr>
          <w:rFonts w:ascii="Times New Roman" w:hAnsi="Times New Roman" w:cs="Times New Roman"/>
          <w:sz w:val="24"/>
          <w:szCs w:val="24"/>
          <w:vertAlign w:val="superscript"/>
        </w:rPr>
        <w:footnoteReference w:id="3"/>
      </w:r>
      <w:r w:rsidRPr="00C31A32">
        <w:rPr>
          <w:rFonts w:ascii="Times New Roman" w:hAnsi="Times New Roman" w:cs="Times New Roman"/>
          <w:sz w:val="24"/>
          <w:szCs w:val="24"/>
        </w:rPr>
        <w:t xml:space="preserve"> is banned in a small number of countries around the world. At the time of writing, within the Council of Europe only Malta, Germany and Albania have introduced nationwide bans on ‘conversion therapy’, either fully</w:t>
      </w:r>
      <w:r w:rsidRPr="00C31A32">
        <w:rPr>
          <w:rStyle w:val="FootnoteReference"/>
          <w:rFonts w:ascii="Times New Roman" w:hAnsi="Times New Roman" w:cs="Times New Roman"/>
          <w:sz w:val="24"/>
          <w:szCs w:val="24"/>
        </w:rPr>
        <w:footnoteReference w:id="4"/>
      </w:r>
      <w:r w:rsidRPr="00C31A32">
        <w:rPr>
          <w:rFonts w:ascii="Times New Roman" w:hAnsi="Times New Roman" w:cs="Times New Roman"/>
          <w:sz w:val="24"/>
          <w:szCs w:val="24"/>
        </w:rPr>
        <w:t xml:space="preserve"> or partly.</w:t>
      </w:r>
      <w:r w:rsidRPr="00C31A32">
        <w:rPr>
          <w:rStyle w:val="FootnoteReference"/>
          <w:rFonts w:ascii="Times New Roman" w:hAnsi="Times New Roman" w:cs="Times New Roman"/>
          <w:sz w:val="24"/>
          <w:szCs w:val="24"/>
        </w:rPr>
        <w:footnoteReference w:id="5"/>
      </w:r>
      <w:r w:rsidRPr="00C31A32">
        <w:rPr>
          <w:rFonts w:ascii="Times New Roman" w:hAnsi="Times New Roman" w:cs="Times New Roman"/>
          <w:sz w:val="24"/>
          <w:szCs w:val="24"/>
        </w:rPr>
        <w:t xml:space="preserve"> The practice is not banned in the United Kingdom.</w:t>
      </w:r>
      <w:r w:rsidRPr="00C31A32">
        <w:rPr>
          <w:rStyle w:val="FootnoteReference"/>
          <w:rFonts w:ascii="Times New Roman" w:hAnsi="Times New Roman" w:cs="Times New Roman"/>
          <w:sz w:val="24"/>
          <w:szCs w:val="24"/>
        </w:rPr>
        <w:footnoteReference w:id="6"/>
      </w:r>
      <w:r w:rsidRPr="00C31A32">
        <w:rPr>
          <w:rFonts w:ascii="Times New Roman" w:hAnsi="Times New Roman" w:cs="Times New Roman"/>
          <w:sz w:val="24"/>
          <w:szCs w:val="24"/>
        </w:rPr>
        <w:t xml:space="preserve"> Beyond Europe, Mexico introduced a general national ban on ‘conversion therapy’ </w:t>
      </w:r>
      <w:r w:rsidRPr="00C31A32">
        <w:rPr>
          <w:rFonts w:ascii="Times New Roman" w:hAnsi="Times New Roman" w:cs="Times New Roman"/>
          <w:sz w:val="24"/>
          <w:szCs w:val="24"/>
        </w:rPr>
        <w:lastRenderedPageBreak/>
        <w:t>in 2020, whereas medical professionals are banned from providing ‘conversion therapy’ in Brazil, Ecuador and Taiwan. In the United States, so far twenty States have introduced bans on the practice,</w:t>
      </w:r>
      <w:r w:rsidRPr="00C31A32">
        <w:rPr>
          <w:rStyle w:val="FootnoteReference"/>
          <w:rFonts w:ascii="Times New Roman" w:hAnsi="Times New Roman" w:cs="Times New Roman"/>
          <w:sz w:val="24"/>
          <w:szCs w:val="24"/>
        </w:rPr>
        <w:footnoteReference w:id="7"/>
      </w:r>
      <w:r w:rsidRPr="00C31A32">
        <w:rPr>
          <w:rFonts w:ascii="Times New Roman" w:hAnsi="Times New Roman" w:cs="Times New Roman"/>
          <w:sz w:val="24"/>
          <w:szCs w:val="24"/>
        </w:rPr>
        <w:t xml:space="preserve"> although many exempt religious counsellors and organisations from the scope of the prohibition. A similar exemption is part of the ban on ‘conversion therapy’ in Queensland, one of the </w:t>
      </w:r>
      <w:r w:rsidR="00CC3273" w:rsidRPr="00C31A32">
        <w:rPr>
          <w:rFonts w:ascii="Times New Roman" w:hAnsi="Times New Roman" w:cs="Times New Roman"/>
          <w:sz w:val="24"/>
          <w:szCs w:val="24"/>
        </w:rPr>
        <w:t>three</w:t>
      </w:r>
      <w:r w:rsidRPr="00C31A32">
        <w:rPr>
          <w:rFonts w:ascii="Times New Roman" w:hAnsi="Times New Roman" w:cs="Times New Roman"/>
          <w:sz w:val="24"/>
          <w:szCs w:val="24"/>
        </w:rPr>
        <w:t xml:space="preserve"> Australian jurisdictions banning the practice at the moment.</w:t>
      </w:r>
      <w:r w:rsidRPr="00C31A32">
        <w:rPr>
          <w:rStyle w:val="FootnoteReference"/>
          <w:rFonts w:ascii="Times New Roman" w:hAnsi="Times New Roman" w:cs="Times New Roman"/>
          <w:sz w:val="24"/>
          <w:szCs w:val="24"/>
        </w:rPr>
        <w:footnoteReference w:id="8"/>
      </w:r>
    </w:p>
    <w:p w14:paraId="06F55901" w14:textId="71BF7F1F"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Apart from the small number of states that have legislated against ‘conversion therapy’ to date, equally surprising is the scarcity of legal research in this area.</w:t>
      </w:r>
      <w:r w:rsidRPr="00C31A32">
        <w:rPr>
          <w:rFonts w:ascii="Times New Roman" w:hAnsi="Times New Roman" w:cs="Times New Roman"/>
          <w:sz w:val="24"/>
          <w:szCs w:val="24"/>
          <w:vertAlign w:val="superscript"/>
        </w:rPr>
        <w:footnoteReference w:id="9"/>
      </w:r>
      <w:r w:rsidRPr="00C31A32">
        <w:rPr>
          <w:rFonts w:ascii="Times New Roman" w:hAnsi="Times New Roman" w:cs="Times New Roman"/>
          <w:sz w:val="24"/>
          <w:szCs w:val="24"/>
        </w:rPr>
        <w:t xml:space="preserve"> Remarkably little </w:t>
      </w:r>
      <w:r w:rsidR="001474BE" w:rsidRPr="00C31A32">
        <w:rPr>
          <w:rFonts w:ascii="Times New Roman" w:hAnsi="Times New Roman" w:cs="Times New Roman"/>
          <w:sz w:val="24"/>
          <w:szCs w:val="24"/>
        </w:rPr>
        <w:t xml:space="preserve">academic </w:t>
      </w:r>
      <w:r w:rsidRPr="00C31A32">
        <w:rPr>
          <w:rFonts w:ascii="Times New Roman" w:hAnsi="Times New Roman" w:cs="Times New Roman"/>
          <w:sz w:val="24"/>
          <w:szCs w:val="24"/>
        </w:rPr>
        <w:t>commentary has been produced on the compatibility of ‘conversion therapy’ with specific human rights, such as the prohibition of torture</w:t>
      </w:r>
      <w:r w:rsidR="00D22B1E" w:rsidRPr="00C31A32">
        <w:rPr>
          <w:rFonts w:ascii="Times New Roman" w:hAnsi="Times New Roman" w:cs="Times New Roman"/>
          <w:sz w:val="24"/>
          <w:szCs w:val="24"/>
        </w:rPr>
        <w:t xml:space="preserve"> and other cruel, </w:t>
      </w:r>
      <w:r w:rsidRPr="00C31A32">
        <w:rPr>
          <w:rFonts w:ascii="Times New Roman" w:hAnsi="Times New Roman" w:cs="Times New Roman"/>
          <w:sz w:val="24"/>
          <w:szCs w:val="24"/>
        </w:rPr>
        <w:t>inhuman or degrading treatment (‘</w:t>
      </w:r>
      <w:r w:rsidR="00D22B1E" w:rsidRPr="00C31A32">
        <w:rPr>
          <w:rFonts w:ascii="Times New Roman" w:hAnsi="Times New Roman" w:cs="Times New Roman"/>
          <w:sz w:val="24"/>
          <w:szCs w:val="24"/>
        </w:rPr>
        <w:t>C</w:t>
      </w:r>
      <w:r w:rsidRPr="00C31A32">
        <w:rPr>
          <w:rFonts w:ascii="Times New Roman" w:hAnsi="Times New Roman" w:cs="Times New Roman"/>
          <w:sz w:val="24"/>
          <w:szCs w:val="24"/>
        </w:rPr>
        <w:t xml:space="preserve">IDT’). This is a curious omission given </w:t>
      </w:r>
      <w:r w:rsidR="00CC3273" w:rsidRPr="00C31A32">
        <w:rPr>
          <w:rFonts w:ascii="Times New Roman" w:hAnsi="Times New Roman" w:cs="Times New Roman"/>
          <w:sz w:val="24"/>
          <w:szCs w:val="24"/>
        </w:rPr>
        <w:t xml:space="preserve">the evidence that </w:t>
      </w:r>
      <w:r w:rsidRPr="00C31A32">
        <w:rPr>
          <w:rFonts w:ascii="Times New Roman" w:hAnsi="Times New Roman" w:cs="Times New Roman"/>
          <w:sz w:val="24"/>
          <w:szCs w:val="24"/>
        </w:rPr>
        <w:t xml:space="preserve">‘conversion therapy’ </w:t>
      </w:r>
      <w:r w:rsidR="00CC3273" w:rsidRPr="00C31A32">
        <w:rPr>
          <w:rFonts w:ascii="Times New Roman" w:hAnsi="Times New Roman" w:cs="Times New Roman"/>
          <w:sz w:val="24"/>
          <w:szCs w:val="24"/>
        </w:rPr>
        <w:t>can cause grave harm</w:t>
      </w:r>
      <w:r w:rsidRPr="00C31A32">
        <w:rPr>
          <w:rFonts w:ascii="Times New Roman" w:hAnsi="Times New Roman" w:cs="Times New Roman"/>
          <w:sz w:val="24"/>
          <w:szCs w:val="24"/>
        </w:rPr>
        <w:t>,</w:t>
      </w:r>
      <w:r w:rsidRPr="00C31A32">
        <w:rPr>
          <w:rStyle w:val="FootnoteReference"/>
          <w:rFonts w:ascii="Times New Roman" w:hAnsi="Times New Roman" w:cs="Times New Roman"/>
          <w:sz w:val="24"/>
          <w:szCs w:val="24"/>
        </w:rPr>
        <w:footnoteReference w:id="10"/>
      </w:r>
      <w:r w:rsidRPr="00C31A32">
        <w:rPr>
          <w:rFonts w:ascii="Times New Roman" w:hAnsi="Times New Roman" w:cs="Times New Roman"/>
          <w:sz w:val="24"/>
          <w:szCs w:val="24"/>
        </w:rPr>
        <w:t xml:space="preserve"> not only </w:t>
      </w:r>
      <w:r w:rsidR="00CC3273" w:rsidRPr="00C31A32">
        <w:rPr>
          <w:rFonts w:ascii="Times New Roman" w:hAnsi="Times New Roman" w:cs="Times New Roman"/>
          <w:sz w:val="24"/>
          <w:szCs w:val="24"/>
        </w:rPr>
        <w:t>to</w:t>
      </w:r>
      <w:r w:rsidRPr="00C31A32">
        <w:rPr>
          <w:rFonts w:ascii="Times New Roman" w:hAnsi="Times New Roman" w:cs="Times New Roman"/>
          <w:sz w:val="24"/>
          <w:szCs w:val="24"/>
        </w:rPr>
        <w:t xml:space="preserve"> the significant number of individuals that experience it,</w:t>
      </w:r>
      <w:r w:rsidRPr="00C31A32">
        <w:rPr>
          <w:rStyle w:val="FootnoteReference"/>
          <w:rFonts w:ascii="Times New Roman" w:hAnsi="Times New Roman" w:cs="Times New Roman"/>
          <w:sz w:val="24"/>
          <w:szCs w:val="24"/>
        </w:rPr>
        <w:footnoteReference w:id="11"/>
      </w:r>
      <w:r w:rsidRPr="00C31A32">
        <w:rPr>
          <w:rFonts w:ascii="Times New Roman" w:hAnsi="Times New Roman" w:cs="Times New Roman"/>
          <w:sz w:val="24"/>
          <w:szCs w:val="24"/>
        </w:rPr>
        <w:t xml:space="preserve"> but also </w:t>
      </w:r>
      <w:r w:rsidR="00CC3273" w:rsidRPr="00C31A32">
        <w:rPr>
          <w:rFonts w:ascii="Times New Roman" w:hAnsi="Times New Roman" w:cs="Times New Roman"/>
          <w:sz w:val="24"/>
          <w:szCs w:val="24"/>
        </w:rPr>
        <w:t>to</w:t>
      </w:r>
      <w:r w:rsidRPr="00C31A32">
        <w:rPr>
          <w:rFonts w:ascii="Times New Roman" w:hAnsi="Times New Roman" w:cs="Times New Roman"/>
          <w:sz w:val="24"/>
          <w:szCs w:val="24"/>
        </w:rPr>
        <w:t xml:space="preserve"> LGBTIQ+ people more broadly.</w:t>
      </w:r>
      <w:r w:rsidRPr="00C31A32">
        <w:rPr>
          <w:rStyle w:val="FootnoteReference"/>
          <w:rFonts w:ascii="Times New Roman" w:hAnsi="Times New Roman" w:cs="Times New Roman"/>
          <w:sz w:val="24"/>
          <w:szCs w:val="24"/>
        </w:rPr>
        <w:footnoteReference w:id="12"/>
      </w:r>
      <w:r w:rsidRPr="00C31A32">
        <w:rPr>
          <w:rFonts w:ascii="Times New Roman" w:hAnsi="Times New Roman" w:cs="Times New Roman"/>
          <w:sz w:val="24"/>
          <w:szCs w:val="24"/>
        </w:rPr>
        <w:t xml:space="preserve"> Many of those who have undergone it have reported that it has caused them distress and humiliation with high-profile films such as </w:t>
      </w:r>
      <w:r w:rsidRPr="00C31A32">
        <w:rPr>
          <w:rFonts w:ascii="Times New Roman" w:hAnsi="Times New Roman" w:cs="Times New Roman"/>
          <w:i/>
          <w:sz w:val="24"/>
          <w:szCs w:val="24"/>
        </w:rPr>
        <w:t>Boy Erased</w:t>
      </w:r>
      <w:r w:rsidRPr="00C31A32">
        <w:rPr>
          <w:rStyle w:val="FootnoteReference"/>
          <w:rFonts w:ascii="Times New Roman" w:hAnsi="Times New Roman" w:cs="Times New Roman"/>
          <w:iCs/>
          <w:sz w:val="24"/>
          <w:szCs w:val="24"/>
        </w:rPr>
        <w:footnoteReference w:id="13"/>
      </w:r>
      <w:r w:rsidRPr="00C31A32">
        <w:rPr>
          <w:rFonts w:ascii="Times New Roman" w:hAnsi="Times New Roman" w:cs="Times New Roman"/>
          <w:i/>
          <w:sz w:val="24"/>
          <w:szCs w:val="24"/>
        </w:rPr>
        <w:t xml:space="preserve"> </w:t>
      </w:r>
      <w:r w:rsidRPr="00C31A32">
        <w:rPr>
          <w:rFonts w:ascii="Times New Roman" w:hAnsi="Times New Roman" w:cs="Times New Roman"/>
          <w:sz w:val="24"/>
          <w:szCs w:val="24"/>
        </w:rPr>
        <w:t xml:space="preserve">and </w:t>
      </w:r>
      <w:r w:rsidRPr="00C31A32">
        <w:rPr>
          <w:rFonts w:ascii="Times New Roman" w:hAnsi="Times New Roman" w:cs="Times New Roman"/>
          <w:i/>
          <w:sz w:val="24"/>
          <w:szCs w:val="24"/>
        </w:rPr>
        <w:t>The</w:t>
      </w:r>
      <w:r w:rsidRPr="00C31A32">
        <w:rPr>
          <w:rFonts w:ascii="Times New Roman" w:hAnsi="Times New Roman" w:cs="Times New Roman"/>
          <w:sz w:val="24"/>
          <w:szCs w:val="24"/>
        </w:rPr>
        <w:t xml:space="preserve"> </w:t>
      </w:r>
      <w:r w:rsidRPr="00C31A32">
        <w:rPr>
          <w:rFonts w:ascii="Times New Roman" w:hAnsi="Times New Roman" w:cs="Times New Roman"/>
          <w:i/>
          <w:sz w:val="24"/>
          <w:szCs w:val="24"/>
        </w:rPr>
        <w:t>Miseducation of Cameron Post</w:t>
      </w:r>
      <w:r w:rsidRPr="00C31A32">
        <w:rPr>
          <w:rStyle w:val="FootnoteReference"/>
          <w:rFonts w:ascii="Times New Roman" w:hAnsi="Times New Roman" w:cs="Times New Roman"/>
          <w:sz w:val="24"/>
          <w:szCs w:val="24"/>
        </w:rPr>
        <w:footnoteReference w:id="14"/>
      </w:r>
      <w:r w:rsidRPr="00C31A32">
        <w:rPr>
          <w:rFonts w:ascii="Times New Roman" w:hAnsi="Times New Roman" w:cs="Times New Roman"/>
          <w:sz w:val="24"/>
          <w:szCs w:val="24"/>
        </w:rPr>
        <w:t xml:space="preserve"> illuminating these harms to a wider audience. Furthermore, there is no evidence that ‘conversion therapy’ actually works.</w:t>
      </w:r>
      <w:r w:rsidRPr="00C31A32">
        <w:rPr>
          <w:rFonts w:ascii="Times New Roman" w:hAnsi="Times New Roman" w:cs="Times New Roman"/>
          <w:sz w:val="24"/>
          <w:szCs w:val="24"/>
          <w:vertAlign w:val="superscript"/>
        </w:rPr>
        <w:footnoteReference w:id="15"/>
      </w:r>
      <w:r w:rsidRPr="00C31A32">
        <w:rPr>
          <w:rFonts w:ascii="Times New Roman" w:hAnsi="Times New Roman" w:cs="Times New Roman"/>
          <w:sz w:val="24"/>
          <w:szCs w:val="24"/>
        </w:rPr>
        <w:t xml:space="preserve"> It is for those reasons that both the European Parliament</w:t>
      </w:r>
      <w:r w:rsidRPr="00C31A32">
        <w:rPr>
          <w:rStyle w:val="FootnoteReference"/>
          <w:rFonts w:ascii="Times New Roman" w:hAnsi="Times New Roman" w:cs="Times New Roman"/>
          <w:sz w:val="24"/>
          <w:szCs w:val="24"/>
        </w:rPr>
        <w:footnoteReference w:id="16"/>
      </w:r>
      <w:r w:rsidRPr="00C31A32">
        <w:rPr>
          <w:rFonts w:ascii="Times New Roman" w:hAnsi="Times New Roman" w:cs="Times New Roman"/>
          <w:sz w:val="24"/>
          <w:szCs w:val="24"/>
        </w:rPr>
        <w:t xml:space="preserve"> and the United Nations have called on states to take action against ‘conversion therapy’.</w:t>
      </w:r>
      <w:r w:rsidRPr="00C31A32">
        <w:rPr>
          <w:rFonts w:ascii="Times New Roman" w:hAnsi="Times New Roman" w:cs="Times New Roman"/>
          <w:sz w:val="24"/>
          <w:szCs w:val="24"/>
          <w:vertAlign w:val="superscript"/>
        </w:rPr>
        <w:footnoteReference w:id="17"/>
      </w:r>
      <w:r w:rsidRPr="00C31A32">
        <w:rPr>
          <w:rFonts w:ascii="Times New Roman" w:hAnsi="Times New Roman" w:cs="Times New Roman"/>
          <w:sz w:val="24"/>
          <w:szCs w:val="24"/>
        </w:rPr>
        <w:t xml:space="preserve"> But such declarations, although politically useful, do not answer crucial questions, such as whether international human rights law actually requires banning ‘conversion therapy’, and why. Answering that question has major theoretical </w:t>
      </w:r>
      <w:r w:rsidRPr="00C31A32">
        <w:rPr>
          <w:rFonts w:ascii="Times New Roman" w:hAnsi="Times New Roman" w:cs="Times New Roman"/>
          <w:sz w:val="24"/>
          <w:szCs w:val="24"/>
        </w:rPr>
        <w:lastRenderedPageBreak/>
        <w:t>and practical value, since any discussion of the human rights implications of ‘conversion therapy’ is central to any law reform efforts.</w:t>
      </w:r>
    </w:p>
    <w:p w14:paraId="2B56F7F7" w14:textId="0B61C049" w:rsidR="007118FA" w:rsidRPr="00C31A32" w:rsidRDefault="00CA2D40" w:rsidP="00D22B1E">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In this context, this article aims, firstly, to identify the reasons why ‘conversion therapy’ is morally wrong; and, secondly, to investigate what those reasons entail for the compatibility of the practice with the absolute prohibition of </w:t>
      </w:r>
      <w:r w:rsidR="00D22B1E" w:rsidRPr="00C31A32">
        <w:rPr>
          <w:rFonts w:ascii="Times New Roman" w:hAnsi="Times New Roman" w:cs="Times New Roman"/>
          <w:sz w:val="24"/>
          <w:szCs w:val="24"/>
        </w:rPr>
        <w:t>torture and C</w:t>
      </w:r>
      <w:r w:rsidRPr="00C31A32">
        <w:rPr>
          <w:rFonts w:ascii="Times New Roman" w:hAnsi="Times New Roman" w:cs="Times New Roman"/>
          <w:sz w:val="24"/>
          <w:szCs w:val="24"/>
        </w:rPr>
        <w:t>IDT under the ECHR and UK and international human rights law. To achieve those aims, the article advances two theoretical arguments. Firstly, it is argued that ‘conversion therapy’, which is fundamentally a problem of direct discrimination on the grounds of sexual orientation and gender identity, is intrinsically wrongful because it fails to respect the equal moral personhood of LGBTIQ+ people. ‘Conversion therapy’ disrespects LGBTIQ+ persons not only because it places them at real risk of grave physical and psychological harm; or only because it denies them specific freedoms related to sexuality and gender identity; or only because it depends on, and reflects, their social subordination. ‘Conversion therapy’ disrespects LGBTIQ+ persons for all those reasons, at the same time.</w:t>
      </w:r>
    </w:p>
    <w:p w14:paraId="5560570E" w14:textId="0DC9372A"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Secondly, does this distinctive combination of wrongs mean that all forms of ‘conversion therapy’ amount</w:t>
      </w:r>
      <w:r w:rsidR="00D22B1E" w:rsidRPr="00C31A32">
        <w:rPr>
          <w:rFonts w:ascii="Times New Roman" w:hAnsi="Times New Roman" w:cs="Times New Roman"/>
          <w:sz w:val="24"/>
          <w:szCs w:val="24"/>
        </w:rPr>
        <w:t xml:space="preserve"> at a minimum</w:t>
      </w:r>
      <w:r w:rsidRPr="00C31A32">
        <w:rPr>
          <w:rFonts w:ascii="Times New Roman" w:hAnsi="Times New Roman" w:cs="Times New Roman"/>
          <w:sz w:val="24"/>
          <w:szCs w:val="24"/>
        </w:rPr>
        <w:t xml:space="preserve"> to degrading treatment for the purposes of human rights law? </w:t>
      </w:r>
      <w:r w:rsidR="007118FA" w:rsidRPr="00C31A32">
        <w:rPr>
          <w:rFonts w:ascii="Times New Roman" w:hAnsi="Times New Roman" w:cs="Times New Roman"/>
          <w:sz w:val="24"/>
          <w:szCs w:val="24"/>
        </w:rPr>
        <w:t>Answering t</w:t>
      </w:r>
      <w:r w:rsidRPr="00C31A32">
        <w:rPr>
          <w:rFonts w:ascii="Times New Roman" w:hAnsi="Times New Roman" w:cs="Times New Roman"/>
          <w:sz w:val="24"/>
          <w:szCs w:val="24"/>
        </w:rPr>
        <w:t xml:space="preserve">his question </w:t>
      </w:r>
      <w:r w:rsidR="007118FA" w:rsidRPr="00C31A32">
        <w:rPr>
          <w:rFonts w:ascii="Times New Roman" w:hAnsi="Times New Roman" w:cs="Times New Roman"/>
          <w:sz w:val="24"/>
          <w:szCs w:val="24"/>
        </w:rPr>
        <w:t>requires engagement with the evaluative terms predicating the prohibition of torture</w:t>
      </w:r>
      <w:r w:rsidR="00D22B1E" w:rsidRPr="00C31A32">
        <w:rPr>
          <w:rFonts w:ascii="Times New Roman" w:hAnsi="Times New Roman" w:cs="Times New Roman"/>
          <w:sz w:val="24"/>
          <w:szCs w:val="24"/>
        </w:rPr>
        <w:t xml:space="preserve"> and CIDT</w:t>
      </w:r>
      <w:r w:rsidR="00EB343C" w:rsidRPr="00C31A32">
        <w:rPr>
          <w:rFonts w:ascii="Times New Roman" w:hAnsi="Times New Roman" w:cs="Times New Roman"/>
          <w:sz w:val="24"/>
          <w:szCs w:val="24"/>
        </w:rPr>
        <w:t>. Th</w:t>
      </w:r>
      <w:r w:rsidR="009170C7" w:rsidRPr="00C31A32">
        <w:rPr>
          <w:rFonts w:ascii="Times New Roman" w:hAnsi="Times New Roman" w:cs="Times New Roman"/>
          <w:sz w:val="24"/>
          <w:szCs w:val="24"/>
        </w:rPr>
        <w:t>at</w:t>
      </w:r>
      <w:r w:rsidR="00EB343C" w:rsidRPr="00C31A32">
        <w:rPr>
          <w:rFonts w:ascii="Times New Roman" w:hAnsi="Times New Roman" w:cs="Times New Roman"/>
          <w:sz w:val="24"/>
          <w:szCs w:val="24"/>
        </w:rPr>
        <w:t xml:space="preserve"> is essential</w:t>
      </w:r>
      <w:r w:rsidR="00D22B1E" w:rsidRPr="00C31A32">
        <w:rPr>
          <w:rFonts w:ascii="Times New Roman" w:hAnsi="Times New Roman" w:cs="Times New Roman"/>
          <w:sz w:val="24"/>
          <w:szCs w:val="24"/>
        </w:rPr>
        <w:t xml:space="preserve"> to </w:t>
      </w:r>
      <w:r w:rsidR="007118FA" w:rsidRPr="00C31A32">
        <w:rPr>
          <w:rFonts w:ascii="Times New Roman" w:hAnsi="Times New Roman" w:cs="Times New Roman"/>
          <w:sz w:val="24"/>
          <w:szCs w:val="24"/>
        </w:rPr>
        <w:t xml:space="preserve">show how ‘conversion therapy’ is </w:t>
      </w:r>
      <w:r w:rsidR="007118FA" w:rsidRPr="00C31A32">
        <w:rPr>
          <w:rFonts w:ascii="Times New Roman" w:hAnsi="Times New Roman" w:cs="Times New Roman"/>
          <w:i/>
          <w:iCs/>
          <w:sz w:val="24"/>
          <w:szCs w:val="24"/>
        </w:rPr>
        <w:t>relevantly</w:t>
      </w:r>
      <w:r w:rsidR="007118FA" w:rsidRPr="00C31A32">
        <w:rPr>
          <w:rFonts w:ascii="Times New Roman" w:hAnsi="Times New Roman" w:cs="Times New Roman"/>
          <w:sz w:val="24"/>
          <w:szCs w:val="24"/>
        </w:rPr>
        <w:t xml:space="preserve"> similar to examples of abuse that </w:t>
      </w:r>
      <w:r w:rsidR="00D22B1E" w:rsidRPr="00C31A32">
        <w:rPr>
          <w:rFonts w:ascii="Times New Roman" w:hAnsi="Times New Roman" w:cs="Times New Roman"/>
          <w:sz w:val="24"/>
          <w:szCs w:val="24"/>
        </w:rPr>
        <w:t>are recognised as</w:t>
      </w:r>
      <w:r w:rsidR="007118FA" w:rsidRPr="00C31A32">
        <w:rPr>
          <w:rFonts w:ascii="Times New Roman" w:hAnsi="Times New Roman" w:cs="Times New Roman"/>
          <w:sz w:val="24"/>
          <w:szCs w:val="24"/>
        </w:rPr>
        <w:t xml:space="preserve"> more typical forms of </w:t>
      </w:r>
      <w:r w:rsidR="00EB343C" w:rsidRPr="00C31A32">
        <w:rPr>
          <w:rFonts w:ascii="Times New Roman" w:hAnsi="Times New Roman" w:cs="Times New Roman"/>
          <w:sz w:val="24"/>
          <w:szCs w:val="24"/>
        </w:rPr>
        <w:t>degrading treatment</w:t>
      </w:r>
      <w:r w:rsidRPr="00C31A32">
        <w:rPr>
          <w:rFonts w:ascii="Times New Roman" w:hAnsi="Times New Roman" w:cs="Times New Roman"/>
          <w:sz w:val="24"/>
          <w:szCs w:val="24"/>
        </w:rPr>
        <w:t xml:space="preserve">. For that reason, this article analyses the meaning of ‘degrading’ treatment under Article 3 ECHR and argues that the term is conditioned by the ideas of human dignity and power. An act is degrading if it expresses the unequal moral worth of the other </w:t>
      </w:r>
      <w:r w:rsidRPr="00C31A32">
        <w:rPr>
          <w:rFonts w:ascii="Times New Roman" w:hAnsi="Times New Roman" w:cs="Times New Roman"/>
          <w:i/>
          <w:iCs/>
          <w:sz w:val="24"/>
          <w:szCs w:val="24"/>
        </w:rPr>
        <w:t xml:space="preserve">and </w:t>
      </w:r>
      <w:r w:rsidRPr="00C31A32">
        <w:rPr>
          <w:rFonts w:ascii="Times New Roman" w:hAnsi="Times New Roman" w:cs="Times New Roman"/>
          <w:sz w:val="24"/>
          <w:szCs w:val="24"/>
        </w:rPr>
        <w:t>if the acting person or entity has sufficient power or status over the victim such that their actions can put them down.</w:t>
      </w:r>
      <w:r w:rsidRPr="00C31A32">
        <w:rPr>
          <w:rStyle w:val="FootnoteReference"/>
          <w:rFonts w:ascii="Times New Roman" w:hAnsi="Times New Roman" w:cs="Times New Roman"/>
          <w:sz w:val="24"/>
          <w:szCs w:val="24"/>
        </w:rPr>
        <w:footnoteReference w:id="18"/>
      </w:r>
      <w:r w:rsidRPr="00C31A32">
        <w:rPr>
          <w:rFonts w:ascii="Times New Roman" w:hAnsi="Times New Roman" w:cs="Times New Roman"/>
          <w:sz w:val="24"/>
          <w:szCs w:val="24"/>
        </w:rPr>
        <w:t xml:space="preserve"> It is also argued that the intentions of the agent and the perception of the victim are not necessary conditions of degrading treatment, whereas the consequences of ill-treatment for individual interests do play an important role.</w:t>
      </w:r>
    </w:p>
    <w:p w14:paraId="6BF89A5C" w14:textId="06D9DE35"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The article then applies this account of degrading treatment to ‘physical’ forms; forcible forms; and, finally, ‘non-physical’ and non-forcible forms of ‘conversion therapy’. It is concluded that all forms of ‘conversion therapy’ amount at a minimum to degrading treatment in human rights law. Some violent ‘physical’ forms of ‘conversion therapy’ may amount to torture instead of degrading treatment, but their position within the architecture of the prohibition of </w:t>
      </w:r>
      <w:r w:rsidR="00BC2189" w:rsidRPr="00C31A32">
        <w:rPr>
          <w:rFonts w:ascii="Times New Roman" w:hAnsi="Times New Roman" w:cs="Times New Roman"/>
          <w:sz w:val="24"/>
          <w:szCs w:val="24"/>
        </w:rPr>
        <w:t xml:space="preserve">torture </w:t>
      </w:r>
      <w:r w:rsidR="00B641B9" w:rsidRPr="00C31A32">
        <w:rPr>
          <w:rFonts w:ascii="Times New Roman" w:hAnsi="Times New Roman" w:cs="Times New Roman"/>
          <w:sz w:val="24"/>
          <w:szCs w:val="24"/>
        </w:rPr>
        <w:t>or</w:t>
      </w:r>
      <w:r w:rsidR="00BC2189" w:rsidRPr="00C31A32">
        <w:rPr>
          <w:rFonts w:ascii="Times New Roman" w:hAnsi="Times New Roman" w:cs="Times New Roman"/>
          <w:sz w:val="24"/>
          <w:szCs w:val="24"/>
        </w:rPr>
        <w:t xml:space="preserve"> C</w:t>
      </w:r>
      <w:r w:rsidRPr="00C31A32">
        <w:rPr>
          <w:rFonts w:ascii="Times New Roman" w:hAnsi="Times New Roman" w:cs="Times New Roman"/>
          <w:sz w:val="24"/>
          <w:szCs w:val="24"/>
        </w:rPr>
        <w:t xml:space="preserve">IDT depends on their intensity in the context of the case. Since </w:t>
      </w:r>
      <w:r w:rsidR="00755C22" w:rsidRPr="00C31A32">
        <w:rPr>
          <w:rFonts w:ascii="Times New Roman" w:hAnsi="Times New Roman" w:cs="Times New Roman"/>
          <w:sz w:val="24"/>
          <w:szCs w:val="24"/>
        </w:rPr>
        <w:t xml:space="preserve">all forms of </w:t>
      </w:r>
      <w:r w:rsidRPr="00C31A32">
        <w:rPr>
          <w:rFonts w:ascii="Times New Roman" w:hAnsi="Times New Roman" w:cs="Times New Roman"/>
          <w:sz w:val="24"/>
          <w:szCs w:val="24"/>
        </w:rPr>
        <w:t xml:space="preserve">‘conversion therapy’ fall within the scope of </w:t>
      </w:r>
      <w:r w:rsidR="009170C7" w:rsidRPr="00C31A32">
        <w:rPr>
          <w:rFonts w:ascii="Times New Roman" w:hAnsi="Times New Roman" w:cs="Times New Roman"/>
          <w:sz w:val="24"/>
          <w:szCs w:val="24"/>
        </w:rPr>
        <w:t>the prohibition</w:t>
      </w:r>
      <w:r w:rsidRPr="00C31A32">
        <w:rPr>
          <w:rFonts w:ascii="Times New Roman" w:hAnsi="Times New Roman" w:cs="Times New Roman"/>
          <w:sz w:val="24"/>
          <w:szCs w:val="24"/>
        </w:rPr>
        <w:t>, the article ends with an examination of the positive state obligations in this area.</w:t>
      </w:r>
    </w:p>
    <w:p w14:paraId="7C9F2F68" w14:textId="01F2718D" w:rsidR="00E2631B" w:rsidRPr="00C31A32" w:rsidRDefault="00EF70D3"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M</w:t>
      </w:r>
      <w:r w:rsidR="009170C7" w:rsidRPr="00C31A32">
        <w:rPr>
          <w:rFonts w:ascii="Times New Roman" w:hAnsi="Times New Roman" w:cs="Times New Roman"/>
          <w:sz w:val="24"/>
          <w:szCs w:val="24"/>
        </w:rPr>
        <w:t xml:space="preserve">ost </w:t>
      </w:r>
      <w:r w:rsidR="00CA2D40" w:rsidRPr="00C31A32">
        <w:rPr>
          <w:rFonts w:ascii="Times New Roman" w:hAnsi="Times New Roman" w:cs="Times New Roman"/>
          <w:sz w:val="24"/>
          <w:szCs w:val="24"/>
        </w:rPr>
        <w:t>parts of the discussion focus on Article 3</w:t>
      </w:r>
      <w:r w:rsidRPr="00C31A32">
        <w:rPr>
          <w:rFonts w:ascii="Times New Roman" w:hAnsi="Times New Roman" w:cs="Times New Roman"/>
          <w:sz w:val="24"/>
          <w:szCs w:val="24"/>
        </w:rPr>
        <w:t xml:space="preserve"> ECHR. However,</w:t>
      </w:r>
      <w:r w:rsidR="00CA2D40" w:rsidRPr="00C31A32">
        <w:rPr>
          <w:rFonts w:ascii="Times New Roman" w:hAnsi="Times New Roman" w:cs="Times New Roman"/>
          <w:sz w:val="24"/>
          <w:szCs w:val="24"/>
        </w:rPr>
        <w:t xml:space="preserve"> the overarching argument, namely that all forms of ‘conversion therapy’ amount at a minimum to degrading treatment, is not contingent on the ECHR. Th</w:t>
      </w:r>
      <w:r w:rsidRPr="00C31A32">
        <w:rPr>
          <w:rFonts w:ascii="Times New Roman" w:hAnsi="Times New Roman" w:cs="Times New Roman"/>
          <w:sz w:val="24"/>
          <w:szCs w:val="24"/>
        </w:rPr>
        <w:t>e</w:t>
      </w:r>
      <w:r w:rsidR="00CA2D40" w:rsidRPr="00C31A32">
        <w:rPr>
          <w:rFonts w:ascii="Times New Roman" w:hAnsi="Times New Roman" w:cs="Times New Roman"/>
          <w:sz w:val="24"/>
          <w:szCs w:val="24"/>
        </w:rPr>
        <w:t xml:space="preserve"> article’s arguments on the wrongness of ‘conversion therapy’; the meaning of degrading treatment in human rights law; and the positive state obligations arising from the relationship between those two, apply </w:t>
      </w:r>
      <w:r w:rsidR="009170C7" w:rsidRPr="00C31A32">
        <w:rPr>
          <w:rFonts w:ascii="Times New Roman" w:hAnsi="Times New Roman" w:cs="Times New Roman"/>
          <w:sz w:val="24"/>
          <w:szCs w:val="24"/>
        </w:rPr>
        <w:t>more broadly to international human rights law.</w:t>
      </w:r>
    </w:p>
    <w:p w14:paraId="3B46B94D" w14:textId="6BE6A161" w:rsidR="00CA2D40" w:rsidRPr="00C31A32" w:rsidRDefault="00EF70D3"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lastRenderedPageBreak/>
        <w:t>Moreover</w:t>
      </w:r>
      <w:r w:rsidR="00862A7D" w:rsidRPr="00C31A32">
        <w:rPr>
          <w:rFonts w:ascii="Times New Roman" w:hAnsi="Times New Roman" w:cs="Times New Roman"/>
          <w:sz w:val="24"/>
          <w:szCs w:val="24"/>
        </w:rPr>
        <w:t>,</w:t>
      </w:r>
      <w:r w:rsidRPr="00C31A32">
        <w:rPr>
          <w:rFonts w:ascii="Times New Roman" w:hAnsi="Times New Roman" w:cs="Times New Roman"/>
          <w:sz w:val="24"/>
          <w:szCs w:val="24"/>
        </w:rPr>
        <w:t xml:space="preserve"> although</w:t>
      </w:r>
      <w:r w:rsidR="009614CA" w:rsidRPr="00C31A32">
        <w:rPr>
          <w:rFonts w:ascii="Times New Roman" w:hAnsi="Times New Roman" w:cs="Times New Roman"/>
          <w:sz w:val="24"/>
          <w:szCs w:val="24"/>
        </w:rPr>
        <w:t xml:space="preserve"> </w:t>
      </w:r>
      <w:r w:rsidRPr="00C31A32">
        <w:rPr>
          <w:rFonts w:ascii="Times New Roman" w:hAnsi="Times New Roman" w:cs="Times New Roman"/>
          <w:sz w:val="24"/>
          <w:szCs w:val="24"/>
        </w:rPr>
        <w:t>most of the discussion</w:t>
      </w:r>
      <w:r w:rsidR="00E2631B" w:rsidRPr="00C31A32">
        <w:rPr>
          <w:rFonts w:ascii="Times New Roman" w:hAnsi="Times New Roman" w:cs="Times New Roman"/>
          <w:sz w:val="24"/>
          <w:szCs w:val="24"/>
        </w:rPr>
        <w:t xml:space="preserve"> focus</w:t>
      </w:r>
      <w:r w:rsidRPr="00C31A32">
        <w:rPr>
          <w:rFonts w:ascii="Times New Roman" w:hAnsi="Times New Roman" w:cs="Times New Roman"/>
          <w:sz w:val="24"/>
          <w:szCs w:val="24"/>
        </w:rPr>
        <w:t>es</w:t>
      </w:r>
      <w:r w:rsidR="00E2631B" w:rsidRPr="00C31A32">
        <w:rPr>
          <w:rFonts w:ascii="Times New Roman" w:hAnsi="Times New Roman" w:cs="Times New Roman"/>
          <w:sz w:val="24"/>
          <w:szCs w:val="24"/>
        </w:rPr>
        <w:t xml:space="preserve"> on sexuality</w:t>
      </w:r>
      <w:r w:rsidR="00862A7D" w:rsidRPr="00C31A32">
        <w:rPr>
          <w:rFonts w:ascii="Times New Roman" w:hAnsi="Times New Roman" w:cs="Times New Roman"/>
          <w:sz w:val="24"/>
          <w:szCs w:val="24"/>
        </w:rPr>
        <w:t>,</w:t>
      </w:r>
      <w:r w:rsidR="00E2631B" w:rsidRPr="00C31A32">
        <w:rPr>
          <w:rFonts w:ascii="Times New Roman" w:hAnsi="Times New Roman" w:cs="Times New Roman"/>
          <w:sz w:val="24"/>
          <w:szCs w:val="24"/>
        </w:rPr>
        <w:t xml:space="preserve"> the </w:t>
      </w:r>
      <w:r w:rsidR="00CA2D40" w:rsidRPr="00C31A32">
        <w:rPr>
          <w:rFonts w:ascii="Times New Roman" w:hAnsi="Times New Roman" w:cs="Times New Roman"/>
          <w:sz w:val="24"/>
          <w:szCs w:val="24"/>
        </w:rPr>
        <w:t xml:space="preserve">proposed account </w:t>
      </w:r>
      <w:r w:rsidR="00601FD4" w:rsidRPr="00C31A32">
        <w:rPr>
          <w:rFonts w:ascii="Times New Roman" w:hAnsi="Times New Roman" w:cs="Times New Roman"/>
          <w:sz w:val="24"/>
          <w:szCs w:val="24"/>
        </w:rPr>
        <w:t>covers</w:t>
      </w:r>
      <w:r w:rsidR="00CA2D40" w:rsidRPr="00C31A32">
        <w:rPr>
          <w:rFonts w:ascii="Times New Roman" w:hAnsi="Times New Roman" w:cs="Times New Roman"/>
          <w:sz w:val="24"/>
          <w:szCs w:val="24"/>
        </w:rPr>
        <w:t xml:space="preserve"> ‘conversion therapies’ targeting either sexuality or gender identity</w:t>
      </w:r>
      <w:r w:rsidR="00862A7D" w:rsidRPr="00C31A32">
        <w:rPr>
          <w:rFonts w:ascii="Times New Roman" w:hAnsi="Times New Roman" w:cs="Times New Roman"/>
          <w:sz w:val="24"/>
          <w:szCs w:val="24"/>
        </w:rPr>
        <w:t xml:space="preserve"> or both</w:t>
      </w:r>
      <w:r w:rsidR="00CA2D40" w:rsidRPr="00C31A32">
        <w:rPr>
          <w:rFonts w:ascii="Times New Roman" w:hAnsi="Times New Roman" w:cs="Times New Roman"/>
          <w:sz w:val="24"/>
          <w:szCs w:val="24"/>
        </w:rPr>
        <w:t xml:space="preserve">. </w:t>
      </w:r>
      <w:r w:rsidRPr="00C31A32">
        <w:rPr>
          <w:rFonts w:ascii="Times New Roman" w:hAnsi="Times New Roman" w:cs="Times New Roman"/>
          <w:sz w:val="24"/>
          <w:szCs w:val="24"/>
        </w:rPr>
        <w:t>We are aware that</w:t>
      </w:r>
      <w:r w:rsidR="00862A7D" w:rsidRPr="00C31A32">
        <w:rPr>
          <w:rFonts w:ascii="Times New Roman" w:hAnsi="Times New Roman" w:cs="Times New Roman"/>
          <w:sz w:val="24"/>
          <w:szCs w:val="24"/>
        </w:rPr>
        <w:t xml:space="preserve"> </w:t>
      </w:r>
      <w:r w:rsidR="00CA2D40" w:rsidRPr="00C31A32">
        <w:rPr>
          <w:rFonts w:ascii="Times New Roman" w:hAnsi="Times New Roman" w:cs="Times New Roman"/>
          <w:sz w:val="24"/>
          <w:szCs w:val="24"/>
        </w:rPr>
        <w:t>medical or therapeutic interventions related to gender identity do raise their own specific</w:t>
      </w:r>
      <w:r w:rsidRPr="00C31A32">
        <w:rPr>
          <w:rFonts w:ascii="Times New Roman" w:hAnsi="Times New Roman" w:cs="Times New Roman"/>
          <w:sz w:val="24"/>
          <w:szCs w:val="24"/>
        </w:rPr>
        <w:t xml:space="preserve"> ethical and socio-legal</w:t>
      </w:r>
      <w:r w:rsidR="00CA2D40" w:rsidRPr="00C31A32">
        <w:rPr>
          <w:rFonts w:ascii="Times New Roman" w:hAnsi="Times New Roman" w:cs="Times New Roman"/>
          <w:sz w:val="24"/>
          <w:szCs w:val="24"/>
        </w:rPr>
        <w:t xml:space="preserve"> questions. Those fall beyond the scope of this article. </w:t>
      </w:r>
      <w:r w:rsidR="00411565" w:rsidRPr="00C31A32">
        <w:rPr>
          <w:rFonts w:ascii="Times New Roman" w:hAnsi="Times New Roman" w:cs="Times New Roman"/>
          <w:sz w:val="24"/>
          <w:szCs w:val="24"/>
        </w:rPr>
        <w:t xml:space="preserve">That said, it </w:t>
      </w:r>
      <w:r w:rsidR="00CA2D40" w:rsidRPr="00C31A32">
        <w:rPr>
          <w:rFonts w:ascii="Times New Roman" w:hAnsi="Times New Roman" w:cs="Times New Roman"/>
          <w:sz w:val="24"/>
          <w:szCs w:val="24"/>
        </w:rPr>
        <w:t xml:space="preserve">is important to clarify </w:t>
      </w:r>
      <w:r w:rsidR="00675959" w:rsidRPr="00C31A32">
        <w:rPr>
          <w:rFonts w:ascii="Times New Roman" w:hAnsi="Times New Roman" w:cs="Times New Roman"/>
          <w:sz w:val="24"/>
          <w:szCs w:val="24"/>
        </w:rPr>
        <w:t>from the outset</w:t>
      </w:r>
      <w:r w:rsidR="00CA2D40" w:rsidRPr="00C31A32">
        <w:rPr>
          <w:rFonts w:ascii="Times New Roman" w:hAnsi="Times New Roman" w:cs="Times New Roman"/>
          <w:sz w:val="24"/>
          <w:szCs w:val="24"/>
        </w:rPr>
        <w:t xml:space="preserve"> that therapeutic interventions that do not pathologise any sexualities or gender identities but aim to provide acceptance and support to a person, do not amount to ‘conversion therapy’. Such interventions lack the element of </w:t>
      </w:r>
      <w:proofErr w:type="spellStart"/>
      <w:r w:rsidR="00CA2D40" w:rsidRPr="00C31A32">
        <w:rPr>
          <w:rFonts w:ascii="Times New Roman" w:hAnsi="Times New Roman" w:cs="Times New Roman"/>
          <w:sz w:val="24"/>
          <w:szCs w:val="24"/>
        </w:rPr>
        <w:t>pathologisation</w:t>
      </w:r>
      <w:proofErr w:type="spellEnd"/>
      <w:r w:rsidR="00CA2D40" w:rsidRPr="00C31A32">
        <w:rPr>
          <w:rFonts w:ascii="Times New Roman" w:hAnsi="Times New Roman" w:cs="Times New Roman"/>
          <w:sz w:val="24"/>
          <w:szCs w:val="24"/>
        </w:rPr>
        <w:t xml:space="preserve"> of certain sexualities or gender identities that all forms of ‘conversion therapy’ share, and therefore fall outside its scope.</w:t>
      </w:r>
      <w:r w:rsidR="00601FD4" w:rsidRPr="00C31A32">
        <w:rPr>
          <w:rStyle w:val="FootnoteReference"/>
          <w:rFonts w:ascii="Times New Roman" w:hAnsi="Times New Roman" w:cs="Times New Roman"/>
          <w:sz w:val="24"/>
          <w:szCs w:val="24"/>
        </w:rPr>
        <w:footnoteReference w:id="19"/>
      </w:r>
    </w:p>
    <w:p w14:paraId="7FC62F70" w14:textId="2C7B95D1" w:rsidR="00CA2D40" w:rsidRPr="00C31A32" w:rsidRDefault="00CA2D40" w:rsidP="000215BB">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The discussion unfolds in four sections. The first section pieces together a definition of ‘conversion therapy’ based on research by the UN and medical organisations. The second section analyses the wrongness of ‘conversion therapy’. Following that, the third section offers an interpretation of degrading treatment under Article 3, and then applies that interpretation to ‘conversion therapy’. The final section analyses the consequences of the claim that all forms of ‘conversion therapy’ violate the prohibition of </w:t>
      </w:r>
      <w:r w:rsidR="00964E75" w:rsidRPr="00C31A32">
        <w:rPr>
          <w:rFonts w:ascii="Times New Roman" w:hAnsi="Times New Roman" w:cs="Times New Roman"/>
          <w:sz w:val="24"/>
          <w:szCs w:val="24"/>
        </w:rPr>
        <w:t>torture or CIDT</w:t>
      </w:r>
      <w:r w:rsidRPr="00C31A32">
        <w:rPr>
          <w:rFonts w:ascii="Times New Roman" w:hAnsi="Times New Roman" w:cs="Times New Roman"/>
          <w:sz w:val="24"/>
          <w:szCs w:val="24"/>
        </w:rPr>
        <w:t xml:space="preserve"> for the positive state obligations in this context.</w:t>
      </w:r>
    </w:p>
    <w:p w14:paraId="1C2F33D1" w14:textId="59E397F0" w:rsidR="00A64B88" w:rsidRPr="00C31A32" w:rsidRDefault="00A64B88" w:rsidP="000215BB">
      <w:pPr>
        <w:spacing w:after="0" w:line="276" w:lineRule="auto"/>
        <w:ind w:firstLine="567"/>
        <w:jc w:val="both"/>
        <w:rPr>
          <w:rFonts w:ascii="Times New Roman" w:hAnsi="Times New Roman" w:cs="Times New Roman"/>
          <w:sz w:val="24"/>
          <w:szCs w:val="24"/>
        </w:rPr>
      </w:pPr>
    </w:p>
    <w:p w14:paraId="529A3CF2" w14:textId="77777777" w:rsidR="004866F8" w:rsidRPr="00C31A32" w:rsidRDefault="004866F8" w:rsidP="001B5136">
      <w:pPr>
        <w:spacing w:after="0" w:line="276" w:lineRule="auto"/>
        <w:jc w:val="both"/>
        <w:rPr>
          <w:rFonts w:ascii="Times New Roman" w:hAnsi="Times New Roman" w:cs="Times New Roman"/>
          <w:sz w:val="24"/>
          <w:szCs w:val="24"/>
        </w:rPr>
      </w:pPr>
    </w:p>
    <w:p w14:paraId="7116C7E2" w14:textId="77777777" w:rsidR="00CA2D40" w:rsidRPr="00C31A32" w:rsidRDefault="00CA2D40" w:rsidP="00CA2D40">
      <w:pPr>
        <w:pStyle w:val="ListParagraph"/>
        <w:numPr>
          <w:ilvl w:val="0"/>
          <w:numId w:val="13"/>
        </w:numPr>
        <w:spacing w:after="0" w:line="276" w:lineRule="auto"/>
        <w:jc w:val="center"/>
        <w:rPr>
          <w:rFonts w:ascii="Times New Roman" w:hAnsi="Times New Roman" w:cs="Times New Roman"/>
          <w:i/>
          <w:iCs/>
          <w:sz w:val="28"/>
          <w:szCs w:val="28"/>
        </w:rPr>
      </w:pPr>
      <w:r w:rsidRPr="00C31A32">
        <w:rPr>
          <w:rFonts w:ascii="Times New Roman" w:hAnsi="Times New Roman" w:cs="Times New Roman"/>
          <w:i/>
          <w:iCs/>
          <w:sz w:val="28"/>
          <w:szCs w:val="28"/>
        </w:rPr>
        <w:t>What Is ‘Conversion Therapy’?</w:t>
      </w:r>
    </w:p>
    <w:p w14:paraId="11FF0E08" w14:textId="77777777" w:rsidR="00CA2D40" w:rsidRPr="00C31A32" w:rsidRDefault="00CA2D40" w:rsidP="00CA2D40">
      <w:pPr>
        <w:spacing w:after="0" w:line="276" w:lineRule="auto"/>
        <w:jc w:val="both"/>
        <w:rPr>
          <w:rFonts w:ascii="Times New Roman" w:hAnsi="Times New Roman" w:cs="Times New Roman"/>
          <w:b/>
          <w:bCs/>
          <w:sz w:val="24"/>
          <w:szCs w:val="24"/>
        </w:rPr>
      </w:pPr>
    </w:p>
    <w:p w14:paraId="00CA1629" w14:textId="77777777" w:rsidR="00CA2D40" w:rsidRPr="00C31A32" w:rsidRDefault="00CA2D40" w:rsidP="00CA2D40">
      <w:pPr>
        <w:spacing w:after="0" w:line="276" w:lineRule="auto"/>
        <w:jc w:val="both"/>
        <w:rPr>
          <w:rFonts w:ascii="Times New Roman" w:hAnsi="Times New Roman" w:cs="Times New Roman"/>
          <w:sz w:val="24"/>
          <w:szCs w:val="24"/>
        </w:rPr>
      </w:pPr>
      <w:r w:rsidRPr="00C31A32">
        <w:rPr>
          <w:rFonts w:ascii="Times New Roman" w:hAnsi="Times New Roman" w:cs="Times New Roman"/>
          <w:sz w:val="24"/>
          <w:szCs w:val="24"/>
        </w:rPr>
        <w:t xml:space="preserve">This article began with the definition of ‘conversion therapy’ by the UN Independent Expert on Sexual Orientation and Gender Identity. This definition draws on work by established medical organisations, such as the definition used in the 2017 Memorandum of Understanding signed by leading UK health bodies and the NHS. There, ‘conversion therapy’ is described as: </w:t>
      </w:r>
    </w:p>
    <w:p w14:paraId="63C0E0C9" w14:textId="77777777" w:rsidR="00CA2D40" w:rsidRPr="00C31A32" w:rsidRDefault="00CA2D40" w:rsidP="00CA2D40">
      <w:pPr>
        <w:spacing w:after="0" w:line="276" w:lineRule="auto"/>
        <w:jc w:val="both"/>
        <w:rPr>
          <w:rFonts w:ascii="Times New Roman" w:hAnsi="Times New Roman" w:cs="Times New Roman"/>
          <w:sz w:val="24"/>
          <w:szCs w:val="24"/>
        </w:rPr>
      </w:pPr>
    </w:p>
    <w:p w14:paraId="797C5A35" w14:textId="77777777" w:rsidR="00CA2D40" w:rsidRPr="00C31A32" w:rsidRDefault="00CA2D40" w:rsidP="00CA2D40">
      <w:pPr>
        <w:spacing w:after="0" w:line="276" w:lineRule="auto"/>
        <w:ind w:left="284" w:right="231"/>
        <w:jc w:val="both"/>
        <w:rPr>
          <w:rFonts w:ascii="Times New Roman" w:hAnsi="Times New Roman" w:cs="Times New Roman"/>
          <w:sz w:val="24"/>
          <w:szCs w:val="24"/>
        </w:rPr>
      </w:pPr>
      <w:r w:rsidRPr="00C31A32">
        <w:rPr>
          <w:rFonts w:ascii="Times New Roman" w:hAnsi="Times New Roman" w:cs="Times New Roman"/>
          <w:sz w:val="24"/>
          <w:szCs w:val="24"/>
        </w:rPr>
        <w:t>a therapeutic approach, or any model or individual viewpoint that demonstrates any assumption that any sexual orientation or gender identity is inherently preferable to any other, and which attempts to bring about a change of sexual orientation or gender identity or seeks to supress an individual’s expression of sexual orientation or gender identity on that basis.’</w:t>
      </w:r>
      <w:r w:rsidRPr="00C31A32">
        <w:rPr>
          <w:rFonts w:ascii="Times New Roman" w:hAnsi="Times New Roman" w:cs="Times New Roman"/>
          <w:sz w:val="24"/>
          <w:szCs w:val="24"/>
          <w:vertAlign w:val="superscript"/>
        </w:rPr>
        <w:footnoteReference w:id="20"/>
      </w:r>
    </w:p>
    <w:p w14:paraId="329D8ABB" w14:textId="77777777" w:rsidR="00CA2D40" w:rsidRPr="00C31A32" w:rsidRDefault="00CA2D40" w:rsidP="00CA2D40">
      <w:pPr>
        <w:spacing w:after="0" w:line="276" w:lineRule="auto"/>
        <w:jc w:val="both"/>
        <w:rPr>
          <w:rFonts w:ascii="Times New Roman" w:hAnsi="Times New Roman" w:cs="Times New Roman"/>
          <w:sz w:val="24"/>
          <w:szCs w:val="24"/>
        </w:rPr>
      </w:pPr>
    </w:p>
    <w:p w14:paraId="60DFFBED" w14:textId="7829A8E0" w:rsidR="00CA2D40" w:rsidRPr="00C31A32" w:rsidRDefault="00CA2D40" w:rsidP="00CA2D40">
      <w:pPr>
        <w:spacing w:after="0" w:line="276" w:lineRule="auto"/>
        <w:jc w:val="both"/>
        <w:rPr>
          <w:rFonts w:ascii="Times New Roman" w:hAnsi="Times New Roman" w:cs="Times New Roman"/>
          <w:sz w:val="24"/>
          <w:szCs w:val="24"/>
        </w:rPr>
      </w:pPr>
      <w:r w:rsidRPr="00C31A32">
        <w:rPr>
          <w:rFonts w:ascii="Times New Roman" w:hAnsi="Times New Roman" w:cs="Times New Roman"/>
          <w:sz w:val="24"/>
          <w:szCs w:val="24"/>
        </w:rPr>
        <w:t>‘Conversion therapy’ is an ‘umbrella term’ to describe ‘a multitude of practices and methods’ to change or suppress an individual’s sexuality or gender identity.</w:t>
      </w:r>
      <w:r w:rsidRPr="00C31A32">
        <w:rPr>
          <w:rFonts w:ascii="Times New Roman" w:hAnsi="Times New Roman" w:cs="Times New Roman"/>
          <w:sz w:val="24"/>
          <w:szCs w:val="24"/>
          <w:vertAlign w:val="superscript"/>
        </w:rPr>
        <w:footnoteReference w:id="21"/>
      </w:r>
      <w:r w:rsidRPr="00C31A32">
        <w:rPr>
          <w:rFonts w:ascii="Times New Roman" w:hAnsi="Times New Roman" w:cs="Times New Roman"/>
          <w:sz w:val="24"/>
          <w:szCs w:val="24"/>
        </w:rPr>
        <w:t xml:space="preserve"> Each involve ‘attempts to pathologize and erase the identity of individuals.’</w:t>
      </w:r>
      <w:r w:rsidRPr="00C31A32">
        <w:rPr>
          <w:rFonts w:ascii="Times New Roman" w:hAnsi="Times New Roman" w:cs="Times New Roman"/>
          <w:sz w:val="24"/>
          <w:szCs w:val="24"/>
          <w:vertAlign w:val="superscript"/>
        </w:rPr>
        <w:footnoteReference w:id="22"/>
      </w:r>
      <w:r w:rsidRPr="00C31A32">
        <w:rPr>
          <w:rFonts w:ascii="Times New Roman" w:hAnsi="Times New Roman" w:cs="Times New Roman"/>
          <w:sz w:val="24"/>
          <w:szCs w:val="24"/>
        </w:rPr>
        <w:t xml:space="preserve"> A </w:t>
      </w:r>
      <w:r w:rsidR="00AD791C" w:rsidRPr="00C31A32">
        <w:rPr>
          <w:rFonts w:ascii="Times New Roman" w:hAnsi="Times New Roman" w:cs="Times New Roman"/>
          <w:sz w:val="24"/>
          <w:szCs w:val="24"/>
        </w:rPr>
        <w:t xml:space="preserve">wide range </w:t>
      </w:r>
      <w:r w:rsidRPr="00C31A32">
        <w:rPr>
          <w:rFonts w:ascii="Times New Roman" w:hAnsi="Times New Roman" w:cs="Times New Roman"/>
          <w:sz w:val="24"/>
          <w:szCs w:val="24"/>
        </w:rPr>
        <w:t>of practices have been reported including ‘corrective’ rape and sexual assault,</w:t>
      </w:r>
      <w:r w:rsidRPr="00C31A32">
        <w:rPr>
          <w:rFonts w:ascii="Times New Roman" w:hAnsi="Times New Roman" w:cs="Times New Roman"/>
          <w:sz w:val="24"/>
          <w:szCs w:val="24"/>
          <w:vertAlign w:val="superscript"/>
        </w:rPr>
        <w:footnoteReference w:id="23"/>
      </w:r>
      <w:r w:rsidRPr="00C31A32">
        <w:rPr>
          <w:rFonts w:ascii="Times New Roman" w:hAnsi="Times New Roman" w:cs="Times New Roman"/>
          <w:sz w:val="24"/>
          <w:szCs w:val="24"/>
        </w:rPr>
        <w:t xml:space="preserve"> imprisonment and kidnapping,</w:t>
      </w:r>
      <w:r w:rsidRPr="00C31A32">
        <w:rPr>
          <w:rFonts w:ascii="Times New Roman" w:hAnsi="Times New Roman" w:cs="Times New Roman"/>
          <w:sz w:val="24"/>
          <w:szCs w:val="24"/>
          <w:vertAlign w:val="superscript"/>
        </w:rPr>
        <w:footnoteReference w:id="24"/>
      </w:r>
      <w:r w:rsidRPr="00C31A32">
        <w:rPr>
          <w:rFonts w:ascii="Times New Roman" w:hAnsi="Times New Roman" w:cs="Times New Roman"/>
          <w:sz w:val="24"/>
          <w:szCs w:val="24"/>
        </w:rPr>
        <w:t xml:space="preserve"> </w:t>
      </w:r>
      <w:r w:rsidRPr="00C31A32">
        <w:rPr>
          <w:rFonts w:ascii="Times New Roman" w:hAnsi="Times New Roman" w:cs="Times New Roman"/>
          <w:sz w:val="24"/>
          <w:szCs w:val="24"/>
        </w:rPr>
        <w:lastRenderedPageBreak/>
        <w:t>physical abuse,</w:t>
      </w:r>
      <w:r w:rsidRPr="00C31A32">
        <w:rPr>
          <w:rFonts w:ascii="Times New Roman" w:hAnsi="Times New Roman" w:cs="Times New Roman"/>
          <w:sz w:val="24"/>
          <w:szCs w:val="24"/>
          <w:vertAlign w:val="superscript"/>
        </w:rPr>
        <w:footnoteReference w:id="25"/>
      </w:r>
      <w:r w:rsidRPr="00C31A32">
        <w:rPr>
          <w:rFonts w:ascii="Times New Roman" w:hAnsi="Times New Roman" w:cs="Times New Roman"/>
          <w:sz w:val="24"/>
          <w:szCs w:val="24"/>
        </w:rPr>
        <w:t xml:space="preserve"> electroconvulsive shock treatments,</w:t>
      </w:r>
      <w:r w:rsidRPr="00C31A32">
        <w:rPr>
          <w:rFonts w:ascii="Times New Roman" w:hAnsi="Times New Roman" w:cs="Times New Roman"/>
          <w:sz w:val="24"/>
          <w:szCs w:val="24"/>
          <w:vertAlign w:val="superscript"/>
        </w:rPr>
        <w:footnoteReference w:id="26"/>
      </w:r>
      <w:r w:rsidRPr="00C31A32">
        <w:rPr>
          <w:rFonts w:ascii="Times New Roman" w:hAnsi="Times New Roman" w:cs="Times New Roman"/>
          <w:sz w:val="24"/>
          <w:szCs w:val="24"/>
        </w:rPr>
        <w:t xml:space="preserve"> hormone treatments,</w:t>
      </w:r>
      <w:r w:rsidRPr="00C31A32">
        <w:rPr>
          <w:rFonts w:ascii="Times New Roman" w:hAnsi="Times New Roman" w:cs="Times New Roman"/>
          <w:sz w:val="24"/>
          <w:szCs w:val="24"/>
          <w:vertAlign w:val="superscript"/>
        </w:rPr>
        <w:footnoteReference w:id="27"/>
      </w:r>
      <w:r w:rsidRPr="00C31A32">
        <w:rPr>
          <w:rFonts w:ascii="Times New Roman" w:hAnsi="Times New Roman" w:cs="Times New Roman"/>
          <w:sz w:val="24"/>
          <w:szCs w:val="24"/>
        </w:rPr>
        <w:t xml:space="preserve"> and ‘aversion’ therapy.’</w:t>
      </w:r>
      <w:r w:rsidRPr="00C31A32">
        <w:rPr>
          <w:rFonts w:ascii="Times New Roman" w:hAnsi="Times New Roman" w:cs="Times New Roman"/>
          <w:sz w:val="24"/>
          <w:szCs w:val="24"/>
          <w:vertAlign w:val="superscript"/>
        </w:rPr>
        <w:footnoteReference w:id="28"/>
      </w:r>
      <w:r w:rsidRPr="00C31A32">
        <w:rPr>
          <w:rFonts w:ascii="Times New Roman" w:hAnsi="Times New Roman" w:cs="Times New Roman"/>
          <w:sz w:val="24"/>
          <w:szCs w:val="24"/>
        </w:rPr>
        <w:t xml:space="preserve"> Call these methods </w:t>
      </w:r>
      <w:r w:rsidRPr="00C31A32">
        <w:rPr>
          <w:rFonts w:ascii="Times New Roman" w:hAnsi="Times New Roman" w:cs="Times New Roman"/>
          <w:i/>
          <w:iCs/>
          <w:sz w:val="24"/>
          <w:szCs w:val="24"/>
        </w:rPr>
        <w:t>physical</w:t>
      </w:r>
      <w:r w:rsidRPr="00C31A32">
        <w:rPr>
          <w:rFonts w:ascii="Times New Roman" w:hAnsi="Times New Roman" w:cs="Times New Roman"/>
          <w:sz w:val="24"/>
          <w:szCs w:val="24"/>
        </w:rPr>
        <w:t xml:space="preserve"> ‘conversion therapy’. </w:t>
      </w:r>
    </w:p>
    <w:p w14:paraId="5E4ADBDD" w14:textId="5619F6E5" w:rsidR="00CA2D40" w:rsidRPr="00C31A32" w:rsidRDefault="00CA2D40" w:rsidP="004F069E">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Not all forms of conversion therapy involve overt violence. At the other end of the scale are ‘talking’ therapies, which involve psychotherapy, peer support, or pastoral counselling.</w:t>
      </w:r>
      <w:r w:rsidRPr="00C31A32">
        <w:rPr>
          <w:rFonts w:ascii="Times New Roman" w:hAnsi="Times New Roman" w:cs="Times New Roman"/>
          <w:sz w:val="24"/>
          <w:szCs w:val="24"/>
          <w:vertAlign w:val="superscript"/>
        </w:rPr>
        <w:footnoteReference w:id="29"/>
      </w:r>
      <w:r w:rsidRPr="00C31A32">
        <w:rPr>
          <w:rFonts w:ascii="Times New Roman" w:hAnsi="Times New Roman" w:cs="Times New Roman"/>
          <w:sz w:val="24"/>
          <w:szCs w:val="24"/>
        </w:rPr>
        <w:t xml:space="preserve"> Techniques utilised there include trying to make recipients behave in conformity with gender stereotypes;</w:t>
      </w:r>
      <w:r w:rsidRPr="00C31A32">
        <w:rPr>
          <w:rFonts w:ascii="Times New Roman" w:hAnsi="Times New Roman" w:cs="Times New Roman"/>
          <w:sz w:val="24"/>
          <w:szCs w:val="24"/>
          <w:vertAlign w:val="superscript"/>
        </w:rPr>
        <w:footnoteReference w:id="30"/>
      </w:r>
      <w:r w:rsidRPr="00C31A32">
        <w:rPr>
          <w:rFonts w:ascii="Times New Roman" w:hAnsi="Times New Roman" w:cs="Times New Roman"/>
          <w:sz w:val="24"/>
          <w:szCs w:val="24"/>
        </w:rPr>
        <w:t xml:space="preserve"> encouraging them to sever ties with their families; and promoting celibacy.</w:t>
      </w:r>
      <w:r w:rsidRPr="00C31A32">
        <w:rPr>
          <w:rFonts w:ascii="Times New Roman" w:hAnsi="Times New Roman" w:cs="Times New Roman"/>
          <w:sz w:val="24"/>
          <w:szCs w:val="24"/>
          <w:vertAlign w:val="superscript"/>
        </w:rPr>
        <w:footnoteReference w:id="31"/>
      </w:r>
      <w:r w:rsidRPr="00C31A32">
        <w:rPr>
          <w:rFonts w:ascii="Times New Roman" w:hAnsi="Times New Roman" w:cs="Times New Roman"/>
          <w:sz w:val="24"/>
          <w:szCs w:val="24"/>
        </w:rPr>
        <w:t xml:space="preserve"> Call these forms </w:t>
      </w:r>
      <w:r w:rsidRPr="00C31A32">
        <w:rPr>
          <w:rFonts w:ascii="Times New Roman" w:hAnsi="Times New Roman" w:cs="Times New Roman"/>
          <w:i/>
          <w:iCs/>
          <w:sz w:val="24"/>
          <w:szCs w:val="24"/>
        </w:rPr>
        <w:t>non-physical</w:t>
      </w:r>
      <w:r w:rsidRPr="00C31A32">
        <w:rPr>
          <w:rFonts w:ascii="Times New Roman" w:hAnsi="Times New Roman" w:cs="Times New Roman"/>
          <w:sz w:val="24"/>
          <w:szCs w:val="24"/>
        </w:rPr>
        <w:t xml:space="preserve"> ‘conversion therapy’.</w:t>
      </w:r>
      <w:r w:rsidR="00D15219" w:rsidRPr="00C31A32">
        <w:rPr>
          <w:rFonts w:ascii="Times New Roman" w:hAnsi="Times New Roman" w:cs="Times New Roman"/>
          <w:sz w:val="24"/>
          <w:szCs w:val="24"/>
        </w:rPr>
        <w:t xml:space="preserve"> </w:t>
      </w:r>
      <w:r w:rsidR="005A01F1" w:rsidRPr="00C31A32">
        <w:rPr>
          <w:rFonts w:ascii="Times New Roman" w:hAnsi="Times New Roman" w:cs="Times New Roman"/>
          <w:sz w:val="24"/>
          <w:szCs w:val="24"/>
        </w:rPr>
        <w:t>T</w:t>
      </w:r>
      <w:r w:rsidR="00C91CD7" w:rsidRPr="00C31A32">
        <w:rPr>
          <w:rFonts w:ascii="Times New Roman" w:hAnsi="Times New Roman" w:cs="Times New Roman"/>
          <w:sz w:val="24"/>
          <w:szCs w:val="24"/>
        </w:rPr>
        <w:t xml:space="preserve">here is </w:t>
      </w:r>
      <w:r w:rsidR="005A01F1" w:rsidRPr="00C31A32">
        <w:rPr>
          <w:rFonts w:ascii="Times New Roman" w:hAnsi="Times New Roman" w:cs="Times New Roman"/>
          <w:sz w:val="24"/>
          <w:szCs w:val="24"/>
        </w:rPr>
        <w:t xml:space="preserve">significant </w:t>
      </w:r>
      <w:r w:rsidR="00C91CD7" w:rsidRPr="00C31A32">
        <w:rPr>
          <w:rFonts w:ascii="Times New Roman" w:hAnsi="Times New Roman" w:cs="Times New Roman"/>
          <w:sz w:val="24"/>
          <w:szCs w:val="24"/>
        </w:rPr>
        <w:t>evidence that the use of psychotherapy</w:t>
      </w:r>
      <w:r w:rsidR="005A01F1" w:rsidRPr="00C31A32">
        <w:rPr>
          <w:rFonts w:ascii="Times New Roman" w:hAnsi="Times New Roman" w:cs="Times New Roman"/>
          <w:sz w:val="24"/>
          <w:szCs w:val="24"/>
        </w:rPr>
        <w:t xml:space="preserve"> or pastoral counselling</w:t>
      </w:r>
      <w:r w:rsidR="00C91CD7" w:rsidRPr="00C31A32">
        <w:rPr>
          <w:rFonts w:ascii="Times New Roman" w:hAnsi="Times New Roman" w:cs="Times New Roman"/>
          <w:sz w:val="24"/>
          <w:szCs w:val="24"/>
        </w:rPr>
        <w:t xml:space="preserve"> as a practice of ‘conversion therapy’ can cause grave, life-long harm.</w:t>
      </w:r>
      <w:r w:rsidR="00C91CD7" w:rsidRPr="00C31A32">
        <w:rPr>
          <w:rStyle w:val="FootnoteReference"/>
          <w:rFonts w:ascii="Times New Roman" w:hAnsi="Times New Roman" w:cs="Times New Roman"/>
          <w:sz w:val="24"/>
          <w:szCs w:val="24"/>
        </w:rPr>
        <w:footnoteReference w:id="32"/>
      </w:r>
      <w:r w:rsidR="004F069E" w:rsidRPr="00C31A32">
        <w:rPr>
          <w:rFonts w:ascii="Times New Roman" w:hAnsi="Times New Roman" w:cs="Times New Roman"/>
          <w:sz w:val="24"/>
          <w:szCs w:val="24"/>
        </w:rPr>
        <w:t xml:space="preserve"> So, t</w:t>
      </w:r>
      <w:r w:rsidR="005A01F1" w:rsidRPr="00C31A32">
        <w:rPr>
          <w:rFonts w:ascii="Times New Roman" w:hAnsi="Times New Roman" w:cs="Times New Roman"/>
          <w:sz w:val="24"/>
          <w:szCs w:val="24"/>
        </w:rPr>
        <w:t>he</w:t>
      </w:r>
      <w:r w:rsidRPr="00C31A32">
        <w:rPr>
          <w:rFonts w:ascii="Times New Roman" w:hAnsi="Times New Roman" w:cs="Times New Roman"/>
          <w:sz w:val="24"/>
          <w:szCs w:val="24"/>
        </w:rPr>
        <w:t xml:space="preserve"> distinction between </w:t>
      </w:r>
      <w:r w:rsidRPr="00C31A32">
        <w:rPr>
          <w:rFonts w:ascii="Times New Roman" w:hAnsi="Times New Roman" w:cs="Times New Roman"/>
          <w:i/>
          <w:iCs/>
          <w:sz w:val="24"/>
          <w:szCs w:val="24"/>
        </w:rPr>
        <w:t>physical</w:t>
      </w:r>
      <w:r w:rsidRPr="00C31A32">
        <w:rPr>
          <w:rFonts w:ascii="Times New Roman" w:hAnsi="Times New Roman" w:cs="Times New Roman"/>
          <w:sz w:val="24"/>
          <w:szCs w:val="24"/>
        </w:rPr>
        <w:t xml:space="preserve"> and </w:t>
      </w:r>
      <w:r w:rsidRPr="00C31A32">
        <w:rPr>
          <w:rFonts w:ascii="Times New Roman" w:hAnsi="Times New Roman" w:cs="Times New Roman"/>
          <w:i/>
          <w:iCs/>
          <w:sz w:val="24"/>
          <w:szCs w:val="24"/>
        </w:rPr>
        <w:t>non-physical</w:t>
      </w:r>
      <w:r w:rsidRPr="00C31A32">
        <w:rPr>
          <w:rFonts w:ascii="Times New Roman" w:hAnsi="Times New Roman" w:cs="Times New Roman"/>
          <w:sz w:val="24"/>
          <w:szCs w:val="24"/>
        </w:rPr>
        <w:t xml:space="preserve"> forms of ‘conversion therapy’ does not downplay the</w:t>
      </w:r>
      <w:r w:rsidR="004F069E" w:rsidRPr="00C31A32">
        <w:rPr>
          <w:rFonts w:ascii="Times New Roman" w:hAnsi="Times New Roman" w:cs="Times New Roman"/>
          <w:sz w:val="24"/>
          <w:szCs w:val="24"/>
        </w:rPr>
        <w:t xml:space="preserve"> harmfulness of the</w:t>
      </w:r>
      <w:r w:rsidRPr="00C31A32">
        <w:rPr>
          <w:rFonts w:ascii="Times New Roman" w:hAnsi="Times New Roman" w:cs="Times New Roman"/>
          <w:sz w:val="24"/>
          <w:szCs w:val="24"/>
        </w:rPr>
        <w:t xml:space="preserve"> latter.</w:t>
      </w:r>
      <w:r w:rsidRPr="00C31A32">
        <w:rPr>
          <w:rFonts w:ascii="Times New Roman" w:hAnsi="Times New Roman" w:cs="Times New Roman"/>
          <w:sz w:val="24"/>
          <w:szCs w:val="24"/>
          <w:vertAlign w:val="superscript"/>
        </w:rPr>
        <w:footnoteReference w:id="33"/>
      </w:r>
      <w:r w:rsidRPr="00C31A32">
        <w:rPr>
          <w:rFonts w:ascii="Times New Roman" w:hAnsi="Times New Roman" w:cs="Times New Roman"/>
          <w:sz w:val="24"/>
          <w:szCs w:val="24"/>
        </w:rPr>
        <w:t xml:space="preserve"> People who have undergone such ‘therapies’ have reported ‘loss of self-esteem, anxiety, depression, social isolation, intimacy difficulty, self-hatred, shame, sexual dysfunction, suicidal ideation, and post-traumatic stress disorder.’</w:t>
      </w:r>
      <w:r w:rsidRPr="00C31A32">
        <w:rPr>
          <w:rFonts w:ascii="Times New Roman" w:hAnsi="Times New Roman" w:cs="Times New Roman"/>
          <w:sz w:val="24"/>
          <w:szCs w:val="24"/>
          <w:vertAlign w:val="superscript"/>
        </w:rPr>
        <w:footnoteReference w:id="34"/>
      </w:r>
      <w:r w:rsidRPr="00C31A32">
        <w:rPr>
          <w:rFonts w:ascii="Times New Roman" w:hAnsi="Times New Roman" w:cs="Times New Roman"/>
          <w:sz w:val="24"/>
          <w:szCs w:val="24"/>
        </w:rPr>
        <w:t xml:space="preserve"> Arguably, some forms of ‘conversion therapy’ might be difficult to classify</w:t>
      </w:r>
      <w:r w:rsidR="004F069E" w:rsidRPr="00C31A32">
        <w:rPr>
          <w:rFonts w:ascii="Times New Roman" w:hAnsi="Times New Roman" w:cs="Times New Roman"/>
          <w:sz w:val="24"/>
          <w:szCs w:val="24"/>
        </w:rPr>
        <w:t xml:space="preserve"> as they </w:t>
      </w:r>
      <w:r w:rsidRPr="00C31A32">
        <w:rPr>
          <w:rFonts w:ascii="Times New Roman" w:hAnsi="Times New Roman" w:cs="Times New Roman"/>
          <w:sz w:val="24"/>
          <w:szCs w:val="24"/>
        </w:rPr>
        <w:t xml:space="preserve">constitute both physical and emotional abuse. The distinction between physical and non-physical forms is only a heuristic for the purposes of the threshold of severity set by the prohibition of </w:t>
      </w:r>
      <w:r w:rsidR="005A01F1" w:rsidRPr="00C31A32">
        <w:rPr>
          <w:rFonts w:ascii="Times New Roman" w:hAnsi="Times New Roman" w:cs="Times New Roman"/>
          <w:sz w:val="24"/>
          <w:szCs w:val="24"/>
        </w:rPr>
        <w:t>torture or C</w:t>
      </w:r>
      <w:r w:rsidRPr="00C31A32">
        <w:rPr>
          <w:rFonts w:ascii="Times New Roman" w:hAnsi="Times New Roman" w:cs="Times New Roman"/>
          <w:sz w:val="24"/>
          <w:szCs w:val="24"/>
        </w:rPr>
        <w:t>IDT</w:t>
      </w:r>
      <w:r w:rsidR="005A01F1" w:rsidRPr="00C31A32">
        <w:rPr>
          <w:rFonts w:ascii="Times New Roman" w:hAnsi="Times New Roman" w:cs="Times New Roman"/>
          <w:sz w:val="24"/>
          <w:szCs w:val="24"/>
        </w:rPr>
        <w:t xml:space="preserve"> in human rights law</w:t>
      </w:r>
      <w:r w:rsidRPr="00C31A32">
        <w:rPr>
          <w:rFonts w:ascii="Times New Roman" w:hAnsi="Times New Roman" w:cs="Times New Roman"/>
          <w:sz w:val="24"/>
          <w:szCs w:val="24"/>
        </w:rPr>
        <w:t xml:space="preserve">. Later sections of this article will return to this point. </w:t>
      </w:r>
    </w:p>
    <w:p w14:paraId="78E184A6" w14:textId="77777777" w:rsidR="00CA2D40" w:rsidRPr="00C31A32" w:rsidRDefault="00CA2D40" w:rsidP="00CA2D40">
      <w:pPr>
        <w:spacing w:after="0" w:line="276" w:lineRule="auto"/>
        <w:jc w:val="center"/>
        <w:rPr>
          <w:rFonts w:ascii="Times New Roman" w:hAnsi="Times New Roman" w:cs="Times New Roman"/>
          <w:b/>
          <w:bCs/>
          <w:sz w:val="24"/>
          <w:szCs w:val="24"/>
        </w:rPr>
      </w:pPr>
    </w:p>
    <w:p w14:paraId="7EAACC90" w14:textId="77777777" w:rsidR="00CA2D40" w:rsidRPr="00C31A32" w:rsidRDefault="00CA2D40" w:rsidP="00CA2D40">
      <w:pPr>
        <w:spacing w:after="0" w:line="276" w:lineRule="auto"/>
        <w:jc w:val="center"/>
        <w:rPr>
          <w:rFonts w:ascii="Times New Roman" w:hAnsi="Times New Roman" w:cs="Times New Roman"/>
          <w:b/>
          <w:bCs/>
          <w:sz w:val="24"/>
          <w:szCs w:val="24"/>
        </w:rPr>
      </w:pPr>
    </w:p>
    <w:p w14:paraId="79769EAE" w14:textId="77777777" w:rsidR="00CA2D40" w:rsidRPr="00C31A32" w:rsidRDefault="00CA2D40" w:rsidP="00CA2D40">
      <w:pPr>
        <w:pStyle w:val="ListParagraph"/>
        <w:numPr>
          <w:ilvl w:val="0"/>
          <w:numId w:val="13"/>
        </w:numPr>
        <w:spacing w:after="0" w:line="276" w:lineRule="auto"/>
        <w:jc w:val="center"/>
        <w:rPr>
          <w:rFonts w:ascii="Times New Roman" w:hAnsi="Times New Roman" w:cs="Times New Roman"/>
          <w:i/>
          <w:iCs/>
          <w:sz w:val="28"/>
          <w:szCs w:val="28"/>
        </w:rPr>
      </w:pPr>
      <w:r w:rsidRPr="00C31A32">
        <w:rPr>
          <w:rFonts w:ascii="Times New Roman" w:hAnsi="Times New Roman" w:cs="Times New Roman"/>
          <w:i/>
          <w:iCs/>
          <w:sz w:val="28"/>
          <w:szCs w:val="28"/>
        </w:rPr>
        <w:t>Why Is ‘Conversion Therapy’ Wrong?</w:t>
      </w:r>
    </w:p>
    <w:p w14:paraId="56B2687A" w14:textId="77777777" w:rsidR="00CA2D40" w:rsidRPr="00C31A32" w:rsidRDefault="00CA2D40" w:rsidP="00CA2D40">
      <w:pPr>
        <w:spacing w:after="0" w:line="276" w:lineRule="auto"/>
        <w:jc w:val="both"/>
        <w:rPr>
          <w:rFonts w:ascii="Times New Roman" w:hAnsi="Times New Roman" w:cs="Times New Roman"/>
          <w:b/>
          <w:bCs/>
          <w:sz w:val="24"/>
          <w:szCs w:val="24"/>
        </w:rPr>
      </w:pPr>
    </w:p>
    <w:p w14:paraId="155F067C" w14:textId="2A857280" w:rsidR="00CA2D40" w:rsidRPr="00C31A32" w:rsidRDefault="00CA2D40" w:rsidP="00CA2D40">
      <w:pPr>
        <w:spacing w:after="0" w:line="276" w:lineRule="auto"/>
        <w:jc w:val="both"/>
        <w:rPr>
          <w:rFonts w:ascii="Times New Roman" w:hAnsi="Times New Roman" w:cs="Times New Roman"/>
          <w:sz w:val="24"/>
          <w:szCs w:val="24"/>
        </w:rPr>
      </w:pPr>
      <w:r w:rsidRPr="00C31A32">
        <w:rPr>
          <w:rFonts w:ascii="Times New Roman" w:hAnsi="Times New Roman" w:cs="Times New Roman"/>
          <w:sz w:val="24"/>
          <w:szCs w:val="24"/>
        </w:rPr>
        <w:t xml:space="preserve">At first glance, ‘conversion therapy’ is morally wrong because it endangers the lives and health of LGBTIQ+ people. The reports from international organisations and healthcare professionals that were discussed above </w:t>
      </w:r>
      <w:r w:rsidR="00214CAF" w:rsidRPr="00C31A32">
        <w:rPr>
          <w:rFonts w:ascii="Times New Roman" w:hAnsi="Times New Roman" w:cs="Times New Roman"/>
          <w:sz w:val="24"/>
          <w:szCs w:val="24"/>
        </w:rPr>
        <w:t>illustrate</w:t>
      </w:r>
      <w:r w:rsidRPr="00C31A32">
        <w:rPr>
          <w:rFonts w:ascii="Times New Roman" w:hAnsi="Times New Roman" w:cs="Times New Roman"/>
          <w:sz w:val="24"/>
          <w:szCs w:val="24"/>
        </w:rPr>
        <w:t xml:space="preserve"> the grave injuries that ‘conversion therapy’ can inflict on LGBTIQ+ people. This is wrong in and of itself, regardless of any comparison between people on the grounds of sexuality and gender identity.</w:t>
      </w:r>
    </w:p>
    <w:p w14:paraId="798887AE" w14:textId="03B008E8"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At the same time, ‘conversion therapy’ is morally wrong for reasons that stretch beyond the grave risks it poses for the bodily and psychological health of its victims.</w:t>
      </w:r>
      <w:r w:rsidRPr="00C31A32">
        <w:rPr>
          <w:rStyle w:val="FootnoteReference"/>
          <w:rFonts w:ascii="Times New Roman" w:hAnsi="Times New Roman" w:cs="Times New Roman"/>
          <w:sz w:val="24"/>
          <w:szCs w:val="24"/>
        </w:rPr>
        <w:footnoteReference w:id="35"/>
      </w:r>
      <w:r w:rsidRPr="00C31A32">
        <w:rPr>
          <w:rFonts w:ascii="Times New Roman" w:hAnsi="Times New Roman" w:cs="Times New Roman"/>
          <w:sz w:val="24"/>
          <w:szCs w:val="24"/>
        </w:rPr>
        <w:t xml:space="preserve"> Unlike other </w:t>
      </w:r>
      <w:r w:rsidRPr="00C31A32">
        <w:rPr>
          <w:rFonts w:ascii="Times New Roman" w:hAnsi="Times New Roman" w:cs="Times New Roman"/>
          <w:sz w:val="24"/>
          <w:szCs w:val="24"/>
        </w:rPr>
        <w:lastRenderedPageBreak/>
        <w:t xml:space="preserve">harmful or medically negligent therapies, ‘conversion therapy’ singles out a protected socially salient group of people, </w:t>
      </w:r>
      <w:proofErr w:type="gramStart"/>
      <w:r w:rsidRPr="00C31A32">
        <w:rPr>
          <w:rFonts w:ascii="Times New Roman" w:hAnsi="Times New Roman" w:cs="Times New Roman"/>
          <w:sz w:val="24"/>
          <w:szCs w:val="24"/>
        </w:rPr>
        <w:t>i.e.</w:t>
      </w:r>
      <w:proofErr w:type="gramEnd"/>
      <w:r w:rsidRPr="00C31A32">
        <w:rPr>
          <w:rFonts w:ascii="Times New Roman" w:hAnsi="Times New Roman" w:cs="Times New Roman"/>
          <w:sz w:val="24"/>
          <w:szCs w:val="24"/>
        </w:rPr>
        <w:t xml:space="preserve"> LGBTIQ+ people, for disadvantageous treatment. So ‘conversion therapy’ is also, fundamentally, a problem of direct discrimination on the grounds of sexual orientation and gender identity. It is, moreover, a form of intrinsically wrongful discrimination, i.e. independent of its effects, because alongside its proved potential for causing grave physical and psychological harm, ‘conversion therapy’ is </w:t>
      </w:r>
      <w:r w:rsidRPr="00C31A32">
        <w:rPr>
          <w:rFonts w:ascii="Times New Roman" w:hAnsi="Times New Roman" w:cs="Times New Roman"/>
          <w:i/>
          <w:iCs/>
          <w:sz w:val="24"/>
          <w:szCs w:val="24"/>
        </w:rPr>
        <w:t xml:space="preserve">basically </w:t>
      </w:r>
      <w:r w:rsidRPr="00C31A32">
        <w:rPr>
          <w:rFonts w:ascii="Times New Roman" w:hAnsi="Times New Roman" w:cs="Times New Roman"/>
          <w:sz w:val="24"/>
          <w:szCs w:val="24"/>
        </w:rPr>
        <w:t>disrespectful of the equal moral personhood of LGBTIQ+ people.</w:t>
      </w:r>
      <w:r w:rsidRPr="00C31A32">
        <w:rPr>
          <w:rStyle w:val="FootnoteReference"/>
          <w:rFonts w:ascii="Times New Roman" w:hAnsi="Times New Roman" w:cs="Times New Roman"/>
          <w:sz w:val="24"/>
          <w:szCs w:val="24"/>
        </w:rPr>
        <w:footnoteReference w:id="36"/>
      </w:r>
      <w:r w:rsidRPr="00C31A32">
        <w:rPr>
          <w:rFonts w:ascii="Times New Roman" w:hAnsi="Times New Roman" w:cs="Times New Roman"/>
          <w:sz w:val="24"/>
          <w:szCs w:val="24"/>
        </w:rPr>
        <w:t xml:space="preserve"> All forms of ‘conversion therapy’ are </w:t>
      </w:r>
      <w:r w:rsidRPr="00C31A32">
        <w:rPr>
          <w:rFonts w:ascii="Times New Roman" w:hAnsi="Times New Roman" w:cs="Times New Roman"/>
          <w:i/>
          <w:iCs/>
          <w:sz w:val="24"/>
          <w:szCs w:val="24"/>
        </w:rPr>
        <w:t>basically</w:t>
      </w:r>
      <w:r w:rsidRPr="00C31A32">
        <w:rPr>
          <w:rFonts w:ascii="Times New Roman" w:hAnsi="Times New Roman" w:cs="Times New Roman"/>
          <w:sz w:val="24"/>
          <w:szCs w:val="24"/>
        </w:rPr>
        <w:t xml:space="preserve"> disrespectful because, aside from their actual effects on the victims and aside from social conventions about what counts as disrespect, they fail to recognise that all persons are of equal moral value regardless of their sexuality and gender identity. Put differently, they fail to show what Stephen </w:t>
      </w:r>
      <w:proofErr w:type="spellStart"/>
      <w:r w:rsidRPr="00C31A32">
        <w:rPr>
          <w:rFonts w:ascii="Times New Roman" w:hAnsi="Times New Roman" w:cs="Times New Roman"/>
          <w:sz w:val="24"/>
          <w:szCs w:val="24"/>
        </w:rPr>
        <w:t>Darwall</w:t>
      </w:r>
      <w:proofErr w:type="spellEnd"/>
      <w:r w:rsidRPr="00C31A32">
        <w:rPr>
          <w:rFonts w:ascii="Times New Roman" w:hAnsi="Times New Roman" w:cs="Times New Roman"/>
          <w:sz w:val="24"/>
          <w:szCs w:val="24"/>
        </w:rPr>
        <w:t xml:space="preserve"> has influentially called ‘recognition respect’.</w:t>
      </w:r>
      <w:r w:rsidRPr="00C31A32">
        <w:rPr>
          <w:rStyle w:val="FootnoteReference"/>
          <w:rFonts w:ascii="Times New Roman" w:hAnsi="Times New Roman" w:cs="Times New Roman"/>
          <w:sz w:val="24"/>
          <w:szCs w:val="24"/>
        </w:rPr>
        <w:footnoteReference w:id="37"/>
      </w:r>
      <w:r w:rsidRPr="00C31A32">
        <w:rPr>
          <w:rFonts w:ascii="Times New Roman" w:hAnsi="Times New Roman" w:cs="Times New Roman"/>
          <w:sz w:val="24"/>
          <w:szCs w:val="24"/>
        </w:rPr>
        <w:t xml:space="preserve"> </w:t>
      </w:r>
      <w:r w:rsidR="00675959" w:rsidRPr="00C31A32">
        <w:rPr>
          <w:rFonts w:ascii="Times New Roman" w:hAnsi="Times New Roman" w:cs="Times New Roman"/>
          <w:sz w:val="24"/>
          <w:szCs w:val="24"/>
        </w:rPr>
        <w:t>‘Conversion therapies’ fail to show recognition respect</w:t>
      </w:r>
      <w:r w:rsidR="00105B3D" w:rsidRPr="00C31A32">
        <w:rPr>
          <w:rFonts w:ascii="Times New Roman" w:hAnsi="Times New Roman" w:cs="Times New Roman"/>
          <w:sz w:val="24"/>
          <w:szCs w:val="24"/>
        </w:rPr>
        <w:t xml:space="preserve"> </w:t>
      </w:r>
      <w:r w:rsidR="00675959" w:rsidRPr="00C31A32">
        <w:rPr>
          <w:rFonts w:ascii="Times New Roman" w:hAnsi="Times New Roman" w:cs="Times New Roman"/>
          <w:sz w:val="24"/>
          <w:szCs w:val="24"/>
        </w:rPr>
        <w:t>because they</w:t>
      </w:r>
      <w:r w:rsidRPr="00C31A32">
        <w:rPr>
          <w:rFonts w:ascii="Times New Roman" w:hAnsi="Times New Roman" w:cs="Times New Roman"/>
          <w:sz w:val="24"/>
          <w:szCs w:val="24"/>
        </w:rPr>
        <w:t xml:space="preserve"> fail to recognise that the status of LGBTIQ+ persons as persons has to be appropriately integrated in one’s deliberations about how to act. Apart from discounting the interests of LGBTIQ+ people to physical health, ‘conversion therapy’ manifests that </w:t>
      </w:r>
      <w:r w:rsidRPr="00C31A32">
        <w:rPr>
          <w:rFonts w:ascii="Times New Roman" w:hAnsi="Times New Roman" w:cs="Times New Roman"/>
          <w:i/>
          <w:iCs/>
          <w:sz w:val="24"/>
          <w:szCs w:val="24"/>
        </w:rPr>
        <w:t>deliberative</w:t>
      </w:r>
      <w:r w:rsidRPr="00C31A32">
        <w:rPr>
          <w:rFonts w:ascii="Times New Roman" w:hAnsi="Times New Roman" w:cs="Times New Roman"/>
          <w:sz w:val="24"/>
          <w:szCs w:val="24"/>
        </w:rPr>
        <w:t xml:space="preserve"> failure in two other ways: it attacks core aspects of the identity of LGBTIQ+ people by denying them crucial freedoms related to sexuality and gender identity; and it unfairly subordinates them on the grounds of sexuality. Let us look at those in more detail.</w:t>
      </w:r>
    </w:p>
    <w:p w14:paraId="05CA06BD" w14:textId="425526E7"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First of all, the practice of ‘conversion therapy’ is disrespectful for the equal moral personhood of LGBTIQ+ people because it places less weight on some of their key autonomy interests without any good reason for discounting them.</w:t>
      </w:r>
      <w:r w:rsidRPr="00C31A32">
        <w:rPr>
          <w:rStyle w:val="FootnoteReference"/>
          <w:rFonts w:ascii="Times New Roman" w:hAnsi="Times New Roman" w:cs="Times New Roman"/>
          <w:sz w:val="24"/>
          <w:szCs w:val="24"/>
        </w:rPr>
        <w:footnoteReference w:id="38"/>
      </w:r>
      <w:r w:rsidRPr="00C31A32">
        <w:rPr>
          <w:rFonts w:ascii="Times New Roman" w:hAnsi="Times New Roman" w:cs="Times New Roman"/>
          <w:sz w:val="24"/>
          <w:szCs w:val="24"/>
        </w:rPr>
        <w:t xml:space="preserve"> ‘Conversion therapy’ explicitly marks out LGBTIQ+ identities as inferior to heterosexuality and, as a result of that judgment, affords less consideration to the interests of LGBTIQ+ people.</w:t>
      </w:r>
      <w:r w:rsidRPr="00C31A32">
        <w:rPr>
          <w:rStyle w:val="FootnoteReference"/>
          <w:rFonts w:ascii="Times New Roman" w:hAnsi="Times New Roman" w:cs="Times New Roman"/>
          <w:sz w:val="24"/>
          <w:szCs w:val="24"/>
        </w:rPr>
        <w:footnoteReference w:id="39"/>
      </w:r>
      <w:r w:rsidRPr="00C31A32">
        <w:rPr>
          <w:rFonts w:ascii="Times New Roman" w:hAnsi="Times New Roman" w:cs="Times New Roman"/>
          <w:sz w:val="24"/>
          <w:szCs w:val="24"/>
        </w:rPr>
        <w:t xml:space="preserve"> Thus, even though the basis of less consideration is the sexuality or gender identity of the person, the responses constitutive of less consideration are focused on the person and their interests. All forms of ‘conversion therapy’ share one </w:t>
      </w:r>
      <w:r w:rsidRPr="00C31A32">
        <w:rPr>
          <w:rFonts w:ascii="Times New Roman" w:hAnsi="Times New Roman" w:cs="Times New Roman"/>
          <w:i/>
          <w:iCs/>
          <w:sz w:val="24"/>
          <w:szCs w:val="24"/>
        </w:rPr>
        <w:t xml:space="preserve">autonomy-diminishing </w:t>
      </w:r>
      <w:r w:rsidRPr="00C31A32">
        <w:rPr>
          <w:rFonts w:ascii="Times New Roman" w:hAnsi="Times New Roman" w:cs="Times New Roman"/>
          <w:sz w:val="24"/>
          <w:szCs w:val="24"/>
        </w:rPr>
        <w:t>goal: to restrict a host of profoundly important interests</w:t>
      </w:r>
      <w:r w:rsidR="000C0611" w:rsidRPr="00C31A32">
        <w:rPr>
          <w:rFonts w:ascii="Times New Roman" w:hAnsi="Times New Roman" w:cs="Times New Roman"/>
          <w:sz w:val="24"/>
          <w:szCs w:val="24"/>
        </w:rPr>
        <w:t xml:space="preserve"> in relation to sexuality and gender identity.</w:t>
      </w:r>
      <w:r w:rsidR="000C0611" w:rsidRPr="00C31A32">
        <w:rPr>
          <w:rStyle w:val="FootnoteReference"/>
          <w:rFonts w:ascii="Times New Roman" w:hAnsi="Times New Roman" w:cs="Times New Roman"/>
          <w:sz w:val="24"/>
          <w:szCs w:val="24"/>
        </w:rPr>
        <w:footnoteReference w:id="40"/>
      </w:r>
      <w:r w:rsidRPr="00C31A32">
        <w:rPr>
          <w:rFonts w:ascii="Times New Roman" w:hAnsi="Times New Roman" w:cs="Times New Roman"/>
          <w:sz w:val="24"/>
          <w:szCs w:val="24"/>
        </w:rPr>
        <w:t xml:space="preserve"> </w:t>
      </w:r>
      <w:r w:rsidR="000C0611" w:rsidRPr="00C31A32">
        <w:rPr>
          <w:rFonts w:ascii="Times New Roman" w:hAnsi="Times New Roman" w:cs="Times New Roman"/>
          <w:sz w:val="24"/>
          <w:szCs w:val="24"/>
        </w:rPr>
        <w:t>T</w:t>
      </w:r>
      <w:r w:rsidRPr="00C31A32">
        <w:rPr>
          <w:rFonts w:ascii="Times New Roman" w:hAnsi="Times New Roman" w:cs="Times New Roman"/>
          <w:sz w:val="24"/>
          <w:szCs w:val="24"/>
        </w:rPr>
        <w:t>wo worth specific mention here. The first is the individual interest to develop one’s sexual attraction into sexual activity. Some forms of ‘conversion therapy’ are designed to suppress same-sex attraction; others to suppress the option to develop same-sex sexual attraction to same-sex sexual activity.</w:t>
      </w:r>
      <w:r w:rsidRPr="00C31A32">
        <w:rPr>
          <w:rStyle w:val="FootnoteReference"/>
          <w:rFonts w:ascii="Times New Roman" w:hAnsi="Times New Roman" w:cs="Times New Roman"/>
          <w:sz w:val="24"/>
          <w:szCs w:val="24"/>
        </w:rPr>
        <w:footnoteReference w:id="41"/>
      </w:r>
      <w:r w:rsidRPr="00C31A32">
        <w:rPr>
          <w:rFonts w:ascii="Times New Roman" w:hAnsi="Times New Roman" w:cs="Times New Roman"/>
          <w:sz w:val="24"/>
          <w:szCs w:val="24"/>
        </w:rPr>
        <w:t xml:space="preserve"> Both forms aim to suppress fundamental choices that are central to personal autonomy.</w:t>
      </w:r>
      <w:r w:rsidRPr="00C31A32">
        <w:rPr>
          <w:rStyle w:val="FootnoteReference"/>
          <w:rFonts w:ascii="Times New Roman" w:hAnsi="Times New Roman" w:cs="Times New Roman"/>
          <w:sz w:val="24"/>
          <w:szCs w:val="24"/>
        </w:rPr>
        <w:footnoteReference w:id="42"/>
      </w:r>
      <w:r w:rsidRPr="00C31A32">
        <w:rPr>
          <w:rFonts w:ascii="Times New Roman" w:hAnsi="Times New Roman" w:cs="Times New Roman"/>
          <w:sz w:val="24"/>
          <w:szCs w:val="24"/>
        </w:rPr>
        <w:t xml:space="preserve"> That is, choices that are </w:t>
      </w:r>
      <w:r w:rsidRPr="00C31A32">
        <w:rPr>
          <w:rFonts w:ascii="Times New Roman" w:hAnsi="Times New Roman" w:cs="Times New Roman"/>
          <w:sz w:val="24"/>
          <w:szCs w:val="24"/>
        </w:rPr>
        <w:lastRenderedPageBreak/>
        <w:t>central to the ideal of an autonomous life shaped by people’s successive choices among valuable options of sexuality and gender identity; among which homosexuality, bisexuality, transsexuality, intersexuality, queerness etc. are as valuable as heterosexuality. The second is the interest to take pride in one’s sexual</w:t>
      </w:r>
      <w:r w:rsidR="00986E88">
        <w:rPr>
          <w:rFonts w:ascii="Times New Roman" w:hAnsi="Times New Roman" w:cs="Times New Roman"/>
          <w:sz w:val="24"/>
          <w:szCs w:val="24"/>
        </w:rPr>
        <w:t>ity and gender</w:t>
      </w:r>
      <w:r w:rsidR="000C0611" w:rsidRPr="00C31A32">
        <w:rPr>
          <w:rFonts w:ascii="Times New Roman" w:hAnsi="Times New Roman" w:cs="Times New Roman"/>
          <w:sz w:val="24"/>
          <w:szCs w:val="24"/>
        </w:rPr>
        <w:t xml:space="preserve"> </w:t>
      </w:r>
      <w:r w:rsidRPr="00C31A32">
        <w:rPr>
          <w:rFonts w:ascii="Times New Roman" w:hAnsi="Times New Roman" w:cs="Times New Roman"/>
          <w:sz w:val="24"/>
          <w:szCs w:val="24"/>
        </w:rPr>
        <w:t>identity and make it part of one’s public personality instead of staying ‘in the closet’. This is another fundamental choice, which is also central to personal autonomy, because self-repression of one’s identity inhibits full participation in valuable aspects of public culture – from music to art to politics – that are influenced and permeated by diverse sexualities and gender identities.</w:t>
      </w:r>
      <w:r w:rsidRPr="00C31A32">
        <w:rPr>
          <w:rStyle w:val="FootnoteReference"/>
          <w:rFonts w:ascii="Times New Roman" w:hAnsi="Times New Roman" w:cs="Times New Roman"/>
          <w:sz w:val="24"/>
          <w:szCs w:val="24"/>
        </w:rPr>
        <w:footnoteReference w:id="43"/>
      </w:r>
      <w:r w:rsidRPr="00C31A32">
        <w:rPr>
          <w:rFonts w:ascii="Times New Roman" w:hAnsi="Times New Roman" w:cs="Times New Roman"/>
          <w:sz w:val="24"/>
          <w:szCs w:val="24"/>
        </w:rPr>
        <w:t xml:space="preserve"> As a result of attacking those fundamental choices ‘conversion therapy’ also diminishes self-worth because persons measure their own sense of worth according to their ability to realise their capabilities, goals and dreams.</w:t>
      </w:r>
      <w:r w:rsidRPr="00C31A32">
        <w:rPr>
          <w:rStyle w:val="FootnoteReference"/>
          <w:rFonts w:ascii="Times New Roman" w:hAnsi="Times New Roman" w:cs="Times New Roman"/>
          <w:sz w:val="24"/>
          <w:szCs w:val="24"/>
        </w:rPr>
        <w:footnoteReference w:id="44"/>
      </w:r>
      <w:r w:rsidRPr="00C31A32">
        <w:rPr>
          <w:rFonts w:ascii="Times New Roman" w:hAnsi="Times New Roman" w:cs="Times New Roman"/>
          <w:sz w:val="24"/>
          <w:szCs w:val="24"/>
        </w:rPr>
        <w:t xml:space="preserve"> So, ‘conversion therapy’ disrespects the equal value of LGBTIQ+ people by discounting, absent any good reason, profoundly important interests that are central to their personal autonomy. This is one of the reasons why it is wrong.</w:t>
      </w:r>
    </w:p>
    <w:p w14:paraId="3271431F" w14:textId="4F45B1F5"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At the same time, ‘conversion therapy’ is disrespectful for the equal moral personhood of LGBTIQ+ people also for reasons that extend beyond the harms it inflicts on the specific individuals who are subjected to it. ‘Conversion therapy’ depends on, and reflects, the systematic disempowerment of LGBTIQ+ people that occurs in many societies. The message of ‘conversion therapy’ – a message of contempt or disdain for LGBTIQ+ identities, which </w:t>
      </w:r>
      <w:r w:rsidRPr="00C31A32">
        <w:rPr>
          <w:rFonts w:ascii="Times New Roman" w:hAnsi="Times New Roman" w:cs="Times New Roman"/>
          <w:i/>
          <w:iCs/>
          <w:sz w:val="24"/>
          <w:szCs w:val="24"/>
        </w:rPr>
        <w:t>can</w:t>
      </w:r>
      <w:r w:rsidRPr="00C31A32">
        <w:rPr>
          <w:rFonts w:ascii="Times New Roman" w:hAnsi="Times New Roman" w:cs="Times New Roman"/>
          <w:sz w:val="24"/>
          <w:szCs w:val="24"/>
        </w:rPr>
        <w:t xml:space="preserve"> and </w:t>
      </w:r>
      <w:r w:rsidRPr="00C31A32">
        <w:rPr>
          <w:rFonts w:ascii="Times New Roman" w:hAnsi="Times New Roman" w:cs="Times New Roman"/>
          <w:i/>
          <w:iCs/>
          <w:sz w:val="24"/>
          <w:szCs w:val="24"/>
        </w:rPr>
        <w:t>ought to</w:t>
      </w:r>
      <w:r w:rsidRPr="00C31A32">
        <w:rPr>
          <w:rFonts w:ascii="Times New Roman" w:hAnsi="Times New Roman" w:cs="Times New Roman"/>
          <w:sz w:val="24"/>
          <w:szCs w:val="24"/>
        </w:rPr>
        <w:t xml:space="preserve"> be eliminated – is demeaning for all LGBTIQ+ people; even for those that never get to experience ‘conversion therapy’ themselves.</w:t>
      </w:r>
      <w:r w:rsidRPr="00C31A32">
        <w:rPr>
          <w:rStyle w:val="FootnoteReference"/>
          <w:rFonts w:ascii="Times New Roman" w:hAnsi="Times New Roman" w:cs="Times New Roman"/>
          <w:sz w:val="24"/>
          <w:szCs w:val="24"/>
        </w:rPr>
        <w:footnoteReference w:id="45"/>
      </w:r>
      <w:r w:rsidRPr="00C31A32">
        <w:rPr>
          <w:rFonts w:ascii="Times New Roman" w:hAnsi="Times New Roman" w:cs="Times New Roman"/>
          <w:sz w:val="24"/>
          <w:szCs w:val="24"/>
        </w:rPr>
        <w:t xml:space="preserve"> This is because it reproduces, and promotes, the social images of LGBTIQ+ people as abnormal, disgusting etc, which ground their pre-existing stigma.</w:t>
      </w:r>
      <w:r w:rsidRPr="00C31A32">
        <w:rPr>
          <w:rStyle w:val="FootnoteReference"/>
          <w:rFonts w:ascii="Times New Roman" w:hAnsi="Times New Roman" w:cs="Times New Roman"/>
          <w:sz w:val="24"/>
          <w:szCs w:val="24"/>
        </w:rPr>
        <w:footnoteReference w:id="46"/>
      </w:r>
      <w:r w:rsidRPr="00C31A32">
        <w:rPr>
          <w:rFonts w:ascii="Times New Roman" w:hAnsi="Times New Roman" w:cs="Times New Roman"/>
          <w:sz w:val="24"/>
          <w:szCs w:val="24"/>
        </w:rPr>
        <w:t xml:space="preserve"> In these ways ‘conversion therapy’ affects not only the people who are subjected to it, but also LGBTIQ+ people in general and the attitudes of other people towards them. In fact, it is hard to divorce the absence of a legal ban on ‘conversion therapy’ in most European countries from a social context of historical stigmatisation on the basis of homosexuality.</w:t>
      </w:r>
      <w:r w:rsidRPr="00C31A32">
        <w:rPr>
          <w:rStyle w:val="FootnoteReference"/>
          <w:rFonts w:ascii="Times New Roman" w:hAnsi="Times New Roman" w:cs="Times New Roman"/>
          <w:sz w:val="24"/>
          <w:szCs w:val="24"/>
        </w:rPr>
        <w:footnoteReference w:id="47"/>
      </w:r>
      <w:r w:rsidRPr="00C31A32">
        <w:rPr>
          <w:rFonts w:ascii="Times New Roman" w:hAnsi="Times New Roman" w:cs="Times New Roman"/>
          <w:sz w:val="24"/>
          <w:szCs w:val="24"/>
        </w:rPr>
        <w:t xml:space="preserve"> Consider the hypothetical example of a similar practice with the inverse aim, namely a ‘therapy’ whose express aim is to convert heterosexual people to homosexuals. It is </w:t>
      </w:r>
      <w:r w:rsidR="00105B3D" w:rsidRPr="00C31A32">
        <w:rPr>
          <w:rFonts w:ascii="Times New Roman" w:hAnsi="Times New Roman" w:cs="Times New Roman"/>
          <w:sz w:val="24"/>
          <w:szCs w:val="24"/>
        </w:rPr>
        <w:t>unlikely</w:t>
      </w:r>
      <w:r w:rsidRPr="00C31A32">
        <w:rPr>
          <w:rFonts w:ascii="Times New Roman" w:hAnsi="Times New Roman" w:cs="Times New Roman"/>
          <w:sz w:val="24"/>
          <w:szCs w:val="24"/>
        </w:rPr>
        <w:t xml:space="preserve"> that such a practice would not be illegal.</w:t>
      </w:r>
      <w:r w:rsidRPr="00C31A32">
        <w:rPr>
          <w:rFonts w:ascii="Times New Roman" w:hAnsi="Times New Roman" w:cs="Times New Roman"/>
          <w:sz w:val="24"/>
          <w:szCs w:val="24"/>
          <w:vertAlign w:val="superscript"/>
        </w:rPr>
        <w:footnoteReference w:id="48"/>
      </w:r>
      <w:r w:rsidRPr="00C31A32">
        <w:rPr>
          <w:rFonts w:ascii="Times New Roman" w:hAnsi="Times New Roman" w:cs="Times New Roman"/>
          <w:sz w:val="24"/>
          <w:szCs w:val="24"/>
        </w:rPr>
        <w:t xml:space="preserve"> But people cannot function as equals in their societies if the state does not protect everyone from abusive practices, like ‘conversion therapy’, targeting sexuality and gender identity. Consider another example, real this time.</w:t>
      </w:r>
      <w:r w:rsidR="009614CA" w:rsidRPr="00C31A32">
        <w:rPr>
          <w:rFonts w:ascii="Times New Roman" w:hAnsi="Times New Roman" w:cs="Times New Roman"/>
          <w:sz w:val="24"/>
          <w:szCs w:val="24"/>
        </w:rPr>
        <w:t xml:space="preserve"> </w:t>
      </w:r>
      <w:r w:rsidRPr="00C31A32">
        <w:rPr>
          <w:rFonts w:ascii="Times New Roman" w:hAnsi="Times New Roman" w:cs="Times New Roman"/>
          <w:sz w:val="24"/>
          <w:szCs w:val="24"/>
        </w:rPr>
        <w:t>States do take action against illegitimate forms of coercive interference with important aspects of individual identity, such as religion. The ECtHR, for instance, has repeatedly found that exploiting a power imbalance</w:t>
      </w:r>
      <w:r w:rsidR="005466EE" w:rsidRPr="00C31A32">
        <w:rPr>
          <w:rFonts w:ascii="Times New Roman" w:hAnsi="Times New Roman" w:cs="Times New Roman"/>
          <w:sz w:val="24"/>
          <w:szCs w:val="24"/>
        </w:rPr>
        <w:t xml:space="preserve"> under specific circumstances</w:t>
      </w:r>
      <w:r w:rsidRPr="00C31A32">
        <w:rPr>
          <w:rFonts w:ascii="Times New Roman" w:hAnsi="Times New Roman" w:cs="Times New Roman"/>
          <w:sz w:val="24"/>
          <w:szCs w:val="24"/>
        </w:rPr>
        <w:t>, e.g. in a military environment,</w:t>
      </w:r>
      <w:r w:rsidRPr="00C31A32">
        <w:rPr>
          <w:rStyle w:val="FootnoteReference"/>
          <w:rFonts w:ascii="Times New Roman" w:hAnsi="Times New Roman" w:cs="Times New Roman"/>
          <w:sz w:val="24"/>
          <w:szCs w:val="24"/>
        </w:rPr>
        <w:footnoteReference w:id="49"/>
      </w:r>
      <w:r w:rsidRPr="00C31A32">
        <w:rPr>
          <w:rFonts w:ascii="Times New Roman" w:hAnsi="Times New Roman" w:cs="Times New Roman"/>
          <w:sz w:val="24"/>
          <w:szCs w:val="24"/>
        </w:rPr>
        <w:t xml:space="preserve"> </w:t>
      </w:r>
      <w:r w:rsidRPr="00C31A32">
        <w:rPr>
          <w:rFonts w:ascii="Times New Roman" w:hAnsi="Times New Roman" w:cs="Times New Roman"/>
          <w:sz w:val="24"/>
          <w:szCs w:val="24"/>
        </w:rPr>
        <w:lastRenderedPageBreak/>
        <w:t xml:space="preserve">in order to coerce someone to change their religion </w:t>
      </w:r>
      <w:r w:rsidR="005466EE" w:rsidRPr="00C31A32">
        <w:rPr>
          <w:rFonts w:ascii="Times New Roman" w:hAnsi="Times New Roman" w:cs="Times New Roman"/>
          <w:sz w:val="24"/>
          <w:szCs w:val="24"/>
        </w:rPr>
        <w:t>amounts to</w:t>
      </w:r>
      <w:r w:rsidRPr="00C31A32">
        <w:rPr>
          <w:rFonts w:ascii="Times New Roman" w:hAnsi="Times New Roman" w:cs="Times New Roman"/>
          <w:sz w:val="24"/>
          <w:szCs w:val="24"/>
        </w:rPr>
        <w:t xml:space="preserve"> ‘improper proselytism’ which enjoys no protection under the ECHR.</w:t>
      </w:r>
      <w:r w:rsidRPr="00C31A32">
        <w:rPr>
          <w:rStyle w:val="FootnoteReference"/>
          <w:rFonts w:ascii="Times New Roman" w:hAnsi="Times New Roman" w:cs="Times New Roman"/>
          <w:sz w:val="24"/>
          <w:szCs w:val="24"/>
        </w:rPr>
        <w:footnoteReference w:id="50"/>
      </w:r>
      <w:r w:rsidRPr="00C31A32">
        <w:rPr>
          <w:rFonts w:ascii="Times New Roman" w:hAnsi="Times New Roman" w:cs="Times New Roman"/>
          <w:sz w:val="24"/>
          <w:szCs w:val="24"/>
        </w:rPr>
        <w:t xml:space="preserve"> Comparisons like these illustrate that ‘conversion therapy’ relies on, and reflects, a social order in which LGBTIQ+ people have less power and are shown less respect than heterosexual people, and in which their needs are marginalised.</w:t>
      </w:r>
      <w:r w:rsidRPr="00C31A32">
        <w:rPr>
          <w:rStyle w:val="FootnoteReference"/>
          <w:rFonts w:ascii="Times New Roman" w:hAnsi="Times New Roman" w:cs="Times New Roman"/>
          <w:sz w:val="24"/>
          <w:szCs w:val="24"/>
        </w:rPr>
        <w:footnoteReference w:id="51"/>
      </w:r>
      <w:r w:rsidRPr="00C31A32">
        <w:rPr>
          <w:rFonts w:ascii="Times New Roman" w:hAnsi="Times New Roman" w:cs="Times New Roman"/>
          <w:sz w:val="24"/>
          <w:szCs w:val="24"/>
        </w:rPr>
        <w:t xml:space="preserve"> Those wider, subordinating effects of ‘conversion therapy’ furnish another decisive objection against it.</w:t>
      </w:r>
    </w:p>
    <w:p w14:paraId="3E28DA86" w14:textId="77777777"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lang w:val="en-US"/>
        </w:rPr>
        <w:t>It might be objected that the arguments above apply only where LGBTIQ+ persons are forcibly subjected to ‘conversion therapy’ and not in cases where individuals choose to undergo it. If a ‘therapy’ provider has done enough to warn others about the potential risks from ‘conversion therapy’, then anyone who nevertheless chooses to undergo it is responsible for any harm they suffer. The next section will rebut this objection: ‘conversion therapy’ is among those forms of ill-treatment that human rights law prohibits in an absolute sense.</w:t>
      </w:r>
      <w:r w:rsidRPr="00C31A32">
        <w:rPr>
          <w:rStyle w:val="FootnoteReference"/>
          <w:rFonts w:ascii="Times New Roman" w:hAnsi="Times New Roman" w:cs="Times New Roman"/>
          <w:sz w:val="24"/>
          <w:szCs w:val="24"/>
        </w:rPr>
        <w:footnoteReference w:id="52"/>
      </w:r>
      <w:r w:rsidRPr="00C31A32">
        <w:rPr>
          <w:rFonts w:ascii="Times New Roman" w:hAnsi="Times New Roman" w:cs="Times New Roman"/>
          <w:sz w:val="24"/>
          <w:szCs w:val="24"/>
          <w:lang w:val="en-US"/>
        </w:rPr>
        <w:t xml:space="preserve"> Whether an individual consented to their ‘conversion’ is therefore irrelevant. What matters is whether in light of the harmfulness of ‘conversion therapy’ the state did enough to protect people from it.</w:t>
      </w:r>
      <w:r w:rsidRPr="00C31A32">
        <w:rPr>
          <w:rFonts w:ascii="Times New Roman" w:hAnsi="Times New Roman" w:cs="Times New Roman"/>
          <w:sz w:val="24"/>
          <w:szCs w:val="24"/>
        </w:rPr>
        <w:t xml:space="preserve"> </w:t>
      </w:r>
    </w:p>
    <w:p w14:paraId="138426DA" w14:textId="3095C414" w:rsidR="00C461A7" w:rsidRPr="00C31A32" w:rsidRDefault="00CA2D40" w:rsidP="00C461A7">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lang w:val="en-US"/>
        </w:rPr>
        <w:t>There is an additional point though. This consent-based objection is based on an overly narrow interpretation of the moral significance of choice: what matters is the fact of a person’s choice, rather than the circumstances under which a person made that choice.</w:t>
      </w:r>
      <w:r w:rsidRPr="00C31A32">
        <w:rPr>
          <w:rFonts w:ascii="Times New Roman" w:hAnsi="Times New Roman" w:cs="Times New Roman"/>
          <w:sz w:val="24"/>
          <w:szCs w:val="24"/>
          <w:vertAlign w:val="superscript"/>
          <w:lang w:val="en-US"/>
        </w:rPr>
        <w:footnoteReference w:id="53"/>
      </w:r>
      <w:r w:rsidRPr="00C31A32">
        <w:rPr>
          <w:rFonts w:ascii="Times New Roman" w:hAnsi="Times New Roman" w:cs="Times New Roman"/>
          <w:sz w:val="24"/>
          <w:szCs w:val="24"/>
          <w:lang w:val="en-US"/>
        </w:rPr>
        <w:t xml:space="preserve"> However, such an interpretation is misleading because a choice has elevated moral force only when the conditions under which it is made are right.</w:t>
      </w:r>
      <w:r w:rsidRPr="00C31A32">
        <w:rPr>
          <w:rStyle w:val="FootnoteReference"/>
          <w:rFonts w:ascii="Times New Roman" w:hAnsi="Times New Roman" w:cs="Times New Roman"/>
          <w:sz w:val="24"/>
          <w:szCs w:val="24"/>
          <w:lang w:val="en-US"/>
        </w:rPr>
        <w:footnoteReference w:id="54"/>
      </w:r>
      <w:r w:rsidRPr="00C31A32">
        <w:rPr>
          <w:rFonts w:ascii="Times New Roman" w:hAnsi="Times New Roman" w:cs="Times New Roman"/>
          <w:sz w:val="24"/>
          <w:szCs w:val="24"/>
          <w:lang w:val="en-US"/>
        </w:rPr>
        <w:t xml:space="preserve"> As we saw above, ‘conversion therapy’ depends on a social context of historical stigmatisation on the basis of homosexuality. </w:t>
      </w:r>
      <w:r w:rsidR="00C461A7" w:rsidRPr="00C31A32">
        <w:rPr>
          <w:rFonts w:ascii="Times New Roman" w:hAnsi="Times New Roman" w:cs="Times New Roman"/>
          <w:sz w:val="24"/>
          <w:szCs w:val="24"/>
          <w:lang w:val="en-US"/>
        </w:rPr>
        <w:t>The relationship of that context with the pressure on many LGBTIQ+ persons to resist their sexuality or gender identity – a pressure that heterosexual, cisgender persons do not experience – has independent moral significance. To be clear, the argument here is not that consent is irrelevant in determin</w:t>
      </w:r>
      <w:r w:rsidR="001639FA" w:rsidRPr="00C31A32">
        <w:rPr>
          <w:rFonts w:ascii="Times New Roman" w:hAnsi="Times New Roman" w:cs="Times New Roman"/>
          <w:sz w:val="24"/>
          <w:szCs w:val="24"/>
          <w:lang w:val="en-US"/>
        </w:rPr>
        <w:t>ing</w:t>
      </w:r>
      <w:r w:rsidR="00C461A7" w:rsidRPr="00C31A32">
        <w:rPr>
          <w:rFonts w:ascii="Times New Roman" w:hAnsi="Times New Roman" w:cs="Times New Roman"/>
          <w:sz w:val="24"/>
          <w:szCs w:val="24"/>
          <w:lang w:val="en-US"/>
        </w:rPr>
        <w:t xml:space="preserve"> whether a certain conduct amounts to prohibited ill-treatment under human rights law. Indeed, certain treatments may violate Article 3 ECHR precisely because they were forced on someone.</w:t>
      </w:r>
      <w:r w:rsidR="00C461A7" w:rsidRPr="00C31A32">
        <w:rPr>
          <w:rStyle w:val="FootnoteReference"/>
          <w:rFonts w:ascii="Times New Roman" w:hAnsi="Times New Roman" w:cs="Times New Roman"/>
          <w:sz w:val="24"/>
          <w:szCs w:val="24"/>
          <w:lang w:val="en-US"/>
        </w:rPr>
        <w:footnoteReference w:id="55"/>
      </w:r>
      <w:r w:rsidR="00C461A7" w:rsidRPr="00C31A32">
        <w:rPr>
          <w:rFonts w:ascii="Times New Roman" w:hAnsi="Times New Roman" w:cs="Times New Roman"/>
          <w:sz w:val="24"/>
          <w:szCs w:val="24"/>
          <w:lang w:val="en-US"/>
        </w:rPr>
        <w:t xml:space="preserve"> </w:t>
      </w:r>
      <w:r w:rsidR="008D325B" w:rsidRPr="00C31A32">
        <w:rPr>
          <w:rFonts w:ascii="Times New Roman" w:hAnsi="Times New Roman" w:cs="Times New Roman"/>
          <w:sz w:val="24"/>
          <w:szCs w:val="24"/>
          <w:lang w:val="en-US"/>
        </w:rPr>
        <w:t>The argument is that</w:t>
      </w:r>
      <w:r w:rsidR="00C461A7" w:rsidRPr="00C31A32">
        <w:rPr>
          <w:rFonts w:ascii="Times New Roman" w:hAnsi="Times New Roman" w:cs="Times New Roman"/>
          <w:sz w:val="24"/>
          <w:szCs w:val="24"/>
          <w:lang w:val="en-US"/>
        </w:rPr>
        <w:t xml:space="preserve"> an overly narrow interpretation of the moral significance of choice, which focuses </w:t>
      </w:r>
      <w:r w:rsidR="00C461A7" w:rsidRPr="00C31A32">
        <w:rPr>
          <w:rFonts w:ascii="Times New Roman" w:hAnsi="Times New Roman" w:cs="Times New Roman"/>
          <w:i/>
          <w:iCs/>
          <w:sz w:val="24"/>
          <w:szCs w:val="24"/>
          <w:lang w:val="en-US"/>
        </w:rPr>
        <w:t>only</w:t>
      </w:r>
      <w:r w:rsidR="00C461A7" w:rsidRPr="00C31A32">
        <w:rPr>
          <w:rFonts w:ascii="Times New Roman" w:hAnsi="Times New Roman" w:cs="Times New Roman"/>
          <w:sz w:val="24"/>
          <w:szCs w:val="24"/>
          <w:lang w:val="en-US"/>
        </w:rPr>
        <w:t xml:space="preserve"> on consent and overlooks the background conditions under which a decision is made, is under-inclusive. As the next section shows, a narrow account of freedom of choice would be unable to explain key parts of the case-law under Article 3 ECHR, where significant emphasis is placed on the circumstances under which someone was ill-treated, </w:t>
      </w:r>
      <w:r w:rsidR="007B2F93" w:rsidRPr="00C31A32">
        <w:rPr>
          <w:rFonts w:ascii="Times New Roman" w:hAnsi="Times New Roman" w:cs="Times New Roman"/>
          <w:sz w:val="24"/>
          <w:szCs w:val="24"/>
          <w:lang w:val="en-US"/>
        </w:rPr>
        <w:t xml:space="preserve">such </w:t>
      </w:r>
      <w:r w:rsidR="007B2F93" w:rsidRPr="00C31A32">
        <w:rPr>
          <w:rFonts w:ascii="Times New Roman" w:hAnsi="Times New Roman" w:cs="Times New Roman"/>
          <w:sz w:val="24"/>
          <w:szCs w:val="24"/>
          <w:lang w:val="en-US"/>
        </w:rPr>
        <w:lastRenderedPageBreak/>
        <w:t>as</w:t>
      </w:r>
      <w:r w:rsidR="00C461A7" w:rsidRPr="00C31A32">
        <w:rPr>
          <w:rFonts w:ascii="Times New Roman" w:hAnsi="Times New Roman" w:cs="Times New Roman"/>
          <w:sz w:val="24"/>
          <w:szCs w:val="24"/>
          <w:lang w:val="en-US"/>
        </w:rPr>
        <w:t xml:space="preserve"> the existence of widespread and well-known prejudice against a protected group</w:t>
      </w:r>
      <w:r w:rsidR="007B2F93" w:rsidRPr="00C31A32">
        <w:rPr>
          <w:rFonts w:ascii="Times New Roman" w:hAnsi="Times New Roman" w:cs="Times New Roman"/>
          <w:sz w:val="24"/>
          <w:szCs w:val="24"/>
          <w:lang w:val="en-US"/>
        </w:rPr>
        <w:t xml:space="preserve"> or the vulnerability of the victim</w:t>
      </w:r>
      <w:r w:rsidR="00C461A7" w:rsidRPr="00C31A32">
        <w:rPr>
          <w:rFonts w:ascii="Times New Roman" w:hAnsi="Times New Roman" w:cs="Times New Roman"/>
          <w:sz w:val="24"/>
          <w:szCs w:val="24"/>
          <w:lang w:val="en-US"/>
        </w:rPr>
        <w:t>, rather than on whether an individual had a choice to avoid ill-treatment. The role of such factors can be captured only by a broader account of the moral significance of choice, according to which in order for a decision to be legitimate the conditions have to be right before passing to whether the person’s choice or consent is sufficient. This broader account is morally preferable, but its full defence cannot be pursued further here.</w:t>
      </w:r>
    </w:p>
    <w:p w14:paraId="739640D6" w14:textId="1AF71242"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A final point to emphasise. So far, we argued that ‘conversion therapy’ is wrong because it disrespects the standing of LGBTIQ+ people as equals. However, it is important to eschew one misleading connotation of that idea, namely that ‘conversion therapy’ is wrong because it is based on incorrect beliefs about the moral worth of LGBTIQ+ persons. As we saw, the view that LGBTIQ+ persons are of lesser value is fundamental to many instances of ‘conversion therapy’. But not all instances of ‘conversion therapy’ necessarily</w:t>
      </w:r>
      <w:r w:rsidRPr="00C31A32">
        <w:rPr>
          <w:rFonts w:ascii="Times New Roman" w:hAnsi="Times New Roman" w:cs="Times New Roman"/>
          <w:i/>
          <w:iCs/>
          <w:sz w:val="24"/>
          <w:szCs w:val="24"/>
        </w:rPr>
        <w:t xml:space="preserve"> </w:t>
      </w:r>
      <w:r w:rsidRPr="00C31A32">
        <w:rPr>
          <w:rFonts w:ascii="Times New Roman" w:hAnsi="Times New Roman" w:cs="Times New Roman"/>
          <w:sz w:val="24"/>
          <w:szCs w:val="24"/>
        </w:rPr>
        <w:t xml:space="preserve">rest on such a judgment of inferior status. Consider a religious group that offers ‘conversion therapy’ to save gay men from eternal damnation. Their intervention does not necessarily rely on the assumption that LGBTIQ+ people are intrinsically less valuable than others. In fact, their intervention might be taken to suggest the exact opposite, namely that </w:t>
      </w:r>
      <w:r w:rsidRPr="00C31A32">
        <w:rPr>
          <w:rFonts w:ascii="Times New Roman" w:hAnsi="Times New Roman" w:cs="Times New Roman"/>
          <w:i/>
          <w:iCs/>
          <w:sz w:val="24"/>
          <w:szCs w:val="24"/>
        </w:rPr>
        <w:t xml:space="preserve">because </w:t>
      </w:r>
      <w:r w:rsidRPr="00C31A32">
        <w:rPr>
          <w:rFonts w:ascii="Times New Roman" w:hAnsi="Times New Roman" w:cs="Times New Roman"/>
          <w:sz w:val="24"/>
          <w:szCs w:val="24"/>
        </w:rPr>
        <w:t>LGBTIQ+ people are of equal value, they deserve to be saved through their ‘treatment’. Nevertheless, even those benevolent forms of ‘conversion therapy’ that do not rely on a direct judgment about the equal value of LGBTIQ+ people as persons fail to accord them the equality of respect that their status as persons demands. This is because their interests – in relation to health and personal autonomy – are unwarrantedly taken to matter less than the interests of others; and, more specifically, less than the interests of heterosexual people in those very matters. Therefore, the wrongness of ‘conversion therapy’ does not depend on the beliefs of the ‘therapist’ but on a theory about the normative significance of being a person, which entails that certain considerations should not be taken as a reason for certain actions.</w:t>
      </w:r>
    </w:p>
    <w:p w14:paraId="66423612" w14:textId="6F8AE7B3"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To recap, ‘conversion therapy’ is wrong because it disrespects LGBTIQ+ persons. It disrespects them not only because it places them at real risk of grave physical and psychological harm; or only because it denies them key freedoms related to sexuality and gender identity; or only because it depends on, and reflects, their social subordination. ‘Conversion therapy’ disrespects LGBTIQ+ persons for </w:t>
      </w:r>
      <w:r w:rsidRPr="00C31A32">
        <w:rPr>
          <w:rFonts w:ascii="Times New Roman" w:hAnsi="Times New Roman" w:cs="Times New Roman"/>
          <w:i/>
          <w:iCs/>
          <w:sz w:val="24"/>
          <w:szCs w:val="24"/>
        </w:rPr>
        <w:t>all</w:t>
      </w:r>
      <w:r w:rsidRPr="00C31A32">
        <w:rPr>
          <w:rFonts w:ascii="Times New Roman" w:hAnsi="Times New Roman" w:cs="Times New Roman"/>
          <w:sz w:val="24"/>
          <w:szCs w:val="24"/>
        </w:rPr>
        <w:t xml:space="preserve"> those reasons, at the same time. Both by design and in effect ‘conversion therapy’ flouts protected areas of liberty and equality</w:t>
      </w:r>
      <w:r w:rsidR="00105B3D" w:rsidRPr="00C31A32">
        <w:rPr>
          <w:rFonts w:ascii="Times New Roman" w:hAnsi="Times New Roman" w:cs="Times New Roman"/>
          <w:sz w:val="24"/>
          <w:szCs w:val="24"/>
        </w:rPr>
        <w:t xml:space="preserve"> which </w:t>
      </w:r>
      <w:r w:rsidRPr="00C31A32">
        <w:rPr>
          <w:rFonts w:ascii="Times New Roman" w:hAnsi="Times New Roman" w:cs="Times New Roman"/>
          <w:sz w:val="24"/>
          <w:szCs w:val="24"/>
        </w:rPr>
        <w:t>are</w:t>
      </w:r>
      <w:r w:rsidR="00105B3D" w:rsidRPr="00C31A32">
        <w:rPr>
          <w:rFonts w:ascii="Times New Roman" w:hAnsi="Times New Roman" w:cs="Times New Roman"/>
          <w:sz w:val="24"/>
          <w:szCs w:val="24"/>
        </w:rPr>
        <w:t xml:space="preserve">, as the next section will </w:t>
      </w:r>
      <w:r w:rsidR="00573C7F" w:rsidRPr="00C31A32">
        <w:rPr>
          <w:rFonts w:ascii="Times New Roman" w:hAnsi="Times New Roman" w:cs="Times New Roman"/>
          <w:sz w:val="24"/>
          <w:szCs w:val="24"/>
        </w:rPr>
        <w:t>further discuss</w:t>
      </w:r>
      <w:r w:rsidR="00105B3D" w:rsidRPr="00C31A32">
        <w:rPr>
          <w:rFonts w:ascii="Times New Roman" w:hAnsi="Times New Roman" w:cs="Times New Roman"/>
          <w:sz w:val="24"/>
          <w:szCs w:val="24"/>
        </w:rPr>
        <w:t>,</w:t>
      </w:r>
      <w:r w:rsidRPr="00C31A32">
        <w:rPr>
          <w:rFonts w:ascii="Times New Roman" w:hAnsi="Times New Roman" w:cs="Times New Roman"/>
          <w:sz w:val="24"/>
          <w:szCs w:val="24"/>
        </w:rPr>
        <w:t xml:space="preserve"> inherent in the idea of human dignity. This partial sketch of the wrongfulness of ‘conversion therapy’ is meant to offer a set of reasons that, though incomplete, is sufficient for the overall purpose of this article, namely, to support the view that all forms of ‘conversion therapy’ fall within the scope of the absolute prohibition of </w:t>
      </w:r>
      <w:r w:rsidR="005B4EDD" w:rsidRPr="00C31A32">
        <w:rPr>
          <w:rFonts w:ascii="Times New Roman" w:hAnsi="Times New Roman" w:cs="Times New Roman"/>
          <w:sz w:val="24"/>
          <w:szCs w:val="24"/>
        </w:rPr>
        <w:t>torture and CIDT</w:t>
      </w:r>
      <w:r w:rsidRPr="00C31A32">
        <w:rPr>
          <w:rFonts w:ascii="Times New Roman" w:hAnsi="Times New Roman" w:cs="Times New Roman"/>
          <w:sz w:val="24"/>
          <w:szCs w:val="24"/>
        </w:rPr>
        <w:t xml:space="preserve"> in human rights law.</w:t>
      </w:r>
    </w:p>
    <w:p w14:paraId="152132C6" w14:textId="77777777" w:rsidR="00CA2D40" w:rsidRPr="00C31A32" w:rsidRDefault="00CA2D40" w:rsidP="00CA2D40">
      <w:pPr>
        <w:spacing w:after="0" w:line="276" w:lineRule="auto"/>
        <w:jc w:val="both"/>
        <w:rPr>
          <w:rFonts w:ascii="Times New Roman" w:hAnsi="Times New Roman" w:cs="Times New Roman"/>
          <w:sz w:val="24"/>
          <w:szCs w:val="24"/>
        </w:rPr>
      </w:pPr>
    </w:p>
    <w:p w14:paraId="35A58E6D" w14:textId="77777777" w:rsidR="00CA2D40" w:rsidRPr="00C31A32" w:rsidRDefault="00CA2D40" w:rsidP="00CA2D40">
      <w:pPr>
        <w:spacing w:after="0" w:line="276" w:lineRule="auto"/>
        <w:jc w:val="both"/>
        <w:rPr>
          <w:rFonts w:ascii="Times New Roman" w:hAnsi="Times New Roman" w:cs="Times New Roman"/>
          <w:sz w:val="24"/>
          <w:szCs w:val="24"/>
        </w:rPr>
      </w:pPr>
    </w:p>
    <w:p w14:paraId="2B55C3CA" w14:textId="77777777" w:rsidR="00CA2D40" w:rsidRPr="00C31A32" w:rsidRDefault="00CA2D40" w:rsidP="00CA2D40">
      <w:pPr>
        <w:pStyle w:val="ListParagraph"/>
        <w:numPr>
          <w:ilvl w:val="0"/>
          <w:numId w:val="13"/>
        </w:numPr>
        <w:spacing w:after="0" w:line="276" w:lineRule="auto"/>
        <w:jc w:val="center"/>
        <w:rPr>
          <w:rFonts w:ascii="Times New Roman" w:hAnsi="Times New Roman" w:cs="Times New Roman"/>
          <w:i/>
          <w:iCs/>
          <w:sz w:val="28"/>
          <w:szCs w:val="28"/>
        </w:rPr>
      </w:pPr>
      <w:r w:rsidRPr="00C31A32">
        <w:rPr>
          <w:rFonts w:ascii="Times New Roman" w:hAnsi="Times New Roman" w:cs="Times New Roman"/>
          <w:i/>
          <w:iCs/>
          <w:sz w:val="28"/>
          <w:szCs w:val="28"/>
        </w:rPr>
        <w:t>‘Conversion Therapy’ and the Scope of the Prohibition of Torture or Degrading Treatment</w:t>
      </w:r>
    </w:p>
    <w:p w14:paraId="1444EE35" w14:textId="77777777" w:rsidR="00CA2D40" w:rsidRPr="00C31A32" w:rsidRDefault="00CA2D40" w:rsidP="00CA2D40">
      <w:pPr>
        <w:spacing w:after="0" w:line="276" w:lineRule="auto"/>
        <w:jc w:val="center"/>
        <w:rPr>
          <w:rFonts w:ascii="Times New Roman" w:hAnsi="Times New Roman" w:cs="Times New Roman"/>
          <w:b/>
          <w:bCs/>
          <w:sz w:val="24"/>
          <w:szCs w:val="24"/>
        </w:rPr>
      </w:pPr>
    </w:p>
    <w:p w14:paraId="33732838" w14:textId="7FEB2414" w:rsidR="00CA2D40" w:rsidRPr="00C31A32" w:rsidRDefault="00CA2D40" w:rsidP="00CA2D40">
      <w:pPr>
        <w:pStyle w:val="ListParagraph"/>
        <w:spacing w:after="0" w:line="276" w:lineRule="auto"/>
        <w:ind w:left="0"/>
        <w:jc w:val="both"/>
        <w:rPr>
          <w:rFonts w:ascii="Times New Roman" w:hAnsi="Times New Roman" w:cs="Times New Roman"/>
          <w:sz w:val="24"/>
          <w:szCs w:val="24"/>
        </w:rPr>
      </w:pPr>
      <w:r w:rsidRPr="00C31A32">
        <w:rPr>
          <w:rFonts w:ascii="Times New Roman" w:hAnsi="Times New Roman" w:cs="Times New Roman"/>
          <w:sz w:val="24"/>
          <w:szCs w:val="24"/>
        </w:rPr>
        <w:t xml:space="preserve">The previous section set out the reasons why ‘conversion therapy’ is a serious violation of human dignity. This section will link the discussion with the absolute prohibition of </w:t>
      </w:r>
      <w:r w:rsidR="001639FA" w:rsidRPr="00C31A32">
        <w:rPr>
          <w:rFonts w:ascii="Times New Roman" w:hAnsi="Times New Roman" w:cs="Times New Roman"/>
          <w:sz w:val="24"/>
          <w:szCs w:val="24"/>
        </w:rPr>
        <w:t xml:space="preserve">degrading </w:t>
      </w:r>
      <w:r w:rsidR="001639FA" w:rsidRPr="00C31A32">
        <w:rPr>
          <w:rFonts w:ascii="Times New Roman" w:hAnsi="Times New Roman" w:cs="Times New Roman"/>
          <w:sz w:val="24"/>
          <w:szCs w:val="24"/>
        </w:rPr>
        <w:lastRenderedPageBreak/>
        <w:t>treatment</w:t>
      </w:r>
      <w:r w:rsidRPr="00C31A32">
        <w:rPr>
          <w:rFonts w:ascii="Times New Roman" w:hAnsi="Times New Roman" w:cs="Times New Roman"/>
          <w:sz w:val="24"/>
          <w:szCs w:val="24"/>
        </w:rPr>
        <w:t xml:space="preserve"> in human rights law. The argument unfolds in two parts. The first part analyses the meaning of ‘degrading treatment’ under Article 3 ECHR. It is argued that one of the main aims of the prohibition of ‘degrading treatment’ is to protect individuals from serious violations of human dignity, which are specified in detail. Based on this interpretation of degradation, the second part analyses the reasons why </w:t>
      </w:r>
      <w:r w:rsidRPr="00C31A32">
        <w:rPr>
          <w:rFonts w:ascii="Times New Roman" w:hAnsi="Times New Roman" w:cs="Times New Roman"/>
          <w:i/>
          <w:iCs/>
          <w:sz w:val="24"/>
          <w:szCs w:val="24"/>
        </w:rPr>
        <w:t>all</w:t>
      </w:r>
      <w:r w:rsidRPr="00C31A32">
        <w:rPr>
          <w:rFonts w:ascii="Times New Roman" w:hAnsi="Times New Roman" w:cs="Times New Roman"/>
          <w:sz w:val="24"/>
          <w:szCs w:val="24"/>
        </w:rPr>
        <w:t xml:space="preserve"> forms of ‘conversion therapy’ amount at a minimum to ‘degrading treatment’ for the purposes of </w:t>
      </w:r>
      <w:r w:rsidR="001639FA" w:rsidRPr="00C31A32">
        <w:rPr>
          <w:rFonts w:ascii="Times New Roman" w:hAnsi="Times New Roman" w:cs="Times New Roman"/>
          <w:sz w:val="24"/>
          <w:szCs w:val="24"/>
        </w:rPr>
        <w:t>international human rights law</w:t>
      </w:r>
      <w:r w:rsidRPr="00C31A32">
        <w:rPr>
          <w:rFonts w:ascii="Times New Roman" w:hAnsi="Times New Roman" w:cs="Times New Roman"/>
          <w:sz w:val="24"/>
          <w:szCs w:val="24"/>
        </w:rPr>
        <w:t>.</w:t>
      </w:r>
    </w:p>
    <w:p w14:paraId="63DAB253" w14:textId="77777777" w:rsidR="00CA2D40" w:rsidRPr="00C31A32" w:rsidRDefault="00CA2D40" w:rsidP="00CA2D40">
      <w:pPr>
        <w:spacing w:after="0" w:line="276" w:lineRule="auto"/>
        <w:jc w:val="both"/>
        <w:rPr>
          <w:rFonts w:ascii="Times New Roman" w:hAnsi="Times New Roman" w:cs="Times New Roman"/>
          <w:sz w:val="24"/>
          <w:szCs w:val="24"/>
        </w:rPr>
      </w:pPr>
    </w:p>
    <w:p w14:paraId="57F80D04" w14:textId="77777777" w:rsidR="00CA2D40" w:rsidRPr="00C31A32" w:rsidRDefault="00CA2D40" w:rsidP="00CA2D40">
      <w:pPr>
        <w:pStyle w:val="ListParagraph"/>
        <w:numPr>
          <w:ilvl w:val="0"/>
          <w:numId w:val="14"/>
        </w:numPr>
        <w:spacing w:after="0" w:line="276" w:lineRule="auto"/>
        <w:jc w:val="both"/>
        <w:rPr>
          <w:rFonts w:ascii="Times New Roman" w:hAnsi="Times New Roman" w:cs="Times New Roman"/>
          <w:i/>
          <w:iCs/>
          <w:sz w:val="24"/>
          <w:szCs w:val="24"/>
        </w:rPr>
      </w:pPr>
      <w:r w:rsidRPr="00C31A32">
        <w:rPr>
          <w:rFonts w:ascii="Times New Roman" w:hAnsi="Times New Roman" w:cs="Times New Roman"/>
          <w:i/>
          <w:iCs/>
          <w:sz w:val="24"/>
          <w:szCs w:val="24"/>
        </w:rPr>
        <w:t>Degrading Treatment and Human Dignity</w:t>
      </w:r>
    </w:p>
    <w:p w14:paraId="62183DC0" w14:textId="77777777" w:rsidR="00CA2D40" w:rsidRPr="00C31A32" w:rsidRDefault="00CA2D40" w:rsidP="00CA2D40">
      <w:pPr>
        <w:pStyle w:val="ListParagraph"/>
        <w:spacing w:after="0" w:line="276" w:lineRule="auto"/>
        <w:ind w:left="0"/>
        <w:jc w:val="both"/>
        <w:rPr>
          <w:rFonts w:ascii="Times New Roman" w:hAnsi="Times New Roman" w:cs="Times New Roman"/>
          <w:sz w:val="24"/>
          <w:szCs w:val="24"/>
        </w:rPr>
      </w:pPr>
    </w:p>
    <w:p w14:paraId="5705CCC9" w14:textId="262ED477" w:rsidR="00CA2D40" w:rsidRPr="00C31A32" w:rsidRDefault="00CA2D40" w:rsidP="00CA2D40">
      <w:pPr>
        <w:pStyle w:val="ListParagraph"/>
        <w:spacing w:after="0" w:line="276" w:lineRule="auto"/>
        <w:ind w:left="0"/>
        <w:jc w:val="both"/>
        <w:rPr>
          <w:rFonts w:ascii="Times New Roman" w:hAnsi="Times New Roman" w:cs="Times New Roman"/>
          <w:sz w:val="24"/>
          <w:szCs w:val="24"/>
        </w:rPr>
      </w:pPr>
      <w:r w:rsidRPr="00C31A32">
        <w:rPr>
          <w:rFonts w:ascii="Times New Roman" w:hAnsi="Times New Roman" w:cs="Times New Roman"/>
          <w:sz w:val="24"/>
          <w:szCs w:val="24"/>
        </w:rPr>
        <w:t xml:space="preserve">Does ‘conversion therapy’ have to reach a particular level of severity in order to fall within the prohibition of </w:t>
      </w:r>
      <w:r w:rsidR="001639FA" w:rsidRPr="00C31A32">
        <w:rPr>
          <w:rFonts w:ascii="Times New Roman" w:hAnsi="Times New Roman" w:cs="Times New Roman"/>
          <w:sz w:val="24"/>
          <w:szCs w:val="24"/>
        </w:rPr>
        <w:t>degrading treatment</w:t>
      </w:r>
      <w:r w:rsidRPr="00C31A32">
        <w:rPr>
          <w:rFonts w:ascii="Times New Roman" w:hAnsi="Times New Roman" w:cs="Times New Roman"/>
          <w:sz w:val="24"/>
          <w:szCs w:val="24"/>
        </w:rPr>
        <w:t>? Answering this requires engagement with the meaning of severity in this context. This section focuses on the ECHR and UK law</w:t>
      </w:r>
      <w:r w:rsidR="001639FA" w:rsidRPr="00C31A32">
        <w:rPr>
          <w:rFonts w:ascii="Times New Roman" w:hAnsi="Times New Roman" w:cs="Times New Roman"/>
          <w:sz w:val="24"/>
          <w:szCs w:val="24"/>
        </w:rPr>
        <w:t>. However,</w:t>
      </w:r>
      <w:r w:rsidRPr="00C31A32">
        <w:rPr>
          <w:rFonts w:ascii="Times New Roman" w:hAnsi="Times New Roman" w:cs="Times New Roman"/>
          <w:sz w:val="24"/>
          <w:szCs w:val="24"/>
        </w:rPr>
        <w:t xml:space="preserve"> </w:t>
      </w:r>
      <w:r w:rsidR="001639FA" w:rsidRPr="00C31A32">
        <w:rPr>
          <w:rFonts w:ascii="Times New Roman" w:hAnsi="Times New Roman" w:cs="Times New Roman"/>
          <w:sz w:val="24"/>
          <w:szCs w:val="24"/>
        </w:rPr>
        <w:t xml:space="preserve">for reasons that will be discussed in Section 5 of this article, the proposed interpretation of degrading treatment </w:t>
      </w:r>
      <w:r w:rsidRPr="00C31A32">
        <w:rPr>
          <w:rFonts w:ascii="Times New Roman" w:hAnsi="Times New Roman" w:cs="Times New Roman"/>
          <w:sz w:val="24"/>
          <w:szCs w:val="24"/>
        </w:rPr>
        <w:t>also appl</w:t>
      </w:r>
      <w:r w:rsidR="001639FA" w:rsidRPr="00C31A32">
        <w:rPr>
          <w:rFonts w:ascii="Times New Roman" w:hAnsi="Times New Roman" w:cs="Times New Roman"/>
          <w:sz w:val="24"/>
          <w:szCs w:val="24"/>
        </w:rPr>
        <w:t>ies</w:t>
      </w:r>
      <w:r w:rsidRPr="00C31A32">
        <w:rPr>
          <w:rFonts w:ascii="Times New Roman" w:hAnsi="Times New Roman" w:cs="Times New Roman"/>
          <w:sz w:val="24"/>
          <w:szCs w:val="24"/>
        </w:rPr>
        <w:t xml:space="preserve"> to the UN CAT</w:t>
      </w:r>
      <w:r w:rsidR="001639FA" w:rsidRPr="00C31A32">
        <w:rPr>
          <w:rFonts w:ascii="Times New Roman" w:hAnsi="Times New Roman" w:cs="Times New Roman"/>
          <w:sz w:val="24"/>
          <w:szCs w:val="24"/>
        </w:rPr>
        <w:t>.</w:t>
      </w:r>
    </w:p>
    <w:p w14:paraId="148E134A" w14:textId="4B709AFD"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Firstly, a treatment must reach ‘a minimum level of severity’ in order to fall within the scope of Article 3 ECHR.</w:t>
      </w:r>
      <w:r w:rsidRPr="00C31A32">
        <w:rPr>
          <w:rStyle w:val="FootnoteReference"/>
          <w:rFonts w:ascii="Times New Roman" w:hAnsi="Times New Roman" w:cs="Times New Roman"/>
          <w:sz w:val="24"/>
          <w:szCs w:val="24"/>
        </w:rPr>
        <w:footnoteReference w:id="56"/>
      </w:r>
      <w:r w:rsidRPr="00C31A32">
        <w:rPr>
          <w:rFonts w:ascii="Times New Roman" w:hAnsi="Times New Roman" w:cs="Times New Roman"/>
          <w:sz w:val="24"/>
          <w:szCs w:val="24"/>
        </w:rPr>
        <w:t xml:space="preserve"> </w:t>
      </w:r>
      <w:r w:rsidR="003A0187" w:rsidRPr="00C31A32">
        <w:rPr>
          <w:rFonts w:ascii="Times New Roman" w:hAnsi="Times New Roman" w:cs="Times New Roman"/>
          <w:sz w:val="24"/>
          <w:szCs w:val="24"/>
        </w:rPr>
        <w:t>T</w:t>
      </w:r>
      <w:r w:rsidRPr="00C31A32">
        <w:rPr>
          <w:rFonts w:ascii="Times New Roman" w:hAnsi="Times New Roman" w:cs="Times New Roman"/>
          <w:sz w:val="24"/>
          <w:szCs w:val="24"/>
        </w:rPr>
        <w:t>he assessment of this depends on various factors,</w:t>
      </w:r>
      <w:r w:rsidRPr="00C31A32">
        <w:rPr>
          <w:rStyle w:val="FootnoteReference"/>
          <w:rFonts w:ascii="Times New Roman" w:hAnsi="Times New Roman" w:cs="Times New Roman"/>
          <w:sz w:val="24"/>
          <w:szCs w:val="24"/>
        </w:rPr>
        <w:footnoteReference w:id="57"/>
      </w:r>
      <w:r w:rsidRPr="00C31A32">
        <w:rPr>
          <w:rFonts w:ascii="Times New Roman" w:hAnsi="Times New Roman" w:cs="Times New Roman"/>
          <w:sz w:val="24"/>
          <w:szCs w:val="24"/>
        </w:rPr>
        <w:t xml:space="preserve"> such as the nature and context of the treatment, its duration, its physical and mental effects, and the age, sex and health of the victim.</w:t>
      </w:r>
      <w:r w:rsidRPr="00C31A32">
        <w:rPr>
          <w:rStyle w:val="FootnoteReference"/>
          <w:rFonts w:ascii="Times New Roman" w:hAnsi="Times New Roman" w:cs="Times New Roman"/>
          <w:sz w:val="24"/>
          <w:szCs w:val="24"/>
        </w:rPr>
        <w:footnoteReference w:id="58"/>
      </w:r>
      <w:r w:rsidRPr="00C31A32">
        <w:rPr>
          <w:rFonts w:ascii="Times New Roman" w:hAnsi="Times New Roman" w:cs="Times New Roman"/>
          <w:sz w:val="24"/>
          <w:szCs w:val="24"/>
        </w:rPr>
        <w:t xml:space="preserve"> Typically the courts determine whether the threshold has been crossed by applying the </w:t>
      </w:r>
      <w:r w:rsidRPr="00C31A32">
        <w:rPr>
          <w:rFonts w:ascii="Times New Roman" w:hAnsi="Times New Roman" w:cs="Times New Roman"/>
          <w:i/>
          <w:iCs/>
          <w:sz w:val="24"/>
          <w:szCs w:val="24"/>
        </w:rPr>
        <w:t>Pretty</w:t>
      </w:r>
      <w:r w:rsidRPr="00C31A32">
        <w:rPr>
          <w:rFonts w:ascii="Times New Roman" w:hAnsi="Times New Roman" w:cs="Times New Roman"/>
          <w:sz w:val="24"/>
          <w:szCs w:val="24"/>
        </w:rPr>
        <w:t xml:space="preserve"> test.</w:t>
      </w:r>
      <w:r w:rsidRPr="00C31A32">
        <w:rPr>
          <w:rStyle w:val="FootnoteReference"/>
          <w:rFonts w:ascii="Times New Roman" w:hAnsi="Times New Roman" w:cs="Times New Roman"/>
          <w:sz w:val="24"/>
          <w:szCs w:val="24"/>
        </w:rPr>
        <w:footnoteReference w:id="59"/>
      </w:r>
      <w:r w:rsidRPr="00C31A32">
        <w:rPr>
          <w:rFonts w:ascii="Times New Roman" w:hAnsi="Times New Roman" w:cs="Times New Roman"/>
          <w:sz w:val="24"/>
          <w:szCs w:val="24"/>
        </w:rPr>
        <w:t xml:space="preserve"> The </w:t>
      </w:r>
      <w:r w:rsidRPr="00C31A32">
        <w:rPr>
          <w:rFonts w:ascii="Times New Roman" w:hAnsi="Times New Roman" w:cs="Times New Roman"/>
          <w:i/>
          <w:iCs/>
          <w:sz w:val="24"/>
          <w:szCs w:val="24"/>
        </w:rPr>
        <w:t>Pretty</w:t>
      </w:r>
      <w:r w:rsidRPr="00C31A32">
        <w:rPr>
          <w:rFonts w:ascii="Times New Roman" w:hAnsi="Times New Roman" w:cs="Times New Roman"/>
          <w:sz w:val="24"/>
          <w:szCs w:val="24"/>
        </w:rPr>
        <w:t xml:space="preserve"> test includes two evaluative elements, namely the ‘severity’ of treatment and the ‘intensity’ of suffering. To determine ‘severity’ the courts focus on the intentions and conduct of the perpetrator. The courts then shift their focus from the perpetrator to the subjective experience of the victim to assess the ‘intensity’ of suffering. ‘Severity’ and ‘intensity’ are matters of degree and, as </w:t>
      </w:r>
      <w:r w:rsidR="000541C5" w:rsidRPr="00C31A32">
        <w:rPr>
          <w:rFonts w:ascii="Times New Roman" w:hAnsi="Times New Roman" w:cs="Times New Roman"/>
          <w:sz w:val="24"/>
          <w:szCs w:val="24"/>
        </w:rPr>
        <w:t>we saw</w:t>
      </w:r>
      <w:r w:rsidRPr="00C31A32">
        <w:rPr>
          <w:rFonts w:ascii="Times New Roman" w:hAnsi="Times New Roman" w:cs="Times New Roman"/>
          <w:sz w:val="24"/>
          <w:szCs w:val="24"/>
        </w:rPr>
        <w:t xml:space="preserve">, depend on the type and context of the treatment. Thus, apart from the fact that Article 3 sets a high threshold of severity, it is difficult to know much else </w:t>
      </w:r>
      <w:r w:rsidRPr="00C31A32">
        <w:rPr>
          <w:rFonts w:ascii="Times New Roman" w:hAnsi="Times New Roman" w:cs="Times New Roman"/>
          <w:i/>
          <w:iCs/>
          <w:sz w:val="24"/>
          <w:szCs w:val="24"/>
        </w:rPr>
        <w:t>ex ante</w:t>
      </w:r>
      <w:r w:rsidRPr="00C31A32">
        <w:rPr>
          <w:rFonts w:ascii="Times New Roman" w:hAnsi="Times New Roman" w:cs="Times New Roman"/>
          <w:sz w:val="24"/>
          <w:szCs w:val="24"/>
        </w:rPr>
        <w:t>.</w:t>
      </w:r>
      <w:r w:rsidRPr="00C31A32">
        <w:rPr>
          <w:rStyle w:val="FootnoteReference"/>
          <w:rFonts w:ascii="Times New Roman" w:hAnsi="Times New Roman" w:cs="Times New Roman"/>
          <w:sz w:val="24"/>
          <w:szCs w:val="24"/>
        </w:rPr>
        <w:footnoteReference w:id="60"/>
      </w:r>
      <w:r w:rsidRPr="00C31A32">
        <w:rPr>
          <w:rFonts w:ascii="Times New Roman" w:hAnsi="Times New Roman" w:cs="Times New Roman"/>
          <w:sz w:val="24"/>
          <w:szCs w:val="24"/>
        </w:rPr>
        <w:t xml:space="preserve"> It is difficult to know </w:t>
      </w:r>
      <w:r w:rsidRPr="00C31A32">
        <w:rPr>
          <w:rFonts w:ascii="Times New Roman" w:hAnsi="Times New Roman" w:cs="Times New Roman"/>
          <w:i/>
          <w:iCs/>
          <w:sz w:val="24"/>
          <w:szCs w:val="24"/>
        </w:rPr>
        <w:t>ex ante</w:t>
      </w:r>
      <w:r w:rsidRPr="00C31A32">
        <w:rPr>
          <w:rFonts w:ascii="Times New Roman" w:hAnsi="Times New Roman" w:cs="Times New Roman"/>
          <w:sz w:val="24"/>
          <w:szCs w:val="24"/>
        </w:rPr>
        <w:t xml:space="preserve"> whether a treatment can cross the requisite threshold.</w:t>
      </w:r>
      <w:r w:rsidRPr="00C31A32">
        <w:rPr>
          <w:rStyle w:val="FootnoteReference"/>
          <w:rFonts w:ascii="Times New Roman" w:hAnsi="Times New Roman" w:cs="Times New Roman"/>
          <w:sz w:val="24"/>
          <w:szCs w:val="24"/>
        </w:rPr>
        <w:footnoteReference w:id="61"/>
      </w:r>
      <w:r w:rsidRPr="00C31A32">
        <w:rPr>
          <w:rFonts w:ascii="Times New Roman" w:hAnsi="Times New Roman" w:cs="Times New Roman"/>
          <w:sz w:val="24"/>
          <w:szCs w:val="24"/>
        </w:rPr>
        <w:t xml:space="preserve"> So, going back to where we started, it is difficult to know </w:t>
      </w:r>
      <w:r w:rsidRPr="00C31A32">
        <w:rPr>
          <w:rFonts w:ascii="Times New Roman" w:hAnsi="Times New Roman" w:cs="Times New Roman"/>
          <w:i/>
          <w:iCs/>
          <w:sz w:val="24"/>
          <w:szCs w:val="24"/>
        </w:rPr>
        <w:t xml:space="preserve">ex ante </w:t>
      </w:r>
      <w:r w:rsidRPr="00C31A32">
        <w:rPr>
          <w:rFonts w:ascii="Times New Roman" w:hAnsi="Times New Roman" w:cs="Times New Roman"/>
          <w:sz w:val="24"/>
          <w:szCs w:val="24"/>
        </w:rPr>
        <w:t>whether ‘conversion therapy’ violates Article 3.</w:t>
      </w:r>
    </w:p>
    <w:p w14:paraId="2986B050" w14:textId="77777777"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This worry is exaggerated though. Indeed, there is uncertainty over the severity threshold; especially for practices like ‘conversion therapy’ that have seldom been tested before the courts. However, as the ECtHR develops its jurisprudence on Article 3, the evaluative terms of ‘severity’ and ‘intensity’ are being replaced by more determinate rules.</w:t>
      </w:r>
      <w:r w:rsidRPr="00C31A32">
        <w:rPr>
          <w:rStyle w:val="FootnoteReference"/>
          <w:rFonts w:ascii="Times New Roman" w:hAnsi="Times New Roman" w:cs="Times New Roman"/>
          <w:sz w:val="24"/>
          <w:szCs w:val="24"/>
        </w:rPr>
        <w:footnoteReference w:id="62"/>
      </w:r>
      <w:r w:rsidRPr="00C31A32">
        <w:rPr>
          <w:rFonts w:ascii="Times New Roman" w:hAnsi="Times New Roman" w:cs="Times New Roman"/>
          <w:sz w:val="24"/>
          <w:szCs w:val="24"/>
        </w:rPr>
        <w:t xml:space="preserve"> The ECtHR </w:t>
      </w:r>
      <w:r w:rsidRPr="00C31A32">
        <w:rPr>
          <w:rFonts w:ascii="Times New Roman" w:hAnsi="Times New Roman" w:cs="Times New Roman"/>
          <w:sz w:val="24"/>
          <w:szCs w:val="24"/>
        </w:rPr>
        <w:lastRenderedPageBreak/>
        <w:t>elaborates the standards underlying Article 3 in two ways.</w:t>
      </w:r>
      <w:r w:rsidRPr="00C31A32">
        <w:rPr>
          <w:rStyle w:val="FootnoteReference"/>
          <w:rFonts w:ascii="Times New Roman" w:hAnsi="Times New Roman" w:cs="Times New Roman"/>
          <w:sz w:val="24"/>
          <w:szCs w:val="24"/>
        </w:rPr>
        <w:footnoteReference w:id="63"/>
      </w:r>
      <w:r w:rsidRPr="00C31A32">
        <w:rPr>
          <w:rFonts w:ascii="Times New Roman" w:hAnsi="Times New Roman" w:cs="Times New Roman"/>
          <w:sz w:val="24"/>
          <w:szCs w:val="24"/>
        </w:rPr>
        <w:t xml:space="preserve"> The first is by adding presumptions,</w:t>
      </w:r>
      <w:r w:rsidRPr="00C31A32">
        <w:rPr>
          <w:rStyle w:val="FootnoteReference"/>
          <w:rFonts w:ascii="Times New Roman" w:hAnsi="Times New Roman" w:cs="Times New Roman"/>
          <w:sz w:val="24"/>
          <w:szCs w:val="24"/>
        </w:rPr>
        <w:footnoteReference w:id="64"/>
      </w:r>
      <w:r w:rsidRPr="00C31A32">
        <w:rPr>
          <w:rFonts w:ascii="Times New Roman" w:hAnsi="Times New Roman" w:cs="Times New Roman"/>
          <w:sz w:val="24"/>
          <w:szCs w:val="24"/>
        </w:rPr>
        <w:t xml:space="preserve"> benchmarks</w:t>
      </w:r>
      <w:r w:rsidRPr="00C31A32">
        <w:rPr>
          <w:rStyle w:val="FootnoteReference"/>
          <w:rFonts w:ascii="Times New Roman" w:hAnsi="Times New Roman" w:cs="Times New Roman"/>
          <w:sz w:val="24"/>
          <w:szCs w:val="24"/>
        </w:rPr>
        <w:footnoteReference w:id="65"/>
      </w:r>
      <w:r w:rsidRPr="00C31A32">
        <w:rPr>
          <w:rFonts w:ascii="Times New Roman" w:hAnsi="Times New Roman" w:cs="Times New Roman"/>
          <w:sz w:val="24"/>
          <w:szCs w:val="24"/>
        </w:rPr>
        <w:t xml:space="preserve"> and principles</w:t>
      </w:r>
      <w:r w:rsidRPr="00C31A32">
        <w:rPr>
          <w:rStyle w:val="FootnoteReference"/>
          <w:rFonts w:ascii="Times New Roman" w:hAnsi="Times New Roman" w:cs="Times New Roman"/>
          <w:sz w:val="24"/>
          <w:szCs w:val="24"/>
        </w:rPr>
        <w:footnoteReference w:id="66"/>
      </w:r>
      <w:r w:rsidRPr="00C31A32">
        <w:rPr>
          <w:rFonts w:ascii="Times New Roman" w:hAnsi="Times New Roman" w:cs="Times New Roman"/>
          <w:sz w:val="24"/>
          <w:szCs w:val="24"/>
        </w:rPr>
        <w:t xml:space="preserve"> clarifying the circumstances under which a practice can violate Article 3.</w:t>
      </w:r>
      <w:r w:rsidRPr="00C31A32">
        <w:rPr>
          <w:rStyle w:val="FootnoteReference"/>
          <w:rFonts w:ascii="Times New Roman" w:hAnsi="Times New Roman" w:cs="Times New Roman"/>
          <w:sz w:val="24"/>
          <w:szCs w:val="24"/>
        </w:rPr>
        <w:footnoteReference w:id="67"/>
      </w:r>
      <w:r w:rsidRPr="00C31A32">
        <w:rPr>
          <w:rFonts w:ascii="Times New Roman" w:hAnsi="Times New Roman" w:cs="Times New Roman"/>
          <w:sz w:val="24"/>
          <w:szCs w:val="24"/>
        </w:rPr>
        <w:t xml:space="preserve"> The second is by developing a list of practices which due to their seriousness always violate Article 3, such as that the rape of a detainee by a state official always amounts to torture.</w:t>
      </w:r>
      <w:r w:rsidRPr="00C31A32">
        <w:rPr>
          <w:rStyle w:val="FootnoteReference"/>
          <w:rFonts w:ascii="Times New Roman" w:hAnsi="Times New Roman" w:cs="Times New Roman"/>
          <w:sz w:val="24"/>
          <w:szCs w:val="24"/>
        </w:rPr>
        <w:footnoteReference w:id="68"/>
      </w:r>
    </w:p>
    <w:p w14:paraId="2F26A9E8" w14:textId="77777777"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Time and again, the judgments above are taken to suggest that underlying Article 3 is a predominantly </w:t>
      </w:r>
      <w:r w:rsidRPr="00C31A32">
        <w:rPr>
          <w:rFonts w:ascii="Times New Roman" w:hAnsi="Times New Roman" w:cs="Times New Roman"/>
          <w:i/>
          <w:iCs/>
          <w:sz w:val="24"/>
          <w:szCs w:val="24"/>
        </w:rPr>
        <w:t>quantitative</w:t>
      </w:r>
      <w:r w:rsidRPr="00C31A32">
        <w:rPr>
          <w:rFonts w:ascii="Times New Roman" w:hAnsi="Times New Roman" w:cs="Times New Roman"/>
          <w:sz w:val="24"/>
          <w:szCs w:val="24"/>
        </w:rPr>
        <w:t xml:space="preserve"> approach,</w:t>
      </w:r>
      <w:r w:rsidRPr="00C31A32">
        <w:rPr>
          <w:rStyle w:val="FootnoteReference"/>
          <w:rFonts w:ascii="Times New Roman" w:hAnsi="Times New Roman" w:cs="Times New Roman"/>
          <w:sz w:val="24"/>
          <w:szCs w:val="24"/>
        </w:rPr>
        <w:footnoteReference w:id="69"/>
      </w:r>
      <w:r w:rsidRPr="00C31A32">
        <w:rPr>
          <w:rFonts w:ascii="Times New Roman" w:hAnsi="Times New Roman" w:cs="Times New Roman"/>
          <w:sz w:val="24"/>
          <w:szCs w:val="24"/>
        </w:rPr>
        <w:t xml:space="preserve"> which works roughly along these lines: degrading treatment involves pain that is severe enough to reach the threshold set by Article 3, but is not as severe as inhuman treatment; inhuman treatment involves more severe pain than degrading treatment, but not as severe as torture; torture involves the most severe pain and suffering, which is why it deserves a ‘special stigma’.</w:t>
      </w:r>
      <w:r w:rsidRPr="00C31A32">
        <w:rPr>
          <w:rStyle w:val="FootnoteReference"/>
          <w:rFonts w:ascii="Times New Roman" w:hAnsi="Times New Roman" w:cs="Times New Roman"/>
          <w:sz w:val="24"/>
          <w:szCs w:val="24"/>
        </w:rPr>
        <w:footnoteReference w:id="70"/>
      </w:r>
      <w:r w:rsidRPr="00C31A32">
        <w:rPr>
          <w:rFonts w:ascii="Times New Roman" w:hAnsi="Times New Roman" w:cs="Times New Roman"/>
          <w:sz w:val="24"/>
          <w:szCs w:val="24"/>
        </w:rPr>
        <w:t xml:space="preserve"> </w:t>
      </w:r>
    </w:p>
    <w:p w14:paraId="7950EFA3" w14:textId="79EF8280"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It is important to resist this prevailing, quantitative interpretation of the threshold set by Article 3. This is because the ECtHR also places significant emphasis on the purpose of the ill-treatment and its meaning for its victims in the context in which it was inflicted. More specifically, any serious violation of human dignity may be classified as degrading treatment under Article 3, even when no bodily injury and no intense physical or mental suffering is involved. Based on this principle the ECtHR has found several forms of ill-treatment, which have not caused sustained injuries or suffering, in violation of Article 3. Examples include being forced to parade naked in front of other soldiers as punishment;</w:t>
      </w:r>
      <w:r w:rsidRPr="00C31A32">
        <w:rPr>
          <w:rStyle w:val="FootnoteReference"/>
          <w:rFonts w:ascii="Times New Roman" w:hAnsi="Times New Roman" w:cs="Times New Roman"/>
          <w:sz w:val="24"/>
          <w:szCs w:val="24"/>
        </w:rPr>
        <w:footnoteReference w:id="71"/>
      </w:r>
      <w:r w:rsidRPr="00C31A32">
        <w:rPr>
          <w:rFonts w:ascii="Times New Roman" w:hAnsi="Times New Roman" w:cs="Times New Roman"/>
          <w:sz w:val="24"/>
          <w:szCs w:val="24"/>
        </w:rPr>
        <w:t xml:space="preserve"> and several cases involving forced strip searches where their purpose was to provoke feelings of humiliation.</w:t>
      </w:r>
      <w:r w:rsidRPr="00C31A32">
        <w:rPr>
          <w:rStyle w:val="FootnoteReference"/>
          <w:rFonts w:ascii="Times New Roman" w:hAnsi="Times New Roman" w:cs="Times New Roman"/>
          <w:sz w:val="24"/>
          <w:szCs w:val="24"/>
        </w:rPr>
        <w:footnoteReference w:id="72"/>
      </w:r>
      <w:r w:rsidRPr="00C31A32">
        <w:rPr>
          <w:rFonts w:ascii="Times New Roman" w:hAnsi="Times New Roman" w:cs="Times New Roman"/>
          <w:sz w:val="24"/>
          <w:szCs w:val="24"/>
        </w:rPr>
        <w:t xml:space="preserve"> These cases involve treatments lacking severe physical </w:t>
      </w:r>
      <w:r w:rsidR="009872CF" w:rsidRPr="00C31A32">
        <w:rPr>
          <w:rFonts w:ascii="Times New Roman" w:hAnsi="Times New Roman" w:cs="Times New Roman"/>
          <w:sz w:val="24"/>
          <w:szCs w:val="24"/>
        </w:rPr>
        <w:t>or</w:t>
      </w:r>
      <w:r w:rsidRPr="00C31A32">
        <w:rPr>
          <w:rFonts w:ascii="Times New Roman" w:hAnsi="Times New Roman" w:cs="Times New Roman"/>
          <w:sz w:val="24"/>
          <w:szCs w:val="24"/>
        </w:rPr>
        <w:t xml:space="preserve"> mental effects on their victims. Nevertheless, the ECtHR </w:t>
      </w:r>
      <w:r w:rsidR="002406CB" w:rsidRPr="00C31A32">
        <w:rPr>
          <w:rFonts w:ascii="Times New Roman" w:hAnsi="Times New Roman" w:cs="Times New Roman"/>
          <w:sz w:val="24"/>
          <w:szCs w:val="24"/>
        </w:rPr>
        <w:t xml:space="preserve">has </w:t>
      </w:r>
      <w:r w:rsidRPr="00C31A32">
        <w:rPr>
          <w:rFonts w:ascii="Times New Roman" w:hAnsi="Times New Roman" w:cs="Times New Roman"/>
          <w:sz w:val="24"/>
          <w:szCs w:val="24"/>
        </w:rPr>
        <w:t xml:space="preserve">found them in violation of </w:t>
      </w:r>
      <w:r w:rsidR="009872CF" w:rsidRPr="00C31A32">
        <w:rPr>
          <w:rFonts w:ascii="Times New Roman" w:hAnsi="Times New Roman" w:cs="Times New Roman"/>
          <w:sz w:val="24"/>
          <w:szCs w:val="24"/>
        </w:rPr>
        <w:t xml:space="preserve">the substantive limb of </w:t>
      </w:r>
      <w:r w:rsidRPr="00C31A32">
        <w:rPr>
          <w:rFonts w:ascii="Times New Roman" w:hAnsi="Times New Roman" w:cs="Times New Roman"/>
          <w:sz w:val="24"/>
          <w:szCs w:val="24"/>
        </w:rPr>
        <w:t xml:space="preserve">Article 3. </w:t>
      </w:r>
      <w:r w:rsidR="002406CB" w:rsidRPr="00C31A32">
        <w:rPr>
          <w:rFonts w:ascii="Times New Roman" w:hAnsi="Times New Roman" w:cs="Times New Roman"/>
          <w:sz w:val="24"/>
          <w:szCs w:val="24"/>
        </w:rPr>
        <w:t>T</w:t>
      </w:r>
      <w:r w:rsidRPr="00C31A32">
        <w:rPr>
          <w:rFonts w:ascii="Times New Roman" w:hAnsi="Times New Roman" w:cs="Times New Roman"/>
          <w:sz w:val="24"/>
          <w:szCs w:val="24"/>
        </w:rPr>
        <w:t xml:space="preserve">hose decisions are guided by important </w:t>
      </w:r>
      <w:r w:rsidRPr="00C31A32">
        <w:rPr>
          <w:rFonts w:ascii="Times New Roman" w:hAnsi="Times New Roman" w:cs="Times New Roman"/>
          <w:i/>
          <w:iCs/>
          <w:sz w:val="24"/>
          <w:szCs w:val="24"/>
        </w:rPr>
        <w:t>qualitative</w:t>
      </w:r>
      <w:r w:rsidRPr="00C31A32">
        <w:rPr>
          <w:rFonts w:ascii="Times New Roman" w:hAnsi="Times New Roman" w:cs="Times New Roman"/>
          <w:sz w:val="24"/>
          <w:szCs w:val="24"/>
        </w:rPr>
        <w:t>, rather than quantitative, considerations underlying the provision.</w:t>
      </w:r>
      <w:r w:rsidR="00CF6BFC" w:rsidRPr="00C31A32">
        <w:rPr>
          <w:rFonts w:ascii="Times New Roman" w:hAnsi="Times New Roman" w:cs="Times New Roman"/>
          <w:sz w:val="24"/>
          <w:szCs w:val="24"/>
        </w:rPr>
        <w:t xml:space="preserve"> </w:t>
      </w:r>
      <w:r w:rsidR="005C6763" w:rsidRPr="00C31A32">
        <w:rPr>
          <w:rFonts w:ascii="Times New Roman" w:hAnsi="Times New Roman" w:cs="Times New Roman"/>
          <w:sz w:val="24"/>
          <w:szCs w:val="24"/>
        </w:rPr>
        <w:t>To be clear, this argument does not aim</w:t>
      </w:r>
      <w:r w:rsidR="009872CF" w:rsidRPr="00C31A32">
        <w:rPr>
          <w:rFonts w:ascii="Times New Roman" w:hAnsi="Times New Roman" w:cs="Times New Roman"/>
          <w:sz w:val="24"/>
          <w:szCs w:val="24"/>
        </w:rPr>
        <w:t xml:space="preserve"> to downplay the importance of quantitative considerations</w:t>
      </w:r>
      <w:r w:rsidR="005C6763" w:rsidRPr="00C31A32">
        <w:rPr>
          <w:rFonts w:ascii="Times New Roman" w:hAnsi="Times New Roman" w:cs="Times New Roman"/>
          <w:sz w:val="24"/>
          <w:szCs w:val="24"/>
        </w:rPr>
        <w:t xml:space="preserve"> in the interpretation of the threshold set by Article 3. It aims </w:t>
      </w:r>
      <w:r w:rsidR="009872CF" w:rsidRPr="00C31A32">
        <w:rPr>
          <w:rFonts w:ascii="Times New Roman" w:hAnsi="Times New Roman" w:cs="Times New Roman"/>
          <w:sz w:val="24"/>
          <w:szCs w:val="24"/>
        </w:rPr>
        <w:t>to highlight</w:t>
      </w:r>
      <w:r w:rsidR="00E21557" w:rsidRPr="00C31A32">
        <w:rPr>
          <w:rFonts w:ascii="Times New Roman" w:hAnsi="Times New Roman" w:cs="Times New Roman"/>
          <w:sz w:val="24"/>
          <w:szCs w:val="24"/>
          <w:lang w:val="en-US"/>
        </w:rPr>
        <w:t xml:space="preserve"> that severity is not determined solely through a quantitative exercise</w:t>
      </w:r>
      <w:r w:rsidR="00CF6BFC" w:rsidRPr="00C31A32">
        <w:rPr>
          <w:rFonts w:ascii="Times New Roman" w:hAnsi="Times New Roman" w:cs="Times New Roman"/>
          <w:sz w:val="24"/>
          <w:szCs w:val="24"/>
          <w:lang w:val="en-US"/>
        </w:rPr>
        <w:t>.</w:t>
      </w:r>
      <w:r w:rsidR="002406CB" w:rsidRPr="00C31A32">
        <w:rPr>
          <w:rStyle w:val="FootnoteReference"/>
          <w:rFonts w:ascii="Times New Roman" w:hAnsi="Times New Roman" w:cs="Times New Roman"/>
          <w:sz w:val="24"/>
          <w:szCs w:val="24"/>
          <w:lang w:val="en-US"/>
        </w:rPr>
        <w:footnoteReference w:id="73"/>
      </w:r>
      <w:r w:rsidRPr="00C31A32">
        <w:rPr>
          <w:rFonts w:ascii="Times New Roman" w:hAnsi="Times New Roman" w:cs="Times New Roman"/>
          <w:sz w:val="24"/>
          <w:szCs w:val="24"/>
        </w:rPr>
        <w:t xml:space="preserve"> </w:t>
      </w:r>
      <w:r w:rsidR="005C6763" w:rsidRPr="00C31A32">
        <w:rPr>
          <w:rFonts w:ascii="Times New Roman" w:hAnsi="Times New Roman" w:cs="Times New Roman"/>
          <w:sz w:val="24"/>
          <w:szCs w:val="24"/>
        </w:rPr>
        <w:t>In fact, as t</w:t>
      </w:r>
      <w:r w:rsidR="00CF6BFC" w:rsidRPr="00C31A32">
        <w:rPr>
          <w:rFonts w:ascii="Times New Roman" w:hAnsi="Times New Roman" w:cs="Times New Roman"/>
          <w:sz w:val="24"/>
          <w:szCs w:val="24"/>
        </w:rPr>
        <w:t xml:space="preserve">he </w:t>
      </w:r>
      <w:r w:rsidR="006619F6" w:rsidRPr="00C31A32">
        <w:rPr>
          <w:rFonts w:ascii="Times New Roman" w:hAnsi="Times New Roman" w:cs="Times New Roman"/>
          <w:sz w:val="24"/>
          <w:szCs w:val="24"/>
        </w:rPr>
        <w:t>following</w:t>
      </w:r>
      <w:r w:rsidR="00CF6BFC" w:rsidRPr="00C31A32">
        <w:rPr>
          <w:rFonts w:ascii="Times New Roman" w:hAnsi="Times New Roman" w:cs="Times New Roman"/>
          <w:sz w:val="24"/>
          <w:szCs w:val="24"/>
        </w:rPr>
        <w:t xml:space="preserve"> pages </w:t>
      </w:r>
      <w:r w:rsidR="002406CB" w:rsidRPr="00C31A32">
        <w:rPr>
          <w:rFonts w:ascii="Times New Roman" w:hAnsi="Times New Roman" w:cs="Times New Roman"/>
          <w:sz w:val="24"/>
          <w:szCs w:val="24"/>
        </w:rPr>
        <w:t>discuss</w:t>
      </w:r>
      <w:r w:rsidR="005C6763" w:rsidRPr="00C31A32">
        <w:rPr>
          <w:rFonts w:ascii="Times New Roman" w:hAnsi="Times New Roman" w:cs="Times New Roman"/>
          <w:sz w:val="24"/>
          <w:szCs w:val="24"/>
        </w:rPr>
        <w:t>,</w:t>
      </w:r>
      <w:r w:rsidR="00CF6BFC" w:rsidRPr="00C31A32">
        <w:rPr>
          <w:rFonts w:ascii="Times New Roman" w:hAnsi="Times New Roman" w:cs="Times New Roman"/>
          <w:sz w:val="24"/>
          <w:szCs w:val="24"/>
        </w:rPr>
        <w:t xml:space="preserve"> it</w:t>
      </w:r>
      <w:r w:rsidRPr="00C31A32">
        <w:rPr>
          <w:rFonts w:ascii="Times New Roman" w:hAnsi="Times New Roman" w:cs="Times New Roman"/>
          <w:sz w:val="24"/>
          <w:szCs w:val="24"/>
        </w:rPr>
        <w:t xml:space="preserve"> is precisely due to</w:t>
      </w:r>
      <w:r w:rsidR="00C11ECC" w:rsidRPr="00C31A32">
        <w:rPr>
          <w:rFonts w:ascii="Times New Roman" w:hAnsi="Times New Roman" w:cs="Times New Roman"/>
          <w:sz w:val="24"/>
          <w:szCs w:val="24"/>
        </w:rPr>
        <w:t xml:space="preserve"> certain</w:t>
      </w:r>
      <w:r w:rsidRPr="00C31A32">
        <w:rPr>
          <w:rFonts w:ascii="Times New Roman" w:hAnsi="Times New Roman" w:cs="Times New Roman"/>
          <w:sz w:val="24"/>
          <w:szCs w:val="24"/>
        </w:rPr>
        <w:t xml:space="preserve"> frequently overlooked qualitative considerations that all ‘conversion therapies’ – even in mild, ‘talking’ forms – amount to degrading treatment.</w:t>
      </w:r>
    </w:p>
    <w:p w14:paraId="31062F8F" w14:textId="6EFD6B33"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lastRenderedPageBreak/>
        <w:t xml:space="preserve">Tracking </w:t>
      </w:r>
      <w:r w:rsidR="00C11ECC" w:rsidRPr="00C31A32">
        <w:rPr>
          <w:rFonts w:ascii="Times New Roman" w:hAnsi="Times New Roman" w:cs="Times New Roman"/>
          <w:sz w:val="24"/>
          <w:szCs w:val="24"/>
        </w:rPr>
        <w:t>the</w:t>
      </w:r>
      <w:r w:rsidRPr="00C31A32">
        <w:rPr>
          <w:rFonts w:ascii="Times New Roman" w:hAnsi="Times New Roman" w:cs="Times New Roman"/>
          <w:sz w:val="24"/>
          <w:szCs w:val="24"/>
        </w:rPr>
        <w:t xml:space="preserve"> qualitative considerations</w:t>
      </w:r>
      <w:r w:rsidR="00C11ECC" w:rsidRPr="00C31A32">
        <w:rPr>
          <w:rFonts w:ascii="Times New Roman" w:hAnsi="Times New Roman" w:cs="Times New Roman"/>
          <w:sz w:val="24"/>
          <w:szCs w:val="24"/>
        </w:rPr>
        <w:t xml:space="preserve"> underlying Article 3</w:t>
      </w:r>
      <w:r w:rsidRPr="00C31A32">
        <w:rPr>
          <w:rFonts w:ascii="Times New Roman" w:hAnsi="Times New Roman" w:cs="Times New Roman"/>
          <w:sz w:val="24"/>
          <w:szCs w:val="24"/>
        </w:rPr>
        <w:t xml:space="preserve"> depends on an analysis of the meaning of degrading treatment under </w:t>
      </w:r>
      <w:r w:rsidR="00C11ECC" w:rsidRPr="00C31A32">
        <w:rPr>
          <w:rFonts w:ascii="Times New Roman" w:hAnsi="Times New Roman" w:cs="Times New Roman"/>
          <w:sz w:val="24"/>
          <w:szCs w:val="24"/>
        </w:rPr>
        <w:t>the provision</w:t>
      </w:r>
      <w:r w:rsidRPr="00C31A32">
        <w:rPr>
          <w:rFonts w:ascii="Times New Roman" w:hAnsi="Times New Roman" w:cs="Times New Roman"/>
          <w:sz w:val="24"/>
          <w:szCs w:val="24"/>
        </w:rPr>
        <w:t>. The word ‘degrading’ in Article 3 is an evaluative term. It requires the courts to engage with the normative significance of degradation by making certain evaluations. These include whether degradation is conditioned by other ideas, such as human dignity or power; whether the intentions of the agent and the perception of the victim matter; and what role factual components play, such as the consequences of ill-treatment for individual interests, in establishing degradation. The first two of those questions will occupy this section. The next section will sketch an answer to the third question.</w:t>
      </w:r>
    </w:p>
    <w:p w14:paraId="555B57CA" w14:textId="5C1563EB"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What does ‘degrading’ others mean</w:t>
      </w:r>
      <w:r w:rsidR="00591055" w:rsidRPr="00C31A32">
        <w:rPr>
          <w:rFonts w:ascii="Times New Roman" w:hAnsi="Times New Roman" w:cs="Times New Roman"/>
          <w:sz w:val="24"/>
          <w:szCs w:val="24"/>
        </w:rPr>
        <w:t xml:space="preserve"> and how does it relate to human dignity</w:t>
      </w:r>
      <w:r w:rsidRPr="00C31A32">
        <w:rPr>
          <w:rFonts w:ascii="Times New Roman" w:hAnsi="Times New Roman" w:cs="Times New Roman"/>
          <w:sz w:val="24"/>
          <w:szCs w:val="24"/>
        </w:rPr>
        <w:t xml:space="preserve">? </w:t>
      </w:r>
      <w:r w:rsidR="00591055" w:rsidRPr="00C31A32">
        <w:rPr>
          <w:rFonts w:ascii="Times New Roman" w:hAnsi="Times New Roman" w:cs="Times New Roman"/>
          <w:sz w:val="24"/>
          <w:szCs w:val="24"/>
        </w:rPr>
        <w:t xml:space="preserve">In response to this question, Jeremy </w:t>
      </w:r>
      <w:r w:rsidRPr="00C31A32">
        <w:rPr>
          <w:rFonts w:ascii="Times New Roman" w:hAnsi="Times New Roman" w:cs="Times New Roman"/>
          <w:sz w:val="24"/>
          <w:szCs w:val="24"/>
        </w:rPr>
        <w:t xml:space="preserve">Waldron </w:t>
      </w:r>
      <w:r w:rsidR="00591055" w:rsidRPr="00C31A32">
        <w:rPr>
          <w:rFonts w:ascii="Times New Roman" w:hAnsi="Times New Roman" w:cs="Times New Roman"/>
          <w:sz w:val="24"/>
          <w:szCs w:val="24"/>
        </w:rPr>
        <w:t>has observed</w:t>
      </w:r>
      <w:r w:rsidRPr="00C31A32">
        <w:rPr>
          <w:rFonts w:ascii="Times New Roman" w:hAnsi="Times New Roman" w:cs="Times New Roman"/>
          <w:sz w:val="24"/>
          <w:szCs w:val="24"/>
        </w:rPr>
        <w:t xml:space="preserve"> that the term ‘degrading’ taps on a hierarchical idea.</w:t>
      </w:r>
      <w:r w:rsidRPr="00C31A32">
        <w:rPr>
          <w:rStyle w:val="FootnoteReference"/>
          <w:rFonts w:ascii="Times New Roman" w:hAnsi="Times New Roman" w:cs="Times New Roman"/>
          <w:sz w:val="24"/>
          <w:szCs w:val="24"/>
        </w:rPr>
        <w:footnoteReference w:id="74"/>
      </w:r>
      <w:r w:rsidRPr="00C31A32">
        <w:rPr>
          <w:rFonts w:ascii="Times New Roman" w:hAnsi="Times New Roman" w:cs="Times New Roman"/>
          <w:sz w:val="24"/>
          <w:szCs w:val="24"/>
        </w:rPr>
        <w:t xml:space="preserve"> Someone is degraded when they are treated in ways that correspond to a lower rank than they actually have. Here the idea of rank is an important conduit into human dignity. </w:t>
      </w:r>
      <w:r w:rsidR="00CF6BFC" w:rsidRPr="00C31A32">
        <w:rPr>
          <w:rFonts w:ascii="Times New Roman" w:hAnsi="Times New Roman" w:cs="Times New Roman"/>
          <w:sz w:val="24"/>
          <w:szCs w:val="24"/>
        </w:rPr>
        <w:t>D</w:t>
      </w:r>
      <w:r w:rsidRPr="00C31A32">
        <w:rPr>
          <w:rFonts w:ascii="Times New Roman" w:hAnsi="Times New Roman" w:cs="Times New Roman"/>
          <w:sz w:val="24"/>
          <w:szCs w:val="24"/>
        </w:rPr>
        <w:t>ignity has also traditionally had a hierarchical reference, which surfaces in talks about ‘the dignity of a king or the dignity of a general’.</w:t>
      </w:r>
      <w:r w:rsidRPr="00C31A32">
        <w:rPr>
          <w:rStyle w:val="FootnoteReference"/>
          <w:rFonts w:ascii="Times New Roman" w:hAnsi="Times New Roman" w:cs="Times New Roman"/>
          <w:sz w:val="24"/>
          <w:szCs w:val="24"/>
        </w:rPr>
        <w:footnoteReference w:id="75"/>
      </w:r>
      <w:r w:rsidRPr="00C31A32">
        <w:rPr>
          <w:rFonts w:ascii="Times New Roman" w:hAnsi="Times New Roman" w:cs="Times New Roman"/>
          <w:sz w:val="24"/>
          <w:szCs w:val="24"/>
        </w:rPr>
        <w:t xml:space="preserve"> </w:t>
      </w:r>
      <w:r w:rsidR="001F1128" w:rsidRPr="00C31A32">
        <w:rPr>
          <w:rFonts w:ascii="Times New Roman" w:hAnsi="Times New Roman" w:cs="Times New Roman"/>
          <w:sz w:val="24"/>
          <w:szCs w:val="24"/>
        </w:rPr>
        <w:t>A</w:t>
      </w:r>
      <w:r w:rsidRPr="00C31A32">
        <w:rPr>
          <w:rFonts w:ascii="Times New Roman" w:hAnsi="Times New Roman" w:cs="Times New Roman"/>
          <w:sz w:val="24"/>
          <w:szCs w:val="24"/>
        </w:rPr>
        <w:t xml:space="preserve">s </w:t>
      </w:r>
      <w:proofErr w:type="spellStart"/>
      <w:r w:rsidRPr="00C31A32">
        <w:rPr>
          <w:rFonts w:ascii="Times New Roman" w:hAnsi="Times New Roman" w:cs="Times New Roman"/>
          <w:sz w:val="24"/>
          <w:szCs w:val="24"/>
        </w:rPr>
        <w:t>Vlastos</w:t>
      </w:r>
      <w:proofErr w:type="spellEnd"/>
      <w:r w:rsidRPr="00C31A32">
        <w:rPr>
          <w:rFonts w:ascii="Times New Roman" w:hAnsi="Times New Roman" w:cs="Times New Roman"/>
          <w:sz w:val="24"/>
          <w:szCs w:val="24"/>
        </w:rPr>
        <w:t>,</w:t>
      </w:r>
      <w:r w:rsidRPr="00C31A32">
        <w:rPr>
          <w:rStyle w:val="FootnoteReference"/>
          <w:rFonts w:ascii="Times New Roman" w:hAnsi="Times New Roman" w:cs="Times New Roman"/>
          <w:sz w:val="24"/>
          <w:szCs w:val="24"/>
        </w:rPr>
        <w:footnoteReference w:id="76"/>
      </w:r>
      <w:r w:rsidRPr="00C31A32">
        <w:rPr>
          <w:rFonts w:ascii="Times New Roman" w:hAnsi="Times New Roman" w:cs="Times New Roman"/>
          <w:sz w:val="24"/>
          <w:szCs w:val="24"/>
        </w:rPr>
        <w:t xml:space="preserve"> Waldron,</w:t>
      </w:r>
      <w:r w:rsidRPr="00C31A32">
        <w:rPr>
          <w:rStyle w:val="FootnoteReference"/>
          <w:rFonts w:ascii="Times New Roman" w:hAnsi="Times New Roman" w:cs="Times New Roman"/>
          <w:sz w:val="24"/>
          <w:szCs w:val="24"/>
        </w:rPr>
        <w:footnoteReference w:id="77"/>
      </w:r>
      <w:r w:rsidRPr="00C31A32">
        <w:rPr>
          <w:rFonts w:ascii="Times New Roman" w:hAnsi="Times New Roman" w:cs="Times New Roman"/>
          <w:sz w:val="24"/>
          <w:szCs w:val="24"/>
        </w:rPr>
        <w:t xml:space="preserve"> Taylor</w:t>
      </w:r>
      <w:r w:rsidRPr="00C31A32">
        <w:rPr>
          <w:rStyle w:val="FootnoteReference"/>
          <w:rFonts w:ascii="Times New Roman" w:hAnsi="Times New Roman" w:cs="Times New Roman"/>
          <w:sz w:val="24"/>
          <w:szCs w:val="24"/>
        </w:rPr>
        <w:footnoteReference w:id="78"/>
      </w:r>
      <w:r w:rsidRPr="00C31A32">
        <w:rPr>
          <w:rFonts w:ascii="Times New Roman" w:hAnsi="Times New Roman" w:cs="Times New Roman"/>
          <w:sz w:val="24"/>
          <w:szCs w:val="24"/>
        </w:rPr>
        <w:t xml:space="preserve"> </w:t>
      </w:r>
      <w:r w:rsidR="00591055" w:rsidRPr="00C31A32">
        <w:rPr>
          <w:rFonts w:ascii="Times New Roman" w:hAnsi="Times New Roman" w:cs="Times New Roman"/>
          <w:sz w:val="24"/>
          <w:szCs w:val="24"/>
        </w:rPr>
        <w:t>and others</w:t>
      </w:r>
      <w:r w:rsidRPr="00C31A32">
        <w:rPr>
          <w:rFonts w:ascii="Times New Roman" w:hAnsi="Times New Roman" w:cs="Times New Roman"/>
          <w:sz w:val="24"/>
          <w:szCs w:val="24"/>
        </w:rPr>
        <w:t xml:space="preserve"> have argued, the idea of dignity as rank also informs our understanding of </w:t>
      </w:r>
      <w:r w:rsidRPr="00C31A32">
        <w:rPr>
          <w:rFonts w:ascii="Times New Roman" w:hAnsi="Times New Roman" w:cs="Times New Roman"/>
          <w:i/>
          <w:iCs/>
          <w:sz w:val="24"/>
          <w:szCs w:val="24"/>
        </w:rPr>
        <w:t>human</w:t>
      </w:r>
      <w:r w:rsidRPr="00C31A32">
        <w:rPr>
          <w:rFonts w:ascii="Times New Roman" w:hAnsi="Times New Roman" w:cs="Times New Roman"/>
          <w:sz w:val="24"/>
          <w:szCs w:val="24"/>
        </w:rPr>
        <w:t xml:space="preserve"> dignity. The difference is that the contemporary idea of human dignity involves a pattern of levelling-up by extending high-status treatment to every human. In this way, appeals to human dignity reflect the effort to accord to every person something of the ‘first-class citizenship’ that was formerly accorded to the hereditary nobilities of the past.</w:t>
      </w:r>
      <w:r w:rsidRPr="00C31A32">
        <w:rPr>
          <w:rStyle w:val="FootnoteReference"/>
          <w:rFonts w:ascii="Times New Roman" w:hAnsi="Times New Roman" w:cs="Times New Roman"/>
          <w:sz w:val="24"/>
          <w:szCs w:val="24"/>
        </w:rPr>
        <w:footnoteReference w:id="79"/>
      </w:r>
      <w:r w:rsidRPr="00C31A32">
        <w:rPr>
          <w:rFonts w:ascii="Times New Roman" w:hAnsi="Times New Roman" w:cs="Times New Roman"/>
          <w:sz w:val="24"/>
          <w:szCs w:val="24"/>
        </w:rPr>
        <w:t xml:space="preserve"> So this is why degrading treatment violates human dignity: it involves treating some people as if they rank lower to others, contrary to our equally high moral status.</w:t>
      </w:r>
      <w:r w:rsidRPr="00C31A32">
        <w:rPr>
          <w:rStyle w:val="FootnoteReference"/>
          <w:rFonts w:ascii="Times New Roman" w:hAnsi="Times New Roman" w:cs="Times New Roman"/>
          <w:sz w:val="24"/>
          <w:szCs w:val="24"/>
        </w:rPr>
        <w:footnoteReference w:id="80"/>
      </w:r>
    </w:p>
    <w:p w14:paraId="2C43CE3B" w14:textId="611121FF"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Let us </w:t>
      </w:r>
      <w:r w:rsidR="00FF227C" w:rsidRPr="00C31A32">
        <w:rPr>
          <w:rFonts w:ascii="Times New Roman" w:hAnsi="Times New Roman" w:cs="Times New Roman"/>
          <w:sz w:val="24"/>
          <w:szCs w:val="24"/>
        </w:rPr>
        <w:t>examine</w:t>
      </w:r>
      <w:r w:rsidRPr="00C31A32">
        <w:rPr>
          <w:rFonts w:ascii="Times New Roman" w:hAnsi="Times New Roman" w:cs="Times New Roman"/>
          <w:sz w:val="24"/>
          <w:szCs w:val="24"/>
        </w:rPr>
        <w:t xml:space="preserve"> now some examples of the serious type of degradation prohibited by Article 3. Consider the case of </w:t>
      </w:r>
      <w:r w:rsidRPr="00C31A32">
        <w:rPr>
          <w:rFonts w:ascii="Times New Roman" w:hAnsi="Times New Roman" w:cs="Times New Roman"/>
          <w:i/>
          <w:iCs/>
          <w:sz w:val="24"/>
          <w:szCs w:val="24"/>
        </w:rPr>
        <w:t>Bouyid</w:t>
      </w:r>
      <w:r w:rsidRPr="00C31A32">
        <w:rPr>
          <w:rFonts w:ascii="Times New Roman" w:hAnsi="Times New Roman" w:cs="Times New Roman"/>
          <w:sz w:val="24"/>
          <w:szCs w:val="24"/>
        </w:rPr>
        <w:t>, where</w:t>
      </w:r>
      <w:r w:rsidRPr="00C31A32">
        <w:rPr>
          <w:rFonts w:ascii="Times New Roman" w:hAnsi="Times New Roman" w:cs="Times New Roman"/>
          <w:i/>
          <w:iCs/>
          <w:sz w:val="24"/>
          <w:szCs w:val="24"/>
        </w:rPr>
        <w:t xml:space="preserve"> </w:t>
      </w:r>
      <w:r w:rsidRPr="00C31A32">
        <w:rPr>
          <w:rFonts w:ascii="Times New Roman" w:hAnsi="Times New Roman" w:cs="Times New Roman"/>
          <w:sz w:val="24"/>
          <w:szCs w:val="24"/>
        </w:rPr>
        <w:t>the ECtHR held that one slap by a police officer to the face of someone in custody constituted degrading treatment, even though the victim did not experience serious physical or mental suffering.</w:t>
      </w:r>
      <w:r w:rsidRPr="00C31A32">
        <w:rPr>
          <w:rFonts w:ascii="Times New Roman" w:hAnsi="Times New Roman" w:cs="Times New Roman"/>
          <w:sz w:val="24"/>
          <w:szCs w:val="24"/>
          <w:vertAlign w:val="superscript"/>
        </w:rPr>
        <w:footnoteReference w:id="81"/>
      </w:r>
      <w:r w:rsidRPr="00C31A32">
        <w:rPr>
          <w:rFonts w:ascii="Times New Roman" w:hAnsi="Times New Roman" w:cs="Times New Roman"/>
          <w:sz w:val="24"/>
          <w:szCs w:val="24"/>
        </w:rPr>
        <w:t xml:space="preserve"> The ECtHR stressed that whenever persons are deprived of their liberty they are in ‘a situation of vulnerability’.</w:t>
      </w:r>
      <w:r w:rsidRPr="00C31A32">
        <w:rPr>
          <w:rStyle w:val="FootnoteReference"/>
          <w:rFonts w:ascii="Times New Roman" w:hAnsi="Times New Roman" w:cs="Times New Roman"/>
          <w:sz w:val="24"/>
          <w:szCs w:val="24"/>
        </w:rPr>
        <w:footnoteReference w:id="82"/>
      </w:r>
      <w:r w:rsidR="00F60A9E" w:rsidRPr="00C31A32">
        <w:rPr>
          <w:rFonts w:ascii="Times New Roman" w:hAnsi="Times New Roman" w:cs="Times New Roman"/>
          <w:sz w:val="24"/>
          <w:szCs w:val="24"/>
        </w:rPr>
        <w:t xml:space="preserve"> Vulnerability </w:t>
      </w:r>
      <w:r w:rsidR="002A5354" w:rsidRPr="00C31A32">
        <w:rPr>
          <w:rFonts w:ascii="Times New Roman" w:hAnsi="Times New Roman" w:cs="Times New Roman"/>
          <w:sz w:val="24"/>
          <w:szCs w:val="24"/>
        </w:rPr>
        <w:t xml:space="preserve">here is a ‘context-sensitive’ judgment that reflects the dependency and relative powerlessness </w:t>
      </w:r>
      <w:r w:rsidR="002A5354" w:rsidRPr="00C31A32">
        <w:rPr>
          <w:rFonts w:ascii="Times New Roman" w:hAnsi="Times New Roman" w:cs="Times New Roman"/>
          <w:sz w:val="24"/>
          <w:szCs w:val="24"/>
        </w:rPr>
        <w:lastRenderedPageBreak/>
        <w:t>of individuals in custody</w:t>
      </w:r>
      <w:r w:rsidR="00F60A9E" w:rsidRPr="00C31A32">
        <w:rPr>
          <w:rFonts w:ascii="Times New Roman" w:hAnsi="Times New Roman" w:cs="Times New Roman"/>
          <w:sz w:val="24"/>
          <w:szCs w:val="24"/>
        </w:rPr>
        <w:t>.</w:t>
      </w:r>
      <w:r w:rsidR="00F60A9E" w:rsidRPr="00C31A32">
        <w:rPr>
          <w:rStyle w:val="FootnoteReference"/>
          <w:rFonts w:ascii="Times New Roman" w:hAnsi="Times New Roman" w:cs="Times New Roman"/>
          <w:sz w:val="24"/>
          <w:szCs w:val="24"/>
        </w:rPr>
        <w:footnoteReference w:id="83"/>
      </w:r>
      <w:r w:rsidRPr="00C31A32">
        <w:rPr>
          <w:rFonts w:ascii="Times New Roman" w:hAnsi="Times New Roman" w:cs="Times New Roman"/>
          <w:sz w:val="24"/>
          <w:szCs w:val="24"/>
        </w:rPr>
        <w:t xml:space="preserve"> </w:t>
      </w:r>
      <w:r w:rsidR="00E45654" w:rsidRPr="00C31A32">
        <w:rPr>
          <w:rFonts w:ascii="Times New Roman" w:hAnsi="Times New Roman" w:cs="Times New Roman"/>
          <w:sz w:val="24"/>
          <w:szCs w:val="24"/>
        </w:rPr>
        <w:t>In that context</w:t>
      </w:r>
      <w:r w:rsidRPr="00C31A32">
        <w:rPr>
          <w:rFonts w:ascii="Times New Roman" w:hAnsi="Times New Roman" w:cs="Times New Roman"/>
          <w:sz w:val="24"/>
          <w:szCs w:val="24"/>
        </w:rPr>
        <w:t>, the authorities are under a duty to protect them</w:t>
      </w:r>
      <w:r w:rsidRPr="00C31A32">
        <w:rPr>
          <w:rStyle w:val="FootnoteReference"/>
          <w:rFonts w:ascii="Times New Roman" w:hAnsi="Times New Roman" w:cs="Times New Roman"/>
          <w:sz w:val="24"/>
          <w:szCs w:val="24"/>
        </w:rPr>
        <w:footnoteReference w:id="84"/>
      </w:r>
      <w:r w:rsidRPr="00C31A32">
        <w:rPr>
          <w:rFonts w:ascii="Times New Roman" w:hAnsi="Times New Roman" w:cs="Times New Roman"/>
          <w:sz w:val="24"/>
          <w:szCs w:val="24"/>
        </w:rPr>
        <w:t xml:space="preserve"> and any recourse to violence which has not been strictly necessary ‘diminishes human dignity and is, in principle, an infringement of […] Article 3.’</w:t>
      </w:r>
      <w:r w:rsidRPr="00C31A32">
        <w:rPr>
          <w:rStyle w:val="FootnoteReference"/>
          <w:rFonts w:ascii="Times New Roman" w:hAnsi="Times New Roman" w:cs="Times New Roman"/>
          <w:sz w:val="24"/>
          <w:szCs w:val="24"/>
        </w:rPr>
        <w:footnoteReference w:id="85"/>
      </w:r>
      <w:r w:rsidRPr="00C31A32">
        <w:rPr>
          <w:rFonts w:ascii="Times New Roman" w:hAnsi="Times New Roman" w:cs="Times New Roman"/>
          <w:sz w:val="24"/>
          <w:szCs w:val="24"/>
        </w:rPr>
        <w:t xml:space="preserve"> Under those circumstances, even one slap to the face of a person constitutes a ‘serious attack on the individual’s dignity’.</w:t>
      </w:r>
      <w:r w:rsidRPr="00C31A32">
        <w:rPr>
          <w:rStyle w:val="FootnoteReference"/>
          <w:rFonts w:ascii="Times New Roman" w:hAnsi="Times New Roman" w:cs="Times New Roman"/>
          <w:sz w:val="24"/>
          <w:szCs w:val="24"/>
        </w:rPr>
        <w:footnoteReference w:id="86"/>
      </w:r>
      <w:r w:rsidRPr="00C31A32">
        <w:rPr>
          <w:rFonts w:ascii="Times New Roman" w:hAnsi="Times New Roman" w:cs="Times New Roman"/>
          <w:sz w:val="24"/>
          <w:szCs w:val="24"/>
        </w:rPr>
        <w:t xml:space="preserve"> </w:t>
      </w:r>
      <w:r w:rsidR="00AD791C" w:rsidRPr="00C31A32">
        <w:rPr>
          <w:rFonts w:ascii="Times New Roman" w:hAnsi="Times New Roman" w:cs="Times New Roman"/>
          <w:sz w:val="24"/>
          <w:szCs w:val="24"/>
        </w:rPr>
        <w:t>T</w:t>
      </w:r>
      <w:r w:rsidRPr="00C31A32">
        <w:rPr>
          <w:rFonts w:ascii="Times New Roman" w:hAnsi="Times New Roman" w:cs="Times New Roman"/>
          <w:sz w:val="24"/>
          <w:szCs w:val="24"/>
        </w:rPr>
        <w:t>he ECtHR added two more specific reasons for that finding. Firstly, a slap to the face ‘affects the part of the person’s body which expresses his individuality, manifests his social identity and constitutes the centre of his senses – sight, speech and hearing – which are used for communication with others.’</w:t>
      </w:r>
      <w:r w:rsidRPr="00C31A32">
        <w:rPr>
          <w:rStyle w:val="FootnoteReference"/>
          <w:rFonts w:ascii="Times New Roman" w:hAnsi="Times New Roman" w:cs="Times New Roman"/>
          <w:sz w:val="24"/>
          <w:szCs w:val="24"/>
        </w:rPr>
        <w:footnoteReference w:id="87"/>
      </w:r>
      <w:r w:rsidRPr="00C31A32">
        <w:rPr>
          <w:rFonts w:ascii="Times New Roman" w:hAnsi="Times New Roman" w:cs="Times New Roman"/>
          <w:sz w:val="24"/>
          <w:szCs w:val="24"/>
        </w:rPr>
        <w:t xml:space="preserve"> A slap to the face is therefore a</w:t>
      </w:r>
      <w:r w:rsidR="00A74991">
        <w:rPr>
          <w:rFonts w:ascii="Times New Roman" w:hAnsi="Times New Roman" w:cs="Times New Roman"/>
          <w:sz w:val="24"/>
          <w:szCs w:val="24"/>
        </w:rPr>
        <w:t xml:space="preserve"> particularly</w:t>
      </w:r>
      <w:r w:rsidRPr="00C31A32">
        <w:rPr>
          <w:rFonts w:ascii="Times New Roman" w:hAnsi="Times New Roman" w:cs="Times New Roman"/>
          <w:sz w:val="24"/>
          <w:szCs w:val="24"/>
        </w:rPr>
        <w:t xml:space="preserve"> acute form of disrespect for the equal moral personhood of the other. Secondly, the officers were in a superior position and had power over the applicants when they slapped them. When such a power imbalance exists, even a single slap degrades the person – it puts him down. It expresses that the victim counts for less; that he is powerless under the control of law-enforcement officers and is morally inferior to them.</w:t>
      </w:r>
      <w:r w:rsidRPr="00C31A32">
        <w:rPr>
          <w:rStyle w:val="FootnoteReference"/>
          <w:rFonts w:ascii="Times New Roman" w:hAnsi="Times New Roman" w:cs="Times New Roman"/>
          <w:sz w:val="24"/>
          <w:szCs w:val="24"/>
        </w:rPr>
        <w:footnoteReference w:id="88"/>
      </w:r>
      <w:r w:rsidRPr="00C31A32">
        <w:rPr>
          <w:rFonts w:ascii="Times New Roman" w:hAnsi="Times New Roman" w:cs="Times New Roman"/>
          <w:sz w:val="24"/>
          <w:szCs w:val="24"/>
        </w:rPr>
        <w:t xml:space="preserve"> </w:t>
      </w:r>
    </w:p>
    <w:p w14:paraId="404B6BD9" w14:textId="682E6FFF"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Thus, looking closely at </w:t>
      </w:r>
      <w:r w:rsidRPr="00C31A32">
        <w:rPr>
          <w:rFonts w:ascii="Times New Roman" w:hAnsi="Times New Roman" w:cs="Times New Roman"/>
          <w:i/>
          <w:iCs/>
          <w:sz w:val="24"/>
          <w:szCs w:val="24"/>
        </w:rPr>
        <w:t>Bouyid</w:t>
      </w:r>
      <w:r w:rsidRPr="00C31A32">
        <w:rPr>
          <w:rFonts w:ascii="Times New Roman" w:hAnsi="Times New Roman" w:cs="Times New Roman"/>
          <w:sz w:val="24"/>
          <w:szCs w:val="24"/>
        </w:rPr>
        <w:t xml:space="preserve">, an act is degrading when it satisfies two conditions. Firstly, to degrade is to treat others in ways that express disrespect for their equal moral worth. Treating others as if they </w:t>
      </w:r>
      <w:r w:rsidR="00801A15">
        <w:rPr>
          <w:rFonts w:ascii="Times New Roman" w:hAnsi="Times New Roman" w:cs="Times New Roman"/>
          <w:sz w:val="24"/>
          <w:szCs w:val="24"/>
        </w:rPr>
        <w:t xml:space="preserve">are </w:t>
      </w:r>
      <w:r w:rsidR="00AE3448">
        <w:rPr>
          <w:rFonts w:ascii="Times New Roman" w:hAnsi="Times New Roman" w:cs="Times New Roman"/>
          <w:sz w:val="24"/>
          <w:szCs w:val="24"/>
        </w:rPr>
        <w:t xml:space="preserve">objects </w:t>
      </w:r>
      <w:r w:rsidR="00591A42">
        <w:rPr>
          <w:rFonts w:ascii="Times New Roman" w:hAnsi="Times New Roman" w:cs="Times New Roman"/>
          <w:sz w:val="24"/>
          <w:szCs w:val="24"/>
        </w:rPr>
        <w:t>rather than</w:t>
      </w:r>
      <w:r w:rsidR="00AE3448">
        <w:rPr>
          <w:rFonts w:ascii="Times New Roman" w:hAnsi="Times New Roman" w:cs="Times New Roman"/>
          <w:sz w:val="24"/>
          <w:szCs w:val="24"/>
        </w:rPr>
        <w:t xml:space="preserve"> </w:t>
      </w:r>
      <w:r w:rsidR="00591A42">
        <w:rPr>
          <w:rFonts w:ascii="Times New Roman" w:hAnsi="Times New Roman" w:cs="Times New Roman"/>
          <w:sz w:val="24"/>
          <w:szCs w:val="24"/>
        </w:rPr>
        <w:t xml:space="preserve">human </w:t>
      </w:r>
      <w:r w:rsidR="001725BE">
        <w:rPr>
          <w:rFonts w:ascii="Times New Roman" w:hAnsi="Times New Roman" w:cs="Times New Roman"/>
          <w:sz w:val="24"/>
          <w:szCs w:val="24"/>
        </w:rPr>
        <w:t>persons or</w:t>
      </w:r>
      <w:r w:rsidR="00AE3448">
        <w:rPr>
          <w:rFonts w:ascii="Times New Roman" w:hAnsi="Times New Roman" w:cs="Times New Roman"/>
          <w:sz w:val="24"/>
          <w:szCs w:val="24"/>
        </w:rPr>
        <w:t xml:space="preserve"> </w:t>
      </w:r>
      <w:r w:rsidR="00591A42">
        <w:rPr>
          <w:rFonts w:ascii="Times New Roman" w:hAnsi="Times New Roman" w:cs="Times New Roman"/>
          <w:sz w:val="24"/>
          <w:szCs w:val="24"/>
        </w:rPr>
        <w:t xml:space="preserve">denying others </w:t>
      </w:r>
      <w:r w:rsidR="00AE3448">
        <w:rPr>
          <w:rFonts w:ascii="Times New Roman" w:hAnsi="Times New Roman" w:cs="Times New Roman"/>
          <w:sz w:val="24"/>
          <w:szCs w:val="24"/>
        </w:rPr>
        <w:t>the</w:t>
      </w:r>
      <w:r w:rsidR="00591A42">
        <w:rPr>
          <w:rFonts w:ascii="Times New Roman" w:hAnsi="Times New Roman" w:cs="Times New Roman"/>
          <w:sz w:val="24"/>
          <w:szCs w:val="24"/>
        </w:rPr>
        <w:t xml:space="preserve"> </w:t>
      </w:r>
      <w:r w:rsidR="00AE3448">
        <w:rPr>
          <w:rFonts w:ascii="Times New Roman" w:hAnsi="Times New Roman" w:cs="Times New Roman"/>
          <w:sz w:val="24"/>
          <w:szCs w:val="24"/>
        </w:rPr>
        <w:t>mini</w:t>
      </w:r>
      <w:r w:rsidR="00591A42">
        <w:rPr>
          <w:rFonts w:ascii="Times New Roman" w:hAnsi="Times New Roman" w:cs="Times New Roman"/>
          <w:sz w:val="24"/>
          <w:szCs w:val="24"/>
        </w:rPr>
        <w:t>mum</w:t>
      </w:r>
      <w:r w:rsidR="00AE3448">
        <w:rPr>
          <w:rFonts w:ascii="Times New Roman" w:hAnsi="Times New Roman" w:cs="Times New Roman"/>
          <w:sz w:val="24"/>
          <w:szCs w:val="24"/>
        </w:rPr>
        <w:t xml:space="preserve"> </w:t>
      </w:r>
      <w:r w:rsidR="00591A42">
        <w:rPr>
          <w:rFonts w:ascii="Times New Roman" w:hAnsi="Times New Roman" w:cs="Times New Roman"/>
          <w:sz w:val="24"/>
          <w:szCs w:val="24"/>
        </w:rPr>
        <w:t>require</w:t>
      </w:r>
      <w:r w:rsidR="001725BE">
        <w:rPr>
          <w:rFonts w:ascii="Times New Roman" w:hAnsi="Times New Roman" w:cs="Times New Roman"/>
          <w:sz w:val="24"/>
          <w:szCs w:val="24"/>
        </w:rPr>
        <w:t>ments</w:t>
      </w:r>
      <w:r w:rsidR="00591A42">
        <w:rPr>
          <w:rFonts w:ascii="Times New Roman" w:hAnsi="Times New Roman" w:cs="Times New Roman"/>
          <w:sz w:val="24"/>
          <w:szCs w:val="24"/>
        </w:rPr>
        <w:t xml:space="preserve"> </w:t>
      </w:r>
      <w:r w:rsidR="001725BE">
        <w:rPr>
          <w:rFonts w:ascii="Times New Roman" w:hAnsi="Times New Roman" w:cs="Times New Roman"/>
          <w:sz w:val="24"/>
          <w:szCs w:val="24"/>
        </w:rPr>
        <w:t>of</w:t>
      </w:r>
      <w:r w:rsidR="00591A42">
        <w:rPr>
          <w:rFonts w:ascii="Times New Roman" w:hAnsi="Times New Roman" w:cs="Times New Roman"/>
          <w:sz w:val="24"/>
          <w:szCs w:val="24"/>
        </w:rPr>
        <w:t xml:space="preserve"> personal autonomy </w:t>
      </w:r>
      <w:r w:rsidR="00AE3448">
        <w:rPr>
          <w:rFonts w:ascii="Times New Roman" w:hAnsi="Times New Roman" w:cs="Times New Roman"/>
          <w:sz w:val="24"/>
          <w:szCs w:val="24"/>
        </w:rPr>
        <w:t>and self-respect</w:t>
      </w:r>
      <w:r w:rsidRPr="00C31A32">
        <w:rPr>
          <w:rFonts w:ascii="Times New Roman" w:hAnsi="Times New Roman" w:cs="Times New Roman"/>
          <w:sz w:val="24"/>
          <w:szCs w:val="24"/>
        </w:rPr>
        <w:t xml:space="preserve"> is incompatible with the inherent dignity of persons.</w:t>
      </w:r>
      <w:r w:rsidRPr="00C31A32">
        <w:rPr>
          <w:rStyle w:val="FootnoteReference"/>
          <w:rFonts w:ascii="Times New Roman" w:hAnsi="Times New Roman" w:cs="Times New Roman"/>
          <w:sz w:val="24"/>
          <w:szCs w:val="24"/>
        </w:rPr>
        <w:footnoteReference w:id="89"/>
      </w:r>
      <w:r w:rsidRPr="00C31A32">
        <w:rPr>
          <w:rFonts w:ascii="Times New Roman" w:hAnsi="Times New Roman" w:cs="Times New Roman"/>
          <w:sz w:val="24"/>
          <w:szCs w:val="24"/>
        </w:rPr>
        <w:t xml:space="preserve"> Secondly, to degrade also requires that the person or entity acting has sufficient power or status to put others down.</w:t>
      </w:r>
      <w:r w:rsidRPr="00C31A32">
        <w:rPr>
          <w:rStyle w:val="FootnoteReference"/>
          <w:rFonts w:ascii="Times New Roman" w:hAnsi="Times New Roman" w:cs="Times New Roman"/>
          <w:sz w:val="24"/>
          <w:szCs w:val="24"/>
        </w:rPr>
        <w:footnoteReference w:id="90"/>
      </w:r>
      <w:r w:rsidRPr="00C31A32">
        <w:rPr>
          <w:rFonts w:ascii="Times New Roman" w:hAnsi="Times New Roman" w:cs="Times New Roman"/>
          <w:sz w:val="24"/>
          <w:szCs w:val="24"/>
        </w:rPr>
        <w:t xml:space="preserve"> Those two conditions track the close links between degrading treatment and dignity in our moral vocabulary. It is important to investigate further though whether, when those two conditions are satisfied, an act can be classed as degrading under Article 3 even in the absence of material effects on the victims.</w:t>
      </w:r>
      <w:r w:rsidRPr="00C31A32">
        <w:rPr>
          <w:rStyle w:val="FootnoteReference"/>
          <w:rFonts w:ascii="Times New Roman" w:hAnsi="Times New Roman" w:cs="Times New Roman"/>
          <w:sz w:val="24"/>
          <w:szCs w:val="24"/>
        </w:rPr>
        <w:footnoteReference w:id="91"/>
      </w:r>
      <w:r w:rsidRPr="00C31A32">
        <w:rPr>
          <w:rFonts w:ascii="Times New Roman" w:hAnsi="Times New Roman" w:cs="Times New Roman"/>
          <w:sz w:val="24"/>
          <w:szCs w:val="24"/>
        </w:rPr>
        <w:t xml:space="preserve"> Let us consider some more examples.</w:t>
      </w:r>
    </w:p>
    <w:p w14:paraId="28754970" w14:textId="07F60FAB"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The links between degrading treatment and human dignity also emerge in </w:t>
      </w:r>
      <w:r w:rsidRPr="00C31A32">
        <w:rPr>
          <w:rFonts w:ascii="Times New Roman" w:hAnsi="Times New Roman" w:cs="Times New Roman"/>
          <w:i/>
          <w:iCs/>
          <w:sz w:val="24"/>
          <w:szCs w:val="24"/>
        </w:rPr>
        <w:t>Identoba</w:t>
      </w:r>
      <w:r w:rsidRPr="00C31A32">
        <w:rPr>
          <w:rFonts w:ascii="Times New Roman" w:hAnsi="Times New Roman" w:cs="Times New Roman"/>
          <w:sz w:val="24"/>
          <w:szCs w:val="24"/>
        </w:rPr>
        <w:t>.</w:t>
      </w:r>
      <w:r w:rsidRPr="00C31A32">
        <w:rPr>
          <w:rStyle w:val="FootnoteReference"/>
          <w:rFonts w:ascii="Times New Roman" w:hAnsi="Times New Roman" w:cs="Times New Roman"/>
          <w:sz w:val="24"/>
          <w:szCs w:val="24"/>
        </w:rPr>
        <w:footnoteReference w:id="92"/>
      </w:r>
      <w:r w:rsidRPr="00C31A32">
        <w:rPr>
          <w:rFonts w:ascii="Times New Roman" w:hAnsi="Times New Roman" w:cs="Times New Roman"/>
          <w:sz w:val="24"/>
          <w:szCs w:val="24"/>
        </w:rPr>
        <w:t xml:space="preserve"> In </w:t>
      </w:r>
      <w:r w:rsidRPr="00C31A32">
        <w:rPr>
          <w:rFonts w:ascii="Times New Roman" w:hAnsi="Times New Roman" w:cs="Times New Roman"/>
          <w:i/>
          <w:iCs/>
          <w:sz w:val="24"/>
          <w:szCs w:val="24"/>
        </w:rPr>
        <w:t>Identoba</w:t>
      </w:r>
      <w:r w:rsidRPr="00C31A32">
        <w:rPr>
          <w:rFonts w:ascii="Times New Roman" w:hAnsi="Times New Roman" w:cs="Times New Roman"/>
          <w:sz w:val="24"/>
          <w:szCs w:val="24"/>
        </w:rPr>
        <w:t xml:space="preserve"> the ECtHR found a violation of Article 3, taken in conjunction with the prohibition of discrimination under Article 14, because the state authorities failed to provide adequate protection to LGBT citizens during their peaceful march on the International Day Against </w:t>
      </w:r>
      <w:r w:rsidRPr="00C31A32">
        <w:rPr>
          <w:rFonts w:ascii="Times New Roman" w:hAnsi="Times New Roman" w:cs="Times New Roman"/>
          <w:sz w:val="24"/>
          <w:szCs w:val="24"/>
        </w:rPr>
        <w:lastRenderedPageBreak/>
        <w:t>Homophobia.</w:t>
      </w:r>
      <w:r w:rsidRPr="00C31A32">
        <w:rPr>
          <w:rStyle w:val="FootnoteReference"/>
          <w:rFonts w:ascii="Times New Roman" w:hAnsi="Times New Roman" w:cs="Times New Roman"/>
          <w:sz w:val="24"/>
          <w:szCs w:val="24"/>
        </w:rPr>
        <w:footnoteReference w:id="93"/>
      </w:r>
      <w:r w:rsidRPr="00C31A32">
        <w:rPr>
          <w:rFonts w:ascii="Times New Roman" w:hAnsi="Times New Roman" w:cs="Times New Roman"/>
          <w:sz w:val="24"/>
          <w:szCs w:val="24"/>
        </w:rPr>
        <w:t xml:space="preserve"> Because of inadequate police intervention, the LGBT demonstrators were subject to homophobic aggression and verbal abuse by counter-demonstrators. LGBT flags and posters were ripped apart; a big mob surrounded the demonstrators, called them ‘faggots’ and ‘perverts’, and threatened to ‘crush’ them and ‘burn them to death’.</w:t>
      </w:r>
      <w:r w:rsidRPr="00C31A32">
        <w:rPr>
          <w:rStyle w:val="FootnoteReference"/>
          <w:rFonts w:ascii="Times New Roman" w:hAnsi="Times New Roman" w:cs="Times New Roman"/>
          <w:sz w:val="24"/>
          <w:szCs w:val="24"/>
        </w:rPr>
        <w:footnoteReference w:id="94"/>
      </w:r>
    </w:p>
    <w:p w14:paraId="368F0CDA" w14:textId="6030CE1C" w:rsidR="00CA2D40" w:rsidRPr="00C31A32" w:rsidRDefault="00CA2D40" w:rsidP="00CA2D40">
      <w:pPr>
        <w:spacing w:after="0" w:line="276" w:lineRule="auto"/>
        <w:ind w:firstLine="567"/>
        <w:jc w:val="both"/>
        <w:rPr>
          <w:rFonts w:ascii="Times New Roman" w:hAnsi="Times New Roman" w:cs="Times New Roman"/>
          <w:sz w:val="24"/>
          <w:szCs w:val="24"/>
        </w:rPr>
      </w:pPr>
      <w:proofErr w:type="gramStart"/>
      <w:r w:rsidRPr="00C31A32">
        <w:rPr>
          <w:rFonts w:ascii="Times New Roman" w:hAnsi="Times New Roman" w:cs="Times New Roman"/>
          <w:sz w:val="24"/>
          <w:szCs w:val="24"/>
        </w:rPr>
        <w:t>Similarly</w:t>
      </w:r>
      <w:proofErr w:type="gramEnd"/>
      <w:r w:rsidRPr="00C31A32">
        <w:rPr>
          <w:rFonts w:ascii="Times New Roman" w:hAnsi="Times New Roman" w:cs="Times New Roman"/>
          <w:sz w:val="24"/>
          <w:szCs w:val="24"/>
        </w:rPr>
        <w:t xml:space="preserve"> to </w:t>
      </w:r>
      <w:r w:rsidRPr="00C31A32">
        <w:rPr>
          <w:rFonts w:ascii="Times New Roman" w:hAnsi="Times New Roman" w:cs="Times New Roman"/>
          <w:i/>
          <w:iCs/>
          <w:sz w:val="24"/>
          <w:szCs w:val="24"/>
        </w:rPr>
        <w:t>Bouyid</w:t>
      </w:r>
      <w:r w:rsidRPr="00C31A32">
        <w:rPr>
          <w:rFonts w:ascii="Times New Roman" w:hAnsi="Times New Roman" w:cs="Times New Roman"/>
          <w:sz w:val="24"/>
          <w:szCs w:val="24"/>
        </w:rPr>
        <w:t xml:space="preserve">, </w:t>
      </w:r>
      <w:r w:rsidRPr="00C31A32">
        <w:rPr>
          <w:rFonts w:ascii="Times New Roman" w:hAnsi="Times New Roman" w:cs="Times New Roman"/>
          <w:i/>
          <w:iCs/>
          <w:sz w:val="24"/>
          <w:szCs w:val="24"/>
        </w:rPr>
        <w:t>Identoba</w:t>
      </w:r>
      <w:r w:rsidRPr="00C31A32">
        <w:rPr>
          <w:rFonts w:ascii="Times New Roman" w:hAnsi="Times New Roman" w:cs="Times New Roman"/>
          <w:sz w:val="24"/>
          <w:szCs w:val="24"/>
        </w:rPr>
        <w:t xml:space="preserve"> shows that the classification of a treatment as ‘degrading’ under Article 3 is not contingent on its effects on the victims. Even absent any physical injury or serious mental suffering, ill-treatment can still qualify as ‘degrading’ provided that it constitutes an ‘affront to human dignity’.</w:t>
      </w:r>
      <w:r w:rsidRPr="00C31A32">
        <w:rPr>
          <w:rStyle w:val="FootnoteReference"/>
          <w:rFonts w:ascii="Times New Roman" w:hAnsi="Times New Roman" w:cs="Times New Roman"/>
          <w:sz w:val="24"/>
          <w:szCs w:val="24"/>
        </w:rPr>
        <w:footnoteReference w:id="95"/>
      </w:r>
      <w:r w:rsidRPr="00C31A32">
        <w:rPr>
          <w:rFonts w:ascii="Times New Roman" w:hAnsi="Times New Roman" w:cs="Times New Roman"/>
          <w:sz w:val="24"/>
          <w:szCs w:val="24"/>
        </w:rPr>
        <w:t xml:space="preserve"> Still, for the purposes of ‘conversion therapy’, let us focus on a key aspect of the treatment in </w:t>
      </w:r>
      <w:r w:rsidRPr="00C31A32">
        <w:rPr>
          <w:rFonts w:ascii="Times New Roman" w:hAnsi="Times New Roman" w:cs="Times New Roman"/>
          <w:i/>
          <w:iCs/>
          <w:sz w:val="24"/>
          <w:szCs w:val="24"/>
        </w:rPr>
        <w:t>Identoba</w:t>
      </w:r>
      <w:r w:rsidRPr="00C31A32">
        <w:rPr>
          <w:rFonts w:ascii="Times New Roman" w:hAnsi="Times New Roman" w:cs="Times New Roman"/>
          <w:sz w:val="24"/>
          <w:szCs w:val="24"/>
        </w:rPr>
        <w:t>. What proved significant was that the recipients of the aggression were in a precarious position because of widespread homophobic prejudice against them.</w:t>
      </w:r>
      <w:r w:rsidRPr="00C31A32">
        <w:rPr>
          <w:rStyle w:val="FootnoteReference"/>
          <w:rFonts w:ascii="Times New Roman" w:hAnsi="Times New Roman" w:cs="Times New Roman"/>
          <w:sz w:val="24"/>
          <w:szCs w:val="24"/>
        </w:rPr>
        <w:footnoteReference w:id="96"/>
      </w:r>
      <w:r w:rsidRPr="00C31A32">
        <w:rPr>
          <w:rFonts w:ascii="Times New Roman" w:hAnsi="Times New Roman" w:cs="Times New Roman"/>
          <w:sz w:val="24"/>
          <w:szCs w:val="24"/>
        </w:rPr>
        <w:t xml:space="preserve"> It was in this context that the homophobic and transphobic abuse that they experienced had the effect of arousing feelings of fear, anguish and insecurity that were incompatible with their dignity.</w:t>
      </w:r>
      <w:r w:rsidRPr="00C31A32">
        <w:rPr>
          <w:rStyle w:val="FootnoteReference"/>
          <w:rFonts w:ascii="Times New Roman" w:hAnsi="Times New Roman" w:cs="Times New Roman"/>
          <w:sz w:val="24"/>
          <w:szCs w:val="24"/>
        </w:rPr>
        <w:footnoteReference w:id="97"/>
      </w:r>
      <w:r w:rsidRPr="00C31A32">
        <w:rPr>
          <w:rFonts w:ascii="Times New Roman" w:hAnsi="Times New Roman" w:cs="Times New Roman"/>
          <w:sz w:val="24"/>
          <w:szCs w:val="24"/>
        </w:rPr>
        <w:t xml:space="preserve"> In such circumstances</w:t>
      </w:r>
    </w:p>
    <w:p w14:paraId="28ECE5C2" w14:textId="77777777" w:rsidR="00CA2D40" w:rsidRPr="00C31A32" w:rsidRDefault="00CA2D40" w:rsidP="00CA2D40">
      <w:pPr>
        <w:spacing w:after="0" w:line="276" w:lineRule="auto"/>
        <w:jc w:val="both"/>
        <w:rPr>
          <w:rFonts w:ascii="Times New Roman" w:hAnsi="Times New Roman" w:cs="Times New Roman"/>
          <w:sz w:val="24"/>
          <w:szCs w:val="24"/>
        </w:rPr>
      </w:pPr>
    </w:p>
    <w:p w14:paraId="2336FFCC" w14:textId="77777777" w:rsidR="00CA2D40" w:rsidRPr="00C31A32" w:rsidRDefault="00CA2D40" w:rsidP="00CA2D40">
      <w:pPr>
        <w:spacing w:after="0" w:line="276" w:lineRule="auto"/>
        <w:ind w:left="426" w:right="231"/>
        <w:jc w:val="both"/>
        <w:rPr>
          <w:rFonts w:ascii="Times New Roman" w:hAnsi="Times New Roman" w:cs="Times New Roman"/>
          <w:sz w:val="24"/>
          <w:szCs w:val="24"/>
        </w:rPr>
      </w:pPr>
      <w:r w:rsidRPr="00C31A32">
        <w:rPr>
          <w:rFonts w:ascii="Times New Roman" w:hAnsi="Times New Roman" w:cs="Times New Roman"/>
          <w:sz w:val="24"/>
          <w:szCs w:val="24"/>
        </w:rPr>
        <w:t xml:space="preserve">the question of whether or not some of the applicants sustained physical injuries of certain gravity becomes less relevant. All of the thirteen individual applicants became the target of hate speech and aggressive behaviour […] Given that they were surrounded by an angry mob that outnumbered them and was uttering death threats and randomly resorting to physical assaults, demonstrating the reality of the threats, and that </w:t>
      </w:r>
      <w:r w:rsidRPr="00C31A32">
        <w:rPr>
          <w:rFonts w:ascii="Times New Roman" w:hAnsi="Times New Roman" w:cs="Times New Roman"/>
          <w:i/>
          <w:iCs/>
          <w:sz w:val="24"/>
          <w:szCs w:val="24"/>
        </w:rPr>
        <w:t>a clearly distinguishable homophobic bias played the role of an aggravating factor</w:t>
      </w:r>
      <w:r w:rsidRPr="00C31A32">
        <w:rPr>
          <w:rFonts w:ascii="Times New Roman" w:hAnsi="Times New Roman" w:cs="Times New Roman"/>
          <w:sz w:val="24"/>
          <w:szCs w:val="24"/>
        </w:rPr>
        <w:t xml:space="preserve"> […], the situation was already one of intense fear and anxiety. The aim of that verbal – and sporadically physical – abuse was evidently to frighten the applicants so that they would desist from their public expression of support for the LGBT community.</w:t>
      </w:r>
      <w:r w:rsidRPr="00C31A32">
        <w:rPr>
          <w:rStyle w:val="FootnoteReference"/>
          <w:rFonts w:ascii="Times New Roman" w:hAnsi="Times New Roman" w:cs="Times New Roman"/>
          <w:sz w:val="24"/>
          <w:szCs w:val="24"/>
        </w:rPr>
        <w:footnoteReference w:id="98"/>
      </w:r>
      <w:r w:rsidRPr="00C31A32">
        <w:rPr>
          <w:rFonts w:ascii="Times New Roman" w:hAnsi="Times New Roman" w:cs="Times New Roman"/>
          <w:sz w:val="24"/>
          <w:szCs w:val="24"/>
        </w:rPr>
        <w:t xml:space="preserve"> (emphasis added)</w:t>
      </w:r>
    </w:p>
    <w:p w14:paraId="0FFFF10E" w14:textId="77777777" w:rsidR="00CA2D40" w:rsidRPr="00C31A32" w:rsidRDefault="00CA2D40" w:rsidP="00CA2D40">
      <w:pPr>
        <w:spacing w:after="0" w:line="276" w:lineRule="auto"/>
        <w:jc w:val="both"/>
        <w:rPr>
          <w:rFonts w:ascii="Times New Roman" w:hAnsi="Times New Roman" w:cs="Times New Roman"/>
          <w:i/>
          <w:sz w:val="24"/>
          <w:szCs w:val="24"/>
        </w:rPr>
      </w:pPr>
    </w:p>
    <w:p w14:paraId="68CF658C" w14:textId="4E30A0A2"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So, wrongful discrimination is an aggravating factor when considering whether ill-treatment reaches the threshold set by Article 3.</w:t>
      </w:r>
      <w:r w:rsidRPr="00C31A32">
        <w:rPr>
          <w:rStyle w:val="FootnoteReference"/>
          <w:rFonts w:ascii="Times New Roman" w:hAnsi="Times New Roman" w:cs="Times New Roman"/>
          <w:sz w:val="24"/>
          <w:szCs w:val="24"/>
        </w:rPr>
        <w:footnoteReference w:id="99"/>
      </w:r>
      <w:r w:rsidRPr="00C31A32">
        <w:rPr>
          <w:rFonts w:ascii="Times New Roman" w:hAnsi="Times New Roman" w:cs="Times New Roman"/>
          <w:sz w:val="24"/>
          <w:szCs w:val="24"/>
        </w:rPr>
        <w:t xml:space="preserve"> </w:t>
      </w:r>
      <w:r w:rsidR="003307F5" w:rsidRPr="00C31A32">
        <w:rPr>
          <w:rFonts w:ascii="Times New Roman" w:hAnsi="Times New Roman" w:cs="Times New Roman"/>
          <w:sz w:val="24"/>
          <w:szCs w:val="24"/>
        </w:rPr>
        <w:t>Th</w:t>
      </w:r>
      <w:r w:rsidR="004716AC" w:rsidRPr="00C31A32">
        <w:rPr>
          <w:rFonts w:ascii="Times New Roman" w:hAnsi="Times New Roman" w:cs="Times New Roman"/>
          <w:sz w:val="24"/>
          <w:szCs w:val="24"/>
        </w:rPr>
        <w:t>e</w:t>
      </w:r>
      <w:r w:rsidR="003307F5" w:rsidRPr="00C31A32">
        <w:rPr>
          <w:rFonts w:ascii="Times New Roman" w:hAnsi="Times New Roman" w:cs="Times New Roman"/>
          <w:sz w:val="24"/>
          <w:szCs w:val="24"/>
        </w:rPr>
        <w:t xml:space="preserve"> ECtHR has reiterated this principle in </w:t>
      </w:r>
      <w:r w:rsidR="003307F5" w:rsidRPr="00C31A32">
        <w:rPr>
          <w:rFonts w:ascii="Times New Roman" w:hAnsi="Times New Roman" w:cs="Times New Roman"/>
          <w:i/>
          <w:iCs/>
          <w:sz w:val="24"/>
          <w:szCs w:val="24"/>
        </w:rPr>
        <w:t>M.C. and A.C.</w:t>
      </w:r>
      <w:r w:rsidR="003307F5" w:rsidRPr="00C31A32">
        <w:rPr>
          <w:rFonts w:ascii="Times New Roman" w:hAnsi="Times New Roman" w:cs="Times New Roman"/>
          <w:sz w:val="24"/>
          <w:szCs w:val="24"/>
        </w:rPr>
        <w:t>,</w:t>
      </w:r>
      <w:r w:rsidR="003307F5" w:rsidRPr="00C31A32">
        <w:rPr>
          <w:rStyle w:val="FootnoteReference"/>
          <w:rFonts w:ascii="Times New Roman" w:hAnsi="Times New Roman" w:cs="Times New Roman"/>
          <w:sz w:val="24"/>
          <w:szCs w:val="24"/>
        </w:rPr>
        <w:footnoteReference w:id="100"/>
      </w:r>
      <w:r w:rsidR="003307F5" w:rsidRPr="00C31A32">
        <w:rPr>
          <w:rFonts w:ascii="Times New Roman" w:hAnsi="Times New Roman" w:cs="Times New Roman"/>
          <w:sz w:val="24"/>
          <w:szCs w:val="24"/>
        </w:rPr>
        <w:t xml:space="preserve"> and in </w:t>
      </w:r>
      <w:proofErr w:type="spellStart"/>
      <w:r w:rsidR="003307F5" w:rsidRPr="00C31A32">
        <w:rPr>
          <w:rFonts w:ascii="Times New Roman" w:hAnsi="Times New Roman" w:cs="Times New Roman"/>
          <w:i/>
          <w:iCs/>
          <w:sz w:val="24"/>
          <w:szCs w:val="24"/>
        </w:rPr>
        <w:t>Aghdgomelashvili</w:t>
      </w:r>
      <w:proofErr w:type="spellEnd"/>
      <w:r w:rsidR="003307F5" w:rsidRPr="00C31A32">
        <w:rPr>
          <w:rFonts w:ascii="Times New Roman" w:hAnsi="Times New Roman" w:cs="Times New Roman"/>
          <w:sz w:val="24"/>
          <w:szCs w:val="24"/>
        </w:rPr>
        <w:t>,</w:t>
      </w:r>
      <w:r w:rsidR="003307F5" w:rsidRPr="00C31A32">
        <w:rPr>
          <w:rStyle w:val="FootnoteReference"/>
          <w:rFonts w:ascii="Times New Roman" w:hAnsi="Times New Roman" w:cs="Times New Roman"/>
          <w:sz w:val="24"/>
          <w:szCs w:val="24"/>
        </w:rPr>
        <w:footnoteReference w:id="101"/>
      </w:r>
      <w:r w:rsidR="003307F5" w:rsidRPr="00C31A32">
        <w:rPr>
          <w:rFonts w:ascii="Times New Roman" w:hAnsi="Times New Roman" w:cs="Times New Roman"/>
          <w:sz w:val="24"/>
          <w:szCs w:val="24"/>
        </w:rPr>
        <w:t xml:space="preserve"> both of which, similarly to </w:t>
      </w:r>
      <w:r w:rsidR="003307F5" w:rsidRPr="00C31A32">
        <w:rPr>
          <w:rFonts w:ascii="Times New Roman" w:hAnsi="Times New Roman" w:cs="Times New Roman"/>
          <w:i/>
          <w:iCs/>
          <w:sz w:val="24"/>
          <w:szCs w:val="24"/>
        </w:rPr>
        <w:t>Identoba</w:t>
      </w:r>
      <w:r w:rsidR="003307F5" w:rsidRPr="00C31A32">
        <w:rPr>
          <w:rFonts w:ascii="Times New Roman" w:hAnsi="Times New Roman" w:cs="Times New Roman"/>
          <w:sz w:val="24"/>
          <w:szCs w:val="24"/>
        </w:rPr>
        <w:t>, involved ill-treatment that was motivated by homophobic and/or transphobic hatred.</w:t>
      </w:r>
      <w:r w:rsidR="003307F5" w:rsidRPr="00C31A32">
        <w:rPr>
          <w:rFonts w:ascii="Times New Roman" w:hAnsi="Times New Roman" w:cs="Times New Roman"/>
          <w:i/>
          <w:iCs/>
          <w:sz w:val="24"/>
          <w:szCs w:val="24"/>
        </w:rPr>
        <w:t xml:space="preserve"> </w:t>
      </w:r>
      <w:r w:rsidR="004716AC" w:rsidRPr="00C31A32">
        <w:rPr>
          <w:rFonts w:ascii="Times New Roman" w:hAnsi="Times New Roman" w:cs="Times New Roman"/>
          <w:sz w:val="24"/>
          <w:szCs w:val="24"/>
        </w:rPr>
        <w:t xml:space="preserve">Even in the absence of intense physical or psychological suffering, </w:t>
      </w:r>
      <w:r w:rsidR="00585241" w:rsidRPr="00C31A32">
        <w:rPr>
          <w:rFonts w:ascii="Times New Roman" w:hAnsi="Times New Roman" w:cs="Times New Roman"/>
          <w:sz w:val="24"/>
          <w:szCs w:val="24"/>
        </w:rPr>
        <w:t xml:space="preserve">such forms of direct </w:t>
      </w:r>
      <w:r w:rsidR="004716AC" w:rsidRPr="00C31A32">
        <w:rPr>
          <w:rFonts w:ascii="Times New Roman" w:hAnsi="Times New Roman" w:cs="Times New Roman"/>
          <w:sz w:val="24"/>
          <w:szCs w:val="24"/>
        </w:rPr>
        <w:t>d</w:t>
      </w:r>
      <w:r w:rsidRPr="00C31A32">
        <w:rPr>
          <w:rFonts w:ascii="Times New Roman" w:hAnsi="Times New Roman" w:cs="Times New Roman"/>
          <w:sz w:val="24"/>
          <w:szCs w:val="24"/>
        </w:rPr>
        <w:t>iscriminat</w:t>
      </w:r>
      <w:r w:rsidR="00585241" w:rsidRPr="00C31A32">
        <w:rPr>
          <w:rFonts w:ascii="Times New Roman" w:hAnsi="Times New Roman" w:cs="Times New Roman"/>
          <w:sz w:val="24"/>
          <w:szCs w:val="24"/>
        </w:rPr>
        <w:t>ion can</w:t>
      </w:r>
      <w:r w:rsidRPr="00C31A32">
        <w:rPr>
          <w:rFonts w:ascii="Times New Roman" w:hAnsi="Times New Roman" w:cs="Times New Roman"/>
          <w:sz w:val="24"/>
          <w:szCs w:val="24"/>
        </w:rPr>
        <w:t xml:space="preserve"> amount to degrading treatment under Article 3 whenever </w:t>
      </w:r>
      <w:r w:rsidR="00585241" w:rsidRPr="00C31A32">
        <w:rPr>
          <w:rFonts w:ascii="Times New Roman" w:hAnsi="Times New Roman" w:cs="Times New Roman"/>
          <w:sz w:val="24"/>
          <w:szCs w:val="24"/>
        </w:rPr>
        <w:t>they are</w:t>
      </w:r>
      <w:r w:rsidRPr="00C31A32">
        <w:rPr>
          <w:rFonts w:ascii="Times New Roman" w:hAnsi="Times New Roman" w:cs="Times New Roman"/>
          <w:sz w:val="24"/>
          <w:szCs w:val="24"/>
        </w:rPr>
        <w:t xml:space="preserve"> severe enough to constitute an affront to human dignity.</w:t>
      </w:r>
      <w:r w:rsidRPr="00C31A32">
        <w:rPr>
          <w:rStyle w:val="FootnoteReference"/>
          <w:rFonts w:ascii="Times New Roman" w:hAnsi="Times New Roman" w:cs="Times New Roman"/>
          <w:sz w:val="24"/>
          <w:szCs w:val="24"/>
        </w:rPr>
        <w:footnoteReference w:id="102"/>
      </w:r>
      <w:r w:rsidRPr="00C31A32">
        <w:rPr>
          <w:rFonts w:ascii="Times New Roman" w:hAnsi="Times New Roman" w:cs="Times New Roman"/>
          <w:sz w:val="24"/>
          <w:szCs w:val="24"/>
        </w:rPr>
        <w:t xml:space="preserve"> </w:t>
      </w:r>
      <w:r w:rsidR="00021649" w:rsidRPr="00C31A32">
        <w:rPr>
          <w:rFonts w:ascii="Times New Roman" w:hAnsi="Times New Roman" w:cs="Times New Roman"/>
          <w:sz w:val="24"/>
          <w:szCs w:val="24"/>
        </w:rPr>
        <w:t>Notably,</w:t>
      </w:r>
      <w:r w:rsidR="004716AC" w:rsidRPr="00C31A32">
        <w:rPr>
          <w:rFonts w:ascii="Times New Roman" w:hAnsi="Times New Roman" w:cs="Times New Roman"/>
          <w:sz w:val="24"/>
          <w:szCs w:val="24"/>
        </w:rPr>
        <w:t xml:space="preserve"> th</w:t>
      </w:r>
      <w:r w:rsidR="00585241" w:rsidRPr="00C31A32">
        <w:rPr>
          <w:rFonts w:ascii="Times New Roman" w:hAnsi="Times New Roman" w:cs="Times New Roman"/>
          <w:sz w:val="24"/>
          <w:szCs w:val="24"/>
        </w:rPr>
        <w:t>o</w:t>
      </w:r>
      <w:r w:rsidR="004716AC" w:rsidRPr="00C31A32">
        <w:rPr>
          <w:rFonts w:ascii="Times New Roman" w:hAnsi="Times New Roman" w:cs="Times New Roman"/>
          <w:sz w:val="24"/>
          <w:szCs w:val="24"/>
        </w:rPr>
        <w:t>se</w:t>
      </w:r>
      <w:r w:rsidRPr="00C31A32">
        <w:rPr>
          <w:rFonts w:ascii="Times New Roman" w:hAnsi="Times New Roman" w:cs="Times New Roman"/>
          <w:sz w:val="24"/>
          <w:szCs w:val="24"/>
        </w:rPr>
        <w:t xml:space="preserve"> links between discrimination and degrading treatment </w:t>
      </w:r>
      <w:r w:rsidRPr="00C31A32">
        <w:rPr>
          <w:rFonts w:ascii="Times New Roman" w:hAnsi="Times New Roman" w:cs="Times New Roman"/>
          <w:sz w:val="24"/>
          <w:szCs w:val="24"/>
        </w:rPr>
        <w:lastRenderedPageBreak/>
        <w:t xml:space="preserve">mirror the interpretation of the prohibition of </w:t>
      </w:r>
      <w:r w:rsidR="004716AC" w:rsidRPr="00C31A32">
        <w:rPr>
          <w:rFonts w:ascii="Times New Roman" w:hAnsi="Times New Roman" w:cs="Times New Roman"/>
          <w:sz w:val="24"/>
          <w:szCs w:val="24"/>
        </w:rPr>
        <w:t>torture or C</w:t>
      </w:r>
      <w:r w:rsidRPr="00C31A32">
        <w:rPr>
          <w:rFonts w:ascii="Times New Roman" w:hAnsi="Times New Roman" w:cs="Times New Roman"/>
          <w:sz w:val="24"/>
          <w:szCs w:val="24"/>
        </w:rPr>
        <w:t xml:space="preserve">IDT by the CAT, which has emphasised that the discriminatory use of violence is a determining factor in the classification of an act as </w:t>
      </w:r>
      <w:r w:rsidR="004716AC" w:rsidRPr="00C31A32">
        <w:rPr>
          <w:rFonts w:ascii="Times New Roman" w:hAnsi="Times New Roman" w:cs="Times New Roman"/>
          <w:sz w:val="24"/>
          <w:szCs w:val="24"/>
        </w:rPr>
        <w:t>torture or C</w:t>
      </w:r>
      <w:r w:rsidRPr="00C31A32">
        <w:rPr>
          <w:rFonts w:ascii="Times New Roman" w:hAnsi="Times New Roman" w:cs="Times New Roman"/>
          <w:sz w:val="24"/>
          <w:szCs w:val="24"/>
        </w:rPr>
        <w:t>IDT.</w:t>
      </w:r>
      <w:r w:rsidRPr="00C31A32">
        <w:rPr>
          <w:rStyle w:val="FootnoteReference"/>
          <w:rFonts w:ascii="Times New Roman" w:hAnsi="Times New Roman" w:cs="Times New Roman"/>
          <w:sz w:val="24"/>
          <w:szCs w:val="24"/>
        </w:rPr>
        <w:footnoteReference w:id="103"/>
      </w:r>
      <w:r w:rsidRPr="00C31A32">
        <w:rPr>
          <w:rFonts w:ascii="Times New Roman" w:hAnsi="Times New Roman" w:cs="Times New Roman"/>
          <w:sz w:val="24"/>
          <w:szCs w:val="24"/>
        </w:rPr>
        <w:t xml:space="preserve"> </w:t>
      </w:r>
    </w:p>
    <w:p w14:paraId="7777A64A" w14:textId="77777777"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When is wrongful discrimination severe enough to constitute an ‘affront’ to human dignity in violation of Article 3? An early example comes from the decision of the European Commission of Human Rights in </w:t>
      </w:r>
      <w:r w:rsidRPr="00C31A32">
        <w:rPr>
          <w:rFonts w:ascii="Times New Roman" w:hAnsi="Times New Roman" w:cs="Times New Roman"/>
          <w:i/>
          <w:iCs/>
          <w:sz w:val="24"/>
          <w:szCs w:val="24"/>
        </w:rPr>
        <w:t>East African Asians</w:t>
      </w:r>
      <w:r w:rsidRPr="00C31A32">
        <w:rPr>
          <w:rFonts w:ascii="Times New Roman" w:hAnsi="Times New Roman" w:cs="Times New Roman"/>
          <w:sz w:val="24"/>
          <w:szCs w:val="24"/>
        </w:rPr>
        <w:t>.</w:t>
      </w:r>
      <w:r w:rsidRPr="00C31A32">
        <w:rPr>
          <w:rStyle w:val="FootnoteReference"/>
          <w:rFonts w:ascii="Times New Roman" w:hAnsi="Times New Roman" w:cs="Times New Roman"/>
          <w:sz w:val="24"/>
          <w:szCs w:val="24"/>
        </w:rPr>
        <w:footnoteReference w:id="104"/>
      </w:r>
      <w:r w:rsidRPr="00C31A32">
        <w:rPr>
          <w:rFonts w:ascii="Times New Roman" w:hAnsi="Times New Roman" w:cs="Times New Roman"/>
          <w:sz w:val="24"/>
          <w:szCs w:val="24"/>
        </w:rPr>
        <w:t xml:space="preserve"> The case involved the re-imposition of immigration control on the citizens of the UK and Colonies coming from East Africa, who were henceforth not able to enter ‘the only State of which they were citizens – the United Kingdom’.</w:t>
      </w:r>
      <w:r w:rsidRPr="00C31A32">
        <w:rPr>
          <w:rStyle w:val="FootnoteReference"/>
          <w:rFonts w:ascii="Times New Roman" w:hAnsi="Times New Roman" w:cs="Times New Roman"/>
          <w:sz w:val="24"/>
          <w:szCs w:val="24"/>
        </w:rPr>
        <w:footnoteReference w:id="105"/>
      </w:r>
      <w:r w:rsidRPr="00C31A32">
        <w:rPr>
          <w:rFonts w:ascii="Times New Roman" w:hAnsi="Times New Roman" w:cs="Times New Roman"/>
          <w:sz w:val="24"/>
          <w:szCs w:val="24"/>
        </w:rPr>
        <w:t xml:space="preserve"> A combination of two factors led the Commission to conclude that the discrimination they suffered amounted to degrading treatment. Firstly, differential treatment on the basis of race constitutes ‘a special form of affront to human dignity’.</w:t>
      </w:r>
      <w:r w:rsidRPr="00C31A32">
        <w:rPr>
          <w:rStyle w:val="FootnoteReference"/>
          <w:rFonts w:ascii="Times New Roman" w:hAnsi="Times New Roman" w:cs="Times New Roman"/>
          <w:sz w:val="24"/>
          <w:szCs w:val="24"/>
        </w:rPr>
        <w:footnoteReference w:id="106"/>
      </w:r>
      <w:r w:rsidRPr="00C31A32">
        <w:rPr>
          <w:rFonts w:ascii="Times New Roman" w:hAnsi="Times New Roman" w:cs="Times New Roman"/>
          <w:sz w:val="24"/>
          <w:szCs w:val="24"/>
        </w:rPr>
        <w:t xml:space="preserve"> Secondly, the applicants were ‘publicly’ disadvantaged by discriminatory legislation. The public nature of the measures against them was an additional ‘aggravating’ factor when assessing whether discrimination constitutes degrading treatment under Article 3.</w:t>
      </w:r>
      <w:r w:rsidRPr="00C31A32">
        <w:rPr>
          <w:rStyle w:val="FootnoteReference"/>
          <w:rFonts w:ascii="Times New Roman" w:hAnsi="Times New Roman" w:cs="Times New Roman"/>
          <w:sz w:val="24"/>
          <w:szCs w:val="24"/>
        </w:rPr>
        <w:footnoteReference w:id="107"/>
      </w:r>
      <w:r w:rsidRPr="00C31A32">
        <w:rPr>
          <w:rFonts w:ascii="Times New Roman" w:hAnsi="Times New Roman" w:cs="Times New Roman"/>
          <w:sz w:val="24"/>
          <w:szCs w:val="24"/>
        </w:rPr>
        <w:t xml:space="preserve"> Similarly, in </w:t>
      </w:r>
      <w:r w:rsidRPr="00C31A32">
        <w:rPr>
          <w:rFonts w:ascii="Times New Roman" w:hAnsi="Times New Roman" w:cs="Times New Roman"/>
          <w:i/>
          <w:iCs/>
          <w:sz w:val="24"/>
          <w:szCs w:val="24"/>
        </w:rPr>
        <w:t>Cyprus v Turkey</w:t>
      </w:r>
      <w:r w:rsidRPr="00C31A32">
        <w:rPr>
          <w:rFonts w:ascii="Times New Roman" w:hAnsi="Times New Roman" w:cs="Times New Roman"/>
          <w:sz w:val="24"/>
          <w:szCs w:val="24"/>
        </w:rPr>
        <w:t xml:space="preserve"> the ECtHR held that Greek Cypriots living in northern Cyprus suffered severe discriminatory restrictions on the grounds of ethnic origin, race and religion.</w:t>
      </w:r>
      <w:r w:rsidRPr="00C31A32">
        <w:rPr>
          <w:rStyle w:val="FootnoteReference"/>
          <w:rFonts w:ascii="Times New Roman" w:hAnsi="Times New Roman" w:cs="Times New Roman"/>
          <w:sz w:val="24"/>
          <w:szCs w:val="24"/>
        </w:rPr>
        <w:footnoteReference w:id="108"/>
      </w:r>
      <w:r w:rsidRPr="00C31A32">
        <w:rPr>
          <w:rFonts w:ascii="Times New Roman" w:hAnsi="Times New Roman" w:cs="Times New Roman"/>
          <w:sz w:val="24"/>
          <w:szCs w:val="24"/>
        </w:rPr>
        <w:t xml:space="preserve"> Once again, because of the grounds on which they were discriminated against </w:t>
      </w:r>
      <w:r w:rsidRPr="00C31A32">
        <w:rPr>
          <w:rFonts w:ascii="Times New Roman" w:hAnsi="Times New Roman" w:cs="Times New Roman"/>
          <w:i/>
          <w:iCs/>
          <w:sz w:val="24"/>
          <w:szCs w:val="24"/>
        </w:rPr>
        <w:t xml:space="preserve">and </w:t>
      </w:r>
      <w:r w:rsidRPr="00C31A32">
        <w:rPr>
          <w:rFonts w:ascii="Times New Roman" w:hAnsi="Times New Roman" w:cs="Times New Roman"/>
          <w:sz w:val="24"/>
          <w:szCs w:val="24"/>
        </w:rPr>
        <w:t>because their suffered discrimination was ‘public’ (i.e. induced by the state</w:t>
      </w:r>
      <w:r w:rsidRPr="00C31A32">
        <w:rPr>
          <w:rStyle w:val="FootnoteReference"/>
          <w:rFonts w:ascii="Times New Roman" w:hAnsi="Times New Roman" w:cs="Times New Roman"/>
          <w:sz w:val="24"/>
          <w:szCs w:val="24"/>
        </w:rPr>
        <w:footnoteReference w:id="109"/>
      </w:r>
      <w:r w:rsidRPr="00C31A32">
        <w:rPr>
          <w:rFonts w:ascii="Times New Roman" w:hAnsi="Times New Roman" w:cs="Times New Roman"/>
          <w:sz w:val="24"/>
          <w:szCs w:val="24"/>
        </w:rPr>
        <w:t xml:space="preserve">), the ECtHR held that it amounted to degrading treatment. A closer look at those two factors, </w:t>
      </w:r>
      <w:proofErr w:type="gramStart"/>
      <w:r w:rsidRPr="00C31A32">
        <w:rPr>
          <w:rFonts w:ascii="Times New Roman" w:hAnsi="Times New Roman" w:cs="Times New Roman"/>
          <w:sz w:val="24"/>
          <w:szCs w:val="24"/>
        </w:rPr>
        <w:t>i.e.</w:t>
      </w:r>
      <w:proofErr w:type="gramEnd"/>
      <w:r w:rsidRPr="00C31A32">
        <w:rPr>
          <w:rFonts w:ascii="Times New Roman" w:hAnsi="Times New Roman" w:cs="Times New Roman"/>
          <w:sz w:val="24"/>
          <w:szCs w:val="24"/>
        </w:rPr>
        <w:t xml:space="preserve"> the ground of discrimination and its ‘public nature’, is crucial to understand when discrimination can be severe enough to constitute an ‘affront’ to human dignity and therefore violate Article 3. </w:t>
      </w:r>
    </w:p>
    <w:p w14:paraId="44335D71" w14:textId="0F0643DB"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Firstly, for the purposes of ‘conversion therapy’, is sexual orientation discrimination a ‘special’ affront to human dignity like racial discrimination? After years of evolution, the jurisprudence of the ECtHR suggests that the answer is now yes. Sexual orientation concerns ‘a most intimate’</w:t>
      </w:r>
      <w:r w:rsidRPr="00C31A32">
        <w:rPr>
          <w:rStyle w:val="FootnoteReference"/>
          <w:rFonts w:ascii="Times New Roman" w:hAnsi="Times New Roman" w:cs="Times New Roman"/>
          <w:sz w:val="24"/>
          <w:szCs w:val="24"/>
        </w:rPr>
        <w:footnoteReference w:id="110"/>
      </w:r>
      <w:r w:rsidRPr="00C31A32">
        <w:rPr>
          <w:rFonts w:ascii="Times New Roman" w:hAnsi="Times New Roman" w:cs="Times New Roman"/>
          <w:sz w:val="24"/>
          <w:szCs w:val="24"/>
        </w:rPr>
        <w:t xml:space="preserve"> and ‘vulnerable’</w:t>
      </w:r>
      <w:r w:rsidRPr="00C31A32">
        <w:rPr>
          <w:rStyle w:val="FootnoteReference"/>
          <w:rFonts w:ascii="Times New Roman" w:hAnsi="Times New Roman" w:cs="Times New Roman"/>
          <w:sz w:val="24"/>
          <w:szCs w:val="24"/>
        </w:rPr>
        <w:footnoteReference w:id="111"/>
      </w:r>
      <w:r w:rsidRPr="00C31A32">
        <w:rPr>
          <w:rFonts w:ascii="Times New Roman" w:hAnsi="Times New Roman" w:cs="Times New Roman"/>
          <w:sz w:val="24"/>
          <w:szCs w:val="24"/>
        </w:rPr>
        <w:t xml:space="preserve"> aspect of life. Any differential treatment based on sexual orientation requires ‘very weighty reasons’ to be justified.</w:t>
      </w:r>
      <w:r w:rsidRPr="00C31A32">
        <w:rPr>
          <w:rStyle w:val="FootnoteReference"/>
          <w:rFonts w:ascii="Times New Roman" w:hAnsi="Times New Roman" w:cs="Times New Roman"/>
          <w:sz w:val="24"/>
          <w:szCs w:val="24"/>
        </w:rPr>
        <w:footnoteReference w:id="112"/>
      </w:r>
      <w:r w:rsidRPr="00C31A32">
        <w:rPr>
          <w:rFonts w:ascii="Times New Roman" w:hAnsi="Times New Roman" w:cs="Times New Roman"/>
          <w:sz w:val="24"/>
          <w:szCs w:val="24"/>
        </w:rPr>
        <w:t xml:space="preserve"> In </w:t>
      </w:r>
      <w:r w:rsidRPr="00C31A32">
        <w:rPr>
          <w:rFonts w:ascii="Times New Roman" w:hAnsi="Times New Roman" w:cs="Times New Roman"/>
          <w:i/>
          <w:iCs/>
          <w:sz w:val="24"/>
          <w:szCs w:val="24"/>
        </w:rPr>
        <w:t xml:space="preserve">Smith and Grady </w:t>
      </w:r>
      <w:r w:rsidRPr="00C31A32">
        <w:rPr>
          <w:rFonts w:ascii="Times New Roman" w:hAnsi="Times New Roman" w:cs="Times New Roman"/>
          <w:sz w:val="24"/>
          <w:szCs w:val="24"/>
        </w:rPr>
        <w:t>the ECtHR held that treatment grounded on ‘a predisposed bias on the part of a heterosexual majority against a homosexual minority’ may, in principle, fall within the scope of Article 3.</w:t>
      </w:r>
      <w:r w:rsidRPr="00C31A32">
        <w:rPr>
          <w:rStyle w:val="FootnoteReference"/>
          <w:rFonts w:ascii="Times New Roman" w:hAnsi="Times New Roman" w:cs="Times New Roman"/>
          <w:sz w:val="24"/>
          <w:szCs w:val="24"/>
        </w:rPr>
        <w:footnoteReference w:id="113"/>
      </w:r>
      <w:r w:rsidRPr="00C31A32">
        <w:rPr>
          <w:rFonts w:ascii="Times New Roman" w:hAnsi="Times New Roman" w:cs="Times New Roman"/>
          <w:sz w:val="24"/>
          <w:szCs w:val="24"/>
        </w:rPr>
        <w:t xml:space="preserve"> An example of sexual orientation discrimination that amounted to degrading treatment under Article 3 comes from </w:t>
      </w:r>
      <w:r w:rsidRPr="00C31A32">
        <w:rPr>
          <w:rFonts w:ascii="Times New Roman" w:hAnsi="Times New Roman" w:cs="Times New Roman"/>
          <w:i/>
          <w:iCs/>
          <w:sz w:val="24"/>
          <w:szCs w:val="24"/>
        </w:rPr>
        <w:t>X v Turkey</w:t>
      </w:r>
      <w:r w:rsidRPr="00C31A32">
        <w:rPr>
          <w:rFonts w:ascii="Times New Roman" w:hAnsi="Times New Roman" w:cs="Times New Roman"/>
          <w:sz w:val="24"/>
          <w:szCs w:val="24"/>
        </w:rPr>
        <w:t>.</w:t>
      </w:r>
      <w:r w:rsidRPr="00C31A32">
        <w:rPr>
          <w:rStyle w:val="FootnoteReference"/>
          <w:rFonts w:ascii="Times New Roman" w:hAnsi="Times New Roman" w:cs="Times New Roman"/>
          <w:sz w:val="24"/>
          <w:szCs w:val="24"/>
        </w:rPr>
        <w:footnoteReference w:id="114"/>
      </w:r>
      <w:r w:rsidRPr="00C31A32">
        <w:rPr>
          <w:rFonts w:ascii="Times New Roman" w:hAnsi="Times New Roman" w:cs="Times New Roman"/>
          <w:sz w:val="24"/>
          <w:szCs w:val="24"/>
        </w:rPr>
        <w:t xml:space="preserve"> In </w:t>
      </w:r>
      <w:r w:rsidRPr="00C31A32">
        <w:rPr>
          <w:rFonts w:ascii="Times New Roman" w:hAnsi="Times New Roman" w:cs="Times New Roman"/>
          <w:i/>
          <w:iCs/>
          <w:sz w:val="24"/>
          <w:szCs w:val="24"/>
        </w:rPr>
        <w:t>X</w:t>
      </w:r>
      <w:r w:rsidRPr="00C31A32">
        <w:rPr>
          <w:rFonts w:ascii="Times New Roman" w:hAnsi="Times New Roman" w:cs="Times New Roman"/>
          <w:sz w:val="24"/>
          <w:szCs w:val="24"/>
        </w:rPr>
        <w:t xml:space="preserve">, the prison authorities placed an inmate in solitary confinement because they assumed that his sexual orientation put him at risk of harm from other inmates. No risk assessment was carried out and no explanation was given as to why the </w:t>
      </w:r>
      <w:r w:rsidRPr="00C31A32">
        <w:rPr>
          <w:rFonts w:ascii="Times New Roman" w:hAnsi="Times New Roman" w:cs="Times New Roman"/>
          <w:sz w:val="24"/>
          <w:szCs w:val="24"/>
        </w:rPr>
        <w:lastRenderedPageBreak/>
        <w:t>applicant was deprived of even limited access to outdoor activities.</w:t>
      </w:r>
      <w:r w:rsidRPr="00C31A32">
        <w:rPr>
          <w:rStyle w:val="FootnoteReference"/>
          <w:rFonts w:ascii="Times New Roman" w:hAnsi="Times New Roman" w:cs="Times New Roman"/>
          <w:sz w:val="24"/>
          <w:szCs w:val="24"/>
        </w:rPr>
        <w:footnoteReference w:id="115"/>
      </w:r>
      <w:r w:rsidRPr="00C31A32">
        <w:rPr>
          <w:rFonts w:ascii="Times New Roman" w:hAnsi="Times New Roman" w:cs="Times New Roman"/>
          <w:sz w:val="24"/>
          <w:szCs w:val="24"/>
        </w:rPr>
        <w:t xml:space="preserve"> The ECtHR held that placing the applicant in solitary confinement – a measure reserved for inmates</w:t>
      </w:r>
      <w:r w:rsidR="009E4784" w:rsidRPr="00C31A32">
        <w:rPr>
          <w:rFonts w:ascii="Times New Roman" w:hAnsi="Times New Roman" w:cs="Times New Roman"/>
          <w:sz w:val="24"/>
          <w:szCs w:val="24"/>
        </w:rPr>
        <w:t>, unlike the applicant,</w:t>
      </w:r>
      <w:r w:rsidRPr="00C31A32">
        <w:rPr>
          <w:rFonts w:ascii="Times New Roman" w:hAnsi="Times New Roman" w:cs="Times New Roman"/>
          <w:sz w:val="24"/>
          <w:szCs w:val="24"/>
        </w:rPr>
        <w:t xml:space="preserve"> charged with violent offences</w:t>
      </w:r>
      <w:r w:rsidRPr="00C31A32">
        <w:rPr>
          <w:rStyle w:val="FootnoteReference"/>
          <w:rFonts w:ascii="Times New Roman" w:hAnsi="Times New Roman" w:cs="Times New Roman"/>
          <w:sz w:val="24"/>
          <w:szCs w:val="24"/>
        </w:rPr>
        <w:footnoteReference w:id="116"/>
      </w:r>
      <w:r w:rsidRPr="00C31A32">
        <w:rPr>
          <w:rFonts w:ascii="Times New Roman" w:hAnsi="Times New Roman" w:cs="Times New Roman"/>
          <w:sz w:val="24"/>
          <w:szCs w:val="24"/>
        </w:rPr>
        <w:t xml:space="preserve"> – without adequate justification was a degrading form of sexual orientation discrimination.</w:t>
      </w:r>
      <w:r w:rsidRPr="00C31A32">
        <w:rPr>
          <w:rStyle w:val="FootnoteReference"/>
          <w:rFonts w:ascii="Times New Roman" w:hAnsi="Times New Roman" w:cs="Times New Roman"/>
          <w:sz w:val="24"/>
          <w:szCs w:val="24"/>
        </w:rPr>
        <w:footnoteReference w:id="117"/>
      </w:r>
    </w:p>
    <w:p w14:paraId="01949BEF" w14:textId="61D2A46D"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Cases like </w:t>
      </w:r>
      <w:r w:rsidRPr="00C31A32">
        <w:rPr>
          <w:rFonts w:ascii="Times New Roman" w:hAnsi="Times New Roman" w:cs="Times New Roman"/>
          <w:i/>
          <w:iCs/>
          <w:sz w:val="24"/>
          <w:szCs w:val="24"/>
        </w:rPr>
        <w:t>X</w:t>
      </w:r>
      <w:r w:rsidRPr="00C31A32">
        <w:rPr>
          <w:rFonts w:ascii="Times New Roman" w:hAnsi="Times New Roman" w:cs="Times New Roman"/>
          <w:sz w:val="24"/>
          <w:szCs w:val="24"/>
        </w:rPr>
        <w:t>,</w:t>
      </w:r>
      <w:r w:rsidRPr="00C31A32">
        <w:rPr>
          <w:rFonts w:ascii="Times New Roman" w:hAnsi="Times New Roman" w:cs="Times New Roman"/>
          <w:i/>
          <w:iCs/>
          <w:sz w:val="24"/>
          <w:szCs w:val="24"/>
        </w:rPr>
        <w:t xml:space="preserve"> Identoba</w:t>
      </w:r>
      <w:r w:rsidR="003E7871" w:rsidRPr="00C31A32">
        <w:rPr>
          <w:rFonts w:ascii="Times New Roman" w:hAnsi="Times New Roman" w:cs="Times New Roman"/>
          <w:sz w:val="24"/>
          <w:szCs w:val="24"/>
        </w:rPr>
        <w:t>,</w:t>
      </w:r>
      <w:r w:rsidRPr="00C31A32">
        <w:rPr>
          <w:rFonts w:ascii="Times New Roman" w:hAnsi="Times New Roman" w:cs="Times New Roman"/>
          <w:i/>
          <w:iCs/>
          <w:sz w:val="24"/>
          <w:szCs w:val="24"/>
        </w:rPr>
        <w:t xml:space="preserve"> M.C.</w:t>
      </w:r>
      <w:r w:rsidR="003E7871" w:rsidRPr="00C31A32">
        <w:rPr>
          <w:rFonts w:ascii="Times New Roman" w:hAnsi="Times New Roman" w:cs="Times New Roman"/>
          <w:sz w:val="24"/>
          <w:szCs w:val="24"/>
        </w:rPr>
        <w:t xml:space="preserve"> and </w:t>
      </w:r>
      <w:proofErr w:type="spellStart"/>
      <w:r w:rsidR="003E7871" w:rsidRPr="00C31A32">
        <w:rPr>
          <w:rFonts w:ascii="Times New Roman" w:hAnsi="Times New Roman" w:cs="Times New Roman"/>
          <w:i/>
          <w:iCs/>
          <w:sz w:val="24"/>
          <w:szCs w:val="24"/>
        </w:rPr>
        <w:t>Aghdgomelashvili</w:t>
      </w:r>
      <w:proofErr w:type="spellEnd"/>
      <w:r w:rsidRPr="00C31A32">
        <w:rPr>
          <w:rFonts w:ascii="Times New Roman" w:hAnsi="Times New Roman" w:cs="Times New Roman"/>
          <w:sz w:val="24"/>
          <w:szCs w:val="24"/>
        </w:rPr>
        <w:t xml:space="preserve"> bring discrimination </w:t>
      </w:r>
      <w:r w:rsidR="00E67A5B" w:rsidRPr="00C31A32">
        <w:rPr>
          <w:rFonts w:ascii="Times New Roman" w:hAnsi="Times New Roman" w:cs="Times New Roman"/>
          <w:sz w:val="24"/>
          <w:szCs w:val="24"/>
        </w:rPr>
        <w:t xml:space="preserve">on the grounds of sexual orientation or gender identity </w:t>
      </w:r>
      <w:r w:rsidRPr="00C31A32">
        <w:rPr>
          <w:rFonts w:ascii="Times New Roman" w:hAnsi="Times New Roman" w:cs="Times New Roman"/>
          <w:sz w:val="24"/>
          <w:szCs w:val="24"/>
        </w:rPr>
        <w:t>in line with the earlier discussed cases on racial discrimination</w:t>
      </w:r>
      <w:r w:rsidR="00E67A5B" w:rsidRPr="00C31A32">
        <w:rPr>
          <w:rFonts w:ascii="Times New Roman" w:hAnsi="Times New Roman" w:cs="Times New Roman"/>
          <w:sz w:val="24"/>
          <w:szCs w:val="24"/>
        </w:rPr>
        <w:t>:</w:t>
      </w:r>
      <w:r w:rsidRPr="00C31A32">
        <w:rPr>
          <w:rFonts w:ascii="Times New Roman" w:hAnsi="Times New Roman" w:cs="Times New Roman"/>
          <w:sz w:val="24"/>
          <w:szCs w:val="24"/>
        </w:rPr>
        <w:t xml:space="preserve"> </w:t>
      </w:r>
      <w:r w:rsidR="00E67A5B" w:rsidRPr="00C31A32">
        <w:rPr>
          <w:rFonts w:ascii="Times New Roman" w:hAnsi="Times New Roman" w:cs="Times New Roman"/>
          <w:sz w:val="24"/>
          <w:szCs w:val="24"/>
        </w:rPr>
        <w:t>t</w:t>
      </w:r>
      <w:r w:rsidRPr="00C31A32">
        <w:rPr>
          <w:rFonts w:ascii="Times New Roman" w:hAnsi="Times New Roman" w:cs="Times New Roman"/>
          <w:sz w:val="24"/>
          <w:szCs w:val="24"/>
        </w:rPr>
        <w:t xml:space="preserve">hey confirm that, under certain circumstances, </w:t>
      </w:r>
      <w:r w:rsidR="00E67A5B" w:rsidRPr="00C31A32">
        <w:rPr>
          <w:rFonts w:ascii="Times New Roman" w:hAnsi="Times New Roman" w:cs="Times New Roman"/>
          <w:sz w:val="24"/>
          <w:szCs w:val="24"/>
        </w:rPr>
        <w:t xml:space="preserve">wrongful </w:t>
      </w:r>
      <w:r w:rsidRPr="00C31A32">
        <w:rPr>
          <w:rFonts w:ascii="Times New Roman" w:hAnsi="Times New Roman" w:cs="Times New Roman"/>
          <w:sz w:val="24"/>
          <w:szCs w:val="24"/>
        </w:rPr>
        <w:t>direct discrimination</w:t>
      </w:r>
      <w:r w:rsidR="00E67A5B" w:rsidRPr="00C31A32">
        <w:rPr>
          <w:rFonts w:ascii="Times New Roman" w:hAnsi="Times New Roman" w:cs="Times New Roman"/>
          <w:sz w:val="24"/>
          <w:szCs w:val="24"/>
        </w:rPr>
        <w:t xml:space="preserve"> </w:t>
      </w:r>
      <w:r w:rsidRPr="00C31A32">
        <w:rPr>
          <w:rFonts w:ascii="Times New Roman" w:hAnsi="Times New Roman" w:cs="Times New Roman"/>
          <w:sz w:val="24"/>
          <w:szCs w:val="24"/>
        </w:rPr>
        <w:t>is a special affront to human dignity in violation of Article 3.</w:t>
      </w:r>
      <w:r w:rsidRPr="00C31A32">
        <w:rPr>
          <w:rStyle w:val="FootnoteReference"/>
          <w:rFonts w:ascii="Times New Roman" w:hAnsi="Times New Roman" w:cs="Times New Roman"/>
          <w:sz w:val="24"/>
          <w:szCs w:val="24"/>
        </w:rPr>
        <w:footnoteReference w:id="118"/>
      </w:r>
      <w:r w:rsidRPr="00C31A32">
        <w:rPr>
          <w:rFonts w:ascii="Times New Roman" w:hAnsi="Times New Roman" w:cs="Times New Roman"/>
          <w:sz w:val="24"/>
          <w:szCs w:val="24"/>
        </w:rPr>
        <w:t xml:space="preserve"> </w:t>
      </w:r>
      <w:r w:rsidR="00E67A5B" w:rsidRPr="00C31A32">
        <w:rPr>
          <w:rFonts w:ascii="Times New Roman" w:hAnsi="Times New Roman" w:cs="Times New Roman"/>
          <w:sz w:val="24"/>
          <w:szCs w:val="24"/>
        </w:rPr>
        <w:t>When</w:t>
      </w:r>
      <w:r w:rsidRPr="00C31A32">
        <w:rPr>
          <w:rFonts w:ascii="Times New Roman" w:hAnsi="Times New Roman" w:cs="Times New Roman"/>
          <w:sz w:val="24"/>
          <w:szCs w:val="24"/>
        </w:rPr>
        <w:t xml:space="preserve"> state authorities</w:t>
      </w:r>
      <w:r w:rsidR="00E67A5B" w:rsidRPr="00C31A32">
        <w:rPr>
          <w:rFonts w:ascii="Times New Roman" w:hAnsi="Times New Roman" w:cs="Times New Roman"/>
          <w:sz w:val="24"/>
          <w:szCs w:val="24"/>
        </w:rPr>
        <w:t xml:space="preserve"> abuse LGBTIQ+ people, or</w:t>
      </w:r>
      <w:r w:rsidRPr="00C31A32">
        <w:rPr>
          <w:rFonts w:ascii="Times New Roman" w:hAnsi="Times New Roman" w:cs="Times New Roman"/>
          <w:sz w:val="24"/>
          <w:szCs w:val="24"/>
        </w:rPr>
        <w:t xml:space="preserve"> </w:t>
      </w:r>
      <w:r w:rsidR="00DD18F3">
        <w:rPr>
          <w:rFonts w:ascii="Times New Roman" w:hAnsi="Times New Roman" w:cs="Times New Roman"/>
          <w:sz w:val="24"/>
          <w:szCs w:val="24"/>
        </w:rPr>
        <w:t>when they refuse or systematically fail</w:t>
      </w:r>
      <w:r w:rsidRPr="00C31A32">
        <w:rPr>
          <w:rFonts w:ascii="Times New Roman" w:hAnsi="Times New Roman" w:cs="Times New Roman"/>
          <w:sz w:val="24"/>
          <w:szCs w:val="24"/>
        </w:rPr>
        <w:t xml:space="preserve"> to protect </w:t>
      </w:r>
      <w:r w:rsidR="00E67A5B" w:rsidRPr="00C31A32">
        <w:rPr>
          <w:rFonts w:ascii="Times New Roman" w:hAnsi="Times New Roman" w:cs="Times New Roman"/>
          <w:sz w:val="24"/>
          <w:szCs w:val="24"/>
        </w:rPr>
        <w:t xml:space="preserve">them </w:t>
      </w:r>
      <w:r w:rsidRPr="00C31A32">
        <w:rPr>
          <w:rFonts w:ascii="Times New Roman" w:hAnsi="Times New Roman" w:cs="Times New Roman"/>
          <w:sz w:val="24"/>
          <w:szCs w:val="24"/>
        </w:rPr>
        <w:t xml:space="preserve">from abuse that they knew or ought to have known about, </w:t>
      </w:r>
      <w:r w:rsidR="00E67A5B" w:rsidRPr="00C31A32">
        <w:rPr>
          <w:rFonts w:ascii="Times New Roman" w:hAnsi="Times New Roman" w:cs="Times New Roman"/>
          <w:sz w:val="24"/>
          <w:szCs w:val="24"/>
        </w:rPr>
        <w:t>that</w:t>
      </w:r>
      <w:r w:rsidRPr="00C31A32">
        <w:rPr>
          <w:rFonts w:ascii="Times New Roman" w:hAnsi="Times New Roman" w:cs="Times New Roman"/>
          <w:sz w:val="24"/>
          <w:szCs w:val="24"/>
        </w:rPr>
        <w:t xml:space="preserve"> </w:t>
      </w:r>
      <w:r w:rsidR="00853C68" w:rsidRPr="00C31A32">
        <w:rPr>
          <w:rFonts w:ascii="Times New Roman" w:hAnsi="Times New Roman" w:cs="Times New Roman"/>
          <w:sz w:val="24"/>
          <w:szCs w:val="24"/>
        </w:rPr>
        <w:t>is</w:t>
      </w:r>
      <w:r w:rsidRPr="00C31A32">
        <w:rPr>
          <w:rFonts w:ascii="Times New Roman" w:hAnsi="Times New Roman" w:cs="Times New Roman"/>
          <w:sz w:val="24"/>
          <w:szCs w:val="24"/>
        </w:rPr>
        <w:t xml:space="preserve"> a</w:t>
      </w:r>
      <w:r w:rsidR="00E67A5B" w:rsidRPr="00C31A32">
        <w:rPr>
          <w:rFonts w:ascii="Times New Roman" w:hAnsi="Times New Roman" w:cs="Times New Roman"/>
          <w:sz w:val="24"/>
          <w:szCs w:val="24"/>
        </w:rPr>
        <w:t xml:space="preserve"> degrading</w:t>
      </w:r>
      <w:r w:rsidRPr="00C31A32">
        <w:rPr>
          <w:rFonts w:ascii="Times New Roman" w:hAnsi="Times New Roman" w:cs="Times New Roman"/>
          <w:sz w:val="24"/>
          <w:szCs w:val="24"/>
        </w:rPr>
        <w:t xml:space="preserve"> form of direct discrimination</w:t>
      </w:r>
      <w:r w:rsidR="00853C68" w:rsidRPr="00C31A32">
        <w:rPr>
          <w:rFonts w:ascii="Times New Roman" w:hAnsi="Times New Roman" w:cs="Times New Roman"/>
          <w:sz w:val="24"/>
          <w:szCs w:val="24"/>
        </w:rPr>
        <w:t>. As such, even absent any serious material effects on the victims,</w:t>
      </w:r>
      <w:r w:rsidR="00853C68" w:rsidRPr="00C31A32">
        <w:rPr>
          <w:rStyle w:val="FootnoteReference"/>
          <w:rFonts w:ascii="Times New Roman" w:hAnsi="Times New Roman" w:cs="Times New Roman"/>
          <w:sz w:val="24"/>
          <w:szCs w:val="24"/>
        </w:rPr>
        <w:footnoteReference w:id="119"/>
      </w:r>
      <w:r w:rsidR="00853C68" w:rsidRPr="00C31A32">
        <w:rPr>
          <w:rFonts w:ascii="Times New Roman" w:hAnsi="Times New Roman" w:cs="Times New Roman"/>
          <w:sz w:val="24"/>
          <w:szCs w:val="24"/>
        </w:rPr>
        <w:t xml:space="preserve"> it violates the substantive limb of Article 3 read together with Article 14 ECHR.</w:t>
      </w:r>
      <w:r w:rsidRPr="00C31A32">
        <w:rPr>
          <w:rFonts w:ascii="Times New Roman" w:hAnsi="Times New Roman" w:cs="Times New Roman"/>
          <w:sz w:val="24"/>
          <w:szCs w:val="24"/>
        </w:rPr>
        <w:t xml:space="preserve"> This principle rightly reflects</w:t>
      </w:r>
      <w:r w:rsidR="00DC1156" w:rsidRPr="00C31A32">
        <w:rPr>
          <w:rFonts w:ascii="Times New Roman" w:hAnsi="Times New Roman" w:cs="Times New Roman"/>
          <w:sz w:val="24"/>
          <w:szCs w:val="24"/>
        </w:rPr>
        <w:t xml:space="preserve"> the well-established links</w:t>
      </w:r>
      <w:r w:rsidRPr="00C31A32">
        <w:rPr>
          <w:rFonts w:ascii="Times New Roman" w:hAnsi="Times New Roman" w:cs="Times New Roman"/>
          <w:sz w:val="24"/>
          <w:szCs w:val="24"/>
        </w:rPr>
        <w:t xml:space="preserve"> </w:t>
      </w:r>
      <w:r w:rsidR="00DC1156" w:rsidRPr="00C31A32">
        <w:rPr>
          <w:rFonts w:ascii="Times New Roman" w:hAnsi="Times New Roman" w:cs="Times New Roman"/>
          <w:sz w:val="24"/>
          <w:szCs w:val="24"/>
        </w:rPr>
        <w:t>between</w:t>
      </w:r>
      <w:r w:rsidRPr="00C31A32">
        <w:rPr>
          <w:rFonts w:ascii="Times New Roman" w:hAnsi="Times New Roman" w:cs="Times New Roman"/>
          <w:sz w:val="24"/>
          <w:szCs w:val="24"/>
        </w:rPr>
        <w:t xml:space="preserve"> discrimination and degrading treatment</w:t>
      </w:r>
      <w:r w:rsidR="00592465" w:rsidRPr="00C31A32">
        <w:rPr>
          <w:rFonts w:ascii="Times New Roman" w:hAnsi="Times New Roman" w:cs="Times New Roman"/>
          <w:sz w:val="24"/>
          <w:szCs w:val="24"/>
        </w:rPr>
        <w:t xml:space="preserve"> in international human rights law</w:t>
      </w:r>
      <w:r w:rsidR="008A7E5A" w:rsidRPr="00C31A32">
        <w:rPr>
          <w:rFonts w:ascii="Times New Roman" w:hAnsi="Times New Roman" w:cs="Times New Roman"/>
          <w:sz w:val="24"/>
          <w:szCs w:val="24"/>
        </w:rPr>
        <w:t>.</w:t>
      </w:r>
      <w:r w:rsidR="00DC1156" w:rsidRPr="00C31A32">
        <w:rPr>
          <w:rFonts w:ascii="Times New Roman" w:hAnsi="Times New Roman" w:cs="Times New Roman"/>
          <w:sz w:val="24"/>
          <w:szCs w:val="24"/>
        </w:rPr>
        <w:t xml:space="preserve"> For instance,</w:t>
      </w:r>
      <w:r w:rsidRPr="00C31A32">
        <w:rPr>
          <w:rFonts w:ascii="Times New Roman" w:hAnsi="Times New Roman" w:cs="Times New Roman"/>
          <w:sz w:val="24"/>
          <w:szCs w:val="24"/>
        </w:rPr>
        <w:t xml:space="preserve"> </w:t>
      </w:r>
      <w:r w:rsidR="00DC1156" w:rsidRPr="00C31A32">
        <w:rPr>
          <w:rFonts w:ascii="Times New Roman" w:hAnsi="Times New Roman" w:cs="Times New Roman"/>
          <w:sz w:val="24"/>
          <w:szCs w:val="24"/>
        </w:rPr>
        <w:t>a</w:t>
      </w:r>
      <w:r w:rsidRPr="00C31A32">
        <w:rPr>
          <w:rFonts w:ascii="Times New Roman" w:hAnsi="Times New Roman" w:cs="Times New Roman"/>
          <w:sz w:val="24"/>
          <w:szCs w:val="24"/>
        </w:rPr>
        <w:t>s the UN High Commissioner for Human Rights has argued, sexual orientation discrimination can dehumanise its victims, which is often a necessary condition for torture and ill-treatment to occur.</w:t>
      </w:r>
      <w:r w:rsidRPr="00C31A32">
        <w:rPr>
          <w:rStyle w:val="FootnoteReference"/>
          <w:rFonts w:ascii="Times New Roman" w:hAnsi="Times New Roman" w:cs="Times New Roman"/>
          <w:sz w:val="24"/>
          <w:szCs w:val="24"/>
        </w:rPr>
        <w:footnoteReference w:id="120"/>
      </w:r>
      <w:r w:rsidRPr="00C31A32">
        <w:rPr>
          <w:rFonts w:ascii="Times New Roman" w:hAnsi="Times New Roman" w:cs="Times New Roman"/>
          <w:sz w:val="24"/>
          <w:szCs w:val="24"/>
        </w:rPr>
        <w:t xml:space="preserve"> </w:t>
      </w:r>
    </w:p>
    <w:p w14:paraId="447F5082" w14:textId="615F9B87" w:rsidR="00212B8F" w:rsidRPr="00C31A32" w:rsidRDefault="00CA2D40" w:rsidP="00212B8F">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Secondly, we saw that the ‘public nature’ of discrimination is an aggravating factor when assessing whether discrimination is severe enough to fall under Article 3.</w:t>
      </w:r>
      <w:r w:rsidRPr="00C31A32">
        <w:rPr>
          <w:rStyle w:val="FootnoteReference"/>
          <w:rFonts w:ascii="Times New Roman" w:hAnsi="Times New Roman" w:cs="Times New Roman"/>
          <w:sz w:val="24"/>
          <w:szCs w:val="24"/>
        </w:rPr>
        <w:footnoteReference w:id="121"/>
      </w:r>
      <w:r w:rsidRPr="00C31A32">
        <w:rPr>
          <w:rFonts w:ascii="Times New Roman" w:hAnsi="Times New Roman" w:cs="Times New Roman"/>
          <w:sz w:val="24"/>
          <w:szCs w:val="24"/>
        </w:rPr>
        <w:t xml:space="preserve"> This factor reflects the interrelation of control and powerlessness, which is salient in the ECtHR’s interpretation of degrading treatment.</w:t>
      </w:r>
      <w:r w:rsidRPr="00C31A32">
        <w:rPr>
          <w:rStyle w:val="FootnoteReference"/>
          <w:rFonts w:ascii="Times New Roman" w:hAnsi="Times New Roman" w:cs="Times New Roman"/>
          <w:sz w:val="24"/>
          <w:szCs w:val="24"/>
        </w:rPr>
        <w:footnoteReference w:id="122"/>
      </w:r>
      <w:r w:rsidRPr="00C31A32">
        <w:rPr>
          <w:rFonts w:ascii="Times New Roman" w:hAnsi="Times New Roman" w:cs="Times New Roman"/>
          <w:sz w:val="24"/>
          <w:szCs w:val="24"/>
        </w:rPr>
        <w:t xml:space="preserve"> Cases like </w:t>
      </w:r>
      <w:r w:rsidRPr="00C31A32">
        <w:rPr>
          <w:rFonts w:ascii="Times New Roman" w:hAnsi="Times New Roman" w:cs="Times New Roman"/>
          <w:i/>
          <w:iCs/>
          <w:sz w:val="24"/>
          <w:szCs w:val="24"/>
        </w:rPr>
        <w:t>East African Asians</w:t>
      </w:r>
      <w:r w:rsidRPr="00C31A32">
        <w:rPr>
          <w:rFonts w:ascii="Times New Roman" w:hAnsi="Times New Roman" w:cs="Times New Roman"/>
          <w:sz w:val="24"/>
          <w:szCs w:val="24"/>
        </w:rPr>
        <w:t xml:space="preserve"> and </w:t>
      </w:r>
      <w:r w:rsidRPr="00C31A32">
        <w:rPr>
          <w:rFonts w:ascii="Times New Roman" w:hAnsi="Times New Roman" w:cs="Times New Roman"/>
          <w:i/>
          <w:iCs/>
          <w:sz w:val="24"/>
          <w:szCs w:val="24"/>
        </w:rPr>
        <w:t>Cyprus v Turkey</w:t>
      </w:r>
      <w:r w:rsidRPr="00C31A32">
        <w:rPr>
          <w:rFonts w:ascii="Times New Roman" w:hAnsi="Times New Roman" w:cs="Times New Roman"/>
          <w:sz w:val="24"/>
          <w:szCs w:val="24"/>
        </w:rPr>
        <w:t>, where the government institutionalises discrimination, are paradigms of some persons being openly treated as ‘objects’ in the power of the authorities.</w:t>
      </w:r>
      <w:r w:rsidRPr="00C31A32">
        <w:rPr>
          <w:rStyle w:val="FootnoteReference"/>
          <w:rFonts w:ascii="Times New Roman" w:hAnsi="Times New Roman" w:cs="Times New Roman"/>
          <w:sz w:val="24"/>
          <w:szCs w:val="24"/>
        </w:rPr>
        <w:footnoteReference w:id="123"/>
      </w:r>
      <w:r w:rsidRPr="00C31A32">
        <w:rPr>
          <w:rFonts w:ascii="Times New Roman" w:hAnsi="Times New Roman" w:cs="Times New Roman"/>
          <w:sz w:val="24"/>
          <w:szCs w:val="24"/>
        </w:rPr>
        <w:t xml:space="preserve"> In other cases, like </w:t>
      </w:r>
      <w:r w:rsidRPr="00C31A32">
        <w:rPr>
          <w:rFonts w:ascii="Times New Roman" w:hAnsi="Times New Roman" w:cs="Times New Roman"/>
          <w:i/>
          <w:iCs/>
          <w:sz w:val="24"/>
          <w:szCs w:val="24"/>
        </w:rPr>
        <w:t>Identoba</w:t>
      </w:r>
      <w:r w:rsidR="002D5162" w:rsidRPr="00C31A32">
        <w:rPr>
          <w:rFonts w:ascii="Times New Roman" w:hAnsi="Times New Roman" w:cs="Times New Roman"/>
          <w:sz w:val="24"/>
          <w:szCs w:val="24"/>
        </w:rPr>
        <w:t>,</w:t>
      </w:r>
      <w:r w:rsidRPr="00C31A32">
        <w:rPr>
          <w:rFonts w:ascii="Times New Roman" w:hAnsi="Times New Roman" w:cs="Times New Roman"/>
          <w:sz w:val="24"/>
          <w:szCs w:val="24"/>
        </w:rPr>
        <w:t xml:space="preserve"> </w:t>
      </w:r>
      <w:r w:rsidRPr="00C31A32">
        <w:rPr>
          <w:rFonts w:ascii="Times New Roman" w:hAnsi="Times New Roman" w:cs="Times New Roman"/>
          <w:i/>
          <w:iCs/>
          <w:sz w:val="24"/>
          <w:szCs w:val="24"/>
        </w:rPr>
        <w:t>M.C.</w:t>
      </w:r>
      <w:r w:rsidR="002D5162" w:rsidRPr="00C31A32">
        <w:rPr>
          <w:rFonts w:ascii="Times New Roman" w:hAnsi="Times New Roman" w:cs="Times New Roman"/>
          <w:sz w:val="24"/>
          <w:szCs w:val="24"/>
        </w:rPr>
        <w:t xml:space="preserve"> and </w:t>
      </w:r>
      <w:proofErr w:type="spellStart"/>
      <w:r w:rsidR="002D5162" w:rsidRPr="00C31A32">
        <w:rPr>
          <w:rFonts w:ascii="Times New Roman" w:hAnsi="Times New Roman" w:cs="Times New Roman"/>
          <w:i/>
          <w:iCs/>
          <w:sz w:val="24"/>
          <w:szCs w:val="24"/>
        </w:rPr>
        <w:t>Aghdgomelashvili</w:t>
      </w:r>
      <w:proofErr w:type="spellEnd"/>
      <w:r w:rsidR="002D5162" w:rsidRPr="00C31A32">
        <w:rPr>
          <w:rFonts w:ascii="Times New Roman" w:hAnsi="Times New Roman" w:cs="Times New Roman"/>
          <w:sz w:val="24"/>
          <w:szCs w:val="24"/>
        </w:rPr>
        <w:t>,</w:t>
      </w:r>
      <w:r w:rsidRPr="00C31A32">
        <w:rPr>
          <w:rFonts w:ascii="Times New Roman" w:hAnsi="Times New Roman" w:cs="Times New Roman"/>
          <w:sz w:val="24"/>
          <w:szCs w:val="24"/>
        </w:rPr>
        <w:t xml:space="preserve"> questions of abuse of power emerge again, albeit in a different fashion. When the state authorities </w:t>
      </w:r>
      <w:r w:rsidR="00D252A9">
        <w:rPr>
          <w:rFonts w:ascii="Times New Roman" w:hAnsi="Times New Roman" w:cs="Times New Roman"/>
          <w:sz w:val="24"/>
          <w:szCs w:val="24"/>
        </w:rPr>
        <w:t xml:space="preserve">systematically </w:t>
      </w:r>
      <w:r w:rsidRPr="00C31A32">
        <w:rPr>
          <w:rFonts w:ascii="Times New Roman" w:hAnsi="Times New Roman" w:cs="Times New Roman"/>
          <w:sz w:val="24"/>
          <w:szCs w:val="24"/>
        </w:rPr>
        <w:t>fail to prevent or investigate hatred-induced violence towards LGBTIQ+ people that they knew or ought to have known about, they undermine public confidence in the state duty to keep everyone physically and morally secure.</w:t>
      </w:r>
      <w:r w:rsidRPr="00C31A32">
        <w:rPr>
          <w:rStyle w:val="FootnoteReference"/>
          <w:rFonts w:ascii="Times New Roman" w:hAnsi="Times New Roman" w:cs="Times New Roman"/>
          <w:sz w:val="24"/>
          <w:szCs w:val="24"/>
        </w:rPr>
        <w:footnoteReference w:id="124"/>
      </w:r>
      <w:r w:rsidRPr="00C31A32">
        <w:rPr>
          <w:rFonts w:ascii="Times New Roman" w:hAnsi="Times New Roman" w:cs="Times New Roman"/>
          <w:sz w:val="24"/>
          <w:szCs w:val="24"/>
        </w:rPr>
        <w:t xml:space="preserve"> Moral security depends on having one’s moral standing recognised as a limitation to what may legitimately </w:t>
      </w:r>
      <w:r w:rsidRPr="00C31A32">
        <w:rPr>
          <w:rFonts w:ascii="Times New Roman" w:hAnsi="Times New Roman" w:cs="Times New Roman"/>
          <w:sz w:val="24"/>
          <w:szCs w:val="24"/>
        </w:rPr>
        <w:lastRenderedPageBreak/>
        <w:t>be done to them, and that their welfare is treated as morally important by the state.</w:t>
      </w:r>
      <w:r w:rsidRPr="00C31A32">
        <w:rPr>
          <w:rStyle w:val="FootnoteReference"/>
          <w:rFonts w:ascii="Times New Roman" w:hAnsi="Times New Roman" w:cs="Times New Roman"/>
          <w:sz w:val="24"/>
          <w:szCs w:val="24"/>
        </w:rPr>
        <w:footnoteReference w:id="125"/>
      </w:r>
      <w:r w:rsidRPr="00C31A32">
        <w:rPr>
          <w:rFonts w:ascii="Times New Roman" w:hAnsi="Times New Roman" w:cs="Times New Roman"/>
          <w:sz w:val="24"/>
          <w:szCs w:val="24"/>
        </w:rPr>
        <w:t xml:space="preserve"> When a protected group is already the target of prejudice, the failure of the authorities to offer them reasonable protection is a paradigmatic affront to their moral standing – it stamps them with a badge of inferiority. </w:t>
      </w:r>
    </w:p>
    <w:p w14:paraId="3190E4AC" w14:textId="0DCD2A7E" w:rsidR="002A1A45" w:rsidRPr="00C31A32" w:rsidRDefault="00CA2D40" w:rsidP="002A1A45">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Some of the most egregious forms of direct discrimination degrade their victims </w:t>
      </w:r>
      <w:r w:rsidR="00841253" w:rsidRPr="00C31A32">
        <w:rPr>
          <w:rFonts w:ascii="Times New Roman" w:hAnsi="Times New Roman" w:cs="Times New Roman"/>
          <w:sz w:val="24"/>
          <w:szCs w:val="24"/>
        </w:rPr>
        <w:t xml:space="preserve">precisely because </w:t>
      </w:r>
      <w:r w:rsidR="000767DC" w:rsidRPr="00C31A32">
        <w:rPr>
          <w:rFonts w:ascii="Times New Roman" w:hAnsi="Times New Roman" w:cs="Times New Roman"/>
          <w:sz w:val="24"/>
          <w:szCs w:val="24"/>
        </w:rPr>
        <w:t xml:space="preserve">of the open way that </w:t>
      </w:r>
      <w:r w:rsidR="00841253" w:rsidRPr="00C31A32">
        <w:rPr>
          <w:rFonts w:ascii="Times New Roman" w:hAnsi="Times New Roman" w:cs="Times New Roman"/>
          <w:sz w:val="24"/>
          <w:szCs w:val="24"/>
        </w:rPr>
        <w:t xml:space="preserve">they deny them </w:t>
      </w:r>
      <w:r w:rsidR="000767DC" w:rsidRPr="00C31A32">
        <w:rPr>
          <w:rFonts w:ascii="Times New Roman" w:hAnsi="Times New Roman" w:cs="Times New Roman"/>
          <w:sz w:val="24"/>
          <w:szCs w:val="24"/>
        </w:rPr>
        <w:t>profoundly important</w:t>
      </w:r>
      <w:r w:rsidR="00841253" w:rsidRPr="00C31A32">
        <w:rPr>
          <w:rFonts w:ascii="Times New Roman" w:hAnsi="Times New Roman" w:cs="Times New Roman"/>
          <w:sz w:val="24"/>
          <w:szCs w:val="24"/>
        </w:rPr>
        <w:t xml:space="preserve"> autonomy interests</w:t>
      </w:r>
      <w:r w:rsidRPr="00C31A32">
        <w:rPr>
          <w:rStyle w:val="FootnoteReference"/>
          <w:rFonts w:ascii="Times New Roman" w:hAnsi="Times New Roman" w:cs="Times New Roman"/>
          <w:sz w:val="24"/>
          <w:szCs w:val="24"/>
        </w:rPr>
        <w:footnoteReference w:id="126"/>
      </w:r>
      <w:r w:rsidR="00D960A5" w:rsidRPr="00C31A32">
        <w:rPr>
          <w:rFonts w:ascii="Times New Roman" w:hAnsi="Times New Roman" w:cs="Times New Roman"/>
          <w:sz w:val="24"/>
          <w:szCs w:val="24"/>
        </w:rPr>
        <w:t xml:space="preserve"> and self-respect.</w:t>
      </w:r>
      <w:r w:rsidR="00D960A5" w:rsidRPr="00C31A32">
        <w:rPr>
          <w:rStyle w:val="FootnoteReference"/>
          <w:rFonts w:ascii="Times New Roman" w:hAnsi="Times New Roman" w:cs="Times New Roman"/>
          <w:sz w:val="24"/>
          <w:szCs w:val="24"/>
        </w:rPr>
        <w:footnoteReference w:id="127"/>
      </w:r>
      <w:r w:rsidR="00311538" w:rsidRPr="00C31A32">
        <w:rPr>
          <w:rFonts w:ascii="Times New Roman" w:hAnsi="Times New Roman" w:cs="Times New Roman"/>
          <w:sz w:val="24"/>
          <w:szCs w:val="24"/>
        </w:rPr>
        <w:t xml:space="preserve"> </w:t>
      </w:r>
      <w:r w:rsidRPr="00C31A32">
        <w:rPr>
          <w:rFonts w:ascii="Times New Roman" w:hAnsi="Times New Roman" w:cs="Times New Roman"/>
          <w:sz w:val="24"/>
          <w:szCs w:val="24"/>
        </w:rPr>
        <w:t xml:space="preserve">This reason might not hold in cases involving </w:t>
      </w:r>
      <w:r w:rsidR="000767DC" w:rsidRPr="00C31A32">
        <w:rPr>
          <w:rFonts w:ascii="Times New Roman" w:hAnsi="Times New Roman" w:cs="Times New Roman"/>
          <w:sz w:val="24"/>
          <w:szCs w:val="24"/>
        </w:rPr>
        <w:t>non-intentional</w:t>
      </w:r>
      <w:r w:rsidRPr="00C31A32">
        <w:rPr>
          <w:rFonts w:ascii="Times New Roman" w:hAnsi="Times New Roman" w:cs="Times New Roman"/>
          <w:sz w:val="24"/>
          <w:szCs w:val="24"/>
        </w:rPr>
        <w:t xml:space="preserve"> or indirect forms of discrimination,</w:t>
      </w:r>
      <w:r w:rsidR="000767DC" w:rsidRPr="00C31A32">
        <w:rPr>
          <w:rFonts w:ascii="Times New Roman" w:hAnsi="Times New Roman" w:cs="Times New Roman"/>
          <w:sz w:val="24"/>
          <w:szCs w:val="24"/>
        </w:rPr>
        <w:t xml:space="preserve"> where the psychological suffering and stigma might be somewhat less</w:t>
      </w:r>
      <w:r w:rsidR="00C818B9" w:rsidRPr="00C31A32">
        <w:rPr>
          <w:rFonts w:ascii="Times New Roman" w:hAnsi="Times New Roman" w:cs="Times New Roman"/>
          <w:sz w:val="24"/>
          <w:szCs w:val="24"/>
        </w:rPr>
        <w:t>.</w:t>
      </w:r>
      <w:r w:rsidR="000148C3" w:rsidRPr="00C31A32">
        <w:rPr>
          <w:rStyle w:val="FootnoteReference"/>
          <w:rFonts w:ascii="Times New Roman" w:hAnsi="Times New Roman" w:cs="Times New Roman"/>
          <w:sz w:val="24"/>
          <w:szCs w:val="24"/>
        </w:rPr>
        <w:footnoteReference w:id="128"/>
      </w:r>
      <w:r w:rsidRPr="00C31A32">
        <w:rPr>
          <w:rFonts w:ascii="Times New Roman" w:hAnsi="Times New Roman" w:cs="Times New Roman"/>
          <w:sz w:val="24"/>
          <w:szCs w:val="24"/>
        </w:rPr>
        <w:t xml:space="preserve"> </w:t>
      </w:r>
      <w:r w:rsidR="00C818B9" w:rsidRPr="00C31A32">
        <w:rPr>
          <w:rFonts w:ascii="Times New Roman" w:hAnsi="Times New Roman" w:cs="Times New Roman"/>
          <w:sz w:val="24"/>
          <w:szCs w:val="24"/>
        </w:rPr>
        <w:t>A</w:t>
      </w:r>
      <w:r w:rsidRPr="00C31A32">
        <w:rPr>
          <w:rFonts w:ascii="Times New Roman" w:hAnsi="Times New Roman" w:cs="Times New Roman"/>
          <w:sz w:val="24"/>
          <w:szCs w:val="24"/>
        </w:rPr>
        <w:t>s a result</w:t>
      </w:r>
      <w:r w:rsidR="00C818B9" w:rsidRPr="00C31A32">
        <w:rPr>
          <w:rFonts w:ascii="Times New Roman" w:hAnsi="Times New Roman" w:cs="Times New Roman"/>
          <w:sz w:val="24"/>
          <w:szCs w:val="24"/>
        </w:rPr>
        <w:t>,</w:t>
      </w:r>
      <w:r w:rsidRPr="00C31A32">
        <w:rPr>
          <w:rFonts w:ascii="Times New Roman" w:hAnsi="Times New Roman" w:cs="Times New Roman"/>
          <w:sz w:val="24"/>
          <w:szCs w:val="24"/>
        </w:rPr>
        <w:t xml:space="preserve"> those would</w:t>
      </w:r>
      <w:r w:rsidR="00B47F11" w:rsidRPr="00C31A32">
        <w:rPr>
          <w:rFonts w:ascii="Times New Roman" w:hAnsi="Times New Roman" w:cs="Times New Roman"/>
          <w:sz w:val="24"/>
          <w:szCs w:val="24"/>
        </w:rPr>
        <w:t xml:space="preserve"> be captured only by Article 14 and not by</w:t>
      </w:r>
      <w:r w:rsidRPr="00C31A32">
        <w:rPr>
          <w:rFonts w:ascii="Times New Roman" w:hAnsi="Times New Roman" w:cs="Times New Roman"/>
          <w:sz w:val="24"/>
          <w:szCs w:val="24"/>
        </w:rPr>
        <w:t xml:space="preserve"> Article 3</w:t>
      </w:r>
      <w:r w:rsidR="00B47F11" w:rsidRPr="00C31A32">
        <w:rPr>
          <w:rFonts w:ascii="Times New Roman" w:hAnsi="Times New Roman" w:cs="Times New Roman"/>
          <w:sz w:val="24"/>
          <w:szCs w:val="24"/>
        </w:rPr>
        <w:t xml:space="preserve"> ECHR</w:t>
      </w:r>
      <w:r w:rsidRPr="00C31A32">
        <w:rPr>
          <w:rFonts w:ascii="Times New Roman" w:hAnsi="Times New Roman" w:cs="Times New Roman"/>
          <w:sz w:val="24"/>
          <w:szCs w:val="24"/>
        </w:rPr>
        <w:t>. Thus, this analysis does not suggest that wrongful discrimination always amounts to degrading treatment under Article 3. An interpretive judgment, similar to what these pages offer, is required to determine if an instance of discrimination spawns the type of serious degradation prohibited by the provision. Apart from the ground of discrimination, another factor affecting this interpretive judgment is its ‘public nature’; although, as we saw, ‘public’ discrimination does not require that discrimination is widely publicised.</w:t>
      </w:r>
      <w:r w:rsidRPr="00C31A32">
        <w:rPr>
          <w:rStyle w:val="FootnoteReference"/>
          <w:rFonts w:ascii="Times New Roman" w:hAnsi="Times New Roman" w:cs="Times New Roman"/>
          <w:sz w:val="24"/>
          <w:szCs w:val="24"/>
        </w:rPr>
        <w:footnoteReference w:id="129"/>
      </w:r>
      <w:r w:rsidRPr="00C31A32">
        <w:rPr>
          <w:rFonts w:ascii="Times New Roman" w:hAnsi="Times New Roman" w:cs="Times New Roman"/>
          <w:sz w:val="24"/>
          <w:szCs w:val="24"/>
        </w:rPr>
        <w:t xml:space="preserve"> The ‘public nature’ factor is just another way of expressing a paradigm feature of degradation, namely that it rests on a significant disparity in power between two parties. It is because of that power disparity that an action degrades rather than merely insults others.</w:t>
      </w:r>
      <w:r w:rsidR="00212B8F" w:rsidRPr="00C31A32">
        <w:rPr>
          <w:rFonts w:ascii="Times New Roman" w:hAnsi="Times New Roman" w:cs="Times New Roman"/>
          <w:sz w:val="24"/>
          <w:szCs w:val="24"/>
        </w:rPr>
        <w:t xml:space="preserve"> </w:t>
      </w:r>
    </w:p>
    <w:p w14:paraId="26203694" w14:textId="32618DEF" w:rsidR="00ED0452" w:rsidRPr="00C31A32" w:rsidRDefault="00176021" w:rsidP="001732E0">
      <w:pPr>
        <w:spacing w:after="0" w:line="276" w:lineRule="auto"/>
        <w:ind w:firstLine="567"/>
        <w:jc w:val="both"/>
        <w:rPr>
          <w:rFonts w:ascii="Times New Roman" w:hAnsi="Times New Roman" w:cs="Times New Roman"/>
          <w:sz w:val="24"/>
          <w:szCs w:val="24"/>
          <w:lang w:val="en-US"/>
        </w:rPr>
      </w:pPr>
      <w:r w:rsidRPr="00C31A32">
        <w:rPr>
          <w:rFonts w:ascii="Times New Roman" w:hAnsi="Times New Roman" w:cs="Times New Roman"/>
          <w:sz w:val="24"/>
          <w:szCs w:val="24"/>
        </w:rPr>
        <w:t>One further caveat before we proceed. The power</w:t>
      </w:r>
      <w:r w:rsidR="00CD5ACD" w:rsidRPr="00C31A32">
        <w:rPr>
          <w:rFonts w:ascii="Times New Roman" w:hAnsi="Times New Roman" w:cs="Times New Roman"/>
          <w:sz w:val="24"/>
          <w:szCs w:val="24"/>
        </w:rPr>
        <w:t xml:space="preserve"> or status</w:t>
      </w:r>
      <w:r w:rsidRPr="00C31A32">
        <w:rPr>
          <w:rFonts w:ascii="Times New Roman" w:hAnsi="Times New Roman" w:cs="Times New Roman"/>
          <w:sz w:val="24"/>
          <w:szCs w:val="24"/>
        </w:rPr>
        <w:t xml:space="preserve"> </w:t>
      </w:r>
      <w:r w:rsidR="00FD41A2" w:rsidRPr="00C31A32">
        <w:rPr>
          <w:rFonts w:ascii="Times New Roman" w:hAnsi="Times New Roman" w:cs="Times New Roman"/>
          <w:sz w:val="24"/>
          <w:szCs w:val="24"/>
        </w:rPr>
        <w:t>disparity</w:t>
      </w:r>
      <w:r w:rsidR="001732E0" w:rsidRPr="00C31A32">
        <w:rPr>
          <w:rFonts w:ascii="Times New Roman" w:hAnsi="Times New Roman" w:cs="Times New Roman"/>
          <w:sz w:val="24"/>
          <w:szCs w:val="24"/>
        </w:rPr>
        <w:t xml:space="preserve"> in</w:t>
      </w:r>
      <w:r w:rsidRPr="00C31A32">
        <w:rPr>
          <w:rFonts w:ascii="Times New Roman" w:hAnsi="Times New Roman" w:cs="Times New Roman"/>
          <w:sz w:val="24"/>
          <w:szCs w:val="24"/>
        </w:rPr>
        <w:t xml:space="preserve"> degrad</w:t>
      </w:r>
      <w:r w:rsidR="002A1A45" w:rsidRPr="00C31A32">
        <w:rPr>
          <w:rFonts w:ascii="Times New Roman" w:hAnsi="Times New Roman" w:cs="Times New Roman"/>
          <w:sz w:val="24"/>
          <w:szCs w:val="24"/>
        </w:rPr>
        <w:t>ing treatment</w:t>
      </w:r>
      <w:r w:rsidRPr="00C31A32">
        <w:rPr>
          <w:rFonts w:ascii="Times New Roman" w:hAnsi="Times New Roman" w:cs="Times New Roman"/>
          <w:sz w:val="24"/>
          <w:szCs w:val="24"/>
        </w:rPr>
        <w:t xml:space="preserve"> </w:t>
      </w:r>
      <w:r w:rsidR="008661D0" w:rsidRPr="00C31A32">
        <w:rPr>
          <w:rFonts w:ascii="Times New Roman" w:hAnsi="Times New Roman" w:cs="Times New Roman"/>
          <w:sz w:val="24"/>
          <w:szCs w:val="24"/>
        </w:rPr>
        <w:t>does</w:t>
      </w:r>
      <w:r w:rsidR="00CD5ACD" w:rsidRPr="00C31A32">
        <w:rPr>
          <w:rFonts w:ascii="Times New Roman" w:hAnsi="Times New Roman" w:cs="Times New Roman"/>
          <w:sz w:val="24"/>
          <w:szCs w:val="24"/>
        </w:rPr>
        <w:t xml:space="preserve"> not </w:t>
      </w:r>
      <w:r w:rsidR="008661D0" w:rsidRPr="00C31A32">
        <w:rPr>
          <w:rFonts w:ascii="Times New Roman" w:hAnsi="Times New Roman" w:cs="Times New Roman"/>
          <w:sz w:val="24"/>
          <w:szCs w:val="24"/>
        </w:rPr>
        <w:t xml:space="preserve">require that </w:t>
      </w:r>
      <w:r w:rsidR="00DB0571" w:rsidRPr="00C31A32">
        <w:rPr>
          <w:rFonts w:ascii="Times New Roman" w:hAnsi="Times New Roman" w:cs="Times New Roman"/>
          <w:sz w:val="24"/>
          <w:szCs w:val="24"/>
        </w:rPr>
        <w:t xml:space="preserve">ill-treatment is forced on an </w:t>
      </w:r>
      <w:r w:rsidR="008661D0" w:rsidRPr="00C31A32">
        <w:rPr>
          <w:rFonts w:ascii="Times New Roman" w:hAnsi="Times New Roman" w:cs="Times New Roman"/>
          <w:sz w:val="24"/>
          <w:szCs w:val="24"/>
        </w:rPr>
        <w:t>individual</w:t>
      </w:r>
      <w:r w:rsidR="001732E0" w:rsidRPr="00C31A32">
        <w:rPr>
          <w:rFonts w:ascii="Times New Roman" w:hAnsi="Times New Roman" w:cs="Times New Roman"/>
          <w:sz w:val="24"/>
          <w:szCs w:val="24"/>
        </w:rPr>
        <w:t>. Although</w:t>
      </w:r>
      <w:r w:rsidR="00FC67C8" w:rsidRPr="00C31A32">
        <w:rPr>
          <w:rFonts w:ascii="Times New Roman" w:hAnsi="Times New Roman" w:cs="Times New Roman"/>
          <w:sz w:val="24"/>
          <w:szCs w:val="24"/>
        </w:rPr>
        <w:t xml:space="preserve"> this is often the</w:t>
      </w:r>
      <w:r w:rsidR="001732E0" w:rsidRPr="00C31A32">
        <w:rPr>
          <w:rFonts w:ascii="Times New Roman" w:hAnsi="Times New Roman" w:cs="Times New Roman"/>
          <w:sz w:val="24"/>
          <w:szCs w:val="24"/>
        </w:rPr>
        <w:t xml:space="preserve"> case</w:t>
      </w:r>
      <w:r w:rsidR="00FC67C8" w:rsidRPr="00C31A32">
        <w:rPr>
          <w:rFonts w:ascii="Times New Roman" w:hAnsi="Times New Roman" w:cs="Times New Roman"/>
          <w:sz w:val="24"/>
          <w:szCs w:val="24"/>
        </w:rPr>
        <w:t xml:space="preserve">, </w:t>
      </w:r>
      <w:proofErr w:type="gramStart"/>
      <w:r w:rsidR="00984665" w:rsidRPr="00C31A32">
        <w:rPr>
          <w:rFonts w:ascii="Times New Roman" w:hAnsi="Times New Roman" w:cs="Times New Roman"/>
          <w:sz w:val="24"/>
          <w:szCs w:val="24"/>
        </w:rPr>
        <w:t>e.g.</w:t>
      </w:r>
      <w:proofErr w:type="gramEnd"/>
      <w:r w:rsidR="00FC67C8" w:rsidRPr="00C31A32">
        <w:rPr>
          <w:rFonts w:ascii="Times New Roman" w:hAnsi="Times New Roman" w:cs="Times New Roman"/>
          <w:sz w:val="24"/>
          <w:szCs w:val="24"/>
        </w:rPr>
        <w:t xml:space="preserve"> when ill-treatment occurs</w:t>
      </w:r>
      <w:r w:rsidR="001732E0" w:rsidRPr="00C31A32">
        <w:rPr>
          <w:rFonts w:ascii="Times New Roman" w:hAnsi="Times New Roman" w:cs="Times New Roman"/>
          <w:sz w:val="24"/>
          <w:szCs w:val="24"/>
        </w:rPr>
        <w:t xml:space="preserve"> in custody, the requirement for a power/status disparity does not extinguish </w:t>
      </w:r>
      <w:r w:rsidR="00966016" w:rsidRPr="00C31A32">
        <w:rPr>
          <w:rFonts w:ascii="Times New Roman" w:hAnsi="Times New Roman" w:cs="Times New Roman"/>
          <w:sz w:val="24"/>
          <w:szCs w:val="24"/>
        </w:rPr>
        <w:t>the possibility</w:t>
      </w:r>
      <w:r w:rsidR="008661D0" w:rsidRPr="00C31A32">
        <w:rPr>
          <w:rFonts w:ascii="Times New Roman" w:hAnsi="Times New Roman" w:cs="Times New Roman"/>
          <w:sz w:val="24"/>
          <w:szCs w:val="24"/>
        </w:rPr>
        <w:t xml:space="preserve"> for</w:t>
      </w:r>
      <w:r w:rsidR="001732E0" w:rsidRPr="00C31A32">
        <w:rPr>
          <w:rFonts w:ascii="Times New Roman" w:hAnsi="Times New Roman" w:cs="Times New Roman"/>
          <w:sz w:val="24"/>
          <w:szCs w:val="24"/>
        </w:rPr>
        <w:t xml:space="preserve"> individual</w:t>
      </w:r>
      <w:r w:rsidR="008661D0" w:rsidRPr="00C31A32">
        <w:rPr>
          <w:rFonts w:ascii="Times New Roman" w:hAnsi="Times New Roman" w:cs="Times New Roman"/>
          <w:sz w:val="24"/>
          <w:szCs w:val="24"/>
        </w:rPr>
        <w:t xml:space="preserve"> </w:t>
      </w:r>
      <w:r w:rsidR="002A1A45" w:rsidRPr="00C31A32">
        <w:rPr>
          <w:rFonts w:ascii="Times New Roman" w:hAnsi="Times New Roman" w:cs="Times New Roman"/>
          <w:sz w:val="24"/>
          <w:szCs w:val="24"/>
        </w:rPr>
        <w:t>voluntary action</w:t>
      </w:r>
      <w:r w:rsidRPr="00C31A32">
        <w:rPr>
          <w:rFonts w:ascii="Times New Roman" w:hAnsi="Times New Roman" w:cs="Times New Roman"/>
          <w:sz w:val="24"/>
          <w:szCs w:val="24"/>
        </w:rPr>
        <w:t>.</w:t>
      </w:r>
      <w:r w:rsidR="00C8548E">
        <w:rPr>
          <w:rFonts w:ascii="Times New Roman" w:hAnsi="Times New Roman" w:cs="Times New Roman"/>
          <w:sz w:val="24"/>
          <w:szCs w:val="24"/>
        </w:rPr>
        <w:t xml:space="preserve"> In cases like</w:t>
      </w:r>
      <w:r w:rsidR="008661D0" w:rsidRPr="00C31A32">
        <w:rPr>
          <w:rFonts w:ascii="Times New Roman" w:hAnsi="Times New Roman" w:cs="Times New Roman"/>
          <w:sz w:val="24"/>
          <w:szCs w:val="24"/>
        </w:rPr>
        <w:t xml:space="preserve"> </w:t>
      </w:r>
      <w:r w:rsidR="00C8548E" w:rsidRPr="00C31A32">
        <w:rPr>
          <w:rFonts w:ascii="Times New Roman" w:hAnsi="Times New Roman" w:cs="Times New Roman"/>
          <w:i/>
          <w:iCs/>
          <w:sz w:val="24"/>
          <w:szCs w:val="24"/>
        </w:rPr>
        <w:t>Identoba</w:t>
      </w:r>
      <w:r w:rsidR="00C8548E" w:rsidRPr="00C31A32">
        <w:rPr>
          <w:rFonts w:ascii="Times New Roman" w:hAnsi="Times New Roman" w:cs="Times New Roman"/>
          <w:sz w:val="24"/>
          <w:szCs w:val="24"/>
        </w:rPr>
        <w:t xml:space="preserve">, </w:t>
      </w:r>
      <w:r w:rsidR="00C8548E" w:rsidRPr="00C31A32">
        <w:rPr>
          <w:rFonts w:ascii="Times New Roman" w:hAnsi="Times New Roman" w:cs="Times New Roman"/>
          <w:i/>
          <w:iCs/>
          <w:sz w:val="24"/>
          <w:szCs w:val="24"/>
        </w:rPr>
        <w:t>M.C.</w:t>
      </w:r>
      <w:r w:rsidR="00C8548E" w:rsidRPr="00C31A32">
        <w:rPr>
          <w:rFonts w:ascii="Times New Roman" w:hAnsi="Times New Roman" w:cs="Times New Roman"/>
          <w:sz w:val="24"/>
          <w:szCs w:val="24"/>
        </w:rPr>
        <w:t xml:space="preserve"> and </w:t>
      </w:r>
      <w:proofErr w:type="spellStart"/>
      <w:r w:rsidR="00C8548E" w:rsidRPr="00C31A32">
        <w:rPr>
          <w:rFonts w:ascii="Times New Roman" w:hAnsi="Times New Roman" w:cs="Times New Roman"/>
          <w:i/>
          <w:iCs/>
          <w:sz w:val="24"/>
          <w:szCs w:val="24"/>
        </w:rPr>
        <w:t>Aghdgomelashvili</w:t>
      </w:r>
      <w:proofErr w:type="spellEnd"/>
      <w:r w:rsidR="00C8548E" w:rsidRPr="00C31A32">
        <w:rPr>
          <w:rFonts w:ascii="Times New Roman" w:hAnsi="Times New Roman" w:cs="Times New Roman"/>
          <w:sz w:val="24"/>
          <w:szCs w:val="24"/>
        </w:rPr>
        <w:t>,</w:t>
      </w:r>
      <w:r w:rsidR="00C8548E">
        <w:rPr>
          <w:rFonts w:ascii="Times New Roman" w:hAnsi="Times New Roman" w:cs="Times New Roman"/>
          <w:sz w:val="24"/>
          <w:szCs w:val="24"/>
        </w:rPr>
        <w:t xml:space="preserve"> </w:t>
      </w:r>
      <w:r w:rsidR="00C8548E">
        <w:rPr>
          <w:rFonts w:ascii="Times New Roman" w:hAnsi="Times New Roman" w:cs="Times New Roman"/>
          <w:sz w:val="24"/>
          <w:szCs w:val="24"/>
          <w:lang w:val="en-US"/>
        </w:rPr>
        <w:t>t</w:t>
      </w:r>
      <w:r w:rsidR="00D46636" w:rsidRPr="00C31A32">
        <w:rPr>
          <w:rFonts w:ascii="Times New Roman" w:hAnsi="Times New Roman" w:cs="Times New Roman"/>
          <w:sz w:val="24"/>
          <w:szCs w:val="24"/>
          <w:lang w:val="en-US"/>
        </w:rPr>
        <w:t xml:space="preserve">he </w:t>
      </w:r>
      <w:r w:rsidR="002A1A45" w:rsidRPr="00C31A32">
        <w:rPr>
          <w:rFonts w:ascii="Times New Roman" w:hAnsi="Times New Roman" w:cs="Times New Roman"/>
          <w:sz w:val="24"/>
          <w:szCs w:val="24"/>
          <w:lang w:val="en-US"/>
        </w:rPr>
        <w:t xml:space="preserve">emphasis </w:t>
      </w:r>
      <w:r w:rsidR="00373B23" w:rsidRPr="00C31A32">
        <w:rPr>
          <w:rFonts w:ascii="Times New Roman" w:hAnsi="Times New Roman" w:cs="Times New Roman"/>
          <w:sz w:val="24"/>
          <w:szCs w:val="24"/>
          <w:lang w:val="en-US"/>
        </w:rPr>
        <w:t xml:space="preserve">of the Court’s interpretation </w:t>
      </w:r>
      <w:r w:rsidR="004E4F5F">
        <w:rPr>
          <w:rFonts w:ascii="Times New Roman" w:hAnsi="Times New Roman" w:cs="Times New Roman"/>
          <w:sz w:val="24"/>
          <w:szCs w:val="24"/>
          <w:lang w:val="en-US"/>
        </w:rPr>
        <w:t xml:space="preserve">is not on whether the ill-treatment in question was forced on the applicants. The emphasis </w:t>
      </w:r>
      <w:r w:rsidR="00AA68FC" w:rsidRPr="00C31A32">
        <w:rPr>
          <w:rFonts w:ascii="Times New Roman" w:hAnsi="Times New Roman" w:cs="Times New Roman"/>
          <w:sz w:val="24"/>
          <w:szCs w:val="24"/>
          <w:lang w:val="en-US"/>
        </w:rPr>
        <w:t xml:space="preserve">was </w:t>
      </w:r>
      <w:r w:rsidR="002A1A45" w:rsidRPr="00C31A32">
        <w:rPr>
          <w:rFonts w:ascii="Times New Roman" w:hAnsi="Times New Roman" w:cs="Times New Roman"/>
          <w:sz w:val="24"/>
          <w:szCs w:val="24"/>
          <w:lang w:val="en-US"/>
        </w:rPr>
        <w:t xml:space="preserve">on the circumstances </w:t>
      </w:r>
      <w:r w:rsidR="00D46636" w:rsidRPr="00C31A32">
        <w:rPr>
          <w:rFonts w:ascii="Times New Roman" w:hAnsi="Times New Roman" w:cs="Times New Roman"/>
          <w:sz w:val="24"/>
          <w:szCs w:val="24"/>
          <w:lang w:val="en-US"/>
        </w:rPr>
        <w:t xml:space="preserve">of widespread prejudice </w:t>
      </w:r>
      <w:r w:rsidR="002A1A45" w:rsidRPr="00C31A32">
        <w:rPr>
          <w:rFonts w:ascii="Times New Roman" w:hAnsi="Times New Roman" w:cs="Times New Roman"/>
          <w:sz w:val="24"/>
          <w:szCs w:val="24"/>
          <w:lang w:val="en-US"/>
        </w:rPr>
        <w:t xml:space="preserve">under which </w:t>
      </w:r>
      <w:r w:rsidR="00D46636" w:rsidRPr="00C31A32">
        <w:rPr>
          <w:rFonts w:ascii="Times New Roman" w:hAnsi="Times New Roman" w:cs="Times New Roman"/>
          <w:sz w:val="24"/>
          <w:szCs w:val="24"/>
          <w:lang w:val="en-US"/>
        </w:rPr>
        <w:t>individuals</w:t>
      </w:r>
      <w:r w:rsidR="002A1A45" w:rsidRPr="00C31A32">
        <w:rPr>
          <w:rFonts w:ascii="Times New Roman" w:hAnsi="Times New Roman" w:cs="Times New Roman"/>
          <w:sz w:val="24"/>
          <w:szCs w:val="24"/>
          <w:lang w:val="en-US"/>
        </w:rPr>
        <w:t xml:space="preserve"> </w:t>
      </w:r>
      <w:r w:rsidR="00FC67C8" w:rsidRPr="00C31A32">
        <w:rPr>
          <w:rFonts w:ascii="Times New Roman" w:hAnsi="Times New Roman" w:cs="Times New Roman"/>
          <w:sz w:val="24"/>
          <w:szCs w:val="24"/>
          <w:lang w:val="en-US"/>
        </w:rPr>
        <w:t>were</w:t>
      </w:r>
      <w:r w:rsidR="002A1A45" w:rsidRPr="00C31A32">
        <w:rPr>
          <w:rFonts w:ascii="Times New Roman" w:hAnsi="Times New Roman" w:cs="Times New Roman"/>
          <w:sz w:val="24"/>
          <w:szCs w:val="24"/>
          <w:lang w:val="en-US"/>
        </w:rPr>
        <w:t xml:space="preserve"> ill-treated</w:t>
      </w:r>
      <w:r w:rsidR="00AA68FC" w:rsidRPr="00C31A32">
        <w:rPr>
          <w:rFonts w:ascii="Times New Roman" w:hAnsi="Times New Roman" w:cs="Times New Roman"/>
          <w:sz w:val="24"/>
          <w:szCs w:val="24"/>
          <w:lang w:val="en-US"/>
        </w:rPr>
        <w:t xml:space="preserve"> and </w:t>
      </w:r>
      <w:r w:rsidR="00373B23" w:rsidRPr="00C31A32">
        <w:rPr>
          <w:rFonts w:ascii="Times New Roman" w:hAnsi="Times New Roman" w:cs="Times New Roman"/>
          <w:sz w:val="24"/>
          <w:szCs w:val="24"/>
          <w:lang w:val="en-US"/>
        </w:rPr>
        <w:t xml:space="preserve">on </w:t>
      </w:r>
      <w:r w:rsidR="00AA68FC" w:rsidRPr="00C31A32">
        <w:rPr>
          <w:rFonts w:ascii="Times New Roman" w:hAnsi="Times New Roman" w:cs="Times New Roman"/>
          <w:sz w:val="24"/>
          <w:szCs w:val="24"/>
          <w:lang w:val="en-US"/>
        </w:rPr>
        <w:t>the fact that</w:t>
      </w:r>
      <w:r w:rsidR="00373B23" w:rsidRPr="00C31A32">
        <w:rPr>
          <w:rFonts w:ascii="Times New Roman" w:hAnsi="Times New Roman" w:cs="Times New Roman"/>
          <w:sz w:val="24"/>
          <w:szCs w:val="24"/>
          <w:lang w:val="en-US"/>
        </w:rPr>
        <w:t>,</w:t>
      </w:r>
      <w:r w:rsidR="00AA68FC" w:rsidRPr="00C31A32">
        <w:rPr>
          <w:rFonts w:ascii="Times New Roman" w:hAnsi="Times New Roman" w:cs="Times New Roman"/>
          <w:sz w:val="24"/>
          <w:szCs w:val="24"/>
          <w:lang w:val="en-US"/>
        </w:rPr>
        <w:t xml:space="preserve"> </w:t>
      </w:r>
      <w:r w:rsidR="00373B23" w:rsidRPr="00C31A32">
        <w:rPr>
          <w:rFonts w:ascii="Times New Roman" w:hAnsi="Times New Roman" w:cs="Times New Roman"/>
          <w:sz w:val="24"/>
          <w:szCs w:val="24"/>
          <w:lang w:val="en-US"/>
        </w:rPr>
        <w:t xml:space="preserve">under </w:t>
      </w:r>
      <w:r w:rsidR="00373B23" w:rsidRPr="00820CBE">
        <w:rPr>
          <w:rFonts w:ascii="Times New Roman" w:hAnsi="Times New Roman" w:cs="Times New Roman"/>
          <w:i/>
          <w:iCs/>
          <w:sz w:val="24"/>
          <w:szCs w:val="24"/>
          <w:lang w:val="en-US"/>
        </w:rPr>
        <w:t>those</w:t>
      </w:r>
      <w:r w:rsidR="00373B23" w:rsidRPr="00C31A32">
        <w:rPr>
          <w:rFonts w:ascii="Times New Roman" w:hAnsi="Times New Roman" w:cs="Times New Roman"/>
          <w:sz w:val="24"/>
          <w:szCs w:val="24"/>
          <w:lang w:val="en-US"/>
        </w:rPr>
        <w:t xml:space="preserve"> circumstances, </w:t>
      </w:r>
      <w:r w:rsidR="00AA68FC" w:rsidRPr="00C31A32">
        <w:rPr>
          <w:rFonts w:ascii="Times New Roman" w:hAnsi="Times New Roman" w:cs="Times New Roman"/>
          <w:sz w:val="24"/>
          <w:szCs w:val="24"/>
          <w:lang w:val="en-US"/>
        </w:rPr>
        <w:t>the police</w:t>
      </w:r>
      <w:r w:rsidR="00373B23" w:rsidRPr="00C31A32">
        <w:rPr>
          <w:rFonts w:ascii="Times New Roman" w:hAnsi="Times New Roman" w:cs="Times New Roman"/>
          <w:sz w:val="24"/>
          <w:szCs w:val="24"/>
          <w:lang w:val="en-US"/>
        </w:rPr>
        <w:t xml:space="preserve"> </w:t>
      </w:r>
      <w:r w:rsidR="00C8548E">
        <w:rPr>
          <w:rFonts w:ascii="Times New Roman" w:hAnsi="Times New Roman" w:cs="Times New Roman"/>
          <w:sz w:val="24"/>
          <w:szCs w:val="24"/>
          <w:lang w:val="en-US"/>
        </w:rPr>
        <w:t xml:space="preserve">either </w:t>
      </w:r>
      <w:r w:rsidR="0099066D">
        <w:rPr>
          <w:rFonts w:ascii="Times New Roman" w:hAnsi="Times New Roman" w:cs="Times New Roman"/>
          <w:sz w:val="24"/>
          <w:szCs w:val="24"/>
          <w:lang w:val="en-US"/>
        </w:rPr>
        <w:t xml:space="preserve">outright </w:t>
      </w:r>
      <w:r w:rsidR="00C8548E">
        <w:rPr>
          <w:rFonts w:ascii="Times New Roman" w:hAnsi="Times New Roman" w:cs="Times New Roman"/>
          <w:sz w:val="24"/>
          <w:szCs w:val="24"/>
          <w:lang w:val="en-US"/>
        </w:rPr>
        <w:t>abused</w:t>
      </w:r>
      <w:r w:rsidR="00CC6D5E">
        <w:rPr>
          <w:rFonts w:ascii="Times New Roman" w:hAnsi="Times New Roman" w:cs="Times New Roman"/>
          <w:sz w:val="24"/>
          <w:szCs w:val="24"/>
          <w:lang w:val="en-US"/>
        </w:rPr>
        <w:t>,</w:t>
      </w:r>
      <w:r w:rsidR="00C8548E">
        <w:rPr>
          <w:rFonts w:ascii="Times New Roman" w:hAnsi="Times New Roman" w:cs="Times New Roman"/>
          <w:sz w:val="24"/>
          <w:szCs w:val="24"/>
          <w:lang w:val="en-US"/>
        </w:rPr>
        <w:t xml:space="preserve"> or refused to</w:t>
      </w:r>
      <w:r w:rsidR="004E4F5F">
        <w:rPr>
          <w:rFonts w:ascii="Times New Roman" w:hAnsi="Times New Roman" w:cs="Times New Roman"/>
          <w:sz w:val="24"/>
          <w:szCs w:val="24"/>
          <w:lang w:val="en-US"/>
        </w:rPr>
        <w:t xml:space="preserve"> provide reasonable</w:t>
      </w:r>
      <w:r w:rsidR="00C8548E">
        <w:rPr>
          <w:rFonts w:ascii="Times New Roman" w:hAnsi="Times New Roman" w:cs="Times New Roman"/>
          <w:sz w:val="24"/>
          <w:szCs w:val="24"/>
          <w:lang w:val="en-US"/>
        </w:rPr>
        <w:t xml:space="preserve"> protect</w:t>
      </w:r>
      <w:r w:rsidR="004E4F5F">
        <w:rPr>
          <w:rFonts w:ascii="Times New Roman" w:hAnsi="Times New Roman" w:cs="Times New Roman"/>
          <w:sz w:val="24"/>
          <w:szCs w:val="24"/>
          <w:lang w:val="en-US"/>
        </w:rPr>
        <w:t>ion to</w:t>
      </w:r>
      <w:r w:rsidR="00CC6D5E">
        <w:rPr>
          <w:rFonts w:ascii="Times New Roman" w:hAnsi="Times New Roman" w:cs="Times New Roman"/>
          <w:sz w:val="24"/>
          <w:szCs w:val="24"/>
          <w:lang w:val="en-US"/>
        </w:rPr>
        <w:t>,</w:t>
      </w:r>
      <w:r w:rsidR="00C8548E">
        <w:rPr>
          <w:rFonts w:ascii="Times New Roman" w:hAnsi="Times New Roman" w:cs="Times New Roman"/>
          <w:sz w:val="24"/>
          <w:szCs w:val="24"/>
          <w:lang w:val="en-US"/>
        </w:rPr>
        <w:t xml:space="preserve"> the individuals in question</w:t>
      </w:r>
      <w:r w:rsidR="00FC67C8" w:rsidRPr="00C31A32">
        <w:rPr>
          <w:rFonts w:ascii="Times New Roman" w:hAnsi="Times New Roman" w:cs="Times New Roman"/>
          <w:sz w:val="24"/>
          <w:szCs w:val="24"/>
          <w:lang w:val="en-US"/>
        </w:rPr>
        <w:t>.</w:t>
      </w:r>
      <w:r w:rsidR="00373B23" w:rsidRPr="00C31A32">
        <w:rPr>
          <w:rStyle w:val="FootnoteReference"/>
          <w:rFonts w:ascii="Times New Roman" w:hAnsi="Times New Roman" w:cs="Times New Roman"/>
          <w:sz w:val="24"/>
          <w:szCs w:val="24"/>
          <w:lang w:val="en-US"/>
        </w:rPr>
        <w:footnoteReference w:id="130"/>
      </w:r>
      <w:r w:rsidR="00FC67C8" w:rsidRPr="00C31A32">
        <w:rPr>
          <w:rFonts w:ascii="Times New Roman" w:hAnsi="Times New Roman" w:cs="Times New Roman"/>
          <w:sz w:val="24"/>
          <w:szCs w:val="24"/>
          <w:lang w:val="en-US"/>
        </w:rPr>
        <w:t xml:space="preserve"> So, </w:t>
      </w:r>
      <w:r w:rsidR="00373B23" w:rsidRPr="00C31A32">
        <w:rPr>
          <w:rFonts w:ascii="Times New Roman" w:hAnsi="Times New Roman" w:cs="Times New Roman"/>
          <w:sz w:val="24"/>
          <w:szCs w:val="24"/>
          <w:lang w:val="en-US"/>
        </w:rPr>
        <w:t xml:space="preserve">as discussed earlier, </w:t>
      </w:r>
      <w:r w:rsidR="00FC67C8" w:rsidRPr="00C31A32">
        <w:rPr>
          <w:rFonts w:ascii="Times New Roman" w:hAnsi="Times New Roman" w:cs="Times New Roman"/>
          <w:sz w:val="24"/>
          <w:szCs w:val="24"/>
          <w:lang w:val="en-US"/>
        </w:rPr>
        <w:t>a</w:t>
      </w:r>
      <w:r w:rsidR="00B51389" w:rsidRPr="00C31A32">
        <w:rPr>
          <w:rFonts w:ascii="Times New Roman" w:hAnsi="Times New Roman" w:cs="Times New Roman"/>
          <w:sz w:val="24"/>
          <w:szCs w:val="24"/>
          <w:lang w:val="en-US"/>
        </w:rPr>
        <w:t xml:space="preserve">lthough consent is not irrelevant in determining whether conduct amounts to degrading treatment, focusing </w:t>
      </w:r>
      <w:r w:rsidR="00B51389" w:rsidRPr="00C31A32">
        <w:rPr>
          <w:rFonts w:ascii="Times New Roman" w:hAnsi="Times New Roman" w:cs="Times New Roman"/>
          <w:i/>
          <w:iCs/>
          <w:sz w:val="24"/>
          <w:szCs w:val="24"/>
          <w:lang w:val="en-US"/>
        </w:rPr>
        <w:t>only</w:t>
      </w:r>
      <w:r w:rsidR="00B51389" w:rsidRPr="00C31A32">
        <w:rPr>
          <w:rFonts w:ascii="Times New Roman" w:hAnsi="Times New Roman" w:cs="Times New Roman"/>
          <w:sz w:val="24"/>
          <w:szCs w:val="24"/>
          <w:lang w:val="en-US"/>
        </w:rPr>
        <w:t xml:space="preserve"> on </w:t>
      </w:r>
      <w:r w:rsidR="00D7170E" w:rsidRPr="00C31A32">
        <w:rPr>
          <w:rFonts w:ascii="Times New Roman" w:hAnsi="Times New Roman" w:cs="Times New Roman"/>
          <w:sz w:val="24"/>
          <w:szCs w:val="24"/>
          <w:lang w:val="en-US"/>
        </w:rPr>
        <w:t xml:space="preserve">individual </w:t>
      </w:r>
      <w:r w:rsidR="00B51389" w:rsidRPr="00C31A32">
        <w:rPr>
          <w:rFonts w:ascii="Times New Roman" w:hAnsi="Times New Roman" w:cs="Times New Roman"/>
          <w:sz w:val="24"/>
          <w:szCs w:val="24"/>
          <w:lang w:val="en-US"/>
        </w:rPr>
        <w:t>consent</w:t>
      </w:r>
      <w:r w:rsidR="006C2021" w:rsidRPr="00C31A32">
        <w:rPr>
          <w:rFonts w:ascii="Times New Roman" w:hAnsi="Times New Roman" w:cs="Times New Roman"/>
          <w:sz w:val="24"/>
          <w:szCs w:val="24"/>
          <w:lang w:val="en-US"/>
        </w:rPr>
        <w:t xml:space="preserve"> detracts from </w:t>
      </w:r>
      <w:r w:rsidR="00127218" w:rsidRPr="00C31A32">
        <w:rPr>
          <w:rFonts w:ascii="Times New Roman" w:hAnsi="Times New Roman" w:cs="Times New Roman"/>
          <w:sz w:val="24"/>
          <w:szCs w:val="24"/>
          <w:lang w:val="en-US"/>
        </w:rPr>
        <w:t>an evaluation of</w:t>
      </w:r>
      <w:r w:rsidR="00966016" w:rsidRPr="00C31A32">
        <w:rPr>
          <w:rFonts w:ascii="Times New Roman" w:hAnsi="Times New Roman" w:cs="Times New Roman"/>
          <w:sz w:val="24"/>
          <w:szCs w:val="24"/>
          <w:lang w:val="en-US"/>
        </w:rPr>
        <w:t xml:space="preserve"> </w:t>
      </w:r>
      <w:r w:rsidR="00DB0571" w:rsidRPr="00C31A32">
        <w:rPr>
          <w:rFonts w:ascii="Times New Roman" w:hAnsi="Times New Roman" w:cs="Times New Roman"/>
          <w:sz w:val="24"/>
          <w:szCs w:val="24"/>
          <w:lang w:val="en-US"/>
        </w:rPr>
        <w:t>the</w:t>
      </w:r>
      <w:r w:rsidR="00127218" w:rsidRPr="00C31A32">
        <w:rPr>
          <w:rFonts w:ascii="Times New Roman" w:hAnsi="Times New Roman" w:cs="Times New Roman"/>
          <w:sz w:val="24"/>
          <w:szCs w:val="24"/>
          <w:lang w:val="en-US"/>
        </w:rPr>
        <w:t xml:space="preserve"> background conditions</w:t>
      </w:r>
      <w:r w:rsidR="003973CF" w:rsidRPr="00C31A32">
        <w:rPr>
          <w:rFonts w:ascii="Times New Roman" w:hAnsi="Times New Roman" w:cs="Times New Roman"/>
          <w:sz w:val="24"/>
          <w:szCs w:val="24"/>
          <w:lang w:val="en-US"/>
        </w:rPr>
        <w:t xml:space="preserve"> </w:t>
      </w:r>
      <w:r w:rsidR="00DB0571" w:rsidRPr="00C31A32">
        <w:rPr>
          <w:rFonts w:ascii="Times New Roman" w:hAnsi="Times New Roman" w:cs="Times New Roman"/>
          <w:sz w:val="24"/>
          <w:szCs w:val="24"/>
          <w:lang w:val="en-US"/>
        </w:rPr>
        <w:t>in</w:t>
      </w:r>
      <w:r w:rsidR="003973CF" w:rsidRPr="00C31A32">
        <w:rPr>
          <w:rFonts w:ascii="Times New Roman" w:hAnsi="Times New Roman" w:cs="Times New Roman"/>
          <w:sz w:val="24"/>
          <w:szCs w:val="24"/>
          <w:lang w:val="en-US"/>
        </w:rPr>
        <w:t xml:space="preserve"> which ill-treatment </w:t>
      </w:r>
      <w:r w:rsidR="00DB0571" w:rsidRPr="00C31A32">
        <w:rPr>
          <w:rFonts w:ascii="Times New Roman" w:hAnsi="Times New Roman" w:cs="Times New Roman"/>
          <w:sz w:val="24"/>
          <w:szCs w:val="24"/>
          <w:lang w:val="en-US"/>
        </w:rPr>
        <w:t>was inflicted</w:t>
      </w:r>
      <w:r w:rsidR="0087089A" w:rsidRPr="00C31A32">
        <w:rPr>
          <w:rFonts w:ascii="Times New Roman" w:hAnsi="Times New Roman" w:cs="Times New Roman"/>
          <w:sz w:val="24"/>
          <w:szCs w:val="24"/>
          <w:lang w:val="en-US"/>
        </w:rPr>
        <w:t>.</w:t>
      </w:r>
      <w:r w:rsidR="006C2021" w:rsidRPr="00C31A32">
        <w:rPr>
          <w:rFonts w:ascii="Times New Roman" w:hAnsi="Times New Roman" w:cs="Times New Roman"/>
          <w:sz w:val="24"/>
          <w:szCs w:val="24"/>
          <w:lang w:val="en-US"/>
        </w:rPr>
        <w:t xml:space="preserve"> </w:t>
      </w:r>
      <w:r w:rsidR="00DB0571" w:rsidRPr="00C31A32">
        <w:rPr>
          <w:rFonts w:ascii="Times New Roman" w:hAnsi="Times New Roman" w:cs="Times New Roman"/>
          <w:sz w:val="24"/>
          <w:szCs w:val="24"/>
          <w:lang w:val="en-US"/>
        </w:rPr>
        <w:t>Th</w:t>
      </w:r>
      <w:r w:rsidR="00DE3EC2" w:rsidRPr="00C31A32">
        <w:rPr>
          <w:rFonts w:ascii="Times New Roman" w:hAnsi="Times New Roman" w:cs="Times New Roman"/>
          <w:sz w:val="24"/>
          <w:szCs w:val="24"/>
          <w:lang w:val="en-US"/>
        </w:rPr>
        <w:t>ose background conditions have independent</w:t>
      </w:r>
      <w:r w:rsidR="00DB0571" w:rsidRPr="00C31A32">
        <w:rPr>
          <w:rFonts w:ascii="Times New Roman" w:hAnsi="Times New Roman" w:cs="Times New Roman"/>
          <w:sz w:val="24"/>
          <w:szCs w:val="24"/>
          <w:lang w:val="en-US"/>
        </w:rPr>
        <w:t xml:space="preserve"> moral </w:t>
      </w:r>
      <w:r w:rsidR="00DE6D03" w:rsidRPr="00C31A32">
        <w:rPr>
          <w:rFonts w:ascii="Times New Roman" w:hAnsi="Times New Roman" w:cs="Times New Roman"/>
          <w:sz w:val="24"/>
          <w:szCs w:val="24"/>
          <w:lang w:val="en-US"/>
        </w:rPr>
        <w:t>significance</w:t>
      </w:r>
      <w:r w:rsidR="00DE3EC2" w:rsidRPr="00C31A32">
        <w:rPr>
          <w:rFonts w:ascii="Times New Roman" w:hAnsi="Times New Roman" w:cs="Times New Roman"/>
          <w:sz w:val="24"/>
          <w:szCs w:val="24"/>
          <w:lang w:val="en-US"/>
        </w:rPr>
        <w:t>, which</w:t>
      </w:r>
      <w:r w:rsidR="00DB0571" w:rsidRPr="00C31A32">
        <w:rPr>
          <w:rFonts w:ascii="Times New Roman" w:hAnsi="Times New Roman" w:cs="Times New Roman"/>
          <w:sz w:val="24"/>
          <w:szCs w:val="24"/>
          <w:lang w:val="en-US"/>
        </w:rPr>
        <w:t xml:space="preserve"> stems from</w:t>
      </w:r>
      <w:r w:rsidR="006C2021" w:rsidRPr="00C31A32">
        <w:rPr>
          <w:rFonts w:ascii="Times New Roman" w:hAnsi="Times New Roman" w:cs="Times New Roman"/>
          <w:sz w:val="24"/>
          <w:szCs w:val="24"/>
          <w:lang w:val="en-US"/>
        </w:rPr>
        <w:t xml:space="preserve"> </w:t>
      </w:r>
      <w:r w:rsidR="00FC67C8" w:rsidRPr="00C31A32">
        <w:rPr>
          <w:rFonts w:ascii="Times New Roman" w:hAnsi="Times New Roman" w:cs="Times New Roman"/>
          <w:sz w:val="24"/>
          <w:szCs w:val="24"/>
          <w:lang w:val="en-US"/>
        </w:rPr>
        <w:t>the</w:t>
      </w:r>
      <w:r w:rsidR="00DB0571" w:rsidRPr="00C31A32">
        <w:rPr>
          <w:rFonts w:ascii="Times New Roman" w:hAnsi="Times New Roman" w:cs="Times New Roman"/>
          <w:sz w:val="24"/>
          <w:szCs w:val="24"/>
          <w:lang w:val="en-US"/>
        </w:rPr>
        <w:t xml:space="preserve"> aim of the</w:t>
      </w:r>
      <w:r w:rsidR="00FC67C8" w:rsidRPr="00C31A32">
        <w:rPr>
          <w:rFonts w:ascii="Times New Roman" w:hAnsi="Times New Roman" w:cs="Times New Roman"/>
          <w:sz w:val="24"/>
          <w:szCs w:val="24"/>
          <w:lang w:val="en-US"/>
        </w:rPr>
        <w:t xml:space="preserve"> prohibition of degrading treatment to protect individuals from serious violations of human dignity</w:t>
      </w:r>
      <w:r w:rsidR="00B51389" w:rsidRPr="00C31A32">
        <w:rPr>
          <w:rFonts w:ascii="Times New Roman" w:hAnsi="Times New Roman" w:cs="Times New Roman"/>
          <w:sz w:val="24"/>
          <w:szCs w:val="24"/>
          <w:lang w:val="en-US"/>
        </w:rPr>
        <w:t>.</w:t>
      </w:r>
    </w:p>
    <w:p w14:paraId="4927DA3D" w14:textId="77777777"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To recap, an act is degrading if it expresses the unequal moral worth of the other </w:t>
      </w:r>
      <w:r w:rsidRPr="00C31A32">
        <w:rPr>
          <w:rFonts w:ascii="Times New Roman" w:hAnsi="Times New Roman" w:cs="Times New Roman"/>
          <w:i/>
          <w:iCs/>
          <w:sz w:val="24"/>
          <w:szCs w:val="24"/>
        </w:rPr>
        <w:t xml:space="preserve">and </w:t>
      </w:r>
      <w:r w:rsidRPr="00C31A32">
        <w:rPr>
          <w:rFonts w:ascii="Times New Roman" w:hAnsi="Times New Roman" w:cs="Times New Roman"/>
          <w:sz w:val="24"/>
          <w:szCs w:val="24"/>
        </w:rPr>
        <w:t xml:space="preserve">if the person acting occupies a position of power over the victim such that their actions can put the other down. This explains why direct discrimination on the grounds of sexual orientation and gender identity can sometimes amount to degrading treatment under Article 3. Before </w:t>
      </w:r>
      <w:r w:rsidRPr="00C31A32">
        <w:rPr>
          <w:rFonts w:ascii="Times New Roman" w:hAnsi="Times New Roman" w:cs="Times New Roman"/>
          <w:sz w:val="24"/>
          <w:szCs w:val="24"/>
        </w:rPr>
        <w:lastRenderedPageBreak/>
        <w:t>examining if ‘conversion therapy’ fulfils those conditions of degradation, two final issues need addressing: firstly, whether the wrongness of a degrading act depends on the intentions of the wrongdoer; and, secondly, whether it depends on its subjective perception by the victim or others.</w:t>
      </w:r>
    </w:p>
    <w:p w14:paraId="18EC3BB1" w14:textId="2FF5D115"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In response to the first question, the wrongness of degrading treatment depends on the objective meaning carried by it rather than the mental state of the wrongdoer. A slap to the face of a person has a different, </w:t>
      </w:r>
      <w:proofErr w:type="gramStart"/>
      <w:r w:rsidRPr="00C31A32">
        <w:rPr>
          <w:rFonts w:ascii="Times New Roman" w:hAnsi="Times New Roman" w:cs="Times New Roman"/>
          <w:sz w:val="24"/>
          <w:szCs w:val="24"/>
        </w:rPr>
        <w:t>i.e.</w:t>
      </w:r>
      <w:proofErr w:type="gramEnd"/>
      <w:r w:rsidRPr="00C31A32">
        <w:rPr>
          <w:rFonts w:ascii="Times New Roman" w:hAnsi="Times New Roman" w:cs="Times New Roman"/>
          <w:sz w:val="24"/>
          <w:szCs w:val="24"/>
        </w:rPr>
        <w:t xml:space="preserve"> degrading, social significance when it happens in a police station rather than outside a pub. Failing to offer reasonable protection to vulnerable people from predictable hatred-induced violence has degrading meaning when we talk about the state authorities rather than one’s next door neighbours. The condition that degrading treatment must express that the other is not of equal moral worth is satisfied depending on the social or conventional meaning of the conduct. Thus, the intentions of the wrongdoer are not decisive for whether an act is degrading. This objective-meaning interpretation of degrading treatment emerges clearly in the case-law of the ECtHR. The ECtHR has repeatedly held that the intention to debase or humiliate is not a necessary condition of degrading treatment.</w:t>
      </w:r>
      <w:r w:rsidRPr="00C31A32">
        <w:rPr>
          <w:rStyle w:val="FootnoteReference"/>
          <w:rFonts w:ascii="Times New Roman" w:hAnsi="Times New Roman" w:cs="Times New Roman"/>
          <w:sz w:val="24"/>
          <w:szCs w:val="24"/>
        </w:rPr>
        <w:footnoteReference w:id="131"/>
      </w:r>
      <w:r w:rsidRPr="00C31A32">
        <w:rPr>
          <w:rFonts w:ascii="Times New Roman" w:hAnsi="Times New Roman" w:cs="Times New Roman"/>
          <w:sz w:val="24"/>
          <w:szCs w:val="24"/>
        </w:rPr>
        <w:t xml:space="preserve"> A finding of degrading treatment is possible even when the intention to degrade is absent. In </w:t>
      </w:r>
      <w:proofErr w:type="spellStart"/>
      <w:r w:rsidRPr="00C31A32">
        <w:rPr>
          <w:rFonts w:ascii="Times New Roman" w:hAnsi="Times New Roman" w:cs="Times New Roman"/>
          <w:i/>
          <w:iCs/>
          <w:sz w:val="24"/>
          <w:szCs w:val="24"/>
        </w:rPr>
        <w:t>Gäfgen</w:t>
      </w:r>
      <w:proofErr w:type="spellEnd"/>
      <w:r w:rsidRPr="00C31A32">
        <w:rPr>
          <w:rFonts w:ascii="Times New Roman" w:hAnsi="Times New Roman" w:cs="Times New Roman"/>
          <w:sz w:val="24"/>
          <w:szCs w:val="24"/>
        </w:rPr>
        <w:t>, the officers who threatened to torture the applicant claimed that they were trying to save a child’s life.</w:t>
      </w:r>
      <w:r w:rsidRPr="00C31A32">
        <w:rPr>
          <w:rStyle w:val="FootnoteReference"/>
          <w:rFonts w:ascii="Times New Roman" w:hAnsi="Times New Roman" w:cs="Times New Roman"/>
          <w:sz w:val="24"/>
          <w:szCs w:val="24"/>
        </w:rPr>
        <w:footnoteReference w:id="132"/>
      </w:r>
      <w:r w:rsidRPr="00C31A32">
        <w:rPr>
          <w:rFonts w:ascii="Times New Roman" w:hAnsi="Times New Roman" w:cs="Times New Roman"/>
          <w:sz w:val="24"/>
          <w:szCs w:val="24"/>
        </w:rPr>
        <w:t xml:space="preserve"> Yet their motives made no difference to the Court’s assessment, which was that </w:t>
      </w:r>
      <w:r w:rsidR="00964E75" w:rsidRPr="00C31A32">
        <w:rPr>
          <w:rFonts w:ascii="Times New Roman" w:hAnsi="Times New Roman" w:cs="Times New Roman"/>
          <w:sz w:val="24"/>
          <w:szCs w:val="24"/>
        </w:rPr>
        <w:t>torture or degrading treatment</w:t>
      </w:r>
      <w:r w:rsidRPr="00C31A32">
        <w:rPr>
          <w:rFonts w:ascii="Times New Roman" w:hAnsi="Times New Roman" w:cs="Times New Roman"/>
          <w:sz w:val="24"/>
          <w:szCs w:val="24"/>
        </w:rPr>
        <w:t xml:space="preserve"> cannot be inflicted ‘even in circumstances where the life of an individual is at risk.’</w:t>
      </w:r>
      <w:r w:rsidRPr="00C31A32">
        <w:rPr>
          <w:rStyle w:val="FootnoteReference"/>
          <w:rFonts w:ascii="Times New Roman" w:hAnsi="Times New Roman" w:cs="Times New Roman"/>
          <w:sz w:val="24"/>
          <w:szCs w:val="24"/>
        </w:rPr>
        <w:footnoteReference w:id="133"/>
      </w:r>
    </w:p>
    <w:p w14:paraId="39BAAD7F" w14:textId="77777777"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As for the second question, since what determines whether an act is degrading is its meaning in a particular social context, the emphasis is not on how the victim experienced their ill-treatment. This might appear counter-intuitive because the word ‘degrading’ focuses on the impact of an act on its victim. Starting from </w:t>
      </w:r>
      <w:r w:rsidRPr="00C31A32">
        <w:rPr>
          <w:rFonts w:ascii="Times New Roman" w:hAnsi="Times New Roman" w:cs="Times New Roman"/>
          <w:i/>
          <w:iCs/>
          <w:sz w:val="24"/>
          <w:szCs w:val="24"/>
        </w:rPr>
        <w:t>Ireland v UK</w:t>
      </w:r>
      <w:r w:rsidRPr="00C31A32">
        <w:rPr>
          <w:rFonts w:ascii="Times New Roman" w:hAnsi="Times New Roman" w:cs="Times New Roman"/>
          <w:sz w:val="24"/>
          <w:szCs w:val="24"/>
        </w:rPr>
        <w:t>,</w:t>
      </w:r>
      <w:r w:rsidRPr="00C31A32">
        <w:rPr>
          <w:rStyle w:val="FootnoteReference"/>
          <w:rFonts w:ascii="Times New Roman" w:hAnsi="Times New Roman" w:cs="Times New Roman"/>
          <w:sz w:val="24"/>
          <w:szCs w:val="24"/>
        </w:rPr>
        <w:footnoteReference w:id="134"/>
      </w:r>
      <w:r w:rsidRPr="00C31A32">
        <w:rPr>
          <w:rFonts w:ascii="Times New Roman" w:hAnsi="Times New Roman" w:cs="Times New Roman"/>
          <w:sz w:val="24"/>
          <w:szCs w:val="24"/>
        </w:rPr>
        <w:t xml:space="preserve"> the ECtHR often reiterates that a treatment is degrading if it arouses in its victim ‘feelings of fear, anguish and inferiority capable of humiliating and debasing them.’</w:t>
      </w:r>
      <w:r w:rsidRPr="00C31A32">
        <w:rPr>
          <w:rStyle w:val="FootnoteReference"/>
          <w:rFonts w:ascii="Times New Roman" w:hAnsi="Times New Roman" w:cs="Times New Roman"/>
          <w:sz w:val="24"/>
          <w:szCs w:val="24"/>
        </w:rPr>
        <w:footnoteReference w:id="135"/>
      </w:r>
      <w:r w:rsidRPr="00C31A32">
        <w:rPr>
          <w:rFonts w:ascii="Times New Roman" w:hAnsi="Times New Roman" w:cs="Times New Roman"/>
          <w:sz w:val="24"/>
          <w:szCs w:val="24"/>
        </w:rPr>
        <w:t xml:space="preserve"> In other cases, the ECtHR stresses that degrading treatment goes beyond the inevitable element of humiliation arising from ‘legitimate punishment’</w:t>
      </w:r>
      <w:r w:rsidRPr="00C31A32">
        <w:rPr>
          <w:rStyle w:val="FootnoteReference"/>
          <w:rFonts w:ascii="Times New Roman" w:hAnsi="Times New Roman" w:cs="Times New Roman"/>
          <w:sz w:val="24"/>
          <w:szCs w:val="24"/>
        </w:rPr>
        <w:footnoteReference w:id="136"/>
      </w:r>
      <w:r w:rsidRPr="00C31A32">
        <w:rPr>
          <w:rFonts w:ascii="Times New Roman" w:hAnsi="Times New Roman" w:cs="Times New Roman"/>
          <w:sz w:val="24"/>
          <w:szCs w:val="24"/>
        </w:rPr>
        <w:t xml:space="preserve"> or ‘mandatory military service.’</w:t>
      </w:r>
      <w:r w:rsidRPr="00C31A32">
        <w:rPr>
          <w:rStyle w:val="FootnoteReference"/>
          <w:rFonts w:ascii="Times New Roman" w:hAnsi="Times New Roman" w:cs="Times New Roman"/>
          <w:sz w:val="24"/>
          <w:szCs w:val="24"/>
        </w:rPr>
        <w:footnoteReference w:id="137"/>
      </w:r>
      <w:r w:rsidRPr="00C31A32">
        <w:rPr>
          <w:rFonts w:ascii="Times New Roman" w:hAnsi="Times New Roman" w:cs="Times New Roman"/>
          <w:sz w:val="24"/>
          <w:szCs w:val="24"/>
        </w:rPr>
        <w:t xml:space="preserve"> These terms denote that the subjective experience of ill-treatment is central to its wrongness.</w:t>
      </w:r>
    </w:p>
    <w:p w14:paraId="499EC3D1" w14:textId="405E8F2B"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That is not the only available interpretation though. The focus of degrading treatment on its impact on the victims does not mean that the term refers to their subjective experience.</w:t>
      </w:r>
      <w:r w:rsidRPr="00C31A32">
        <w:rPr>
          <w:rStyle w:val="FootnoteReference"/>
          <w:rFonts w:ascii="Times New Roman" w:hAnsi="Times New Roman" w:cs="Times New Roman"/>
          <w:sz w:val="24"/>
          <w:szCs w:val="24"/>
        </w:rPr>
        <w:footnoteReference w:id="138"/>
      </w:r>
      <w:r w:rsidRPr="00C31A32">
        <w:rPr>
          <w:rFonts w:ascii="Times New Roman" w:hAnsi="Times New Roman" w:cs="Times New Roman"/>
          <w:sz w:val="24"/>
          <w:szCs w:val="24"/>
        </w:rPr>
        <w:t xml:space="preserve"> It refers to what happens to the person in relation to an objective standard of dignity, </w:t>
      </w:r>
      <w:proofErr w:type="gramStart"/>
      <w:r w:rsidRPr="00C31A32">
        <w:rPr>
          <w:rFonts w:ascii="Times New Roman" w:hAnsi="Times New Roman" w:cs="Times New Roman"/>
          <w:sz w:val="24"/>
          <w:szCs w:val="24"/>
        </w:rPr>
        <w:t>i.e.</w:t>
      </w:r>
      <w:proofErr w:type="gramEnd"/>
      <w:r w:rsidRPr="00C31A32">
        <w:rPr>
          <w:rFonts w:ascii="Times New Roman" w:hAnsi="Times New Roman" w:cs="Times New Roman"/>
          <w:sz w:val="24"/>
          <w:szCs w:val="24"/>
        </w:rPr>
        <w:t xml:space="preserve"> that each person is entitled to be treated as a</w:t>
      </w:r>
      <w:r w:rsidR="00B06D5B" w:rsidRPr="00C31A32">
        <w:rPr>
          <w:rFonts w:ascii="Times New Roman" w:hAnsi="Times New Roman" w:cs="Times New Roman"/>
          <w:sz w:val="24"/>
          <w:szCs w:val="24"/>
        </w:rPr>
        <w:t xml:space="preserve"> moral</w:t>
      </w:r>
      <w:r w:rsidRPr="00C31A32">
        <w:rPr>
          <w:rFonts w:ascii="Times New Roman" w:hAnsi="Times New Roman" w:cs="Times New Roman"/>
          <w:sz w:val="24"/>
          <w:szCs w:val="24"/>
        </w:rPr>
        <w:t xml:space="preserve"> equal. In the hypothetical scenario that the applicants in </w:t>
      </w:r>
      <w:r w:rsidRPr="00C31A32">
        <w:rPr>
          <w:rFonts w:ascii="Times New Roman" w:hAnsi="Times New Roman" w:cs="Times New Roman"/>
          <w:i/>
          <w:iCs/>
          <w:sz w:val="24"/>
          <w:szCs w:val="24"/>
        </w:rPr>
        <w:t xml:space="preserve">Bouyid </w:t>
      </w:r>
      <w:r w:rsidRPr="00C31A32">
        <w:rPr>
          <w:rFonts w:ascii="Times New Roman" w:hAnsi="Times New Roman" w:cs="Times New Roman"/>
          <w:sz w:val="24"/>
          <w:szCs w:val="24"/>
        </w:rPr>
        <w:t xml:space="preserve">thought that being slapped whilst in custody was well-deserved, their treatment would still be degrading. That is why the ECtHR has held that although treatment can be </w:t>
      </w:r>
      <w:r w:rsidRPr="00C31A32">
        <w:rPr>
          <w:rFonts w:ascii="Times New Roman" w:hAnsi="Times New Roman" w:cs="Times New Roman"/>
          <w:sz w:val="24"/>
          <w:szCs w:val="24"/>
        </w:rPr>
        <w:lastRenderedPageBreak/>
        <w:t>degrading when it humiliates, humiliation per se is not a necessary condition of degrading treatment.</w:t>
      </w:r>
      <w:r w:rsidRPr="00C31A32">
        <w:rPr>
          <w:rStyle w:val="FootnoteReference"/>
          <w:rFonts w:ascii="Times New Roman" w:hAnsi="Times New Roman" w:cs="Times New Roman"/>
          <w:sz w:val="24"/>
          <w:szCs w:val="24"/>
        </w:rPr>
        <w:footnoteReference w:id="139"/>
      </w:r>
      <w:r w:rsidRPr="00C31A32">
        <w:rPr>
          <w:rFonts w:ascii="Times New Roman" w:hAnsi="Times New Roman" w:cs="Times New Roman"/>
          <w:sz w:val="24"/>
          <w:szCs w:val="24"/>
        </w:rPr>
        <w:t xml:space="preserve"> Nor is it necessary to be humiliated in the eyes of others.</w:t>
      </w:r>
      <w:r w:rsidRPr="00C31A32">
        <w:rPr>
          <w:rStyle w:val="FootnoteReference"/>
          <w:rFonts w:ascii="Times New Roman" w:hAnsi="Times New Roman" w:cs="Times New Roman"/>
          <w:sz w:val="24"/>
          <w:szCs w:val="24"/>
        </w:rPr>
        <w:footnoteReference w:id="140"/>
      </w:r>
      <w:r w:rsidRPr="00C31A32">
        <w:rPr>
          <w:rFonts w:ascii="Times New Roman" w:hAnsi="Times New Roman" w:cs="Times New Roman"/>
          <w:sz w:val="24"/>
          <w:szCs w:val="24"/>
        </w:rPr>
        <w:t xml:space="preserve"> A homophobic crowd might not think that it is humiliating for LGBTIQ+ people to be publicly abused while police are standing by – as it happened in </w:t>
      </w:r>
      <w:r w:rsidRPr="00C31A32">
        <w:rPr>
          <w:rFonts w:ascii="Times New Roman" w:hAnsi="Times New Roman" w:cs="Times New Roman"/>
          <w:i/>
          <w:iCs/>
          <w:sz w:val="24"/>
          <w:szCs w:val="24"/>
        </w:rPr>
        <w:t>Identoba</w:t>
      </w:r>
      <w:r w:rsidRPr="00C31A32">
        <w:rPr>
          <w:rFonts w:ascii="Times New Roman" w:hAnsi="Times New Roman" w:cs="Times New Roman"/>
          <w:sz w:val="24"/>
          <w:szCs w:val="24"/>
        </w:rPr>
        <w:t>. But insofar as the police inaction expresses the unequal moral worth of the LGBTIQ+ people in question, their inaction is degrading.</w:t>
      </w:r>
    </w:p>
    <w:p w14:paraId="0D9947B5" w14:textId="5086F0CE" w:rsidR="004866F8" w:rsidRPr="00C31A32" w:rsidRDefault="00CA2D40" w:rsidP="00C729B7">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By way of contrast with the prevailing quantitative interpretations of Article 3, so </w:t>
      </w:r>
      <w:proofErr w:type="gramStart"/>
      <w:r w:rsidRPr="00C31A32">
        <w:rPr>
          <w:rFonts w:ascii="Times New Roman" w:hAnsi="Times New Roman" w:cs="Times New Roman"/>
          <w:sz w:val="24"/>
          <w:szCs w:val="24"/>
        </w:rPr>
        <w:t>far</w:t>
      </w:r>
      <w:proofErr w:type="gramEnd"/>
      <w:r w:rsidRPr="00C31A32">
        <w:rPr>
          <w:rFonts w:ascii="Times New Roman" w:hAnsi="Times New Roman" w:cs="Times New Roman"/>
          <w:sz w:val="24"/>
          <w:szCs w:val="24"/>
        </w:rPr>
        <w:t xml:space="preserve"> we have argued that the ECtHR uses the word ‘degrading’ as an important evaluative term. This section sketched answers to two key components of the complex interpretive judgments that </w:t>
      </w:r>
      <w:r w:rsidR="00B06D5B" w:rsidRPr="00C31A32">
        <w:rPr>
          <w:rFonts w:ascii="Times New Roman" w:hAnsi="Times New Roman" w:cs="Times New Roman"/>
          <w:sz w:val="24"/>
          <w:szCs w:val="24"/>
        </w:rPr>
        <w:t>are necessary</w:t>
      </w:r>
      <w:r w:rsidRPr="00C31A32">
        <w:rPr>
          <w:rFonts w:ascii="Times New Roman" w:hAnsi="Times New Roman" w:cs="Times New Roman"/>
          <w:sz w:val="24"/>
          <w:szCs w:val="24"/>
        </w:rPr>
        <w:t xml:space="preserve"> to flesh out degrading treatment. Firstly, we argued that an action is degrading if it expresses the unequal moral worth of the victim and</w:t>
      </w:r>
      <w:r w:rsidRPr="00C31A32">
        <w:rPr>
          <w:rFonts w:ascii="Times New Roman" w:hAnsi="Times New Roman" w:cs="Times New Roman"/>
          <w:i/>
          <w:iCs/>
          <w:sz w:val="24"/>
          <w:szCs w:val="24"/>
        </w:rPr>
        <w:t xml:space="preserve"> </w:t>
      </w:r>
      <w:r w:rsidRPr="00C31A32">
        <w:rPr>
          <w:rFonts w:ascii="Times New Roman" w:hAnsi="Times New Roman" w:cs="Times New Roman"/>
          <w:sz w:val="24"/>
          <w:szCs w:val="24"/>
        </w:rPr>
        <w:t>if the person acting has power over the victim such that their actions can put the other down. It is for this reason that certain instances of direct discrimination amount to degrading treatment. Secondly, we argued that neither the intentions of the wrongdoer nor the subjective perception of the victim determines whether an act is degrading.</w:t>
      </w:r>
    </w:p>
    <w:p w14:paraId="63D0F8A2" w14:textId="77777777" w:rsidR="00C729B7" w:rsidRPr="00C31A32" w:rsidRDefault="00C729B7" w:rsidP="00C729B7">
      <w:pPr>
        <w:spacing w:after="0" w:line="276" w:lineRule="auto"/>
        <w:ind w:firstLine="567"/>
        <w:jc w:val="both"/>
        <w:rPr>
          <w:rFonts w:ascii="Times New Roman" w:hAnsi="Times New Roman" w:cs="Times New Roman"/>
          <w:sz w:val="24"/>
          <w:szCs w:val="24"/>
        </w:rPr>
      </w:pPr>
    </w:p>
    <w:p w14:paraId="335DBB31" w14:textId="77777777" w:rsidR="004866F8" w:rsidRPr="00C31A32" w:rsidRDefault="004866F8" w:rsidP="00CA2D40">
      <w:pPr>
        <w:spacing w:after="0" w:line="276" w:lineRule="auto"/>
        <w:jc w:val="both"/>
        <w:rPr>
          <w:rFonts w:ascii="Times New Roman" w:hAnsi="Times New Roman" w:cs="Times New Roman"/>
          <w:sz w:val="24"/>
          <w:szCs w:val="24"/>
        </w:rPr>
      </w:pPr>
    </w:p>
    <w:p w14:paraId="21952A7D" w14:textId="77777777" w:rsidR="00CA2D40" w:rsidRPr="00C31A32" w:rsidRDefault="00CA2D40" w:rsidP="00CA2D40">
      <w:pPr>
        <w:pStyle w:val="ListParagraph"/>
        <w:numPr>
          <w:ilvl w:val="0"/>
          <w:numId w:val="14"/>
        </w:numPr>
        <w:spacing w:after="0" w:line="276" w:lineRule="auto"/>
        <w:jc w:val="both"/>
        <w:rPr>
          <w:rFonts w:ascii="Times New Roman" w:hAnsi="Times New Roman" w:cs="Times New Roman"/>
          <w:i/>
          <w:iCs/>
          <w:sz w:val="24"/>
          <w:szCs w:val="24"/>
        </w:rPr>
      </w:pPr>
      <w:r w:rsidRPr="00C31A32">
        <w:rPr>
          <w:rFonts w:ascii="Times New Roman" w:hAnsi="Times New Roman" w:cs="Times New Roman"/>
          <w:i/>
          <w:iCs/>
          <w:sz w:val="24"/>
          <w:szCs w:val="24"/>
        </w:rPr>
        <w:t>‘Conversion Therapy’ within the Scope of Article 3 ECHR</w:t>
      </w:r>
    </w:p>
    <w:p w14:paraId="728BB035" w14:textId="77777777" w:rsidR="00CA2D40" w:rsidRPr="00C31A32" w:rsidRDefault="00CA2D40" w:rsidP="00CA2D40">
      <w:pPr>
        <w:spacing w:after="0" w:line="276" w:lineRule="auto"/>
        <w:jc w:val="both"/>
        <w:rPr>
          <w:rFonts w:ascii="Times New Roman" w:hAnsi="Times New Roman" w:cs="Times New Roman"/>
          <w:sz w:val="24"/>
          <w:szCs w:val="24"/>
        </w:rPr>
      </w:pPr>
    </w:p>
    <w:p w14:paraId="73F3E74C" w14:textId="0462D9BD" w:rsidR="00CA2D40" w:rsidRPr="00C31A32" w:rsidRDefault="00CA2D40" w:rsidP="00CA2D40">
      <w:pPr>
        <w:spacing w:after="0" w:line="276" w:lineRule="auto"/>
        <w:jc w:val="both"/>
        <w:rPr>
          <w:rFonts w:ascii="Times New Roman" w:hAnsi="Times New Roman" w:cs="Times New Roman"/>
          <w:sz w:val="24"/>
          <w:szCs w:val="24"/>
        </w:rPr>
      </w:pPr>
      <w:r w:rsidRPr="00C31A32">
        <w:rPr>
          <w:rFonts w:ascii="Times New Roman" w:hAnsi="Times New Roman" w:cs="Times New Roman"/>
          <w:sz w:val="24"/>
          <w:szCs w:val="24"/>
        </w:rPr>
        <w:t>Is ‘conversion therapy’ an affront to human dignity that amounts to degrading treatment under Article 3? Let us start with two specific forms of ‘conversion therapy’ that violate Article 3. First are extreme ‘physical’ forms of ‘conversion therapy’, such as those involving rape, electroshocks, forced examinations of genitals, injections of drugs etc.</w:t>
      </w:r>
      <w:r w:rsidRPr="00C31A32">
        <w:rPr>
          <w:rStyle w:val="FootnoteReference"/>
          <w:rFonts w:ascii="Times New Roman" w:hAnsi="Times New Roman" w:cs="Times New Roman"/>
          <w:sz w:val="24"/>
          <w:szCs w:val="24"/>
        </w:rPr>
        <w:footnoteReference w:id="141"/>
      </w:r>
      <w:r w:rsidRPr="00C31A32">
        <w:rPr>
          <w:rFonts w:ascii="Times New Roman" w:hAnsi="Times New Roman" w:cs="Times New Roman"/>
          <w:sz w:val="24"/>
          <w:szCs w:val="24"/>
        </w:rPr>
        <w:t xml:space="preserve"> Such extreme violence can cause severe physical pain and mental suffering and therefore those forms of ‘conversion therapy’ violate Article 3.</w:t>
      </w:r>
      <w:r w:rsidRPr="00C31A32">
        <w:rPr>
          <w:rStyle w:val="FootnoteReference"/>
          <w:rFonts w:ascii="Times New Roman" w:hAnsi="Times New Roman" w:cs="Times New Roman"/>
          <w:sz w:val="24"/>
          <w:szCs w:val="24"/>
        </w:rPr>
        <w:footnoteReference w:id="142"/>
      </w:r>
      <w:r w:rsidRPr="00C31A32">
        <w:rPr>
          <w:rFonts w:ascii="Times New Roman" w:hAnsi="Times New Roman" w:cs="Times New Roman"/>
          <w:sz w:val="24"/>
          <w:szCs w:val="24"/>
        </w:rPr>
        <w:t xml:space="preserve"> Arguably, depending on their severity, such ‘physical’ forms of ‘conversion therapy’ may constitute torture rather than degrading treatment.</w:t>
      </w:r>
      <w:r w:rsidRPr="00C31A32">
        <w:rPr>
          <w:rStyle w:val="FootnoteReference"/>
          <w:rFonts w:ascii="Times New Roman" w:hAnsi="Times New Roman" w:cs="Times New Roman"/>
          <w:sz w:val="24"/>
          <w:szCs w:val="24"/>
        </w:rPr>
        <w:footnoteReference w:id="143"/>
      </w:r>
      <w:r w:rsidRPr="00C31A32">
        <w:rPr>
          <w:rFonts w:ascii="Times New Roman" w:hAnsi="Times New Roman" w:cs="Times New Roman"/>
          <w:sz w:val="24"/>
          <w:szCs w:val="24"/>
        </w:rPr>
        <w:t xml:space="preserve"> That said, not only the severity of ill-treatment, but also its aim, determines its position within the architecture of Article 3. As the ECtHR held in </w:t>
      </w:r>
      <w:r w:rsidRPr="00C31A32">
        <w:rPr>
          <w:rFonts w:ascii="Times New Roman" w:hAnsi="Times New Roman" w:cs="Times New Roman"/>
          <w:i/>
          <w:iCs/>
          <w:sz w:val="24"/>
          <w:szCs w:val="24"/>
        </w:rPr>
        <w:t>Romanov</w:t>
      </w:r>
      <w:r w:rsidRPr="00C31A32">
        <w:rPr>
          <w:rStyle w:val="FootnoteReference"/>
          <w:rFonts w:ascii="Times New Roman" w:hAnsi="Times New Roman" w:cs="Times New Roman"/>
          <w:sz w:val="24"/>
          <w:szCs w:val="24"/>
        </w:rPr>
        <w:footnoteReference w:id="144"/>
      </w:r>
      <w:r w:rsidRPr="00C31A32">
        <w:rPr>
          <w:rFonts w:ascii="Times New Roman" w:hAnsi="Times New Roman" w:cs="Times New Roman"/>
          <w:sz w:val="24"/>
          <w:szCs w:val="24"/>
        </w:rPr>
        <w:t xml:space="preserve"> and </w:t>
      </w:r>
      <w:proofErr w:type="spellStart"/>
      <w:r w:rsidRPr="00C31A32">
        <w:rPr>
          <w:rFonts w:ascii="Times New Roman" w:hAnsi="Times New Roman" w:cs="Times New Roman"/>
          <w:i/>
          <w:iCs/>
          <w:sz w:val="24"/>
          <w:szCs w:val="24"/>
        </w:rPr>
        <w:t>Cestaro</w:t>
      </w:r>
      <w:proofErr w:type="spellEnd"/>
      <w:r w:rsidRPr="00C31A32">
        <w:rPr>
          <w:rFonts w:ascii="Times New Roman" w:hAnsi="Times New Roman" w:cs="Times New Roman"/>
          <w:sz w:val="24"/>
          <w:szCs w:val="24"/>
        </w:rPr>
        <w:t>,</w:t>
      </w:r>
      <w:r w:rsidRPr="00C31A32">
        <w:rPr>
          <w:rStyle w:val="FootnoteReference"/>
          <w:rFonts w:ascii="Times New Roman" w:hAnsi="Times New Roman" w:cs="Times New Roman"/>
          <w:sz w:val="24"/>
          <w:szCs w:val="24"/>
        </w:rPr>
        <w:footnoteReference w:id="145"/>
      </w:r>
      <w:r w:rsidRPr="00C31A32">
        <w:rPr>
          <w:rFonts w:ascii="Times New Roman" w:hAnsi="Times New Roman" w:cs="Times New Roman"/>
          <w:sz w:val="24"/>
          <w:szCs w:val="24"/>
        </w:rPr>
        <w:t xml:space="preserve"> the use of gratuitous violence that aims to debase others deserves the stigma attached to torture. Accordingly, because of their intensity and gratuitousness, violent ‘physical’ forms of ‘conversion therapy’ amount to torture rather than degrading treatment.</w:t>
      </w:r>
    </w:p>
    <w:p w14:paraId="6EFD4D29" w14:textId="77777777"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Forcible ‘conversion therapy’ is a second form that violates Article 3.</w:t>
      </w:r>
      <w:r w:rsidRPr="00C31A32">
        <w:rPr>
          <w:rStyle w:val="FootnoteReference"/>
          <w:rFonts w:ascii="Times New Roman" w:hAnsi="Times New Roman" w:cs="Times New Roman"/>
          <w:sz w:val="24"/>
          <w:szCs w:val="24"/>
        </w:rPr>
        <w:footnoteReference w:id="146"/>
      </w:r>
      <w:r w:rsidRPr="00C31A32">
        <w:rPr>
          <w:rFonts w:ascii="Times New Roman" w:hAnsi="Times New Roman" w:cs="Times New Roman"/>
          <w:sz w:val="24"/>
          <w:szCs w:val="24"/>
        </w:rPr>
        <w:t xml:space="preserve"> This conclusion flows from case-law on forcible medical treatments. As the ECtHR held in </w:t>
      </w:r>
      <w:proofErr w:type="spellStart"/>
      <w:r w:rsidRPr="00C31A32">
        <w:rPr>
          <w:rFonts w:ascii="Times New Roman" w:hAnsi="Times New Roman" w:cs="Times New Roman"/>
          <w:i/>
          <w:iCs/>
          <w:sz w:val="24"/>
          <w:szCs w:val="24"/>
        </w:rPr>
        <w:t>Herczegfalvy</w:t>
      </w:r>
      <w:proofErr w:type="spellEnd"/>
      <w:r w:rsidRPr="00C31A32">
        <w:rPr>
          <w:rFonts w:ascii="Times New Roman" w:hAnsi="Times New Roman" w:cs="Times New Roman"/>
          <w:sz w:val="24"/>
          <w:szCs w:val="24"/>
        </w:rPr>
        <w:t xml:space="preserve">, </w:t>
      </w:r>
      <w:r w:rsidRPr="00C31A32">
        <w:rPr>
          <w:rFonts w:ascii="Times New Roman" w:hAnsi="Times New Roman" w:cs="Times New Roman"/>
          <w:sz w:val="24"/>
          <w:szCs w:val="24"/>
        </w:rPr>
        <w:lastRenderedPageBreak/>
        <w:t>unless the forcible treatment inflicted upon a patient were a medical necessity it amounts to degrading treatment.</w:t>
      </w:r>
      <w:r w:rsidRPr="00C31A32">
        <w:rPr>
          <w:rStyle w:val="FootnoteReference"/>
          <w:rFonts w:ascii="Times New Roman" w:hAnsi="Times New Roman" w:cs="Times New Roman"/>
          <w:sz w:val="24"/>
          <w:szCs w:val="24"/>
        </w:rPr>
        <w:footnoteReference w:id="147"/>
      </w:r>
      <w:r w:rsidRPr="00C31A32">
        <w:rPr>
          <w:rFonts w:ascii="Times New Roman" w:hAnsi="Times New Roman" w:cs="Times New Roman"/>
          <w:sz w:val="24"/>
          <w:szCs w:val="24"/>
        </w:rPr>
        <w:t xml:space="preserve"> The UK Court of Appeal reiterated this principle in </w:t>
      </w:r>
      <w:r w:rsidRPr="00C31A32">
        <w:rPr>
          <w:rFonts w:ascii="Times New Roman" w:hAnsi="Times New Roman" w:cs="Times New Roman"/>
          <w:i/>
          <w:iCs/>
          <w:sz w:val="24"/>
          <w:szCs w:val="24"/>
        </w:rPr>
        <w:t>Wilkinson</w:t>
      </w:r>
      <w:r w:rsidRPr="00C31A32">
        <w:rPr>
          <w:rFonts w:ascii="Times New Roman" w:hAnsi="Times New Roman" w:cs="Times New Roman"/>
          <w:sz w:val="24"/>
          <w:szCs w:val="24"/>
        </w:rPr>
        <w:t>.</w:t>
      </w:r>
      <w:r w:rsidRPr="00C31A32">
        <w:rPr>
          <w:rStyle w:val="FootnoteReference"/>
          <w:rFonts w:ascii="Times New Roman" w:hAnsi="Times New Roman" w:cs="Times New Roman"/>
          <w:sz w:val="24"/>
          <w:szCs w:val="24"/>
        </w:rPr>
        <w:footnoteReference w:id="148"/>
      </w:r>
      <w:r w:rsidRPr="00C31A32">
        <w:rPr>
          <w:rFonts w:ascii="Times New Roman" w:hAnsi="Times New Roman" w:cs="Times New Roman"/>
          <w:sz w:val="24"/>
          <w:szCs w:val="24"/>
        </w:rPr>
        <w:t xml:space="preserve"> More specifically, according to </w:t>
      </w:r>
      <w:proofErr w:type="spellStart"/>
      <w:r w:rsidRPr="00C31A32">
        <w:rPr>
          <w:rFonts w:ascii="Times New Roman" w:hAnsi="Times New Roman" w:cs="Times New Roman"/>
          <w:i/>
          <w:iCs/>
          <w:sz w:val="24"/>
          <w:szCs w:val="24"/>
        </w:rPr>
        <w:t>Herczegfalvy</w:t>
      </w:r>
      <w:proofErr w:type="spellEnd"/>
      <w:r w:rsidRPr="00C31A32">
        <w:rPr>
          <w:rFonts w:ascii="Times New Roman" w:hAnsi="Times New Roman" w:cs="Times New Roman"/>
          <w:i/>
          <w:iCs/>
          <w:sz w:val="24"/>
          <w:szCs w:val="24"/>
        </w:rPr>
        <w:t xml:space="preserve"> </w:t>
      </w:r>
      <w:r w:rsidRPr="00C31A32">
        <w:rPr>
          <w:rFonts w:ascii="Times New Roman" w:hAnsi="Times New Roman" w:cs="Times New Roman"/>
          <w:sz w:val="24"/>
          <w:szCs w:val="24"/>
        </w:rPr>
        <w:t>and</w:t>
      </w:r>
      <w:r w:rsidRPr="00C31A32">
        <w:rPr>
          <w:rFonts w:ascii="Times New Roman" w:hAnsi="Times New Roman" w:cs="Times New Roman"/>
          <w:i/>
          <w:iCs/>
          <w:sz w:val="24"/>
          <w:szCs w:val="24"/>
        </w:rPr>
        <w:t xml:space="preserve"> Wilkinson</w:t>
      </w:r>
      <w:r w:rsidRPr="00C31A32">
        <w:rPr>
          <w:rFonts w:ascii="Times New Roman" w:hAnsi="Times New Roman" w:cs="Times New Roman"/>
          <w:sz w:val="24"/>
          <w:szCs w:val="24"/>
        </w:rPr>
        <w:t xml:space="preserve">, the forcible imposition of treatment on someone can be justified only when </w:t>
      </w:r>
      <w:r w:rsidRPr="00C31A32">
        <w:rPr>
          <w:rFonts w:ascii="Times New Roman" w:hAnsi="Times New Roman" w:cs="Times New Roman"/>
          <w:i/>
          <w:iCs/>
          <w:sz w:val="24"/>
          <w:szCs w:val="24"/>
        </w:rPr>
        <w:t>substantial</w:t>
      </w:r>
      <w:r w:rsidRPr="00C31A32">
        <w:rPr>
          <w:rFonts w:ascii="Times New Roman" w:hAnsi="Times New Roman" w:cs="Times New Roman"/>
          <w:sz w:val="24"/>
          <w:szCs w:val="24"/>
        </w:rPr>
        <w:t xml:space="preserve"> benefits can arise from it.</w:t>
      </w:r>
      <w:r w:rsidRPr="00C31A32">
        <w:rPr>
          <w:rStyle w:val="FootnoteReference"/>
          <w:rFonts w:ascii="Times New Roman" w:hAnsi="Times New Roman" w:cs="Times New Roman"/>
          <w:sz w:val="24"/>
          <w:szCs w:val="24"/>
        </w:rPr>
        <w:footnoteReference w:id="149"/>
      </w:r>
      <w:r w:rsidRPr="00C31A32">
        <w:rPr>
          <w:rFonts w:ascii="Times New Roman" w:hAnsi="Times New Roman" w:cs="Times New Roman"/>
          <w:sz w:val="24"/>
          <w:szCs w:val="24"/>
        </w:rPr>
        <w:t xml:space="preserve"> Such benefits must be evidenced by ‘established principles of medicine’,</w:t>
      </w:r>
      <w:r w:rsidRPr="00C31A32">
        <w:rPr>
          <w:rStyle w:val="FootnoteReference"/>
          <w:rFonts w:ascii="Times New Roman" w:hAnsi="Times New Roman" w:cs="Times New Roman"/>
          <w:sz w:val="24"/>
          <w:szCs w:val="24"/>
        </w:rPr>
        <w:footnoteReference w:id="150"/>
      </w:r>
      <w:r w:rsidRPr="00C31A32">
        <w:rPr>
          <w:rFonts w:ascii="Times New Roman" w:hAnsi="Times New Roman" w:cs="Times New Roman"/>
          <w:sz w:val="24"/>
          <w:szCs w:val="24"/>
        </w:rPr>
        <w:t xml:space="preserve"> and would often require the cross-examination of medical practitioners.</w:t>
      </w:r>
      <w:r w:rsidRPr="00C31A32">
        <w:rPr>
          <w:rStyle w:val="FootnoteReference"/>
          <w:rFonts w:ascii="Times New Roman" w:hAnsi="Times New Roman" w:cs="Times New Roman"/>
          <w:sz w:val="24"/>
          <w:szCs w:val="24"/>
        </w:rPr>
        <w:footnoteReference w:id="151"/>
      </w:r>
      <w:r w:rsidRPr="00C31A32">
        <w:rPr>
          <w:rFonts w:ascii="Times New Roman" w:hAnsi="Times New Roman" w:cs="Times New Roman"/>
          <w:sz w:val="24"/>
          <w:szCs w:val="24"/>
        </w:rPr>
        <w:t xml:space="preserve"> Arguably ‘conversion therapy’ falls woefully short of this standard. There is evidence of its lasting harmful effects on the physical and mental health of LGBTIQ+ people.</w:t>
      </w:r>
      <w:r w:rsidRPr="00C31A32">
        <w:rPr>
          <w:rStyle w:val="FootnoteReference"/>
          <w:rFonts w:ascii="Times New Roman" w:hAnsi="Times New Roman" w:cs="Times New Roman"/>
          <w:sz w:val="24"/>
          <w:szCs w:val="24"/>
        </w:rPr>
        <w:footnoteReference w:id="152"/>
      </w:r>
      <w:r w:rsidRPr="00C31A32">
        <w:rPr>
          <w:rFonts w:ascii="Times New Roman" w:hAnsi="Times New Roman" w:cs="Times New Roman"/>
          <w:sz w:val="24"/>
          <w:szCs w:val="24"/>
        </w:rPr>
        <w:t xml:space="preserve"> No health benefits arise from ‘conversion therapy’, let alone the ‘substantial’ benefits that the law requires to justify its forcible imposition. Thus, its forcible imposition on children, adolescents or adults violates Article 3. This holds </w:t>
      </w:r>
      <w:r w:rsidRPr="00C31A32">
        <w:rPr>
          <w:rFonts w:ascii="Times New Roman" w:hAnsi="Times New Roman" w:cs="Times New Roman"/>
          <w:i/>
          <w:iCs/>
          <w:sz w:val="24"/>
          <w:szCs w:val="24"/>
        </w:rPr>
        <w:t xml:space="preserve">regardless of </w:t>
      </w:r>
      <w:r w:rsidRPr="00C31A32">
        <w:rPr>
          <w:rFonts w:ascii="Times New Roman" w:hAnsi="Times New Roman" w:cs="Times New Roman"/>
          <w:sz w:val="24"/>
          <w:szCs w:val="24"/>
        </w:rPr>
        <w:t xml:space="preserve">what form forcible ‘conversion therapy’ takes – </w:t>
      </w:r>
      <w:proofErr w:type="gramStart"/>
      <w:r w:rsidRPr="00C31A32">
        <w:rPr>
          <w:rFonts w:ascii="Times New Roman" w:hAnsi="Times New Roman" w:cs="Times New Roman"/>
          <w:sz w:val="24"/>
          <w:szCs w:val="24"/>
        </w:rPr>
        <w:t>e.g.</w:t>
      </w:r>
      <w:proofErr w:type="gramEnd"/>
      <w:r w:rsidRPr="00C31A32">
        <w:rPr>
          <w:rFonts w:ascii="Times New Roman" w:hAnsi="Times New Roman" w:cs="Times New Roman"/>
          <w:sz w:val="24"/>
          <w:szCs w:val="24"/>
        </w:rPr>
        <w:t xml:space="preserve"> a violent or a mild, non-physical form – and </w:t>
      </w:r>
      <w:r w:rsidRPr="00C31A32">
        <w:rPr>
          <w:rFonts w:ascii="Times New Roman" w:hAnsi="Times New Roman" w:cs="Times New Roman"/>
          <w:i/>
          <w:iCs/>
          <w:sz w:val="24"/>
          <w:szCs w:val="24"/>
        </w:rPr>
        <w:t>regardless of</w:t>
      </w:r>
      <w:r w:rsidRPr="00C31A32">
        <w:rPr>
          <w:rFonts w:ascii="Times New Roman" w:hAnsi="Times New Roman" w:cs="Times New Roman"/>
          <w:sz w:val="24"/>
          <w:szCs w:val="24"/>
        </w:rPr>
        <w:t xml:space="preserve"> the age of its victims and their capacity to consent.</w:t>
      </w:r>
      <w:r w:rsidRPr="00C31A32">
        <w:rPr>
          <w:rStyle w:val="FootnoteReference"/>
          <w:rFonts w:ascii="Times New Roman" w:hAnsi="Times New Roman" w:cs="Times New Roman"/>
          <w:sz w:val="24"/>
          <w:szCs w:val="24"/>
        </w:rPr>
        <w:footnoteReference w:id="153"/>
      </w:r>
    </w:p>
    <w:p w14:paraId="06861629" w14:textId="7275173D"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That leaves us with mild, non-forcible forms of ‘conversion therapy’, such as non-physical, ‘talking’ sessions which pathologise certain sexualities or gender identities and attempt to eliminate them or repress their expression.</w:t>
      </w:r>
      <w:r w:rsidRPr="00C31A32">
        <w:rPr>
          <w:rStyle w:val="FootnoteReference"/>
          <w:rFonts w:ascii="Times New Roman" w:hAnsi="Times New Roman" w:cs="Times New Roman"/>
          <w:sz w:val="24"/>
          <w:szCs w:val="24"/>
        </w:rPr>
        <w:footnoteReference w:id="154"/>
      </w:r>
      <w:r w:rsidRPr="00C31A32">
        <w:rPr>
          <w:rFonts w:ascii="Times New Roman" w:hAnsi="Times New Roman" w:cs="Times New Roman"/>
          <w:sz w:val="24"/>
          <w:szCs w:val="24"/>
        </w:rPr>
        <w:t xml:space="preserve"> If non-physical and non-forcible forms of ‘conversion therapy’ also amount to degrading treatment, then every form of ‘conversion therapy’ – from its ultra-violent to its mildest ‘talking’ varieties, and in both forcible and non-forcible forms – would fall within the scope of the absolute prohibition of </w:t>
      </w:r>
      <w:r w:rsidR="00964E75" w:rsidRPr="00C31A32">
        <w:rPr>
          <w:rFonts w:ascii="Times New Roman" w:hAnsi="Times New Roman" w:cs="Times New Roman"/>
          <w:sz w:val="24"/>
          <w:szCs w:val="24"/>
        </w:rPr>
        <w:t>torture or CIDT</w:t>
      </w:r>
      <w:r w:rsidRPr="00C31A32">
        <w:rPr>
          <w:rFonts w:ascii="Times New Roman" w:hAnsi="Times New Roman" w:cs="Times New Roman"/>
          <w:sz w:val="24"/>
          <w:szCs w:val="24"/>
        </w:rPr>
        <w:t xml:space="preserve"> in human rights law.</w:t>
      </w:r>
    </w:p>
    <w:p w14:paraId="610CC489" w14:textId="77777777"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As we saw, an act is degrading if it expresses the unequal moral worth of the other and</w:t>
      </w:r>
      <w:r w:rsidRPr="00C31A32">
        <w:rPr>
          <w:rFonts w:ascii="Times New Roman" w:hAnsi="Times New Roman" w:cs="Times New Roman"/>
          <w:i/>
          <w:iCs/>
          <w:sz w:val="24"/>
          <w:szCs w:val="24"/>
        </w:rPr>
        <w:t xml:space="preserve"> </w:t>
      </w:r>
      <w:r w:rsidRPr="00C31A32">
        <w:rPr>
          <w:rFonts w:ascii="Times New Roman" w:hAnsi="Times New Roman" w:cs="Times New Roman"/>
          <w:sz w:val="24"/>
          <w:szCs w:val="24"/>
        </w:rPr>
        <w:t>if the wrongdoer has sufficient power over the victim. Certain cases of direct sexual orientation discrimination amount to degrading treatment for precisely those reasons. Arguably all forms of ‘conversion therapy’ – not just its ‘physical’ or forcible forms – fulfil those two conditions of degradation. Treating LGBTIQ+ people as though they are of less value is an intrinsic feature of ‘conversion therapy’. Every form of the practice manifests contempt for LGBTIQ+ identities; that contempt is then acted upon through a wilful refusal to respect the equal value of the wellbeing of LGBTIQ+ people. This is a dignitarian harm that occurs regardless of whether the victims of ‘conversion therapy’ get injured by the practice. This is not to suggest that the deleterious consequences of ‘conversion therapy’ for the health and wellbeing of its victims do not matter. On the contrary, the reasons why ‘conversion therapy’ is degrading are at least partly determined by its predictable consequences for the interests of its victims.</w:t>
      </w:r>
      <w:r w:rsidRPr="00C31A32">
        <w:rPr>
          <w:rStyle w:val="FootnoteReference"/>
          <w:rFonts w:ascii="Times New Roman" w:hAnsi="Times New Roman" w:cs="Times New Roman"/>
          <w:sz w:val="24"/>
          <w:szCs w:val="24"/>
        </w:rPr>
        <w:footnoteReference w:id="155"/>
      </w:r>
      <w:r w:rsidRPr="00C31A32">
        <w:rPr>
          <w:rFonts w:ascii="Times New Roman" w:hAnsi="Times New Roman" w:cs="Times New Roman"/>
          <w:sz w:val="24"/>
          <w:szCs w:val="24"/>
        </w:rPr>
        <w:t xml:space="preserve"> It </w:t>
      </w:r>
      <w:r w:rsidRPr="00C31A32">
        <w:rPr>
          <w:rFonts w:ascii="Times New Roman" w:hAnsi="Times New Roman" w:cs="Times New Roman"/>
          <w:sz w:val="24"/>
          <w:szCs w:val="24"/>
        </w:rPr>
        <w:lastRenderedPageBreak/>
        <w:t>is worth revisiting some of those predictable consequences, which were highlighted in the third section of this article, in order to flesh out why all forms of ‘conversion therapy’ amount, at a minimum, to degrading treatment.</w:t>
      </w:r>
    </w:p>
    <w:p w14:paraId="41DCAAF7" w14:textId="77777777"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As we discussed earlier, ‘conversion therapy’ imposes a real risk of grave, life-long harm for the physical and mental health of its victims. Independent of any physical or psychological harm, however, ‘conversion therapy’ is also meaning-making for its victims and for LGBTIQ+ people more broadly.</w:t>
      </w:r>
      <w:r w:rsidRPr="00C31A32">
        <w:rPr>
          <w:rStyle w:val="FootnoteReference"/>
          <w:rFonts w:ascii="Times New Roman" w:hAnsi="Times New Roman" w:cs="Times New Roman"/>
          <w:sz w:val="24"/>
          <w:szCs w:val="24"/>
        </w:rPr>
        <w:footnoteReference w:id="156"/>
      </w:r>
      <w:r w:rsidRPr="00C31A32">
        <w:rPr>
          <w:rFonts w:ascii="Times New Roman" w:hAnsi="Times New Roman" w:cs="Times New Roman"/>
          <w:sz w:val="24"/>
          <w:szCs w:val="24"/>
        </w:rPr>
        <w:t xml:space="preserve"> The expressive harms caused by ‘conversion therapy’ arise from the fact that it contemptuously disregards the interests and welfare of LGBTIQ+ people.</w:t>
      </w:r>
      <w:r w:rsidRPr="00C31A32">
        <w:rPr>
          <w:rStyle w:val="FootnoteReference"/>
          <w:rFonts w:ascii="Times New Roman" w:hAnsi="Times New Roman" w:cs="Times New Roman"/>
          <w:sz w:val="24"/>
          <w:szCs w:val="24"/>
        </w:rPr>
        <w:footnoteReference w:id="157"/>
      </w:r>
      <w:r w:rsidRPr="00C31A32">
        <w:rPr>
          <w:rFonts w:ascii="Times New Roman" w:hAnsi="Times New Roman" w:cs="Times New Roman"/>
          <w:sz w:val="24"/>
          <w:szCs w:val="24"/>
        </w:rPr>
        <w:t xml:space="preserve"> Even when not stated explicitly, the degrading message of ‘conversion therapy’ is intelligible to the recipients because it reflects and repeats a widely understood message about sexuality norms, viz heterosexuality is ‘normal’ and desirable whereas other gender identities or expressions of sexuality are not. This message is intelligible to its recipients because </w:t>
      </w:r>
      <w:r w:rsidRPr="00C31A32">
        <w:rPr>
          <w:rFonts w:ascii="Times New Roman" w:hAnsi="Times New Roman" w:cs="Times New Roman"/>
          <w:i/>
          <w:iCs/>
          <w:sz w:val="24"/>
          <w:szCs w:val="24"/>
        </w:rPr>
        <w:t>they</w:t>
      </w:r>
      <w:r w:rsidRPr="00C31A32">
        <w:rPr>
          <w:rFonts w:ascii="Times New Roman" w:hAnsi="Times New Roman" w:cs="Times New Roman"/>
          <w:sz w:val="24"/>
          <w:szCs w:val="24"/>
        </w:rPr>
        <w:t xml:space="preserve"> are part of the same community of shared meanings as those who try to ‘convert’ them. That is why ‘conversion therapy’ is degrading even if that was not how it was meant by the ‘therapy’ provider or how it was conceived by the individual victims.</w:t>
      </w:r>
      <w:r w:rsidRPr="00C31A32">
        <w:rPr>
          <w:rStyle w:val="FootnoteReference"/>
          <w:rFonts w:ascii="Times New Roman" w:hAnsi="Times New Roman" w:cs="Times New Roman"/>
          <w:sz w:val="24"/>
          <w:szCs w:val="24"/>
        </w:rPr>
        <w:footnoteReference w:id="158"/>
      </w:r>
    </w:p>
    <w:p w14:paraId="49978E7C" w14:textId="77777777"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In these ways ‘conversion therapy’ is fundamentally incompatible with the sense of self-worth that we associate with human dignity. Self-worth requires that a person is secure in their identity as an individual, including as a member of those communities with which they identify. ‘Conversion therapy’ eradicates this sense of self-worth. Its constitutive aim is to limit the options of LGBTIQ+ persons in some of the most valuable and intimate spheres of life. The freedoms ‘conversion therapy’ brazenly denies would not be denied to a heterosexual person. Therefore, ‘conversion therapy’ treats LGBTIQ+ people as if they are not of equal moral worth to others; and, more specifically, not of equal worth to heterosexual persons.</w:t>
      </w:r>
    </w:p>
    <w:p w14:paraId="56421332" w14:textId="5F4A3306"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So, ‘conversion therapy’ fulfils the first criterion of degrading treatment. Recall though that a degrading act also requires that its perpetrator has sufficient power or status over the recipient of the treatment. ‘Conversion therapy’ fulfils that condition too. A significant power imbalance is inherent in the practice. ‘Conversion therapy’ is typically offered by members of established social institutions, such as faith groups or medical experts, who hold greater power in relation to individual victims. Due to the significant disparity of status between pastors, doctors, therapists etc. and individual victims, the disrespect expressed by ‘conversion therapy’ does not just insult its victims but degrades them. Therefore, all forms of ‘conversion therapy’ amount to degrading treatment because all combine basic disrespect for a protected group of </w:t>
      </w:r>
      <w:r w:rsidRPr="00C31A32">
        <w:rPr>
          <w:rFonts w:ascii="Times New Roman" w:hAnsi="Times New Roman" w:cs="Times New Roman"/>
          <w:sz w:val="24"/>
          <w:szCs w:val="24"/>
        </w:rPr>
        <w:lastRenderedPageBreak/>
        <w:t xml:space="preserve">people, </w:t>
      </w:r>
      <w:proofErr w:type="gramStart"/>
      <w:r w:rsidRPr="00C31A32">
        <w:rPr>
          <w:rFonts w:ascii="Times New Roman" w:hAnsi="Times New Roman" w:cs="Times New Roman"/>
          <w:sz w:val="24"/>
          <w:szCs w:val="24"/>
        </w:rPr>
        <w:t>i.e.</w:t>
      </w:r>
      <w:proofErr w:type="gramEnd"/>
      <w:r w:rsidRPr="00C31A32">
        <w:rPr>
          <w:rFonts w:ascii="Times New Roman" w:hAnsi="Times New Roman" w:cs="Times New Roman"/>
          <w:sz w:val="24"/>
          <w:szCs w:val="24"/>
        </w:rPr>
        <w:t xml:space="preserve"> LGBTIQ+ persons, with a significant imbalance of power</w:t>
      </w:r>
      <w:r w:rsidR="009D0A77">
        <w:rPr>
          <w:rFonts w:ascii="Times New Roman" w:hAnsi="Times New Roman" w:cs="Times New Roman"/>
          <w:sz w:val="24"/>
          <w:szCs w:val="24"/>
        </w:rPr>
        <w:t xml:space="preserve"> or status</w:t>
      </w:r>
      <w:r w:rsidRPr="00C31A32">
        <w:rPr>
          <w:rFonts w:ascii="Times New Roman" w:hAnsi="Times New Roman" w:cs="Times New Roman"/>
          <w:sz w:val="24"/>
          <w:szCs w:val="24"/>
        </w:rPr>
        <w:t xml:space="preserve"> between the parties involved.</w:t>
      </w:r>
    </w:p>
    <w:p w14:paraId="3FE75170" w14:textId="77777777"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The expressive harms of ‘conversion therapy’ encapsulate some of the practice’s most profound yet predictable consequences for the interests of its victims. Nevertheless, it is worth clarifying that the message conveyed by ‘conversion therapy’ is not the source of why the practice is wrong. As we saw, ‘conversion therapy’ disrespects the claims to equal consideration made by the equal moral personhood of all people regardless of sexuality or gender identity. The importance of being treated as equals means that any act that spurns the normative authority of equal concern implies that some people are second-class citizens. Put otherwise, ‘conversion therapy’ is degrading </w:t>
      </w:r>
      <w:r w:rsidRPr="00C31A32">
        <w:rPr>
          <w:rFonts w:ascii="Times New Roman" w:hAnsi="Times New Roman" w:cs="Times New Roman"/>
          <w:i/>
          <w:iCs/>
          <w:sz w:val="24"/>
          <w:szCs w:val="24"/>
        </w:rPr>
        <w:t>because</w:t>
      </w:r>
      <w:r w:rsidRPr="00C31A32">
        <w:rPr>
          <w:rFonts w:ascii="Times New Roman" w:hAnsi="Times New Roman" w:cs="Times New Roman"/>
          <w:sz w:val="24"/>
          <w:szCs w:val="24"/>
        </w:rPr>
        <w:t xml:space="preserve"> it discounts the interests of LGBTIQ+ people absent any good reason for doing so. Its degrading character results from the way it wrongs individuals – and a respect-based account offers a plausible explanation of that wrong.</w:t>
      </w:r>
    </w:p>
    <w:p w14:paraId="282BFB39" w14:textId="77777777" w:rsidR="00CA2D40" w:rsidRPr="00C31A32" w:rsidRDefault="00CA2D40" w:rsidP="00CA2D40">
      <w:pPr>
        <w:spacing w:after="0" w:line="276" w:lineRule="auto"/>
        <w:jc w:val="both"/>
        <w:rPr>
          <w:rFonts w:ascii="Times New Roman" w:hAnsi="Times New Roman" w:cs="Times New Roman"/>
          <w:sz w:val="24"/>
          <w:szCs w:val="24"/>
        </w:rPr>
      </w:pPr>
    </w:p>
    <w:p w14:paraId="3A5182C3" w14:textId="77777777" w:rsidR="00CA2D40" w:rsidRPr="00C31A32" w:rsidRDefault="00CA2D40" w:rsidP="00CA2D40">
      <w:pPr>
        <w:spacing w:after="0" w:line="276" w:lineRule="auto"/>
        <w:jc w:val="both"/>
        <w:rPr>
          <w:rFonts w:ascii="Times New Roman" w:hAnsi="Times New Roman" w:cs="Times New Roman"/>
          <w:sz w:val="24"/>
          <w:szCs w:val="24"/>
        </w:rPr>
      </w:pPr>
    </w:p>
    <w:p w14:paraId="64125080" w14:textId="77777777" w:rsidR="00CA2D40" w:rsidRPr="00C31A32" w:rsidRDefault="00CA2D40" w:rsidP="00CA2D40">
      <w:pPr>
        <w:pStyle w:val="ListParagraph"/>
        <w:numPr>
          <w:ilvl w:val="0"/>
          <w:numId w:val="13"/>
        </w:numPr>
        <w:spacing w:after="0" w:line="276" w:lineRule="auto"/>
        <w:jc w:val="center"/>
        <w:rPr>
          <w:rFonts w:ascii="Times New Roman" w:hAnsi="Times New Roman" w:cs="Times New Roman"/>
          <w:i/>
          <w:iCs/>
          <w:sz w:val="28"/>
          <w:szCs w:val="28"/>
        </w:rPr>
      </w:pPr>
      <w:bookmarkStart w:id="2" w:name="OLE_LINK3"/>
      <w:bookmarkStart w:id="3" w:name="OLE_LINK4"/>
      <w:r w:rsidRPr="00C31A32">
        <w:rPr>
          <w:rFonts w:ascii="Times New Roman" w:hAnsi="Times New Roman" w:cs="Times New Roman"/>
          <w:i/>
          <w:iCs/>
          <w:sz w:val="28"/>
          <w:szCs w:val="28"/>
        </w:rPr>
        <w:t>Positive State Obligations</w:t>
      </w:r>
    </w:p>
    <w:bookmarkEnd w:id="2"/>
    <w:bookmarkEnd w:id="3"/>
    <w:p w14:paraId="2DA71A4A" w14:textId="77777777" w:rsidR="00CA2D40" w:rsidRPr="00C31A32" w:rsidRDefault="00CA2D40" w:rsidP="00CA2D40">
      <w:pPr>
        <w:spacing w:after="0" w:line="276" w:lineRule="auto"/>
        <w:ind w:firstLine="567"/>
        <w:jc w:val="both"/>
        <w:rPr>
          <w:rFonts w:ascii="Times New Roman" w:hAnsi="Times New Roman" w:cs="Times New Roman"/>
          <w:sz w:val="24"/>
          <w:szCs w:val="24"/>
        </w:rPr>
      </w:pPr>
    </w:p>
    <w:p w14:paraId="33DA4DD4" w14:textId="08EE59FD" w:rsidR="00736E0A" w:rsidRPr="00C31A32" w:rsidRDefault="00CA2D40" w:rsidP="00736E0A">
      <w:pPr>
        <w:spacing w:after="0" w:line="276" w:lineRule="auto"/>
        <w:jc w:val="both"/>
        <w:rPr>
          <w:rFonts w:ascii="Times New Roman" w:hAnsi="Times New Roman" w:cs="Times New Roman"/>
          <w:sz w:val="24"/>
          <w:szCs w:val="24"/>
        </w:rPr>
      </w:pPr>
      <w:r w:rsidRPr="00C31A32">
        <w:rPr>
          <w:rFonts w:ascii="Times New Roman" w:hAnsi="Times New Roman" w:cs="Times New Roman"/>
          <w:sz w:val="24"/>
          <w:szCs w:val="24"/>
        </w:rPr>
        <w:t xml:space="preserve">So far, we argued that all forms of ‘conversion therapy’ amount at a minimum to degrading treatment under the ECHR and UK human rights law. </w:t>
      </w:r>
      <w:r w:rsidR="002A739C">
        <w:rPr>
          <w:rFonts w:ascii="Times New Roman" w:hAnsi="Times New Roman" w:cs="Times New Roman"/>
          <w:sz w:val="24"/>
          <w:szCs w:val="24"/>
        </w:rPr>
        <w:t xml:space="preserve">As such, all forms of ‘conversion therapy’ are </w:t>
      </w:r>
      <w:r w:rsidR="002A739C">
        <w:rPr>
          <w:rFonts w:ascii="Times New Roman" w:hAnsi="Times New Roman" w:cs="Times New Roman"/>
          <w:sz w:val="24"/>
          <w:szCs w:val="24"/>
        </w:rPr>
        <w:t xml:space="preserve">absolutely prohibited and no consequentialist reasoning provided by the state or others can justify </w:t>
      </w:r>
      <w:r w:rsidR="002A739C">
        <w:rPr>
          <w:rFonts w:ascii="Times New Roman" w:hAnsi="Times New Roman" w:cs="Times New Roman"/>
          <w:sz w:val="24"/>
          <w:szCs w:val="24"/>
        </w:rPr>
        <w:t>them</w:t>
      </w:r>
      <w:r w:rsidR="002A739C">
        <w:rPr>
          <w:rFonts w:ascii="Times New Roman" w:hAnsi="Times New Roman" w:cs="Times New Roman"/>
          <w:sz w:val="24"/>
          <w:szCs w:val="24"/>
        </w:rPr>
        <w:t>.</w:t>
      </w:r>
      <w:r w:rsidR="002A739C">
        <w:rPr>
          <w:rFonts w:ascii="Times New Roman" w:hAnsi="Times New Roman" w:cs="Times New Roman"/>
          <w:sz w:val="24"/>
          <w:szCs w:val="24"/>
        </w:rPr>
        <w:t xml:space="preserve"> </w:t>
      </w:r>
      <w:r w:rsidRPr="00C31A32">
        <w:rPr>
          <w:rFonts w:ascii="Times New Roman" w:hAnsi="Times New Roman" w:cs="Times New Roman"/>
          <w:sz w:val="24"/>
          <w:szCs w:val="24"/>
        </w:rPr>
        <w:t xml:space="preserve">Where particular forms of ‘conversion therapy’ sit on the scale of Article 3, </w:t>
      </w:r>
      <w:proofErr w:type="gramStart"/>
      <w:r w:rsidRPr="00C31A32">
        <w:rPr>
          <w:rFonts w:ascii="Times New Roman" w:hAnsi="Times New Roman" w:cs="Times New Roman"/>
          <w:sz w:val="24"/>
          <w:szCs w:val="24"/>
        </w:rPr>
        <w:t>i.e.</w:t>
      </w:r>
      <w:proofErr w:type="gramEnd"/>
      <w:r w:rsidRPr="00C31A32">
        <w:rPr>
          <w:rFonts w:ascii="Times New Roman" w:hAnsi="Times New Roman" w:cs="Times New Roman"/>
          <w:sz w:val="24"/>
          <w:szCs w:val="24"/>
        </w:rPr>
        <w:t xml:space="preserve"> whether particular ‘therapies’ constitute torture </w:t>
      </w:r>
      <w:r w:rsidR="00B26B60">
        <w:rPr>
          <w:rFonts w:ascii="Times New Roman" w:hAnsi="Times New Roman" w:cs="Times New Roman"/>
          <w:sz w:val="24"/>
          <w:szCs w:val="24"/>
        </w:rPr>
        <w:t xml:space="preserve">rather than </w:t>
      </w:r>
      <w:r w:rsidRPr="00C31A32">
        <w:rPr>
          <w:rFonts w:ascii="Times New Roman" w:hAnsi="Times New Roman" w:cs="Times New Roman"/>
          <w:sz w:val="24"/>
          <w:szCs w:val="24"/>
        </w:rPr>
        <w:t>degrading treatment, would depend on their</w:t>
      </w:r>
      <w:r w:rsidR="00525333">
        <w:rPr>
          <w:rFonts w:ascii="Times New Roman" w:hAnsi="Times New Roman" w:cs="Times New Roman"/>
          <w:sz w:val="24"/>
          <w:szCs w:val="24"/>
        </w:rPr>
        <w:t xml:space="preserve"> deliberateness</w:t>
      </w:r>
      <w:r w:rsidR="00B24787">
        <w:rPr>
          <w:rFonts w:ascii="Times New Roman" w:hAnsi="Times New Roman" w:cs="Times New Roman"/>
          <w:sz w:val="24"/>
          <w:szCs w:val="24"/>
        </w:rPr>
        <w:t>, the involvement of state agents,</w:t>
      </w:r>
      <w:r w:rsidR="00525333">
        <w:rPr>
          <w:rFonts w:ascii="Times New Roman" w:hAnsi="Times New Roman" w:cs="Times New Roman"/>
          <w:sz w:val="24"/>
          <w:szCs w:val="24"/>
        </w:rPr>
        <w:t xml:space="preserve"> </w:t>
      </w:r>
      <w:r w:rsidR="00B24787">
        <w:rPr>
          <w:rFonts w:ascii="Times New Roman" w:hAnsi="Times New Roman" w:cs="Times New Roman"/>
          <w:sz w:val="24"/>
          <w:szCs w:val="24"/>
        </w:rPr>
        <w:t>their specific purpose and the status of the victim</w:t>
      </w:r>
      <w:r w:rsidR="00525333">
        <w:rPr>
          <w:rFonts w:ascii="Times New Roman" w:hAnsi="Times New Roman" w:cs="Times New Roman"/>
          <w:sz w:val="24"/>
          <w:szCs w:val="24"/>
        </w:rPr>
        <w:t xml:space="preserve"> </w:t>
      </w:r>
      <w:r w:rsidRPr="00C31A32">
        <w:rPr>
          <w:rFonts w:ascii="Times New Roman" w:hAnsi="Times New Roman" w:cs="Times New Roman"/>
          <w:sz w:val="24"/>
          <w:szCs w:val="24"/>
        </w:rPr>
        <w:t>in the context of the case.</w:t>
      </w:r>
      <w:r w:rsidR="002D6018" w:rsidRPr="00C31A32">
        <w:rPr>
          <w:rStyle w:val="FootnoteReference"/>
          <w:rFonts w:ascii="Times New Roman" w:hAnsi="Times New Roman" w:cs="Times New Roman"/>
          <w:sz w:val="24"/>
          <w:szCs w:val="24"/>
        </w:rPr>
        <w:footnoteReference w:id="159"/>
      </w:r>
    </w:p>
    <w:p w14:paraId="1A0EA558" w14:textId="4080B046" w:rsidR="00CA2D40" w:rsidRPr="00C31A32" w:rsidRDefault="005B68CA" w:rsidP="00B71BB6">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Even though</w:t>
      </w:r>
      <w:r w:rsidR="00736E0A" w:rsidRPr="00C31A32">
        <w:rPr>
          <w:rFonts w:ascii="Times New Roman" w:hAnsi="Times New Roman" w:cs="Times New Roman"/>
          <w:sz w:val="24"/>
          <w:szCs w:val="24"/>
        </w:rPr>
        <w:t xml:space="preserve"> </w:t>
      </w:r>
      <w:r w:rsidR="007262A1" w:rsidRPr="00C31A32">
        <w:rPr>
          <w:rFonts w:ascii="Times New Roman" w:hAnsi="Times New Roman" w:cs="Times New Roman"/>
          <w:sz w:val="24"/>
          <w:szCs w:val="24"/>
        </w:rPr>
        <w:t>our</w:t>
      </w:r>
      <w:r w:rsidR="00736E0A" w:rsidRPr="00C31A32">
        <w:rPr>
          <w:rFonts w:ascii="Times New Roman" w:hAnsi="Times New Roman" w:cs="Times New Roman"/>
          <w:sz w:val="24"/>
          <w:szCs w:val="24"/>
        </w:rPr>
        <w:t xml:space="preserve"> focus has been</w:t>
      </w:r>
      <w:r w:rsidR="006619F6" w:rsidRPr="00C31A32">
        <w:rPr>
          <w:rFonts w:ascii="Times New Roman" w:hAnsi="Times New Roman" w:cs="Times New Roman"/>
          <w:sz w:val="24"/>
          <w:szCs w:val="24"/>
        </w:rPr>
        <w:t xml:space="preserve"> on the ECHR</w:t>
      </w:r>
      <w:r w:rsidR="00736E0A" w:rsidRPr="00C31A32">
        <w:rPr>
          <w:rFonts w:ascii="Times New Roman" w:hAnsi="Times New Roman" w:cs="Times New Roman"/>
          <w:sz w:val="24"/>
          <w:szCs w:val="24"/>
        </w:rPr>
        <w:t>,</w:t>
      </w:r>
      <w:r w:rsidR="006619F6" w:rsidRPr="00C31A32">
        <w:rPr>
          <w:rFonts w:ascii="Times New Roman" w:hAnsi="Times New Roman" w:cs="Times New Roman"/>
          <w:sz w:val="24"/>
          <w:szCs w:val="24"/>
        </w:rPr>
        <w:t xml:space="preserve"> </w:t>
      </w:r>
      <w:r w:rsidR="00B71BB6" w:rsidRPr="00C31A32">
        <w:rPr>
          <w:rFonts w:ascii="Times New Roman" w:hAnsi="Times New Roman" w:cs="Times New Roman"/>
          <w:sz w:val="24"/>
          <w:szCs w:val="24"/>
        </w:rPr>
        <w:t>the Yogyakarta Principles and the work of the UN Committee Against Torture (CAT) on ‘conversion therapy’</w:t>
      </w:r>
      <w:r w:rsidR="006619F6" w:rsidRPr="00C31A32">
        <w:rPr>
          <w:rFonts w:ascii="Times New Roman" w:hAnsi="Times New Roman" w:cs="Times New Roman"/>
          <w:sz w:val="24"/>
          <w:szCs w:val="24"/>
        </w:rPr>
        <w:t xml:space="preserve"> </w:t>
      </w:r>
      <w:r w:rsidR="00B71BB6" w:rsidRPr="00C31A32">
        <w:rPr>
          <w:rFonts w:ascii="Times New Roman" w:hAnsi="Times New Roman" w:cs="Times New Roman"/>
          <w:sz w:val="24"/>
          <w:szCs w:val="24"/>
        </w:rPr>
        <w:t xml:space="preserve">indicate that this article’s </w:t>
      </w:r>
      <w:r w:rsidR="00F96589" w:rsidRPr="00C31A32">
        <w:rPr>
          <w:rFonts w:ascii="Times New Roman" w:hAnsi="Times New Roman" w:cs="Times New Roman"/>
          <w:sz w:val="24"/>
          <w:szCs w:val="24"/>
        </w:rPr>
        <w:t xml:space="preserve">main </w:t>
      </w:r>
      <w:r w:rsidR="00B71BB6" w:rsidRPr="00C31A32">
        <w:rPr>
          <w:rFonts w:ascii="Times New Roman" w:hAnsi="Times New Roman" w:cs="Times New Roman"/>
          <w:sz w:val="24"/>
          <w:szCs w:val="24"/>
        </w:rPr>
        <w:t>argument</w:t>
      </w:r>
      <w:r w:rsidR="00F96589" w:rsidRPr="00C31A32">
        <w:rPr>
          <w:rFonts w:ascii="Times New Roman" w:hAnsi="Times New Roman" w:cs="Times New Roman"/>
          <w:sz w:val="24"/>
          <w:szCs w:val="24"/>
        </w:rPr>
        <w:t>s</w:t>
      </w:r>
      <w:r w:rsidR="00B71BB6" w:rsidRPr="00C31A32">
        <w:rPr>
          <w:rFonts w:ascii="Times New Roman" w:hAnsi="Times New Roman" w:cs="Times New Roman"/>
          <w:sz w:val="24"/>
          <w:szCs w:val="24"/>
        </w:rPr>
        <w:t xml:space="preserve"> apply in international human rights law more broadly</w:t>
      </w:r>
      <w:r w:rsidR="006619F6" w:rsidRPr="00C31A32">
        <w:rPr>
          <w:rFonts w:ascii="Times New Roman" w:hAnsi="Times New Roman" w:cs="Times New Roman"/>
          <w:sz w:val="24"/>
          <w:szCs w:val="24"/>
        </w:rPr>
        <w:t>.</w:t>
      </w:r>
      <w:r w:rsidRPr="00C31A32">
        <w:rPr>
          <w:rFonts w:ascii="Times New Roman" w:hAnsi="Times New Roman" w:cs="Times New Roman"/>
          <w:sz w:val="24"/>
          <w:szCs w:val="24"/>
        </w:rPr>
        <w:t xml:space="preserve"> It is worth briefly </w:t>
      </w:r>
      <w:r w:rsidR="007262A1" w:rsidRPr="00C31A32">
        <w:rPr>
          <w:rFonts w:ascii="Times New Roman" w:hAnsi="Times New Roman" w:cs="Times New Roman"/>
          <w:sz w:val="24"/>
          <w:szCs w:val="24"/>
        </w:rPr>
        <w:t>highlighting</w:t>
      </w:r>
      <w:r w:rsidRPr="00C31A32">
        <w:rPr>
          <w:rFonts w:ascii="Times New Roman" w:hAnsi="Times New Roman" w:cs="Times New Roman"/>
          <w:sz w:val="24"/>
          <w:szCs w:val="24"/>
        </w:rPr>
        <w:t xml:space="preserve"> this point, although a</w:t>
      </w:r>
      <w:r w:rsidR="006619F6" w:rsidRPr="00C31A32">
        <w:rPr>
          <w:rFonts w:ascii="Times New Roman" w:hAnsi="Times New Roman" w:cs="Times New Roman"/>
          <w:sz w:val="24"/>
          <w:szCs w:val="24"/>
        </w:rPr>
        <w:t xml:space="preserve"> fuller </w:t>
      </w:r>
      <w:r w:rsidR="00736E0A" w:rsidRPr="00C31A32">
        <w:rPr>
          <w:rFonts w:ascii="Times New Roman" w:hAnsi="Times New Roman" w:cs="Times New Roman"/>
          <w:sz w:val="24"/>
          <w:szCs w:val="24"/>
        </w:rPr>
        <w:t xml:space="preserve">analysis </w:t>
      </w:r>
      <w:r w:rsidR="00FC189F" w:rsidRPr="00C31A32">
        <w:rPr>
          <w:rFonts w:ascii="Times New Roman" w:hAnsi="Times New Roman" w:cs="Times New Roman"/>
          <w:sz w:val="24"/>
          <w:szCs w:val="24"/>
        </w:rPr>
        <w:t>cannot be pursued here</w:t>
      </w:r>
      <w:r w:rsidR="00736E0A" w:rsidRPr="00C31A32">
        <w:rPr>
          <w:rFonts w:ascii="Times New Roman" w:hAnsi="Times New Roman" w:cs="Times New Roman"/>
          <w:sz w:val="24"/>
          <w:szCs w:val="24"/>
        </w:rPr>
        <w:t xml:space="preserve">. </w:t>
      </w:r>
      <w:r w:rsidR="00CA2D40" w:rsidRPr="00C31A32">
        <w:rPr>
          <w:rFonts w:ascii="Times New Roman" w:hAnsi="Times New Roman" w:cs="Times New Roman"/>
          <w:sz w:val="24"/>
          <w:szCs w:val="24"/>
        </w:rPr>
        <w:t>According to the Yogyakarta Principles, states are under an obligation to prohibit all forms of ‘conversion therapy’.</w:t>
      </w:r>
      <w:r w:rsidR="00CA2D40" w:rsidRPr="00C31A32">
        <w:rPr>
          <w:rStyle w:val="FootnoteReference"/>
          <w:rFonts w:ascii="Times New Roman" w:hAnsi="Times New Roman" w:cs="Times New Roman"/>
          <w:sz w:val="24"/>
          <w:szCs w:val="24"/>
        </w:rPr>
        <w:footnoteReference w:id="160"/>
      </w:r>
      <w:r w:rsidR="00CA2D40" w:rsidRPr="00C31A32">
        <w:rPr>
          <w:rFonts w:ascii="Times New Roman" w:hAnsi="Times New Roman" w:cs="Times New Roman"/>
          <w:sz w:val="24"/>
          <w:szCs w:val="24"/>
        </w:rPr>
        <w:t xml:space="preserve"> This obligation flows from the absolute prohibition of </w:t>
      </w:r>
      <w:r w:rsidR="00A344A0" w:rsidRPr="00C31A32">
        <w:rPr>
          <w:rFonts w:ascii="Times New Roman" w:hAnsi="Times New Roman" w:cs="Times New Roman"/>
          <w:sz w:val="24"/>
          <w:szCs w:val="24"/>
        </w:rPr>
        <w:t>torture or C</w:t>
      </w:r>
      <w:r w:rsidR="00CA2D40" w:rsidRPr="00C31A32">
        <w:rPr>
          <w:rFonts w:ascii="Times New Roman" w:hAnsi="Times New Roman" w:cs="Times New Roman"/>
          <w:sz w:val="24"/>
          <w:szCs w:val="24"/>
        </w:rPr>
        <w:t>IDT in international human rights law. The concluding observations of the UN Committee Against Torture (CAT) on two recent state periodic reports confirm this. Commenting on the seventh periodic report of Ecuador, the CAT called on the state to close all private centres where such ‘therapies’ are practiced and hold anyone involved into account.</w:t>
      </w:r>
      <w:r w:rsidR="00CA2D40" w:rsidRPr="00C31A32">
        <w:rPr>
          <w:rStyle w:val="FootnoteReference"/>
          <w:rFonts w:ascii="Times New Roman" w:hAnsi="Times New Roman" w:cs="Times New Roman"/>
          <w:sz w:val="24"/>
          <w:szCs w:val="24"/>
        </w:rPr>
        <w:footnoteReference w:id="161"/>
      </w:r>
      <w:r w:rsidR="00CA2D40" w:rsidRPr="00C31A32">
        <w:rPr>
          <w:rFonts w:ascii="Times New Roman" w:hAnsi="Times New Roman" w:cs="Times New Roman"/>
          <w:sz w:val="24"/>
          <w:szCs w:val="24"/>
        </w:rPr>
        <w:t xml:space="preserve"> Similarly, in its concluding observations on the fifth periodic report of China, the CAT expressed concern about reports that private and state clinics offered ‘conversion therapy’, including ‘involuntary confinement </w:t>
      </w:r>
      <w:r w:rsidR="00CA2D40" w:rsidRPr="00C31A32">
        <w:rPr>
          <w:rFonts w:ascii="Times New Roman" w:hAnsi="Times New Roman" w:cs="Times New Roman"/>
          <w:sz w:val="24"/>
          <w:szCs w:val="24"/>
        </w:rPr>
        <w:lastRenderedPageBreak/>
        <w:t>in psychiatric facilities’.</w:t>
      </w:r>
      <w:r w:rsidR="00CA2D40" w:rsidRPr="00C31A32">
        <w:rPr>
          <w:rStyle w:val="FootnoteReference"/>
          <w:rFonts w:ascii="Times New Roman" w:hAnsi="Times New Roman" w:cs="Times New Roman"/>
          <w:sz w:val="24"/>
          <w:szCs w:val="24"/>
        </w:rPr>
        <w:footnoteReference w:id="162"/>
      </w:r>
      <w:r w:rsidR="00CA2D40" w:rsidRPr="00C31A32">
        <w:rPr>
          <w:rFonts w:ascii="Times New Roman" w:hAnsi="Times New Roman" w:cs="Times New Roman"/>
          <w:sz w:val="24"/>
          <w:szCs w:val="24"/>
        </w:rPr>
        <w:t xml:space="preserve"> Although in 2014 a Beijing court ordered one such clinic to pay compensation to a victim, the CAT criticised China’s ‘failure to clarify whether such practices are prohibited by law, have been investigated and ended, and whether the victims have received redress’.</w:t>
      </w:r>
      <w:r w:rsidR="00CA2D40" w:rsidRPr="00C31A32">
        <w:rPr>
          <w:rStyle w:val="FootnoteReference"/>
          <w:rFonts w:ascii="Times New Roman" w:hAnsi="Times New Roman" w:cs="Times New Roman"/>
          <w:sz w:val="24"/>
          <w:szCs w:val="24"/>
        </w:rPr>
        <w:footnoteReference w:id="163"/>
      </w:r>
      <w:r w:rsidR="00CA2D40" w:rsidRPr="00C31A32">
        <w:rPr>
          <w:rFonts w:ascii="Times New Roman" w:hAnsi="Times New Roman" w:cs="Times New Roman"/>
          <w:sz w:val="24"/>
          <w:szCs w:val="24"/>
        </w:rPr>
        <w:t xml:space="preserve"> The CAT stressed that China should ban ‘conversion therapies’, as well as all other ‘forced, involuntary or otherwise coercive or abusive treatments’ against LGBTIQ+ people.</w:t>
      </w:r>
      <w:r w:rsidR="00CA2D40" w:rsidRPr="00C31A32">
        <w:rPr>
          <w:rStyle w:val="FootnoteReference"/>
          <w:rFonts w:ascii="Times New Roman" w:hAnsi="Times New Roman" w:cs="Times New Roman"/>
          <w:sz w:val="24"/>
          <w:szCs w:val="24"/>
        </w:rPr>
        <w:footnoteReference w:id="164"/>
      </w:r>
      <w:r w:rsidR="00CA2D40" w:rsidRPr="00C31A32">
        <w:rPr>
          <w:rFonts w:ascii="Times New Roman" w:hAnsi="Times New Roman" w:cs="Times New Roman"/>
          <w:sz w:val="24"/>
          <w:szCs w:val="24"/>
        </w:rPr>
        <w:t xml:space="preserve"> This last point is crucial because it shows that the CAT attaches little significance to individual consent to such ‘therapies’: states are under a duty to outlaw all ‘abusive treatments’ targeting LGBTIQ+ people rather than just forcible ‘conversion therapy’.</w:t>
      </w:r>
      <w:r w:rsidR="00CA2D40" w:rsidRPr="00C31A32">
        <w:rPr>
          <w:rStyle w:val="FootnoteReference"/>
          <w:rFonts w:ascii="Times New Roman" w:hAnsi="Times New Roman" w:cs="Times New Roman"/>
          <w:sz w:val="24"/>
          <w:szCs w:val="24"/>
        </w:rPr>
        <w:footnoteReference w:id="165"/>
      </w:r>
    </w:p>
    <w:p w14:paraId="0528E960" w14:textId="08E4DF58" w:rsidR="00F61B9E" w:rsidRPr="00C31A32" w:rsidRDefault="00A344A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Moving back to the ECHR</w:t>
      </w:r>
      <w:r w:rsidR="00CA2D40" w:rsidRPr="00C31A32">
        <w:rPr>
          <w:rFonts w:ascii="Times New Roman" w:hAnsi="Times New Roman" w:cs="Times New Roman"/>
          <w:sz w:val="24"/>
          <w:szCs w:val="24"/>
        </w:rPr>
        <w:t>,</w:t>
      </w:r>
      <w:r w:rsidRPr="00C31A32">
        <w:rPr>
          <w:rFonts w:ascii="Times New Roman" w:hAnsi="Times New Roman" w:cs="Times New Roman"/>
          <w:sz w:val="24"/>
          <w:szCs w:val="24"/>
        </w:rPr>
        <w:t xml:space="preserve"> it is clear that</w:t>
      </w:r>
      <w:r w:rsidR="00CA2D40" w:rsidRPr="00C31A32">
        <w:rPr>
          <w:rFonts w:ascii="Times New Roman" w:hAnsi="Times New Roman" w:cs="Times New Roman"/>
          <w:sz w:val="24"/>
          <w:szCs w:val="24"/>
        </w:rPr>
        <w:t xml:space="preserve"> public authorities must not engage in the provision of ‘conversion therapy’ because that would violate </w:t>
      </w:r>
      <w:r w:rsidR="007262A1" w:rsidRPr="00C31A32">
        <w:rPr>
          <w:rFonts w:ascii="Times New Roman" w:hAnsi="Times New Roman" w:cs="Times New Roman"/>
          <w:sz w:val="24"/>
          <w:szCs w:val="24"/>
        </w:rPr>
        <w:t>Article 3</w:t>
      </w:r>
      <w:r w:rsidR="00CA2D40" w:rsidRPr="00C31A32">
        <w:rPr>
          <w:rFonts w:ascii="Times New Roman" w:hAnsi="Times New Roman" w:cs="Times New Roman"/>
          <w:sz w:val="24"/>
          <w:szCs w:val="24"/>
        </w:rPr>
        <w:t xml:space="preserve">. This is not the end of the matter though. </w:t>
      </w:r>
      <w:r w:rsidR="000D79D7" w:rsidRPr="00C31A32">
        <w:rPr>
          <w:rFonts w:ascii="Times New Roman" w:hAnsi="Times New Roman" w:cs="Times New Roman"/>
          <w:sz w:val="24"/>
          <w:szCs w:val="24"/>
        </w:rPr>
        <w:t>Article 3</w:t>
      </w:r>
      <w:r w:rsidR="00CA2D40" w:rsidRPr="00C31A32">
        <w:rPr>
          <w:rFonts w:ascii="Times New Roman" w:hAnsi="Times New Roman" w:cs="Times New Roman"/>
          <w:sz w:val="24"/>
          <w:szCs w:val="24"/>
        </w:rPr>
        <w:t xml:space="preserve"> generates </w:t>
      </w:r>
      <w:r w:rsidR="000D79D7" w:rsidRPr="00C31A32">
        <w:rPr>
          <w:rFonts w:ascii="Times New Roman" w:hAnsi="Times New Roman" w:cs="Times New Roman"/>
          <w:sz w:val="24"/>
          <w:szCs w:val="24"/>
        </w:rPr>
        <w:t>a</w:t>
      </w:r>
      <w:r w:rsidR="002B50DB" w:rsidRPr="00C31A32">
        <w:rPr>
          <w:rFonts w:ascii="Times New Roman" w:hAnsi="Times New Roman" w:cs="Times New Roman"/>
          <w:sz w:val="24"/>
          <w:szCs w:val="24"/>
        </w:rPr>
        <w:t xml:space="preserve"> range of positive state duties</w:t>
      </w:r>
      <w:r w:rsidR="00064187" w:rsidRPr="00C31A32">
        <w:rPr>
          <w:rFonts w:ascii="Times New Roman" w:hAnsi="Times New Roman" w:cs="Times New Roman"/>
          <w:sz w:val="24"/>
          <w:szCs w:val="24"/>
        </w:rPr>
        <w:t>, out of which two are</w:t>
      </w:r>
      <w:r w:rsidR="002B50DB" w:rsidRPr="00C31A32">
        <w:rPr>
          <w:rFonts w:ascii="Times New Roman" w:hAnsi="Times New Roman" w:cs="Times New Roman"/>
          <w:sz w:val="24"/>
          <w:szCs w:val="24"/>
        </w:rPr>
        <w:t xml:space="preserve"> particular</w:t>
      </w:r>
      <w:r w:rsidR="00064187" w:rsidRPr="00C31A32">
        <w:rPr>
          <w:rFonts w:ascii="Times New Roman" w:hAnsi="Times New Roman" w:cs="Times New Roman"/>
          <w:sz w:val="24"/>
          <w:szCs w:val="24"/>
        </w:rPr>
        <w:t>ly important</w:t>
      </w:r>
      <w:r w:rsidR="002B50DB" w:rsidRPr="00C31A32">
        <w:rPr>
          <w:rFonts w:ascii="Times New Roman" w:hAnsi="Times New Roman" w:cs="Times New Roman"/>
          <w:sz w:val="24"/>
          <w:szCs w:val="24"/>
        </w:rPr>
        <w:t xml:space="preserve"> here.</w:t>
      </w:r>
      <w:r w:rsidR="00C56090" w:rsidRPr="00C31A32">
        <w:rPr>
          <w:rStyle w:val="FootnoteReference"/>
          <w:rFonts w:ascii="Times New Roman" w:hAnsi="Times New Roman" w:cs="Times New Roman"/>
          <w:sz w:val="24"/>
          <w:szCs w:val="24"/>
        </w:rPr>
        <w:footnoteReference w:id="166"/>
      </w:r>
      <w:r w:rsidR="002B50DB" w:rsidRPr="00C31A32">
        <w:rPr>
          <w:rFonts w:ascii="Times New Roman" w:hAnsi="Times New Roman" w:cs="Times New Roman"/>
          <w:sz w:val="24"/>
          <w:szCs w:val="24"/>
        </w:rPr>
        <w:t xml:space="preserve"> The first is</w:t>
      </w:r>
      <w:r w:rsidR="000D79D7" w:rsidRPr="00C31A32">
        <w:rPr>
          <w:rFonts w:ascii="Times New Roman" w:hAnsi="Times New Roman" w:cs="Times New Roman"/>
          <w:sz w:val="24"/>
          <w:szCs w:val="24"/>
        </w:rPr>
        <w:t xml:space="preserve"> </w:t>
      </w:r>
      <w:r w:rsidR="002B50DB" w:rsidRPr="00C31A32">
        <w:rPr>
          <w:rFonts w:ascii="Times New Roman" w:hAnsi="Times New Roman" w:cs="Times New Roman"/>
          <w:sz w:val="24"/>
          <w:szCs w:val="24"/>
        </w:rPr>
        <w:t xml:space="preserve">the </w:t>
      </w:r>
      <w:r w:rsidR="000D79D7" w:rsidRPr="00C31A32">
        <w:rPr>
          <w:rFonts w:ascii="Times New Roman" w:hAnsi="Times New Roman" w:cs="Times New Roman"/>
          <w:sz w:val="24"/>
          <w:szCs w:val="24"/>
        </w:rPr>
        <w:t>general</w:t>
      </w:r>
      <w:r w:rsidR="002B50DB" w:rsidRPr="00C31A32">
        <w:rPr>
          <w:rFonts w:ascii="Times New Roman" w:hAnsi="Times New Roman" w:cs="Times New Roman"/>
          <w:sz w:val="24"/>
          <w:szCs w:val="24"/>
        </w:rPr>
        <w:t>,</w:t>
      </w:r>
      <w:r w:rsidR="000D79D7" w:rsidRPr="00C31A32">
        <w:rPr>
          <w:rFonts w:ascii="Times New Roman" w:hAnsi="Times New Roman" w:cs="Times New Roman"/>
          <w:sz w:val="24"/>
          <w:szCs w:val="24"/>
        </w:rPr>
        <w:t xml:space="preserve"> or</w:t>
      </w:r>
      <w:r w:rsidR="00CA2D40" w:rsidRPr="00C31A32">
        <w:rPr>
          <w:rFonts w:ascii="Times New Roman" w:hAnsi="Times New Roman" w:cs="Times New Roman"/>
          <w:sz w:val="24"/>
          <w:szCs w:val="24"/>
        </w:rPr>
        <w:t xml:space="preserve"> </w:t>
      </w:r>
      <w:r w:rsidR="000D79D7" w:rsidRPr="00C31A32">
        <w:rPr>
          <w:rFonts w:ascii="Times New Roman" w:hAnsi="Times New Roman" w:cs="Times New Roman"/>
          <w:sz w:val="24"/>
          <w:szCs w:val="24"/>
        </w:rPr>
        <w:t>framework</w:t>
      </w:r>
      <w:r w:rsidR="002B50DB" w:rsidRPr="00C31A32">
        <w:rPr>
          <w:rFonts w:ascii="Times New Roman" w:hAnsi="Times New Roman" w:cs="Times New Roman"/>
          <w:sz w:val="24"/>
          <w:szCs w:val="24"/>
        </w:rPr>
        <w:t xml:space="preserve">, </w:t>
      </w:r>
      <w:r w:rsidR="007C2F35" w:rsidRPr="00C31A32">
        <w:rPr>
          <w:rFonts w:ascii="Times New Roman" w:hAnsi="Times New Roman" w:cs="Times New Roman"/>
          <w:sz w:val="24"/>
          <w:szCs w:val="24"/>
        </w:rPr>
        <w:t xml:space="preserve">state </w:t>
      </w:r>
      <w:r w:rsidR="002B50DB" w:rsidRPr="00C31A32">
        <w:rPr>
          <w:rFonts w:ascii="Times New Roman" w:hAnsi="Times New Roman" w:cs="Times New Roman"/>
          <w:sz w:val="24"/>
          <w:szCs w:val="24"/>
        </w:rPr>
        <w:t>duty</w:t>
      </w:r>
      <w:r w:rsidR="000D79D7" w:rsidRPr="00C31A32">
        <w:rPr>
          <w:rFonts w:ascii="Times New Roman" w:hAnsi="Times New Roman" w:cs="Times New Roman"/>
          <w:sz w:val="24"/>
          <w:szCs w:val="24"/>
        </w:rPr>
        <w:t xml:space="preserve"> </w:t>
      </w:r>
      <w:r w:rsidR="00CA2D40" w:rsidRPr="00C31A32">
        <w:rPr>
          <w:rFonts w:ascii="Times New Roman" w:hAnsi="Times New Roman" w:cs="Times New Roman"/>
          <w:sz w:val="24"/>
          <w:szCs w:val="24"/>
        </w:rPr>
        <w:t>to set up an effective system deterring and punishing acts of ill-treatment, backed up by enforcement mechanisms for the prevention, suppression and punishment of breaches.</w:t>
      </w:r>
      <w:r w:rsidR="00CA2D40" w:rsidRPr="00C31A32">
        <w:rPr>
          <w:rStyle w:val="FootnoteReference"/>
          <w:rFonts w:ascii="Times New Roman" w:hAnsi="Times New Roman" w:cs="Times New Roman"/>
          <w:sz w:val="24"/>
          <w:szCs w:val="24"/>
        </w:rPr>
        <w:footnoteReference w:id="167"/>
      </w:r>
      <w:r w:rsidR="00CA2D40" w:rsidRPr="00C31A32">
        <w:rPr>
          <w:rFonts w:ascii="Times New Roman" w:hAnsi="Times New Roman" w:cs="Times New Roman"/>
          <w:sz w:val="24"/>
          <w:szCs w:val="24"/>
        </w:rPr>
        <w:t xml:space="preserve"> This </w:t>
      </w:r>
      <w:r w:rsidR="000D79D7" w:rsidRPr="00C31A32">
        <w:rPr>
          <w:rFonts w:ascii="Times New Roman" w:hAnsi="Times New Roman" w:cs="Times New Roman"/>
          <w:sz w:val="24"/>
          <w:szCs w:val="24"/>
        </w:rPr>
        <w:t>framework duty</w:t>
      </w:r>
      <w:r w:rsidR="00CA2D40" w:rsidRPr="00C31A32">
        <w:rPr>
          <w:rFonts w:ascii="Times New Roman" w:hAnsi="Times New Roman" w:cs="Times New Roman"/>
          <w:sz w:val="24"/>
          <w:szCs w:val="24"/>
        </w:rPr>
        <w:t xml:space="preserve"> extends to ill-treatment administered by private actors.</w:t>
      </w:r>
      <w:r w:rsidR="00CA2D40" w:rsidRPr="00C31A32">
        <w:rPr>
          <w:rStyle w:val="FootnoteReference"/>
          <w:rFonts w:ascii="Times New Roman" w:hAnsi="Times New Roman" w:cs="Times New Roman"/>
          <w:sz w:val="24"/>
          <w:szCs w:val="24"/>
        </w:rPr>
        <w:footnoteReference w:id="168"/>
      </w:r>
      <w:r w:rsidR="00CA2D40" w:rsidRPr="00C31A32">
        <w:rPr>
          <w:rFonts w:ascii="Times New Roman" w:hAnsi="Times New Roman" w:cs="Times New Roman"/>
          <w:sz w:val="24"/>
          <w:szCs w:val="24"/>
        </w:rPr>
        <w:t xml:space="preserve"> </w:t>
      </w:r>
      <w:r w:rsidR="002B50DB" w:rsidRPr="00C31A32">
        <w:rPr>
          <w:rFonts w:ascii="Times New Roman" w:hAnsi="Times New Roman" w:cs="Times New Roman"/>
          <w:sz w:val="24"/>
          <w:szCs w:val="24"/>
        </w:rPr>
        <w:t>The second is</w:t>
      </w:r>
      <w:r w:rsidR="000D79D7" w:rsidRPr="00C31A32">
        <w:rPr>
          <w:rFonts w:ascii="Times New Roman" w:hAnsi="Times New Roman" w:cs="Times New Roman"/>
          <w:sz w:val="24"/>
          <w:szCs w:val="24"/>
        </w:rPr>
        <w:t xml:space="preserve"> </w:t>
      </w:r>
      <w:r w:rsidR="00064187" w:rsidRPr="00C31A32">
        <w:rPr>
          <w:rFonts w:ascii="Times New Roman" w:hAnsi="Times New Roman" w:cs="Times New Roman"/>
          <w:sz w:val="24"/>
          <w:szCs w:val="24"/>
        </w:rPr>
        <w:t>the</w:t>
      </w:r>
      <w:r w:rsidR="002B50DB" w:rsidRPr="00C31A32">
        <w:rPr>
          <w:rFonts w:ascii="Times New Roman" w:hAnsi="Times New Roman" w:cs="Times New Roman"/>
          <w:sz w:val="24"/>
          <w:szCs w:val="24"/>
        </w:rPr>
        <w:t xml:space="preserve"> more</w:t>
      </w:r>
      <w:r w:rsidR="00277248" w:rsidRPr="00C31A32">
        <w:rPr>
          <w:rFonts w:ascii="Times New Roman" w:hAnsi="Times New Roman" w:cs="Times New Roman"/>
          <w:sz w:val="24"/>
          <w:szCs w:val="24"/>
        </w:rPr>
        <w:t xml:space="preserve"> specific</w:t>
      </w:r>
      <w:r w:rsidR="000D79D7" w:rsidRPr="00C31A32">
        <w:rPr>
          <w:rFonts w:ascii="Times New Roman" w:hAnsi="Times New Roman" w:cs="Times New Roman"/>
          <w:sz w:val="24"/>
          <w:szCs w:val="24"/>
        </w:rPr>
        <w:t xml:space="preserve"> positive </w:t>
      </w:r>
      <w:r w:rsidR="002B50DB" w:rsidRPr="00C31A32">
        <w:rPr>
          <w:rFonts w:ascii="Times New Roman" w:hAnsi="Times New Roman" w:cs="Times New Roman"/>
          <w:sz w:val="24"/>
          <w:szCs w:val="24"/>
        </w:rPr>
        <w:t xml:space="preserve">state </w:t>
      </w:r>
      <w:r w:rsidR="000D79D7" w:rsidRPr="00C31A32">
        <w:rPr>
          <w:rFonts w:ascii="Times New Roman" w:hAnsi="Times New Roman" w:cs="Times New Roman"/>
          <w:sz w:val="24"/>
          <w:szCs w:val="24"/>
        </w:rPr>
        <w:t>dut</w:t>
      </w:r>
      <w:r w:rsidR="002B50DB" w:rsidRPr="00C31A32">
        <w:rPr>
          <w:rFonts w:ascii="Times New Roman" w:hAnsi="Times New Roman" w:cs="Times New Roman"/>
          <w:sz w:val="24"/>
          <w:szCs w:val="24"/>
        </w:rPr>
        <w:t>y</w:t>
      </w:r>
      <w:r w:rsidR="000D79D7" w:rsidRPr="00C31A32">
        <w:rPr>
          <w:rFonts w:ascii="Times New Roman" w:hAnsi="Times New Roman" w:cs="Times New Roman"/>
          <w:sz w:val="24"/>
          <w:szCs w:val="24"/>
        </w:rPr>
        <w:t xml:space="preserve"> to take operational measures </w:t>
      </w:r>
      <w:r w:rsidR="00277248" w:rsidRPr="00C31A32">
        <w:rPr>
          <w:rFonts w:ascii="Times New Roman" w:hAnsi="Times New Roman" w:cs="Times New Roman"/>
          <w:sz w:val="24"/>
          <w:szCs w:val="24"/>
        </w:rPr>
        <w:t xml:space="preserve">when the authorities knew or ought to have known at the time of the existence of a real and immediate risk </w:t>
      </w:r>
      <w:r w:rsidR="002B50DB" w:rsidRPr="00C31A32">
        <w:rPr>
          <w:rFonts w:ascii="Times New Roman" w:hAnsi="Times New Roman" w:cs="Times New Roman"/>
          <w:sz w:val="24"/>
          <w:szCs w:val="24"/>
        </w:rPr>
        <w:t>of ill-treatment</w:t>
      </w:r>
      <w:r w:rsidR="00277248" w:rsidRPr="00C31A32">
        <w:rPr>
          <w:rFonts w:ascii="Times New Roman" w:hAnsi="Times New Roman" w:cs="Times New Roman"/>
          <w:sz w:val="24"/>
          <w:szCs w:val="24"/>
        </w:rPr>
        <w:t xml:space="preserve"> </w:t>
      </w:r>
      <w:r w:rsidR="00064187" w:rsidRPr="00C31A32">
        <w:rPr>
          <w:rFonts w:ascii="Times New Roman" w:hAnsi="Times New Roman" w:cs="Times New Roman"/>
          <w:sz w:val="24"/>
          <w:szCs w:val="24"/>
        </w:rPr>
        <w:t>against</w:t>
      </w:r>
      <w:r w:rsidR="00277248" w:rsidRPr="00C31A32">
        <w:rPr>
          <w:rFonts w:ascii="Times New Roman" w:hAnsi="Times New Roman" w:cs="Times New Roman"/>
          <w:sz w:val="24"/>
          <w:szCs w:val="24"/>
        </w:rPr>
        <w:t xml:space="preserve"> identified individuals from the acts of a third party.</w:t>
      </w:r>
      <w:r w:rsidR="00277248" w:rsidRPr="00C31A32">
        <w:rPr>
          <w:rFonts w:ascii="Times New Roman" w:hAnsi="Times New Roman" w:cs="Times New Roman"/>
          <w:sz w:val="24"/>
          <w:szCs w:val="24"/>
          <w:vertAlign w:val="superscript"/>
        </w:rPr>
        <w:footnoteReference w:id="169"/>
      </w:r>
      <w:r w:rsidR="00CA2D40" w:rsidRPr="00C31A32">
        <w:rPr>
          <w:rFonts w:ascii="Times New Roman" w:hAnsi="Times New Roman" w:cs="Times New Roman"/>
          <w:sz w:val="24"/>
          <w:szCs w:val="24"/>
        </w:rPr>
        <w:t xml:space="preserve"> </w:t>
      </w:r>
      <w:r w:rsidR="002B50DB" w:rsidRPr="00C31A32">
        <w:rPr>
          <w:rFonts w:ascii="Times New Roman" w:hAnsi="Times New Roman" w:cs="Times New Roman"/>
          <w:sz w:val="24"/>
          <w:szCs w:val="24"/>
        </w:rPr>
        <w:t>W</w:t>
      </w:r>
      <w:r w:rsidR="00CA2D40" w:rsidRPr="00C31A32">
        <w:rPr>
          <w:rFonts w:ascii="Times New Roman" w:hAnsi="Times New Roman" w:cs="Times New Roman"/>
          <w:sz w:val="24"/>
          <w:szCs w:val="24"/>
        </w:rPr>
        <w:t xml:space="preserve">hile the negative duty not to engage in </w:t>
      </w:r>
      <w:r w:rsidR="002B50DB" w:rsidRPr="00C31A32">
        <w:rPr>
          <w:rFonts w:ascii="Times New Roman" w:hAnsi="Times New Roman" w:cs="Times New Roman"/>
          <w:sz w:val="24"/>
          <w:szCs w:val="24"/>
        </w:rPr>
        <w:t>torture or C</w:t>
      </w:r>
      <w:r w:rsidR="00CA2D40" w:rsidRPr="00C31A32">
        <w:rPr>
          <w:rFonts w:ascii="Times New Roman" w:hAnsi="Times New Roman" w:cs="Times New Roman"/>
          <w:sz w:val="24"/>
          <w:szCs w:val="24"/>
        </w:rPr>
        <w:t>IDT is absolute, the positive obligations arising from the prohibition are capable of modification on grounds of proportionality</w:t>
      </w:r>
      <w:r w:rsidR="002B50DB" w:rsidRPr="00C31A32">
        <w:rPr>
          <w:rFonts w:ascii="Times New Roman" w:hAnsi="Times New Roman" w:cs="Times New Roman"/>
          <w:sz w:val="24"/>
          <w:szCs w:val="24"/>
        </w:rPr>
        <w:t xml:space="preserve">. That is, </w:t>
      </w:r>
      <w:r w:rsidR="00C56090" w:rsidRPr="00C31A32">
        <w:rPr>
          <w:rFonts w:ascii="Times New Roman" w:hAnsi="Times New Roman" w:cs="Times New Roman"/>
          <w:sz w:val="24"/>
          <w:szCs w:val="24"/>
        </w:rPr>
        <w:t>they must be interpreted in ways that do not impose a disproportionate burden on the authorities,</w:t>
      </w:r>
      <w:r w:rsidR="00866F80" w:rsidRPr="00C31A32">
        <w:rPr>
          <w:rStyle w:val="FootnoteReference"/>
          <w:rFonts w:ascii="Times New Roman" w:hAnsi="Times New Roman" w:cs="Times New Roman"/>
          <w:sz w:val="24"/>
          <w:szCs w:val="24"/>
        </w:rPr>
        <w:footnoteReference w:id="170"/>
      </w:r>
      <w:r w:rsidR="00C56090" w:rsidRPr="00C31A32">
        <w:rPr>
          <w:rFonts w:ascii="Times New Roman" w:hAnsi="Times New Roman" w:cs="Times New Roman"/>
          <w:sz w:val="24"/>
          <w:szCs w:val="24"/>
        </w:rPr>
        <w:t xml:space="preserve"> and </w:t>
      </w:r>
      <w:r w:rsidR="00CA2D40" w:rsidRPr="00C31A32">
        <w:rPr>
          <w:rFonts w:ascii="Times New Roman" w:hAnsi="Times New Roman" w:cs="Times New Roman"/>
          <w:sz w:val="24"/>
          <w:szCs w:val="24"/>
        </w:rPr>
        <w:t>there is</w:t>
      </w:r>
      <w:r w:rsidR="00C56090" w:rsidRPr="00C31A32">
        <w:rPr>
          <w:rFonts w:ascii="Times New Roman" w:hAnsi="Times New Roman" w:cs="Times New Roman"/>
          <w:sz w:val="24"/>
          <w:szCs w:val="24"/>
        </w:rPr>
        <w:t xml:space="preserve"> also</w:t>
      </w:r>
      <w:r w:rsidR="00CA2D40" w:rsidRPr="00C31A32">
        <w:rPr>
          <w:rFonts w:ascii="Times New Roman" w:hAnsi="Times New Roman" w:cs="Times New Roman"/>
          <w:sz w:val="24"/>
          <w:szCs w:val="24"/>
        </w:rPr>
        <w:t xml:space="preserve"> latitude as to how they can be fulfilled</w:t>
      </w:r>
      <w:r w:rsidR="00064187" w:rsidRPr="00C31A32">
        <w:rPr>
          <w:rFonts w:ascii="Times New Roman" w:hAnsi="Times New Roman" w:cs="Times New Roman"/>
          <w:sz w:val="24"/>
          <w:szCs w:val="24"/>
        </w:rPr>
        <w:t>.</w:t>
      </w:r>
      <w:r w:rsidR="00CA2D40" w:rsidRPr="00C31A32">
        <w:rPr>
          <w:rFonts w:ascii="Times New Roman" w:hAnsi="Times New Roman" w:cs="Times New Roman"/>
          <w:sz w:val="24"/>
          <w:szCs w:val="24"/>
          <w:vertAlign w:val="superscript"/>
        </w:rPr>
        <w:footnoteReference w:id="171"/>
      </w:r>
    </w:p>
    <w:p w14:paraId="3BB65108" w14:textId="2CEE86C3" w:rsidR="0068367D" w:rsidRPr="00C31A32" w:rsidRDefault="00C56090" w:rsidP="007262A1">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One important point </w:t>
      </w:r>
      <w:r w:rsidR="007262A1" w:rsidRPr="00C31A32">
        <w:rPr>
          <w:rFonts w:ascii="Times New Roman" w:hAnsi="Times New Roman" w:cs="Times New Roman"/>
          <w:sz w:val="24"/>
          <w:szCs w:val="24"/>
        </w:rPr>
        <w:t>on</w:t>
      </w:r>
      <w:r w:rsidRPr="00C31A32">
        <w:rPr>
          <w:rFonts w:ascii="Times New Roman" w:hAnsi="Times New Roman" w:cs="Times New Roman"/>
          <w:sz w:val="24"/>
          <w:szCs w:val="24"/>
        </w:rPr>
        <w:t xml:space="preserve"> </w:t>
      </w:r>
      <w:r w:rsidR="00C7082E" w:rsidRPr="00C31A32">
        <w:rPr>
          <w:rFonts w:ascii="Times New Roman" w:hAnsi="Times New Roman" w:cs="Times New Roman"/>
          <w:sz w:val="24"/>
          <w:szCs w:val="24"/>
        </w:rPr>
        <w:t xml:space="preserve">the </w:t>
      </w:r>
      <w:r w:rsidRPr="00C31A32">
        <w:rPr>
          <w:rFonts w:ascii="Times New Roman" w:hAnsi="Times New Roman" w:cs="Times New Roman"/>
          <w:sz w:val="24"/>
          <w:szCs w:val="24"/>
        </w:rPr>
        <w:t>operational duties</w:t>
      </w:r>
      <w:r w:rsidR="004703A1" w:rsidRPr="00C31A32">
        <w:rPr>
          <w:rFonts w:ascii="Times New Roman" w:hAnsi="Times New Roman" w:cs="Times New Roman"/>
          <w:sz w:val="24"/>
          <w:szCs w:val="24"/>
        </w:rPr>
        <w:t xml:space="preserve"> </w:t>
      </w:r>
      <w:r w:rsidR="00C7082E" w:rsidRPr="00C31A32">
        <w:rPr>
          <w:rFonts w:ascii="Times New Roman" w:hAnsi="Times New Roman" w:cs="Times New Roman"/>
          <w:sz w:val="24"/>
          <w:szCs w:val="24"/>
        </w:rPr>
        <w:t xml:space="preserve">arising from </w:t>
      </w:r>
      <w:r w:rsidR="004703A1" w:rsidRPr="00C31A32">
        <w:rPr>
          <w:rFonts w:ascii="Times New Roman" w:hAnsi="Times New Roman" w:cs="Times New Roman"/>
          <w:sz w:val="24"/>
          <w:szCs w:val="24"/>
        </w:rPr>
        <w:t>Article 3</w:t>
      </w:r>
      <w:r w:rsidRPr="00C31A32">
        <w:rPr>
          <w:rFonts w:ascii="Times New Roman" w:hAnsi="Times New Roman" w:cs="Times New Roman"/>
          <w:sz w:val="24"/>
          <w:szCs w:val="24"/>
        </w:rPr>
        <w:t xml:space="preserve">. </w:t>
      </w:r>
      <w:r w:rsidR="00CA2D40" w:rsidRPr="00C31A32">
        <w:rPr>
          <w:rFonts w:ascii="Times New Roman" w:hAnsi="Times New Roman" w:cs="Times New Roman"/>
          <w:sz w:val="24"/>
          <w:szCs w:val="24"/>
        </w:rPr>
        <w:t xml:space="preserve">As CEDAW has noted, </w:t>
      </w:r>
      <w:r w:rsidRPr="00C31A32">
        <w:rPr>
          <w:rFonts w:ascii="Times New Roman" w:hAnsi="Times New Roman" w:cs="Times New Roman"/>
          <w:sz w:val="24"/>
          <w:szCs w:val="24"/>
        </w:rPr>
        <w:t xml:space="preserve">the </w:t>
      </w:r>
      <w:r w:rsidR="00CA2D40" w:rsidRPr="00C31A32">
        <w:rPr>
          <w:rFonts w:ascii="Times New Roman" w:hAnsi="Times New Roman" w:cs="Times New Roman"/>
          <w:sz w:val="24"/>
          <w:szCs w:val="24"/>
        </w:rPr>
        <w:t>requirement for an immediate risk</w:t>
      </w:r>
      <w:r w:rsidRPr="00C31A32">
        <w:rPr>
          <w:rFonts w:ascii="Times New Roman" w:hAnsi="Times New Roman" w:cs="Times New Roman"/>
          <w:sz w:val="24"/>
          <w:szCs w:val="24"/>
        </w:rPr>
        <w:t xml:space="preserve"> of ill-treatment,</w:t>
      </w:r>
      <w:r w:rsidR="00CA2D40" w:rsidRPr="00C31A32">
        <w:rPr>
          <w:rFonts w:ascii="Times New Roman" w:hAnsi="Times New Roman" w:cs="Times New Roman"/>
          <w:sz w:val="24"/>
          <w:szCs w:val="24"/>
        </w:rPr>
        <w:t xml:space="preserve"> </w:t>
      </w:r>
      <w:r w:rsidRPr="00C31A32">
        <w:rPr>
          <w:rFonts w:ascii="Times New Roman" w:hAnsi="Times New Roman" w:cs="Times New Roman"/>
          <w:sz w:val="24"/>
          <w:szCs w:val="24"/>
        </w:rPr>
        <w:t xml:space="preserve">which can be traced back to </w:t>
      </w:r>
      <w:r w:rsidRPr="00C31A32">
        <w:rPr>
          <w:rFonts w:ascii="Times New Roman" w:hAnsi="Times New Roman" w:cs="Times New Roman"/>
          <w:i/>
          <w:iCs/>
          <w:sz w:val="24"/>
          <w:szCs w:val="24"/>
        </w:rPr>
        <w:t>Osman</w:t>
      </w:r>
      <w:r w:rsidRPr="00C31A32">
        <w:rPr>
          <w:rFonts w:ascii="Times New Roman" w:hAnsi="Times New Roman" w:cs="Times New Roman"/>
          <w:sz w:val="24"/>
          <w:szCs w:val="24"/>
        </w:rPr>
        <w:t>,</w:t>
      </w:r>
      <w:r w:rsidRPr="00C31A32">
        <w:rPr>
          <w:rStyle w:val="FootnoteReference"/>
          <w:rFonts w:ascii="Times New Roman" w:hAnsi="Times New Roman" w:cs="Times New Roman"/>
          <w:sz w:val="24"/>
          <w:szCs w:val="24"/>
        </w:rPr>
        <w:footnoteReference w:id="172"/>
      </w:r>
      <w:r w:rsidRPr="00C31A32">
        <w:rPr>
          <w:rFonts w:ascii="Times New Roman" w:hAnsi="Times New Roman" w:cs="Times New Roman"/>
          <w:sz w:val="24"/>
          <w:szCs w:val="24"/>
        </w:rPr>
        <w:t xml:space="preserve"> </w:t>
      </w:r>
      <w:r w:rsidR="00CA2D40" w:rsidRPr="00C31A32">
        <w:rPr>
          <w:rFonts w:ascii="Times New Roman" w:hAnsi="Times New Roman" w:cs="Times New Roman"/>
          <w:sz w:val="24"/>
          <w:szCs w:val="24"/>
        </w:rPr>
        <w:t>is problematic in cases of gender-based violence or abuse.</w:t>
      </w:r>
      <w:r w:rsidR="00CA2D40" w:rsidRPr="00C31A32">
        <w:rPr>
          <w:rStyle w:val="FootnoteReference"/>
          <w:rFonts w:ascii="Times New Roman" w:hAnsi="Times New Roman" w:cs="Times New Roman"/>
          <w:sz w:val="24"/>
          <w:szCs w:val="24"/>
        </w:rPr>
        <w:footnoteReference w:id="173"/>
      </w:r>
      <w:r w:rsidR="00CA2D40" w:rsidRPr="00C31A32">
        <w:rPr>
          <w:rFonts w:ascii="Times New Roman" w:hAnsi="Times New Roman" w:cs="Times New Roman"/>
          <w:sz w:val="24"/>
          <w:szCs w:val="24"/>
        </w:rPr>
        <w:t xml:space="preserve"> </w:t>
      </w:r>
      <w:r w:rsidR="005F0904" w:rsidRPr="00C31A32">
        <w:rPr>
          <w:rFonts w:ascii="Times New Roman" w:hAnsi="Times New Roman" w:cs="Times New Roman"/>
          <w:sz w:val="24"/>
          <w:szCs w:val="24"/>
        </w:rPr>
        <w:t>This is because</w:t>
      </w:r>
      <w:r w:rsidR="00CA2D40" w:rsidRPr="00C31A32">
        <w:rPr>
          <w:rFonts w:ascii="Times New Roman" w:hAnsi="Times New Roman" w:cs="Times New Roman"/>
          <w:sz w:val="24"/>
          <w:szCs w:val="24"/>
        </w:rPr>
        <w:t xml:space="preserve"> that </w:t>
      </w:r>
      <w:r w:rsidR="00CA2D40" w:rsidRPr="00C31A32">
        <w:rPr>
          <w:rFonts w:ascii="Times New Roman" w:hAnsi="Times New Roman" w:cs="Times New Roman"/>
          <w:sz w:val="24"/>
          <w:szCs w:val="24"/>
        </w:rPr>
        <w:lastRenderedPageBreak/>
        <w:t xml:space="preserve">requirement prevents capturing cases where successive episodes of gender-based violence against specific individuals or groups do show that the risk of ill-treatment is real, but where the wrongdoer is not in the direct vicinity of the victim. Drawing on CEDAW’s work, in </w:t>
      </w:r>
      <w:proofErr w:type="spellStart"/>
      <w:r w:rsidR="00CA2D40" w:rsidRPr="00C31A32">
        <w:rPr>
          <w:rFonts w:ascii="Times New Roman" w:hAnsi="Times New Roman" w:cs="Times New Roman"/>
          <w:i/>
          <w:iCs/>
          <w:sz w:val="24"/>
          <w:szCs w:val="24"/>
        </w:rPr>
        <w:t>Volodina</w:t>
      </w:r>
      <w:proofErr w:type="spellEnd"/>
      <w:r w:rsidR="00CA2D40" w:rsidRPr="00C31A32">
        <w:rPr>
          <w:rFonts w:ascii="Times New Roman" w:hAnsi="Times New Roman" w:cs="Times New Roman"/>
          <w:sz w:val="24"/>
          <w:szCs w:val="24"/>
        </w:rPr>
        <w:t xml:space="preserve"> the ECtHR tacitly accepted that in cases of gender-based violence the standard against which </w:t>
      </w:r>
      <w:r w:rsidR="00562222" w:rsidRPr="00C31A32">
        <w:rPr>
          <w:rFonts w:ascii="Times New Roman" w:hAnsi="Times New Roman" w:cs="Times New Roman"/>
          <w:sz w:val="24"/>
          <w:szCs w:val="24"/>
        </w:rPr>
        <w:t>operational</w:t>
      </w:r>
      <w:r w:rsidR="00CA2D40" w:rsidRPr="00C31A32">
        <w:rPr>
          <w:rFonts w:ascii="Times New Roman" w:hAnsi="Times New Roman" w:cs="Times New Roman"/>
          <w:sz w:val="24"/>
          <w:szCs w:val="24"/>
        </w:rPr>
        <w:t xml:space="preserve"> state </w:t>
      </w:r>
      <w:r w:rsidR="00562222" w:rsidRPr="00C31A32">
        <w:rPr>
          <w:rFonts w:ascii="Times New Roman" w:hAnsi="Times New Roman" w:cs="Times New Roman"/>
          <w:sz w:val="24"/>
          <w:szCs w:val="24"/>
        </w:rPr>
        <w:t>duties</w:t>
      </w:r>
      <w:r w:rsidR="00CA2D40" w:rsidRPr="00C31A32">
        <w:rPr>
          <w:rFonts w:ascii="Times New Roman" w:hAnsi="Times New Roman" w:cs="Times New Roman"/>
          <w:sz w:val="24"/>
          <w:szCs w:val="24"/>
        </w:rPr>
        <w:t xml:space="preserve"> are assessed spans a wider window of time, starting from when the risk of ill-treatment is real, even if not imminent.</w:t>
      </w:r>
      <w:r w:rsidR="00CA2D40" w:rsidRPr="00C31A32">
        <w:rPr>
          <w:rStyle w:val="FootnoteReference"/>
          <w:rFonts w:ascii="Times New Roman" w:hAnsi="Times New Roman" w:cs="Times New Roman"/>
          <w:sz w:val="24"/>
          <w:szCs w:val="24"/>
        </w:rPr>
        <w:footnoteReference w:id="174"/>
      </w:r>
      <w:r w:rsidR="00CA2D40" w:rsidRPr="00C31A32">
        <w:rPr>
          <w:rFonts w:ascii="Times New Roman" w:hAnsi="Times New Roman" w:cs="Times New Roman"/>
          <w:sz w:val="24"/>
          <w:szCs w:val="24"/>
        </w:rPr>
        <w:t xml:space="preserve"> For that reason, states must carefully consider the particular context of the case including any past history of violence.</w:t>
      </w:r>
      <w:r w:rsidR="00CA2D40" w:rsidRPr="00C31A32">
        <w:rPr>
          <w:rStyle w:val="FootnoteReference"/>
          <w:rFonts w:ascii="Times New Roman" w:hAnsi="Times New Roman" w:cs="Times New Roman"/>
          <w:sz w:val="24"/>
          <w:szCs w:val="24"/>
        </w:rPr>
        <w:footnoteReference w:id="175"/>
      </w:r>
      <w:r w:rsidR="00CA2D40" w:rsidRPr="00C31A32">
        <w:rPr>
          <w:rFonts w:ascii="Times New Roman" w:hAnsi="Times New Roman" w:cs="Times New Roman"/>
          <w:sz w:val="24"/>
          <w:szCs w:val="24"/>
        </w:rPr>
        <w:t xml:space="preserve"> As Judge Pinto de Albuquerque argued, that standard is satisfied if the authorities know or ought to know that a specific group of people is subject to repeated abuse.</w:t>
      </w:r>
      <w:r w:rsidR="00CA2D40" w:rsidRPr="00C31A32">
        <w:rPr>
          <w:rStyle w:val="FootnoteReference"/>
          <w:rFonts w:ascii="Times New Roman" w:hAnsi="Times New Roman" w:cs="Times New Roman"/>
          <w:sz w:val="24"/>
          <w:szCs w:val="24"/>
        </w:rPr>
        <w:footnoteReference w:id="176"/>
      </w:r>
      <w:r w:rsidR="00CA2D40" w:rsidRPr="00C31A32">
        <w:rPr>
          <w:rFonts w:ascii="Times New Roman" w:hAnsi="Times New Roman" w:cs="Times New Roman"/>
          <w:sz w:val="24"/>
          <w:szCs w:val="24"/>
        </w:rPr>
        <w:t xml:space="preserve"> It is posited that for exactly those reasons, that amended standard</w:t>
      </w:r>
      <w:r w:rsidR="00562222" w:rsidRPr="00C31A32">
        <w:rPr>
          <w:rFonts w:ascii="Times New Roman" w:hAnsi="Times New Roman" w:cs="Times New Roman"/>
          <w:sz w:val="24"/>
          <w:szCs w:val="24"/>
        </w:rPr>
        <w:t xml:space="preserve"> of assessment of operational state duties</w:t>
      </w:r>
      <w:r w:rsidR="00CA2D40" w:rsidRPr="00C31A32">
        <w:rPr>
          <w:rFonts w:ascii="Times New Roman" w:hAnsi="Times New Roman" w:cs="Times New Roman"/>
          <w:sz w:val="24"/>
          <w:szCs w:val="24"/>
        </w:rPr>
        <w:t xml:space="preserve"> </w:t>
      </w:r>
      <w:r w:rsidR="00C7082E" w:rsidRPr="00C31A32">
        <w:rPr>
          <w:rFonts w:ascii="Times New Roman" w:hAnsi="Times New Roman" w:cs="Times New Roman"/>
          <w:sz w:val="24"/>
          <w:szCs w:val="24"/>
        </w:rPr>
        <w:t xml:space="preserve">under Article 3 </w:t>
      </w:r>
      <w:r w:rsidR="00CA2D40" w:rsidRPr="00C31A32">
        <w:rPr>
          <w:rFonts w:ascii="Times New Roman" w:hAnsi="Times New Roman" w:cs="Times New Roman"/>
          <w:sz w:val="24"/>
          <w:szCs w:val="24"/>
        </w:rPr>
        <w:t>is fully applicable to recurring violent or abusive practices based on sexual orientation or gender identity, such as ‘conversion therapy’.</w:t>
      </w:r>
      <w:r w:rsidR="00CA2D40" w:rsidRPr="00C31A32">
        <w:rPr>
          <w:rFonts w:ascii="Times New Roman" w:hAnsi="Times New Roman" w:cs="Times New Roman"/>
          <w:sz w:val="24"/>
          <w:szCs w:val="24"/>
          <w:vertAlign w:val="superscript"/>
        </w:rPr>
        <w:footnoteReference w:id="177"/>
      </w:r>
    </w:p>
    <w:p w14:paraId="2BB50320" w14:textId="43F5F72D" w:rsidR="007A210E" w:rsidRPr="00C31A32" w:rsidRDefault="00CA2D40" w:rsidP="003F207C">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With this amendment</w:t>
      </w:r>
      <w:r w:rsidR="00277248" w:rsidRPr="00C31A32">
        <w:rPr>
          <w:rFonts w:ascii="Times New Roman" w:hAnsi="Times New Roman" w:cs="Times New Roman"/>
          <w:sz w:val="24"/>
          <w:szCs w:val="24"/>
        </w:rPr>
        <w:t xml:space="preserve"> to operational </w:t>
      </w:r>
      <w:r w:rsidR="00562222" w:rsidRPr="00C31A32">
        <w:rPr>
          <w:rFonts w:ascii="Times New Roman" w:hAnsi="Times New Roman" w:cs="Times New Roman"/>
          <w:sz w:val="24"/>
          <w:szCs w:val="24"/>
        </w:rPr>
        <w:t>state duties</w:t>
      </w:r>
      <w:r w:rsidR="00277248" w:rsidRPr="00C31A32">
        <w:rPr>
          <w:rFonts w:ascii="Times New Roman" w:hAnsi="Times New Roman" w:cs="Times New Roman"/>
          <w:sz w:val="24"/>
          <w:szCs w:val="24"/>
        </w:rPr>
        <w:t xml:space="preserve"> </w:t>
      </w:r>
      <w:r w:rsidRPr="00C31A32">
        <w:rPr>
          <w:rFonts w:ascii="Times New Roman" w:hAnsi="Times New Roman" w:cs="Times New Roman"/>
          <w:sz w:val="24"/>
          <w:szCs w:val="24"/>
        </w:rPr>
        <w:t xml:space="preserve">in mind, let us </w:t>
      </w:r>
      <w:r w:rsidR="00277248" w:rsidRPr="00C31A32">
        <w:rPr>
          <w:rFonts w:ascii="Times New Roman" w:hAnsi="Times New Roman" w:cs="Times New Roman"/>
          <w:sz w:val="24"/>
          <w:szCs w:val="24"/>
        </w:rPr>
        <w:t>go back to the framework</w:t>
      </w:r>
      <w:r w:rsidR="00562222" w:rsidRPr="00C31A32">
        <w:rPr>
          <w:rFonts w:ascii="Times New Roman" w:hAnsi="Times New Roman" w:cs="Times New Roman"/>
          <w:sz w:val="24"/>
          <w:szCs w:val="24"/>
        </w:rPr>
        <w:t xml:space="preserve"> state</w:t>
      </w:r>
      <w:r w:rsidR="00277248" w:rsidRPr="00C31A32">
        <w:rPr>
          <w:rFonts w:ascii="Times New Roman" w:hAnsi="Times New Roman" w:cs="Times New Roman"/>
          <w:sz w:val="24"/>
          <w:szCs w:val="24"/>
        </w:rPr>
        <w:t xml:space="preserve"> duty</w:t>
      </w:r>
      <w:r w:rsidR="003361B0" w:rsidRPr="00C31A32">
        <w:rPr>
          <w:rFonts w:ascii="Times New Roman" w:hAnsi="Times New Roman" w:cs="Times New Roman"/>
          <w:sz w:val="24"/>
          <w:szCs w:val="24"/>
        </w:rPr>
        <w:t xml:space="preserve"> </w:t>
      </w:r>
      <w:r w:rsidR="00562222" w:rsidRPr="00C31A32">
        <w:rPr>
          <w:rFonts w:ascii="Times New Roman" w:hAnsi="Times New Roman" w:cs="Times New Roman"/>
          <w:sz w:val="24"/>
          <w:szCs w:val="24"/>
        </w:rPr>
        <w:t>under Article 3</w:t>
      </w:r>
      <w:r w:rsidR="0034033A" w:rsidRPr="00C31A32">
        <w:rPr>
          <w:rFonts w:ascii="Times New Roman" w:hAnsi="Times New Roman" w:cs="Times New Roman"/>
          <w:sz w:val="24"/>
          <w:szCs w:val="24"/>
        </w:rPr>
        <w:t>. Recall that the framework duty refers</w:t>
      </w:r>
      <w:r w:rsidR="00562222" w:rsidRPr="00C31A32">
        <w:rPr>
          <w:rFonts w:ascii="Times New Roman" w:hAnsi="Times New Roman" w:cs="Times New Roman"/>
          <w:sz w:val="24"/>
          <w:szCs w:val="24"/>
        </w:rPr>
        <w:t xml:space="preserve"> </w:t>
      </w:r>
      <w:r w:rsidR="003361B0" w:rsidRPr="00C31A32">
        <w:rPr>
          <w:rFonts w:ascii="Times New Roman" w:hAnsi="Times New Roman" w:cs="Times New Roman"/>
          <w:sz w:val="24"/>
          <w:szCs w:val="24"/>
        </w:rPr>
        <w:t>to</w:t>
      </w:r>
      <w:r w:rsidR="0034033A" w:rsidRPr="00C31A32">
        <w:rPr>
          <w:rFonts w:ascii="Times New Roman" w:hAnsi="Times New Roman" w:cs="Times New Roman"/>
          <w:sz w:val="24"/>
          <w:szCs w:val="24"/>
        </w:rPr>
        <w:t xml:space="preserve"> the </w:t>
      </w:r>
      <w:r w:rsidR="00C7082E" w:rsidRPr="00C31A32">
        <w:rPr>
          <w:rFonts w:ascii="Times New Roman" w:hAnsi="Times New Roman" w:cs="Times New Roman"/>
          <w:sz w:val="24"/>
          <w:szCs w:val="24"/>
        </w:rPr>
        <w:t xml:space="preserve">primary </w:t>
      </w:r>
      <w:r w:rsidR="0034033A" w:rsidRPr="00C31A32">
        <w:rPr>
          <w:rFonts w:ascii="Times New Roman" w:hAnsi="Times New Roman" w:cs="Times New Roman"/>
          <w:sz w:val="24"/>
          <w:szCs w:val="24"/>
        </w:rPr>
        <w:t>state obligation to</w:t>
      </w:r>
      <w:r w:rsidR="003361B0" w:rsidRPr="00C31A32">
        <w:rPr>
          <w:rFonts w:ascii="Times New Roman" w:hAnsi="Times New Roman" w:cs="Times New Roman"/>
          <w:sz w:val="24"/>
          <w:szCs w:val="24"/>
        </w:rPr>
        <w:t xml:space="preserve"> </w:t>
      </w:r>
      <w:r w:rsidR="0034033A" w:rsidRPr="00C31A32">
        <w:rPr>
          <w:rFonts w:ascii="Times New Roman" w:hAnsi="Times New Roman" w:cs="Times New Roman"/>
          <w:sz w:val="24"/>
          <w:szCs w:val="24"/>
        </w:rPr>
        <w:t>take</w:t>
      </w:r>
      <w:r w:rsidR="00866F80" w:rsidRPr="00C31A32">
        <w:rPr>
          <w:rFonts w:ascii="Times New Roman" w:hAnsi="Times New Roman" w:cs="Times New Roman"/>
          <w:sz w:val="24"/>
          <w:szCs w:val="24"/>
        </w:rPr>
        <w:t xml:space="preserve"> </w:t>
      </w:r>
      <w:r w:rsidR="00672CA2" w:rsidRPr="00C31A32">
        <w:rPr>
          <w:rFonts w:ascii="Times New Roman" w:hAnsi="Times New Roman" w:cs="Times New Roman"/>
          <w:sz w:val="24"/>
          <w:szCs w:val="24"/>
        </w:rPr>
        <w:t xml:space="preserve">legal </w:t>
      </w:r>
      <w:r w:rsidR="003361B0" w:rsidRPr="00C31A32">
        <w:rPr>
          <w:rFonts w:ascii="Times New Roman" w:hAnsi="Times New Roman" w:cs="Times New Roman"/>
          <w:sz w:val="24"/>
          <w:szCs w:val="24"/>
        </w:rPr>
        <w:t xml:space="preserve">measures designed to ensure that individuals are not subjected to </w:t>
      </w:r>
      <w:r w:rsidR="00562222" w:rsidRPr="00C31A32">
        <w:rPr>
          <w:rFonts w:ascii="Times New Roman" w:hAnsi="Times New Roman" w:cs="Times New Roman"/>
          <w:sz w:val="24"/>
          <w:szCs w:val="24"/>
        </w:rPr>
        <w:t>proscribed ill-</w:t>
      </w:r>
      <w:r w:rsidR="003361B0" w:rsidRPr="00C31A32">
        <w:rPr>
          <w:rFonts w:ascii="Times New Roman" w:hAnsi="Times New Roman" w:cs="Times New Roman"/>
          <w:sz w:val="24"/>
          <w:szCs w:val="24"/>
        </w:rPr>
        <w:t>treatment</w:t>
      </w:r>
      <w:r w:rsidR="00866F80" w:rsidRPr="00C31A32">
        <w:rPr>
          <w:rFonts w:ascii="Times New Roman" w:hAnsi="Times New Roman" w:cs="Times New Roman"/>
          <w:sz w:val="24"/>
          <w:szCs w:val="24"/>
        </w:rPr>
        <w:t xml:space="preserve"> – including ill-treatment administered by private individuals</w:t>
      </w:r>
      <w:r w:rsidR="003361B0" w:rsidRPr="00C31A32">
        <w:rPr>
          <w:rFonts w:ascii="Times New Roman" w:hAnsi="Times New Roman" w:cs="Times New Roman"/>
          <w:sz w:val="24"/>
          <w:szCs w:val="24"/>
        </w:rPr>
        <w:t>.</w:t>
      </w:r>
      <w:r w:rsidR="0052141B" w:rsidRPr="00C31A32">
        <w:rPr>
          <w:rFonts w:ascii="Times New Roman" w:hAnsi="Times New Roman" w:cs="Times New Roman"/>
          <w:sz w:val="24"/>
          <w:szCs w:val="24"/>
        </w:rPr>
        <w:t xml:space="preserve"> </w:t>
      </w:r>
      <w:r w:rsidR="006F7D4A" w:rsidRPr="00C31A32">
        <w:rPr>
          <w:rFonts w:ascii="Times New Roman" w:hAnsi="Times New Roman" w:cs="Times New Roman"/>
          <w:sz w:val="24"/>
          <w:szCs w:val="24"/>
        </w:rPr>
        <w:t>L</w:t>
      </w:r>
      <w:r w:rsidR="0052141B" w:rsidRPr="00C31A32">
        <w:rPr>
          <w:rFonts w:ascii="Times New Roman" w:hAnsi="Times New Roman" w:cs="Times New Roman"/>
          <w:sz w:val="24"/>
          <w:szCs w:val="24"/>
        </w:rPr>
        <w:t xml:space="preserve">et us focus on how this framework duty applies </w:t>
      </w:r>
      <w:r w:rsidR="0027471C" w:rsidRPr="00C31A32">
        <w:rPr>
          <w:rFonts w:ascii="Times New Roman" w:hAnsi="Times New Roman" w:cs="Times New Roman"/>
          <w:sz w:val="24"/>
          <w:szCs w:val="24"/>
        </w:rPr>
        <w:t>to</w:t>
      </w:r>
      <w:r w:rsidR="0052141B" w:rsidRPr="00C31A32">
        <w:rPr>
          <w:rFonts w:ascii="Times New Roman" w:hAnsi="Times New Roman" w:cs="Times New Roman"/>
          <w:sz w:val="24"/>
          <w:szCs w:val="24"/>
        </w:rPr>
        <w:t xml:space="preserve"> ‘conversion therapy’. </w:t>
      </w:r>
      <w:r w:rsidR="00F14A59" w:rsidRPr="00C31A32">
        <w:rPr>
          <w:rFonts w:ascii="Times New Roman" w:hAnsi="Times New Roman" w:cs="Times New Roman"/>
          <w:sz w:val="24"/>
          <w:szCs w:val="24"/>
        </w:rPr>
        <w:t>T</w:t>
      </w:r>
      <w:r w:rsidR="0027471C" w:rsidRPr="00C31A32">
        <w:rPr>
          <w:rFonts w:ascii="Times New Roman" w:hAnsi="Times New Roman" w:cs="Times New Roman"/>
          <w:sz w:val="24"/>
          <w:szCs w:val="24"/>
        </w:rPr>
        <w:t>he</w:t>
      </w:r>
      <w:r w:rsidR="006F7D4A" w:rsidRPr="00C31A32">
        <w:rPr>
          <w:rFonts w:ascii="Times New Roman" w:hAnsi="Times New Roman" w:cs="Times New Roman"/>
          <w:sz w:val="24"/>
          <w:szCs w:val="24"/>
        </w:rPr>
        <w:t xml:space="preserve"> framework duty under Article 3</w:t>
      </w:r>
      <w:r w:rsidR="00F14A59" w:rsidRPr="00C31A32">
        <w:rPr>
          <w:rFonts w:ascii="Times New Roman" w:hAnsi="Times New Roman" w:cs="Times New Roman"/>
          <w:sz w:val="24"/>
          <w:szCs w:val="24"/>
        </w:rPr>
        <w:t xml:space="preserve"> often</w:t>
      </w:r>
      <w:r w:rsidR="006F7D4A" w:rsidRPr="00C31A32">
        <w:rPr>
          <w:rFonts w:ascii="Times New Roman" w:hAnsi="Times New Roman" w:cs="Times New Roman"/>
          <w:sz w:val="24"/>
          <w:szCs w:val="24"/>
        </w:rPr>
        <w:t xml:space="preserve"> translates to a state</w:t>
      </w:r>
      <w:r w:rsidR="003F207C" w:rsidRPr="00C31A32">
        <w:rPr>
          <w:rFonts w:ascii="Times New Roman" w:hAnsi="Times New Roman" w:cs="Times New Roman"/>
          <w:sz w:val="24"/>
          <w:szCs w:val="24"/>
        </w:rPr>
        <w:t xml:space="preserve"> </w:t>
      </w:r>
      <w:r w:rsidR="00E7694F" w:rsidRPr="00C31A32">
        <w:rPr>
          <w:rFonts w:ascii="Times New Roman" w:hAnsi="Times New Roman" w:cs="Times New Roman"/>
          <w:sz w:val="24"/>
          <w:szCs w:val="24"/>
        </w:rPr>
        <w:t>duty</w:t>
      </w:r>
      <w:r w:rsidR="003F207C" w:rsidRPr="00C31A32">
        <w:rPr>
          <w:rFonts w:ascii="Times New Roman" w:hAnsi="Times New Roman" w:cs="Times New Roman"/>
          <w:sz w:val="24"/>
          <w:szCs w:val="24"/>
        </w:rPr>
        <w:t xml:space="preserve"> to </w:t>
      </w:r>
      <w:r w:rsidR="0068367D" w:rsidRPr="00C31A32">
        <w:rPr>
          <w:rFonts w:ascii="Times New Roman" w:hAnsi="Times New Roman" w:cs="Times New Roman"/>
          <w:sz w:val="24"/>
          <w:szCs w:val="24"/>
        </w:rPr>
        <w:t>mobilise the</w:t>
      </w:r>
      <w:r w:rsidR="00F14A59" w:rsidRPr="00C31A32">
        <w:rPr>
          <w:rFonts w:ascii="Times New Roman" w:hAnsi="Times New Roman" w:cs="Times New Roman"/>
          <w:sz w:val="24"/>
          <w:szCs w:val="24"/>
        </w:rPr>
        <w:t xml:space="preserve"> </w:t>
      </w:r>
      <w:r w:rsidR="003F207C" w:rsidRPr="00C31A32">
        <w:rPr>
          <w:rFonts w:ascii="Times New Roman" w:hAnsi="Times New Roman" w:cs="Times New Roman"/>
          <w:sz w:val="24"/>
          <w:szCs w:val="24"/>
        </w:rPr>
        <w:t xml:space="preserve">criminal law </w:t>
      </w:r>
      <w:r w:rsidR="00F14A59" w:rsidRPr="00C31A32">
        <w:rPr>
          <w:rFonts w:ascii="Times New Roman" w:hAnsi="Times New Roman" w:cs="Times New Roman"/>
          <w:sz w:val="24"/>
          <w:szCs w:val="24"/>
        </w:rPr>
        <w:t>against</w:t>
      </w:r>
      <w:r w:rsidR="0068367D" w:rsidRPr="00C31A32">
        <w:rPr>
          <w:rFonts w:ascii="Times New Roman" w:hAnsi="Times New Roman" w:cs="Times New Roman"/>
          <w:sz w:val="24"/>
          <w:szCs w:val="24"/>
        </w:rPr>
        <w:t xml:space="preserve"> proscribed forms of</w:t>
      </w:r>
      <w:r w:rsidR="00F14A59" w:rsidRPr="00C31A32">
        <w:rPr>
          <w:rFonts w:ascii="Times New Roman" w:hAnsi="Times New Roman" w:cs="Times New Roman"/>
          <w:sz w:val="24"/>
          <w:szCs w:val="24"/>
        </w:rPr>
        <w:t xml:space="preserve"> ill-treatment</w:t>
      </w:r>
      <w:r w:rsidR="00F037E4" w:rsidRPr="00C31A32">
        <w:rPr>
          <w:rFonts w:ascii="Times New Roman" w:hAnsi="Times New Roman" w:cs="Times New Roman"/>
          <w:sz w:val="24"/>
          <w:szCs w:val="24"/>
        </w:rPr>
        <w:t xml:space="preserve">. </w:t>
      </w:r>
      <w:r w:rsidR="00F14A59" w:rsidRPr="00C31A32">
        <w:rPr>
          <w:rFonts w:ascii="Times New Roman" w:hAnsi="Times New Roman" w:cs="Times New Roman"/>
          <w:sz w:val="24"/>
          <w:szCs w:val="24"/>
        </w:rPr>
        <w:t>We must</w:t>
      </w:r>
      <w:r w:rsidR="00246B60" w:rsidRPr="00C31A32">
        <w:rPr>
          <w:rFonts w:ascii="Times New Roman" w:hAnsi="Times New Roman" w:cs="Times New Roman"/>
          <w:sz w:val="24"/>
          <w:szCs w:val="24"/>
        </w:rPr>
        <w:t xml:space="preserve"> be careful here though because although criminal law is </w:t>
      </w:r>
      <w:r w:rsidR="00257B41" w:rsidRPr="00C31A32">
        <w:rPr>
          <w:rFonts w:ascii="Times New Roman" w:hAnsi="Times New Roman" w:cs="Times New Roman"/>
          <w:sz w:val="24"/>
          <w:szCs w:val="24"/>
        </w:rPr>
        <w:t>typically</w:t>
      </w:r>
      <w:r w:rsidR="00246B60" w:rsidRPr="00C31A32">
        <w:rPr>
          <w:rFonts w:ascii="Times New Roman" w:hAnsi="Times New Roman" w:cs="Times New Roman"/>
          <w:sz w:val="24"/>
          <w:szCs w:val="24"/>
        </w:rPr>
        <w:t xml:space="preserve"> presumed to be an effective tool of deterrence and retribution,</w:t>
      </w:r>
      <w:r w:rsidR="00246B60" w:rsidRPr="00C31A32">
        <w:rPr>
          <w:rStyle w:val="FootnoteReference"/>
          <w:rFonts w:ascii="Times New Roman" w:hAnsi="Times New Roman" w:cs="Times New Roman"/>
          <w:sz w:val="24"/>
          <w:szCs w:val="24"/>
        </w:rPr>
        <w:footnoteReference w:id="178"/>
      </w:r>
      <w:r w:rsidR="00246B60" w:rsidRPr="00C31A32">
        <w:rPr>
          <w:rFonts w:ascii="Times New Roman" w:hAnsi="Times New Roman" w:cs="Times New Roman"/>
          <w:sz w:val="24"/>
          <w:szCs w:val="24"/>
        </w:rPr>
        <w:t xml:space="preserve"> widening the web of criminalisation in the name of human rights protection carries significant risks.</w:t>
      </w:r>
      <w:r w:rsidR="005D24AE" w:rsidRPr="00C31A32">
        <w:rPr>
          <w:rStyle w:val="FootnoteReference"/>
          <w:rFonts w:ascii="Times New Roman" w:hAnsi="Times New Roman" w:cs="Times New Roman"/>
          <w:sz w:val="24"/>
          <w:szCs w:val="24"/>
        </w:rPr>
        <w:footnoteReference w:id="179"/>
      </w:r>
      <w:r w:rsidR="00246B60" w:rsidRPr="00C31A32">
        <w:rPr>
          <w:rFonts w:ascii="Times New Roman" w:hAnsi="Times New Roman" w:cs="Times New Roman"/>
          <w:sz w:val="24"/>
          <w:szCs w:val="24"/>
        </w:rPr>
        <w:t xml:space="preserve"> </w:t>
      </w:r>
      <w:r w:rsidR="00E67499" w:rsidRPr="00C31A32">
        <w:rPr>
          <w:rFonts w:ascii="Times New Roman" w:hAnsi="Times New Roman" w:cs="Times New Roman"/>
          <w:sz w:val="24"/>
          <w:szCs w:val="24"/>
        </w:rPr>
        <w:t>C</w:t>
      </w:r>
      <w:r w:rsidR="00A9559D" w:rsidRPr="00C31A32">
        <w:rPr>
          <w:rFonts w:ascii="Times New Roman" w:hAnsi="Times New Roman" w:cs="Times New Roman"/>
          <w:sz w:val="24"/>
          <w:szCs w:val="24"/>
        </w:rPr>
        <w:t>riminalisation</w:t>
      </w:r>
      <w:r w:rsidR="00E67499" w:rsidRPr="00C31A32">
        <w:rPr>
          <w:rFonts w:ascii="Times New Roman" w:hAnsi="Times New Roman" w:cs="Times New Roman"/>
          <w:sz w:val="24"/>
          <w:szCs w:val="24"/>
        </w:rPr>
        <w:t xml:space="preserve"> as part of the framework duty under Article 3</w:t>
      </w:r>
      <w:r w:rsidR="0068367D" w:rsidRPr="00C31A32">
        <w:rPr>
          <w:rFonts w:ascii="Times New Roman" w:hAnsi="Times New Roman" w:cs="Times New Roman"/>
          <w:sz w:val="24"/>
          <w:szCs w:val="24"/>
        </w:rPr>
        <w:t xml:space="preserve"> has </w:t>
      </w:r>
      <w:r w:rsidR="00B1064E" w:rsidRPr="00C31A32">
        <w:rPr>
          <w:rFonts w:ascii="Times New Roman" w:hAnsi="Times New Roman" w:cs="Times New Roman"/>
          <w:sz w:val="24"/>
          <w:szCs w:val="24"/>
        </w:rPr>
        <w:t>emerge</w:t>
      </w:r>
      <w:r w:rsidR="0068367D" w:rsidRPr="00C31A32">
        <w:rPr>
          <w:rFonts w:ascii="Times New Roman" w:hAnsi="Times New Roman" w:cs="Times New Roman"/>
          <w:sz w:val="24"/>
          <w:szCs w:val="24"/>
        </w:rPr>
        <w:t>d in</w:t>
      </w:r>
      <w:r w:rsidR="00AF7312" w:rsidRPr="00C31A32">
        <w:rPr>
          <w:rFonts w:ascii="Times New Roman" w:hAnsi="Times New Roman" w:cs="Times New Roman"/>
          <w:sz w:val="24"/>
          <w:szCs w:val="24"/>
        </w:rPr>
        <w:t xml:space="preserve"> a wide range of</w:t>
      </w:r>
      <w:r w:rsidR="0068367D" w:rsidRPr="00C31A32">
        <w:rPr>
          <w:rFonts w:ascii="Times New Roman" w:hAnsi="Times New Roman" w:cs="Times New Roman"/>
          <w:sz w:val="24"/>
          <w:szCs w:val="24"/>
        </w:rPr>
        <w:t xml:space="preserve"> cases </w:t>
      </w:r>
      <w:r w:rsidR="00AF7312" w:rsidRPr="00C31A32">
        <w:rPr>
          <w:rFonts w:ascii="Times New Roman" w:hAnsi="Times New Roman" w:cs="Times New Roman"/>
          <w:sz w:val="24"/>
          <w:szCs w:val="24"/>
        </w:rPr>
        <w:t>including</w:t>
      </w:r>
      <w:r w:rsidR="003F207C" w:rsidRPr="00C31A32">
        <w:rPr>
          <w:rFonts w:ascii="Times New Roman" w:hAnsi="Times New Roman" w:cs="Times New Roman"/>
          <w:sz w:val="24"/>
          <w:szCs w:val="24"/>
        </w:rPr>
        <w:t xml:space="preserve"> rape</w:t>
      </w:r>
      <w:r w:rsidR="00E7694F" w:rsidRPr="00C31A32">
        <w:rPr>
          <w:rFonts w:ascii="Times New Roman" w:hAnsi="Times New Roman" w:cs="Times New Roman"/>
          <w:sz w:val="24"/>
          <w:szCs w:val="24"/>
        </w:rPr>
        <w:t>;</w:t>
      </w:r>
      <w:r w:rsidR="00E7694F" w:rsidRPr="00C31A32">
        <w:rPr>
          <w:rStyle w:val="FootnoteReference"/>
          <w:rFonts w:ascii="Times New Roman" w:hAnsi="Times New Roman" w:cs="Times New Roman"/>
          <w:sz w:val="24"/>
          <w:szCs w:val="24"/>
        </w:rPr>
        <w:footnoteReference w:id="180"/>
      </w:r>
      <w:r w:rsidR="003F207C" w:rsidRPr="00C31A32">
        <w:rPr>
          <w:rFonts w:ascii="Times New Roman" w:hAnsi="Times New Roman" w:cs="Times New Roman"/>
          <w:sz w:val="24"/>
          <w:szCs w:val="24"/>
        </w:rPr>
        <w:t xml:space="preserve"> sexual </w:t>
      </w:r>
      <w:r w:rsidR="00F62F43" w:rsidRPr="00C31A32">
        <w:rPr>
          <w:rFonts w:ascii="Times New Roman" w:hAnsi="Times New Roman" w:cs="Times New Roman"/>
          <w:sz w:val="24"/>
          <w:szCs w:val="24"/>
        </w:rPr>
        <w:t>abuse of minors</w:t>
      </w:r>
      <w:r w:rsidR="003F207C" w:rsidRPr="00C31A32">
        <w:rPr>
          <w:rFonts w:ascii="Times New Roman" w:hAnsi="Times New Roman" w:cs="Times New Roman"/>
          <w:sz w:val="24"/>
          <w:szCs w:val="24"/>
        </w:rPr>
        <w:t>;</w:t>
      </w:r>
      <w:r w:rsidR="00B213EF" w:rsidRPr="00C31A32">
        <w:rPr>
          <w:rStyle w:val="FootnoteReference"/>
          <w:rFonts w:ascii="Times New Roman" w:hAnsi="Times New Roman" w:cs="Times New Roman"/>
          <w:sz w:val="24"/>
          <w:szCs w:val="24"/>
        </w:rPr>
        <w:footnoteReference w:id="181"/>
      </w:r>
      <w:r w:rsidR="003F207C" w:rsidRPr="00C31A32">
        <w:rPr>
          <w:rFonts w:ascii="Times New Roman" w:hAnsi="Times New Roman" w:cs="Times New Roman"/>
          <w:sz w:val="24"/>
          <w:szCs w:val="24"/>
        </w:rPr>
        <w:t xml:space="preserve"> </w:t>
      </w:r>
      <w:r w:rsidR="00A96E2E" w:rsidRPr="00C31A32">
        <w:rPr>
          <w:rFonts w:ascii="Times New Roman" w:hAnsi="Times New Roman" w:cs="Times New Roman"/>
          <w:sz w:val="24"/>
          <w:szCs w:val="24"/>
        </w:rPr>
        <w:t>disproportionate</w:t>
      </w:r>
      <w:r w:rsidR="00E7694F" w:rsidRPr="00C31A32">
        <w:rPr>
          <w:rFonts w:ascii="Times New Roman" w:hAnsi="Times New Roman" w:cs="Times New Roman"/>
          <w:sz w:val="24"/>
          <w:szCs w:val="24"/>
        </w:rPr>
        <w:t xml:space="preserve"> </w:t>
      </w:r>
      <w:r w:rsidR="00DF6B6A" w:rsidRPr="00C31A32">
        <w:rPr>
          <w:rFonts w:ascii="Times New Roman" w:hAnsi="Times New Roman" w:cs="Times New Roman"/>
          <w:sz w:val="24"/>
          <w:szCs w:val="24"/>
        </w:rPr>
        <w:t>police</w:t>
      </w:r>
      <w:r w:rsidR="0068367D" w:rsidRPr="00C31A32">
        <w:rPr>
          <w:rFonts w:ascii="Times New Roman" w:hAnsi="Times New Roman" w:cs="Times New Roman"/>
          <w:sz w:val="24"/>
          <w:szCs w:val="24"/>
        </w:rPr>
        <w:t xml:space="preserve"> violence</w:t>
      </w:r>
      <w:r w:rsidR="003F207C" w:rsidRPr="00C31A32">
        <w:rPr>
          <w:rFonts w:ascii="Times New Roman" w:hAnsi="Times New Roman" w:cs="Times New Roman"/>
          <w:sz w:val="24"/>
          <w:szCs w:val="24"/>
        </w:rPr>
        <w:t>;</w:t>
      </w:r>
      <w:r w:rsidR="00B213EF" w:rsidRPr="00C31A32">
        <w:rPr>
          <w:rStyle w:val="FootnoteReference"/>
          <w:rFonts w:ascii="Times New Roman" w:hAnsi="Times New Roman" w:cs="Times New Roman"/>
          <w:sz w:val="24"/>
          <w:szCs w:val="24"/>
        </w:rPr>
        <w:footnoteReference w:id="182"/>
      </w:r>
      <w:r w:rsidR="00E7694F" w:rsidRPr="00C31A32">
        <w:rPr>
          <w:rFonts w:ascii="Times New Roman" w:hAnsi="Times New Roman" w:cs="Times New Roman"/>
          <w:sz w:val="24"/>
          <w:szCs w:val="24"/>
        </w:rPr>
        <w:t xml:space="preserve"> ill-treatment in </w:t>
      </w:r>
      <w:r w:rsidR="00A96E2E" w:rsidRPr="00C31A32">
        <w:rPr>
          <w:rFonts w:ascii="Times New Roman" w:hAnsi="Times New Roman" w:cs="Times New Roman"/>
          <w:sz w:val="24"/>
          <w:szCs w:val="24"/>
        </w:rPr>
        <w:t>custody</w:t>
      </w:r>
      <w:r w:rsidR="00E7694F" w:rsidRPr="00C31A32">
        <w:rPr>
          <w:rFonts w:ascii="Times New Roman" w:hAnsi="Times New Roman" w:cs="Times New Roman"/>
          <w:sz w:val="24"/>
          <w:szCs w:val="24"/>
        </w:rPr>
        <w:t>;</w:t>
      </w:r>
      <w:r w:rsidR="00E7694F" w:rsidRPr="00C31A32">
        <w:rPr>
          <w:rStyle w:val="FootnoteReference"/>
          <w:rFonts w:ascii="Times New Roman" w:hAnsi="Times New Roman" w:cs="Times New Roman"/>
          <w:sz w:val="24"/>
          <w:szCs w:val="24"/>
        </w:rPr>
        <w:footnoteReference w:id="183"/>
      </w:r>
      <w:r w:rsidR="00A96E2E" w:rsidRPr="00C31A32">
        <w:rPr>
          <w:rFonts w:ascii="Times New Roman" w:hAnsi="Times New Roman" w:cs="Times New Roman"/>
          <w:sz w:val="24"/>
          <w:szCs w:val="24"/>
        </w:rPr>
        <w:t xml:space="preserve"> and</w:t>
      </w:r>
      <w:r w:rsidR="003F207C" w:rsidRPr="00C31A32">
        <w:rPr>
          <w:rFonts w:ascii="Times New Roman" w:hAnsi="Times New Roman" w:cs="Times New Roman"/>
          <w:sz w:val="24"/>
          <w:szCs w:val="24"/>
        </w:rPr>
        <w:t xml:space="preserve"> domestic violence.</w:t>
      </w:r>
      <w:r w:rsidR="00B213EF" w:rsidRPr="00C31A32">
        <w:rPr>
          <w:rStyle w:val="FootnoteReference"/>
          <w:rFonts w:ascii="Times New Roman" w:hAnsi="Times New Roman" w:cs="Times New Roman"/>
          <w:sz w:val="24"/>
          <w:szCs w:val="24"/>
        </w:rPr>
        <w:footnoteReference w:id="184"/>
      </w:r>
      <w:r w:rsidR="003F207C" w:rsidRPr="00C31A32">
        <w:rPr>
          <w:rFonts w:ascii="Times New Roman" w:hAnsi="Times New Roman" w:cs="Times New Roman"/>
          <w:sz w:val="24"/>
          <w:szCs w:val="24"/>
        </w:rPr>
        <w:t xml:space="preserve"> </w:t>
      </w:r>
      <w:r w:rsidR="006F7D4A" w:rsidRPr="00C31A32">
        <w:rPr>
          <w:rFonts w:ascii="Times New Roman" w:hAnsi="Times New Roman" w:cs="Times New Roman"/>
          <w:sz w:val="24"/>
          <w:szCs w:val="24"/>
        </w:rPr>
        <w:t xml:space="preserve">The reasons </w:t>
      </w:r>
      <w:r w:rsidR="00DF6B6A" w:rsidRPr="00C31A32">
        <w:rPr>
          <w:rFonts w:ascii="Times New Roman" w:hAnsi="Times New Roman" w:cs="Times New Roman"/>
          <w:sz w:val="24"/>
          <w:szCs w:val="24"/>
        </w:rPr>
        <w:t>behind the</w:t>
      </w:r>
      <w:r w:rsidR="006F7D4A" w:rsidRPr="00C31A32">
        <w:rPr>
          <w:rFonts w:ascii="Times New Roman" w:hAnsi="Times New Roman" w:cs="Times New Roman"/>
          <w:sz w:val="24"/>
          <w:szCs w:val="24"/>
        </w:rPr>
        <w:t xml:space="preserve"> </w:t>
      </w:r>
      <w:r w:rsidR="0068367D" w:rsidRPr="00C31A32">
        <w:rPr>
          <w:rFonts w:ascii="Times New Roman" w:hAnsi="Times New Roman" w:cs="Times New Roman"/>
          <w:sz w:val="24"/>
          <w:szCs w:val="24"/>
        </w:rPr>
        <w:t>state</w:t>
      </w:r>
      <w:r w:rsidR="006F7D4A" w:rsidRPr="00C31A32">
        <w:rPr>
          <w:rFonts w:ascii="Times New Roman" w:hAnsi="Times New Roman" w:cs="Times New Roman"/>
          <w:sz w:val="24"/>
          <w:szCs w:val="24"/>
        </w:rPr>
        <w:t xml:space="preserve"> duty to criminalise </w:t>
      </w:r>
      <w:r w:rsidR="001B7059" w:rsidRPr="00C31A32">
        <w:rPr>
          <w:rFonts w:ascii="Times New Roman" w:hAnsi="Times New Roman" w:cs="Times New Roman"/>
          <w:sz w:val="24"/>
          <w:szCs w:val="24"/>
        </w:rPr>
        <w:t>certain</w:t>
      </w:r>
      <w:r w:rsidR="006F7D4A" w:rsidRPr="00C31A32">
        <w:rPr>
          <w:rFonts w:ascii="Times New Roman" w:hAnsi="Times New Roman" w:cs="Times New Roman"/>
          <w:sz w:val="24"/>
          <w:szCs w:val="24"/>
        </w:rPr>
        <w:t xml:space="preserve"> forms of ill-treatment are not always entirely clear</w:t>
      </w:r>
      <w:r w:rsidR="000E58C7" w:rsidRPr="00C31A32">
        <w:rPr>
          <w:rFonts w:ascii="Times New Roman" w:hAnsi="Times New Roman" w:cs="Times New Roman"/>
          <w:sz w:val="24"/>
          <w:szCs w:val="24"/>
        </w:rPr>
        <w:t>.</w:t>
      </w:r>
      <w:r w:rsidR="00DF6B6A" w:rsidRPr="00C31A32">
        <w:rPr>
          <w:rStyle w:val="FootnoteReference"/>
          <w:rFonts w:ascii="Times New Roman" w:hAnsi="Times New Roman" w:cs="Times New Roman"/>
          <w:sz w:val="24"/>
          <w:szCs w:val="24"/>
        </w:rPr>
        <w:footnoteReference w:id="185"/>
      </w:r>
      <w:r w:rsidR="0027471C" w:rsidRPr="00C31A32">
        <w:rPr>
          <w:rFonts w:ascii="Times New Roman" w:hAnsi="Times New Roman" w:cs="Times New Roman"/>
          <w:sz w:val="24"/>
          <w:szCs w:val="24"/>
        </w:rPr>
        <w:t xml:space="preserve"> </w:t>
      </w:r>
      <w:r w:rsidR="00B1064E" w:rsidRPr="00C31A32">
        <w:rPr>
          <w:rFonts w:ascii="Times New Roman" w:hAnsi="Times New Roman" w:cs="Times New Roman"/>
          <w:sz w:val="24"/>
          <w:szCs w:val="24"/>
        </w:rPr>
        <w:t>For instance, although</w:t>
      </w:r>
      <w:r w:rsidR="00CF2BE4" w:rsidRPr="00C31A32">
        <w:rPr>
          <w:rFonts w:ascii="Times New Roman" w:hAnsi="Times New Roman" w:cs="Times New Roman"/>
          <w:sz w:val="24"/>
          <w:szCs w:val="24"/>
        </w:rPr>
        <w:t xml:space="preserve"> the</w:t>
      </w:r>
      <w:r w:rsidR="00A9559D" w:rsidRPr="00C31A32">
        <w:rPr>
          <w:rFonts w:ascii="Times New Roman" w:hAnsi="Times New Roman" w:cs="Times New Roman"/>
          <w:sz w:val="24"/>
          <w:szCs w:val="24"/>
        </w:rPr>
        <w:t xml:space="preserve"> examples above </w:t>
      </w:r>
      <w:r w:rsidR="00E275E9" w:rsidRPr="00C31A32">
        <w:rPr>
          <w:rFonts w:ascii="Times New Roman" w:hAnsi="Times New Roman" w:cs="Times New Roman"/>
          <w:sz w:val="24"/>
          <w:szCs w:val="24"/>
        </w:rPr>
        <w:t>involve</w:t>
      </w:r>
      <w:r w:rsidR="00A9559D" w:rsidRPr="00C31A32">
        <w:rPr>
          <w:rFonts w:ascii="Times New Roman" w:hAnsi="Times New Roman" w:cs="Times New Roman"/>
          <w:sz w:val="24"/>
          <w:szCs w:val="24"/>
        </w:rPr>
        <w:t xml:space="preserve"> physical</w:t>
      </w:r>
      <w:r w:rsidR="00E275E9" w:rsidRPr="00C31A32">
        <w:rPr>
          <w:rFonts w:ascii="Times New Roman" w:hAnsi="Times New Roman" w:cs="Times New Roman"/>
          <w:sz w:val="24"/>
          <w:szCs w:val="24"/>
        </w:rPr>
        <w:t xml:space="preserve"> abuse</w:t>
      </w:r>
      <w:r w:rsidR="00CF2BE4" w:rsidRPr="00C31A32">
        <w:rPr>
          <w:rFonts w:ascii="Times New Roman" w:hAnsi="Times New Roman" w:cs="Times New Roman"/>
          <w:sz w:val="24"/>
          <w:szCs w:val="24"/>
        </w:rPr>
        <w:t xml:space="preserve">, the </w:t>
      </w:r>
      <w:r w:rsidR="000E58C7" w:rsidRPr="00C31A32">
        <w:rPr>
          <w:rFonts w:ascii="Times New Roman" w:hAnsi="Times New Roman" w:cs="Times New Roman"/>
          <w:sz w:val="24"/>
          <w:szCs w:val="24"/>
        </w:rPr>
        <w:t>ECtHR</w:t>
      </w:r>
      <w:r w:rsidR="00CF2BE4" w:rsidRPr="00C31A32">
        <w:rPr>
          <w:rFonts w:ascii="Times New Roman" w:hAnsi="Times New Roman" w:cs="Times New Roman"/>
          <w:sz w:val="24"/>
          <w:szCs w:val="24"/>
        </w:rPr>
        <w:t xml:space="preserve"> has </w:t>
      </w:r>
      <w:r w:rsidR="00F14A59" w:rsidRPr="00C31A32">
        <w:rPr>
          <w:rFonts w:ascii="Times New Roman" w:hAnsi="Times New Roman" w:cs="Times New Roman"/>
          <w:sz w:val="24"/>
          <w:szCs w:val="24"/>
        </w:rPr>
        <w:t xml:space="preserve">also </w:t>
      </w:r>
      <w:r w:rsidR="00E90851" w:rsidRPr="00C31A32">
        <w:rPr>
          <w:rFonts w:ascii="Times New Roman" w:hAnsi="Times New Roman" w:cs="Times New Roman"/>
          <w:sz w:val="24"/>
          <w:szCs w:val="24"/>
        </w:rPr>
        <w:t>justified the need for</w:t>
      </w:r>
      <w:r w:rsidR="00B1064E" w:rsidRPr="00C31A32">
        <w:rPr>
          <w:rFonts w:ascii="Times New Roman" w:hAnsi="Times New Roman" w:cs="Times New Roman"/>
          <w:sz w:val="24"/>
          <w:szCs w:val="24"/>
        </w:rPr>
        <w:t xml:space="preserve"> criminal law</w:t>
      </w:r>
      <w:r w:rsidR="00E90851" w:rsidRPr="00C31A32">
        <w:rPr>
          <w:rFonts w:ascii="Times New Roman" w:hAnsi="Times New Roman" w:cs="Times New Roman"/>
          <w:sz w:val="24"/>
          <w:szCs w:val="24"/>
        </w:rPr>
        <w:t xml:space="preserve"> protection</w:t>
      </w:r>
      <w:r w:rsidR="00B1064E" w:rsidRPr="00C31A32">
        <w:rPr>
          <w:rFonts w:ascii="Times New Roman" w:hAnsi="Times New Roman" w:cs="Times New Roman"/>
          <w:sz w:val="24"/>
          <w:szCs w:val="24"/>
        </w:rPr>
        <w:t xml:space="preserve"> </w:t>
      </w:r>
      <w:r w:rsidR="00E90851" w:rsidRPr="00C31A32">
        <w:rPr>
          <w:rFonts w:ascii="Times New Roman" w:hAnsi="Times New Roman" w:cs="Times New Roman"/>
          <w:sz w:val="24"/>
          <w:szCs w:val="24"/>
        </w:rPr>
        <w:t>based on the argument that</w:t>
      </w:r>
      <w:r w:rsidR="00AA5114" w:rsidRPr="00C31A32">
        <w:rPr>
          <w:rFonts w:ascii="Times New Roman" w:hAnsi="Times New Roman" w:cs="Times New Roman"/>
          <w:sz w:val="24"/>
          <w:szCs w:val="24"/>
        </w:rPr>
        <w:t xml:space="preserve"> </w:t>
      </w:r>
      <w:r w:rsidR="00A344A0" w:rsidRPr="00C31A32">
        <w:rPr>
          <w:rFonts w:ascii="Times New Roman" w:hAnsi="Times New Roman" w:cs="Times New Roman"/>
          <w:sz w:val="24"/>
          <w:szCs w:val="24"/>
        </w:rPr>
        <w:lastRenderedPageBreak/>
        <w:t>degrading treatment</w:t>
      </w:r>
      <w:r w:rsidR="00AA5114" w:rsidRPr="00C31A32">
        <w:rPr>
          <w:rFonts w:ascii="Times New Roman" w:hAnsi="Times New Roman" w:cs="Times New Roman"/>
          <w:sz w:val="24"/>
          <w:szCs w:val="24"/>
        </w:rPr>
        <w:t xml:space="preserve"> </w:t>
      </w:r>
      <w:r w:rsidR="00B1064E" w:rsidRPr="00C31A32">
        <w:rPr>
          <w:rFonts w:ascii="Times New Roman" w:hAnsi="Times New Roman" w:cs="Times New Roman"/>
          <w:sz w:val="24"/>
          <w:szCs w:val="24"/>
        </w:rPr>
        <w:t>seriously affect</w:t>
      </w:r>
      <w:r w:rsidR="00A344A0" w:rsidRPr="00C31A32">
        <w:rPr>
          <w:rFonts w:ascii="Times New Roman" w:hAnsi="Times New Roman" w:cs="Times New Roman"/>
          <w:sz w:val="24"/>
          <w:szCs w:val="24"/>
        </w:rPr>
        <w:t>s</w:t>
      </w:r>
      <w:r w:rsidR="00B1064E" w:rsidRPr="00C31A32">
        <w:rPr>
          <w:rFonts w:ascii="Times New Roman" w:hAnsi="Times New Roman" w:cs="Times New Roman"/>
          <w:sz w:val="24"/>
          <w:szCs w:val="24"/>
        </w:rPr>
        <w:t xml:space="preserve"> human dignity and psychological wellbeing</w:t>
      </w:r>
      <w:r w:rsidR="00E90851" w:rsidRPr="00C31A32">
        <w:rPr>
          <w:rFonts w:ascii="Times New Roman" w:hAnsi="Times New Roman" w:cs="Times New Roman"/>
          <w:sz w:val="24"/>
          <w:szCs w:val="24"/>
        </w:rPr>
        <w:t>,</w:t>
      </w:r>
      <w:r w:rsidR="00E90851" w:rsidRPr="00C31A32">
        <w:rPr>
          <w:rStyle w:val="FootnoteReference"/>
          <w:rFonts w:ascii="Times New Roman" w:hAnsi="Times New Roman" w:cs="Times New Roman"/>
          <w:sz w:val="24"/>
          <w:szCs w:val="24"/>
        </w:rPr>
        <w:footnoteReference w:id="186"/>
      </w:r>
      <w:r w:rsidR="00E90851" w:rsidRPr="00C31A32">
        <w:rPr>
          <w:rFonts w:ascii="Times New Roman" w:hAnsi="Times New Roman" w:cs="Times New Roman"/>
          <w:sz w:val="24"/>
          <w:szCs w:val="24"/>
        </w:rPr>
        <w:t xml:space="preserve"> regardless of whether injuries of a certain degree of severity have been inflicted</w:t>
      </w:r>
      <w:r w:rsidR="00B1064E" w:rsidRPr="00C31A32">
        <w:rPr>
          <w:rFonts w:ascii="Times New Roman" w:hAnsi="Times New Roman" w:cs="Times New Roman"/>
          <w:sz w:val="24"/>
          <w:szCs w:val="24"/>
        </w:rPr>
        <w:t>.</w:t>
      </w:r>
      <w:r w:rsidR="00E90851" w:rsidRPr="00C31A32">
        <w:rPr>
          <w:rStyle w:val="FootnoteReference"/>
          <w:rFonts w:ascii="Times New Roman" w:hAnsi="Times New Roman" w:cs="Times New Roman"/>
          <w:sz w:val="24"/>
          <w:szCs w:val="24"/>
        </w:rPr>
        <w:footnoteReference w:id="187"/>
      </w:r>
    </w:p>
    <w:p w14:paraId="0B98AD47" w14:textId="3AE36AAF" w:rsidR="0038465F" w:rsidRPr="00C31A32" w:rsidRDefault="00AA5114" w:rsidP="003F207C">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So, d</w:t>
      </w:r>
      <w:r w:rsidR="007A210E" w:rsidRPr="00C31A32">
        <w:rPr>
          <w:rFonts w:ascii="Times New Roman" w:hAnsi="Times New Roman" w:cs="Times New Roman"/>
          <w:sz w:val="24"/>
          <w:szCs w:val="24"/>
        </w:rPr>
        <w:t xml:space="preserve">oes the framework duty </w:t>
      </w:r>
      <w:r w:rsidR="00525B87" w:rsidRPr="00C31A32">
        <w:rPr>
          <w:rFonts w:ascii="Times New Roman" w:hAnsi="Times New Roman" w:cs="Times New Roman"/>
          <w:sz w:val="24"/>
          <w:szCs w:val="24"/>
        </w:rPr>
        <w:t xml:space="preserve">under Article 3 </w:t>
      </w:r>
      <w:r w:rsidR="007A210E" w:rsidRPr="00C31A32">
        <w:rPr>
          <w:rFonts w:ascii="Times New Roman" w:hAnsi="Times New Roman" w:cs="Times New Roman"/>
          <w:sz w:val="24"/>
          <w:szCs w:val="24"/>
        </w:rPr>
        <w:t xml:space="preserve">require </w:t>
      </w:r>
      <w:r w:rsidR="00525B87" w:rsidRPr="00C31A32">
        <w:rPr>
          <w:rFonts w:ascii="Times New Roman" w:hAnsi="Times New Roman" w:cs="Times New Roman"/>
          <w:sz w:val="24"/>
          <w:szCs w:val="24"/>
        </w:rPr>
        <w:t>criminal law protection against</w:t>
      </w:r>
      <w:r w:rsidR="007A210E" w:rsidRPr="00C31A32">
        <w:rPr>
          <w:rFonts w:ascii="Times New Roman" w:hAnsi="Times New Roman" w:cs="Times New Roman"/>
          <w:sz w:val="24"/>
          <w:szCs w:val="24"/>
        </w:rPr>
        <w:t xml:space="preserve"> ‘conversion therapy’? For </w:t>
      </w:r>
      <w:r w:rsidR="005D24AE" w:rsidRPr="00C31A32">
        <w:rPr>
          <w:rFonts w:ascii="Times New Roman" w:hAnsi="Times New Roman" w:cs="Times New Roman"/>
          <w:sz w:val="24"/>
          <w:szCs w:val="24"/>
        </w:rPr>
        <w:t xml:space="preserve">the </w:t>
      </w:r>
      <w:r w:rsidR="007A210E" w:rsidRPr="00C31A32">
        <w:rPr>
          <w:rFonts w:ascii="Times New Roman" w:hAnsi="Times New Roman" w:cs="Times New Roman"/>
          <w:sz w:val="24"/>
          <w:szCs w:val="24"/>
        </w:rPr>
        <w:t xml:space="preserve">reasons </w:t>
      </w:r>
      <w:r w:rsidR="005D24AE" w:rsidRPr="00C31A32">
        <w:rPr>
          <w:rFonts w:ascii="Times New Roman" w:hAnsi="Times New Roman" w:cs="Times New Roman"/>
          <w:sz w:val="24"/>
          <w:szCs w:val="24"/>
        </w:rPr>
        <w:t xml:space="preserve">discussed </w:t>
      </w:r>
      <w:r w:rsidR="007A210E" w:rsidRPr="00C31A32">
        <w:rPr>
          <w:rFonts w:ascii="Times New Roman" w:hAnsi="Times New Roman" w:cs="Times New Roman"/>
          <w:sz w:val="24"/>
          <w:szCs w:val="24"/>
        </w:rPr>
        <w:t xml:space="preserve">earlier, all forms of ‘conversion therapy’ attain the minimum level of severity to trigger the applicability of Article 3 because all </w:t>
      </w:r>
      <w:r w:rsidR="00525B87" w:rsidRPr="00C31A32">
        <w:rPr>
          <w:rFonts w:ascii="Times New Roman" w:hAnsi="Times New Roman" w:cs="Times New Roman"/>
          <w:sz w:val="24"/>
          <w:szCs w:val="24"/>
        </w:rPr>
        <w:t>amount to</w:t>
      </w:r>
      <w:r w:rsidR="007A210E" w:rsidRPr="00C31A32">
        <w:rPr>
          <w:rFonts w:ascii="Times New Roman" w:hAnsi="Times New Roman" w:cs="Times New Roman"/>
          <w:sz w:val="24"/>
          <w:szCs w:val="24"/>
        </w:rPr>
        <w:t xml:space="preserve"> a serious violation of human dignity: they directly discriminate against LGBTIQ+ people by placing their physical and psychological health at real risk of grave harm; and they can arouse in their victims feelings of fear, anguish and inferiority capable of debasing them.</w:t>
      </w:r>
      <w:r w:rsidR="007A210E" w:rsidRPr="00C31A32">
        <w:rPr>
          <w:rStyle w:val="FootnoteReference"/>
          <w:rFonts w:ascii="Times New Roman" w:hAnsi="Times New Roman" w:cs="Times New Roman"/>
          <w:sz w:val="24"/>
          <w:szCs w:val="24"/>
        </w:rPr>
        <w:footnoteReference w:id="188"/>
      </w:r>
      <w:r w:rsidR="007A210E" w:rsidRPr="00C31A32">
        <w:rPr>
          <w:rFonts w:ascii="Times New Roman" w:hAnsi="Times New Roman" w:cs="Times New Roman"/>
          <w:sz w:val="24"/>
          <w:szCs w:val="24"/>
        </w:rPr>
        <w:t xml:space="preserve"> </w:t>
      </w:r>
      <w:r w:rsidR="00C902A6" w:rsidRPr="00C31A32">
        <w:rPr>
          <w:rFonts w:ascii="Times New Roman" w:hAnsi="Times New Roman" w:cs="Times New Roman"/>
          <w:sz w:val="24"/>
          <w:szCs w:val="24"/>
        </w:rPr>
        <w:t>On that account</w:t>
      </w:r>
      <w:r w:rsidR="00F2261F" w:rsidRPr="00C31A32">
        <w:rPr>
          <w:rFonts w:ascii="Times New Roman" w:hAnsi="Times New Roman" w:cs="Times New Roman"/>
          <w:sz w:val="24"/>
          <w:szCs w:val="24"/>
        </w:rPr>
        <w:t>,</w:t>
      </w:r>
      <w:r w:rsidR="00BC59DA" w:rsidRPr="00C31A32">
        <w:rPr>
          <w:rFonts w:ascii="Times New Roman" w:hAnsi="Times New Roman" w:cs="Times New Roman"/>
          <w:sz w:val="24"/>
          <w:szCs w:val="24"/>
        </w:rPr>
        <w:t xml:space="preserve"> </w:t>
      </w:r>
      <w:r w:rsidR="006C0C15" w:rsidRPr="00C31A32">
        <w:rPr>
          <w:rFonts w:ascii="Times New Roman" w:hAnsi="Times New Roman" w:cs="Times New Roman"/>
          <w:sz w:val="24"/>
          <w:szCs w:val="24"/>
        </w:rPr>
        <w:t>applying</w:t>
      </w:r>
      <w:r w:rsidR="00BC59DA" w:rsidRPr="00C31A32">
        <w:rPr>
          <w:rFonts w:ascii="Times New Roman" w:hAnsi="Times New Roman" w:cs="Times New Roman"/>
          <w:sz w:val="24"/>
          <w:szCs w:val="24"/>
        </w:rPr>
        <w:t xml:space="preserve"> </w:t>
      </w:r>
      <w:proofErr w:type="spellStart"/>
      <w:r w:rsidR="00BC59DA" w:rsidRPr="00C31A32">
        <w:rPr>
          <w:rFonts w:ascii="Times New Roman" w:hAnsi="Times New Roman" w:cs="Times New Roman"/>
          <w:i/>
          <w:iCs/>
          <w:sz w:val="24"/>
          <w:szCs w:val="24"/>
        </w:rPr>
        <w:t>Volodina</w:t>
      </w:r>
      <w:proofErr w:type="spellEnd"/>
      <w:r w:rsidR="006C0C15" w:rsidRPr="00C31A32">
        <w:rPr>
          <w:rFonts w:ascii="Times New Roman" w:hAnsi="Times New Roman" w:cs="Times New Roman"/>
          <w:sz w:val="24"/>
          <w:szCs w:val="24"/>
        </w:rPr>
        <w:t xml:space="preserve"> </w:t>
      </w:r>
      <w:r w:rsidR="00F14A59" w:rsidRPr="00C31A32">
        <w:rPr>
          <w:rFonts w:ascii="Times New Roman" w:hAnsi="Times New Roman" w:cs="Times New Roman"/>
          <w:sz w:val="24"/>
          <w:szCs w:val="24"/>
        </w:rPr>
        <w:t xml:space="preserve">and </w:t>
      </w:r>
      <w:proofErr w:type="spellStart"/>
      <w:r w:rsidR="00F14A59" w:rsidRPr="00C31A32">
        <w:rPr>
          <w:rFonts w:ascii="Times New Roman" w:hAnsi="Times New Roman" w:cs="Times New Roman"/>
          <w:i/>
          <w:iCs/>
          <w:sz w:val="24"/>
          <w:szCs w:val="24"/>
        </w:rPr>
        <w:t>Myumyun</w:t>
      </w:r>
      <w:proofErr w:type="spellEnd"/>
      <w:r w:rsidR="004342D0" w:rsidRPr="00C31A32">
        <w:rPr>
          <w:rFonts w:ascii="Times New Roman" w:hAnsi="Times New Roman" w:cs="Times New Roman"/>
          <w:sz w:val="24"/>
          <w:szCs w:val="24"/>
        </w:rPr>
        <w:t xml:space="preserve"> by analogy</w:t>
      </w:r>
      <w:r w:rsidR="006C0C15" w:rsidRPr="00C31A32">
        <w:rPr>
          <w:rFonts w:ascii="Times New Roman" w:hAnsi="Times New Roman" w:cs="Times New Roman"/>
          <w:sz w:val="24"/>
          <w:szCs w:val="24"/>
        </w:rPr>
        <w:t>,</w:t>
      </w:r>
      <w:r w:rsidR="00C07775" w:rsidRPr="00C31A32">
        <w:rPr>
          <w:rStyle w:val="FootnoteReference"/>
          <w:rFonts w:ascii="Times New Roman" w:hAnsi="Times New Roman" w:cs="Times New Roman"/>
          <w:sz w:val="24"/>
          <w:szCs w:val="24"/>
        </w:rPr>
        <w:footnoteReference w:id="189"/>
      </w:r>
      <w:r w:rsidR="00BC59DA" w:rsidRPr="00C31A32">
        <w:rPr>
          <w:rFonts w:ascii="Times New Roman" w:hAnsi="Times New Roman" w:cs="Times New Roman"/>
          <w:i/>
          <w:iCs/>
          <w:sz w:val="24"/>
          <w:szCs w:val="24"/>
        </w:rPr>
        <w:t xml:space="preserve"> </w:t>
      </w:r>
      <w:r w:rsidR="00BC59DA" w:rsidRPr="00C31A32">
        <w:rPr>
          <w:rFonts w:ascii="Times New Roman" w:hAnsi="Times New Roman" w:cs="Times New Roman"/>
          <w:sz w:val="24"/>
          <w:szCs w:val="24"/>
        </w:rPr>
        <w:t>criminal</w:t>
      </w:r>
      <w:r w:rsidR="00F14A59" w:rsidRPr="00C31A32">
        <w:rPr>
          <w:rFonts w:ascii="Times New Roman" w:hAnsi="Times New Roman" w:cs="Times New Roman"/>
          <w:sz w:val="24"/>
          <w:szCs w:val="24"/>
        </w:rPr>
        <w:t>ising</w:t>
      </w:r>
      <w:r w:rsidR="00BC59DA" w:rsidRPr="00C31A32">
        <w:rPr>
          <w:rFonts w:ascii="Times New Roman" w:hAnsi="Times New Roman" w:cs="Times New Roman"/>
          <w:sz w:val="24"/>
          <w:szCs w:val="24"/>
        </w:rPr>
        <w:t xml:space="preserve"> </w:t>
      </w:r>
      <w:r w:rsidR="00F14A59" w:rsidRPr="00C31A32">
        <w:rPr>
          <w:rFonts w:ascii="Times New Roman" w:hAnsi="Times New Roman" w:cs="Times New Roman"/>
          <w:sz w:val="24"/>
          <w:szCs w:val="24"/>
        </w:rPr>
        <w:t xml:space="preserve">the provision of all forms of ‘conversion therapy’ can be justified under </w:t>
      </w:r>
      <w:r w:rsidR="00C76290" w:rsidRPr="00C31A32">
        <w:rPr>
          <w:rFonts w:ascii="Times New Roman" w:hAnsi="Times New Roman" w:cs="Times New Roman"/>
          <w:sz w:val="24"/>
          <w:szCs w:val="24"/>
        </w:rPr>
        <w:t xml:space="preserve">the framework duty of </w:t>
      </w:r>
      <w:r w:rsidR="00F14A59" w:rsidRPr="00C31A32">
        <w:rPr>
          <w:rFonts w:ascii="Times New Roman" w:hAnsi="Times New Roman" w:cs="Times New Roman"/>
          <w:sz w:val="24"/>
          <w:szCs w:val="24"/>
        </w:rPr>
        <w:t>Article 3</w:t>
      </w:r>
      <w:r w:rsidR="00BC59DA" w:rsidRPr="00C31A32">
        <w:rPr>
          <w:rFonts w:ascii="Times New Roman" w:hAnsi="Times New Roman" w:cs="Times New Roman"/>
          <w:sz w:val="24"/>
          <w:szCs w:val="24"/>
        </w:rPr>
        <w:t>.</w:t>
      </w:r>
      <w:r w:rsidR="00BC59DA" w:rsidRPr="00C31A32">
        <w:rPr>
          <w:rStyle w:val="FootnoteReference"/>
          <w:rFonts w:ascii="Times New Roman" w:hAnsi="Times New Roman" w:cs="Times New Roman"/>
          <w:sz w:val="24"/>
          <w:szCs w:val="24"/>
        </w:rPr>
        <w:footnoteReference w:id="190"/>
      </w:r>
      <w:r w:rsidR="00BC59DA" w:rsidRPr="00C31A32">
        <w:rPr>
          <w:rFonts w:ascii="Times New Roman" w:hAnsi="Times New Roman" w:cs="Times New Roman"/>
          <w:sz w:val="24"/>
          <w:szCs w:val="24"/>
        </w:rPr>
        <w:t xml:space="preserve"> </w:t>
      </w:r>
      <w:r w:rsidR="004342D0" w:rsidRPr="00C31A32">
        <w:rPr>
          <w:rFonts w:ascii="Times New Roman" w:hAnsi="Times New Roman" w:cs="Times New Roman"/>
          <w:sz w:val="24"/>
          <w:szCs w:val="24"/>
        </w:rPr>
        <w:t>At the same time</w:t>
      </w:r>
      <w:r w:rsidR="00F2261F" w:rsidRPr="00C31A32">
        <w:rPr>
          <w:rFonts w:ascii="Times New Roman" w:hAnsi="Times New Roman" w:cs="Times New Roman"/>
          <w:sz w:val="24"/>
          <w:szCs w:val="24"/>
        </w:rPr>
        <w:t>,</w:t>
      </w:r>
      <w:r w:rsidR="00BC59DA" w:rsidRPr="00C31A32">
        <w:rPr>
          <w:rFonts w:ascii="Times New Roman" w:hAnsi="Times New Roman" w:cs="Times New Roman"/>
          <w:sz w:val="24"/>
          <w:szCs w:val="24"/>
        </w:rPr>
        <w:t xml:space="preserve"> </w:t>
      </w:r>
      <w:r w:rsidR="00C76290" w:rsidRPr="00C31A32">
        <w:rPr>
          <w:rFonts w:ascii="Times New Roman" w:hAnsi="Times New Roman" w:cs="Times New Roman"/>
          <w:sz w:val="24"/>
          <w:szCs w:val="24"/>
        </w:rPr>
        <w:t xml:space="preserve">what </w:t>
      </w:r>
      <w:r w:rsidR="00BC59DA" w:rsidRPr="00C31A32">
        <w:rPr>
          <w:rFonts w:ascii="Times New Roman" w:hAnsi="Times New Roman" w:cs="Times New Roman"/>
          <w:sz w:val="24"/>
          <w:szCs w:val="24"/>
        </w:rPr>
        <w:t xml:space="preserve">the framework duty </w:t>
      </w:r>
      <w:r w:rsidR="00C76290" w:rsidRPr="00C31A32">
        <w:rPr>
          <w:rFonts w:ascii="Times New Roman" w:hAnsi="Times New Roman" w:cs="Times New Roman"/>
          <w:sz w:val="24"/>
          <w:szCs w:val="24"/>
        </w:rPr>
        <w:t>under Article 3</w:t>
      </w:r>
      <w:r w:rsidR="00AD791C" w:rsidRPr="00C31A32">
        <w:rPr>
          <w:rFonts w:ascii="Times New Roman" w:hAnsi="Times New Roman" w:cs="Times New Roman"/>
          <w:sz w:val="24"/>
          <w:szCs w:val="24"/>
        </w:rPr>
        <w:t xml:space="preserve"> </w:t>
      </w:r>
      <w:r w:rsidR="00C76290" w:rsidRPr="00C31A32">
        <w:rPr>
          <w:rFonts w:ascii="Times New Roman" w:hAnsi="Times New Roman" w:cs="Times New Roman"/>
          <w:sz w:val="24"/>
          <w:szCs w:val="24"/>
        </w:rPr>
        <w:t xml:space="preserve">requires is legal provisions that are sufficiently tailored to the human rights offence concerned. So, other </w:t>
      </w:r>
      <w:r w:rsidR="00945D8F" w:rsidRPr="00C31A32">
        <w:rPr>
          <w:rFonts w:ascii="Times New Roman" w:hAnsi="Times New Roman" w:cs="Times New Roman"/>
          <w:sz w:val="24"/>
          <w:szCs w:val="24"/>
        </w:rPr>
        <w:t>options</w:t>
      </w:r>
      <w:r w:rsidR="00BC59DA" w:rsidRPr="00C31A32">
        <w:rPr>
          <w:rFonts w:ascii="Times New Roman" w:hAnsi="Times New Roman" w:cs="Times New Roman"/>
          <w:sz w:val="24"/>
          <w:szCs w:val="24"/>
        </w:rPr>
        <w:t xml:space="preserve"> of legal action, </w:t>
      </w:r>
      <w:r w:rsidR="00945D8F" w:rsidRPr="00C31A32">
        <w:rPr>
          <w:rFonts w:ascii="Times New Roman" w:hAnsi="Times New Roman" w:cs="Times New Roman"/>
          <w:sz w:val="24"/>
          <w:szCs w:val="24"/>
        </w:rPr>
        <w:t>such as</w:t>
      </w:r>
      <w:r w:rsidR="00BC59DA" w:rsidRPr="00C31A32">
        <w:rPr>
          <w:rFonts w:ascii="Times New Roman" w:hAnsi="Times New Roman" w:cs="Times New Roman"/>
          <w:sz w:val="24"/>
          <w:szCs w:val="24"/>
        </w:rPr>
        <w:t xml:space="preserve"> civil </w:t>
      </w:r>
      <w:r w:rsidR="00257B41" w:rsidRPr="00C31A32">
        <w:rPr>
          <w:rFonts w:ascii="Times New Roman" w:hAnsi="Times New Roman" w:cs="Times New Roman"/>
          <w:sz w:val="24"/>
          <w:szCs w:val="24"/>
        </w:rPr>
        <w:t>means of redress</w:t>
      </w:r>
      <w:r w:rsidR="00BC59DA" w:rsidRPr="00C31A32">
        <w:rPr>
          <w:rFonts w:ascii="Times New Roman" w:hAnsi="Times New Roman" w:cs="Times New Roman"/>
          <w:sz w:val="24"/>
          <w:szCs w:val="24"/>
        </w:rPr>
        <w:t xml:space="preserve">, </w:t>
      </w:r>
      <w:r w:rsidR="00C76290" w:rsidRPr="00C31A32">
        <w:rPr>
          <w:rFonts w:ascii="Times New Roman" w:hAnsi="Times New Roman" w:cs="Times New Roman"/>
          <w:sz w:val="24"/>
          <w:szCs w:val="24"/>
        </w:rPr>
        <w:t>are also available and in fact those</w:t>
      </w:r>
      <w:r w:rsidR="00BC59DA" w:rsidRPr="00C31A32">
        <w:rPr>
          <w:rFonts w:ascii="Times New Roman" w:hAnsi="Times New Roman" w:cs="Times New Roman"/>
          <w:sz w:val="24"/>
          <w:szCs w:val="24"/>
        </w:rPr>
        <w:t xml:space="preserve"> might be preferable for non-intentional forms of ‘conversion therapy’.</w:t>
      </w:r>
      <w:r w:rsidR="006C0C15" w:rsidRPr="00C31A32">
        <w:rPr>
          <w:rStyle w:val="FootnoteReference"/>
          <w:rFonts w:ascii="Times New Roman" w:hAnsi="Times New Roman" w:cs="Times New Roman"/>
          <w:sz w:val="24"/>
          <w:szCs w:val="24"/>
        </w:rPr>
        <w:footnoteReference w:id="191"/>
      </w:r>
      <w:r w:rsidR="00BC59DA" w:rsidRPr="00C31A32">
        <w:rPr>
          <w:rFonts w:ascii="Times New Roman" w:hAnsi="Times New Roman" w:cs="Times New Roman"/>
          <w:sz w:val="24"/>
          <w:szCs w:val="24"/>
        </w:rPr>
        <w:t xml:space="preserve"> At any rate, the precise mix of civil and criminal law </w:t>
      </w:r>
      <w:r w:rsidR="00C76290" w:rsidRPr="00C31A32">
        <w:rPr>
          <w:rFonts w:ascii="Times New Roman" w:hAnsi="Times New Roman" w:cs="Times New Roman"/>
          <w:sz w:val="24"/>
          <w:szCs w:val="24"/>
        </w:rPr>
        <w:t>protections</w:t>
      </w:r>
      <w:r w:rsidR="00BC59DA" w:rsidRPr="00C31A32">
        <w:rPr>
          <w:rFonts w:ascii="Times New Roman" w:hAnsi="Times New Roman" w:cs="Times New Roman"/>
          <w:sz w:val="24"/>
          <w:szCs w:val="24"/>
        </w:rPr>
        <w:t xml:space="preserve"> that would be </w:t>
      </w:r>
      <w:r w:rsidR="00284AB4" w:rsidRPr="00C31A32">
        <w:rPr>
          <w:rFonts w:ascii="Times New Roman" w:hAnsi="Times New Roman" w:cs="Times New Roman"/>
          <w:sz w:val="24"/>
          <w:szCs w:val="24"/>
        </w:rPr>
        <w:t>sufficient</w:t>
      </w:r>
      <w:r w:rsidR="00945D8F" w:rsidRPr="00C31A32">
        <w:rPr>
          <w:rFonts w:ascii="Times New Roman" w:hAnsi="Times New Roman" w:cs="Times New Roman"/>
          <w:sz w:val="24"/>
          <w:szCs w:val="24"/>
        </w:rPr>
        <w:t xml:space="preserve"> against ‘conversion therapy’</w:t>
      </w:r>
      <w:r w:rsidR="00BC59DA" w:rsidRPr="00C31A32">
        <w:rPr>
          <w:rFonts w:ascii="Times New Roman" w:hAnsi="Times New Roman" w:cs="Times New Roman"/>
          <w:sz w:val="24"/>
          <w:szCs w:val="24"/>
        </w:rPr>
        <w:t xml:space="preserve"> requires further discussion</w:t>
      </w:r>
      <w:r w:rsidR="006C0C15" w:rsidRPr="00C31A32">
        <w:rPr>
          <w:rFonts w:ascii="Times New Roman" w:hAnsi="Times New Roman" w:cs="Times New Roman"/>
          <w:sz w:val="24"/>
          <w:szCs w:val="24"/>
        </w:rPr>
        <w:t xml:space="preserve"> and a</w:t>
      </w:r>
      <w:r w:rsidR="00510E54" w:rsidRPr="00C31A32">
        <w:rPr>
          <w:rFonts w:ascii="Times New Roman" w:hAnsi="Times New Roman" w:cs="Times New Roman"/>
          <w:sz w:val="24"/>
          <w:szCs w:val="24"/>
        </w:rPr>
        <w:t xml:space="preserve"> more detailed</w:t>
      </w:r>
      <w:r w:rsidR="006C0C15" w:rsidRPr="00C31A32">
        <w:rPr>
          <w:rFonts w:ascii="Times New Roman" w:hAnsi="Times New Roman" w:cs="Times New Roman"/>
          <w:sz w:val="24"/>
          <w:szCs w:val="24"/>
        </w:rPr>
        <w:t xml:space="preserve"> contextual assessment</w:t>
      </w:r>
      <w:r w:rsidR="00BC59DA" w:rsidRPr="00C31A32">
        <w:rPr>
          <w:rFonts w:ascii="Times New Roman" w:hAnsi="Times New Roman" w:cs="Times New Roman"/>
          <w:sz w:val="24"/>
          <w:szCs w:val="24"/>
        </w:rPr>
        <w:t xml:space="preserve"> that cannot be pursued here</w:t>
      </w:r>
      <w:r w:rsidR="004342D0" w:rsidRPr="00C31A32">
        <w:rPr>
          <w:rFonts w:ascii="Times New Roman" w:hAnsi="Times New Roman" w:cs="Times New Roman"/>
          <w:sz w:val="24"/>
          <w:szCs w:val="24"/>
        </w:rPr>
        <w:t>.</w:t>
      </w:r>
      <w:r w:rsidR="00C76290" w:rsidRPr="00C31A32">
        <w:rPr>
          <w:rFonts w:ascii="Times New Roman" w:hAnsi="Times New Roman" w:cs="Times New Roman"/>
          <w:sz w:val="24"/>
          <w:szCs w:val="24"/>
        </w:rPr>
        <w:t xml:space="preserve"> </w:t>
      </w:r>
      <w:r w:rsidR="00284AB4" w:rsidRPr="00C31A32">
        <w:rPr>
          <w:rFonts w:ascii="Times New Roman" w:hAnsi="Times New Roman" w:cs="Times New Roman"/>
          <w:sz w:val="24"/>
          <w:szCs w:val="24"/>
        </w:rPr>
        <w:t>Even so, it is unlikely that the</w:t>
      </w:r>
      <w:r w:rsidR="00C76290" w:rsidRPr="00C31A32">
        <w:rPr>
          <w:rFonts w:ascii="Times New Roman" w:hAnsi="Times New Roman" w:cs="Times New Roman"/>
          <w:sz w:val="24"/>
          <w:szCs w:val="24"/>
        </w:rPr>
        <w:t xml:space="preserve"> </w:t>
      </w:r>
      <w:r w:rsidR="00284AB4" w:rsidRPr="00C31A32">
        <w:rPr>
          <w:rFonts w:ascii="Times New Roman" w:hAnsi="Times New Roman" w:cs="Times New Roman"/>
          <w:sz w:val="24"/>
          <w:szCs w:val="24"/>
        </w:rPr>
        <w:t>Contracting States to the ECHR can fulfil their framework duty under Article 3 without adopting</w:t>
      </w:r>
      <w:r w:rsidR="004342D0" w:rsidRPr="00C31A32">
        <w:rPr>
          <w:rFonts w:ascii="Times New Roman" w:hAnsi="Times New Roman" w:cs="Times New Roman"/>
          <w:sz w:val="24"/>
          <w:szCs w:val="24"/>
        </w:rPr>
        <w:t xml:space="preserve"> </w:t>
      </w:r>
      <w:r w:rsidR="00740A24">
        <w:rPr>
          <w:rFonts w:ascii="Times New Roman" w:hAnsi="Times New Roman" w:cs="Times New Roman"/>
          <w:sz w:val="24"/>
          <w:szCs w:val="24"/>
        </w:rPr>
        <w:t xml:space="preserve">specific </w:t>
      </w:r>
      <w:r w:rsidR="004342D0" w:rsidRPr="00C31A32">
        <w:rPr>
          <w:rFonts w:ascii="Times New Roman" w:hAnsi="Times New Roman" w:cs="Times New Roman"/>
          <w:sz w:val="24"/>
          <w:szCs w:val="24"/>
        </w:rPr>
        <w:t>provisions</w:t>
      </w:r>
      <w:r w:rsidR="00BC59DA" w:rsidRPr="00C31A32">
        <w:rPr>
          <w:rFonts w:ascii="Times New Roman" w:hAnsi="Times New Roman" w:cs="Times New Roman"/>
          <w:sz w:val="24"/>
          <w:szCs w:val="24"/>
        </w:rPr>
        <w:t xml:space="preserve"> </w:t>
      </w:r>
      <w:r w:rsidR="0045168C">
        <w:rPr>
          <w:rFonts w:ascii="Times New Roman" w:hAnsi="Times New Roman" w:cs="Times New Roman"/>
          <w:sz w:val="24"/>
          <w:szCs w:val="24"/>
        </w:rPr>
        <w:t>against</w:t>
      </w:r>
      <w:r w:rsidR="00BC59DA" w:rsidRPr="00C31A32">
        <w:rPr>
          <w:rFonts w:ascii="Times New Roman" w:hAnsi="Times New Roman" w:cs="Times New Roman"/>
          <w:sz w:val="24"/>
          <w:szCs w:val="24"/>
        </w:rPr>
        <w:t xml:space="preserve"> ‘conversion therapy’</w:t>
      </w:r>
      <w:r w:rsidR="00880B93">
        <w:rPr>
          <w:rFonts w:ascii="Times New Roman" w:hAnsi="Times New Roman" w:cs="Times New Roman"/>
          <w:sz w:val="24"/>
          <w:szCs w:val="24"/>
        </w:rPr>
        <w:t xml:space="preserve"> </w:t>
      </w:r>
      <w:r w:rsidR="0045168C">
        <w:rPr>
          <w:rFonts w:ascii="Times New Roman" w:hAnsi="Times New Roman" w:cs="Times New Roman"/>
          <w:sz w:val="24"/>
          <w:szCs w:val="24"/>
        </w:rPr>
        <w:t>that define the scope of the practice and</w:t>
      </w:r>
      <w:r w:rsidR="00BC59DA" w:rsidRPr="00C31A32">
        <w:rPr>
          <w:rFonts w:ascii="Times New Roman" w:hAnsi="Times New Roman" w:cs="Times New Roman"/>
          <w:sz w:val="24"/>
          <w:szCs w:val="24"/>
        </w:rPr>
        <w:t xml:space="preserve"> </w:t>
      </w:r>
      <w:r w:rsidR="00740A24">
        <w:rPr>
          <w:rFonts w:ascii="Times New Roman" w:hAnsi="Times New Roman" w:cs="Times New Roman"/>
          <w:sz w:val="24"/>
          <w:szCs w:val="24"/>
        </w:rPr>
        <w:t>clarify</w:t>
      </w:r>
      <w:r w:rsidR="00740A24" w:rsidRPr="00C31A32">
        <w:rPr>
          <w:rFonts w:ascii="Times New Roman" w:hAnsi="Times New Roman" w:cs="Times New Roman"/>
          <w:sz w:val="24"/>
          <w:szCs w:val="24"/>
        </w:rPr>
        <w:t xml:space="preserve"> </w:t>
      </w:r>
      <w:r w:rsidR="00BC59DA" w:rsidRPr="00C31A32">
        <w:rPr>
          <w:rFonts w:ascii="Times New Roman" w:hAnsi="Times New Roman" w:cs="Times New Roman"/>
          <w:sz w:val="24"/>
          <w:szCs w:val="24"/>
        </w:rPr>
        <w:t>which public authorities have a duty to act against ‘therapy’ providers</w:t>
      </w:r>
      <w:r w:rsidR="00740A24">
        <w:rPr>
          <w:rFonts w:ascii="Times New Roman" w:hAnsi="Times New Roman" w:cs="Times New Roman"/>
          <w:sz w:val="24"/>
          <w:szCs w:val="24"/>
        </w:rPr>
        <w:t>. Such provisions must also</w:t>
      </w:r>
      <w:r w:rsidR="00880B93">
        <w:rPr>
          <w:rFonts w:ascii="Times New Roman" w:hAnsi="Times New Roman" w:cs="Times New Roman"/>
          <w:sz w:val="24"/>
          <w:szCs w:val="24"/>
        </w:rPr>
        <w:t xml:space="preserve"> </w:t>
      </w:r>
      <w:r w:rsidR="00740A24">
        <w:rPr>
          <w:rFonts w:ascii="Times New Roman" w:hAnsi="Times New Roman" w:cs="Times New Roman"/>
          <w:sz w:val="24"/>
          <w:szCs w:val="24"/>
        </w:rPr>
        <w:t>set out</w:t>
      </w:r>
      <w:r w:rsidR="00880B93">
        <w:rPr>
          <w:rFonts w:ascii="Times New Roman" w:hAnsi="Times New Roman" w:cs="Times New Roman"/>
          <w:sz w:val="24"/>
          <w:szCs w:val="24"/>
        </w:rPr>
        <w:t xml:space="preserve"> </w:t>
      </w:r>
      <w:r w:rsidR="00BC59DA" w:rsidRPr="00C31A32">
        <w:rPr>
          <w:rFonts w:ascii="Times New Roman" w:hAnsi="Times New Roman" w:cs="Times New Roman"/>
          <w:sz w:val="24"/>
          <w:szCs w:val="24"/>
        </w:rPr>
        <w:t>remedies, support and reporting mechanisms for victims and</w:t>
      </w:r>
      <w:r w:rsidR="00740A24">
        <w:rPr>
          <w:rFonts w:ascii="Times New Roman" w:hAnsi="Times New Roman" w:cs="Times New Roman"/>
          <w:sz w:val="24"/>
          <w:szCs w:val="24"/>
        </w:rPr>
        <w:t xml:space="preserve"> also</w:t>
      </w:r>
      <w:r w:rsidR="00BC59DA" w:rsidRPr="00C31A32">
        <w:rPr>
          <w:rFonts w:ascii="Times New Roman" w:hAnsi="Times New Roman" w:cs="Times New Roman"/>
          <w:sz w:val="24"/>
          <w:szCs w:val="24"/>
        </w:rPr>
        <w:t xml:space="preserve"> </w:t>
      </w:r>
      <w:r w:rsidR="00740A24">
        <w:rPr>
          <w:rFonts w:ascii="Times New Roman" w:hAnsi="Times New Roman" w:cs="Times New Roman"/>
          <w:sz w:val="24"/>
          <w:szCs w:val="24"/>
        </w:rPr>
        <w:t>the types</w:t>
      </w:r>
      <w:r w:rsidR="00BC59DA" w:rsidRPr="00C31A32">
        <w:rPr>
          <w:rFonts w:ascii="Times New Roman" w:hAnsi="Times New Roman" w:cs="Times New Roman"/>
          <w:sz w:val="24"/>
          <w:szCs w:val="24"/>
        </w:rPr>
        <w:t xml:space="preserve"> of interim measures </w:t>
      </w:r>
      <w:r w:rsidR="00740A24">
        <w:rPr>
          <w:rFonts w:ascii="Times New Roman" w:hAnsi="Times New Roman" w:cs="Times New Roman"/>
          <w:sz w:val="24"/>
          <w:szCs w:val="24"/>
        </w:rPr>
        <w:t>that c</w:t>
      </w:r>
      <w:r w:rsidR="00BC59DA" w:rsidRPr="00C31A32">
        <w:rPr>
          <w:rFonts w:ascii="Times New Roman" w:hAnsi="Times New Roman" w:cs="Times New Roman"/>
          <w:sz w:val="24"/>
          <w:szCs w:val="24"/>
        </w:rPr>
        <w:t xml:space="preserve">ould be </w:t>
      </w:r>
      <w:r w:rsidR="00740A24">
        <w:rPr>
          <w:rFonts w:ascii="Times New Roman" w:hAnsi="Times New Roman" w:cs="Times New Roman"/>
          <w:sz w:val="24"/>
          <w:szCs w:val="24"/>
        </w:rPr>
        <w:t>taken</w:t>
      </w:r>
      <w:r w:rsidR="00BC59DA" w:rsidRPr="00C31A32">
        <w:rPr>
          <w:rFonts w:ascii="Times New Roman" w:hAnsi="Times New Roman" w:cs="Times New Roman"/>
          <w:sz w:val="24"/>
          <w:szCs w:val="24"/>
        </w:rPr>
        <w:t xml:space="preserve"> in this context.</w:t>
      </w:r>
      <w:r w:rsidR="00C76290" w:rsidRPr="00C31A32">
        <w:rPr>
          <w:rFonts w:ascii="Times New Roman" w:hAnsi="Times New Roman" w:cs="Times New Roman"/>
          <w:sz w:val="24"/>
          <w:szCs w:val="24"/>
        </w:rPr>
        <w:t xml:space="preserve"> </w:t>
      </w:r>
      <w:r w:rsidR="00284AB4" w:rsidRPr="00C31A32">
        <w:rPr>
          <w:rFonts w:ascii="Times New Roman" w:hAnsi="Times New Roman" w:cs="Times New Roman"/>
          <w:sz w:val="24"/>
          <w:szCs w:val="24"/>
        </w:rPr>
        <w:t>T</w:t>
      </w:r>
      <w:r w:rsidR="00C76290" w:rsidRPr="00C31A32">
        <w:rPr>
          <w:rFonts w:ascii="Times New Roman" w:hAnsi="Times New Roman" w:cs="Times New Roman"/>
          <w:sz w:val="24"/>
          <w:szCs w:val="24"/>
        </w:rPr>
        <w:t xml:space="preserve">he framework duty under Article 3 </w:t>
      </w:r>
      <w:r w:rsidR="00284AB4" w:rsidRPr="00C31A32">
        <w:rPr>
          <w:rFonts w:ascii="Times New Roman" w:hAnsi="Times New Roman" w:cs="Times New Roman"/>
          <w:sz w:val="24"/>
          <w:szCs w:val="24"/>
        </w:rPr>
        <w:t xml:space="preserve">requires </w:t>
      </w:r>
      <w:r w:rsidR="00C76290" w:rsidRPr="00C31A32">
        <w:rPr>
          <w:rFonts w:ascii="Times New Roman" w:hAnsi="Times New Roman" w:cs="Times New Roman"/>
          <w:sz w:val="24"/>
          <w:szCs w:val="24"/>
        </w:rPr>
        <w:t>this basic legal apparatus</w:t>
      </w:r>
      <w:r w:rsidR="00284AB4" w:rsidRPr="00C31A32">
        <w:rPr>
          <w:rFonts w:ascii="Times New Roman" w:hAnsi="Times New Roman" w:cs="Times New Roman"/>
          <w:sz w:val="24"/>
          <w:szCs w:val="24"/>
        </w:rPr>
        <w:t xml:space="preserve"> </w:t>
      </w:r>
      <w:r w:rsidR="005D24AE" w:rsidRPr="00C31A32">
        <w:rPr>
          <w:rFonts w:ascii="Times New Roman" w:hAnsi="Times New Roman" w:cs="Times New Roman"/>
          <w:sz w:val="24"/>
          <w:szCs w:val="24"/>
        </w:rPr>
        <w:t>firmly</w:t>
      </w:r>
      <w:r w:rsidR="00284AB4" w:rsidRPr="00C31A32">
        <w:rPr>
          <w:rFonts w:ascii="Times New Roman" w:hAnsi="Times New Roman" w:cs="Times New Roman"/>
          <w:sz w:val="24"/>
          <w:szCs w:val="24"/>
        </w:rPr>
        <w:t xml:space="preserve"> </w:t>
      </w:r>
      <w:r w:rsidR="00C76290" w:rsidRPr="00C31A32">
        <w:rPr>
          <w:rFonts w:ascii="Times New Roman" w:hAnsi="Times New Roman" w:cs="Times New Roman"/>
          <w:sz w:val="24"/>
          <w:szCs w:val="24"/>
        </w:rPr>
        <w:t>in place</w:t>
      </w:r>
      <w:r w:rsidR="009625C7" w:rsidRPr="00C31A32">
        <w:rPr>
          <w:rFonts w:ascii="Times New Roman" w:hAnsi="Times New Roman" w:cs="Times New Roman"/>
          <w:sz w:val="24"/>
          <w:szCs w:val="24"/>
        </w:rPr>
        <w:t>.</w:t>
      </w:r>
      <w:r w:rsidR="009625C7" w:rsidRPr="00C31A32">
        <w:rPr>
          <w:rStyle w:val="FootnoteReference"/>
          <w:rFonts w:ascii="Times New Roman" w:hAnsi="Times New Roman" w:cs="Times New Roman"/>
          <w:sz w:val="24"/>
          <w:szCs w:val="24"/>
        </w:rPr>
        <w:footnoteReference w:id="192"/>
      </w:r>
    </w:p>
    <w:p w14:paraId="71B91224" w14:textId="40ECA6B0" w:rsidR="0068367D" w:rsidRPr="00C31A32" w:rsidRDefault="0068367D" w:rsidP="0068367D">
      <w:pPr>
        <w:spacing w:after="0" w:line="276" w:lineRule="auto"/>
        <w:jc w:val="both"/>
        <w:rPr>
          <w:rFonts w:ascii="Times New Roman" w:hAnsi="Times New Roman" w:cs="Times New Roman"/>
          <w:sz w:val="24"/>
          <w:szCs w:val="24"/>
        </w:rPr>
      </w:pPr>
    </w:p>
    <w:p w14:paraId="51C374AB" w14:textId="77777777" w:rsidR="00257B41" w:rsidRPr="00C31A32" w:rsidRDefault="00257B41" w:rsidP="0068367D">
      <w:pPr>
        <w:spacing w:after="0" w:line="276" w:lineRule="auto"/>
        <w:jc w:val="both"/>
        <w:rPr>
          <w:rFonts w:ascii="Times New Roman" w:hAnsi="Times New Roman" w:cs="Times New Roman"/>
          <w:sz w:val="24"/>
          <w:szCs w:val="24"/>
        </w:rPr>
      </w:pPr>
    </w:p>
    <w:p w14:paraId="2B4604F9" w14:textId="77777777" w:rsidR="00CA2D40" w:rsidRPr="00C31A32" w:rsidRDefault="00CA2D40" w:rsidP="00CA2D40">
      <w:pPr>
        <w:pStyle w:val="ListParagraph"/>
        <w:numPr>
          <w:ilvl w:val="0"/>
          <w:numId w:val="13"/>
        </w:numPr>
        <w:spacing w:after="0" w:line="276" w:lineRule="auto"/>
        <w:jc w:val="center"/>
        <w:rPr>
          <w:rFonts w:ascii="Times New Roman" w:hAnsi="Times New Roman" w:cs="Times New Roman"/>
          <w:i/>
          <w:iCs/>
          <w:sz w:val="28"/>
          <w:szCs w:val="28"/>
        </w:rPr>
      </w:pPr>
      <w:r w:rsidRPr="00C31A32">
        <w:rPr>
          <w:rFonts w:ascii="Times New Roman" w:hAnsi="Times New Roman" w:cs="Times New Roman"/>
          <w:i/>
          <w:iCs/>
          <w:sz w:val="28"/>
          <w:szCs w:val="28"/>
        </w:rPr>
        <w:t>Conclusion</w:t>
      </w:r>
    </w:p>
    <w:p w14:paraId="383994EE" w14:textId="77777777" w:rsidR="00CA2D40" w:rsidRPr="00C31A32" w:rsidRDefault="00CA2D40" w:rsidP="00CA2D40">
      <w:pPr>
        <w:spacing w:after="0" w:line="276" w:lineRule="auto"/>
        <w:jc w:val="center"/>
        <w:rPr>
          <w:rFonts w:ascii="Times New Roman" w:hAnsi="Times New Roman" w:cs="Times New Roman"/>
          <w:sz w:val="24"/>
          <w:szCs w:val="24"/>
        </w:rPr>
      </w:pPr>
    </w:p>
    <w:p w14:paraId="14134B73" w14:textId="7B6FC685" w:rsidR="00CA2D40" w:rsidRPr="00C31A32" w:rsidRDefault="00CA2D40" w:rsidP="00CA2D40">
      <w:pPr>
        <w:spacing w:after="0" w:line="276" w:lineRule="auto"/>
        <w:jc w:val="both"/>
        <w:rPr>
          <w:rFonts w:ascii="Times New Roman" w:hAnsi="Times New Roman" w:cs="Times New Roman"/>
          <w:sz w:val="24"/>
          <w:szCs w:val="24"/>
        </w:rPr>
      </w:pPr>
      <w:r w:rsidRPr="00C31A32">
        <w:rPr>
          <w:rFonts w:ascii="Times New Roman" w:hAnsi="Times New Roman" w:cs="Times New Roman"/>
          <w:sz w:val="24"/>
          <w:szCs w:val="24"/>
        </w:rPr>
        <w:t xml:space="preserve">This article argued that ‘conversion therapy’ is wrong because it disrespects, in more ways than one, the equal moral value of LGBTIQ+ persons. As a serious violation of human dignity, all forms of ‘conversion therapy’ fall qualitatively within the scope of the absolute prohibition of </w:t>
      </w:r>
      <w:r w:rsidR="0085425B" w:rsidRPr="00C31A32">
        <w:rPr>
          <w:rFonts w:ascii="Times New Roman" w:hAnsi="Times New Roman" w:cs="Times New Roman"/>
          <w:sz w:val="24"/>
          <w:szCs w:val="24"/>
        </w:rPr>
        <w:t>torture or CIDT</w:t>
      </w:r>
      <w:r w:rsidRPr="00C31A32">
        <w:rPr>
          <w:rFonts w:ascii="Times New Roman" w:hAnsi="Times New Roman" w:cs="Times New Roman"/>
          <w:sz w:val="24"/>
          <w:szCs w:val="24"/>
        </w:rPr>
        <w:t xml:space="preserve"> under the ECHR and UK and international human rights law. More specifically, all forms of ‘conversion therapy’ – physical and non-physical, forcible and non-forcible – amount at a minimum to degrading treatment. As a result, states are under a positive obligation to take effective measures to protect LGBTIQ+ persons from the harms of </w:t>
      </w:r>
      <w:r w:rsidRPr="00C31A32">
        <w:rPr>
          <w:rFonts w:ascii="Times New Roman" w:hAnsi="Times New Roman" w:cs="Times New Roman"/>
          <w:sz w:val="24"/>
          <w:szCs w:val="24"/>
        </w:rPr>
        <w:lastRenderedPageBreak/>
        <w:t xml:space="preserve">‘conversion therapy’. The first important step in that direction is introducing a ban on all forms of this practice. </w:t>
      </w:r>
    </w:p>
    <w:p w14:paraId="43423E37" w14:textId="4493B4C2" w:rsidR="00CA2D40" w:rsidRPr="00C31A32"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Let us conclude by adding four final points on the scope of a ban on ‘conversion therapy’. Firstly, as evidence from the UK National LGBT survey, the UN and the WHO shows,</w:t>
      </w:r>
      <w:r w:rsidRPr="00C31A32">
        <w:rPr>
          <w:rStyle w:val="FootnoteReference"/>
          <w:rFonts w:ascii="Times New Roman" w:hAnsi="Times New Roman" w:cs="Times New Roman"/>
          <w:sz w:val="24"/>
          <w:szCs w:val="24"/>
        </w:rPr>
        <w:footnoteReference w:id="193"/>
      </w:r>
      <w:r w:rsidRPr="00C31A32">
        <w:rPr>
          <w:rFonts w:ascii="Times New Roman" w:hAnsi="Times New Roman" w:cs="Times New Roman"/>
          <w:sz w:val="24"/>
          <w:szCs w:val="24"/>
        </w:rPr>
        <w:t xml:space="preserve"> ‘conversion therapy’ often takes place outside the public eye, sometimes in spaces provided by faith organisations. Therefore, the positive state obligation to provide effective protection from ‘conversion therapy’ cannot be fully discharged if the legal response to the practice is reduced to disciplinary measures against health professionals.</w:t>
      </w:r>
      <w:r w:rsidRPr="00C31A32">
        <w:rPr>
          <w:rStyle w:val="FootnoteReference"/>
          <w:rFonts w:ascii="Times New Roman" w:hAnsi="Times New Roman" w:cs="Times New Roman"/>
          <w:sz w:val="24"/>
          <w:szCs w:val="24"/>
        </w:rPr>
        <w:footnoteReference w:id="194"/>
      </w:r>
      <w:r w:rsidRPr="00C31A32">
        <w:rPr>
          <w:rFonts w:ascii="Times New Roman" w:hAnsi="Times New Roman" w:cs="Times New Roman"/>
          <w:sz w:val="24"/>
          <w:szCs w:val="24"/>
        </w:rPr>
        <w:t xml:space="preserve"> Secondly, given that the state obligation to ban ‘conversion therapy’ stems from the absolute prohibition of </w:t>
      </w:r>
      <w:r w:rsidR="0085425B" w:rsidRPr="00C31A32">
        <w:rPr>
          <w:rFonts w:ascii="Times New Roman" w:hAnsi="Times New Roman" w:cs="Times New Roman"/>
          <w:sz w:val="24"/>
          <w:szCs w:val="24"/>
        </w:rPr>
        <w:t>torture or C</w:t>
      </w:r>
      <w:r w:rsidRPr="00C31A32">
        <w:rPr>
          <w:rFonts w:ascii="Times New Roman" w:hAnsi="Times New Roman" w:cs="Times New Roman"/>
          <w:sz w:val="24"/>
          <w:szCs w:val="24"/>
        </w:rPr>
        <w:t>IDT in human rights law, the ban must cover all potential providers, including religious counsellors, even when they offer ‘conversion therapy’ whilst not acting as psychologists. Thirdly, since both forcible and non-forcible forms of ‘conversion therapy’ amount, at a minimum, to degrading treatment, a ban has to cover both. However, therapeutic interventions that do not pathologise any sexualities or gender identities but aim to provide acceptance and support for a person’s exploration of their identity have to be exempted.</w:t>
      </w:r>
      <w:r w:rsidRPr="00C31A32">
        <w:rPr>
          <w:rStyle w:val="FootnoteReference"/>
          <w:rFonts w:ascii="Times New Roman" w:hAnsi="Times New Roman" w:cs="Times New Roman"/>
          <w:sz w:val="24"/>
          <w:szCs w:val="24"/>
        </w:rPr>
        <w:footnoteReference w:id="195"/>
      </w:r>
      <w:r w:rsidRPr="00C31A32">
        <w:rPr>
          <w:rFonts w:ascii="Times New Roman" w:hAnsi="Times New Roman" w:cs="Times New Roman"/>
          <w:sz w:val="24"/>
          <w:szCs w:val="24"/>
        </w:rPr>
        <w:t xml:space="preserve"> Those interventions do not constitute ‘conversion therapy’. They are not based on the assumption that some sexualities or gender identities are inherently inferior to others, and do not aim to change or suppress them for that reason.</w:t>
      </w:r>
    </w:p>
    <w:p w14:paraId="5F5989BD" w14:textId="4339F502" w:rsidR="00CA2D40" w:rsidRPr="00617A53" w:rsidRDefault="00CA2D40" w:rsidP="00CA2D40">
      <w:pPr>
        <w:spacing w:after="0" w:line="276" w:lineRule="auto"/>
        <w:ind w:firstLine="567"/>
        <w:jc w:val="both"/>
        <w:rPr>
          <w:rFonts w:ascii="Times New Roman" w:hAnsi="Times New Roman" w:cs="Times New Roman"/>
          <w:sz w:val="24"/>
          <w:szCs w:val="24"/>
        </w:rPr>
      </w:pPr>
      <w:r w:rsidRPr="00C31A32">
        <w:rPr>
          <w:rFonts w:ascii="Times New Roman" w:hAnsi="Times New Roman" w:cs="Times New Roman"/>
          <w:sz w:val="24"/>
          <w:szCs w:val="24"/>
        </w:rPr>
        <w:t xml:space="preserve">Finally, this analysis does not suggest that a </w:t>
      </w:r>
      <w:r w:rsidR="0085425B" w:rsidRPr="00C31A32">
        <w:rPr>
          <w:rFonts w:ascii="Times New Roman" w:hAnsi="Times New Roman" w:cs="Times New Roman"/>
          <w:sz w:val="24"/>
          <w:szCs w:val="24"/>
        </w:rPr>
        <w:t xml:space="preserve">legal </w:t>
      </w:r>
      <w:r w:rsidRPr="00C31A32">
        <w:rPr>
          <w:rFonts w:ascii="Times New Roman" w:hAnsi="Times New Roman" w:cs="Times New Roman"/>
          <w:sz w:val="24"/>
          <w:szCs w:val="24"/>
        </w:rPr>
        <w:t>ban on ‘conversion therapy’ can on its own eradicate this practice or provide sufficient protection for LGBTIQ+ people. Other steps that ought to be considered include specific protections for children and vulnerable adults, including provisions in relation to parents, legal guardians, and the education context;</w:t>
      </w:r>
      <w:r w:rsidRPr="00C31A32">
        <w:rPr>
          <w:rStyle w:val="FootnoteReference"/>
          <w:rFonts w:ascii="Times New Roman" w:hAnsi="Times New Roman" w:cs="Times New Roman"/>
          <w:sz w:val="24"/>
          <w:szCs w:val="24"/>
        </w:rPr>
        <w:footnoteReference w:id="196"/>
      </w:r>
      <w:r w:rsidRPr="00C31A32">
        <w:rPr>
          <w:rFonts w:ascii="Times New Roman" w:hAnsi="Times New Roman" w:cs="Times New Roman"/>
          <w:sz w:val="24"/>
          <w:szCs w:val="24"/>
        </w:rPr>
        <w:t xml:space="preserve"> support for survivors;</w:t>
      </w:r>
      <w:r w:rsidRPr="00C31A32">
        <w:rPr>
          <w:rStyle w:val="FootnoteReference"/>
          <w:rFonts w:ascii="Times New Roman" w:hAnsi="Times New Roman" w:cs="Times New Roman"/>
          <w:sz w:val="24"/>
          <w:szCs w:val="24"/>
        </w:rPr>
        <w:footnoteReference w:id="197"/>
      </w:r>
      <w:r w:rsidRPr="00C31A32">
        <w:rPr>
          <w:rFonts w:ascii="Times New Roman" w:hAnsi="Times New Roman" w:cs="Times New Roman"/>
          <w:sz w:val="24"/>
          <w:szCs w:val="24"/>
        </w:rPr>
        <w:t xml:space="preserve"> public communications campaigns; and outreach programmes involving religious and community groups. Even though a ban on all forms of ‘conversion therapy’ needs to be accompanied by additional measures, the focus of this article was on the reasons why human rights law requires such a ban in the first place. Banning ‘conversion therapy’ is one vital step towards the eradication of a deeply inegalitarian practice. Its practical power is as important as its great expressive and dignitary power for the victims of ‘conversion therapy’, and for LGBTIQ+ communities all over the world.</w:t>
      </w:r>
    </w:p>
    <w:p w14:paraId="235FC012" w14:textId="77777777" w:rsidR="00562708" w:rsidRDefault="00562708"/>
    <w:sectPr w:rsidR="00562708" w:rsidSect="00B65E5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12E21" w14:textId="77777777" w:rsidR="0083265F" w:rsidRDefault="0083265F" w:rsidP="00CA2D40">
      <w:pPr>
        <w:spacing w:after="0" w:line="240" w:lineRule="auto"/>
      </w:pPr>
      <w:r>
        <w:separator/>
      </w:r>
    </w:p>
  </w:endnote>
  <w:endnote w:type="continuationSeparator" w:id="0">
    <w:p w14:paraId="78A6B3D5" w14:textId="77777777" w:rsidR="0083265F" w:rsidRDefault="0083265F" w:rsidP="00CA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503843"/>
      <w:docPartObj>
        <w:docPartGallery w:val="Page Numbers (Bottom of Page)"/>
        <w:docPartUnique/>
      </w:docPartObj>
    </w:sdtPr>
    <w:sdtEndPr>
      <w:rPr>
        <w:rStyle w:val="PageNumber"/>
      </w:rPr>
    </w:sdtEndPr>
    <w:sdtContent>
      <w:p w14:paraId="4A2DD605" w14:textId="77777777" w:rsidR="002025E7" w:rsidRDefault="002025E7" w:rsidP="002025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86D29" w14:textId="77777777" w:rsidR="002025E7" w:rsidRDefault="002025E7" w:rsidP="00202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5338196"/>
      <w:docPartObj>
        <w:docPartGallery w:val="Page Numbers (Bottom of Page)"/>
        <w:docPartUnique/>
      </w:docPartObj>
    </w:sdtPr>
    <w:sdtEndPr>
      <w:rPr>
        <w:rStyle w:val="PageNumber"/>
        <w:rFonts w:ascii="Times New Roman" w:hAnsi="Times New Roman" w:cs="Times New Roman"/>
      </w:rPr>
    </w:sdtEndPr>
    <w:sdtContent>
      <w:p w14:paraId="4F511E66" w14:textId="77777777" w:rsidR="002025E7" w:rsidRPr="008D68C5" w:rsidRDefault="002025E7" w:rsidP="002025E7">
        <w:pPr>
          <w:pStyle w:val="Footer"/>
          <w:framePr w:wrap="none" w:vAnchor="text" w:hAnchor="margin" w:xAlign="right" w:y="1"/>
          <w:rPr>
            <w:rStyle w:val="PageNumber"/>
            <w:rFonts w:ascii="Times New Roman" w:hAnsi="Times New Roman" w:cs="Times New Roman"/>
          </w:rPr>
        </w:pPr>
        <w:r w:rsidRPr="008D68C5">
          <w:rPr>
            <w:rStyle w:val="PageNumber"/>
            <w:rFonts w:ascii="Times New Roman" w:hAnsi="Times New Roman" w:cs="Times New Roman"/>
          </w:rPr>
          <w:fldChar w:fldCharType="begin"/>
        </w:r>
        <w:r w:rsidRPr="008D68C5">
          <w:rPr>
            <w:rStyle w:val="PageNumber"/>
            <w:rFonts w:ascii="Times New Roman" w:hAnsi="Times New Roman" w:cs="Times New Roman"/>
          </w:rPr>
          <w:instrText xml:space="preserve"> PAGE </w:instrText>
        </w:r>
        <w:r w:rsidRPr="008D68C5">
          <w:rPr>
            <w:rStyle w:val="PageNumber"/>
            <w:rFonts w:ascii="Times New Roman" w:hAnsi="Times New Roman" w:cs="Times New Roman"/>
          </w:rPr>
          <w:fldChar w:fldCharType="separate"/>
        </w:r>
        <w:r w:rsidRPr="008D68C5">
          <w:rPr>
            <w:rStyle w:val="PageNumber"/>
            <w:rFonts w:ascii="Times New Roman" w:hAnsi="Times New Roman" w:cs="Times New Roman"/>
            <w:noProof/>
          </w:rPr>
          <w:t>1</w:t>
        </w:r>
        <w:r w:rsidRPr="008D68C5">
          <w:rPr>
            <w:rStyle w:val="PageNumber"/>
            <w:rFonts w:ascii="Times New Roman" w:hAnsi="Times New Roman" w:cs="Times New Roman"/>
          </w:rPr>
          <w:fldChar w:fldCharType="end"/>
        </w:r>
      </w:p>
    </w:sdtContent>
  </w:sdt>
  <w:p w14:paraId="76081C13" w14:textId="77777777" w:rsidR="002025E7" w:rsidRPr="008D68C5" w:rsidRDefault="002025E7" w:rsidP="002025E7">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180C6" w14:textId="77777777" w:rsidR="0083265F" w:rsidRDefault="0083265F" w:rsidP="00CA2D40">
      <w:pPr>
        <w:spacing w:after="0" w:line="240" w:lineRule="auto"/>
      </w:pPr>
      <w:r>
        <w:separator/>
      </w:r>
    </w:p>
  </w:footnote>
  <w:footnote w:type="continuationSeparator" w:id="0">
    <w:p w14:paraId="314EB53B" w14:textId="77777777" w:rsidR="0083265F" w:rsidRDefault="0083265F" w:rsidP="00CA2D40">
      <w:pPr>
        <w:spacing w:after="0" w:line="240" w:lineRule="auto"/>
      </w:pPr>
      <w:r>
        <w:continuationSeparator/>
      </w:r>
    </w:p>
  </w:footnote>
  <w:footnote w:id="1">
    <w:p w14:paraId="55D86F84" w14:textId="5E01C848" w:rsidR="00A91FCD" w:rsidRPr="00C31A32" w:rsidRDefault="00A91FCD" w:rsidP="00890923">
      <w:pPr>
        <w:pStyle w:val="FootnoteText"/>
        <w:jc w:val="both"/>
        <w:rPr>
          <w:rFonts w:ascii="Times New Roman" w:hAnsi="Times New Roman" w:cs="Times New Roman"/>
        </w:rPr>
      </w:pPr>
      <w:r w:rsidRPr="00C31A32">
        <w:rPr>
          <w:rStyle w:val="FootnoteReference"/>
          <w:rFonts w:ascii="Times New Roman" w:hAnsi="Times New Roman" w:cs="Times New Roman"/>
        </w:rPr>
        <w:t>*</w:t>
      </w:r>
      <w:r w:rsidRPr="00C31A32">
        <w:rPr>
          <w:rFonts w:ascii="Times New Roman" w:hAnsi="Times New Roman" w:cs="Times New Roman"/>
        </w:rPr>
        <w:t xml:space="preserve"> Associate Professor in Human Rights Law, </w:t>
      </w:r>
      <w:r w:rsidR="00DF1322" w:rsidRPr="00C31A32">
        <w:rPr>
          <w:rFonts w:ascii="Times New Roman" w:hAnsi="Times New Roman" w:cs="Times New Roman"/>
        </w:rPr>
        <w:t>School of Law</w:t>
      </w:r>
      <w:r w:rsidR="00DF1322" w:rsidRPr="00C31A32">
        <w:rPr>
          <w:rFonts w:ascii="Times New Roman" w:hAnsi="Times New Roman" w:cs="Times New Roman"/>
        </w:rPr>
        <w:t xml:space="preserve">, </w:t>
      </w:r>
      <w:r w:rsidRPr="00C31A32">
        <w:rPr>
          <w:rFonts w:ascii="Times New Roman" w:hAnsi="Times New Roman" w:cs="Times New Roman"/>
        </w:rPr>
        <w:t>University of Leeds. Email: I.Trispiotis@leeds.ac.uk.</w:t>
      </w:r>
    </w:p>
  </w:footnote>
  <w:footnote w:id="2">
    <w:p w14:paraId="4A9F6AC9" w14:textId="738620F3" w:rsidR="00A91FCD" w:rsidRPr="00C31A32" w:rsidRDefault="00A91FCD" w:rsidP="00890923">
      <w:pPr>
        <w:pStyle w:val="FootnoteText"/>
        <w:jc w:val="both"/>
        <w:rPr>
          <w:rFonts w:ascii="Times New Roman" w:hAnsi="Times New Roman" w:cs="Times New Roman"/>
        </w:rPr>
      </w:pPr>
      <w:r w:rsidRPr="00C31A32">
        <w:rPr>
          <w:rStyle w:val="FootnoteReference"/>
          <w:rFonts w:ascii="Times New Roman" w:hAnsi="Times New Roman" w:cs="Times New Roman"/>
        </w:rPr>
        <w:t>**</w:t>
      </w:r>
      <w:r w:rsidRPr="00C31A32">
        <w:rPr>
          <w:rFonts w:ascii="Times New Roman" w:hAnsi="Times New Roman" w:cs="Times New Roman"/>
        </w:rPr>
        <w:t xml:space="preserve"> Senior Lecturer in Law, </w:t>
      </w:r>
      <w:r w:rsidR="00DF1322" w:rsidRPr="00C31A32">
        <w:rPr>
          <w:rFonts w:ascii="Times New Roman" w:hAnsi="Times New Roman" w:cs="Times New Roman"/>
        </w:rPr>
        <w:t>School of Law and Social Justice</w:t>
      </w:r>
      <w:r w:rsidR="00DF1322" w:rsidRPr="00C31A32">
        <w:rPr>
          <w:rFonts w:ascii="Times New Roman" w:hAnsi="Times New Roman" w:cs="Times New Roman"/>
        </w:rPr>
        <w:t xml:space="preserve">, </w:t>
      </w:r>
      <w:r w:rsidRPr="00C31A32">
        <w:rPr>
          <w:rFonts w:ascii="Times New Roman" w:hAnsi="Times New Roman" w:cs="Times New Roman"/>
        </w:rPr>
        <w:t xml:space="preserve">University of Liverpool. Email: Craig.Purshouse@liverpool.ac.uk. </w:t>
      </w:r>
      <w:r w:rsidRPr="00C31A32">
        <w:rPr>
          <w:rFonts w:ascii="Times New Roman" w:hAnsi="Times New Roman" w:cs="Times New Roman"/>
        </w:rPr>
        <w:t xml:space="preserve">We are grateful to Stephanie Berry, Stuart Wallace </w:t>
      </w:r>
      <w:r w:rsidR="00857507">
        <w:rPr>
          <w:rFonts w:ascii="Times New Roman" w:hAnsi="Times New Roman" w:cs="Times New Roman"/>
        </w:rPr>
        <w:t>and</w:t>
      </w:r>
      <w:r w:rsidRPr="00C31A32">
        <w:rPr>
          <w:rFonts w:ascii="Times New Roman" w:hAnsi="Times New Roman" w:cs="Times New Roman"/>
        </w:rPr>
        <w:t xml:space="preserve"> the two anonymous reviewers for their </w:t>
      </w:r>
      <w:r w:rsidR="00B11D50">
        <w:rPr>
          <w:rFonts w:ascii="Times New Roman" w:hAnsi="Times New Roman" w:cs="Times New Roman"/>
        </w:rPr>
        <w:t xml:space="preserve">helpful </w:t>
      </w:r>
      <w:r w:rsidRPr="00C31A32">
        <w:rPr>
          <w:rFonts w:ascii="Times New Roman" w:hAnsi="Times New Roman" w:cs="Times New Roman"/>
        </w:rPr>
        <w:t>comments on earlier versions of this article</w:t>
      </w:r>
      <w:r w:rsidR="00857507">
        <w:rPr>
          <w:rFonts w:ascii="Times New Roman" w:hAnsi="Times New Roman" w:cs="Times New Roman"/>
        </w:rPr>
        <w:t xml:space="preserve"> and to Alice Sleep for research assistance.</w:t>
      </w:r>
    </w:p>
  </w:footnote>
  <w:footnote w:id="3">
    <w:p w14:paraId="0905F5A0" w14:textId="7D601840" w:rsidR="002025E7" w:rsidRPr="00C31A32" w:rsidRDefault="002025E7" w:rsidP="00890923">
      <w:pPr>
        <w:pStyle w:val="FootnoteText"/>
        <w:ind w:firstLine="142"/>
        <w:jc w:val="both"/>
        <w:rPr>
          <w:rFonts w:ascii="Times New Roman" w:hAnsi="Times New Roman" w:cs="Times New Roman"/>
          <w:bCs/>
        </w:rPr>
      </w:pPr>
      <w:r w:rsidRPr="00C31A32">
        <w:rPr>
          <w:rStyle w:val="FootnoteReference"/>
          <w:rFonts w:ascii="Times New Roman" w:hAnsi="Times New Roman" w:cs="Times New Roman"/>
        </w:rPr>
        <w:footnoteRef/>
      </w:r>
      <w:r w:rsidRPr="00C31A32">
        <w:rPr>
          <w:rFonts w:ascii="Times New Roman" w:hAnsi="Times New Roman" w:cs="Times New Roman"/>
        </w:rPr>
        <w:t xml:space="preserve"> UN Human Rights Council, </w:t>
      </w:r>
      <w:r w:rsidRPr="00C31A32">
        <w:rPr>
          <w:rFonts w:ascii="Times New Roman" w:hAnsi="Times New Roman" w:cs="Times New Roman"/>
          <w:bCs/>
          <w:i/>
        </w:rPr>
        <w:t>Practices of So-Called “Conversion Therapy”: Report of the Independent Expert on Protection Against Violence and Discrimination Based on Sexual Orientation and Gender Identity, </w:t>
      </w:r>
      <w:r w:rsidRPr="00C31A32">
        <w:rPr>
          <w:rFonts w:ascii="Times New Roman" w:hAnsi="Times New Roman" w:cs="Times New Roman"/>
          <w:bCs/>
        </w:rPr>
        <w:t xml:space="preserve">1 May 2020, A/HRC/44/53, para 2. </w:t>
      </w:r>
      <w:r w:rsidR="008A7329" w:rsidRPr="00C31A32">
        <w:rPr>
          <w:rFonts w:ascii="Times New Roman" w:hAnsi="Times New Roman" w:cs="Times New Roman"/>
          <w:bCs/>
        </w:rPr>
        <w:t>Also,</w:t>
      </w:r>
      <w:r w:rsidRPr="00C31A32">
        <w:rPr>
          <w:rFonts w:ascii="Times New Roman" w:hAnsi="Times New Roman" w:cs="Times New Roman"/>
          <w:bCs/>
        </w:rPr>
        <w:t xml:space="preserve"> </w:t>
      </w:r>
      <w:r w:rsidRPr="00C31A32">
        <w:rPr>
          <w:rFonts w:ascii="Times New Roman" w:hAnsi="Times New Roman" w:cs="Times New Roman"/>
        </w:rPr>
        <w:t>Independent Forensic Expert Group, ‘Statement on Conversion Therapy’ (2020) 72 Journal of Forensic and Legal Medicine 101930, 1.</w:t>
      </w:r>
    </w:p>
  </w:footnote>
  <w:footnote w:id="4">
    <w:p w14:paraId="44ACA60F" w14:textId="7188A1FE" w:rsidR="002025E7" w:rsidRPr="00C31A32" w:rsidRDefault="002025E7" w:rsidP="00890923">
      <w:pPr>
        <w:pStyle w:val="FootnoteText"/>
        <w:ind w:firstLine="142"/>
        <w:jc w:val="both"/>
        <w:rPr>
          <w:rFonts w:ascii="Times New Roman" w:hAnsi="Times New Roman" w:cs="Times New Roman"/>
          <w:i/>
          <w:iCs/>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A63792" w:rsidRPr="00C31A32">
        <w:rPr>
          <w:rFonts w:ascii="Times New Roman" w:hAnsi="Times New Roman" w:cs="Times New Roman"/>
        </w:rPr>
        <w:t>There is</w:t>
      </w:r>
      <w:r w:rsidRPr="00C31A32">
        <w:rPr>
          <w:rFonts w:ascii="Times New Roman" w:hAnsi="Times New Roman" w:cs="Times New Roman"/>
        </w:rPr>
        <w:t xml:space="preserve"> a full national ban on ‘conversion therapy’</w:t>
      </w:r>
      <w:r w:rsidR="00A63792" w:rsidRPr="00C31A32">
        <w:rPr>
          <w:rFonts w:ascii="Times New Roman" w:hAnsi="Times New Roman" w:cs="Times New Roman"/>
        </w:rPr>
        <w:t xml:space="preserve"> in Malta</w:t>
      </w:r>
      <w:r w:rsidRPr="00C31A32">
        <w:rPr>
          <w:rFonts w:ascii="Times New Roman" w:hAnsi="Times New Roman" w:cs="Times New Roman"/>
        </w:rPr>
        <w:t>. See Affirmation of Sexual Orientation, Gender Identity and Gender Expression Act, s 3.</w:t>
      </w:r>
    </w:p>
  </w:footnote>
  <w:footnote w:id="5">
    <w:p w14:paraId="2E6B6A5D" w14:textId="21BB7FF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In 2020, Germany criminalised the provision of ‘conversion therapy’ to minors. The provision of ‘conversion therapy’ to adults is outlawed provided that there was coercion, deceit or misapprehension.  The Albanian Order of Psychologists prohibits registered psychologists from offering ‘conversion therapy’.</w:t>
      </w:r>
    </w:p>
  </w:footnote>
  <w:footnote w:id="6">
    <w:p w14:paraId="69DC2E40" w14:textId="67270974"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A private member’s bill outlawing ‘conversion therapy’ was lost when the UK Parliament was prorogued in 2019. A Memorandum of Understanding signed by the NHS and leading counselling, psychotherapy and mental health bodies have sought to end the practice in the UK. See BACP et al, </w:t>
      </w:r>
      <w:r w:rsidRPr="00C31A32">
        <w:rPr>
          <w:rFonts w:ascii="Times New Roman" w:hAnsi="Times New Roman" w:cs="Times New Roman"/>
          <w:i/>
          <w:iCs/>
        </w:rPr>
        <w:t>Memorandum of Understanding on Conversion Therapy in the UK</w:t>
      </w:r>
      <w:r w:rsidRPr="00C31A32">
        <w:rPr>
          <w:rFonts w:ascii="Times New Roman" w:hAnsi="Times New Roman" w:cs="Times New Roman"/>
        </w:rPr>
        <w:t>, October 2017, version 2 &lt;</w:t>
      </w:r>
      <w:r w:rsidRPr="00C31A32">
        <w:rPr>
          <w:rFonts w:ascii="Times New Roman" w:eastAsia="Times New Roman" w:hAnsi="Times New Roman" w:cs="Times New Roman"/>
        </w:rPr>
        <w:t>https://www.bacp.co.uk/media/6526/ memorandum-of-understanding-v2-reva-jul19.pdf&gt;</w:t>
      </w:r>
      <w:r w:rsidRPr="00C31A32">
        <w:rPr>
          <w:rFonts w:ascii="Times New Roman" w:hAnsi="Times New Roman" w:cs="Times New Roman"/>
        </w:rPr>
        <w:t xml:space="preserve"> accessed </w:t>
      </w:r>
      <w:r w:rsidR="00B83EDD">
        <w:rPr>
          <w:rFonts w:ascii="Times New Roman" w:hAnsi="Times New Roman" w:cs="Times New Roman"/>
        </w:rPr>
        <w:t>26</w:t>
      </w:r>
      <w:r w:rsidRPr="00C31A32">
        <w:rPr>
          <w:rFonts w:ascii="Times New Roman" w:hAnsi="Times New Roman" w:cs="Times New Roman"/>
        </w:rPr>
        <w:t xml:space="preserve"> </w:t>
      </w:r>
      <w:r w:rsidR="001474BE" w:rsidRPr="00C31A32">
        <w:rPr>
          <w:rFonts w:ascii="Times New Roman" w:hAnsi="Times New Roman" w:cs="Times New Roman"/>
        </w:rPr>
        <w:t>May</w:t>
      </w:r>
      <w:r w:rsidRPr="00C31A32">
        <w:rPr>
          <w:rFonts w:ascii="Times New Roman" w:hAnsi="Times New Roman" w:cs="Times New Roman"/>
        </w:rPr>
        <w:t xml:space="preserve"> 2021.</w:t>
      </w:r>
    </w:p>
  </w:footnote>
  <w:footnote w:id="7">
    <w:p w14:paraId="3EE73D7E"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At the time of writing, these are: New Jersey, California, Oregon, Illinois, Vermont, New Mexico, Connecticut, Rhode Island, Nevada, Washington, Hawaii, Delaware, Maryland, New Hampshire, New York, Massachusetts, Colorado, Maine, Utah and Virginia.</w:t>
      </w:r>
    </w:p>
  </w:footnote>
  <w:footnote w:id="8">
    <w:p w14:paraId="482EE85C" w14:textId="1589532A"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The other</w:t>
      </w:r>
      <w:r w:rsidR="00CC3273" w:rsidRPr="00C31A32">
        <w:rPr>
          <w:rFonts w:ascii="Times New Roman" w:hAnsi="Times New Roman" w:cs="Times New Roman"/>
        </w:rPr>
        <w:t>s are Victoria and</w:t>
      </w:r>
      <w:r w:rsidRPr="00C31A32">
        <w:rPr>
          <w:rFonts w:ascii="Times New Roman" w:hAnsi="Times New Roman" w:cs="Times New Roman"/>
        </w:rPr>
        <w:t xml:space="preserve"> the Australian Capital Territory.</w:t>
      </w:r>
    </w:p>
  </w:footnote>
  <w:footnote w:id="9">
    <w:p w14:paraId="4A94E63E" w14:textId="7A0A9868"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An exception is I. Y. </w:t>
      </w:r>
      <w:proofErr w:type="spellStart"/>
      <w:r w:rsidRPr="00C31A32">
        <w:rPr>
          <w:rFonts w:ascii="Times New Roman" w:hAnsi="Times New Roman" w:cs="Times New Roman"/>
        </w:rPr>
        <w:t>Nugraha</w:t>
      </w:r>
      <w:proofErr w:type="spellEnd"/>
      <w:r w:rsidRPr="00C31A32">
        <w:rPr>
          <w:rFonts w:ascii="Times New Roman" w:hAnsi="Times New Roman" w:cs="Times New Roman"/>
        </w:rPr>
        <w:t>, ‘The Compatibility of Sexual Orientation Change Efforts with International Human Rights Law’ (2017) 35(3) NQHR</w:t>
      </w:r>
      <w:r w:rsidRPr="00C31A32">
        <w:rPr>
          <w:rFonts w:ascii="Times New Roman" w:hAnsi="Times New Roman" w:cs="Times New Roman"/>
          <w:i/>
          <w:iCs/>
        </w:rPr>
        <w:t xml:space="preserve"> </w:t>
      </w:r>
      <w:r w:rsidRPr="00C31A32">
        <w:rPr>
          <w:rFonts w:ascii="Times New Roman" w:hAnsi="Times New Roman" w:cs="Times New Roman"/>
        </w:rPr>
        <w:t xml:space="preserve">176. ‘Conversion therapy’ involving children is mentioned in the UN Committee on the Rights of the Child, </w:t>
      </w:r>
      <w:r w:rsidRPr="00C31A32">
        <w:rPr>
          <w:rFonts w:ascii="Times New Roman" w:hAnsi="Times New Roman" w:cs="Times New Roman"/>
          <w:i/>
          <w:iCs/>
        </w:rPr>
        <w:t>General Comment No. 20 on the Implementation of the Rights of the Chid During Adolescence</w:t>
      </w:r>
      <w:r w:rsidRPr="00C31A32">
        <w:rPr>
          <w:rFonts w:ascii="Times New Roman" w:hAnsi="Times New Roman" w:cs="Times New Roman"/>
        </w:rPr>
        <w:t>, 6 December 2016, CRC/C/GC/20, para 34.</w:t>
      </w:r>
    </w:p>
  </w:footnote>
  <w:footnote w:id="10">
    <w:p w14:paraId="4D51A3AD" w14:textId="040C5740"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bCs/>
          <w:iCs/>
        </w:rPr>
        <w:t>Practices of So-Called “Conversion Therapy</w:t>
      </w:r>
      <w:r w:rsidRPr="00C31A32">
        <w:rPr>
          <w:rFonts w:ascii="Times New Roman" w:hAnsi="Times New Roman" w:cs="Times New Roman"/>
          <w:bCs/>
        </w:rPr>
        <w:t xml:space="preserve"> (n 1); </w:t>
      </w:r>
      <w:r w:rsidRPr="00C31A32">
        <w:rPr>
          <w:rFonts w:ascii="Times New Roman" w:hAnsi="Times New Roman" w:cs="Times New Roman"/>
        </w:rPr>
        <w:t>BACP (n 4);</w:t>
      </w:r>
      <w:r w:rsidRPr="00C31A32">
        <w:rPr>
          <w:rFonts w:ascii="Times New Roman" w:hAnsi="Times New Roman" w:cs="Times New Roman"/>
          <w:i/>
          <w:iCs/>
        </w:rPr>
        <w:t xml:space="preserve"> </w:t>
      </w:r>
      <w:r w:rsidRPr="00C31A32">
        <w:rPr>
          <w:rFonts w:ascii="Times New Roman" w:hAnsi="Times New Roman" w:cs="Times New Roman"/>
        </w:rPr>
        <w:t>A. Bartlett, G. Smith and M. King, ‘The response of mental health professionals to clients seeking help to change or redirect same-sex sexual orientation’ (2009) 9(11) BioMed Central Psychiatry 7.</w:t>
      </w:r>
    </w:p>
  </w:footnote>
  <w:footnote w:id="11">
    <w:p w14:paraId="500104CE" w14:textId="5A7DFA5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According to the 2018 UK National LGBT survey, 2% of respondents report having undergone ‘conversion therapy’ and 5% report that they had been offered it. Crucially, LGBT individuals from particular cultural, religious and age backgrounds </w:t>
      </w:r>
      <w:r w:rsidR="002F6D7C" w:rsidRPr="00C31A32">
        <w:rPr>
          <w:rFonts w:ascii="Times New Roman" w:hAnsi="Times New Roman" w:cs="Times New Roman"/>
        </w:rPr>
        <w:t>are</w:t>
      </w:r>
      <w:r w:rsidRPr="00C31A32">
        <w:rPr>
          <w:rFonts w:ascii="Times New Roman" w:hAnsi="Times New Roman" w:cs="Times New Roman"/>
        </w:rPr>
        <w:t xml:space="preserve"> </w:t>
      </w:r>
      <w:r w:rsidR="002F6D7C" w:rsidRPr="00C31A32">
        <w:rPr>
          <w:rFonts w:ascii="Times New Roman" w:hAnsi="Times New Roman" w:cs="Times New Roman"/>
        </w:rPr>
        <w:t>many times</w:t>
      </w:r>
      <w:r w:rsidRPr="00C31A32">
        <w:rPr>
          <w:rFonts w:ascii="Times New Roman" w:hAnsi="Times New Roman" w:cs="Times New Roman"/>
        </w:rPr>
        <w:t xml:space="preserve"> more likely to being offered ‘conversion therapy’. See UK Government Equalities Office, </w:t>
      </w:r>
      <w:r w:rsidRPr="00C31A32">
        <w:rPr>
          <w:rFonts w:ascii="Times New Roman" w:hAnsi="Times New Roman" w:cs="Times New Roman"/>
          <w:i/>
          <w:iCs/>
        </w:rPr>
        <w:t>National LGBT Survey: Research Report</w:t>
      </w:r>
      <w:r w:rsidRPr="00C31A32">
        <w:rPr>
          <w:rFonts w:ascii="Times New Roman" w:hAnsi="Times New Roman" w:cs="Times New Roman"/>
        </w:rPr>
        <w:t xml:space="preserve"> (July 2018) 33 and 83-92.</w:t>
      </w:r>
    </w:p>
  </w:footnote>
  <w:footnote w:id="12">
    <w:p w14:paraId="52222E53" w14:textId="31C88D0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A63792" w:rsidRPr="00C31A32">
        <w:rPr>
          <w:rFonts w:ascii="Times New Roman" w:hAnsi="Times New Roman" w:cs="Times New Roman"/>
          <w:bCs/>
          <w:iCs/>
        </w:rPr>
        <w:t>Practices of So-Called “Conversion Therapy</w:t>
      </w:r>
      <w:r w:rsidR="00A63792" w:rsidRPr="00C31A32">
        <w:rPr>
          <w:rFonts w:ascii="Times New Roman" w:hAnsi="Times New Roman" w:cs="Times New Roman"/>
          <w:bCs/>
        </w:rPr>
        <w:t xml:space="preserve"> </w:t>
      </w:r>
      <w:r w:rsidRPr="00C31A32">
        <w:rPr>
          <w:rFonts w:ascii="Times New Roman" w:hAnsi="Times New Roman" w:cs="Times New Roman"/>
          <w:bCs/>
          <w:iCs/>
        </w:rPr>
        <w:t>(n 1);</w:t>
      </w:r>
      <w:r w:rsidRPr="00C31A32">
        <w:rPr>
          <w:rFonts w:ascii="Times New Roman" w:hAnsi="Times New Roman" w:cs="Times New Roman"/>
          <w:bCs/>
          <w:i/>
        </w:rPr>
        <w:t xml:space="preserve"> </w:t>
      </w:r>
      <w:r w:rsidRPr="00C31A32">
        <w:rPr>
          <w:rFonts w:ascii="Times New Roman" w:hAnsi="Times New Roman" w:cs="Times New Roman"/>
        </w:rPr>
        <w:t xml:space="preserve">UN Human Rights Council, </w:t>
      </w:r>
      <w:r w:rsidRPr="00C31A32">
        <w:rPr>
          <w:rFonts w:ascii="Times New Roman" w:hAnsi="Times New Roman" w:cs="Times New Roman"/>
          <w:i/>
          <w:iCs/>
        </w:rPr>
        <w:t>Report of the Special Rapporteur on the right of everyone to the enjoyment of the highest attainable standard of physical and mental health, Anand Grover</w:t>
      </w:r>
      <w:r w:rsidRPr="00C31A32">
        <w:rPr>
          <w:rFonts w:ascii="Times New Roman" w:hAnsi="Times New Roman" w:cs="Times New Roman"/>
        </w:rPr>
        <w:t>, 27 April 2010, A/HRC/14/20, para 23.</w:t>
      </w:r>
    </w:p>
  </w:footnote>
  <w:footnote w:id="13">
    <w:p w14:paraId="0457F7AE" w14:textId="7126E55B"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J. Edgerton, </w:t>
      </w:r>
      <w:r w:rsidRPr="00C31A32">
        <w:rPr>
          <w:rFonts w:ascii="Times New Roman" w:hAnsi="Times New Roman" w:cs="Times New Roman"/>
          <w:i/>
          <w:iCs/>
        </w:rPr>
        <w:t xml:space="preserve">Boy Erased </w:t>
      </w:r>
      <w:r w:rsidRPr="00C31A32">
        <w:rPr>
          <w:rFonts w:ascii="Times New Roman" w:hAnsi="Times New Roman" w:cs="Times New Roman"/>
        </w:rPr>
        <w:t>(Focus Features, 2018).</w:t>
      </w:r>
    </w:p>
  </w:footnote>
  <w:footnote w:id="14">
    <w:p w14:paraId="3DC5734D" w14:textId="6F26CE7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D. </w:t>
      </w:r>
      <w:proofErr w:type="spellStart"/>
      <w:r w:rsidRPr="00C31A32">
        <w:rPr>
          <w:rFonts w:ascii="Times New Roman" w:hAnsi="Times New Roman" w:cs="Times New Roman"/>
        </w:rPr>
        <w:t>Akhavan</w:t>
      </w:r>
      <w:proofErr w:type="spellEnd"/>
      <w:r w:rsidRPr="00C31A32">
        <w:rPr>
          <w:rFonts w:ascii="Times New Roman" w:hAnsi="Times New Roman" w:cs="Times New Roman"/>
        </w:rPr>
        <w:t xml:space="preserve">, </w:t>
      </w:r>
      <w:r w:rsidRPr="00C31A32">
        <w:rPr>
          <w:rFonts w:ascii="Times New Roman" w:hAnsi="Times New Roman" w:cs="Times New Roman"/>
          <w:i/>
          <w:iCs/>
        </w:rPr>
        <w:t>The Miseducation of Cameron Post</w:t>
      </w:r>
      <w:r w:rsidRPr="00C31A32">
        <w:rPr>
          <w:rFonts w:ascii="Times New Roman" w:hAnsi="Times New Roman" w:cs="Times New Roman"/>
        </w:rPr>
        <w:t xml:space="preserve"> (Beachside Films and Parkville Pictures, 2018).</w:t>
      </w:r>
    </w:p>
  </w:footnote>
  <w:footnote w:id="15">
    <w:p w14:paraId="5AE52770" w14:textId="75D71E41"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F83BB5" w:rsidRPr="00C31A32">
        <w:rPr>
          <w:rFonts w:ascii="Times New Roman" w:hAnsi="Times New Roman" w:cs="Times New Roman"/>
        </w:rPr>
        <w:t xml:space="preserve">‘Editorial’ (2016) </w:t>
      </w:r>
      <w:r w:rsidR="002F6D7C" w:rsidRPr="00C31A32">
        <w:rPr>
          <w:rFonts w:ascii="Times New Roman" w:hAnsi="Times New Roman" w:cs="Times New Roman"/>
        </w:rPr>
        <w:t xml:space="preserve">387 </w:t>
      </w:r>
      <w:r w:rsidR="00F83BB5" w:rsidRPr="00C31A32">
        <w:rPr>
          <w:rFonts w:ascii="Times New Roman" w:hAnsi="Times New Roman" w:cs="Times New Roman"/>
          <w:i/>
          <w:iCs/>
        </w:rPr>
        <w:t>The Lancet</w:t>
      </w:r>
      <w:r w:rsidR="002F6D7C" w:rsidRPr="00C31A32">
        <w:rPr>
          <w:rFonts w:ascii="Times New Roman" w:hAnsi="Times New Roman" w:cs="Times New Roman"/>
          <w:i/>
          <w:iCs/>
        </w:rPr>
        <w:t xml:space="preserve"> </w:t>
      </w:r>
      <w:r w:rsidR="002F6D7C" w:rsidRPr="00C31A32">
        <w:rPr>
          <w:rFonts w:ascii="Times New Roman" w:hAnsi="Times New Roman" w:cs="Times New Roman"/>
        </w:rPr>
        <w:t>95;</w:t>
      </w:r>
      <w:r w:rsidR="00F83BB5" w:rsidRPr="00C31A32">
        <w:rPr>
          <w:rFonts w:ascii="Times New Roman" w:hAnsi="Times New Roman" w:cs="Times New Roman"/>
        </w:rPr>
        <w:t xml:space="preserve"> </w:t>
      </w:r>
      <w:r w:rsidRPr="00C31A32">
        <w:rPr>
          <w:rFonts w:ascii="Times New Roman" w:hAnsi="Times New Roman" w:cs="Times New Roman"/>
        </w:rPr>
        <w:t>Independent Forensic Expert Group (n 1) 5.</w:t>
      </w:r>
    </w:p>
  </w:footnote>
  <w:footnote w:id="16">
    <w:p w14:paraId="2426E50E"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European Parliament, Committee on Civil Liberties, Justice and Home Affairs, </w:t>
      </w:r>
      <w:r w:rsidRPr="00C31A32">
        <w:rPr>
          <w:rFonts w:ascii="Times New Roman" w:hAnsi="Times New Roman" w:cs="Times New Roman"/>
          <w:i/>
          <w:iCs/>
        </w:rPr>
        <w:t>Amendment 8 to the</w:t>
      </w:r>
      <w:r w:rsidRPr="00C31A32">
        <w:rPr>
          <w:rFonts w:ascii="Times New Roman" w:hAnsi="Times New Roman" w:cs="Times New Roman"/>
        </w:rPr>
        <w:t xml:space="preserve"> </w:t>
      </w:r>
      <w:r w:rsidRPr="00C31A32">
        <w:rPr>
          <w:rFonts w:ascii="Times New Roman" w:hAnsi="Times New Roman" w:cs="Times New Roman"/>
          <w:i/>
          <w:iCs/>
        </w:rPr>
        <w:t>Report on the Situation of Fundamental Rights in the EU in 2016</w:t>
      </w:r>
      <w:r w:rsidRPr="00C31A32">
        <w:rPr>
          <w:rFonts w:ascii="Times New Roman" w:hAnsi="Times New Roman" w:cs="Times New Roman"/>
        </w:rPr>
        <w:t>,</w:t>
      </w:r>
      <w:r w:rsidRPr="00C31A32">
        <w:rPr>
          <w:rFonts w:ascii="Times New Roman" w:hAnsi="Times New Roman" w:cs="Times New Roman"/>
          <w:i/>
          <w:iCs/>
        </w:rPr>
        <w:t xml:space="preserve"> </w:t>
      </w:r>
      <w:r w:rsidRPr="00C31A32">
        <w:rPr>
          <w:rFonts w:ascii="Times New Roman" w:hAnsi="Times New Roman" w:cs="Times New Roman"/>
        </w:rPr>
        <w:t>21 February 2018, A8-0025/8.</w:t>
      </w:r>
    </w:p>
  </w:footnote>
  <w:footnote w:id="17">
    <w:p w14:paraId="032E1D1C" w14:textId="5D76A0A8"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U</w:t>
      </w:r>
      <w:r w:rsidR="00A63792" w:rsidRPr="00C31A32">
        <w:rPr>
          <w:rFonts w:ascii="Times New Roman" w:hAnsi="Times New Roman" w:cs="Times New Roman"/>
        </w:rPr>
        <w:t>N</w:t>
      </w:r>
      <w:r w:rsidRPr="00C31A32">
        <w:rPr>
          <w:rFonts w:ascii="Times New Roman" w:hAnsi="Times New Roman" w:cs="Times New Roman"/>
        </w:rPr>
        <w:t xml:space="preserve"> Joint Statement, </w:t>
      </w:r>
      <w:r w:rsidRPr="00C31A32">
        <w:rPr>
          <w:rFonts w:ascii="Times New Roman" w:hAnsi="Times New Roman" w:cs="Times New Roman"/>
          <w:i/>
          <w:iCs/>
        </w:rPr>
        <w:t>United Nations Entities Call on States to Act Urgently to End Violence and Discrimination Against Lesbian, Gay, Bisexual, Transgender and Intersex Adults, Adolescents and Children</w:t>
      </w:r>
      <w:r w:rsidRPr="00C31A32">
        <w:rPr>
          <w:rFonts w:ascii="Times New Roman" w:hAnsi="Times New Roman" w:cs="Times New Roman"/>
        </w:rPr>
        <w:t xml:space="preserve"> (September 2015); Annual Report of United Nations High Commissioner for Human Rights, </w:t>
      </w:r>
      <w:r w:rsidRPr="00C31A32">
        <w:rPr>
          <w:rFonts w:ascii="Times New Roman" w:hAnsi="Times New Roman" w:cs="Times New Roman"/>
          <w:i/>
          <w:iCs/>
        </w:rPr>
        <w:t>Discriminatory laws and practices and acts of violence against individuals based on their sexual orientation and gender identity</w:t>
      </w:r>
      <w:r w:rsidRPr="00C31A32">
        <w:rPr>
          <w:rFonts w:ascii="Times New Roman" w:hAnsi="Times New Roman" w:cs="Times New Roman"/>
        </w:rPr>
        <w:t xml:space="preserve">, 17 November 2011, A/HRC/19/41, para 56; </w:t>
      </w:r>
      <w:r w:rsidRPr="00C31A32">
        <w:rPr>
          <w:rFonts w:ascii="Times New Roman" w:hAnsi="Times New Roman" w:cs="Times New Roman"/>
          <w:i/>
          <w:iCs/>
        </w:rPr>
        <w:t>Report of the Special Rapporteur on the question of torture and other cruel, inhuman or degrading treatment or punishment,</w:t>
      </w:r>
      <w:r w:rsidRPr="00C31A32">
        <w:rPr>
          <w:rFonts w:ascii="Times New Roman" w:hAnsi="Times New Roman" w:cs="Times New Roman"/>
        </w:rPr>
        <w:t xml:space="preserve"> UN General Assembly, 3 July 2001, A/56/156, para 24.</w:t>
      </w:r>
    </w:p>
  </w:footnote>
  <w:footnote w:id="18">
    <w:p w14:paraId="1B1F788A" w14:textId="36DA3DB9"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This account of degrading treatment is congenial to how Deborah Hellman defines ‘demeaning’ treatment</w:t>
      </w:r>
      <w:r w:rsidR="000215BB" w:rsidRPr="00C31A32">
        <w:rPr>
          <w:rFonts w:ascii="Times New Roman" w:hAnsi="Times New Roman" w:cs="Times New Roman"/>
        </w:rPr>
        <w:t xml:space="preserve"> in </w:t>
      </w:r>
      <w:r w:rsidRPr="00C31A32">
        <w:rPr>
          <w:rFonts w:ascii="Times New Roman" w:hAnsi="Times New Roman" w:cs="Times New Roman"/>
        </w:rPr>
        <w:t xml:space="preserve">D. Hellman, </w:t>
      </w:r>
      <w:proofErr w:type="gramStart"/>
      <w:r w:rsidRPr="00C31A32">
        <w:rPr>
          <w:rFonts w:ascii="Times New Roman" w:hAnsi="Times New Roman" w:cs="Times New Roman"/>
          <w:i/>
          <w:iCs/>
        </w:rPr>
        <w:t>When</w:t>
      </w:r>
      <w:proofErr w:type="gramEnd"/>
      <w:r w:rsidRPr="00C31A32">
        <w:rPr>
          <w:rFonts w:ascii="Times New Roman" w:hAnsi="Times New Roman" w:cs="Times New Roman"/>
          <w:i/>
          <w:iCs/>
        </w:rPr>
        <w:t xml:space="preserve"> is Discrimination Wrong?</w:t>
      </w:r>
      <w:r w:rsidRPr="00C31A32">
        <w:rPr>
          <w:rFonts w:ascii="Times New Roman" w:hAnsi="Times New Roman" w:cs="Times New Roman"/>
        </w:rPr>
        <w:t xml:space="preserve"> (Harvard UP 2008) 34-58. However, there are differences between how this article explains the wrongness of degrading treatment (</w:t>
      </w:r>
      <w:proofErr w:type="gramStart"/>
      <w:r w:rsidRPr="00C31A32">
        <w:rPr>
          <w:rFonts w:ascii="Times New Roman" w:hAnsi="Times New Roman" w:cs="Times New Roman"/>
        </w:rPr>
        <w:t>i.e.</w:t>
      </w:r>
      <w:proofErr w:type="gramEnd"/>
      <w:r w:rsidRPr="00C31A32">
        <w:rPr>
          <w:rFonts w:ascii="Times New Roman" w:hAnsi="Times New Roman" w:cs="Times New Roman"/>
        </w:rPr>
        <w:t xml:space="preserve"> through an account of disrespect) and how Hellman explains the wrongness of demeaning treatment. </w:t>
      </w:r>
      <w:r w:rsidR="00411565" w:rsidRPr="00C31A32">
        <w:rPr>
          <w:rFonts w:ascii="Times New Roman" w:hAnsi="Times New Roman" w:cs="Times New Roman"/>
        </w:rPr>
        <w:t>This article’s penultimate section returns to this point</w:t>
      </w:r>
      <w:r w:rsidRPr="00C31A32">
        <w:rPr>
          <w:rFonts w:ascii="Times New Roman" w:hAnsi="Times New Roman" w:cs="Times New Roman"/>
        </w:rPr>
        <w:t>.</w:t>
      </w:r>
    </w:p>
  </w:footnote>
  <w:footnote w:id="19">
    <w:p w14:paraId="7DCAFC6A" w14:textId="0DD67A9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00411565" w:rsidRPr="00C31A32">
        <w:rPr>
          <w:rFonts w:ascii="Times New Roman" w:hAnsi="Times New Roman" w:cs="Times New Roman"/>
        </w:rPr>
        <w:t xml:space="preserve"> That is why </w:t>
      </w:r>
      <w:r w:rsidR="00FF227C" w:rsidRPr="00C31A32">
        <w:rPr>
          <w:rFonts w:ascii="Times New Roman" w:hAnsi="Times New Roman" w:cs="Times New Roman"/>
        </w:rPr>
        <w:t xml:space="preserve">some bans expressly exempt </w:t>
      </w:r>
      <w:r w:rsidR="00411565" w:rsidRPr="00C31A32">
        <w:rPr>
          <w:rFonts w:ascii="Times New Roman" w:hAnsi="Times New Roman" w:cs="Times New Roman"/>
        </w:rPr>
        <w:t xml:space="preserve">such practices from the </w:t>
      </w:r>
      <w:r w:rsidR="00FF227C" w:rsidRPr="00C31A32">
        <w:rPr>
          <w:rFonts w:ascii="Times New Roman" w:hAnsi="Times New Roman" w:cs="Times New Roman"/>
        </w:rPr>
        <w:t>scope</w:t>
      </w:r>
      <w:r w:rsidR="00411565" w:rsidRPr="00C31A32">
        <w:rPr>
          <w:rFonts w:ascii="Times New Roman" w:hAnsi="Times New Roman" w:cs="Times New Roman"/>
        </w:rPr>
        <w:t xml:space="preserve"> of ‘conversion therapy’</w:t>
      </w:r>
      <w:r w:rsidR="00FF227C" w:rsidRPr="00C31A32">
        <w:rPr>
          <w:rFonts w:ascii="Times New Roman" w:hAnsi="Times New Roman" w:cs="Times New Roman"/>
        </w:rPr>
        <w:t xml:space="preserve">. See </w:t>
      </w:r>
      <w:proofErr w:type="gramStart"/>
      <w:r w:rsidR="00FF227C" w:rsidRPr="00C31A32">
        <w:rPr>
          <w:rFonts w:ascii="Times New Roman" w:hAnsi="Times New Roman" w:cs="Times New Roman"/>
        </w:rPr>
        <w:t>e.g.</w:t>
      </w:r>
      <w:proofErr w:type="gramEnd"/>
      <w:r w:rsidR="00FF227C" w:rsidRPr="00C31A32">
        <w:rPr>
          <w:rFonts w:ascii="Times New Roman" w:hAnsi="Times New Roman" w:cs="Times New Roman"/>
        </w:rPr>
        <w:t xml:space="preserve"> the legislation adopted in</w:t>
      </w:r>
      <w:r w:rsidR="00411565" w:rsidRPr="00C31A32">
        <w:rPr>
          <w:rFonts w:ascii="Times New Roman" w:hAnsi="Times New Roman" w:cs="Times New Roman"/>
        </w:rPr>
        <w:t xml:space="preserve"> Queensland (s 213F, Public Health Act 2005 as amended by s 28, Health Legislation Amendment Act 2020) and Victoria (s 5 Change or Suppression (Conversion) Practices Prohibition Act 2021).</w:t>
      </w:r>
    </w:p>
  </w:footnote>
  <w:footnote w:id="20">
    <w:p w14:paraId="216016E9" w14:textId="663EFDCE" w:rsidR="002025E7" w:rsidRPr="00C31A32" w:rsidRDefault="002025E7" w:rsidP="00890923">
      <w:pPr>
        <w:spacing w:after="0" w:line="240" w:lineRule="auto"/>
        <w:ind w:firstLine="142"/>
        <w:jc w:val="both"/>
        <w:rPr>
          <w:rFonts w:ascii="Times New Roman" w:eastAsia="Times New Roman" w:hAnsi="Times New Roman" w:cs="Times New Roman"/>
          <w:sz w:val="20"/>
          <w:szCs w:val="20"/>
          <w:lang w:eastAsia="en-GB"/>
        </w:rPr>
      </w:pPr>
      <w:r w:rsidRPr="00C31A32">
        <w:rPr>
          <w:rStyle w:val="FootnoteReference"/>
          <w:rFonts w:ascii="Times New Roman" w:hAnsi="Times New Roman" w:cs="Times New Roman"/>
          <w:sz w:val="20"/>
          <w:szCs w:val="20"/>
        </w:rPr>
        <w:footnoteRef/>
      </w:r>
      <w:r w:rsidRPr="00C31A32">
        <w:rPr>
          <w:rFonts w:ascii="Times New Roman" w:hAnsi="Times New Roman" w:cs="Times New Roman"/>
          <w:sz w:val="20"/>
          <w:szCs w:val="20"/>
        </w:rPr>
        <w:t xml:space="preserve"> BACP (n 4)</w:t>
      </w:r>
      <w:r w:rsidRPr="00C31A32">
        <w:rPr>
          <w:rFonts w:ascii="Times New Roman" w:eastAsia="Times New Roman" w:hAnsi="Times New Roman" w:cs="Times New Roman"/>
          <w:sz w:val="20"/>
          <w:szCs w:val="20"/>
        </w:rPr>
        <w:t xml:space="preserve"> para 2.</w:t>
      </w:r>
    </w:p>
  </w:footnote>
  <w:footnote w:id="21">
    <w:p w14:paraId="7E5BABC7" w14:textId="199BBADB"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bCs/>
          <w:i/>
        </w:rPr>
        <w:t xml:space="preserve"> </w:t>
      </w:r>
      <w:r w:rsidR="008D6F66" w:rsidRPr="00C31A32">
        <w:rPr>
          <w:rFonts w:ascii="Times New Roman" w:hAnsi="Times New Roman" w:cs="Times New Roman"/>
          <w:bCs/>
          <w:iCs/>
        </w:rPr>
        <w:t>Practices of So-Called “Conversion Therapy”</w:t>
      </w:r>
      <w:r w:rsidRPr="00C31A32">
        <w:rPr>
          <w:rFonts w:ascii="Times New Roman" w:hAnsi="Times New Roman" w:cs="Times New Roman"/>
          <w:bCs/>
          <w:iCs/>
        </w:rPr>
        <w:t xml:space="preserve"> (n 1)</w:t>
      </w:r>
      <w:r w:rsidRPr="00C31A32">
        <w:rPr>
          <w:rFonts w:ascii="Times New Roman" w:hAnsi="Times New Roman" w:cs="Times New Roman"/>
          <w:bCs/>
        </w:rPr>
        <w:t xml:space="preserve"> para 17.</w:t>
      </w:r>
    </w:p>
  </w:footnote>
  <w:footnote w:id="22">
    <w:p w14:paraId="1DD9E7E8"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bookmarkStart w:id="0" w:name="OLE_LINK1"/>
      <w:bookmarkStart w:id="1" w:name="OLE_LINK2"/>
      <w:r w:rsidRPr="00C31A32">
        <w:rPr>
          <w:rFonts w:ascii="Times New Roman" w:hAnsi="Times New Roman" w:cs="Times New Roman"/>
        </w:rPr>
        <w:t>ibid</w:t>
      </w:r>
      <w:r w:rsidRPr="00C31A32">
        <w:rPr>
          <w:rFonts w:ascii="Times New Roman" w:hAnsi="Times New Roman" w:cs="Times New Roman"/>
          <w:bCs/>
        </w:rPr>
        <w:t xml:space="preserve"> para </w:t>
      </w:r>
      <w:bookmarkEnd w:id="0"/>
      <w:bookmarkEnd w:id="1"/>
      <w:r w:rsidRPr="00C31A32">
        <w:rPr>
          <w:rFonts w:ascii="Times New Roman" w:hAnsi="Times New Roman" w:cs="Times New Roman"/>
          <w:bCs/>
        </w:rPr>
        <w:t>19.</w:t>
      </w:r>
    </w:p>
  </w:footnote>
  <w:footnote w:id="23">
    <w:p w14:paraId="4BA27770"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paras 18 and 39.</w:t>
      </w:r>
    </w:p>
  </w:footnote>
  <w:footnote w:id="24">
    <w:p w14:paraId="32CCDA75"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39.</w:t>
      </w:r>
    </w:p>
  </w:footnote>
  <w:footnote w:id="25">
    <w:p w14:paraId="77E57B04"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paras 39, 50 and 52.</w:t>
      </w:r>
    </w:p>
  </w:footnote>
  <w:footnote w:id="26">
    <w:p w14:paraId="39AD315A" w14:textId="64504D5F"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Report of the Special Rapporteur on the </w:t>
      </w:r>
      <w:r w:rsidR="008D6F66" w:rsidRPr="00C31A32">
        <w:rPr>
          <w:rFonts w:ascii="Times New Roman" w:hAnsi="Times New Roman" w:cs="Times New Roman"/>
        </w:rPr>
        <w:t>Q</w:t>
      </w:r>
      <w:r w:rsidRPr="00C31A32">
        <w:rPr>
          <w:rFonts w:ascii="Times New Roman" w:hAnsi="Times New Roman" w:cs="Times New Roman"/>
        </w:rPr>
        <w:t xml:space="preserve">uestion of </w:t>
      </w:r>
      <w:r w:rsidR="008D6F66" w:rsidRPr="00C31A32">
        <w:rPr>
          <w:rFonts w:ascii="Times New Roman" w:hAnsi="Times New Roman" w:cs="Times New Roman"/>
        </w:rPr>
        <w:t>T</w:t>
      </w:r>
      <w:r w:rsidRPr="00C31A32">
        <w:rPr>
          <w:rFonts w:ascii="Times New Roman" w:hAnsi="Times New Roman" w:cs="Times New Roman"/>
        </w:rPr>
        <w:t xml:space="preserve">orture and </w:t>
      </w:r>
      <w:r w:rsidR="008D6F66" w:rsidRPr="00C31A32">
        <w:rPr>
          <w:rFonts w:ascii="Times New Roman" w:hAnsi="Times New Roman" w:cs="Times New Roman"/>
        </w:rPr>
        <w:t>O</w:t>
      </w:r>
      <w:r w:rsidRPr="00C31A32">
        <w:rPr>
          <w:rFonts w:ascii="Times New Roman" w:hAnsi="Times New Roman" w:cs="Times New Roman"/>
        </w:rPr>
        <w:t xml:space="preserve">ther </w:t>
      </w:r>
      <w:r w:rsidR="008D6F66" w:rsidRPr="00C31A32">
        <w:rPr>
          <w:rFonts w:ascii="Times New Roman" w:hAnsi="Times New Roman" w:cs="Times New Roman"/>
        </w:rPr>
        <w:t>C</w:t>
      </w:r>
      <w:r w:rsidRPr="00C31A32">
        <w:rPr>
          <w:rFonts w:ascii="Times New Roman" w:hAnsi="Times New Roman" w:cs="Times New Roman"/>
        </w:rPr>
        <w:t xml:space="preserve">ruel, </w:t>
      </w:r>
      <w:r w:rsidR="008D6F66" w:rsidRPr="00C31A32">
        <w:rPr>
          <w:rFonts w:ascii="Times New Roman" w:hAnsi="Times New Roman" w:cs="Times New Roman"/>
        </w:rPr>
        <w:t>I</w:t>
      </w:r>
      <w:r w:rsidRPr="00C31A32">
        <w:rPr>
          <w:rFonts w:ascii="Times New Roman" w:hAnsi="Times New Roman" w:cs="Times New Roman"/>
        </w:rPr>
        <w:t xml:space="preserve">nhuman or </w:t>
      </w:r>
      <w:r w:rsidR="008D6F66" w:rsidRPr="00C31A32">
        <w:rPr>
          <w:rFonts w:ascii="Times New Roman" w:hAnsi="Times New Roman" w:cs="Times New Roman"/>
        </w:rPr>
        <w:t>D</w:t>
      </w:r>
      <w:r w:rsidRPr="00C31A32">
        <w:rPr>
          <w:rFonts w:ascii="Times New Roman" w:hAnsi="Times New Roman" w:cs="Times New Roman"/>
        </w:rPr>
        <w:t xml:space="preserve">egrading </w:t>
      </w:r>
      <w:r w:rsidR="008D6F66" w:rsidRPr="00C31A32">
        <w:rPr>
          <w:rFonts w:ascii="Times New Roman" w:hAnsi="Times New Roman" w:cs="Times New Roman"/>
        </w:rPr>
        <w:t>T</w:t>
      </w:r>
      <w:r w:rsidRPr="00C31A32">
        <w:rPr>
          <w:rFonts w:ascii="Times New Roman" w:hAnsi="Times New Roman" w:cs="Times New Roman"/>
        </w:rPr>
        <w:t xml:space="preserve">reatment or </w:t>
      </w:r>
      <w:r w:rsidR="008D6F66" w:rsidRPr="00C31A32">
        <w:rPr>
          <w:rFonts w:ascii="Times New Roman" w:hAnsi="Times New Roman" w:cs="Times New Roman"/>
        </w:rPr>
        <w:t>P</w:t>
      </w:r>
      <w:r w:rsidRPr="00C31A32">
        <w:rPr>
          <w:rFonts w:ascii="Times New Roman" w:hAnsi="Times New Roman" w:cs="Times New Roman"/>
        </w:rPr>
        <w:t>unishment</w:t>
      </w:r>
      <w:r w:rsidRPr="00C31A32">
        <w:rPr>
          <w:rFonts w:ascii="Times New Roman" w:hAnsi="Times New Roman" w:cs="Times New Roman"/>
          <w:i/>
          <w:iCs/>
        </w:rPr>
        <w:t>,</w:t>
      </w:r>
      <w:r w:rsidRPr="00C31A32">
        <w:rPr>
          <w:rFonts w:ascii="Times New Roman" w:hAnsi="Times New Roman" w:cs="Times New Roman"/>
        </w:rPr>
        <w:t xml:space="preserve"> UN General Assembly, A/56/156, 3 July 2001, para 24.</w:t>
      </w:r>
    </w:p>
  </w:footnote>
  <w:footnote w:id="27">
    <w:p w14:paraId="444B2EEC" w14:textId="15C40CC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8D6F66" w:rsidRPr="00C31A32">
        <w:rPr>
          <w:rFonts w:ascii="Times New Roman" w:hAnsi="Times New Roman" w:cs="Times New Roman"/>
          <w:bCs/>
          <w:iCs/>
        </w:rPr>
        <w:t>Practices of So-Called “Conversion Therapy”</w:t>
      </w:r>
      <w:r w:rsidR="008D6F66" w:rsidRPr="00C31A32">
        <w:rPr>
          <w:rFonts w:ascii="Times New Roman" w:hAnsi="Times New Roman" w:cs="Times New Roman"/>
          <w:bCs/>
        </w:rPr>
        <w:t xml:space="preserve"> </w:t>
      </w:r>
      <w:r w:rsidRPr="00C31A32">
        <w:rPr>
          <w:rFonts w:ascii="Times New Roman" w:hAnsi="Times New Roman" w:cs="Times New Roman"/>
          <w:bCs/>
          <w:iCs/>
        </w:rPr>
        <w:t>(n 1)</w:t>
      </w:r>
      <w:r w:rsidRPr="00C31A32">
        <w:rPr>
          <w:rFonts w:ascii="Times New Roman" w:hAnsi="Times New Roman" w:cs="Times New Roman"/>
        </w:rPr>
        <w:t xml:space="preserve"> para 46.</w:t>
      </w:r>
    </w:p>
  </w:footnote>
  <w:footnote w:id="28">
    <w:p w14:paraId="1353FCC9"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43.</w:t>
      </w:r>
    </w:p>
  </w:footnote>
  <w:footnote w:id="29">
    <w:p w14:paraId="181577D3" w14:textId="46C34928"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K. A. Hicks, ‘“Reparative” </w:t>
      </w:r>
      <w:r w:rsidR="008D6F66" w:rsidRPr="00C31A32">
        <w:rPr>
          <w:rFonts w:ascii="Times New Roman" w:hAnsi="Times New Roman" w:cs="Times New Roman"/>
        </w:rPr>
        <w:t>T</w:t>
      </w:r>
      <w:r w:rsidRPr="00C31A32">
        <w:rPr>
          <w:rFonts w:ascii="Times New Roman" w:hAnsi="Times New Roman" w:cs="Times New Roman"/>
        </w:rPr>
        <w:t xml:space="preserve">herapy: Whether </w:t>
      </w:r>
      <w:r w:rsidR="008D6F66" w:rsidRPr="00C31A32">
        <w:rPr>
          <w:rFonts w:ascii="Times New Roman" w:hAnsi="Times New Roman" w:cs="Times New Roman"/>
        </w:rPr>
        <w:t>P</w:t>
      </w:r>
      <w:r w:rsidRPr="00C31A32">
        <w:rPr>
          <w:rFonts w:ascii="Times New Roman" w:hAnsi="Times New Roman" w:cs="Times New Roman"/>
        </w:rPr>
        <w:t xml:space="preserve">arental </w:t>
      </w:r>
      <w:r w:rsidR="008D6F66" w:rsidRPr="00C31A32">
        <w:rPr>
          <w:rFonts w:ascii="Times New Roman" w:hAnsi="Times New Roman" w:cs="Times New Roman"/>
        </w:rPr>
        <w:t>A</w:t>
      </w:r>
      <w:r w:rsidRPr="00C31A32">
        <w:rPr>
          <w:rFonts w:ascii="Times New Roman" w:hAnsi="Times New Roman" w:cs="Times New Roman"/>
        </w:rPr>
        <w:t>ttempts to</w:t>
      </w:r>
      <w:r w:rsidR="008D6F66" w:rsidRPr="00C31A32">
        <w:rPr>
          <w:rFonts w:ascii="Times New Roman" w:hAnsi="Times New Roman" w:cs="Times New Roman"/>
        </w:rPr>
        <w:t xml:space="preserve"> C</w:t>
      </w:r>
      <w:r w:rsidRPr="00C31A32">
        <w:rPr>
          <w:rFonts w:ascii="Times New Roman" w:hAnsi="Times New Roman" w:cs="Times New Roman"/>
        </w:rPr>
        <w:t xml:space="preserve">hange a </w:t>
      </w:r>
      <w:r w:rsidR="008D6F66" w:rsidRPr="00C31A32">
        <w:rPr>
          <w:rFonts w:ascii="Times New Roman" w:hAnsi="Times New Roman" w:cs="Times New Roman"/>
        </w:rPr>
        <w:t>C</w:t>
      </w:r>
      <w:r w:rsidRPr="00C31A32">
        <w:rPr>
          <w:rFonts w:ascii="Times New Roman" w:hAnsi="Times New Roman" w:cs="Times New Roman"/>
        </w:rPr>
        <w:t xml:space="preserve">hild’s </w:t>
      </w:r>
      <w:r w:rsidR="008D6F66" w:rsidRPr="00C31A32">
        <w:rPr>
          <w:rFonts w:ascii="Times New Roman" w:hAnsi="Times New Roman" w:cs="Times New Roman"/>
        </w:rPr>
        <w:t>S</w:t>
      </w:r>
      <w:r w:rsidRPr="00C31A32">
        <w:rPr>
          <w:rFonts w:ascii="Times New Roman" w:hAnsi="Times New Roman" w:cs="Times New Roman"/>
        </w:rPr>
        <w:t xml:space="preserve">exual </w:t>
      </w:r>
      <w:r w:rsidR="008D6F66" w:rsidRPr="00C31A32">
        <w:rPr>
          <w:rFonts w:ascii="Times New Roman" w:hAnsi="Times New Roman" w:cs="Times New Roman"/>
        </w:rPr>
        <w:t>O</w:t>
      </w:r>
      <w:r w:rsidRPr="00C31A32">
        <w:rPr>
          <w:rFonts w:ascii="Times New Roman" w:hAnsi="Times New Roman" w:cs="Times New Roman"/>
        </w:rPr>
        <w:t xml:space="preserve">rientation </w:t>
      </w:r>
      <w:r w:rsidR="008D6F66" w:rsidRPr="00C31A32">
        <w:rPr>
          <w:rFonts w:ascii="Times New Roman" w:hAnsi="Times New Roman" w:cs="Times New Roman"/>
        </w:rPr>
        <w:t>C</w:t>
      </w:r>
      <w:r w:rsidRPr="00C31A32">
        <w:rPr>
          <w:rFonts w:ascii="Times New Roman" w:hAnsi="Times New Roman" w:cs="Times New Roman"/>
        </w:rPr>
        <w:t xml:space="preserve">an </w:t>
      </w:r>
      <w:r w:rsidR="008D6F66" w:rsidRPr="00C31A32">
        <w:rPr>
          <w:rFonts w:ascii="Times New Roman" w:hAnsi="Times New Roman" w:cs="Times New Roman"/>
        </w:rPr>
        <w:t>C</w:t>
      </w:r>
      <w:r w:rsidRPr="00C31A32">
        <w:rPr>
          <w:rFonts w:ascii="Times New Roman" w:hAnsi="Times New Roman" w:cs="Times New Roman"/>
        </w:rPr>
        <w:t>onstitute</w:t>
      </w:r>
      <w:r w:rsidR="008D6F66" w:rsidRPr="00C31A32">
        <w:rPr>
          <w:rFonts w:ascii="Times New Roman" w:hAnsi="Times New Roman" w:cs="Times New Roman"/>
        </w:rPr>
        <w:t xml:space="preserve"> C</w:t>
      </w:r>
      <w:r w:rsidRPr="00C31A32">
        <w:rPr>
          <w:rFonts w:ascii="Times New Roman" w:hAnsi="Times New Roman" w:cs="Times New Roman"/>
        </w:rPr>
        <w:t xml:space="preserve">hild </w:t>
      </w:r>
      <w:r w:rsidR="008D6F66" w:rsidRPr="00C31A32">
        <w:rPr>
          <w:rFonts w:ascii="Times New Roman" w:hAnsi="Times New Roman" w:cs="Times New Roman"/>
        </w:rPr>
        <w:t>A</w:t>
      </w:r>
      <w:r w:rsidRPr="00C31A32">
        <w:rPr>
          <w:rFonts w:ascii="Times New Roman" w:hAnsi="Times New Roman" w:cs="Times New Roman"/>
        </w:rPr>
        <w:t xml:space="preserve">buse’ (1999) 49 </w:t>
      </w:r>
      <w:r w:rsidRPr="00C31A32">
        <w:rPr>
          <w:rFonts w:ascii="Times New Roman" w:hAnsi="Times New Roman" w:cs="Times New Roman"/>
          <w:iCs/>
        </w:rPr>
        <w:t>Am U L Rev</w:t>
      </w:r>
      <w:r w:rsidRPr="00C31A32">
        <w:rPr>
          <w:rFonts w:ascii="Times New Roman" w:hAnsi="Times New Roman" w:cs="Times New Roman"/>
        </w:rPr>
        <w:t xml:space="preserve"> 506.</w:t>
      </w:r>
    </w:p>
  </w:footnote>
  <w:footnote w:id="30">
    <w:p w14:paraId="0AA2941A" w14:textId="627A657F"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8A7329" w:rsidRPr="00C31A32">
        <w:rPr>
          <w:rFonts w:ascii="Times New Roman" w:hAnsi="Times New Roman" w:cs="Times New Roman"/>
          <w:bCs/>
          <w:iCs/>
        </w:rPr>
        <w:t xml:space="preserve">Practices of So-Called “Conversion Therapy” (n 1) </w:t>
      </w:r>
      <w:r w:rsidRPr="00C31A32">
        <w:rPr>
          <w:rFonts w:ascii="Times New Roman" w:hAnsi="Times New Roman" w:cs="Times New Roman"/>
        </w:rPr>
        <w:t>para 45.</w:t>
      </w:r>
    </w:p>
  </w:footnote>
  <w:footnote w:id="31">
    <w:p w14:paraId="1A1850A3"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37.</w:t>
      </w:r>
    </w:p>
  </w:footnote>
  <w:footnote w:id="32">
    <w:p w14:paraId="03D85CE8" w14:textId="5F0CDE65" w:rsidR="00C91CD7" w:rsidRPr="00C31A32" w:rsidRDefault="00C91CD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5A01F1" w:rsidRPr="00C31A32">
        <w:rPr>
          <w:rFonts w:ascii="Times New Roman" w:hAnsi="Times New Roman" w:cs="Times New Roman"/>
        </w:rPr>
        <w:t xml:space="preserve">J. Turban and others, ‘Association Between Recalled Exposure to Gender Identity Conversion Efforts and Psychological Distress and Suicide Attempts Among Transgender Adults’ (2020) 77(1) JAMA Psychiatry 68; </w:t>
      </w:r>
      <w:r w:rsidRPr="00C31A32">
        <w:rPr>
          <w:rFonts w:ascii="Times New Roman" w:hAnsi="Times New Roman" w:cs="Times New Roman"/>
        </w:rPr>
        <w:t xml:space="preserve">J. Devlin </w:t>
      </w:r>
      <w:r w:rsidR="005A01F1" w:rsidRPr="00C31A32">
        <w:rPr>
          <w:rFonts w:ascii="Times New Roman" w:hAnsi="Times New Roman" w:cs="Times New Roman"/>
        </w:rPr>
        <w:t>and others</w:t>
      </w:r>
      <w:r w:rsidRPr="00C31A32">
        <w:rPr>
          <w:rFonts w:ascii="Times New Roman" w:hAnsi="Times New Roman" w:cs="Times New Roman"/>
        </w:rPr>
        <w:t xml:space="preserve">, ‘Sexual Orientation Change Efforts Among Current or Former LDS Church Members’ (2015) 62(2) J </w:t>
      </w:r>
      <w:proofErr w:type="spellStart"/>
      <w:r w:rsidRPr="00C31A32">
        <w:rPr>
          <w:rFonts w:ascii="Times New Roman" w:hAnsi="Times New Roman" w:cs="Times New Roman"/>
        </w:rPr>
        <w:t>Couns</w:t>
      </w:r>
      <w:proofErr w:type="spellEnd"/>
      <w:r w:rsidRPr="00C31A32">
        <w:rPr>
          <w:rFonts w:ascii="Times New Roman" w:hAnsi="Times New Roman" w:cs="Times New Roman"/>
        </w:rPr>
        <w:t xml:space="preserve"> </w:t>
      </w:r>
      <w:proofErr w:type="spellStart"/>
      <w:r w:rsidRPr="00C31A32">
        <w:rPr>
          <w:rFonts w:ascii="Times New Roman" w:hAnsi="Times New Roman" w:cs="Times New Roman"/>
        </w:rPr>
        <w:t>Psychol</w:t>
      </w:r>
      <w:proofErr w:type="spellEnd"/>
      <w:r w:rsidRPr="00C31A32">
        <w:rPr>
          <w:rFonts w:ascii="Times New Roman" w:hAnsi="Times New Roman" w:cs="Times New Roman"/>
        </w:rPr>
        <w:t xml:space="preserve"> 95</w:t>
      </w:r>
      <w:r w:rsidR="004F069E" w:rsidRPr="00C31A32">
        <w:rPr>
          <w:rFonts w:ascii="Times New Roman" w:hAnsi="Times New Roman" w:cs="Times New Roman"/>
        </w:rPr>
        <w:t xml:space="preserve">; D. </w:t>
      </w:r>
      <w:proofErr w:type="spellStart"/>
      <w:r w:rsidR="004F069E" w:rsidRPr="00C31A32">
        <w:rPr>
          <w:rFonts w:ascii="Times New Roman" w:hAnsi="Times New Roman" w:cs="Times New Roman"/>
        </w:rPr>
        <w:t>Halderman</w:t>
      </w:r>
      <w:proofErr w:type="spellEnd"/>
      <w:r w:rsidR="004F069E" w:rsidRPr="00C31A32">
        <w:rPr>
          <w:rFonts w:ascii="Times New Roman" w:hAnsi="Times New Roman" w:cs="Times New Roman"/>
        </w:rPr>
        <w:t>, ‘Therapeutic Antidotes: Helping Gay and Bisexual Men Recover from Conversion Therapies’ (2002) 5(3-4) J Gay &amp; Lesbian Psychotherapy 117.</w:t>
      </w:r>
    </w:p>
  </w:footnote>
  <w:footnote w:id="33">
    <w:p w14:paraId="31DA309E" w14:textId="72A11BA2"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8D6F66" w:rsidRPr="00C31A32">
        <w:rPr>
          <w:rFonts w:ascii="Times New Roman" w:hAnsi="Times New Roman" w:cs="Times New Roman"/>
          <w:bCs/>
          <w:iCs/>
        </w:rPr>
        <w:t>Practices of So-Called “Conversion Therapy”</w:t>
      </w:r>
      <w:r w:rsidR="008D6F66" w:rsidRPr="00C31A32">
        <w:rPr>
          <w:rFonts w:ascii="Times New Roman" w:hAnsi="Times New Roman" w:cs="Times New Roman"/>
          <w:bCs/>
        </w:rPr>
        <w:t xml:space="preserve"> </w:t>
      </w:r>
      <w:r w:rsidR="00C91CD7" w:rsidRPr="00C31A32">
        <w:rPr>
          <w:rFonts w:ascii="Times New Roman" w:hAnsi="Times New Roman" w:cs="Times New Roman"/>
          <w:bCs/>
          <w:iCs/>
        </w:rPr>
        <w:t>(n 1)</w:t>
      </w:r>
      <w:r w:rsidR="00C91CD7" w:rsidRPr="00C31A32">
        <w:rPr>
          <w:rFonts w:ascii="Times New Roman" w:hAnsi="Times New Roman" w:cs="Times New Roman"/>
        </w:rPr>
        <w:t xml:space="preserve"> </w:t>
      </w:r>
      <w:r w:rsidRPr="00C31A32">
        <w:rPr>
          <w:rFonts w:ascii="Times New Roman" w:hAnsi="Times New Roman" w:cs="Times New Roman"/>
        </w:rPr>
        <w:t>para 55.</w:t>
      </w:r>
    </w:p>
  </w:footnote>
  <w:footnote w:id="34">
    <w:p w14:paraId="1A87E81B" w14:textId="7182E21D"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56</w:t>
      </w:r>
      <w:r w:rsidR="005A01F1" w:rsidRPr="00C31A32">
        <w:rPr>
          <w:rFonts w:ascii="Times New Roman" w:hAnsi="Times New Roman" w:cs="Times New Roman"/>
        </w:rPr>
        <w:t xml:space="preserve">. See also J. </w:t>
      </w:r>
      <w:proofErr w:type="spellStart"/>
      <w:r w:rsidR="005A01F1" w:rsidRPr="00C31A32">
        <w:rPr>
          <w:rFonts w:ascii="Times New Roman" w:hAnsi="Times New Roman" w:cs="Times New Roman"/>
        </w:rPr>
        <w:t>Fjelstrom</w:t>
      </w:r>
      <w:proofErr w:type="spellEnd"/>
      <w:r w:rsidR="005A01F1" w:rsidRPr="00C31A32">
        <w:rPr>
          <w:rFonts w:ascii="Times New Roman" w:hAnsi="Times New Roman" w:cs="Times New Roman"/>
        </w:rPr>
        <w:t xml:space="preserve">, ‘Sexual Orientation Change Efforts and the Search for Authenticity’ (2013) 60(6) J </w:t>
      </w:r>
      <w:proofErr w:type="spellStart"/>
      <w:r w:rsidR="005A01F1" w:rsidRPr="00C31A32">
        <w:rPr>
          <w:rFonts w:ascii="Times New Roman" w:hAnsi="Times New Roman" w:cs="Times New Roman"/>
        </w:rPr>
        <w:t>Homosex</w:t>
      </w:r>
      <w:proofErr w:type="spellEnd"/>
      <w:r w:rsidR="005A01F1" w:rsidRPr="00C31A32">
        <w:rPr>
          <w:rFonts w:ascii="Times New Roman" w:hAnsi="Times New Roman" w:cs="Times New Roman"/>
        </w:rPr>
        <w:t xml:space="preserve"> 801.</w:t>
      </w:r>
    </w:p>
  </w:footnote>
  <w:footnote w:id="35">
    <w:p w14:paraId="6AE00AF4" w14:textId="67EFF685"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This analysis of the wrongness of ‘conversion therapy’ distinguishes objections from the proved potential of ‘conversion therapy’ to cause grave physical and psychological harm from objections to the practice from its inegalitarian nature. </w:t>
      </w:r>
      <w:r w:rsidR="008D6F66" w:rsidRPr="00C31A32">
        <w:rPr>
          <w:rFonts w:ascii="Times New Roman" w:hAnsi="Times New Roman" w:cs="Times New Roman"/>
        </w:rPr>
        <w:t>However, t</w:t>
      </w:r>
      <w:r w:rsidRPr="00C31A32">
        <w:rPr>
          <w:rFonts w:ascii="Times New Roman" w:hAnsi="Times New Roman" w:cs="Times New Roman"/>
        </w:rPr>
        <w:t>he two objections are linked. Pain and injury can be objected to independently of their consequences to the affected people’s options. But pain and injury are harmful also because they obstruct the pursuit of a person’s options</w:t>
      </w:r>
      <w:r w:rsidR="008D6F66" w:rsidRPr="00C31A32">
        <w:rPr>
          <w:rFonts w:ascii="Times New Roman" w:hAnsi="Times New Roman" w:cs="Times New Roman"/>
        </w:rPr>
        <w:t xml:space="preserve"> </w:t>
      </w:r>
      <w:r w:rsidRPr="00C31A32">
        <w:rPr>
          <w:rFonts w:ascii="Times New Roman" w:hAnsi="Times New Roman" w:cs="Times New Roman"/>
        </w:rPr>
        <w:t>and relationships.</w:t>
      </w:r>
    </w:p>
  </w:footnote>
  <w:footnote w:id="36">
    <w:p w14:paraId="301126DB"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On basic disrespect see B. </w:t>
      </w:r>
      <w:proofErr w:type="spellStart"/>
      <w:r w:rsidRPr="00C31A32">
        <w:rPr>
          <w:rFonts w:ascii="Times New Roman" w:hAnsi="Times New Roman" w:cs="Times New Roman"/>
        </w:rPr>
        <w:t>Eidelson</w:t>
      </w:r>
      <w:proofErr w:type="spellEnd"/>
      <w:r w:rsidRPr="00C31A32">
        <w:rPr>
          <w:rFonts w:ascii="Times New Roman" w:hAnsi="Times New Roman" w:cs="Times New Roman"/>
        </w:rPr>
        <w:t xml:space="preserve">, </w:t>
      </w:r>
      <w:r w:rsidRPr="00C31A32">
        <w:rPr>
          <w:rFonts w:ascii="Times New Roman" w:hAnsi="Times New Roman" w:cs="Times New Roman"/>
          <w:i/>
          <w:iCs/>
        </w:rPr>
        <w:t xml:space="preserve">Discrimination and Disrespect </w:t>
      </w:r>
      <w:r w:rsidRPr="00C31A32">
        <w:rPr>
          <w:rFonts w:ascii="Times New Roman" w:hAnsi="Times New Roman" w:cs="Times New Roman"/>
        </w:rPr>
        <w:t xml:space="preserve">(OUP 2015) 84–90. Also J. Wolff, ‘Fairness, Respect, and the Egalitarian Ethos’ (1998) 27(2) </w:t>
      </w:r>
      <w:proofErr w:type="spellStart"/>
      <w:r w:rsidRPr="00C31A32">
        <w:rPr>
          <w:rFonts w:ascii="Times New Roman" w:hAnsi="Times New Roman" w:cs="Times New Roman"/>
        </w:rPr>
        <w:t>Philos</w:t>
      </w:r>
      <w:proofErr w:type="spellEnd"/>
      <w:r w:rsidRPr="00C31A32">
        <w:rPr>
          <w:rFonts w:ascii="Times New Roman" w:hAnsi="Times New Roman" w:cs="Times New Roman"/>
        </w:rPr>
        <w:t xml:space="preserve"> Public </w:t>
      </w:r>
      <w:proofErr w:type="spellStart"/>
      <w:r w:rsidRPr="00C31A32">
        <w:rPr>
          <w:rFonts w:ascii="Times New Roman" w:hAnsi="Times New Roman" w:cs="Times New Roman"/>
        </w:rPr>
        <w:t>Aff</w:t>
      </w:r>
      <w:proofErr w:type="spellEnd"/>
      <w:r w:rsidRPr="00C31A32">
        <w:rPr>
          <w:rFonts w:ascii="Times New Roman" w:hAnsi="Times New Roman" w:cs="Times New Roman"/>
        </w:rPr>
        <w:t xml:space="preserve"> 97, 107–110.</w:t>
      </w:r>
    </w:p>
  </w:footnote>
  <w:footnote w:id="37">
    <w:p w14:paraId="1D0C6EE9"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S. </w:t>
      </w:r>
      <w:proofErr w:type="spellStart"/>
      <w:r w:rsidRPr="00C31A32">
        <w:rPr>
          <w:rFonts w:ascii="Times New Roman" w:hAnsi="Times New Roman" w:cs="Times New Roman"/>
        </w:rPr>
        <w:t>Darwall</w:t>
      </w:r>
      <w:proofErr w:type="spellEnd"/>
      <w:r w:rsidRPr="00C31A32">
        <w:rPr>
          <w:rFonts w:ascii="Times New Roman" w:hAnsi="Times New Roman" w:cs="Times New Roman"/>
        </w:rPr>
        <w:t>, ‘Two Kinds of Respect’ (1977) 88(1) Ethics</w:t>
      </w:r>
      <w:r w:rsidRPr="00C31A32">
        <w:rPr>
          <w:rFonts w:ascii="Times New Roman" w:hAnsi="Times New Roman" w:cs="Times New Roman"/>
          <w:i/>
          <w:iCs/>
        </w:rPr>
        <w:t xml:space="preserve"> </w:t>
      </w:r>
      <w:r w:rsidRPr="00C31A32">
        <w:rPr>
          <w:rFonts w:ascii="Times New Roman" w:hAnsi="Times New Roman" w:cs="Times New Roman"/>
        </w:rPr>
        <w:t>36, 38. For the purposes of this article it is not necessary to offer a more detailed account of an egalitarian notion of respect. Rather, it suffices to show that ‘conversion therapy’ undermines respect (including self-respect) in specific ways.</w:t>
      </w:r>
    </w:p>
  </w:footnote>
  <w:footnote w:id="38">
    <w:p w14:paraId="0107A1D6"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H. Frankfurt, </w:t>
      </w:r>
      <w:r w:rsidRPr="00C31A32">
        <w:rPr>
          <w:rFonts w:ascii="Times New Roman" w:hAnsi="Times New Roman" w:cs="Times New Roman"/>
          <w:i/>
          <w:iCs/>
        </w:rPr>
        <w:t>Necessity, Volition, and Love</w:t>
      </w:r>
      <w:r w:rsidRPr="00C31A32">
        <w:rPr>
          <w:rFonts w:ascii="Times New Roman" w:hAnsi="Times New Roman" w:cs="Times New Roman"/>
        </w:rPr>
        <w:t xml:space="preserve"> (CUP 1999) 146–155.</w:t>
      </w:r>
    </w:p>
  </w:footnote>
  <w:footnote w:id="39">
    <w:p w14:paraId="1CD84345" w14:textId="7D9CD1F8" w:rsidR="002025E7" w:rsidRPr="00C31A32" w:rsidRDefault="002025E7" w:rsidP="00890923">
      <w:pPr>
        <w:pStyle w:val="NormalWeb"/>
        <w:ind w:firstLine="142"/>
        <w:jc w:val="both"/>
        <w:rPr>
          <w:rFonts w:eastAsia="Times New Roman"/>
          <w:sz w:val="20"/>
          <w:szCs w:val="20"/>
        </w:rPr>
      </w:pPr>
      <w:r w:rsidRPr="00C31A32">
        <w:rPr>
          <w:rStyle w:val="FootnoteReference"/>
          <w:sz w:val="20"/>
          <w:szCs w:val="20"/>
        </w:rPr>
        <w:footnoteRef/>
      </w:r>
      <w:r w:rsidRPr="00C31A32">
        <w:rPr>
          <w:sz w:val="20"/>
          <w:szCs w:val="20"/>
        </w:rPr>
        <w:t xml:space="preserve"> N. </w:t>
      </w:r>
      <w:proofErr w:type="spellStart"/>
      <w:r w:rsidRPr="00C31A32">
        <w:rPr>
          <w:sz w:val="20"/>
          <w:szCs w:val="20"/>
        </w:rPr>
        <w:t>Kolodny</w:t>
      </w:r>
      <w:proofErr w:type="spellEnd"/>
      <w:r w:rsidRPr="00C31A32">
        <w:rPr>
          <w:sz w:val="20"/>
          <w:szCs w:val="20"/>
        </w:rPr>
        <w:t xml:space="preserve">, </w:t>
      </w:r>
      <w:r w:rsidRPr="00C31A32">
        <w:rPr>
          <w:rFonts w:eastAsia="Times New Roman"/>
          <w:sz w:val="20"/>
          <w:szCs w:val="20"/>
        </w:rPr>
        <w:t xml:space="preserve">‘Rule Over None II: Social Equality and the Justification of Democracy’ (2014) 42(4) </w:t>
      </w:r>
      <w:proofErr w:type="spellStart"/>
      <w:r w:rsidRPr="00C31A32">
        <w:rPr>
          <w:rFonts w:eastAsia="Times New Roman"/>
          <w:sz w:val="20"/>
          <w:szCs w:val="20"/>
        </w:rPr>
        <w:t>Philos</w:t>
      </w:r>
      <w:proofErr w:type="spellEnd"/>
      <w:r w:rsidRPr="00C31A32">
        <w:rPr>
          <w:rFonts w:eastAsia="Times New Roman"/>
          <w:sz w:val="20"/>
          <w:szCs w:val="20"/>
        </w:rPr>
        <w:t xml:space="preserve"> Public </w:t>
      </w:r>
      <w:proofErr w:type="spellStart"/>
      <w:r w:rsidRPr="00C31A32">
        <w:rPr>
          <w:rFonts w:eastAsia="Times New Roman"/>
          <w:sz w:val="20"/>
          <w:szCs w:val="20"/>
        </w:rPr>
        <w:t>Aff</w:t>
      </w:r>
      <w:proofErr w:type="spellEnd"/>
      <w:r w:rsidRPr="00C31A32">
        <w:rPr>
          <w:rFonts w:eastAsia="Times New Roman"/>
          <w:sz w:val="20"/>
          <w:szCs w:val="20"/>
        </w:rPr>
        <w:t xml:space="preserve"> 287.</w:t>
      </w:r>
    </w:p>
  </w:footnote>
  <w:footnote w:id="40">
    <w:p w14:paraId="10932319" w14:textId="618B426A"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Since ‘conversion therapy’ breaches autonomy-based duties</w:t>
      </w:r>
      <w:r w:rsidR="001474BE" w:rsidRPr="00C31A32">
        <w:rPr>
          <w:rFonts w:ascii="Times New Roman" w:hAnsi="Times New Roman" w:cs="Times New Roman"/>
        </w:rPr>
        <w:t>,</w:t>
      </w:r>
      <w:r w:rsidRPr="00C31A32">
        <w:rPr>
          <w:rFonts w:ascii="Times New Roman" w:hAnsi="Times New Roman" w:cs="Times New Roman"/>
        </w:rPr>
        <w:t xml:space="preserve"> </w:t>
      </w:r>
      <w:r w:rsidR="001474BE" w:rsidRPr="00C31A32">
        <w:rPr>
          <w:rFonts w:ascii="Times New Roman" w:hAnsi="Times New Roman" w:cs="Times New Roman"/>
        </w:rPr>
        <w:t>state intervention</w:t>
      </w:r>
      <w:r w:rsidRPr="00C31A32">
        <w:rPr>
          <w:rFonts w:ascii="Times New Roman" w:hAnsi="Times New Roman" w:cs="Times New Roman"/>
        </w:rPr>
        <w:t xml:space="preserve"> is legitimate. See J. Raz, </w:t>
      </w:r>
      <w:r w:rsidRPr="00C31A32">
        <w:rPr>
          <w:rFonts w:ascii="Times New Roman" w:hAnsi="Times New Roman" w:cs="Times New Roman"/>
          <w:i/>
          <w:iCs/>
        </w:rPr>
        <w:t>The Morality of Freedom</w:t>
      </w:r>
      <w:r w:rsidRPr="00C31A32">
        <w:rPr>
          <w:rFonts w:ascii="Times New Roman" w:hAnsi="Times New Roman" w:cs="Times New Roman"/>
        </w:rPr>
        <w:t xml:space="preserve"> (OUP 1986) 416-417.</w:t>
      </w:r>
    </w:p>
  </w:footnote>
  <w:footnote w:id="41">
    <w:p w14:paraId="2C25B8D1" w14:textId="15A62BE2"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DB2EEC" w:rsidRPr="00C31A32">
        <w:rPr>
          <w:rFonts w:ascii="Times New Roman" w:hAnsi="Times New Roman" w:cs="Times New Roman"/>
        </w:rPr>
        <w:t>The</w:t>
      </w:r>
      <w:r w:rsidRPr="00C31A32">
        <w:rPr>
          <w:rFonts w:ascii="Times New Roman" w:hAnsi="Times New Roman" w:cs="Times New Roman"/>
        </w:rPr>
        <w:t xml:space="preserve"> </w:t>
      </w:r>
      <w:r w:rsidR="00DB2EEC" w:rsidRPr="00C31A32">
        <w:rPr>
          <w:rFonts w:ascii="Times New Roman" w:hAnsi="Times New Roman" w:cs="Times New Roman"/>
        </w:rPr>
        <w:t>definitions of</w:t>
      </w:r>
      <w:r w:rsidRPr="00C31A32">
        <w:rPr>
          <w:rFonts w:ascii="Times New Roman" w:hAnsi="Times New Roman" w:cs="Times New Roman"/>
        </w:rPr>
        <w:t xml:space="preserve"> ‘conversion therapy’</w:t>
      </w:r>
      <w:r w:rsidR="00DB2EEC" w:rsidRPr="00C31A32">
        <w:rPr>
          <w:rFonts w:ascii="Times New Roman" w:hAnsi="Times New Roman" w:cs="Times New Roman"/>
        </w:rPr>
        <w:t xml:space="preserve"> in</w:t>
      </w:r>
      <w:r w:rsidRPr="00C31A32">
        <w:rPr>
          <w:rFonts w:ascii="Times New Roman" w:hAnsi="Times New Roman" w:cs="Times New Roman"/>
        </w:rPr>
        <w:t xml:space="preserve"> </w:t>
      </w:r>
      <w:r w:rsidR="00DB2EEC" w:rsidRPr="00C31A32">
        <w:rPr>
          <w:rFonts w:ascii="Times New Roman" w:hAnsi="Times New Roman" w:cs="Times New Roman"/>
        </w:rPr>
        <w:t>some of the existing laws against it cover</w:t>
      </w:r>
      <w:r w:rsidRPr="00C31A32">
        <w:rPr>
          <w:rFonts w:ascii="Times New Roman" w:hAnsi="Times New Roman" w:cs="Times New Roman"/>
        </w:rPr>
        <w:t xml:space="preserve"> practice</w:t>
      </w:r>
      <w:r w:rsidR="00DB2EEC" w:rsidRPr="00C31A32">
        <w:rPr>
          <w:rFonts w:ascii="Times New Roman" w:hAnsi="Times New Roman" w:cs="Times New Roman"/>
        </w:rPr>
        <w:t>s that aim to</w:t>
      </w:r>
      <w:r w:rsidRPr="00C31A32">
        <w:rPr>
          <w:rFonts w:ascii="Times New Roman" w:hAnsi="Times New Roman" w:cs="Times New Roman"/>
        </w:rPr>
        <w:t xml:space="preserve"> convert, cancel or suppress sexual orientation or gender identity. </w:t>
      </w:r>
      <w:proofErr w:type="spellStart"/>
      <w:r w:rsidRPr="00C31A32">
        <w:rPr>
          <w:rFonts w:ascii="Times New Roman" w:hAnsi="Times New Roman" w:cs="Times New Roman"/>
        </w:rPr>
        <w:t xml:space="preserve">See </w:t>
      </w:r>
      <w:r w:rsidR="001474BE" w:rsidRPr="00C31A32">
        <w:rPr>
          <w:rFonts w:ascii="Times New Roman" w:hAnsi="Times New Roman" w:cs="Times New Roman"/>
        </w:rPr>
        <w:t>n</w:t>
      </w:r>
      <w:proofErr w:type="spellEnd"/>
      <w:r w:rsidR="001474BE" w:rsidRPr="00C31A32">
        <w:rPr>
          <w:rFonts w:ascii="Times New Roman" w:hAnsi="Times New Roman" w:cs="Times New Roman"/>
        </w:rPr>
        <w:t xml:space="preserve"> 17 above</w:t>
      </w:r>
      <w:r w:rsidRPr="00C31A32">
        <w:rPr>
          <w:rFonts w:ascii="Times New Roman" w:hAnsi="Times New Roman" w:cs="Times New Roman"/>
        </w:rPr>
        <w:t xml:space="preserve">. </w:t>
      </w:r>
    </w:p>
  </w:footnote>
  <w:footnote w:id="42">
    <w:p w14:paraId="3E2FE5AE" w14:textId="053CB0B5"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J. Gardner, ‘On the Ground of Her Sex(</w:t>
      </w:r>
      <w:proofErr w:type="spellStart"/>
      <w:r w:rsidRPr="00C31A32">
        <w:rPr>
          <w:rFonts w:ascii="Times New Roman" w:hAnsi="Times New Roman" w:cs="Times New Roman"/>
        </w:rPr>
        <w:t>uality</w:t>
      </w:r>
      <w:proofErr w:type="spellEnd"/>
      <w:r w:rsidRPr="00C31A32">
        <w:rPr>
          <w:rFonts w:ascii="Times New Roman" w:hAnsi="Times New Roman" w:cs="Times New Roman"/>
        </w:rPr>
        <w:t xml:space="preserve">)’ (1998) 18(2) OJLS 167, 172-173. The question of whether sexuality constitutes an immutable characteristic, or a fundamental choice, cannot settle whether people are entitled to protection from ‘conversion therapy’. In either case sexuality and gender identity are so central to self-definition that the harms of ‘conversion therapy’ amount to an attack on the </w:t>
      </w:r>
      <w:r w:rsidR="001474BE" w:rsidRPr="00C31A32">
        <w:rPr>
          <w:rFonts w:ascii="Times New Roman" w:hAnsi="Times New Roman" w:cs="Times New Roman"/>
        </w:rPr>
        <w:t>autonomy</w:t>
      </w:r>
      <w:r w:rsidRPr="00C31A32">
        <w:rPr>
          <w:rFonts w:ascii="Times New Roman" w:hAnsi="Times New Roman" w:cs="Times New Roman"/>
        </w:rPr>
        <w:t xml:space="preserve"> of LGBT</w:t>
      </w:r>
      <w:r w:rsidR="001474BE" w:rsidRPr="00C31A32">
        <w:rPr>
          <w:rFonts w:ascii="Times New Roman" w:hAnsi="Times New Roman" w:cs="Times New Roman"/>
        </w:rPr>
        <w:t>IQ+</w:t>
      </w:r>
      <w:r w:rsidRPr="00C31A32">
        <w:rPr>
          <w:rFonts w:ascii="Times New Roman" w:hAnsi="Times New Roman" w:cs="Times New Roman"/>
        </w:rPr>
        <w:t xml:space="preserve"> people.</w:t>
      </w:r>
    </w:p>
  </w:footnote>
  <w:footnote w:id="43">
    <w:p w14:paraId="4E8B2BCC"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176-178.</w:t>
      </w:r>
    </w:p>
  </w:footnote>
  <w:footnote w:id="44">
    <w:p w14:paraId="4C1C22B3"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D. </w:t>
      </w:r>
      <w:proofErr w:type="spellStart"/>
      <w:r w:rsidRPr="00C31A32">
        <w:rPr>
          <w:rFonts w:ascii="Times New Roman" w:hAnsi="Times New Roman" w:cs="Times New Roman"/>
        </w:rPr>
        <w:t>Réaume</w:t>
      </w:r>
      <w:proofErr w:type="spellEnd"/>
      <w:r w:rsidRPr="00C31A32">
        <w:rPr>
          <w:rFonts w:ascii="Times New Roman" w:hAnsi="Times New Roman" w:cs="Times New Roman"/>
        </w:rPr>
        <w:t xml:space="preserve">, ‘Discrimination and Dignity’ (2003) 63(3) La L Rev 645, 673; Wolff (n 32) 107; T. </w:t>
      </w:r>
      <w:proofErr w:type="spellStart"/>
      <w:r w:rsidRPr="00C31A32">
        <w:rPr>
          <w:rFonts w:ascii="Times New Roman" w:hAnsi="Times New Roman" w:cs="Times New Roman"/>
        </w:rPr>
        <w:t>Khaitan</w:t>
      </w:r>
      <w:proofErr w:type="spellEnd"/>
      <w:r w:rsidRPr="00C31A32">
        <w:rPr>
          <w:rFonts w:ascii="Times New Roman" w:hAnsi="Times New Roman" w:cs="Times New Roman"/>
        </w:rPr>
        <w:t xml:space="preserve">, ‘Dignity as an Expressive Norm: Neither Vacuous </w:t>
      </w:r>
      <w:proofErr w:type="gramStart"/>
      <w:r w:rsidRPr="00C31A32">
        <w:rPr>
          <w:rFonts w:ascii="Times New Roman" w:hAnsi="Times New Roman" w:cs="Times New Roman"/>
        </w:rPr>
        <w:t>Nor</w:t>
      </w:r>
      <w:proofErr w:type="gramEnd"/>
      <w:r w:rsidRPr="00C31A32">
        <w:rPr>
          <w:rFonts w:ascii="Times New Roman" w:hAnsi="Times New Roman" w:cs="Times New Roman"/>
        </w:rPr>
        <w:t xml:space="preserve"> a Panacea’ (2012) 32(1) OJLS 1.</w:t>
      </w:r>
    </w:p>
  </w:footnote>
  <w:footnote w:id="45">
    <w:p w14:paraId="6E6C14F3" w14:textId="7BD129AC"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On the demeaning message </w:t>
      </w:r>
      <w:r w:rsidR="00DB2EEC" w:rsidRPr="00C31A32">
        <w:rPr>
          <w:rFonts w:ascii="Times New Roman" w:hAnsi="Times New Roman" w:cs="Times New Roman"/>
        </w:rPr>
        <w:t>of</w:t>
      </w:r>
      <w:r w:rsidRPr="00C31A32">
        <w:rPr>
          <w:rFonts w:ascii="Times New Roman" w:hAnsi="Times New Roman" w:cs="Times New Roman"/>
        </w:rPr>
        <w:t xml:space="preserve"> discrimination see D. </w:t>
      </w:r>
      <w:proofErr w:type="spellStart"/>
      <w:r w:rsidRPr="00C31A32">
        <w:rPr>
          <w:rFonts w:ascii="Times New Roman" w:hAnsi="Times New Roman" w:cs="Times New Roman"/>
        </w:rPr>
        <w:t>Nejaime</w:t>
      </w:r>
      <w:proofErr w:type="spellEnd"/>
      <w:r w:rsidRPr="00C31A32">
        <w:rPr>
          <w:rFonts w:ascii="Times New Roman" w:hAnsi="Times New Roman" w:cs="Times New Roman"/>
        </w:rPr>
        <w:t xml:space="preserve"> and R. B. Siegel, ‘Conscience Wars: Complicity-Based Conscience Claims in Religion and Politics’ (2015) 124 Yale L J 2516, 2574–2578.</w:t>
      </w:r>
    </w:p>
  </w:footnote>
  <w:footnote w:id="46">
    <w:p w14:paraId="436CAC02"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M. Nussbaum, </w:t>
      </w:r>
      <w:r w:rsidRPr="00C31A32">
        <w:rPr>
          <w:rFonts w:ascii="Times New Roman" w:hAnsi="Times New Roman" w:cs="Times New Roman"/>
          <w:i/>
          <w:iCs/>
        </w:rPr>
        <w:t>From Disgust to Humanity: Sexual Orientation and Constitutional Law</w:t>
      </w:r>
      <w:r w:rsidRPr="00C31A32">
        <w:rPr>
          <w:rFonts w:ascii="Times New Roman" w:hAnsi="Times New Roman" w:cs="Times New Roman"/>
        </w:rPr>
        <w:t xml:space="preserve"> (OUP 2010) 2–26.</w:t>
      </w:r>
    </w:p>
  </w:footnote>
  <w:footnote w:id="47">
    <w:p w14:paraId="3B0F9AC6" w14:textId="0DDC766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The force of this objection depends on a</w:t>
      </w:r>
      <w:r w:rsidR="00DB2EEC" w:rsidRPr="00C31A32">
        <w:rPr>
          <w:rFonts w:ascii="Times New Roman" w:hAnsi="Times New Roman" w:cs="Times New Roman"/>
        </w:rPr>
        <w:t>n</w:t>
      </w:r>
      <w:r w:rsidRPr="00C31A32">
        <w:rPr>
          <w:rFonts w:ascii="Times New Roman" w:hAnsi="Times New Roman" w:cs="Times New Roman"/>
        </w:rPr>
        <w:t xml:space="preserve"> analysis of </w:t>
      </w:r>
      <w:r w:rsidR="00DB2EEC" w:rsidRPr="00C31A32">
        <w:rPr>
          <w:rFonts w:ascii="Times New Roman" w:hAnsi="Times New Roman" w:cs="Times New Roman"/>
        </w:rPr>
        <w:t>socio-</w:t>
      </w:r>
      <w:r w:rsidRPr="00C31A32">
        <w:rPr>
          <w:rFonts w:ascii="Times New Roman" w:hAnsi="Times New Roman" w:cs="Times New Roman"/>
        </w:rPr>
        <w:t xml:space="preserve">historical </w:t>
      </w:r>
      <w:r w:rsidR="00DB2EEC" w:rsidRPr="00C31A32">
        <w:rPr>
          <w:rFonts w:ascii="Times New Roman" w:hAnsi="Times New Roman" w:cs="Times New Roman"/>
        </w:rPr>
        <w:t>particularities</w:t>
      </w:r>
      <w:r w:rsidRPr="00C31A32">
        <w:rPr>
          <w:rFonts w:ascii="Times New Roman" w:hAnsi="Times New Roman" w:cs="Times New Roman"/>
        </w:rPr>
        <w:t xml:space="preserve"> which determine the meaning of an act. See Hellman (n 16) 34-59.</w:t>
      </w:r>
    </w:p>
  </w:footnote>
  <w:footnote w:id="48">
    <w:p w14:paraId="60B173CC" w14:textId="486B2683"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A historical example can be seen in the debates surrounding of s 28, Local Government Act 1988. See J. Moran, ‘Childhood Sexuality and Education: The Case of Section 28’ (2001) 4 Sexualities 73.</w:t>
      </w:r>
    </w:p>
  </w:footnote>
  <w:footnote w:id="49">
    <w:p w14:paraId="12B43918" w14:textId="537A5F92" w:rsidR="002025E7" w:rsidRPr="00C31A32" w:rsidRDefault="002025E7" w:rsidP="00890923">
      <w:pPr>
        <w:pStyle w:val="FootnoteText"/>
        <w:ind w:firstLine="142"/>
        <w:jc w:val="both"/>
        <w:rPr>
          <w:rFonts w:ascii="Times New Roman" w:hAnsi="Times New Roman" w:cs="Times New Roman"/>
          <w:lang w:val="en-US"/>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Larissis</w:t>
      </w:r>
      <w:proofErr w:type="spellEnd"/>
      <w:r w:rsidRPr="00C31A32">
        <w:rPr>
          <w:rFonts w:ascii="Times New Roman" w:hAnsi="Times New Roman" w:cs="Times New Roman"/>
          <w:i/>
          <w:iCs/>
        </w:rPr>
        <w:t xml:space="preserve"> v Greece</w:t>
      </w:r>
      <w:r w:rsidRPr="00C31A32">
        <w:rPr>
          <w:rFonts w:ascii="Times New Roman" w:hAnsi="Times New Roman" w:cs="Times New Roman"/>
        </w:rPr>
        <w:t>, Application No. 23372/94, 24 February 1998, para 51.</w:t>
      </w:r>
    </w:p>
  </w:footnote>
  <w:footnote w:id="50">
    <w:p w14:paraId="26FF1B59" w14:textId="0EC87A2F"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B40A41" w:rsidRPr="00C31A32">
        <w:rPr>
          <w:rFonts w:ascii="Times New Roman" w:hAnsi="Times New Roman" w:cs="Times New Roman"/>
        </w:rPr>
        <w:t>This argument does not suggest that there is a positive state obligation to ban all forms of proselytism. It</w:t>
      </w:r>
      <w:r w:rsidR="00DB2EEC" w:rsidRPr="00C31A32">
        <w:rPr>
          <w:rFonts w:ascii="Times New Roman" w:hAnsi="Times New Roman" w:cs="Times New Roman"/>
        </w:rPr>
        <w:t xml:space="preserve"> only</w:t>
      </w:r>
      <w:r w:rsidR="00B40A41" w:rsidRPr="00C31A32">
        <w:rPr>
          <w:rFonts w:ascii="Times New Roman" w:hAnsi="Times New Roman" w:cs="Times New Roman"/>
        </w:rPr>
        <w:t xml:space="preserve"> aims to show that the legitimacy of proselytism depends, to a significant extent, on an evaluation of the background conditions in which it takes place. </w:t>
      </w:r>
      <w:r w:rsidRPr="00C31A32">
        <w:rPr>
          <w:rFonts w:ascii="Times New Roman" w:hAnsi="Times New Roman" w:cs="Times New Roman"/>
        </w:rPr>
        <w:t xml:space="preserve">See </w:t>
      </w:r>
      <w:proofErr w:type="spellStart"/>
      <w:r w:rsidRPr="00C31A32">
        <w:rPr>
          <w:rFonts w:ascii="Times New Roman" w:hAnsi="Times New Roman" w:cs="Times New Roman"/>
          <w:i/>
          <w:iCs/>
        </w:rPr>
        <w:t>Nasirov</w:t>
      </w:r>
      <w:proofErr w:type="spellEnd"/>
      <w:r w:rsidRPr="00C31A32">
        <w:rPr>
          <w:rFonts w:ascii="Times New Roman" w:hAnsi="Times New Roman" w:cs="Times New Roman"/>
          <w:i/>
          <w:iCs/>
        </w:rPr>
        <w:t xml:space="preserve"> and Others v Azerbaijan</w:t>
      </w:r>
      <w:r w:rsidRPr="00C31A32">
        <w:rPr>
          <w:rFonts w:ascii="Times New Roman" w:hAnsi="Times New Roman" w:cs="Times New Roman"/>
        </w:rPr>
        <w:t xml:space="preserve">, Application No. 58717/10, 20 February 2020, para 65; </w:t>
      </w:r>
      <w:r w:rsidRPr="00C31A32">
        <w:rPr>
          <w:rFonts w:ascii="Times New Roman" w:hAnsi="Times New Roman" w:cs="Times New Roman"/>
          <w:i/>
          <w:iCs/>
        </w:rPr>
        <w:t>Jehovah’s Witnesses of Moscow and Others v Russia</w:t>
      </w:r>
      <w:r w:rsidRPr="00C31A32">
        <w:rPr>
          <w:rFonts w:ascii="Times New Roman" w:hAnsi="Times New Roman" w:cs="Times New Roman"/>
        </w:rPr>
        <w:t>, Application No. 302/02, 10 June 2010, para 122.</w:t>
      </w:r>
      <w:r w:rsidR="00D12ABB">
        <w:rPr>
          <w:rFonts w:ascii="Times New Roman" w:hAnsi="Times New Roman" w:cs="Times New Roman"/>
        </w:rPr>
        <w:t xml:space="preserve"> </w:t>
      </w:r>
      <w:r w:rsidR="00B94308">
        <w:rPr>
          <w:rFonts w:ascii="Times New Roman" w:hAnsi="Times New Roman" w:cs="Times New Roman"/>
        </w:rPr>
        <w:t>More broadly, e</w:t>
      </w:r>
      <w:r w:rsidR="00D12ABB">
        <w:rPr>
          <w:rFonts w:ascii="Times New Roman" w:hAnsi="Times New Roman" w:cs="Times New Roman"/>
        </w:rPr>
        <w:t>galitarian considerations can justify restrictions on freedom of religion or belief; see I. Trispiotis, ‘Religious Freedom and Religious Antidiscrimination’ (2019) 82(5) MLR 864.</w:t>
      </w:r>
    </w:p>
  </w:footnote>
  <w:footnote w:id="51">
    <w:p w14:paraId="23C8DFB4" w14:textId="6F1F7E66"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S. Moreau, </w:t>
      </w:r>
      <w:r w:rsidRPr="00C31A32">
        <w:rPr>
          <w:rFonts w:ascii="Times New Roman" w:hAnsi="Times New Roman" w:cs="Times New Roman"/>
          <w:i/>
          <w:iCs/>
        </w:rPr>
        <w:t>Faces of Inequality</w:t>
      </w:r>
      <w:r w:rsidRPr="00C31A32">
        <w:rPr>
          <w:rFonts w:ascii="Times New Roman" w:hAnsi="Times New Roman" w:cs="Times New Roman"/>
        </w:rPr>
        <w:t xml:space="preserve"> (OUP 2020) 39-66</w:t>
      </w:r>
      <w:r w:rsidR="001D32F6" w:rsidRPr="00C31A32">
        <w:rPr>
          <w:rFonts w:ascii="Times New Roman" w:hAnsi="Times New Roman" w:cs="Times New Roman"/>
        </w:rPr>
        <w:t xml:space="preserve">; </w:t>
      </w:r>
      <w:r w:rsidRPr="00C31A32">
        <w:rPr>
          <w:rFonts w:ascii="Times New Roman" w:hAnsi="Times New Roman" w:cs="Times New Roman"/>
        </w:rPr>
        <w:t xml:space="preserve">N. </w:t>
      </w:r>
      <w:proofErr w:type="spellStart"/>
      <w:r w:rsidRPr="00C31A32">
        <w:rPr>
          <w:rFonts w:ascii="Times New Roman" w:hAnsi="Times New Roman" w:cs="Times New Roman"/>
        </w:rPr>
        <w:t>Bamforth</w:t>
      </w:r>
      <w:proofErr w:type="spellEnd"/>
      <w:r w:rsidRPr="00C31A32">
        <w:rPr>
          <w:rFonts w:ascii="Times New Roman" w:hAnsi="Times New Roman" w:cs="Times New Roman"/>
        </w:rPr>
        <w:t xml:space="preserve">, ‘Sexuality and Citizenship in Contemporary Constitutional Argument’ (2012) 10(2) I•CON 477; C. </w:t>
      </w:r>
      <w:proofErr w:type="spellStart"/>
      <w:r w:rsidRPr="00C31A32">
        <w:rPr>
          <w:rFonts w:ascii="Times New Roman" w:hAnsi="Times New Roman" w:cs="Times New Roman"/>
        </w:rPr>
        <w:t>Stychin</w:t>
      </w:r>
      <w:proofErr w:type="spellEnd"/>
      <w:r w:rsidRPr="00C31A32">
        <w:rPr>
          <w:rFonts w:ascii="Times New Roman" w:hAnsi="Times New Roman" w:cs="Times New Roman"/>
        </w:rPr>
        <w:t xml:space="preserve">, </w:t>
      </w:r>
      <w:r w:rsidRPr="00C31A32">
        <w:rPr>
          <w:rFonts w:ascii="Times New Roman" w:hAnsi="Times New Roman" w:cs="Times New Roman"/>
          <w:i/>
          <w:iCs/>
        </w:rPr>
        <w:t>Governing Sexuality: The Changing Politics of Citizenship and Law Reform</w:t>
      </w:r>
      <w:r w:rsidRPr="00C31A32">
        <w:rPr>
          <w:rFonts w:ascii="Times New Roman" w:hAnsi="Times New Roman" w:cs="Times New Roman"/>
        </w:rPr>
        <w:t xml:space="preserve"> (Hart 2003) 12-13.</w:t>
      </w:r>
    </w:p>
  </w:footnote>
  <w:footnote w:id="52">
    <w:p w14:paraId="6C3AC2F9" w14:textId="5CE267D3"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Art 3 makes no provision for exceptions and no derogation is permissible under Art 15(2) ECHR.</w:t>
      </w:r>
      <w:r w:rsidR="00DB2EEC" w:rsidRPr="00C31A32">
        <w:rPr>
          <w:rFonts w:ascii="Times New Roman" w:hAnsi="Times New Roman" w:cs="Times New Roman"/>
        </w:rPr>
        <w:t xml:space="preserve"> See</w:t>
      </w:r>
      <w:r w:rsidRPr="00C31A32">
        <w:rPr>
          <w:rFonts w:ascii="Times New Roman" w:hAnsi="Times New Roman" w:cs="Times New Roman"/>
        </w:rPr>
        <w:t xml:space="preserve"> </w:t>
      </w:r>
      <w:proofErr w:type="spellStart"/>
      <w:r w:rsidRPr="00C31A32">
        <w:rPr>
          <w:rFonts w:ascii="Times New Roman" w:hAnsi="Times New Roman" w:cs="Times New Roman"/>
          <w:i/>
          <w:iCs/>
        </w:rPr>
        <w:t>Soering</w:t>
      </w:r>
      <w:proofErr w:type="spellEnd"/>
      <w:r w:rsidRPr="00C31A32">
        <w:rPr>
          <w:rFonts w:ascii="Times New Roman" w:hAnsi="Times New Roman" w:cs="Times New Roman"/>
          <w:i/>
          <w:iCs/>
        </w:rPr>
        <w:t xml:space="preserve"> v United Kingdom</w:t>
      </w:r>
      <w:r w:rsidRPr="00C31A32">
        <w:rPr>
          <w:rFonts w:ascii="Times New Roman" w:hAnsi="Times New Roman" w:cs="Times New Roman"/>
        </w:rPr>
        <w:t>, Application No. 14038/88, 7 July 1989, para 88.</w:t>
      </w:r>
    </w:p>
  </w:footnote>
  <w:footnote w:id="53">
    <w:p w14:paraId="2556A858"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This distinction draws on Scanlon’s distinction between narrow (‘forfeiture’) and broad (‘value of choice’) interpretations of the moral significance of choice. See T. M. Scanlon, </w:t>
      </w:r>
      <w:r w:rsidRPr="00C31A32">
        <w:rPr>
          <w:rFonts w:ascii="Times New Roman" w:hAnsi="Times New Roman" w:cs="Times New Roman"/>
          <w:i/>
          <w:iCs/>
        </w:rPr>
        <w:t xml:space="preserve">What We Owe to Each Other </w:t>
      </w:r>
      <w:r w:rsidRPr="00C31A32">
        <w:rPr>
          <w:rFonts w:ascii="Times New Roman" w:hAnsi="Times New Roman" w:cs="Times New Roman"/>
        </w:rPr>
        <w:t>(Harvard UP 2000) 256-267.</w:t>
      </w:r>
    </w:p>
  </w:footnote>
  <w:footnote w:id="54">
    <w:p w14:paraId="08850260" w14:textId="77777777" w:rsidR="002025E7" w:rsidRPr="00C31A32" w:rsidRDefault="002025E7" w:rsidP="00890923">
      <w:pPr>
        <w:pStyle w:val="FootnoteText"/>
        <w:ind w:firstLine="142"/>
        <w:jc w:val="both"/>
        <w:rPr>
          <w:rFonts w:ascii="Times New Roman" w:hAnsi="Times New Roman" w:cs="Times New Roman"/>
          <w:i/>
          <w:iCs/>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260. Under a narrow account of the moral significance of choice the ‘background’ conditions are important only if they affect the voluntariness of choice.</w:t>
      </w:r>
    </w:p>
  </w:footnote>
  <w:footnote w:id="55">
    <w:p w14:paraId="729F3D14" w14:textId="50B43744" w:rsidR="00C461A7" w:rsidRPr="00C31A32" w:rsidRDefault="00C461A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8D325B" w:rsidRPr="00C31A32">
        <w:rPr>
          <w:rFonts w:ascii="Times New Roman" w:hAnsi="Times New Roman" w:cs="Times New Roman"/>
        </w:rPr>
        <w:t>Force-feeding (</w:t>
      </w:r>
      <w:proofErr w:type="gramStart"/>
      <w:r w:rsidR="008A7329" w:rsidRPr="00C31A32">
        <w:rPr>
          <w:rFonts w:ascii="Times New Roman" w:hAnsi="Times New Roman" w:cs="Times New Roman"/>
        </w:rPr>
        <w:t>e.g.</w:t>
      </w:r>
      <w:proofErr w:type="gramEnd"/>
      <w:r w:rsidR="008D325B" w:rsidRPr="00C31A32">
        <w:rPr>
          <w:rFonts w:ascii="Times New Roman" w:hAnsi="Times New Roman" w:cs="Times New Roman"/>
        </w:rPr>
        <w:t xml:space="preserve"> </w:t>
      </w:r>
      <w:proofErr w:type="spellStart"/>
      <w:r w:rsidR="008D325B" w:rsidRPr="00C31A32">
        <w:rPr>
          <w:rFonts w:ascii="Times New Roman" w:hAnsi="Times New Roman" w:cs="Times New Roman"/>
          <w:i/>
          <w:iCs/>
        </w:rPr>
        <w:t>Nevmerzhitsky</w:t>
      </w:r>
      <w:proofErr w:type="spellEnd"/>
      <w:r w:rsidR="008D325B" w:rsidRPr="00C31A32">
        <w:rPr>
          <w:rFonts w:ascii="Times New Roman" w:hAnsi="Times New Roman" w:cs="Times New Roman"/>
          <w:i/>
          <w:iCs/>
        </w:rPr>
        <w:t xml:space="preserve"> v Ukraine</w:t>
      </w:r>
      <w:r w:rsidR="008D325B" w:rsidRPr="00C31A32">
        <w:rPr>
          <w:rFonts w:ascii="Times New Roman" w:hAnsi="Times New Roman" w:cs="Times New Roman"/>
        </w:rPr>
        <w:t>, Application No. 54825/00, 5 April 2005)</w:t>
      </w:r>
      <w:r w:rsidRPr="00C31A32">
        <w:rPr>
          <w:rFonts w:ascii="Times New Roman" w:hAnsi="Times New Roman" w:cs="Times New Roman"/>
        </w:rPr>
        <w:t xml:space="preserve"> </w:t>
      </w:r>
      <w:r w:rsidR="008D325B" w:rsidRPr="00C31A32">
        <w:rPr>
          <w:rFonts w:ascii="Times New Roman" w:hAnsi="Times New Roman" w:cs="Times New Roman"/>
        </w:rPr>
        <w:t>and</w:t>
      </w:r>
      <w:r w:rsidRPr="00C31A32">
        <w:rPr>
          <w:rFonts w:ascii="Times New Roman" w:hAnsi="Times New Roman" w:cs="Times New Roman"/>
        </w:rPr>
        <w:t xml:space="preserve"> force-sterilisation</w:t>
      </w:r>
      <w:r w:rsidR="008D325B" w:rsidRPr="00C31A32">
        <w:rPr>
          <w:rFonts w:ascii="Times New Roman" w:hAnsi="Times New Roman" w:cs="Times New Roman"/>
        </w:rPr>
        <w:t xml:space="preserve"> (</w:t>
      </w:r>
      <w:r w:rsidR="008A7329" w:rsidRPr="00C31A32">
        <w:rPr>
          <w:rFonts w:ascii="Times New Roman" w:hAnsi="Times New Roman" w:cs="Times New Roman"/>
        </w:rPr>
        <w:t>e.g.</w:t>
      </w:r>
      <w:r w:rsidR="008D325B" w:rsidRPr="00C31A32">
        <w:rPr>
          <w:rFonts w:ascii="Times New Roman" w:hAnsi="Times New Roman" w:cs="Times New Roman"/>
        </w:rPr>
        <w:t xml:space="preserve"> </w:t>
      </w:r>
      <w:r w:rsidR="008D325B" w:rsidRPr="00C31A32">
        <w:rPr>
          <w:rFonts w:ascii="Times New Roman" w:hAnsi="Times New Roman" w:cs="Times New Roman"/>
          <w:i/>
          <w:iCs/>
        </w:rPr>
        <w:t>V.C. v Slovakia</w:t>
      </w:r>
      <w:r w:rsidR="008D325B" w:rsidRPr="00C31A32">
        <w:rPr>
          <w:rFonts w:ascii="Times New Roman" w:hAnsi="Times New Roman" w:cs="Times New Roman"/>
        </w:rPr>
        <w:t xml:space="preserve">, Application No. </w:t>
      </w:r>
      <w:r w:rsidR="00DA579A" w:rsidRPr="00C31A32">
        <w:rPr>
          <w:rFonts w:ascii="Times New Roman" w:hAnsi="Times New Roman" w:cs="Times New Roman"/>
        </w:rPr>
        <w:t>18968/07, 8 November 2011) are examples of that.</w:t>
      </w:r>
    </w:p>
  </w:footnote>
  <w:footnote w:id="56">
    <w:p w14:paraId="5C3D25EC"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Ireland v United Kingdom</w:t>
      </w:r>
      <w:r w:rsidRPr="00C31A32">
        <w:rPr>
          <w:rFonts w:ascii="Times New Roman" w:hAnsi="Times New Roman" w:cs="Times New Roman"/>
        </w:rPr>
        <w:t xml:space="preserve">, 18 January 1978, 2 EHRR 25, para 162; </w:t>
      </w:r>
      <w:proofErr w:type="spellStart"/>
      <w:r w:rsidRPr="00C31A32">
        <w:rPr>
          <w:rFonts w:ascii="Times New Roman" w:hAnsi="Times New Roman" w:cs="Times New Roman"/>
          <w:i/>
          <w:iCs/>
        </w:rPr>
        <w:t>Tyrer</w:t>
      </w:r>
      <w:proofErr w:type="spellEnd"/>
      <w:r w:rsidRPr="00C31A32">
        <w:rPr>
          <w:rFonts w:ascii="Times New Roman" w:hAnsi="Times New Roman" w:cs="Times New Roman"/>
          <w:i/>
          <w:iCs/>
        </w:rPr>
        <w:t xml:space="preserve"> v United Kingdom</w:t>
      </w:r>
      <w:r w:rsidRPr="00C31A32">
        <w:rPr>
          <w:rFonts w:ascii="Times New Roman" w:hAnsi="Times New Roman" w:cs="Times New Roman"/>
        </w:rPr>
        <w:t>, 25 April 1978, 2 EHRR 1, para 30.</w:t>
      </w:r>
    </w:p>
  </w:footnote>
  <w:footnote w:id="57">
    <w:p w14:paraId="30E4C2F3"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Jalloh v Germany</w:t>
      </w:r>
      <w:r w:rsidRPr="00C31A32">
        <w:rPr>
          <w:rFonts w:ascii="Times New Roman" w:hAnsi="Times New Roman" w:cs="Times New Roman"/>
        </w:rPr>
        <w:t xml:space="preserve">, Application No. 54810/00, 11 July 2006 (Grand Chamber) para 67. See also </w:t>
      </w:r>
      <w:proofErr w:type="spellStart"/>
      <w:r w:rsidRPr="00C31A32">
        <w:rPr>
          <w:rFonts w:ascii="Times New Roman" w:hAnsi="Times New Roman" w:cs="Times New Roman"/>
          <w:i/>
          <w:iCs/>
        </w:rPr>
        <w:t>Kafkaris</w:t>
      </w:r>
      <w:proofErr w:type="spellEnd"/>
      <w:r w:rsidRPr="00C31A32">
        <w:rPr>
          <w:rFonts w:ascii="Times New Roman" w:hAnsi="Times New Roman" w:cs="Times New Roman"/>
          <w:i/>
          <w:iCs/>
        </w:rPr>
        <w:t xml:space="preserve"> v Cyprus</w:t>
      </w:r>
      <w:r w:rsidRPr="00C31A32">
        <w:rPr>
          <w:rFonts w:ascii="Times New Roman" w:hAnsi="Times New Roman" w:cs="Times New Roman"/>
        </w:rPr>
        <w:t>, Application No. 21906/04, 12 February 2008 (Grand Chamber) para 95.</w:t>
      </w:r>
    </w:p>
  </w:footnote>
  <w:footnote w:id="58">
    <w:p w14:paraId="5317B38D"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On the difficulty to outline every condition able to influence the severity test under Article 3 see </w:t>
      </w:r>
      <w:r w:rsidRPr="00C31A32">
        <w:rPr>
          <w:rFonts w:ascii="Times New Roman" w:hAnsi="Times New Roman" w:cs="Times New Roman"/>
          <w:i/>
          <w:iCs/>
        </w:rPr>
        <w:t>R (on the application of Q) v Secretary of State for the Home Department</w:t>
      </w:r>
      <w:r w:rsidRPr="00C31A32">
        <w:rPr>
          <w:rFonts w:ascii="Times New Roman" w:hAnsi="Times New Roman" w:cs="Times New Roman"/>
        </w:rPr>
        <w:t xml:space="preserve"> [2003] EWCA </w:t>
      </w:r>
      <w:proofErr w:type="spellStart"/>
      <w:r w:rsidRPr="00C31A32">
        <w:rPr>
          <w:rFonts w:ascii="Times New Roman" w:hAnsi="Times New Roman" w:cs="Times New Roman"/>
        </w:rPr>
        <w:t>Civ</w:t>
      </w:r>
      <w:proofErr w:type="spellEnd"/>
      <w:r w:rsidRPr="00C31A32">
        <w:rPr>
          <w:rFonts w:ascii="Times New Roman" w:hAnsi="Times New Roman" w:cs="Times New Roman"/>
        </w:rPr>
        <w:t xml:space="preserve"> 364, para 60.</w:t>
      </w:r>
    </w:p>
  </w:footnote>
  <w:footnote w:id="59">
    <w:p w14:paraId="4F5008CE"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 xml:space="preserve">Pretty v United Kingdom, </w:t>
      </w:r>
      <w:r w:rsidRPr="00C31A32">
        <w:rPr>
          <w:rFonts w:ascii="Times New Roman" w:hAnsi="Times New Roman" w:cs="Times New Roman"/>
        </w:rPr>
        <w:t>Application No. 2346/02, 29 April 2002, para 52. See also</w:t>
      </w:r>
      <w:r w:rsidRPr="00C31A32">
        <w:rPr>
          <w:rFonts w:ascii="Times New Roman" w:hAnsi="Times New Roman" w:cs="Times New Roman"/>
          <w:i/>
          <w:iCs/>
        </w:rPr>
        <w:t xml:space="preserve"> R (Pretty) v Director of Public Prosecutions</w:t>
      </w:r>
      <w:r w:rsidRPr="00C31A32">
        <w:rPr>
          <w:rFonts w:ascii="Times New Roman" w:hAnsi="Times New Roman" w:cs="Times New Roman"/>
        </w:rPr>
        <w:t xml:space="preserve"> [2001] UKHL 61, per Lord Hope at para 90; </w:t>
      </w:r>
      <w:r w:rsidRPr="00C31A32">
        <w:rPr>
          <w:rFonts w:ascii="Times New Roman" w:hAnsi="Times New Roman" w:cs="Times New Roman"/>
          <w:i/>
          <w:iCs/>
        </w:rPr>
        <w:t xml:space="preserve">R (Watts) v Bedford Primary Care Trust </w:t>
      </w:r>
      <w:r w:rsidRPr="00C31A32">
        <w:rPr>
          <w:rFonts w:ascii="Times New Roman" w:hAnsi="Times New Roman" w:cs="Times New Roman"/>
        </w:rPr>
        <w:t>[2003] EWHC Admin 2401, para 103.</w:t>
      </w:r>
    </w:p>
  </w:footnote>
  <w:footnote w:id="60">
    <w:p w14:paraId="4C6EA5D8"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N. </w:t>
      </w:r>
      <w:proofErr w:type="spellStart"/>
      <w:r w:rsidRPr="00C31A32">
        <w:rPr>
          <w:rFonts w:ascii="Times New Roman" w:hAnsi="Times New Roman" w:cs="Times New Roman"/>
        </w:rPr>
        <w:t>Mavronicola</w:t>
      </w:r>
      <w:proofErr w:type="spellEnd"/>
      <w:r w:rsidRPr="00C31A32">
        <w:rPr>
          <w:rFonts w:ascii="Times New Roman" w:hAnsi="Times New Roman" w:cs="Times New Roman"/>
        </w:rPr>
        <w:t>, ‘What is an “Absolute Right”? Deciphering Absoluteness in the Context of Article 3 of the European Convention on Human Rights’ (2012) 12(4) HRLR 723, 748-752.</w:t>
      </w:r>
    </w:p>
  </w:footnote>
  <w:footnote w:id="61">
    <w:p w14:paraId="4BDD3598" w14:textId="716EDB4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D. Feldman, </w:t>
      </w:r>
      <w:r w:rsidRPr="00C31A32">
        <w:rPr>
          <w:rFonts w:ascii="Times New Roman" w:hAnsi="Times New Roman" w:cs="Times New Roman"/>
          <w:i/>
          <w:iCs/>
        </w:rPr>
        <w:t xml:space="preserve">Civil Liberties and Human Rights in England and Wales </w:t>
      </w:r>
      <w:r w:rsidRPr="00C31A32">
        <w:rPr>
          <w:rFonts w:ascii="Times New Roman" w:hAnsi="Times New Roman" w:cs="Times New Roman"/>
        </w:rPr>
        <w:t xml:space="preserve">(2nd </w:t>
      </w:r>
      <w:proofErr w:type="spellStart"/>
      <w:r w:rsidRPr="00C31A32">
        <w:rPr>
          <w:rFonts w:ascii="Times New Roman" w:hAnsi="Times New Roman" w:cs="Times New Roman"/>
        </w:rPr>
        <w:t>edn</w:t>
      </w:r>
      <w:proofErr w:type="spellEnd"/>
      <w:r w:rsidRPr="00C31A32">
        <w:rPr>
          <w:rFonts w:ascii="Times New Roman" w:hAnsi="Times New Roman" w:cs="Times New Roman"/>
        </w:rPr>
        <w:t xml:space="preserve">, OUP 2002) 242; H. Fenwick, </w:t>
      </w:r>
      <w:r w:rsidRPr="00C31A32">
        <w:rPr>
          <w:rFonts w:ascii="Times New Roman" w:hAnsi="Times New Roman" w:cs="Times New Roman"/>
          <w:i/>
          <w:iCs/>
        </w:rPr>
        <w:t>Civil Liberties and Human Rights</w:t>
      </w:r>
      <w:r w:rsidRPr="00C31A32">
        <w:rPr>
          <w:rFonts w:ascii="Times New Roman" w:hAnsi="Times New Roman" w:cs="Times New Roman"/>
        </w:rPr>
        <w:t xml:space="preserve"> (2</w:t>
      </w:r>
      <w:r w:rsidR="007C67C2" w:rsidRPr="00C31A32">
        <w:rPr>
          <w:rFonts w:ascii="Times New Roman" w:hAnsi="Times New Roman" w:cs="Times New Roman"/>
        </w:rPr>
        <w:t>n</w:t>
      </w:r>
      <w:r w:rsidRPr="00C31A32">
        <w:rPr>
          <w:rFonts w:ascii="Times New Roman" w:hAnsi="Times New Roman" w:cs="Times New Roman"/>
        </w:rPr>
        <w:t xml:space="preserve">d </w:t>
      </w:r>
      <w:proofErr w:type="spellStart"/>
      <w:r w:rsidRPr="00C31A32">
        <w:rPr>
          <w:rFonts w:ascii="Times New Roman" w:hAnsi="Times New Roman" w:cs="Times New Roman"/>
        </w:rPr>
        <w:t>edn</w:t>
      </w:r>
      <w:proofErr w:type="spellEnd"/>
      <w:r w:rsidRPr="00C31A32">
        <w:rPr>
          <w:rFonts w:ascii="Times New Roman" w:hAnsi="Times New Roman" w:cs="Times New Roman"/>
        </w:rPr>
        <w:t>, Cavendish 2004) 44-45.</w:t>
      </w:r>
    </w:p>
  </w:footnote>
  <w:footnote w:id="62">
    <w:p w14:paraId="005DF82A" w14:textId="31D6B50A"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J. Waldron, ‘How to Do Things with Standards’ in U. </w:t>
      </w:r>
      <w:proofErr w:type="spellStart"/>
      <w:r w:rsidRPr="00C31A32">
        <w:rPr>
          <w:rFonts w:ascii="Times New Roman" w:hAnsi="Times New Roman" w:cs="Times New Roman"/>
        </w:rPr>
        <w:t>Baxi</w:t>
      </w:r>
      <w:proofErr w:type="spellEnd"/>
      <w:r w:rsidRPr="00C31A32">
        <w:rPr>
          <w:rFonts w:ascii="Times New Roman" w:hAnsi="Times New Roman" w:cs="Times New Roman"/>
        </w:rPr>
        <w:t xml:space="preserve">, C. McCrudden and A. </w:t>
      </w:r>
      <w:proofErr w:type="spellStart"/>
      <w:r w:rsidRPr="00C31A32">
        <w:rPr>
          <w:rFonts w:ascii="Times New Roman" w:hAnsi="Times New Roman" w:cs="Times New Roman"/>
        </w:rPr>
        <w:t>Paliwala</w:t>
      </w:r>
      <w:proofErr w:type="spellEnd"/>
      <w:r w:rsidRPr="00C31A32">
        <w:rPr>
          <w:rFonts w:ascii="Times New Roman" w:hAnsi="Times New Roman" w:cs="Times New Roman"/>
        </w:rPr>
        <w:t xml:space="preserve"> (eds), </w:t>
      </w:r>
      <w:r w:rsidRPr="00C31A32">
        <w:rPr>
          <w:rFonts w:ascii="Times New Roman" w:hAnsi="Times New Roman" w:cs="Times New Roman"/>
          <w:i/>
          <w:iCs/>
        </w:rPr>
        <w:t>Law’s Ethical, Global and Theoretical Contexts: Essays in Honour of William Twining</w:t>
      </w:r>
      <w:r w:rsidRPr="00C31A32">
        <w:rPr>
          <w:rFonts w:ascii="Times New Roman" w:hAnsi="Times New Roman" w:cs="Times New Roman"/>
        </w:rPr>
        <w:t xml:space="preserve"> (CUP 2015) 335-353.</w:t>
      </w:r>
    </w:p>
  </w:footnote>
  <w:footnote w:id="63">
    <w:p w14:paraId="300624F9" w14:textId="16FDBB12"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That process of elaboration applies to both ‘severity’ and ‘intensity’, although more on the former than the latter</w:t>
      </w:r>
      <w:r w:rsidR="00B44EB2" w:rsidRPr="00C31A32">
        <w:rPr>
          <w:rFonts w:ascii="Times New Roman" w:hAnsi="Times New Roman" w:cs="Times New Roman"/>
        </w:rPr>
        <w:t xml:space="preserve"> because </w:t>
      </w:r>
      <w:r w:rsidRPr="00C31A32">
        <w:rPr>
          <w:rFonts w:ascii="Times New Roman" w:hAnsi="Times New Roman" w:cs="Times New Roman"/>
        </w:rPr>
        <w:t>the ‘intensity of suffering’ depends on the individual’s subjective experience of the practice.</w:t>
      </w:r>
    </w:p>
  </w:footnote>
  <w:footnote w:id="64">
    <w:p w14:paraId="76C52365" w14:textId="6BC59016"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DB2EEC" w:rsidRPr="00C31A32">
        <w:rPr>
          <w:rFonts w:ascii="Times New Roman" w:hAnsi="Times New Roman" w:cs="Times New Roman"/>
        </w:rPr>
        <w:t xml:space="preserve">See </w:t>
      </w:r>
      <w:proofErr w:type="gramStart"/>
      <w:r w:rsidR="00DB2EEC" w:rsidRPr="00C31A32">
        <w:rPr>
          <w:rFonts w:ascii="Times New Roman" w:hAnsi="Times New Roman" w:cs="Times New Roman"/>
        </w:rPr>
        <w:t>e.g.</w:t>
      </w:r>
      <w:proofErr w:type="gramEnd"/>
      <w:r w:rsidR="00DB2EEC" w:rsidRPr="00C31A32">
        <w:rPr>
          <w:rFonts w:ascii="Times New Roman" w:hAnsi="Times New Roman" w:cs="Times New Roman"/>
        </w:rPr>
        <w:t xml:space="preserve"> </w:t>
      </w:r>
      <w:r w:rsidRPr="00C31A32">
        <w:rPr>
          <w:rFonts w:ascii="Times New Roman" w:hAnsi="Times New Roman" w:cs="Times New Roman"/>
          <w:i/>
          <w:iCs/>
        </w:rPr>
        <w:t>Yavuz v Turkey</w:t>
      </w:r>
      <w:r w:rsidRPr="00C31A32">
        <w:rPr>
          <w:rFonts w:ascii="Times New Roman" w:hAnsi="Times New Roman" w:cs="Times New Roman"/>
        </w:rPr>
        <w:t xml:space="preserve"> (2007) 45 EHRR 16, para 38.</w:t>
      </w:r>
    </w:p>
  </w:footnote>
  <w:footnote w:id="65">
    <w:p w14:paraId="03EBD819" w14:textId="409FAAFC" w:rsidR="002025E7" w:rsidRPr="00C31A32" w:rsidRDefault="002025E7" w:rsidP="00890923">
      <w:pPr>
        <w:spacing w:after="0" w:line="240" w:lineRule="auto"/>
        <w:ind w:firstLine="142"/>
        <w:jc w:val="both"/>
        <w:rPr>
          <w:rFonts w:ascii="Times New Roman" w:eastAsia="Times New Roman" w:hAnsi="Times New Roman" w:cs="Times New Roman"/>
          <w:sz w:val="20"/>
          <w:szCs w:val="20"/>
          <w:lang w:eastAsia="en-GB"/>
        </w:rPr>
      </w:pPr>
      <w:r w:rsidRPr="00C31A32">
        <w:rPr>
          <w:rStyle w:val="FootnoteReference"/>
          <w:rFonts w:ascii="Times New Roman" w:hAnsi="Times New Roman" w:cs="Times New Roman"/>
          <w:sz w:val="20"/>
          <w:szCs w:val="20"/>
        </w:rPr>
        <w:footnoteRef/>
      </w:r>
      <w:r w:rsidRPr="00C31A32">
        <w:rPr>
          <w:rFonts w:ascii="Times New Roman" w:hAnsi="Times New Roman" w:cs="Times New Roman"/>
          <w:sz w:val="20"/>
          <w:szCs w:val="20"/>
        </w:rPr>
        <w:t xml:space="preserve"> See </w:t>
      </w:r>
      <w:proofErr w:type="gramStart"/>
      <w:r w:rsidRPr="00C31A32">
        <w:rPr>
          <w:rFonts w:ascii="Times New Roman" w:hAnsi="Times New Roman" w:cs="Times New Roman"/>
          <w:sz w:val="20"/>
          <w:szCs w:val="20"/>
        </w:rPr>
        <w:t>e.g.</w:t>
      </w:r>
      <w:proofErr w:type="gramEnd"/>
      <w:r w:rsidRPr="00C31A32">
        <w:rPr>
          <w:rFonts w:ascii="Times New Roman" w:hAnsi="Times New Roman" w:cs="Times New Roman"/>
          <w:sz w:val="20"/>
          <w:szCs w:val="20"/>
        </w:rPr>
        <w:t xml:space="preserve"> </w:t>
      </w:r>
      <w:r w:rsidRPr="00C31A32">
        <w:rPr>
          <w:rFonts w:ascii="Times New Roman" w:hAnsi="Times New Roman" w:cs="Times New Roman"/>
          <w:i/>
          <w:iCs/>
          <w:sz w:val="20"/>
          <w:szCs w:val="20"/>
        </w:rPr>
        <w:t>Kalashnikov v Russia</w:t>
      </w:r>
      <w:r w:rsidRPr="00C31A32">
        <w:rPr>
          <w:rFonts w:ascii="Times New Roman" w:hAnsi="Times New Roman" w:cs="Times New Roman"/>
          <w:sz w:val="20"/>
          <w:szCs w:val="20"/>
        </w:rPr>
        <w:t xml:space="preserve"> (2003) 36 EHRR 34, para 97.</w:t>
      </w:r>
    </w:p>
  </w:footnote>
  <w:footnote w:id="66">
    <w:p w14:paraId="09CDFB0C" w14:textId="4FE7FCB8"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See </w:t>
      </w:r>
      <w:proofErr w:type="gramStart"/>
      <w:r w:rsidRPr="00C31A32">
        <w:rPr>
          <w:rFonts w:ascii="Times New Roman" w:hAnsi="Times New Roman" w:cs="Times New Roman"/>
        </w:rPr>
        <w:t>e.g.</w:t>
      </w:r>
      <w:proofErr w:type="gramEnd"/>
      <w:r w:rsidRPr="00C31A32">
        <w:rPr>
          <w:rFonts w:ascii="Times New Roman" w:hAnsi="Times New Roman" w:cs="Times New Roman"/>
        </w:rPr>
        <w:t xml:space="preserve"> </w:t>
      </w:r>
      <w:r w:rsidRPr="00C31A32">
        <w:rPr>
          <w:rFonts w:ascii="Times New Roman" w:hAnsi="Times New Roman" w:cs="Times New Roman"/>
          <w:i/>
          <w:iCs/>
        </w:rPr>
        <w:t>Aksoy v Turkey</w:t>
      </w:r>
      <w:r w:rsidRPr="00C31A32">
        <w:rPr>
          <w:rFonts w:ascii="Times New Roman" w:hAnsi="Times New Roman" w:cs="Times New Roman"/>
        </w:rPr>
        <w:t>, Application No. 21987/93, 18 December 1996, para 63.</w:t>
      </w:r>
    </w:p>
  </w:footnote>
  <w:footnote w:id="67">
    <w:p w14:paraId="3E24A52B"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J. Waldron, </w:t>
      </w:r>
      <w:r w:rsidRPr="00C31A32">
        <w:rPr>
          <w:rFonts w:ascii="Times New Roman" w:hAnsi="Times New Roman" w:cs="Times New Roman"/>
          <w:i/>
          <w:iCs/>
        </w:rPr>
        <w:t>Torture, Terror and Trade-Offs: Philosophy for the White House</w:t>
      </w:r>
      <w:r w:rsidRPr="00C31A32">
        <w:rPr>
          <w:rFonts w:ascii="Times New Roman" w:hAnsi="Times New Roman" w:cs="Times New Roman"/>
        </w:rPr>
        <w:t xml:space="preserve"> (OUP 2010) 284-287.</w:t>
      </w:r>
    </w:p>
  </w:footnote>
  <w:footnote w:id="68">
    <w:p w14:paraId="1EE14A19"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Aydin v Turkey</w:t>
      </w:r>
      <w:r w:rsidRPr="00C31A32">
        <w:rPr>
          <w:rFonts w:ascii="Times New Roman" w:hAnsi="Times New Roman" w:cs="Times New Roman"/>
        </w:rPr>
        <w:t xml:space="preserve">, Application No. 23178/94, 25 September 1997, para 86; </w:t>
      </w:r>
      <w:proofErr w:type="spellStart"/>
      <w:r w:rsidRPr="00C31A32">
        <w:rPr>
          <w:rFonts w:ascii="Times New Roman" w:hAnsi="Times New Roman" w:cs="Times New Roman"/>
          <w:i/>
          <w:iCs/>
        </w:rPr>
        <w:t>Maslova</w:t>
      </w:r>
      <w:proofErr w:type="spellEnd"/>
      <w:r w:rsidRPr="00C31A32">
        <w:rPr>
          <w:rFonts w:ascii="Times New Roman" w:hAnsi="Times New Roman" w:cs="Times New Roman"/>
          <w:i/>
          <w:iCs/>
        </w:rPr>
        <w:t xml:space="preserve"> and </w:t>
      </w:r>
      <w:proofErr w:type="spellStart"/>
      <w:r w:rsidRPr="00C31A32">
        <w:rPr>
          <w:rFonts w:ascii="Times New Roman" w:hAnsi="Times New Roman" w:cs="Times New Roman"/>
          <w:i/>
          <w:iCs/>
        </w:rPr>
        <w:t>Nalbandov</w:t>
      </w:r>
      <w:proofErr w:type="spellEnd"/>
      <w:r w:rsidRPr="00C31A32">
        <w:rPr>
          <w:rFonts w:ascii="Times New Roman" w:hAnsi="Times New Roman" w:cs="Times New Roman"/>
          <w:i/>
          <w:iCs/>
        </w:rPr>
        <w:t xml:space="preserve"> v Russia</w:t>
      </w:r>
      <w:r w:rsidRPr="00C31A32">
        <w:rPr>
          <w:rFonts w:ascii="Times New Roman" w:hAnsi="Times New Roman" w:cs="Times New Roman"/>
        </w:rPr>
        <w:t>, Application No. 839/02, 24 January 2008, para 107.</w:t>
      </w:r>
    </w:p>
  </w:footnote>
  <w:footnote w:id="69">
    <w:p w14:paraId="43E47500" w14:textId="1B7D1F14" w:rsidR="002025E7" w:rsidRPr="00C31A32" w:rsidRDefault="002025E7" w:rsidP="00890923">
      <w:pPr>
        <w:pStyle w:val="FootnoteText"/>
        <w:ind w:firstLine="142"/>
        <w:jc w:val="both"/>
        <w:rPr>
          <w:rFonts w:ascii="Times New Roman" w:hAnsi="Times New Roman" w:cs="Times New Roman"/>
          <w:i/>
          <w:iCs/>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1E3816" w:rsidRPr="00C31A32">
        <w:rPr>
          <w:rFonts w:ascii="Times New Roman" w:hAnsi="Times New Roman" w:cs="Times New Roman"/>
        </w:rPr>
        <w:t>S</w:t>
      </w:r>
      <w:r w:rsidRPr="00C31A32">
        <w:rPr>
          <w:rFonts w:ascii="Times New Roman" w:hAnsi="Times New Roman" w:cs="Times New Roman"/>
        </w:rPr>
        <w:t xml:space="preserve">ee </w:t>
      </w:r>
      <w:proofErr w:type="gramStart"/>
      <w:r w:rsidRPr="00C31A32">
        <w:rPr>
          <w:rFonts w:ascii="Times New Roman" w:hAnsi="Times New Roman" w:cs="Times New Roman"/>
        </w:rPr>
        <w:t>e.g.</w:t>
      </w:r>
      <w:proofErr w:type="gramEnd"/>
      <w:r w:rsidRPr="00C31A32">
        <w:rPr>
          <w:rFonts w:ascii="Times New Roman" w:hAnsi="Times New Roman" w:cs="Times New Roman"/>
        </w:rPr>
        <w:t xml:space="preserve"> B. Rainey, E. Wicks and C. </w:t>
      </w:r>
      <w:proofErr w:type="spellStart"/>
      <w:r w:rsidRPr="00C31A32">
        <w:rPr>
          <w:rFonts w:ascii="Times New Roman" w:hAnsi="Times New Roman" w:cs="Times New Roman"/>
        </w:rPr>
        <w:t>Ovey</w:t>
      </w:r>
      <w:proofErr w:type="spellEnd"/>
      <w:r w:rsidRPr="00C31A32">
        <w:rPr>
          <w:rFonts w:ascii="Times New Roman" w:hAnsi="Times New Roman" w:cs="Times New Roman"/>
        </w:rPr>
        <w:t xml:space="preserve">, </w:t>
      </w:r>
      <w:r w:rsidRPr="00C31A32">
        <w:rPr>
          <w:rFonts w:ascii="Times New Roman" w:hAnsi="Times New Roman" w:cs="Times New Roman"/>
          <w:i/>
          <w:iCs/>
        </w:rPr>
        <w:t xml:space="preserve">Jacobs, White, and </w:t>
      </w:r>
      <w:proofErr w:type="spellStart"/>
      <w:r w:rsidRPr="00C31A32">
        <w:rPr>
          <w:rFonts w:ascii="Times New Roman" w:hAnsi="Times New Roman" w:cs="Times New Roman"/>
          <w:i/>
          <w:iCs/>
        </w:rPr>
        <w:t>Ovey</w:t>
      </w:r>
      <w:proofErr w:type="spellEnd"/>
      <w:r w:rsidRPr="00C31A32">
        <w:rPr>
          <w:rFonts w:ascii="Times New Roman" w:hAnsi="Times New Roman" w:cs="Times New Roman"/>
          <w:i/>
          <w:iCs/>
        </w:rPr>
        <w:t>: the European Convention on Human Rights</w:t>
      </w:r>
      <w:r w:rsidRPr="00C31A32">
        <w:rPr>
          <w:rFonts w:ascii="Times New Roman" w:hAnsi="Times New Roman" w:cs="Times New Roman"/>
        </w:rPr>
        <w:t xml:space="preserve"> (7th ed, OUP 2017) 187-191. </w:t>
      </w:r>
      <w:r w:rsidR="001E3816" w:rsidRPr="00C31A32">
        <w:rPr>
          <w:rFonts w:ascii="Times New Roman" w:hAnsi="Times New Roman" w:cs="Times New Roman"/>
        </w:rPr>
        <w:t>However,</w:t>
      </w:r>
      <w:r w:rsidRPr="00C31A32">
        <w:rPr>
          <w:rFonts w:ascii="Times New Roman" w:hAnsi="Times New Roman" w:cs="Times New Roman"/>
        </w:rPr>
        <w:t xml:space="preserve"> </w:t>
      </w:r>
      <w:r w:rsidR="001E3816" w:rsidRPr="00C31A32">
        <w:rPr>
          <w:rFonts w:ascii="Times New Roman" w:hAnsi="Times New Roman" w:cs="Times New Roman"/>
        </w:rPr>
        <w:t>s</w:t>
      </w:r>
      <w:r w:rsidRPr="00C31A32">
        <w:rPr>
          <w:rFonts w:ascii="Times New Roman" w:hAnsi="Times New Roman" w:cs="Times New Roman"/>
        </w:rPr>
        <w:t xml:space="preserve">ee </w:t>
      </w:r>
      <w:proofErr w:type="spellStart"/>
      <w:r w:rsidRPr="00C31A32">
        <w:rPr>
          <w:rFonts w:ascii="Times New Roman" w:hAnsi="Times New Roman" w:cs="Times New Roman"/>
          <w:i/>
          <w:iCs/>
        </w:rPr>
        <w:t>Cestaro</w:t>
      </w:r>
      <w:proofErr w:type="spellEnd"/>
      <w:r w:rsidRPr="00C31A32">
        <w:rPr>
          <w:rFonts w:ascii="Times New Roman" w:hAnsi="Times New Roman" w:cs="Times New Roman"/>
          <w:i/>
          <w:iCs/>
        </w:rPr>
        <w:t xml:space="preserve"> v Italy</w:t>
      </w:r>
      <w:r w:rsidRPr="00C31A32">
        <w:rPr>
          <w:rFonts w:ascii="Times New Roman" w:hAnsi="Times New Roman" w:cs="Times New Roman"/>
        </w:rPr>
        <w:t xml:space="preserve"> Application No. 6884/11, 7 April 2015, </w:t>
      </w:r>
      <w:r w:rsidR="001E3816" w:rsidRPr="00C31A32">
        <w:rPr>
          <w:rFonts w:ascii="Times New Roman" w:hAnsi="Times New Roman" w:cs="Times New Roman"/>
        </w:rPr>
        <w:t>paras</w:t>
      </w:r>
      <w:r w:rsidRPr="00C31A32">
        <w:rPr>
          <w:rFonts w:ascii="Times New Roman" w:hAnsi="Times New Roman" w:cs="Times New Roman"/>
        </w:rPr>
        <w:t xml:space="preserve"> [171]</w:t>
      </w:r>
      <w:proofErr w:type="gramStart"/>
      <w:r w:rsidRPr="00C31A32">
        <w:rPr>
          <w:rFonts w:ascii="Times New Roman" w:hAnsi="Times New Roman" w:cs="Times New Roman"/>
        </w:rPr>
        <w:t>–[</w:t>
      </w:r>
      <w:proofErr w:type="gramEnd"/>
      <w:r w:rsidRPr="00C31A32">
        <w:rPr>
          <w:rFonts w:ascii="Times New Roman" w:hAnsi="Times New Roman" w:cs="Times New Roman"/>
        </w:rPr>
        <w:t>176].</w:t>
      </w:r>
    </w:p>
  </w:footnote>
  <w:footnote w:id="70">
    <w:p w14:paraId="2E696BA0"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Ireland v UK</w:t>
      </w:r>
      <w:r w:rsidRPr="00C31A32">
        <w:rPr>
          <w:rFonts w:ascii="Times New Roman" w:hAnsi="Times New Roman" w:cs="Times New Roman"/>
        </w:rPr>
        <w:t xml:space="preserve"> (n 52) para 167.</w:t>
      </w:r>
    </w:p>
  </w:footnote>
  <w:footnote w:id="71">
    <w:p w14:paraId="1D529ED0"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Lyalyakin</w:t>
      </w:r>
      <w:proofErr w:type="spellEnd"/>
      <w:r w:rsidRPr="00C31A32">
        <w:rPr>
          <w:rFonts w:ascii="Times New Roman" w:hAnsi="Times New Roman" w:cs="Times New Roman"/>
          <w:i/>
          <w:iCs/>
        </w:rPr>
        <w:t xml:space="preserve"> v Russia</w:t>
      </w:r>
      <w:r w:rsidRPr="00C31A32">
        <w:rPr>
          <w:rFonts w:ascii="Times New Roman" w:hAnsi="Times New Roman" w:cs="Times New Roman"/>
        </w:rPr>
        <w:t>, Application No. 31305/09, 12 March 2015.</w:t>
      </w:r>
    </w:p>
  </w:footnote>
  <w:footnote w:id="72">
    <w:p w14:paraId="05A34232" w14:textId="698756A8"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009872CF" w:rsidRPr="00C31A32">
        <w:rPr>
          <w:rFonts w:ascii="Times New Roman" w:hAnsi="Times New Roman" w:cs="Times New Roman"/>
        </w:rPr>
        <w:t xml:space="preserve"> </w:t>
      </w:r>
      <w:proofErr w:type="spellStart"/>
      <w:r w:rsidR="009872CF" w:rsidRPr="00C31A32">
        <w:rPr>
          <w:rFonts w:ascii="Times New Roman" w:hAnsi="Times New Roman" w:cs="Times New Roman"/>
          <w:i/>
          <w:iCs/>
        </w:rPr>
        <w:t>Aghdgomelashvili</w:t>
      </w:r>
      <w:proofErr w:type="spellEnd"/>
      <w:r w:rsidR="009872CF" w:rsidRPr="00C31A32">
        <w:rPr>
          <w:rFonts w:ascii="Times New Roman" w:hAnsi="Times New Roman" w:cs="Times New Roman"/>
          <w:i/>
          <w:iCs/>
        </w:rPr>
        <w:t xml:space="preserve"> and </w:t>
      </w:r>
      <w:proofErr w:type="spellStart"/>
      <w:r w:rsidR="009872CF" w:rsidRPr="00C31A32">
        <w:rPr>
          <w:rFonts w:ascii="Times New Roman" w:hAnsi="Times New Roman" w:cs="Times New Roman"/>
          <w:i/>
          <w:iCs/>
        </w:rPr>
        <w:t>Japaridze</w:t>
      </w:r>
      <w:proofErr w:type="spellEnd"/>
      <w:r w:rsidR="009872CF" w:rsidRPr="00C31A32">
        <w:rPr>
          <w:rFonts w:ascii="Times New Roman" w:hAnsi="Times New Roman" w:cs="Times New Roman"/>
          <w:i/>
          <w:iCs/>
        </w:rPr>
        <w:t xml:space="preserve"> v Georgia</w:t>
      </w:r>
      <w:r w:rsidR="009872CF" w:rsidRPr="00C31A32">
        <w:rPr>
          <w:rFonts w:ascii="Times New Roman" w:hAnsi="Times New Roman" w:cs="Times New Roman"/>
        </w:rPr>
        <w:t>, Application No. 7224/11, 8 October 2020, paras 48–49;</w:t>
      </w:r>
      <w:r w:rsidRPr="00C31A32">
        <w:rPr>
          <w:rFonts w:ascii="Times New Roman" w:hAnsi="Times New Roman" w:cs="Times New Roman"/>
        </w:rPr>
        <w:t xml:space="preserve"> </w:t>
      </w:r>
      <w:proofErr w:type="spellStart"/>
      <w:r w:rsidRPr="00C31A32">
        <w:rPr>
          <w:rFonts w:ascii="Times New Roman" w:hAnsi="Times New Roman" w:cs="Times New Roman"/>
          <w:i/>
          <w:iCs/>
        </w:rPr>
        <w:t>Wiktorko</w:t>
      </w:r>
      <w:proofErr w:type="spellEnd"/>
      <w:r w:rsidRPr="00C31A32">
        <w:rPr>
          <w:rFonts w:ascii="Times New Roman" w:hAnsi="Times New Roman" w:cs="Times New Roman"/>
          <w:i/>
          <w:iCs/>
        </w:rPr>
        <w:t xml:space="preserve"> v Poland</w:t>
      </w:r>
      <w:r w:rsidRPr="00C31A32">
        <w:rPr>
          <w:rFonts w:ascii="Times New Roman" w:hAnsi="Times New Roman" w:cs="Times New Roman"/>
        </w:rPr>
        <w:t xml:space="preserve">, Application No. 14612/02, 31 March 2009, paras 54–55; </w:t>
      </w:r>
      <w:proofErr w:type="spellStart"/>
      <w:r w:rsidRPr="00C31A32">
        <w:rPr>
          <w:rFonts w:ascii="Times New Roman" w:hAnsi="Times New Roman" w:cs="Times New Roman"/>
          <w:i/>
          <w:iCs/>
        </w:rPr>
        <w:t>Iwańczuk</w:t>
      </w:r>
      <w:proofErr w:type="spellEnd"/>
      <w:r w:rsidRPr="00C31A32">
        <w:rPr>
          <w:rFonts w:ascii="Times New Roman" w:hAnsi="Times New Roman" w:cs="Times New Roman"/>
          <w:i/>
          <w:iCs/>
        </w:rPr>
        <w:t xml:space="preserve"> v Poland</w:t>
      </w:r>
      <w:r w:rsidRPr="00C31A32">
        <w:rPr>
          <w:rFonts w:ascii="Times New Roman" w:hAnsi="Times New Roman" w:cs="Times New Roman"/>
        </w:rPr>
        <w:t>, Application No. 25196/94, 15 November 2001, paras 54–60;</w:t>
      </w:r>
      <w:r w:rsidRPr="00C31A32">
        <w:rPr>
          <w:rFonts w:ascii="Times New Roman" w:hAnsi="Times New Roman" w:cs="Times New Roman"/>
          <w:i/>
          <w:iCs/>
        </w:rPr>
        <w:t xml:space="preserve"> </w:t>
      </w:r>
      <w:proofErr w:type="spellStart"/>
      <w:r w:rsidRPr="00C31A32">
        <w:rPr>
          <w:rFonts w:ascii="Times New Roman" w:hAnsi="Times New Roman" w:cs="Times New Roman"/>
          <w:i/>
          <w:iCs/>
        </w:rPr>
        <w:t>Valašinas</w:t>
      </w:r>
      <w:proofErr w:type="spellEnd"/>
      <w:r w:rsidRPr="00C31A32">
        <w:rPr>
          <w:rFonts w:ascii="Times New Roman" w:hAnsi="Times New Roman" w:cs="Times New Roman"/>
          <w:i/>
          <w:iCs/>
        </w:rPr>
        <w:t xml:space="preserve"> v Lithuania</w:t>
      </w:r>
      <w:r w:rsidRPr="00C31A32">
        <w:rPr>
          <w:rFonts w:ascii="Times New Roman" w:hAnsi="Times New Roman" w:cs="Times New Roman"/>
        </w:rPr>
        <w:t>, Application No. 44558/98, 24 July 2001, para 117.</w:t>
      </w:r>
    </w:p>
  </w:footnote>
  <w:footnote w:id="73">
    <w:p w14:paraId="324FC7D1" w14:textId="79D1E376" w:rsidR="002406CB" w:rsidRPr="00C31A32" w:rsidRDefault="002406CB"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9C0427" w:rsidRPr="00C31A32">
        <w:rPr>
          <w:rFonts w:ascii="Times New Roman" w:hAnsi="Times New Roman" w:cs="Times New Roman"/>
        </w:rPr>
        <w:t xml:space="preserve">The </w:t>
      </w:r>
      <w:r w:rsidR="001E3816" w:rsidRPr="00C31A32">
        <w:rPr>
          <w:rFonts w:ascii="Times New Roman" w:hAnsi="Times New Roman" w:cs="Times New Roman"/>
        </w:rPr>
        <w:t xml:space="preserve">important </w:t>
      </w:r>
      <w:r w:rsidR="009C0427" w:rsidRPr="00C31A32">
        <w:rPr>
          <w:rFonts w:ascii="Times New Roman" w:hAnsi="Times New Roman" w:cs="Times New Roman"/>
        </w:rPr>
        <w:t>role of</w:t>
      </w:r>
      <w:r w:rsidR="006E1806" w:rsidRPr="00C31A32">
        <w:rPr>
          <w:rFonts w:ascii="Times New Roman" w:hAnsi="Times New Roman" w:cs="Times New Roman"/>
        </w:rPr>
        <w:t xml:space="preserve"> qualitative considerations </w:t>
      </w:r>
      <w:r w:rsidR="009C0427" w:rsidRPr="00C31A32">
        <w:rPr>
          <w:rFonts w:ascii="Times New Roman" w:hAnsi="Times New Roman" w:cs="Times New Roman"/>
        </w:rPr>
        <w:t>has emerged more</w:t>
      </w:r>
      <w:r w:rsidR="006E1806" w:rsidRPr="00C31A32">
        <w:rPr>
          <w:rFonts w:ascii="Times New Roman" w:hAnsi="Times New Roman" w:cs="Times New Roman"/>
        </w:rPr>
        <w:t xml:space="preserve"> clearly in recent case-law</w:t>
      </w:r>
      <w:r w:rsidR="009C0427" w:rsidRPr="00C31A32">
        <w:rPr>
          <w:rFonts w:ascii="Times New Roman" w:hAnsi="Times New Roman" w:cs="Times New Roman"/>
        </w:rPr>
        <w:t xml:space="preserve"> under Article 3</w:t>
      </w:r>
      <w:r w:rsidR="006E1806" w:rsidRPr="00C31A32">
        <w:rPr>
          <w:rFonts w:ascii="Times New Roman" w:hAnsi="Times New Roman" w:cs="Times New Roman"/>
        </w:rPr>
        <w:t>.</w:t>
      </w:r>
      <w:r w:rsidRPr="00C31A32">
        <w:rPr>
          <w:rFonts w:ascii="Times New Roman" w:hAnsi="Times New Roman" w:cs="Times New Roman"/>
        </w:rPr>
        <w:t xml:space="preserve"> </w:t>
      </w:r>
      <w:r w:rsidR="001E3816" w:rsidRPr="00C31A32">
        <w:rPr>
          <w:rFonts w:ascii="Times New Roman" w:hAnsi="Times New Roman" w:cs="Times New Roman"/>
        </w:rPr>
        <w:t>A</w:t>
      </w:r>
      <w:r w:rsidRPr="00C31A32">
        <w:rPr>
          <w:rFonts w:ascii="Times New Roman" w:hAnsi="Times New Roman" w:cs="Times New Roman"/>
        </w:rPr>
        <w:t xml:space="preserve">s the ECtHR held in para 42 of </w:t>
      </w:r>
      <w:proofErr w:type="spellStart"/>
      <w:r w:rsidRPr="00C31A32">
        <w:rPr>
          <w:rFonts w:ascii="Times New Roman" w:hAnsi="Times New Roman" w:cs="Times New Roman"/>
          <w:i/>
          <w:iCs/>
        </w:rPr>
        <w:t>Aghdgomelashvili</w:t>
      </w:r>
      <w:proofErr w:type="spellEnd"/>
      <w:r w:rsidRPr="00C31A32">
        <w:rPr>
          <w:rFonts w:ascii="Times New Roman" w:hAnsi="Times New Roman" w:cs="Times New Roman"/>
          <w:i/>
          <w:iCs/>
        </w:rPr>
        <w:t xml:space="preserve"> </w:t>
      </w:r>
      <w:r w:rsidRPr="00C31A32">
        <w:rPr>
          <w:rFonts w:ascii="Times New Roman" w:hAnsi="Times New Roman" w:cs="Times New Roman"/>
        </w:rPr>
        <w:t xml:space="preserve">(n </w:t>
      </w:r>
      <w:r w:rsidR="005544F0" w:rsidRPr="00C31A32">
        <w:rPr>
          <w:rFonts w:ascii="Times New Roman" w:hAnsi="Times New Roman" w:cs="Times New Roman"/>
        </w:rPr>
        <w:t>70</w:t>
      </w:r>
      <w:r w:rsidRPr="00C31A32">
        <w:rPr>
          <w:rFonts w:ascii="Times New Roman" w:hAnsi="Times New Roman" w:cs="Times New Roman"/>
        </w:rPr>
        <w:t>), treatment ‘can be qualified as “degrading” […] if it shows a lack of respect for, or diminishes, human dignity’.</w:t>
      </w:r>
    </w:p>
  </w:footnote>
  <w:footnote w:id="74">
    <w:p w14:paraId="632F2738" w14:textId="2DC24343"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Waldron (n 6</w:t>
      </w:r>
      <w:r w:rsidR="005544F0" w:rsidRPr="00C31A32">
        <w:rPr>
          <w:rFonts w:ascii="Times New Roman" w:hAnsi="Times New Roman" w:cs="Times New Roman"/>
        </w:rPr>
        <w:t>5</w:t>
      </w:r>
      <w:r w:rsidRPr="00C31A32">
        <w:rPr>
          <w:rFonts w:ascii="Times New Roman" w:hAnsi="Times New Roman" w:cs="Times New Roman"/>
        </w:rPr>
        <w:t>) 308-309.</w:t>
      </w:r>
    </w:p>
  </w:footnote>
  <w:footnote w:id="75">
    <w:p w14:paraId="23006BE2"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w:t>
      </w:r>
    </w:p>
  </w:footnote>
  <w:footnote w:id="76">
    <w:p w14:paraId="62377D17"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G. </w:t>
      </w:r>
      <w:proofErr w:type="spellStart"/>
      <w:r w:rsidRPr="00C31A32">
        <w:rPr>
          <w:rFonts w:ascii="Times New Roman" w:hAnsi="Times New Roman" w:cs="Times New Roman"/>
        </w:rPr>
        <w:t>Vlastos</w:t>
      </w:r>
      <w:proofErr w:type="spellEnd"/>
      <w:r w:rsidRPr="00C31A32">
        <w:rPr>
          <w:rFonts w:ascii="Times New Roman" w:hAnsi="Times New Roman" w:cs="Times New Roman"/>
        </w:rPr>
        <w:t xml:space="preserve">, ‘Justice and Equality’, in J. Waldron (ed), </w:t>
      </w:r>
      <w:r w:rsidRPr="00C31A32">
        <w:rPr>
          <w:rFonts w:ascii="Times New Roman" w:hAnsi="Times New Roman" w:cs="Times New Roman"/>
          <w:i/>
          <w:iCs/>
        </w:rPr>
        <w:t>Theories of Rights</w:t>
      </w:r>
      <w:r w:rsidRPr="00C31A32">
        <w:rPr>
          <w:rFonts w:ascii="Times New Roman" w:hAnsi="Times New Roman" w:cs="Times New Roman"/>
        </w:rPr>
        <w:t xml:space="preserve"> (OUP 1984) 41-77.</w:t>
      </w:r>
    </w:p>
  </w:footnote>
  <w:footnote w:id="77">
    <w:p w14:paraId="05C6B9D8"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J. Waldron, </w:t>
      </w:r>
      <w:r w:rsidRPr="00C31A32">
        <w:rPr>
          <w:rFonts w:ascii="Times New Roman" w:hAnsi="Times New Roman" w:cs="Times New Roman"/>
          <w:i/>
          <w:iCs/>
        </w:rPr>
        <w:t>Dignity, Rank, and Rights</w:t>
      </w:r>
      <w:r w:rsidRPr="00C31A32">
        <w:rPr>
          <w:rFonts w:ascii="Times New Roman" w:hAnsi="Times New Roman" w:cs="Times New Roman"/>
        </w:rPr>
        <w:t xml:space="preserve"> (OUP 2012).</w:t>
      </w:r>
    </w:p>
  </w:footnote>
  <w:footnote w:id="78">
    <w:p w14:paraId="33D448D2"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C. Taylor, ‘The Politics of Recognition’ in A. Gutman (ed) </w:t>
      </w:r>
      <w:r w:rsidRPr="00C31A32">
        <w:rPr>
          <w:rFonts w:ascii="Times New Roman" w:hAnsi="Times New Roman" w:cs="Times New Roman"/>
          <w:i/>
          <w:iCs/>
        </w:rPr>
        <w:t>Multiculturalism and the Politics of Recognition</w:t>
      </w:r>
      <w:r w:rsidRPr="00C31A32">
        <w:rPr>
          <w:rFonts w:ascii="Times New Roman" w:hAnsi="Times New Roman" w:cs="Times New Roman"/>
        </w:rPr>
        <w:t xml:space="preserve"> (Princeton UP 1994) 26-27.</w:t>
      </w:r>
    </w:p>
  </w:footnote>
  <w:footnote w:id="79">
    <w:p w14:paraId="71FA605A" w14:textId="29AB19E4"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rPr>
        <w:t>Vlastos</w:t>
      </w:r>
      <w:proofErr w:type="spellEnd"/>
      <w:r w:rsidRPr="00C31A32">
        <w:rPr>
          <w:rFonts w:ascii="Times New Roman" w:hAnsi="Times New Roman" w:cs="Times New Roman"/>
        </w:rPr>
        <w:t xml:space="preserve"> (n 7</w:t>
      </w:r>
      <w:r w:rsidR="005544F0" w:rsidRPr="00C31A32">
        <w:rPr>
          <w:rFonts w:ascii="Times New Roman" w:hAnsi="Times New Roman" w:cs="Times New Roman"/>
        </w:rPr>
        <w:t>4</w:t>
      </w:r>
      <w:r w:rsidRPr="00C31A32">
        <w:rPr>
          <w:rFonts w:ascii="Times New Roman" w:hAnsi="Times New Roman" w:cs="Times New Roman"/>
        </w:rPr>
        <w:t>) 54.</w:t>
      </w:r>
    </w:p>
  </w:footnote>
  <w:footnote w:id="80">
    <w:p w14:paraId="2D4F4226" w14:textId="173E2F32"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647449" w:rsidRPr="00C31A32">
        <w:rPr>
          <w:rFonts w:ascii="Times New Roman" w:hAnsi="Times New Roman" w:cs="Times New Roman"/>
        </w:rPr>
        <w:t xml:space="preserve">It is neither possible nor necessary to offer a full account of human dignity for the purposes of this claim, namely that treatment that </w:t>
      </w:r>
      <w:r w:rsidR="003163FF" w:rsidRPr="00C31A32">
        <w:rPr>
          <w:rFonts w:ascii="Times New Roman" w:hAnsi="Times New Roman" w:cs="Times New Roman"/>
        </w:rPr>
        <w:t>dis</w:t>
      </w:r>
      <w:r w:rsidR="00647449" w:rsidRPr="00C31A32">
        <w:rPr>
          <w:rFonts w:ascii="Times New Roman" w:hAnsi="Times New Roman" w:cs="Times New Roman"/>
        </w:rPr>
        <w:t xml:space="preserve">respects the equal moral status of all individuals </w:t>
      </w:r>
      <w:r w:rsidR="003163FF" w:rsidRPr="00C31A32">
        <w:rPr>
          <w:rFonts w:ascii="Times New Roman" w:hAnsi="Times New Roman" w:cs="Times New Roman"/>
        </w:rPr>
        <w:t>violates</w:t>
      </w:r>
      <w:r w:rsidR="00647449" w:rsidRPr="00C31A32">
        <w:rPr>
          <w:rFonts w:ascii="Times New Roman" w:hAnsi="Times New Roman" w:cs="Times New Roman"/>
        </w:rPr>
        <w:t xml:space="preserve"> dignity. See </w:t>
      </w:r>
      <w:r w:rsidRPr="00C31A32">
        <w:rPr>
          <w:rFonts w:ascii="Times New Roman" w:hAnsi="Times New Roman" w:cs="Times New Roman"/>
        </w:rPr>
        <w:t xml:space="preserve">N. </w:t>
      </w:r>
      <w:proofErr w:type="spellStart"/>
      <w:r w:rsidRPr="00C31A32">
        <w:rPr>
          <w:rFonts w:ascii="Times New Roman" w:hAnsi="Times New Roman" w:cs="Times New Roman"/>
        </w:rPr>
        <w:t>Mavronicola</w:t>
      </w:r>
      <w:proofErr w:type="spellEnd"/>
      <w:r w:rsidRPr="00C31A32">
        <w:rPr>
          <w:rFonts w:ascii="Times New Roman" w:hAnsi="Times New Roman" w:cs="Times New Roman"/>
        </w:rPr>
        <w:t xml:space="preserve">, ‘Torture and Othering’, in B. J. </w:t>
      </w:r>
      <w:proofErr w:type="spellStart"/>
      <w:r w:rsidRPr="00C31A32">
        <w:rPr>
          <w:rFonts w:ascii="Times New Roman" w:hAnsi="Times New Roman" w:cs="Times New Roman"/>
        </w:rPr>
        <w:t>Goold</w:t>
      </w:r>
      <w:proofErr w:type="spellEnd"/>
      <w:r w:rsidRPr="00C31A32">
        <w:rPr>
          <w:rFonts w:ascii="Times New Roman" w:hAnsi="Times New Roman" w:cs="Times New Roman"/>
        </w:rPr>
        <w:t xml:space="preserve"> and L. Lazarus (eds), </w:t>
      </w:r>
      <w:r w:rsidRPr="00C31A32">
        <w:rPr>
          <w:rFonts w:ascii="Times New Roman" w:hAnsi="Times New Roman" w:cs="Times New Roman"/>
          <w:i/>
          <w:iCs/>
        </w:rPr>
        <w:t xml:space="preserve">Security and Human Rights </w:t>
      </w:r>
      <w:r w:rsidRPr="00C31A32">
        <w:rPr>
          <w:rFonts w:ascii="Times New Roman" w:hAnsi="Times New Roman" w:cs="Times New Roman"/>
        </w:rPr>
        <w:t xml:space="preserve">(Hart 2019) 27-52; E. Webster, </w:t>
      </w:r>
      <w:r w:rsidRPr="00C31A32">
        <w:rPr>
          <w:rFonts w:ascii="Times New Roman" w:hAnsi="Times New Roman" w:cs="Times New Roman"/>
          <w:i/>
          <w:iCs/>
        </w:rPr>
        <w:t>Dignity, Degrading Treatment and Torture in Human Rights Law</w:t>
      </w:r>
      <w:r w:rsidRPr="00C31A32">
        <w:rPr>
          <w:rFonts w:ascii="Times New Roman" w:hAnsi="Times New Roman" w:cs="Times New Roman"/>
        </w:rPr>
        <w:t xml:space="preserve"> (Routledge 2018) Ch 2.</w:t>
      </w:r>
      <w:r w:rsidR="00E559D9" w:rsidRPr="00C31A32">
        <w:rPr>
          <w:rFonts w:ascii="Times New Roman" w:hAnsi="Times New Roman" w:cs="Times New Roman"/>
        </w:rPr>
        <w:t xml:space="preserve"> </w:t>
      </w:r>
    </w:p>
  </w:footnote>
  <w:footnote w:id="81">
    <w:p w14:paraId="54A9838B"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Bouyid v Belgium</w:t>
      </w:r>
      <w:r w:rsidRPr="00C31A32">
        <w:rPr>
          <w:rFonts w:ascii="Times New Roman" w:hAnsi="Times New Roman" w:cs="Times New Roman"/>
        </w:rPr>
        <w:t>, Application No. 23380/09, 28 September 2015 (Grand Chamber) para 112.</w:t>
      </w:r>
    </w:p>
  </w:footnote>
  <w:footnote w:id="82">
    <w:p w14:paraId="0628603D" w14:textId="3863FC6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107.</w:t>
      </w:r>
      <w:r w:rsidR="009276AE" w:rsidRPr="00C31A32">
        <w:rPr>
          <w:rFonts w:ascii="Times New Roman" w:hAnsi="Times New Roman" w:cs="Times New Roman"/>
        </w:rPr>
        <w:t xml:space="preserve"> The vulnerability of an applicant is an aggravating factor when assessing whether ill-treatment is severe enough to fall under Article 3. See L. Peroni and A. Timmer, ‘Vulnerable Groups: The Promise of an Emerging Concept in European Human Rights Convention Law’ (2013) 11 </w:t>
      </w:r>
      <w:r w:rsidR="008A7329" w:rsidRPr="00C31A32">
        <w:rPr>
          <w:rFonts w:ascii="Times New Roman" w:hAnsi="Times New Roman" w:cs="Times New Roman"/>
        </w:rPr>
        <w:t xml:space="preserve">I•CON </w:t>
      </w:r>
      <w:r w:rsidR="009276AE" w:rsidRPr="00C31A32">
        <w:rPr>
          <w:rFonts w:ascii="Times New Roman" w:hAnsi="Times New Roman" w:cs="Times New Roman"/>
        </w:rPr>
        <w:t>1056.</w:t>
      </w:r>
    </w:p>
  </w:footnote>
  <w:footnote w:id="83">
    <w:p w14:paraId="6EA2C192" w14:textId="7458E64D" w:rsidR="00F60A9E" w:rsidRPr="00C31A32" w:rsidRDefault="00F60A9E"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C. </w:t>
      </w:r>
      <w:proofErr w:type="spellStart"/>
      <w:r w:rsidRPr="00C31A32">
        <w:rPr>
          <w:rFonts w:ascii="Times New Roman" w:hAnsi="Times New Roman" w:cs="Times New Roman"/>
        </w:rPr>
        <w:t>Heri</w:t>
      </w:r>
      <w:proofErr w:type="spellEnd"/>
      <w:r w:rsidRPr="00C31A32">
        <w:rPr>
          <w:rFonts w:ascii="Times New Roman" w:hAnsi="Times New Roman" w:cs="Times New Roman"/>
        </w:rPr>
        <w:t xml:space="preserve">, ‘Shaping Coercive Obligations through Vulnerability: The Example of the ECtHR’ in L. </w:t>
      </w:r>
      <w:proofErr w:type="spellStart"/>
      <w:r w:rsidRPr="00C31A32">
        <w:rPr>
          <w:rFonts w:ascii="Times New Roman" w:hAnsi="Times New Roman" w:cs="Times New Roman"/>
        </w:rPr>
        <w:t>Lavrysen</w:t>
      </w:r>
      <w:proofErr w:type="spellEnd"/>
      <w:r w:rsidRPr="00C31A32">
        <w:rPr>
          <w:rFonts w:ascii="Times New Roman" w:hAnsi="Times New Roman" w:cs="Times New Roman"/>
        </w:rPr>
        <w:t xml:space="preserve"> and N. </w:t>
      </w:r>
      <w:proofErr w:type="spellStart"/>
      <w:r w:rsidRPr="00C31A32">
        <w:rPr>
          <w:rFonts w:ascii="Times New Roman" w:hAnsi="Times New Roman" w:cs="Times New Roman"/>
        </w:rPr>
        <w:t>Mavronicola</w:t>
      </w:r>
      <w:proofErr w:type="spellEnd"/>
      <w:r w:rsidRPr="00C31A32">
        <w:rPr>
          <w:rFonts w:ascii="Times New Roman" w:hAnsi="Times New Roman" w:cs="Times New Roman"/>
        </w:rPr>
        <w:t xml:space="preserve"> (eds), </w:t>
      </w:r>
      <w:r w:rsidRPr="00C31A32">
        <w:rPr>
          <w:rFonts w:ascii="Times New Roman" w:hAnsi="Times New Roman" w:cs="Times New Roman"/>
          <w:i/>
          <w:iCs/>
        </w:rPr>
        <w:t xml:space="preserve">Coercive Human Rights: Positive Duties to Mobilise the Criminal Law under the ECHR </w:t>
      </w:r>
      <w:r w:rsidRPr="00C31A32">
        <w:rPr>
          <w:rFonts w:ascii="Times New Roman" w:hAnsi="Times New Roman" w:cs="Times New Roman"/>
        </w:rPr>
        <w:t xml:space="preserve">(Hart 2020) 93-116; A. Timmer, ‘A Quiet Revolution: Vulnerability in the European Court of Human Rights’ in M. A. Fineman and A. </w:t>
      </w:r>
      <w:proofErr w:type="spellStart"/>
      <w:r w:rsidRPr="00C31A32">
        <w:rPr>
          <w:rFonts w:ascii="Times New Roman" w:hAnsi="Times New Roman" w:cs="Times New Roman"/>
        </w:rPr>
        <w:t>Grear</w:t>
      </w:r>
      <w:proofErr w:type="spellEnd"/>
      <w:r w:rsidRPr="00C31A32">
        <w:rPr>
          <w:rFonts w:ascii="Times New Roman" w:hAnsi="Times New Roman" w:cs="Times New Roman"/>
        </w:rPr>
        <w:t xml:space="preserve"> (eds), </w:t>
      </w:r>
      <w:r w:rsidRPr="00C31A32">
        <w:rPr>
          <w:rFonts w:ascii="Times New Roman" w:hAnsi="Times New Roman" w:cs="Times New Roman"/>
          <w:i/>
          <w:iCs/>
        </w:rPr>
        <w:t xml:space="preserve">Vulnerability: Reflections on a New Ethical Foundation for Law and Politics </w:t>
      </w:r>
      <w:r w:rsidRPr="00C31A32">
        <w:rPr>
          <w:rFonts w:ascii="Times New Roman" w:hAnsi="Times New Roman" w:cs="Times New Roman"/>
        </w:rPr>
        <w:t>(Ashgate 2013) 162-164.</w:t>
      </w:r>
    </w:p>
  </w:footnote>
  <w:footnote w:id="84">
    <w:p w14:paraId="5600B77C" w14:textId="2354212D"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9276AE" w:rsidRPr="00C31A32">
        <w:rPr>
          <w:rFonts w:ascii="Times New Roman" w:hAnsi="Times New Roman" w:cs="Times New Roman"/>
          <w:i/>
          <w:iCs/>
        </w:rPr>
        <w:t xml:space="preserve">Bouyid </w:t>
      </w:r>
      <w:r w:rsidR="009276AE" w:rsidRPr="00C31A32">
        <w:rPr>
          <w:rFonts w:ascii="Times New Roman" w:hAnsi="Times New Roman" w:cs="Times New Roman"/>
        </w:rPr>
        <w:t>(n 7</w:t>
      </w:r>
      <w:r w:rsidR="005544F0" w:rsidRPr="00C31A32">
        <w:rPr>
          <w:rFonts w:ascii="Times New Roman" w:hAnsi="Times New Roman" w:cs="Times New Roman"/>
        </w:rPr>
        <w:t>9</w:t>
      </w:r>
      <w:r w:rsidR="009276AE" w:rsidRPr="00C31A32">
        <w:rPr>
          <w:rFonts w:ascii="Times New Roman" w:hAnsi="Times New Roman" w:cs="Times New Roman"/>
        </w:rPr>
        <w:t>) para 107.</w:t>
      </w:r>
    </w:p>
  </w:footnote>
  <w:footnote w:id="85">
    <w:p w14:paraId="748BFA24"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paras 88 and 100.</w:t>
      </w:r>
    </w:p>
  </w:footnote>
  <w:footnote w:id="86">
    <w:p w14:paraId="39083F13"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103.</w:t>
      </w:r>
    </w:p>
  </w:footnote>
  <w:footnote w:id="87">
    <w:p w14:paraId="0C688975"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104.</w:t>
      </w:r>
    </w:p>
  </w:footnote>
  <w:footnote w:id="88">
    <w:p w14:paraId="216E00E8"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106.</w:t>
      </w:r>
    </w:p>
  </w:footnote>
  <w:footnote w:id="89">
    <w:p w14:paraId="14258EFD" w14:textId="2026A151"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A8193E" w:rsidRPr="00C31A32">
        <w:rPr>
          <w:rFonts w:ascii="Times New Roman" w:hAnsi="Times New Roman" w:cs="Times New Roman"/>
        </w:rPr>
        <w:t xml:space="preserve">In </w:t>
      </w:r>
      <w:r w:rsidR="00A8193E" w:rsidRPr="00C31A32">
        <w:rPr>
          <w:rFonts w:ascii="Times New Roman" w:hAnsi="Times New Roman" w:cs="Times New Roman"/>
          <w:i/>
          <w:iCs/>
        </w:rPr>
        <w:t>Bouyid</w:t>
      </w:r>
      <w:r w:rsidR="00A8193E" w:rsidRPr="00C31A32">
        <w:rPr>
          <w:rFonts w:ascii="Times New Roman" w:hAnsi="Times New Roman" w:cs="Times New Roman"/>
        </w:rPr>
        <w:t>, t</w:t>
      </w:r>
      <w:r w:rsidRPr="00C31A32">
        <w:rPr>
          <w:rFonts w:ascii="Times New Roman" w:hAnsi="Times New Roman" w:cs="Times New Roman"/>
        </w:rPr>
        <w:t>he ECtHR emphasises the ‘strong link’ between human dignity and degrading treatment</w:t>
      </w:r>
      <w:r w:rsidR="00A8193E" w:rsidRPr="00C31A32">
        <w:rPr>
          <w:rFonts w:ascii="Times New Roman" w:hAnsi="Times New Roman" w:cs="Times New Roman"/>
        </w:rPr>
        <w:t xml:space="preserve">, and that even in the absence of ‘actual bodily injury or intense physical or mental suffering’ treatment showing ‘a lack of respect for or diminishing human dignity’ may be </w:t>
      </w:r>
      <w:r w:rsidR="00096A68" w:rsidRPr="00C31A32">
        <w:rPr>
          <w:rFonts w:ascii="Times New Roman" w:hAnsi="Times New Roman" w:cs="Times New Roman"/>
        </w:rPr>
        <w:t>class</w:t>
      </w:r>
      <w:r w:rsidR="00A935C0" w:rsidRPr="00C31A32">
        <w:rPr>
          <w:rFonts w:ascii="Times New Roman" w:hAnsi="Times New Roman" w:cs="Times New Roman"/>
        </w:rPr>
        <w:t>e</w:t>
      </w:r>
      <w:r w:rsidR="00096A68" w:rsidRPr="00C31A32">
        <w:rPr>
          <w:rFonts w:ascii="Times New Roman" w:hAnsi="Times New Roman" w:cs="Times New Roman"/>
        </w:rPr>
        <w:t>d</w:t>
      </w:r>
      <w:r w:rsidR="00A8193E" w:rsidRPr="00C31A32">
        <w:rPr>
          <w:rFonts w:ascii="Times New Roman" w:hAnsi="Times New Roman" w:cs="Times New Roman"/>
        </w:rPr>
        <w:t xml:space="preserve"> as degrading. See</w:t>
      </w:r>
      <w:r w:rsidR="00A8193E" w:rsidRPr="00C31A32">
        <w:rPr>
          <w:rFonts w:ascii="Times New Roman" w:hAnsi="Times New Roman" w:cs="Times New Roman"/>
          <w:i/>
          <w:iCs/>
        </w:rPr>
        <w:t xml:space="preserve"> Bouyid</w:t>
      </w:r>
      <w:r w:rsidR="00A8193E" w:rsidRPr="00C31A32">
        <w:rPr>
          <w:rFonts w:ascii="Times New Roman" w:hAnsi="Times New Roman" w:cs="Times New Roman"/>
        </w:rPr>
        <w:t xml:space="preserve"> (n 7</w:t>
      </w:r>
      <w:r w:rsidR="005544F0" w:rsidRPr="00C31A32">
        <w:rPr>
          <w:rFonts w:ascii="Times New Roman" w:hAnsi="Times New Roman" w:cs="Times New Roman"/>
        </w:rPr>
        <w:t>9</w:t>
      </w:r>
      <w:r w:rsidR="00A8193E" w:rsidRPr="00C31A32">
        <w:rPr>
          <w:rFonts w:ascii="Times New Roman" w:hAnsi="Times New Roman" w:cs="Times New Roman"/>
        </w:rPr>
        <w:t>) paras 87 and 90</w:t>
      </w:r>
      <w:r w:rsidR="00096A68" w:rsidRPr="00C31A32">
        <w:rPr>
          <w:rFonts w:ascii="Times New Roman" w:hAnsi="Times New Roman" w:cs="Times New Roman"/>
        </w:rPr>
        <w:t>.</w:t>
      </w:r>
      <w:r w:rsidR="00AE3448">
        <w:rPr>
          <w:rFonts w:ascii="Times New Roman" w:hAnsi="Times New Roman" w:cs="Times New Roman"/>
        </w:rPr>
        <w:t xml:space="preserve"> See also Webster (n 78) 105-117</w:t>
      </w:r>
      <w:r w:rsidR="00591A42">
        <w:rPr>
          <w:rFonts w:ascii="Times New Roman" w:hAnsi="Times New Roman" w:cs="Times New Roman"/>
        </w:rPr>
        <w:t xml:space="preserve">; and N. </w:t>
      </w:r>
      <w:proofErr w:type="spellStart"/>
      <w:r w:rsidR="00591A42">
        <w:rPr>
          <w:rFonts w:ascii="Times New Roman" w:hAnsi="Times New Roman" w:cs="Times New Roman"/>
        </w:rPr>
        <w:t>Mavronicola</w:t>
      </w:r>
      <w:proofErr w:type="spellEnd"/>
      <w:r w:rsidR="00591A42">
        <w:rPr>
          <w:rFonts w:ascii="Times New Roman" w:hAnsi="Times New Roman" w:cs="Times New Roman"/>
        </w:rPr>
        <w:t xml:space="preserve">, ‘Bouyid and Dignity’s Role in Article 3 ECHR’ </w:t>
      </w:r>
      <w:r w:rsidR="00591A42">
        <w:rPr>
          <w:rFonts w:ascii="Times New Roman" w:hAnsi="Times New Roman" w:cs="Times New Roman"/>
          <w:i/>
          <w:iCs/>
        </w:rPr>
        <w:t>Strasbourg Observers</w:t>
      </w:r>
      <w:r w:rsidR="00591A42">
        <w:rPr>
          <w:rFonts w:ascii="Times New Roman" w:hAnsi="Times New Roman" w:cs="Times New Roman"/>
        </w:rPr>
        <w:t>, 8 October 2015</w:t>
      </w:r>
      <w:r w:rsidR="00B83EDD">
        <w:rPr>
          <w:rFonts w:ascii="Times New Roman" w:hAnsi="Times New Roman" w:cs="Times New Roman"/>
        </w:rPr>
        <w:t xml:space="preserve"> &lt;</w:t>
      </w:r>
      <w:r w:rsidR="00B83EDD" w:rsidRPr="00B83EDD">
        <w:rPr>
          <w:rFonts w:ascii="Times New Roman" w:hAnsi="Times New Roman" w:cs="Times New Roman"/>
        </w:rPr>
        <w:t>https://strasbourgobservers.com/2015/10/08/bouyid-and-dignitys-role-in-article-3-echr/</w:t>
      </w:r>
      <w:r w:rsidR="00B83EDD">
        <w:rPr>
          <w:rFonts w:ascii="Times New Roman" w:hAnsi="Times New Roman" w:cs="Times New Roman"/>
        </w:rPr>
        <w:t>&gt; accessed 26 May 2021.</w:t>
      </w:r>
    </w:p>
  </w:footnote>
  <w:footnote w:id="90">
    <w:p w14:paraId="7FEB370E"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Hellman (n 16) 34-58; J. Hampton, ‘Forgiveness, Resentment and Hatred’, in J. G. Murphy and J. Hampton (eds), </w:t>
      </w:r>
      <w:r w:rsidRPr="00C31A32">
        <w:rPr>
          <w:rFonts w:ascii="Times New Roman" w:hAnsi="Times New Roman" w:cs="Times New Roman"/>
          <w:i/>
          <w:iCs/>
        </w:rPr>
        <w:t>Forgiveness and Mercy</w:t>
      </w:r>
      <w:r w:rsidRPr="00C31A32">
        <w:rPr>
          <w:rFonts w:ascii="Times New Roman" w:hAnsi="Times New Roman" w:cs="Times New Roman"/>
        </w:rPr>
        <w:t xml:space="preserve"> (CUP 1988) 52.</w:t>
      </w:r>
    </w:p>
  </w:footnote>
  <w:footnote w:id="91">
    <w:p w14:paraId="7DAC084C" w14:textId="0812FB6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The ECtHR suggests so in </w:t>
      </w:r>
      <w:r w:rsidRPr="00C31A32">
        <w:rPr>
          <w:rFonts w:ascii="Times New Roman" w:hAnsi="Times New Roman" w:cs="Times New Roman"/>
          <w:i/>
          <w:iCs/>
        </w:rPr>
        <w:t>Bouyid</w:t>
      </w:r>
      <w:r w:rsidRPr="00C31A32">
        <w:rPr>
          <w:rFonts w:ascii="Times New Roman" w:hAnsi="Times New Roman" w:cs="Times New Roman"/>
        </w:rPr>
        <w:t xml:space="preserve"> (n 7</w:t>
      </w:r>
      <w:r w:rsidR="005544F0" w:rsidRPr="00C31A32">
        <w:rPr>
          <w:rFonts w:ascii="Times New Roman" w:hAnsi="Times New Roman" w:cs="Times New Roman"/>
        </w:rPr>
        <w:t>9</w:t>
      </w:r>
      <w:r w:rsidRPr="00C31A32">
        <w:rPr>
          <w:rFonts w:ascii="Times New Roman" w:hAnsi="Times New Roman" w:cs="Times New Roman"/>
        </w:rPr>
        <w:t>) para 87.</w:t>
      </w:r>
    </w:p>
  </w:footnote>
  <w:footnote w:id="92">
    <w:p w14:paraId="4BC74152"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Identoba and Others v Georgia</w:t>
      </w:r>
      <w:r w:rsidRPr="00C31A32">
        <w:rPr>
          <w:rFonts w:ascii="Times New Roman" w:hAnsi="Times New Roman" w:cs="Times New Roman"/>
        </w:rPr>
        <w:t>, Application no. 73235/12, 12 May 2015, para 71.</w:t>
      </w:r>
    </w:p>
  </w:footnote>
  <w:footnote w:id="93">
    <w:p w14:paraId="3621CE6A" w14:textId="1E06F920"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B44EB2" w:rsidRPr="00C31A32">
        <w:rPr>
          <w:rFonts w:ascii="Times New Roman" w:hAnsi="Times New Roman" w:cs="Times New Roman"/>
        </w:rPr>
        <w:t>T</w:t>
      </w:r>
      <w:r w:rsidRPr="00C31A32">
        <w:rPr>
          <w:rFonts w:ascii="Times New Roman" w:hAnsi="Times New Roman" w:cs="Times New Roman"/>
        </w:rPr>
        <w:t>he police authorities had been informed ‘well in advance’ of the LGBT community’s intention to hold a march in the centre of Tbilisi on 17 March 2012. See ibid para 72.</w:t>
      </w:r>
    </w:p>
  </w:footnote>
  <w:footnote w:id="94">
    <w:p w14:paraId="49F89A5D"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paras 69 and 70. </w:t>
      </w:r>
    </w:p>
  </w:footnote>
  <w:footnote w:id="95">
    <w:p w14:paraId="6146C42A" w14:textId="2B41E2C3"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65. </w:t>
      </w:r>
      <w:r w:rsidR="00A935C0" w:rsidRPr="00C31A32">
        <w:rPr>
          <w:rFonts w:ascii="Times New Roman" w:hAnsi="Times New Roman" w:cs="Times New Roman"/>
        </w:rPr>
        <w:t>Also,</w:t>
      </w:r>
      <w:r w:rsidRPr="00C31A32">
        <w:rPr>
          <w:rFonts w:ascii="Times New Roman" w:hAnsi="Times New Roman" w:cs="Times New Roman"/>
          <w:i/>
          <w:iCs/>
        </w:rPr>
        <w:t xml:space="preserve"> </w:t>
      </w:r>
      <w:proofErr w:type="spellStart"/>
      <w:r w:rsidRPr="00C31A32">
        <w:rPr>
          <w:rFonts w:ascii="Times New Roman" w:hAnsi="Times New Roman" w:cs="Times New Roman"/>
          <w:i/>
          <w:iCs/>
        </w:rPr>
        <w:t>Eremia</w:t>
      </w:r>
      <w:proofErr w:type="spellEnd"/>
      <w:r w:rsidRPr="00C31A32">
        <w:rPr>
          <w:rFonts w:ascii="Times New Roman" w:hAnsi="Times New Roman" w:cs="Times New Roman"/>
          <w:i/>
          <w:iCs/>
        </w:rPr>
        <w:t xml:space="preserve"> v the Republic of Moldova</w:t>
      </w:r>
      <w:r w:rsidRPr="00C31A32">
        <w:rPr>
          <w:rFonts w:ascii="Times New Roman" w:hAnsi="Times New Roman" w:cs="Times New Roman"/>
        </w:rPr>
        <w:t xml:space="preserve">, Application No. 3564/11, 28 May 2013, para 54; and </w:t>
      </w:r>
      <w:proofErr w:type="spellStart"/>
      <w:r w:rsidRPr="00C31A32">
        <w:rPr>
          <w:rFonts w:ascii="Times New Roman" w:hAnsi="Times New Roman" w:cs="Times New Roman"/>
          <w:i/>
          <w:iCs/>
        </w:rPr>
        <w:t>Gäfgen</w:t>
      </w:r>
      <w:proofErr w:type="spellEnd"/>
      <w:r w:rsidRPr="00C31A32">
        <w:rPr>
          <w:rFonts w:ascii="Times New Roman" w:hAnsi="Times New Roman" w:cs="Times New Roman"/>
          <w:i/>
          <w:iCs/>
        </w:rPr>
        <w:t xml:space="preserve"> v. Germany</w:t>
      </w:r>
      <w:r w:rsidRPr="00C31A32">
        <w:rPr>
          <w:rFonts w:ascii="Times New Roman" w:hAnsi="Times New Roman" w:cs="Times New Roman"/>
        </w:rPr>
        <w:t>, Application No. 22978/05, 1 June 2010 (Grand Chamber) para 103.</w:t>
      </w:r>
    </w:p>
  </w:footnote>
  <w:footnote w:id="96">
    <w:p w14:paraId="72E06C0D" w14:textId="6A337430"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 xml:space="preserve">Identoba </w:t>
      </w:r>
      <w:r w:rsidRPr="00C31A32">
        <w:rPr>
          <w:rFonts w:ascii="Times New Roman" w:hAnsi="Times New Roman" w:cs="Times New Roman"/>
        </w:rPr>
        <w:t xml:space="preserve">(n </w:t>
      </w:r>
      <w:r w:rsidR="005544F0" w:rsidRPr="00C31A32">
        <w:rPr>
          <w:rFonts w:ascii="Times New Roman" w:hAnsi="Times New Roman" w:cs="Times New Roman"/>
        </w:rPr>
        <w:t>90</w:t>
      </w:r>
      <w:r w:rsidRPr="00C31A32">
        <w:rPr>
          <w:rFonts w:ascii="Times New Roman" w:hAnsi="Times New Roman" w:cs="Times New Roman"/>
        </w:rPr>
        <w:t>) paras 68 and 70.</w:t>
      </w:r>
    </w:p>
  </w:footnote>
  <w:footnote w:id="97">
    <w:p w14:paraId="269E2509" w14:textId="6F5254BD"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w:t>
      </w:r>
    </w:p>
  </w:footnote>
  <w:footnote w:id="98">
    <w:p w14:paraId="1BFF9CEB" w14:textId="2936916D"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Identoba</w:t>
      </w:r>
      <w:r w:rsidRPr="00C31A32">
        <w:rPr>
          <w:rFonts w:ascii="Times New Roman" w:hAnsi="Times New Roman" w:cs="Times New Roman"/>
        </w:rPr>
        <w:t xml:space="preserve"> (n </w:t>
      </w:r>
      <w:r w:rsidR="005544F0" w:rsidRPr="00C31A32">
        <w:rPr>
          <w:rFonts w:ascii="Times New Roman" w:hAnsi="Times New Roman" w:cs="Times New Roman"/>
        </w:rPr>
        <w:t>90</w:t>
      </w:r>
      <w:r w:rsidRPr="00C31A32">
        <w:rPr>
          <w:rFonts w:ascii="Times New Roman" w:hAnsi="Times New Roman" w:cs="Times New Roman"/>
        </w:rPr>
        <w:t>) para 70.</w:t>
      </w:r>
    </w:p>
  </w:footnote>
  <w:footnote w:id="99">
    <w:p w14:paraId="3833A443" w14:textId="75CDE909"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67. </w:t>
      </w:r>
      <w:proofErr w:type="gramStart"/>
      <w:r w:rsidR="00A935C0" w:rsidRPr="00C31A32">
        <w:rPr>
          <w:rFonts w:ascii="Times New Roman" w:hAnsi="Times New Roman" w:cs="Times New Roman"/>
        </w:rPr>
        <w:t>A</w:t>
      </w:r>
      <w:r w:rsidRPr="00C31A32">
        <w:rPr>
          <w:rFonts w:ascii="Times New Roman" w:hAnsi="Times New Roman" w:cs="Times New Roman"/>
        </w:rPr>
        <w:t>lso</w:t>
      </w:r>
      <w:proofErr w:type="gramEnd"/>
      <w:r w:rsidRPr="00C31A32">
        <w:rPr>
          <w:rFonts w:ascii="Times New Roman" w:hAnsi="Times New Roman" w:cs="Times New Roman"/>
        </w:rPr>
        <w:t xml:space="preserve"> </w:t>
      </w:r>
      <w:proofErr w:type="spellStart"/>
      <w:r w:rsidRPr="00C31A32">
        <w:rPr>
          <w:rFonts w:ascii="Times New Roman" w:hAnsi="Times New Roman" w:cs="Times New Roman"/>
          <w:i/>
          <w:iCs/>
        </w:rPr>
        <w:t>Begheluri</w:t>
      </w:r>
      <w:proofErr w:type="spellEnd"/>
      <w:r w:rsidRPr="00C31A32">
        <w:rPr>
          <w:rFonts w:ascii="Times New Roman" w:hAnsi="Times New Roman" w:cs="Times New Roman"/>
          <w:i/>
          <w:iCs/>
        </w:rPr>
        <w:t xml:space="preserve"> and Others</w:t>
      </w:r>
      <w:r w:rsidRPr="00C31A32">
        <w:rPr>
          <w:rFonts w:ascii="Times New Roman" w:hAnsi="Times New Roman" w:cs="Times New Roman"/>
        </w:rPr>
        <w:t>, Application No. 28490/02, 7 October 2014, para 173.</w:t>
      </w:r>
    </w:p>
  </w:footnote>
  <w:footnote w:id="100">
    <w:p w14:paraId="5482CA85" w14:textId="4010F169" w:rsidR="003307F5" w:rsidRPr="00C31A32" w:rsidRDefault="003307F5"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M.C. and A.C. v Romania</w:t>
      </w:r>
      <w:r w:rsidRPr="00C31A32">
        <w:rPr>
          <w:rFonts w:ascii="Times New Roman" w:hAnsi="Times New Roman" w:cs="Times New Roman"/>
        </w:rPr>
        <w:t>,</w:t>
      </w:r>
      <w:r w:rsidRPr="00C31A32">
        <w:rPr>
          <w:rFonts w:ascii="Times New Roman" w:hAnsi="Times New Roman" w:cs="Times New Roman"/>
          <w:i/>
          <w:iCs/>
        </w:rPr>
        <w:t xml:space="preserve"> </w:t>
      </w:r>
      <w:r w:rsidRPr="00C31A32">
        <w:rPr>
          <w:rFonts w:ascii="Times New Roman" w:hAnsi="Times New Roman" w:cs="Times New Roman"/>
        </w:rPr>
        <w:t xml:space="preserve">Application No. 12060/12, 12 June 2016, paras 116–118. </w:t>
      </w:r>
    </w:p>
  </w:footnote>
  <w:footnote w:id="101">
    <w:p w14:paraId="53856153" w14:textId="5FFA02F8" w:rsidR="003307F5" w:rsidRPr="00C31A32" w:rsidRDefault="003307F5"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Aghdgomelashvili</w:t>
      </w:r>
      <w:proofErr w:type="spellEnd"/>
      <w:r w:rsidRPr="00C31A32">
        <w:rPr>
          <w:rFonts w:ascii="Times New Roman" w:hAnsi="Times New Roman" w:cs="Times New Roman"/>
        </w:rPr>
        <w:t xml:space="preserve"> (n </w:t>
      </w:r>
      <w:r w:rsidR="005544F0" w:rsidRPr="00C31A32">
        <w:rPr>
          <w:rFonts w:ascii="Times New Roman" w:hAnsi="Times New Roman" w:cs="Times New Roman"/>
        </w:rPr>
        <w:t>70</w:t>
      </w:r>
      <w:r w:rsidRPr="00C31A32">
        <w:rPr>
          <w:rFonts w:ascii="Times New Roman" w:hAnsi="Times New Roman" w:cs="Times New Roman"/>
        </w:rPr>
        <w:t>) paras 44 and 48</w:t>
      </w:r>
      <w:r w:rsidR="002A1A45" w:rsidRPr="00C31A32">
        <w:rPr>
          <w:rFonts w:ascii="Times New Roman" w:hAnsi="Times New Roman" w:cs="Times New Roman"/>
        </w:rPr>
        <w:t>–</w:t>
      </w:r>
      <w:r w:rsidRPr="00C31A32">
        <w:rPr>
          <w:rFonts w:ascii="Times New Roman" w:hAnsi="Times New Roman" w:cs="Times New Roman"/>
        </w:rPr>
        <w:t>49.</w:t>
      </w:r>
    </w:p>
  </w:footnote>
  <w:footnote w:id="102">
    <w:p w14:paraId="30315D5B" w14:textId="53472079"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Identoba</w:t>
      </w:r>
      <w:r w:rsidRPr="00C31A32">
        <w:rPr>
          <w:rFonts w:ascii="Times New Roman" w:hAnsi="Times New Roman" w:cs="Times New Roman"/>
        </w:rPr>
        <w:t xml:space="preserve"> (n </w:t>
      </w:r>
      <w:r w:rsidR="005544F0" w:rsidRPr="00C31A32">
        <w:rPr>
          <w:rFonts w:ascii="Times New Roman" w:hAnsi="Times New Roman" w:cs="Times New Roman"/>
        </w:rPr>
        <w:t>90</w:t>
      </w:r>
      <w:r w:rsidRPr="00C31A32">
        <w:rPr>
          <w:rFonts w:ascii="Times New Roman" w:hAnsi="Times New Roman" w:cs="Times New Roman"/>
        </w:rPr>
        <w:t>) para 65. The ECtHR has repeatedly held that racial discrimination is a ‘special affront to human dignity’ and can as such amount to degrading treatment under Article 3. See</w:t>
      </w:r>
      <w:r w:rsidRPr="00C31A32">
        <w:rPr>
          <w:rFonts w:ascii="Times New Roman" w:hAnsi="Times New Roman" w:cs="Times New Roman"/>
          <w:i/>
          <w:iCs/>
        </w:rPr>
        <w:t xml:space="preserve"> Moldovan v Romania</w:t>
      </w:r>
      <w:r w:rsidRPr="00C31A32">
        <w:rPr>
          <w:rFonts w:ascii="Times New Roman" w:hAnsi="Times New Roman" w:cs="Times New Roman"/>
        </w:rPr>
        <w:t xml:space="preserve">, Application No. 41138/98, 12 July 2005, para 110; </w:t>
      </w:r>
      <w:proofErr w:type="spellStart"/>
      <w:r w:rsidRPr="00C31A32">
        <w:rPr>
          <w:rFonts w:ascii="Times New Roman" w:hAnsi="Times New Roman" w:cs="Times New Roman"/>
          <w:i/>
          <w:iCs/>
        </w:rPr>
        <w:t>Nachova</w:t>
      </w:r>
      <w:proofErr w:type="spellEnd"/>
      <w:r w:rsidRPr="00C31A32">
        <w:rPr>
          <w:rFonts w:ascii="Times New Roman" w:hAnsi="Times New Roman" w:cs="Times New Roman"/>
          <w:i/>
          <w:iCs/>
        </w:rPr>
        <w:t xml:space="preserve"> and Others v Bulgaria</w:t>
      </w:r>
      <w:r w:rsidRPr="00C31A32">
        <w:rPr>
          <w:rFonts w:ascii="Times New Roman" w:hAnsi="Times New Roman" w:cs="Times New Roman"/>
        </w:rPr>
        <w:t>, Application Nos. 43577/98 and 43579/98), 6 July 2005 (Grand Chamber), para 145.</w:t>
      </w:r>
    </w:p>
  </w:footnote>
  <w:footnote w:id="103">
    <w:p w14:paraId="70D73CAE" w14:textId="0F96051A"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UN Committee Against Torture, </w:t>
      </w:r>
      <w:r w:rsidRPr="00C31A32">
        <w:rPr>
          <w:rFonts w:ascii="Times New Roman" w:hAnsi="Times New Roman" w:cs="Times New Roman"/>
          <w:i/>
          <w:iCs/>
        </w:rPr>
        <w:t>General Comment No. 2</w:t>
      </w:r>
      <w:r w:rsidRPr="00C31A32">
        <w:rPr>
          <w:rFonts w:ascii="Times New Roman" w:hAnsi="Times New Roman" w:cs="Times New Roman"/>
        </w:rPr>
        <w:t>, 24 January 2008, CAT/C/GC/2, paras 20–21.</w:t>
      </w:r>
      <w:r w:rsidR="004E12CC">
        <w:rPr>
          <w:rFonts w:ascii="Times New Roman" w:hAnsi="Times New Roman" w:cs="Times New Roman"/>
        </w:rPr>
        <w:t xml:space="preserve"> Discrimination also features in the definition of torture in Art 1 CAT.</w:t>
      </w:r>
    </w:p>
  </w:footnote>
  <w:footnote w:id="104">
    <w:p w14:paraId="0C3FCA23"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East African Asians v United Kingdom</w:t>
      </w:r>
      <w:r w:rsidRPr="00C31A32">
        <w:rPr>
          <w:rFonts w:ascii="Times New Roman" w:hAnsi="Times New Roman" w:cs="Times New Roman"/>
        </w:rPr>
        <w:t xml:space="preserve"> (1981) 3 EHRR 76.</w:t>
      </w:r>
    </w:p>
  </w:footnote>
  <w:footnote w:id="105">
    <w:p w14:paraId="063A5BFD"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196.</w:t>
      </w:r>
    </w:p>
  </w:footnote>
  <w:footnote w:id="106">
    <w:p w14:paraId="07E7A007"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207. </w:t>
      </w:r>
    </w:p>
  </w:footnote>
  <w:footnote w:id="107">
    <w:p w14:paraId="5BF2D8F9"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208.</w:t>
      </w:r>
    </w:p>
  </w:footnote>
  <w:footnote w:id="108">
    <w:p w14:paraId="0E7ABDA6"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Cyprus v Turkey</w:t>
      </w:r>
      <w:r w:rsidRPr="00C31A32">
        <w:rPr>
          <w:rFonts w:ascii="Times New Roman" w:hAnsi="Times New Roman" w:cs="Times New Roman"/>
        </w:rPr>
        <w:t>, Application No. 25781/94, 10 May 2001, paras 306–309.</w:t>
      </w:r>
    </w:p>
  </w:footnote>
  <w:footnote w:id="109">
    <w:p w14:paraId="15CA4015"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paras 245 and 292–293.</w:t>
      </w:r>
    </w:p>
  </w:footnote>
  <w:footnote w:id="110">
    <w:p w14:paraId="0B0910A4"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Dudgeon v United Kingdom</w:t>
      </w:r>
      <w:r w:rsidRPr="00C31A32">
        <w:rPr>
          <w:rFonts w:ascii="Times New Roman" w:hAnsi="Times New Roman" w:cs="Times New Roman"/>
        </w:rPr>
        <w:t>, Application No. 7525/76, 22 October 1981 (Grand Chamber) para 52.</w:t>
      </w:r>
    </w:p>
  </w:footnote>
  <w:footnote w:id="111">
    <w:p w14:paraId="75D02117"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X v Turkey</w:t>
      </w:r>
      <w:r w:rsidRPr="00C31A32">
        <w:rPr>
          <w:rFonts w:ascii="Times New Roman" w:hAnsi="Times New Roman" w:cs="Times New Roman"/>
        </w:rPr>
        <w:t>, Application No. 24626/09, 27 May 2013.</w:t>
      </w:r>
    </w:p>
  </w:footnote>
  <w:footnote w:id="112">
    <w:p w14:paraId="4C92746D" w14:textId="77777777" w:rsidR="002025E7" w:rsidRPr="00C31A32" w:rsidRDefault="002025E7" w:rsidP="00890923">
      <w:pPr>
        <w:pStyle w:val="FootnoteText"/>
        <w:ind w:firstLine="142"/>
        <w:jc w:val="both"/>
        <w:rPr>
          <w:rFonts w:ascii="Times New Roman" w:hAnsi="Times New Roman" w:cs="Times New Roman"/>
          <w:iCs/>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rPr>
        <w:t>Vallianatos and Others v Greece</w:t>
      </w:r>
      <w:r w:rsidRPr="00C31A32">
        <w:rPr>
          <w:rFonts w:ascii="Times New Roman" w:hAnsi="Times New Roman" w:cs="Times New Roman"/>
          <w:iCs/>
        </w:rPr>
        <w:t>, Application Nos. 29381/09 and 32684/09, 7 November 2013 (Grand Chamber) para 77.</w:t>
      </w:r>
    </w:p>
  </w:footnote>
  <w:footnote w:id="113">
    <w:p w14:paraId="29896A37"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Smith and Grady v United Kingdom</w:t>
      </w:r>
      <w:r w:rsidRPr="00C31A32">
        <w:rPr>
          <w:rFonts w:ascii="Times New Roman" w:hAnsi="Times New Roman" w:cs="Times New Roman"/>
        </w:rPr>
        <w:t>, Application Nos. 33985/96 and 33986/96, 27 September 1999, para 121.</w:t>
      </w:r>
    </w:p>
  </w:footnote>
  <w:footnote w:id="114">
    <w:p w14:paraId="17BC9A0C" w14:textId="4207E691"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X v Turkey</w:t>
      </w:r>
      <w:r w:rsidRPr="00C31A32">
        <w:rPr>
          <w:rFonts w:ascii="Times New Roman" w:hAnsi="Times New Roman" w:cs="Times New Roman"/>
        </w:rPr>
        <w:t xml:space="preserve"> (n </w:t>
      </w:r>
      <w:r w:rsidR="005544F0" w:rsidRPr="00C31A32">
        <w:rPr>
          <w:rFonts w:ascii="Times New Roman" w:hAnsi="Times New Roman" w:cs="Times New Roman"/>
        </w:rPr>
        <w:t>109</w:t>
      </w:r>
      <w:r w:rsidRPr="00C31A32">
        <w:rPr>
          <w:rFonts w:ascii="Times New Roman" w:hAnsi="Times New Roman" w:cs="Times New Roman"/>
        </w:rPr>
        <w:t>).</w:t>
      </w:r>
    </w:p>
  </w:footnote>
  <w:footnote w:id="115">
    <w:p w14:paraId="396E7E93"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56.</w:t>
      </w:r>
    </w:p>
  </w:footnote>
  <w:footnote w:id="116">
    <w:p w14:paraId="5EFA9A6D"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53.</w:t>
      </w:r>
    </w:p>
  </w:footnote>
  <w:footnote w:id="117">
    <w:p w14:paraId="4F033D4F"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57.</w:t>
      </w:r>
    </w:p>
  </w:footnote>
  <w:footnote w:id="118">
    <w:p w14:paraId="4A53E740"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P. Johnson and S. </w:t>
      </w:r>
      <w:proofErr w:type="spellStart"/>
      <w:r w:rsidRPr="00C31A32">
        <w:rPr>
          <w:rFonts w:ascii="Times New Roman" w:hAnsi="Times New Roman" w:cs="Times New Roman"/>
        </w:rPr>
        <w:t>Falcetta</w:t>
      </w:r>
      <w:proofErr w:type="spellEnd"/>
      <w:r w:rsidRPr="00C31A32">
        <w:rPr>
          <w:rFonts w:ascii="Times New Roman" w:hAnsi="Times New Roman" w:cs="Times New Roman"/>
        </w:rPr>
        <w:t>, ‘Sexual Orientation Discrimination and Article 3 of the European Convention on Human Rights: Developing the Protection of Sexual Minorities’ (2018) 43(2) ELR 167, 175–176.</w:t>
      </w:r>
    </w:p>
  </w:footnote>
  <w:footnote w:id="119">
    <w:p w14:paraId="3669B276" w14:textId="033C6DBB" w:rsidR="00853C68" w:rsidRPr="00C31A32" w:rsidRDefault="00853C68"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Identoba</w:t>
      </w:r>
      <w:r w:rsidRPr="00C31A32">
        <w:rPr>
          <w:rFonts w:ascii="Times New Roman" w:hAnsi="Times New Roman" w:cs="Times New Roman"/>
        </w:rPr>
        <w:t xml:space="preserve"> (n </w:t>
      </w:r>
      <w:r w:rsidR="005544F0" w:rsidRPr="00C31A32">
        <w:rPr>
          <w:rFonts w:ascii="Times New Roman" w:hAnsi="Times New Roman" w:cs="Times New Roman"/>
        </w:rPr>
        <w:t>90</w:t>
      </w:r>
      <w:r w:rsidRPr="00C31A32">
        <w:rPr>
          <w:rFonts w:ascii="Times New Roman" w:hAnsi="Times New Roman" w:cs="Times New Roman"/>
        </w:rPr>
        <w:t xml:space="preserve">) para 70; </w:t>
      </w:r>
      <w:r w:rsidRPr="00C31A32">
        <w:rPr>
          <w:rFonts w:ascii="Times New Roman" w:hAnsi="Times New Roman" w:cs="Times New Roman"/>
          <w:i/>
          <w:iCs/>
        </w:rPr>
        <w:t>MC</w:t>
      </w:r>
      <w:r w:rsidRPr="00C31A32">
        <w:rPr>
          <w:rFonts w:ascii="Times New Roman" w:hAnsi="Times New Roman" w:cs="Times New Roman"/>
        </w:rPr>
        <w:t xml:space="preserve"> (n </w:t>
      </w:r>
      <w:r w:rsidR="005544F0" w:rsidRPr="00C31A32">
        <w:rPr>
          <w:rFonts w:ascii="Times New Roman" w:hAnsi="Times New Roman" w:cs="Times New Roman"/>
        </w:rPr>
        <w:t>98</w:t>
      </w:r>
      <w:r w:rsidRPr="00C31A32">
        <w:rPr>
          <w:rFonts w:ascii="Times New Roman" w:hAnsi="Times New Roman" w:cs="Times New Roman"/>
        </w:rPr>
        <w:t>) paras 117–119.</w:t>
      </w:r>
    </w:p>
  </w:footnote>
  <w:footnote w:id="120">
    <w:p w14:paraId="6D90EE37"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UN Human Rights Council, </w:t>
      </w:r>
      <w:r w:rsidRPr="00C31A32">
        <w:rPr>
          <w:rFonts w:ascii="Times New Roman" w:hAnsi="Times New Roman" w:cs="Times New Roman"/>
          <w:i/>
          <w:iCs/>
        </w:rPr>
        <w:t>Annual Report of the United Nations High Commissioner for Human Rights: Discriminatory Laws and Practices and Acts of Violence Against Individuals Based on their Sexual Orientation and Gender Identity</w:t>
      </w:r>
      <w:r w:rsidRPr="00C31A32">
        <w:rPr>
          <w:rFonts w:ascii="Times New Roman" w:hAnsi="Times New Roman" w:cs="Times New Roman"/>
        </w:rPr>
        <w:t>, 19</w:t>
      </w:r>
      <w:r w:rsidRPr="00C31A32">
        <w:rPr>
          <w:rFonts w:ascii="Times New Roman" w:hAnsi="Times New Roman" w:cs="Times New Roman"/>
          <w:vertAlign w:val="superscript"/>
        </w:rPr>
        <w:t>th</w:t>
      </w:r>
      <w:r w:rsidRPr="00C31A32">
        <w:rPr>
          <w:rFonts w:ascii="Times New Roman" w:hAnsi="Times New Roman" w:cs="Times New Roman"/>
        </w:rPr>
        <w:t xml:space="preserve"> Session, 17 November 2011, A/HRC/19/41,</w:t>
      </w:r>
      <w:r w:rsidRPr="00C31A32">
        <w:rPr>
          <w:rFonts w:ascii="Times New Roman" w:hAnsi="Times New Roman" w:cs="Times New Roman"/>
          <w:i/>
          <w:iCs/>
        </w:rPr>
        <w:t xml:space="preserve"> </w:t>
      </w:r>
      <w:r w:rsidRPr="00C31A32">
        <w:rPr>
          <w:rFonts w:ascii="Times New Roman" w:hAnsi="Times New Roman" w:cs="Times New Roman"/>
        </w:rPr>
        <w:t>para 34.</w:t>
      </w:r>
    </w:p>
  </w:footnote>
  <w:footnote w:id="121">
    <w:p w14:paraId="6C0FA066" w14:textId="7CFFFA5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Of course, being an aggravating factor, the ‘public nature’ factor is neither necessary nor sufficient to find a case of discrimination in violation of Article 3. See </w:t>
      </w:r>
      <w:proofErr w:type="gramStart"/>
      <w:r w:rsidRPr="00C31A32">
        <w:rPr>
          <w:rFonts w:ascii="Times New Roman" w:hAnsi="Times New Roman" w:cs="Times New Roman"/>
        </w:rPr>
        <w:t>e.g.</w:t>
      </w:r>
      <w:proofErr w:type="gramEnd"/>
      <w:r w:rsidRPr="00C31A32">
        <w:rPr>
          <w:rFonts w:ascii="Times New Roman" w:hAnsi="Times New Roman" w:cs="Times New Roman"/>
        </w:rPr>
        <w:t xml:space="preserve"> </w:t>
      </w:r>
      <w:proofErr w:type="spellStart"/>
      <w:r w:rsidRPr="00C31A32">
        <w:rPr>
          <w:rFonts w:ascii="Times New Roman" w:hAnsi="Times New Roman" w:cs="Times New Roman"/>
          <w:i/>
          <w:iCs/>
        </w:rPr>
        <w:t>Lyalyakin</w:t>
      </w:r>
      <w:proofErr w:type="spellEnd"/>
      <w:r w:rsidRPr="00C31A32">
        <w:rPr>
          <w:rFonts w:ascii="Times New Roman" w:hAnsi="Times New Roman" w:cs="Times New Roman"/>
          <w:i/>
          <w:iCs/>
        </w:rPr>
        <w:t xml:space="preserve"> v Russia</w:t>
      </w:r>
      <w:r w:rsidRPr="00C31A32">
        <w:rPr>
          <w:rFonts w:ascii="Times New Roman" w:hAnsi="Times New Roman" w:cs="Times New Roman"/>
        </w:rPr>
        <w:t xml:space="preserve"> (n </w:t>
      </w:r>
      <w:r w:rsidR="005544F0" w:rsidRPr="00C31A32">
        <w:rPr>
          <w:rFonts w:ascii="Times New Roman" w:hAnsi="Times New Roman" w:cs="Times New Roman"/>
        </w:rPr>
        <w:t>69</w:t>
      </w:r>
      <w:r w:rsidRPr="00C31A32">
        <w:rPr>
          <w:rFonts w:ascii="Times New Roman" w:hAnsi="Times New Roman" w:cs="Times New Roman"/>
        </w:rPr>
        <w:t xml:space="preserve">) para 69; </w:t>
      </w:r>
      <w:proofErr w:type="spellStart"/>
      <w:r w:rsidRPr="00C31A32">
        <w:rPr>
          <w:rFonts w:ascii="Times New Roman" w:hAnsi="Times New Roman" w:cs="Times New Roman"/>
          <w:i/>
          <w:iCs/>
        </w:rPr>
        <w:t>Svinarenko</w:t>
      </w:r>
      <w:proofErr w:type="spellEnd"/>
      <w:r w:rsidRPr="00C31A32">
        <w:rPr>
          <w:rFonts w:ascii="Times New Roman" w:hAnsi="Times New Roman" w:cs="Times New Roman"/>
          <w:i/>
          <w:iCs/>
        </w:rPr>
        <w:t xml:space="preserve"> and </w:t>
      </w:r>
      <w:proofErr w:type="spellStart"/>
      <w:r w:rsidRPr="00C31A32">
        <w:rPr>
          <w:rFonts w:ascii="Times New Roman" w:hAnsi="Times New Roman" w:cs="Times New Roman"/>
          <w:i/>
          <w:iCs/>
        </w:rPr>
        <w:t>Slyadnev</w:t>
      </w:r>
      <w:proofErr w:type="spellEnd"/>
      <w:r w:rsidRPr="00C31A32">
        <w:rPr>
          <w:rFonts w:ascii="Times New Roman" w:hAnsi="Times New Roman" w:cs="Times New Roman"/>
          <w:i/>
          <w:iCs/>
        </w:rPr>
        <w:t xml:space="preserve"> v Russia</w:t>
      </w:r>
      <w:r w:rsidRPr="00C31A32">
        <w:rPr>
          <w:rFonts w:ascii="Times New Roman" w:hAnsi="Times New Roman" w:cs="Times New Roman"/>
        </w:rPr>
        <w:t>, Application Nos. 32541/08 and 43441/08, 17 July 2014 (Grand Chamber) para 115.</w:t>
      </w:r>
    </w:p>
  </w:footnote>
  <w:footnote w:id="122">
    <w:p w14:paraId="2E8962F7"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The approach of the ECtHR is similar to the approach of the UN CAT in this regard. See UN General Assembly, </w:t>
      </w:r>
      <w:r w:rsidRPr="00C31A32">
        <w:rPr>
          <w:rFonts w:ascii="Times New Roman" w:hAnsi="Times New Roman" w:cs="Times New Roman"/>
          <w:i/>
          <w:iCs/>
        </w:rPr>
        <w:t>Extra-Custodial Use of Force and the Prohibition of Torture and Other Cruel, Inhuman or Degrading Treatment</w:t>
      </w:r>
      <w:r w:rsidRPr="00C31A32">
        <w:rPr>
          <w:rFonts w:ascii="Times New Roman" w:hAnsi="Times New Roman" w:cs="Times New Roman"/>
        </w:rPr>
        <w:t>, 20 July 2017, A/72/178.</w:t>
      </w:r>
    </w:p>
  </w:footnote>
  <w:footnote w:id="123">
    <w:p w14:paraId="67A66596" w14:textId="73B4655F"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Tyrer</w:t>
      </w:r>
      <w:proofErr w:type="spellEnd"/>
      <w:r w:rsidRPr="00C31A32">
        <w:rPr>
          <w:rFonts w:ascii="Times New Roman" w:hAnsi="Times New Roman" w:cs="Times New Roman"/>
          <w:i/>
          <w:iCs/>
        </w:rPr>
        <w:t xml:space="preserve"> v United Kingdom</w:t>
      </w:r>
      <w:r w:rsidRPr="00C31A32">
        <w:rPr>
          <w:rFonts w:ascii="Times New Roman" w:hAnsi="Times New Roman" w:cs="Times New Roman"/>
        </w:rPr>
        <w:t>, Application No. 5856/72, 25 April 1978, para 33.</w:t>
      </w:r>
    </w:p>
  </w:footnote>
  <w:footnote w:id="124">
    <w:p w14:paraId="75940CBF" w14:textId="7AE35462"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In cases involving the rights of transgender people, the ECtHR has held that respect for dignity requires the protection of moral security. See </w:t>
      </w:r>
      <w:r w:rsidRPr="00C31A32">
        <w:rPr>
          <w:rFonts w:ascii="Times New Roman" w:hAnsi="Times New Roman" w:cs="Times New Roman"/>
          <w:i/>
          <w:iCs/>
        </w:rPr>
        <w:t xml:space="preserve">Van </w:t>
      </w:r>
      <w:proofErr w:type="spellStart"/>
      <w:r w:rsidRPr="00C31A32">
        <w:rPr>
          <w:rFonts w:ascii="Times New Roman" w:hAnsi="Times New Roman" w:cs="Times New Roman"/>
          <w:i/>
          <w:iCs/>
        </w:rPr>
        <w:t>Kück</w:t>
      </w:r>
      <w:proofErr w:type="spellEnd"/>
      <w:r w:rsidRPr="00C31A32">
        <w:rPr>
          <w:rFonts w:ascii="Times New Roman" w:hAnsi="Times New Roman" w:cs="Times New Roman"/>
          <w:i/>
          <w:iCs/>
        </w:rPr>
        <w:t xml:space="preserve"> v Germany</w:t>
      </w:r>
      <w:r w:rsidRPr="00C31A32">
        <w:rPr>
          <w:rFonts w:ascii="Times New Roman" w:hAnsi="Times New Roman" w:cs="Times New Roman"/>
        </w:rPr>
        <w:t xml:space="preserve">, Application No. 35869/97, 12 June 2003, para 69; </w:t>
      </w:r>
      <w:r w:rsidRPr="00C31A32">
        <w:rPr>
          <w:rFonts w:ascii="Times New Roman" w:hAnsi="Times New Roman" w:cs="Times New Roman"/>
          <w:i/>
          <w:iCs/>
        </w:rPr>
        <w:t>I. v United Kingdom</w:t>
      </w:r>
      <w:r w:rsidRPr="00C31A32">
        <w:rPr>
          <w:rFonts w:ascii="Times New Roman" w:hAnsi="Times New Roman" w:cs="Times New Roman"/>
        </w:rPr>
        <w:t xml:space="preserve">, Application No. 25680/94, 11 July 2002, para 70; </w:t>
      </w:r>
      <w:r w:rsidRPr="00C31A32">
        <w:rPr>
          <w:rFonts w:ascii="Times New Roman" w:hAnsi="Times New Roman" w:cs="Times New Roman"/>
          <w:i/>
          <w:iCs/>
        </w:rPr>
        <w:t>Christine Goodwin v United Kingdom</w:t>
      </w:r>
      <w:r w:rsidRPr="00C31A32">
        <w:rPr>
          <w:rFonts w:ascii="Times New Roman" w:hAnsi="Times New Roman" w:cs="Times New Roman"/>
        </w:rPr>
        <w:t xml:space="preserve">, Application No. 28957/95, 11 June 2002, para 90. </w:t>
      </w:r>
    </w:p>
  </w:footnote>
  <w:footnote w:id="125">
    <w:p w14:paraId="4BB9F2BF" w14:textId="0236CEB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J. Wolfendale, ‘Moral Security’ (2017) 25 J Pol Phil 238, 244; Wolff (n 3</w:t>
      </w:r>
      <w:r w:rsidR="00AB5840" w:rsidRPr="00C31A32">
        <w:rPr>
          <w:rFonts w:ascii="Times New Roman" w:hAnsi="Times New Roman" w:cs="Times New Roman"/>
        </w:rPr>
        <w:t>4</w:t>
      </w:r>
      <w:r w:rsidRPr="00C31A32">
        <w:rPr>
          <w:rFonts w:ascii="Times New Roman" w:hAnsi="Times New Roman" w:cs="Times New Roman"/>
        </w:rPr>
        <w:t xml:space="preserve">). </w:t>
      </w:r>
      <w:r w:rsidR="00A935C0" w:rsidRPr="00C31A32">
        <w:rPr>
          <w:rFonts w:ascii="Times New Roman" w:hAnsi="Times New Roman" w:cs="Times New Roman"/>
        </w:rPr>
        <w:t>Also</w:t>
      </w:r>
      <w:r w:rsidRPr="00C31A32">
        <w:rPr>
          <w:rFonts w:ascii="Times New Roman" w:hAnsi="Times New Roman" w:cs="Times New Roman"/>
        </w:rPr>
        <w:t xml:space="preserve"> C. </w:t>
      </w:r>
      <w:proofErr w:type="spellStart"/>
      <w:r w:rsidRPr="00C31A32">
        <w:rPr>
          <w:rFonts w:ascii="Times New Roman" w:hAnsi="Times New Roman" w:cs="Times New Roman"/>
        </w:rPr>
        <w:t>Nikolaidis</w:t>
      </w:r>
      <w:proofErr w:type="spellEnd"/>
      <w:r w:rsidRPr="00C31A32">
        <w:rPr>
          <w:rFonts w:ascii="Times New Roman" w:hAnsi="Times New Roman" w:cs="Times New Roman"/>
        </w:rPr>
        <w:t xml:space="preserve">, ‘Unravelling the Knot of Equality and Privacy in the European Court of Human Rights and the US Supreme Court: From </w:t>
      </w:r>
      <w:proofErr w:type="spellStart"/>
      <w:r w:rsidRPr="00C31A32">
        <w:rPr>
          <w:rFonts w:ascii="Times New Roman" w:hAnsi="Times New Roman" w:cs="Times New Roman"/>
          <w:i/>
          <w:iCs/>
        </w:rPr>
        <w:t>Isonomia</w:t>
      </w:r>
      <w:proofErr w:type="spellEnd"/>
      <w:r w:rsidRPr="00C31A32">
        <w:rPr>
          <w:rFonts w:ascii="Times New Roman" w:hAnsi="Times New Roman" w:cs="Times New Roman"/>
          <w:i/>
          <w:iCs/>
        </w:rPr>
        <w:t xml:space="preserve"> </w:t>
      </w:r>
      <w:r w:rsidRPr="00C31A32">
        <w:rPr>
          <w:rFonts w:ascii="Times New Roman" w:hAnsi="Times New Roman" w:cs="Times New Roman"/>
        </w:rPr>
        <w:t xml:space="preserve">to </w:t>
      </w:r>
      <w:proofErr w:type="spellStart"/>
      <w:r w:rsidRPr="00C31A32">
        <w:rPr>
          <w:rFonts w:ascii="Times New Roman" w:hAnsi="Times New Roman" w:cs="Times New Roman"/>
          <w:i/>
          <w:iCs/>
        </w:rPr>
        <w:t>Isotimia</w:t>
      </w:r>
      <w:proofErr w:type="spellEnd"/>
      <w:r w:rsidRPr="00C31A32">
        <w:rPr>
          <w:rFonts w:ascii="Times New Roman" w:hAnsi="Times New Roman" w:cs="Times New Roman"/>
        </w:rPr>
        <w:t>’ [2018] HRLR</w:t>
      </w:r>
      <w:r w:rsidRPr="00C31A32">
        <w:rPr>
          <w:rFonts w:ascii="Times New Roman" w:hAnsi="Times New Roman" w:cs="Times New Roman"/>
          <w:i/>
          <w:iCs/>
        </w:rPr>
        <w:t xml:space="preserve"> </w:t>
      </w:r>
      <w:r w:rsidRPr="00C31A32">
        <w:rPr>
          <w:rFonts w:ascii="Times New Roman" w:hAnsi="Times New Roman" w:cs="Times New Roman"/>
        </w:rPr>
        <w:t>719, 736.</w:t>
      </w:r>
    </w:p>
  </w:footnote>
  <w:footnote w:id="126">
    <w:p w14:paraId="37A270DD" w14:textId="3E95246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00841253" w:rsidRPr="00C31A32">
        <w:rPr>
          <w:rFonts w:ascii="Times New Roman" w:hAnsi="Times New Roman" w:cs="Times New Roman"/>
        </w:rPr>
        <w:t xml:space="preserve"> </w:t>
      </w:r>
      <w:r w:rsidRPr="00C31A32">
        <w:rPr>
          <w:rFonts w:ascii="Times New Roman" w:hAnsi="Times New Roman" w:cs="Times New Roman"/>
        </w:rPr>
        <w:t xml:space="preserve">G. C. </w:t>
      </w:r>
      <w:proofErr w:type="spellStart"/>
      <w:r w:rsidRPr="00C31A32">
        <w:rPr>
          <w:rFonts w:ascii="Times New Roman" w:hAnsi="Times New Roman" w:cs="Times New Roman"/>
        </w:rPr>
        <w:t>Lury</w:t>
      </w:r>
      <w:proofErr w:type="spellEnd"/>
      <w:r w:rsidRPr="00C31A32">
        <w:rPr>
          <w:rFonts w:ascii="Times New Roman" w:hAnsi="Times New Roman" w:cs="Times New Roman"/>
        </w:rPr>
        <w:t xml:space="preserve">, </w:t>
      </w:r>
      <w:r w:rsidRPr="00C31A32">
        <w:rPr>
          <w:rFonts w:ascii="Times New Roman" w:hAnsi="Times New Roman" w:cs="Times New Roman"/>
          <w:i/>
          <w:iCs/>
        </w:rPr>
        <w:t xml:space="preserve">The Anatomy of Racial Inequality </w:t>
      </w:r>
      <w:r w:rsidRPr="00C31A32">
        <w:rPr>
          <w:rFonts w:ascii="Times New Roman" w:hAnsi="Times New Roman" w:cs="Times New Roman"/>
        </w:rPr>
        <w:t>(Harvard UP 2002) 58.</w:t>
      </w:r>
    </w:p>
  </w:footnote>
  <w:footnote w:id="127">
    <w:p w14:paraId="1AE3EDBA" w14:textId="2651CE27" w:rsidR="00D960A5" w:rsidRPr="00C31A32" w:rsidRDefault="00D960A5"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 </w:t>
      </w:r>
      <w:proofErr w:type="spellStart"/>
      <w:r w:rsidRPr="00C31A32">
        <w:rPr>
          <w:rFonts w:ascii="Times New Roman" w:hAnsi="Times New Roman" w:cs="Times New Roman"/>
        </w:rPr>
        <w:t>Khaitan</w:t>
      </w:r>
      <w:proofErr w:type="spellEnd"/>
      <w:r w:rsidRPr="00C31A32">
        <w:rPr>
          <w:rFonts w:ascii="Times New Roman" w:hAnsi="Times New Roman" w:cs="Times New Roman"/>
        </w:rPr>
        <w:t xml:space="preserve">, </w:t>
      </w:r>
      <w:r w:rsidRPr="00C31A32">
        <w:rPr>
          <w:rFonts w:ascii="Times New Roman" w:hAnsi="Times New Roman" w:cs="Times New Roman"/>
          <w:i/>
          <w:iCs/>
        </w:rPr>
        <w:t>A Theory of Discrimination Law</w:t>
      </w:r>
      <w:r w:rsidRPr="00C31A32">
        <w:rPr>
          <w:rFonts w:ascii="Times New Roman" w:hAnsi="Times New Roman" w:cs="Times New Roman"/>
        </w:rPr>
        <w:t xml:space="preserve"> (OUP 2015) 126-128; S. </w:t>
      </w:r>
      <w:proofErr w:type="spellStart"/>
      <w:r w:rsidRPr="00C31A32">
        <w:rPr>
          <w:rFonts w:ascii="Times New Roman" w:hAnsi="Times New Roman" w:cs="Times New Roman"/>
        </w:rPr>
        <w:t>Bagenstos</w:t>
      </w:r>
      <w:proofErr w:type="spellEnd"/>
      <w:r w:rsidRPr="00C31A32">
        <w:rPr>
          <w:rFonts w:ascii="Times New Roman" w:hAnsi="Times New Roman" w:cs="Times New Roman"/>
        </w:rPr>
        <w:t xml:space="preserve">, “Rational Discrimination”, Accommodation, and the Politics of (Disability) Civil Rights’ (2003) 89 </w:t>
      </w:r>
      <w:proofErr w:type="spellStart"/>
      <w:r w:rsidRPr="00C31A32">
        <w:rPr>
          <w:rFonts w:ascii="Times New Roman" w:hAnsi="Times New Roman" w:cs="Times New Roman"/>
        </w:rPr>
        <w:t>Va</w:t>
      </w:r>
      <w:proofErr w:type="spellEnd"/>
      <w:r w:rsidRPr="00C31A32">
        <w:rPr>
          <w:rFonts w:ascii="Times New Roman" w:hAnsi="Times New Roman" w:cs="Times New Roman"/>
        </w:rPr>
        <w:t xml:space="preserve"> L Rev 825.</w:t>
      </w:r>
    </w:p>
  </w:footnote>
  <w:footnote w:id="128">
    <w:p w14:paraId="6835DCA9" w14:textId="1834D9D3" w:rsidR="000148C3" w:rsidRPr="00C31A32" w:rsidRDefault="000148C3"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S. Moreau, ‘What is Discrimination’ (2010) 38(2) </w:t>
      </w:r>
      <w:proofErr w:type="spellStart"/>
      <w:r w:rsidRPr="00C31A32">
        <w:rPr>
          <w:rFonts w:ascii="Times New Roman" w:hAnsi="Times New Roman" w:cs="Times New Roman"/>
        </w:rPr>
        <w:t>Philos</w:t>
      </w:r>
      <w:proofErr w:type="spellEnd"/>
      <w:r w:rsidRPr="00C31A32">
        <w:rPr>
          <w:rFonts w:ascii="Times New Roman" w:hAnsi="Times New Roman" w:cs="Times New Roman"/>
        </w:rPr>
        <w:t xml:space="preserve"> Public </w:t>
      </w:r>
      <w:proofErr w:type="spellStart"/>
      <w:r w:rsidRPr="00C31A32">
        <w:rPr>
          <w:rFonts w:ascii="Times New Roman" w:hAnsi="Times New Roman" w:cs="Times New Roman"/>
        </w:rPr>
        <w:t>Aff</w:t>
      </w:r>
      <w:proofErr w:type="spellEnd"/>
      <w:r w:rsidRPr="00C31A32">
        <w:rPr>
          <w:rFonts w:ascii="Times New Roman" w:hAnsi="Times New Roman" w:cs="Times New Roman"/>
        </w:rPr>
        <w:t xml:space="preserve"> 143, 177-178.</w:t>
      </w:r>
    </w:p>
  </w:footnote>
  <w:footnote w:id="129">
    <w:p w14:paraId="77EB8F83" w14:textId="54317605"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On the contrary, degrading discrimination can take place in a prison, see </w:t>
      </w:r>
      <w:proofErr w:type="gramStart"/>
      <w:r w:rsidRPr="00C31A32">
        <w:rPr>
          <w:rFonts w:ascii="Times New Roman" w:hAnsi="Times New Roman" w:cs="Times New Roman"/>
        </w:rPr>
        <w:t>e.g.</w:t>
      </w:r>
      <w:proofErr w:type="gramEnd"/>
      <w:r w:rsidRPr="00C31A32">
        <w:rPr>
          <w:rFonts w:ascii="Times New Roman" w:hAnsi="Times New Roman" w:cs="Times New Roman"/>
        </w:rPr>
        <w:t xml:space="preserve"> </w:t>
      </w:r>
      <w:r w:rsidRPr="00C31A32">
        <w:rPr>
          <w:rFonts w:ascii="Times New Roman" w:hAnsi="Times New Roman" w:cs="Times New Roman"/>
          <w:i/>
          <w:iCs/>
        </w:rPr>
        <w:t>X v Turkey</w:t>
      </w:r>
      <w:r w:rsidRPr="00C31A32">
        <w:rPr>
          <w:rFonts w:ascii="Times New Roman" w:hAnsi="Times New Roman" w:cs="Times New Roman"/>
        </w:rPr>
        <w:t xml:space="preserve"> (n 10</w:t>
      </w:r>
      <w:r w:rsidR="00AB5840" w:rsidRPr="00C31A32">
        <w:rPr>
          <w:rFonts w:ascii="Times New Roman" w:hAnsi="Times New Roman" w:cs="Times New Roman"/>
        </w:rPr>
        <w:t>9</w:t>
      </w:r>
      <w:r w:rsidRPr="00C31A32">
        <w:rPr>
          <w:rFonts w:ascii="Times New Roman" w:hAnsi="Times New Roman" w:cs="Times New Roman"/>
        </w:rPr>
        <w:t>).</w:t>
      </w:r>
    </w:p>
  </w:footnote>
  <w:footnote w:id="130">
    <w:p w14:paraId="2CC4180E" w14:textId="799C0635" w:rsidR="00373B23" w:rsidRPr="00C31A32" w:rsidRDefault="00373B23" w:rsidP="00890923">
      <w:pPr>
        <w:pStyle w:val="FootnoteText"/>
        <w:ind w:firstLine="142"/>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paras 72–73.</w:t>
      </w:r>
    </w:p>
  </w:footnote>
  <w:footnote w:id="131">
    <w:p w14:paraId="22ED80B7" w14:textId="4CBEEF49"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Svinarenko</w:t>
      </w:r>
      <w:proofErr w:type="spellEnd"/>
      <w:r w:rsidRPr="00C31A32">
        <w:rPr>
          <w:rFonts w:ascii="Times New Roman" w:hAnsi="Times New Roman" w:cs="Times New Roman"/>
          <w:i/>
          <w:iCs/>
        </w:rPr>
        <w:t xml:space="preserve"> </w:t>
      </w:r>
      <w:r w:rsidRPr="00C31A32">
        <w:rPr>
          <w:rFonts w:ascii="Times New Roman" w:hAnsi="Times New Roman" w:cs="Times New Roman"/>
        </w:rPr>
        <w:t>(n 11</w:t>
      </w:r>
      <w:r w:rsidR="00AB5840" w:rsidRPr="00C31A32">
        <w:rPr>
          <w:rFonts w:ascii="Times New Roman" w:hAnsi="Times New Roman" w:cs="Times New Roman"/>
        </w:rPr>
        <w:t>9</w:t>
      </w:r>
      <w:r w:rsidRPr="00C31A32">
        <w:rPr>
          <w:rFonts w:ascii="Times New Roman" w:hAnsi="Times New Roman" w:cs="Times New Roman"/>
        </w:rPr>
        <w:t xml:space="preserve">) para 114; </w:t>
      </w:r>
      <w:r w:rsidRPr="00C31A32">
        <w:rPr>
          <w:rFonts w:ascii="Times New Roman" w:hAnsi="Times New Roman" w:cs="Times New Roman"/>
          <w:i/>
          <w:iCs/>
        </w:rPr>
        <w:t xml:space="preserve">V </w:t>
      </w:r>
      <w:proofErr w:type="spellStart"/>
      <w:r w:rsidRPr="00C31A32">
        <w:rPr>
          <w:rFonts w:ascii="Times New Roman" w:hAnsi="Times New Roman" w:cs="Times New Roman"/>
          <w:i/>
          <w:iCs/>
        </w:rPr>
        <w:t>v</w:t>
      </w:r>
      <w:proofErr w:type="spellEnd"/>
      <w:r w:rsidRPr="00C31A32">
        <w:rPr>
          <w:rFonts w:ascii="Times New Roman" w:hAnsi="Times New Roman" w:cs="Times New Roman"/>
          <w:i/>
          <w:iCs/>
        </w:rPr>
        <w:t xml:space="preserve"> United Kingdom</w:t>
      </w:r>
      <w:r w:rsidRPr="00C31A32">
        <w:rPr>
          <w:rFonts w:ascii="Times New Roman" w:hAnsi="Times New Roman" w:cs="Times New Roman"/>
        </w:rPr>
        <w:t>, Application No. 24888/94, 16 December 1999 (Grand Chamber) para 71.</w:t>
      </w:r>
    </w:p>
  </w:footnote>
  <w:footnote w:id="132">
    <w:p w14:paraId="0C6FA428" w14:textId="2F5DA24A"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Gäfgen</w:t>
      </w:r>
      <w:proofErr w:type="spellEnd"/>
      <w:r w:rsidRPr="00C31A32">
        <w:rPr>
          <w:rFonts w:ascii="Times New Roman" w:hAnsi="Times New Roman" w:cs="Times New Roman"/>
          <w:i/>
          <w:iCs/>
        </w:rPr>
        <w:t xml:space="preserve"> </w:t>
      </w:r>
      <w:r w:rsidRPr="00C31A32">
        <w:rPr>
          <w:rFonts w:ascii="Times New Roman" w:hAnsi="Times New Roman" w:cs="Times New Roman"/>
        </w:rPr>
        <w:t xml:space="preserve">(n </w:t>
      </w:r>
      <w:r w:rsidR="00AB5840" w:rsidRPr="00C31A32">
        <w:rPr>
          <w:rFonts w:ascii="Times New Roman" w:hAnsi="Times New Roman" w:cs="Times New Roman"/>
        </w:rPr>
        <w:t>93</w:t>
      </w:r>
      <w:r w:rsidRPr="00C31A32">
        <w:rPr>
          <w:rFonts w:ascii="Times New Roman" w:hAnsi="Times New Roman" w:cs="Times New Roman"/>
        </w:rPr>
        <w:t>) para 107.</w:t>
      </w:r>
    </w:p>
  </w:footnote>
  <w:footnote w:id="133">
    <w:p w14:paraId="31F9446F"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w:t>
      </w:r>
    </w:p>
  </w:footnote>
  <w:footnote w:id="134">
    <w:p w14:paraId="42C32F1D" w14:textId="2EE90958"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Ireland</w:t>
      </w:r>
      <w:r w:rsidRPr="00C31A32">
        <w:rPr>
          <w:rFonts w:ascii="Times New Roman" w:hAnsi="Times New Roman" w:cs="Times New Roman"/>
        </w:rPr>
        <w:t xml:space="preserve"> (n 5</w:t>
      </w:r>
      <w:r w:rsidR="00AB5840" w:rsidRPr="00C31A32">
        <w:rPr>
          <w:rFonts w:ascii="Times New Roman" w:hAnsi="Times New Roman" w:cs="Times New Roman"/>
        </w:rPr>
        <w:t>4</w:t>
      </w:r>
      <w:r w:rsidRPr="00C31A32">
        <w:rPr>
          <w:rFonts w:ascii="Times New Roman" w:hAnsi="Times New Roman" w:cs="Times New Roman"/>
        </w:rPr>
        <w:t>) para 167.</w:t>
      </w:r>
    </w:p>
  </w:footnote>
  <w:footnote w:id="135">
    <w:p w14:paraId="54F34EBD" w14:textId="18C9F24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Tysiąc</w:t>
      </w:r>
      <w:proofErr w:type="spellEnd"/>
      <w:r w:rsidRPr="00C31A32">
        <w:rPr>
          <w:rFonts w:ascii="Times New Roman" w:hAnsi="Times New Roman" w:cs="Times New Roman"/>
          <w:i/>
          <w:iCs/>
        </w:rPr>
        <w:t xml:space="preserve"> v Poland</w:t>
      </w:r>
      <w:r w:rsidRPr="00C31A32">
        <w:rPr>
          <w:rFonts w:ascii="Times New Roman" w:hAnsi="Times New Roman" w:cs="Times New Roman"/>
        </w:rPr>
        <w:t>, Application No. 5410/03, 20 March 2007, para 67.</w:t>
      </w:r>
    </w:p>
  </w:footnote>
  <w:footnote w:id="136">
    <w:p w14:paraId="15209562" w14:textId="2C0F759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Lyalyakin</w:t>
      </w:r>
      <w:proofErr w:type="spellEnd"/>
      <w:r w:rsidRPr="00C31A32">
        <w:rPr>
          <w:rFonts w:ascii="Times New Roman" w:hAnsi="Times New Roman" w:cs="Times New Roman"/>
        </w:rPr>
        <w:t xml:space="preserve"> (n 6</w:t>
      </w:r>
      <w:r w:rsidR="00AB5840" w:rsidRPr="00C31A32">
        <w:rPr>
          <w:rFonts w:ascii="Times New Roman" w:hAnsi="Times New Roman" w:cs="Times New Roman"/>
        </w:rPr>
        <w:t>9</w:t>
      </w:r>
      <w:r w:rsidRPr="00C31A32">
        <w:rPr>
          <w:rFonts w:ascii="Times New Roman" w:hAnsi="Times New Roman" w:cs="Times New Roman"/>
        </w:rPr>
        <w:t>) para 69.</w:t>
      </w:r>
    </w:p>
  </w:footnote>
  <w:footnote w:id="137">
    <w:p w14:paraId="1E0F9996" w14:textId="72F52CF9"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Chember</w:t>
      </w:r>
      <w:proofErr w:type="spellEnd"/>
      <w:r w:rsidRPr="00C31A32">
        <w:rPr>
          <w:rFonts w:ascii="Times New Roman" w:hAnsi="Times New Roman" w:cs="Times New Roman"/>
          <w:i/>
          <w:iCs/>
        </w:rPr>
        <w:t xml:space="preserve"> v Russia</w:t>
      </w:r>
      <w:r w:rsidRPr="00C31A32">
        <w:rPr>
          <w:rFonts w:ascii="Times New Roman" w:hAnsi="Times New Roman" w:cs="Times New Roman"/>
        </w:rPr>
        <w:t>, Application No. 7188/03, 3 July 2008, para 49.</w:t>
      </w:r>
    </w:p>
  </w:footnote>
  <w:footnote w:id="138">
    <w:p w14:paraId="5783BFD2" w14:textId="65FC2AB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00B44EB2" w:rsidRPr="00C31A32">
        <w:rPr>
          <w:rFonts w:ascii="Times New Roman" w:hAnsi="Times New Roman" w:cs="Times New Roman"/>
        </w:rPr>
        <w:t xml:space="preserve"> I</w:t>
      </w:r>
      <w:r w:rsidR="00C11406" w:rsidRPr="00C31A32">
        <w:rPr>
          <w:rFonts w:ascii="Times New Roman" w:hAnsi="Times New Roman" w:cs="Times New Roman"/>
        </w:rPr>
        <w:t>n the jurisprudence of the ECtHR degradation is closer to being demeaned, in the sense that the person wronged does not have to feel that their moral status has been lowered. See Hampton (n 8</w:t>
      </w:r>
      <w:r w:rsidR="00AB5840" w:rsidRPr="00C31A32">
        <w:rPr>
          <w:rFonts w:ascii="Times New Roman" w:hAnsi="Times New Roman" w:cs="Times New Roman"/>
        </w:rPr>
        <w:t>8</w:t>
      </w:r>
      <w:r w:rsidR="00C11406" w:rsidRPr="00C31A32">
        <w:rPr>
          <w:rFonts w:ascii="Times New Roman" w:hAnsi="Times New Roman" w:cs="Times New Roman"/>
        </w:rPr>
        <w:t>) 44-45.</w:t>
      </w:r>
    </w:p>
  </w:footnote>
  <w:footnote w:id="139">
    <w:p w14:paraId="7462BB32" w14:textId="060DEF28"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Poltoratskiy</w:t>
      </w:r>
      <w:proofErr w:type="spellEnd"/>
      <w:r w:rsidRPr="00C31A32">
        <w:rPr>
          <w:rFonts w:ascii="Times New Roman" w:hAnsi="Times New Roman" w:cs="Times New Roman"/>
          <w:i/>
          <w:iCs/>
        </w:rPr>
        <w:t xml:space="preserve"> v Ukraine</w:t>
      </w:r>
      <w:r w:rsidRPr="00C31A32">
        <w:rPr>
          <w:rFonts w:ascii="Times New Roman" w:hAnsi="Times New Roman" w:cs="Times New Roman"/>
        </w:rPr>
        <w:t>, Application No. 38812/97, 29 April 2003, para 131.</w:t>
      </w:r>
    </w:p>
  </w:footnote>
  <w:footnote w:id="140">
    <w:p w14:paraId="0AB45A30" w14:textId="1917C614"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As the ECtHR held in </w:t>
      </w:r>
      <w:r w:rsidRPr="00C31A32">
        <w:rPr>
          <w:rFonts w:ascii="Times New Roman" w:hAnsi="Times New Roman" w:cs="Times New Roman"/>
          <w:i/>
          <w:iCs/>
        </w:rPr>
        <w:t>M.S.S</w:t>
      </w:r>
      <w:r w:rsidRPr="00C31A32">
        <w:rPr>
          <w:rFonts w:ascii="Times New Roman" w:hAnsi="Times New Roman" w:cs="Times New Roman"/>
        </w:rPr>
        <w:t xml:space="preserve">. it ‘may well suffice that the victim is humiliated in his own eyes, even if not in the eyes of others’. </w:t>
      </w:r>
      <w:r w:rsidRPr="00C31A32">
        <w:rPr>
          <w:rFonts w:ascii="Times New Roman" w:hAnsi="Times New Roman" w:cs="Times New Roman"/>
          <w:i/>
          <w:iCs/>
        </w:rPr>
        <w:t>M.S.S. v Belgium and Greece</w:t>
      </w:r>
      <w:r w:rsidRPr="00C31A32">
        <w:rPr>
          <w:rFonts w:ascii="Times New Roman" w:hAnsi="Times New Roman" w:cs="Times New Roman"/>
        </w:rPr>
        <w:t>, Application No. 30696/09, 21 January 2011 (Grand Chamber) para 220.</w:t>
      </w:r>
    </w:p>
  </w:footnote>
  <w:footnote w:id="141">
    <w:p w14:paraId="43F4A201" w14:textId="33F91EC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Report of the Special Rapporteur on the Question of Torture (n 2</w:t>
      </w:r>
      <w:r w:rsidR="00AB5840" w:rsidRPr="00C31A32">
        <w:rPr>
          <w:rFonts w:ascii="Times New Roman" w:hAnsi="Times New Roman" w:cs="Times New Roman"/>
        </w:rPr>
        <w:t>4</w:t>
      </w:r>
      <w:r w:rsidRPr="00C31A32">
        <w:rPr>
          <w:rFonts w:ascii="Times New Roman" w:hAnsi="Times New Roman" w:cs="Times New Roman"/>
        </w:rPr>
        <w:t>) para 24.</w:t>
      </w:r>
    </w:p>
  </w:footnote>
  <w:footnote w:id="142">
    <w:p w14:paraId="1AF7CD8B" w14:textId="463D0B33"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Maslova</w:t>
      </w:r>
      <w:proofErr w:type="spellEnd"/>
      <w:r w:rsidRPr="00C31A32">
        <w:rPr>
          <w:rFonts w:ascii="Times New Roman" w:hAnsi="Times New Roman" w:cs="Times New Roman"/>
          <w:i/>
          <w:iCs/>
        </w:rPr>
        <w:t xml:space="preserve"> and </w:t>
      </w:r>
      <w:proofErr w:type="spellStart"/>
      <w:r w:rsidRPr="00C31A32">
        <w:rPr>
          <w:rFonts w:ascii="Times New Roman" w:hAnsi="Times New Roman" w:cs="Times New Roman"/>
          <w:i/>
          <w:iCs/>
        </w:rPr>
        <w:t>Nalbandov</w:t>
      </w:r>
      <w:proofErr w:type="spellEnd"/>
      <w:r w:rsidRPr="00C31A32">
        <w:rPr>
          <w:rFonts w:ascii="Times New Roman" w:hAnsi="Times New Roman" w:cs="Times New Roman"/>
          <w:i/>
          <w:iCs/>
        </w:rPr>
        <w:t xml:space="preserve"> v Russia</w:t>
      </w:r>
      <w:r w:rsidRPr="00C31A32">
        <w:rPr>
          <w:rFonts w:ascii="Times New Roman" w:hAnsi="Times New Roman" w:cs="Times New Roman"/>
        </w:rPr>
        <w:t xml:space="preserve">, Application No. 839/02, 24 January 2008; </w:t>
      </w:r>
      <w:proofErr w:type="gramStart"/>
      <w:r w:rsidRPr="00C31A32">
        <w:rPr>
          <w:rFonts w:ascii="Times New Roman" w:hAnsi="Times New Roman" w:cs="Times New Roman"/>
        </w:rPr>
        <w:t>also</w:t>
      </w:r>
      <w:proofErr w:type="gramEnd"/>
      <w:r w:rsidRPr="00C31A32">
        <w:rPr>
          <w:rFonts w:ascii="Times New Roman" w:hAnsi="Times New Roman" w:cs="Times New Roman"/>
          <w:i/>
          <w:iCs/>
        </w:rPr>
        <w:t xml:space="preserve"> Aydin</w:t>
      </w:r>
      <w:r w:rsidRPr="00C31A32">
        <w:rPr>
          <w:rFonts w:ascii="Times New Roman" w:hAnsi="Times New Roman" w:cs="Times New Roman"/>
        </w:rPr>
        <w:t xml:space="preserve"> (n 6</w:t>
      </w:r>
      <w:r w:rsidR="00AB5840" w:rsidRPr="00C31A32">
        <w:rPr>
          <w:rFonts w:ascii="Times New Roman" w:hAnsi="Times New Roman" w:cs="Times New Roman"/>
        </w:rPr>
        <w:t>6</w:t>
      </w:r>
      <w:r w:rsidRPr="00C31A32">
        <w:rPr>
          <w:rFonts w:ascii="Times New Roman" w:hAnsi="Times New Roman" w:cs="Times New Roman"/>
        </w:rPr>
        <w:t>) para 86. Threats of violence can constitute torture</w:t>
      </w:r>
      <w:r w:rsidR="001D02BE" w:rsidRPr="00C31A32">
        <w:rPr>
          <w:rFonts w:ascii="Times New Roman" w:hAnsi="Times New Roman" w:cs="Times New Roman"/>
        </w:rPr>
        <w:t>;</w:t>
      </w:r>
      <w:r w:rsidRPr="00C31A32">
        <w:rPr>
          <w:rFonts w:ascii="Times New Roman" w:hAnsi="Times New Roman" w:cs="Times New Roman"/>
        </w:rPr>
        <w:t xml:space="preserve"> see </w:t>
      </w:r>
      <w:proofErr w:type="spellStart"/>
      <w:r w:rsidRPr="00C31A32">
        <w:rPr>
          <w:rFonts w:ascii="Times New Roman" w:hAnsi="Times New Roman" w:cs="Times New Roman"/>
          <w:i/>
          <w:iCs/>
        </w:rPr>
        <w:t>Selmouni</w:t>
      </w:r>
      <w:proofErr w:type="spellEnd"/>
      <w:r w:rsidRPr="00C31A32">
        <w:rPr>
          <w:rFonts w:ascii="Times New Roman" w:hAnsi="Times New Roman" w:cs="Times New Roman"/>
          <w:i/>
          <w:iCs/>
        </w:rPr>
        <w:t xml:space="preserve"> v France</w:t>
      </w:r>
      <w:r w:rsidRPr="00C31A32">
        <w:rPr>
          <w:rFonts w:ascii="Times New Roman" w:hAnsi="Times New Roman" w:cs="Times New Roman"/>
        </w:rPr>
        <w:t>, Application No. 25803/94, 28 July 1999, para 101. Torture covers both physical pain and mental suffering</w:t>
      </w:r>
      <w:r w:rsidR="001D02BE" w:rsidRPr="00C31A32">
        <w:rPr>
          <w:rFonts w:ascii="Times New Roman" w:hAnsi="Times New Roman" w:cs="Times New Roman"/>
        </w:rPr>
        <w:t>;</w:t>
      </w:r>
      <w:r w:rsidRPr="00C31A32">
        <w:rPr>
          <w:rFonts w:ascii="Times New Roman" w:hAnsi="Times New Roman" w:cs="Times New Roman"/>
        </w:rPr>
        <w:t xml:space="preserve"> see </w:t>
      </w:r>
      <w:proofErr w:type="spellStart"/>
      <w:r w:rsidRPr="00C31A32">
        <w:rPr>
          <w:rFonts w:ascii="Times New Roman" w:hAnsi="Times New Roman" w:cs="Times New Roman"/>
          <w:i/>
          <w:iCs/>
        </w:rPr>
        <w:t>Gäfgen</w:t>
      </w:r>
      <w:proofErr w:type="spellEnd"/>
      <w:r w:rsidRPr="00C31A32">
        <w:rPr>
          <w:rFonts w:ascii="Times New Roman" w:hAnsi="Times New Roman" w:cs="Times New Roman"/>
        </w:rPr>
        <w:t xml:space="preserve"> (n </w:t>
      </w:r>
      <w:r w:rsidR="00AB5840" w:rsidRPr="00C31A32">
        <w:rPr>
          <w:rFonts w:ascii="Times New Roman" w:hAnsi="Times New Roman" w:cs="Times New Roman"/>
        </w:rPr>
        <w:t>93</w:t>
      </w:r>
      <w:r w:rsidRPr="00C31A32">
        <w:rPr>
          <w:rFonts w:ascii="Times New Roman" w:hAnsi="Times New Roman" w:cs="Times New Roman"/>
        </w:rPr>
        <w:t>) para 108.</w:t>
      </w:r>
    </w:p>
  </w:footnote>
  <w:footnote w:id="143">
    <w:p w14:paraId="2F95046B" w14:textId="5F50C6E2"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Jalloh v Germany</w:t>
      </w:r>
      <w:r w:rsidRPr="00C31A32">
        <w:rPr>
          <w:rFonts w:ascii="Times New Roman" w:hAnsi="Times New Roman" w:cs="Times New Roman"/>
        </w:rPr>
        <w:t xml:space="preserve"> (n </w:t>
      </w:r>
      <w:r w:rsidR="00AB5840" w:rsidRPr="00C31A32">
        <w:rPr>
          <w:rFonts w:ascii="Times New Roman" w:hAnsi="Times New Roman" w:cs="Times New Roman"/>
        </w:rPr>
        <w:t>55</w:t>
      </w:r>
      <w:r w:rsidRPr="00C31A32">
        <w:rPr>
          <w:rFonts w:ascii="Times New Roman" w:hAnsi="Times New Roman" w:cs="Times New Roman"/>
        </w:rPr>
        <w:t>) para 67.</w:t>
      </w:r>
    </w:p>
  </w:footnote>
  <w:footnote w:id="144">
    <w:p w14:paraId="02D75C2F"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Vladimir Romanov v Russia</w:t>
      </w:r>
      <w:r w:rsidRPr="00C31A32">
        <w:rPr>
          <w:rFonts w:ascii="Times New Roman" w:hAnsi="Times New Roman" w:cs="Times New Roman"/>
        </w:rPr>
        <w:t>, Application No. 41461/02, 24 July 2008, paras 67–70.</w:t>
      </w:r>
    </w:p>
  </w:footnote>
  <w:footnote w:id="145">
    <w:p w14:paraId="1AF82C5A" w14:textId="00A8A116"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Cestaro</w:t>
      </w:r>
      <w:proofErr w:type="spellEnd"/>
      <w:r w:rsidRPr="00C31A32">
        <w:rPr>
          <w:rFonts w:ascii="Times New Roman" w:hAnsi="Times New Roman" w:cs="Times New Roman"/>
        </w:rPr>
        <w:t xml:space="preserve"> (n </w:t>
      </w:r>
      <w:r w:rsidR="00AB5840" w:rsidRPr="00C31A32">
        <w:rPr>
          <w:rFonts w:ascii="Times New Roman" w:hAnsi="Times New Roman" w:cs="Times New Roman"/>
        </w:rPr>
        <w:t>67</w:t>
      </w:r>
      <w:r w:rsidRPr="00C31A32">
        <w:rPr>
          <w:rFonts w:ascii="Times New Roman" w:hAnsi="Times New Roman" w:cs="Times New Roman"/>
        </w:rPr>
        <w:t xml:space="preserve">) paras 182 and 189. </w:t>
      </w:r>
      <w:proofErr w:type="gramStart"/>
      <w:r w:rsidRPr="00C31A32">
        <w:rPr>
          <w:rFonts w:ascii="Times New Roman" w:hAnsi="Times New Roman" w:cs="Times New Roman"/>
        </w:rPr>
        <w:t>Also</w:t>
      </w:r>
      <w:proofErr w:type="gramEnd"/>
      <w:r w:rsidRPr="00C31A32">
        <w:rPr>
          <w:rFonts w:ascii="Times New Roman" w:hAnsi="Times New Roman" w:cs="Times New Roman"/>
        </w:rPr>
        <w:t xml:space="preserve"> </w:t>
      </w:r>
      <w:proofErr w:type="spellStart"/>
      <w:r w:rsidRPr="00C31A32">
        <w:rPr>
          <w:rFonts w:ascii="Times New Roman" w:hAnsi="Times New Roman" w:cs="Times New Roman"/>
          <w:i/>
          <w:iCs/>
        </w:rPr>
        <w:t>Dedovski</w:t>
      </w:r>
      <w:proofErr w:type="spellEnd"/>
      <w:r w:rsidRPr="00C31A32">
        <w:rPr>
          <w:rFonts w:ascii="Times New Roman" w:hAnsi="Times New Roman" w:cs="Times New Roman"/>
          <w:i/>
          <w:iCs/>
        </w:rPr>
        <w:t xml:space="preserve"> and Others v Russia</w:t>
      </w:r>
      <w:r w:rsidRPr="00C31A32">
        <w:rPr>
          <w:rFonts w:ascii="Times New Roman" w:hAnsi="Times New Roman" w:cs="Times New Roman"/>
        </w:rPr>
        <w:t>, Application No. 7178/03, 15 May 2008, paras 82–83.</w:t>
      </w:r>
    </w:p>
  </w:footnote>
  <w:footnote w:id="146">
    <w:p w14:paraId="3DCA31CB" w14:textId="5E1F726C"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‘Forcible’ is used to mark cases where a person undergoing ‘conversion therapy’ is not free to leave or stop the ‘therapy’.</w:t>
      </w:r>
      <w:r w:rsidR="00B44EB2" w:rsidRPr="00C31A32">
        <w:rPr>
          <w:rFonts w:ascii="Times New Roman" w:hAnsi="Times New Roman" w:cs="Times New Roman"/>
        </w:rPr>
        <w:t xml:space="preserve"> </w:t>
      </w:r>
      <w:r w:rsidRPr="00C31A32">
        <w:rPr>
          <w:rFonts w:ascii="Times New Roman" w:hAnsi="Times New Roman" w:cs="Times New Roman"/>
        </w:rPr>
        <w:t>‘</w:t>
      </w:r>
      <w:r w:rsidR="001D02BE" w:rsidRPr="00C31A32">
        <w:rPr>
          <w:rFonts w:ascii="Times New Roman" w:hAnsi="Times New Roman" w:cs="Times New Roman"/>
        </w:rPr>
        <w:t>F</w:t>
      </w:r>
      <w:r w:rsidRPr="00C31A32">
        <w:rPr>
          <w:rFonts w:ascii="Times New Roman" w:hAnsi="Times New Roman" w:cs="Times New Roman"/>
        </w:rPr>
        <w:t>orcible’ cover</w:t>
      </w:r>
      <w:r w:rsidR="00B44EB2" w:rsidRPr="00C31A32">
        <w:rPr>
          <w:rFonts w:ascii="Times New Roman" w:hAnsi="Times New Roman" w:cs="Times New Roman"/>
        </w:rPr>
        <w:t>s</w:t>
      </w:r>
      <w:r w:rsidRPr="00C31A32">
        <w:rPr>
          <w:rFonts w:ascii="Times New Roman" w:hAnsi="Times New Roman" w:cs="Times New Roman"/>
        </w:rPr>
        <w:t xml:space="preserve"> </w:t>
      </w:r>
      <w:r w:rsidR="001D02BE" w:rsidRPr="00C31A32">
        <w:rPr>
          <w:rFonts w:ascii="Times New Roman" w:hAnsi="Times New Roman" w:cs="Times New Roman"/>
        </w:rPr>
        <w:t>those</w:t>
      </w:r>
      <w:r w:rsidRPr="00C31A32">
        <w:rPr>
          <w:rFonts w:ascii="Times New Roman" w:hAnsi="Times New Roman" w:cs="Times New Roman"/>
        </w:rPr>
        <w:t xml:space="preserve"> who </w:t>
      </w:r>
      <w:r w:rsidR="001D02BE" w:rsidRPr="00C31A32">
        <w:rPr>
          <w:rFonts w:ascii="Times New Roman" w:hAnsi="Times New Roman" w:cs="Times New Roman"/>
        </w:rPr>
        <w:t>consented</w:t>
      </w:r>
      <w:r w:rsidRPr="00C31A32">
        <w:rPr>
          <w:rFonts w:ascii="Times New Roman" w:hAnsi="Times New Roman" w:cs="Times New Roman"/>
        </w:rPr>
        <w:t xml:space="preserve"> to ‘conversion therapy’ even if they knew that they would not be able to leave it if they changed their mind.</w:t>
      </w:r>
    </w:p>
  </w:footnote>
  <w:footnote w:id="147">
    <w:p w14:paraId="10E512F7"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Herczegfalvy</w:t>
      </w:r>
      <w:proofErr w:type="spellEnd"/>
      <w:r w:rsidRPr="00C31A32">
        <w:rPr>
          <w:rFonts w:ascii="Times New Roman" w:hAnsi="Times New Roman" w:cs="Times New Roman"/>
          <w:i/>
          <w:iCs/>
        </w:rPr>
        <w:t xml:space="preserve"> v Austria</w:t>
      </w:r>
      <w:r w:rsidRPr="00C31A32">
        <w:rPr>
          <w:rFonts w:ascii="Times New Roman" w:hAnsi="Times New Roman" w:cs="Times New Roman"/>
        </w:rPr>
        <w:t>, Application No. 10533/83, 24 September 1992,</w:t>
      </w:r>
      <w:r w:rsidRPr="00C31A32">
        <w:rPr>
          <w:rFonts w:ascii="Times New Roman" w:hAnsi="Times New Roman" w:cs="Times New Roman"/>
          <w:i/>
          <w:iCs/>
        </w:rPr>
        <w:t xml:space="preserve"> </w:t>
      </w:r>
      <w:r w:rsidRPr="00C31A32">
        <w:rPr>
          <w:rFonts w:ascii="Times New Roman" w:hAnsi="Times New Roman" w:cs="Times New Roman"/>
        </w:rPr>
        <w:t>para 82.</w:t>
      </w:r>
    </w:p>
  </w:footnote>
  <w:footnote w:id="148">
    <w:p w14:paraId="3F153585" w14:textId="77758CEC"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 xml:space="preserve">R (on the application of Wilkinson) v The Responsible Medical Officer Broadmoor Hospital </w:t>
      </w:r>
      <w:r w:rsidRPr="00C31A32">
        <w:rPr>
          <w:rFonts w:ascii="Times New Roman" w:hAnsi="Times New Roman" w:cs="Times New Roman"/>
        </w:rPr>
        <w:t xml:space="preserve">[2001] EWCA </w:t>
      </w:r>
      <w:proofErr w:type="spellStart"/>
      <w:r w:rsidRPr="00C31A32">
        <w:rPr>
          <w:rFonts w:ascii="Times New Roman" w:hAnsi="Times New Roman" w:cs="Times New Roman"/>
        </w:rPr>
        <w:t>Civ</w:t>
      </w:r>
      <w:proofErr w:type="spellEnd"/>
      <w:r w:rsidRPr="00C31A32">
        <w:rPr>
          <w:rFonts w:ascii="Times New Roman" w:hAnsi="Times New Roman" w:cs="Times New Roman"/>
        </w:rPr>
        <w:t xml:space="preserve"> 1545, [2001] 1 WLR 419, per Hale LJ paras 77–80. </w:t>
      </w:r>
      <w:r w:rsidR="00B44EB2" w:rsidRPr="00C31A32">
        <w:rPr>
          <w:rFonts w:ascii="Times New Roman" w:hAnsi="Times New Roman" w:cs="Times New Roman"/>
        </w:rPr>
        <w:t>T</w:t>
      </w:r>
      <w:r w:rsidRPr="00C31A32">
        <w:rPr>
          <w:rFonts w:ascii="Times New Roman" w:hAnsi="Times New Roman" w:cs="Times New Roman"/>
        </w:rPr>
        <w:t>his applies to both capacitated and incapacitated patients.</w:t>
      </w:r>
    </w:p>
  </w:footnote>
  <w:footnote w:id="149">
    <w:p w14:paraId="2BB2F41A" w14:textId="7173801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79; </w:t>
      </w:r>
      <w:proofErr w:type="spellStart"/>
      <w:r w:rsidRPr="00C31A32">
        <w:rPr>
          <w:rFonts w:ascii="Times New Roman" w:hAnsi="Times New Roman" w:cs="Times New Roman"/>
          <w:i/>
          <w:iCs/>
        </w:rPr>
        <w:t>Herczegfalvy</w:t>
      </w:r>
      <w:proofErr w:type="spellEnd"/>
      <w:r w:rsidRPr="00C31A32">
        <w:rPr>
          <w:rFonts w:ascii="Times New Roman" w:hAnsi="Times New Roman" w:cs="Times New Roman"/>
        </w:rPr>
        <w:t xml:space="preserve"> (n 1</w:t>
      </w:r>
      <w:r w:rsidR="00AB5840" w:rsidRPr="00C31A32">
        <w:rPr>
          <w:rFonts w:ascii="Times New Roman" w:hAnsi="Times New Roman" w:cs="Times New Roman"/>
        </w:rPr>
        <w:t>4</w:t>
      </w:r>
      <w:r w:rsidRPr="00C31A32">
        <w:rPr>
          <w:rFonts w:ascii="Times New Roman" w:hAnsi="Times New Roman" w:cs="Times New Roman"/>
        </w:rPr>
        <w:t>7)</w:t>
      </w:r>
      <w:r w:rsidRPr="00C31A32">
        <w:rPr>
          <w:rFonts w:ascii="Times New Roman" w:hAnsi="Times New Roman" w:cs="Times New Roman"/>
          <w:i/>
          <w:iCs/>
        </w:rPr>
        <w:t xml:space="preserve"> </w:t>
      </w:r>
      <w:r w:rsidRPr="00C31A32">
        <w:rPr>
          <w:rFonts w:ascii="Times New Roman" w:hAnsi="Times New Roman" w:cs="Times New Roman"/>
        </w:rPr>
        <w:t>para 82.</w:t>
      </w:r>
      <w:r w:rsidRPr="00C31A32">
        <w:rPr>
          <w:rFonts w:ascii="Times New Roman" w:hAnsi="Times New Roman" w:cs="Times New Roman"/>
          <w:i/>
          <w:iCs/>
        </w:rPr>
        <w:t xml:space="preserve"> </w:t>
      </w:r>
      <w:r w:rsidRPr="00C31A32">
        <w:rPr>
          <w:rFonts w:ascii="Times New Roman" w:hAnsi="Times New Roman" w:cs="Times New Roman"/>
        </w:rPr>
        <w:t>Th</w:t>
      </w:r>
      <w:r w:rsidR="00B44EB2" w:rsidRPr="00C31A32">
        <w:rPr>
          <w:rFonts w:ascii="Times New Roman" w:hAnsi="Times New Roman" w:cs="Times New Roman"/>
        </w:rPr>
        <w:t>ere is</w:t>
      </w:r>
      <w:r w:rsidRPr="00C31A32">
        <w:rPr>
          <w:rFonts w:ascii="Times New Roman" w:hAnsi="Times New Roman" w:cs="Times New Roman"/>
        </w:rPr>
        <w:t xml:space="preserve"> a duty to give reasons whenever a patient should undergo medical treatment without their consent. See </w:t>
      </w:r>
      <w:r w:rsidRPr="00C31A32">
        <w:rPr>
          <w:rFonts w:ascii="Times New Roman" w:hAnsi="Times New Roman" w:cs="Times New Roman"/>
          <w:i/>
          <w:iCs/>
        </w:rPr>
        <w:t xml:space="preserve">R (Wooder) v </w:t>
      </w:r>
      <w:proofErr w:type="spellStart"/>
      <w:r w:rsidRPr="00C31A32">
        <w:rPr>
          <w:rFonts w:ascii="Times New Roman" w:hAnsi="Times New Roman" w:cs="Times New Roman"/>
          <w:i/>
          <w:iCs/>
        </w:rPr>
        <w:t>Feggetter</w:t>
      </w:r>
      <w:proofErr w:type="spellEnd"/>
      <w:r w:rsidRPr="00C31A32">
        <w:rPr>
          <w:rFonts w:ascii="Times New Roman" w:hAnsi="Times New Roman" w:cs="Times New Roman"/>
          <w:i/>
          <w:iCs/>
        </w:rPr>
        <w:t xml:space="preserve"> </w:t>
      </w:r>
      <w:r w:rsidRPr="00C31A32">
        <w:rPr>
          <w:rFonts w:ascii="Times New Roman" w:hAnsi="Times New Roman" w:cs="Times New Roman"/>
        </w:rPr>
        <w:t xml:space="preserve">[2002] EWCA </w:t>
      </w:r>
      <w:proofErr w:type="spellStart"/>
      <w:r w:rsidRPr="00C31A32">
        <w:rPr>
          <w:rFonts w:ascii="Times New Roman" w:hAnsi="Times New Roman" w:cs="Times New Roman"/>
        </w:rPr>
        <w:t>Civ</w:t>
      </w:r>
      <w:proofErr w:type="spellEnd"/>
      <w:r w:rsidRPr="00C31A32">
        <w:rPr>
          <w:rFonts w:ascii="Times New Roman" w:hAnsi="Times New Roman" w:cs="Times New Roman"/>
        </w:rPr>
        <w:t xml:space="preserve"> 554, [2002] 3 WLR 591; </w:t>
      </w:r>
      <w:r w:rsidRPr="00C31A32">
        <w:rPr>
          <w:rFonts w:ascii="Times New Roman" w:hAnsi="Times New Roman" w:cs="Times New Roman"/>
          <w:i/>
          <w:iCs/>
        </w:rPr>
        <w:t xml:space="preserve">R (B) v SS (Responsible Medical Officer) </w:t>
      </w:r>
      <w:r w:rsidRPr="00C31A32">
        <w:rPr>
          <w:rFonts w:ascii="Times New Roman" w:hAnsi="Times New Roman" w:cs="Times New Roman"/>
        </w:rPr>
        <w:t xml:space="preserve">[2006] EWCA </w:t>
      </w:r>
      <w:proofErr w:type="spellStart"/>
      <w:r w:rsidRPr="00C31A32">
        <w:rPr>
          <w:rFonts w:ascii="Times New Roman" w:hAnsi="Times New Roman" w:cs="Times New Roman"/>
        </w:rPr>
        <w:t>Civ</w:t>
      </w:r>
      <w:proofErr w:type="spellEnd"/>
      <w:r w:rsidRPr="00C31A32">
        <w:rPr>
          <w:rFonts w:ascii="Times New Roman" w:hAnsi="Times New Roman" w:cs="Times New Roman"/>
        </w:rPr>
        <w:t xml:space="preserve"> 28, [2006] 1 WLR 810, para 50.</w:t>
      </w:r>
    </w:p>
  </w:footnote>
  <w:footnote w:id="150">
    <w:p w14:paraId="0B4B598C" w14:textId="62589B7C"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Herczegfalvy</w:t>
      </w:r>
      <w:proofErr w:type="spellEnd"/>
      <w:r w:rsidRPr="00C31A32">
        <w:rPr>
          <w:rFonts w:ascii="Times New Roman" w:hAnsi="Times New Roman" w:cs="Times New Roman"/>
        </w:rPr>
        <w:t xml:space="preserve"> (n 1</w:t>
      </w:r>
      <w:r w:rsidR="00AB5840" w:rsidRPr="00C31A32">
        <w:rPr>
          <w:rFonts w:ascii="Times New Roman" w:hAnsi="Times New Roman" w:cs="Times New Roman"/>
        </w:rPr>
        <w:t>4</w:t>
      </w:r>
      <w:r w:rsidRPr="00C31A32">
        <w:rPr>
          <w:rFonts w:ascii="Times New Roman" w:hAnsi="Times New Roman" w:cs="Times New Roman"/>
        </w:rPr>
        <w:t>7)</w:t>
      </w:r>
      <w:r w:rsidRPr="00C31A32">
        <w:rPr>
          <w:rFonts w:ascii="Times New Roman" w:hAnsi="Times New Roman" w:cs="Times New Roman"/>
          <w:i/>
          <w:iCs/>
        </w:rPr>
        <w:t xml:space="preserve"> </w:t>
      </w:r>
      <w:r w:rsidRPr="00C31A32">
        <w:rPr>
          <w:rFonts w:ascii="Times New Roman" w:hAnsi="Times New Roman" w:cs="Times New Roman"/>
        </w:rPr>
        <w:t>para 82.</w:t>
      </w:r>
    </w:p>
  </w:footnote>
  <w:footnote w:id="151">
    <w:p w14:paraId="64B70A00" w14:textId="6858AED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Wilkinson</w:t>
      </w:r>
      <w:r w:rsidRPr="00C31A32">
        <w:rPr>
          <w:rFonts w:ascii="Times New Roman" w:hAnsi="Times New Roman" w:cs="Times New Roman"/>
        </w:rPr>
        <w:t xml:space="preserve"> (n 1</w:t>
      </w:r>
      <w:r w:rsidR="00AB5840" w:rsidRPr="00C31A32">
        <w:rPr>
          <w:rFonts w:ascii="Times New Roman" w:hAnsi="Times New Roman" w:cs="Times New Roman"/>
        </w:rPr>
        <w:t>4</w:t>
      </w:r>
      <w:r w:rsidRPr="00C31A32">
        <w:rPr>
          <w:rFonts w:ascii="Times New Roman" w:hAnsi="Times New Roman" w:cs="Times New Roman"/>
        </w:rPr>
        <w:t>8)</w:t>
      </w:r>
      <w:r w:rsidRPr="00C31A32">
        <w:rPr>
          <w:rFonts w:ascii="Times New Roman" w:hAnsi="Times New Roman" w:cs="Times New Roman"/>
          <w:i/>
          <w:iCs/>
        </w:rPr>
        <w:t xml:space="preserve"> </w:t>
      </w:r>
      <w:r w:rsidRPr="00C31A32">
        <w:rPr>
          <w:rFonts w:ascii="Times New Roman" w:hAnsi="Times New Roman" w:cs="Times New Roman"/>
        </w:rPr>
        <w:t>para 55.</w:t>
      </w:r>
    </w:p>
  </w:footnote>
  <w:footnote w:id="152">
    <w:p w14:paraId="5D07A067"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UN HRC, Report of the Special Rapporteur (n 10) para 23; </w:t>
      </w:r>
      <w:proofErr w:type="gramStart"/>
      <w:r w:rsidRPr="00C31A32">
        <w:rPr>
          <w:rFonts w:ascii="Times New Roman" w:hAnsi="Times New Roman" w:cs="Times New Roman"/>
        </w:rPr>
        <w:t>also</w:t>
      </w:r>
      <w:proofErr w:type="gramEnd"/>
      <w:r w:rsidRPr="00C31A32">
        <w:rPr>
          <w:rFonts w:ascii="Times New Roman" w:hAnsi="Times New Roman" w:cs="Times New Roman"/>
        </w:rPr>
        <w:t xml:space="preserve"> Bartlett (n 8).</w:t>
      </w:r>
    </w:p>
  </w:footnote>
  <w:footnote w:id="153">
    <w:p w14:paraId="08A179AC" w14:textId="65C7C295"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The compulsion of the medical treatment overshadows whether the patient had the capacity to consent to the treatment. See </w:t>
      </w:r>
      <w:r w:rsidRPr="00C31A32">
        <w:rPr>
          <w:rFonts w:ascii="Times New Roman" w:hAnsi="Times New Roman" w:cs="Times New Roman"/>
          <w:i/>
          <w:iCs/>
        </w:rPr>
        <w:t>Wilkinson</w:t>
      </w:r>
      <w:r w:rsidRPr="00C31A32">
        <w:rPr>
          <w:rFonts w:ascii="Times New Roman" w:hAnsi="Times New Roman" w:cs="Times New Roman"/>
        </w:rPr>
        <w:t xml:space="preserve"> (n 1</w:t>
      </w:r>
      <w:r w:rsidR="00AB5840" w:rsidRPr="00C31A32">
        <w:rPr>
          <w:rFonts w:ascii="Times New Roman" w:hAnsi="Times New Roman" w:cs="Times New Roman"/>
        </w:rPr>
        <w:t>4</w:t>
      </w:r>
      <w:r w:rsidRPr="00C31A32">
        <w:rPr>
          <w:rFonts w:ascii="Times New Roman" w:hAnsi="Times New Roman" w:cs="Times New Roman"/>
        </w:rPr>
        <w:t>8)</w:t>
      </w:r>
      <w:r w:rsidRPr="00C31A32">
        <w:rPr>
          <w:rFonts w:ascii="Times New Roman" w:hAnsi="Times New Roman" w:cs="Times New Roman"/>
          <w:i/>
          <w:iCs/>
        </w:rPr>
        <w:t xml:space="preserve"> </w:t>
      </w:r>
      <w:r w:rsidRPr="00C31A32">
        <w:rPr>
          <w:rFonts w:ascii="Times New Roman" w:hAnsi="Times New Roman" w:cs="Times New Roman"/>
        </w:rPr>
        <w:t xml:space="preserve">para 79; </w:t>
      </w:r>
      <w:r w:rsidRPr="00C31A32">
        <w:rPr>
          <w:rFonts w:ascii="Times New Roman" w:hAnsi="Times New Roman" w:cs="Times New Roman"/>
          <w:i/>
          <w:iCs/>
        </w:rPr>
        <w:t xml:space="preserve">R (B) v SS (Responsible Medical Officer) </w:t>
      </w:r>
      <w:r w:rsidRPr="00C31A32">
        <w:rPr>
          <w:rFonts w:ascii="Times New Roman" w:hAnsi="Times New Roman" w:cs="Times New Roman"/>
        </w:rPr>
        <w:t xml:space="preserve">[2006] EWCA </w:t>
      </w:r>
      <w:proofErr w:type="spellStart"/>
      <w:r w:rsidRPr="00C31A32">
        <w:rPr>
          <w:rFonts w:ascii="Times New Roman" w:hAnsi="Times New Roman" w:cs="Times New Roman"/>
        </w:rPr>
        <w:t>Civ</w:t>
      </w:r>
      <w:proofErr w:type="spellEnd"/>
      <w:r w:rsidRPr="00C31A32">
        <w:rPr>
          <w:rFonts w:ascii="Times New Roman" w:hAnsi="Times New Roman" w:cs="Times New Roman"/>
        </w:rPr>
        <w:t xml:space="preserve"> 28, [2006] 1 WLR 810, para 50.</w:t>
      </w:r>
    </w:p>
  </w:footnote>
  <w:footnote w:id="154">
    <w:p w14:paraId="35C55E54" w14:textId="1692AFD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This does not include counselling which </w:t>
      </w:r>
      <w:r w:rsidR="001D02BE" w:rsidRPr="00C31A32">
        <w:rPr>
          <w:rFonts w:ascii="Times New Roman" w:hAnsi="Times New Roman" w:cs="Times New Roman"/>
        </w:rPr>
        <w:t>seeks</w:t>
      </w:r>
      <w:r w:rsidRPr="00C31A32">
        <w:rPr>
          <w:rFonts w:ascii="Times New Roman" w:hAnsi="Times New Roman" w:cs="Times New Roman"/>
        </w:rPr>
        <w:t xml:space="preserve"> to provide acceptance, support, facilitation and understanding of a person’s sexual and gender identity.</w:t>
      </w:r>
      <w:r w:rsidR="00B44EB2" w:rsidRPr="00C31A32">
        <w:rPr>
          <w:rFonts w:ascii="Times New Roman" w:hAnsi="Times New Roman" w:cs="Times New Roman"/>
        </w:rPr>
        <w:t xml:space="preserve"> </w:t>
      </w:r>
      <w:proofErr w:type="spellStart"/>
      <w:r w:rsidR="00B44EB2" w:rsidRPr="00C31A32">
        <w:rPr>
          <w:rFonts w:ascii="Times New Roman" w:hAnsi="Times New Roman" w:cs="Times New Roman"/>
        </w:rPr>
        <w:t>See n</w:t>
      </w:r>
      <w:proofErr w:type="spellEnd"/>
      <w:r w:rsidR="00B44EB2" w:rsidRPr="00C31A32">
        <w:rPr>
          <w:rFonts w:ascii="Times New Roman" w:hAnsi="Times New Roman" w:cs="Times New Roman"/>
        </w:rPr>
        <w:t xml:space="preserve"> 17 above</w:t>
      </w:r>
      <w:r w:rsidRPr="00C31A32">
        <w:rPr>
          <w:rFonts w:ascii="Times New Roman" w:hAnsi="Times New Roman" w:cs="Times New Roman"/>
        </w:rPr>
        <w:t>.</w:t>
      </w:r>
    </w:p>
  </w:footnote>
  <w:footnote w:id="155">
    <w:p w14:paraId="6FC081BF" w14:textId="7A2B565F"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1D02BE" w:rsidRPr="00C31A32">
        <w:rPr>
          <w:rFonts w:ascii="Times New Roman" w:hAnsi="Times New Roman" w:cs="Times New Roman"/>
        </w:rPr>
        <w:t>So</w:t>
      </w:r>
      <w:r w:rsidRPr="00C31A32">
        <w:rPr>
          <w:rFonts w:ascii="Times New Roman" w:hAnsi="Times New Roman" w:cs="Times New Roman"/>
        </w:rPr>
        <w:t xml:space="preserve">, legal intervention against ‘conversion therapy’ is justified, at least in part, by appeal to the states of affairs it promotes. This </w:t>
      </w:r>
      <w:r w:rsidR="00B44EB2" w:rsidRPr="00C31A32">
        <w:rPr>
          <w:rFonts w:ascii="Times New Roman" w:hAnsi="Times New Roman" w:cs="Times New Roman"/>
        </w:rPr>
        <w:t>(</w:t>
      </w:r>
      <w:r w:rsidRPr="00C31A32">
        <w:rPr>
          <w:rFonts w:ascii="Times New Roman" w:hAnsi="Times New Roman" w:cs="Times New Roman"/>
        </w:rPr>
        <w:t>broadly</w:t>
      </w:r>
      <w:r w:rsidR="00B44EB2" w:rsidRPr="00C31A32">
        <w:rPr>
          <w:rFonts w:ascii="Times New Roman" w:hAnsi="Times New Roman" w:cs="Times New Roman"/>
        </w:rPr>
        <w:t>)</w:t>
      </w:r>
      <w:r w:rsidRPr="00C31A32">
        <w:rPr>
          <w:rFonts w:ascii="Times New Roman" w:hAnsi="Times New Roman" w:cs="Times New Roman"/>
        </w:rPr>
        <w:t xml:space="preserve"> consequentialist view </w:t>
      </w:r>
      <w:r w:rsidR="00B44EB2" w:rsidRPr="00C31A32">
        <w:rPr>
          <w:rFonts w:ascii="Times New Roman" w:hAnsi="Times New Roman" w:cs="Times New Roman"/>
        </w:rPr>
        <w:t>differs to</w:t>
      </w:r>
      <w:r w:rsidRPr="00C31A32">
        <w:rPr>
          <w:rFonts w:ascii="Times New Roman" w:hAnsi="Times New Roman" w:cs="Times New Roman"/>
        </w:rPr>
        <w:t xml:space="preserve"> rule utilitarianism because it is </w:t>
      </w:r>
      <w:r w:rsidR="00B44EB2" w:rsidRPr="00C31A32">
        <w:rPr>
          <w:rFonts w:ascii="Times New Roman" w:hAnsi="Times New Roman" w:cs="Times New Roman"/>
        </w:rPr>
        <w:t>un</w:t>
      </w:r>
      <w:r w:rsidRPr="00C31A32">
        <w:rPr>
          <w:rFonts w:ascii="Times New Roman" w:hAnsi="Times New Roman" w:cs="Times New Roman"/>
        </w:rPr>
        <w:t xml:space="preserve">concerned with benefit maximisation. See T. M. Scanlon, ‘Rights, Goals and Fairness’, in T. M. Scanlon (ed), </w:t>
      </w:r>
      <w:r w:rsidRPr="00C31A32">
        <w:rPr>
          <w:rFonts w:ascii="Times New Roman" w:hAnsi="Times New Roman" w:cs="Times New Roman"/>
          <w:i/>
          <w:iCs/>
        </w:rPr>
        <w:t xml:space="preserve">The Difficulty of Tolerance </w:t>
      </w:r>
      <w:r w:rsidRPr="00C31A32">
        <w:rPr>
          <w:rFonts w:ascii="Times New Roman" w:hAnsi="Times New Roman" w:cs="Times New Roman"/>
        </w:rPr>
        <w:t>(CUP 2003) 33-39.</w:t>
      </w:r>
    </w:p>
  </w:footnote>
  <w:footnote w:id="156">
    <w:p w14:paraId="473E764C" w14:textId="33D005A5"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00B44EB2" w:rsidRPr="00C31A32">
        <w:rPr>
          <w:rFonts w:ascii="Times New Roman" w:hAnsi="Times New Roman" w:cs="Times New Roman"/>
        </w:rPr>
        <w:t xml:space="preserve"> T</w:t>
      </w:r>
      <w:r w:rsidRPr="00C31A32">
        <w:rPr>
          <w:rFonts w:ascii="Times New Roman" w:hAnsi="Times New Roman" w:cs="Times New Roman"/>
        </w:rPr>
        <w:t>he prohibition of discrimination</w:t>
      </w:r>
      <w:r w:rsidR="00B44EB2" w:rsidRPr="00C31A32">
        <w:rPr>
          <w:rFonts w:ascii="Times New Roman" w:hAnsi="Times New Roman" w:cs="Times New Roman"/>
        </w:rPr>
        <w:t xml:space="preserve"> </w:t>
      </w:r>
      <w:r w:rsidRPr="00C31A32">
        <w:rPr>
          <w:rFonts w:ascii="Times New Roman" w:hAnsi="Times New Roman" w:cs="Times New Roman"/>
        </w:rPr>
        <w:t xml:space="preserve">is </w:t>
      </w:r>
      <w:r w:rsidR="00B44EB2" w:rsidRPr="00C31A32">
        <w:rPr>
          <w:rFonts w:ascii="Times New Roman" w:hAnsi="Times New Roman" w:cs="Times New Roman"/>
        </w:rPr>
        <w:t>partly</w:t>
      </w:r>
      <w:r w:rsidRPr="00C31A32">
        <w:rPr>
          <w:rFonts w:ascii="Times New Roman" w:hAnsi="Times New Roman" w:cs="Times New Roman"/>
        </w:rPr>
        <w:t xml:space="preserve"> a response to the subordinating meaning of ‘institutionalised humiliation’ conveyed by certain forms of disadvantageous treatment. See J. M. </w:t>
      </w:r>
      <w:proofErr w:type="spellStart"/>
      <w:r w:rsidRPr="00C31A32">
        <w:rPr>
          <w:rFonts w:ascii="Times New Roman" w:hAnsi="Times New Roman" w:cs="Times New Roman"/>
        </w:rPr>
        <w:t>Balkin</w:t>
      </w:r>
      <w:proofErr w:type="spellEnd"/>
      <w:r w:rsidRPr="00C31A32">
        <w:rPr>
          <w:rFonts w:ascii="Times New Roman" w:hAnsi="Times New Roman" w:cs="Times New Roman"/>
        </w:rPr>
        <w:t xml:space="preserve"> and R. B. Siegel, ‘The American Civil Rights Tradition: </w:t>
      </w:r>
      <w:proofErr w:type="spellStart"/>
      <w:r w:rsidRPr="00C31A32">
        <w:rPr>
          <w:rFonts w:ascii="Times New Roman" w:hAnsi="Times New Roman" w:cs="Times New Roman"/>
        </w:rPr>
        <w:t>Anticlassification</w:t>
      </w:r>
      <w:proofErr w:type="spellEnd"/>
      <w:r w:rsidRPr="00C31A32">
        <w:rPr>
          <w:rFonts w:ascii="Times New Roman" w:hAnsi="Times New Roman" w:cs="Times New Roman"/>
        </w:rPr>
        <w:t xml:space="preserve"> or </w:t>
      </w:r>
      <w:proofErr w:type="spellStart"/>
      <w:r w:rsidRPr="00C31A32">
        <w:rPr>
          <w:rFonts w:ascii="Times New Roman" w:hAnsi="Times New Roman" w:cs="Times New Roman"/>
        </w:rPr>
        <w:t>Antisubordination</w:t>
      </w:r>
      <w:proofErr w:type="spellEnd"/>
      <w:r w:rsidRPr="00C31A32">
        <w:rPr>
          <w:rFonts w:ascii="Times New Roman" w:hAnsi="Times New Roman" w:cs="Times New Roman"/>
        </w:rPr>
        <w:t>?’ (2004) 58(9) U Miami L Rev 9.</w:t>
      </w:r>
    </w:p>
  </w:footnote>
  <w:footnote w:id="157">
    <w:p w14:paraId="424D0977" w14:textId="38EE1714"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Expressive harms can directly injure, and function differently from ideological or purely subjective injuries. ‘Expressive Harms and Standing’ (1999) 112(6) Harvard L Rev 1313; R. H. </w:t>
      </w:r>
      <w:proofErr w:type="spellStart"/>
      <w:r w:rsidRPr="00C31A32">
        <w:rPr>
          <w:rFonts w:ascii="Times New Roman" w:hAnsi="Times New Roman" w:cs="Times New Roman"/>
        </w:rPr>
        <w:t>Pildes</w:t>
      </w:r>
      <w:proofErr w:type="spellEnd"/>
      <w:r w:rsidRPr="00C31A32">
        <w:rPr>
          <w:rFonts w:ascii="Times New Roman" w:hAnsi="Times New Roman" w:cs="Times New Roman"/>
        </w:rPr>
        <w:t xml:space="preserve"> and R. G. Niemi, ‘Expressive Harms, “Bizarre Districts”, and Voting Rights: Evaluating Election-District Appearances After </w:t>
      </w:r>
      <w:r w:rsidRPr="00C31A32">
        <w:rPr>
          <w:rFonts w:ascii="Times New Roman" w:hAnsi="Times New Roman" w:cs="Times New Roman"/>
          <w:i/>
          <w:iCs/>
        </w:rPr>
        <w:t>Shaw v Reno</w:t>
      </w:r>
      <w:r w:rsidRPr="00C31A32">
        <w:rPr>
          <w:rFonts w:ascii="Times New Roman" w:hAnsi="Times New Roman" w:cs="Times New Roman"/>
        </w:rPr>
        <w:t xml:space="preserve">’ (1993) 92 </w:t>
      </w:r>
      <w:proofErr w:type="spellStart"/>
      <w:r w:rsidRPr="00C31A32">
        <w:rPr>
          <w:rFonts w:ascii="Times New Roman" w:hAnsi="Times New Roman" w:cs="Times New Roman"/>
        </w:rPr>
        <w:t>Mich</w:t>
      </w:r>
      <w:proofErr w:type="spellEnd"/>
      <w:r w:rsidRPr="00C31A32">
        <w:rPr>
          <w:rFonts w:ascii="Times New Roman" w:hAnsi="Times New Roman" w:cs="Times New Roman"/>
        </w:rPr>
        <w:t xml:space="preserve"> L Rev 483.</w:t>
      </w:r>
    </w:p>
  </w:footnote>
  <w:footnote w:id="158">
    <w:p w14:paraId="2070FB7D" w14:textId="019DB23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Subordinated groups do not choose the social meanings imposed on them by society’s institutions, such as religious groups or medical experts. L. Melling, ‘Religious Refusals to Public Accommodations Laws: Four Reasons to Say No’ (2015) 38 </w:t>
      </w:r>
      <w:r w:rsidRPr="00C31A32">
        <w:rPr>
          <w:rFonts w:ascii="Times New Roman" w:hAnsi="Times New Roman" w:cs="Times New Roman"/>
          <w:iCs/>
        </w:rPr>
        <w:t>Harvard J L &amp; Gender</w:t>
      </w:r>
      <w:r w:rsidRPr="00C31A32">
        <w:rPr>
          <w:rFonts w:ascii="Times New Roman" w:hAnsi="Times New Roman" w:cs="Times New Roman"/>
          <w:i/>
        </w:rPr>
        <w:t xml:space="preserve"> </w:t>
      </w:r>
      <w:r w:rsidRPr="00C31A32">
        <w:rPr>
          <w:rFonts w:ascii="Times New Roman" w:hAnsi="Times New Roman" w:cs="Times New Roman"/>
        </w:rPr>
        <w:t xml:space="preserve">177; M. Lim and L. Melling, ‘Inconvenience or Indignity? Religious Exemptions to Public Accommodations Laws’ (2014) 22(2) J L and </w:t>
      </w:r>
      <w:proofErr w:type="spellStart"/>
      <w:r w:rsidRPr="00C31A32">
        <w:rPr>
          <w:rFonts w:ascii="Times New Roman" w:hAnsi="Times New Roman" w:cs="Times New Roman"/>
        </w:rPr>
        <w:t>Pol</w:t>
      </w:r>
      <w:r w:rsidR="001D02BE" w:rsidRPr="00C31A32">
        <w:rPr>
          <w:rFonts w:ascii="Times New Roman" w:hAnsi="Times New Roman" w:cs="Times New Roman"/>
        </w:rPr>
        <w:t>’y</w:t>
      </w:r>
      <w:proofErr w:type="spellEnd"/>
      <w:r w:rsidRPr="00C31A32">
        <w:rPr>
          <w:rFonts w:ascii="Times New Roman" w:hAnsi="Times New Roman" w:cs="Times New Roman"/>
        </w:rPr>
        <w:t xml:space="preserve"> 705.</w:t>
      </w:r>
    </w:p>
  </w:footnote>
  <w:footnote w:id="159">
    <w:p w14:paraId="7FEB7788" w14:textId="092BB449" w:rsidR="002D6018" w:rsidRPr="00B24787" w:rsidRDefault="002D6018" w:rsidP="00B24787">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525333">
        <w:rPr>
          <w:rFonts w:ascii="Times New Roman" w:hAnsi="Times New Roman" w:cs="Times New Roman"/>
        </w:rPr>
        <w:t xml:space="preserve">See </w:t>
      </w:r>
      <w:proofErr w:type="gramStart"/>
      <w:r w:rsidR="00525333">
        <w:rPr>
          <w:rFonts w:ascii="Times New Roman" w:hAnsi="Times New Roman" w:cs="Times New Roman"/>
        </w:rPr>
        <w:t>e.g.</w:t>
      </w:r>
      <w:proofErr w:type="gramEnd"/>
      <w:r w:rsidR="00525333">
        <w:rPr>
          <w:rFonts w:ascii="Times New Roman" w:hAnsi="Times New Roman" w:cs="Times New Roman"/>
        </w:rPr>
        <w:t xml:space="preserve"> </w:t>
      </w:r>
      <w:r w:rsidR="00B24787">
        <w:rPr>
          <w:rFonts w:ascii="Times New Roman" w:hAnsi="Times New Roman" w:cs="Times New Roman"/>
        </w:rPr>
        <w:t xml:space="preserve">N. </w:t>
      </w:r>
      <w:proofErr w:type="spellStart"/>
      <w:r w:rsidR="00B24787">
        <w:rPr>
          <w:rFonts w:ascii="Times New Roman" w:hAnsi="Times New Roman" w:cs="Times New Roman"/>
        </w:rPr>
        <w:t>Mavronicola</w:t>
      </w:r>
      <w:proofErr w:type="spellEnd"/>
      <w:r w:rsidR="00B24787">
        <w:rPr>
          <w:rFonts w:ascii="Times New Roman" w:hAnsi="Times New Roman" w:cs="Times New Roman"/>
        </w:rPr>
        <w:t xml:space="preserve">, </w:t>
      </w:r>
      <w:r w:rsidR="00B24787">
        <w:rPr>
          <w:rFonts w:ascii="Times New Roman" w:hAnsi="Times New Roman" w:cs="Times New Roman"/>
          <w:i/>
          <w:iCs/>
        </w:rPr>
        <w:t>Torture, Inhumanity and Degradation under Article 3 of the ECHR: Absolute Rights and Absolute Wrongs</w:t>
      </w:r>
      <w:r w:rsidR="00B24787">
        <w:rPr>
          <w:rFonts w:ascii="Times New Roman" w:hAnsi="Times New Roman" w:cs="Times New Roman"/>
        </w:rPr>
        <w:t xml:space="preserve"> (Hart 2021) Ch 3; M. Nowak and E. McArthur, ‘The Distinction Between Torture and Cruel, Inhuman or Degrading Treatment’ (2006) 16(3) </w:t>
      </w:r>
      <w:r w:rsidR="00B24787">
        <w:rPr>
          <w:rFonts w:ascii="Times New Roman" w:hAnsi="Times New Roman" w:cs="Times New Roman"/>
          <w:i/>
          <w:iCs/>
        </w:rPr>
        <w:t>Torture</w:t>
      </w:r>
      <w:r w:rsidR="00B24787">
        <w:rPr>
          <w:rFonts w:ascii="Times New Roman" w:hAnsi="Times New Roman" w:cs="Times New Roman"/>
        </w:rPr>
        <w:t xml:space="preserve"> 147.</w:t>
      </w:r>
    </w:p>
  </w:footnote>
  <w:footnote w:id="160">
    <w:p w14:paraId="296CBB69" w14:textId="715EEACA"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The Yogyakarta Principles Plus 10, Principle 10 E. </w:t>
      </w:r>
      <w:r w:rsidR="008657B2" w:rsidRPr="00C31A32">
        <w:rPr>
          <w:rFonts w:ascii="Times New Roman" w:hAnsi="Times New Roman" w:cs="Times New Roman"/>
        </w:rPr>
        <w:t>Although the Yogyakarta Principles are not legally binding,</w:t>
      </w:r>
      <w:r w:rsidR="009E6C88" w:rsidRPr="00C31A32">
        <w:rPr>
          <w:rFonts w:ascii="Times New Roman" w:hAnsi="Times New Roman" w:cs="Times New Roman"/>
        </w:rPr>
        <w:t xml:space="preserve"> they are highly influential as they remain the most comprehensive identification of state human rights obligations in relation to sexual orientation and gender identity</w:t>
      </w:r>
      <w:r w:rsidRPr="00C31A32">
        <w:rPr>
          <w:rFonts w:ascii="Times New Roman" w:hAnsi="Times New Roman" w:cs="Times New Roman"/>
        </w:rPr>
        <w:t>.</w:t>
      </w:r>
      <w:r w:rsidR="009E6C88" w:rsidRPr="00C31A32">
        <w:rPr>
          <w:rFonts w:ascii="Times New Roman" w:hAnsi="Times New Roman" w:cs="Times New Roman"/>
        </w:rPr>
        <w:t xml:space="preserve"> See M. O’Flaherty and J. Fisher, ‘Sexual Orientation, Gender Identity and International Human Rights Law: Contextualising the Yogyakarta Principles’ (2008) 8(2) HRLR 207, 237-247.</w:t>
      </w:r>
    </w:p>
  </w:footnote>
  <w:footnote w:id="161">
    <w:p w14:paraId="4B5E6C2F"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UN Committee Against Torture, </w:t>
      </w:r>
      <w:r w:rsidRPr="00C31A32">
        <w:rPr>
          <w:rFonts w:ascii="Times New Roman" w:hAnsi="Times New Roman" w:cs="Times New Roman"/>
          <w:i/>
          <w:iCs/>
        </w:rPr>
        <w:t>Concluding Observations on the Seventh Periodic Report of Ecuador</w:t>
      </w:r>
      <w:r w:rsidRPr="00C31A32">
        <w:rPr>
          <w:rFonts w:ascii="Times New Roman" w:hAnsi="Times New Roman" w:cs="Times New Roman"/>
        </w:rPr>
        <w:t>, CAT/C/ECU/CO/7, 11 January 2017,</w:t>
      </w:r>
      <w:r w:rsidRPr="00C31A32">
        <w:rPr>
          <w:rFonts w:ascii="Times New Roman" w:hAnsi="Times New Roman" w:cs="Times New Roman"/>
          <w:i/>
          <w:iCs/>
        </w:rPr>
        <w:t xml:space="preserve"> </w:t>
      </w:r>
      <w:r w:rsidRPr="00C31A32">
        <w:rPr>
          <w:rFonts w:ascii="Times New Roman" w:hAnsi="Times New Roman" w:cs="Times New Roman"/>
        </w:rPr>
        <w:t>para 49.</w:t>
      </w:r>
    </w:p>
  </w:footnote>
  <w:footnote w:id="162">
    <w:p w14:paraId="00691408"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UN Committee Against Torture, </w:t>
      </w:r>
      <w:r w:rsidRPr="00C31A32">
        <w:rPr>
          <w:rFonts w:ascii="Times New Roman" w:hAnsi="Times New Roman" w:cs="Times New Roman"/>
          <w:i/>
          <w:iCs/>
        </w:rPr>
        <w:t>Concluding Observations on the Fifth Periodic Report of China</w:t>
      </w:r>
      <w:r w:rsidRPr="00C31A32">
        <w:rPr>
          <w:rFonts w:ascii="Times New Roman" w:hAnsi="Times New Roman" w:cs="Times New Roman"/>
        </w:rPr>
        <w:t>, CAT/C/CHN/CO/5, 3 February 2016,</w:t>
      </w:r>
      <w:r w:rsidRPr="00C31A32">
        <w:rPr>
          <w:rFonts w:ascii="Times New Roman" w:hAnsi="Times New Roman" w:cs="Times New Roman"/>
          <w:i/>
          <w:iCs/>
        </w:rPr>
        <w:t xml:space="preserve"> </w:t>
      </w:r>
      <w:r w:rsidRPr="00C31A32">
        <w:rPr>
          <w:rFonts w:ascii="Times New Roman" w:hAnsi="Times New Roman" w:cs="Times New Roman"/>
        </w:rPr>
        <w:t>para 55.</w:t>
      </w:r>
    </w:p>
  </w:footnote>
  <w:footnote w:id="163">
    <w:p w14:paraId="5A3218EC"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w:t>
      </w:r>
    </w:p>
  </w:footnote>
  <w:footnote w:id="164">
    <w:p w14:paraId="4EF30168"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para 56.</w:t>
      </w:r>
    </w:p>
  </w:footnote>
  <w:footnote w:id="165">
    <w:p w14:paraId="5B89DBAE" w14:textId="521A625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 Also UN HRC (n 11</w:t>
      </w:r>
      <w:r w:rsidR="00AB5840" w:rsidRPr="00C31A32">
        <w:rPr>
          <w:rFonts w:ascii="Times New Roman" w:hAnsi="Times New Roman" w:cs="Times New Roman"/>
        </w:rPr>
        <w:t>8</w:t>
      </w:r>
      <w:r w:rsidRPr="00C31A32">
        <w:rPr>
          <w:rFonts w:ascii="Times New Roman" w:hAnsi="Times New Roman" w:cs="Times New Roman"/>
        </w:rPr>
        <w:t>) para 56.</w:t>
      </w:r>
    </w:p>
  </w:footnote>
  <w:footnote w:id="166">
    <w:p w14:paraId="644EEA1D" w14:textId="7D8E3CD6" w:rsidR="00C56090" w:rsidRPr="00C31A32" w:rsidRDefault="00C56090"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Apart from </w:t>
      </w:r>
      <w:r w:rsidR="007262A1" w:rsidRPr="00C31A32">
        <w:rPr>
          <w:rFonts w:ascii="Times New Roman" w:hAnsi="Times New Roman" w:cs="Times New Roman"/>
        </w:rPr>
        <w:t>‘</w:t>
      </w:r>
      <w:r w:rsidRPr="00C31A32">
        <w:rPr>
          <w:rFonts w:ascii="Times New Roman" w:hAnsi="Times New Roman" w:cs="Times New Roman"/>
        </w:rPr>
        <w:t>framework</w:t>
      </w:r>
      <w:r w:rsidR="007262A1" w:rsidRPr="00C31A32">
        <w:rPr>
          <w:rFonts w:ascii="Times New Roman" w:hAnsi="Times New Roman" w:cs="Times New Roman"/>
        </w:rPr>
        <w:t>’</w:t>
      </w:r>
      <w:r w:rsidRPr="00C31A32">
        <w:rPr>
          <w:rFonts w:ascii="Times New Roman" w:hAnsi="Times New Roman" w:cs="Times New Roman"/>
        </w:rPr>
        <w:t xml:space="preserve"> and operational positive duties, Article 3 also gives rise to investigative duties. Those fall outside the scope of this article.</w:t>
      </w:r>
    </w:p>
  </w:footnote>
  <w:footnote w:id="167">
    <w:p w14:paraId="4C01BCBD" w14:textId="2EF6786B"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See </w:t>
      </w:r>
      <w:proofErr w:type="gramStart"/>
      <w:r w:rsidRPr="00C31A32">
        <w:rPr>
          <w:rFonts w:ascii="Times New Roman" w:hAnsi="Times New Roman" w:cs="Times New Roman"/>
        </w:rPr>
        <w:t>e.g.</w:t>
      </w:r>
      <w:proofErr w:type="gramEnd"/>
      <w:r w:rsidRPr="00C31A32">
        <w:rPr>
          <w:rFonts w:ascii="Times New Roman" w:hAnsi="Times New Roman" w:cs="Times New Roman"/>
        </w:rPr>
        <w:t xml:space="preserve"> </w:t>
      </w:r>
      <w:proofErr w:type="spellStart"/>
      <w:r w:rsidRPr="00C31A32">
        <w:rPr>
          <w:rFonts w:ascii="Times New Roman" w:hAnsi="Times New Roman" w:cs="Times New Roman"/>
          <w:i/>
          <w:iCs/>
        </w:rPr>
        <w:t>Đorđević</w:t>
      </w:r>
      <w:proofErr w:type="spellEnd"/>
      <w:r w:rsidRPr="00C31A32">
        <w:rPr>
          <w:rFonts w:ascii="Times New Roman" w:hAnsi="Times New Roman" w:cs="Times New Roman"/>
          <w:i/>
          <w:iCs/>
        </w:rPr>
        <w:t xml:space="preserve"> v Croatia</w:t>
      </w:r>
      <w:r w:rsidRPr="00C31A32">
        <w:rPr>
          <w:rFonts w:ascii="Times New Roman" w:hAnsi="Times New Roman" w:cs="Times New Roman"/>
        </w:rPr>
        <w:t>, Application No. 41526/10, 24 July 2012, para 1</w:t>
      </w:r>
      <w:r w:rsidR="000D79D7" w:rsidRPr="00C31A32">
        <w:rPr>
          <w:rFonts w:ascii="Times New Roman" w:hAnsi="Times New Roman" w:cs="Times New Roman"/>
        </w:rPr>
        <w:t>38</w:t>
      </w:r>
      <w:r w:rsidRPr="00C31A32">
        <w:rPr>
          <w:rFonts w:ascii="Times New Roman" w:hAnsi="Times New Roman" w:cs="Times New Roman"/>
        </w:rPr>
        <w:t xml:space="preserve">; </w:t>
      </w:r>
      <w:proofErr w:type="spellStart"/>
      <w:r w:rsidRPr="00C31A32">
        <w:rPr>
          <w:rFonts w:ascii="Times New Roman" w:hAnsi="Times New Roman" w:cs="Times New Roman"/>
          <w:i/>
          <w:iCs/>
        </w:rPr>
        <w:t>Beganović</w:t>
      </w:r>
      <w:proofErr w:type="spellEnd"/>
      <w:r w:rsidRPr="00C31A32">
        <w:rPr>
          <w:rFonts w:ascii="Times New Roman" w:hAnsi="Times New Roman" w:cs="Times New Roman"/>
          <w:i/>
          <w:iCs/>
        </w:rPr>
        <w:t xml:space="preserve"> v Croatia</w:t>
      </w:r>
      <w:r w:rsidRPr="00C31A32">
        <w:rPr>
          <w:rFonts w:ascii="Times New Roman" w:hAnsi="Times New Roman" w:cs="Times New Roman"/>
        </w:rPr>
        <w:t xml:space="preserve">, Application No. 46423/06, 25 June 2009, para 71; </w:t>
      </w:r>
      <w:proofErr w:type="spellStart"/>
      <w:r w:rsidRPr="00C31A32">
        <w:rPr>
          <w:rFonts w:ascii="Times New Roman" w:hAnsi="Times New Roman" w:cs="Times New Roman"/>
          <w:i/>
          <w:iCs/>
        </w:rPr>
        <w:t>Nachova</w:t>
      </w:r>
      <w:proofErr w:type="spellEnd"/>
      <w:r w:rsidRPr="00C31A32">
        <w:rPr>
          <w:rFonts w:ascii="Times New Roman" w:hAnsi="Times New Roman" w:cs="Times New Roman"/>
        </w:rPr>
        <w:t xml:space="preserve"> (n </w:t>
      </w:r>
      <w:r w:rsidR="00AB5840" w:rsidRPr="00C31A32">
        <w:rPr>
          <w:rFonts w:ascii="Times New Roman" w:hAnsi="Times New Roman" w:cs="Times New Roman"/>
        </w:rPr>
        <w:t>100</w:t>
      </w:r>
      <w:r w:rsidRPr="00C31A32">
        <w:rPr>
          <w:rFonts w:ascii="Times New Roman" w:hAnsi="Times New Roman" w:cs="Times New Roman"/>
        </w:rPr>
        <w:t xml:space="preserve">) para 96; </w:t>
      </w:r>
      <w:r w:rsidRPr="00C31A32">
        <w:rPr>
          <w:rFonts w:ascii="Times New Roman" w:hAnsi="Times New Roman" w:cs="Times New Roman"/>
          <w:i/>
          <w:iCs/>
        </w:rPr>
        <w:t>A v United Kingdom</w:t>
      </w:r>
      <w:r w:rsidRPr="00C31A32">
        <w:rPr>
          <w:rFonts w:ascii="Times New Roman" w:hAnsi="Times New Roman" w:cs="Times New Roman"/>
        </w:rPr>
        <w:t xml:space="preserve"> (1998) 27 EHRR 611, para 22.</w:t>
      </w:r>
    </w:p>
  </w:footnote>
  <w:footnote w:id="168">
    <w:p w14:paraId="79B26B75"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Šečić</w:t>
      </w:r>
      <w:proofErr w:type="spellEnd"/>
      <w:r w:rsidRPr="00C31A32">
        <w:rPr>
          <w:rFonts w:ascii="Times New Roman" w:hAnsi="Times New Roman" w:cs="Times New Roman"/>
          <w:i/>
          <w:iCs/>
        </w:rPr>
        <w:t xml:space="preserve"> v Croatia</w:t>
      </w:r>
      <w:r w:rsidRPr="00C31A32">
        <w:rPr>
          <w:rFonts w:ascii="Times New Roman" w:hAnsi="Times New Roman" w:cs="Times New Roman"/>
        </w:rPr>
        <w:t xml:space="preserve">, Application No. 40116/02, 31 May 2007, para 53; </w:t>
      </w:r>
      <w:r w:rsidRPr="00C31A32">
        <w:rPr>
          <w:rFonts w:ascii="Times New Roman" w:hAnsi="Times New Roman" w:cs="Times New Roman"/>
          <w:i/>
          <w:iCs/>
        </w:rPr>
        <w:t>Moldovan and Others v Romania</w:t>
      </w:r>
      <w:r w:rsidRPr="00C31A32">
        <w:rPr>
          <w:rFonts w:ascii="Times New Roman" w:hAnsi="Times New Roman" w:cs="Times New Roman"/>
        </w:rPr>
        <w:t xml:space="preserve">, Application Nos. 41138/98 and 64320/01, 12 July 2005, para 98; </w:t>
      </w:r>
      <w:r w:rsidRPr="00C31A32">
        <w:rPr>
          <w:rFonts w:ascii="Times New Roman" w:hAnsi="Times New Roman" w:cs="Times New Roman"/>
          <w:i/>
          <w:iCs/>
        </w:rPr>
        <w:t>M.C. v Bulgaria</w:t>
      </w:r>
      <w:r w:rsidRPr="00C31A32">
        <w:rPr>
          <w:rFonts w:ascii="Times New Roman" w:hAnsi="Times New Roman" w:cs="Times New Roman"/>
        </w:rPr>
        <w:t xml:space="preserve">, Application No. 39272/98, 4 December 2003, para 151. See also </w:t>
      </w:r>
      <w:r w:rsidRPr="00C31A32">
        <w:rPr>
          <w:rFonts w:ascii="Times New Roman" w:hAnsi="Times New Roman" w:cs="Times New Roman"/>
          <w:i/>
          <w:iCs/>
        </w:rPr>
        <w:t>Gezer v Secretary of State for the Home Department</w:t>
      </w:r>
      <w:r w:rsidRPr="00C31A32">
        <w:rPr>
          <w:rFonts w:ascii="Times New Roman" w:hAnsi="Times New Roman" w:cs="Times New Roman"/>
        </w:rPr>
        <w:t xml:space="preserve"> [2004] EWCA </w:t>
      </w:r>
      <w:proofErr w:type="spellStart"/>
      <w:r w:rsidRPr="00C31A32">
        <w:rPr>
          <w:rFonts w:ascii="Times New Roman" w:hAnsi="Times New Roman" w:cs="Times New Roman"/>
        </w:rPr>
        <w:t>Civ</w:t>
      </w:r>
      <w:proofErr w:type="spellEnd"/>
      <w:r w:rsidRPr="00C31A32">
        <w:rPr>
          <w:rFonts w:ascii="Times New Roman" w:hAnsi="Times New Roman" w:cs="Times New Roman"/>
        </w:rPr>
        <w:t xml:space="preserve"> 1730, [2005] HRLR 7. See also, </w:t>
      </w:r>
      <w:r w:rsidRPr="00C31A32">
        <w:rPr>
          <w:rFonts w:ascii="Times New Roman" w:hAnsi="Times New Roman" w:cs="Times New Roman"/>
          <w:i/>
          <w:iCs/>
        </w:rPr>
        <w:t>mutatis mutandis</w:t>
      </w:r>
      <w:r w:rsidRPr="00C31A32">
        <w:rPr>
          <w:rFonts w:ascii="Times New Roman" w:hAnsi="Times New Roman" w:cs="Times New Roman"/>
        </w:rPr>
        <w:t xml:space="preserve">, </w:t>
      </w:r>
      <w:r w:rsidRPr="00C31A32">
        <w:rPr>
          <w:rFonts w:ascii="Times New Roman" w:hAnsi="Times New Roman" w:cs="Times New Roman"/>
          <w:i/>
          <w:iCs/>
        </w:rPr>
        <w:t>Commissioner of Police of the Metropolis v DSD</w:t>
      </w:r>
      <w:r w:rsidRPr="00C31A32">
        <w:rPr>
          <w:rFonts w:ascii="Times New Roman" w:hAnsi="Times New Roman" w:cs="Times New Roman"/>
        </w:rPr>
        <w:t xml:space="preserve"> [2018] UKSC 11, [2019] AC 196 per Lord Neuberger at [88].</w:t>
      </w:r>
    </w:p>
  </w:footnote>
  <w:footnote w:id="169">
    <w:p w14:paraId="3D057E87" w14:textId="4C84C0EF" w:rsidR="00277248" w:rsidRPr="00C31A32" w:rsidRDefault="00277248"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00064187" w:rsidRPr="00C31A32">
        <w:rPr>
          <w:rFonts w:ascii="Times New Roman" w:hAnsi="Times New Roman" w:cs="Times New Roman"/>
          <w:i/>
          <w:iCs/>
        </w:rPr>
        <w:t xml:space="preserve"> Osman v United Kingdom</w:t>
      </w:r>
      <w:r w:rsidR="00064187" w:rsidRPr="00C31A32">
        <w:rPr>
          <w:rFonts w:ascii="Times New Roman" w:hAnsi="Times New Roman" w:cs="Times New Roman"/>
        </w:rPr>
        <w:t xml:space="preserve">, Application No. 23452/94, 28 October 1998 (Grand Chamber) para 116. On the application of the </w:t>
      </w:r>
      <w:r w:rsidR="00064187" w:rsidRPr="00C31A32">
        <w:rPr>
          <w:rFonts w:ascii="Times New Roman" w:hAnsi="Times New Roman" w:cs="Times New Roman"/>
          <w:i/>
          <w:iCs/>
        </w:rPr>
        <w:t xml:space="preserve">Osman </w:t>
      </w:r>
      <w:r w:rsidR="00064187" w:rsidRPr="00C31A32">
        <w:rPr>
          <w:rFonts w:ascii="Times New Roman" w:hAnsi="Times New Roman" w:cs="Times New Roman"/>
        </w:rPr>
        <w:t xml:space="preserve">test in the context of Article 3 see </w:t>
      </w:r>
      <w:proofErr w:type="spellStart"/>
      <w:r w:rsidR="00064187" w:rsidRPr="00C31A32">
        <w:rPr>
          <w:rFonts w:ascii="Times New Roman" w:hAnsi="Times New Roman" w:cs="Times New Roman"/>
          <w:i/>
          <w:iCs/>
        </w:rPr>
        <w:t>Đorđević</w:t>
      </w:r>
      <w:proofErr w:type="spellEnd"/>
      <w:r w:rsidR="00064187" w:rsidRPr="00C31A32">
        <w:rPr>
          <w:rFonts w:ascii="Times New Roman" w:hAnsi="Times New Roman" w:cs="Times New Roman"/>
          <w:i/>
          <w:iCs/>
        </w:rPr>
        <w:t xml:space="preserve"> </w:t>
      </w:r>
      <w:r w:rsidR="00064187" w:rsidRPr="00C31A32">
        <w:rPr>
          <w:rFonts w:ascii="Times New Roman" w:hAnsi="Times New Roman" w:cs="Times New Roman"/>
        </w:rPr>
        <w:t>(n 1</w:t>
      </w:r>
      <w:r w:rsidR="00AB5840" w:rsidRPr="00C31A32">
        <w:rPr>
          <w:rFonts w:ascii="Times New Roman" w:hAnsi="Times New Roman" w:cs="Times New Roman"/>
        </w:rPr>
        <w:t>6</w:t>
      </w:r>
      <w:r w:rsidR="00064187" w:rsidRPr="00C31A32">
        <w:rPr>
          <w:rFonts w:ascii="Times New Roman" w:hAnsi="Times New Roman" w:cs="Times New Roman"/>
        </w:rPr>
        <w:t xml:space="preserve">6); </w:t>
      </w:r>
      <w:proofErr w:type="gramStart"/>
      <w:r w:rsidR="00064187" w:rsidRPr="00C31A32">
        <w:rPr>
          <w:rFonts w:ascii="Times New Roman" w:hAnsi="Times New Roman" w:cs="Times New Roman"/>
        </w:rPr>
        <w:t>also</w:t>
      </w:r>
      <w:proofErr w:type="gramEnd"/>
      <w:r w:rsidR="00064187" w:rsidRPr="00C31A32">
        <w:rPr>
          <w:rFonts w:ascii="Times New Roman" w:hAnsi="Times New Roman" w:cs="Times New Roman"/>
          <w:i/>
          <w:iCs/>
        </w:rPr>
        <w:t xml:space="preserve"> Z and Others v United Kingdom</w:t>
      </w:r>
      <w:r w:rsidR="00064187" w:rsidRPr="00C31A32">
        <w:rPr>
          <w:rFonts w:ascii="Times New Roman" w:hAnsi="Times New Roman" w:cs="Times New Roman"/>
        </w:rPr>
        <w:t xml:space="preserve">, Application No. 29392/95, 10 May 2001 (Grand Chamber) para 255. The UK courts apply the </w:t>
      </w:r>
      <w:r w:rsidR="00064187" w:rsidRPr="00C31A32">
        <w:rPr>
          <w:rFonts w:ascii="Times New Roman" w:hAnsi="Times New Roman" w:cs="Times New Roman"/>
          <w:i/>
          <w:iCs/>
        </w:rPr>
        <w:t xml:space="preserve">Osman </w:t>
      </w:r>
      <w:r w:rsidR="00064187" w:rsidRPr="00C31A32">
        <w:rPr>
          <w:rFonts w:ascii="Times New Roman" w:hAnsi="Times New Roman" w:cs="Times New Roman"/>
        </w:rPr>
        <w:t xml:space="preserve">test in cases involving complaints under Article 3. See </w:t>
      </w:r>
      <w:r w:rsidR="00064187" w:rsidRPr="00C31A32">
        <w:rPr>
          <w:rFonts w:ascii="Times New Roman" w:hAnsi="Times New Roman" w:cs="Times New Roman"/>
          <w:i/>
          <w:iCs/>
        </w:rPr>
        <w:t>DSD</w:t>
      </w:r>
      <w:r w:rsidR="00064187" w:rsidRPr="00C31A32">
        <w:rPr>
          <w:rFonts w:ascii="Times New Roman" w:hAnsi="Times New Roman" w:cs="Times New Roman"/>
        </w:rPr>
        <w:t xml:space="preserve"> (n 1</w:t>
      </w:r>
      <w:r w:rsidR="00AB5840" w:rsidRPr="00C31A32">
        <w:rPr>
          <w:rFonts w:ascii="Times New Roman" w:hAnsi="Times New Roman" w:cs="Times New Roman"/>
        </w:rPr>
        <w:t>6</w:t>
      </w:r>
      <w:r w:rsidR="00064187" w:rsidRPr="00C31A32">
        <w:rPr>
          <w:rFonts w:ascii="Times New Roman" w:hAnsi="Times New Roman" w:cs="Times New Roman"/>
        </w:rPr>
        <w:t xml:space="preserve">7) per Lord Neuberger paras 92–98; </w:t>
      </w:r>
      <w:r w:rsidR="00064187" w:rsidRPr="00C31A32">
        <w:rPr>
          <w:rFonts w:ascii="Times New Roman" w:hAnsi="Times New Roman" w:cs="Times New Roman"/>
          <w:i/>
          <w:iCs/>
        </w:rPr>
        <w:t>R (</w:t>
      </w:r>
      <w:proofErr w:type="spellStart"/>
      <w:r w:rsidR="00064187" w:rsidRPr="00C31A32">
        <w:rPr>
          <w:rFonts w:ascii="Times New Roman" w:hAnsi="Times New Roman" w:cs="Times New Roman"/>
          <w:i/>
          <w:iCs/>
        </w:rPr>
        <w:t>Munjaz</w:t>
      </w:r>
      <w:proofErr w:type="spellEnd"/>
      <w:r w:rsidR="00064187" w:rsidRPr="00C31A32">
        <w:rPr>
          <w:rFonts w:ascii="Times New Roman" w:hAnsi="Times New Roman" w:cs="Times New Roman"/>
          <w:i/>
          <w:iCs/>
        </w:rPr>
        <w:t xml:space="preserve">) v Ashworth Hospital Authority </w:t>
      </w:r>
      <w:r w:rsidR="00064187" w:rsidRPr="00C31A32">
        <w:rPr>
          <w:rFonts w:ascii="Times New Roman" w:hAnsi="Times New Roman" w:cs="Times New Roman"/>
        </w:rPr>
        <w:t>[2005] UKHL 58, [2006] 2 AC 148 paras 78–80.</w:t>
      </w:r>
    </w:p>
  </w:footnote>
  <w:footnote w:id="170">
    <w:p w14:paraId="4C60BF35" w14:textId="7F4D4705" w:rsidR="00866F80" w:rsidRPr="00C31A32" w:rsidRDefault="00866F80" w:rsidP="00890923">
      <w:pPr>
        <w:pStyle w:val="FootnoteText"/>
        <w:ind w:firstLine="142"/>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Đorđević</w:t>
      </w:r>
      <w:proofErr w:type="spellEnd"/>
      <w:r w:rsidRPr="00C31A32">
        <w:rPr>
          <w:rFonts w:ascii="Times New Roman" w:hAnsi="Times New Roman" w:cs="Times New Roman"/>
          <w:i/>
          <w:iCs/>
        </w:rPr>
        <w:t xml:space="preserve"> </w:t>
      </w:r>
      <w:r w:rsidRPr="00C31A32">
        <w:rPr>
          <w:rFonts w:ascii="Times New Roman" w:hAnsi="Times New Roman" w:cs="Times New Roman"/>
        </w:rPr>
        <w:t>(n 16</w:t>
      </w:r>
      <w:r w:rsidR="002D6018" w:rsidRPr="00C31A32">
        <w:rPr>
          <w:rFonts w:ascii="Times New Roman" w:hAnsi="Times New Roman" w:cs="Times New Roman"/>
        </w:rPr>
        <w:t>7</w:t>
      </w:r>
      <w:r w:rsidRPr="00C31A32">
        <w:rPr>
          <w:rFonts w:ascii="Times New Roman" w:hAnsi="Times New Roman" w:cs="Times New Roman"/>
        </w:rPr>
        <w:t>) para 139.</w:t>
      </w:r>
    </w:p>
  </w:footnote>
  <w:footnote w:id="171">
    <w:p w14:paraId="4CD16EAD" w14:textId="0AE84EFC"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rPr>
        <w:t>Mavronicola</w:t>
      </w:r>
      <w:proofErr w:type="spellEnd"/>
      <w:r w:rsidRPr="00C31A32">
        <w:rPr>
          <w:rFonts w:ascii="Times New Roman" w:hAnsi="Times New Roman" w:cs="Times New Roman"/>
        </w:rPr>
        <w:t xml:space="preserve"> (n 5</w:t>
      </w:r>
      <w:r w:rsidR="00AB5840" w:rsidRPr="00C31A32">
        <w:rPr>
          <w:rFonts w:ascii="Times New Roman" w:hAnsi="Times New Roman" w:cs="Times New Roman"/>
        </w:rPr>
        <w:t>8</w:t>
      </w:r>
      <w:r w:rsidRPr="00C31A32">
        <w:rPr>
          <w:rFonts w:ascii="Times New Roman" w:hAnsi="Times New Roman" w:cs="Times New Roman"/>
        </w:rPr>
        <w:t>) 732-735.</w:t>
      </w:r>
    </w:p>
  </w:footnote>
  <w:footnote w:id="172">
    <w:p w14:paraId="7F1357E9" w14:textId="73B82FBB" w:rsidR="00C56090" w:rsidRPr="00C31A32" w:rsidRDefault="00C56090" w:rsidP="00890923">
      <w:pPr>
        <w:pStyle w:val="FootnoteText"/>
        <w:ind w:firstLine="142"/>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Osman</w:t>
      </w:r>
      <w:r w:rsidRPr="00C31A32">
        <w:rPr>
          <w:rFonts w:ascii="Times New Roman" w:hAnsi="Times New Roman" w:cs="Times New Roman"/>
        </w:rPr>
        <w:t xml:space="preserve"> (n 16</w:t>
      </w:r>
      <w:r w:rsidR="002D6018" w:rsidRPr="00C31A32">
        <w:rPr>
          <w:rFonts w:ascii="Times New Roman" w:hAnsi="Times New Roman" w:cs="Times New Roman"/>
        </w:rPr>
        <w:t>9</w:t>
      </w:r>
      <w:r w:rsidRPr="00C31A32">
        <w:rPr>
          <w:rFonts w:ascii="Times New Roman" w:hAnsi="Times New Roman" w:cs="Times New Roman"/>
        </w:rPr>
        <w:t xml:space="preserve">) para </w:t>
      </w:r>
      <w:r w:rsidR="00140030" w:rsidRPr="00C31A32">
        <w:rPr>
          <w:rFonts w:ascii="Times New Roman" w:hAnsi="Times New Roman" w:cs="Times New Roman"/>
        </w:rPr>
        <w:t>116.</w:t>
      </w:r>
    </w:p>
  </w:footnote>
  <w:footnote w:id="173">
    <w:p w14:paraId="1831CCFF"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UN Committee on the Elimination of Discrimination Against Women, </w:t>
      </w:r>
      <w:r w:rsidRPr="00C31A32">
        <w:rPr>
          <w:rFonts w:ascii="Times New Roman" w:hAnsi="Times New Roman" w:cs="Times New Roman"/>
          <w:i/>
          <w:iCs/>
        </w:rPr>
        <w:t>V.K. v Bulgaria</w:t>
      </w:r>
      <w:r w:rsidRPr="00C31A32">
        <w:rPr>
          <w:rFonts w:ascii="Times New Roman" w:hAnsi="Times New Roman" w:cs="Times New Roman"/>
        </w:rPr>
        <w:t>, Communication No. 20/2008, 15 October 2008, para 9.8.</w:t>
      </w:r>
    </w:p>
  </w:footnote>
  <w:footnote w:id="174">
    <w:p w14:paraId="499209C9"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Volodina</w:t>
      </w:r>
      <w:proofErr w:type="spellEnd"/>
      <w:r w:rsidRPr="00C31A32">
        <w:rPr>
          <w:rFonts w:ascii="Times New Roman" w:hAnsi="Times New Roman" w:cs="Times New Roman"/>
          <w:i/>
          <w:iCs/>
        </w:rPr>
        <w:t xml:space="preserve"> v Russia</w:t>
      </w:r>
      <w:r w:rsidRPr="00C31A32">
        <w:rPr>
          <w:rFonts w:ascii="Times New Roman" w:hAnsi="Times New Roman" w:cs="Times New Roman"/>
        </w:rPr>
        <w:t>, Application No. 41261/17, 9 July 2019, para 86.</w:t>
      </w:r>
    </w:p>
  </w:footnote>
  <w:footnote w:id="175">
    <w:p w14:paraId="028E31E0"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ibid.</w:t>
      </w:r>
    </w:p>
  </w:footnote>
  <w:footnote w:id="176">
    <w:p w14:paraId="241C074A" w14:textId="0E17AB4D"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Separate opinion of Judge Pinto de Albuquerque, in </w:t>
      </w:r>
      <w:proofErr w:type="spellStart"/>
      <w:r w:rsidRPr="00C31A32">
        <w:rPr>
          <w:rFonts w:ascii="Times New Roman" w:hAnsi="Times New Roman" w:cs="Times New Roman"/>
          <w:i/>
          <w:iCs/>
        </w:rPr>
        <w:t>Volodina</w:t>
      </w:r>
      <w:proofErr w:type="spellEnd"/>
      <w:r w:rsidRPr="00C31A32">
        <w:rPr>
          <w:rFonts w:ascii="Times New Roman" w:hAnsi="Times New Roman" w:cs="Times New Roman"/>
        </w:rPr>
        <w:t xml:space="preserve"> (n 1</w:t>
      </w:r>
      <w:r w:rsidR="00493C10" w:rsidRPr="00C31A32">
        <w:rPr>
          <w:rFonts w:ascii="Times New Roman" w:hAnsi="Times New Roman" w:cs="Times New Roman"/>
        </w:rPr>
        <w:t>7</w:t>
      </w:r>
      <w:r w:rsidR="00F90F83">
        <w:rPr>
          <w:rFonts w:ascii="Times New Roman" w:hAnsi="Times New Roman" w:cs="Times New Roman"/>
        </w:rPr>
        <w:t>2</w:t>
      </w:r>
      <w:r w:rsidRPr="00C31A32">
        <w:rPr>
          <w:rFonts w:ascii="Times New Roman" w:hAnsi="Times New Roman" w:cs="Times New Roman"/>
        </w:rPr>
        <w:t xml:space="preserve">) para 12. </w:t>
      </w:r>
    </w:p>
  </w:footnote>
  <w:footnote w:id="177">
    <w:p w14:paraId="62505C1A" w14:textId="7643B272"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This is congenial to the presumption set in </w:t>
      </w:r>
      <w:r w:rsidRPr="00C31A32">
        <w:rPr>
          <w:rFonts w:ascii="Times New Roman" w:hAnsi="Times New Roman" w:cs="Times New Roman"/>
          <w:i/>
          <w:iCs/>
        </w:rPr>
        <w:t>Re E</w:t>
      </w:r>
      <w:r w:rsidRPr="00C31A32">
        <w:rPr>
          <w:rFonts w:ascii="Times New Roman" w:hAnsi="Times New Roman" w:cs="Times New Roman"/>
        </w:rPr>
        <w:t>, namely</w:t>
      </w:r>
      <w:r w:rsidRPr="00C31A32">
        <w:rPr>
          <w:rFonts w:ascii="Times New Roman" w:hAnsi="Times New Roman" w:cs="Times New Roman"/>
          <w:i/>
          <w:iCs/>
        </w:rPr>
        <w:t xml:space="preserve"> </w:t>
      </w:r>
      <w:r w:rsidRPr="00C31A32">
        <w:rPr>
          <w:rFonts w:ascii="Times New Roman" w:hAnsi="Times New Roman" w:cs="Times New Roman"/>
        </w:rPr>
        <w:t xml:space="preserve">that the authorities knew or ought to have known about the existence of a </w:t>
      </w:r>
      <w:r w:rsidR="007262A1" w:rsidRPr="00C31A32">
        <w:rPr>
          <w:rFonts w:ascii="Times New Roman" w:hAnsi="Times New Roman" w:cs="Times New Roman"/>
        </w:rPr>
        <w:t xml:space="preserve">real </w:t>
      </w:r>
      <w:r w:rsidRPr="00C31A32">
        <w:rPr>
          <w:rFonts w:ascii="Times New Roman" w:hAnsi="Times New Roman" w:cs="Times New Roman"/>
        </w:rPr>
        <w:t xml:space="preserve">risk of ill-treatment whenever a breach has occurred, and then recurred, over a period of time. See </w:t>
      </w:r>
      <w:r w:rsidRPr="00C31A32">
        <w:rPr>
          <w:rFonts w:ascii="Times New Roman" w:hAnsi="Times New Roman" w:cs="Times New Roman"/>
          <w:i/>
          <w:iCs/>
        </w:rPr>
        <w:t xml:space="preserve">Re E v Chief Constable of the Royal Ulster Constabulary and another </w:t>
      </w:r>
      <w:r w:rsidRPr="00C31A32">
        <w:rPr>
          <w:rFonts w:ascii="Times New Roman" w:hAnsi="Times New Roman" w:cs="Times New Roman"/>
        </w:rPr>
        <w:t>[2008] UKHL 66, [2009] 1 AC 536.</w:t>
      </w:r>
    </w:p>
  </w:footnote>
  <w:footnote w:id="178">
    <w:p w14:paraId="36A4143F" w14:textId="6E3DB7E3" w:rsidR="00246B60" w:rsidRPr="00C31A32" w:rsidRDefault="00246B60"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CF2BE4" w:rsidRPr="00C31A32">
        <w:rPr>
          <w:rFonts w:ascii="Times New Roman" w:hAnsi="Times New Roman" w:cs="Times New Roman"/>
        </w:rPr>
        <w:t xml:space="preserve">For a critical appraisal of this presumption see </w:t>
      </w:r>
      <w:r w:rsidR="007262A1" w:rsidRPr="00C31A32">
        <w:rPr>
          <w:rFonts w:ascii="Times New Roman" w:hAnsi="Times New Roman" w:cs="Times New Roman"/>
        </w:rPr>
        <w:t xml:space="preserve">L. Lazarus, ‘Positive Obligations and Criminal Justice: Duties to Protect or Coerce’, in L. </w:t>
      </w:r>
      <w:proofErr w:type="spellStart"/>
      <w:r w:rsidR="007262A1" w:rsidRPr="00C31A32">
        <w:rPr>
          <w:rFonts w:ascii="Times New Roman" w:hAnsi="Times New Roman" w:cs="Times New Roman"/>
        </w:rPr>
        <w:t>Zadner</w:t>
      </w:r>
      <w:proofErr w:type="spellEnd"/>
      <w:r w:rsidR="007262A1" w:rsidRPr="00C31A32">
        <w:rPr>
          <w:rFonts w:ascii="Times New Roman" w:hAnsi="Times New Roman" w:cs="Times New Roman"/>
        </w:rPr>
        <w:t xml:space="preserve"> and J. Roberts (eds), </w:t>
      </w:r>
      <w:r w:rsidR="007262A1" w:rsidRPr="00C31A32">
        <w:rPr>
          <w:rFonts w:ascii="Times New Roman" w:hAnsi="Times New Roman" w:cs="Times New Roman"/>
          <w:i/>
          <w:iCs/>
        </w:rPr>
        <w:t xml:space="preserve">Principles and Values in Criminal Law and Criminal Justice </w:t>
      </w:r>
      <w:r w:rsidR="007262A1" w:rsidRPr="00C31A32">
        <w:rPr>
          <w:rFonts w:ascii="Times New Roman" w:hAnsi="Times New Roman" w:cs="Times New Roman"/>
        </w:rPr>
        <w:t xml:space="preserve">(OUP 2012) 135-157; </w:t>
      </w:r>
      <w:r w:rsidR="00CF2BE4" w:rsidRPr="00C31A32">
        <w:rPr>
          <w:rFonts w:ascii="Times New Roman" w:hAnsi="Times New Roman" w:cs="Times New Roman"/>
        </w:rPr>
        <w:t xml:space="preserve">F. </w:t>
      </w:r>
      <w:proofErr w:type="spellStart"/>
      <w:r w:rsidR="00CF2BE4" w:rsidRPr="00C31A32">
        <w:rPr>
          <w:rFonts w:ascii="Times New Roman" w:hAnsi="Times New Roman" w:cs="Times New Roman"/>
        </w:rPr>
        <w:t>Tulkens</w:t>
      </w:r>
      <w:proofErr w:type="spellEnd"/>
      <w:r w:rsidR="00CF2BE4" w:rsidRPr="00C31A32">
        <w:rPr>
          <w:rFonts w:ascii="Times New Roman" w:hAnsi="Times New Roman" w:cs="Times New Roman"/>
        </w:rPr>
        <w:t>, ‘The Paradoxical Relationship between Criminal Law and Human Rights’ (2011) 9 JICJ 577.</w:t>
      </w:r>
    </w:p>
  </w:footnote>
  <w:footnote w:id="179">
    <w:p w14:paraId="3BC8405B" w14:textId="65002B25" w:rsidR="005D24AE" w:rsidRPr="00C31A32" w:rsidRDefault="005D24AE"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N. </w:t>
      </w:r>
      <w:proofErr w:type="spellStart"/>
      <w:r w:rsidRPr="00C31A32">
        <w:rPr>
          <w:rFonts w:ascii="Times New Roman" w:hAnsi="Times New Roman" w:cs="Times New Roman"/>
        </w:rPr>
        <w:t>Mavronicola</w:t>
      </w:r>
      <w:proofErr w:type="spellEnd"/>
      <w:r w:rsidRPr="00C31A32">
        <w:rPr>
          <w:rFonts w:ascii="Times New Roman" w:hAnsi="Times New Roman" w:cs="Times New Roman"/>
        </w:rPr>
        <w:t xml:space="preserve">, ‘Coercive </w:t>
      </w:r>
      <w:proofErr w:type="spellStart"/>
      <w:r w:rsidRPr="00C31A32">
        <w:rPr>
          <w:rFonts w:ascii="Times New Roman" w:hAnsi="Times New Roman" w:cs="Times New Roman"/>
        </w:rPr>
        <w:t>Overrech</w:t>
      </w:r>
      <w:proofErr w:type="spellEnd"/>
      <w:r w:rsidRPr="00C31A32">
        <w:rPr>
          <w:rFonts w:ascii="Times New Roman" w:hAnsi="Times New Roman" w:cs="Times New Roman"/>
        </w:rPr>
        <w:t xml:space="preserve">, Dilution and Diversion: Potential Dangers of Aligning Human Rights Protection with Criminal Law (Enforcement)’, in L. </w:t>
      </w:r>
      <w:proofErr w:type="spellStart"/>
      <w:r w:rsidRPr="00C31A32">
        <w:rPr>
          <w:rFonts w:ascii="Times New Roman" w:hAnsi="Times New Roman" w:cs="Times New Roman"/>
        </w:rPr>
        <w:t>Lavrysen</w:t>
      </w:r>
      <w:proofErr w:type="spellEnd"/>
      <w:r w:rsidRPr="00C31A32">
        <w:rPr>
          <w:rFonts w:ascii="Times New Roman" w:hAnsi="Times New Roman" w:cs="Times New Roman"/>
        </w:rPr>
        <w:t xml:space="preserve"> and N. </w:t>
      </w:r>
      <w:proofErr w:type="spellStart"/>
      <w:r w:rsidRPr="00C31A32">
        <w:rPr>
          <w:rFonts w:ascii="Times New Roman" w:hAnsi="Times New Roman" w:cs="Times New Roman"/>
        </w:rPr>
        <w:t>Mavronicola</w:t>
      </w:r>
      <w:proofErr w:type="spellEnd"/>
      <w:r w:rsidRPr="00C31A32">
        <w:rPr>
          <w:rFonts w:ascii="Times New Roman" w:hAnsi="Times New Roman" w:cs="Times New Roman"/>
        </w:rPr>
        <w:t xml:space="preserve"> (eds), </w:t>
      </w:r>
      <w:r w:rsidRPr="00C31A32">
        <w:rPr>
          <w:rFonts w:ascii="Times New Roman" w:hAnsi="Times New Roman" w:cs="Times New Roman"/>
          <w:i/>
          <w:iCs/>
        </w:rPr>
        <w:t xml:space="preserve">Coercive Human Rights: Positive Duties to Mobilise the Criminal Law under the ECHR </w:t>
      </w:r>
      <w:r w:rsidRPr="00C31A32">
        <w:rPr>
          <w:rFonts w:ascii="Times New Roman" w:hAnsi="Times New Roman" w:cs="Times New Roman"/>
        </w:rPr>
        <w:t>(Hart 2020) 183-202.</w:t>
      </w:r>
    </w:p>
  </w:footnote>
  <w:footnote w:id="180">
    <w:p w14:paraId="37596C40" w14:textId="5E8AA22E" w:rsidR="00E7694F" w:rsidRPr="00C31A32" w:rsidRDefault="00E7694F" w:rsidP="00890923">
      <w:pPr>
        <w:pStyle w:val="FootnoteText"/>
        <w:ind w:firstLine="142"/>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Pr="00C31A32">
        <w:rPr>
          <w:rFonts w:ascii="Times New Roman" w:hAnsi="Times New Roman" w:cs="Times New Roman"/>
          <w:i/>
          <w:iCs/>
        </w:rPr>
        <w:t>M</w:t>
      </w:r>
      <w:r w:rsidR="00AB5840" w:rsidRPr="00C31A32">
        <w:rPr>
          <w:rFonts w:ascii="Times New Roman" w:hAnsi="Times New Roman" w:cs="Times New Roman"/>
          <w:i/>
          <w:iCs/>
        </w:rPr>
        <w:t>.</w:t>
      </w:r>
      <w:r w:rsidRPr="00C31A32">
        <w:rPr>
          <w:rFonts w:ascii="Times New Roman" w:hAnsi="Times New Roman" w:cs="Times New Roman"/>
          <w:i/>
          <w:iCs/>
        </w:rPr>
        <w:t>C</w:t>
      </w:r>
      <w:r w:rsidR="00AB5840" w:rsidRPr="00C31A32">
        <w:rPr>
          <w:rFonts w:ascii="Times New Roman" w:hAnsi="Times New Roman" w:cs="Times New Roman"/>
          <w:i/>
          <w:iCs/>
        </w:rPr>
        <w:t>.</w:t>
      </w:r>
      <w:r w:rsidRPr="00C31A32">
        <w:rPr>
          <w:rFonts w:ascii="Times New Roman" w:hAnsi="Times New Roman" w:cs="Times New Roman"/>
          <w:i/>
          <w:iCs/>
        </w:rPr>
        <w:t xml:space="preserve"> v Bulgaria</w:t>
      </w:r>
      <w:r w:rsidR="00AB5840" w:rsidRPr="00C31A32">
        <w:rPr>
          <w:rFonts w:ascii="Times New Roman" w:hAnsi="Times New Roman" w:cs="Times New Roman"/>
        </w:rPr>
        <w:t xml:space="preserve"> (n 16</w:t>
      </w:r>
      <w:r w:rsidR="00450DA6">
        <w:rPr>
          <w:rFonts w:ascii="Times New Roman" w:hAnsi="Times New Roman" w:cs="Times New Roman"/>
        </w:rPr>
        <w:t>6</w:t>
      </w:r>
      <w:r w:rsidR="00AB5840" w:rsidRPr="00C31A32">
        <w:rPr>
          <w:rFonts w:ascii="Times New Roman" w:hAnsi="Times New Roman" w:cs="Times New Roman"/>
        </w:rPr>
        <w:t>)</w:t>
      </w:r>
      <w:r w:rsidRPr="00C31A32">
        <w:rPr>
          <w:rFonts w:ascii="Times New Roman" w:hAnsi="Times New Roman" w:cs="Times New Roman"/>
        </w:rPr>
        <w:t xml:space="preserve"> para 166</w:t>
      </w:r>
      <w:r w:rsidR="00F62F43" w:rsidRPr="00C31A32">
        <w:rPr>
          <w:rFonts w:ascii="Times New Roman" w:hAnsi="Times New Roman" w:cs="Times New Roman"/>
        </w:rPr>
        <w:t>;</w:t>
      </w:r>
      <w:r w:rsidR="00F62F43" w:rsidRPr="00C31A32">
        <w:rPr>
          <w:rFonts w:ascii="Times New Roman" w:hAnsi="Times New Roman" w:cs="Times New Roman"/>
          <w:i/>
          <w:iCs/>
        </w:rPr>
        <w:t xml:space="preserve"> X and Y v The Netherlands</w:t>
      </w:r>
      <w:r w:rsidR="00F62F43" w:rsidRPr="00C31A32">
        <w:rPr>
          <w:rFonts w:ascii="Times New Roman" w:hAnsi="Times New Roman" w:cs="Times New Roman"/>
        </w:rPr>
        <w:t>, Application No. 8978/80, 26 March 1985</w:t>
      </w:r>
      <w:r w:rsidRPr="00C31A32">
        <w:rPr>
          <w:rFonts w:ascii="Times New Roman" w:hAnsi="Times New Roman" w:cs="Times New Roman"/>
        </w:rPr>
        <w:t>.</w:t>
      </w:r>
    </w:p>
  </w:footnote>
  <w:footnote w:id="181">
    <w:p w14:paraId="579EBD1D" w14:textId="4875E2B0" w:rsidR="00B213EF" w:rsidRPr="00C31A32" w:rsidRDefault="00B213EF"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00F62F43" w:rsidRPr="00C31A32">
        <w:rPr>
          <w:rFonts w:ascii="Times New Roman" w:hAnsi="Times New Roman" w:cs="Times New Roman"/>
        </w:rPr>
        <w:t xml:space="preserve"> </w:t>
      </w:r>
      <w:r w:rsidR="00F62F43" w:rsidRPr="00C31A32">
        <w:rPr>
          <w:rFonts w:ascii="Times New Roman" w:hAnsi="Times New Roman" w:cs="Times New Roman"/>
          <w:i/>
          <w:iCs/>
        </w:rPr>
        <w:t>M and C v Romania</w:t>
      </w:r>
      <w:r w:rsidR="00F62F43" w:rsidRPr="00C31A32">
        <w:rPr>
          <w:rFonts w:ascii="Times New Roman" w:hAnsi="Times New Roman" w:cs="Times New Roman"/>
        </w:rPr>
        <w:t>, Application No. 29032/04, 27 September 2011.</w:t>
      </w:r>
    </w:p>
  </w:footnote>
  <w:footnote w:id="182">
    <w:p w14:paraId="043D677F" w14:textId="0BC11670" w:rsidR="00B213EF" w:rsidRPr="00C31A32" w:rsidRDefault="00B213EF"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i/>
          <w:iCs/>
        </w:rPr>
        <w:t xml:space="preserve"> </w:t>
      </w:r>
      <w:proofErr w:type="spellStart"/>
      <w:r w:rsidRPr="00C31A32">
        <w:rPr>
          <w:rFonts w:ascii="Times New Roman" w:hAnsi="Times New Roman" w:cs="Times New Roman"/>
          <w:i/>
          <w:iCs/>
        </w:rPr>
        <w:t>Cestaro</w:t>
      </w:r>
      <w:proofErr w:type="spellEnd"/>
      <w:r w:rsidRPr="00C31A32">
        <w:rPr>
          <w:rFonts w:ascii="Times New Roman" w:hAnsi="Times New Roman" w:cs="Times New Roman"/>
        </w:rPr>
        <w:t xml:space="preserve"> (n 6</w:t>
      </w:r>
      <w:r w:rsidR="00AB5840" w:rsidRPr="00C31A32">
        <w:rPr>
          <w:rFonts w:ascii="Times New Roman" w:hAnsi="Times New Roman" w:cs="Times New Roman"/>
        </w:rPr>
        <w:t>7</w:t>
      </w:r>
      <w:r w:rsidRPr="00C31A32">
        <w:rPr>
          <w:rFonts w:ascii="Times New Roman" w:hAnsi="Times New Roman" w:cs="Times New Roman"/>
        </w:rPr>
        <w:t>) para 225.</w:t>
      </w:r>
    </w:p>
  </w:footnote>
  <w:footnote w:id="183">
    <w:p w14:paraId="173F2308" w14:textId="0A44231D" w:rsidR="00E7694F" w:rsidRPr="00C31A32" w:rsidRDefault="00E7694F" w:rsidP="00890923">
      <w:pPr>
        <w:pStyle w:val="FootnoteText"/>
        <w:ind w:firstLine="142"/>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Myumyun</w:t>
      </w:r>
      <w:proofErr w:type="spellEnd"/>
      <w:r w:rsidRPr="00C31A32">
        <w:rPr>
          <w:rFonts w:ascii="Times New Roman" w:hAnsi="Times New Roman" w:cs="Times New Roman"/>
          <w:i/>
          <w:iCs/>
        </w:rPr>
        <w:t xml:space="preserve"> v Bulgaria</w:t>
      </w:r>
      <w:r w:rsidRPr="00C31A32">
        <w:rPr>
          <w:rFonts w:ascii="Times New Roman" w:hAnsi="Times New Roman" w:cs="Times New Roman"/>
        </w:rPr>
        <w:t>, Application No. 67258/13, 3 November 2015, para 77.</w:t>
      </w:r>
    </w:p>
  </w:footnote>
  <w:footnote w:id="184">
    <w:p w14:paraId="20C521D9" w14:textId="29E5A3ED" w:rsidR="00B213EF" w:rsidRPr="00C31A32" w:rsidRDefault="00B213EF"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00B1064E" w:rsidRPr="00C31A32">
        <w:rPr>
          <w:rFonts w:ascii="Times New Roman" w:hAnsi="Times New Roman" w:cs="Times New Roman"/>
        </w:rPr>
        <w:t xml:space="preserve"> </w:t>
      </w:r>
      <w:proofErr w:type="spellStart"/>
      <w:r w:rsidRPr="00C31A32">
        <w:rPr>
          <w:rFonts w:ascii="Times New Roman" w:hAnsi="Times New Roman" w:cs="Times New Roman"/>
          <w:i/>
          <w:iCs/>
        </w:rPr>
        <w:t>Volodina</w:t>
      </w:r>
      <w:proofErr w:type="spellEnd"/>
      <w:r w:rsidRPr="00C31A32">
        <w:rPr>
          <w:rFonts w:ascii="Times New Roman" w:hAnsi="Times New Roman" w:cs="Times New Roman"/>
        </w:rPr>
        <w:t xml:space="preserve"> (n 17</w:t>
      </w:r>
      <w:r w:rsidR="00F90F83">
        <w:rPr>
          <w:rFonts w:ascii="Times New Roman" w:hAnsi="Times New Roman" w:cs="Times New Roman"/>
        </w:rPr>
        <w:t>2</w:t>
      </w:r>
      <w:r w:rsidRPr="00C31A32">
        <w:rPr>
          <w:rFonts w:ascii="Times New Roman" w:hAnsi="Times New Roman" w:cs="Times New Roman"/>
        </w:rPr>
        <w:t>) para 81</w:t>
      </w:r>
      <w:r w:rsidR="00B1064E" w:rsidRPr="00C31A32">
        <w:rPr>
          <w:rFonts w:ascii="Times New Roman" w:hAnsi="Times New Roman" w:cs="Times New Roman"/>
        </w:rPr>
        <w:t>.</w:t>
      </w:r>
    </w:p>
  </w:footnote>
  <w:footnote w:id="185">
    <w:p w14:paraId="46815066" w14:textId="10986C80" w:rsidR="00DF6B6A" w:rsidRPr="00C31A32" w:rsidRDefault="00DF6B6A"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L. </w:t>
      </w:r>
      <w:proofErr w:type="spellStart"/>
      <w:r w:rsidRPr="00C31A32">
        <w:rPr>
          <w:rFonts w:ascii="Times New Roman" w:hAnsi="Times New Roman" w:cs="Times New Roman"/>
        </w:rPr>
        <w:t>Lavrysen</w:t>
      </w:r>
      <w:proofErr w:type="spellEnd"/>
      <w:r w:rsidRPr="00C31A32">
        <w:rPr>
          <w:rFonts w:ascii="Times New Roman" w:hAnsi="Times New Roman" w:cs="Times New Roman"/>
        </w:rPr>
        <w:t xml:space="preserve">, ‘Positive Obligations and the Criminal Law: A Bird’s-Eye View on the Case Law of the European Court of Human Rights’, in L. </w:t>
      </w:r>
      <w:proofErr w:type="spellStart"/>
      <w:r w:rsidRPr="00C31A32">
        <w:rPr>
          <w:rFonts w:ascii="Times New Roman" w:hAnsi="Times New Roman" w:cs="Times New Roman"/>
        </w:rPr>
        <w:t>Lavrysen</w:t>
      </w:r>
      <w:proofErr w:type="spellEnd"/>
      <w:r w:rsidRPr="00C31A32">
        <w:rPr>
          <w:rFonts w:ascii="Times New Roman" w:hAnsi="Times New Roman" w:cs="Times New Roman"/>
        </w:rPr>
        <w:t xml:space="preserve"> and N. </w:t>
      </w:r>
      <w:proofErr w:type="spellStart"/>
      <w:r w:rsidRPr="00C31A32">
        <w:rPr>
          <w:rFonts w:ascii="Times New Roman" w:hAnsi="Times New Roman" w:cs="Times New Roman"/>
        </w:rPr>
        <w:t>Mavronicola</w:t>
      </w:r>
      <w:proofErr w:type="spellEnd"/>
      <w:r w:rsidRPr="00C31A32">
        <w:rPr>
          <w:rFonts w:ascii="Times New Roman" w:hAnsi="Times New Roman" w:cs="Times New Roman"/>
        </w:rPr>
        <w:t xml:space="preserve"> (eds), </w:t>
      </w:r>
      <w:r w:rsidRPr="00C31A32">
        <w:rPr>
          <w:rFonts w:ascii="Times New Roman" w:hAnsi="Times New Roman" w:cs="Times New Roman"/>
          <w:i/>
          <w:iCs/>
        </w:rPr>
        <w:t xml:space="preserve">Coercive Human Rights: Positive Duties to Mobilise the Criminal Law under the ECHR </w:t>
      </w:r>
      <w:r w:rsidRPr="00C31A32">
        <w:rPr>
          <w:rFonts w:ascii="Times New Roman" w:hAnsi="Times New Roman" w:cs="Times New Roman"/>
        </w:rPr>
        <w:t>(Hart 2020) 29-55</w:t>
      </w:r>
      <w:r w:rsidR="0027471C" w:rsidRPr="00C31A32">
        <w:rPr>
          <w:rFonts w:ascii="Times New Roman" w:hAnsi="Times New Roman" w:cs="Times New Roman"/>
        </w:rPr>
        <w:t>, 43</w:t>
      </w:r>
      <w:r w:rsidRPr="00C31A32">
        <w:rPr>
          <w:rFonts w:ascii="Times New Roman" w:hAnsi="Times New Roman" w:cs="Times New Roman"/>
        </w:rPr>
        <w:t>.</w:t>
      </w:r>
    </w:p>
  </w:footnote>
  <w:footnote w:id="186">
    <w:p w14:paraId="413E46C1" w14:textId="121EB83D" w:rsidR="00E90851" w:rsidRPr="00C31A32" w:rsidRDefault="00E90851" w:rsidP="00890923">
      <w:pPr>
        <w:pStyle w:val="FootnoteText"/>
        <w:ind w:firstLine="142"/>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Myumyun</w:t>
      </w:r>
      <w:proofErr w:type="spellEnd"/>
      <w:r w:rsidRPr="00C31A32">
        <w:rPr>
          <w:rFonts w:ascii="Times New Roman" w:hAnsi="Times New Roman" w:cs="Times New Roman"/>
          <w:i/>
          <w:iCs/>
        </w:rPr>
        <w:t xml:space="preserve"> </w:t>
      </w:r>
      <w:r w:rsidRPr="00C31A32">
        <w:rPr>
          <w:rFonts w:ascii="Times New Roman" w:hAnsi="Times New Roman" w:cs="Times New Roman"/>
        </w:rPr>
        <w:t>(n 18</w:t>
      </w:r>
      <w:r w:rsidR="00450DA6">
        <w:rPr>
          <w:rFonts w:ascii="Times New Roman" w:hAnsi="Times New Roman" w:cs="Times New Roman"/>
        </w:rPr>
        <w:t>1</w:t>
      </w:r>
      <w:r w:rsidRPr="00C31A32">
        <w:rPr>
          <w:rFonts w:ascii="Times New Roman" w:hAnsi="Times New Roman" w:cs="Times New Roman"/>
        </w:rPr>
        <w:t>) para 74.</w:t>
      </w:r>
    </w:p>
  </w:footnote>
  <w:footnote w:id="187">
    <w:p w14:paraId="6CE2B934" w14:textId="336B816C" w:rsidR="00E90851" w:rsidRPr="00C31A32" w:rsidRDefault="00E90851" w:rsidP="00890923">
      <w:pPr>
        <w:pStyle w:val="FootnoteText"/>
        <w:ind w:firstLine="142"/>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Volodina</w:t>
      </w:r>
      <w:proofErr w:type="spellEnd"/>
      <w:r w:rsidRPr="00C31A32">
        <w:rPr>
          <w:rFonts w:ascii="Times New Roman" w:hAnsi="Times New Roman" w:cs="Times New Roman"/>
          <w:i/>
          <w:iCs/>
        </w:rPr>
        <w:t xml:space="preserve"> </w:t>
      </w:r>
      <w:r w:rsidRPr="00C31A32">
        <w:rPr>
          <w:rFonts w:ascii="Times New Roman" w:hAnsi="Times New Roman" w:cs="Times New Roman"/>
        </w:rPr>
        <w:t>(n 17</w:t>
      </w:r>
      <w:r w:rsidR="00F90F83">
        <w:rPr>
          <w:rFonts w:ascii="Times New Roman" w:hAnsi="Times New Roman" w:cs="Times New Roman"/>
        </w:rPr>
        <w:t>2</w:t>
      </w:r>
      <w:r w:rsidRPr="00C31A32">
        <w:rPr>
          <w:rFonts w:ascii="Times New Roman" w:hAnsi="Times New Roman" w:cs="Times New Roman"/>
        </w:rPr>
        <w:t>) para 81.</w:t>
      </w:r>
    </w:p>
  </w:footnote>
  <w:footnote w:id="188">
    <w:p w14:paraId="204D21C2" w14:textId="45C8A07C" w:rsidR="007A210E" w:rsidRPr="00C31A32" w:rsidRDefault="007A210E"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That is enough for a treatment to qualify as ‘degrading’ under Art 3 ECHR. See </w:t>
      </w:r>
      <w:r w:rsidRPr="00C31A32">
        <w:rPr>
          <w:rFonts w:ascii="Times New Roman" w:hAnsi="Times New Roman" w:cs="Times New Roman"/>
          <w:i/>
          <w:iCs/>
        </w:rPr>
        <w:t>Identoba</w:t>
      </w:r>
      <w:r w:rsidRPr="00C31A32">
        <w:rPr>
          <w:rFonts w:ascii="Times New Roman" w:hAnsi="Times New Roman" w:cs="Times New Roman"/>
        </w:rPr>
        <w:t xml:space="preserve"> (n </w:t>
      </w:r>
      <w:r w:rsidR="00BE7AAB">
        <w:rPr>
          <w:rFonts w:ascii="Times New Roman" w:hAnsi="Times New Roman" w:cs="Times New Roman"/>
        </w:rPr>
        <w:t>90</w:t>
      </w:r>
      <w:r w:rsidRPr="00C31A32">
        <w:rPr>
          <w:rFonts w:ascii="Times New Roman" w:hAnsi="Times New Roman" w:cs="Times New Roman"/>
        </w:rPr>
        <w:t>) para 65.</w:t>
      </w:r>
    </w:p>
  </w:footnote>
  <w:footnote w:id="189">
    <w:p w14:paraId="4A81D277" w14:textId="3A0785BB" w:rsidR="00C07775" w:rsidRPr="00C31A32" w:rsidRDefault="00C07775" w:rsidP="00890923">
      <w:pPr>
        <w:pStyle w:val="FootnoteText"/>
        <w:ind w:firstLine="142"/>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rPr>
        <w:t>See n</w:t>
      </w:r>
      <w:proofErr w:type="spellEnd"/>
      <w:r w:rsidRPr="00C31A32">
        <w:rPr>
          <w:rFonts w:ascii="Times New Roman" w:hAnsi="Times New Roman" w:cs="Times New Roman"/>
        </w:rPr>
        <w:t xml:space="preserve"> 18</w:t>
      </w:r>
      <w:r w:rsidR="00422B10" w:rsidRPr="00C31A32">
        <w:rPr>
          <w:rFonts w:ascii="Times New Roman" w:hAnsi="Times New Roman" w:cs="Times New Roman"/>
        </w:rPr>
        <w:t>3</w:t>
      </w:r>
      <w:r w:rsidRPr="00C31A32">
        <w:rPr>
          <w:rFonts w:ascii="Times New Roman" w:hAnsi="Times New Roman" w:cs="Times New Roman"/>
        </w:rPr>
        <w:t xml:space="preserve"> and n 18</w:t>
      </w:r>
      <w:r w:rsidR="00422B10" w:rsidRPr="00C31A32">
        <w:rPr>
          <w:rFonts w:ascii="Times New Roman" w:hAnsi="Times New Roman" w:cs="Times New Roman"/>
        </w:rPr>
        <w:t>4</w:t>
      </w:r>
      <w:r w:rsidRPr="00C31A32">
        <w:rPr>
          <w:rFonts w:ascii="Times New Roman" w:hAnsi="Times New Roman" w:cs="Times New Roman"/>
        </w:rPr>
        <w:t>.</w:t>
      </w:r>
    </w:p>
  </w:footnote>
  <w:footnote w:id="190">
    <w:p w14:paraId="687F76BE" w14:textId="4F58E5B2" w:rsidR="00BC59DA" w:rsidRPr="00C31A32" w:rsidRDefault="00BC59DA"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68367D" w:rsidRPr="00C31A32">
        <w:rPr>
          <w:rFonts w:ascii="Times New Roman" w:hAnsi="Times New Roman" w:cs="Times New Roman"/>
        </w:rPr>
        <w:t>Malta</w:t>
      </w:r>
      <w:r w:rsidRPr="00C31A32">
        <w:rPr>
          <w:rFonts w:ascii="Times New Roman" w:hAnsi="Times New Roman" w:cs="Times New Roman"/>
        </w:rPr>
        <w:t xml:space="preserve">, for instance, </w:t>
      </w:r>
      <w:r w:rsidR="0068367D" w:rsidRPr="00C31A32">
        <w:rPr>
          <w:rFonts w:ascii="Times New Roman" w:hAnsi="Times New Roman" w:cs="Times New Roman"/>
        </w:rPr>
        <w:t>has criminalised the provision of ‘conversion therapy’</w:t>
      </w:r>
      <w:r w:rsidRPr="00C31A32">
        <w:rPr>
          <w:rFonts w:ascii="Times New Roman" w:hAnsi="Times New Roman" w:cs="Times New Roman"/>
        </w:rPr>
        <w:t xml:space="preserve"> (</w:t>
      </w:r>
      <w:proofErr w:type="spellStart"/>
      <w:r w:rsidR="0068367D" w:rsidRPr="00C31A32">
        <w:rPr>
          <w:rFonts w:ascii="Times New Roman" w:hAnsi="Times New Roman" w:cs="Times New Roman"/>
        </w:rPr>
        <w:t xml:space="preserve">see </w:t>
      </w:r>
      <w:r w:rsidRPr="00C31A32">
        <w:rPr>
          <w:rFonts w:ascii="Times New Roman" w:hAnsi="Times New Roman" w:cs="Times New Roman"/>
        </w:rPr>
        <w:t>n</w:t>
      </w:r>
      <w:proofErr w:type="spellEnd"/>
      <w:r w:rsidRPr="00C31A32">
        <w:rPr>
          <w:rFonts w:ascii="Times New Roman" w:hAnsi="Times New Roman" w:cs="Times New Roman"/>
        </w:rPr>
        <w:t xml:space="preserve"> 2).</w:t>
      </w:r>
    </w:p>
  </w:footnote>
  <w:footnote w:id="191">
    <w:p w14:paraId="4463CDB7" w14:textId="00E2BE8D" w:rsidR="006C0C15" w:rsidRPr="00C31A32" w:rsidRDefault="006C0C15"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i/>
          <w:iCs/>
        </w:rPr>
        <w:t>Mitkus</w:t>
      </w:r>
      <w:proofErr w:type="spellEnd"/>
      <w:r w:rsidRPr="00C31A32">
        <w:rPr>
          <w:rFonts w:ascii="Times New Roman" w:hAnsi="Times New Roman" w:cs="Times New Roman"/>
          <w:i/>
          <w:iCs/>
        </w:rPr>
        <w:t xml:space="preserve"> v Latvia</w:t>
      </w:r>
      <w:r w:rsidRPr="00C31A32">
        <w:rPr>
          <w:rFonts w:ascii="Times New Roman" w:hAnsi="Times New Roman" w:cs="Times New Roman"/>
        </w:rPr>
        <w:t>, Application No. 7259/03, 2 October 2010, para 76.</w:t>
      </w:r>
      <w:r w:rsidR="00C902A6" w:rsidRPr="00C31A32">
        <w:rPr>
          <w:rFonts w:ascii="Times New Roman" w:hAnsi="Times New Roman" w:cs="Times New Roman"/>
        </w:rPr>
        <w:t xml:space="preserve"> That might not be the case though for grossly negligent violations of Article 3. See K. </w:t>
      </w:r>
      <w:proofErr w:type="spellStart"/>
      <w:r w:rsidR="00C902A6" w:rsidRPr="00C31A32">
        <w:rPr>
          <w:rFonts w:ascii="Times New Roman" w:hAnsi="Times New Roman" w:cs="Times New Roman"/>
        </w:rPr>
        <w:t>Kamber</w:t>
      </w:r>
      <w:proofErr w:type="spellEnd"/>
      <w:r w:rsidR="00C902A6" w:rsidRPr="00C31A32">
        <w:rPr>
          <w:rFonts w:ascii="Times New Roman" w:hAnsi="Times New Roman" w:cs="Times New Roman"/>
        </w:rPr>
        <w:t xml:space="preserve">, </w:t>
      </w:r>
      <w:r w:rsidR="00C902A6" w:rsidRPr="00C31A32">
        <w:rPr>
          <w:rFonts w:ascii="Times New Roman" w:hAnsi="Times New Roman" w:cs="Times New Roman"/>
          <w:i/>
          <w:iCs/>
        </w:rPr>
        <w:t xml:space="preserve">Prosecuting Human Rights Offences: Rethinking the Sword Function of Human Rights Law </w:t>
      </w:r>
      <w:r w:rsidR="00C902A6" w:rsidRPr="00C31A32">
        <w:rPr>
          <w:rFonts w:ascii="Times New Roman" w:hAnsi="Times New Roman" w:cs="Times New Roman"/>
        </w:rPr>
        <w:t>(Brill 2017) Ch 1.</w:t>
      </w:r>
    </w:p>
  </w:footnote>
  <w:footnote w:id="192">
    <w:p w14:paraId="459A50A9" w14:textId="3F20EC04" w:rsidR="009625C7" w:rsidRPr="00C31A32" w:rsidRDefault="009625C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r w:rsidR="00423DCA" w:rsidRPr="00C31A32">
        <w:rPr>
          <w:rFonts w:ascii="Times New Roman" w:hAnsi="Times New Roman" w:cs="Times New Roman"/>
        </w:rPr>
        <w:t>Specifically</w:t>
      </w:r>
      <w:r w:rsidR="00284AB4" w:rsidRPr="00C31A32">
        <w:rPr>
          <w:rFonts w:ascii="Times New Roman" w:hAnsi="Times New Roman" w:cs="Times New Roman"/>
        </w:rPr>
        <w:t xml:space="preserve"> in the UK</w:t>
      </w:r>
      <w:r w:rsidRPr="00C31A32">
        <w:rPr>
          <w:rFonts w:ascii="Times New Roman" w:hAnsi="Times New Roman" w:cs="Times New Roman"/>
        </w:rPr>
        <w:t xml:space="preserve">, the authorities cannot claim that they were unaware of the risks </w:t>
      </w:r>
      <w:r w:rsidR="004D1372" w:rsidRPr="00C31A32">
        <w:rPr>
          <w:rFonts w:ascii="Times New Roman" w:hAnsi="Times New Roman" w:cs="Times New Roman"/>
        </w:rPr>
        <w:t>of</w:t>
      </w:r>
      <w:r w:rsidRPr="00C31A32">
        <w:rPr>
          <w:rFonts w:ascii="Times New Roman" w:hAnsi="Times New Roman" w:cs="Times New Roman"/>
        </w:rPr>
        <w:t xml:space="preserve"> ‘conversion therapy’. The 2018</w:t>
      </w:r>
      <w:r w:rsidR="004D1372" w:rsidRPr="00C31A32">
        <w:rPr>
          <w:rFonts w:ascii="Times New Roman" w:hAnsi="Times New Roman" w:cs="Times New Roman"/>
        </w:rPr>
        <w:t xml:space="preserve"> National</w:t>
      </w:r>
      <w:r w:rsidRPr="00C31A32">
        <w:rPr>
          <w:rFonts w:ascii="Times New Roman" w:hAnsi="Times New Roman" w:cs="Times New Roman"/>
        </w:rPr>
        <w:t xml:space="preserve"> LGBT Survey showed that significant numbers of LGBTIQ+ people have been offered ‘conversion therapy’ (</w:t>
      </w:r>
      <w:proofErr w:type="spellStart"/>
      <w:r w:rsidRPr="00C31A32">
        <w:rPr>
          <w:rFonts w:ascii="Times New Roman" w:hAnsi="Times New Roman" w:cs="Times New Roman"/>
        </w:rPr>
        <w:t>see n</w:t>
      </w:r>
      <w:proofErr w:type="spellEnd"/>
      <w:r w:rsidRPr="00C31A32">
        <w:rPr>
          <w:rFonts w:ascii="Times New Roman" w:hAnsi="Times New Roman" w:cs="Times New Roman"/>
        </w:rPr>
        <w:t xml:space="preserve"> 9 above) whereas in 2017 the NHS and leading medical professional bodies signed a Memorandum of Understanding on ending ‘conversion therapy’</w:t>
      </w:r>
      <w:r w:rsidR="004D1372" w:rsidRPr="00C31A32">
        <w:rPr>
          <w:rFonts w:ascii="Times New Roman" w:hAnsi="Times New Roman" w:cs="Times New Roman"/>
        </w:rPr>
        <w:t xml:space="preserve">; see </w:t>
      </w:r>
      <w:r w:rsidRPr="00C31A32">
        <w:rPr>
          <w:rFonts w:ascii="Times New Roman" w:hAnsi="Times New Roman" w:cs="Times New Roman"/>
        </w:rPr>
        <w:t>BACP (n 4)</w:t>
      </w:r>
      <w:r w:rsidRPr="00C31A32">
        <w:rPr>
          <w:rFonts w:ascii="Times New Roman" w:eastAsia="Times New Roman" w:hAnsi="Times New Roman" w:cs="Times New Roman"/>
        </w:rPr>
        <w:t xml:space="preserve"> para 3.</w:t>
      </w:r>
    </w:p>
  </w:footnote>
  <w:footnote w:id="193">
    <w:p w14:paraId="18EE53FF"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rPr>
        <w:t>See n</w:t>
      </w:r>
      <w:proofErr w:type="spellEnd"/>
      <w:r w:rsidRPr="00C31A32">
        <w:rPr>
          <w:rFonts w:ascii="Times New Roman" w:hAnsi="Times New Roman" w:cs="Times New Roman"/>
        </w:rPr>
        <w:t xml:space="preserve"> 1 and n 9 above.</w:t>
      </w:r>
    </w:p>
  </w:footnote>
  <w:footnote w:id="194">
    <w:p w14:paraId="0A191F5A" w14:textId="77777777"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As is the case, for instance, in Albania (n 3).</w:t>
      </w:r>
    </w:p>
  </w:footnote>
  <w:footnote w:id="195">
    <w:p w14:paraId="00D47EA4" w14:textId="6D0B204E"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w:t>
      </w:r>
      <w:proofErr w:type="spellStart"/>
      <w:r w:rsidRPr="00C31A32">
        <w:rPr>
          <w:rFonts w:ascii="Times New Roman" w:hAnsi="Times New Roman" w:cs="Times New Roman"/>
        </w:rPr>
        <w:t>See</w:t>
      </w:r>
      <w:r w:rsidR="00423DCA" w:rsidRPr="00C31A32">
        <w:rPr>
          <w:rFonts w:ascii="Times New Roman" w:hAnsi="Times New Roman" w:cs="Times New Roman"/>
        </w:rPr>
        <w:t xml:space="preserve"> n</w:t>
      </w:r>
      <w:proofErr w:type="spellEnd"/>
      <w:r w:rsidR="00423DCA" w:rsidRPr="00C31A32">
        <w:rPr>
          <w:rFonts w:ascii="Times New Roman" w:hAnsi="Times New Roman" w:cs="Times New Roman"/>
        </w:rPr>
        <w:t xml:space="preserve"> 17 above</w:t>
      </w:r>
      <w:r w:rsidRPr="00C31A32">
        <w:rPr>
          <w:rFonts w:ascii="Times New Roman" w:hAnsi="Times New Roman" w:cs="Times New Roman"/>
        </w:rPr>
        <w:t>.</w:t>
      </w:r>
    </w:p>
  </w:footnote>
  <w:footnote w:id="196">
    <w:p w14:paraId="730AFCDE" w14:textId="437BD6D1" w:rsidR="002025E7" w:rsidRPr="00C31A32"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On the positive obligation under Art 3 </w:t>
      </w:r>
      <w:r w:rsidR="00423DCA" w:rsidRPr="00C31A32">
        <w:rPr>
          <w:rFonts w:ascii="Times New Roman" w:hAnsi="Times New Roman" w:cs="Times New Roman"/>
        </w:rPr>
        <w:t xml:space="preserve">regarding </w:t>
      </w:r>
      <w:r w:rsidRPr="00C31A32">
        <w:rPr>
          <w:rFonts w:ascii="Times New Roman" w:hAnsi="Times New Roman" w:cs="Times New Roman"/>
        </w:rPr>
        <w:t xml:space="preserve">children see </w:t>
      </w:r>
      <w:r w:rsidRPr="00C31A32">
        <w:rPr>
          <w:rFonts w:ascii="Times New Roman" w:hAnsi="Times New Roman" w:cs="Times New Roman"/>
          <w:i/>
          <w:iCs/>
        </w:rPr>
        <w:t>O’Keeffe v Ireland</w:t>
      </w:r>
      <w:r w:rsidRPr="00C31A32">
        <w:rPr>
          <w:rFonts w:ascii="Times New Roman" w:hAnsi="Times New Roman" w:cs="Times New Roman"/>
        </w:rPr>
        <w:t>, Application No. 35810/09, 28 January 2014 (Grand Chamber) paras 144–152.</w:t>
      </w:r>
    </w:p>
  </w:footnote>
  <w:footnote w:id="197">
    <w:p w14:paraId="0793BFB2" w14:textId="77777777" w:rsidR="002025E7" w:rsidRPr="00AA68FC" w:rsidRDefault="002025E7" w:rsidP="00890923">
      <w:pPr>
        <w:pStyle w:val="FootnoteText"/>
        <w:ind w:firstLine="142"/>
        <w:jc w:val="both"/>
        <w:rPr>
          <w:rFonts w:ascii="Times New Roman" w:hAnsi="Times New Roman" w:cs="Times New Roman"/>
        </w:rPr>
      </w:pPr>
      <w:r w:rsidRPr="00C31A32">
        <w:rPr>
          <w:rStyle w:val="FootnoteReference"/>
          <w:rFonts w:ascii="Times New Roman" w:hAnsi="Times New Roman" w:cs="Times New Roman"/>
        </w:rPr>
        <w:footnoteRef/>
      </w:r>
      <w:r w:rsidRPr="00C31A32">
        <w:rPr>
          <w:rFonts w:ascii="Times New Roman" w:hAnsi="Times New Roman" w:cs="Times New Roman"/>
        </w:rPr>
        <w:t xml:space="preserve"> See </w:t>
      </w:r>
      <w:proofErr w:type="gramStart"/>
      <w:r w:rsidRPr="00C31A32">
        <w:rPr>
          <w:rFonts w:ascii="Times New Roman" w:hAnsi="Times New Roman" w:cs="Times New Roman"/>
        </w:rPr>
        <w:t>e.g.</w:t>
      </w:r>
      <w:proofErr w:type="gramEnd"/>
      <w:r w:rsidRPr="00C31A32">
        <w:rPr>
          <w:rFonts w:ascii="Times New Roman" w:hAnsi="Times New Roman" w:cs="Times New Roman"/>
        </w:rPr>
        <w:t xml:space="preserve"> </w:t>
      </w:r>
      <w:r w:rsidRPr="00C31A32">
        <w:rPr>
          <w:rFonts w:ascii="Times New Roman" w:hAnsi="Times New Roman" w:cs="Times New Roman"/>
          <w:i/>
          <w:iCs/>
        </w:rPr>
        <w:t xml:space="preserve">Code of Practice for Victims of Crime </w:t>
      </w:r>
      <w:r w:rsidRPr="00C31A32">
        <w:rPr>
          <w:rFonts w:ascii="Times New Roman" w:hAnsi="Times New Roman" w:cs="Times New Roman"/>
        </w:rPr>
        <w:t>(Ministry of Justice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5FC"/>
    <w:multiLevelType w:val="multilevel"/>
    <w:tmpl w:val="39F862C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8436D5"/>
    <w:multiLevelType w:val="hybridMultilevel"/>
    <w:tmpl w:val="4858EA6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9F077F"/>
    <w:multiLevelType w:val="hybridMultilevel"/>
    <w:tmpl w:val="AB0A3242"/>
    <w:lvl w:ilvl="0" w:tplc="85045B04">
      <w:start w:val="1"/>
      <w:numFmt w:val="lowerRoman"/>
      <w:lvlText w:val="(%1)"/>
      <w:lvlJc w:val="left"/>
      <w:pPr>
        <w:ind w:left="928" w:hanging="360"/>
      </w:pPr>
      <w:rPr>
        <w:rFonts w:ascii="Times New Roman" w:eastAsiaTheme="minorHAnsi" w:hAnsi="Times New Roman" w:cs="Times New Roman"/>
        <w:i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264E3020"/>
    <w:multiLevelType w:val="multilevel"/>
    <w:tmpl w:val="D752FD0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397984"/>
    <w:multiLevelType w:val="hybridMultilevel"/>
    <w:tmpl w:val="BFE664B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9408E7"/>
    <w:multiLevelType w:val="hybridMultilevel"/>
    <w:tmpl w:val="E2509D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9D33FC"/>
    <w:multiLevelType w:val="hybridMultilevel"/>
    <w:tmpl w:val="373EBFA2"/>
    <w:lvl w:ilvl="0" w:tplc="DB72595A">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9020E"/>
    <w:multiLevelType w:val="hybridMultilevel"/>
    <w:tmpl w:val="BB1CA4D8"/>
    <w:lvl w:ilvl="0" w:tplc="F0941EFA">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3E26A5"/>
    <w:multiLevelType w:val="hybridMultilevel"/>
    <w:tmpl w:val="9940D958"/>
    <w:lvl w:ilvl="0" w:tplc="843EDAD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46653F"/>
    <w:multiLevelType w:val="hybridMultilevel"/>
    <w:tmpl w:val="7AC42C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0B2149"/>
    <w:multiLevelType w:val="hybridMultilevel"/>
    <w:tmpl w:val="75F47D7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D1D2F17"/>
    <w:multiLevelType w:val="hybridMultilevel"/>
    <w:tmpl w:val="19AAFC28"/>
    <w:lvl w:ilvl="0" w:tplc="EB3298B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2D247C"/>
    <w:multiLevelType w:val="hybridMultilevel"/>
    <w:tmpl w:val="8C8EA96E"/>
    <w:lvl w:ilvl="0" w:tplc="2CBEE8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F7DBB"/>
    <w:multiLevelType w:val="hybridMultilevel"/>
    <w:tmpl w:val="0DA0EE48"/>
    <w:lvl w:ilvl="0" w:tplc="112E6610">
      <w:start w:val="1"/>
      <w:numFmt w:val="decimal"/>
      <w:lvlText w:val="%1."/>
      <w:lvlJc w:val="left"/>
      <w:pPr>
        <w:ind w:left="360" w:hanging="360"/>
      </w:pPr>
      <w:rPr>
        <w:rFonts w:hint="default"/>
      </w:rPr>
    </w:lvl>
    <w:lvl w:ilvl="1" w:tplc="08090019">
      <w:start w:val="1"/>
      <w:numFmt w:val="lowerLetter"/>
      <w:lvlText w:val="%2."/>
      <w:lvlJc w:val="left"/>
      <w:pPr>
        <w:ind w:left="78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7E4034BE"/>
    <w:multiLevelType w:val="hybridMultilevel"/>
    <w:tmpl w:val="286E8E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2"/>
  </w:num>
  <w:num w:numId="3">
    <w:abstractNumId w:val="11"/>
  </w:num>
  <w:num w:numId="4">
    <w:abstractNumId w:val="0"/>
  </w:num>
  <w:num w:numId="5">
    <w:abstractNumId w:val="2"/>
  </w:num>
  <w:num w:numId="6">
    <w:abstractNumId w:val="5"/>
  </w:num>
  <w:num w:numId="7">
    <w:abstractNumId w:val="9"/>
  </w:num>
  <w:num w:numId="8">
    <w:abstractNumId w:val="14"/>
  </w:num>
  <w:num w:numId="9">
    <w:abstractNumId w:val="13"/>
  </w:num>
  <w:num w:numId="10">
    <w:abstractNumId w:val="3"/>
  </w:num>
  <w:num w:numId="11">
    <w:abstractNumId w:val="10"/>
  </w:num>
  <w:num w:numId="12">
    <w:abstractNumId w:val="1"/>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40"/>
    <w:rsid w:val="000148C3"/>
    <w:rsid w:val="000215BB"/>
    <w:rsid w:val="00021649"/>
    <w:rsid w:val="000541C5"/>
    <w:rsid w:val="00057C8B"/>
    <w:rsid w:val="00064187"/>
    <w:rsid w:val="000767DC"/>
    <w:rsid w:val="00096A68"/>
    <w:rsid w:val="000A3352"/>
    <w:rsid w:val="000C0611"/>
    <w:rsid w:val="000D79D7"/>
    <w:rsid w:val="000E3526"/>
    <w:rsid w:val="000E58C7"/>
    <w:rsid w:val="000F3546"/>
    <w:rsid w:val="00105B3D"/>
    <w:rsid w:val="00127218"/>
    <w:rsid w:val="00140030"/>
    <w:rsid w:val="00147408"/>
    <w:rsid w:val="001474BE"/>
    <w:rsid w:val="0015237E"/>
    <w:rsid w:val="001639FA"/>
    <w:rsid w:val="001725BE"/>
    <w:rsid w:val="001732E0"/>
    <w:rsid w:val="00176021"/>
    <w:rsid w:val="001A27C7"/>
    <w:rsid w:val="001B5136"/>
    <w:rsid w:val="001B7059"/>
    <w:rsid w:val="001D02BE"/>
    <w:rsid w:val="001D32F6"/>
    <w:rsid w:val="001E3816"/>
    <w:rsid w:val="001F1128"/>
    <w:rsid w:val="002025E7"/>
    <w:rsid w:val="00212B8F"/>
    <w:rsid w:val="00214CAF"/>
    <w:rsid w:val="00227C89"/>
    <w:rsid w:val="00232B09"/>
    <w:rsid w:val="002406CB"/>
    <w:rsid w:val="00246B60"/>
    <w:rsid w:val="00257B41"/>
    <w:rsid w:val="002726C8"/>
    <w:rsid w:val="0027471C"/>
    <w:rsid w:val="00275473"/>
    <w:rsid w:val="00277248"/>
    <w:rsid w:val="00284AB4"/>
    <w:rsid w:val="002A1A45"/>
    <w:rsid w:val="002A5354"/>
    <w:rsid w:val="002A739C"/>
    <w:rsid w:val="002B50DB"/>
    <w:rsid w:val="002D5162"/>
    <w:rsid w:val="002D6018"/>
    <w:rsid w:val="002E6815"/>
    <w:rsid w:val="002F3691"/>
    <w:rsid w:val="002F6D7C"/>
    <w:rsid w:val="00302238"/>
    <w:rsid w:val="00311538"/>
    <w:rsid w:val="003163FF"/>
    <w:rsid w:val="003307F5"/>
    <w:rsid w:val="003361B0"/>
    <w:rsid w:val="0034033A"/>
    <w:rsid w:val="00365AEA"/>
    <w:rsid w:val="00373B23"/>
    <w:rsid w:val="0038465F"/>
    <w:rsid w:val="00384F00"/>
    <w:rsid w:val="003973CF"/>
    <w:rsid w:val="003A0187"/>
    <w:rsid w:val="003A2D33"/>
    <w:rsid w:val="003E4795"/>
    <w:rsid w:val="003E4E90"/>
    <w:rsid w:val="003E7871"/>
    <w:rsid w:val="003F05AD"/>
    <w:rsid w:val="003F207C"/>
    <w:rsid w:val="00411565"/>
    <w:rsid w:val="00422B10"/>
    <w:rsid w:val="00423DCA"/>
    <w:rsid w:val="004342D0"/>
    <w:rsid w:val="004361A7"/>
    <w:rsid w:val="00450681"/>
    <w:rsid w:val="00450DA6"/>
    <w:rsid w:val="0045168C"/>
    <w:rsid w:val="004703A1"/>
    <w:rsid w:val="004716AC"/>
    <w:rsid w:val="00483403"/>
    <w:rsid w:val="0048630B"/>
    <w:rsid w:val="004866F8"/>
    <w:rsid w:val="00493C10"/>
    <w:rsid w:val="004B6BD8"/>
    <w:rsid w:val="004C2C31"/>
    <w:rsid w:val="004D1372"/>
    <w:rsid w:val="004E12CC"/>
    <w:rsid w:val="004E4E6A"/>
    <w:rsid w:val="004E4F5F"/>
    <w:rsid w:val="004F069E"/>
    <w:rsid w:val="00510E54"/>
    <w:rsid w:val="0052141B"/>
    <w:rsid w:val="00525333"/>
    <w:rsid w:val="00525B87"/>
    <w:rsid w:val="005466EE"/>
    <w:rsid w:val="005544F0"/>
    <w:rsid w:val="00561100"/>
    <w:rsid w:val="00562222"/>
    <w:rsid w:val="00562708"/>
    <w:rsid w:val="00573C7F"/>
    <w:rsid w:val="00585241"/>
    <w:rsid w:val="00591055"/>
    <w:rsid w:val="00591A42"/>
    <w:rsid w:val="00592465"/>
    <w:rsid w:val="00595FEC"/>
    <w:rsid w:val="005A01F1"/>
    <w:rsid w:val="005B4EDD"/>
    <w:rsid w:val="005B5222"/>
    <w:rsid w:val="005B68CA"/>
    <w:rsid w:val="005C6763"/>
    <w:rsid w:val="005D24AE"/>
    <w:rsid w:val="005D7F52"/>
    <w:rsid w:val="005F0904"/>
    <w:rsid w:val="00601FD4"/>
    <w:rsid w:val="00606516"/>
    <w:rsid w:val="00641D8D"/>
    <w:rsid w:val="00647449"/>
    <w:rsid w:val="006619F6"/>
    <w:rsid w:val="00672CA2"/>
    <w:rsid w:val="00675959"/>
    <w:rsid w:val="0068367D"/>
    <w:rsid w:val="006A7C9D"/>
    <w:rsid w:val="006C0C15"/>
    <w:rsid w:val="006C2021"/>
    <w:rsid w:val="006E1806"/>
    <w:rsid w:val="006F7D4A"/>
    <w:rsid w:val="007118FA"/>
    <w:rsid w:val="007262A1"/>
    <w:rsid w:val="00731E97"/>
    <w:rsid w:val="00734770"/>
    <w:rsid w:val="00736E0A"/>
    <w:rsid w:val="00740A24"/>
    <w:rsid w:val="00742A9D"/>
    <w:rsid w:val="00755C22"/>
    <w:rsid w:val="00762DD2"/>
    <w:rsid w:val="007A210E"/>
    <w:rsid w:val="007A425B"/>
    <w:rsid w:val="007B2F93"/>
    <w:rsid w:val="007C2F35"/>
    <w:rsid w:val="007C67C2"/>
    <w:rsid w:val="007D11EF"/>
    <w:rsid w:val="007D35E4"/>
    <w:rsid w:val="00801A15"/>
    <w:rsid w:val="00811D81"/>
    <w:rsid w:val="00817594"/>
    <w:rsid w:val="00820CBE"/>
    <w:rsid w:val="008316AA"/>
    <w:rsid w:val="0083265F"/>
    <w:rsid w:val="00841253"/>
    <w:rsid w:val="00853C68"/>
    <w:rsid w:val="0085425B"/>
    <w:rsid w:val="00857507"/>
    <w:rsid w:val="00862A7D"/>
    <w:rsid w:val="008657B2"/>
    <w:rsid w:val="008661D0"/>
    <w:rsid w:val="00866F80"/>
    <w:rsid w:val="0087089A"/>
    <w:rsid w:val="00880B93"/>
    <w:rsid w:val="00890923"/>
    <w:rsid w:val="00893EE8"/>
    <w:rsid w:val="008A7329"/>
    <w:rsid w:val="008A7E5A"/>
    <w:rsid w:val="008D0735"/>
    <w:rsid w:val="008D325B"/>
    <w:rsid w:val="008D6F66"/>
    <w:rsid w:val="008D78D9"/>
    <w:rsid w:val="009170C7"/>
    <w:rsid w:val="009238D6"/>
    <w:rsid w:val="009276AE"/>
    <w:rsid w:val="00945D8F"/>
    <w:rsid w:val="009507AD"/>
    <w:rsid w:val="009614CA"/>
    <w:rsid w:val="009625C7"/>
    <w:rsid w:val="00964E75"/>
    <w:rsid w:val="00966016"/>
    <w:rsid w:val="00984665"/>
    <w:rsid w:val="00986E88"/>
    <w:rsid w:val="009872CF"/>
    <w:rsid w:val="0099066D"/>
    <w:rsid w:val="009A1DF6"/>
    <w:rsid w:val="009B0271"/>
    <w:rsid w:val="009C0427"/>
    <w:rsid w:val="009D0A77"/>
    <w:rsid w:val="009D1318"/>
    <w:rsid w:val="009E22E9"/>
    <w:rsid w:val="009E4784"/>
    <w:rsid w:val="009E6C88"/>
    <w:rsid w:val="009F3939"/>
    <w:rsid w:val="00A11D5E"/>
    <w:rsid w:val="00A344A0"/>
    <w:rsid w:val="00A52CB2"/>
    <w:rsid w:val="00A54C6F"/>
    <w:rsid w:val="00A56EF6"/>
    <w:rsid w:val="00A63039"/>
    <w:rsid w:val="00A63792"/>
    <w:rsid w:val="00A64B88"/>
    <w:rsid w:val="00A71C34"/>
    <w:rsid w:val="00A74991"/>
    <w:rsid w:val="00A8193E"/>
    <w:rsid w:val="00A81B28"/>
    <w:rsid w:val="00A91FCD"/>
    <w:rsid w:val="00A935C0"/>
    <w:rsid w:val="00A9559D"/>
    <w:rsid w:val="00A96E2E"/>
    <w:rsid w:val="00AA41AB"/>
    <w:rsid w:val="00AA5114"/>
    <w:rsid w:val="00AA68FC"/>
    <w:rsid w:val="00AB5840"/>
    <w:rsid w:val="00AD791C"/>
    <w:rsid w:val="00AE3448"/>
    <w:rsid w:val="00AE416D"/>
    <w:rsid w:val="00AF2D71"/>
    <w:rsid w:val="00AF7312"/>
    <w:rsid w:val="00B06D5B"/>
    <w:rsid w:val="00B1064E"/>
    <w:rsid w:val="00B11D50"/>
    <w:rsid w:val="00B213EF"/>
    <w:rsid w:val="00B24787"/>
    <w:rsid w:val="00B26B60"/>
    <w:rsid w:val="00B40A41"/>
    <w:rsid w:val="00B44EB2"/>
    <w:rsid w:val="00B47F11"/>
    <w:rsid w:val="00B51389"/>
    <w:rsid w:val="00B641B9"/>
    <w:rsid w:val="00B65E56"/>
    <w:rsid w:val="00B71BB6"/>
    <w:rsid w:val="00B83EDD"/>
    <w:rsid w:val="00B94308"/>
    <w:rsid w:val="00B97C48"/>
    <w:rsid w:val="00BA34C2"/>
    <w:rsid w:val="00BC2189"/>
    <w:rsid w:val="00BC59DA"/>
    <w:rsid w:val="00BE7AAB"/>
    <w:rsid w:val="00C07775"/>
    <w:rsid w:val="00C10406"/>
    <w:rsid w:val="00C11406"/>
    <w:rsid w:val="00C11ECC"/>
    <w:rsid w:val="00C31A32"/>
    <w:rsid w:val="00C461A7"/>
    <w:rsid w:val="00C56090"/>
    <w:rsid w:val="00C7082E"/>
    <w:rsid w:val="00C729B7"/>
    <w:rsid w:val="00C76290"/>
    <w:rsid w:val="00C818B9"/>
    <w:rsid w:val="00C8548E"/>
    <w:rsid w:val="00C902A6"/>
    <w:rsid w:val="00C91CD7"/>
    <w:rsid w:val="00CA2D40"/>
    <w:rsid w:val="00CC0924"/>
    <w:rsid w:val="00CC3273"/>
    <w:rsid w:val="00CC6D5E"/>
    <w:rsid w:val="00CD5ACD"/>
    <w:rsid w:val="00CE39F9"/>
    <w:rsid w:val="00CF2BE4"/>
    <w:rsid w:val="00CF6BFC"/>
    <w:rsid w:val="00D07040"/>
    <w:rsid w:val="00D11631"/>
    <w:rsid w:val="00D12ABB"/>
    <w:rsid w:val="00D15219"/>
    <w:rsid w:val="00D22B1E"/>
    <w:rsid w:val="00D252A9"/>
    <w:rsid w:val="00D30580"/>
    <w:rsid w:val="00D46636"/>
    <w:rsid w:val="00D7170E"/>
    <w:rsid w:val="00D81B0C"/>
    <w:rsid w:val="00D8224C"/>
    <w:rsid w:val="00D960A5"/>
    <w:rsid w:val="00DA579A"/>
    <w:rsid w:val="00DB0571"/>
    <w:rsid w:val="00DB2EEC"/>
    <w:rsid w:val="00DC1156"/>
    <w:rsid w:val="00DC5259"/>
    <w:rsid w:val="00DD18F3"/>
    <w:rsid w:val="00DE3EC2"/>
    <w:rsid w:val="00DE6D03"/>
    <w:rsid w:val="00DF1322"/>
    <w:rsid w:val="00DF6B6A"/>
    <w:rsid w:val="00E01E3C"/>
    <w:rsid w:val="00E021AD"/>
    <w:rsid w:val="00E21557"/>
    <w:rsid w:val="00E2631B"/>
    <w:rsid w:val="00E275E9"/>
    <w:rsid w:val="00E303FE"/>
    <w:rsid w:val="00E45654"/>
    <w:rsid w:val="00E559D9"/>
    <w:rsid w:val="00E67499"/>
    <w:rsid w:val="00E67A5B"/>
    <w:rsid w:val="00E7694F"/>
    <w:rsid w:val="00E85A3F"/>
    <w:rsid w:val="00E90851"/>
    <w:rsid w:val="00EB343C"/>
    <w:rsid w:val="00ED0452"/>
    <w:rsid w:val="00EF6D02"/>
    <w:rsid w:val="00EF70D3"/>
    <w:rsid w:val="00F037E4"/>
    <w:rsid w:val="00F14A59"/>
    <w:rsid w:val="00F2261F"/>
    <w:rsid w:val="00F549B2"/>
    <w:rsid w:val="00F60A9E"/>
    <w:rsid w:val="00F61B9E"/>
    <w:rsid w:val="00F62F43"/>
    <w:rsid w:val="00F70E9C"/>
    <w:rsid w:val="00F714E5"/>
    <w:rsid w:val="00F83BB5"/>
    <w:rsid w:val="00F90F83"/>
    <w:rsid w:val="00F96589"/>
    <w:rsid w:val="00FC189F"/>
    <w:rsid w:val="00FC67C8"/>
    <w:rsid w:val="00FD41A2"/>
    <w:rsid w:val="00FF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0732F9"/>
  <w15:chartTrackingRefBased/>
  <w15:docId w15:val="{D623B72E-A6E8-E047-A733-BDA3D3F1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4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40"/>
    <w:pPr>
      <w:ind w:left="720"/>
      <w:contextualSpacing/>
    </w:pPr>
  </w:style>
  <w:style w:type="paragraph" w:styleId="BalloonText">
    <w:name w:val="Balloon Text"/>
    <w:basedOn w:val="Normal"/>
    <w:link w:val="BalloonTextChar"/>
    <w:uiPriority w:val="99"/>
    <w:semiHidden/>
    <w:unhideWhenUsed/>
    <w:rsid w:val="00CA2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40"/>
    <w:rPr>
      <w:rFonts w:ascii="Segoe UI" w:hAnsi="Segoe UI" w:cs="Segoe UI"/>
      <w:sz w:val="18"/>
      <w:szCs w:val="18"/>
    </w:rPr>
  </w:style>
  <w:style w:type="paragraph" w:styleId="Header">
    <w:name w:val="header"/>
    <w:basedOn w:val="Normal"/>
    <w:link w:val="HeaderChar"/>
    <w:uiPriority w:val="99"/>
    <w:unhideWhenUsed/>
    <w:rsid w:val="00CA2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D40"/>
    <w:rPr>
      <w:sz w:val="22"/>
      <w:szCs w:val="22"/>
    </w:rPr>
  </w:style>
  <w:style w:type="paragraph" w:styleId="Footer">
    <w:name w:val="footer"/>
    <w:basedOn w:val="Normal"/>
    <w:link w:val="FooterChar"/>
    <w:uiPriority w:val="99"/>
    <w:unhideWhenUsed/>
    <w:rsid w:val="00CA2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D40"/>
    <w:rPr>
      <w:sz w:val="22"/>
      <w:szCs w:val="22"/>
    </w:rPr>
  </w:style>
  <w:style w:type="paragraph" w:styleId="FootnoteText">
    <w:name w:val="footnote text"/>
    <w:basedOn w:val="Normal"/>
    <w:link w:val="FootnoteTextChar"/>
    <w:uiPriority w:val="99"/>
    <w:unhideWhenUsed/>
    <w:rsid w:val="00CA2D40"/>
    <w:pPr>
      <w:spacing w:after="0" w:line="240" w:lineRule="auto"/>
    </w:pPr>
    <w:rPr>
      <w:sz w:val="20"/>
      <w:szCs w:val="20"/>
    </w:rPr>
  </w:style>
  <w:style w:type="character" w:customStyle="1" w:styleId="FootnoteTextChar">
    <w:name w:val="Footnote Text Char"/>
    <w:basedOn w:val="DefaultParagraphFont"/>
    <w:link w:val="FootnoteText"/>
    <w:uiPriority w:val="99"/>
    <w:rsid w:val="00CA2D40"/>
    <w:rPr>
      <w:sz w:val="20"/>
      <w:szCs w:val="20"/>
    </w:rPr>
  </w:style>
  <w:style w:type="character" w:styleId="FootnoteReference">
    <w:name w:val="footnote reference"/>
    <w:basedOn w:val="DefaultParagraphFont"/>
    <w:uiPriority w:val="99"/>
    <w:unhideWhenUsed/>
    <w:rsid w:val="00CA2D40"/>
    <w:rPr>
      <w:vertAlign w:val="superscript"/>
    </w:rPr>
  </w:style>
  <w:style w:type="character" w:styleId="Hyperlink">
    <w:name w:val="Hyperlink"/>
    <w:basedOn w:val="DefaultParagraphFont"/>
    <w:uiPriority w:val="99"/>
    <w:unhideWhenUsed/>
    <w:rsid w:val="00CA2D40"/>
    <w:rPr>
      <w:color w:val="0000FF"/>
      <w:u w:val="single"/>
    </w:rPr>
  </w:style>
  <w:style w:type="character" w:styleId="UnresolvedMention">
    <w:name w:val="Unresolved Mention"/>
    <w:basedOn w:val="DefaultParagraphFont"/>
    <w:uiPriority w:val="99"/>
    <w:semiHidden/>
    <w:unhideWhenUsed/>
    <w:rsid w:val="00CA2D40"/>
    <w:rPr>
      <w:color w:val="605E5C"/>
      <w:shd w:val="clear" w:color="auto" w:fill="E1DFDD"/>
    </w:rPr>
  </w:style>
  <w:style w:type="character" w:styleId="PageNumber">
    <w:name w:val="page number"/>
    <w:basedOn w:val="DefaultParagraphFont"/>
    <w:uiPriority w:val="99"/>
    <w:semiHidden/>
    <w:unhideWhenUsed/>
    <w:rsid w:val="00CA2D40"/>
  </w:style>
  <w:style w:type="character" w:styleId="FollowedHyperlink">
    <w:name w:val="FollowedHyperlink"/>
    <w:basedOn w:val="DefaultParagraphFont"/>
    <w:uiPriority w:val="99"/>
    <w:semiHidden/>
    <w:unhideWhenUsed/>
    <w:rsid w:val="00CA2D40"/>
    <w:rPr>
      <w:color w:val="954F72" w:themeColor="followedHyperlink"/>
      <w:u w:val="single"/>
    </w:rPr>
  </w:style>
  <w:style w:type="paragraph" w:styleId="EndnoteText">
    <w:name w:val="endnote text"/>
    <w:basedOn w:val="Normal"/>
    <w:link w:val="EndnoteTextChar"/>
    <w:uiPriority w:val="99"/>
    <w:semiHidden/>
    <w:unhideWhenUsed/>
    <w:rsid w:val="00CA2D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D40"/>
    <w:rPr>
      <w:sz w:val="20"/>
      <w:szCs w:val="20"/>
    </w:rPr>
  </w:style>
  <w:style w:type="character" w:styleId="EndnoteReference">
    <w:name w:val="endnote reference"/>
    <w:basedOn w:val="DefaultParagraphFont"/>
    <w:uiPriority w:val="99"/>
    <w:semiHidden/>
    <w:unhideWhenUsed/>
    <w:rsid w:val="00CA2D40"/>
    <w:rPr>
      <w:vertAlign w:val="superscript"/>
    </w:rPr>
  </w:style>
  <w:style w:type="paragraph" w:styleId="NormalWeb">
    <w:name w:val="Normal (Web)"/>
    <w:basedOn w:val="Normal"/>
    <w:uiPriority w:val="99"/>
    <w:unhideWhenUsed/>
    <w:rsid w:val="00CA2D40"/>
    <w:pPr>
      <w:spacing w:after="0" w:line="240" w:lineRule="auto"/>
    </w:pPr>
    <w:rPr>
      <w:rFonts w:ascii="Times New Roman" w:hAnsi="Times New Roman" w:cs="Times New Roman"/>
      <w:sz w:val="24"/>
      <w:szCs w:val="24"/>
      <w:lang w:val="en-CA"/>
    </w:rPr>
  </w:style>
  <w:style w:type="paragraph" w:styleId="CommentText">
    <w:name w:val="annotation text"/>
    <w:basedOn w:val="Normal"/>
    <w:link w:val="CommentTextChar"/>
    <w:uiPriority w:val="99"/>
    <w:semiHidden/>
    <w:unhideWhenUsed/>
    <w:rsid w:val="00CA2D40"/>
    <w:pPr>
      <w:spacing w:line="240" w:lineRule="auto"/>
    </w:pPr>
    <w:rPr>
      <w:sz w:val="20"/>
      <w:szCs w:val="20"/>
    </w:rPr>
  </w:style>
  <w:style w:type="character" w:customStyle="1" w:styleId="CommentTextChar">
    <w:name w:val="Comment Text Char"/>
    <w:basedOn w:val="DefaultParagraphFont"/>
    <w:link w:val="CommentText"/>
    <w:uiPriority w:val="99"/>
    <w:semiHidden/>
    <w:rsid w:val="00CA2D40"/>
    <w:rPr>
      <w:sz w:val="20"/>
      <w:szCs w:val="20"/>
    </w:rPr>
  </w:style>
  <w:style w:type="character" w:styleId="CommentReference">
    <w:name w:val="annotation reference"/>
    <w:basedOn w:val="DefaultParagraphFont"/>
    <w:uiPriority w:val="99"/>
    <w:semiHidden/>
    <w:unhideWhenUsed/>
    <w:rsid w:val="00CA2D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8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26</Pages>
  <Words>10189</Words>
  <Characters>58081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Trispiotis</dc:creator>
  <cp:keywords/>
  <dc:description/>
  <cp:lastModifiedBy>Ilias Trispiotis</cp:lastModifiedBy>
  <cp:revision>46</cp:revision>
  <dcterms:created xsi:type="dcterms:W3CDTF">2021-05-26T10:44:00Z</dcterms:created>
  <dcterms:modified xsi:type="dcterms:W3CDTF">2021-05-26T17:42:00Z</dcterms:modified>
</cp:coreProperties>
</file>