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CE9B8" w14:textId="77777777" w:rsidR="000C51E1" w:rsidRPr="0019328F" w:rsidRDefault="00A3693E" w:rsidP="000C6FF6">
      <w:pPr>
        <w:pStyle w:val="Heading1"/>
        <w:spacing w:line="360" w:lineRule="auto"/>
        <w:jc w:val="both"/>
        <w:rPr>
          <w:rFonts w:asciiTheme="minorHAnsi" w:hAnsiTheme="minorHAnsi" w:cstheme="minorHAnsi"/>
          <w:b/>
          <w:color w:val="000000" w:themeColor="text1"/>
          <w:sz w:val="22"/>
          <w:szCs w:val="22"/>
        </w:rPr>
      </w:pPr>
      <w:bookmarkStart w:id="0" w:name="_Toc30177859"/>
      <w:bookmarkStart w:id="1" w:name="_Toc32429887"/>
      <w:bookmarkStart w:id="2" w:name="_Toc32429939"/>
      <w:bookmarkStart w:id="3" w:name="_Hlk31719815"/>
      <w:bookmarkStart w:id="4" w:name="_GoBack"/>
      <w:bookmarkEnd w:id="4"/>
      <w:r w:rsidRPr="0019328F">
        <w:rPr>
          <w:rFonts w:asciiTheme="minorHAnsi" w:hAnsiTheme="minorHAnsi" w:cstheme="minorHAnsi"/>
          <w:b/>
          <w:color w:val="000000" w:themeColor="text1"/>
          <w:sz w:val="22"/>
          <w:szCs w:val="22"/>
        </w:rPr>
        <w:t>Abstract</w:t>
      </w:r>
      <w:bookmarkEnd w:id="0"/>
      <w:bookmarkEnd w:id="1"/>
      <w:bookmarkEnd w:id="2"/>
    </w:p>
    <w:p w14:paraId="10DF2CA9" w14:textId="77777777" w:rsidR="00820445" w:rsidRPr="001E1E9D" w:rsidRDefault="00820445" w:rsidP="000C6FF6">
      <w:pPr>
        <w:spacing w:line="360" w:lineRule="auto"/>
        <w:jc w:val="both"/>
        <w:rPr>
          <w:rFonts w:asciiTheme="minorHAnsi" w:hAnsiTheme="minorHAnsi" w:cstheme="minorHAnsi"/>
          <w:sz w:val="22"/>
          <w:szCs w:val="22"/>
          <w:lang w:eastAsia="en-US"/>
        </w:rPr>
      </w:pPr>
    </w:p>
    <w:p w14:paraId="5CC109B0" w14:textId="77777777" w:rsidR="00171531" w:rsidRDefault="00171531" w:rsidP="000C6FF6">
      <w:pPr>
        <w:pStyle w:val="Disstext"/>
        <w:rPr>
          <w:rFonts w:asciiTheme="minorHAnsi" w:hAnsiTheme="minorHAnsi" w:cstheme="minorHAnsi"/>
          <w:b/>
          <w:sz w:val="22"/>
          <w:szCs w:val="22"/>
        </w:rPr>
      </w:pPr>
      <w:r>
        <w:rPr>
          <w:rFonts w:asciiTheme="minorHAnsi" w:hAnsiTheme="minorHAnsi" w:cstheme="minorHAnsi"/>
          <w:b/>
          <w:sz w:val="22"/>
          <w:szCs w:val="22"/>
        </w:rPr>
        <w:t>Introduction</w:t>
      </w:r>
      <w:r w:rsidR="00A3693E" w:rsidRPr="001E1E9D">
        <w:rPr>
          <w:rFonts w:asciiTheme="minorHAnsi" w:hAnsiTheme="minorHAnsi" w:cstheme="minorHAnsi"/>
          <w:b/>
          <w:sz w:val="22"/>
          <w:szCs w:val="22"/>
        </w:rPr>
        <w:t xml:space="preserve"> </w:t>
      </w:r>
    </w:p>
    <w:p w14:paraId="749D8AE9" w14:textId="77777777" w:rsidR="008B66A2" w:rsidRPr="001E1E9D" w:rsidRDefault="00A3693E" w:rsidP="000C6FF6">
      <w:pPr>
        <w:pStyle w:val="Disstext"/>
        <w:rPr>
          <w:rFonts w:asciiTheme="minorHAnsi" w:hAnsiTheme="minorHAnsi" w:cstheme="minorHAnsi"/>
          <w:sz w:val="22"/>
          <w:szCs w:val="22"/>
        </w:rPr>
      </w:pPr>
      <w:r w:rsidRPr="001E1E9D">
        <w:rPr>
          <w:rFonts w:asciiTheme="minorHAnsi" w:hAnsiTheme="minorHAnsi" w:cstheme="minorHAnsi"/>
          <w:sz w:val="22"/>
          <w:szCs w:val="22"/>
        </w:rPr>
        <w:t xml:space="preserve">Radiation-induced nausea and vomiting (RINV) is a common side effect of single fraction palliative radiotherapy. Patients experiencing RINV have </w:t>
      </w:r>
      <w:r w:rsidR="00171531">
        <w:rPr>
          <w:rFonts w:asciiTheme="minorHAnsi" w:hAnsiTheme="minorHAnsi" w:cstheme="minorHAnsi"/>
          <w:sz w:val="22"/>
          <w:szCs w:val="22"/>
        </w:rPr>
        <w:t>significantly reduced quality of life and</w:t>
      </w:r>
      <w:r w:rsidRPr="001E1E9D">
        <w:rPr>
          <w:rFonts w:asciiTheme="minorHAnsi" w:hAnsiTheme="minorHAnsi" w:cstheme="minorHAnsi"/>
          <w:sz w:val="22"/>
          <w:szCs w:val="22"/>
        </w:rPr>
        <w:t xml:space="preserve"> </w:t>
      </w:r>
      <w:r w:rsidR="006715A9">
        <w:rPr>
          <w:rFonts w:asciiTheme="minorHAnsi" w:hAnsiTheme="minorHAnsi" w:cstheme="minorHAnsi"/>
          <w:sz w:val="22"/>
          <w:szCs w:val="22"/>
        </w:rPr>
        <w:t xml:space="preserve">a </w:t>
      </w:r>
      <w:r w:rsidR="00171531">
        <w:rPr>
          <w:rFonts w:asciiTheme="minorHAnsi" w:hAnsiTheme="minorHAnsi" w:cstheme="minorHAnsi"/>
          <w:sz w:val="22"/>
          <w:szCs w:val="22"/>
        </w:rPr>
        <w:t>prescription</w:t>
      </w:r>
      <w:r w:rsidRPr="001E1E9D">
        <w:rPr>
          <w:rFonts w:asciiTheme="minorHAnsi" w:hAnsiTheme="minorHAnsi" w:cstheme="minorHAnsi"/>
          <w:sz w:val="22"/>
          <w:szCs w:val="22"/>
        </w:rPr>
        <w:t xml:space="preserve"> </w:t>
      </w:r>
      <w:r w:rsidR="00171531">
        <w:rPr>
          <w:rFonts w:asciiTheme="minorHAnsi" w:hAnsiTheme="minorHAnsi" w:cstheme="minorHAnsi"/>
          <w:sz w:val="22"/>
          <w:szCs w:val="22"/>
        </w:rPr>
        <w:t xml:space="preserve">of </w:t>
      </w:r>
      <w:r w:rsidRPr="001E1E9D">
        <w:rPr>
          <w:rFonts w:asciiTheme="minorHAnsi" w:hAnsiTheme="minorHAnsi" w:cstheme="minorHAnsi"/>
          <w:sz w:val="22"/>
          <w:szCs w:val="22"/>
        </w:rPr>
        <w:t xml:space="preserve">prophylactic antiemetics, </w:t>
      </w:r>
      <w:r w:rsidR="00171531">
        <w:rPr>
          <w:rFonts w:asciiTheme="minorHAnsi" w:hAnsiTheme="minorHAnsi" w:cstheme="minorHAnsi"/>
          <w:sz w:val="22"/>
          <w:szCs w:val="22"/>
        </w:rPr>
        <w:t xml:space="preserve">principally 5-HT3 </w:t>
      </w:r>
      <w:r w:rsidR="00B96469">
        <w:rPr>
          <w:rFonts w:asciiTheme="minorHAnsi" w:hAnsiTheme="minorHAnsi" w:cstheme="minorHAnsi"/>
          <w:sz w:val="22"/>
          <w:szCs w:val="22"/>
        </w:rPr>
        <w:t>antagonists</w:t>
      </w:r>
      <w:r w:rsidRPr="001E1E9D">
        <w:rPr>
          <w:rFonts w:asciiTheme="minorHAnsi" w:hAnsiTheme="minorHAnsi" w:cstheme="minorHAnsi"/>
          <w:sz w:val="22"/>
          <w:szCs w:val="22"/>
        </w:rPr>
        <w:t>, is</w:t>
      </w:r>
      <w:r w:rsidR="00942AF7" w:rsidRPr="001E1E9D">
        <w:rPr>
          <w:rFonts w:asciiTheme="minorHAnsi" w:hAnsiTheme="minorHAnsi" w:cstheme="minorHAnsi"/>
          <w:sz w:val="22"/>
          <w:szCs w:val="22"/>
        </w:rPr>
        <w:t xml:space="preserve"> </w:t>
      </w:r>
      <w:r w:rsidR="00171531">
        <w:rPr>
          <w:rFonts w:asciiTheme="minorHAnsi" w:hAnsiTheme="minorHAnsi" w:cstheme="minorHAnsi"/>
          <w:sz w:val="22"/>
          <w:szCs w:val="22"/>
        </w:rPr>
        <w:t>recommended</w:t>
      </w:r>
      <w:r w:rsidR="00942AF7" w:rsidRPr="001E1E9D">
        <w:rPr>
          <w:rFonts w:asciiTheme="minorHAnsi" w:hAnsiTheme="minorHAnsi" w:cstheme="minorHAnsi"/>
          <w:sz w:val="22"/>
          <w:szCs w:val="22"/>
        </w:rPr>
        <w:t>.</w:t>
      </w:r>
      <w:r w:rsidR="00171531">
        <w:rPr>
          <w:rFonts w:asciiTheme="minorHAnsi" w:hAnsiTheme="minorHAnsi" w:cstheme="minorHAnsi"/>
          <w:sz w:val="22"/>
          <w:szCs w:val="22"/>
        </w:rPr>
        <w:t xml:space="preserve"> There is a growing body of evidence relating to indications for this, but as yet there are no national guidelines.</w:t>
      </w:r>
    </w:p>
    <w:p w14:paraId="5AE71503" w14:textId="77777777" w:rsidR="00171531" w:rsidRDefault="00171531" w:rsidP="000C6FF6">
      <w:pPr>
        <w:spacing w:line="360" w:lineRule="auto"/>
        <w:jc w:val="both"/>
        <w:rPr>
          <w:rFonts w:asciiTheme="minorHAnsi" w:hAnsiTheme="minorHAnsi" w:cstheme="minorHAnsi"/>
          <w:b/>
          <w:sz w:val="22"/>
          <w:szCs w:val="22"/>
          <w:lang w:eastAsia="en-US"/>
        </w:rPr>
      </w:pPr>
    </w:p>
    <w:p w14:paraId="6E1E0468" w14:textId="77777777" w:rsidR="00171531" w:rsidRDefault="00171531" w:rsidP="000C6FF6">
      <w:pPr>
        <w:spacing w:line="360"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Methods</w:t>
      </w:r>
    </w:p>
    <w:p w14:paraId="109BEE57" w14:textId="77777777" w:rsidR="00A65E30" w:rsidRDefault="00171531" w:rsidP="000C6FF6">
      <w:pPr>
        <w:spacing w:line="360"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A retrospective</w:t>
      </w:r>
      <w:r w:rsidR="008038AD" w:rsidRPr="001E1E9D">
        <w:rPr>
          <w:rFonts w:asciiTheme="minorHAnsi" w:hAnsiTheme="minorHAnsi" w:cstheme="minorHAnsi"/>
          <w:sz w:val="22"/>
          <w:szCs w:val="22"/>
          <w:lang w:eastAsia="en-US"/>
        </w:rPr>
        <w:t xml:space="preserve"> audit </w:t>
      </w:r>
      <w:r>
        <w:rPr>
          <w:rFonts w:asciiTheme="minorHAnsi" w:hAnsiTheme="minorHAnsi" w:cstheme="minorHAnsi"/>
          <w:sz w:val="22"/>
          <w:szCs w:val="22"/>
          <w:lang w:eastAsia="en-US"/>
        </w:rPr>
        <w:t>aimed to determine the extent to which patients</w:t>
      </w:r>
      <w:r w:rsidR="008038AD" w:rsidRPr="001E1E9D">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at</w:t>
      </w:r>
      <w:r w:rsidR="008038AD" w:rsidRPr="001E1E9D">
        <w:rPr>
          <w:rFonts w:asciiTheme="minorHAnsi" w:hAnsiTheme="minorHAnsi" w:cstheme="minorHAnsi"/>
          <w:sz w:val="22"/>
          <w:szCs w:val="22"/>
          <w:lang w:eastAsia="en-US"/>
        </w:rPr>
        <w:t xml:space="preserve"> high and moderate emetogenic risk </w:t>
      </w:r>
      <w:r w:rsidR="006715A9">
        <w:rPr>
          <w:rFonts w:asciiTheme="minorHAnsi" w:hAnsiTheme="minorHAnsi" w:cstheme="minorHAnsi"/>
          <w:sz w:val="22"/>
          <w:szCs w:val="22"/>
          <w:lang w:eastAsia="en-US"/>
        </w:rPr>
        <w:t xml:space="preserve">receiving single fraction </w:t>
      </w:r>
      <w:r w:rsidR="00761F02">
        <w:rPr>
          <w:rFonts w:asciiTheme="minorHAnsi" w:hAnsiTheme="minorHAnsi" w:cstheme="minorHAnsi"/>
          <w:sz w:val="22"/>
          <w:szCs w:val="22"/>
          <w:lang w:eastAsia="en-US"/>
        </w:rPr>
        <w:t>radiotherapy</w:t>
      </w:r>
      <w:r w:rsidR="00671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were prescribed prophylactic emetic medication in line with the current evidence base. </w:t>
      </w:r>
    </w:p>
    <w:p w14:paraId="49132A17" w14:textId="77777777" w:rsidR="00171531" w:rsidRPr="001E1E9D" w:rsidRDefault="00171531" w:rsidP="000C6FF6">
      <w:pPr>
        <w:spacing w:line="360" w:lineRule="auto"/>
        <w:jc w:val="both"/>
        <w:rPr>
          <w:rFonts w:asciiTheme="minorHAnsi" w:hAnsiTheme="minorHAnsi" w:cstheme="minorHAnsi"/>
          <w:sz w:val="22"/>
          <w:szCs w:val="22"/>
          <w:lang w:eastAsia="en-US"/>
        </w:rPr>
      </w:pPr>
    </w:p>
    <w:p w14:paraId="7F428DD1" w14:textId="77777777" w:rsidR="00171531" w:rsidRDefault="00171531" w:rsidP="000C6FF6">
      <w:pPr>
        <w:spacing w:line="360"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Results</w:t>
      </w:r>
    </w:p>
    <w:p w14:paraId="3747867C" w14:textId="69417AA0" w:rsidR="008B66A2" w:rsidRPr="001E1E9D" w:rsidRDefault="00171531" w:rsidP="000C6FF6">
      <w:pPr>
        <w:spacing w:line="360"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A total of 60 patient</w:t>
      </w:r>
      <w:r w:rsidR="00515420">
        <w:rPr>
          <w:rFonts w:asciiTheme="minorHAnsi" w:hAnsiTheme="minorHAnsi" w:cstheme="minorHAnsi"/>
          <w:sz w:val="22"/>
          <w:szCs w:val="22"/>
          <w:lang w:eastAsia="en-US"/>
        </w:rPr>
        <w:t>s</w:t>
      </w:r>
      <w:r w:rsidR="0019328F">
        <w:rPr>
          <w:rFonts w:asciiTheme="minorHAnsi" w:hAnsiTheme="minorHAnsi" w:cstheme="minorHAnsi"/>
          <w:sz w:val="22"/>
          <w:szCs w:val="22"/>
          <w:lang w:eastAsia="en-US"/>
        </w:rPr>
        <w:t xml:space="preserve"> were included in the audit; </w:t>
      </w:r>
      <w:r w:rsidR="0019328F" w:rsidRPr="0019328F">
        <w:rPr>
          <w:rFonts w:asciiTheme="minorHAnsi" w:hAnsiTheme="minorHAnsi" w:cstheme="minorHAnsi"/>
          <w:sz w:val="22"/>
          <w:szCs w:val="22"/>
          <w:lang w:eastAsia="en-US"/>
        </w:rPr>
        <w:t xml:space="preserve">of these patients, 50 were consented for the </w:t>
      </w:r>
      <w:r w:rsidR="0019328F">
        <w:rPr>
          <w:rFonts w:asciiTheme="minorHAnsi" w:hAnsiTheme="minorHAnsi" w:cstheme="minorHAnsi"/>
          <w:sz w:val="22"/>
          <w:szCs w:val="22"/>
          <w:lang w:eastAsia="en-US"/>
        </w:rPr>
        <w:t>risk of nausea and/or vomiting. P</w:t>
      </w:r>
      <w:r w:rsidR="0019328F" w:rsidRPr="0019328F">
        <w:rPr>
          <w:rFonts w:asciiTheme="minorHAnsi" w:hAnsiTheme="minorHAnsi" w:cstheme="minorHAnsi"/>
          <w:sz w:val="22"/>
          <w:szCs w:val="22"/>
          <w:lang w:eastAsia="en-US"/>
        </w:rPr>
        <w:t xml:space="preserve">rophylactic </w:t>
      </w:r>
      <w:r w:rsidR="00F86BD5">
        <w:rPr>
          <w:rFonts w:asciiTheme="minorHAnsi" w:hAnsiTheme="minorHAnsi" w:cstheme="minorHAnsi"/>
          <w:sz w:val="22"/>
          <w:szCs w:val="22"/>
          <w:lang w:eastAsia="en-US"/>
        </w:rPr>
        <w:t>antiemetic</w:t>
      </w:r>
      <w:r w:rsidR="0019328F" w:rsidRPr="0019328F">
        <w:rPr>
          <w:rFonts w:asciiTheme="minorHAnsi" w:hAnsiTheme="minorHAnsi" w:cstheme="minorHAnsi"/>
          <w:sz w:val="22"/>
          <w:szCs w:val="22"/>
          <w:lang w:eastAsia="en-US"/>
        </w:rPr>
        <w:t>s were only prescribed to 28 (46.7%) of all audited patients. Out of the 50 patients who provide</w:t>
      </w:r>
      <w:r w:rsidR="00B96469">
        <w:rPr>
          <w:rFonts w:asciiTheme="minorHAnsi" w:hAnsiTheme="minorHAnsi" w:cstheme="minorHAnsi"/>
          <w:sz w:val="22"/>
          <w:szCs w:val="22"/>
          <w:lang w:eastAsia="en-US"/>
        </w:rPr>
        <w:t>d</w:t>
      </w:r>
      <w:r w:rsidR="0019328F" w:rsidRPr="0019328F">
        <w:rPr>
          <w:rFonts w:asciiTheme="minorHAnsi" w:hAnsiTheme="minorHAnsi" w:cstheme="minorHAnsi"/>
          <w:sz w:val="22"/>
          <w:szCs w:val="22"/>
          <w:lang w:eastAsia="en-US"/>
        </w:rPr>
        <w:t xml:space="preserve"> informed consent, only 24 (48%) were prescribed an antiemetic prior to their treatment. </w:t>
      </w:r>
    </w:p>
    <w:p w14:paraId="4DFF0AC1" w14:textId="77777777" w:rsidR="00171531" w:rsidRDefault="00171531" w:rsidP="000C6FF6">
      <w:pPr>
        <w:spacing w:line="360" w:lineRule="auto"/>
        <w:jc w:val="both"/>
        <w:rPr>
          <w:rFonts w:asciiTheme="minorHAnsi" w:hAnsiTheme="minorHAnsi" w:cstheme="minorHAnsi"/>
          <w:b/>
          <w:sz w:val="22"/>
          <w:szCs w:val="22"/>
          <w:lang w:eastAsia="en-US"/>
        </w:rPr>
      </w:pPr>
    </w:p>
    <w:p w14:paraId="4C4C616F" w14:textId="77777777" w:rsidR="00171531" w:rsidRDefault="00171531" w:rsidP="000C6FF6">
      <w:pPr>
        <w:spacing w:line="360"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Conclusion</w:t>
      </w:r>
    </w:p>
    <w:p w14:paraId="2942B891" w14:textId="77777777" w:rsidR="008038AD" w:rsidRPr="001E1E9D" w:rsidRDefault="0019328F" w:rsidP="000C6FF6">
      <w:pPr>
        <w:spacing w:line="360"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A</w:t>
      </w:r>
      <w:r w:rsidR="00C60DC4" w:rsidRPr="001E1E9D">
        <w:rPr>
          <w:rFonts w:asciiTheme="minorHAnsi" w:hAnsiTheme="minorHAnsi" w:cstheme="minorHAnsi"/>
          <w:sz w:val="22"/>
          <w:szCs w:val="22"/>
          <w:lang w:eastAsia="en-US"/>
        </w:rPr>
        <w:t>ntiemetic prescribing for single fraction patients</w:t>
      </w:r>
      <w:r>
        <w:rPr>
          <w:rFonts w:asciiTheme="minorHAnsi" w:hAnsiTheme="minorHAnsi" w:cstheme="minorHAnsi"/>
          <w:sz w:val="22"/>
          <w:szCs w:val="22"/>
          <w:lang w:eastAsia="en-US"/>
        </w:rPr>
        <w:t xml:space="preserve"> at moderate to high emetogenic risk</w:t>
      </w:r>
      <w:r w:rsidR="00C60DC4" w:rsidRPr="001E1E9D">
        <w:rPr>
          <w:rFonts w:asciiTheme="minorHAnsi" w:hAnsiTheme="minorHAnsi" w:cstheme="minorHAnsi"/>
          <w:sz w:val="22"/>
          <w:szCs w:val="22"/>
          <w:lang w:eastAsia="en-US"/>
        </w:rPr>
        <w:t xml:space="preserve"> at </w:t>
      </w:r>
      <w:r w:rsidR="00171531">
        <w:rPr>
          <w:rFonts w:asciiTheme="minorHAnsi" w:hAnsiTheme="minorHAnsi" w:cstheme="minorHAnsi"/>
          <w:sz w:val="22"/>
          <w:szCs w:val="22"/>
          <w:lang w:eastAsia="en-US"/>
        </w:rPr>
        <w:t>a large regional centre i</w:t>
      </w:r>
      <w:r>
        <w:rPr>
          <w:rFonts w:asciiTheme="minorHAnsi" w:hAnsiTheme="minorHAnsi" w:cstheme="minorHAnsi"/>
          <w:sz w:val="22"/>
          <w:szCs w:val="22"/>
          <w:lang w:eastAsia="en-US"/>
        </w:rPr>
        <w:t>s</w:t>
      </w:r>
      <w:r w:rsidR="00171531">
        <w:rPr>
          <w:rFonts w:asciiTheme="minorHAnsi" w:hAnsiTheme="minorHAnsi" w:cstheme="minorHAnsi"/>
          <w:sz w:val="22"/>
          <w:szCs w:val="22"/>
          <w:lang w:eastAsia="en-US"/>
        </w:rPr>
        <w:t xml:space="preserve"> under-utilised in relation to published evidence.</w:t>
      </w:r>
      <w:r w:rsidR="00C60DC4" w:rsidRPr="001E1E9D">
        <w:rPr>
          <w:rFonts w:asciiTheme="minorHAnsi" w:hAnsiTheme="minorHAnsi" w:cstheme="minorHAnsi"/>
          <w:sz w:val="22"/>
          <w:szCs w:val="22"/>
          <w:lang w:eastAsia="en-US"/>
        </w:rPr>
        <w:t xml:space="preserve"> </w:t>
      </w:r>
      <w:r w:rsidR="00171531">
        <w:rPr>
          <w:rFonts w:asciiTheme="minorHAnsi" w:hAnsiTheme="minorHAnsi" w:cstheme="minorHAnsi"/>
          <w:sz w:val="22"/>
          <w:szCs w:val="22"/>
          <w:lang w:eastAsia="en-US"/>
        </w:rPr>
        <w:t>Amended guidance</w:t>
      </w:r>
      <w:r w:rsidR="00C60DC4" w:rsidRPr="001E1E9D">
        <w:rPr>
          <w:rFonts w:asciiTheme="minorHAnsi" w:hAnsiTheme="minorHAnsi" w:cstheme="minorHAnsi"/>
          <w:sz w:val="22"/>
          <w:szCs w:val="22"/>
          <w:lang w:eastAsia="en-US"/>
        </w:rPr>
        <w:t xml:space="preserve"> and further audits </w:t>
      </w:r>
      <w:r w:rsidR="00171531">
        <w:rPr>
          <w:rFonts w:asciiTheme="minorHAnsi" w:hAnsiTheme="minorHAnsi" w:cstheme="minorHAnsi"/>
          <w:sz w:val="22"/>
          <w:szCs w:val="22"/>
          <w:lang w:eastAsia="en-US"/>
        </w:rPr>
        <w:t>are recommended to ensure this patient group is best supported</w:t>
      </w:r>
      <w:r w:rsidR="00C60DC4" w:rsidRPr="001E1E9D">
        <w:rPr>
          <w:rFonts w:asciiTheme="minorHAnsi" w:hAnsiTheme="minorHAnsi" w:cstheme="minorHAnsi"/>
          <w:sz w:val="22"/>
          <w:szCs w:val="22"/>
          <w:lang w:eastAsia="en-US"/>
        </w:rPr>
        <w:t>.</w:t>
      </w:r>
    </w:p>
    <w:p w14:paraId="7FAF52F6" w14:textId="77777777" w:rsidR="00820445" w:rsidRPr="001E1E9D" w:rsidRDefault="00820445" w:rsidP="000C6FF6">
      <w:pPr>
        <w:pStyle w:val="DissTitle"/>
        <w:jc w:val="both"/>
        <w:rPr>
          <w:rFonts w:asciiTheme="minorHAnsi" w:hAnsiTheme="minorHAnsi" w:cstheme="minorHAnsi"/>
          <w:sz w:val="22"/>
        </w:rPr>
      </w:pPr>
    </w:p>
    <w:p w14:paraId="040EA1BB" w14:textId="77777777" w:rsidR="00122DD3" w:rsidRPr="001E1E9D" w:rsidRDefault="00122DD3" w:rsidP="000C6FF6">
      <w:pPr>
        <w:pStyle w:val="DissTitle"/>
        <w:jc w:val="both"/>
        <w:rPr>
          <w:rFonts w:asciiTheme="minorHAnsi" w:hAnsiTheme="minorHAnsi" w:cstheme="minorHAnsi"/>
          <w:sz w:val="22"/>
        </w:rPr>
      </w:pPr>
    </w:p>
    <w:p w14:paraId="405F27E0" w14:textId="77777777" w:rsidR="00122DD3" w:rsidRPr="001E1E9D" w:rsidRDefault="00122DD3" w:rsidP="000C6FF6">
      <w:pPr>
        <w:pStyle w:val="DissTitle"/>
        <w:jc w:val="both"/>
        <w:rPr>
          <w:rFonts w:asciiTheme="minorHAnsi" w:hAnsiTheme="minorHAnsi" w:cstheme="minorHAnsi"/>
          <w:sz w:val="22"/>
        </w:rPr>
      </w:pPr>
    </w:p>
    <w:p w14:paraId="1D8984E8" w14:textId="77777777" w:rsidR="00122DD3" w:rsidRPr="001E1E9D" w:rsidRDefault="00122DD3" w:rsidP="000C6FF6">
      <w:pPr>
        <w:pStyle w:val="DissTitle"/>
        <w:jc w:val="both"/>
        <w:rPr>
          <w:rFonts w:asciiTheme="minorHAnsi" w:hAnsiTheme="minorHAnsi" w:cstheme="minorHAnsi"/>
          <w:sz w:val="22"/>
        </w:rPr>
      </w:pPr>
    </w:p>
    <w:p w14:paraId="3FBC8B87" w14:textId="77777777" w:rsidR="008A667F" w:rsidRPr="001E1E9D" w:rsidRDefault="008A667F" w:rsidP="000C6FF6">
      <w:pPr>
        <w:pStyle w:val="DissTitle"/>
        <w:jc w:val="both"/>
        <w:rPr>
          <w:rFonts w:asciiTheme="minorHAnsi" w:hAnsiTheme="minorHAnsi" w:cstheme="minorHAnsi"/>
          <w:sz w:val="22"/>
        </w:rPr>
      </w:pPr>
    </w:p>
    <w:p w14:paraId="3F418C51" w14:textId="77777777" w:rsidR="005909FB" w:rsidRPr="001E1E9D" w:rsidRDefault="005909FB" w:rsidP="000C6FF6">
      <w:pPr>
        <w:pStyle w:val="Heading1"/>
        <w:spacing w:line="360" w:lineRule="auto"/>
        <w:jc w:val="both"/>
        <w:rPr>
          <w:rFonts w:asciiTheme="minorHAnsi" w:eastAsiaTheme="minorEastAsia" w:hAnsiTheme="minorHAnsi" w:cstheme="minorHAnsi"/>
          <w:b/>
          <w:color w:val="000000" w:themeColor="text1"/>
          <w:spacing w:val="15"/>
          <w:sz w:val="22"/>
          <w:szCs w:val="22"/>
          <w:u w:val="single"/>
          <w:lang w:eastAsia="en-GB"/>
        </w:rPr>
      </w:pPr>
      <w:bookmarkStart w:id="5" w:name="_Toc30177860"/>
      <w:bookmarkStart w:id="6" w:name="_Toc32429888"/>
      <w:bookmarkStart w:id="7" w:name="_Toc32429940"/>
    </w:p>
    <w:p w14:paraId="50B0C3D6" w14:textId="77777777" w:rsidR="005909FB" w:rsidRPr="001E1E9D" w:rsidRDefault="005909FB" w:rsidP="000C6FF6">
      <w:pPr>
        <w:spacing w:line="360" w:lineRule="auto"/>
        <w:rPr>
          <w:rFonts w:asciiTheme="minorHAnsi" w:hAnsiTheme="minorHAnsi" w:cstheme="minorHAnsi"/>
          <w:sz w:val="22"/>
          <w:szCs w:val="22"/>
        </w:rPr>
      </w:pPr>
    </w:p>
    <w:p w14:paraId="2855BC5D" w14:textId="77777777" w:rsidR="005909FB" w:rsidRPr="001E1E9D" w:rsidRDefault="005909FB" w:rsidP="000C6FF6">
      <w:pPr>
        <w:spacing w:line="360" w:lineRule="auto"/>
        <w:rPr>
          <w:rFonts w:asciiTheme="minorHAnsi" w:hAnsiTheme="minorHAnsi" w:cstheme="minorHAnsi"/>
          <w:sz w:val="22"/>
          <w:szCs w:val="22"/>
        </w:rPr>
      </w:pPr>
    </w:p>
    <w:p w14:paraId="7C280A88" w14:textId="77777777" w:rsidR="007F42BD" w:rsidRDefault="007F42BD">
      <w:pPr>
        <w:rPr>
          <w:rFonts w:asciiTheme="minorHAnsi" w:eastAsiaTheme="majorEastAsia" w:hAnsiTheme="minorHAnsi" w:cstheme="minorHAnsi"/>
          <w:b/>
          <w:color w:val="000000" w:themeColor="text1"/>
          <w:sz w:val="22"/>
          <w:szCs w:val="22"/>
          <w:u w:val="single"/>
          <w:lang w:eastAsia="en-US"/>
        </w:rPr>
      </w:pPr>
      <w:r>
        <w:rPr>
          <w:rFonts w:asciiTheme="minorHAnsi" w:hAnsiTheme="minorHAnsi" w:cstheme="minorHAnsi"/>
          <w:b/>
          <w:color w:val="000000" w:themeColor="text1"/>
          <w:sz w:val="22"/>
          <w:szCs w:val="22"/>
          <w:u w:val="single"/>
        </w:rPr>
        <w:br w:type="page"/>
      </w:r>
    </w:p>
    <w:p w14:paraId="2728FFF0" w14:textId="77777777" w:rsidR="00756FBF" w:rsidRPr="00EE25D1" w:rsidRDefault="00756FBF" w:rsidP="000C6FF6">
      <w:pPr>
        <w:pStyle w:val="Heading1"/>
        <w:spacing w:line="360" w:lineRule="auto"/>
        <w:jc w:val="both"/>
        <w:rPr>
          <w:rFonts w:asciiTheme="minorHAnsi" w:hAnsiTheme="minorHAnsi" w:cstheme="minorHAnsi"/>
          <w:b/>
          <w:color w:val="000000" w:themeColor="text1"/>
          <w:sz w:val="22"/>
          <w:szCs w:val="22"/>
        </w:rPr>
      </w:pPr>
      <w:r w:rsidRPr="00EE25D1">
        <w:rPr>
          <w:rFonts w:asciiTheme="minorHAnsi" w:hAnsiTheme="minorHAnsi" w:cstheme="minorHAnsi"/>
          <w:b/>
          <w:color w:val="000000" w:themeColor="text1"/>
          <w:sz w:val="22"/>
          <w:szCs w:val="22"/>
        </w:rPr>
        <w:lastRenderedPageBreak/>
        <w:t>Introduction</w:t>
      </w:r>
      <w:bookmarkEnd w:id="5"/>
      <w:bookmarkEnd w:id="6"/>
      <w:bookmarkEnd w:id="7"/>
    </w:p>
    <w:p w14:paraId="6AEF6FD4" w14:textId="77777777" w:rsidR="008A667F" w:rsidRPr="001E1E9D" w:rsidRDefault="008A667F" w:rsidP="008A667F">
      <w:pPr>
        <w:rPr>
          <w:rFonts w:asciiTheme="minorHAnsi" w:hAnsiTheme="minorHAnsi" w:cstheme="minorHAnsi"/>
          <w:sz w:val="22"/>
          <w:szCs w:val="22"/>
          <w:lang w:eastAsia="en-US"/>
        </w:rPr>
      </w:pPr>
    </w:p>
    <w:p w14:paraId="7EA20974" w14:textId="6ADA6569" w:rsidR="00D54D1C" w:rsidRDefault="00C30E10" w:rsidP="000C6FF6">
      <w:pPr>
        <w:spacing w:line="360" w:lineRule="auto"/>
        <w:jc w:val="both"/>
        <w:rPr>
          <w:rFonts w:asciiTheme="minorHAnsi" w:hAnsiTheme="minorHAnsi" w:cstheme="minorHAnsi"/>
          <w:color w:val="000000" w:themeColor="text1"/>
          <w:sz w:val="22"/>
          <w:szCs w:val="22"/>
        </w:rPr>
      </w:pPr>
      <w:r w:rsidRPr="00C30E10">
        <w:rPr>
          <w:rFonts w:asciiTheme="minorHAnsi" w:hAnsiTheme="minorHAnsi" w:cstheme="minorHAnsi"/>
          <w:color w:val="000000" w:themeColor="text1"/>
          <w:sz w:val="22"/>
          <w:szCs w:val="22"/>
        </w:rPr>
        <w:t xml:space="preserve">Palliative radiotherapy aims to reduce symptoms, but </w:t>
      </w:r>
      <w:r w:rsidR="00914601">
        <w:rPr>
          <w:rFonts w:asciiTheme="minorHAnsi" w:hAnsiTheme="minorHAnsi" w:cstheme="minorHAnsi"/>
          <w:color w:val="000000" w:themeColor="text1"/>
          <w:sz w:val="22"/>
          <w:szCs w:val="22"/>
        </w:rPr>
        <w:t xml:space="preserve">not achieve cure, </w:t>
      </w:r>
      <w:r w:rsidR="00572AA8">
        <w:rPr>
          <w:rFonts w:asciiTheme="minorHAnsi" w:hAnsiTheme="minorHAnsi" w:cstheme="minorHAnsi"/>
          <w:color w:val="000000" w:themeColor="text1"/>
          <w:sz w:val="22"/>
          <w:szCs w:val="22"/>
        </w:rPr>
        <w:t xml:space="preserve">and </w:t>
      </w:r>
      <w:r w:rsidR="00914601">
        <w:rPr>
          <w:rFonts w:asciiTheme="minorHAnsi" w:hAnsiTheme="minorHAnsi" w:cstheme="minorHAnsi"/>
          <w:color w:val="000000" w:themeColor="text1"/>
          <w:sz w:val="22"/>
          <w:szCs w:val="22"/>
        </w:rPr>
        <w:t>result</w:t>
      </w:r>
      <w:r w:rsidR="00572AA8">
        <w:rPr>
          <w:rFonts w:asciiTheme="minorHAnsi" w:hAnsiTheme="minorHAnsi" w:cstheme="minorHAnsi"/>
          <w:color w:val="000000" w:themeColor="text1"/>
          <w:sz w:val="22"/>
          <w:szCs w:val="22"/>
        </w:rPr>
        <w:t>s</w:t>
      </w:r>
      <w:r w:rsidR="00914601">
        <w:rPr>
          <w:rFonts w:asciiTheme="minorHAnsi" w:hAnsiTheme="minorHAnsi" w:cstheme="minorHAnsi"/>
          <w:color w:val="000000" w:themeColor="text1"/>
          <w:sz w:val="22"/>
          <w:szCs w:val="22"/>
        </w:rPr>
        <w:t xml:space="preserve"> in pain relief in 60-80% of patients</w:t>
      </w:r>
      <w:r w:rsidR="00E93704">
        <w:rPr>
          <w:rFonts w:asciiTheme="minorHAnsi" w:hAnsiTheme="minorHAnsi" w:cstheme="minorHAnsi"/>
          <w:color w:val="000000" w:themeColor="text1"/>
          <w:sz w:val="22"/>
          <w:szCs w:val="22"/>
        </w:rPr>
        <w:t xml:space="preserve"> (1)</w:t>
      </w:r>
      <w:r w:rsidR="00572AA8">
        <w:rPr>
          <w:rFonts w:asciiTheme="minorHAnsi" w:hAnsiTheme="minorHAnsi" w:cstheme="minorHAnsi"/>
          <w:color w:val="000000" w:themeColor="text1"/>
          <w:sz w:val="22"/>
          <w:szCs w:val="22"/>
        </w:rPr>
        <w:t xml:space="preserve">, with </w:t>
      </w:r>
      <w:r w:rsidR="00572AA8" w:rsidRPr="00C30E10">
        <w:rPr>
          <w:rFonts w:asciiTheme="minorHAnsi" w:hAnsiTheme="minorHAnsi" w:cstheme="minorHAnsi"/>
          <w:color w:val="000000" w:themeColor="text1"/>
          <w:sz w:val="22"/>
          <w:szCs w:val="22"/>
        </w:rPr>
        <w:t>one thir</w:t>
      </w:r>
      <w:r w:rsidR="00572AA8">
        <w:rPr>
          <w:rFonts w:asciiTheme="minorHAnsi" w:hAnsiTheme="minorHAnsi" w:cstheme="minorHAnsi"/>
          <w:color w:val="000000" w:themeColor="text1"/>
          <w:sz w:val="22"/>
          <w:szCs w:val="22"/>
        </w:rPr>
        <w:t>d of those with bone metastases</w:t>
      </w:r>
      <w:r w:rsidR="00572AA8">
        <w:rPr>
          <w:rFonts w:asciiTheme="minorHAnsi" w:hAnsiTheme="minorHAnsi" w:cstheme="minorHAnsi"/>
          <w:color w:val="000000" w:themeColor="text1"/>
          <w:sz w:val="22"/>
          <w:szCs w:val="22"/>
          <w:vertAlign w:val="superscript"/>
        </w:rPr>
        <w:t xml:space="preserve"> </w:t>
      </w:r>
      <w:r w:rsidR="00572AA8">
        <w:rPr>
          <w:rFonts w:asciiTheme="minorHAnsi" w:hAnsiTheme="minorHAnsi" w:cstheme="minorHAnsi"/>
          <w:color w:val="000000" w:themeColor="text1"/>
          <w:sz w:val="22"/>
          <w:szCs w:val="22"/>
        </w:rPr>
        <w:t xml:space="preserve">experiencing </w:t>
      </w:r>
      <w:r w:rsidRPr="00C30E10">
        <w:rPr>
          <w:rFonts w:asciiTheme="minorHAnsi" w:hAnsiTheme="minorHAnsi" w:cstheme="minorHAnsi"/>
          <w:color w:val="000000" w:themeColor="text1"/>
          <w:sz w:val="22"/>
          <w:szCs w:val="22"/>
        </w:rPr>
        <w:t>complete relief of pain</w:t>
      </w:r>
      <w:r w:rsidR="00E93704">
        <w:rPr>
          <w:rFonts w:asciiTheme="minorHAnsi" w:hAnsiTheme="minorHAnsi" w:cstheme="minorHAnsi"/>
          <w:color w:val="000000" w:themeColor="text1"/>
          <w:sz w:val="22"/>
          <w:szCs w:val="22"/>
        </w:rPr>
        <w:t xml:space="preserve"> (2)</w:t>
      </w:r>
      <w:r w:rsidRPr="00C30E10">
        <w:rPr>
          <w:rFonts w:asciiTheme="minorHAnsi" w:hAnsiTheme="minorHAnsi" w:cstheme="minorHAnsi"/>
          <w:color w:val="000000" w:themeColor="text1"/>
          <w:sz w:val="22"/>
          <w:szCs w:val="22"/>
        </w:rPr>
        <w:t>. Single fields (one beam delivering the whole prescription) or parallel opposed pairs (two beams along the same axis) are widely used to deliver palliative radiotherapy, as they a</w:t>
      </w:r>
      <w:r>
        <w:rPr>
          <w:rFonts w:asciiTheme="minorHAnsi" w:hAnsiTheme="minorHAnsi" w:cstheme="minorHAnsi"/>
          <w:color w:val="000000" w:themeColor="text1"/>
          <w:sz w:val="22"/>
          <w:szCs w:val="22"/>
        </w:rPr>
        <w:t>re quicker to position and plan</w:t>
      </w:r>
      <w:r w:rsidRPr="00C30E10">
        <w:rPr>
          <w:rFonts w:asciiTheme="minorHAnsi" w:hAnsiTheme="minorHAnsi" w:cstheme="minorHAnsi"/>
          <w:color w:val="000000" w:themeColor="text1"/>
          <w:sz w:val="22"/>
          <w:szCs w:val="22"/>
        </w:rPr>
        <w:t xml:space="preserve">, meaning patients spend less time on the treatment couch and there is less of a wait for treatment. </w:t>
      </w:r>
      <w:r w:rsidR="00C17FAC">
        <w:rPr>
          <w:rFonts w:asciiTheme="minorHAnsi" w:hAnsiTheme="minorHAnsi" w:cstheme="minorHAnsi"/>
          <w:color w:val="000000" w:themeColor="text1"/>
          <w:sz w:val="22"/>
          <w:szCs w:val="22"/>
        </w:rPr>
        <w:t>The</w:t>
      </w:r>
      <w:r w:rsidRPr="00C30E10">
        <w:rPr>
          <w:rFonts w:asciiTheme="minorHAnsi" w:hAnsiTheme="minorHAnsi" w:cstheme="minorHAnsi"/>
          <w:color w:val="000000" w:themeColor="text1"/>
          <w:sz w:val="22"/>
          <w:szCs w:val="22"/>
        </w:rPr>
        <w:t xml:space="preserve"> </w:t>
      </w:r>
      <w:r w:rsidR="00666EB2">
        <w:rPr>
          <w:rFonts w:asciiTheme="minorHAnsi" w:hAnsiTheme="minorHAnsi" w:cstheme="minorHAnsi"/>
          <w:color w:val="000000" w:themeColor="text1"/>
          <w:sz w:val="22"/>
          <w:szCs w:val="22"/>
        </w:rPr>
        <w:t>large volume of healthy tissue</w:t>
      </w:r>
      <w:r w:rsidR="006D33B3">
        <w:rPr>
          <w:rFonts w:asciiTheme="minorHAnsi" w:hAnsiTheme="minorHAnsi" w:cstheme="minorHAnsi"/>
          <w:color w:val="000000" w:themeColor="text1"/>
          <w:sz w:val="22"/>
          <w:szCs w:val="22"/>
        </w:rPr>
        <w:t xml:space="preserve"> </w:t>
      </w:r>
      <w:r w:rsidR="00F35E81">
        <w:rPr>
          <w:rFonts w:asciiTheme="minorHAnsi" w:hAnsiTheme="minorHAnsi" w:cstheme="minorHAnsi"/>
          <w:color w:val="000000" w:themeColor="text1"/>
          <w:sz w:val="22"/>
          <w:szCs w:val="22"/>
        </w:rPr>
        <w:t xml:space="preserve">irradiated </w:t>
      </w:r>
      <w:r w:rsidR="00E93704">
        <w:rPr>
          <w:rFonts w:asciiTheme="minorHAnsi" w:hAnsiTheme="minorHAnsi" w:cstheme="minorHAnsi"/>
          <w:color w:val="000000" w:themeColor="text1"/>
          <w:sz w:val="22"/>
          <w:szCs w:val="22"/>
        </w:rPr>
        <w:t>(3</w:t>
      </w:r>
      <w:r w:rsidR="007450AE">
        <w:rPr>
          <w:rFonts w:asciiTheme="minorHAnsi" w:hAnsiTheme="minorHAnsi" w:cstheme="minorHAnsi"/>
          <w:color w:val="000000" w:themeColor="text1"/>
          <w:sz w:val="22"/>
          <w:szCs w:val="22"/>
        </w:rPr>
        <w:t>,4</w:t>
      </w:r>
      <w:r w:rsidR="00E93704">
        <w:rPr>
          <w:rFonts w:asciiTheme="minorHAnsi" w:hAnsiTheme="minorHAnsi" w:cstheme="minorHAnsi"/>
          <w:color w:val="000000" w:themeColor="text1"/>
          <w:sz w:val="22"/>
          <w:szCs w:val="22"/>
        </w:rPr>
        <w:t>)</w:t>
      </w:r>
      <w:r w:rsidR="005A2F87">
        <w:rPr>
          <w:rFonts w:asciiTheme="minorHAnsi" w:hAnsiTheme="minorHAnsi" w:cstheme="minorHAnsi"/>
          <w:color w:val="000000" w:themeColor="text1"/>
          <w:sz w:val="22"/>
          <w:szCs w:val="22"/>
        </w:rPr>
        <w:t xml:space="preserve"> coupled with high doses</w:t>
      </w:r>
      <w:r w:rsidR="00BF7E67">
        <w:rPr>
          <w:rFonts w:asciiTheme="minorHAnsi" w:hAnsiTheme="minorHAnsi" w:cstheme="minorHAnsi"/>
          <w:color w:val="000000" w:themeColor="text1"/>
          <w:sz w:val="22"/>
          <w:szCs w:val="22"/>
        </w:rPr>
        <w:t xml:space="preserve"> per fraction (</w:t>
      </w:r>
      <w:r w:rsidR="005A2F87">
        <w:rPr>
          <w:rFonts w:asciiTheme="minorHAnsi" w:hAnsiTheme="minorHAnsi" w:cstheme="minorHAnsi"/>
          <w:color w:val="000000" w:themeColor="text1"/>
          <w:sz w:val="22"/>
          <w:szCs w:val="22"/>
        </w:rPr>
        <w:t>8Gy per fraction</w:t>
      </w:r>
      <w:r w:rsidR="0050167C">
        <w:rPr>
          <w:rFonts w:asciiTheme="minorHAnsi" w:hAnsiTheme="minorHAnsi" w:cstheme="minorHAnsi"/>
          <w:color w:val="000000" w:themeColor="text1"/>
          <w:sz w:val="22"/>
          <w:szCs w:val="22"/>
        </w:rPr>
        <w:t xml:space="preserve"> or 20Gy in 5 fractions</w:t>
      </w:r>
      <w:r w:rsidR="00BF7E67">
        <w:rPr>
          <w:rFonts w:asciiTheme="minorHAnsi" w:hAnsiTheme="minorHAnsi" w:cstheme="minorHAnsi"/>
          <w:color w:val="000000" w:themeColor="text1"/>
          <w:sz w:val="22"/>
          <w:szCs w:val="22"/>
        </w:rPr>
        <w:t>)</w:t>
      </w:r>
      <w:r w:rsidR="005A2F87">
        <w:rPr>
          <w:rFonts w:asciiTheme="minorHAnsi" w:hAnsiTheme="minorHAnsi" w:cstheme="minorHAnsi"/>
          <w:color w:val="000000" w:themeColor="text1"/>
          <w:sz w:val="22"/>
          <w:szCs w:val="22"/>
        </w:rPr>
        <w:t xml:space="preserve"> for bone metastases</w:t>
      </w:r>
      <w:r w:rsidR="001D1968">
        <w:rPr>
          <w:rFonts w:asciiTheme="minorHAnsi" w:hAnsiTheme="minorHAnsi" w:cstheme="minorHAnsi"/>
          <w:color w:val="000000" w:themeColor="text1"/>
          <w:sz w:val="22"/>
          <w:szCs w:val="22"/>
        </w:rPr>
        <w:t xml:space="preserve"> (5</w:t>
      </w:r>
      <w:r w:rsidR="00BF7E67">
        <w:rPr>
          <w:rFonts w:asciiTheme="minorHAnsi" w:hAnsiTheme="minorHAnsi" w:cstheme="minorHAnsi"/>
          <w:color w:val="000000" w:themeColor="text1"/>
          <w:sz w:val="22"/>
          <w:szCs w:val="22"/>
        </w:rPr>
        <w:t xml:space="preserve">) </w:t>
      </w:r>
      <w:r w:rsidR="00666EB2">
        <w:rPr>
          <w:rFonts w:asciiTheme="minorHAnsi" w:hAnsiTheme="minorHAnsi" w:cstheme="minorHAnsi"/>
          <w:color w:val="000000" w:themeColor="text1"/>
          <w:sz w:val="22"/>
          <w:szCs w:val="22"/>
        </w:rPr>
        <w:t xml:space="preserve"> r</w:t>
      </w:r>
      <w:r w:rsidR="0004071E" w:rsidRPr="001E1E9D">
        <w:rPr>
          <w:rFonts w:asciiTheme="minorHAnsi" w:hAnsiTheme="minorHAnsi" w:cstheme="minorHAnsi"/>
          <w:color w:val="000000" w:themeColor="text1"/>
          <w:sz w:val="22"/>
          <w:szCs w:val="22"/>
        </w:rPr>
        <w:t xml:space="preserve">adiotherapy-induced nausea and vomiting (RINV is a common side effect </w:t>
      </w:r>
      <w:r w:rsidR="00C613F7" w:rsidRPr="001E1E9D">
        <w:rPr>
          <w:rFonts w:asciiTheme="minorHAnsi" w:hAnsiTheme="minorHAnsi" w:cstheme="minorHAnsi"/>
          <w:color w:val="000000" w:themeColor="text1"/>
          <w:sz w:val="22"/>
          <w:szCs w:val="22"/>
        </w:rPr>
        <w:t xml:space="preserve">of </w:t>
      </w:r>
      <w:r w:rsidR="0004071E" w:rsidRPr="001E1E9D">
        <w:rPr>
          <w:rFonts w:asciiTheme="minorHAnsi" w:hAnsiTheme="minorHAnsi" w:cstheme="minorHAnsi"/>
          <w:color w:val="000000" w:themeColor="text1"/>
          <w:sz w:val="22"/>
          <w:szCs w:val="22"/>
        </w:rPr>
        <w:t>palliative radiotherapy to the upper abdomen</w:t>
      </w:r>
      <w:r w:rsidR="009C6944">
        <w:rPr>
          <w:rFonts w:asciiTheme="minorHAnsi" w:hAnsiTheme="minorHAnsi" w:cstheme="minorHAnsi"/>
          <w:color w:val="000000" w:themeColor="text1"/>
          <w:sz w:val="22"/>
          <w:szCs w:val="22"/>
        </w:rPr>
        <w:t xml:space="preserve">, as it </w:t>
      </w:r>
      <w:r w:rsidR="005E7469">
        <w:rPr>
          <w:rFonts w:asciiTheme="minorHAnsi" w:hAnsiTheme="minorHAnsi" w:cstheme="minorHAnsi"/>
          <w:color w:val="000000" w:themeColor="text1"/>
          <w:sz w:val="22"/>
          <w:szCs w:val="22"/>
        </w:rPr>
        <w:t>cause</w:t>
      </w:r>
      <w:r w:rsidR="009C6944">
        <w:rPr>
          <w:rFonts w:asciiTheme="minorHAnsi" w:hAnsiTheme="minorHAnsi" w:cstheme="minorHAnsi"/>
          <w:color w:val="000000" w:themeColor="text1"/>
          <w:sz w:val="22"/>
          <w:szCs w:val="22"/>
        </w:rPr>
        <w:t>s</w:t>
      </w:r>
      <w:r w:rsidR="005E7469">
        <w:rPr>
          <w:rFonts w:asciiTheme="minorHAnsi" w:hAnsiTheme="minorHAnsi" w:cstheme="minorHAnsi"/>
          <w:color w:val="000000" w:themeColor="text1"/>
          <w:sz w:val="22"/>
          <w:szCs w:val="22"/>
        </w:rPr>
        <w:t xml:space="preserve"> swelling of the epithelial and stromal tissue </w:t>
      </w:r>
      <w:r w:rsidR="00E93704">
        <w:rPr>
          <w:rFonts w:asciiTheme="minorHAnsi" w:hAnsiTheme="minorHAnsi" w:cstheme="minorHAnsi"/>
          <w:color w:val="000000" w:themeColor="text1"/>
          <w:sz w:val="22"/>
          <w:szCs w:val="22"/>
        </w:rPr>
        <w:t>(4</w:t>
      </w:r>
      <w:r w:rsidR="007E7164">
        <w:rPr>
          <w:rFonts w:asciiTheme="minorHAnsi" w:hAnsiTheme="minorHAnsi" w:cstheme="minorHAnsi"/>
          <w:color w:val="000000" w:themeColor="text1"/>
          <w:sz w:val="22"/>
          <w:szCs w:val="22"/>
        </w:rPr>
        <w:t>,6-8</w:t>
      </w:r>
      <w:r w:rsidR="00E93704">
        <w:rPr>
          <w:rFonts w:asciiTheme="minorHAnsi" w:hAnsiTheme="minorHAnsi" w:cstheme="minorHAnsi"/>
          <w:color w:val="000000" w:themeColor="text1"/>
          <w:sz w:val="22"/>
          <w:szCs w:val="22"/>
        </w:rPr>
        <w:t>)</w:t>
      </w:r>
      <w:r w:rsidR="00666EB2">
        <w:rPr>
          <w:rFonts w:asciiTheme="minorHAnsi" w:hAnsiTheme="minorHAnsi" w:cstheme="minorHAnsi"/>
          <w:sz w:val="22"/>
          <w:szCs w:val="22"/>
          <w:lang w:eastAsia="en-US"/>
        </w:rPr>
        <w:t>.</w:t>
      </w:r>
      <w:r w:rsidR="005F3446">
        <w:rPr>
          <w:rFonts w:asciiTheme="minorHAnsi" w:hAnsiTheme="minorHAnsi" w:cstheme="minorHAnsi"/>
          <w:sz w:val="22"/>
          <w:szCs w:val="22"/>
          <w:lang w:eastAsia="en-US"/>
        </w:rPr>
        <w:t xml:space="preserve"> Patients may also experience side effects such as pain flare and others depending on the site; however, the focus of this study is on RINV.</w:t>
      </w:r>
      <w:r w:rsidR="005F3446">
        <w:rPr>
          <w:rFonts w:asciiTheme="minorHAnsi" w:hAnsiTheme="minorHAnsi" w:cstheme="minorHAnsi"/>
          <w:color w:val="000000" w:themeColor="text1"/>
          <w:sz w:val="22"/>
          <w:szCs w:val="22"/>
        </w:rPr>
        <w:t xml:space="preserve"> </w:t>
      </w:r>
      <w:r w:rsidR="008B2C1A" w:rsidRPr="001E1E9D">
        <w:rPr>
          <w:rFonts w:asciiTheme="minorHAnsi" w:hAnsiTheme="minorHAnsi" w:cstheme="minorHAnsi"/>
          <w:color w:val="000000" w:themeColor="text1"/>
          <w:sz w:val="22"/>
          <w:szCs w:val="22"/>
        </w:rPr>
        <w:t xml:space="preserve">Nausea and vomiting can either occur </w:t>
      </w:r>
      <w:r w:rsidR="00E93704">
        <w:rPr>
          <w:rFonts w:asciiTheme="minorHAnsi" w:hAnsiTheme="minorHAnsi" w:cstheme="minorHAnsi"/>
          <w:color w:val="000000" w:themeColor="text1"/>
          <w:sz w:val="22"/>
          <w:szCs w:val="22"/>
        </w:rPr>
        <w:t xml:space="preserve">in an acute phase </w:t>
      </w:r>
      <w:r w:rsidR="008B2C1A" w:rsidRPr="001E1E9D">
        <w:rPr>
          <w:rFonts w:asciiTheme="minorHAnsi" w:hAnsiTheme="minorHAnsi" w:cstheme="minorHAnsi"/>
          <w:color w:val="000000" w:themeColor="text1"/>
          <w:sz w:val="22"/>
          <w:szCs w:val="22"/>
        </w:rPr>
        <w:t xml:space="preserve">within </w:t>
      </w:r>
      <w:bookmarkStart w:id="8" w:name="_Ref29665476"/>
      <w:r w:rsidR="00DC7DED" w:rsidRPr="001E1E9D">
        <w:rPr>
          <w:rFonts w:asciiTheme="minorHAnsi" w:hAnsiTheme="minorHAnsi" w:cstheme="minorHAnsi"/>
          <w:color w:val="000000" w:themeColor="text1"/>
          <w:sz w:val="22"/>
          <w:szCs w:val="22"/>
        </w:rPr>
        <w:t>twenty-four</w:t>
      </w:r>
      <w:r w:rsidR="00DE37D3" w:rsidRPr="001E1E9D">
        <w:rPr>
          <w:rFonts w:asciiTheme="minorHAnsi" w:hAnsiTheme="minorHAnsi" w:cstheme="minorHAnsi"/>
          <w:color w:val="000000" w:themeColor="text1"/>
          <w:sz w:val="22"/>
          <w:szCs w:val="22"/>
        </w:rPr>
        <w:t xml:space="preserve"> hours of the treatment</w:t>
      </w:r>
      <w:r w:rsidR="00E93704">
        <w:rPr>
          <w:rFonts w:asciiTheme="minorHAnsi" w:hAnsiTheme="minorHAnsi" w:cstheme="minorHAnsi"/>
          <w:color w:val="000000" w:themeColor="text1"/>
          <w:sz w:val="22"/>
          <w:szCs w:val="22"/>
        </w:rPr>
        <w:t xml:space="preserve"> or in a delayed phase </w:t>
      </w:r>
      <w:r w:rsidR="00DC7DED" w:rsidRPr="001E1E9D">
        <w:rPr>
          <w:rFonts w:asciiTheme="minorHAnsi" w:hAnsiTheme="minorHAnsi" w:cstheme="minorHAnsi"/>
          <w:color w:val="000000" w:themeColor="text1"/>
          <w:sz w:val="22"/>
          <w:szCs w:val="22"/>
        </w:rPr>
        <w:t>up to ten days after radiotherapy</w:t>
      </w:r>
      <w:bookmarkEnd w:id="8"/>
      <w:r w:rsidR="00E93704">
        <w:rPr>
          <w:rFonts w:asciiTheme="minorHAnsi" w:hAnsiTheme="minorHAnsi" w:cstheme="minorHAnsi"/>
          <w:color w:val="000000" w:themeColor="text1"/>
          <w:sz w:val="22"/>
          <w:szCs w:val="22"/>
        </w:rPr>
        <w:t xml:space="preserve"> (</w:t>
      </w:r>
      <w:r w:rsidR="005E7469">
        <w:rPr>
          <w:rFonts w:asciiTheme="minorHAnsi" w:hAnsiTheme="minorHAnsi" w:cstheme="minorHAnsi"/>
          <w:color w:val="000000" w:themeColor="text1"/>
          <w:sz w:val="22"/>
          <w:szCs w:val="22"/>
        </w:rPr>
        <w:t>9</w:t>
      </w:r>
      <w:r w:rsidR="00E93704">
        <w:rPr>
          <w:rFonts w:asciiTheme="minorHAnsi" w:hAnsiTheme="minorHAnsi" w:cstheme="minorHAnsi"/>
          <w:color w:val="000000" w:themeColor="text1"/>
          <w:sz w:val="22"/>
          <w:szCs w:val="22"/>
        </w:rPr>
        <w:t>)</w:t>
      </w:r>
      <w:r w:rsidR="00425175">
        <w:rPr>
          <w:rFonts w:asciiTheme="minorHAnsi" w:hAnsiTheme="minorHAnsi" w:cstheme="minorHAnsi"/>
          <w:color w:val="000000" w:themeColor="text1"/>
          <w:sz w:val="22"/>
          <w:szCs w:val="22"/>
        </w:rPr>
        <w:t xml:space="preserve">, this study </w:t>
      </w:r>
      <w:r w:rsidR="00C17FAC">
        <w:rPr>
          <w:rFonts w:asciiTheme="minorHAnsi" w:hAnsiTheme="minorHAnsi" w:cstheme="minorHAnsi"/>
          <w:color w:val="000000" w:themeColor="text1"/>
          <w:sz w:val="22"/>
          <w:szCs w:val="22"/>
        </w:rPr>
        <w:t>was</w:t>
      </w:r>
      <w:r w:rsidR="00425175">
        <w:rPr>
          <w:rFonts w:asciiTheme="minorHAnsi" w:hAnsiTheme="minorHAnsi" w:cstheme="minorHAnsi"/>
          <w:color w:val="000000" w:themeColor="text1"/>
          <w:sz w:val="22"/>
          <w:szCs w:val="22"/>
        </w:rPr>
        <w:t xml:space="preserve"> focus</w:t>
      </w:r>
      <w:r w:rsidR="00C17FAC">
        <w:rPr>
          <w:rFonts w:asciiTheme="minorHAnsi" w:hAnsiTheme="minorHAnsi" w:cstheme="minorHAnsi"/>
          <w:color w:val="000000" w:themeColor="text1"/>
          <w:sz w:val="22"/>
          <w:szCs w:val="22"/>
        </w:rPr>
        <w:t>sed</w:t>
      </w:r>
      <w:r w:rsidR="00425175">
        <w:rPr>
          <w:rFonts w:asciiTheme="minorHAnsi" w:hAnsiTheme="minorHAnsi" w:cstheme="minorHAnsi"/>
          <w:color w:val="000000" w:themeColor="text1"/>
          <w:sz w:val="22"/>
          <w:szCs w:val="22"/>
        </w:rPr>
        <w:t xml:space="preserve"> on the acute phase</w:t>
      </w:r>
      <w:r w:rsidR="00DC7DED" w:rsidRPr="001E1E9D">
        <w:rPr>
          <w:rFonts w:asciiTheme="minorHAnsi" w:hAnsiTheme="minorHAnsi" w:cstheme="minorHAnsi"/>
          <w:color w:val="000000" w:themeColor="text1"/>
          <w:sz w:val="22"/>
          <w:szCs w:val="22"/>
        </w:rPr>
        <w:t>.</w:t>
      </w:r>
      <w:r w:rsidR="009C6944">
        <w:rPr>
          <w:rFonts w:asciiTheme="minorHAnsi" w:hAnsiTheme="minorHAnsi" w:cstheme="minorHAnsi"/>
          <w:color w:val="000000" w:themeColor="text1"/>
          <w:sz w:val="22"/>
          <w:szCs w:val="22"/>
        </w:rPr>
        <w:t xml:space="preserve"> </w:t>
      </w:r>
      <w:r w:rsidR="00C17FAC">
        <w:rPr>
          <w:rFonts w:asciiTheme="minorHAnsi" w:hAnsiTheme="minorHAnsi" w:cstheme="minorHAnsi"/>
          <w:color w:val="000000" w:themeColor="text1"/>
          <w:sz w:val="22"/>
          <w:szCs w:val="22"/>
        </w:rPr>
        <w:t xml:space="preserve">Evidence (10) demonstrate </w:t>
      </w:r>
      <w:r w:rsidR="007C6CE1">
        <w:rPr>
          <w:rFonts w:asciiTheme="minorHAnsi" w:hAnsiTheme="minorHAnsi" w:cstheme="minorHAnsi"/>
          <w:color w:val="000000" w:themeColor="text1"/>
          <w:sz w:val="22"/>
          <w:szCs w:val="22"/>
        </w:rPr>
        <w:t xml:space="preserve">100% </w:t>
      </w:r>
      <w:r w:rsidR="00C17FAC">
        <w:rPr>
          <w:rFonts w:asciiTheme="minorHAnsi" w:hAnsiTheme="minorHAnsi" w:cstheme="minorHAnsi"/>
          <w:color w:val="000000" w:themeColor="text1"/>
          <w:sz w:val="22"/>
          <w:szCs w:val="22"/>
        </w:rPr>
        <w:t xml:space="preserve">incidence of </w:t>
      </w:r>
      <w:r w:rsidR="006F43E6">
        <w:rPr>
          <w:rFonts w:asciiTheme="minorHAnsi" w:hAnsiTheme="minorHAnsi" w:cstheme="minorHAnsi"/>
          <w:color w:val="000000" w:themeColor="text1"/>
          <w:sz w:val="22"/>
          <w:szCs w:val="22"/>
        </w:rPr>
        <w:t>“</w:t>
      </w:r>
      <w:r w:rsidR="007C6CE1">
        <w:rPr>
          <w:rFonts w:asciiTheme="minorHAnsi" w:hAnsiTheme="minorHAnsi" w:cstheme="minorHAnsi"/>
          <w:color w:val="000000" w:themeColor="text1"/>
          <w:sz w:val="22"/>
          <w:szCs w:val="22"/>
        </w:rPr>
        <w:t>very severe</w:t>
      </w:r>
      <w:r w:rsidR="006F43E6">
        <w:rPr>
          <w:rFonts w:asciiTheme="minorHAnsi" w:hAnsiTheme="minorHAnsi" w:cstheme="minorHAnsi"/>
          <w:color w:val="000000" w:themeColor="text1"/>
          <w:sz w:val="22"/>
          <w:szCs w:val="22"/>
        </w:rPr>
        <w:t>”</w:t>
      </w:r>
      <w:r w:rsidR="00C17FAC">
        <w:rPr>
          <w:rFonts w:asciiTheme="minorHAnsi" w:hAnsiTheme="minorHAnsi" w:cstheme="minorHAnsi"/>
          <w:color w:val="000000" w:themeColor="text1"/>
          <w:sz w:val="22"/>
          <w:szCs w:val="22"/>
        </w:rPr>
        <w:t xml:space="preserve"> vomiting</w:t>
      </w:r>
      <w:r w:rsidR="007C6CE1">
        <w:rPr>
          <w:rFonts w:asciiTheme="minorHAnsi" w:hAnsiTheme="minorHAnsi" w:cstheme="minorHAnsi"/>
          <w:color w:val="000000" w:themeColor="text1"/>
          <w:sz w:val="22"/>
          <w:szCs w:val="22"/>
        </w:rPr>
        <w:t xml:space="preserve"> </w:t>
      </w:r>
      <w:r w:rsidR="009C6944">
        <w:rPr>
          <w:rFonts w:asciiTheme="minorHAnsi" w:hAnsiTheme="minorHAnsi" w:cstheme="minorHAnsi"/>
          <w:color w:val="000000" w:themeColor="text1"/>
          <w:sz w:val="22"/>
          <w:szCs w:val="22"/>
        </w:rPr>
        <w:t>in patients receiving 6-8Gy, with an onset of less than 30 minutes after exposure</w:t>
      </w:r>
      <w:r w:rsidR="006F43E6">
        <w:rPr>
          <w:rFonts w:asciiTheme="minorHAnsi" w:hAnsiTheme="minorHAnsi" w:cstheme="minorHAnsi"/>
          <w:color w:val="000000" w:themeColor="text1"/>
          <w:sz w:val="22"/>
          <w:szCs w:val="22"/>
        </w:rPr>
        <w:t>.</w:t>
      </w:r>
      <w:r w:rsidR="007C6CE1">
        <w:rPr>
          <w:rFonts w:asciiTheme="minorHAnsi" w:hAnsiTheme="minorHAnsi" w:cstheme="minorHAnsi"/>
          <w:color w:val="000000" w:themeColor="text1"/>
          <w:sz w:val="22"/>
          <w:szCs w:val="22"/>
        </w:rPr>
        <w:t xml:space="preserve"> </w:t>
      </w:r>
      <w:r w:rsidR="006F43E6">
        <w:rPr>
          <w:rFonts w:asciiTheme="minorHAnsi" w:hAnsiTheme="minorHAnsi" w:cstheme="minorHAnsi"/>
          <w:color w:val="000000" w:themeColor="text1"/>
          <w:sz w:val="22"/>
          <w:szCs w:val="22"/>
        </w:rPr>
        <w:t>P</w:t>
      </w:r>
      <w:r w:rsidR="007C6CE1">
        <w:rPr>
          <w:rFonts w:asciiTheme="minorHAnsi" w:hAnsiTheme="minorHAnsi" w:cstheme="minorHAnsi"/>
          <w:color w:val="000000" w:themeColor="text1"/>
          <w:sz w:val="22"/>
          <w:szCs w:val="22"/>
        </w:rPr>
        <w:t xml:space="preserve">atients receiving 4-6Gy, </w:t>
      </w:r>
      <w:r w:rsidR="006F43E6">
        <w:rPr>
          <w:rFonts w:asciiTheme="minorHAnsi" w:hAnsiTheme="minorHAnsi" w:cstheme="minorHAnsi"/>
          <w:color w:val="000000" w:themeColor="text1"/>
          <w:sz w:val="22"/>
          <w:szCs w:val="22"/>
        </w:rPr>
        <w:t>also experienced a</w:t>
      </w:r>
      <w:r w:rsidR="007C6CE1">
        <w:rPr>
          <w:rFonts w:asciiTheme="minorHAnsi" w:hAnsiTheme="minorHAnsi" w:cstheme="minorHAnsi"/>
          <w:color w:val="000000" w:themeColor="text1"/>
          <w:sz w:val="22"/>
          <w:szCs w:val="22"/>
        </w:rPr>
        <w:t xml:space="preserve"> 100%</w:t>
      </w:r>
      <w:r w:rsidR="006F43E6">
        <w:rPr>
          <w:rFonts w:asciiTheme="minorHAnsi" w:hAnsiTheme="minorHAnsi" w:cstheme="minorHAnsi"/>
          <w:color w:val="000000" w:themeColor="text1"/>
          <w:sz w:val="22"/>
          <w:szCs w:val="22"/>
        </w:rPr>
        <w:t xml:space="preserve"> incidence</w:t>
      </w:r>
      <w:r w:rsidR="007C6CE1">
        <w:rPr>
          <w:rFonts w:asciiTheme="minorHAnsi" w:hAnsiTheme="minorHAnsi" w:cstheme="minorHAnsi"/>
          <w:color w:val="000000" w:themeColor="text1"/>
          <w:sz w:val="22"/>
          <w:szCs w:val="22"/>
        </w:rPr>
        <w:t xml:space="preserve">, </w:t>
      </w:r>
      <w:r w:rsidR="006F43E6">
        <w:rPr>
          <w:rFonts w:asciiTheme="minorHAnsi" w:hAnsiTheme="minorHAnsi" w:cstheme="minorHAnsi"/>
          <w:color w:val="000000" w:themeColor="text1"/>
          <w:sz w:val="22"/>
          <w:szCs w:val="22"/>
        </w:rPr>
        <w:t xml:space="preserve">yet </w:t>
      </w:r>
      <w:r w:rsidR="007C6CE1">
        <w:rPr>
          <w:rFonts w:asciiTheme="minorHAnsi" w:hAnsiTheme="minorHAnsi" w:cstheme="minorHAnsi"/>
          <w:color w:val="000000" w:themeColor="text1"/>
          <w:sz w:val="22"/>
          <w:szCs w:val="22"/>
        </w:rPr>
        <w:t xml:space="preserve">the vomiting was </w:t>
      </w:r>
      <w:r w:rsidR="006F43E6">
        <w:rPr>
          <w:rFonts w:asciiTheme="minorHAnsi" w:hAnsiTheme="minorHAnsi" w:cstheme="minorHAnsi"/>
          <w:color w:val="000000" w:themeColor="text1"/>
          <w:sz w:val="22"/>
          <w:szCs w:val="22"/>
        </w:rPr>
        <w:t>“</w:t>
      </w:r>
      <w:r w:rsidR="007C6CE1">
        <w:rPr>
          <w:rFonts w:asciiTheme="minorHAnsi" w:hAnsiTheme="minorHAnsi" w:cstheme="minorHAnsi"/>
          <w:color w:val="000000" w:themeColor="text1"/>
          <w:sz w:val="22"/>
          <w:szCs w:val="22"/>
        </w:rPr>
        <w:t>severe</w:t>
      </w:r>
      <w:r w:rsidR="006F43E6">
        <w:rPr>
          <w:rFonts w:asciiTheme="minorHAnsi" w:hAnsiTheme="minorHAnsi" w:cstheme="minorHAnsi"/>
          <w:color w:val="000000" w:themeColor="text1"/>
          <w:sz w:val="22"/>
          <w:szCs w:val="22"/>
        </w:rPr>
        <w:t>”</w:t>
      </w:r>
      <w:r w:rsidR="007C6CE1">
        <w:rPr>
          <w:rFonts w:asciiTheme="minorHAnsi" w:hAnsiTheme="minorHAnsi" w:cstheme="minorHAnsi"/>
          <w:color w:val="000000" w:themeColor="text1"/>
          <w:sz w:val="22"/>
          <w:szCs w:val="22"/>
        </w:rPr>
        <w:t xml:space="preserve"> and the onset was under an hour.</w:t>
      </w:r>
      <w:r w:rsidR="0004071E" w:rsidRPr="001E1E9D">
        <w:rPr>
          <w:rFonts w:asciiTheme="minorHAnsi" w:hAnsiTheme="minorHAnsi" w:cstheme="minorHAnsi"/>
          <w:color w:val="000000" w:themeColor="text1"/>
          <w:sz w:val="22"/>
          <w:szCs w:val="22"/>
        </w:rPr>
        <w:t xml:space="preserve"> </w:t>
      </w:r>
      <w:r w:rsidR="00E42417" w:rsidRPr="001E1E9D">
        <w:rPr>
          <w:rFonts w:asciiTheme="minorHAnsi" w:hAnsiTheme="minorHAnsi" w:cstheme="minorHAnsi"/>
          <w:color w:val="000000" w:themeColor="text1"/>
          <w:sz w:val="22"/>
          <w:szCs w:val="22"/>
        </w:rPr>
        <w:t xml:space="preserve">Some individual-level, </w:t>
      </w:r>
      <w:r w:rsidR="00CE165F" w:rsidRPr="001E1E9D">
        <w:rPr>
          <w:rFonts w:asciiTheme="minorHAnsi" w:hAnsiTheme="minorHAnsi" w:cstheme="minorHAnsi"/>
          <w:color w:val="000000" w:themeColor="text1"/>
          <w:sz w:val="22"/>
          <w:szCs w:val="22"/>
        </w:rPr>
        <w:t>patient-related risk factors</w:t>
      </w:r>
      <w:r w:rsidR="00D6771B" w:rsidRPr="001E1E9D">
        <w:rPr>
          <w:rFonts w:asciiTheme="minorHAnsi" w:hAnsiTheme="minorHAnsi" w:cstheme="minorHAnsi"/>
          <w:color w:val="000000" w:themeColor="text1"/>
          <w:sz w:val="22"/>
          <w:szCs w:val="22"/>
        </w:rPr>
        <w:t xml:space="preserve"> for RINV</w:t>
      </w:r>
      <w:r w:rsidR="00CE165F" w:rsidRPr="001E1E9D">
        <w:rPr>
          <w:rFonts w:asciiTheme="minorHAnsi" w:hAnsiTheme="minorHAnsi" w:cstheme="minorHAnsi"/>
          <w:color w:val="000000" w:themeColor="text1"/>
          <w:sz w:val="22"/>
          <w:szCs w:val="22"/>
        </w:rPr>
        <w:t xml:space="preserve"> have been suggested, such as patient age, sex, previous alcohol use and previous experience</w:t>
      </w:r>
      <w:bookmarkStart w:id="9" w:name="_Ref29219601"/>
      <w:r w:rsidR="00D07765" w:rsidRPr="001E1E9D">
        <w:rPr>
          <w:rFonts w:asciiTheme="minorHAnsi" w:hAnsiTheme="minorHAnsi" w:cstheme="minorHAnsi"/>
          <w:color w:val="000000" w:themeColor="text1"/>
          <w:sz w:val="22"/>
          <w:szCs w:val="22"/>
        </w:rPr>
        <w:t>s of nausea and vomiting</w:t>
      </w:r>
      <w:bookmarkEnd w:id="9"/>
      <w:r w:rsidR="00E93704">
        <w:rPr>
          <w:rFonts w:asciiTheme="minorHAnsi" w:hAnsiTheme="minorHAnsi" w:cstheme="minorHAnsi"/>
          <w:color w:val="000000" w:themeColor="text1"/>
          <w:sz w:val="22"/>
          <w:szCs w:val="22"/>
        </w:rPr>
        <w:t xml:space="preserve"> (</w:t>
      </w:r>
      <w:r w:rsidR="001D1968">
        <w:rPr>
          <w:rFonts w:asciiTheme="minorHAnsi" w:hAnsiTheme="minorHAnsi" w:cstheme="minorHAnsi"/>
          <w:color w:val="000000" w:themeColor="text1"/>
          <w:sz w:val="22"/>
          <w:szCs w:val="22"/>
        </w:rPr>
        <w:t>6</w:t>
      </w:r>
      <w:r w:rsidR="00E93704">
        <w:rPr>
          <w:rFonts w:asciiTheme="minorHAnsi" w:hAnsiTheme="minorHAnsi" w:cstheme="minorHAnsi"/>
          <w:color w:val="000000" w:themeColor="text1"/>
          <w:sz w:val="22"/>
          <w:szCs w:val="22"/>
        </w:rPr>
        <w:t>)</w:t>
      </w:r>
      <w:r w:rsidR="00515420">
        <w:rPr>
          <w:rFonts w:asciiTheme="minorHAnsi" w:hAnsiTheme="minorHAnsi" w:cstheme="minorHAnsi"/>
          <w:color w:val="000000" w:themeColor="text1"/>
          <w:sz w:val="22"/>
          <w:szCs w:val="22"/>
        </w:rPr>
        <w:t>.</w:t>
      </w:r>
      <w:r w:rsidR="00CE165F" w:rsidRPr="001E1E9D">
        <w:rPr>
          <w:rFonts w:asciiTheme="minorHAnsi" w:hAnsiTheme="minorHAnsi" w:cstheme="minorHAnsi"/>
          <w:color w:val="000000" w:themeColor="text1"/>
          <w:sz w:val="22"/>
          <w:szCs w:val="22"/>
        </w:rPr>
        <w:t xml:space="preserve"> </w:t>
      </w:r>
      <w:r w:rsidR="00D6771B" w:rsidRPr="001E1E9D">
        <w:rPr>
          <w:rFonts w:asciiTheme="minorHAnsi" w:hAnsiTheme="minorHAnsi" w:cstheme="minorHAnsi"/>
          <w:color w:val="000000" w:themeColor="text1"/>
          <w:sz w:val="22"/>
          <w:szCs w:val="22"/>
        </w:rPr>
        <w:t>Nonetheless, e</w:t>
      </w:r>
      <w:r w:rsidR="002A618F" w:rsidRPr="001E1E9D">
        <w:rPr>
          <w:rFonts w:asciiTheme="minorHAnsi" w:hAnsiTheme="minorHAnsi" w:cstheme="minorHAnsi"/>
          <w:color w:val="000000" w:themeColor="text1"/>
          <w:sz w:val="22"/>
          <w:szCs w:val="22"/>
        </w:rPr>
        <w:t>vidence for this is limited</w:t>
      </w:r>
      <w:r w:rsidR="00CE165F" w:rsidRPr="001E1E9D">
        <w:rPr>
          <w:rFonts w:asciiTheme="minorHAnsi" w:hAnsiTheme="minorHAnsi" w:cstheme="minorHAnsi"/>
          <w:color w:val="000000" w:themeColor="text1"/>
          <w:sz w:val="22"/>
          <w:szCs w:val="22"/>
        </w:rPr>
        <w:t xml:space="preserve"> and </w:t>
      </w:r>
      <w:r w:rsidR="00C613F7" w:rsidRPr="001E1E9D">
        <w:rPr>
          <w:rFonts w:asciiTheme="minorHAnsi" w:hAnsiTheme="minorHAnsi" w:cstheme="minorHAnsi"/>
          <w:color w:val="000000" w:themeColor="text1"/>
          <w:sz w:val="22"/>
          <w:szCs w:val="22"/>
        </w:rPr>
        <w:t>international guidelines</w:t>
      </w:r>
      <w:r w:rsidR="00E93704">
        <w:rPr>
          <w:rFonts w:asciiTheme="minorHAnsi" w:hAnsiTheme="minorHAnsi" w:cstheme="minorHAnsi"/>
          <w:color w:val="000000" w:themeColor="text1"/>
          <w:sz w:val="22"/>
          <w:szCs w:val="22"/>
        </w:rPr>
        <w:t xml:space="preserve"> (</w:t>
      </w:r>
      <w:r w:rsidR="005E7469">
        <w:rPr>
          <w:rFonts w:asciiTheme="minorHAnsi" w:hAnsiTheme="minorHAnsi" w:cstheme="minorHAnsi"/>
          <w:color w:val="000000" w:themeColor="text1"/>
          <w:sz w:val="22"/>
          <w:szCs w:val="22"/>
        </w:rPr>
        <w:t>9</w:t>
      </w:r>
      <w:r w:rsidR="00E93704">
        <w:rPr>
          <w:rFonts w:asciiTheme="minorHAnsi" w:hAnsiTheme="minorHAnsi" w:cstheme="minorHAnsi"/>
          <w:color w:val="000000" w:themeColor="text1"/>
          <w:sz w:val="22"/>
          <w:szCs w:val="22"/>
        </w:rPr>
        <w:t>)</w:t>
      </w:r>
      <w:r w:rsidR="00C613F7" w:rsidRPr="001E1E9D">
        <w:rPr>
          <w:rFonts w:asciiTheme="minorHAnsi" w:hAnsiTheme="minorHAnsi" w:cstheme="minorHAnsi"/>
          <w:color w:val="000000" w:themeColor="text1"/>
          <w:sz w:val="22"/>
          <w:szCs w:val="22"/>
        </w:rPr>
        <w:t xml:space="preserve"> only cite</w:t>
      </w:r>
      <w:r w:rsidR="00CE165F" w:rsidRPr="001E1E9D">
        <w:rPr>
          <w:rFonts w:asciiTheme="minorHAnsi" w:hAnsiTheme="minorHAnsi" w:cstheme="minorHAnsi"/>
          <w:color w:val="000000" w:themeColor="text1"/>
          <w:sz w:val="22"/>
          <w:szCs w:val="22"/>
        </w:rPr>
        <w:t xml:space="preserve"> concomitant chemotherapy </w:t>
      </w:r>
      <w:r w:rsidR="00C613F7" w:rsidRPr="001E1E9D">
        <w:rPr>
          <w:rFonts w:asciiTheme="minorHAnsi" w:hAnsiTheme="minorHAnsi" w:cstheme="minorHAnsi"/>
          <w:color w:val="000000" w:themeColor="text1"/>
          <w:sz w:val="22"/>
          <w:szCs w:val="22"/>
        </w:rPr>
        <w:t>as a</w:t>
      </w:r>
      <w:r w:rsidR="006715A9">
        <w:rPr>
          <w:rFonts w:asciiTheme="minorHAnsi" w:hAnsiTheme="minorHAnsi" w:cstheme="minorHAnsi"/>
          <w:color w:val="000000" w:themeColor="text1"/>
          <w:sz w:val="22"/>
          <w:szCs w:val="22"/>
        </w:rPr>
        <w:t xml:space="preserve">n individual </w:t>
      </w:r>
      <w:r w:rsidR="00C613F7" w:rsidRPr="001E1E9D">
        <w:rPr>
          <w:rFonts w:asciiTheme="minorHAnsi" w:hAnsiTheme="minorHAnsi" w:cstheme="minorHAnsi"/>
          <w:color w:val="000000" w:themeColor="text1"/>
          <w:sz w:val="22"/>
          <w:szCs w:val="22"/>
        </w:rPr>
        <w:t xml:space="preserve">risk factor. </w:t>
      </w:r>
      <w:r w:rsidR="000D146D">
        <w:rPr>
          <w:rFonts w:asciiTheme="minorHAnsi" w:hAnsiTheme="minorHAnsi" w:cstheme="minorHAnsi"/>
          <w:color w:val="000000" w:themeColor="text1"/>
          <w:sz w:val="22"/>
          <w:szCs w:val="22"/>
        </w:rPr>
        <w:t>Research has shown that field sizes over 400cm</w:t>
      </w:r>
      <w:r w:rsidR="000D146D" w:rsidRPr="00FE3F91">
        <w:rPr>
          <w:rFonts w:asciiTheme="minorHAnsi" w:hAnsiTheme="minorHAnsi" w:cstheme="minorHAnsi"/>
          <w:color w:val="000000" w:themeColor="text1"/>
          <w:sz w:val="22"/>
          <w:szCs w:val="22"/>
          <w:vertAlign w:val="superscript"/>
        </w:rPr>
        <w:t>2</w:t>
      </w:r>
      <w:r w:rsidR="000D146D">
        <w:rPr>
          <w:rFonts w:asciiTheme="minorHAnsi" w:hAnsiTheme="minorHAnsi" w:cstheme="minorHAnsi"/>
          <w:color w:val="000000" w:themeColor="text1"/>
          <w:sz w:val="22"/>
          <w:szCs w:val="22"/>
        </w:rPr>
        <w:t xml:space="preserve"> significantly increased the risk of radiotherapy-induced nausea and vomiting (RINV) (4).  Despite this, current guidelines/or local practise do not specify a field size threshold for which an anti-emetic is considered</w:t>
      </w:r>
      <w:r w:rsidR="007D6F89">
        <w:rPr>
          <w:rFonts w:asciiTheme="minorHAnsi" w:hAnsiTheme="minorHAnsi" w:cstheme="minorHAnsi"/>
          <w:color w:val="000000" w:themeColor="text1"/>
          <w:sz w:val="22"/>
          <w:szCs w:val="22"/>
        </w:rPr>
        <w:t xml:space="preserve">. </w:t>
      </w:r>
      <w:r w:rsidR="00666EB2">
        <w:rPr>
          <w:rFonts w:asciiTheme="minorHAnsi" w:hAnsiTheme="minorHAnsi" w:cstheme="minorHAnsi"/>
          <w:color w:val="000000" w:themeColor="text1"/>
          <w:sz w:val="22"/>
          <w:szCs w:val="22"/>
        </w:rPr>
        <w:t xml:space="preserve">Table 1 summarises the current tumour sites deemed to be at high or moderate risk. </w:t>
      </w:r>
    </w:p>
    <w:p w14:paraId="2951A7A5" w14:textId="77777777" w:rsidR="00666EB2" w:rsidRDefault="00666EB2" w:rsidP="000C6FF6">
      <w:pPr>
        <w:spacing w:line="360" w:lineRule="auto"/>
        <w:jc w:val="both"/>
        <w:rPr>
          <w:rFonts w:asciiTheme="minorHAnsi" w:hAnsiTheme="minorHAnsi" w:cstheme="minorHAnsi"/>
          <w:color w:val="000000" w:themeColor="text1"/>
          <w:sz w:val="22"/>
          <w:szCs w:val="22"/>
        </w:rPr>
      </w:pPr>
    </w:p>
    <w:p w14:paraId="3C992C33" w14:textId="57715EBC" w:rsidR="00666EB2" w:rsidRPr="00AA0623" w:rsidRDefault="00666EB2" w:rsidP="000C6FF6">
      <w:pPr>
        <w:spacing w:line="360" w:lineRule="auto"/>
        <w:jc w:val="both"/>
        <w:rPr>
          <w:rFonts w:asciiTheme="minorHAnsi" w:hAnsiTheme="minorHAnsi" w:cstheme="minorHAnsi"/>
          <w:b/>
          <w:color w:val="000000" w:themeColor="text1"/>
          <w:sz w:val="22"/>
          <w:szCs w:val="22"/>
          <w:vertAlign w:val="superscript"/>
        </w:rPr>
      </w:pPr>
      <w:r w:rsidRPr="00AA0623">
        <w:rPr>
          <w:rFonts w:asciiTheme="minorHAnsi" w:hAnsiTheme="minorHAnsi" w:cstheme="minorHAnsi"/>
          <w:b/>
          <w:color w:val="000000" w:themeColor="text1"/>
          <w:sz w:val="22"/>
          <w:szCs w:val="22"/>
        </w:rPr>
        <w:t>Table 1: Emetogenic risk for treatment sites</w:t>
      </w:r>
      <w:r w:rsidR="00AA0623">
        <w:rPr>
          <w:rFonts w:asciiTheme="minorHAnsi" w:hAnsiTheme="minorHAnsi" w:cstheme="minorHAnsi"/>
          <w:b/>
          <w:color w:val="000000" w:themeColor="text1"/>
          <w:sz w:val="22"/>
          <w:szCs w:val="22"/>
        </w:rPr>
        <w:t xml:space="preserve"> (</w:t>
      </w:r>
      <w:r w:rsidR="005E7469">
        <w:rPr>
          <w:rFonts w:asciiTheme="minorHAnsi" w:hAnsiTheme="minorHAnsi" w:cstheme="minorHAnsi"/>
          <w:b/>
          <w:color w:val="000000" w:themeColor="text1"/>
          <w:sz w:val="22"/>
          <w:szCs w:val="22"/>
        </w:rPr>
        <w:t>9</w:t>
      </w:r>
      <w:r w:rsidR="00AA0623">
        <w:rPr>
          <w:rFonts w:asciiTheme="minorHAnsi" w:hAnsiTheme="minorHAnsi" w:cstheme="minorHAnsi"/>
          <w:b/>
          <w:color w:val="000000" w:themeColor="text1"/>
          <w:sz w:val="22"/>
          <w:szCs w:val="22"/>
        </w:rPr>
        <w:t>)</w:t>
      </w:r>
    </w:p>
    <w:tbl>
      <w:tblPr>
        <w:tblStyle w:val="TableGrid"/>
        <w:tblW w:w="9351" w:type="dxa"/>
        <w:tblLook w:val="04A0" w:firstRow="1" w:lastRow="0" w:firstColumn="1" w:lastColumn="0" w:noHBand="0" w:noVBand="1"/>
      </w:tblPr>
      <w:tblGrid>
        <w:gridCol w:w="3003"/>
        <w:gridCol w:w="6348"/>
      </w:tblGrid>
      <w:tr w:rsidR="00666EB2" w:rsidRPr="00AD3B91" w14:paraId="2B220339" w14:textId="77777777" w:rsidTr="008E71C9">
        <w:tc>
          <w:tcPr>
            <w:tcW w:w="3003" w:type="dxa"/>
          </w:tcPr>
          <w:p w14:paraId="5B417066" w14:textId="77777777" w:rsidR="00666EB2" w:rsidRPr="00B56C1C" w:rsidRDefault="00666EB2" w:rsidP="008E71C9">
            <w:pPr>
              <w:spacing w:line="360" w:lineRule="auto"/>
              <w:jc w:val="both"/>
              <w:rPr>
                <w:rFonts w:asciiTheme="minorHAnsi" w:hAnsiTheme="minorHAnsi" w:cstheme="minorHAnsi"/>
                <w:b/>
                <w:color w:val="000000" w:themeColor="text1"/>
                <w:sz w:val="22"/>
                <w:szCs w:val="22"/>
              </w:rPr>
            </w:pPr>
            <w:r w:rsidRPr="00B56C1C">
              <w:rPr>
                <w:rFonts w:asciiTheme="minorHAnsi" w:hAnsiTheme="minorHAnsi" w:cstheme="minorHAnsi"/>
                <w:b/>
                <w:color w:val="000000" w:themeColor="text1"/>
                <w:sz w:val="22"/>
                <w:szCs w:val="22"/>
              </w:rPr>
              <w:t xml:space="preserve">Emetogenic risk </w:t>
            </w:r>
          </w:p>
        </w:tc>
        <w:tc>
          <w:tcPr>
            <w:tcW w:w="6348" w:type="dxa"/>
          </w:tcPr>
          <w:p w14:paraId="7881EB04" w14:textId="77777777" w:rsidR="00666EB2" w:rsidRPr="00B56C1C" w:rsidRDefault="00666EB2" w:rsidP="008E71C9">
            <w:pPr>
              <w:spacing w:line="360" w:lineRule="auto"/>
              <w:jc w:val="both"/>
              <w:rPr>
                <w:rFonts w:asciiTheme="minorHAnsi" w:hAnsiTheme="minorHAnsi" w:cstheme="minorHAnsi"/>
                <w:b/>
                <w:color w:val="000000" w:themeColor="text1"/>
                <w:sz w:val="22"/>
                <w:szCs w:val="22"/>
              </w:rPr>
            </w:pPr>
            <w:r w:rsidRPr="00B56C1C">
              <w:rPr>
                <w:rFonts w:asciiTheme="minorHAnsi" w:hAnsiTheme="minorHAnsi" w:cstheme="minorHAnsi"/>
                <w:b/>
                <w:color w:val="000000" w:themeColor="text1"/>
                <w:sz w:val="22"/>
                <w:szCs w:val="22"/>
              </w:rPr>
              <w:t>Area of treatment</w:t>
            </w:r>
          </w:p>
        </w:tc>
      </w:tr>
      <w:tr w:rsidR="00666EB2" w:rsidRPr="00AD3B91" w14:paraId="5B9A8378" w14:textId="77777777" w:rsidTr="008E71C9">
        <w:trPr>
          <w:trHeight w:val="467"/>
        </w:trPr>
        <w:tc>
          <w:tcPr>
            <w:tcW w:w="3003" w:type="dxa"/>
          </w:tcPr>
          <w:p w14:paraId="52E26478"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High</w:t>
            </w:r>
          </w:p>
        </w:tc>
        <w:tc>
          <w:tcPr>
            <w:tcW w:w="6348" w:type="dxa"/>
          </w:tcPr>
          <w:p w14:paraId="5235235D"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Total body irradiation</w:t>
            </w:r>
          </w:p>
        </w:tc>
      </w:tr>
      <w:tr w:rsidR="00666EB2" w:rsidRPr="00AD3B91" w14:paraId="3EA01DBE" w14:textId="77777777" w:rsidTr="008E71C9">
        <w:tc>
          <w:tcPr>
            <w:tcW w:w="3003" w:type="dxa"/>
          </w:tcPr>
          <w:p w14:paraId="51B286E2"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Moderate</w:t>
            </w:r>
          </w:p>
        </w:tc>
        <w:tc>
          <w:tcPr>
            <w:tcW w:w="6348" w:type="dxa"/>
          </w:tcPr>
          <w:p w14:paraId="48ED6258"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Hemi body radiation</w:t>
            </w:r>
          </w:p>
          <w:p w14:paraId="55E2A66E"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Radiation to upper abdomen</w:t>
            </w:r>
          </w:p>
          <w:p w14:paraId="7317A958"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Craniospinal irradiation</w:t>
            </w:r>
          </w:p>
          <w:p w14:paraId="6DC87792"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Palliative radiotherapy to lower thoracic or upper lumbar spine</w:t>
            </w:r>
          </w:p>
        </w:tc>
      </w:tr>
      <w:tr w:rsidR="00666EB2" w:rsidRPr="00AD3B91" w14:paraId="0B15B3E8" w14:textId="77777777" w:rsidTr="008E71C9">
        <w:tc>
          <w:tcPr>
            <w:tcW w:w="3003" w:type="dxa"/>
          </w:tcPr>
          <w:p w14:paraId="1FA1C5B0"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Low</w:t>
            </w:r>
          </w:p>
        </w:tc>
        <w:tc>
          <w:tcPr>
            <w:tcW w:w="6348" w:type="dxa"/>
          </w:tcPr>
          <w:p w14:paraId="1C29A53D"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Brain</w:t>
            </w:r>
          </w:p>
          <w:p w14:paraId="04B4E6C3"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Head and neck</w:t>
            </w:r>
          </w:p>
          <w:p w14:paraId="2B0572E6"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Fractionated abdominal, thoracic or pelvis radiotherapy</w:t>
            </w:r>
          </w:p>
        </w:tc>
      </w:tr>
      <w:tr w:rsidR="00666EB2" w:rsidRPr="00AD3B91" w14:paraId="6E70784B" w14:textId="77777777" w:rsidTr="008E71C9">
        <w:tc>
          <w:tcPr>
            <w:tcW w:w="3003" w:type="dxa"/>
          </w:tcPr>
          <w:p w14:paraId="5AA3704B"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Minimal</w:t>
            </w:r>
          </w:p>
        </w:tc>
        <w:tc>
          <w:tcPr>
            <w:tcW w:w="6348" w:type="dxa"/>
          </w:tcPr>
          <w:p w14:paraId="4B17E31C" w14:textId="77777777" w:rsidR="00666EB2" w:rsidRPr="00B56C1C" w:rsidRDefault="00666EB2" w:rsidP="008E71C9">
            <w:pPr>
              <w:spacing w:line="360" w:lineRule="auto"/>
              <w:jc w:val="both"/>
              <w:rPr>
                <w:rFonts w:asciiTheme="minorHAnsi" w:hAnsiTheme="minorHAnsi" w:cstheme="minorHAnsi"/>
                <w:color w:val="000000" w:themeColor="text1"/>
                <w:sz w:val="22"/>
                <w:szCs w:val="22"/>
              </w:rPr>
            </w:pPr>
            <w:r w:rsidRPr="00B56C1C">
              <w:rPr>
                <w:rFonts w:asciiTheme="minorHAnsi" w:hAnsiTheme="minorHAnsi" w:cstheme="minorHAnsi"/>
                <w:color w:val="000000" w:themeColor="text1"/>
                <w:sz w:val="22"/>
                <w:szCs w:val="22"/>
              </w:rPr>
              <w:t>Radiotherapy to breast, extremities e.g. limb</w:t>
            </w:r>
          </w:p>
        </w:tc>
      </w:tr>
    </w:tbl>
    <w:p w14:paraId="6BC3CE41" w14:textId="77777777" w:rsidR="0004071E" w:rsidRPr="001E1E9D" w:rsidRDefault="0004071E" w:rsidP="000C6FF6">
      <w:pPr>
        <w:spacing w:line="360" w:lineRule="auto"/>
        <w:jc w:val="both"/>
        <w:rPr>
          <w:rFonts w:asciiTheme="minorHAnsi" w:eastAsia="Times New Roman" w:hAnsiTheme="minorHAnsi" w:cstheme="minorHAnsi"/>
          <w:color w:val="000000" w:themeColor="text1"/>
          <w:sz w:val="22"/>
          <w:szCs w:val="22"/>
        </w:rPr>
      </w:pPr>
    </w:p>
    <w:p w14:paraId="51CC7AF0" w14:textId="4A095667" w:rsidR="00872614" w:rsidRPr="001E1E9D" w:rsidRDefault="0004071E" w:rsidP="00C54BFB">
      <w:pPr>
        <w:pStyle w:val="Disstext"/>
        <w:rPr>
          <w:rFonts w:asciiTheme="minorHAnsi" w:hAnsiTheme="minorHAnsi" w:cstheme="minorHAnsi"/>
          <w:sz w:val="22"/>
          <w:szCs w:val="22"/>
          <w:shd w:val="clear" w:color="auto" w:fill="FFFFFF"/>
        </w:rPr>
      </w:pPr>
      <w:r w:rsidRPr="001E1E9D">
        <w:rPr>
          <w:rFonts w:asciiTheme="minorHAnsi" w:hAnsiTheme="minorHAnsi" w:cstheme="minorHAnsi"/>
          <w:color w:val="000000" w:themeColor="text1"/>
          <w:sz w:val="22"/>
          <w:szCs w:val="22"/>
        </w:rPr>
        <w:t xml:space="preserve">Single fraction (SF), palliative radiotherapy </w:t>
      </w:r>
      <w:r w:rsidR="00515420">
        <w:rPr>
          <w:rFonts w:asciiTheme="minorHAnsi" w:hAnsiTheme="minorHAnsi" w:cstheme="minorHAnsi"/>
          <w:color w:val="000000" w:themeColor="text1"/>
          <w:sz w:val="22"/>
          <w:szCs w:val="22"/>
        </w:rPr>
        <w:t xml:space="preserve">to some sites is </w:t>
      </w:r>
      <w:r w:rsidR="00666EB2">
        <w:rPr>
          <w:rFonts w:asciiTheme="minorHAnsi" w:hAnsiTheme="minorHAnsi" w:cstheme="minorHAnsi"/>
          <w:color w:val="000000" w:themeColor="text1"/>
          <w:sz w:val="22"/>
          <w:szCs w:val="22"/>
        </w:rPr>
        <w:t xml:space="preserve">particularly </w:t>
      </w:r>
      <w:r w:rsidR="00515420">
        <w:rPr>
          <w:rFonts w:asciiTheme="minorHAnsi" w:hAnsiTheme="minorHAnsi" w:cstheme="minorHAnsi"/>
          <w:color w:val="000000" w:themeColor="text1"/>
          <w:sz w:val="22"/>
          <w:szCs w:val="22"/>
        </w:rPr>
        <w:t>associated with</w:t>
      </w:r>
      <w:r w:rsidRPr="001E1E9D">
        <w:rPr>
          <w:rFonts w:asciiTheme="minorHAnsi" w:hAnsiTheme="minorHAnsi" w:cstheme="minorHAnsi"/>
          <w:color w:val="000000" w:themeColor="text1"/>
          <w:sz w:val="22"/>
          <w:szCs w:val="22"/>
        </w:rPr>
        <w:t xml:space="preserve"> a high or moderate risk of </w:t>
      </w:r>
      <w:r w:rsidR="00515420">
        <w:rPr>
          <w:rFonts w:asciiTheme="minorHAnsi" w:hAnsiTheme="minorHAnsi" w:cstheme="minorHAnsi"/>
          <w:color w:val="000000" w:themeColor="text1"/>
          <w:sz w:val="22"/>
          <w:szCs w:val="22"/>
        </w:rPr>
        <w:t>causing</w:t>
      </w:r>
      <w:r w:rsidRPr="001E1E9D">
        <w:rPr>
          <w:rFonts w:asciiTheme="minorHAnsi" w:hAnsiTheme="minorHAnsi" w:cstheme="minorHAnsi"/>
          <w:color w:val="000000" w:themeColor="text1"/>
          <w:sz w:val="22"/>
          <w:szCs w:val="22"/>
        </w:rPr>
        <w:t xml:space="preserve"> </w:t>
      </w:r>
      <w:r w:rsidR="00C613F7" w:rsidRPr="001E1E9D">
        <w:rPr>
          <w:rFonts w:asciiTheme="minorHAnsi" w:hAnsiTheme="minorHAnsi" w:cstheme="minorHAnsi"/>
          <w:color w:val="000000" w:themeColor="text1"/>
          <w:sz w:val="22"/>
          <w:szCs w:val="22"/>
        </w:rPr>
        <w:t>RINV</w:t>
      </w:r>
      <w:r w:rsidRPr="001E1E9D">
        <w:rPr>
          <w:rFonts w:asciiTheme="minorHAnsi" w:hAnsiTheme="minorHAnsi" w:cstheme="minorHAnsi"/>
          <w:color w:val="000000" w:themeColor="text1"/>
          <w:sz w:val="22"/>
          <w:szCs w:val="22"/>
        </w:rPr>
        <w:t xml:space="preserve"> and </w:t>
      </w:r>
      <w:r w:rsidR="00666EB2">
        <w:rPr>
          <w:rFonts w:asciiTheme="minorHAnsi" w:hAnsiTheme="minorHAnsi" w:cstheme="minorHAnsi"/>
          <w:color w:val="000000" w:themeColor="text1"/>
          <w:sz w:val="22"/>
          <w:szCs w:val="22"/>
        </w:rPr>
        <w:t>it is common practice to prescribe these patients</w:t>
      </w:r>
      <w:r w:rsidRPr="001E1E9D">
        <w:rPr>
          <w:rFonts w:asciiTheme="minorHAnsi" w:hAnsiTheme="minorHAnsi" w:cstheme="minorHAnsi"/>
          <w:color w:val="000000" w:themeColor="text1"/>
          <w:sz w:val="22"/>
          <w:szCs w:val="22"/>
        </w:rPr>
        <w:t xml:space="preserve"> </w:t>
      </w:r>
      <w:r w:rsidR="00C613F7" w:rsidRPr="001E1E9D">
        <w:rPr>
          <w:rFonts w:asciiTheme="minorHAnsi" w:hAnsiTheme="minorHAnsi" w:cstheme="minorHAnsi"/>
          <w:color w:val="000000" w:themeColor="text1"/>
          <w:sz w:val="22"/>
          <w:szCs w:val="22"/>
        </w:rPr>
        <w:t>prophylactic</w:t>
      </w:r>
      <w:r w:rsidRPr="001E1E9D">
        <w:rPr>
          <w:rFonts w:asciiTheme="minorHAnsi" w:hAnsiTheme="minorHAnsi" w:cstheme="minorHAnsi"/>
          <w:color w:val="000000" w:themeColor="text1"/>
          <w:sz w:val="22"/>
          <w:szCs w:val="22"/>
        </w:rPr>
        <w:t xml:space="preserve"> antiemetic</w:t>
      </w:r>
      <w:r w:rsidR="00C613F7" w:rsidRPr="001E1E9D">
        <w:rPr>
          <w:rFonts w:asciiTheme="minorHAnsi" w:hAnsiTheme="minorHAnsi" w:cstheme="minorHAnsi"/>
          <w:color w:val="000000" w:themeColor="text1"/>
          <w:sz w:val="22"/>
          <w:szCs w:val="22"/>
        </w:rPr>
        <w:t xml:space="preserve"> medication before treatment</w:t>
      </w:r>
      <w:r w:rsidRPr="001E1E9D">
        <w:rPr>
          <w:rFonts w:asciiTheme="minorHAnsi" w:hAnsiTheme="minorHAnsi" w:cstheme="minorHAnsi"/>
          <w:color w:val="000000" w:themeColor="text1"/>
          <w:sz w:val="22"/>
          <w:szCs w:val="22"/>
        </w:rPr>
        <w:t xml:space="preserve">. </w:t>
      </w:r>
      <w:r w:rsidR="00C54BFB" w:rsidRPr="001E1E9D">
        <w:rPr>
          <w:rFonts w:asciiTheme="minorHAnsi" w:hAnsiTheme="minorHAnsi" w:cstheme="minorHAnsi"/>
          <w:color w:val="000000" w:themeColor="text1"/>
          <w:sz w:val="22"/>
          <w:szCs w:val="22"/>
        </w:rPr>
        <w:t xml:space="preserve">Published evidence suggests, however, that protocols and practice vary considerably between clinical sites. </w:t>
      </w:r>
      <w:r w:rsidR="00C54BFB" w:rsidRPr="001E1E9D">
        <w:rPr>
          <w:rFonts w:asciiTheme="minorHAnsi" w:eastAsiaTheme="minorHAnsi" w:hAnsiTheme="minorHAnsi" w:cstheme="minorHAnsi"/>
          <w:spacing w:val="0"/>
          <w:sz w:val="22"/>
          <w:szCs w:val="22"/>
          <w:lang w:eastAsia="en-GB"/>
        </w:rPr>
        <w:t>Evidence indicates that</w:t>
      </w:r>
      <w:r w:rsidR="00C54BFB" w:rsidRPr="001E1E9D">
        <w:rPr>
          <w:rFonts w:asciiTheme="minorHAnsi" w:hAnsiTheme="minorHAnsi" w:cstheme="minorHAnsi"/>
          <w:sz w:val="22"/>
          <w:szCs w:val="22"/>
        </w:rPr>
        <w:t xml:space="preserve"> </w:t>
      </w:r>
      <w:r w:rsidR="005459A5" w:rsidRPr="001E1E9D">
        <w:rPr>
          <w:rFonts w:asciiTheme="minorHAnsi" w:hAnsiTheme="minorHAnsi" w:cstheme="minorHAnsi"/>
          <w:sz w:val="22"/>
          <w:szCs w:val="22"/>
        </w:rPr>
        <w:t>between 5</w:t>
      </w:r>
      <w:r w:rsidR="00872614" w:rsidRPr="001E1E9D">
        <w:rPr>
          <w:rFonts w:asciiTheme="minorHAnsi" w:hAnsiTheme="minorHAnsi" w:cstheme="minorHAnsi"/>
          <w:sz w:val="22"/>
          <w:szCs w:val="22"/>
        </w:rPr>
        <w:t>0-80% of patients receiving radiotherapy suffer with RINV</w:t>
      </w:r>
      <w:r w:rsidR="00E93704">
        <w:rPr>
          <w:rFonts w:asciiTheme="minorHAnsi" w:hAnsiTheme="minorHAnsi" w:cstheme="minorHAnsi"/>
          <w:sz w:val="22"/>
          <w:szCs w:val="22"/>
        </w:rPr>
        <w:t xml:space="preserve"> (</w:t>
      </w:r>
      <w:r w:rsidR="005E7469">
        <w:rPr>
          <w:rFonts w:asciiTheme="minorHAnsi" w:hAnsiTheme="minorHAnsi" w:cstheme="minorHAnsi"/>
          <w:sz w:val="22"/>
          <w:szCs w:val="22"/>
        </w:rPr>
        <w:t>9</w:t>
      </w:r>
      <w:r w:rsidR="00E93704">
        <w:rPr>
          <w:rFonts w:asciiTheme="minorHAnsi" w:hAnsiTheme="minorHAnsi" w:cstheme="minorHAnsi"/>
          <w:sz w:val="22"/>
          <w:szCs w:val="22"/>
        </w:rPr>
        <w:t>)</w:t>
      </w:r>
      <w:r w:rsidR="00666EB2">
        <w:rPr>
          <w:rFonts w:asciiTheme="minorHAnsi" w:hAnsiTheme="minorHAnsi" w:cstheme="minorHAnsi"/>
          <w:sz w:val="22"/>
          <w:szCs w:val="22"/>
        </w:rPr>
        <w:t xml:space="preserve">. Despite this, </w:t>
      </w:r>
      <w:r w:rsidR="00872614" w:rsidRPr="001E1E9D">
        <w:rPr>
          <w:rFonts w:asciiTheme="minorHAnsi" w:hAnsiTheme="minorHAnsi" w:cstheme="minorHAnsi"/>
          <w:sz w:val="22"/>
          <w:szCs w:val="22"/>
        </w:rPr>
        <w:t xml:space="preserve">antiemetics are only given to a small number of patients, with </w:t>
      </w:r>
      <w:r w:rsidR="00C54BFB" w:rsidRPr="001E1E9D">
        <w:rPr>
          <w:rFonts w:asciiTheme="minorHAnsi" w:hAnsiTheme="minorHAnsi" w:cstheme="minorHAnsi"/>
          <w:sz w:val="22"/>
          <w:szCs w:val="22"/>
        </w:rPr>
        <w:t>a 2010 study</w:t>
      </w:r>
      <w:r w:rsidR="00E93704">
        <w:rPr>
          <w:rFonts w:asciiTheme="minorHAnsi" w:hAnsiTheme="minorHAnsi" w:cstheme="minorHAnsi"/>
          <w:sz w:val="22"/>
          <w:szCs w:val="22"/>
        </w:rPr>
        <w:t xml:space="preserve"> (4)</w:t>
      </w:r>
      <w:r w:rsidR="006C1A2E" w:rsidRPr="001E1E9D">
        <w:rPr>
          <w:rFonts w:asciiTheme="minorHAnsi" w:hAnsiTheme="minorHAnsi" w:cstheme="minorHAnsi"/>
          <w:sz w:val="22"/>
          <w:szCs w:val="22"/>
        </w:rPr>
        <w:t xml:space="preserve"> </w:t>
      </w:r>
      <w:r w:rsidR="00C54BFB" w:rsidRPr="001E1E9D">
        <w:rPr>
          <w:rFonts w:asciiTheme="minorHAnsi" w:hAnsiTheme="minorHAnsi" w:cstheme="minorHAnsi"/>
          <w:sz w:val="22"/>
          <w:szCs w:val="22"/>
        </w:rPr>
        <w:t>reporting that</w:t>
      </w:r>
      <w:r w:rsidR="00872614" w:rsidRPr="001E1E9D">
        <w:rPr>
          <w:rFonts w:asciiTheme="minorHAnsi" w:hAnsiTheme="minorHAnsi" w:cstheme="minorHAnsi"/>
          <w:sz w:val="22"/>
          <w:szCs w:val="22"/>
        </w:rPr>
        <w:t xml:space="preserve"> 17% of patients receiving radiotherapy were prescribed </w:t>
      </w:r>
      <w:r w:rsidR="00C54BFB" w:rsidRPr="001E1E9D">
        <w:rPr>
          <w:rFonts w:asciiTheme="minorHAnsi" w:hAnsiTheme="minorHAnsi" w:cstheme="minorHAnsi"/>
          <w:sz w:val="22"/>
          <w:szCs w:val="22"/>
        </w:rPr>
        <w:t xml:space="preserve">antiemetics and </w:t>
      </w:r>
      <w:r w:rsidR="00872614" w:rsidRPr="001E1E9D">
        <w:rPr>
          <w:rFonts w:asciiTheme="minorHAnsi" w:hAnsiTheme="minorHAnsi" w:cstheme="minorHAnsi"/>
          <w:sz w:val="22"/>
          <w:szCs w:val="22"/>
        </w:rPr>
        <w:t xml:space="preserve">only 12.4% prophylactically. Due to the high number of patients experiencing RINV, and the </w:t>
      </w:r>
      <w:r w:rsidR="00E165CD" w:rsidRPr="001E1E9D">
        <w:rPr>
          <w:rFonts w:asciiTheme="minorHAnsi" w:hAnsiTheme="minorHAnsi" w:cstheme="minorHAnsi"/>
          <w:sz w:val="22"/>
          <w:szCs w:val="22"/>
        </w:rPr>
        <w:t xml:space="preserve">negative impact </w:t>
      </w:r>
      <w:r w:rsidR="00872614" w:rsidRPr="001E1E9D">
        <w:rPr>
          <w:rFonts w:asciiTheme="minorHAnsi" w:hAnsiTheme="minorHAnsi" w:cstheme="minorHAnsi"/>
          <w:sz w:val="22"/>
          <w:szCs w:val="22"/>
        </w:rPr>
        <w:t>on the patient’s quality of life (QOL)</w:t>
      </w:r>
      <w:r w:rsidR="00E93704">
        <w:rPr>
          <w:rFonts w:asciiTheme="minorHAnsi" w:hAnsiTheme="minorHAnsi" w:cstheme="minorHAnsi"/>
          <w:sz w:val="22"/>
          <w:szCs w:val="22"/>
        </w:rPr>
        <w:t xml:space="preserve"> (</w:t>
      </w:r>
      <w:r w:rsidR="00E5584D">
        <w:rPr>
          <w:rFonts w:asciiTheme="minorHAnsi" w:hAnsiTheme="minorHAnsi" w:cstheme="minorHAnsi"/>
          <w:sz w:val="22"/>
          <w:szCs w:val="22"/>
        </w:rPr>
        <w:t>11</w:t>
      </w:r>
      <w:r w:rsidR="00E93704">
        <w:rPr>
          <w:rFonts w:asciiTheme="minorHAnsi" w:hAnsiTheme="minorHAnsi" w:cstheme="minorHAnsi"/>
          <w:sz w:val="22"/>
          <w:szCs w:val="22"/>
        </w:rPr>
        <w:t>)</w:t>
      </w:r>
      <w:r w:rsidR="00B56C1C">
        <w:rPr>
          <w:rFonts w:asciiTheme="minorHAnsi" w:hAnsiTheme="minorHAnsi" w:cstheme="minorHAnsi"/>
          <w:sz w:val="22"/>
          <w:szCs w:val="22"/>
        </w:rPr>
        <w:t xml:space="preserve">, </w:t>
      </w:r>
      <w:r w:rsidR="00872614" w:rsidRPr="001E1E9D">
        <w:rPr>
          <w:rFonts w:asciiTheme="minorHAnsi" w:hAnsiTheme="minorHAnsi" w:cstheme="minorHAnsi"/>
          <w:sz w:val="22"/>
          <w:szCs w:val="22"/>
        </w:rPr>
        <w:t xml:space="preserve">it is imperative </w:t>
      </w:r>
      <w:r w:rsidR="00B56C1C">
        <w:rPr>
          <w:rFonts w:asciiTheme="minorHAnsi" w:hAnsiTheme="minorHAnsi" w:cstheme="minorHAnsi"/>
          <w:sz w:val="22"/>
          <w:szCs w:val="22"/>
        </w:rPr>
        <w:t xml:space="preserve">that </w:t>
      </w:r>
      <w:r w:rsidR="00872614" w:rsidRPr="001E1E9D">
        <w:rPr>
          <w:rFonts w:asciiTheme="minorHAnsi" w:hAnsiTheme="minorHAnsi" w:cstheme="minorHAnsi"/>
          <w:sz w:val="22"/>
          <w:szCs w:val="22"/>
        </w:rPr>
        <w:t>the importance of sufficient prophylactic treatment is recognised</w:t>
      </w:r>
      <w:r w:rsidR="002C043D" w:rsidRPr="001E1E9D">
        <w:rPr>
          <w:rFonts w:asciiTheme="minorHAnsi" w:hAnsiTheme="minorHAnsi" w:cstheme="minorHAnsi"/>
          <w:sz w:val="22"/>
          <w:szCs w:val="22"/>
        </w:rPr>
        <w:t>.</w:t>
      </w:r>
      <w:r w:rsidR="001151D0" w:rsidRPr="001E1E9D">
        <w:rPr>
          <w:rFonts w:asciiTheme="minorHAnsi" w:hAnsiTheme="minorHAnsi" w:cstheme="minorHAnsi"/>
          <w:sz w:val="22"/>
          <w:szCs w:val="22"/>
        </w:rPr>
        <w:t xml:space="preserve"> </w:t>
      </w:r>
      <w:r w:rsidR="002C043D" w:rsidRPr="001E1E9D">
        <w:rPr>
          <w:rFonts w:asciiTheme="minorHAnsi" w:hAnsiTheme="minorHAnsi" w:cstheme="minorHAnsi"/>
          <w:sz w:val="22"/>
          <w:szCs w:val="22"/>
        </w:rPr>
        <w:t>I</w:t>
      </w:r>
      <w:r w:rsidR="009E3DC2" w:rsidRPr="001E1E9D">
        <w:rPr>
          <w:rFonts w:asciiTheme="minorHAnsi" w:hAnsiTheme="minorHAnsi" w:cstheme="minorHAnsi"/>
          <w:sz w:val="22"/>
          <w:szCs w:val="22"/>
        </w:rPr>
        <w:t xml:space="preserve">nadequately controlled </w:t>
      </w:r>
      <w:r w:rsidR="002D0941" w:rsidRPr="001E1E9D">
        <w:rPr>
          <w:rFonts w:asciiTheme="minorHAnsi" w:hAnsiTheme="minorHAnsi" w:cstheme="minorHAnsi"/>
          <w:sz w:val="22"/>
          <w:szCs w:val="22"/>
          <w:shd w:val="clear" w:color="auto" w:fill="FFFFFF"/>
        </w:rPr>
        <w:t>nausea and vomiting can cause patients to delay or refuse subsequent treatment, therefore affecting treatment o</w:t>
      </w:r>
      <w:r w:rsidR="00CC47FC" w:rsidRPr="001E1E9D">
        <w:rPr>
          <w:rFonts w:asciiTheme="minorHAnsi" w:hAnsiTheme="minorHAnsi" w:cstheme="minorHAnsi"/>
          <w:sz w:val="22"/>
          <w:szCs w:val="22"/>
          <w:shd w:val="clear" w:color="auto" w:fill="FFFFFF"/>
        </w:rPr>
        <w:t>utcomes</w:t>
      </w:r>
      <w:r w:rsidR="00E93704">
        <w:rPr>
          <w:rFonts w:asciiTheme="minorHAnsi" w:hAnsiTheme="minorHAnsi" w:cstheme="minorHAnsi"/>
          <w:sz w:val="22"/>
          <w:szCs w:val="22"/>
          <w:shd w:val="clear" w:color="auto" w:fill="FFFFFF"/>
        </w:rPr>
        <w:t xml:space="preserve"> (</w:t>
      </w:r>
      <w:r w:rsidR="005E7469">
        <w:rPr>
          <w:rFonts w:asciiTheme="minorHAnsi" w:hAnsiTheme="minorHAnsi" w:cstheme="minorHAnsi"/>
          <w:sz w:val="22"/>
          <w:szCs w:val="22"/>
          <w:shd w:val="clear" w:color="auto" w:fill="FFFFFF"/>
        </w:rPr>
        <w:t>9</w:t>
      </w:r>
      <w:r w:rsidR="00E93704">
        <w:rPr>
          <w:rFonts w:asciiTheme="minorHAnsi" w:hAnsiTheme="minorHAnsi" w:cstheme="minorHAnsi"/>
          <w:sz w:val="22"/>
          <w:szCs w:val="22"/>
          <w:shd w:val="clear" w:color="auto" w:fill="FFFFFF"/>
        </w:rPr>
        <w:t>)</w:t>
      </w:r>
      <w:r w:rsidR="00B56C1C">
        <w:rPr>
          <w:rFonts w:asciiTheme="minorHAnsi" w:hAnsiTheme="minorHAnsi" w:cstheme="minorHAnsi"/>
          <w:sz w:val="22"/>
          <w:szCs w:val="22"/>
          <w:shd w:val="clear" w:color="auto" w:fill="FFFFFF"/>
        </w:rPr>
        <w:t xml:space="preserve">. </w:t>
      </w:r>
      <w:r w:rsidR="00B24D9A">
        <w:rPr>
          <w:rFonts w:asciiTheme="minorHAnsi" w:hAnsiTheme="minorHAnsi" w:cstheme="minorHAnsi"/>
          <w:color w:val="000000" w:themeColor="text1"/>
          <w:sz w:val="22"/>
          <w:szCs w:val="22"/>
        </w:rPr>
        <w:t xml:space="preserve">Additional impact </w:t>
      </w:r>
      <w:r w:rsidR="00770742" w:rsidRPr="001E1E9D">
        <w:rPr>
          <w:rFonts w:asciiTheme="minorHAnsi" w:hAnsiTheme="minorHAnsi" w:cstheme="minorHAnsi"/>
          <w:color w:val="000000" w:themeColor="text1"/>
          <w:sz w:val="22"/>
          <w:szCs w:val="22"/>
        </w:rPr>
        <w:t>on patient’s QOL</w:t>
      </w:r>
      <w:r w:rsidR="00E93704">
        <w:rPr>
          <w:rFonts w:asciiTheme="minorHAnsi" w:hAnsiTheme="minorHAnsi" w:cstheme="minorHAnsi"/>
          <w:color w:val="000000" w:themeColor="text1"/>
          <w:sz w:val="22"/>
          <w:szCs w:val="22"/>
        </w:rPr>
        <w:t xml:space="preserve"> (</w:t>
      </w:r>
      <w:r w:rsidR="00E5584D">
        <w:rPr>
          <w:rFonts w:asciiTheme="minorHAnsi" w:hAnsiTheme="minorHAnsi" w:cstheme="minorHAnsi"/>
          <w:color w:val="000000" w:themeColor="text1"/>
          <w:sz w:val="22"/>
          <w:szCs w:val="22"/>
        </w:rPr>
        <w:t>12</w:t>
      </w:r>
      <w:r w:rsidR="00E93704">
        <w:rPr>
          <w:rFonts w:asciiTheme="minorHAnsi" w:hAnsiTheme="minorHAnsi" w:cstheme="minorHAnsi"/>
          <w:color w:val="000000" w:themeColor="text1"/>
          <w:sz w:val="22"/>
          <w:szCs w:val="22"/>
        </w:rPr>
        <w:t>)</w:t>
      </w:r>
      <w:r w:rsidR="00770742" w:rsidRPr="001E1E9D">
        <w:rPr>
          <w:rFonts w:asciiTheme="minorHAnsi" w:hAnsiTheme="minorHAnsi" w:cstheme="minorHAnsi"/>
          <w:color w:val="000000" w:themeColor="text1"/>
          <w:sz w:val="22"/>
          <w:szCs w:val="22"/>
        </w:rPr>
        <w:t xml:space="preserve"> </w:t>
      </w:r>
      <w:r w:rsidR="00B24D9A">
        <w:rPr>
          <w:rFonts w:asciiTheme="minorHAnsi" w:hAnsiTheme="minorHAnsi" w:cstheme="minorHAnsi"/>
          <w:sz w:val="22"/>
          <w:szCs w:val="22"/>
          <w:shd w:val="clear" w:color="auto" w:fill="FFFFFF"/>
        </w:rPr>
        <w:t>arises from the</w:t>
      </w:r>
      <w:r w:rsidR="00B24D9A">
        <w:rPr>
          <w:rFonts w:asciiTheme="minorHAnsi" w:hAnsiTheme="minorHAnsi" w:cstheme="minorHAnsi"/>
          <w:color w:val="000000" w:themeColor="text1"/>
          <w:sz w:val="22"/>
          <w:szCs w:val="22"/>
        </w:rPr>
        <w:t xml:space="preserve"> resulting</w:t>
      </w:r>
      <w:r w:rsidR="00872614" w:rsidRPr="001E1E9D">
        <w:rPr>
          <w:rFonts w:asciiTheme="minorHAnsi" w:hAnsiTheme="minorHAnsi" w:cstheme="minorHAnsi"/>
          <w:color w:val="000000" w:themeColor="text1"/>
          <w:sz w:val="22"/>
          <w:szCs w:val="22"/>
        </w:rPr>
        <w:t xml:space="preserve"> negative impact o</w:t>
      </w:r>
      <w:r w:rsidR="00D61D11" w:rsidRPr="001E1E9D">
        <w:rPr>
          <w:rFonts w:asciiTheme="minorHAnsi" w:hAnsiTheme="minorHAnsi" w:cstheme="minorHAnsi"/>
          <w:color w:val="000000" w:themeColor="text1"/>
          <w:sz w:val="22"/>
          <w:szCs w:val="22"/>
        </w:rPr>
        <w:t>n social functioning</w:t>
      </w:r>
      <w:r w:rsidR="00914601">
        <w:rPr>
          <w:rFonts w:asciiTheme="minorHAnsi" w:hAnsiTheme="minorHAnsi" w:cstheme="minorHAnsi"/>
          <w:color w:val="000000" w:themeColor="text1"/>
          <w:sz w:val="22"/>
          <w:szCs w:val="22"/>
        </w:rPr>
        <w:t xml:space="preserve"> and </w:t>
      </w:r>
      <w:r w:rsidR="00872614" w:rsidRPr="001E1E9D">
        <w:rPr>
          <w:rFonts w:asciiTheme="minorHAnsi" w:hAnsiTheme="minorHAnsi" w:cstheme="minorHAnsi"/>
          <w:color w:val="000000" w:themeColor="text1"/>
          <w:sz w:val="22"/>
          <w:szCs w:val="22"/>
        </w:rPr>
        <w:t>slee</w:t>
      </w:r>
      <w:r w:rsidR="00B24D9A">
        <w:rPr>
          <w:rFonts w:asciiTheme="minorHAnsi" w:hAnsiTheme="minorHAnsi" w:cstheme="minorHAnsi"/>
          <w:color w:val="000000" w:themeColor="text1"/>
          <w:sz w:val="22"/>
          <w:szCs w:val="22"/>
        </w:rPr>
        <w:t>p and</w:t>
      </w:r>
      <w:r w:rsidR="00872614" w:rsidRPr="001E1E9D">
        <w:rPr>
          <w:rFonts w:asciiTheme="minorHAnsi" w:hAnsiTheme="minorHAnsi" w:cstheme="minorHAnsi"/>
          <w:color w:val="000000" w:themeColor="text1"/>
          <w:sz w:val="22"/>
          <w:szCs w:val="22"/>
        </w:rPr>
        <w:t xml:space="preserve"> </w:t>
      </w:r>
      <w:r w:rsidR="00B24D9A">
        <w:rPr>
          <w:rFonts w:asciiTheme="minorHAnsi" w:hAnsiTheme="minorHAnsi" w:cstheme="minorHAnsi"/>
          <w:color w:val="000000" w:themeColor="text1"/>
          <w:sz w:val="22"/>
          <w:szCs w:val="22"/>
        </w:rPr>
        <w:t xml:space="preserve">an </w:t>
      </w:r>
      <w:r w:rsidR="00872614" w:rsidRPr="001E1E9D">
        <w:rPr>
          <w:rFonts w:asciiTheme="minorHAnsi" w:hAnsiTheme="minorHAnsi" w:cstheme="minorHAnsi"/>
          <w:color w:val="000000" w:themeColor="text1"/>
          <w:sz w:val="22"/>
          <w:szCs w:val="22"/>
        </w:rPr>
        <w:t>increase</w:t>
      </w:r>
      <w:r w:rsidR="00B24D9A">
        <w:rPr>
          <w:rFonts w:asciiTheme="minorHAnsi" w:hAnsiTheme="minorHAnsi" w:cstheme="minorHAnsi"/>
          <w:color w:val="000000" w:themeColor="text1"/>
          <w:sz w:val="22"/>
          <w:szCs w:val="22"/>
        </w:rPr>
        <w:t xml:space="preserve"> in </w:t>
      </w:r>
      <w:r w:rsidR="00770742" w:rsidRPr="001E1E9D">
        <w:rPr>
          <w:rFonts w:asciiTheme="minorHAnsi" w:hAnsiTheme="minorHAnsi" w:cstheme="minorHAnsi"/>
          <w:color w:val="000000" w:themeColor="text1"/>
          <w:sz w:val="22"/>
          <w:szCs w:val="22"/>
        </w:rPr>
        <w:t>cancer distress</w:t>
      </w:r>
      <w:r w:rsidR="00872614" w:rsidRPr="001E1E9D">
        <w:rPr>
          <w:rFonts w:asciiTheme="minorHAnsi" w:hAnsiTheme="minorHAnsi" w:cstheme="minorHAnsi"/>
          <w:color w:val="000000" w:themeColor="text1"/>
          <w:sz w:val="22"/>
          <w:szCs w:val="22"/>
        </w:rPr>
        <w:t>.</w:t>
      </w:r>
    </w:p>
    <w:p w14:paraId="2C95359C" w14:textId="77777777" w:rsidR="001151D0" w:rsidRPr="001E1E9D" w:rsidRDefault="001151D0" w:rsidP="000C6FF6">
      <w:pPr>
        <w:spacing w:line="360" w:lineRule="auto"/>
        <w:jc w:val="both"/>
        <w:rPr>
          <w:rFonts w:asciiTheme="minorHAnsi" w:hAnsiTheme="minorHAnsi" w:cstheme="minorHAnsi"/>
          <w:color w:val="000000" w:themeColor="text1"/>
          <w:sz w:val="22"/>
          <w:szCs w:val="22"/>
        </w:rPr>
      </w:pPr>
    </w:p>
    <w:p w14:paraId="73367524" w14:textId="5CD196D2" w:rsidR="004970C1" w:rsidRPr="00113F1E" w:rsidRDefault="00515420" w:rsidP="00113F1E">
      <w:pPr>
        <w:pStyle w:val="p1"/>
        <w:spacing w:line="360" w:lineRule="auto"/>
        <w:rPr>
          <w:rFonts w:asciiTheme="minorHAnsi" w:hAnsiTheme="minorHAnsi"/>
          <w:sz w:val="22"/>
          <w:szCs w:val="22"/>
        </w:rPr>
      </w:pPr>
      <w:r>
        <w:rPr>
          <w:rFonts w:asciiTheme="minorHAnsi" w:hAnsiTheme="minorHAnsi" w:cstheme="minorHAnsi"/>
          <w:color w:val="000000" w:themeColor="text1"/>
          <w:sz w:val="22"/>
          <w:szCs w:val="22"/>
        </w:rPr>
        <w:t>Published guidelines</w:t>
      </w:r>
      <w:r w:rsidR="00E93704">
        <w:rPr>
          <w:rFonts w:asciiTheme="minorHAnsi" w:hAnsiTheme="minorHAnsi" w:cstheme="minorHAnsi"/>
          <w:color w:val="000000" w:themeColor="text1"/>
          <w:sz w:val="22"/>
          <w:szCs w:val="22"/>
        </w:rPr>
        <w:t xml:space="preserve"> (1</w:t>
      </w:r>
      <w:r w:rsidR="00E5584D">
        <w:rPr>
          <w:rFonts w:asciiTheme="minorHAnsi" w:hAnsiTheme="minorHAnsi" w:cstheme="minorHAnsi"/>
          <w:color w:val="000000" w:themeColor="text1"/>
          <w:sz w:val="22"/>
          <w:szCs w:val="22"/>
        </w:rPr>
        <w:t>3</w:t>
      </w:r>
      <w:r w:rsidR="00E93704">
        <w:rPr>
          <w:rFonts w:asciiTheme="minorHAnsi" w:hAnsiTheme="minorHAnsi" w:cstheme="minorHAnsi"/>
          <w:color w:val="000000" w:themeColor="text1"/>
          <w:sz w:val="22"/>
          <w:szCs w:val="22"/>
        </w:rPr>
        <w:t>)</w:t>
      </w:r>
      <w:r w:rsidR="00C54BFB" w:rsidRPr="001E1E9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can</w:t>
      </w:r>
      <w:r w:rsidR="00C54BFB" w:rsidRPr="001E1E9D">
        <w:rPr>
          <w:rFonts w:asciiTheme="minorHAnsi" w:hAnsiTheme="minorHAnsi" w:cstheme="minorHAnsi"/>
          <w:color w:val="000000" w:themeColor="text1"/>
          <w:sz w:val="22"/>
          <w:szCs w:val="22"/>
        </w:rPr>
        <w:t xml:space="preserve"> help staff </w:t>
      </w:r>
      <w:r>
        <w:rPr>
          <w:rFonts w:asciiTheme="minorHAnsi" w:hAnsiTheme="minorHAnsi" w:cstheme="minorHAnsi"/>
          <w:color w:val="000000" w:themeColor="text1"/>
          <w:sz w:val="22"/>
          <w:szCs w:val="22"/>
        </w:rPr>
        <w:t>decide</w:t>
      </w:r>
      <w:r w:rsidR="00C54BFB" w:rsidRPr="001E1E9D">
        <w:rPr>
          <w:rFonts w:asciiTheme="minorHAnsi" w:hAnsiTheme="minorHAnsi" w:cstheme="minorHAnsi"/>
          <w:color w:val="000000" w:themeColor="text1"/>
          <w:sz w:val="22"/>
          <w:szCs w:val="22"/>
        </w:rPr>
        <w:t xml:space="preserve"> whether a</w:t>
      </w:r>
      <w:r>
        <w:rPr>
          <w:rFonts w:asciiTheme="minorHAnsi" w:hAnsiTheme="minorHAnsi" w:cstheme="minorHAnsi"/>
          <w:color w:val="000000" w:themeColor="text1"/>
          <w:sz w:val="22"/>
          <w:szCs w:val="22"/>
        </w:rPr>
        <w:t xml:space="preserve"> patient requires an antiemetic</w:t>
      </w:r>
      <w:r w:rsidR="00E85DEC">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with t</w:t>
      </w:r>
      <w:r w:rsidR="00C54BFB" w:rsidRPr="001E1E9D">
        <w:rPr>
          <w:rFonts w:asciiTheme="minorHAnsi" w:hAnsiTheme="minorHAnsi" w:cstheme="minorHAnsi"/>
          <w:sz w:val="22"/>
          <w:szCs w:val="22"/>
          <w:lang w:eastAsia="en-US"/>
        </w:rPr>
        <w:t xml:space="preserve">he literature </w:t>
      </w:r>
      <w:r>
        <w:rPr>
          <w:rFonts w:asciiTheme="minorHAnsi" w:hAnsiTheme="minorHAnsi" w:cstheme="minorHAnsi"/>
          <w:sz w:val="22"/>
          <w:szCs w:val="22"/>
          <w:lang w:eastAsia="en-US"/>
        </w:rPr>
        <w:t>recommending</w:t>
      </w:r>
      <w:r w:rsidR="00C54BFB" w:rsidRPr="001E1E9D">
        <w:rPr>
          <w:rFonts w:asciiTheme="minorHAnsi" w:hAnsiTheme="minorHAnsi" w:cstheme="minorHAnsi"/>
          <w:sz w:val="22"/>
          <w:szCs w:val="22"/>
          <w:lang w:eastAsia="en-US"/>
        </w:rPr>
        <w:t xml:space="preserve"> a </w:t>
      </w:r>
      <w:r w:rsidR="00B41252" w:rsidRPr="001E1E9D">
        <w:rPr>
          <w:rFonts w:asciiTheme="minorHAnsi" w:hAnsiTheme="minorHAnsi" w:cstheme="minorHAnsi"/>
          <w:sz w:val="22"/>
          <w:szCs w:val="22"/>
          <w:lang w:eastAsia="en-US"/>
        </w:rPr>
        <w:t xml:space="preserve">range of </w:t>
      </w:r>
      <w:r>
        <w:rPr>
          <w:rFonts w:asciiTheme="minorHAnsi" w:hAnsiTheme="minorHAnsi" w:cstheme="minorHAnsi"/>
          <w:sz w:val="22"/>
          <w:szCs w:val="22"/>
          <w:lang w:eastAsia="en-US"/>
        </w:rPr>
        <w:t xml:space="preserve">5-HT3 receptor </w:t>
      </w:r>
      <w:r w:rsidR="00351ACC">
        <w:rPr>
          <w:rFonts w:asciiTheme="minorHAnsi" w:hAnsiTheme="minorHAnsi" w:cstheme="minorHAnsi"/>
          <w:sz w:val="22"/>
          <w:szCs w:val="22"/>
          <w:lang w:eastAsia="en-US"/>
        </w:rPr>
        <w:t>antagonists</w:t>
      </w:r>
      <w:r>
        <w:rPr>
          <w:rFonts w:asciiTheme="minorHAnsi" w:hAnsiTheme="minorHAnsi" w:cstheme="minorHAnsi"/>
          <w:sz w:val="22"/>
          <w:szCs w:val="22"/>
          <w:lang w:eastAsia="en-US"/>
        </w:rPr>
        <w:t xml:space="preserve"> as</w:t>
      </w:r>
      <w:r w:rsidR="00B41252" w:rsidRPr="001E1E9D">
        <w:rPr>
          <w:rFonts w:asciiTheme="minorHAnsi" w:hAnsiTheme="minorHAnsi" w:cstheme="minorHAnsi"/>
          <w:sz w:val="22"/>
          <w:szCs w:val="22"/>
          <w:lang w:eastAsia="en-US"/>
        </w:rPr>
        <w:t xml:space="preserve"> appropriate</w:t>
      </w:r>
      <w:r w:rsidR="00C54BFB" w:rsidRPr="001E1E9D">
        <w:rPr>
          <w:rFonts w:asciiTheme="minorHAnsi" w:hAnsiTheme="minorHAnsi" w:cstheme="minorHAnsi"/>
          <w:sz w:val="22"/>
          <w:szCs w:val="22"/>
          <w:lang w:eastAsia="en-US"/>
        </w:rPr>
        <w:t xml:space="preserve"> for the control of RINV</w:t>
      </w:r>
      <w:r w:rsidR="00E93704">
        <w:rPr>
          <w:rFonts w:asciiTheme="minorHAnsi" w:hAnsiTheme="minorHAnsi" w:cstheme="minorHAnsi"/>
          <w:sz w:val="22"/>
          <w:szCs w:val="22"/>
          <w:lang w:eastAsia="en-US"/>
        </w:rPr>
        <w:t xml:space="preserve"> (</w:t>
      </w:r>
      <w:r w:rsidR="00E93704" w:rsidRPr="00113F1E">
        <w:rPr>
          <w:rFonts w:asciiTheme="minorHAnsi" w:hAnsiTheme="minorHAnsi" w:cstheme="minorHAnsi"/>
          <w:sz w:val="22"/>
          <w:szCs w:val="22"/>
          <w:lang w:eastAsia="en-US"/>
        </w:rPr>
        <w:t>1</w:t>
      </w:r>
      <w:r w:rsidR="00E5584D">
        <w:rPr>
          <w:rFonts w:asciiTheme="minorHAnsi" w:hAnsiTheme="minorHAnsi" w:cstheme="minorHAnsi"/>
          <w:sz w:val="22"/>
          <w:szCs w:val="22"/>
          <w:lang w:eastAsia="en-US"/>
        </w:rPr>
        <w:t>4</w:t>
      </w:r>
      <w:r w:rsidR="00E93704" w:rsidRPr="00113F1E">
        <w:rPr>
          <w:rFonts w:asciiTheme="minorHAnsi" w:hAnsiTheme="minorHAnsi" w:cstheme="minorHAnsi"/>
          <w:sz w:val="22"/>
          <w:szCs w:val="22"/>
          <w:lang w:eastAsia="en-US"/>
        </w:rPr>
        <w:t>-1</w:t>
      </w:r>
      <w:r w:rsidR="00E5584D">
        <w:rPr>
          <w:rFonts w:asciiTheme="minorHAnsi" w:hAnsiTheme="minorHAnsi" w:cstheme="minorHAnsi"/>
          <w:sz w:val="22"/>
          <w:szCs w:val="22"/>
          <w:lang w:eastAsia="en-US"/>
        </w:rPr>
        <w:t>6</w:t>
      </w:r>
      <w:r w:rsidR="00E93704" w:rsidRPr="00113F1E">
        <w:rPr>
          <w:rFonts w:asciiTheme="minorHAnsi" w:hAnsiTheme="minorHAnsi" w:cstheme="minorHAnsi"/>
          <w:sz w:val="22"/>
          <w:szCs w:val="22"/>
          <w:lang w:eastAsia="en-US"/>
        </w:rPr>
        <w:t>)</w:t>
      </w:r>
      <w:r w:rsidR="005626A3" w:rsidRPr="00113F1E">
        <w:rPr>
          <w:rFonts w:asciiTheme="minorHAnsi" w:hAnsiTheme="minorHAnsi" w:cstheme="minorHAnsi"/>
          <w:sz w:val="22"/>
          <w:szCs w:val="22"/>
          <w:lang w:eastAsia="en-US"/>
        </w:rPr>
        <w:t>.</w:t>
      </w:r>
      <w:r w:rsidR="005F3446" w:rsidRPr="00113F1E">
        <w:rPr>
          <w:rFonts w:asciiTheme="minorHAnsi" w:hAnsiTheme="minorHAnsi" w:cstheme="minorHAnsi"/>
          <w:sz w:val="22"/>
          <w:szCs w:val="22"/>
          <w:lang w:eastAsia="en-US"/>
        </w:rPr>
        <w:t xml:space="preserve"> Other antiemetics (outlined in Table 2) are also available and may be used by other centres.</w:t>
      </w:r>
      <w:r w:rsidR="005626A3" w:rsidRPr="00113F1E">
        <w:rPr>
          <w:rFonts w:asciiTheme="minorHAnsi" w:hAnsiTheme="minorHAnsi" w:cstheme="minorHAnsi"/>
          <w:sz w:val="22"/>
          <w:szCs w:val="22"/>
          <w:lang w:eastAsia="en-US"/>
        </w:rPr>
        <w:t xml:space="preserve"> </w:t>
      </w:r>
      <w:r w:rsidR="000065B7" w:rsidRPr="00113F1E">
        <w:rPr>
          <w:rFonts w:asciiTheme="minorHAnsi" w:hAnsiTheme="minorHAnsi" w:cstheme="minorHAnsi"/>
          <w:sz w:val="22"/>
          <w:szCs w:val="22"/>
          <w:lang w:eastAsia="en-US"/>
        </w:rPr>
        <w:t>It has also been suggested that these patients could be offered proton pump inhibitors or H2 blocker therapy</w:t>
      </w:r>
      <w:r w:rsidR="005A2F87" w:rsidRPr="00113F1E">
        <w:rPr>
          <w:rFonts w:asciiTheme="minorHAnsi" w:hAnsiTheme="minorHAnsi" w:cstheme="minorHAnsi"/>
          <w:sz w:val="22"/>
          <w:szCs w:val="22"/>
          <w:lang w:eastAsia="en-US"/>
        </w:rPr>
        <w:t xml:space="preserve"> along with the patient eating smaller and more frequent meals instead of larger ones before treatment</w:t>
      </w:r>
      <w:r w:rsidR="00F47EC6" w:rsidRPr="00113F1E">
        <w:rPr>
          <w:rFonts w:asciiTheme="minorHAnsi" w:hAnsiTheme="minorHAnsi" w:cstheme="minorHAnsi"/>
          <w:sz w:val="22"/>
          <w:szCs w:val="22"/>
          <w:lang w:eastAsia="en-US"/>
        </w:rPr>
        <w:t xml:space="preserve"> (7</w:t>
      </w:r>
      <w:r w:rsidR="006B4AD8" w:rsidRPr="00113F1E">
        <w:rPr>
          <w:rFonts w:asciiTheme="minorHAnsi" w:hAnsiTheme="minorHAnsi" w:cstheme="minorHAnsi"/>
          <w:sz w:val="22"/>
          <w:szCs w:val="22"/>
          <w:lang w:eastAsia="en-US"/>
        </w:rPr>
        <w:t>)</w:t>
      </w:r>
      <w:r w:rsidR="000065B7" w:rsidRPr="00113F1E">
        <w:rPr>
          <w:rFonts w:asciiTheme="minorHAnsi" w:hAnsiTheme="minorHAnsi" w:cstheme="minorHAnsi"/>
          <w:sz w:val="22"/>
          <w:szCs w:val="22"/>
          <w:lang w:eastAsia="en-US"/>
        </w:rPr>
        <w:t>.</w:t>
      </w:r>
      <w:r w:rsidR="00113F1E" w:rsidRPr="00113F1E">
        <w:rPr>
          <w:rFonts w:asciiTheme="minorHAnsi" w:hAnsiTheme="minorHAnsi" w:cstheme="minorHAnsi"/>
          <w:sz w:val="22"/>
          <w:szCs w:val="22"/>
          <w:lang w:eastAsia="en-US"/>
        </w:rPr>
        <w:t xml:space="preserve"> </w:t>
      </w:r>
      <w:r w:rsidR="00B41252" w:rsidRPr="00113F1E">
        <w:rPr>
          <w:rFonts w:asciiTheme="minorHAnsi" w:hAnsiTheme="minorHAnsi" w:cstheme="minorHAnsi"/>
          <w:sz w:val="22"/>
          <w:szCs w:val="22"/>
          <w:lang w:eastAsia="en-US"/>
        </w:rPr>
        <w:t>T</w:t>
      </w:r>
      <w:r w:rsidR="00C54BFB" w:rsidRPr="00113F1E">
        <w:rPr>
          <w:rFonts w:asciiTheme="minorHAnsi" w:hAnsiTheme="minorHAnsi" w:cstheme="minorHAnsi"/>
          <w:sz w:val="22"/>
          <w:szCs w:val="22"/>
          <w:lang w:eastAsia="en-US"/>
        </w:rPr>
        <w:t>reatme</w:t>
      </w:r>
      <w:r w:rsidR="00B41252" w:rsidRPr="00113F1E">
        <w:rPr>
          <w:rFonts w:asciiTheme="minorHAnsi" w:hAnsiTheme="minorHAnsi" w:cstheme="minorHAnsi"/>
          <w:sz w:val="22"/>
          <w:szCs w:val="22"/>
          <w:lang w:eastAsia="en-US"/>
        </w:rPr>
        <w:t>nts with a high</w:t>
      </w:r>
      <w:r w:rsidR="00B41252" w:rsidRPr="001E1E9D">
        <w:rPr>
          <w:rFonts w:asciiTheme="minorHAnsi" w:hAnsiTheme="minorHAnsi" w:cstheme="minorHAnsi"/>
          <w:sz w:val="22"/>
          <w:szCs w:val="22"/>
          <w:lang w:eastAsia="en-US"/>
        </w:rPr>
        <w:t xml:space="preserve"> emetogenic risk may also indicate concurrent use of</w:t>
      </w:r>
      <w:r w:rsidR="00C54BFB" w:rsidRPr="001E1E9D">
        <w:rPr>
          <w:rFonts w:asciiTheme="minorHAnsi" w:hAnsiTheme="minorHAnsi" w:cstheme="minorHAnsi"/>
          <w:sz w:val="22"/>
          <w:szCs w:val="22"/>
          <w:lang w:eastAsia="en-US"/>
        </w:rPr>
        <w:t xml:space="preserve"> dexamethasone to achieve control</w:t>
      </w:r>
      <w:r w:rsidR="00E93704">
        <w:rPr>
          <w:rFonts w:asciiTheme="minorHAnsi" w:hAnsiTheme="minorHAnsi" w:cstheme="minorHAnsi"/>
          <w:sz w:val="22"/>
          <w:szCs w:val="22"/>
          <w:lang w:eastAsia="en-US"/>
        </w:rPr>
        <w:t xml:space="preserve"> (1</w:t>
      </w:r>
      <w:r w:rsidR="00E5584D">
        <w:rPr>
          <w:rFonts w:asciiTheme="minorHAnsi" w:hAnsiTheme="minorHAnsi" w:cstheme="minorHAnsi"/>
          <w:sz w:val="22"/>
          <w:szCs w:val="22"/>
          <w:lang w:eastAsia="en-US"/>
        </w:rPr>
        <w:t>4</w:t>
      </w:r>
      <w:r w:rsidR="00E93704">
        <w:rPr>
          <w:rFonts w:asciiTheme="minorHAnsi" w:hAnsiTheme="minorHAnsi" w:cstheme="minorHAnsi"/>
          <w:sz w:val="22"/>
          <w:szCs w:val="22"/>
          <w:lang w:eastAsia="en-US"/>
        </w:rPr>
        <w:t>)</w:t>
      </w:r>
      <w:r w:rsidR="00C54BFB" w:rsidRPr="001E1E9D">
        <w:rPr>
          <w:rFonts w:asciiTheme="minorHAnsi" w:hAnsiTheme="minorHAnsi" w:cstheme="minorHAnsi"/>
          <w:sz w:val="22"/>
          <w:szCs w:val="22"/>
          <w:lang w:eastAsia="en-US"/>
        </w:rPr>
        <w:t xml:space="preserve">. </w:t>
      </w:r>
      <w:r w:rsidR="00525F98">
        <w:rPr>
          <w:rFonts w:asciiTheme="minorHAnsi" w:hAnsiTheme="minorHAnsi" w:cstheme="minorHAnsi"/>
          <w:sz w:val="22"/>
          <w:szCs w:val="22"/>
          <w:lang w:eastAsia="en-US"/>
        </w:rPr>
        <w:t>Unfortunately</w:t>
      </w:r>
      <w:r w:rsidR="00525F98" w:rsidRPr="00113F1E">
        <w:rPr>
          <w:rFonts w:asciiTheme="minorHAnsi" w:hAnsiTheme="minorHAnsi" w:cstheme="minorHAnsi"/>
          <w:sz w:val="22"/>
          <w:szCs w:val="22"/>
          <w:lang w:eastAsia="en-US"/>
        </w:rPr>
        <w:t xml:space="preserve">, research around RINV is limited </w:t>
      </w:r>
      <w:r w:rsidR="00525F98" w:rsidRPr="00113F1E">
        <w:rPr>
          <w:rFonts w:asciiTheme="minorHAnsi" w:hAnsiTheme="minorHAnsi"/>
          <w:sz w:val="22"/>
          <w:szCs w:val="22"/>
        </w:rPr>
        <w:t>and much less common than that on chemotherapy-induced nausea and vomiting (CINV)</w:t>
      </w:r>
      <w:r w:rsidR="00525F98">
        <w:rPr>
          <w:rFonts w:asciiTheme="minorHAnsi" w:hAnsiTheme="minorHAnsi"/>
          <w:sz w:val="22"/>
          <w:szCs w:val="22"/>
        </w:rPr>
        <w:t>.</w:t>
      </w:r>
      <w:r w:rsidR="00525F98" w:rsidRPr="00525F98">
        <w:rPr>
          <w:rFonts w:asciiTheme="minorHAnsi" w:hAnsiTheme="minorHAnsi" w:cstheme="minorHAnsi"/>
          <w:sz w:val="22"/>
          <w:szCs w:val="22"/>
          <w:lang w:eastAsia="en-US"/>
        </w:rPr>
        <w:t xml:space="preserve"> </w:t>
      </w:r>
      <w:r w:rsidR="00525F98" w:rsidRPr="001E1E9D">
        <w:rPr>
          <w:rFonts w:asciiTheme="minorHAnsi" w:hAnsiTheme="minorHAnsi" w:cstheme="minorHAnsi"/>
          <w:sz w:val="22"/>
          <w:szCs w:val="22"/>
          <w:lang w:eastAsia="en-US"/>
        </w:rPr>
        <w:t xml:space="preserve">Despite </w:t>
      </w:r>
      <w:r w:rsidR="00525F98">
        <w:rPr>
          <w:rFonts w:asciiTheme="minorHAnsi" w:hAnsiTheme="minorHAnsi" w:cstheme="minorHAnsi"/>
          <w:sz w:val="22"/>
          <w:szCs w:val="22"/>
          <w:lang w:eastAsia="en-US"/>
        </w:rPr>
        <w:t>the findings in this</w:t>
      </w:r>
      <w:r w:rsidR="00525F98" w:rsidRPr="001E1E9D">
        <w:rPr>
          <w:rFonts w:asciiTheme="minorHAnsi" w:hAnsiTheme="minorHAnsi" w:cstheme="minorHAnsi"/>
          <w:sz w:val="22"/>
          <w:szCs w:val="22"/>
          <w:lang w:eastAsia="en-US"/>
        </w:rPr>
        <w:t xml:space="preserve"> </w:t>
      </w:r>
      <w:r w:rsidR="00525F98">
        <w:rPr>
          <w:rFonts w:asciiTheme="minorHAnsi" w:hAnsiTheme="minorHAnsi" w:cstheme="minorHAnsi"/>
          <w:sz w:val="22"/>
          <w:szCs w:val="22"/>
          <w:lang w:eastAsia="en-US"/>
        </w:rPr>
        <w:t xml:space="preserve">limited </w:t>
      </w:r>
      <w:r w:rsidR="00525F98" w:rsidRPr="001E1E9D">
        <w:rPr>
          <w:rFonts w:asciiTheme="minorHAnsi" w:hAnsiTheme="minorHAnsi" w:cstheme="minorHAnsi"/>
          <w:sz w:val="22"/>
          <w:szCs w:val="22"/>
          <w:lang w:eastAsia="en-US"/>
        </w:rPr>
        <w:t>evidence, there is little clarity on which patients should receive medication</w:t>
      </w:r>
      <w:r w:rsidR="00525F98">
        <w:rPr>
          <w:rStyle w:val="apple-converted-space"/>
          <w:rFonts w:asciiTheme="minorHAnsi" w:hAnsiTheme="minorHAnsi"/>
          <w:sz w:val="22"/>
          <w:szCs w:val="22"/>
        </w:rPr>
        <w:t xml:space="preserve">. </w:t>
      </w:r>
      <w:r w:rsidR="00B41252" w:rsidRPr="001E1E9D">
        <w:rPr>
          <w:rFonts w:asciiTheme="minorHAnsi" w:hAnsiTheme="minorHAnsi" w:cstheme="minorHAnsi"/>
          <w:color w:val="000000" w:themeColor="text1"/>
          <w:sz w:val="22"/>
          <w:szCs w:val="22"/>
        </w:rPr>
        <w:t>R</w:t>
      </w:r>
      <w:r w:rsidR="00C54BFB" w:rsidRPr="001E1E9D">
        <w:rPr>
          <w:rFonts w:asciiTheme="minorHAnsi" w:hAnsiTheme="minorHAnsi" w:cstheme="minorHAnsi"/>
          <w:color w:val="000000" w:themeColor="text1"/>
          <w:sz w:val="22"/>
          <w:szCs w:val="22"/>
        </w:rPr>
        <w:t>esearch has shown under half of qualified consultants are aware of antiemetic guidance</w:t>
      </w:r>
      <w:r w:rsidR="00E93704">
        <w:rPr>
          <w:rFonts w:asciiTheme="minorHAnsi" w:hAnsiTheme="minorHAnsi" w:cstheme="minorHAnsi"/>
          <w:color w:val="000000" w:themeColor="text1"/>
          <w:sz w:val="22"/>
          <w:szCs w:val="22"/>
        </w:rPr>
        <w:t xml:space="preserve"> (1</w:t>
      </w:r>
      <w:r w:rsidR="00E5584D">
        <w:rPr>
          <w:rFonts w:asciiTheme="minorHAnsi" w:hAnsiTheme="minorHAnsi" w:cstheme="minorHAnsi"/>
          <w:color w:val="000000" w:themeColor="text1"/>
          <w:sz w:val="22"/>
          <w:szCs w:val="22"/>
        </w:rPr>
        <w:t>7</w:t>
      </w:r>
      <w:r w:rsidR="00E93704">
        <w:rPr>
          <w:rFonts w:asciiTheme="minorHAnsi" w:hAnsiTheme="minorHAnsi" w:cstheme="minorHAnsi"/>
          <w:color w:val="000000" w:themeColor="text1"/>
          <w:sz w:val="22"/>
          <w:szCs w:val="22"/>
        </w:rPr>
        <w:t>)</w:t>
      </w:r>
      <w:r w:rsidR="00C54BFB" w:rsidRPr="00B24D9A">
        <w:rPr>
          <w:rFonts w:asciiTheme="minorHAnsi" w:hAnsiTheme="minorHAnsi"/>
          <w:color w:val="000000" w:themeColor="text1"/>
          <w:sz w:val="22"/>
        </w:rPr>
        <w:t>,</w:t>
      </w:r>
      <w:r w:rsidR="00C54BFB" w:rsidRPr="001E1E9D">
        <w:rPr>
          <w:rFonts w:asciiTheme="minorHAnsi" w:hAnsiTheme="minorHAnsi" w:cstheme="minorHAnsi"/>
          <w:color w:val="000000" w:themeColor="text1"/>
          <w:sz w:val="22"/>
          <w:szCs w:val="22"/>
        </w:rPr>
        <w:t xml:space="preserve"> and therefore, </w:t>
      </w:r>
      <w:r w:rsidR="005626A3">
        <w:rPr>
          <w:rFonts w:asciiTheme="minorHAnsi" w:hAnsiTheme="minorHAnsi" w:cstheme="minorHAnsi"/>
          <w:color w:val="000000" w:themeColor="text1"/>
          <w:sz w:val="22"/>
          <w:szCs w:val="22"/>
        </w:rPr>
        <w:t>the following</w:t>
      </w:r>
      <w:r w:rsidR="005626A3" w:rsidRPr="001E1E9D">
        <w:rPr>
          <w:rFonts w:asciiTheme="minorHAnsi" w:hAnsiTheme="minorHAnsi" w:cstheme="minorHAnsi"/>
          <w:color w:val="000000" w:themeColor="text1"/>
          <w:sz w:val="22"/>
          <w:szCs w:val="22"/>
        </w:rPr>
        <w:t xml:space="preserve"> </w:t>
      </w:r>
      <w:r w:rsidR="00872614" w:rsidRPr="001E1E9D">
        <w:rPr>
          <w:rFonts w:asciiTheme="minorHAnsi" w:hAnsiTheme="minorHAnsi" w:cstheme="minorHAnsi"/>
          <w:color w:val="000000" w:themeColor="text1"/>
          <w:sz w:val="22"/>
          <w:szCs w:val="22"/>
        </w:rPr>
        <w:t xml:space="preserve">audit </w:t>
      </w:r>
      <w:r w:rsidR="00C54BFB" w:rsidRPr="001E1E9D">
        <w:rPr>
          <w:rFonts w:asciiTheme="minorHAnsi" w:hAnsiTheme="minorHAnsi" w:cstheme="minorHAnsi"/>
          <w:color w:val="000000" w:themeColor="text1"/>
          <w:sz w:val="22"/>
          <w:szCs w:val="22"/>
        </w:rPr>
        <w:t>was performed at a major clinical department in order</w:t>
      </w:r>
      <w:r w:rsidR="00872614" w:rsidRPr="001E1E9D">
        <w:rPr>
          <w:rFonts w:asciiTheme="minorHAnsi" w:hAnsiTheme="minorHAnsi" w:cstheme="minorHAnsi"/>
          <w:color w:val="000000" w:themeColor="text1"/>
          <w:sz w:val="22"/>
          <w:szCs w:val="22"/>
        </w:rPr>
        <w:t xml:space="preserve"> to </w:t>
      </w:r>
      <w:r w:rsidR="00C54BFB" w:rsidRPr="001E1E9D">
        <w:rPr>
          <w:rFonts w:asciiTheme="minorHAnsi" w:hAnsiTheme="minorHAnsi" w:cstheme="minorHAnsi"/>
          <w:color w:val="000000" w:themeColor="text1"/>
          <w:sz w:val="22"/>
          <w:szCs w:val="22"/>
        </w:rPr>
        <w:t>measure adherence to</w:t>
      </w:r>
      <w:r w:rsidR="007259F5" w:rsidRPr="001E1E9D">
        <w:rPr>
          <w:rFonts w:asciiTheme="minorHAnsi" w:hAnsiTheme="minorHAnsi" w:cstheme="minorHAnsi"/>
          <w:color w:val="000000" w:themeColor="text1"/>
          <w:sz w:val="22"/>
          <w:szCs w:val="22"/>
        </w:rPr>
        <w:t xml:space="preserve"> </w:t>
      </w:r>
      <w:r w:rsidR="00C54BFB" w:rsidRPr="001E1E9D">
        <w:rPr>
          <w:rFonts w:asciiTheme="minorHAnsi" w:hAnsiTheme="minorHAnsi" w:cstheme="minorHAnsi"/>
          <w:color w:val="000000" w:themeColor="text1"/>
          <w:sz w:val="22"/>
          <w:szCs w:val="22"/>
        </w:rPr>
        <w:t xml:space="preserve">the prescription of prophylactic antiemetics </w:t>
      </w:r>
      <w:r w:rsidR="007D2F31" w:rsidRPr="001E1E9D">
        <w:rPr>
          <w:rFonts w:asciiTheme="minorHAnsi" w:hAnsiTheme="minorHAnsi" w:cstheme="minorHAnsi"/>
          <w:color w:val="000000" w:themeColor="text1"/>
          <w:sz w:val="22"/>
          <w:szCs w:val="22"/>
        </w:rPr>
        <w:t>protocol</w:t>
      </w:r>
      <w:r w:rsidR="00872614" w:rsidRPr="001E1E9D">
        <w:rPr>
          <w:rFonts w:asciiTheme="minorHAnsi" w:hAnsiTheme="minorHAnsi" w:cstheme="minorHAnsi"/>
          <w:color w:val="000000" w:themeColor="text1"/>
          <w:sz w:val="22"/>
          <w:szCs w:val="22"/>
        </w:rPr>
        <w:t xml:space="preserve">. </w:t>
      </w:r>
      <w:bookmarkStart w:id="10" w:name="_Toc30177873"/>
      <w:bookmarkStart w:id="11" w:name="_Toc32429901"/>
      <w:bookmarkStart w:id="12" w:name="_Toc32429953"/>
      <w:r w:rsidR="00C613F7" w:rsidRPr="001E1E9D">
        <w:rPr>
          <w:rFonts w:asciiTheme="minorHAnsi" w:hAnsiTheme="minorHAnsi" w:cstheme="minorHAnsi"/>
          <w:color w:val="000000" w:themeColor="text1"/>
          <w:sz w:val="22"/>
          <w:szCs w:val="22"/>
        </w:rPr>
        <w:t xml:space="preserve">The aim of </w:t>
      </w:r>
      <w:r w:rsidR="00B41252" w:rsidRPr="001E1E9D">
        <w:rPr>
          <w:rFonts w:asciiTheme="minorHAnsi" w:hAnsiTheme="minorHAnsi" w:cstheme="minorHAnsi"/>
          <w:color w:val="000000" w:themeColor="text1"/>
          <w:sz w:val="22"/>
          <w:szCs w:val="22"/>
        </w:rPr>
        <w:t>the audit was</w:t>
      </w:r>
      <w:r w:rsidR="00C613F7" w:rsidRPr="001E1E9D">
        <w:rPr>
          <w:rFonts w:asciiTheme="minorHAnsi" w:hAnsiTheme="minorHAnsi" w:cstheme="minorHAnsi"/>
          <w:color w:val="000000" w:themeColor="text1"/>
          <w:sz w:val="22"/>
          <w:szCs w:val="22"/>
        </w:rPr>
        <w:t xml:space="preserve"> to </w:t>
      </w:r>
      <w:r w:rsidR="00B41252" w:rsidRPr="001E1E9D">
        <w:rPr>
          <w:rFonts w:asciiTheme="minorHAnsi" w:hAnsiTheme="minorHAnsi" w:cstheme="minorHAnsi"/>
          <w:color w:val="000000" w:themeColor="text1"/>
          <w:sz w:val="22"/>
          <w:szCs w:val="22"/>
        </w:rPr>
        <w:t xml:space="preserve">assess the extent to which prophylactic </w:t>
      </w:r>
      <w:r w:rsidR="00C613F7" w:rsidRPr="001E1E9D">
        <w:rPr>
          <w:rFonts w:asciiTheme="minorHAnsi" w:hAnsiTheme="minorHAnsi" w:cstheme="minorHAnsi"/>
          <w:color w:val="000000" w:themeColor="text1"/>
          <w:sz w:val="22"/>
          <w:szCs w:val="22"/>
        </w:rPr>
        <w:t xml:space="preserve">antiemetics are being prescribed to patients who are receiving SF radiotherapy to an area classed as a high or moderate emetogenic risk. </w:t>
      </w:r>
    </w:p>
    <w:p w14:paraId="0B38CD42" w14:textId="77777777" w:rsidR="00BE65D9" w:rsidRDefault="00BE65D9" w:rsidP="00B41252">
      <w:pPr>
        <w:spacing w:line="360" w:lineRule="auto"/>
        <w:jc w:val="both"/>
        <w:rPr>
          <w:rFonts w:asciiTheme="minorHAnsi" w:hAnsiTheme="minorHAnsi" w:cstheme="minorHAnsi"/>
          <w:b/>
          <w:color w:val="000000" w:themeColor="text1"/>
          <w:sz w:val="22"/>
          <w:szCs w:val="22"/>
          <w:u w:val="single"/>
        </w:rPr>
      </w:pPr>
    </w:p>
    <w:p w14:paraId="1D27151A" w14:textId="25F29A8F" w:rsidR="00BE65D9" w:rsidRDefault="00BE65D9" w:rsidP="00B41252">
      <w:pPr>
        <w:spacing w:line="360" w:lineRule="auto"/>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Table 2: types of antiemetic that can be used for RINV</w:t>
      </w:r>
      <w:r w:rsidR="00E5584D">
        <w:rPr>
          <w:rFonts w:asciiTheme="minorHAnsi" w:hAnsiTheme="minorHAnsi" w:cstheme="minorHAnsi"/>
          <w:b/>
          <w:color w:val="000000" w:themeColor="text1"/>
          <w:sz w:val="22"/>
          <w:szCs w:val="22"/>
          <w:u w:val="single"/>
        </w:rPr>
        <w:t xml:space="preserve"> (14</w:t>
      </w:r>
      <w:r w:rsidR="002A3286">
        <w:rPr>
          <w:rFonts w:asciiTheme="minorHAnsi" w:hAnsiTheme="minorHAnsi" w:cstheme="minorHAnsi"/>
          <w:b/>
          <w:color w:val="000000" w:themeColor="text1"/>
          <w:sz w:val="22"/>
          <w:szCs w:val="22"/>
          <w:u w:val="single"/>
        </w:rPr>
        <w:t xml:space="preserve">, </w:t>
      </w:r>
      <w:r w:rsidR="00E5584D">
        <w:rPr>
          <w:rFonts w:asciiTheme="minorHAnsi" w:hAnsiTheme="minorHAnsi" w:cstheme="minorHAnsi"/>
          <w:b/>
          <w:color w:val="000000" w:themeColor="text1"/>
          <w:sz w:val="22"/>
          <w:szCs w:val="22"/>
          <w:u w:val="single"/>
        </w:rPr>
        <w:t>18, 19</w:t>
      </w:r>
      <w:r w:rsidR="009479B2">
        <w:rPr>
          <w:rFonts w:asciiTheme="minorHAnsi" w:hAnsiTheme="minorHAnsi" w:cstheme="minorHAnsi"/>
          <w:b/>
          <w:color w:val="000000" w:themeColor="text1"/>
          <w:sz w:val="22"/>
          <w:szCs w:val="22"/>
          <w:u w:val="single"/>
        </w:rPr>
        <w:t>)</w:t>
      </w:r>
    </w:p>
    <w:tbl>
      <w:tblPr>
        <w:tblStyle w:val="TableGrid"/>
        <w:tblW w:w="0" w:type="auto"/>
        <w:tblLook w:val="04A0" w:firstRow="1" w:lastRow="0" w:firstColumn="1" w:lastColumn="0" w:noHBand="0" w:noVBand="1"/>
      </w:tblPr>
      <w:tblGrid>
        <w:gridCol w:w="2605"/>
        <w:gridCol w:w="3078"/>
        <w:gridCol w:w="3327"/>
      </w:tblGrid>
      <w:tr w:rsidR="00BE65D9" w:rsidRPr="00BE65D9" w14:paraId="684E7226" w14:textId="77777777" w:rsidTr="00BE65D9">
        <w:tc>
          <w:tcPr>
            <w:tcW w:w="2605" w:type="dxa"/>
            <w:shd w:val="clear" w:color="auto" w:fill="auto"/>
          </w:tcPr>
          <w:p w14:paraId="7F613BCA" w14:textId="77777777" w:rsidR="00BE65D9" w:rsidRPr="00BE65D9" w:rsidRDefault="00BE65D9" w:rsidP="00040D2A">
            <w:pPr>
              <w:spacing w:line="360" w:lineRule="auto"/>
              <w:rPr>
                <w:rFonts w:asciiTheme="minorHAnsi" w:eastAsia="Times New Roman" w:hAnsiTheme="minorHAnsi"/>
                <w:b/>
                <w:sz w:val="22"/>
                <w:szCs w:val="22"/>
              </w:rPr>
            </w:pPr>
            <w:r w:rsidRPr="00BE65D9">
              <w:rPr>
                <w:rFonts w:asciiTheme="minorHAnsi" w:eastAsia="Times New Roman" w:hAnsiTheme="minorHAnsi"/>
                <w:b/>
                <w:sz w:val="22"/>
                <w:szCs w:val="22"/>
              </w:rPr>
              <w:t>Type of antiemetic</w:t>
            </w:r>
          </w:p>
        </w:tc>
        <w:tc>
          <w:tcPr>
            <w:tcW w:w="3078" w:type="dxa"/>
            <w:shd w:val="clear" w:color="auto" w:fill="auto"/>
          </w:tcPr>
          <w:p w14:paraId="503FC12C" w14:textId="77777777" w:rsidR="00BE65D9" w:rsidRPr="00BE65D9" w:rsidRDefault="00BE65D9" w:rsidP="00040D2A">
            <w:pPr>
              <w:spacing w:line="360" w:lineRule="auto"/>
              <w:rPr>
                <w:rFonts w:asciiTheme="minorHAnsi" w:eastAsia="Times New Roman" w:hAnsiTheme="minorHAnsi"/>
                <w:b/>
                <w:sz w:val="22"/>
                <w:szCs w:val="22"/>
              </w:rPr>
            </w:pPr>
            <w:r w:rsidRPr="00BE65D9">
              <w:rPr>
                <w:rFonts w:asciiTheme="minorHAnsi" w:eastAsia="Times New Roman" w:hAnsiTheme="minorHAnsi"/>
                <w:b/>
                <w:sz w:val="22"/>
                <w:szCs w:val="22"/>
              </w:rPr>
              <w:t>Mechanism</w:t>
            </w:r>
          </w:p>
        </w:tc>
        <w:tc>
          <w:tcPr>
            <w:tcW w:w="3327" w:type="dxa"/>
            <w:shd w:val="clear" w:color="auto" w:fill="auto"/>
          </w:tcPr>
          <w:p w14:paraId="38E29A83" w14:textId="77777777" w:rsidR="00BE65D9" w:rsidRPr="00BE65D9" w:rsidRDefault="00BE65D9" w:rsidP="00040D2A">
            <w:pPr>
              <w:spacing w:line="360" w:lineRule="auto"/>
              <w:rPr>
                <w:rFonts w:asciiTheme="minorHAnsi" w:eastAsia="Times New Roman" w:hAnsiTheme="minorHAnsi"/>
                <w:b/>
                <w:sz w:val="22"/>
                <w:szCs w:val="22"/>
              </w:rPr>
            </w:pPr>
            <w:r w:rsidRPr="00BE65D9">
              <w:rPr>
                <w:rFonts w:asciiTheme="minorHAnsi" w:eastAsia="Times New Roman" w:hAnsiTheme="minorHAnsi"/>
                <w:b/>
                <w:sz w:val="22"/>
                <w:szCs w:val="22"/>
              </w:rPr>
              <w:t>Examples</w:t>
            </w:r>
          </w:p>
        </w:tc>
      </w:tr>
      <w:tr w:rsidR="00BE65D9" w:rsidRPr="00BE65D9" w14:paraId="2CB7E7C0" w14:textId="77777777" w:rsidTr="00BE65D9">
        <w:tc>
          <w:tcPr>
            <w:tcW w:w="2605" w:type="dxa"/>
            <w:shd w:val="clear" w:color="auto" w:fill="auto"/>
          </w:tcPr>
          <w:p w14:paraId="247DFE7D"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hAnsiTheme="minorHAnsi"/>
                <w:color w:val="000000" w:themeColor="text1"/>
                <w:sz w:val="22"/>
                <w:szCs w:val="22"/>
              </w:rPr>
              <w:t>5-HT</w:t>
            </w:r>
            <w:r w:rsidRPr="00BE65D9">
              <w:rPr>
                <w:rFonts w:asciiTheme="minorHAnsi" w:hAnsiTheme="minorHAnsi"/>
                <w:color w:val="000000" w:themeColor="text1"/>
                <w:sz w:val="22"/>
                <w:szCs w:val="22"/>
                <w:vertAlign w:val="subscript"/>
              </w:rPr>
              <w:t>3</w:t>
            </w:r>
            <w:r w:rsidRPr="00BE65D9">
              <w:rPr>
                <w:rFonts w:asciiTheme="minorHAnsi" w:hAnsiTheme="minorHAnsi"/>
                <w:color w:val="000000" w:themeColor="text1"/>
                <w:sz w:val="22"/>
                <w:szCs w:val="22"/>
              </w:rPr>
              <w:t xml:space="preserve"> RA</w:t>
            </w:r>
          </w:p>
        </w:tc>
        <w:tc>
          <w:tcPr>
            <w:tcW w:w="3078" w:type="dxa"/>
            <w:shd w:val="clear" w:color="auto" w:fill="auto"/>
          </w:tcPr>
          <w:p w14:paraId="1098BD5B" w14:textId="15EDBB62"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Prevents the release of 5-HT or serotonin from the enterochromaffin cells found in the duodenum</w:t>
            </w:r>
            <w:r w:rsidR="003C792E">
              <w:rPr>
                <w:rFonts w:asciiTheme="minorHAnsi" w:eastAsia="Times New Roman" w:hAnsiTheme="minorHAnsi"/>
                <w:sz w:val="22"/>
                <w:szCs w:val="22"/>
              </w:rPr>
              <w:t xml:space="preserve"> (</w:t>
            </w:r>
            <w:r w:rsidR="00E5584D">
              <w:rPr>
                <w:rFonts w:asciiTheme="minorHAnsi" w:eastAsia="Times New Roman" w:hAnsiTheme="minorHAnsi"/>
                <w:sz w:val="22"/>
                <w:szCs w:val="22"/>
              </w:rPr>
              <w:t>14</w:t>
            </w:r>
            <w:r w:rsidR="003300DE">
              <w:rPr>
                <w:rFonts w:asciiTheme="minorHAnsi" w:eastAsia="Times New Roman" w:hAnsiTheme="minorHAnsi"/>
                <w:sz w:val="22"/>
                <w:szCs w:val="22"/>
              </w:rPr>
              <w:t xml:space="preserve">, </w:t>
            </w:r>
            <w:r w:rsidR="00E5584D">
              <w:rPr>
                <w:rFonts w:asciiTheme="minorHAnsi" w:eastAsia="Times New Roman" w:hAnsiTheme="minorHAnsi"/>
                <w:sz w:val="22"/>
                <w:szCs w:val="22"/>
              </w:rPr>
              <w:t>19</w:t>
            </w:r>
            <w:r w:rsidR="003C792E">
              <w:rPr>
                <w:rFonts w:asciiTheme="minorHAnsi" w:eastAsia="Times New Roman" w:hAnsiTheme="minorHAnsi"/>
                <w:sz w:val="22"/>
                <w:szCs w:val="22"/>
              </w:rPr>
              <w:t>)</w:t>
            </w:r>
          </w:p>
        </w:tc>
        <w:tc>
          <w:tcPr>
            <w:tcW w:w="3327" w:type="dxa"/>
            <w:shd w:val="clear" w:color="auto" w:fill="auto"/>
          </w:tcPr>
          <w:p w14:paraId="4EA50B86" w14:textId="77777777" w:rsidR="00BE65D9" w:rsidRPr="00BE65D9" w:rsidRDefault="00BE65D9" w:rsidP="00040D2A">
            <w:pPr>
              <w:spacing w:line="360" w:lineRule="auto"/>
              <w:rPr>
                <w:rFonts w:asciiTheme="minorHAnsi" w:eastAsia="Times New Roman" w:hAnsiTheme="minorHAnsi"/>
                <w:sz w:val="22"/>
                <w:szCs w:val="22"/>
              </w:rPr>
            </w:pPr>
            <w:r>
              <w:rPr>
                <w:rFonts w:asciiTheme="minorHAnsi" w:eastAsia="Times New Roman" w:hAnsiTheme="minorHAnsi"/>
                <w:sz w:val="22"/>
                <w:szCs w:val="22"/>
              </w:rPr>
              <w:t>Dolasetron mesylate, Granisteron, Ondansetron, P</w:t>
            </w:r>
            <w:r w:rsidRPr="00BE65D9">
              <w:rPr>
                <w:rFonts w:asciiTheme="minorHAnsi" w:eastAsia="Times New Roman" w:hAnsiTheme="minorHAnsi"/>
                <w:sz w:val="22"/>
                <w:szCs w:val="22"/>
              </w:rPr>
              <w:t>alonosetron</w:t>
            </w:r>
          </w:p>
        </w:tc>
      </w:tr>
      <w:tr w:rsidR="00BE65D9" w:rsidRPr="00BE65D9" w14:paraId="0FCCF3DF" w14:textId="77777777" w:rsidTr="00BE65D9">
        <w:tc>
          <w:tcPr>
            <w:tcW w:w="2605" w:type="dxa"/>
            <w:shd w:val="clear" w:color="auto" w:fill="auto"/>
          </w:tcPr>
          <w:p w14:paraId="264282F3"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NK-1 receptor antagonist (NK-1 RA)</w:t>
            </w:r>
          </w:p>
        </w:tc>
        <w:tc>
          <w:tcPr>
            <w:tcW w:w="3078" w:type="dxa"/>
            <w:shd w:val="clear" w:color="auto" w:fill="auto"/>
          </w:tcPr>
          <w:p w14:paraId="60A661B8" w14:textId="1FC49FD6"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Blocks binding of substance P at the NK-1 receptor at the central nervous system</w:t>
            </w:r>
            <w:r w:rsidR="003C792E">
              <w:rPr>
                <w:rFonts w:asciiTheme="minorHAnsi" w:eastAsia="Times New Roman" w:hAnsiTheme="minorHAnsi"/>
                <w:sz w:val="22"/>
                <w:szCs w:val="22"/>
              </w:rPr>
              <w:t xml:space="preserve"> (</w:t>
            </w:r>
            <w:r w:rsidR="00E5584D">
              <w:rPr>
                <w:rFonts w:asciiTheme="minorHAnsi" w:eastAsia="Times New Roman" w:hAnsiTheme="minorHAnsi"/>
                <w:sz w:val="22"/>
                <w:szCs w:val="22"/>
              </w:rPr>
              <w:t>14</w:t>
            </w:r>
            <w:r w:rsidR="003300DE">
              <w:rPr>
                <w:rFonts w:asciiTheme="minorHAnsi" w:eastAsia="Times New Roman" w:hAnsiTheme="minorHAnsi"/>
                <w:sz w:val="22"/>
                <w:szCs w:val="22"/>
              </w:rPr>
              <w:t xml:space="preserve">, </w:t>
            </w:r>
            <w:r w:rsidR="00E5584D">
              <w:rPr>
                <w:rFonts w:asciiTheme="minorHAnsi" w:eastAsia="Times New Roman" w:hAnsiTheme="minorHAnsi"/>
                <w:sz w:val="22"/>
                <w:szCs w:val="22"/>
              </w:rPr>
              <w:t>19</w:t>
            </w:r>
            <w:r w:rsidR="003C792E">
              <w:rPr>
                <w:rFonts w:asciiTheme="minorHAnsi" w:eastAsia="Times New Roman" w:hAnsiTheme="minorHAnsi"/>
                <w:sz w:val="22"/>
                <w:szCs w:val="22"/>
              </w:rPr>
              <w:t>)</w:t>
            </w:r>
          </w:p>
        </w:tc>
        <w:tc>
          <w:tcPr>
            <w:tcW w:w="3327" w:type="dxa"/>
            <w:shd w:val="clear" w:color="auto" w:fill="auto"/>
          </w:tcPr>
          <w:p w14:paraId="69FFA795"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Aprepitant</w:t>
            </w:r>
          </w:p>
        </w:tc>
      </w:tr>
      <w:tr w:rsidR="00BE65D9" w:rsidRPr="00BE65D9" w14:paraId="186B3EA4" w14:textId="77777777" w:rsidTr="00BE65D9">
        <w:tc>
          <w:tcPr>
            <w:tcW w:w="2605" w:type="dxa"/>
            <w:shd w:val="clear" w:color="auto" w:fill="auto"/>
          </w:tcPr>
          <w:p w14:paraId="44B46556"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D</w:t>
            </w:r>
            <w:r w:rsidRPr="00BE65D9">
              <w:rPr>
                <w:rFonts w:asciiTheme="minorHAnsi" w:eastAsia="Times New Roman" w:hAnsiTheme="minorHAnsi"/>
                <w:sz w:val="22"/>
                <w:szCs w:val="22"/>
                <w:vertAlign w:val="subscript"/>
              </w:rPr>
              <w:t>2</w:t>
            </w:r>
            <w:r w:rsidRPr="00BE65D9">
              <w:rPr>
                <w:rFonts w:asciiTheme="minorHAnsi" w:eastAsia="Times New Roman" w:hAnsiTheme="minorHAnsi"/>
                <w:sz w:val="22"/>
                <w:szCs w:val="22"/>
              </w:rPr>
              <w:t xml:space="preserve"> receptor antagonist (D</w:t>
            </w:r>
            <w:r w:rsidRPr="00BE65D9">
              <w:rPr>
                <w:rFonts w:asciiTheme="minorHAnsi" w:eastAsia="Times New Roman" w:hAnsiTheme="minorHAnsi"/>
                <w:sz w:val="22"/>
                <w:szCs w:val="22"/>
                <w:vertAlign w:val="subscript"/>
              </w:rPr>
              <w:t>2</w:t>
            </w:r>
            <w:r w:rsidRPr="00BE65D9">
              <w:rPr>
                <w:rFonts w:asciiTheme="minorHAnsi" w:eastAsia="Times New Roman" w:hAnsiTheme="minorHAnsi"/>
                <w:sz w:val="22"/>
                <w:szCs w:val="22"/>
              </w:rPr>
              <w:t xml:space="preserve"> RA)</w:t>
            </w:r>
          </w:p>
        </w:tc>
        <w:tc>
          <w:tcPr>
            <w:tcW w:w="3078" w:type="dxa"/>
            <w:shd w:val="clear" w:color="auto" w:fill="auto"/>
          </w:tcPr>
          <w:p w14:paraId="57A07E57" w14:textId="6BC48FD9"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Block dopamine receptors</w:t>
            </w:r>
            <w:r w:rsidR="00E5584D">
              <w:rPr>
                <w:rFonts w:asciiTheme="minorHAnsi" w:eastAsia="Times New Roman" w:hAnsiTheme="minorHAnsi"/>
                <w:sz w:val="22"/>
                <w:szCs w:val="22"/>
              </w:rPr>
              <w:t xml:space="preserve"> (18</w:t>
            </w:r>
            <w:r w:rsidR="008C25EF">
              <w:rPr>
                <w:rFonts w:asciiTheme="minorHAnsi" w:eastAsia="Times New Roman" w:hAnsiTheme="minorHAnsi"/>
                <w:sz w:val="22"/>
                <w:szCs w:val="22"/>
              </w:rPr>
              <w:t>)</w:t>
            </w:r>
          </w:p>
        </w:tc>
        <w:tc>
          <w:tcPr>
            <w:tcW w:w="3327" w:type="dxa"/>
            <w:shd w:val="clear" w:color="auto" w:fill="auto"/>
          </w:tcPr>
          <w:p w14:paraId="431BB13D"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Phenothiazines, benzamides, butyrophenones, metoclopramide</w:t>
            </w:r>
          </w:p>
        </w:tc>
      </w:tr>
      <w:tr w:rsidR="00BE65D9" w:rsidRPr="00BE65D9" w14:paraId="556EB9D0" w14:textId="77777777" w:rsidTr="00BE65D9">
        <w:tc>
          <w:tcPr>
            <w:tcW w:w="2605" w:type="dxa"/>
            <w:shd w:val="clear" w:color="auto" w:fill="auto"/>
          </w:tcPr>
          <w:p w14:paraId="654EC602"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Other antiemetics</w:t>
            </w:r>
          </w:p>
        </w:tc>
        <w:tc>
          <w:tcPr>
            <w:tcW w:w="3078" w:type="dxa"/>
            <w:shd w:val="clear" w:color="auto" w:fill="auto"/>
          </w:tcPr>
          <w:p w14:paraId="1A0F2FEB" w14:textId="77777777"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Work in many different ways</w:t>
            </w:r>
          </w:p>
        </w:tc>
        <w:tc>
          <w:tcPr>
            <w:tcW w:w="3327" w:type="dxa"/>
            <w:shd w:val="clear" w:color="auto" w:fill="auto"/>
          </w:tcPr>
          <w:p w14:paraId="53AE0125" w14:textId="500E73C1" w:rsidR="00BE65D9" w:rsidRPr="00BE65D9" w:rsidRDefault="00BE65D9" w:rsidP="00040D2A">
            <w:pPr>
              <w:spacing w:line="360" w:lineRule="auto"/>
              <w:rPr>
                <w:rFonts w:asciiTheme="minorHAnsi" w:eastAsia="Times New Roman" w:hAnsiTheme="minorHAnsi"/>
                <w:sz w:val="22"/>
                <w:szCs w:val="22"/>
              </w:rPr>
            </w:pPr>
            <w:r w:rsidRPr="00BE65D9">
              <w:rPr>
                <w:rFonts w:asciiTheme="minorHAnsi" w:eastAsia="Times New Roman" w:hAnsiTheme="minorHAnsi"/>
                <w:sz w:val="22"/>
                <w:szCs w:val="22"/>
              </w:rPr>
              <w:t>Antihistamines, corticosteroids, benzodiazepines and cannabinoids</w:t>
            </w:r>
            <w:r w:rsidR="00E5584D">
              <w:rPr>
                <w:rFonts w:asciiTheme="minorHAnsi" w:eastAsia="Times New Roman" w:hAnsiTheme="minorHAnsi"/>
                <w:sz w:val="22"/>
                <w:szCs w:val="22"/>
              </w:rPr>
              <w:t xml:space="preserve"> (14</w:t>
            </w:r>
            <w:r w:rsidR="003300DE">
              <w:rPr>
                <w:rFonts w:asciiTheme="minorHAnsi" w:eastAsia="Times New Roman" w:hAnsiTheme="minorHAnsi"/>
                <w:sz w:val="22"/>
                <w:szCs w:val="22"/>
              </w:rPr>
              <w:t>)</w:t>
            </w:r>
          </w:p>
        </w:tc>
      </w:tr>
    </w:tbl>
    <w:p w14:paraId="13DB4472" w14:textId="77777777" w:rsidR="004970C1" w:rsidRPr="001E1E9D" w:rsidRDefault="004970C1" w:rsidP="00B41252">
      <w:pPr>
        <w:spacing w:line="360" w:lineRule="auto"/>
        <w:jc w:val="both"/>
        <w:rPr>
          <w:rFonts w:asciiTheme="minorHAnsi" w:hAnsiTheme="minorHAnsi" w:cstheme="minorHAnsi"/>
          <w:color w:val="000000" w:themeColor="text1"/>
          <w:sz w:val="22"/>
          <w:szCs w:val="22"/>
        </w:rPr>
      </w:pPr>
    </w:p>
    <w:p w14:paraId="5DDD81C2" w14:textId="77777777" w:rsidR="008A667F" w:rsidRPr="001E1E9D" w:rsidRDefault="008A667F" w:rsidP="00BE65D9">
      <w:pPr>
        <w:spacing w:line="360" w:lineRule="auto"/>
        <w:jc w:val="both"/>
        <w:rPr>
          <w:rFonts w:asciiTheme="minorHAnsi" w:hAnsiTheme="minorHAnsi" w:cstheme="minorHAnsi"/>
          <w:sz w:val="22"/>
          <w:szCs w:val="22"/>
          <w:lang w:eastAsia="en-US"/>
        </w:rPr>
      </w:pPr>
    </w:p>
    <w:p w14:paraId="15C7E019" w14:textId="77777777" w:rsidR="00625B52" w:rsidRPr="00EE25D1" w:rsidRDefault="008B431D" w:rsidP="000C6FF6">
      <w:pPr>
        <w:pStyle w:val="Heading2"/>
        <w:spacing w:line="360" w:lineRule="auto"/>
        <w:jc w:val="both"/>
        <w:rPr>
          <w:rStyle w:val="Heading3Char"/>
          <w:rFonts w:asciiTheme="minorHAnsi" w:hAnsiTheme="minorHAnsi" w:cstheme="minorHAnsi"/>
          <w:color w:val="000000" w:themeColor="text1"/>
          <w:sz w:val="22"/>
          <w:szCs w:val="22"/>
          <w:u w:val="none"/>
        </w:rPr>
      </w:pPr>
      <w:bookmarkStart w:id="13" w:name="_Toc30175734"/>
      <w:bookmarkStart w:id="14" w:name="_Toc30176566"/>
      <w:bookmarkStart w:id="15" w:name="_Toc30177874"/>
      <w:bookmarkStart w:id="16" w:name="_Toc32429902"/>
      <w:bookmarkStart w:id="17" w:name="_Toc32429954"/>
      <w:bookmarkEnd w:id="10"/>
      <w:bookmarkEnd w:id="11"/>
      <w:bookmarkEnd w:id="12"/>
      <w:r w:rsidRPr="00EE25D1">
        <w:rPr>
          <w:rStyle w:val="Heading3Char"/>
          <w:rFonts w:asciiTheme="minorHAnsi" w:hAnsiTheme="minorHAnsi" w:cstheme="minorHAnsi"/>
          <w:color w:val="000000" w:themeColor="text1"/>
          <w:sz w:val="22"/>
          <w:szCs w:val="22"/>
          <w:u w:val="none"/>
        </w:rPr>
        <w:t>Method</w:t>
      </w:r>
      <w:bookmarkEnd w:id="13"/>
      <w:bookmarkEnd w:id="14"/>
      <w:bookmarkEnd w:id="15"/>
      <w:bookmarkEnd w:id="16"/>
      <w:bookmarkEnd w:id="17"/>
    </w:p>
    <w:p w14:paraId="2FECD2C9" w14:textId="3989E83E" w:rsidR="00EE25D1" w:rsidRPr="00FC56AB" w:rsidRDefault="00464AFA" w:rsidP="00EE25D1">
      <w:pPr>
        <w:spacing w:line="360" w:lineRule="auto"/>
        <w:jc w:val="both"/>
        <w:rPr>
          <w:rFonts w:asciiTheme="minorHAnsi" w:eastAsiaTheme="majorEastAsia" w:hAnsiTheme="minorHAnsi" w:cstheme="minorHAnsi"/>
          <w:color w:val="000000" w:themeColor="text1"/>
          <w:sz w:val="22"/>
          <w:szCs w:val="22"/>
        </w:rPr>
      </w:pPr>
      <w:bookmarkStart w:id="18" w:name="_Toc30175736"/>
      <w:bookmarkStart w:id="19" w:name="_Toc30176281"/>
      <w:bookmarkStart w:id="20" w:name="_Toc30176365"/>
      <w:bookmarkStart w:id="21" w:name="_Toc30176568"/>
      <w:r w:rsidRPr="001E1E9D">
        <w:rPr>
          <w:rFonts w:asciiTheme="minorHAnsi" w:hAnsiTheme="minorHAnsi" w:cstheme="minorHAnsi"/>
          <w:sz w:val="22"/>
          <w:szCs w:val="22"/>
        </w:rPr>
        <w:t xml:space="preserve">A retrospective audit was carried out </w:t>
      </w:r>
      <w:r w:rsidR="00882538" w:rsidRPr="001E1E9D">
        <w:rPr>
          <w:rFonts w:asciiTheme="minorHAnsi" w:hAnsiTheme="minorHAnsi" w:cstheme="minorHAnsi"/>
          <w:sz w:val="22"/>
          <w:szCs w:val="22"/>
        </w:rPr>
        <w:t xml:space="preserve">at </w:t>
      </w:r>
      <w:r w:rsidR="00FC56AB">
        <w:rPr>
          <w:rFonts w:asciiTheme="minorHAnsi" w:hAnsiTheme="minorHAnsi" w:cstheme="minorHAnsi"/>
          <w:sz w:val="22"/>
          <w:szCs w:val="22"/>
        </w:rPr>
        <w:t xml:space="preserve">a </w:t>
      </w:r>
      <w:r w:rsidR="00D859C4">
        <w:rPr>
          <w:rFonts w:asciiTheme="minorHAnsi" w:hAnsiTheme="minorHAnsi" w:cstheme="minorHAnsi"/>
          <w:sz w:val="22"/>
          <w:szCs w:val="22"/>
        </w:rPr>
        <w:t>large</w:t>
      </w:r>
      <w:r w:rsidR="00B24D9A">
        <w:rPr>
          <w:rFonts w:asciiTheme="minorHAnsi" w:hAnsiTheme="minorHAnsi" w:cstheme="minorHAnsi"/>
          <w:sz w:val="22"/>
          <w:szCs w:val="22"/>
        </w:rPr>
        <w:t xml:space="preserve"> </w:t>
      </w:r>
      <w:r w:rsidR="00FC56AB">
        <w:rPr>
          <w:rFonts w:asciiTheme="minorHAnsi" w:hAnsiTheme="minorHAnsi" w:cstheme="minorHAnsi"/>
          <w:sz w:val="22"/>
          <w:szCs w:val="22"/>
        </w:rPr>
        <w:t xml:space="preserve">regional </w:t>
      </w:r>
      <w:r w:rsidR="00D859C4">
        <w:rPr>
          <w:rFonts w:asciiTheme="minorHAnsi" w:hAnsiTheme="minorHAnsi" w:cstheme="minorHAnsi"/>
          <w:sz w:val="22"/>
          <w:szCs w:val="22"/>
        </w:rPr>
        <w:t xml:space="preserve">cancer </w:t>
      </w:r>
      <w:r w:rsidR="00FC56AB">
        <w:rPr>
          <w:rFonts w:asciiTheme="minorHAnsi" w:hAnsiTheme="minorHAnsi" w:cstheme="minorHAnsi"/>
          <w:sz w:val="22"/>
          <w:szCs w:val="22"/>
        </w:rPr>
        <w:t>c</w:t>
      </w:r>
      <w:r w:rsidR="00FA527F">
        <w:rPr>
          <w:rFonts w:asciiTheme="minorHAnsi" w:hAnsiTheme="minorHAnsi" w:cstheme="minorHAnsi"/>
          <w:sz w:val="22"/>
          <w:szCs w:val="22"/>
        </w:rPr>
        <w:t>entre; p</w:t>
      </w:r>
      <w:r w:rsidR="00FC56AB">
        <w:rPr>
          <w:rFonts w:asciiTheme="minorHAnsi" w:hAnsiTheme="minorHAnsi" w:cstheme="minorHAnsi"/>
          <w:sz w:val="22"/>
          <w:szCs w:val="22"/>
        </w:rPr>
        <w:t>atients included in the audit satisfied the inclusion criteria</w:t>
      </w:r>
      <w:r w:rsidR="00B24D9A">
        <w:rPr>
          <w:rFonts w:asciiTheme="minorHAnsi" w:hAnsiTheme="minorHAnsi" w:cstheme="minorHAnsi"/>
          <w:sz w:val="22"/>
          <w:szCs w:val="22"/>
        </w:rPr>
        <w:t xml:space="preserve">, derived from </w:t>
      </w:r>
      <w:r w:rsidR="00E85DEC">
        <w:rPr>
          <w:rFonts w:asciiTheme="minorHAnsi" w:hAnsiTheme="minorHAnsi" w:cstheme="minorHAnsi"/>
          <w:sz w:val="22"/>
          <w:szCs w:val="22"/>
        </w:rPr>
        <w:t>European Society for Medical Oncology (</w:t>
      </w:r>
      <w:r w:rsidR="00B24D9A">
        <w:rPr>
          <w:rFonts w:asciiTheme="minorHAnsi" w:hAnsiTheme="minorHAnsi" w:cstheme="minorHAnsi"/>
          <w:sz w:val="22"/>
          <w:szCs w:val="22"/>
        </w:rPr>
        <w:t>ESMO</w:t>
      </w:r>
      <w:r w:rsidR="00E85DEC">
        <w:rPr>
          <w:rFonts w:asciiTheme="minorHAnsi" w:hAnsiTheme="minorHAnsi" w:cstheme="minorHAnsi"/>
          <w:sz w:val="22"/>
          <w:szCs w:val="22"/>
        </w:rPr>
        <w:t>)</w:t>
      </w:r>
      <w:r w:rsidR="00B24D9A">
        <w:rPr>
          <w:rFonts w:asciiTheme="minorHAnsi" w:hAnsiTheme="minorHAnsi" w:cstheme="minorHAnsi"/>
          <w:sz w:val="22"/>
          <w:szCs w:val="22"/>
        </w:rPr>
        <w:t xml:space="preserve"> guidelines</w:t>
      </w:r>
      <w:r w:rsidR="00E93704">
        <w:rPr>
          <w:rFonts w:asciiTheme="minorHAnsi" w:hAnsiTheme="minorHAnsi" w:cstheme="minorHAnsi"/>
          <w:sz w:val="22"/>
          <w:szCs w:val="22"/>
        </w:rPr>
        <w:t xml:space="preserve"> (1</w:t>
      </w:r>
      <w:r w:rsidR="00E5584D">
        <w:rPr>
          <w:rFonts w:asciiTheme="minorHAnsi" w:hAnsiTheme="minorHAnsi" w:cstheme="minorHAnsi"/>
          <w:sz w:val="22"/>
          <w:szCs w:val="22"/>
        </w:rPr>
        <w:t>3</w:t>
      </w:r>
      <w:r w:rsidR="00E93704">
        <w:rPr>
          <w:rFonts w:asciiTheme="minorHAnsi" w:hAnsiTheme="minorHAnsi" w:cstheme="minorHAnsi"/>
          <w:sz w:val="22"/>
          <w:szCs w:val="22"/>
        </w:rPr>
        <w:t>)</w:t>
      </w:r>
      <w:r w:rsidR="00B24D9A">
        <w:rPr>
          <w:rFonts w:asciiTheme="minorHAnsi" w:hAnsiTheme="minorHAnsi" w:cstheme="minorHAnsi"/>
          <w:sz w:val="22"/>
          <w:szCs w:val="22"/>
        </w:rPr>
        <w:t xml:space="preserve"> as</w:t>
      </w:r>
      <w:r w:rsidR="00FC56AB">
        <w:rPr>
          <w:rFonts w:asciiTheme="minorHAnsi" w:hAnsiTheme="minorHAnsi" w:cstheme="minorHAnsi"/>
          <w:sz w:val="22"/>
          <w:szCs w:val="22"/>
        </w:rPr>
        <w:t xml:space="preserve"> shown in Table </w:t>
      </w:r>
      <w:r w:rsidR="00E85DEC">
        <w:rPr>
          <w:rFonts w:asciiTheme="minorHAnsi" w:hAnsiTheme="minorHAnsi" w:cstheme="minorHAnsi"/>
          <w:sz w:val="22"/>
          <w:szCs w:val="22"/>
        </w:rPr>
        <w:t>1</w:t>
      </w:r>
      <w:r w:rsidR="00FC56AB">
        <w:rPr>
          <w:rFonts w:asciiTheme="minorHAnsi" w:hAnsiTheme="minorHAnsi" w:cstheme="minorHAnsi"/>
          <w:sz w:val="22"/>
          <w:szCs w:val="22"/>
        </w:rPr>
        <w:t>.</w:t>
      </w:r>
      <w:r w:rsidR="00EE25D1" w:rsidRPr="00EE25D1">
        <w:rPr>
          <w:rFonts w:asciiTheme="minorHAnsi" w:hAnsiTheme="minorHAnsi" w:cstheme="minorHAnsi"/>
          <w:sz w:val="22"/>
          <w:szCs w:val="22"/>
        </w:rPr>
        <w:t xml:space="preserve"> </w:t>
      </w:r>
      <w:r w:rsidR="00EE25D1" w:rsidRPr="001E1E9D">
        <w:rPr>
          <w:rFonts w:asciiTheme="minorHAnsi" w:hAnsiTheme="minorHAnsi" w:cstheme="minorHAnsi"/>
          <w:sz w:val="22"/>
          <w:szCs w:val="22"/>
        </w:rPr>
        <w:t xml:space="preserve">The </w:t>
      </w:r>
      <w:r w:rsidR="00EE25D1">
        <w:rPr>
          <w:rFonts w:asciiTheme="minorHAnsi" w:hAnsiTheme="minorHAnsi" w:cstheme="minorHAnsi"/>
          <w:sz w:val="22"/>
          <w:szCs w:val="22"/>
        </w:rPr>
        <w:t>audit was approved</w:t>
      </w:r>
      <w:r w:rsidR="00EE25D1" w:rsidRPr="001E1E9D">
        <w:rPr>
          <w:rFonts w:asciiTheme="minorHAnsi" w:hAnsiTheme="minorHAnsi" w:cstheme="minorHAnsi"/>
          <w:sz w:val="22"/>
          <w:szCs w:val="22"/>
        </w:rPr>
        <w:t xml:space="preserve"> by the </w:t>
      </w:r>
      <w:r w:rsidR="005626A3">
        <w:rPr>
          <w:rFonts w:asciiTheme="minorHAnsi" w:hAnsiTheme="minorHAnsi" w:cstheme="minorHAnsi"/>
          <w:sz w:val="22"/>
          <w:szCs w:val="22"/>
        </w:rPr>
        <w:t>T</w:t>
      </w:r>
      <w:r w:rsidR="00EE25D1" w:rsidRPr="001E1E9D">
        <w:rPr>
          <w:rFonts w:asciiTheme="minorHAnsi" w:hAnsiTheme="minorHAnsi" w:cstheme="minorHAnsi"/>
          <w:sz w:val="22"/>
          <w:szCs w:val="22"/>
        </w:rPr>
        <w:t xml:space="preserve">rust’s </w:t>
      </w:r>
      <w:r w:rsidR="005626A3">
        <w:rPr>
          <w:rFonts w:asciiTheme="minorHAnsi" w:hAnsiTheme="minorHAnsi" w:cstheme="minorHAnsi"/>
          <w:sz w:val="22"/>
          <w:szCs w:val="22"/>
        </w:rPr>
        <w:t>“</w:t>
      </w:r>
      <w:r w:rsidR="00EE25D1" w:rsidRPr="001E1E9D">
        <w:rPr>
          <w:rFonts w:asciiTheme="minorHAnsi" w:hAnsiTheme="minorHAnsi" w:cstheme="minorHAnsi"/>
          <w:sz w:val="22"/>
          <w:szCs w:val="22"/>
        </w:rPr>
        <w:t>Quality Insurance and Clinical Audit Committee</w:t>
      </w:r>
      <w:r w:rsidR="005626A3">
        <w:rPr>
          <w:rFonts w:asciiTheme="minorHAnsi" w:hAnsiTheme="minorHAnsi" w:cstheme="minorHAnsi"/>
          <w:sz w:val="22"/>
          <w:szCs w:val="22"/>
        </w:rPr>
        <w:t>”</w:t>
      </w:r>
      <w:r w:rsidR="00EE25D1" w:rsidRPr="001E1E9D">
        <w:rPr>
          <w:rFonts w:asciiTheme="minorHAnsi" w:hAnsiTheme="minorHAnsi" w:cstheme="minorHAnsi"/>
          <w:sz w:val="22"/>
          <w:szCs w:val="22"/>
        </w:rPr>
        <w:t xml:space="preserve">. </w:t>
      </w:r>
      <w:r w:rsidR="00EE25D1">
        <w:rPr>
          <w:rStyle w:val="Heading3Char"/>
          <w:rFonts w:asciiTheme="minorHAnsi" w:hAnsiTheme="minorHAnsi" w:cstheme="minorHAnsi"/>
          <w:color w:val="000000" w:themeColor="text1"/>
          <w:sz w:val="22"/>
          <w:szCs w:val="22"/>
        </w:rPr>
        <w:t xml:space="preserve">Datasets </w:t>
      </w:r>
      <w:r w:rsidR="00F86BD5">
        <w:rPr>
          <w:rStyle w:val="Heading3Char"/>
          <w:rFonts w:asciiTheme="minorHAnsi" w:hAnsiTheme="minorHAnsi" w:cstheme="minorHAnsi"/>
          <w:color w:val="000000" w:themeColor="text1"/>
          <w:sz w:val="22"/>
          <w:szCs w:val="22"/>
        </w:rPr>
        <w:t xml:space="preserve">satisfying the inclusion criteria seen in Table </w:t>
      </w:r>
      <w:r w:rsidR="007E7164">
        <w:rPr>
          <w:rStyle w:val="Heading3Char"/>
          <w:rFonts w:asciiTheme="minorHAnsi" w:hAnsiTheme="minorHAnsi" w:cstheme="minorHAnsi"/>
          <w:color w:val="000000" w:themeColor="text1"/>
          <w:sz w:val="22"/>
          <w:szCs w:val="22"/>
        </w:rPr>
        <w:t>3</w:t>
      </w:r>
      <w:r w:rsidR="00F86BD5">
        <w:rPr>
          <w:rStyle w:val="Heading3Char"/>
          <w:rFonts w:asciiTheme="minorHAnsi" w:hAnsiTheme="minorHAnsi" w:cstheme="minorHAnsi"/>
          <w:color w:val="000000" w:themeColor="text1"/>
          <w:sz w:val="22"/>
          <w:szCs w:val="22"/>
        </w:rPr>
        <w:t xml:space="preserve"> </w:t>
      </w:r>
      <w:r w:rsidR="00EE25D1">
        <w:rPr>
          <w:rStyle w:val="Heading3Char"/>
          <w:rFonts w:asciiTheme="minorHAnsi" w:hAnsiTheme="minorHAnsi" w:cstheme="minorHAnsi"/>
          <w:color w:val="000000" w:themeColor="text1"/>
          <w:sz w:val="22"/>
          <w:szCs w:val="22"/>
        </w:rPr>
        <w:t xml:space="preserve">were initially located using a script to interrogate the scheduling software. Electronic notes for these patients were searched to extract data and paper notes were searched if data was omitted from electronic versions. </w:t>
      </w:r>
      <w:r w:rsidR="00134418">
        <w:rPr>
          <w:rStyle w:val="Heading3Char"/>
          <w:rFonts w:asciiTheme="minorHAnsi" w:hAnsiTheme="minorHAnsi" w:cstheme="minorHAnsi"/>
          <w:color w:val="000000" w:themeColor="text1"/>
          <w:sz w:val="22"/>
          <w:szCs w:val="22"/>
        </w:rPr>
        <w:t>Paper p</w:t>
      </w:r>
      <w:r w:rsidR="00EE25D1">
        <w:rPr>
          <w:rStyle w:val="Heading3Char"/>
          <w:rFonts w:asciiTheme="minorHAnsi" w:hAnsiTheme="minorHAnsi" w:cstheme="minorHAnsi"/>
          <w:color w:val="000000" w:themeColor="text1"/>
          <w:sz w:val="22"/>
          <w:szCs w:val="22"/>
        </w:rPr>
        <w:t xml:space="preserve">rescription charts were examined to identify whether </w:t>
      </w:r>
      <w:r w:rsidR="00F86BD5">
        <w:rPr>
          <w:rStyle w:val="Heading3Char"/>
          <w:rFonts w:asciiTheme="minorHAnsi" w:hAnsiTheme="minorHAnsi" w:cstheme="minorHAnsi"/>
          <w:color w:val="000000" w:themeColor="text1"/>
          <w:sz w:val="22"/>
          <w:szCs w:val="22"/>
        </w:rPr>
        <w:t>antiemetic</w:t>
      </w:r>
      <w:r w:rsidR="00EE25D1">
        <w:rPr>
          <w:rStyle w:val="Heading3Char"/>
          <w:rFonts w:asciiTheme="minorHAnsi" w:hAnsiTheme="minorHAnsi" w:cstheme="minorHAnsi"/>
          <w:color w:val="000000" w:themeColor="text1"/>
          <w:sz w:val="22"/>
          <w:szCs w:val="22"/>
        </w:rPr>
        <w:t>s had been prescribed or not</w:t>
      </w:r>
      <w:bookmarkStart w:id="22" w:name="_Toc30175740"/>
      <w:bookmarkStart w:id="23" w:name="_Toc30176285"/>
      <w:bookmarkStart w:id="24" w:name="_Toc30176369"/>
      <w:bookmarkStart w:id="25" w:name="_Toc30176572"/>
      <w:r w:rsidR="00B24D9A">
        <w:rPr>
          <w:rStyle w:val="Heading3Char"/>
          <w:rFonts w:asciiTheme="minorHAnsi" w:hAnsiTheme="minorHAnsi" w:cstheme="minorHAnsi"/>
          <w:color w:val="000000" w:themeColor="text1"/>
          <w:sz w:val="22"/>
          <w:szCs w:val="22"/>
        </w:rPr>
        <w:t>; l</w:t>
      </w:r>
      <w:r w:rsidR="00EE25D1">
        <w:rPr>
          <w:rStyle w:val="Heading3Char"/>
          <w:rFonts w:asciiTheme="minorHAnsi" w:hAnsiTheme="minorHAnsi" w:cstheme="minorHAnsi"/>
          <w:color w:val="000000" w:themeColor="text1"/>
          <w:sz w:val="22"/>
          <w:szCs w:val="22"/>
        </w:rPr>
        <w:t>ocal policy</w:t>
      </w:r>
      <w:r w:rsidR="00425175">
        <w:rPr>
          <w:rStyle w:val="Heading3Char"/>
          <w:rFonts w:asciiTheme="minorHAnsi" w:hAnsiTheme="minorHAnsi" w:cstheme="minorHAnsi"/>
          <w:color w:val="000000" w:themeColor="text1"/>
          <w:sz w:val="22"/>
          <w:szCs w:val="22"/>
        </w:rPr>
        <w:t xml:space="preserve"> for the acute phase</w:t>
      </w:r>
      <w:r w:rsidR="00EE25D1">
        <w:rPr>
          <w:rStyle w:val="Heading3Char"/>
          <w:rFonts w:asciiTheme="minorHAnsi" w:hAnsiTheme="minorHAnsi" w:cstheme="minorHAnsi"/>
          <w:color w:val="000000" w:themeColor="text1"/>
          <w:sz w:val="22"/>
          <w:szCs w:val="22"/>
        </w:rPr>
        <w:t xml:space="preserve"> indicated the prescription</w:t>
      </w:r>
      <w:r w:rsidR="001A2031">
        <w:rPr>
          <w:rStyle w:val="Heading3Char"/>
          <w:rFonts w:asciiTheme="minorHAnsi" w:hAnsiTheme="minorHAnsi" w:cstheme="minorHAnsi"/>
          <w:color w:val="000000" w:themeColor="text1"/>
          <w:sz w:val="22"/>
          <w:szCs w:val="22"/>
        </w:rPr>
        <w:t xml:space="preserve"> (carried out by a doctor or specialist nurse or radiographer)</w:t>
      </w:r>
      <w:r w:rsidR="00EE25D1">
        <w:rPr>
          <w:rStyle w:val="Heading3Char"/>
          <w:rFonts w:asciiTheme="minorHAnsi" w:hAnsiTheme="minorHAnsi" w:cstheme="minorHAnsi"/>
          <w:color w:val="000000" w:themeColor="text1"/>
          <w:sz w:val="22"/>
          <w:szCs w:val="22"/>
        </w:rPr>
        <w:t xml:space="preserve"> should be 8mg </w:t>
      </w:r>
      <w:r w:rsidR="00F86BD5">
        <w:rPr>
          <w:rStyle w:val="Heading3Char"/>
          <w:rFonts w:asciiTheme="minorHAnsi" w:hAnsiTheme="minorHAnsi" w:cstheme="minorHAnsi"/>
          <w:color w:val="000000" w:themeColor="text1"/>
          <w:sz w:val="22"/>
          <w:szCs w:val="22"/>
        </w:rPr>
        <w:t>Ondansetron</w:t>
      </w:r>
      <w:r w:rsidR="00D859C4">
        <w:rPr>
          <w:rStyle w:val="Heading3Char"/>
          <w:rFonts w:asciiTheme="minorHAnsi" w:hAnsiTheme="minorHAnsi" w:cstheme="minorHAnsi"/>
          <w:color w:val="000000" w:themeColor="text1"/>
          <w:sz w:val="22"/>
          <w:szCs w:val="22"/>
        </w:rPr>
        <w:t xml:space="preserve"> </w:t>
      </w:r>
      <w:r w:rsidR="0091463A">
        <w:rPr>
          <w:rStyle w:val="Heading3Char"/>
          <w:rFonts w:asciiTheme="minorHAnsi" w:hAnsiTheme="minorHAnsi" w:cstheme="minorHAnsi"/>
          <w:color w:val="000000" w:themeColor="text1"/>
          <w:sz w:val="22"/>
          <w:szCs w:val="22"/>
        </w:rPr>
        <w:t xml:space="preserve">once </w:t>
      </w:r>
      <w:r w:rsidR="00D859C4">
        <w:rPr>
          <w:rStyle w:val="Heading3Char"/>
          <w:rFonts w:asciiTheme="minorHAnsi" w:hAnsiTheme="minorHAnsi" w:cstheme="minorHAnsi"/>
          <w:color w:val="000000" w:themeColor="text1"/>
          <w:sz w:val="22"/>
          <w:szCs w:val="22"/>
        </w:rPr>
        <w:t>orally</w:t>
      </w:r>
      <w:r w:rsidR="00113F1E">
        <w:rPr>
          <w:rStyle w:val="Heading3Char"/>
          <w:rFonts w:asciiTheme="minorHAnsi" w:hAnsiTheme="minorHAnsi" w:cstheme="minorHAnsi"/>
          <w:color w:val="000000" w:themeColor="text1"/>
          <w:sz w:val="22"/>
          <w:szCs w:val="22"/>
        </w:rPr>
        <w:t xml:space="preserve"> 30 minutes before treatment</w:t>
      </w:r>
      <w:r w:rsidR="001D104B">
        <w:rPr>
          <w:rStyle w:val="Heading3Char"/>
          <w:rFonts w:asciiTheme="minorHAnsi" w:hAnsiTheme="minorHAnsi" w:cstheme="minorHAnsi"/>
          <w:color w:val="000000" w:themeColor="text1"/>
          <w:sz w:val="22"/>
          <w:szCs w:val="22"/>
        </w:rPr>
        <w:t>. T</w:t>
      </w:r>
      <w:r w:rsidR="0091463A">
        <w:rPr>
          <w:rStyle w:val="Heading3Char"/>
          <w:rFonts w:asciiTheme="minorHAnsi" w:hAnsiTheme="minorHAnsi" w:cstheme="minorHAnsi"/>
          <w:color w:val="000000" w:themeColor="text1"/>
          <w:sz w:val="22"/>
          <w:szCs w:val="22"/>
        </w:rPr>
        <w:t>his</w:t>
      </w:r>
      <w:r w:rsidR="001D104B">
        <w:rPr>
          <w:rStyle w:val="Heading3Char"/>
          <w:rFonts w:asciiTheme="minorHAnsi" w:hAnsiTheme="minorHAnsi" w:cstheme="minorHAnsi"/>
          <w:color w:val="000000" w:themeColor="text1"/>
          <w:sz w:val="22"/>
          <w:szCs w:val="22"/>
        </w:rPr>
        <w:t xml:space="preserve"> dose</w:t>
      </w:r>
      <w:r w:rsidR="0091463A">
        <w:rPr>
          <w:rStyle w:val="Heading3Char"/>
          <w:rFonts w:asciiTheme="minorHAnsi" w:hAnsiTheme="minorHAnsi" w:cstheme="minorHAnsi"/>
          <w:color w:val="000000" w:themeColor="text1"/>
          <w:sz w:val="22"/>
          <w:szCs w:val="22"/>
        </w:rPr>
        <w:t xml:space="preserve"> </w:t>
      </w:r>
      <w:r w:rsidR="001D104B">
        <w:rPr>
          <w:rStyle w:val="Heading3Char"/>
          <w:rFonts w:asciiTheme="minorHAnsi" w:hAnsiTheme="minorHAnsi" w:cstheme="minorHAnsi"/>
          <w:color w:val="000000" w:themeColor="text1"/>
          <w:sz w:val="22"/>
          <w:szCs w:val="22"/>
        </w:rPr>
        <w:t>could</w:t>
      </w:r>
      <w:r w:rsidR="0091463A">
        <w:rPr>
          <w:rStyle w:val="Heading3Char"/>
          <w:rFonts w:asciiTheme="minorHAnsi" w:hAnsiTheme="minorHAnsi" w:cstheme="minorHAnsi"/>
          <w:color w:val="000000" w:themeColor="text1"/>
          <w:sz w:val="22"/>
          <w:szCs w:val="22"/>
        </w:rPr>
        <w:t xml:space="preserve"> be increased to twice daily if required</w:t>
      </w:r>
      <w:r w:rsidR="00E5584D">
        <w:rPr>
          <w:rStyle w:val="Heading3Char"/>
          <w:rFonts w:asciiTheme="minorHAnsi" w:hAnsiTheme="minorHAnsi" w:cstheme="minorHAnsi"/>
          <w:color w:val="000000" w:themeColor="text1"/>
          <w:sz w:val="22"/>
          <w:szCs w:val="22"/>
        </w:rPr>
        <w:t xml:space="preserve"> (19</w:t>
      </w:r>
      <w:r w:rsidR="00E60D20">
        <w:rPr>
          <w:rStyle w:val="Heading3Char"/>
          <w:rFonts w:asciiTheme="minorHAnsi" w:hAnsiTheme="minorHAnsi" w:cstheme="minorHAnsi"/>
          <w:color w:val="000000" w:themeColor="text1"/>
          <w:sz w:val="22"/>
          <w:szCs w:val="22"/>
        </w:rPr>
        <w:t>)</w:t>
      </w:r>
      <w:r w:rsidR="001D104B">
        <w:rPr>
          <w:rStyle w:val="Heading3Char"/>
          <w:rFonts w:asciiTheme="minorHAnsi" w:hAnsiTheme="minorHAnsi" w:cstheme="minorHAnsi"/>
          <w:color w:val="000000" w:themeColor="text1"/>
          <w:sz w:val="22"/>
          <w:szCs w:val="22"/>
        </w:rPr>
        <w:t xml:space="preserve"> and the medication could</w:t>
      </w:r>
      <w:r w:rsidR="00D925BC">
        <w:rPr>
          <w:rStyle w:val="Heading3Char"/>
          <w:rFonts w:asciiTheme="minorHAnsi" w:hAnsiTheme="minorHAnsi" w:cstheme="minorHAnsi"/>
          <w:color w:val="000000" w:themeColor="text1"/>
          <w:sz w:val="22"/>
          <w:szCs w:val="22"/>
        </w:rPr>
        <w:t xml:space="preserve"> be</w:t>
      </w:r>
      <w:r w:rsidR="001A2031">
        <w:rPr>
          <w:rStyle w:val="Heading3Char"/>
          <w:rFonts w:asciiTheme="minorHAnsi" w:hAnsiTheme="minorHAnsi" w:cstheme="minorHAnsi"/>
          <w:color w:val="000000" w:themeColor="text1"/>
          <w:sz w:val="22"/>
          <w:szCs w:val="22"/>
        </w:rPr>
        <w:t xml:space="preserve"> dispensed</w:t>
      </w:r>
      <w:r w:rsidR="00D925BC">
        <w:rPr>
          <w:rStyle w:val="Heading3Char"/>
          <w:rFonts w:asciiTheme="minorHAnsi" w:hAnsiTheme="minorHAnsi" w:cstheme="minorHAnsi"/>
          <w:color w:val="000000" w:themeColor="text1"/>
          <w:sz w:val="22"/>
          <w:szCs w:val="22"/>
        </w:rPr>
        <w:t xml:space="preserve"> by </w:t>
      </w:r>
      <w:r w:rsidR="001A2031">
        <w:rPr>
          <w:rStyle w:val="Heading3Char"/>
          <w:rFonts w:asciiTheme="minorHAnsi" w:hAnsiTheme="minorHAnsi" w:cstheme="minorHAnsi"/>
          <w:color w:val="000000" w:themeColor="text1"/>
          <w:sz w:val="22"/>
          <w:szCs w:val="22"/>
        </w:rPr>
        <w:t xml:space="preserve">radiographers, </w:t>
      </w:r>
      <w:r w:rsidR="001D104B">
        <w:rPr>
          <w:rStyle w:val="Heading3Char"/>
          <w:rFonts w:asciiTheme="minorHAnsi" w:hAnsiTheme="minorHAnsi" w:cstheme="minorHAnsi"/>
          <w:color w:val="000000" w:themeColor="text1"/>
          <w:sz w:val="22"/>
          <w:szCs w:val="22"/>
        </w:rPr>
        <w:t xml:space="preserve">but not </w:t>
      </w:r>
      <w:r w:rsidR="001A2031">
        <w:rPr>
          <w:rStyle w:val="Heading3Char"/>
          <w:rFonts w:asciiTheme="minorHAnsi" w:hAnsiTheme="minorHAnsi" w:cstheme="minorHAnsi"/>
          <w:color w:val="000000" w:themeColor="text1"/>
          <w:sz w:val="22"/>
          <w:szCs w:val="22"/>
        </w:rPr>
        <w:t>under patient group direction</w:t>
      </w:r>
      <w:r w:rsidR="00EE25D1">
        <w:rPr>
          <w:rStyle w:val="Heading3Char"/>
          <w:rFonts w:asciiTheme="minorHAnsi" w:hAnsiTheme="minorHAnsi" w:cstheme="minorHAnsi"/>
          <w:color w:val="000000" w:themeColor="text1"/>
          <w:sz w:val="22"/>
          <w:szCs w:val="22"/>
        </w:rPr>
        <w:t xml:space="preserve">. </w:t>
      </w:r>
      <w:r w:rsidR="00EE25D1" w:rsidRPr="001E1E9D">
        <w:rPr>
          <w:rFonts w:asciiTheme="minorHAnsi" w:hAnsiTheme="minorHAnsi" w:cstheme="minorHAnsi"/>
          <w:sz w:val="22"/>
          <w:szCs w:val="22"/>
        </w:rPr>
        <w:t xml:space="preserve">All data </w:t>
      </w:r>
      <w:r w:rsidR="00EE25D1">
        <w:rPr>
          <w:rFonts w:asciiTheme="minorHAnsi" w:hAnsiTheme="minorHAnsi" w:cstheme="minorHAnsi"/>
          <w:sz w:val="22"/>
          <w:szCs w:val="22"/>
        </w:rPr>
        <w:t xml:space="preserve">was anonymised and </w:t>
      </w:r>
      <w:r w:rsidR="00EE25D1" w:rsidRPr="001E1E9D">
        <w:rPr>
          <w:rFonts w:asciiTheme="minorHAnsi" w:hAnsiTheme="minorHAnsi" w:cstheme="minorHAnsi"/>
          <w:sz w:val="22"/>
          <w:szCs w:val="22"/>
        </w:rPr>
        <w:t xml:space="preserve">collection was </w:t>
      </w:r>
      <w:r w:rsidR="00EE25D1">
        <w:rPr>
          <w:rFonts w:asciiTheme="minorHAnsi" w:hAnsiTheme="minorHAnsi" w:cstheme="minorHAnsi"/>
          <w:sz w:val="22"/>
          <w:szCs w:val="22"/>
        </w:rPr>
        <w:t>performed</w:t>
      </w:r>
      <w:r w:rsidR="00EE25D1" w:rsidRPr="001E1E9D">
        <w:rPr>
          <w:rFonts w:asciiTheme="minorHAnsi" w:hAnsiTheme="minorHAnsi" w:cstheme="minorHAnsi"/>
          <w:sz w:val="22"/>
          <w:szCs w:val="22"/>
        </w:rPr>
        <w:t xml:space="preserve"> by two </w:t>
      </w:r>
      <w:r w:rsidR="00EE25D1">
        <w:rPr>
          <w:rFonts w:asciiTheme="minorHAnsi" w:hAnsiTheme="minorHAnsi" w:cstheme="minorHAnsi"/>
          <w:sz w:val="22"/>
          <w:szCs w:val="22"/>
        </w:rPr>
        <w:t>members of the research team</w:t>
      </w:r>
      <w:r w:rsidR="00EE25D1" w:rsidRPr="001E1E9D">
        <w:rPr>
          <w:rFonts w:asciiTheme="minorHAnsi" w:hAnsiTheme="minorHAnsi" w:cstheme="minorHAnsi"/>
          <w:sz w:val="22"/>
          <w:szCs w:val="22"/>
        </w:rPr>
        <w:t>.</w:t>
      </w:r>
      <w:bookmarkEnd w:id="22"/>
      <w:bookmarkEnd w:id="23"/>
      <w:bookmarkEnd w:id="24"/>
      <w:bookmarkEnd w:id="25"/>
      <w:r w:rsidR="00EE25D1">
        <w:rPr>
          <w:rFonts w:asciiTheme="minorHAnsi" w:hAnsiTheme="minorHAnsi" w:cstheme="minorHAnsi"/>
          <w:sz w:val="22"/>
          <w:szCs w:val="22"/>
        </w:rPr>
        <w:t xml:space="preserve"> </w:t>
      </w:r>
      <w:r w:rsidR="008650B2" w:rsidRPr="008650B2">
        <w:rPr>
          <w:rFonts w:asciiTheme="minorHAnsi" w:hAnsiTheme="minorHAnsi" w:cstheme="minorHAnsi"/>
          <w:sz w:val="22"/>
          <w:szCs w:val="22"/>
        </w:rPr>
        <w:t xml:space="preserve">Data was stored in line with local governance and </w:t>
      </w:r>
      <w:r w:rsidR="00F86BD5">
        <w:rPr>
          <w:rFonts w:asciiTheme="minorHAnsi" w:hAnsiTheme="minorHAnsi" w:cstheme="minorHAnsi"/>
          <w:sz w:val="22"/>
          <w:szCs w:val="22"/>
        </w:rPr>
        <w:t>information technology</w:t>
      </w:r>
      <w:r w:rsidR="00F86BD5" w:rsidRPr="008650B2">
        <w:rPr>
          <w:rFonts w:asciiTheme="minorHAnsi" w:hAnsiTheme="minorHAnsi" w:cstheme="minorHAnsi"/>
          <w:sz w:val="22"/>
          <w:szCs w:val="22"/>
        </w:rPr>
        <w:t xml:space="preserve"> </w:t>
      </w:r>
      <w:r w:rsidR="008650B2" w:rsidRPr="008650B2">
        <w:rPr>
          <w:rFonts w:asciiTheme="minorHAnsi" w:hAnsiTheme="minorHAnsi" w:cstheme="minorHAnsi"/>
          <w:sz w:val="22"/>
          <w:szCs w:val="22"/>
        </w:rPr>
        <w:t>policies and onl</w:t>
      </w:r>
      <w:r w:rsidR="008650B2">
        <w:rPr>
          <w:rFonts w:asciiTheme="minorHAnsi" w:hAnsiTheme="minorHAnsi" w:cstheme="minorHAnsi"/>
          <w:sz w:val="22"/>
          <w:szCs w:val="22"/>
        </w:rPr>
        <w:t xml:space="preserve">y accessible by the researchers. </w:t>
      </w:r>
      <w:r w:rsidR="00EE25D1">
        <w:rPr>
          <w:rFonts w:asciiTheme="minorHAnsi" w:hAnsiTheme="minorHAnsi" w:cstheme="minorHAnsi"/>
          <w:sz w:val="22"/>
          <w:szCs w:val="22"/>
        </w:rPr>
        <w:t>Descriptive statistics were used to summarise the data for analysis.</w:t>
      </w:r>
    </w:p>
    <w:p w14:paraId="2B5F293C" w14:textId="77777777" w:rsidR="00E85DEC" w:rsidRDefault="00E85DEC" w:rsidP="000C6FF6">
      <w:pPr>
        <w:spacing w:line="360" w:lineRule="auto"/>
        <w:jc w:val="both"/>
        <w:rPr>
          <w:rFonts w:asciiTheme="minorHAnsi" w:hAnsiTheme="minorHAnsi" w:cstheme="minorHAnsi"/>
          <w:sz w:val="22"/>
          <w:szCs w:val="22"/>
        </w:rPr>
      </w:pPr>
    </w:p>
    <w:p w14:paraId="7CBDAFD2" w14:textId="7A9F526F" w:rsidR="00DD12C1" w:rsidRPr="00DD12C1" w:rsidRDefault="00DD12C1" w:rsidP="000C6FF6">
      <w:pPr>
        <w:spacing w:line="360" w:lineRule="auto"/>
        <w:jc w:val="both"/>
        <w:rPr>
          <w:rFonts w:asciiTheme="minorHAnsi" w:hAnsiTheme="minorHAnsi" w:cstheme="minorHAnsi"/>
          <w:b/>
          <w:sz w:val="22"/>
          <w:szCs w:val="22"/>
        </w:rPr>
      </w:pPr>
      <w:r w:rsidRPr="00DD12C1">
        <w:rPr>
          <w:rFonts w:asciiTheme="minorHAnsi" w:hAnsiTheme="minorHAnsi" w:cstheme="minorHAnsi"/>
          <w:b/>
          <w:sz w:val="22"/>
          <w:szCs w:val="22"/>
        </w:rPr>
        <w:t xml:space="preserve">Table </w:t>
      </w:r>
      <w:r w:rsidR="007E7164">
        <w:rPr>
          <w:rFonts w:asciiTheme="minorHAnsi" w:hAnsiTheme="minorHAnsi" w:cstheme="minorHAnsi"/>
          <w:b/>
          <w:sz w:val="22"/>
          <w:szCs w:val="22"/>
        </w:rPr>
        <w:t>3</w:t>
      </w:r>
      <w:r w:rsidRPr="00DD12C1">
        <w:rPr>
          <w:rFonts w:asciiTheme="minorHAnsi" w:hAnsiTheme="minorHAnsi" w:cstheme="minorHAnsi"/>
          <w:b/>
          <w:sz w:val="22"/>
          <w:szCs w:val="22"/>
        </w:rPr>
        <w:t>: Inclusion Criteria and Data Extracted</w:t>
      </w:r>
    </w:p>
    <w:tbl>
      <w:tblPr>
        <w:tblStyle w:val="TableGrid"/>
        <w:tblW w:w="0" w:type="auto"/>
        <w:tblLook w:val="04A0" w:firstRow="1" w:lastRow="0" w:firstColumn="1" w:lastColumn="0" w:noHBand="0" w:noVBand="1"/>
      </w:tblPr>
      <w:tblGrid>
        <w:gridCol w:w="4505"/>
        <w:gridCol w:w="4505"/>
      </w:tblGrid>
      <w:tr w:rsidR="00FC56AB" w14:paraId="6BA38FFB" w14:textId="77777777" w:rsidTr="008650B2">
        <w:tc>
          <w:tcPr>
            <w:tcW w:w="4505" w:type="dxa"/>
          </w:tcPr>
          <w:p w14:paraId="140F0101" w14:textId="77777777" w:rsidR="00FC56AB" w:rsidRPr="00FC56AB" w:rsidRDefault="00FC56AB" w:rsidP="00FC56AB">
            <w:pPr>
              <w:spacing w:line="360" w:lineRule="auto"/>
              <w:jc w:val="center"/>
              <w:rPr>
                <w:rFonts w:asciiTheme="minorHAnsi" w:hAnsiTheme="minorHAnsi" w:cstheme="minorHAnsi"/>
                <w:b/>
                <w:sz w:val="22"/>
                <w:szCs w:val="22"/>
              </w:rPr>
            </w:pPr>
            <w:r w:rsidRPr="00FC56AB">
              <w:rPr>
                <w:rFonts w:asciiTheme="minorHAnsi" w:hAnsiTheme="minorHAnsi" w:cstheme="minorHAnsi"/>
                <w:b/>
                <w:sz w:val="22"/>
                <w:szCs w:val="22"/>
              </w:rPr>
              <w:t>Inclusion Criteria</w:t>
            </w:r>
          </w:p>
        </w:tc>
        <w:tc>
          <w:tcPr>
            <w:tcW w:w="4505" w:type="dxa"/>
          </w:tcPr>
          <w:p w14:paraId="1EA644A1" w14:textId="77777777" w:rsidR="00FC56AB" w:rsidRPr="00FC56AB" w:rsidRDefault="00FC56AB" w:rsidP="00FC56AB">
            <w:pPr>
              <w:spacing w:line="360" w:lineRule="auto"/>
              <w:jc w:val="center"/>
              <w:rPr>
                <w:rFonts w:asciiTheme="minorHAnsi" w:hAnsiTheme="minorHAnsi" w:cstheme="minorHAnsi"/>
                <w:b/>
                <w:sz w:val="22"/>
                <w:szCs w:val="22"/>
              </w:rPr>
            </w:pPr>
            <w:r w:rsidRPr="00FC56AB">
              <w:rPr>
                <w:rFonts w:asciiTheme="minorHAnsi" w:hAnsiTheme="minorHAnsi" w:cstheme="minorHAnsi"/>
                <w:b/>
                <w:sz w:val="22"/>
                <w:szCs w:val="22"/>
              </w:rPr>
              <w:t>Data Extraction</w:t>
            </w:r>
          </w:p>
        </w:tc>
      </w:tr>
      <w:tr w:rsidR="00EE25D1" w14:paraId="4E44A2C4" w14:textId="77777777" w:rsidTr="008650B2">
        <w:trPr>
          <w:trHeight w:val="2208"/>
        </w:trPr>
        <w:tc>
          <w:tcPr>
            <w:tcW w:w="4505" w:type="dxa"/>
          </w:tcPr>
          <w:p w14:paraId="7CD77290" w14:textId="77777777" w:rsidR="00EE25D1" w:rsidRPr="00EE25D1" w:rsidRDefault="00EE25D1" w:rsidP="00EE25D1">
            <w:pPr>
              <w:pStyle w:val="ListParagraph"/>
              <w:numPr>
                <w:ilvl w:val="0"/>
                <w:numId w:val="14"/>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Single field radiotherapy of 8Gy</w:t>
            </w:r>
          </w:p>
          <w:p w14:paraId="7052EB2E" w14:textId="77777777" w:rsidR="00EE25D1" w:rsidRPr="00EE25D1" w:rsidRDefault="00EE25D1" w:rsidP="00EE25D1">
            <w:pPr>
              <w:pStyle w:val="ListParagraph"/>
              <w:numPr>
                <w:ilvl w:val="0"/>
                <w:numId w:val="14"/>
              </w:numPr>
              <w:spacing w:line="360" w:lineRule="auto"/>
              <w:jc w:val="both"/>
              <w:rPr>
                <w:rFonts w:asciiTheme="minorHAnsi" w:hAnsiTheme="minorHAnsi" w:cstheme="minorHAnsi"/>
                <w:sz w:val="22"/>
                <w:szCs w:val="22"/>
              </w:rPr>
            </w:pPr>
            <w:r w:rsidRPr="00EE25D1">
              <w:rPr>
                <w:rStyle w:val="Heading3Char"/>
                <w:rFonts w:asciiTheme="minorHAnsi" w:hAnsiTheme="minorHAnsi" w:cstheme="minorHAnsi"/>
                <w:color w:val="000000" w:themeColor="text1"/>
                <w:sz w:val="22"/>
                <w:szCs w:val="22"/>
              </w:rPr>
              <w:t>Treatment sites including T8-L5</w:t>
            </w:r>
          </w:p>
          <w:p w14:paraId="38154111" w14:textId="77777777" w:rsidR="00EE25D1" w:rsidRPr="00EE25D1" w:rsidRDefault="00EE25D1" w:rsidP="00EE25D1">
            <w:pPr>
              <w:pStyle w:val="ListParagraph"/>
              <w:numPr>
                <w:ilvl w:val="0"/>
                <w:numId w:val="14"/>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January 1</w:t>
            </w:r>
            <w:r w:rsidRPr="00EE25D1">
              <w:rPr>
                <w:rFonts w:asciiTheme="minorHAnsi" w:hAnsiTheme="minorHAnsi" w:cstheme="minorHAnsi"/>
                <w:sz w:val="22"/>
                <w:szCs w:val="22"/>
                <w:vertAlign w:val="superscript"/>
              </w:rPr>
              <w:t>st</w:t>
            </w:r>
            <w:r w:rsidRPr="00EE25D1">
              <w:rPr>
                <w:rFonts w:asciiTheme="minorHAnsi" w:hAnsiTheme="minorHAnsi" w:cstheme="minorHAnsi"/>
                <w:sz w:val="22"/>
                <w:szCs w:val="22"/>
              </w:rPr>
              <w:t xml:space="preserve"> 2019 – March 26</w:t>
            </w:r>
            <w:r w:rsidRPr="00EE25D1">
              <w:rPr>
                <w:rFonts w:asciiTheme="minorHAnsi" w:hAnsiTheme="minorHAnsi" w:cstheme="minorHAnsi"/>
                <w:sz w:val="22"/>
                <w:szCs w:val="22"/>
                <w:vertAlign w:val="superscript"/>
              </w:rPr>
              <w:t>th</w:t>
            </w:r>
            <w:r w:rsidRPr="00EE25D1">
              <w:rPr>
                <w:rFonts w:asciiTheme="minorHAnsi" w:hAnsiTheme="minorHAnsi" w:cstheme="minorHAnsi"/>
                <w:sz w:val="22"/>
                <w:szCs w:val="22"/>
              </w:rPr>
              <w:t xml:space="preserve"> 2019</w:t>
            </w:r>
          </w:p>
          <w:p w14:paraId="226DFEAC" w14:textId="77777777" w:rsidR="00EE25D1" w:rsidRPr="00EE25D1" w:rsidRDefault="00EE25D1" w:rsidP="00EE25D1">
            <w:pPr>
              <w:pStyle w:val="ListParagraph"/>
              <w:numPr>
                <w:ilvl w:val="0"/>
                <w:numId w:val="14"/>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High or moderate RINV risk category</w:t>
            </w:r>
          </w:p>
        </w:tc>
        <w:tc>
          <w:tcPr>
            <w:tcW w:w="4505" w:type="dxa"/>
          </w:tcPr>
          <w:p w14:paraId="70CFC9A0" w14:textId="77777777" w:rsidR="00EE25D1" w:rsidRPr="00EE25D1" w:rsidRDefault="00EE25D1" w:rsidP="00EE25D1">
            <w:pPr>
              <w:pStyle w:val="ListParagraph"/>
              <w:numPr>
                <w:ilvl w:val="0"/>
                <w:numId w:val="15"/>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Dose and fractionation</w:t>
            </w:r>
          </w:p>
          <w:p w14:paraId="6E76E15A" w14:textId="77777777" w:rsidR="00EE25D1" w:rsidRPr="00EE25D1" w:rsidRDefault="00EE25D1" w:rsidP="00EE25D1">
            <w:pPr>
              <w:pStyle w:val="ListParagraph"/>
              <w:numPr>
                <w:ilvl w:val="0"/>
                <w:numId w:val="15"/>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Role of consenting clinician</w:t>
            </w:r>
          </w:p>
          <w:p w14:paraId="61B03EFE" w14:textId="77777777" w:rsidR="00EE25D1" w:rsidRPr="00EE25D1" w:rsidRDefault="00EE25D1" w:rsidP="00EE25D1">
            <w:pPr>
              <w:pStyle w:val="ListParagraph"/>
              <w:numPr>
                <w:ilvl w:val="0"/>
                <w:numId w:val="15"/>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 xml:space="preserve">RINV </w:t>
            </w:r>
            <w:r>
              <w:rPr>
                <w:rFonts w:asciiTheme="minorHAnsi" w:hAnsiTheme="minorHAnsi" w:cstheme="minorHAnsi"/>
                <w:sz w:val="22"/>
                <w:szCs w:val="22"/>
              </w:rPr>
              <w:t>included in</w:t>
            </w:r>
            <w:r w:rsidRPr="00EE25D1">
              <w:rPr>
                <w:rFonts w:asciiTheme="minorHAnsi" w:hAnsiTheme="minorHAnsi" w:cstheme="minorHAnsi"/>
                <w:sz w:val="22"/>
                <w:szCs w:val="22"/>
              </w:rPr>
              <w:t xml:space="preserve"> consent</w:t>
            </w:r>
          </w:p>
          <w:p w14:paraId="416D7582" w14:textId="77777777" w:rsidR="00EE25D1" w:rsidRPr="00EE25D1" w:rsidRDefault="00EE25D1" w:rsidP="00EE25D1">
            <w:pPr>
              <w:pStyle w:val="ListParagraph"/>
              <w:numPr>
                <w:ilvl w:val="0"/>
                <w:numId w:val="15"/>
              </w:numPr>
              <w:spacing w:line="360" w:lineRule="auto"/>
              <w:jc w:val="both"/>
              <w:rPr>
                <w:rFonts w:asciiTheme="minorHAnsi" w:hAnsiTheme="minorHAnsi" w:cstheme="minorHAnsi"/>
                <w:sz w:val="22"/>
                <w:szCs w:val="22"/>
              </w:rPr>
            </w:pPr>
            <w:r w:rsidRPr="00EE25D1">
              <w:rPr>
                <w:rFonts w:asciiTheme="minorHAnsi" w:hAnsiTheme="minorHAnsi" w:cstheme="minorHAnsi"/>
                <w:sz w:val="22"/>
                <w:szCs w:val="22"/>
              </w:rPr>
              <w:t>Survival post-treatment</w:t>
            </w:r>
          </w:p>
          <w:p w14:paraId="1F41D0E6" w14:textId="4D2A6A34" w:rsidR="00EE25D1" w:rsidRDefault="00F86BD5" w:rsidP="00EE25D1">
            <w:pPr>
              <w:pStyle w:val="ListParagraph"/>
              <w:numPr>
                <w:ilvl w:val="0"/>
                <w:numId w:val="15"/>
              </w:numPr>
              <w:spacing w:line="360" w:lineRule="auto"/>
              <w:jc w:val="both"/>
              <w:rPr>
                <w:rFonts w:asciiTheme="minorHAnsi" w:hAnsiTheme="minorHAnsi" w:cstheme="minorHAnsi"/>
                <w:sz w:val="22"/>
                <w:szCs w:val="22"/>
              </w:rPr>
            </w:pPr>
            <w:r>
              <w:rPr>
                <w:rFonts w:asciiTheme="minorHAnsi" w:hAnsiTheme="minorHAnsi" w:cstheme="minorHAnsi"/>
                <w:sz w:val="22"/>
                <w:szCs w:val="22"/>
              </w:rPr>
              <w:t>Antiemetic</w:t>
            </w:r>
            <w:r w:rsidR="00EE25D1" w:rsidRPr="00EE25D1">
              <w:rPr>
                <w:rFonts w:asciiTheme="minorHAnsi" w:hAnsiTheme="minorHAnsi" w:cstheme="minorHAnsi"/>
                <w:sz w:val="22"/>
                <w:szCs w:val="22"/>
              </w:rPr>
              <w:t xml:space="preserve"> prescribed</w:t>
            </w:r>
            <w:r w:rsidR="00EE25D1">
              <w:rPr>
                <w:rFonts w:asciiTheme="minorHAnsi" w:hAnsiTheme="minorHAnsi" w:cstheme="minorHAnsi"/>
                <w:sz w:val="22"/>
                <w:szCs w:val="22"/>
              </w:rPr>
              <w:t xml:space="preserve"> </w:t>
            </w:r>
          </w:p>
          <w:p w14:paraId="3AF7C4C6" w14:textId="77777777" w:rsidR="00EE25D1" w:rsidRPr="00EE25D1" w:rsidRDefault="00EE25D1" w:rsidP="00EE25D1">
            <w:pPr>
              <w:pStyle w:val="ListParagraph"/>
              <w:numPr>
                <w:ilvl w:val="0"/>
                <w:numId w:val="15"/>
              </w:numPr>
              <w:spacing w:line="360" w:lineRule="auto"/>
              <w:jc w:val="both"/>
              <w:rPr>
                <w:rFonts w:asciiTheme="minorHAnsi" w:hAnsiTheme="minorHAnsi" w:cstheme="minorHAnsi"/>
                <w:sz w:val="22"/>
                <w:szCs w:val="22"/>
              </w:rPr>
            </w:pPr>
            <w:r>
              <w:rPr>
                <w:rFonts w:asciiTheme="minorHAnsi" w:hAnsiTheme="minorHAnsi" w:cstheme="minorHAnsi"/>
                <w:sz w:val="22"/>
                <w:szCs w:val="22"/>
              </w:rPr>
              <w:t>I</w:t>
            </w:r>
            <w:r w:rsidRPr="00EE25D1">
              <w:rPr>
                <w:rFonts w:asciiTheme="minorHAnsi" w:hAnsiTheme="minorHAnsi" w:cstheme="minorHAnsi"/>
                <w:sz w:val="22"/>
                <w:szCs w:val="22"/>
              </w:rPr>
              <w:t xml:space="preserve">n-patient </w:t>
            </w:r>
            <w:r>
              <w:rPr>
                <w:rFonts w:asciiTheme="minorHAnsi" w:hAnsiTheme="minorHAnsi" w:cstheme="minorHAnsi"/>
                <w:sz w:val="22"/>
                <w:szCs w:val="22"/>
              </w:rPr>
              <w:t>/ out-patient status</w:t>
            </w:r>
          </w:p>
        </w:tc>
      </w:tr>
    </w:tbl>
    <w:p w14:paraId="3A2513F1" w14:textId="77777777" w:rsidR="00FC56AB" w:rsidRDefault="00FC56AB" w:rsidP="000C6FF6">
      <w:pPr>
        <w:spacing w:line="360" w:lineRule="auto"/>
        <w:jc w:val="both"/>
        <w:rPr>
          <w:rFonts w:asciiTheme="minorHAnsi" w:hAnsiTheme="minorHAnsi" w:cstheme="minorHAnsi"/>
          <w:sz w:val="22"/>
          <w:szCs w:val="22"/>
        </w:rPr>
      </w:pPr>
    </w:p>
    <w:p w14:paraId="3B7ADD1E" w14:textId="77777777" w:rsidR="00AA0623" w:rsidRDefault="00AA0623" w:rsidP="000C6FF6">
      <w:pPr>
        <w:pStyle w:val="Heading2"/>
        <w:spacing w:line="360" w:lineRule="auto"/>
        <w:jc w:val="both"/>
        <w:rPr>
          <w:rStyle w:val="Heading3Char"/>
          <w:rFonts w:asciiTheme="minorHAnsi" w:hAnsiTheme="minorHAnsi" w:cstheme="minorHAnsi"/>
          <w:color w:val="000000" w:themeColor="text1"/>
          <w:sz w:val="22"/>
          <w:szCs w:val="22"/>
          <w:u w:val="none"/>
        </w:rPr>
      </w:pPr>
      <w:bookmarkStart w:id="26" w:name="_Toc30175751"/>
      <w:bookmarkStart w:id="27" w:name="_Toc30176583"/>
      <w:bookmarkStart w:id="28" w:name="_Toc30177879"/>
      <w:bookmarkStart w:id="29" w:name="_Toc32429907"/>
      <w:bookmarkStart w:id="30" w:name="_Toc32429959"/>
      <w:bookmarkEnd w:id="18"/>
      <w:bookmarkEnd w:id="19"/>
      <w:bookmarkEnd w:id="20"/>
      <w:bookmarkEnd w:id="21"/>
    </w:p>
    <w:p w14:paraId="73819632" w14:textId="77777777" w:rsidR="006875D9" w:rsidRPr="00EE25D1" w:rsidRDefault="006929F6" w:rsidP="000C6FF6">
      <w:pPr>
        <w:pStyle w:val="Heading2"/>
        <w:spacing w:line="360" w:lineRule="auto"/>
        <w:jc w:val="both"/>
        <w:rPr>
          <w:rStyle w:val="Heading3Char"/>
          <w:rFonts w:asciiTheme="minorHAnsi" w:hAnsiTheme="minorHAnsi" w:cstheme="minorHAnsi"/>
          <w:color w:val="000000" w:themeColor="text1"/>
          <w:sz w:val="22"/>
          <w:szCs w:val="22"/>
          <w:u w:val="none"/>
        </w:rPr>
      </w:pPr>
      <w:r w:rsidRPr="00EE25D1">
        <w:rPr>
          <w:rStyle w:val="Heading3Char"/>
          <w:rFonts w:asciiTheme="minorHAnsi" w:hAnsiTheme="minorHAnsi" w:cstheme="minorHAnsi"/>
          <w:color w:val="000000" w:themeColor="text1"/>
          <w:sz w:val="22"/>
          <w:szCs w:val="22"/>
          <w:u w:val="none"/>
        </w:rPr>
        <w:t>Results</w:t>
      </w:r>
      <w:bookmarkEnd w:id="26"/>
      <w:bookmarkEnd w:id="27"/>
      <w:bookmarkEnd w:id="28"/>
      <w:bookmarkEnd w:id="29"/>
      <w:bookmarkEnd w:id="30"/>
    </w:p>
    <w:p w14:paraId="4D6BF53F" w14:textId="18452B8A" w:rsidR="00FA527F" w:rsidRDefault="00FA527F" w:rsidP="000C6FF6">
      <w:pPr>
        <w:spacing w:line="360" w:lineRule="auto"/>
        <w:jc w:val="both"/>
        <w:rPr>
          <w:rStyle w:val="Heading3Char"/>
          <w:rFonts w:asciiTheme="minorHAnsi" w:hAnsiTheme="minorHAnsi" w:cstheme="minorHAnsi"/>
          <w:color w:val="000000" w:themeColor="text1"/>
          <w:sz w:val="22"/>
          <w:szCs w:val="22"/>
        </w:rPr>
      </w:pPr>
      <w:bookmarkStart w:id="31" w:name="_Toc30175752"/>
      <w:bookmarkStart w:id="32" w:name="_Toc30176381"/>
      <w:bookmarkStart w:id="33" w:name="_Toc30176584"/>
      <w:r>
        <w:rPr>
          <w:rFonts w:asciiTheme="minorHAnsi" w:hAnsiTheme="minorHAnsi" w:cstheme="minorHAnsi"/>
          <w:sz w:val="22"/>
          <w:szCs w:val="22"/>
        </w:rPr>
        <w:t>A total of</w:t>
      </w:r>
      <w:r w:rsidR="00977953" w:rsidRPr="001E1E9D">
        <w:rPr>
          <w:rFonts w:asciiTheme="minorHAnsi" w:hAnsiTheme="minorHAnsi" w:cstheme="minorHAnsi"/>
          <w:sz w:val="22"/>
          <w:szCs w:val="22"/>
        </w:rPr>
        <w:t xml:space="preserve"> 71</w:t>
      </w:r>
      <w:r w:rsidR="0038602A" w:rsidRPr="001E1E9D">
        <w:rPr>
          <w:rFonts w:asciiTheme="minorHAnsi" w:hAnsiTheme="minorHAnsi" w:cstheme="minorHAnsi"/>
          <w:sz w:val="22"/>
          <w:szCs w:val="22"/>
        </w:rPr>
        <w:t xml:space="preserve"> patients </w:t>
      </w:r>
      <w:r>
        <w:rPr>
          <w:rFonts w:asciiTheme="minorHAnsi" w:hAnsiTheme="minorHAnsi" w:cstheme="minorHAnsi"/>
          <w:sz w:val="22"/>
          <w:szCs w:val="22"/>
        </w:rPr>
        <w:t>met the inclusion criteria</w:t>
      </w:r>
      <w:r w:rsidR="006875D9" w:rsidRPr="001E1E9D">
        <w:rPr>
          <w:rFonts w:asciiTheme="minorHAnsi" w:hAnsiTheme="minorHAnsi" w:cstheme="minorHAnsi"/>
          <w:sz w:val="22"/>
          <w:szCs w:val="22"/>
        </w:rPr>
        <w:t>.</w:t>
      </w:r>
      <w:bookmarkStart w:id="34" w:name="_Toc30175753"/>
      <w:bookmarkStart w:id="35" w:name="_Toc30176382"/>
      <w:bookmarkStart w:id="36" w:name="_Toc30176585"/>
      <w:bookmarkEnd w:id="31"/>
      <w:bookmarkEnd w:id="32"/>
      <w:bookmarkEnd w:id="33"/>
      <w:r>
        <w:rPr>
          <w:rFonts w:asciiTheme="minorHAnsi" w:hAnsiTheme="minorHAnsi" w:cstheme="minorHAnsi"/>
          <w:sz w:val="22"/>
          <w:szCs w:val="22"/>
        </w:rPr>
        <w:t xml:space="preserve"> Of these,</w:t>
      </w:r>
      <w:r w:rsidR="00977953" w:rsidRPr="001E1E9D">
        <w:rPr>
          <w:rFonts w:asciiTheme="minorHAnsi" w:hAnsiTheme="minorHAnsi" w:cstheme="minorHAnsi"/>
          <w:sz w:val="22"/>
          <w:szCs w:val="22"/>
        </w:rPr>
        <w:t xml:space="preserve"> 11</w:t>
      </w:r>
      <w:r w:rsidR="0038602A" w:rsidRPr="001E1E9D">
        <w:rPr>
          <w:rFonts w:asciiTheme="minorHAnsi" w:hAnsiTheme="minorHAnsi" w:cstheme="minorHAnsi"/>
          <w:sz w:val="22"/>
          <w:szCs w:val="22"/>
        </w:rPr>
        <w:t xml:space="preserve"> sets of paper notes were </w:t>
      </w:r>
      <w:r>
        <w:rPr>
          <w:rFonts w:asciiTheme="minorHAnsi" w:hAnsiTheme="minorHAnsi" w:cstheme="minorHAnsi"/>
          <w:sz w:val="22"/>
          <w:szCs w:val="22"/>
        </w:rPr>
        <w:t>unavailable so t</w:t>
      </w:r>
      <w:r w:rsidR="006A2F7A" w:rsidRPr="001E1E9D">
        <w:rPr>
          <w:rFonts w:asciiTheme="minorHAnsi" w:hAnsiTheme="minorHAnsi" w:cstheme="minorHAnsi"/>
          <w:sz w:val="22"/>
          <w:szCs w:val="22"/>
        </w:rPr>
        <w:t xml:space="preserve">hese patients were </w:t>
      </w:r>
      <w:r w:rsidR="0038602A" w:rsidRPr="001E1E9D">
        <w:rPr>
          <w:rStyle w:val="Heading3Char"/>
          <w:rFonts w:asciiTheme="minorHAnsi" w:hAnsiTheme="minorHAnsi" w:cstheme="minorHAnsi"/>
          <w:color w:val="000000" w:themeColor="text1"/>
          <w:sz w:val="22"/>
          <w:szCs w:val="22"/>
        </w:rPr>
        <w:t>excluded</w:t>
      </w:r>
      <w:r>
        <w:rPr>
          <w:rStyle w:val="Heading3Char"/>
          <w:rFonts w:asciiTheme="minorHAnsi" w:hAnsiTheme="minorHAnsi" w:cstheme="minorHAnsi"/>
          <w:color w:val="000000" w:themeColor="text1"/>
          <w:sz w:val="22"/>
          <w:szCs w:val="22"/>
        </w:rPr>
        <w:t xml:space="preserve">, leaving </w:t>
      </w:r>
      <w:r w:rsidR="00D447D8" w:rsidRPr="001E1E9D">
        <w:rPr>
          <w:rFonts w:asciiTheme="minorHAnsi" w:hAnsiTheme="minorHAnsi" w:cstheme="minorHAnsi"/>
          <w:sz w:val="22"/>
          <w:szCs w:val="22"/>
        </w:rPr>
        <w:t>a total of 60</w:t>
      </w:r>
      <w:r w:rsidR="0038602A" w:rsidRPr="001E1E9D">
        <w:rPr>
          <w:rFonts w:asciiTheme="minorHAnsi" w:hAnsiTheme="minorHAnsi" w:cstheme="minorHAnsi"/>
          <w:sz w:val="22"/>
          <w:szCs w:val="22"/>
        </w:rPr>
        <w:t xml:space="preserve"> patients who were included in the final data.</w:t>
      </w:r>
      <w:bookmarkEnd w:id="34"/>
      <w:bookmarkEnd w:id="35"/>
      <w:bookmarkEnd w:id="36"/>
      <w:r w:rsidR="00EA575A">
        <w:rPr>
          <w:rFonts w:asciiTheme="minorHAnsi" w:hAnsiTheme="minorHAnsi" w:cstheme="minorHAnsi"/>
          <w:sz w:val="22"/>
          <w:szCs w:val="22"/>
        </w:rPr>
        <w:t xml:space="preserve"> </w:t>
      </w:r>
      <w:bookmarkStart w:id="37" w:name="_Toc30175754"/>
      <w:bookmarkStart w:id="38" w:name="_Toc30176383"/>
      <w:bookmarkStart w:id="39" w:name="_Toc30176586"/>
      <w:r w:rsidR="004C59F9" w:rsidRPr="001E1E9D">
        <w:rPr>
          <w:rFonts w:asciiTheme="minorHAnsi" w:hAnsiTheme="minorHAnsi" w:cstheme="minorHAnsi"/>
          <w:sz w:val="22"/>
          <w:szCs w:val="22"/>
        </w:rPr>
        <w:t>I</w:t>
      </w:r>
      <w:r w:rsidR="00FE4B8B" w:rsidRPr="001E1E9D">
        <w:rPr>
          <w:rFonts w:asciiTheme="minorHAnsi" w:hAnsiTheme="minorHAnsi" w:cstheme="minorHAnsi"/>
          <w:sz w:val="22"/>
          <w:szCs w:val="22"/>
        </w:rPr>
        <w:t>t</w:t>
      </w:r>
      <w:r w:rsidR="004C59F9" w:rsidRPr="001E1E9D">
        <w:rPr>
          <w:rFonts w:asciiTheme="minorHAnsi" w:hAnsiTheme="minorHAnsi" w:cstheme="minorHAnsi"/>
          <w:sz w:val="22"/>
          <w:szCs w:val="22"/>
        </w:rPr>
        <w:t xml:space="preserve"> was found that of the</w:t>
      </w:r>
      <w:r w:rsidR="003C0DFE" w:rsidRPr="001E1E9D">
        <w:rPr>
          <w:rFonts w:asciiTheme="minorHAnsi" w:hAnsiTheme="minorHAnsi" w:cstheme="minorHAnsi"/>
          <w:sz w:val="22"/>
          <w:szCs w:val="22"/>
        </w:rPr>
        <w:t>se</w:t>
      </w:r>
      <w:r w:rsidR="004C59F9" w:rsidRPr="001E1E9D">
        <w:rPr>
          <w:rFonts w:asciiTheme="minorHAnsi" w:hAnsiTheme="minorHAnsi" w:cstheme="minorHAnsi"/>
          <w:sz w:val="22"/>
          <w:szCs w:val="22"/>
        </w:rPr>
        <w:t xml:space="preserve"> </w:t>
      </w:r>
      <w:r w:rsidR="00F960DD" w:rsidRPr="001E1E9D">
        <w:rPr>
          <w:rFonts w:asciiTheme="minorHAnsi" w:hAnsiTheme="minorHAnsi" w:cstheme="minorHAnsi"/>
          <w:sz w:val="22"/>
          <w:szCs w:val="22"/>
        </w:rPr>
        <w:t xml:space="preserve">patients, </w:t>
      </w:r>
      <w:r w:rsidR="004C59F9" w:rsidRPr="001E1E9D">
        <w:rPr>
          <w:rFonts w:asciiTheme="minorHAnsi" w:hAnsiTheme="minorHAnsi" w:cstheme="minorHAnsi"/>
          <w:sz w:val="22"/>
          <w:szCs w:val="22"/>
        </w:rPr>
        <w:t>50</w:t>
      </w:r>
      <w:r w:rsidR="00F960DD" w:rsidRPr="001E1E9D">
        <w:rPr>
          <w:rFonts w:asciiTheme="minorHAnsi" w:hAnsiTheme="minorHAnsi" w:cstheme="minorHAnsi"/>
          <w:sz w:val="22"/>
          <w:szCs w:val="22"/>
        </w:rPr>
        <w:t xml:space="preserve"> were consented for the risk of nausea and/or vomit</w:t>
      </w:r>
      <w:r w:rsidR="004C59F9" w:rsidRPr="001E1E9D">
        <w:rPr>
          <w:rFonts w:asciiTheme="minorHAnsi" w:hAnsiTheme="minorHAnsi" w:cstheme="minorHAnsi"/>
          <w:sz w:val="22"/>
          <w:szCs w:val="22"/>
        </w:rPr>
        <w:t>ing (83.3</w:t>
      </w:r>
      <w:r w:rsidR="00E93704">
        <w:rPr>
          <w:rFonts w:asciiTheme="minorHAnsi" w:hAnsiTheme="minorHAnsi" w:cstheme="minorHAnsi"/>
          <w:sz w:val="22"/>
          <w:szCs w:val="22"/>
        </w:rPr>
        <w:t>%). On two</w:t>
      </w:r>
      <w:r w:rsidR="00F960DD" w:rsidRPr="001E1E9D">
        <w:rPr>
          <w:rFonts w:asciiTheme="minorHAnsi" w:hAnsiTheme="minorHAnsi" w:cstheme="minorHAnsi"/>
          <w:sz w:val="22"/>
          <w:szCs w:val="22"/>
        </w:rPr>
        <w:t xml:space="preserve"> of the consent forms</w:t>
      </w:r>
      <w:r w:rsidR="004C59F9" w:rsidRPr="001E1E9D">
        <w:rPr>
          <w:rFonts w:asciiTheme="minorHAnsi" w:hAnsiTheme="minorHAnsi" w:cstheme="minorHAnsi"/>
          <w:sz w:val="22"/>
          <w:szCs w:val="22"/>
        </w:rPr>
        <w:t xml:space="preserve"> (3.3</w:t>
      </w:r>
      <w:r w:rsidR="00F960DD" w:rsidRPr="001E1E9D">
        <w:rPr>
          <w:rFonts w:asciiTheme="minorHAnsi" w:hAnsiTheme="minorHAnsi" w:cstheme="minorHAnsi"/>
          <w:sz w:val="22"/>
          <w:szCs w:val="22"/>
        </w:rPr>
        <w:t xml:space="preserve">%), the side effects </w:t>
      </w:r>
      <w:r>
        <w:rPr>
          <w:rFonts w:asciiTheme="minorHAnsi" w:hAnsiTheme="minorHAnsi" w:cstheme="minorHAnsi"/>
          <w:sz w:val="22"/>
          <w:szCs w:val="22"/>
        </w:rPr>
        <w:t>noted were illegible, meaning that at least</w:t>
      </w:r>
      <w:r w:rsidR="004C59F9" w:rsidRPr="001E1E9D">
        <w:rPr>
          <w:rFonts w:asciiTheme="minorHAnsi" w:hAnsiTheme="minorHAnsi" w:cstheme="minorHAnsi"/>
          <w:sz w:val="22"/>
          <w:szCs w:val="22"/>
        </w:rPr>
        <w:t xml:space="preserve"> </w:t>
      </w:r>
      <w:r w:rsidR="00E93704">
        <w:rPr>
          <w:rFonts w:asciiTheme="minorHAnsi" w:hAnsiTheme="minorHAnsi" w:cstheme="minorHAnsi"/>
          <w:sz w:val="22"/>
          <w:szCs w:val="22"/>
        </w:rPr>
        <w:t>eight</w:t>
      </w:r>
      <w:r w:rsidR="004C59F9" w:rsidRPr="001E1E9D">
        <w:rPr>
          <w:rFonts w:asciiTheme="minorHAnsi" w:hAnsiTheme="minorHAnsi" w:cstheme="minorHAnsi"/>
          <w:sz w:val="22"/>
          <w:szCs w:val="22"/>
        </w:rPr>
        <w:t xml:space="preserve"> patients (13.3</w:t>
      </w:r>
      <w:r w:rsidR="00F960DD" w:rsidRPr="001E1E9D">
        <w:rPr>
          <w:rFonts w:asciiTheme="minorHAnsi" w:hAnsiTheme="minorHAnsi" w:cstheme="minorHAnsi"/>
          <w:sz w:val="22"/>
          <w:szCs w:val="22"/>
        </w:rPr>
        <w:t>%)</w:t>
      </w:r>
      <w:r>
        <w:rPr>
          <w:rFonts w:asciiTheme="minorHAnsi" w:hAnsiTheme="minorHAnsi" w:cstheme="minorHAnsi"/>
          <w:sz w:val="22"/>
          <w:szCs w:val="22"/>
        </w:rPr>
        <w:t xml:space="preserve"> </w:t>
      </w:r>
      <w:r w:rsidR="00BE1B3F" w:rsidRPr="001E1E9D">
        <w:rPr>
          <w:rFonts w:asciiTheme="minorHAnsi" w:hAnsiTheme="minorHAnsi" w:cstheme="minorHAnsi"/>
          <w:sz w:val="22"/>
          <w:szCs w:val="22"/>
        </w:rPr>
        <w:t xml:space="preserve">were not consented for </w:t>
      </w:r>
      <w:r>
        <w:rPr>
          <w:rFonts w:asciiTheme="minorHAnsi" w:hAnsiTheme="minorHAnsi" w:cstheme="minorHAnsi"/>
          <w:sz w:val="22"/>
          <w:szCs w:val="22"/>
        </w:rPr>
        <w:t>RINV</w:t>
      </w:r>
      <w:r w:rsidR="008677A2" w:rsidRPr="001E1E9D">
        <w:rPr>
          <w:rFonts w:asciiTheme="minorHAnsi" w:hAnsiTheme="minorHAnsi" w:cstheme="minorHAnsi"/>
          <w:sz w:val="22"/>
          <w:szCs w:val="22"/>
        </w:rPr>
        <w:t xml:space="preserve"> by the</w:t>
      </w:r>
      <w:r w:rsidR="003C0DFE" w:rsidRPr="001E1E9D">
        <w:rPr>
          <w:rFonts w:asciiTheme="minorHAnsi" w:hAnsiTheme="minorHAnsi" w:cstheme="minorHAnsi"/>
          <w:sz w:val="22"/>
          <w:szCs w:val="22"/>
        </w:rPr>
        <w:t>ir clinician</w:t>
      </w:r>
      <w:r w:rsidR="00BE1B3F" w:rsidRPr="001E1E9D">
        <w:rPr>
          <w:rFonts w:asciiTheme="minorHAnsi" w:hAnsiTheme="minorHAnsi" w:cstheme="minorHAnsi"/>
          <w:sz w:val="22"/>
          <w:szCs w:val="22"/>
        </w:rPr>
        <w:t>.</w:t>
      </w:r>
      <w:bookmarkStart w:id="40" w:name="_Toc30175755"/>
      <w:bookmarkStart w:id="41" w:name="_Toc30176384"/>
      <w:bookmarkStart w:id="42" w:name="_Toc30176587"/>
      <w:bookmarkEnd w:id="37"/>
      <w:bookmarkEnd w:id="38"/>
      <w:bookmarkEnd w:id="39"/>
      <w:r w:rsidR="00EE25D1">
        <w:rPr>
          <w:rFonts w:asciiTheme="minorHAnsi" w:hAnsiTheme="minorHAnsi" w:cstheme="minorHAnsi"/>
          <w:sz w:val="22"/>
          <w:szCs w:val="22"/>
        </w:rPr>
        <w:t xml:space="preserve"> </w:t>
      </w:r>
      <w:r w:rsidR="00BE1B3F" w:rsidRPr="001E1E9D">
        <w:rPr>
          <w:rFonts w:asciiTheme="minorHAnsi" w:hAnsiTheme="minorHAnsi" w:cstheme="minorHAnsi"/>
          <w:sz w:val="22"/>
          <w:szCs w:val="22"/>
        </w:rPr>
        <w:t xml:space="preserve">Consultant oncologists were the member of staff most likely to perform the consent of </w:t>
      </w:r>
      <w:r w:rsidR="00F06027" w:rsidRPr="001E1E9D">
        <w:rPr>
          <w:rFonts w:asciiTheme="minorHAnsi" w:hAnsiTheme="minorHAnsi" w:cstheme="minorHAnsi"/>
          <w:sz w:val="22"/>
          <w:szCs w:val="22"/>
        </w:rPr>
        <w:t>high</w:t>
      </w:r>
      <w:r w:rsidR="00BE1B3F" w:rsidRPr="001E1E9D">
        <w:rPr>
          <w:rFonts w:asciiTheme="minorHAnsi" w:hAnsiTheme="minorHAnsi" w:cstheme="minorHAnsi"/>
          <w:sz w:val="22"/>
          <w:szCs w:val="22"/>
        </w:rPr>
        <w:t xml:space="preserve"> and </w:t>
      </w:r>
      <w:r w:rsidR="00E42FDC" w:rsidRPr="001E1E9D">
        <w:rPr>
          <w:rFonts w:asciiTheme="minorHAnsi" w:hAnsiTheme="minorHAnsi" w:cstheme="minorHAnsi"/>
          <w:sz w:val="22"/>
          <w:szCs w:val="22"/>
        </w:rPr>
        <w:t>moderate</w:t>
      </w:r>
      <w:r w:rsidR="00F06027" w:rsidRPr="001E1E9D">
        <w:rPr>
          <w:rFonts w:asciiTheme="minorHAnsi" w:hAnsiTheme="minorHAnsi" w:cstheme="minorHAnsi"/>
          <w:sz w:val="22"/>
          <w:szCs w:val="22"/>
        </w:rPr>
        <w:t xml:space="preserve"> </w:t>
      </w:r>
      <w:r>
        <w:rPr>
          <w:rFonts w:asciiTheme="minorHAnsi" w:hAnsiTheme="minorHAnsi" w:cstheme="minorHAnsi"/>
          <w:sz w:val="22"/>
          <w:szCs w:val="22"/>
        </w:rPr>
        <w:t xml:space="preserve">RINV </w:t>
      </w:r>
      <w:r w:rsidR="00BE1B3F" w:rsidRPr="001E1E9D">
        <w:rPr>
          <w:rFonts w:asciiTheme="minorHAnsi" w:hAnsiTheme="minorHAnsi" w:cstheme="minorHAnsi"/>
          <w:sz w:val="22"/>
          <w:szCs w:val="22"/>
        </w:rPr>
        <w:t>risk patients</w:t>
      </w:r>
      <w:r>
        <w:rPr>
          <w:rFonts w:asciiTheme="minorHAnsi" w:hAnsiTheme="minorHAnsi" w:cstheme="minorHAnsi"/>
          <w:sz w:val="22"/>
          <w:szCs w:val="22"/>
        </w:rPr>
        <w:t xml:space="preserve"> as seen in Table </w:t>
      </w:r>
      <w:r w:rsidR="008650B2">
        <w:rPr>
          <w:rFonts w:asciiTheme="minorHAnsi" w:hAnsiTheme="minorHAnsi" w:cstheme="minorHAnsi"/>
          <w:sz w:val="22"/>
          <w:szCs w:val="22"/>
        </w:rPr>
        <w:t>3</w:t>
      </w:r>
      <w:r w:rsidR="004C59F9" w:rsidRPr="001E1E9D">
        <w:rPr>
          <w:rFonts w:asciiTheme="minorHAnsi" w:hAnsiTheme="minorHAnsi" w:cstheme="minorHAnsi"/>
          <w:sz w:val="22"/>
          <w:szCs w:val="22"/>
        </w:rPr>
        <w:t>.</w:t>
      </w:r>
      <w:r>
        <w:rPr>
          <w:rFonts w:asciiTheme="minorHAnsi" w:hAnsiTheme="minorHAnsi" w:cstheme="minorHAnsi"/>
          <w:sz w:val="22"/>
          <w:szCs w:val="22"/>
        </w:rPr>
        <w:t xml:space="preserve"> Over 80% of patients consented had RINV included in the consent discussion, according to annotations; a breakdown of this by consenter role is shown in Table </w:t>
      </w:r>
      <w:r w:rsidR="007E7164">
        <w:rPr>
          <w:rFonts w:asciiTheme="minorHAnsi" w:hAnsiTheme="minorHAnsi" w:cstheme="minorHAnsi"/>
          <w:sz w:val="22"/>
          <w:szCs w:val="22"/>
        </w:rPr>
        <w:t>4</w:t>
      </w:r>
      <w:r>
        <w:rPr>
          <w:rFonts w:asciiTheme="minorHAnsi" w:hAnsiTheme="minorHAnsi" w:cstheme="minorHAnsi"/>
          <w:sz w:val="22"/>
          <w:szCs w:val="22"/>
        </w:rPr>
        <w:t xml:space="preserve">. </w:t>
      </w:r>
      <w:r w:rsidR="00350CE4" w:rsidRPr="001E1E9D">
        <w:rPr>
          <w:rStyle w:val="Heading3Char"/>
          <w:rFonts w:asciiTheme="minorHAnsi" w:hAnsiTheme="minorHAnsi" w:cstheme="minorHAnsi"/>
          <w:color w:val="000000" w:themeColor="text1"/>
          <w:sz w:val="22"/>
          <w:szCs w:val="22"/>
        </w:rPr>
        <w:t xml:space="preserve"> </w:t>
      </w:r>
    </w:p>
    <w:p w14:paraId="41AC601B" w14:textId="77777777" w:rsidR="00EE25D1" w:rsidRDefault="00EE25D1" w:rsidP="000C6FF6">
      <w:pPr>
        <w:spacing w:line="360" w:lineRule="auto"/>
        <w:jc w:val="both"/>
        <w:rPr>
          <w:rStyle w:val="Heading3Char"/>
          <w:rFonts w:asciiTheme="minorHAnsi" w:hAnsiTheme="minorHAnsi" w:cstheme="minorHAnsi"/>
          <w:color w:val="000000" w:themeColor="text1"/>
          <w:sz w:val="22"/>
          <w:szCs w:val="22"/>
        </w:rPr>
      </w:pPr>
    </w:p>
    <w:p w14:paraId="0CEFCD12" w14:textId="30A416F0" w:rsidR="00EA575A" w:rsidRPr="00EE25D1" w:rsidRDefault="00EA575A" w:rsidP="000C6FF6">
      <w:pPr>
        <w:spacing w:line="360" w:lineRule="auto"/>
        <w:jc w:val="both"/>
        <w:rPr>
          <w:rStyle w:val="Heading3Char"/>
          <w:rFonts w:asciiTheme="minorHAnsi" w:hAnsiTheme="minorHAnsi" w:cstheme="minorHAnsi"/>
          <w:b/>
          <w:color w:val="000000" w:themeColor="text1"/>
          <w:sz w:val="22"/>
          <w:szCs w:val="22"/>
        </w:rPr>
      </w:pPr>
      <w:r w:rsidRPr="00EE25D1">
        <w:rPr>
          <w:rStyle w:val="Heading3Char"/>
          <w:rFonts w:asciiTheme="minorHAnsi" w:hAnsiTheme="minorHAnsi" w:cstheme="minorHAnsi"/>
          <w:b/>
          <w:color w:val="000000" w:themeColor="text1"/>
          <w:sz w:val="22"/>
          <w:szCs w:val="22"/>
        </w:rPr>
        <w:t xml:space="preserve">Table </w:t>
      </w:r>
      <w:r w:rsidR="007E7164">
        <w:rPr>
          <w:rStyle w:val="Heading3Char"/>
          <w:rFonts w:asciiTheme="minorHAnsi" w:hAnsiTheme="minorHAnsi" w:cstheme="minorHAnsi"/>
          <w:b/>
          <w:color w:val="000000" w:themeColor="text1"/>
          <w:sz w:val="22"/>
          <w:szCs w:val="22"/>
        </w:rPr>
        <w:t>4</w:t>
      </w:r>
      <w:r w:rsidRPr="00EE25D1">
        <w:rPr>
          <w:rStyle w:val="Heading3Char"/>
          <w:rFonts w:asciiTheme="minorHAnsi" w:hAnsiTheme="minorHAnsi" w:cstheme="minorHAnsi"/>
          <w:b/>
          <w:color w:val="000000" w:themeColor="text1"/>
          <w:sz w:val="22"/>
          <w:szCs w:val="22"/>
        </w:rPr>
        <w:t>: RINV consent inclusion</w:t>
      </w:r>
    </w:p>
    <w:tbl>
      <w:tblPr>
        <w:tblStyle w:val="TableGrid"/>
        <w:tblW w:w="9067" w:type="dxa"/>
        <w:tblLook w:val="04A0" w:firstRow="1" w:lastRow="0" w:firstColumn="1" w:lastColumn="0" w:noHBand="0" w:noVBand="1"/>
      </w:tblPr>
      <w:tblGrid>
        <w:gridCol w:w="3022"/>
        <w:gridCol w:w="3022"/>
        <w:gridCol w:w="3023"/>
      </w:tblGrid>
      <w:tr w:rsidR="00FA527F" w14:paraId="508DBEC0" w14:textId="77777777" w:rsidTr="008650B2">
        <w:tc>
          <w:tcPr>
            <w:tcW w:w="3022" w:type="dxa"/>
          </w:tcPr>
          <w:p w14:paraId="669AD62C" w14:textId="77777777" w:rsidR="00FA527F" w:rsidRPr="00EA575A" w:rsidRDefault="00FA527F" w:rsidP="00EA575A">
            <w:pPr>
              <w:spacing w:line="360" w:lineRule="auto"/>
              <w:jc w:val="center"/>
              <w:rPr>
                <w:rStyle w:val="Heading3Char"/>
                <w:rFonts w:asciiTheme="minorHAnsi" w:hAnsiTheme="minorHAnsi" w:cstheme="minorHAnsi"/>
                <w:b/>
                <w:color w:val="000000" w:themeColor="text1"/>
                <w:sz w:val="22"/>
                <w:szCs w:val="22"/>
              </w:rPr>
            </w:pPr>
            <w:r w:rsidRPr="00EA575A">
              <w:rPr>
                <w:rStyle w:val="Heading3Char"/>
                <w:rFonts w:asciiTheme="minorHAnsi" w:hAnsiTheme="minorHAnsi" w:cstheme="minorHAnsi"/>
                <w:b/>
                <w:color w:val="000000" w:themeColor="text1"/>
                <w:sz w:val="22"/>
                <w:szCs w:val="22"/>
              </w:rPr>
              <w:t>Consenter Role</w:t>
            </w:r>
          </w:p>
        </w:tc>
        <w:tc>
          <w:tcPr>
            <w:tcW w:w="3022" w:type="dxa"/>
          </w:tcPr>
          <w:p w14:paraId="5D173D62" w14:textId="77777777" w:rsidR="00FA527F" w:rsidRPr="00EA575A" w:rsidRDefault="00FA527F" w:rsidP="00EA575A">
            <w:pPr>
              <w:spacing w:line="360" w:lineRule="auto"/>
              <w:jc w:val="center"/>
              <w:rPr>
                <w:rStyle w:val="Heading3Char"/>
                <w:rFonts w:asciiTheme="minorHAnsi" w:hAnsiTheme="minorHAnsi" w:cstheme="minorHAnsi"/>
                <w:b/>
                <w:color w:val="000000" w:themeColor="text1"/>
                <w:sz w:val="22"/>
                <w:szCs w:val="22"/>
              </w:rPr>
            </w:pPr>
            <w:r w:rsidRPr="00EA575A">
              <w:rPr>
                <w:rStyle w:val="Heading3Char"/>
                <w:rFonts w:asciiTheme="minorHAnsi" w:hAnsiTheme="minorHAnsi" w:cstheme="minorHAnsi"/>
                <w:b/>
                <w:color w:val="000000" w:themeColor="text1"/>
                <w:sz w:val="22"/>
                <w:szCs w:val="22"/>
              </w:rPr>
              <w:t>Total Consents</w:t>
            </w:r>
          </w:p>
        </w:tc>
        <w:tc>
          <w:tcPr>
            <w:tcW w:w="3023" w:type="dxa"/>
          </w:tcPr>
          <w:p w14:paraId="5F9ACBEA" w14:textId="77777777" w:rsidR="00FA527F" w:rsidRPr="00EA575A" w:rsidRDefault="00FA527F" w:rsidP="00EA575A">
            <w:pPr>
              <w:spacing w:line="360" w:lineRule="auto"/>
              <w:jc w:val="center"/>
              <w:rPr>
                <w:rStyle w:val="Heading3Char"/>
                <w:rFonts w:asciiTheme="minorHAnsi" w:hAnsiTheme="minorHAnsi" w:cstheme="minorHAnsi"/>
                <w:b/>
                <w:color w:val="000000" w:themeColor="text1"/>
                <w:sz w:val="22"/>
                <w:szCs w:val="22"/>
              </w:rPr>
            </w:pPr>
            <w:r w:rsidRPr="00EA575A">
              <w:rPr>
                <w:rStyle w:val="Heading3Char"/>
                <w:rFonts w:asciiTheme="minorHAnsi" w:hAnsiTheme="minorHAnsi" w:cstheme="minorHAnsi"/>
                <w:b/>
                <w:color w:val="000000" w:themeColor="text1"/>
                <w:sz w:val="22"/>
                <w:szCs w:val="22"/>
              </w:rPr>
              <w:t>RINV included</w:t>
            </w:r>
          </w:p>
        </w:tc>
      </w:tr>
      <w:tr w:rsidR="00FA527F" w14:paraId="1C3CFFCF" w14:textId="77777777" w:rsidTr="008650B2">
        <w:tc>
          <w:tcPr>
            <w:tcW w:w="3022" w:type="dxa"/>
          </w:tcPr>
          <w:p w14:paraId="68DBB76B" w14:textId="77777777" w:rsidR="00FA527F" w:rsidRDefault="00EA575A" w:rsidP="00FA527F">
            <w:pPr>
              <w:spacing w:line="360" w:lineRule="auto"/>
              <w:jc w:val="both"/>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Consultant oncologist</w:t>
            </w:r>
          </w:p>
        </w:tc>
        <w:tc>
          <w:tcPr>
            <w:tcW w:w="3022" w:type="dxa"/>
          </w:tcPr>
          <w:p w14:paraId="501884BF"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38.3</w:t>
            </w:r>
            <w:r>
              <w:rPr>
                <w:rFonts w:asciiTheme="minorHAnsi" w:hAnsiTheme="minorHAnsi" w:cstheme="minorHAnsi"/>
                <w:sz w:val="22"/>
                <w:szCs w:val="22"/>
              </w:rPr>
              <w:t>% (n=23)</w:t>
            </w:r>
          </w:p>
        </w:tc>
        <w:tc>
          <w:tcPr>
            <w:tcW w:w="3023" w:type="dxa"/>
          </w:tcPr>
          <w:p w14:paraId="57A97D69" w14:textId="2210CBCF"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82.</w:t>
            </w:r>
            <w:r w:rsidR="008650B2">
              <w:rPr>
                <w:rFonts w:asciiTheme="minorHAnsi" w:hAnsiTheme="minorHAnsi" w:cstheme="minorHAnsi"/>
                <w:sz w:val="22"/>
                <w:szCs w:val="22"/>
              </w:rPr>
              <w:t>7</w:t>
            </w:r>
            <w:r w:rsidRPr="001E1E9D">
              <w:rPr>
                <w:rFonts w:asciiTheme="minorHAnsi" w:hAnsiTheme="minorHAnsi" w:cstheme="minorHAnsi"/>
                <w:sz w:val="22"/>
                <w:szCs w:val="22"/>
              </w:rPr>
              <w:t>% (n=19)</w:t>
            </w:r>
          </w:p>
        </w:tc>
      </w:tr>
      <w:tr w:rsidR="00FA527F" w14:paraId="7F211F90" w14:textId="77777777" w:rsidTr="008650B2">
        <w:tc>
          <w:tcPr>
            <w:tcW w:w="3022" w:type="dxa"/>
          </w:tcPr>
          <w:p w14:paraId="6B2E79CB" w14:textId="77777777" w:rsidR="00FA527F" w:rsidRDefault="00EA575A" w:rsidP="00FA527F">
            <w:pPr>
              <w:spacing w:line="360" w:lineRule="auto"/>
              <w:jc w:val="both"/>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Registrar</w:t>
            </w:r>
          </w:p>
        </w:tc>
        <w:tc>
          <w:tcPr>
            <w:tcW w:w="3022" w:type="dxa"/>
          </w:tcPr>
          <w:p w14:paraId="71035987"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35%</w:t>
            </w:r>
            <w:r>
              <w:rPr>
                <w:rFonts w:asciiTheme="minorHAnsi" w:hAnsiTheme="minorHAnsi" w:cstheme="minorHAnsi"/>
                <w:sz w:val="22"/>
                <w:szCs w:val="22"/>
              </w:rPr>
              <w:t xml:space="preserve"> (n=21</w:t>
            </w:r>
            <w:r w:rsidRPr="001E1E9D">
              <w:rPr>
                <w:rFonts w:asciiTheme="minorHAnsi" w:hAnsiTheme="minorHAnsi" w:cstheme="minorHAnsi"/>
                <w:sz w:val="22"/>
                <w:szCs w:val="22"/>
              </w:rPr>
              <w:t>)</w:t>
            </w:r>
          </w:p>
        </w:tc>
        <w:tc>
          <w:tcPr>
            <w:tcW w:w="3023" w:type="dxa"/>
          </w:tcPr>
          <w:p w14:paraId="288E88C1"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8</w:t>
            </w:r>
            <w:r w:rsidR="008650B2">
              <w:rPr>
                <w:rFonts w:asciiTheme="minorHAnsi" w:hAnsiTheme="minorHAnsi" w:cstheme="minorHAnsi"/>
                <w:sz w:val="22"/>
                <w:szCs w:val="22"/>
              </w:rPr>
              <w:t>1</w:t>
            </w:r>
            <w:r w:rsidRPr="001E1E9D">
              <w:rPr>
                <w:rFonts w:asciiTheme="minorHAnsi" w:hAnsiTheme="minorHAnsi" w:cstheme="minorHAnsi"/>
                <w:sz w:val="22"/>
                <w:szCs w:val="22"/>
              </w:rPr>
              <w:t>% (n=17)</w:t>
            </w:r>
          </w:p>
        </w:tc>
      </w:tr>
      <w:tr w:rsidR="00FA527F" w14:paraId="40534BFC" w14:textId="77777777" w:rsidTr="008650B2">
        <w:tc>
          <w:tcPr>
            <w:tcW w:w="3022" w:type="dxa"/>
          </w:tcPr>
          <w:p w14:paraId="34C4D425" w14:textId="77777777" w:rsidR="00FA527F" w:rsidRDefault="00EA575A" w:rsidP="00EA575A">
            <w:pPr>
              <w:spacing w:line="360" w:lineRule="auto"/>
              <w:jc w:val="both"/>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AHP*</w:t>
            </w:r>
          </w:p>
        </w:tc>
        <w:tc>
          <w:tcPr>
            <w:tcW w:w="3022" w:type="dxa"/>
          </w:tcPr>
          <w:p w14:paraId="7E0B5A97"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23.3%</w:t>
            </w:r>
            <w:r>
              <w:rPr>
                <w:rFonts w:asciiTheme="minorHAnsi" w:hAnsiTheme="minorHAnsi" w:cstheme="minorHAnsi"/>
                <w:sz w:val="22"/>
                <w:szCs w:val="22"/>
              </w:rPr>
              <w:t xml:space="preserve"> (n=14</w:t>
            </w:r>
            <w:r w:rsidRPr="001E1E9D">
              <w:rPr>
                <w:rFonts w:asciiTheme="minorHAnsi" w:hAnsiTheme="minorHAnsi" w:cstheme="minorHAnsi"/>
                <w:sz w:val="22"/>
                <w:szCs w:val="22"/>
              </w:rPr>
              <w:t>)</w:t>
            </w:r>
          </w:p>
        </w:tc>
        <w:tc>
          <w:tcPr>
            <w:tcW w:w="3023" w:type="dxa"/>
          </w:tcPr>
          <w:p w14:paraId="149F5A2E"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92.</w:t>
            </w:r>
            <w:r w:rsidR="008650B2">
              <w:rPr>
                <w:rFonts w:asciiTheme="minorHAnsi" w:hAnsiTheme="minorHAnsi" w:cstheme="minorHAnsi"/>
                <w:sz w:val="22"/>
                <w:szCs w:val="22"/>
              </w:rPr>
              <w:t>9</w:t>
            </w:r>
            <w:r w:rsidRPr="001E1E9D">
              <w:rPr>
                <w:rFonts w:asciiTheme="minorHAnsi" w:hAnsiTheme="minorHAnsi" w:cstheme="minorHAnsi"/>
                <w:sz w:val="22"/>
                <w:szCs w:val="22"/>
              </w:rPr>
              <w:t>% (n=13)</w:t>
            </w:r>
          </w:p>
        </w:tc>
      </w:tr>
      <w:tr w:rsidR="00FA527F" w14:paraId="244160BE" w14:textId="77777777" w:rsidTr="008650B2">
        <w:tc>
          <w:tcPr>
            <w:tcW w:w="3022" w:type="dxa"/>
          </w:tcPr>
          <w:p w14:paraId="5696E201" w14:textId="77777777" w:rsidR="00FA527F" w:rsidRDefault="00EA575A" w:rsidP="00FA527F">
            <w:pPr>
              <w:spacing w:line="360" w:lineRule="auto"/>
              <w:jc w:val="both"/>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Clinical fellow</w:t>
            </w:r>
          </w:p>
        </w:tc>
        <w:tc>
          <w:tcPr>
            <w:tcW w:w="3022" w:type="dxa"/>
          </w:tcPr>
          <w:p w14:paraId="756929EF"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1.</w:t>
            </w:r>
            <w:r w:rsidR="008650B2">
              <w:rPr>
                <w:rFonts w:asciiTheme="minorHAnsi" w:hAnsiTheme="minorHAnsi" w:cstheme="minorHAnsi"/>
                <w:sz w:val="22"/>
                <w:szCs w:val="22"/>
              </w:rPr>
              <w:t>7</w:t>
            </w:r>
            <w:r w:rsidRPr="001E1E9D">
              <w:rPr>
                <w:rFonts w:asciiTheme="minorHAnsi" w:hAnsiTheme="minorHAnsi" w:cstheme="minorHAnsi"/>
                <w:sz w:val="22"/>
                <w:szCs w:val="22"/>
              </w:rPr>
              <w:t>%</w:t>
            </w:r>
            <w:r w:rsidR="005B0D3F">
              <w:rPr>
                <w:rFonts w:asciiTheme="minorHAnsi" w:hAnsiTheme="minorHAnsi" w:cstheme="minorHAnsi"/>
                <w:sz w:val="22"/>
                <w:szCs w:val="22"/>
              </w:rPr>
              <w:t xml:space="preserve"> (n=1)</w:t>
            </w:r>
          </w:p>
        </w:tc>
        <w:tc>
          <w:tcPr>
            <w:tcW w:w="3023" w:type="dxa"/>
          </w:tcPr>
          <w:p w14:paraId="5E7AB367" w14:textId="77777777" w:rsidR="00FA527F" w:rsidRDefault="00EA575A" w:rsidP="005B0D3F">
            <w:pPr>
              <w:spacing w:line="360" w:lineRule="auto"/>
              <w:jc w:val="center"/>
              <w:rPr>
                <w:rStyle w:val="Heading3Char"/>
                <w:rFonts w:asciiTheme="minorHAnsi" w:hAnsiTheme="minorHAnsi" w:cstheme="minorHAnsi"/>
                <w:color w:val="000000" w:themeColor="text1"/>
                <w:sz w:val="22"/>
                <w:szCs w:val="22"/>
              </w:rPr>
            </w:pPr>
            <w:r w:rsidRPr="001E1E9D">
              <w:rPr>
                <w:rFonts w:asciiTheme="minorHAnsi" w:hAnsiTheme="minorHAnsi" w:cstheme="minorHAnsi"/>
                <w:sz w:val="22"/>
                <w:szCs w:val="22"/>
              </w:rPr>
              <w:t>100%</w:t>
            </w:r>
            <w:r w:rsidR="005B0D3F">
              <w:rPr>
                <w:rFonts w:asciiTheme="minorHAnsi" w:hAnsiTheme="minorHAnsi" w:cstheme="minorHAnsi"/>
                <w:sz w:val="22"/>
                <w:szCs w:val="22"/>
              </w:rPr>
              <w:t xml:space="preserve"> (n=1)</w:t>
            </w:r>
          </w:p>
        </w:tc>
      </w:tr>
      <w:tr w:rsidR="00EA575A" w14:paraId="0C6D57B5" w14:textId="77777777" w:rsidTr="008650B2">
        <w:tc>
          <w:tcPr>
            <w:tcW w:w="3022" w:type="dxa"/>
          </w:tcPr>
          <w:p w14:paraId="7B292932" w14:textId="77777777" w:rsidR="00EA575A" w:rsidRDefault="00EA575A" w:rsidP="00FA527F">
            <w:pPr>
              <w:spacing w:line="360" w:lineRule="auto"/>
              <w:jc w:val="both"/>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Illegible</w:t>
            </w:r>
          </w:p>
        </w:tc>
        <w:tc>
          <w:tcPr>
            <w:tcW w:w="3022" w:type="dxa"/>
          </w:tcPr>
          <w:p w14:paraId="751E4AA3" w14:textId="77777777" w:rsidR="00EA575A" w:rsidRPr="001E1E9D" w:rsidRDefault="00EA575A" w:rsidP="005B0D3F">
            <w:pPr>
              <w:spacing w:line="360" w:lineRule="auto"/>
              <w:jc w:val="center"/>
              <w:rPr>
                <w:rFonts w:asciiTheme="minorHAnsi" w:hAnsiTheme="minorHAnsi" w:cstheme="minorHAnsi"/>
                <w:sz w:val="22"/>
                <w:szCs w:val="22"/>
              </w:rPr>
            </w:pPr>
            <w:r w:rsidRPr="001E1E9D">
              <w:rPr>
                <w:rFonts w:asciiTheme="minorHAnsi" w:hAnsiTheme="minorHAnsi" w:cstheme="minorHAnsi"/>
                <w:sz w:val="22"/>
                <w:szCs w:val="22"/>
              </w:rPr>
              <w:t>1.</w:t>
            </w:r>
            <w:r w:rsidR="008650B2">
              <w:rPr>
                <w:rFonts w:asciiTheme="minorHAnsi" w:hAnsiTheme="minorHAnsi" w:cstheme="minorHAnsi"/>
                <w:sz w:val="22"/>
                <w:szCs w:val="22"/>
              </w:rPr>
              <w:t>7</w:t>
            </w:r>
            <w:r w:rsidRPr="001E1E9D">
              <w:rPr>
                <w:rFonts w:asciiTheme="minorHAnsi" w:hAnsiTheme="minorHAnsi" w:cstheme="minorHAnsi"/>
                <w:sz w:val="22"/>
                <w:szCs w:val="22"/>
              </w:rPr>
              <w:t>%</w:t>
            </w:r>
            <w:r w:rsidR="005B0D3F">
              <w:rPr>
                <w:rFonts w:asciiTheme="minorHAnsi" w:hAnsiTheme="minorHAnsi" w:cstheme="minorHAnsi"/>
                <w:sz w:val="22"/>
                <w:szCs w:val="22"/>
              </w:rPr>
              <w:t xml:space="preserve"> (n=1)</w:t>
            </w:r>
          </w:p>
        </w:tc>
        <w:tc>
          <w:tcPr>
            <w:tcW w:w="3023" w:type="dxa"/>
          </w:tcPr>
          <w:p w14:paraId="26224993" w14:textId="77777777" w:rsidR="00EA575A" w:rsidRDefault="005B0D3F" w:rsidP="005B0D3F">
            <w:pPr>
              <w:spacing w:line="360" w:lineRule="auto"/>
              <w:jc w:val="center"/>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Unknown</w:t>
            </w:r>
          </w:p>
        </w:tc>
      </w:tr>
    </w:tbl>
    <w:p w14:paraId="59CA8349" w14:textId="77777777" w:rsidR="00FA527F" w:rsidRDefault="00FA527F" w:rsidP="000C6FF6">
      <w:pPr>
        <w:spacing w:line="360" w:lineRule="auto"/>
        <w:jc w:val="both"/>
        <w:rPr>
          <w:rStyle w:val="Heading3Char"/>
          <w:rFonts w:asciiTheme="minorHAnsi" w:hAnsiTheme="minorHAnsi" w:cstheme="minorHAnsi"/>
          <w:color w:val="000000" w:themeColor="text1"/>
          <w:sz w:val="22"/>
          <w:szCs w:val="22"/>
        </w:rPr>
      </w:pPr>
    </w:p>
    <w:p w14:paraId="491B5AC4" w14:textId="77777777" w:rsidR="00EA575A" w:rsidRDefault="00EA575A" w:rsidP="000C6FF6">
      <w:pPr>
        <w:spacing w:line="360" w:lineRule="auto"/>
        <w:jc w:val="both"/>
        <w:rPr>
          <w:rStyle w:val="Heading3Char"/>
          <w:rFonts w:asciiTheme="minorHAnsi" w:hAnsiTheme="minorHAnsi" w:cstheme="minorHAnsi"/>
          <w:color w:val="000000" w:themeColor="text1"/>
          <w:sz w:val="22"/>
          <w:szCs w:val="22"/>
        </w:rPr>
      </w:pPr>
      <w:r>
        <w:rPr>
          <w:rStyle w:val="Heading3Char"/>
          <w:rFonts w:asciiTheme="minorHAnsi" w:hAnsiTheme="minorHAnsi" w:cstheme="minorHAnsi"/>
          <w:color w:val="000000" w:themeColor="text1"/>
          <w:sz w:val="22"/>
          <w:szCs w:val="22"/>
        </w:rPr>
        <w:t xml:space="preserve">Key: AHP = specialist </w:t>
      </w:r>
      <w:r w:rsidR="00EE25D1">
        <w:rPr>
          <w:rStyle w:val="Heading3Char"/>
          <w:rFonts w:asciiTheme="minorHAnsi" w:hAnsiTheme="minorHAnsi" w:cstheme="minorHAnsi"/>
          <w:color w:val="000000" w:themeColor="text1"/>
          <w:sz w:val="22"/>
          <w:szCs w:val="22"/>
        </w:rPr>
        <w:t>(</w:t>
      </w:r>
      <w:r>
        <w:rPr>
          <w:rStyle w:val="Heading3Char"/>
          <w:rFonts w:asciiTheme="minorHAnsi" w:hAnsiTheme="minorHAnsi" w:cstheme="minorHAnsi"/>
          <w:color w:val="000000" w:themeColor="text1"/>
          <w:sz w:val="22"/>
          <w:szCs w:val="22"/>
        </w:rPr>
        <w:t>radiographer</w:t>
      </w:r>
      <w:r w:rsidR="00EE25D1">
        <w:rPr>
          <w:rStyle w:val="Heading3Char"/>
          <w:rFonts w:asciiTheme="minorHAnsi" w:hAnsiTheme="minorHAnsi" w:cstheme="minorHAnsi"/>
          <w:color w:val="000000" w:themeColor="text1"/>
          <w:sz w:val="22"/>
          <w:szCs w:val="22"/>
        </w:rPr>
        <w:t xml:space="preserve"> or </w:t>
      </w:r>
      <w:r>
        <w:rPr>
          <w:rStyle w:val="Heading3Char"/>
          <w:rFonts w:asciiTheme="minorHAnsi" w:hAnsiTheme="minorHAnsi" w:cstheme="minorHAnsi"/>
          <w:color w:val="000000" w:themeColor="text1"/>
          <w:sz w:val="22"/>
          <w:szCs w:val="22"/>
        </w:rPr>
        <w:t>nurse</w:t>
      </w:r>
      <w:r w:rsidR="00EE25D1">
        <w:rPr>
          <w:rStyle w:val="Heading3Char"/>
          <w:rFonts w:asciiTheme="minorHAnsi" w:hAnsiTheme="minorHAnsi" w:cstheme="minorHAnsi"/>
          <w:color w:val="000000" w:themeColor="text1"/>
          <w:sz w:val="22"/>
          <w:szCs w:val="22"/>
        </w:rPr>
        <w:t>)</w:t>
      </w:r>
      <w:r w:rsidRPr="00EA575A">
        <w:rPr>
          <w:rStyle w:val="Heading3Char"/>
          <w:rFonts w:asciiTheme="minorHAnsi" w:hAnsiTheme="minorHAnsi" w:cstheme="minorHAnsi"/>
          <w:color w:val="000000" w:themeColor="text1"/>
          <w:sz w:val="22"/>
          <w:szCs w:val="22"/>
        </w:rPr>
        <w:t xml:space="preserve"> or meta</w:t>
      </w:r>
      <w:r>
        <w:rPr>
          <w:rStyle w:val="Heading3Char"/>
          <w:rFonts w:asciiTheme="minorHAnsi" w:hAnsiTheme="minorHAnsi" w:cstheme="minorHAnsi"/>
          <w:color w:val="000000" w:themeColor="text1"/>
          <w:sz w:val="22"/>
          <w:szCs w:val="22"/>
        </w:rPr>
        <w:t xml:space="preserve">static spinal cord compression </w:t>
      </w:r>
      <w:r w:rsidR="00EE25D1">
        <w:rPr>
          <w:rStyle w:val="Heading3Char"/>
          <w:rFonts w:asciiTheme="minorHAnsi" w:hAnsiTheme="minorHAnsi" w:cstheme="minorHAnsi"/>
          <w:color w:val="000000" w:themeColor="text1"/>
          <w:sz w:val="22"/>
          <w:szCs w:val="22"/>
        </w:rPr>
        <w:t>co-ordinator</w:t>
      </w:r>
    </w:p>
    <w:bookmarkEnd w:id="40"/>
    <w:bookmarkEnd w:id="41"/>
    <w:bookmarkEnd w:id="42"/>
    <w:p w14:paraId="3975E37A" w14:textId="77777777" w:rsidR="0015743D" w:rsidRPr="001E1E9D" w:rsidRDefault="0015743D" w:rsidP="000C6FF6">
      <w:pPr>
        <w:spacing w:line="360" w:lineRule="auto"/>
        <w:jc w:val="both"/>
        <w:rPr>
          <w:rStyle w:val="Heading3Char"/>
          <w:rFonts w:asciiTheme="minorHAnsi" w:hAnsiTheme="minorHAnsi" w:cstheme="minorHAnsi"/>
          <w:color w:val="000000" w:themeColor="text1"/>
          <w:sz w:val="22"/>
          <w:szCs w:val="22"/>
        </w:rPr>
      </w:pPr>
    </w:p>
    <w:p w14:paraId="7AA483BA" w14:textId="246C49B2" w:rsidR="00FE2D4E" w:rsidRPr="001E1E9D" w:rsidRDefault="00473246" w:rsidP="000C6FF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When prescription data was analysed, prophylactic </w:t>
      </w:r>
      <w:r w:rsidR="00F86BD5">
        <w:rPr>
          <w:rFonts w:asciiTheme="minorHAnsi" w:hAnsiTheme="minorHAnsi" w:cstheme="minorHAnsi"/>
          <w:sz w:val="22"/>
          <w:szCs w:val="22"/>
        </w:rPr>
        <w:t>antiemetic</w:t>
      </w:r>
      <w:r>
        <w:rPr>
          <w:rFonts w:asciiTheme="minorHAnsi" w:hAnsiTheme="minorHAnsi" w:cstheme="minorHAnsi"/>
          <w:sz w:val="22"/>
          <w:szCs w:val="22"/>
        </w:rPr>
        <w:t>s were only prescribed to</w:t>
      </w:r>
      <w:r w:rsidR="007F36D9" w:rsidRPr="001E1E9D">
        <w:rPr>
          <w:rFonts w:asciiTheme="minorHAnsi" w:hAnsiTheme="minorHAnsi" w:cstheme="minorHAnsi"/>
          <w:sz w:val="22"/>
          <w:szCs w:val="22"/>
        </w:rPr>
        <w:t xml:space="preserve"> 28 (46.7%) </w:t>
      </w:r>
      <w:r>
        <w:rPr>
          <w:rFonts w:asciiTheme="minorHAnsi" w:hAnsiTheme="minorHAnsi" w:cstheme="minorHAnsi"/>
          <w:sz w:val="22"/>
          <w:szCs w:val="22"/>
        </w:rPr>
        <w:t xml:space="preserve">of all audited </w:t>
      </w:r>
      <w:r w:rsidR="007F36D9" w:rsidRPr="001E1E9D">
        <w:rPr>
          <w:rFonts w:asciiTheme="minorHAnsi" w:hAnsiTheme="minorHAnsi" w:cstheme="minorHAnsi"/>
          <w:sz w:val="22"/>
          <w:szCs w:val="22"/>
        </w:rPr>
        <w:t xml:space="preserve">patients. </w:t>
      </w:r>
      <w:r>
        <w:rPr>
          <w:rFonts w:asciiTheme="minorHAnsi" w:hAnsiTheme="minorHAnsi" w:cstheme="minorHAnsi"/>
          <w:sz w:val="22"/>
          <w:szCs w:val="22"/>
        </w:rPr>
        <w:t>Out of the 50 patients who provide</w:t>
      </w:r>
      <w:r w:rsidR="00E85DEC">
        <w:rPr>
          <w:rFonts w:asciiTheme="minorHAnsi" w:hAnsiTheme="minorHAnsi" w:cstheme="minorHAnsi"/>
          <w:sz w:val="22"/>
          <w:szCs w:val="22"/>
        </w:rPr>
        <w:t>d</w:t>
      </w:r>
      <w:r>
        <w:rPr>
          <w:rFonts w:asciiTheme="minorHAnsi" w:hAnsiTheme="minorHAnsi" w:cstheme="minorHAnsi"/>
          <w:sz w:val="22"/>
          <w:szCs w:val="22"/>
        </w:rPr>
        <w:t xml:space="preserve"> informed consent including RINV side-effects</w:t>
      </w:r>
      <w:r w:rsidR="00A72649" w:rsidRPr="001E1E9D">
        <w:rPr>
          <w:rFonts w:asciiTheme="minorHAnsi" w:hAnsiTheme="minorHAnsi" w:cstheme="minorHAnsi"/>
          <w:sz w:val="22"/>
          <w:szCs w:val="22"/>
        </w:rPr>
        <w:t>, only 24 (48%)</w:t>
      </w:r>
      <w:r w:rsidR="007F36D9" w:rsidRPr="001E1E9D">
        <w:rPr>
          <w:rFonts w:asciiTheme="minorHAnsi" w:hAnsiTheme="minorHAnsi" w:cstheme="minorHAnsi"/>
          <w:sz w:val="22"/>
          <w:szCs w:val="22"/>
        </w:rPr>
        <w:t xml:space="preserve"> were prescribed an antiemetic prior to their treatment. </w:t>
      </w:r>
      <w:r w:rsidR="00F92059" w:rsidRPr="001E1E9D">
        <w:rPr>
          <w:rFonts w:asciiTheme="minorHAnsi" w:hAnsiTheme="minorHAnsi" w:cstheme="minorHAnsi"/>
          <w:sz w:val="22"/>
          <w:szCs w:val="22"/>
        </w:rPr>
        <w:t xml:space="preserve">Of the </w:t>
      </w:r>
      <w:r>
        <w:rPr>
          <w:rFonts w:asciiTheme="minorHAnsi" w:hAnsiTheme="minorHAnsi" w:cstheme="minorHAnsi"/>
          <w:sz w:val="22"/>
          <w:szCs w:val="22"/>
        </w:rPr>
        <w:t xml:space="preserve">32 </w:t>
      </w:r>
      <w:r w:rsidR="00F92059" w:rsidRPr="001E1E9D">
        <w:rPr>
          <w:rFonts w:asciiTheme="minorHAnsi" w:hAnsiTheme="minorHAnsi" w:cstheme="minorHAnsi"/>
          <w:sz w:val="22"/>
          <w:szCs w:val="22"/>
        </w:rPr>
        <w:t>pati</w:t>
      </w:r>
      <w:r w:rsidR="00FE2D4E" w:rsidRPr="001E1E9D">
        <w:rPr>
          <w:rFonts w:asciiTheme="minorHAnsi" w:hAnsiTheme="minorHAnsi" w:cstheme="minorHAnsi"/>
          <w:sz w:val="22"/>
          <w:szCs w:val="22"/>
        </w:rPr>
        <w:t>ents who w</w:t>
      </w:r>
      <w:r>
        <w:rPr>
          <w:rFonts w:asciiTheme="minorHAnsi" w:hAnsiTheme="minorHAnsi" w:cstheme="minorHAnsi"/>
          <w:sz w:val="22"/>
          <w:szCs w:val="22"/>
        </w:rPr>
        <w:t xml:space="preserve">ere not prescribed </w:t>
      </w:r>
      <w:r w:rsidR="00F86BD5">
        <w:rPr>
          <w:rFonts w:asciiTheme="minorHAnsi" w:hAnsiTheme="minorHAnsi" w:cstheme="minorHAnsi"/>
          <w:sz w:val="22"/>
          <w:szCs w:val="22"/>
        </w:rPr>
        <w:t>Ondansetron</w:t>
      </w:r>
      <w:r>
        <w:rPr>
          <w:rFonts w:asciiTheme="minorHAnsi" w:hAnsiTheme="minorHAnsi" w:cstheme="minorHAnsi"/>
          <w:sz w:val="22"/>
          <w:szCs w:val="22"/>
        </w:rPr>
        <w:t>, 10 were already on dexamethasone</w:t>
      </w:r>
      <w:r w:rsidR="001A2031">
        <w:rPr>
          <w:rFonts w:asciiTheme="minorHAnsi" w:hAnsiTheme="minorHAnsi" w:cstheme="minorHAnsi"/>
          <w:sz w:val="22"/>
          <w:szCs w:val="22"/>
        </w:rPr>
        <w:t xml:space="preserve">, </w:t>
      </w:r>
      <w:r>
        <w:rPr>
          <w:rFonts w:asciiTheme="minorHAnsi" w:hAnsiTheme="minorHAnsi" w:cstheme="minorHAnsi"/>
          <w:sz w:val="22"/>
          <w:szCs w:val="22"/>
        </w:rPr>
        <w:t>3 were inpatients</w:t>
      </w:r>
      <w:r w:rsidR="00C55434" w:rsidRPr="001E1E9D">
        <w:rPr>
          <w:rFonts w:asciiTheme="minorHAnsi" w:hAnsiTheme="minorHAnsi" w:cstheme="minorHAnsi"/>
          <w:sz w:val="22"/>
          <w:szCs w:val="22"/>
        </w:rPr>
        <w:t xml:space="preserve"> and </w:t>
      </w:r>
      <w:r>
        <w:rPr>
          <w:rFonts w:asciiTheme="minorHAnsi" w:hAnsiTheme="minorHAnsi" w:cstheme="minorHAnsi"/>
          <w:sz w:val="22"/>
          <w:szCs w:val="22"/>
        </w:rPr>
        <w:t>1</w:t>
      </w:r>
      <w:r w:rsidR="00FE2D4E" w:rsidRPr="001E1E9D">
        <w:rPr>
          <w:rFonts w:asciiTheme="minorHAnsi" w:hAnsiTheme="minorHAnsi" w:cstheme="minorHAnsi"/>
          <w:sz w:val="22"/>
          <w:szCs w:val="22"/>
        </w:rPr>
        <w:t xml:space="preserve"> patient was </w:t>
      </w:r>
      <w:r>
        <w:rPr>
          <w:rFonts w:asciiTheme="minorHAnsi" w:hAnsiTheme="minorHAnsi" w:cstheme="minorHAnsi"/>
          <w:sz w:val="22"/>
          <w:szCs w:val="22"/>
        </w:rPr>
        <w:t>prescribed metoclopramide</w:t>
      </w:r>
      <w:r w:rsidR="00FE2D4E" w:rsidRPr="001E1E9D">
        <w:rPr>
          <w:rFonts w:asciiTheme="minorHAnsi" w:hAnsiTheme="minorHAnsi" w:cstheme="minorHAnsi"/>
          <w:sz w:val="22"/>
          <w:szCs w:val="22"/>
        </w:rPr>
        <w:t>.</w:t>
      </w:r>
    </w:p>
    <w:p w14:paraId="145E708E" w14:textId="77777777" w:rsidR="00FE2D4E" w:rsidRPr="001E1E9D" w:rsidRDefault="00FE2D4E" w:rsidP="000C6FF6">
      <w:pPr>
        <w:spacing w:line="360" w:lineRule="auto"/>
        <w:jc w:val="both"/>
        <w:rPr>
          <w:rFonts w:asciiTheme="minorHAnsi" w:hAnsiTheme="minorHAnsi" w:cstheme="minorHAnsi"/>
          <w:sz w:val="22"/>
          <w:szCs w:val="22"/>
        </w:rPr>
      </w:pPr>
    </w:p>
    <w:p w14:paraId="0610C657" w14:textId="750ABAF5" w:rsidR="000F283E" w:rsidRDefault="00FE2D4E" w:rsidP="000C6FF6">
      <w:pPr>
        <w:spacing w:line="360" w:lineRule="auto"/>
        <w:jc w:val="both"/>
        <w:rPr>
          <w:rFonts w:asciiTheme="minorHAnsi" w:hAnsiTheme="minorHAnsi" w:cstheme="minorHAnsi"/>
          <w:sz w:val="22"/>
          <w:szCs w:val="22"/>
        </w:rPr>
      </w:pPr>
      <w:r w:rsidRPr="001E1E9D">
        <w:rPr>
          <w:rFonts w:asciiTheme="minorHAnsi" w:hAnsiTheme="minorHAnsi" w:cstheme="minorHAnsi"/>
          <w:sz w:val="22"/>
          <w:szCs w:val="22"/>
        </w:rPr>
        <w:t>Other interesting findings</w:t>
      </w:r>
      <w:r w:rsidR="00387820" w:rsidRPr="001E1E9D">
        <w:rPr>
          <w:rFonts w:asciiTheme="minorHAnsi" w:hAnsiTheme="minorHAnsi" w:cstheme="minorHAnsi"/>
          <w:sz w:val="22"/>
          <w:szCs w:val="22"/>
        </w:rPr>
        <w:t xml:space="preserve"> included </w:t>
      </w:r>
      <w:r w:rsidRPr="001E1E9D">
        <w:rPr>
          <w:rFonts w:asciiTheme="minorHAnsi" w:hAnsiTheme="minorHAnsi" w:cstheme="minorHAnsi"/>
          <w:sz w:val="22"/>
          <w:szCs w:val="22"/>
        </w:rPr>
        <w:t xml:space="preserve">one patient </w:t>
      </w:r>
      <w:r w:rsidR="00031ACA" w:rsidRPr="001E1E9D">
        <w:rPr>
          <w:rFonts w:asciiTheme="minorHAnsi" w:hAnsiTheme="minorHAnsi" w:cstheme="minorHAnsi"/>
          <w:sz w:val="22"/>
          <w:szCs w:val="22"/>
        </w:rPr>
        <w:t>being</w:t>
      </w:r>
      <w:r w:rsidRPr="001E1E9D">
        <w:rPr>
          <w:rFonts w:asciiTheme="minorHAnsi" w:hAnsiTheme="minorHAnsi" w:cstheme="minorHAnsi"/>
          <w:sz w:val="22"/>
          <w:szCs w:val="22"/>
        </w:rPr>
        <w:t xml:space="preserve"> given an </w:t>
      </w:r>
      <w:r w:rsidR="001C4694" w:rsidRPr="001E1E9D">
        <w:rPr>
          <w:rFonts w:asciiTheme="minorHAnsi" w:hAnsiTheme="minorHAnsi" w:cstheme="minorHAnsi"/>
          <w:sz w:val="22"/>
          <w:szCs w:val="22"/>
        </w:rPr>
        <w:t>antiemetic</w:t>
      </w:r>
      <w:r w:rsidRPr="001E1E9D">
        <w:rPr>
          <w:rFonts w:asciiTheme="minorHAnsi" w:hAnsiTheme="minorHAnsi" w:cstheme="minorHAnsi"/>
          <w:sz w:val="22"/>
          <w:szCs w:val="22"/>
        </w:rPr>
        <w:t xml:space="preserve"> by their general practitioner the day after treatment, with no record</w:t>
      </w:r>
      <w:r w:rsidR="001C4694" w:rsidRPr="001E1E9D">
        <w:rPr>
          <w:rFonts w:asciiTheme="minorHAnsi" w:hAnsiTheme="minorHAnsi" w:cstheme="minorHAnsi"/>
          <w:sz w:val="22"/>
          <w:szCs w:val="22"/>
        </w:rPr>
        <w:t xml:space="preserve"> of it</w:t>
      </w:r>
      <w:r w:rsidRPr="001E1E9D">
        <w:rPr>
          <w:rFonts w:asciiTheme="minorHAnsi" w:hAnsiTheme="minorHAnsi" w:cstheme="minorHAnsi"/>
          <w:sz w:val="22"/>
          <w:szCs w:val="22"/>
        </w:rPr>
        <w:t xml:space="preserve"> being </w:t>
      </w:r>
      <w:r w:rsidR="001C4694" w:rsidRPr="001E1E9D">
        <w:rPr>
          <w:rFonts w:asciiTheme="minorHAnsi" w:hAnsiTheme="minorHAnsi" w:cstheme="minorHAnsi"/>
          <w:sz w:val="22"/>
          <w:szCs w:val="22"/>
        </w:rPr>
        <w:t>prescribed</w:t>
      </w:r>
      <w:r w:rsidRPr="001E1E9D">
        <w:rPr>
          <w:rFonts w:asciiTheme="minorHAnsi" w:hAnsiTheme="minorHAnsi" w:cstheme="minorHAnsi"/>
          <w:sz w:val="22"/>
          <w:szCs w:val="22"/>
        </w:rPr>
        <w:t xml:space="preserve"> at </w:t>
      </w:r>
      <w:r w:rsidR="00473246">
        <w:rPr>
          <w:rFonts w:asciiTheme="minorHAnsi" w:hAnsiTheme="minorHAnsi" w:cstheme="minorHAnsi"/>
          <w:sz w:val="22"/>
          <w:szCs w:val="22"/>
        </w:rPr>
        <w:t>the radiotherapy department</w:t>
      </w:r>
      <w:r w:rsidRPr="001E1E9D">
        <w:rPr>
          <w:rFonts w:asciiTheme="minorHAnsi" w:hAnsiTheme="minorHAnsi" w:cstheme="minorHAnsi"/>
          <w:sz w:val="22"/>
          <w:szCs w:val="22"/>
        </w:rPr>
        <w:t>. Another patient</w:t>
      </w:r>
      <w:r w:rsidR="009D41C4">
        <w:rPr>
          <w:rFonts w:asciiTheme="minorHAnsi" w:hAnsiTheme="minorHAnsi" w:cstheme="minorHAnsi"/>
          <w:sz w:val="22"/>
          <w:szCs w:val="22"/>
        </w:rPr>
        <w:t xml:space="preserve"> who had not received prophylactic </w:t>
      </w:r>
      <w:r w:rsidR="00F86BD5">
        <w:rPr>
          <w:rFonts w:asciiTheme="minorHAnsi" w:hAnsiTheme="minorHAnsi" w:cstheme="minorHAnsi"/>
          <w:sz w:val="22"/>
          <w:szCs w:val="22"/>
        </w:rPr>
        <w:t>antiemetic</w:t>
      </w:r>
      <w:r w:rsidR="009D41C4">
        <w:rPr>
          <w:rFonts w:asciiTheme="minorHAnsi" w:hAnsiTheme="minorHAnsi" w:cstheme="minorHAnsi"/>
          <w:sz w:val="22"/>
          <w:szCs w:val="22"/>
        </w:rPr>
        <w:t>s</w:t>
      </w:r>
      <w:r w:rsidRPr="001E1E9D">
        <w:rPr>
          <w:rFonts w:asciiTheme="minorHAnsi" w:hAnsiTheme="minorHAnsi" w:cstheme="minorHAnsi"/>
          <w:sz w:val="22"/>
          <w:szCs w:val="22"/>
        </w:rPr>
        <w:t xml:space="preserve"> </w:t>
      </w:r>
      <w:r w:rsidR="009D41C4">
        <w:rPr>
          <w:rFonts w:asciiTheme="minorHAnsi" w:hAnsiTheme="minorHAnsi" w:cstheme="minorHAnsi"/>
          <w:sz w:val="22"/>
          <w:szCs w:val="22"/>
        </w:rPr>
        <w:t xml:space="preserve">was prescribed </w:t>
      </w:r>
      <w:r w:rsidR="00F86BD5">
        <w:rPr>
          <w:rFonts w:asciiTheme="minorHAnsi" w:hAnsiTheme="minorHAnsi" w:cstheme="minorHAnsi"/>
          <w:sz w:val="22"/>
          <w:szCs w:val="22"/>
        </w:rPr>
        <w:t>Ondansetron</w:t>
      </w:r>
      <w:r w:rsidR="009D41C4">
        <w:rPr>
          <w:rFonts w:asciiTheme="minorHAnsi" w:hAnsiTheme="minorHAnsi" w:cstheme="minorHAnsi"/>
          <w:sz w:val="22"/>
          <w:szCs w:val="22"/>
        </w:rPr>
        <w:t xml:space="preserve"> after treatment after complaining of nausea</w:t>
      </w:r>
      <w:r w:rsidRPr="001E1E9D">
        <w:rPr>
          <w:rFonts w:asciiTheme="minorHAnsi" w:hAnsiTheme="minorHAnsi" w:cstheme="minorHAnsi"/>
          <w:sz w:val="22"/>
          <w:szCs w:val="22"/>
        </w:rPr>
        <w:t>. One patient</w:t>
      </w:r>
      <w:r w:rsidR="00387820" w:rsidRPr="001E1E9D">
        <w:rPr>
          <w:rFonts w:asciiTheme="minorHAnsi" w:hAnsiTheme="minorHAnsi" w:cstheme="minorHAnsi"/>
          <w:sz w:val="22"/>
          <w:szCs w:val="22"/>
        </w:rPr>
        <w:t xml:space="preserve"> also</w:t>
      </w:r>
      <w:r w:rsidRPr="001E1E9D">
        <w:rPr>
          <w:rFonts w:asciiTheme="minorHAnsi" w:hAnsiTheme="minorHAnsi" w:cstheme="minorHAnsi"/>
          <w:sz w:val="22"/>
          <w:szCs w:val="22"/>
        </w:rPr>
        <w:t xml:space="preserve"> experienced a single episode of vomiting</w:t>
      </w:r>
      <w:r w:rsidR="00660BF0" w:rsidRPr="001E1E9D">
        <w:rPr>
          <w:rFonts w:asciiTheme="minorHAnsi" w:hAnsiTheme="minorHAnsi" w:cstheme="minorHAnsi"/>
          <w:sz w:val="22"/>
          <w:szCs w:val="22"/>
        </w:rPr>
        <w:t>,</w:t>
      </w:r>
      <w:r w:rsidRPr="001E1E9D">
        <w:rPr>
          <w:rFonts w:asciiTheme="minorHAnsi" w:hAnsiTheme="minorHAnsi" w:cstheme="minorHAnsi"/>
          <w:sz w:val="22"/>
          <w:szCs w:val="22"/>
        </w:rPr>
        <w:t xml:space="preserve"> post treatment</w:t>
      </w:r>
      <w:r w:rsidR="00660BF0" w:rsidRPr="001E1E9D">
        <w:rPr>
          <w:rFonts w:asciiTheme="minorHAnsi" w:hAnsiTheme="minorHAnsi" w:cstheme="minorHAnsi"/>
          <w:sz w:val="22"/>
          <w:szCs w:val="22"/>
        </w:rPr>
        <w:t>,</w:t>
      </w:r>
      <w:r w:rsidRPr="001E1E9D">
        <w:rPr>
          <w:rFonts w:asciiTheme="minorHAnsi" w:hAnsiTheme="minorHAnsi" w:cstheme="minorHAnsi"/>
          <w:sz w:val="22"/>
          <w:szCs w:val="22"/>
        </w:rPr>
        <w:t xml:space="preserve"> after not being prescribed </w:t>
      </w:r>
      <w:r w:rsidR="00F86BD5">
        <w:rPr>
          <w:rFonts w:asciiTheme="minorHAnsi" w:hAnsiTheme="minorHAnsi" w:cstheme="minorHAnsi"/>
          <w:sz w:val="22"/>
          <w:szCs w:val="22"/>
        </w:rPr>
        <w:t>Ondansetron</w:t>
      </w:r>
      <w:r w:rsidR="005179A2" w:rsidRPr="001E1E9D">
        <w:rPr>
          <w:rFonts w:asciiTheme="minorHAnsi" w:hAnsiTheme="minorHAnsi" w:cstheme="minorHAnsi"/>
          <w:sz w:val="22"/>
          <w:szCs w:val="22"/>
        </w:rPr>
        <w:t>.</w:t>
      </w:r>
    </w:p>
    <w:p w14:paraId="4C95A769" w14:textId="77777777" w:rsidR="00056349" w:rsidRDefault="00056349" w:rsidP="000C6FF6">
      <w:pPr>
        <w:spacing w:line="360" w:lineRule="auto"/>
        <w:jc w:val="both"/>
        <w:rPr>
          <w:rFonts w:asciiTheme="minorHAnsi" w:hAnsiTheme="minorHAnsi" w:cstheme="minorHAnsi"/>
          <w:sz w:val="22"/>
          <w:szCs w:val="22"/>
        </w:rPr>
      </w:pPr>
    </w:p>
    <w:p w14:paraId="24443CA4" w14:textId="608908CC" w:rsidR="006875D9" w:rsidRDefault="00056349" w:rsidP="000C6FF6">
      <w:pPr>
        <w:spacing w:line="360" w:lineRule="auto"/>
        <w:jc w:val="both"/>
        <w:rPr>
          <w:rFonts w:asciiTheme="minorHAnsi" w:hAnsiTheme="minorHAnsi" w:cstheme="minorHAnsi"/>
          <w:sz w:val="22"/>
          <w:szCs w:val="22"/>
        </w:rPr>
      </w:pPr>
      <w:r w:rsidRPr="00056349">
        <w:rPr>
          <w:rFonts w:asciiTheme="minorHAnsi" w:hAnsiTheme="minorHAnsi" w:cstheme="minorHAnsi"/>
          <w:sz w:val="22"/>
          <w:szCs w:val="22"/>
        </w:rPr>
        <w:t xml:space="preserve">An analysis of the 6-week post treatment survival rate </w:t>
      </w:r>
      <w:r>
        <w:rPr>
          <w:rFonts w:asciiTheme="minorHAnsi" w:hAnsiTheme="minorHAnsi" w:cstheme="minorHAnsi"/>
          <w:sz w:val="22"/>
          <w:szCs w:val="22"/>
        </w:rPr>
        <w:t xml:space="preserve">revealed that </w:t>
      </w:r>
      <w:r w:rsidR="00DF5D51">
        <w:rPr>
          <w:rFonts w:asciiTheme="minorHAnsi" w:hAnsiTheme="minorHAnsi" w:cstheme="minorHAnsi"/>
          <w:sz w:val="22"/>
          <w:szCs w:val="22"/>
        </w:rPr>
        <w:t>22 patients</w:t>
      </w:r>
      <w:r w:rsidRPr="00056349">
        <w:rPr>
          <w:rFonts w:asciiTheme="minorHAnsi" w:hAnsiTheme="minorHAnsi" w:cstheme="minorHAnsi"/>
          <w:sz w:val="22"/>
          <w:szCs w:val="22"/>
        </w:rPr>
        <w:t xml:space="preserve"> died before 6 weeks</w:t>
      </w:r>
      <w:r w:rsidR="00EA4F2F">
        <w:rPr>
          <w:rFonts w:asciiTheme="minorHAnsi" w:hAnsiTheme="minorHAnsi" w:cstheme="minorHAnsi"/>
          <w:sz w:val="22"/>
          <w:szCs w:val="22"/>
        </w:rPr>
        <w:t>; these</w:t>
      </w:r>
      <w:r w:rsidR="00E5584D">
        <w:rPr>
          <w:rFonts w:asciiTheme="minorHAnsi" w:hAnsiTheme="minorHAnsi" w:cstheme="minorHAnsi"/>
          <w:sz w:val="22"/>
          <w:szCs w:val="22"/>
        </w:rPr>
        <w:t xml:space="preserve"> </w:t>
      </w:r>
      <w:r w:rsidRPr="00056349">
        <w:rPr>
          <w:rFonts w:asciiTheme="minorHAnsi" w:hAnsiTheme="minorHAnsi" w:cstheme="minorHAnsi"/>
          <w:sz w:val="22"/>
          <w:szCs w:val="22"/>
        </w:rPr>
        <w:t xml:space="preserve">patients may have not gained </w:t>
      </w:r>
      <w:r w:rsidR="008650B2">
        <w:rPr>
          <w:rFonts w:asciiTheme="minorHAnsi" w:hAnsiTheme="minorHAnsi" w:cstheme="minorHAnsi"/>
          <w:sz w:val="22"/>
          <w:szCs w:val="22"/>
        </w:rPr>
        <w:t>full</w:t>
      </w:r>
      <w:r w:rsidR="008650B2" w:rsidRPr="00056349">
        <w:rPr>
          <w:rFonts w:asciiTheme="minorHAnsi" w:hAnsiTheme="minorHAnsi" w:cstheme="minorHAnsi"/>
          <w:sz w:val="22"/>
          <w:szCs w:val="22"/>
        </w:rPr>
        <w:t xml:space="preserve"> </w:t>
      </w:r>
      <w:r w:rsidRPr="00056349">
        <w:rPr>
          <w:rFonts w:asciiTheme="minorHAnsi" w:hAnsiTheme="minorHAnsi" w:cstheme="minorHAnsi"/>
          <w:sz w:val="22"/>
          <w:szCs w:val="22"/>
        </w:rPr>
        <w:t>benefit from their radiotherapy, as the side effects of palliative radiotherapy can take 6 weeks to resolve</w:t>
      </w:r>
      <w:r w:rsidR="00E93704">
        <w:rPr>
          <w:rFonts w:asciiTheme="minorHAnsi" w:hAnsiTheme="minorHAnsi" w:cstheme="minorHAnsi"/>
          <w:sz w:val="22"/>
          <w:szCs w:val="22"/>
        </w:rPr>
        <w:t xml:space="preserve"> (</w:t>
      </w:r>
      <w:r w:rsidR="00E5584D">
        <w:rPr>
          <w:rFonts w:asciiTheme="minorHAnsi" w:hAnsiTheme="minorHAnsi" w:cstheme="minorHAnsi"/>
          <w:sz w:val="22"/>
          <w:szCs w:val="22"/>
        </w:rPr>
        <w:t>20</w:t>
      </w:r>
      <w:r w:rsidR="00E93704">
        <w:rPr>
          <w:rFonts w:asciiTheme="minorHAnsi" w:hAnsiTheme="minorHAnsi" w:cstheme="minorHAnsi"/>
          <w:sz w:val="22"/>
          <w:szCs w:val="22"/>
        </w:rPr>
        <w:t>)</w:t>
      </w:r>
      <w:r w:rsidR="00F866F4">
        <w:rPr>
          <w:rFonts w:asciiTheme="minorHAnsi" w:hAnsiTheme="minorHAnsi" w:cstheme="minorHAnsi"/>
          <w:sz w:val="22"/>
          <w:szCs w:val="22"/>
        </w:rPr>
        <w:t>.</w:t>
      </w:r>
    </w:p>
    <w:p w14:paraId="68D71CB8" w14:textId="77777777" w:rsidR="00056349" w:rsidRPr="001E1E9D" w:rsidRDefault="00056349" w:rsidP="000C6FF6">
      <w:pPr>
        <w:spacing w:line="360" w:lineRule="auto"/>
        <w:jc w:val="both"/>
        <w:rPr>
          <w:rFonts w:asciiTheme="minorHAnsi" w:hAnsiTheme="minorHAnsi" w:cstheme="minorHAnsi"/>
          <w:sz w:val="22"/>
          <w:szCs w:val="22"/>
        </w:rPr>
      </w:pPr>
    </w:p>
    <w:p w14:paraId="1F75A114" w14:textId="77777777" w:rsidR="00AA0623" w:rsidRDefault="00AA0623" w:rsidP="000C6FF6">
      <w:pPr>
        <w:pStyle w:val="Heading2"/>
        <w:spacing w:line="360" w:lineRule="auto"/>
        <w:jc w:val="both"/>
        <w:rPr>
          <w:rFonts w:asciiTheme="minorHAnsi" w:hAnsiTheme="minorHAnsi" w:cstheme="minorHAnsi"/>
          <w:sz w:val="22"/>
          <w:szCs w:val="22"/>
          <w:u w:val="none"/>
        </w:rPr>
      </w:pPr>
      <w:bookmarkStart w:id="43" w:name="_Toc30177881"/>
      <w:bookmarkStart w:id="44" w:name="_Toc32429909"/>
      <w:bookmarkStart w:id="45" w:name="_Toc32429961"/>
    </w:p>
    <w:p w14:paraId="7EB134C2" w14:textId="77777777" w:rsidR="00B97930" w:rsidRPr="00E93704" w:rsidRDefault="006875D9" w:rsidP="000C6FF6">
      <w:pPr>
        <w:pStyle w:val="Heading2"/>
        <w:spacing w:line="360" w:lineRule="auto"/>
        <w:jc w:val="both"/>
        <w:rPr>
          <w:rFonts w:asciiTheme="minorHAnsi" w:hAnsiTheme="minorHAnsi" w:cstheme="minorHAnsi"/>
          <w:sz w:val="22"/>
          <w:szCs w:val="22"/>
          <w:u w:val="none"/>
        </w:rPr>
      </w:pPr>
      <w:r w:rsidRPr="00E93704">
        <w:rPr>
          <w:rFonts w:asciiTheme="minorHAnsi" w:hAnsiTheme="minorHAnsi" w:cstheme="minorHAnsi"/>
          <w:sz w:val="22"/>
          <w:szCs w:val="22"/>
          <w:u w:val="none"/>
        </w:rPr>
        <w:t>Discussion</w:t>
      </w:r>
      <w:bookmarkEnd w:id="43"/>
      <w:bookmarkEnd w:id="44"/>
      <w:bookmarkEnd w:id="45"/>
    </w:p>
    <w:p w14:paraId="6F41F507" w14:textId="5C4C8C72" w:rsidR="006875D9" w:rsidRPr="001E1E9D" w:rsidRDefault="006875D9" w:rsidP="000C6FF6">
      <w:pPr>
        <w:pStyle w:val="Disstext"/>
        <w:rPr>
          <w:rFonts w:asciiTheme="minorHAnsi" w:hAnsiTheme="minorHAnsi" w:cstheme="minorHAnsi"/>
          <w:color w:val="000000" w:themeColor="text1"/>
          <w:sz w:val="22"/>
          <w:szCs w:val="22"/>
        </w:rPr>
      </w:pPr>
      <w:r w:rsidRPr="001E1E9D">
        <w:rPr>
          <w:rFonts w:asciiTheme="minorHAnsi" w:hAnsiTheme="minorHAnsi" w:cstheme="minorHAnsi"/>
          <w:color w:val="000000" w:themeColor="text1"/>
          <w:sz w:val="22"/>
          <w:szCs w:val="22"/>
        </w:rPr>
        <w:t xml:space="preserve">This audit </w:t>
      </w:r>
      <w:r w:rsidR="009D41C4">
        <w:rPr>
          <w:rFonts w:asciiTheme="minorHAnsi" w:hAnsiTheme="minorHAnsi" w:cstheme="minorHAnsi"/>
          <w:color w:val="000000" w:themeColor="text1"/>
          <w:sz w:val="22"/>
          <w:szCs w:val="22"/>
        </w:rPr>
        <w:t>aimed</w:t>
      </w:r>
      <w:r w:rsidR="00AA4394" w:rsidRPr="001E1E9D">
        <w:rPr>
          <w:rFonts w:asciiTheme="minorHAnsi" w:hAnsiTheme="minorHAnsi" w:cstheme="minorHAnsi"/>
          <w:color w:val="000000" w:themeColor="text1"/>
          <w:sz w:val="22"/>
          <w:szCs w:val="22"/>
        </w:rPr>
        <w:t xml:space="preserve"> </w:t>
      </w:r>
      <w:r w:rsidR="00CB2C1A" w:rsidRPr="001E1E9D">
        <w:rPr>
          <w:rFonts w:asciiTheme="minorHAnsi" w:hAnsiTheme="minorHAnsi" w:cstheme="minorHAnsi"/>
          <w:color w:val="000000" w:themeColor="text1"/>
          <w:sz w:val="22"/>
          <w:szCs w:val="22"/>
        </w:rPr>
        <w:t>to determine if anti</w:t>
      </w:r>
      <w:r w:rsidRPr="001E1E9D">
        <w:rPr>
          <w:rFonts w:asciiTheme="minorHAnsi" w:hAnsiTheme="minorHAnsi" w:cstheme="minorHAnsi"/>
          <w:color w:val="000000" w:themeColor="text1"/>
          <w:sz w:val="22"/>
          <w:szCs w:val="22"/>
        </w:rPr>
        <w:t xml:space="preserve">emetic prescribing was happening as per </w:t>
      </w:r>
      <w:r w:rsidR="009D41C4">
        <w:rPr>
          <w:rFonts w:asciiTheme="minorHAnsi" w:hAnsiTheme="minorHAnsi" w:cstheme="minorHAnsi"/>
          <w:color w:val="000000" w:themeColor="text1"/>
          <w:sz w:val="22"/>
          <w:szCs w:val="22"/>
        </w:rPr>
        <w:t xml:space="preserve">local </w:t>
      </w:r>
      <w:r w:rsidR="00AA4394" w:rsidRPr="001E1E9D">
        <w:rPr>
          <w:rFonts w:asciiTheme="minorHAnsi" w:hAnsiTheme="minorHAnsi" w:cstheme="minorHAnsi"/>
          <w:color w:val="000000" w:themeColor="text1"/>
          <w:sz w:val="22"/>
          <w:szCs w:val="22"/>
        </w:rPr>
        <w:t>guidance</w:t>
      </w:r>
      <w:r w:rsidRPr="001E1E9D">
        <w:rPr>
          <w:rFonts w:asciiTheme="minorHAnsi" w:hAnsiTheme="minorHAnsi" w:cstheme="minorHAnsi"/>
          <w:color w:val="000000" w:themeColor="text1"/>
          <w:sz w:val="22"/>
          <w:szCs w:val="22"/>
        </w:rPr>
        <w:t xml:space="preserve"> </w:t>
      </w:r>
      <w:r w:rsidR="009D41C4">
        <w:rPr>
          <w:rFonts w:asciiTheme="minorHAnsi" w:hAnsiTheme="minorHAnsi" w:cstheme="minorHAnsi"/>
          <w:color w:val="000000" w:themeColor="text1"/>
          <w:sz w:val="22"/>
          <w:szCs w:val="22"/>
        </w:rPr>
        <w:t>in accordance with published evidence</w:t>
      </w:r>
      <w:r w:rsidRPr="001E1E9D">
        <w:rPr>
          <w:rFonts w:asciiTheme="minorHAnsi" w:hAnsiTheme="minorHAnsi" w:cstheme="minorHAnsi"/>
          <w:color w:val="000000" w:themeColor="text1"/>
          <w:sz w:val="22"/>
          <w:szCs w:val="22"/>
        </w:rPr>
        <w:t xml:space="preserve">. The data suggests </w:t>
      </w:r>
      <w:r w:rsidR="009D41C4">
        <w:rPr>
          <w:rFonts w:asciiTheme="minorHAnsi" w:hAnsiTheme="minorHAnsi" w:cstheme="minorHAnsi"/>
          <w:color w:val="000000" w:themeColor="text1"/>
          <w:sz w:val="22"/>
          <w:szCs w:val="22"/>
        </w:rPr>
        <w:t xml:space="preserve">that prophylactic  </w:t>
      </w:r>
      <w:r w:rsidRPr="001E1E9D">
        <w:rPr>
          <w:rFonts w:asciiTheme="minorHAnsi" w:hAnsiTheme="minorHAnsi" w:cstheme="minorHAnsi"/>
          <w:color w:val="000000" w:themeColor="text1"/>
          <w:sz w:val="22"/>
          <w:szCs w:val="22"/>
        </w:rPr>
        <w:t xml:space="preserve">prescription of antiemetics </w:t>
      </w:r>
      <w:r w:rsidR="009D41C4">
        <w:rPr>
          <w:rFonts w:asciiTheme="minorHAnsi" w:hAnsiTheme="minorHAnsi" w:cstheme="minorHAnsi"/>
          <w:color w:val="000000" w:themeColor="text1"/>
          <w:sz w:val="22"/>
          <w:szCs w:val="22"/>
        </w:rPr>
        <w:t xml:space="preserve">was </w:t>
      </w:r>
      <w:r w:rsidR="00914601">
        <w:rPr>
          <w:rFonts w:asciiTheme="minorHAnsi" w:hAnsiTheme="minorHAnsi" w:cstheme="minorHAnsi"/>
          <w:color w:val="000000" w:themeColor="text1"/>
          <w:sz w:val="22"/>
          <w:szCs w:val="22"/>
        </w:rPr>
        <w:t xml:space="preserve">only </w:t>
      </w:r>
      <w:r w:rsidR="009D41C4">
        <w:rPr>
          <w:rFonts w:asciiTheme="minorHAnsi" w:hAnsiTheme="minorHAnsi" w:cstheme="minorHAnsi"/>
          <w:color w:val="000000" w:themeColor="text1"/>
          <w:sz w:val="22"/>
          <w:szCs w:val="22"/>
        </w:rPr>
        <w:t>provided to</w:t>
      </w:r>
      <w:r w:rsidRPr="001E1E9D">
        <w:rPr>
          <w:rFonts w:asciiTheme="minorHAnsi" w:hAnsiTheme="minorHAnsi" w:cstheme="minorHAnsi"/>
          <w:color w:val="000000" w:themeColor="text1"/>
          <w:sz w:val="22"/>
          <w:szCs w:val="22"/>
        </w:rPr>
        <w:t xml:space="preserve"> </w:t>
      </w:r>
      <w:r w:rsidR="00914601">
        <w:rPr>
          <w:rFonts w:asciiTheme="minorHAnsi" w:hAnsiTheme="minorHAnsi" w:cstheme="minorHAnsi"/>
          <w:color w:val="000000" w:themeColor="text1"/>
          <w:sz w:val="22"/>
          <w:szCs w:val="22"/>
        </w:rPr>
        <w:t>47</w:t>
      </w:r>
      <w:r w:rsidRPr="001E1E9D">
        <w:rPr>
          <w:rFonts w:asciiTheme="minorHAnsi" w:hAnsiTheme="minorHAnsi" w:cstheme="minorHAnsi"/>
          <w:color w:val="000000" w:themeColor="text1"/>
          <w:sz w:val="22"/>
          <w:szCs w:val="22"/>
        </w:rPr>
        <w:t>% of patients</w:t>
      </w:r>
      <w:r w:rsidR="00301978" w:rsidRPr="001E1E9D">
        <w:rPr>
          <w:rFonts w:asciiTheme="minorHAnsi" w:hAnsiTheme="minorHAnsi" w:cstheme="minorHAnsi"/>
          <w:color w:val="000000" w:themeColor="text1"/>
          <w:sz w:val="22"/>
          <w:szCs w:val="22"/>
        </w:rPr>
        <w:t>,</w:t>
      </w:r>
      <w:r w:rsidRPr="001E1E9D">
        <w:rPr>
          <w:rFonts w:asciiTheme="minorHAnsi" w:hAnsiTheme="minorHAnsi" w:cstheme="minorHAnsi"/>
          <w:color w:val="000000" w:themeColor="text1"/>
          <w:sz w:val="22"/>
          <w:szCs w:val="22"/>
        </w:rPr>
        <w:t xml:space="preserve"> at high or moderate </w:t>
      </w:r>
      <w:r w:rsidR="00F866F4">
        <w:rPr>
          <w:rFonts w:asciiTheme="minorHAnsi" w:hAnsiTheme="minorHAnsi" w:cstheme="minorHAnsi"/>
          <w:color w:val="000000" w:themeColor="text1"/>
          <w:sz w:val="22"/>
          <w:szCs w:val="22"/>
        </w:rPr>
        <w:t xml:space="preserve">emetogenic </w:t>
      </w:r>
      <w:r w:rsidRPr="001E1E9D">
        <w:rPr>
          <w:rFonts w:asciiTheme="minorHAnsi" w:hAnsiTheme="minorHAnsi" w:cstheme="minorHAnsi"/>
          <w:color w:val="000000" w:themeColor="text1"/>
          <w:sz w:val="22"/>
          <w:szCs w:val="22"/>
        </w:rPr>
        <w:t xml:space="preserve">risk. </w:t>
      </w:r>
      <w:r w:rsidR="009D41C4">
        <w:rPr>
          <w:rFonts w:asciiTheme="minorHAnsi" w:hAnsiTheme="minorHAnsi" w:cstheme="minorHAnsi"/>
          <w:color w:val="000000" w:themeColor="text1"/>
          <w:sz w:val="22"/>
          <w:szCs w:val="22"/>
        </w:rPr>
        <w:t>RINV was apparently not discussed during consent for 10 patients and</w:t>
      </w:r>
      <w:r w:rsidR="00E85DEC">
        <w:rPr>
          <w:rFonts w:asciiTheme="minorHAnsi" w:hAnsiTheme="minorHAnsi" w:cstheme="minorHAnsi"/>
          <w:color w:val="000000" w:themeColor="text1"/>
          <w:sz w:val="22"/>
          <w:szCs w:val="22"/>
        </w:rPr>
        <w:t>,</w:t>
      </w:r>
      <w:r w:rsidR="009D41C4">
        <w:rPr>
          <w:rFonts w:asciiTheme="minorHAnsi" w:hAnsiTheme="minorHAnsi" w:cstheme="minorHAnsi"/>
          <w:color w:val="000000" w:themeColor="text1"/>
          <w:sz w:val="22"/>
          <w:szCs w:val="22"/>
        </w:rPr>
        <w:t xml:space="preserve"> of the remaining 50</w:t>
      </w:r>
      <w:r w:rsidR="00E85DEC">
        <w:rPr>
          <w:rFonts w:asciiTheme="minorHAnsi" w:hAnsiTheme="minorHAnsi" w:cstheme="minorHAnsi"/>
          <w:color w:val="000000" w:themeColor="text1"/>
          <w:sz w:val="22"/>
          <w:szCs w:val="22"/>
        </w:rPr>
        <w:t>,</w:t>
      </w:r>
      <w:r w:rsidR="009D41C4">
        <w:rPr>
          <w:rFonts w:asciiTheme="minorHAnsi" w:hAnsiTheme="minorHAnsi" w:cstheme="minorHAnsi"/>
          <w:color w:val="000000" w:themeColor="text1"/>
          <w:sz w:val="22"/>
          <w:szCs w:val="22"/>
        </w:rPr>
        <w:t xml:space="preserve"> only</w:t>
      </w:r>
      <w:r w:rsidRPr="001E1E9D">
        <w:rPr>
          <w:rFonts w:asciiTheme="minorHAnsi" w:hAnsiTheme="minorHAnsi" w:cstheme="minorHAnsi"/>
          <w:color w:val="000000" w:themeColor="text1"/>
          <w:sz w:val="22"/>
          <w:szCs w:val="22"/>
        </w:rPr>
        <w:t xml:space="preserve"> 48% </w:t>
      </w:r>
      <w:r w:rsidR="009D41C4">
        <w:rPr>
          <w:rFonts w:asciiTheme="minorHAnsi" w:hAnsiTheme="minorHAnsi" w:cstheme="minorHAnsi"/>
          <w:color w:val="000000" w:themeColor="text1"/>
          <w:sz w:val="22"/>
          <w:szCs w:val="22"/>
        </w:rPr>
        <w:t>actually received</w:t>
      </w:r>
      <w:r w:rsidRPr="001E1E9D">
        <w:rPr>
          <w:rFonts w:asciiTheme="minorHAnsi" w:hAnsiTheme="minorHAnsi" w:cstheme="minorHAnsi"/>
          <w:color w:val="000000" w:themeColor="text1"/>
          <w:sz w:val="22"/>
          <w:szCs w:val="22"/>
        </w:rPr>
        <w:t xml:space="preserve"> an antiemetic. </w:t>
      </w:r>
      <w:r w:rsidR="009D41C4">
        <w:rPr>
          <w:rFonts w:asciiTheme="minorHAnsi" w:hAnsiTheme="minorHAnsi" w:cstheme="minorHAnsi"/>
          <w:color w:val="000000" w:themeColor="text1"/>
          <w:sz w:val="22"/>
          <w:szCs w:val="22"/>
        </w:rPr>
        <w:t>It would have been interesting to gather data concerning incidence of side effects for this cohort but the detrimental impact on quality of life can be inferred from the evidence base</w:t>
      </w:r>
      <w:r w:rsidR="009D41C4" w:rsidRPr="001E1E9D">
        <w:rPr>
          <w:rFonts w:asciiTheme="minorHAnsi" w:hAnsiTheme="minorHAnsi" w:cstheme="minorHAnsi"/>
          <w:color w:val="000000" w:themeColor="text1"/>
          <w:sz w:val="22"/>
          <w:szCs w:val="22"/>
        </w:rPr>
        <w:t xml:space="preserve"> </w:t>
      </w:r>
      <w:r w:rsidR="009D41C4">
        <w:rPr>
          <w:rFonts w:asciiTheme="minorHAnsi" w:hAnsiTheme="minorHAnsi" w:cstheme="minorHAnsi"/>
          <w:color w:val="000000" w:themeColor="text1"/>
          <w:sz w:val="22"/>
          <w:szCs w:val="22"/>
        </w:rPr>
        <w:t xml:space="preserve">which cites nausea, vomiting, </w:t>
      </w:r>
      <w:r w:rsidR="009D41C4" w:rsidRPr="001E1E9D">
        <w:rPr>
          <w:rFonts w:asciiTheme="minorHAnsi" w:hAnsiTheme="minorHAnsi" w:cstheme="minorHAnsi"/>
          <w:color w:val="000000" w:themeColor="text1"/>
          <w:sz w:val="22"/>
          <w:szCs w:val="22"/>
        </w:rPr>
        <w:t>appetite loss</w:t>
      </w:r>
      <w:r w:rsidR="009D41C4">
        <w:rPr>
          <w:rFonts w:asciiTheme="minorHAnsi" w:hAnsiTheme="minorHAnsi" w:cstheme="minorHAnsi"/>
          <w:color w:val="000000" w:themeColor="text1"/>
          <w:sz w:val="22"/>
          <w:szCs w:val="22"/>
        </w:rPr>
        <w:t>,</w:t>
      </w:r>
      <w:r w:rsidR="009D41C4" w:rsidRPr="001E1E9D">
        <w:rPr>
          <w:rFonts w:asciiTheme="minorHAnsi" w:hAnsiTheme="minorHAnsi" w:cstheme="minorHAnsi"/>
          <w:color w:val="000000" w:themeColor="text1"/>
          <w:sz w:val="22"/>
          <w:szCs w:val="22"/>
        </w:rPr>
        <w:t xml:space="preserve"> sle</w:t>
      </w:r>
      <w:r w:rsidR="009D41C4">
        <w:rPr>
          <w:rFonts w:asciiTheme="minorHAnsi" w:hAnsiTheme="minorHAnsi" w:cstheme="minorHAnsi"/>
          <w:color w:val="000000" w:themeColor="text1"/>
          <w:sz w:val="22"/>
          <w:szCs w:val="22"/>
        </w:rPr>
        <w:t>ep disturbance, cancer distress,</w:t>
      </w:r>
      <w:r w:rsidR="009D41C4" w:rsidRPr="001E1E9D">
        <w:rPr>
          <w:rFonts w:asciiTheme="minorHAnsi" w:hAnsiTheme="minorHAnsi" w:cstheme="minorHAnsi"/>
          <w:color w:val="000000" w:themeColor="text1"/>
          <w:sz w:val="22"/>
          <w:szCs w:val="22"/>
        </w:rPr>
        <w:t xml:space="preserve"> neuroticism </w:t>
      </w:r>
      <w:r w:rsidR="009D41C4">
        <w:rPr>
          <w:rFonts w:asciiTheme="minorHAnsi" w:hAnsiTheme="minorHAnsi" w:cstheme="minorHAnsi"/>
          <w:color w:val="000000" w:themeColor="text1"/>
          <w:sz w:val="22"/>
          <w:szCs w:val="22"/>
        </w:rPr>
        <w:t>and</w:t>
      </w:r>
      <w:r w:rsidR="009D41C4" w:rsidRPr="001E1E9D">
        <w:rPr>
          <w:rFonts w:asciiTheme="minorHAnsi" w:hAnsiTheme="minorHAnsi" w:cstheme="minorHAnsi"/>
          <w:color w:val="000000" w:themeColor="text1"/>
          <w:sz w:val="22"/>
          <w:szCs w:val="22"/>
        </w:rPr>
        <w:t xml:space="preserve"> reduced social functioning</w:t>
      </w:r>
      <w:r w:rsidR="00E93704">
        <w:rPr>
          <w:rFonts w:asciiTheme="minorHAnsi" w:hAnsiTheme="minorHAnsi" w:cstheme="minorHAnsi"/>
          <w:color w:val="000000" w:themeColor="text1"/>
          <w:sz w:val="22"/>
          <w:szCs w:val="22"/>
        </w:rPr>
        <w:t xml:space="preserve"> (</w:t>
      </w:r>
      <w:r w:rsidR="00E5584D">
        <w:rPr>
          <w:rFonts w:asciiTheme="minorHAnsi" w:hAnsiTheme="minorHAnsi" w:cstheme="minorHAnsi"/>
          <w:color w:val="000000" w:themeColor="text1"/>
          <w:sz w:val="22"/>
          <w:szCs w:val="22"/>
        </w:rPr>
        <w:t>12</w:t>
      </w:r>
      <w:r w:rsidR="00E93704">
        <w:rPr>
          <w:rFonts w:asciiTheme="minorHAnsi" w:hAnsiTheme="minorHAnsi" w:cstheme="minorHAnsi"/>
          <w:color w:val="000000" w:themeColor="text1"/>
          <w:sz w:val="22"/>
          <w:szCs w:val="22"/>
        </w:rPr>
        <w:t>)</w:t>
      </w:r>
      <w:r w:rsidR="009D41C4">
        <w:rPr>
          <w:rFonts w:asciiTheme="minorHAnsi" w:hAnsiTheme="minorHAnsi" w:cstheme="minorHAnsi"/>
          <w:color w:val="000000" w:themeColor="text1"/>
          <w:sz w:val="22"/>
          <w:szCs w:val="22"/>
        </w:rPr>
        <w:t xml:space="preserve"> as probable outcomes. </w:t>
      </w:r>
    </w:p>
    <w:p w14:paraId="506205CD" w14:textId="77777777" w:rsidR="006875D9" w:rsidRPr="001E1E9D" w:rsidRDefault="006875D9" w:rsidP="000C6FF6">
      <w:pPr>
        <w:pStyle w:val="Disstext"/>
        <w:rPr>
          <w:rFonts w:asciiTheme="minorHAnsi" w:hAnsiTheme="minorHAnsi" w:cstheme="minorHAnsi"/>
          <w:color w:val="000000" w:themeColor="text1"/>
          <w:sz w:val="22"/>
          <w:szCs w:val="22"/>
        </w:rPr>
      </w:pPr>
    </w:p>
    <w:p w14:paraId="5B8577D7" w14:textId="1B685A6F" w:rsidR="006875D9" w:rsidRPr="001E1E9D" w:rsidRDefault="00AA4394" w:rsidP="000C6FF6">
      <w:pPr>
        <w:pStyle w:val="Disstext"/>
        <w:rPr>
          <w:rFonts w:asciiTheme="minorHAnsi" w:hAnsiTheme="minorHAnsi" w:cstheme="minorHAnsi"/>
          <w:color w:val="000000" w:themeColor="text1"/>
          <w:sz w:val="22"/>
          <w:szCs w:val="22"/>
        </w:rPr>
      </w:pPr>
      <w:r w:rsidRPr="001E1E9D">
        <w:rPr>
          <w:rFonts w:asciiTheme="minorHAnsi" w:hAnsiTheme="minorHAnsi" w:cstheme="minorHAnsi"/>
          <w:color w:val="000000" w:themeColor="text1"/>
          <w:sz w:val="22"/>
          <w:szCs w:val="22"/>
        </w:rPr>
        <w:t>T</w:t>
      </w:r>
      <w:r w:rsidR="006875D9" w:rsidRPr="001E1E9D">
        <w:rPr>
          <w:rFonts w:asciiTheme="minorHAnsi" w:hAnsiTheme="minorHAnsi" w:cstheme="minorHAnsi"/>
          <w:color w:val="000000" w:themeColor="text1"/>
          <w:sz w:val="22"/>
          <w:szCs w:val="22"/>
        </w:rPr>
        <w:t>he side effects of palliative radiotherapy can last up to six weeks</w:t>
      </w:r>
      <w:r w:rsidR="00E93704">
        <w:rPr>
          <w:rFonts w:asciiTheme="minorHAnsi" w:hAnsiTheme="minorHAnsi" w:cstheme="minorHAnsi"/>
          <w:color w:val="000000" w:themeColor="text1"/>
          <w:sz w:val="22"/>
          <w:szCs w:val="22"/>
        </w:rPr>
        <w:t xml:space="preserve"> (1</w:t>
      </w:r>
      <w:r w:rsidR="00E5584D">
        <w:rPr>
          <w:rFonts w:asciiTheme="minorHAnsi" w:hAnsiTheme="minorHAnsi" w:cstheme="minorHAnsi"/>
          <w:color w:val="000000" w:themeColor="text1"/>
          <w:sz w:val="22"/>
          <w:szCs w:val="22"/>
        </w:rPr>
        <w:t>9</w:t>
      </w:r>
      <w:r w:rsidR="00E93704">
        <w:rPr>
          <w:rFonts w:asciiTheme="minorHAnsi" w:hAnsiTheme="minorHAnsi" w:cstheme="minorHAnsi"/>
          <w:color w:val="000000" w:themeColor="text1"/>
          <w:sz w:val="22"/>
          <w:szCs w:val="22"/>
        </w:rPr>
        <w:t>)</w:t>
      </w:r>
      <w:r w:rsidR="00350CE4" w:rsidRPr="001E1E9D">
        <w:rPr>
          <w:rFonts w:asciiTheme="minorHAnsi" w:hAnsiTheme="minorHAnsi" w:cstheme="minorHAnsi"/>
          <w:color w:val="000000" w:themeColor="text1"/>
          <w:sz w:val="22"/>
          <w:szCs w:val="22"/>
        </w:rPr>
        <w:t>,</w:t>
      </w:r>
      <w:r w:rsidR="005047BC" w:rsidRPr="001E1E9D">
        <w:rPr>
          <w:rFonts w:asciiTheme="minorHAnsi" w:hAnsiTheme="minorHAnsi" w:cstheme="minorHAnsi"/>
          <w:color w:val="000000" w:themeColor="text1"/>
          <w:sz w:val="22"/>
          <w:szCs w:val="22"/>
        </w:rPr>
        <w:t xml:space="preserve"> and t</w:t>
      </w:r>
      <w:r w:rsidR="006875D9" w:rsidRPr="001E1E9D">
        <w:rPr>
          <w:rFonts w:asciiTheme="minorHAnsi" w:hAnsiTheme="minorHAnsi" w:cstheme="minorHAnsi"/>
          <w:color w:val="000000" w:themeColor="text1"/>
          <w:sz w:val="22"/>
          <w:szCs w:val="22"/>
        </w:rPr>
        <w:t>he results show 20% of patients</w:t>
      </w:r>
      <w:r w:rsidR="00056349">
        <w:rPr>
          <w:rFonts w:asciiTheme="minorHAnsi" w:hAnsiTheme="minorHAnsi" w:cstheme="minorHAnsi"/>
          <w:color w:val="000000" w:themeColor="text1"/>
          <w:sz w:val="22"/>
          <w:szCs w:val="22"/>
        </w:rPr>
        <w:t xml:space="preserve"> in this cohort</w:t>
      </w:r>
      <w:r w:rsidR="006875D9" w:rsidRPr="001E1E9D">
        <w:rPr>
          <w:rFonts w:asciiTheme="minorHAnsi" w:hAnsiTheme="minorHAnsi" w:cstheme="minorHAnsi"/>
          <w:color w:val="000000" w:themeColor="text1"/>
          <w:sz w:val="22"/>
          <w:szCs w:val="22"/>
        </w:rPr>
        <w:t xml:space="preserve"> died within 6 weeks of treatment</w:t>
      </w:r>
      <w:r w:rsidRPr="001E1E9D">
        <w:rPr>
          <w:rFonts w:asciiTheme="minorHAnsi" w:hAnsiTheme="minorHAnsi" w:cstheme="minorHAnsi"/>
          <w:color w:val="000000" w:themeColor="text1"/>
          <w:sz w:val="22"/>
          <w:szCs w:val="22"/>
        </w:rPr>
        <w:t>.</w:t>
      </w:r>
      <w:r w:rsidR="006875D9" w:rsidRPr="001E1E9D">
        <w:rPr>
          <w:rFonts w:asciiTheme="minorHAnsi" w:hAnsiTheme="minorHAnsi" w:cstheme="minorHAnsi"/>
          <w:color w:val="000000" w:themeColor="text1"/>
          <w:sz w:val="22"/>
          <w:szCs w:val="22"/>
        </w:rPr>
        <w:t xml:space="preserve"> </w:t>
      </w:r>
      <w:r w:rsidRPr="001E1E9D">
        <w:rPr>
          <w:rFonts w:asciiTheme="minorHAnsi" w:hAnsiTheme="minorHAnsi" w:cstheme="minorHAnsi"/>
          <w:color w:val="000000" w:themeColor="text1"/>
          <w:sz w:val="22"/>
          <w:szCs w:val="22"/>
        </w:rPr>
        <w:t>I</w:t>
      </w:r>
      <w:r w:rsidR="006875D9" w:rsidRPr="001E1E9D">
        <w:rPr>
          <w:rFonts w:asciiTheme="minorHAnsi" w:hAnsiTheme="minorHAnsi" w:cstheme="minorHAnsi"/>
          <w:color w:val="000000" w:themeColor="text1"/>
          <w:sz w:val="22"/>
          <w:szCs w:val="22"/>
        </w:rPr>
        <w:t xml:space="preserve">f these patients were not prescribed the appropriate antiemetic regime, </w:t>
      </w:r>
      <w:r w:rsidR="005047BC" w:rsidRPr="001E1E9D">
        <w:rPr>
          <w:rFonts w:asciiTheme="minorHAnsi" w:hAnsiTheme="minorHAnsi" w:cstheme="minorHAnsi"/>
          <w:color w:val="000000" w:themeColor="text1"/>
          <w:sz w:val="22"/>
          <w:szCs w:val="22"/>
        </w:rPr>
        <w:t>their</w:t>
      </w:r>
      <w:r w:rsidR="006875D9" w:rsidRPr="001E1E9D">
        <w:rPr>
          <w:rFonts w:asciiTheme="minorHAnsi" w:hAnsiTheme="minorHAnsi" w:cstheme="minorHAnsi"/>
          <w:color w:val="000000" w:themeColor="text1"/>
          <w:sz w:val="22"/>
          <w:szCs w:val="22"/>
        </w:rPr>
        <w:t xml:space="preserve"> last few weeks of </w:t>
      </w:r>
      <w:r w:rsidR="00966E2B" w:rsidRPr="001E1E9D">
        <w:rPr>
          <w:rFonts w:asciiTheme="minorHAnsi" w:hAnsiTheme="minorHAnsi" w:cstheme="minorHAnsi"/>
          <w:color w:val="000000" w:themeColor="text1"/>
          <w:sz w:val="22"/>
          <w:szCs w:val="22"/>
        </w:rPr>
        <w:t>life may</w:t>
      </w:r>
      <w:r w:rsidR="006875D9" w:rsidRPr="001E1E9D">
        <w:rPr>
          <w:rFonts w:asciiTheme="minorHAnsi" w:hAnsiTheme="minorHAnsi" w:cstheme="minorHAnsi"/>
          <w:color w:val="000000" w:themeColor="text1"/>
          <w:sz w:val="22"/>
          <w:szCs w:val="22"/>
        </w:rPr>
        <w:t xml:space="preserve"> have </w:t>
      </w:r>
      <w:r w:rsidR="005047BC" w:rsidRPr="001E1E9D">
        <w:rPr>
          <w:rFonts w:asciiTheme="minorHAnsi" w:hAnsiTheme="minorHAnsi" w:cstheme="minorHAnsi"/>
          <w:color w:val="000000" w:themeColor="text1"/>
          <w:sz w:val="22"/>
          <w:szCs w:val="22"/>
        </w:rPr>
        <w:t>been with a</w:t>
      </w:r>
      <w:r w:rsidR="006875D9" w:rsidRPr="001E1E9D">
        <w:rPr>
          <w:rFonts w:asciiTheme="minorHAnsi" w:hAnsiTheme="minorHAnsi" w:cstheme="minorHAnsi"/>
          <w:color w:val="000000" w:themeColor="text1"/>
          <w:sz w:val="22"/>
          <w:szCs w:val="22"/>
        </w:rPr>
        <w:t xml:space="preserve"> further reduced QOL</w:t>
      </w:r>
      <w:r w:rsidR="00E93704">
        <w:rPr>
          <w:rFonts w:asciiTheme="minorHAnsi" w:hAnsiTheme="minorHAnsi" w:cstheme="minorHAnsi"/>
          <w:color w:val="000000" w:themeColor="text1"/>
          <w:sz w:val="22"/>
          <w:szCs w:val="22"/>
        </w:rPr>
        <w:t xml:space="preserve"> (</w:t>
      </w:r>
      <w:r w:rsidR="00E5584D">
        <w:rPr>
          <w:rFonts w:asciiTheme="minorHAnsi" w:hAnsiTheme="minorHAnsi" w:cstheme="minorHAnsi"/>
          <w:color w:val="000000" w:themeColor="text1"/>
          <w:sz w:val="22"/>
          <w:szCs w:val="22"/>
        </w:rPr>
        <w:t>11</w:t>
      </w:r>
      <w:r w:rsidR="00E93704">
        <w:rPr>
          <w:rFonts w:asciiTheme="minorHAnsi" w:hAnsiTheme="minorHAnsi" w:cstheme="minorHAnsi"/>
          <w:color w:val="000000" w:themeColor="text1"/>
          <w:sz w:val="22"/>
          <w:szCs w:val="22"/>
        </w:rPr>
        <w:t>)</w:t>
      </w:r>
      <w:r w:rsidR="00E7742D">
        <w:rPr>
          <w:rFonts w:asciiTheme="minorHAnsi" w:hAnsiTheme="minorHAnsi" w:cstheme="minorHAnsi"/>
          <w:color w:val="000000" w:themeColor="text1"/>
          <w:sz w:val="22"/>
          <w:szCs w:val="22"/>
        </w:rPr>
        <w:t xml:space="preserve">, however, it is difficult to ascertain if this was the case, as many of the patients died before the audit took place and </w:t>
      </w:r>
      <w:r w:rsidR="006A3AF2">
        <w:rPr>
          <w:rFonts w:asciiTheme="minorHAnsi" w:hAnsiTheme="minorHAnsi" w:cstheme="minorHAnsi"/>
          <w:color w:val="000000" w:themeColor="text1"/>
          <w:sz w:val="22"/>
          <w:szCs w:val="22"/>
        </w:rPr>
        <w:t>it was not deemed suitable to contact this group of patients in order to question them</w:t>
      </w:r>
      <w:r w:rsidR="00E7742D">
        <w:rPr>
          <w:rFonts w:asciiTheme="minorHAnsi" w:hAnsiTheme="minorHAnsi" w:cstheme="minorHAnsi"/>
          <w:color w:val="000000" w:themeColor="text1"/>
          <w:sz w:val="22"/>
          <w:szCs w:val="22"/>
        </w:rPr>
        <w:t xml:space="preserve">. </w:t>
      </w:r>
      <w:r w:rsidR="00056349">
        <w:rPr>
          <w:rFonts w:asciiTheme="minorHAnsi" w:hAnsiTheme="minorHAnsi" w:cstheme="minorHAnsi"/>
          <w:color w:val="000000" w:themeColor="text1"/>
          <w:sz w:val="22"/>
          <w:szCs w:val="22"/>
        </w:rPr>
        <w:t>Evidence-based prescription protocols could help to prevent this using a simple categorisation based on vertebral levels</w:t>
      </w:r>
      <w:r w:rsidR="00EB1B95">
        <w:rPr>
          <w:rFonts w:asciiTheme="minorHAnsi" w:hAnsiTheme="minorHAnsi" w:cstheme="minorHAnsi"/>
          <w:color w:val="000000" w:themeColor="text1"/>
          <w:sz w:val="22"/>
          <w:szCs w:val="22"/>
        </w:rPr>
        <w:t xml:space="preserve"> and field size</w:t>
      </w:r>
      <w:r w:rsidR="00056349">
        <w:rPr>
          <w:rFonts w:asciiTheme="minorHAnsi" w:hAnsiTheme="minorHAnsi" w:cstheme="minorHAnsi"/>
          <w:color w:val="000000" w:themeColor="text1"/>
          <w:sz w:val="22"/>
          <w:szCs w:val="22"/>
        </w:rPr>
        <w:t xml:space="preserve">. </w:t>
      </w:r>
    </w:p>
    <w:p w14:paraId="2A53624D" w14:textId="77777777" w:rsidR="006875D9" w:rsidRPr="001E1E9D" w:rsidRDefault="006875D9" w:rsidP="000C6FF6">
      <w:pPr>
        <w:pStyle w:val="Disstext"/>
        <w:rPr>
          <w:rFonts w:asciiTheme="minorHAnsi" w:hAnsiTheme="minorHAnsi" w:cstheme="minorHAnsi"/>
          <w:color w:val="000000" w:themeColor="text1"/>
          <w:sz w:val="22"/>
          <w:szCs w:val="22"/>
        </w:rPr>
      </w:pPr>
    </w:p>
    <w:p w14:paraId="5BEEECBA" w14:textId="50B1BB44" w:rsidR="00056349" w:rsidRDefault="00056349" w:rsidP="000C6FF6">
      <w:pPr>
        <w:pStyle w:val="Diss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key</w:t>
      </w:r>
      <w:r w:rsidR="006875D9" w:rsidRPr="001E1E9D">
        <w:rPr>
          <w:rFonts w:asciiTheme="minorHAnsi" w:hAnsiTheme="minorHAnsi" w:cstheme="minorHAnsi"/>
          <w:color w:val="000000" w:themeColor="text1"/>
          <w:sz w:val="22"/>
          <w:szCs w:val="22"/>
        </w:rPr>
        <w:t xml:space="preserve"> objective of the audit was to determine if the correct patients are being consented for nausea and vomiting. According to the data, 83% of patients with a high or moderate</w:t>
      </w:r>
      <w:r w:rsidR="000C7921" w:rsidRPr="001E1E9D">
        <w:rPr>
          <w:rFonts w:asciiTheme="minorHAnsi" w:hAnsiTheme="minorHAnsi" w:cstheme="minorHAnsi"/>
          <w:color w:val="000000" w:themeColor="text1"/>
          <w:sz w:val="22"/>
          <w:szCs w:val="22"/>
        </w:rPr>
        <w:t xml:space="preserve"> emetogenic</w:t>
      </w:r>
      <w:r w:rsidR="006875D9" w:rsidRPr="001E1E9D">
        <w:rPr>
          <w:rFonts w:asciiTheme="minorHAnsi" w:hAnsiTheme="minorHAnsi" w:cstheme="minorHAnsi"/>
          <w:color w:val="000000" w:themeColor="text1"/>
          <w:sz w:val="22"/>
          <w:szCs w:val="22"/>
        </w:rPr>
        <w:t xml:space="preserve"> risk </w:t>
      </w:r>
      <w:r>
        <w:rPr>
          <w:rFonts w:asciiTheme="minorHAnsi" w:hAnsiTheme="minorHAnsi" w:cstheme="minorHAnsi"/>
          <w:color w:val="000000" w:themeColor="text1"/>
          <w:sz w:val="22"/>
          <w:szCs w:val="22"/>
        </w:rPr>
        <w:t>were</w:t>
      </w:r>
      <w:r w:rsidR="006875D9" w:rsidRPr="001E1E9D">
        <w:rPr>
          <w:rFonts w:asciiTheme="minorHAnsi" w:hAnsiTheme="minorHAnsi" w:cstheme="minorHAnsi"/>
          <w:color w:val="000000" w:themeColor="text1"/>
          <w:sz w:val="22"/>
          <w:szCs w:val="22"/>
        </w:rPr>
        <w:t xml:space="preserve"> consented for nausea and/or</w:t>
      </w:r>
      <w:r w:rsidR="000C7921" w:rsidRPr="001E1E9D">
        <w:rPr>
          <w:rFonts w:asciiTheme="minorHAnsi" w:hAnsiTheme="minorHAnsi" w:cstheme="minorHAnsi"/>
          <w:color w:val="000000" w:themeColor="text1"/>
          <w:sz w:val="22"/>
          <w:szCs w:val="22"/>
        </w:rPr>
        <w:t xml:space="preserve"> vomiting</w:t>
      </w:r>
      <w:r>
        <w:rPr>
          <w:rFonts w:asciiTheme="minorHAnsi" w:hAnsiTheme="minorHAnsi" w:cstheme="minorHAnsi"/>
          <w:color w:val="000000" w:themeColor="text1"/>
          <w:sz w:val="22"/>
          <w:szCs w:val="22"/>
        </w:rPr>
        <w:t xml:space="preserve">. For the remaining </w:t>
      </w:r>
      <w:r w:rsidR="000C7921" w:rsidRPr="001E1E9D">
        <w:rPr>
          <w:rFonts w:asciiTheme="minorHAnsi" w:hAnsiTheme="minorHAnsi" w:cstheme="minorHAnsi"/>
          <w:color w:val="000000" w:themeColor="text1"/>
          <w:sz w:val="22"/>
          <w:szCs w:val="22"/>
        </w:rPr>
        <w:t xml:space="preserve">17% </w:t>
      </w:r>
      <w:r>
        <w:rPr>
          <w:rFonts w:asciiTheme="minorHAnsi" w:hAnsiTheme="minorHAnsi" w:cstheme="minorHAnsi"/>
          <w:color w:val="000000" w:themeColor="text1"/>
          <w:sz w:val="22"/>
          <w:szCs w:val="22"/>
        </w:rPr>
        <w:t xml:space="preserve">there are issues associated with the extent to which consent can be classed as “informed”. It is possible that some of these patients were already taking </w:t>
      </w:r>
      <w:r w:rsidR="00F86BD5">
        <w:rPr>
          <w:rFonts w:asciiTheme="minorHAnsi" w:hAnsiTheme="minorHAnsi" w:cstheme="minorHAnsi"/>
          <w:color w:val="000000" w:themeColor="text1"/>
          <w:sz w:val="22"/>
          <w:szCs w:val="22"/>
        </w:rPr>
        <w:t>antiemetic</w:t>
      </w:r>
      <w:r>
        <w:rPr>
          <w:rFonts w:asciiTheme="minorHAnsi" w:hAnsiTheme="minorHAnsi" w:cstheme="minorHAnsi"/>
          <w:color w:val="000000" w:themeColor="text1"/>
          <w:sz w:val="22"/>
          <w:szCs w:val="22"/>
        </w:rPr>
        <w:t xml:space="preserve"> medication; this was not identified within the audit. </w:t>
      </w:r>
      <w:r w:rsidR="00F866F4" w:rsidRPr="00F866F4">
        <w:rPr>
          <w:rFonts w:asciiTheme="minorHAnsi" w:hAnsiTheme="minorHAnsi" w:cstheme="minorHAnsi"/>
          <w:color w:val="000000" w:themeColor="text1"/>
          <w:sz w:val="22"/>
          <w:szCs w:val="22"/>
        </w:rPr>
        <w:t>As dexamethasone itself reduces the chances of nausea and vomiting</w:t>
      </w:r>
      <w:r w:rsidR="00E93704">
        <w:rPr>
          <w:rFonts w:asciiTheme="minorHAnsi" w:hAnsiTheme="minorHAnsi" w:cstheme="minorHAnsi"/>
          <w:color w:val="000000" w:themeColor="text1"/>
          <w:sz w:val="22"/>
          <w:szCs w:val="22"/>
          <w:vertAlign w:val="superscript"/>
        </w:rPr>
        <w:t xml:space="preserve"> </w:t>
      </w:r>
      <w:r w:rsidR="00E93704">
        <w:rPr>
          <w:rFonts w:asciiTheme="minorHAnsi" w:hAnsiTheme="minorHAnsi" w:cstheme="minorHAnsi"/>
          <w:color w:val="000000" w:themeColor="text1"/>
          <w:sz w:val="22"/>
          <w:szCs w:val="22"/>
        </w:rPr>
        <w:t>(</w:t>
      </w:r>
      <w:r w:rsidR="00E5584D">
        <w:rPr>
          <w:rFonts w:asciiTheme="minorHAnsi" w:hAnsiTheme="minorHAnsi" w:cstheme="minorHAnsi"/>
          <w:color w:val="000000" w:themeColor="text1"/>
          <w:sz w:val="22"/>
          <w:szCs w:val="22"/>
        </w:rPr>
        <w:t>12</w:t>
      </w:r>
      <w:r w:rsidR="00E93704">
        <w:rPr>
          <w:rFonts w:asciiTheme="minorHAnsi" w:hAnsiTheme="minorHAnsi" w:cstheme="minorHAnsi"/>
          <w:color w:val="000000" w:themeColor="text1"/>
          <w:sz w:val="22"/>
          <w:szCs w:val="22"/>
        </w:rPr>
        <w:t>)</w:t>
      </w:r>
      <w:r w:rsidR="00F866F4" w:rsidRPr="00F866F4">
        <w:rPr>
          <w:rFonts w:asciiTheme="minorHAnsi" w:hAnsiTheme="minorHAnsi" w:cstheme="minorHAnsi"/>
          <w:color w:val="000000" w:themeColor="text1"/>
          <w:sz w:val="22"/>
          <w:szCs w:val="22"/>
        </w:rPr>
        <w:t xml:space="preserve">, it may be perceived that </w:t>
      </w:r>
      <w:r w:rsidR="00F86BD5">
        <w:rPr>
          <w:rFonts w:asciiTheme="minorHAnsi" w:hAnsiTheme="minorHAnsi" w:cstheme="minorHAnsi"/>
          <w:color w:val="000000" w:themeColor="text1"/>
          <w:sz w:val="22"/>
          <w:szCs w:val="22"/>
        </w:rPr>
        <w:t>Ondansetron</w:t>
      </w:r>
      <w:r w:rsidR="00F866F4" w:rsidRPr="00F866F4">
        <w:rPr>
          <w:rFonts w:asciiTheme="minorHAnsi" w:hAnsiTheme="minorHAnsi" w:cstheme="minorHAnsi"/>
          <w:color w:val="000000" w:themeColor="text1"/>
          <w:sz w:val="22"/>
          <w:szCs w:val="22"/>
        </w:rPr>
        <w:t xml:space="preserve"> is not necessary for these patients. However, the evidence indicates that </w:t>
      </w:r>
      <w:r w:rsidR="00F86BD5">
        <w:rPr>
          <w:rFonts w:asciiTheme="minorHAnsi" w:hAnsiTheme="minorHAnsi" w:cstheme="minorHAnsi"/>
          <w:color w:val="000000" w:themeColor="text1"/>
          <w:sz w:val="22"/>
          <w:szCs w:val="22"/>
        </w:rPr>
        <w:t>Ondansetron</w:t>
      </w:r>
      <w:r w:rsidR="00F866F4" w:rsidRPr="00F866F4">
        <w:rPr>
          <w:rFonts w:asciiTheme="minorHAnsi" w:hAnsiTheme="minorHAnsi" w:cstheme="minorHAnsi"/>
          <w:color w:val="000000" w:themeColor="text1"/>
          <w:sz w:val="22"/>
          <w:szCs w:val="22"/>
        </w:rPr>
        <w:t xml:space="preserve"> should always be given to high and moderate risk patients.</w:t>
      </w:r>
      <w:r w:rsidR="00F866F4">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Additional</w:t>
      </w:r>
      <w:r w:rsidR="006875D9" w:rsidRPr="001E1E9D">
        <w:rPr>
          <w:rFonts w:asciiTheme="minorHAnsi" w:hAnsiTheme="minorHAnsi" w:cstheme="minorHAnsi"/>
          <w:color w:val="000000" w:themeColor="text1"/>
          <w:sz w:val="22"/>
          <w:szCs w:val="22"/>
        </w:rPr>
        <w:t xml:space="preserve"> training</w:t>
      </w:r>
      <w:r>
        <w:rPr>
          <w:rFonts w:asciiTheme="minorHAnsi" w:hAnsiTheme="minorHAnsi" w:cstheme="minorHAnsi"/>
          <w:color w:val="000000" w:themeColor="text1"/>
          <w:sz w:val="22"/>
          <w:szCs w:val="22"/>
        </w:rPr>
        <w:t xml:space="preserve"> and written information</w:t>
      </w:r>
      <w:r w:rsidR="006875D9" w:rsidRPr="001E1E9D">
        <w:rPr>
          <w:rFonts w:asciiTheme="minorHAnsi" w:hAnsiTheme="minorHAnsi" w:cstheme="minorHAnsi"/>
          <w:color w:val="000000" w:themeColor="text1"/>
          <w:sz w:val="22"/>
          <w:szCs w:val="22"/>
        </w:rPr>
        <w:t xml:space="preserve"> may </w:t>
      </w:r>
      <w:r>
        <w:rPr>
          <w:rFonts w:asciiTheme="minorHAnsi" w:hAnsiTheme="minorHAnsi" w:cstheme="minorHAnsi"/>
          <w:color w:val="000000" w:themeColor="text1"/>
          <w:sz w:val="22"/>
          <w:szCs w:val="22"/>
        </w:rPr>
        <w:t>help</w:t>
      </w:r>
      <w:r w:rsidR="006875D9" w:rsidRPr="001E1E9D">
        <w:rPr>
          <w:rFonts w:asciiTheme="minorHAnsi" w:hAnsiTheme="minorHAnsi" w:cstheme="minorHAnsi"/>
          <w:color w:val="000000" w:themeColor="text1"/>
          <w:sz w:val="22"/>
          <w:szCs w:val="22"/>
        </w:rPr>
        <w:t xml:space="preserve"> to refresh consenting staff on which treatment sites </w:t>
      </w:r>
      <w:r w:rsidR="000C7921" w:rsidRPr="001E1E9D">
        <w:rPr>
          <w:rFonts w:asciiTheme="minorHAnsi" w:hAnsiTheme="minorHAnsi" w:cstheme="minorHAnsi"/>
          <w:color w:val="000000" w:themeColor="text1"/>
          <w:sz w:val="22"/>
          <w:szCs w:val="22"/>
        </w:rPr>
        <w:t xml:space="preserve">carry </w:t>
      </w:r>
      <w:r>
        <w:rPr>
          <w:rFonts w:asciiTheme="minorHAnsi" w:hAnsiTheme="minorHAnsi" w:cstheme="minorHAnsi"/>
          <w:color w:val="000000" w:themeColor="text1"/>
          <w:sz w:val="22"/>
          <w:szCs w:val="22"/>
        </w:rPr>
        <w:t>high or moderate RINV</w:t>
      </w:r>
      <w:r w:rsidR="006875D9" w:rsidRPr="001E1E9D">
        <w:rPr>
          <w:rFonts w:asciiTheme="minorHAnsi" w:hAnsiTheme="minorHAnsi" w:cstheme="minorHAnsi"/>
          <w:color w:val="000000" w:themeColor="text1"/>
          <w:sz w:val="22"/>
          <w:szCs w:val="22"/>
        </w:rPr>
        <w:t xml:space="preserve"> risk. </w:t>
      </w:r>
      <w:r w:rsidR="001A2031">
        <w:rPr>
          <w:rFonts w:asciiTheme="minorHAnsi" w:hAnsiTheme="minorHAnsi" w:cstheme="minorHAnsi"/>
          <w:color w:val="000000" w:themeColor="text1"/>
          <w:sz w:val="22"/>
          <w:szCs w:val="22"/>
        </w:rPr>
        <w:t xml:space="preserve">Other antiemetics, such as metoclopramide may have been given instead of Ondansetron as </w:t>
      </w:r>
      <w:r w:rsidR="001A2031">
        <w:rPr>
          <w:rFonts w:asciiTheme="minorHAnsi" w:hAnsiTheme="minorHAnsi" w:cstheme="minorHAnsi"/>
          <w:sz w:val="22"/>
          <w:szCs w:val="22"/>
        </w:rPr>
        <w:t>congenital long QT syndrome is a contra-indication for Ondansetron (</w:t>
      </w:r>
      <w:r w:rsidR="00E5584D">
        <w:rPr>
          <w:rFonts w:asciiTheme="minorHAnsi" w:hAnsiTheme="minorHAnsi" w:cstheme="minorHAnsi"/>
          <w:sz w:val="22"/>
          <w:szCs w:val="22"/>
        </w:rPr>
        <w:t>21</w:t>
      </w:r>
      <w:r w:rsidR="001A2031">
        <w:rPr>
          <w:rFonts w:asciiTheme="minorHAnsi" w:hAnsiTheme="minorHAnsi" w:cstheme="minorHAnsi"/>
          <w:sz w:val="22"/>
          <w:szCs w:val="22"/>
        </w:rPr>
        <w:t>).</w:t>
      </w:r>
    </w:p>
    <w:p w14:paraId="77FC83B8" w14:textId="77777777" w:rsidR="00056349" w:rsidRDefault="00056349" w:rsidP="000C6FF6">
      <w:pPr>
        <w:pStyle w:val="Disstext"/>
        <w:rPr>
          <w:rFonts w:asciiTheme="minorHAnsi" w:hAnsiTheme="minorHAnsi" w:cstheme="minorHAnsi"/>
          <w:color w:val="000000" w:themeColor="text1"/>
          <w:sz w:val="22"/>
          <w:szCs w:val="22"/>
        </w:rPr>
      </w:pPr>
    </w:p>
    <w:p w14:paraId="2D56161E" w14:textId="77777777" w:rsidR="006875D9" w:rsidRDefault="00DD12C1" w:rsidP="000C6FF6">
      <w:pPr>
        <w:pStyle w:val="Diss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addition to the previously mentioned issue regarding existing medication, there is another noteworthy limitation</w:t>
      </w:r>
      <w:r w:rsidR="006875D9" w:rsidRPr="001E1E9D">
        <w:rPr>
          <w:rFonts w:asciiTheme="minorHAnsi" w:hAnsiTheme="minorHAnsi" w:cstheme="minorHAnsi"/>
          <w:color w:val="000000" w:themeColor="text1"/>
          <w:sz w:val="22"/>
          <w:szCs w:val="22"/>
        </w:rPr>
        <w:t xml:space="preserve"> to the audit that could affect the </w:t>
      </w:r>
      <w:r w:rsidR="00BE647E" w:rsidRPr="001E1E9D">
        <w:rPr>
          <w:rFonts w:asciiTheme="minorHAnsi" w:hAnsiTheme="minorHAnsi" w:cstheme="minorHAnsi"/>
          <w:color w:val="000000" w:themeColor="text1"/>
          <w:sz w:val="22"/>
          <w:szCs w:val="22"/>
        </w:rPr>
        <w:t>outcomes</w:t>
      </w:r>
      <w:r w:rsidR="006875D9" w:rsidRPr="001E1E9D">
        <w:rPr>
          <w:rFonts w:asciiTheme="minorHAnsi" w:hAnsiTheme="minorHAnsi" w:cstheme="minorHAnsi"/>
          <w:color w:val="000000" w:themeColor="text1"/>
          <w:sz w:val="22"/>
          <w:szCs w:val="22"/>
        </w:rPr>
        <w:t xml:space="preserve">. </w:t>
      </w:r>
      <w:r w:rsidR="00056349">
        <w:rPr>
          <w:rFonts w:asciiTheme="minorHAnsi" w:hAnsiTheme="minorHAnsi" w:cstheme="minorHAnsi"/>
          <w:color w:val="000000" w:themeColor="text1"/>
          <w:sz w:val="22"/>
          <w:szCs w:val="22"/>
        </w:rPr>
        <w:t>An absence of prescription data in pa</w:t>
      </w:r>
      <w:r>
        <w:rPr>
          <w:rFonts w:asciiTheme="minorHAnsi" w:hAnsiTheme="minorHAnsi" w:cstheme="minorHAnsi"/>
          <w:color w:val="000000" w:themeColor="text1"/>
          <w:sz w:val="22"/>
          <w:szCs w:val="22"/>
        </w:rPr>
        <w:t xml:space="preserve">per notes </w:t>
      </w:r>
      <w:r w:rsidR="008650B2">
        <w:rPr>
          <w:rFonts w:asciiTheme="minorHAnsi" w:hAnsiTheme="minorHAnsi" w:cstheme="minorHAnsi"/>
          <w:color w:val="000000" w:themeColor="text1"/>
          <w:sz w:val="22"/>
          <w:szCs w:val="22"/>
        </w:rPr>
        <w:t xml:space="preserve">or </w:t>
      </w:r>
      <w:r>
        <w:rPr>
          <w:rFonts w:asciiTheme="minorHAnsi" w:hAnsiTheme="minorHAnsi" w:cstheme="minorHAnsi"/>
          <w:color w:val="000000" w:themeColor="text1"/>
          <w:sz w:val="22"/>
          <w:szCs w:val="22"/>
        </w:rPr>
        <w:t xml:space="preserve">annotation </w:t>
      </w:r>
      <w:r w:rsidR="008650B2">
        <w:rPr>
          <w:rFonts w:asciiTheme="minorHAnsi" w:hAnsiTheme="minorHAnsi" w:cstheme="minorHAnsi"/>
          <w:color w:val="000000" w:themeColor="text1"/>
          <w:sz w:val="22"/>
          <w:szCs w:val="22"/>
        </w:rPr>
        <w:t>of electronic</w:t>
      </w:r>
      <w:r w:rsidR="00056349">
        <w:rPr>
          <w:rFonts w:asciiTheme="minorHAnsi" w:hAnsiTheme="minorHAnsi" w:cstheme="minorHAnsi"/>
          <w:color w:val="000000" w:themeColor="text1"/>
          <w:sz w:val="22"/>
          <w:szCs w:val="22"/>
        </w:rPr>
        <w:t xml:space="preserve"> notes was interpreted as </w:t>
      </w:r>
      <w:r>
        <w:rPr>
          <w:rFonts w:asciiTheme="minorHAnsi" w:hAnsiTheme="minorHAnsi" w:cstheme="minorHAnsi"/>
          <w:color w:val="000000" w:themeColor="text1"/>
          <w:sz w:val="22"/>
          <w:szCs w:val="22"/>
        </w:rPr>
        <w:t>failure to prescribe. It may be that filing or annotation issues were responsible for some of the findings. Data concerning potential contraindications to medication was also not gathered. A final and minor limitation arose as a result of an illegible annotation. While electronic notes are helping to reduce this problem, it is clear that poor handwriting can impact on data collection.</w:t>
      </w:r>
    </w:p>
    <w:p w14:paraId="5A9B4281" w14:textId="77777777" w:rsidR="00EE25D1" w:rsidRDefault="00EE25D1" w:rsidP="00EE25D1">
      <w:pPr>
        <w:rPr>
          <w:lang w:eastAsia="en-US"/>
        </w:rPr>
      </w:pPr>
    </w:p>
    <w:p w14:paraId="11534541" w14:textId="77777777" w:rsidR="00CE5E38" w:rsidRPr="001E1E9D" w:rsidRDefault="00DD12C1" w:rsidP="00DD12C1">
      <w:pPr>
        <w:spacing w:line="360" w:lineRule="auto"/>
        <w:jc w:val="both"/>
        <w:rPr>
          <w:rFonts w:asciiTheme="minorHAnsi" w:hAnsiTheme="minorHAnsi" w:cstheme="minorHAnsi"/>
          <w:color w:val="000000" w:themeColor="text1"/>
          <w:sz w:val="22"/>
          <w:szCs w:val="22"/>
        </w:rPr>
      </w:pPr>
      <w:r>
        <w:rPr>
          <w:rFonts w:asciiTheme="minorHAnsi" w:hAnsiTheme="minorHAnsi" w:cstheme="minorHAnsi"/>
          <w:sz w:val="22"/>
          <w:szCs w:val="22"/>
          <w:lang w:eastAsia="en-US"/>
        </w:rPr>
        <w:t xml:space="preserve">Updating of existing local guidance is currently underway, guided by the results of this audit. Future iterations of this audit should hopefully provide assurance that improvements have been implemented. </w:t>
      </w:r>
      <w:bookmarkStart w:id="46" w:name="_Toc30177882"/>
    </w:p>
    <w:p w14:paraId="429481CA" w14:textId="77777777" w:rsidR="00982953" w:rsidRPr="001E1E9D" w:rsidRDefault="00982953" w:rsidP="00982953">
      <w:pPr>
        <w:rPr>
          <w:rFonts w:asciiTheme="minorHAnsi" w:hAnsiTheme="minorHAnsi" w:cstheme="minorHAnsi"/>
          <w:sz w:val="22"/>
          <w:szCs w:val="22"/>
          <w:lang w:eastAsia="en-US"/>
        </w:rPr>
      </w:pPr>
    </w:p>
    <w:p w14:paraId="5643FE8B" w14:textId="77777777" w:rsidR="00AA0623" w:rsidRDefault="00AA0623" w:rsidP="008926D5">
      <w:pPr>
        <w:pStyle w:val="Heading1"/>
        <w:spacing w:line="360" w:lineRule="auto"/>
        <w:jc w:val="both"/>
        <w:rPr>
          <w:rFonts w:asciiTheme="minorHAnsi" w:hAnsiTheme="minorHAnsi" w:cstheme="minorHAnsi"/>
          <w:b/>
          <w:color w:val="000000" w:themeColor="text1"/>
          <w:sz w:val="22"/>
          <w:szCs w:val="22"/>
        </w:rPr>
      </w:pPr>
      <w:bookmarkStart w:id="47" w:name="_Toc32429910"/>
      <w:bookmarkStart w:id="48" w:name="_Toc32429962"/>
    </w:p>
    <w:p w14:paraId="09890460" w14:textId="77777777" w:rsidR="00B97930" w:rsidRPr="00DD12C1" w:rsidRDefault="006875D9" w:rsidP="008926D5">
      <w:pPr>
        <w:pStyle w:val="Heading1"/>
        <w:spacing w:line="360" w:lineRule="auto"/>
        <w:jc w:val="both"/>
        <w:rPr>
          <w:rFonts w:asciiTheme="minorHAnsi" w:hAnsiTheme="minorHAnsi" w:cstheme="minorHAnsi"/>
          <w:b/>
          <w:color w:val="000000" w:themeColor="text1"/>
          <w:sz w:val="22"/>
          <w:szCs w:val="22"/>
        </w:rPr>
      </w:pPr>
      <w:r w:rsidRPr="00DD12C1">
        <w:rPr>
          <w:rFonts w:asciiTheme="minorHAnsi" w:hAnsiTheme="minorHAnsi" w:cstheme="minorHAnsi"/>
          <w:b/>
          <w:color w:val="000000" w:themeColor="text1"/>
          <w:sz w:val="22"/>
          <w:szCs w:val="22"/>
        </w:rPr>
        <w:t>Conclusion</w:t>
      </w:r>
      <w:bookmarkEnd w:id="46"/>
      <w:bookmarkEnd w:id="47"/>
      <w:bookmarkEnd w:id="48"/>
    </w:p>
    <w:p w14:paraId="68797D3C" w14:textId="77777777" w:rsidR="00366735" w:rsidRPr="001E1E9D" w:rsidRDefault="00A05189" w:rsidP="00B068FE">
      <w:pPr>
        <w:spacing w:line="360" w:lineRule="auto"/>
        <w:jc w:val="both"/>
        <w:rPr>
          <w:rFonts w:asciiTheme="minorHAnsi" w:hAnsiTheme="minorHAnsi" w:cstheme="minorHAnsi"/>
          <w:color w:val="000000" w:themeColor="text1"/>
          <w:sz w:val="22"/>
          <w:szCs w:val="22"/>
        </w:rPr>
      </w:pPr>
      <w:r w:rsidRPr="001E1E9D">
        <w:rPr>
          <w:rFonts w:asciiTheme="minorHAnsi" w:hAnsiTheme="minorHAnsi" w:cstheme="minorHAnsi"/>
          <w:color w:val="000000" w:themeColor="text1"/>
          <w:sz w:val="22"/>
          <w:szCs w:val="22"/>
        </w:rPr>
        <w:t>The results of the audit show</w:t>
      </w:r>
      <w:r w:rsidR="004E44F7" w:rsidRPr="001E1E9D">
        <w:rPr>
          <w:rFonts w:asciiTheme="minorHAnsi" w:hAnsiTheme="minorHAnsi" w:cstheme="minorHAnsi"/>
          <w:color w:val="000000" w:themeColor="text1"/>
          <w:sz w:val="22"/>
          <w:szCs w:val="22"/>
        </w:rPr>
        <w:t xml:space="preserve"> </w:t>
      </w:r>
      <w:r w:rsidR="00B068FE" w:rsidRPr="001E1E9D">
        <w:rPr>
          <w:rFonts w:asciiTheme="minorHAnsi" w:hAnsiTheme="minorHAnsi" w:cstheme="minorHAnsi"/>
          <w:color w:val="000000" w:themeColor="text1"/>
          <w:sz w:val="22"/>
          <w:szCs w:val="22"/>
        </w:rPr>
        <w:t>that antiemetic prescription</w:t>
      </w:r>
      <w:r w:rsidR="004E44F7" w:rsidRPr="001E1E9D">
        <w:rPr>
          <w:rFonts w:asciiTheme="minorHAnsi" w:hAnsiTheme="minorHAnsi" w:cstheme="minorHAnsi"/>
          <w:color w:val="000000" w:themeColor="text1"/>
          <w:sz w:val="22"/>
          <w:szCs w:val="22"/>
        </w:rPr>
        <w:t xml:space="preserve"> guidance is currently not being followed </w:t>
      </w:r>
      <w:r w:rsidR="00B068FE" w:rsidRPr="001E1E9D">
        <w:rPr>
          <w:rFonts w:asciiTheme="minorHAnsi" w:hAnsiTheme="minorHAnsi" w:cstheme="minorHAnsi"/>
          <w:color w:val="000000" w:themeColor="text1"/>
          <w:sz w:val="22"/>
          <w:szCs w:val="22"/>
        </w:rPr>
        <w:t xml:space="preserve">rigorously </w:t>
      </w:r>
      <w:r w:rsidR="004E44F7" w:rsidRPr="001E1E9D">
        <w:rPr>
          <w:rFonts w:asciiTheme="minorHAnsi" w:hAnsiTheme="minorHAnsi" w:cstheme="minorHAnsi"/>
          <w:color w:val="000000" w:themeColor="text1"/>
          <w:sz w:val="22"/>
          <w:szCs w:val="22"/>
        </w:rPr>
        <w:t xml:space="preserve">and although there are limitations to this study, it </w:t>
      </w:r>
      <w:r w:rsidR="00B068FE" w:rsidRPr="001E1E9D">
        <w:rPr>
          <w:rFonts w:asciiTheme="minorHAnsi" w:hAnsiTheme="minorHAnsi" w:cstheme="minorHAnsi"/>
          <w:color w:val="000000" w:themeColor="text1"/>
          <w:sz w:val="22"/>
          <w:szCs w:val="22"/>
        </w:rPr>
        <w:t xml:space="preserve">suggests that </w:t>
      </w:r>
      <w:r w:rsidR="004E44F7" w:rsidRPr="001E1E9D">
        <w:rPr>
          <w:rFonts w:asciiTheme="minorHAnsi" w:hAnsiTheme="minorHAnsi" w:cstheme="minorHAnsi"/>
          <w:color w:val="000000" w:themeColor="text1"/>
          <w:sz w:val="22"/>
          <w:szCs w:val="22"/>
        </w:rPr>
        <w:t xml:space="preserve">improvements </w:t>
      </w:r>
      <w:r w:rsidRPr="001E1E9D">
        <w:rPr>
          <w:rFonts w:asciiTheme="minorHAnsi" w:hAnsiTheme="minorHAnsi" w:cstheme="minorHAnsi"/>
          <w:color w:val="000000" w:themeColor="text1"/>
          <w:sz w:val="22"/>
          <w:szCs w:val="22"/>
        </w:rPr>
        <w:t>could</w:t>
      </w:r>
      <w:r w:rsidR="004E44F7" w:rsidRPr="001E1E9D">
        <w:rPr>
          <w:rFonts w:asciiTheme="minorHAnsi" w:hAnsiTheme="minorHAnsi" w:cstheme="minorHAnsi"/>
          <w:color w:val="000000" w:themeColor="text1"/>
          <w:sz w:val="22"/>
          <w:szCs w:val="22"/>
        </w:rPr>
        <w:t xml:space="preserve"> be made to the service.</w:t>
      </w:r>
      <w:r w:rsidR="00366735" w:rsidRPr="001E1E9D">
        <w:rPr>
          <w:rFonts w:asciiTheme="minorHAnsi" w:hAnsiTheme="minorHAnsi" w:cstheme="minorHAnsi"/>
          <w:color w:val="000000" w:themeColor="text1"/>
          <w:sz w:val="22"/>
          <w:szCs w:val="22"/>
        </w:rPr>
        <w:t xml:space="preserve"> </w:t>
      </w:r>
      <w:r w:rsidR="00B068FE" w:rsidRPr="001E1E9D">
        <w:rPr>
          <w:rFonts w:asciiTheme="minorHAnsi" w:hAnsiTheme="minorHAnsi" w:cstheme="minorHAnsi"/>
          <w:color w:val="000000" w:themeColor="text1"/>
          <w:sz w:val="22"/>
          <w:szCs w:val="22"/>
        </w:rPr>
        <w:t>Guidance is currently being updated and futur</w:t>
      </w:r>
      <w:r w:rsidR="00C96A2E" w:rsidRPr="001E1E9D">
        <w:rPr>
          <w:rFonts w:asciiTheme="minorHAnsi" w:hAnsiTheme="minorHAnsi" w:cstheme="minorHAnsi"/>
          <w:color w:val="000000" w:themeColor="text1"/>
          <w:sz w:val="22"/>
          <w:szCs w:val="22"/>
        </w:rPr>
        <w:t>e</w:t>
      </w:r>
      <w:r w:rsidR="00B068FE" w:rsidRPr="001E1E9D">
        <w:rPr>
          <w:rFonts w:asciiTheme="minorHAnsi" w:hAnsiTheme="minorHAnsi" w:cstheme="minorHAnsi"/>
          <w:color w:val="000000" w:themeColor="text1"/>
          <w:sz w:val="22"/>
          <w:szCs w:val="22"/>
        </w:rPr>
        <w:t xml:space="preserve"> iterations of this</w:t>
      </w:r>
      <w:r w:rsidR="00C96A2E" w:rsidRPr="001E1E9D">
        <w:rPr>
          <w:rFonts w:asciiTheme="minorHAnsi" w:hAnsiTheme="minorHAnsi" w:cstheme="minorHAnsi"/>
          <w:color w:val="000000" w:themeColor="text1"/>
          <w:sz w:val="22"/>
          <w:szCs w:val="22"/>
        </w:rPr>
        <w:t xml:space="preserve"> audit will determine if </w:t>
      </w:r>
      <w:r w:rsidR="00B068FE" w:rsidRPr="001E1E9D">
        <w:rPr>
          <w:rFonts w:asciiTheme="minorHAnsi" w:hAnsiTheme="minorHAnsi" w:cstheme="minorHAnsi"/>
          <w:color w:val="000000" w:themeColor="text1"/>
          <w:sz w:val="22"/>
          <w:szCs w:val="22"/>
        </w:rPr>
        <w:t>this has led to</w:t>
      </w:r>
      <w:r w:rsidR="00C96A2E" w:rsidRPr="001E1E9D">
        <w:rPr>
          <w:rFonts w:asciiTheme="minorHAnsi" w:hAnsiTheme="minorHAnsi" w:cstheme="minorHAnsi"/>
          <w:color w:val="000000" w:themeColor="text1"/>
          <w:sz w:val="22"/>
          <w:szCs w:val="22"/>
        </w:rPr>
        <w:t xml:space="preserve"> improvements in the </w:t>
      </w:r>
      <w:r w:rsidR="00B068FE" w:rsidRPr="001E1E9D">
        <w:rPr>
          <w:rFonts w:asciiTheme="minorHAnsi" w:hAnsiTheme="minorHAnsi" w:cstheme="minorHAnsi"/>
          <w:color w:val="000000" w:themeColor="text1"/>
          <w:sz w:val="22"/>
          <w:szCs w:val="22"/>
        </w:rPr>
        <w:t>percentage</w:t>
      </w:r>
      <w:r w:rsidR="00C96A2E" w:rsidRPr="001E1E9D">
        <w:rPr>
          <w:rFonts w:asciiTheme="minorHAnsi" w:hAnsiTheme="minorHAnsi" w:cstheme="minorHAnsi"/>
          <w:color w:val="000000" w:themeColor="text1"/>
          <w:sz w:val="22"/>
          <w:szCs w:val="22"/>
        </w:rPr>
        <w:t xml:space="preserve"> of patients being prescribed </w:t>
      </w:r>
      <w:r w:rsidR="00B068FE" w:rsidRPr="001E1E9D">
        <w:rPr>
          <w:rFonts w:asciiTheme="minorHAnsi" w:hAnsiTheme="minorHAnsi" w:cstheme="minorHAnsi"/>
          <w:color w:val="000000" w:themeColor="text1"/>
          <w:sz w:val="22"/>
          <w:szCs w:val="22"/>
        </w:rPr>
        <w:t>prophylactic antiemetics</w:t>
      </w:r>
      <w:r w:rsidR="00C96A2E" w:rsidRPr="001E1E9D">
        <w:rPr>
          <w:rFonts w:asciiTheme="minorHAnsi" w:hAnsiTheme="minorHAnsi" w:cstheme="minorHAnsi"/>
          <w:color w:val="000000" w:themeColor="text1"/>
          <w:sz w:val="22"/>
          <w:szCs w:val="22"/>
        </w:rPr>
        <w:t xml:space="preserve">. </w:t>
      </w:r>
      <w:r w:rsidR="00B068FE" w:rsidRPr="001E1E9D">
        <w:rPr>
          <w:rFonts w:asciiTheme="minorHAnsi" w:hAnsiTheme="minorHAnsi" w:cstheme="minorHAnsi"/>
          <w:color w:val="000000" w:themeColor="text1"/>
          <w:sz w:val="22"/>
          <w:szCs w:val="22"/>
        </w:rPr>
        <w:t>The results indicate that there may be value in developing</w:t>
      </w:r>
      <w:r w:rsidR="00366735" w:rsidRPr="001E1E9D">
        <w:rPr>
          <w:rFonts w:asciiTheme="minorHAnsi" w:hAnsiTheme="minorHAnsi" w:cstheme="minorHAnsi"/>
          <w:color w:val="000000" w:themeColor="text1"/>
          <w:sz w:val="22"/>
          <w:szCs w:val="22"/>
        </w:rPr>
        <w:t xml:space="preserve"> a national protocol </w:t>
      </w:r>
      <w:r w:rsidR="00B068FE" w:rsidRPr="001E1E9D">
        <w:rPr>
          <w:rFonts w:asciiTheme="minorHAnsi" w:hAnsiTheme="minorHAnsi" w:cstheme="minorHAnsi"/>
          <w:color w:val="000000" w:themeColor="text1"/>
          <w:sz w:val="22"/>
          <w:szCs w:val="22"/>
        </w:rPr>
        <w:t>alongside</w:t>
      </w:r>
      <w:r w:rsidR="00366735" w:rsidRPr="001E1E9D">
        <w:rPr>
          <w:rFonts w:asciiTheme="minorHAnsi" w:hAnsiTheme="minorHAnsi" w:cstheme="minorHAnsi"/>
          <w:color w:val="000000" w:themeColor="text1"/>
          <w:sz w:val="22"/>
          <w:szCs w:val="22"/>
        </w:rPr>
        <w:t xml:space="preserve"> further education and training </w:t>
      </w:r>
      <w:r w:rsidR="00B068FE" w:rsidRPr="001E1E9D">
        <w:rPr>
          <w:rFonts w:asciiTheme="minorHAnsi" w:hAnsiTheme="minorHAnsi" w:cstheme="minorHAnsi"/>
          <w:color w:val="000000" w:themeColor="text1"/>
          <w:sz w:val="22"/>
          <w:szCs w:val="22"/>
        </w:rPr>
        <w:t xml:space="preserve">concerning RINV </w:t>
      </w:r>
      <w:r w:rsidR="00366735" w:rsidRPr="001E1E9D">
        <w:rPr>
          <w:rFonts w:asciiTheme="minorHAnsi" w:hAnsiTheme="minorHAnsi" w:cstheme="minorHAnsi"/>
          <w:color w:val="000000" w:themeColor="text1"/>
          <w:sz w:val="22"/>
          <w:szCs w:val="22"/>
        </w:rPr>
        <w:t xml:space="preserve">and the effect of inadequate </w:t>
      </w:r>
      <w:r w:rsidR="00B068FE" w:rsidRPr="001E1E9D">
        <w:rPr>
          <w:rFonts w:asciiTheme="minorHAnsi" w:hAnsiTheme="minorHAnsi" w:cstheme="minorHAnsi"/>
          <w:color w:val="000000" w:themeColor="text1"/>
          <w:sz w:val="22"/>
          <w:szCs w:val="22"/>
        </w:rPr>
        <w:t xml:space="preserve">emesis </w:t>
      </w:r>
      <w:r w:rsidR="00366735" w:rsidRPr="001E1E9D">
        <w:rPr>
          <w:rFonts w:asciiTheme="minorHAnsi" w:hAnsiTheme="minorHAnsi" w:cstheme="minorHAnsi"/>
          <w:color w:val="000000" w:themeColor="text1"/>
          <w:sz w:val="22"/>
          <w:szCs w:val="22"/>
        </w:rPr>
        <w:t>control on the patient.</w:t>
      </w:r>
    </w:p>
    <w:p w14:paraId="17C66701" w14:textId="77777777" w:rsidR="00820445" w:rsidRPr="001E1E9D" w:rsidRDefault="00820445" w:rsidP="000C6FF6">
      <w:pPr>
        <w:spacing w:line="360" w:lineRule="auto"/>
        <w:jc w:val="both"/>
        <w:rPr>
          <w:rFonts w:asciiTheme="minorHAnsi" w:hAnsiTheme="minorHAnsi" w:cstheme="minorHAnsi"/>
          <w:color w:val="000000" w:themeColor="text1"/>
          <w:sz w:val="22"/>
          <w:szCs w:val="22"/>
        </w:rPr>
      </w:pPr>
      <w:bookmarkStart w:id="49" w:name="_Toc30176622"/>
      <w:bookmarkStart w:id="50" w:name="_Toc30177883"/>
    </w:p>
    <w:p w14:paraId="316A3CAC" w14:textId="77777777" w:rsidR="00F86BD5" w:rsidRDefault="00F86BD5">
      <w:pPr>
        <w:rPr>
          <w:rStyle w:val="Heading3Char"/>
          <w:rFonts w:ascii="Calibri" w:hAnsi="Calibri" w:cs="Calibri"/>
          <w:b/>
          <w:color w:val="000000" w:themeColor="text1"/>
          <w:sz w:val="22"/>
          <w:szCs w:val="22"/>
        </w:rPr>
      </w:pPr>
      <w:bookmarkStart w:id="51" w:name="_Toc32429911"/>
      <w:bookmarkStart w:id="52" w:name="_Toc32429963"/>
      <w:r>
        <w:rPr>
          <w:rStyle w:val="Heading3Char"/>
          <w:rFonts w:ascii="Calibri" w:hAnsi="Calibri" w:cs="Calibri"/>
          <w:b/>
          <w:color w:val="000000" w:themeColor="text1"/>
          <w:sz w:val="22"/>
          <w:szCs w:val="22"/>
        </w:rPr>
        <w:t>Acknowledgements</w:t>
      </w:r>
    </w:p>
    <w:p w14:paraId="53A66BDF" w14:textId="77777777" w:rsidR="00F86BD5" w:rsidRDefault="00F86BD5">
      <w:pPr>
        <w:rPr>
          <w:rStyle w:val="Heading3Char"/>
          <w:rFonts w:ascii="Calibri" w:hAnsi="Calibri" w:cs="Calibri"/>
          <w:b/>
          <w:color w:val="000000" w:themeColor="text1"/>
          <w:sz w:val="22"/>
          <w:szCs w:val="22"/>
        </w:rPr>
      </w:pPr>
    </w:p>
    <w:p w14:paraId="32853E9A" w14:textId="77777777" w:rsidR="00927D63" w:rsidRDefault="00F86BD5">
      <w:pPr>
        <w:rPr>
          <w:rStyle w:val="Heading3Char"/>
          <w:rFonts w:ascii="Calibri" w:hAnsi="Calibri" w:cs="Calibri"/>
          <w:color w:val="000000" w:themeColor="text1"/>
          <w:sz w:val="22"/>
          <w:szCs w:val="22"/>
        </w:rPr>
      </w:pPr>
      <w:r w:rsidRPr="00F86BD5">
        <w:rPr>
          <w:rStyle w:val="Heading3Char"/>
          <w:rFonts w:ascii="Calibri" w:hAnsi="Calibri" w:cs="Calibri"/>
          <w:color w:val="000000" w:themeColor="text1"/>
          <w:sz w:val="22"/>
          <w:szCs w:val="22"/>
        </w:rPr>
        <w:t>None</w:t>
      </w:r>
    </w:p>
    <w:p w14:paraId="3CBF65B3" w14:textId="77777777" w:rsidR="00E93704" w:rsidRPr="00F86BD5" w:rsidRDefault="00E93704">
      <w:pPr>
        <w:rPr>
          <w:rStyle w:val="Heading3Char"/>
          <w:rFonts w:ascii="Calibri" w:hAnsi="Calibri" w:cs="Calibri"/>
          <w:color w:val="000000" w:themeColor="text1"/>
          <w:sz w:val="22"/>
          <w:szCs w:val="22"/>
          <w:lang w:eastAsia="en-US"/>
        </w:rPr>
      </w:pPr>
      <w:r w:rsidRPr="00F86BD5">
        <w:rPr>
          <w:rStyle w:val="Heading3Char"/>
          <w:rFonts w:ascii="Calibri" w:hAnsi="Calibri" w:cs="Calibri"/>
          <w:color w:val="000000" w:themeColor="text1"/>
          <w:sz w:val="22"/>
          <w:szCs w:val="22"/>
        </w:rPr>
        <w:br w:type="page"/>
      </w:r>
    </w:p>
    <w:p w14:paraId="15AD5002" w14:textId="77777777" w:rsidR="00DA46AF" w:rsidRPr="005626A3" w:rsidRDefault="00D912AE" w:rsidP="008A667F">
      <w:pPr>
        <w:pStyle w:val="Heading1"/>
        <w:spacing w:line="360" w:lineRule="auto"/>
        <w:jc w:val="both"/>
        <w:rPr>
          <w:rStyle w:val="Heading3Char"/>
          <w:rFonts w:ascii="Calibri" w:hAnsi="Calibri" w:cs="Calibri"/>
          <w:b/>
          <w:color w:val="000000" w:themeColor="text1"/>
          <w:sz w:val="22"/>
          <w:szCs w:val="22"/>
        </w:rPr>
      </w:pPr>
      <w:r w:rsidRPr="005626A3">
        <w:rPr>
          <w:rStyle w:val="Heading3Char"/>
          <w:rFonts w:ascii="Calibri" w:hAnsi="Calibri" w:cs="Calibri"/>
          <w:b/>
          <w:color w:val="000000" w:themeColor="text1"/>
          <w:sz w:val="22"/>
          <w:szCs w:val="22"/>
        </w:rPr>
        <w:t>References</w:t>
      </w:r>
      <w:bookmarkEnd w:id="49"/>
      <w:bookmarkEnd w:id="50"/>
      <w:bookmarkEnd w:id="51"/>
      <w:bookmarkEnd w:id="52"/>
    </w:p>
    <w:p w14:paraId="34E3173F" w14:textId="77777777" w:rsidR="00925D61" w:rsidRDefault="00925D61" w:rsidP="005626A3">
      <w:pPr>
        <w:spacing w:line="360" w:lineRule="auto"/>
        <w:rPr>
          <w:rFonts w:ascii="Calibri" w:hAnsi="Calibri" w:cs="Calibri"/>
          <w:sz w:val="22"/>
          <w:szCs w:val="22"/>
          <w:lang w:eastAsia="en-US"/>
        </w:rPr>
      </w:pPr>
    </w:p>
    <w:p w14:paraId="06FFA069" w14:textId="77777777" w:rsidR="00572AA8" w:rsidRPr="00E93704" w:rsidRDefault="00572AA8" w:rsidP="00E93704">
      <w:pPr>
        <w:pStyle w:val="ListParagraph"/>
        <w:numPr>
          <w:ilvl w:val="0"/>
          <w:numId w:val="17"/>
        </w:numPr>
        <w:spacing w:line="480" w:lineRule="auto"/>
        <w:rPr>
          <w:rFonts w:ascii="Calibri" w:hAnsi="Calibri" w:cs="Calibri"/>
          <w:sz w:val="22"/>
          <w:szCs w:val="22"/>
          <w:lang w:eastAsia="en-US"/>
        </w:rPr>
      </w:pPr>
      <w:r w:rsidRPr="00E93704">
        <w:rPr>
          <w:rFonts w:ascii="Calibri" w:hAnsi="Calibri" w:cs="Calibri"/>
          <w:sz w:val="22"/>
          <w:szCs w:val="22"/>
          <w:lang w:eastAsia="en-US"/>
        </w:rPr>
        <w:t>Chow E, Zeng L, Salvo N, Dennis K, Tsao M, Lutz S. Update on the Systematic Review of Palliative Radiotherapy Trials for Bone Metastases. Clin Oncol 2012;24(2):112-124.</w:t>
      </w:r>
    </w:p>
    <w:p w14:paraId="17B98B6D" w14:textId="77777777" w:rsidR="00572AA8" w:rsidRPr="00466CEC" w:rsidRDefault="00572AA8" w:rsidP="00E93704">
      <w:pPr>
        <w:pStyle w:val="ListParagraph"/>
        <w:spacing w:line="480" w:lineRule="auto"/>
        <w:ind w:left="432"/>
        <w:rPr>
          <w:rFonts w:ascii="Calibri" w:hAnsi="Calibri" w:cs="Calibri"/>
          <w:sz w:val="22"/>
          <w:szCs w:val="22"/>
          <w:lang w:eastAsia="en-US"/>
        </w:rPr>
      </w:pPr>
    </w:p>
    <w:p w14:paraId="44269FAD" w14:textId="77777777" w:rsidR="005626A3" w:rsidRPr="00925D61" w:rsidRDefault="00C30E10" w:rsidP="00E93704">
      <w:pPr>
        <w:pStyle w:val="ListParagraph"/>
        <w:numPr>
          <w:ilvl w:val="0"/>
          <w:numId w:val="17"/>
        </w:numPr>
        <w:spacing w:line="480" w:lineRule="auto"/>
        <w:rPr>
          <w:rFonts w:ascii="Calibri" w:hAnsi="Calibri" w:cs="Calibri"/>
          <w:sz w:val="22"/>
          <w:szCs w:val="22"/>
          <w:lang w:eastAsia="en-US"/>
        </w:rPr>
      </w:pPr>
      <w:r w:rsidRPr="00925D61">
        <w:rPr>
          <w:rFonts w:ascii="Calibri" w:hAnsi="Calibri" w:cs="Calibri"/>
          <w:sz w:val="22"/>
          <w:szCs w:val="22"/>
          <w:lang w:eastAsia="en-US"/>
        </w:rPr>
        <w:t xml:space="preserve">Ejima Y, Ishihara T, Miyawaki D, Kakutani K, </w:t>
      </w:r>
      <w:r w:rsidR="00925D61">
        <w:rPr>
          <w:rFonts w:ascii="Calibri" w:hAnsi="Calibri" w:cs="Calibri"/>
          <w:sz w:val="22"/>
          <w:szCs w:val="22"/>
          <w:lang w:eastAsia="en-US"/>
        </w:rPr>
        <w:t>Nishida K, Inoue J, et al. New paradigms of radiotherapy for bone metastasis, Radiotherapy. Cem Onal:</w:t>
      </w:r>
      <w:r w:rsidR="00925D61" w:rsidRPr="00925D61">
        <w:rPr>
          <w:rFonts w:ascii="Calibri" w:hAnsi="Calibri" w:cs="Calibri"/>
          <w:sz w:val="22"/>
          <w:szCs w:val="22"/>
          <w:lang w:eastAsia="en-US"/>
        </w:rPr>
        <w:t xml:space="preserve"> IntechOpen</w:t>
      </w:r>
      <w:r w:rsidR="00925D61">
        <w:rPr>
          <w:rFonts w:ascii="Calibri" w:hAnsi="Calibri" w:cs="Calibri"/>
          <w:sz w:val="22"/>
          <w:szCs w:val="22"/>
          <w:lang w:eastAsia="en-US"/>
        </w:rPr>
        <w:t>; 2017.</w:t>
      </w:r>
      <w:r w:rsidR="00925D61" w:rsidRPr="00925D61">
        <w:rPr>
          <w:rFonts w:ascii="Calibri" w:hAnsi="Calibri" w:cs="Calibri"/>
          <w:sz w:val="22"/>
          <w:szCs w:val="22"/>
          <w:lang w:eastAsia="en-US"/>
        </w:rPr>
        <w:t xml:space="preserve"> DOI</w:t>
      </w:r>
      <w:r w:rsidR="00925D61">
        <w:rPr>
          <w:rFonts w:ascii="Calibri" w:hAnsi="Calibri" w:cs="Calibri"/>
          <w:sz w:val="22"/>
          <w:szCs w:val="22"/>
          <w:lang w:eastAsia="en-US"/>
        </w:rPr>
        <w:t xml:space="preserve">: 10.5772/66939 </w:t>
      </w:r>
    </w:p>
    <w:p w14:paraId="18C889D7" w14:textId="77777777" w:rsidR="005626A3" w:rsidRPr="005626A3" w:rsidRDefault="005626A3" w:rsidP="00E93704">
      <w:pPr>
        <w:pStyle w:val="ListParagraph"/>
        <w:spacing w:line="480" w:lineRule="auto"/>
        <w:rPr>
          <w:rFonts w:ascii="Calibri" w:hAnsi="Calibri" w:cs="Calibri"/>
          <w:sz w:val="22"/>
          <w:szCs w:val="22"/>
          <w:lang w:eastAsia="en-US"/>
        </w:rPr>
      </w:pPr>
    </w:p>
    <w:p w14:paraId="605CB659" w14:textId="77777777" w:rsidR="005626A3" w:rsidRPr="00925D61" w:rsidRDefault="00925D61" w:rsidP="00E93704">
      <w:pPr>
        <w:pStyle w:val="ListParagraph"/>
        <w:numPr>
          <w:ilvl w:val="0"/>
          <w:numId w:val="17"/>
        </w:numPr>
        <w:spacing w:line="480" w:lineRule="auto"/>
        <w:rPr>
          <w:rFonts w:ascii="Calibri" w:hAnsi="Calibri" w:cs="Calibri"/>
          <w:sz w:val="22"/>
          <w:szCs w:val="22"/>
          <w:lang w:eastAsia="en-US"/>
        </w:rPr>
      </w:pPr>
      <w:r>
        <w:rPr>
          <w:rFonts w:ascii="Calibri" w:hAnsi="Calibri" w:cs="Calibri"/>
          <w:sz w:val="22"/>
          <w:szCs w:val="22"/>
          <w:lang w:eastAsia="en-US"/>
        </w:rPr>
        <w:t xml:space="preserve">Jones JA, Simone </w:t>
      </w:r>
      <w:r w:rsidR="00C30E10" w:rsidRPr="00925D61">
        <w:rPr>
          <w:rFonts w:ascii="Calibri" w:hAnsi="Calibri" w:cs="Calibri"/>
          <w:sz w:val="22"/>
          <w:szCs w:val="22"/>
          <w:lang w:eastAsia="en-US"/>
        </w:rPr>
        <w:t>C</w:t>
      </w:r>
      <w:r>
        <w:rPr>
          <w:rFonts w:ascii="Calibri" w:hAnsi="Calibri" w:cs="Calibri"/>
          <w:sz w:val="22"/>
          <w:szCs w:val="22"/>
          <w:lang w:eastAsia="en-US"/>
        </w:rPr>
        <w:t>B</w:t>
      </w:r>
      <w:r w:rsidR="00C30E10" w:rsidRPr="00925D61">
        <w:rPr>
          <w:rFonts w:ascii="Calibri" w:hAnsi="Calibri" w:cs="Calibri"/>
          <w:sz w:val="22"/>
          <w:szCs w:val="22"/>
          <w:lang w:eastAsia="en-US"/>
        </w:rPr>
        <w:t>. Palliative radiotherapy for advanced malignancies in a changing oncologic landscape: guiding principles and pr</w:t>
      </w:r>
      <w:r>
        <w:rPr>
          <w:rFonts w:ascii="Calibri" w:hAnsi="Calibri" w:cs="Calibri"/>
          <w:sz w:val="22"/>
          <w:szCs w:val="22"/>
          <w:lang w:eastAsia="en-US"/>
        </w:rPr>
        <w:t>actice implementation. Ann Palliat Med</w:t>
      </w:r>
      <w:r w:rsidR="00C30E10" w:rsidRPr="00925D61">
        <w:rPr>
          <w:rFonts w:ascii="Calibri" w:hAnsi="Calibri" w:cs="Calibri"/>
          <w:sz w:val="22"/>
          <w:szCs w:val="22"/>
          <w:lang w:eastAsia="en-US"/>
        </w:rPr>
        <w:t xml:space="preserve"> 2014;3(3)</w:t>
      </w:r>
      <w:bookmarkStart w:id="53" w:name="_Toc30176623"/>
      <w:bookmarkStart w:id="54" w:name="_Toc30177884"/>
      <w:bookmarkStart w:id="55" w:name="_Toc32429912"/>
      <w:bookmarkStart w:id="56" w:name="_Toc32429964"/>
      <w:bookmarkEnd w:id="3"/>
      <w:bookmarkEnd w:id="53"/>
      <w:bookmarkEnd w:id="54"/>
      <w:bookmarkEnd w:id="55"/>
      <w:bookmarkEnd w:id="56"/>
      <w:r>
        <w:rPr>
          <w:rFonts w:ascii="Calibri" w:hAnsi="Calibri" w:cs="Calibri"/>
          <w:sz w:val="22"/>
          <w:szCs w:val="22"/>
          <w:lang w:eastAsia="en-US"/>
        </w:rPr>
        <w:t>: 192-202</w:t>
      </w:r>
    </w:p>
    <w:p w14:paraId="5FCC6BD7" w14:textId="77777777" w:rsidR="005626A3" w:rsidRDefault="005626A3" w:rsidP="00E93704">
      <w:pPr>
        <w:spacing w:line="480" w:lineRule="auto"/>
        <w:ind w:left="72"/>
        <w:rPr>
          <w:rFonts w:ascii="Calibri" w:hAnsi="Calibri" w:cs="Calibri"/>
          <w:sz w:val="22"/>
          <w:szCs w:val="22"/>
          <w:lang w:eastAsia="en-US"/>
        </w:rPr>
      </w:pPr>
    </w:p>
    <w:p w14:paraId="40520C72" w14:textId="77777777" w:rsidR="00F866F4" w:rsidRPr="001D1968" w:rsidRDefault="00F866F4" w:rsidP="009479B2">
      <w:pPr>
        <w:pStyle w:val="ListParagraph"/>
        <w:numPr>
          <w:ilvl w:val="0"/>
          <w:numId w:val="17"/>
        </w:numPr>
        <w:spacing w:line="480" w:lineRule="auto"/>
        <w:rPr>
          <w:rFonts w:ascii="Calibri" w:hAnsi="Calibri" w:cs="Calibri"/>
          <w:sz w:val="22"/>
          <w:szCs w:val="22"/>
          <w:lang w:eastAsia="en-US"/>
        </w:rPr>
      </w:pPr>
      <w:r w:rsidRPr="00925D61">
        <w:rPr>
          <w:rFonts w:ascii="Calibri" w:hAnsi="Calibri" w:cs="Calibri"/>
          <w:sz w:val="22"/>
          <w:szCs w:val="22"/>
          <w:shd w:val="clear" w:color="auto" w:fill="FFFFFF"/>
        </w:rPr>
        <w:t>Maranzano, E, De Angelis V, Pergolizzi S, et al. A prospective observational trial on emesis in radiotherapy: analysis of 1020 patients recruited in 45 Italian radiation oncology centres. Radiother Oncol 2010; 94(1): 36-41</w:t>
      </w:r>
    </w:p>
    <w:p w14:paraId="26B43620" w14:textId="77777777" w:rsidR="001D1968" w:rsidRPr="001D1968" w:rsidRDefault="001D1968" w:rsidP="0071405E">
      <w:pPr>
        <w:spacing w:line="480" w:lineRule="auto"/>
        <w:rPr>
          <w:rFonts w:asciiTheme="minorHAnsi" w:hAnsiTheme="minorHAnsi" w:cs="Calibri"/>
          <w:sz w:val="22"/>
          <w:szCs w:val="22"/>
          <w:lang w:eastAsia="en-US"/>
        </w:rPr>
      </w:pPr>
    </w:p>
    <w:p w14:paraId="6A8D32C1" w14:textId="17E04C5F" w:rsidR="001D1968" w:rsidRPr="001D1968" w:rsidRDefault="001D1968" w:rsidP="0071405E">
      <w:pPr>
        <w:pStyle w:val="ListParagraph"/>
        <w:numPr>
          <w:ilvl w:val="0"/>
          <w:numId w:val="17"/>
        </w:numPr>
        <w:spacing w:line="480" w:lineRule="auto"/>
        <w:rPr>
          <w:rFonts w:asciiTheme="minorHAnsi" w:hAnsiTheme="minorHAnsi"/>
          <w:sz w:val="22"/>
          <w:szCs w:val="22"/>
        </w:rPr>
      </w:pPr>
      <w:r w:rsidRPr="001D1968">
        <w:rPr>
          <w:rFonts w:asciiTheme="minorHAnsi" w:hAnsiTheme="minorHAnsi"/>
          <w:sz w:val="22"/>
          <w:szCs w:val="22"/>
        </w:rPr>
        <w:t xml:space="preserve">Royal College of Radiologists guidance on Radiotherapy Dose-Fractionation, Second Edition </w:t>
      </w:r>
      <w:r w:rsidR="001D104B">
        <w:rPr>
          <w:rFonts w:asciiTheme="minorHAnsi" w:hAnsiTheme="minorHAnsi"/>
          <w:sz w:val="22"/>
          <w:szCs w:val="22"/>
        </w:rPr>
        <w:t>RCR; 2016</w:t>
      </w:r>
      <w:r w:rsidRPr="001D1968">
        <w:rPr>
          <w:rFonts w:asciiTheme="minorHAnsi" w:hAnsiTheme="minorHAnsi"/>
          <w:sz w:val="22"/>
          <w:szCs w:val="22"/>
        </w:rPr>
        <w:t> </w:t>
      </w:r>
    </w:p>
    <w:p w14:paraId="45E0FABE" w14:textId="77777777" w:rsidR="005626A3" w:rsidRDefault="005626A3" w:rsidP="009479B2">
      <w:pPr>
        <w:pStyle w:val="Disstext"/>
        <w:spacing w:line="480" w:lineRule="auto"/>
        <w:ind w:left="72"/>
        <w:rPr>
          <w:rFonts w:ascii="Calibri" w:hAnsi="Calibri" w:cs="Calibri"/>
          <w:sz w:val="22"/>
          <w:szCs w:val="22"/>
          <w:shd w:val="clear" w:color="auto" w:fill="FFFFFF"/>
        </w:rPr>
      </w:pPr>
    </w:p>
    <w:p w14:paraId="630022B0" w14:textId="77777777" w:rsidR="00F866F4" w:rsidRDefault="00F866F4">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McKenzie E, Zaki P, Raman S et al. Radiation-induced nausea and</w:t>
      </w:r>
      <w:r w:rsidR="005626A3">
        <w:rPr>
          <w:rFonts w:ascii="Calibri" w:hAnsi="Calibri" w:cs="Calibri"/>
          <w:sz w:val="22"/>
          <w:szCs w:val="22"/>
          <w:shd w:val="clear" w:color="auto" w:fill="FFFFFF"/>
        </w:rPr>
        <w:t xml:space="preserve"> vomiting: a comparison between </w:t>
      </w:r>
      <w:r w:rsidRPr="005626A3">
        <w:rPr>
          <w:rFonts w:ascii="Calibri" w:hAnsi="Calibri" w:cs="Calibri"/>
          <w:sz w:val="22"/>
          <w:szCs w:val="22"/>
          <w:shd w:val="clear" w:color="auto" w:fill="FFFFFF"/>
        </w:rPr>
        <w:t>MASCC/ESMO, ASCO, and NCCN antiemetic guidelines. Support Care Cancer 2019; 27(3): 783-91</w:t>
      </w:r>
    </w:p>
    <w:p w14:paraId="173FA7B6" w14:textId="77777777" w:rsidR="00F47EC6" w:rsidRPr="001D104B" w:rsidRDefault="00F47EC6" w:rsidP="0071405E">
      <w:pPr>
        <w:rPr>
          <w:color w:val="000000" w:themeColor="text1"/>
        </w:rPr>
      </w:pPr>
    </w:p>
    <w:p w14:paraId="0011A891" w14:textId="6FA5F3C6" w:rsidR="00F47EC6" w:rsidRPr="001D104B" w:rsidRDefault="00F47EC6" w:rsidP="00F47EC6">
      <w:pPr>
        <w:pStyle w:val="ListParagraph"/>
        <w:numPr>
          <w:ilvl w:val="0"/>
          <w:numId w:val="17"/>
        </w:numPr>
        <w:spacing w:line="480" w:lineRule="auto"/>
        <w:rPr>
          <w:rFonts w:asciiTheme="minorHAnsi" w:eastAsia="Times New Roman" w:hAnsiTheme="minorHAnsi"/>
          <w:color w:val="000000" w:themeColor="text1"/>
          <w:sz w:val="22"/>
          <w:szCs w:val="22"/>
        </w:rPr>
      </w:pPr>
      <w:r w:rsidRPr="001D104B">
        <w:rPr>
          <w:rFonts w:asciiTheme="minorHAnsi" w:eastAsia="Times New Roman" w:hAnsiTheme="minorHAnsi"/>
          <w:color w:val="000000" w:themeColor="text1"/>
          <w:sz w:val="22"/>
          <w:szCs w:val="22"/>
          <w:shd w:val="clear" w:color="auto" w:fill="FFFFFF"/>
        </w:rPr>
        <w:t>Koontz BF. Radiation Therapy Treatment Effects: An Evidence-based Guide to Managing Toxicity. Springer Publishing Company; 2017.</w:t>
      </w:r>
    </w:p>
    <w:p w14:paraId="407C8609" w14:textId="77777777" w:rsidR="00F47EC6" w:rsidRPr="0071405E" w:rsidRDefault="00F47EC6" w:rsidP="0071405E"/>
    <w:p w14:paraId="042EEC6E" w14:textId="77777777" w:rsidR="00925D61" w:rsidRDefault="00925D61" w:rsidP="00E93704">
      <w:pPr>
        <w:pStyle w:val="Disstext"/>
        <w:spacing w:line="480" w:lineRule="auto"/>
        <w:ind w:left="72"/>
        <w:rPr>
          <w:rFonts w:ascii="Calibri" w:hAnsi="Calibri" w:cs="Calibri"/>
          <w:sz w:val="22"/>
          <w:szCs w:val="22"/>
          <w:shd w:val="clear" w:color="auto" w:fill="FFFFFF"/>
        </w:rPr>
      </w:pPr>
    </w:p>
    <w:p w14:paraId="1730DAF5" w14:textId="77777777" w:rsidR="00F866F4" w:rsidRPr="005626A3" w:rsidRDefault="00F866F4" w:rsidP="00E93704">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Enblom A, Bergius AB, Steineck G, Hammar M, Börjeson S. One third of patients with radiotherapy-induced nausea consider their antiemetic treatment insufficient. Support Care Cancer 2009; 17(1): 23-32</w:t>
      </w:r>
    </w:p>
    <w:p w14:paraId="484C95D0" w14:textId="77777777" w:rsidR="00925D61" w:rsidRDefault="00925D61" w:rsidP="00E93704">
      <w:pPr>
        <w:pStyle w:val="Disstext"/>
        <w:spacing w:line="480" w:lineRule="auto"/>
        <w:ind w:left="72"/>
        <w:rPr>
          <w:rFonts w:ascii="Calibri" w:hAnsi="Calibri" w:cs="Calibri"/>
          <w:sz w:val="22"/>
          <w:szCs w:val="22"/>
          <w:shd w:val="clear" w:color="auto" w:fill="FFFFFF"/>
        </w:rPr>
      </w:pPr>
    </w:p>
    <w:p w14:paraId="3D1C17DE" w14:textId="09B51451" w:rsidR="00F866F4" w:rsidRDefault="00F866F4" w:rsidP="00E5584D">
      <w:pPr>
        <w:pStyle w:val="Disstext"/>
        <w:numPr>
          <w:ilvl w:val="0"/>
          <w:numId w:val="17"/>
        </w:numPr>
        <w:spacing w:line="480" w:lineRule="auto"/>
        <w:rPr>
          <w:rFonts w:asciiTheme="minorHAnsi" w:hAnsiTheme="minorHAnsi" w:cs="Calibri"/>
          <w:sz w:val="22"/>
          <w:szCs w:val="22"/>
          <w:shd w:val="clear" w:color="auto" w:fill="FFFFFF"/>
        </w:rPr>
      </w:pPr>
      <w:r w:rsidRPr="005626A3">
        <w:rPr>
          <w:rFonts w:ascii="Calibri" w:hAnsi="Calibri" w:cs="Calibri"/>
          <w:sz w:val="22"/>
          <w:szCs w:val="22"/>
          <w:shd w:val="clear" w:color="auto" w:fill="FFFFFF"/>
        </w:rPr>
        <w:t>Feyer PC, Maranzano E, Molassiotis</w:t>
      </w:r>
      <w:r w:rsidR="008010B7" w:rsidRPr="005626A3">
        <w:rPr>
          <w:rFonts w:ascii="Calibri" w:hAnsi="Calibri" w:cs="Calibri"/>
          <w:sz w:val="22"/>
          <w:szCs w:val="22"/>
          <w:shd w:val="clear" w:color="auto" w:fill="FFFFFF"/>
        </w:rPr>
        <w:t xml:space="preserve"> A, Roila F, Clark-Snow RA,</w:t>
      </w:r>
      <w:r w:rsidRPr="005626A3">
        <w:rPr>
          <w:rFonts w:ascii="Calibri" w:hAnsi="Calibri" w:cs="Calibri"/>
          <w:sz w:val="22"/>
          <w:szCs w:val="22"/>
          <w:shd w:val="clear" w:color="auto" w:fill="FFFFFF"/>
        </w:rPr>
        <w:t xml:space="preserve"> Jo</w:t>
      </w:r>
      <w:r w:rsidR="008010B7" w:rsidRPr="005626A3">
        <w:rPr>
          <w:rFonts w:ascii="Calibri" w:hAnsi="Calibri" w:cs="Calibri"/>
          <w:sz w:val="22"/>
          <w:szCs w:val="22"/>
          <w:shd w:val="clear" w:color="auto" w:fill="FFFFFF"/>
        </w:rPr>
        <w:t xml:space="preserve">rdan K. </w:t>
      </w:r>
      <w:r w:rsidRPr="005626A3">
        <w:rPr>
          <w:rFonts w:ascii="Calibri" w:hAnsi="Calibri" w:cs="Calibri"/>
          <w:sz w:val="22"/>
          <w:szCs w:val="22"/>
          <w:shd w:val="clear" w:color="auto" w:fill="FFFFFF"/>
        </w:rPr>
        <w:t xml:space="preserve">Radiotherapy-induced </w:t>
      </w:r>
      <w:r w:rsidRPr="0071405E">
        <w:rPr>
          <w:rFonts w:asciiTheme="minorHAnsi" w:hAnsiTheme="minorHAnsi" w:cs="Calibri"/>
          <w:sz w:val="22"/>
          <w:szCs w:val="22"/>
          <w:shd w:val="clear" w:color="auto" w:fill="FFFFFF"/>
        </w:rPr>
        <w:t>nausea and vomiting (RINV): MASCC/ESMO guideline for antiemeti</w:t>
      </w:r>
      <w:r w:rsidR="008010B7" w:rsidRPr="0071405E">
        <w:rPr>
          <w:rFonts w:asciiTheme="minorHAnsi" w:hAnsiTheme="minorHAnsi" w:cs="Calibri"/>
          <w:sz w:val="22"/>
          <w:szCs w:val="22"/>
          <w:shd w:val="clear" w:color="auto" w:fill="FFFFFF"/>
        </w:rPr>
        <w:t>cs in radiotherapy: update 2009. Support Care</w:t>
      </w:r>
      <w:r w:rsidRPr="0071405E">
        <w:rPr>
          <w:rFonts w:asciiTheme="minorHAnsi" w:hAnsiTheme="minorHAnsi" w:cs="Calibri"/>
          <w:sz w:val="22"/>
          <w:szCs w:val="22"/>
          <w:shd w:val="clear" w:color="auto" w:fill="FFFFFF"/>
        </w:rPr>
        <w:t xml:space="preserve"> Cancer</w:t>
      </w:r>
      <w:r w:rsidR="008010B7" w:rsidRPr="0071405E">
        <w:rPr>
          <w:rFonts w:asciiTheme="minorHAnsi" w:hAnsiTheme="minorHAnsi" w:cs="Calibri"/>
          <w:sz w:val="22"/>
          <w:szCs w:val="22"/>
          <w:shd w:val="clear" w:color="auto" w:fill="FFFFFF"/>
        </w:rPr>
        <w:t xml:space="preserve"> 2011;</w:t>
      </w:r>
      <w:r w:rsidRPr="0071405E">
        <w:rPr>
          <w:rFonts w:asciiTheme="minorHAnsi" w:hAnsiTheme="minorHAnsi" w:cs="Calibri"/>
          <w:sz w:val="22"/>
          <w:szCs w:val="22"/>
          <w:shd w:val="clear" w:color="auto" w:fill="FFFFFF"/>
        </w:rPr>
        <w:t xml:space="preserve"> 19</w:t>
      </w:r>
      <w:r w:rsidR="008010B7" w:rsidRPr="0071405E">
        <w:rPr>
          <w:rFonts w:asciiTheme="minorHAnsi" w:hAnsiTheme="minorHAnsi" w:cs="Calibri"/>
          <w:sz w:val="22"/>
          <w:szCs w:val="22"/>
          <w:shd w:val="clear" w:color="auto" w:fill="FFFFFF"/>
        </w:rPr>
        <w:t>(</w:t>
      </w:r>
      <w:r w:rsidRPr="0071405E">
        <w:rPr>
          <w:rFonts w:asciiTheme="minorHAnsi" w:hAnsiTheme="minorHAnsi" w:cs="Calibri"/>
          <w:sz w:val="22"/>
          <w:szCs w:val="22"/>
          <w:shd w:val="clear" w:color="auto" w:fill="FFFFFF"/>
        </w:rPr>
        <w:t>1</w:t>
      </w:r>
      <w:r w:rsidR="008010B7" w:rsidRPr="0071405E">
        <w:rPr>
          <w:rFonts w:asciiTheme="minorHAnsi" w:hAnsiTheme="minorHAnsi" w:cs="Calibri"/>
          <w:sz w:val="22"/>
          <w:szCs w:val="22"/>
          <w:shd w:val="clear" w:color="auto" w:fill="FFFFFF"/>
        </w:rPr>
        <w:t>):</w:t>
      </w:r>
      <w:r w:rsidRPr="0071405E">
        <w:rPr>
          <w:rFonts w:asciiTheme="minorHAnsi" w:hAnsiTheme="minorHAnsi" w:cs="Calibri"/>
          <w:sz w:val="22"/>
          <w:szCs w:val="22"/>
          <w:shd w:val="clear" w:color="auto" w:fill="FFFFFF"/>
        </w:rPr>
        <w:t xml:space="preserve"> 5-14</w:t>
      </w:r>
    </w:p>
    <w:p w14:paraId="02D9130A" w14:textId="77777777" w:rsidR="001D104B" w:rsidRPr="006A34D2" w:rsidRDefault="001D104B" w:rsidP="001D104B">
      <w:pPr>
        <w:rPr>
          <w:color w:val="000000" w:themeColor="text1"/>
          <w:lang w:eastAsia="en-US"/>
        </w:rPr>
      </w:pPr>
    </w:p>
    <w:p w14:paraId="7F50DF5B" w14:textId="77777777" w:rsidR="00E5584D" w:rsidRPr="006A34D2" w:rsidRDefault="00E5584D" w:rsidP="0071405E">
      <w:pPr>
        <w:rPr>
          <w:color w:val="000000" w:themeColor="text1"/>
        </w:rPr>
      </w:pPr>
    </w:p>
    <w:p w14:paraId="39240037" w14:textId="1997E994" w:rsidR="00E5584D" w:rsidRPr="006A34D2" w:rsidRDefault="00E5584D" w:rsidP="006A34D2">
      <w:pPr>
        <w:pStyle w:val="ListParagraph"/>
        <w:numPr>
          <w:ilvl w:val="0"/>
          <w:numId w:val="17"/>
        </w:numPr>
        <w:spacing w:line="480" w:lineRule="auto"/>
        <w:rPr>
          <w:rFonts w:asciiTheme="minorHAnsi" w:eastAsia="Times New Roman" w:hAnsiTheme="minorHAnsi"/>
          <w:color w:val="000000" w:themeColor="text1"/>
          <w:sz w:val="22"/>
          <w:szCs w:val="22"/>
        </w:rPr>
      </w:pPr>
      <w:r w:rsidRPr="006A34D2">
        <w:rPr>
          <w:rFonts w:asciiTheme="minorHAnsi" w:eastAsia="Times New Roman" w:hAnsiTheme="minorHAnsi"/>
          <w:color w:val="000000" w:themeColor="text1"/>
          <w:sz w:val="22"/>
          <w:szCs w:val="22"/>
          <w:shd w:val="clear" w:color="auto" w:fill="FFFFFF"/>
        </w:rPr>
        <w:t xml:space="preserve">i Garau MM, Calduch AL, López EC. Radiobiology of the acute radiation syndrome. </w:t>
      </w:r>
      <w:r w:rsidR="006A34D2" w:rsidRPr="006A34D2">
        <w:rPr>
          <w:rFonts w:asciiTheme="minorHAnsi" w:eastAsia="Times New Roman" w:hAnsiTheme="minorHAnsi"/>
          <w:color w:val="000000" w:themeColor="text1"/>
          <w:sz w:val="22"/>
          <w:szCs w:val="22"/>
          <w:shd w:val="clear" w:color="auto" w:fill="FFFFFF"/>
        </w:rPr>
        <w:t>Rep Pract Oncol Radiother</w:t>
      </w:r>
      <w:r w:rsidR="006A34D2" w:rsidRPr="006A34D2" w:rsidDel="006A34D2">
        <w:rPr>
          <w:rFonts w:asciiTheme="minorHAnsi" w:eastAsia="Times New Roman" w:hAnsiTheme="minorHAnsi"/>
          <w:color w:val="000000" w:themeColor="text1"/>
          <w:sz w:val="22"/>
          <w:szCs w:val="22"/>
          <w:shd w:val="clear" w:color="auto" w:fill="FFFFFF"/>
        </w:rPr>
        <w:t xml:space="preserve"> </w:t>
      </w:r>
      <w:r w:rsidRPr="006A34D2">
        <w:rPr>
          <w:rFonts w:asciiTheme="minorHAnsi" w:eastAsia="Times New Roman" w:hAnsiTheme="minorHAnsi"/>
          <w:color w:val="000000" w:themeColor="text1"/>
          <w:sz w:val="22"/>
          <w:szCs w:val="22"/>
          <w:shd w:val="clear" w:color="auto" w:fill="FFFFFF"/>
        </w:rPr>
        <w:t>2011;16(4):123-130.</w:t>
      </w:r>
    </w:p>
    <w:p w14:paraId="27F33696" w14:textId="77777777" w:rsidR="00E5584D" w:rsidRPr="006A34D2" w:rsidRDefault="00E5584D" w:rsidP="0071405E">
      <w:pPr>
        <w:spacing w:line="480" w:lineRule="auto"/>
        <w:rPr>
          <w:rFonts w:asciiTheme="minorHAnsi" w:hAnsiTheme="minorHAnsi"/>
          <w:color w:val="000000" w:themeColor="text1"/>
          <w:sz w:val="22"/>
          <w:szCs w:val="22"/>
        </w:rPr>
      </w:pPr>
    </w:p>
    <w:p w14:paraId="31C57FF5" w14:textId="77777777" w:rsidR="00F866F4" w:rsidRPr="005626A3" w:rsidRDefault="008010B7" w:rsidP="00E93704">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 xml:space="preserve">Yee C, Drost L, Zhang L, Wan BA et al. </w:t>
      </w:r>
      <w:r w:rsidR="00F866F4" w:rsidRPr="005626A3">
        <w:rPr>
          <w:rFonts w:ascii="Calibri" w:hAnsi="Calibri" w:cs="Calibri"/>
          <w:sz w:val="22"/>
          <w:szCs w:val="22"/>
          <w:shd w:val="clear" w:color="auto" w:fill="FFFFFF"/>
        </w:rPr>
        <w:t>Impact of radiation-induced nausea and vomiting on quality of l</w:t>
      </w:r>
      <w:r w:rsidRPr="005626A3">
        <w:rPr>
          <w:rFonts w:ascii="Calibri" w:hAnsi="Calibri" w:cs="Calibri"/>
          <w:sz w:val="22"/>
          <w:szCs w:val="22"/>
          <w:shd w:val="clear" w:color="auto" w:fill="FFFFFF"/>
        </w:rPr>
        <w:t>ife. Support Care Cancer 2018;</w:t>
      </w:r>
      <w:r w:rsidR="00F866F4" w:rsidRPr="005626A3">
        <w:rPr>
          <w:rFonts w:ascii="Calibri" w:hAnsi="Calibri" w:cs="Calibri"/>
          <w:sz w:val="22"/>
          <w:szCs w:val="22"/>
          <w:shd w:val="clear" w:color="auto" w:fill="FFFFFF"/>
        </w:rPr>
        <w:t xml:space="preserve"> 26</w:t>
      </w:r>
      <w:r w:rsidRPr="005626A3">
        <w:rPr>
          <w:rFonts w:ascii="Calibri" w:hAnsi="Calibri" w:cs="Calibri"/>
          <w:sz w:val="22"/>
          <w:szCs w:val="22"/>
          <w:shd w:val="clear" w:color="auto" w:fill="FFFFFF"/>
        </w:rPr>
        <w:t>(</w:t>
      </w:r>
      <w:r w:rsidR="00F866F4" w:rsidRPr="005626A3">
        <w:rPr>
          <w:rFonts w:ascii="Calibri" w:hAnsi="Calibri" w:cs="Calibri"/>
          <w:sz w:val="22"/>
          <w:szCs w:val="22"/>
          <w:shd w:val="clear" w:color="auto" w:fill="FFFFFF"/>
        </w:rPr>
        <w:t>11</w:t>
      </w:r>
      <w:r w:rsidRPr="005626A3">
        <w:rPr>
          <w:rFonts w:ascii="Calibri" w:hAnsi="Calibri" w:cs="Calibri"/>
          <w:sz w:val="22"/>
          <w:szCs w:val="22"/>
          <w:shd w:val="clear" w:color="auto" w:fill="FFFFFF"/>
        </w:rPr>
        <w:t>): 3959-66</w:t>
      </w:r>
    </w:p>
    <w:p w14:paraId="00CAAC5B" w14:textId="77777777" w:rsidR="00925D61" w:rsidRDefault="00925D61" w:rsidP="00E93704">
      <w:pPr>
        <w:pStyle w:val="Disstext"/>
        <w:spacing w:line="480" w:lineRule="auto"/>
        <w:ind w:left="72"/>
        <w:rPr>
          <w:rFonts w:ascii="Calibri" w:hAnsi="Calibri" w:cs="Calibri"/>
          <w:sz w:val="22"/>
          <w:szCs w:val="22"/>
          <w:shd w:val="clear" w:color="auto" w:fill="FFFFFF"/>
        </w:rPr>
      </w:pPr>
    </w:p>
    <w:p w14:paraId="7A42C412" w14:textId="77777777" w:rsidR="00F866F4" w:rsidRPr="005626A3" w:rsidRDefault="008010B7" w:rsidP="00E93704">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 xml:space="preserve">Pirri C, Bayliss E, Trotter J, Olver IN, Katris P, Drummond P, Bennett R. </w:t>
      </w:r>
      <w:r w:rsidR="00F866F4" w:rsidRPr="005626A3">
        <w:rPr>
          <w:rFonts w:ascii="Calibri" w:hAnsi="Calibri" w:cs="Calibri"/>
          <w:sz w:val="22"/>
          <w:szCs w:val="22"/>
          <w:shd w:val="clear" w:color="auto" w:fill="FFFFFF"/>
        </w:rPr>
        <w:t>Nausea still the poor relation in antiemetic therapy? The impact on cancer patients’ quality of life and psychological adjustment of nausea, vomiting and appetite loss, individually and concurrently as part of a symptom cluster</w:t>
      </w:r>
      <w:r w:rsidRPr="005626A3">
        <w:rPr>
          <w:rFonts w:ascii="Calibri" w:hAnsi="Calibri" w:cs="Calibri"/>
          <w:sz w:val="22"/>
          <w:szCs w:val="22"/>
          <w:shd w:val="clear" w:color="auto" w:fill="FFFFFF"/>
        </w:rPr>
        <w:t>. Support Care Cancer 2013; 21(3): 735-48</w:t>
      </w:r>
    </w:p>
    <w:p w14:paraId="6E68DC66" w14:textId="77777777" w:rsidR="00925D61" w:rsidRDefault="00925D61" w:rsidP="00E93704">
      <w:pPr>
        <w:pStyle w:val="Disstext"/>
        <w:spacing w:line="480" w:lineRule="auto"/>
        <w:ind w:left="72"/>
        <w:rPr>
          <w:rFonts w:ascii="Calibri" w:hAnsi="Calibri" w:cs="Calibri"/>
          <w:sz w:val="22"/>
          <w:szCs w:val="22"/>
          <w:shd w:val="clear" w:color="auto" w:fill="FFFFFF"/>
        </w:rPr>
      </w:pPr>
    </w:p>
    <w:p w14:paraId="47DC3628" w14:textId="77777777" w:rsidR="00F866F4" w:rsidRPr="005626A3" w:rsidRDefault="00F866F4" w:rsidP="00E93704">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Roila</w:t>
      </w:r>
      <w:r w:rsidR="008010B7" w:rsidRPr="005626A3">
        <w:rPr>
          <w:rFonts w:ascii="Calibri" w:hAnsi="Calibri" w:cs="Calibri"/>
          <w:sz w:val="22"/>
          <w:szCs w:val="22"/>
          <w:shd w:val="clear" w:color="auto" w:fill="FFFFFF"/>
        </w:rPr>
        <w:t xml:space="preserve"> F, M</w:t>
      </w:r>
      <w:r w:rsidRPr="005626A3">
        <w:rPr>
          <w:rFonts w:ascii="Calibri" w:hAnsi="Calibri" w:cs="Calibri"/>
          <w:sz w:val="22"/>
          <w:szCs w:val="22"/>
          <w:shd w:val="clear" w:color="auto" w:fill="FFFFFF"/>
        </w:rPr>
        <w:t>olassiotis</w:t>
      </w:r>
      <w:r w:rsidR="008010B7" w:rsidRPr="005626A3">
        <w:rPr>
          <w:rFonts w:ascii="Calibri" w:hAnsi="Calibri" w:cs="Calibri"/>
          <w:sz w:val="22"/>
          <w:szCs w:val="22"/>
          <w:shd w:val="clear" w:color="auto" w:fill="FFFFFF"/>
        </w:rPr>
        <w:t xml:space="preserve"> A</w:t>
      </w:r>
      <w:r w:rsidRPr="005626A3">
        <w:rPr>
          <w:rFonts w:ascii="Calibri" w:hAnsi="Calibri" w:cs="Calibri"/>
          <w:sz w:val="22"/>
          <w:szCs w:val="22"/>
          <w:shd w:val="clear" w:color="auto" w:fill="FFFFFF"/>
        </w:rPr>
        <w:t>, Herrstedt</w:t>
      </w:r>
      <w:r w:rsidR="008010B7" w:rsidRPr="005626A3">
        <w:rPr>
          <w:rFonts w:ascii="Calibri" w:hAnsi="Calibri" w:cs="Calibri"/>
          <w:sz w:val="22"/>
          <w:szCs w:val="22"/>
          <w:shd w:val="clear" w:color="auto" w:fill="FFFFFF"/>
        </w:rPr>
        <w:t xml:space="preserve"> J,</w:t>
      </w:r>
      <w:r w:rsidRPr="005626A3">
        <w:rPr>
          <w:rFonts w:ascii="Calibri" w:hAnsi="Calibri" w:cs="Calibri"/>
          <w:sz w:val="22"/>
          <w:szCs w:val="22"/>
          <w:shd w:val="clear" w:color="auto" w:fill="FFFFFF"/>
        </w:rPr>
        <w:t xml:space="preserve"> </w:t>
      </w:r>
      <w:r w:rsidR="008010B7" w:rsidRPr="005626A3">
        <w:rPr>
          <w:rFonts w:ascii="Calibri" w:hAnsi="Calibri" w:cs="Calibri"/>
          <w:sz w:val="22"/>
          <w:szCs w:val="22"/>
          <w:shd w:val="clear" w:color="auto" w:fill="FFFFFF"/>
        </w:rPr>
        <w:t>et al.</w:t>
      </w:r>
      <w:r w:rsidRPr="005626A3">
        <w:rPr>
          <w:rFonts w:ascii="Calibri" w:hAnsi="Calibri" w:cs="Calibri"/>
          <w:sz w:val="22"/>
          <w:szCs w:val="22"/>
          <w:shd w:val="clear" w:color="auto" w:fill="FFFFFF"/>
        </w:rPr>
        <w:t xml:space="preserve"> MASCC and ESMO guideline update for the prevention of chemotherapy- and radiotherapy-induced nausea and vomiting and of nausea and vomiti</w:t>
      </w:r>
      <w:r w:rsidR="008010B7" w:rsidRPr="005626A3">
        <w:rPr>
          <w:rFonts w:ascii="Calibri" w:hAnsi="Calibri" w:cs="Calibri"/>
          <w:sz w:val="22"/>
          <w:szCs w:val="22"/>
          <w:shd w:val="clear" w:color="auto" w:fill="FFFFFF"/>
        </w:rPr>
        <w:t xml:space="preserve">ng in advanced cancer patients. Ann Oncol 2016; </w:t>
      </w:r>
      <w:r w:rsidRPr="005626A3">
        <w:rPr>
          <w:rFonts w:ascii="Calibri" w:hAnsi="Calibri" w:cs="Calibri"/>
          <w:sz w:val="22"/>
          <w:szCs w:val="22"/>
          <w:shd w:val="clear" w:color="auto" w:fill="FFFFFF"/>
        </w:rPr>
        <w:t>27</w:t>
      </w:r>
      <w:r w:rsidR="008010B7" w:rsidRPr="005626A3">
        <w:rPr>
          <w:rFonts w:ascii="Calibri" w:hAnsi="Calibri" w:cs="Calibri"/>
          <w:sz w:val="22"/>
          <w:szCs w:val="22"/>
          <w:shd w:val="clear" w:color="auto" w:fill="FFFFFF"/>
        </w:rPr>
        <w:t>(S</w:t>
      </w:r>
      <w:r w:rsidRPr="005626A3">
        <w:rPr>
          <w:rFonts w:ascii="Calibri" w:hAnsi="Calibri" w:cs="Calibri"/>
          <w:sz w:val="22"/>
          <w:szCs w:val="22"/>
          <w:shd w:val="clear" w:color="auto" w:fill="FFFFFF"/>
        </w:rPr>
        <w:t>5</w:t>
      </w:r>
      <w:r w:rsidR="008010B7" w:rsidRPr="005626A3">
        <w:rPr>
          <w:rFonts w:ascii="Calibri" w:hAnsi="Calibri" w:cs="Calibri"/>
          <w:sz w:val="22"/>
          <w:szCs w:val="22"/>
          <w:shd w:val="clear" w:color="auto" w:fill="FFFFFF"/>
        </w:rPr>
        <w:t xml:space="preserve">): </w:t>
      </w:r>
      <w:r w:rsidRPr="005626A3">
        <w:rPr>
          <w:rFonts w:ascii="Calibri" w:hAnsi="Calibri" w:cs="Calibri"/>
          <w:sz w:val="22"/>
          <w:szCs w:val="22"/>
          <w:shd w:val="clear" w:color="auto" w:fill="FFFFFF"/>
        </w:rPr>
        <w:t>119-</w:t>
      </w:r>
      <w:r w:rsidR="008010B7" w:rsidRPr="005626A3">
        <w:rPr>
          <w:rFonts w:ascii="Calibri" w:hAnsi="Calibri" w:cs="Calibri"/>
          <w:sz w:val="22"/>
          <w:szCs w:val="22"/>
          <w:shd w:val="clear" w:color="auto" w:fill="FFFFFF"/>
        </w:rPr>
        <w:t>33</w:t>
      </w:r>
    </w:p>
    <w:p w14:paraId="6616752B" w14:textId="77777777" w:rsidR="00925D61" w:rsidRDefault="00925D61" w:rsidP="00E93704">
      <w:pPr>
        <w:pStyle w:val="Disstext"/>
        <w:spacing w:line="480" w:lineRule="auto"/>
        <w:ind w:left="72"/>
        <w:rPr>
          <w:rFonts w:ascii="Calibri" w:hAnsi="Calibri" w:cs="Calibri"/>
          <w:sz w:val="22"/>
          <w:szCs w:val="22"/>
          <w:shd w:val="clear" w:color="auto" w:fill="FFFFFF"/>
        </w:rPr>
      </w:pPr>
    </w:p>
    <w:p w14:paraId="0699EE42" w14:textId="77777777" w:rsidR="00F866F4" w:rsidRDefault="00F866F4" w:rsidP="00E93704">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Etting</w:t>
      </w:r>
      <w:r w:rsidR="008010B7" w:rsidRPr="005626A3">
        <w:rPr>
          <w:rFonts w:ascii="Calibri" w:hAnsi="Calibri" w:cs="Calibri"/>
          <w:sz w:val="22"/>
          <w:szCs w:val="22"/>
          <w:shd w:val="clear" w:color="auto" w:fill="FFFFFF"/>
        </w:rPr>
        <w:t>er DS, Armstrong DK, Barbour S</w:t>
      </w:r>
      <w:r w:rsidRPr="005626A3">
        <w:rPr>
          <w:rFonts w:ascii="Calibri" w:hAnsi="Calibri" w:cs="Calibri"/>
          <w:sz w:val="22"/>
          <w:szCs w:val="22"/>
          <w:shd w:val="clear" w:color="auto" w:fill="FFFFFF"/>
        </w:rPr>
        <w:t xml:space="preserve"> et al. Antiemesis. J Natl Compr </w:t>
      </w:r>
      <w:r w:rsidR="008010B7" w:rsidRPr="005626A3">
        <w:rPr>
          <w:rFonts w:ascii="Calibri" w:hAnsi="Calibri" w:cs="Calibri"/>
          <w:sz w:val="22"/>
          <w:szCs w:val="22"/>
          <w:shd w:val="clear" w:color="auto" w:fill="FFFFFF"/>
        </w:rPr>
        <w:t xml:space="preserve">Canc Netw 2012 </w:t>
      </w:r>
      <w:r w:rsidRPr="005626A3">
        <w:rPr>
          <w:rFonts w:ascii="Calibri" w:hAnsi="Calibri" w:cs="Calibri"/>
          <w:sz w:val="22"/>
          <w:szCs w:val="22"/>
          <w:shd w:val="clear" w:color="auto" w:fill="FFFFFF"/>
        </w:rPr>
        <w:t>10(4):</w:t>
      </w:r>
      <w:r w:rsidR="008010B7" w:rsidRPr="005626A3">
        <w:rPr>
          <w:rFonts w:ascii="Calibri" w:hAnsi="Calibri" w:cs="Calibri"/>
          <w:sz w:val="22"/>
          <w:szCs w:val="22"/>
          <w:shd w:val="clear" w:color="auto" w:fill="FFFFFF"/>
        </w:rPr>
        <w:t xml:space="preserve"> 456-85</w:t>
      </w:r>
    </w:p>
    <w:p w14:paraId="5A560236" w14:textId="77777777" w:rsidR="00133083" w:rsidRPr="00914601" w:rsidRDefault="00133083" w:rsidP="00E93704">
      <w:pPr>
        <w:spacing w:line="480" w:lineRule="auto"/>
      </w:pPr>
    </w:p>
    <w:p w14:paraId="309FC036" w14:textId="77777777" w:rsidR="00F866F4" w:rsidRPr="005626A3" w:rsidRDefault="008010B7" w:rsidP="009479B2">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Salvo N, Doble B, Khan L</w:t>
      </w:r>
      <w:r w:rsidR="00F866F4" w:rsidRPr="005626A3">
        <w:rPr>
          <w:rFonts w:ascii="Calibri" w:hAnsi="Calibri" w:cs="Calibri"/>
          <w:sz w:val="22"/>
          <w:szCs w:val="22"/>
          <w:shd w:val="clear" w:color="auto" w:fill="FFFFFF"/>
        </w:rPr>
        <w:t xml:space="preserve"> et al. Prophylaxis of radiation-induced nausea and vomiting using 5-hydroxytryptamine-3 serotonin receptor antagonists: a systematic review of randomized trials. I</w:t>
      </w:r>
      <w:r w:rsidRPr="005626A3">
        <w:rPr>
          <w:rFonts w:ascii="Calibri" w:hAnsi="Calibri" w:cs="Calibri"/>
          <w:sz w:val="22"/>
          <w:szCs w:val="22"/>
          <w:shd w:val="clear" w:color="auto" w:fill="FFFFFF"/>
        </w:rPr>
        <w:t>nt J Radiat Oncol Biol Phys</w:t>
      </w:r>
      <w:r w:rsidR="00F866F4" w:rsidRPr="005626A3">
        <w:rPr>
          <w:rFonts w:ascii="Calibri" w:hAnsi="Calibri" w:cs="Calibri"/>
          <w:sz w:val="22"/>
          <w:szCs w:val="22"/>
          <w:shd w:val="clear" w:color="auto" w:fill="FFFFFF"/>
        </w:rPr>
        <w:t xml:space="preserve"> 2012;</w:t>
      </w:r>
      <w:r w:rsidRPr="005626A3">
        <w:rPr>
          <w:rFonts w:ascii="Calibri" w:hAnsi="Calibri" w:cs="Calibri"/>
          <w:sz w:val="22"/>
          <w:szCs w:val="22"/>
          <w:shd w:val="clear" w:color="auto" w:fill="FFFFFF"/>
        </w:rPr>
        <w:t xml:space="preserve"> </w:t>
      </w:r>
      <w:r w:rsidR="00F866F4" w:rsidRPr="005626A3">
        <w:rPr>
          <w:rFonts w:ascii="Calibri" w:hAnsi="Calibri" w:cs="Calibri"/>
          <w:sz w:val="22"/>
          <w:szCs w:val="22"/>
          <w:shd w:val="clear" w:color="auto" w:fill="FFFFFF"/>
        </w:rPr>
        <w:t>82(1):</w:t>
      </w:r>
      <w:r w:rsidRPr="005626A3">
        <w:rPr>
          <w:rFonts w:ascii="Calibri" w:hAnsi="Calibri" w:cs="Calibri"/>
          <w:sz w:val="22"/>
          <w:szCs w:val="22"/>
          <w:shd w:val="clear" w:color="auto" w:fill="FFFFFF"/>
        </w:rPr>
        <w:t xml:space="preserve"> 408-17</w:t>
      </w:r>
    </w:p>
    <w:p w14:paraId="7B9DB559" w14:textId="77777777" w:rsidR="00925D61" w:rsidRDefault="00925D61" w:rsidP="006B4AD8">
      <w:pPr>
        <w:pStyle w:val="Disstext"/>
        <w:spacing w:line="480" w:lineRule="auto"/>
        <w:ind w:left="72"/>
        <w:rPr>
          <w:rFonts w:ascii="Calibri" w:hAnsi="Calibri" w:cs="Calibri"/>
          <w:sz w:val="22"/>
          <w:szCs w:val="22"/>
          <w:shd w:val="clear" w:color="auto" w:fill="FFFFFF"/>
        </w:rPr>
      </w:pPr>
    </w:p>
    <w:p w14:paraId="6C432073" w14:textId="77777777" w:rsidR="00F866F4" w:rsidRDefault="008010B7" w:rsidP="006B4AD8">
      <w:pPr>
        <w:pStyle w:val="Disstext"/>
        <w:numPr>
          <w:ilvl w:val="0"/>
          <w:numId w:val="17"/>
        </w:numPr>
        <w:spacing w:line="480" w:lineRule="auto"/>
        <w:rPr>
          <w:rFonts w:asciiTheme="minorHAnsi" w:hAnsiTheme="minorHAnsi" w:cs="Calibri"/>
          <w:sz w:val="22"/>
          <w:szCs w:val="22"/>
          <w:shd w:val="clear" w:color="auto" w:fill="FFFFFF"/>
        </w:rPr>
      </w:pPr>
      <w:r w:rsidRPr="005626A3">
        <w:rPr>
          <w:rFonts w:ascii="Calibri" w:hAnsi="Calibri" w:cs="Calibri"/>
          <w:sz w:val="22"/>
          <w:szCs w:val="22"/>
          <w:shd w:val="clear" w:color="auto" w:fill="FFFFFF"/>
        </w:rPr>
        <w:t>Ruhlmann CH, Jahn F, Jordan K</w:t>
      </w:r>
      <w:r w:rsidR="00F866F4" w:rsidRPr="005626A3">
        <w:rPr>
          <w:rFonts w:ascii="Calibri" w:hAnsi="Calibri" w:cs="Calibri"/>
          <w:sz w:val="22"/>
          <w:szCs w:val="22"/>
          <w:shd w:val="clear" w:color="auto" w:fill="FFFFFF"/>
        </w:rPr>
        <w:t xml:space="preserve"> et al. 2016 updated MASCC/ESMO consensus recommendations: </w:t>
      </w:r>
      <w:r w:rsidR="00F866F4" w:rsidRPr="0071405E">
        <w:rPr>
          <w:rFonts w:asciiTheme="minorHAnsi" w:hAnsiTheme="minorHAnsi" w:cs="Calibri"/>
          <w:sz w:val="22"/>
          <w:szCs w:val="22"/>
          <w:shd w:val="clear" w:color="auto" w:fill="FFFFFF"/>
        </w:rPr>
        <w:t>prevention of radiotherapy-induced nausea and vo</w:t>
      </w:r>
      <w:r w:rsidRPr="0071405E">
        <w:rPr>
          <w:rFonts w:asciiTheme="minorHAnsi" w:hAnsiTheme="minorHAnsi" w:cs="Calibri"/>
          <w:sz w:val="22"/>
          <w:szCs w:val="22"/>
          <w:shd w:val="clear" w:color="auto" w:fill="FFFFFF"/>
        </w:rPr>
        <w:t xml:space="preserve">miting. Support Care </w:t>
      </w:r>
      <w:r w:rsidR="00F866F4" w:rsidRPr="0071405E">
        <w:rPr>
          <w:rFonts w:asciiTheme="minorHAnsi" w:hAnsiTheme="minorHAnsi" w:cs="Calibri"/>
          <w:sz w:val="22"/>
          <w:szCs w:val="22"/>
          <w:shd w:val="clear" w:color="auto" w:fill="FFFFFF"/>
        </w:rPr>
        <w:t>Cancer 2017;</w:t>
      </w:r>
      <w:r w:rsidRPr="0071405E">
        <w:rPr>
          <w:rFonts w:asciiTheme="minorHAnsi" w:hAnsiTheme="minorHAnsi" w:cs="Calibri"/>
          <w:sz w:val="22"/>
          <w:szCs w:val="22"/>
          <w:shd w:val="clear" w:color="auto" w:fill="FFFFFF"/>
        </w:rPr>
        <w:t xml:space="preserve"> </w:t>
      </w:r>
      <w:r w:rsidR="00F866F4" w:rsidRPr="0071405E">
        <w:rPr>
          <w:rFonts w:asciiTheme="minorHAnsi" w:hAnsiTheme="minorHAnsi" w:cs="Calibri"/>
          <w:sz w:val="22"/>
          <w:szCs w:val="22"/>
          <w:shd w:val="clear" w:color="auto" w:fill="FFFFFF"/>
        </w:rPr>
        <w:t>25</w:t>
      </w:r>
      <w:r w:rsidR="0019328F" w:rsidRPr="0071405E">
        <w:rPr>
          <w:rFonts w:asciiTheme="minorHAnsi" w:hAnsiTheme="minorHAnsi" w:cs="Calibri"/>
          <w:sz w:val="22"/>
          <w:szCs w:val="22"/>
          <w:shd w:val="clear" w:color="auto" w:fill="FFFFFF"/>
        </w:rPr>
        <w:t>(1)</w:t>
      </w:r>
      <w:r w:rsidR="00F866F4" w:rsidRPr="0071405E">
        <w:rPr>
          <w:rFonts w:asciiTheme="minorHAnsi" w:hAnsiTheme="minorHAnsi" w:cs="Calibri"/>
          <w:sz w:val="22"/>
          <w:szCs w:val="22"/>
          <w:shd w:val="clear" w:color="auto" w:fill="FFFFFF"/>
        </w:rPr>
        <w:t>:</w:t>
      </w:r>
      <w:r w:rsidRPr="0071405E">
        <w:rPr>
          <w:rFonts w:asciiTheme="minorHAnsi" w:hAnsiTheme="minorHAnsi" w:cs="Calibri"/>
          <w:sz w:val="22"/>
          <w:szCs w:val="22"/>
          <w:shd w:val="clear" w:color="auto" w:fill="FFFFFF"/>
        </w:rPr>
        <w:t xml:space="preserve"> 309</w:t>
      </w:r>
      <w:r w:rsidR="0019328F" w:rsidRPr="0071405E">
        <w:rPr>
          <w:rFonts w:asciiTheme="minorHAnsi" w:hAnsiTheme="minorHAnsi" w:cs="Calibri"/>
          <w:sz w:val="22"/>
          <w:szCs w:val="22"/>
          <w:shd w:val="clear" w:color="auto" w:fill="FFFFFF"/>
        </w:rPr>
        <w:t>-16</w:t>
      </w:r>
    </w:p>
    <w:p w14:paraId="6640C533" w14:textId="77777777" w:rsidR="006B4AD8" w:rsidRPr="0071405E" w:rsidRDefault="006B4AD8" w:rsidP="0071405E"/>
    <w:p w14:paraId="18D5CBC1" w14:textId="77777777" w:rsidR="00F866F4" w:rsidRDefault="0019328F" w:rsidP="00F47EC6">
      <w:pPr>
        <w:pStyle w:val="Disstext"/>
        <w:numPr>
          <w:ilvl w:val="0"/>
          <w:numId w:val="17"/>
        </w:numPr>
        <w:spacing w:line="480" w:lineRule="auto"/>
        <w:rPr>
          <w:rFonts w:ascii="Calibri" w:hAnsi="Calibri" w:cs="Calibri"/>
          <w:sz w:val="22"/>
          <w:szCs w:val="22"/>
          <w:shd w:val="clear" w:color="auto" w:fill="FFFFFF"/>
        </w:rPr>
      </w:pPr>
      <w:r w:rsidRPr="005626A3">
        <w:rPr>
          <w:rFonts w:ascii="Calibri" w:hAnsi="Calibri" w:cs="Calibri"/>
          <w:sz w:val="22"/>
          <w:szCs w:val="22"/>
          <w:shd w:val="clear" w:color="auto" w:fill="FFFFFF"/>
        </w:rPr>
        <w:t>Dennis K, Zhang L, Lutz S</w:t>
      </w:r>
      <w:r w:rsidR="00F866F4" w:rsidRPr="005626A3">
        <w:rPr>
          <w:rFonts w:ascii="Calibri" w:hAnsi="Calibri" w:cs="Calibri"/>
          <w:sz w:val="22"/>
          <w:szCs w:val="22"/>
          <w:shd w:val="clear" w:color="auto" w:fill="FFFFFF"/>
        </w:rPr>
        <w:t xml:space="preserve"> </w:t>
      </w:r>
      <w:r w:rsidRPr="005626A3">
        <w:rPr>
          <w:rFonts w:ascii="Calibri" w:hAnsi="Calibri" w:cs="Calibri"/>
          <w:sz w:val="22"/>
          <w:szCs w:val="22"/>
          <w:shd w:val="clear" w:color="auto" w:fill="FFFFFF"/>
        </w:rPr>
        <w:t>et al. International patterns of practice in the management of radiation therapy-induced nausea and vomiting. Int J</w:t>
      </w:r>
      <w:r w:rsidR="00F866F4" w:rsidRPr="005626A3">
        <w:rPr>
          <w:rFonts w:ascii="Calibri" w:hAnsi="Calibri" w:cs="Calibri"/>
          <w:sz w:val="22"/>
          <w:szCs w:val="22"/>
          <w:shd w:val="clear" w:color="auto" w:fill="FFFFFF"/>
        </w:rPr>
        <w:t xml:space="preserve"> Rad</w:t>
      </w:r>
      <w:r w:rsidRPr="005626A3">
        <w:rPr>
          <w:rFonts w:ascii="Calibri" w:hAnsi="Calibri" w:cs="Calibri"/>
          <w:sz w:val="22"/>
          <w:szCs w:val="22"/>
          <w:shd w:val="clear" w:color="auto" w:fill="FFFFFF"/>
        </w:rPr>
        <w:t>iat Oncol Biol Phys</w:t>
      </w:r>
      <w:r w:rsidR="00F866F4" w:rsidRPr="005626A3">
        <w:rPr>
          <w:rFonts w:ascii="Calibri" w:hAnsi="Calibri" w:cs="Calibri"/>
          <w:sz w:val="22"/>
          <w:szCs w:val="22"/>
          <w:shd w:val="clear" w:color="auto" w:fill="FFFFFF"/>
        </w:rPr>
        <w:t xml:space="preserve"> 2012;</w:t>
      </w:r>
      <w:r w:rsidRPr="005626A3">
        <w:rPr>
          <w:rFonts w:ascii="Calibri" w:hAnsi="Calibri" w:cs="Calibri"/>
          <w:sz w:val="22"/>
          <w:szCs w:val="22"/>
          <w:shd w:val="clear" w:color="auto" w:fill="FFFFFF"/>
        </w:rPr>
        <w:t xml:space="preserve"> </w:t>
      </w:r>
      <w:r w:rsidR="00F866F4" w:rsidRPr="005626A3">
        <w:rPr>
          <w:rFonts w:ascii="Calibri" w:hAnsi="Calibri" w:cs="Calibri"/>
          <w:sz w:val="22"/>
          <w:szCs w:val="22"/>
          <w:shd w:val="clear" w:color="auto" w:fill="FFFFFF"/>
        </w:rPr>
        <w:t>84(1):</w:t>
      </w:r>
      <w:r w:rsidRPr="005626A3">
        <w:rPr>
          <w:rFonts w:ascii="Calibri" w:hAnsi="Calibri" w:cs="Calibri"/>
          <w:sz w:val="22"/>
          <w:szCs w:val="22"/>
          <w:shd w:val="clear" w:color="auto" w:fill="FFFFFF"/>
        </w:rPr>
        <w:t xml:space="preserve"> 49-60</w:t>
      </w:r>
    </w:p>
    <w:p w14:paraId="5CF673A4" w14:textId="77777777" w:rsidR="009479B2" w:rsidRPr="006A34D2" w:rsidRDefault="009479B2" w:rsidP="0071405E">
      <w:pPr>
        <w:spacing w:line="480" w:lineRule="auto"/>
        <w:rPr>
          <w:color w:val="000000" w:themeColor="text1"/>
        </w:rPr>
      </w:pPr>
    </w:p>
    <w:p w14:paraId="75BF542F" w14:textId="48ECBEB2" w:rsidR="009479B2" w:rsidRPr="006A34D2" w:rsidRDefault="009479B2" w:rsidP="0071405E">
      <w:pPr>
        <w:pStyle w:val="ListParagraph"/>
        <w:numPr>
          <w:ilvl w:val="0"/>
          <w:numId w:val="17"/>
        </w:numPr>
        <w:spacing w:line="480" w:lineRule="auto"/>
        <w:rPr>
          <w:color w:val="000000" w:themeColor="text1"/>
        </w:rPr>
      </w:pPr>
      <w:r w:rsidRPr="006A34D2">
        <w:rPr>
          <w:rFonts w:ascii="Helvetica" w:eastAsia="Times New Roman" w:hAnsi="Helvetica"/>
          <w:color w:val="000000" w:themeColor="text1"/>
          <w:sz w:val="21"/>
          <w:szCs w:val="21"/>
          <w:shd w:val="clear" w:color="auto" w:fill="FFFFFF"/>
        </w:rPr>
        <w:t>A</w:t>
      </w:r>
      <w:r w:rsidRPr="006A34D2">
        <w:rPr>
          <w:rFonts w:asciiTheme="minorHAnsi" w:eastAsia="Times New Roman" w:hAnsiTheme="minorHAnsi"/>
          <w:color w:val="000000" w:themeColor="text1"/>
          <w:sz w:val="22"/>
          <w:szCs w:val="22"/>
          <w:shd w:val="clear" w:color="auto" w:fill="FFFFFF"/>
        </w:rPr>
        <w:t>ndrews PLR, Sanger GJ. Nausea and the quest for the perfect anti-emetic. Eur J Pharmacol 2014;722:108-121.</w:t>
      </w:r>
    </w:p>
    <w:p w14:paraId="480D87B5" w14:textId="77777777" w:rsidR="008F6AF7" w:rsidRPr="006A34D2" w:rsidRDefault="008F6AF7" w:rsidP="0071405E">
      <w:pPr>
        <w:spacing w:line="480" w:lineRule="auto"/>
        <w:rPr>
          <w:rFonts w:asciiTheme="minorHAnsi" w:hAnsiTheme="minorHAnsi"/>
          <w:color w:val="000000" w:themeColor="text1"/>
          <w:sz w:val="22"/>
          <w:szCs w:val="22"/>
          <w:lang w:eastAsia="en-US"/>
        </w:rPr>
      </w:pPr>
    </w:p>
    <w:p w14:paraId="4A1C15AD" w14:textId="3D5C90D9" w:rsidR="008F6AF7" w:rsidRPr="006A34D2" w:rsidRDefault="008F6AF7" w:rsidP="0071405E">
      <w:pPr>
        <w:pStyle w:val="ListParagraph"/>
        <w:numPr>
          <w:ilvl w:val="0"/>
          <w:numId w:val="17"/>
        </w:numPr>
        <w:spacing w:line="480" w:lineRule="auto"/>
        <w:rPr>
          <w:rFonts w:asciiTheme="minorHAnsi" w:hAnsiTheme="minorHAnsi"/>
          <w:color w:val="000000" w:themeColor="text1"/>
          <w:sz w:val="22"/>
          <w:szCs w:val="22"/>
        </w:rPr>
      </w:pPr>
      <w:r w:rsidRPr="006A34D2">
        <w:rPr>
          <w:rFonts w:asciiTheme="minorHAnsi" w:eastAsia="Times New Roman" w:hAnsiTheme="minorHAnsi"/>
          <w:color w:val="000000" w:themeColor="text1"/>
          <w:sz w:val="22"/>
          <w:szCs w:val="22"/>
          <w:shd w:val="clear" w:color="auto" w:fill="FFFFFF"/>
        </w:rPr>
        <w:t>The Christie NHS Foundation Trust.</w:t>
      </w:r>
      <w:r w:rsidR="006A34D2" w:rsidRPr="006A34D2">
        <w:rPr>
          <w:rFonts w:asciiTheme="minorHAnsi" w:eastAsia="Times New Roman" w:hAnsiTheme="minorHAnsi"/>
          <w:color w:val="000000" w:themeColor="text1"/>
          <w:sz w:val="22"/>
          <w:szCs w:val="22"/>
          <w:shd w:val="clear" w:color="auto" w:fill="FFFFFF"/>
        </w:rPr>
        <w:t xml:space="preserve"> Clinical guidance for the prevention and management of systematic anticancer therapy and radiotherapy induced nausea and vomiting in adults. Christie NHS Foundation Trust:</w:t>
      </w:r>
      <w:r w:rsidRPr="006A34D2">
        <w:rPr>
          <w:rFonts w:asciiTheme="minorHAnsi" w:eastAsia="Times New Roman" w:hAnsiTheme="minorHAnsi"/>
          <w:color w:val="000000" w:themeColor="text1"/>
          <w:sz w:val="22"/>
          <w:szCs w:val="22"/>
          <w:shd w:val="clear" w:color="auto" w:fill="FFFFFF"/>
        </w:rPr>
        <w:t xml:space="preserve"> 2018.</w:t>
      </w:r>
    </w:p>
    <w:p w14:paraId="32786F68" w14:textId="77777777" w:rsidR="00925D61" w:rsidRPr="006A34D2" w:rsidRDefault="00925D61">
      <w:pPr>
        <w:pStyle w:val="Disstext"/>
        <w:spacing w:line="480" w:lineRule="auto"/>
        <w:ind w:left="72"/>
        <w:jc w:val="left"/>
        <w:rPr>
          <w:rFonts w:ascii="Calibri" w:hAnsi="Calibri" w:cs="Calibri"/>
          <w:color w:val="000000" w:themeColor="text1"/>
          <w:sz w:val="22"/>
          <w:szCs w:val="22"/>
          <w:shd w:val="clear" w:color="auto" w:fill="FFFFFF"/>
        </w:rPr>
      </w:pPr>
    </w:p>
    <w:p w14:paraId="5156AF4A" w14:textId="352709C9" w:rsidR="00290E9F" w:rsidRDefault="0019328F">
      <w:pPr>
        <w:pStyle w:val="Disstext"/>
        <w:numPr>
          <w:ilvl w:val="0"/>
          <w:numId w:val="17"/>
        </w:numPr>
        <w:spacing w:line="480" w:lineRule="auto"/>
        <w:jc w:val="left"/>
        <w:rPr>
          <w:rFonts w:ascii="Calibri" w:hAnsi="Calibri" w:cs="Calibri"/>
          <w:sz w:val="22"/>
          <w:szCs w:val="22"/>
          <w:shd w:val="clear" w:color="auto" w:fill="FFFFFF"/>
        </w:rPr>
      </w:pPr>
      <w:r w:rsidRPr="005626A3">
        <w:rPr>
          <w:rFonts w:ascii="Calibri" w:hAnsi="Calibri" w:cs="Calibri"/>
          <w:sz w:val="22"/>
          <w:szCs w:val="22"/>
          <w:shd w:val="clear" w:color="auto" w:fill="FFFFFF"/>
        </w:rPr>
        <w:t>Spencer K, Parrish R, Barton R, Henry A. Palliative radiotherapy</w:t>
      </w:r>
      <w:r w:rsidR="00F866F4" w:rsidRPr="005626A3">
        <w:rPr>
          <w:rFonts w:ascii="Calibri" w:hAnsi="Calibri" w:cs="Calibri"/>
          <w:sz w:val="22"/>
          <w:szCs w:val="22"/>
          <w:shd w:val="clear" w:color="auto" w:fill="FFFFFF"/>
        </w:rPr>
        <w:t> BMJ</w:t>
      </w:r>
      <w:r w:rsidRPr="005626A3">
        <w:rPr>
          <w:rFonts w:ascii="Calibri" w:hAnsi="Calibri" w:cs="Calibri"/>
          <w:sz w:val="22"/>
          <w:szCs w:val="22"/>
          <w:shd w:val="clear" w:color="auto" w:fill="FFFFFF"/>
        </w:rPr>
        <w:t xml:space="preserve"> 2018; 360: k821</w:t>
      </w:r>
    </w:p>
    <w:p w14:paraId="35AF41C1" w14:textId="77777777" w:rsidR="006A34D2" w:rsidRPr="006A34D2" w:rsidRDefault="006A34D2" w:rsidP="006A34D2">
      <w:pPr>
        <w:rPr>
          <w:color w:val="000000" w:themeColor="text1"/>
          <w:lang w:eastAsia="en-US"/>
        </w:rPr>
      </w:pPr>
    </w:p>
    <w:p w14:paraId="058F80CE" w14:textId="77777777" w:rsidR="00884547" w:rsidRPr="006A34D2" w:rsidRDefault="00884547" w:rsidP="0071405E">
      <w:pPr>
        <w:rPr>
          <w:color w:val="000000" w:themeColor="text1"/>
        </w:rPr>
      </w:pPr>
    </w:p>
    <w:p w14:paraId="6D4D06EC" w14:textId="77777777" w:rsidR="00884547" w:rsidRPr="006A34D2" w:rsidRDefault="00884547" w:rsidP="0071405E">
      <w:pPr>
        <w:pStyle w:val="ListParagraph"/>
        <w:numPr>
          <w:ilvl w:val="0"/>
          <w:numId w:val="17"/>
        </w:numPr>
        <w:spacing w:line="480" w:lineRule="auto"/>
        <w:rPr>
          <w:rFonts w:asciiTheme="minorHAnsi" w:eastAsia="Times New Roman" w:hAnsiTheme="minorHAnsi"/>
          <w:color w:val="000000" w:themeColor="text1"/>
          <w:sz w:val="22"/>
          <w:szCs w:val="22"/>
        </w:rPr>
      </w:pPr>
      <w:r w:rsidRPr="006A34D2">
        <w:rPr>
          <w:rFonts w:asciiTheme="minorHAnsi" w:eastAsia="Times New Roman" w:hAnsiTheme="minorHAnsi"/>
          <w:color w:val="000000" w:themeColor="text1"/>
          <w:sz w:val="22"/>
          <w:szCs w:val="22"/>
          <w:shd w:val="clear" w:color="auto" w:fill="FFFFFF"/>
        </w:rPr>
        <w:t>National Institute for Health and Care Excellence, British National Formulary. ONDANSETRON. Available at:</w:t>
      </w:r>
      <w:r w:rsidRPr="006A34D2">
        <w:rPr>
          <w:rStyle w:val="apple-converted-space"/>
          <w:rFonts w:asciiTheme="minorHAnsi" w:eastAsia="Times New Roman" w:hAnsiTheme="minorHAnsi"/>
          <w:color w:val="000000" w:themeColor="text1"/>
          <w:sz w:val="22"/>
          <w:szCs w:val="22"/>
          <w:shd w:val="clear" w:color="auto" w:fill="FFFFFF"/>
        </w:rPr>
        <w:t> </w:t>
      </w:r>
      <w:hyperlink r:id="rId8" w:tgtFrame="_blank" w:history="1">
        <w:r w:rsidRPr="006A34D2">
          <w:rPr>
            <w:rStyle w:val="Hyperlink"/>
            <w:rFonts w:asciiTheme="minorHAnsi" w:hAnsiTheme="minorHAnsi"/>
            <w:color w:val="000000" w:themeColor="text1"/>
            <w:sz w:val="22"/>
            <w:szCs w:val="22"/>
          </w:rPr>
          <w:t>https://bnf.nice.org.uk/medicinal-forms/ondansetron.html</w:t>
        </w:r>
      </w:hyperlink>
      <w:r w:rsidRPr="006A34D2">
        <w:rPr>
          <w:rFonts w:asciiTheme="minorHAnsi" w:eastAsia="Times New Roman" w:hAnsiTheme="minorHAnsi"/>
          <w:color w:val="000000" w:themeColor="text1"/>
          <w:sz w:val="22"/>
          <w:szCs w:val="22"/>
          <w:shd w:val="clear" w:color="auto" w:fill="FFFFFF"/>
        </w:rPr>
        <w:t>. Accessed 17th Jan, 2021.</w:t>
      </w:r>
    </w:p>
    <w:p w14:paraId="3F0F6C64" w14:textId="77777777" w:rsidR="00884547" w:rsidRPr="0071405E" w:rsidRDefault="00884547" w:rsidP="0071405E"/>
    <w:sectPr w:rsidR="00884547" w:rsidRPr="0071405E" w:rsidSect="00D912AE">
      <w:headerReference w:type="default" r:id="rId9"/>
      <w:footerReference w:type="even" r:id="rId10"/>
      <w:footerReference w:type="defaul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812F" w14:textId="77777777" w:rsidR="007A3F96" w:rsidRDefault="007A3F96" w:rsidP="00642527">
      <w:r>
        <w:separator/>
      </w:r>
    </w:p>
  </w:endnote>
  <w:endnote w:type="continuationSeparator" w:id="0">
    <w:p w14:paraId="792DC489" w14:textId="77777777" w:rsidR="007A3F96" w:rsidRDefault="007A3F96" w:rsidP="00642527">
      <w:r>
        <w:continuationSeparator/>
      </w:r>
    </w:p>
  </w:endnote>
  <w:endnote w:type="continuationNotice" w:id="1">
    <w:p w14:paraId="18C58B62" w14:textId="77777777" w:rsidR="007A3F96" w:rsidRDefault="007A3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437C" w14:textId="77777777" w:rsidR="00C72930" w:rsidRDefault="00C72930" w:rsidP="00D912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2E702" w14:textId="77777777" w:rsidR="00C72930" w:rsidRDefault="00C72930" w:rsidP="00D91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56C7" w14:textId="77777777" w:rsidR="00C72930" w:rsidRDefault="00C72930" w:rsidP="00D912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97DB" w14:textId="77777777" w:rsidR="007A3F96" w:rsidRDefault="007A3F96" w:rsidP="00642527">
      <w:r>
        <w:separator/>
      </w:r>
    </w:p>
  </w:footnote>
  <w:footnote w:type="continuationSeparator" w:id="0">
    <w:p w14:paraId="25353FE1" w14:textId="77777777" w:rsidR="007A3F96" w:rsidRDefault="007A3F96" w:rsidP="00642527">
      <w:r>
        <w:continuationSeparator/>
      </w:r>
    </w:p>
  </w:footnote>
  <w:footnote w:type="continuationNotice" w:id="1">
    <w:p w14:paraId="6764774C" w14:textId="77777777" w:rsidR="007A3F96" w:rsidRDefault="007A3F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0476" w14:textId="77777777" w:rsidR="009C153D" w:rsidRDefault="009C1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var/folders/7x/ch2mg2w12vl6wcn2cjvzr89m0000gn/T/TemporaryItems/(A Document Being Saved By screencaptureui)/Screenshot 2020-01-17 at 18.17.56.png" style="width:3.8pt;height:6pt;visibility:visible;mso-wrap-style:square" o:bullet="t">
        <v:imagedata r:id="rId1" o:title="Screenshot 2020-01-17 at 18"/>
      </v:shape>
    </w:pict>
  </w:numPicBullet>
  <w:abstractNum w:abstractNumId="0" w15:restartNumberingAfterBreak="0">
    <w:nsid w:val="02F949AA"/>
    <w:multiLevelType w:val="hybridMultilevel"/>
    <w:tmpl w:val="97ECA71E"/>
    <w:lvl w:ilvl="0" w:tplc="906CF106">
      <w:start w:val="1"/>
      <w:numFmt w:val="decimal"/>
      <w:lvlText w:val="%1."/>
      <w:lvlJc w:val="left"/>
      <w:pPr>
        <w:ind w:left="43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F5365"/>
    <w:multiLevelType w:val="hybridMultilevel"/>
    <w:tmpl w:val="16565E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1D1F8F"/>
    <w:multiLevelType w:val="hybridMultilevel"/>
    <w:tmpl w:val="D2EC5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072A4"/>
    <w:multiLevelType w:val="hybridMultilevel"/>
    <w:tmpl w:val="B630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7FF9"/>
    <w:multiLevelType w:val="hybridMultilevel"/>
    <w:tmpl w:val="93A4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C6122"/>
    <w:multiLevelType w:val="hybridMultilevel"/>
    <w:tmpl w:val="689ED4AA"/>
    <w:lvl w:ilvl="0" w:tplc="70FA8630">
      <w:start w:val="75"/>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A32F0"/>
    <w:multiLevelType w:val="multilevel"/>
    <w:tmpl w:val="DFC0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856F9"/>
    <w:multiLevelType w:val="hybridMultilevel"/>
    <w:tmpl w:val="EA80C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DF7D2B"/>
    <w:multiLevelType w:val="hybridMultilevel"/>
    <w:tmpl w:val="EA80C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05620E"/>
    <w:multiLevelType w:val="hybridMultilevel"/>
    <w:tmpl w:val="F13C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02024"/>
    <w:multiLevelType w:val="hybridMultilevel"/>
    <w:tmpl w:val="3BD81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4214C9"/>
    <w:multiLevelType w:val="hybridMultilevel"/>
    <w:tmpl w:val="D2EC5D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7A575C"/>
    <w:multiLevelType w:val="hybridMultilevel"/>
    <w:tmpl w:val="4A20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A5891"/>
    <w:multiLevelType w:val="hybridMultilevel"/>
    <w:tmpl w:val="DE5E7836"/>
    <w:lvl w:ilvl="0" w:tplc="906CF106">
      <w:start w:val="1"/>
      <w:numFmt w:val="decimal"/>
      <w:lvlText w:val="%1."/>
      <w:lvlJc w:val="left"/>
      <w:pPr>
        <w:ind w:left="43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DB0BD8"/>
    <w:multiLevelType w:val="hybridMultilevel"/>
    <w:tmpl w:val="F3F4660E"/>
    <w:lvl w:ilvl="0" w:tplc="BDB08258">
      <w:start w:val="83"/>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761A5"/>
    <w:multiLevelType w:val="hybridMultilevel"/>
    <w:tmpl w:val="977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26A69"/>
    <w:multiLevelType w:val="hybridMultilevel"/>
    <w:tmpl w:val="B0146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5"/>
  </w:num>
  <w:num w:numId="5">
    <w:abstractNumId w:val="6"/>
  </w:num>
  <w:num w:numId="6">
    <w:abstractNumId w:val="14"/>
  </w:num>
  <w:num w:numId="7">
    <w:abstractNumId w:val="1"/>
  </w:num>
  <w:num w:numId="8">
    <w:abstractNumId w:val="16"/>
  </w:num>
  <w:num w:numId="9">
    <w:abstractNumId w:val="11"/>
  </w:num>
  <w:num w:numId="10">
    <w:abstractNumId w:val="2"/>
  </w:num>
  <w:num w:numId="11">
    <w:abstractNumId w:val="7"/>
  </w:num>
  <w:num w:numId="12">
    <w:abstractNumId w:val="8"/>
  </w:num>
  <w:num w:numId="13">
    <w:abstractNumId w:val="0"/>
  </w:num>
  <w:num w:numId="14">
    <w:abstractNumId w:val="3"/>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A1"/>
    <w:rsid w:val="000038D3"/>
    <w:rsid w:val="00003BB6"/>
    <w:rsid w:val="000065B7"/>
    <w:rsid w:val="0000776F"/>
    <w:rsid w:val="0001184C"/>
    <w:rsid w:val="00012F01"/>
    <w:rsid w:val="00014067"/>
    <w:rsid w:val="0001454F"/>
    <w:rsid w:val="0001473D"/>
    <w:rsid w:val="00014BC0"/>
    <w:rsid w:val="00015063"/>
    <w:rsid w:val="000175D7"/>
    <w:rsid w:val="00024B73"/>
    <w:rsid w:val="000256C0"/>
    <w:rsid w:val="00026017"/>
    <w:rsid w:val="000266B5"/>
    <w:rsid w:val="000269A5"/>
    <w:rsid w:val="00027280"/>
    <w:rsid w:val="00027471"/>
    <w:rsid w:val="00031296"/>
    <w:rsid w:val="00031ACA"/>
    <w:rsid w:val="000344DB"/>
    <w:rsid w:val="00035A0E"/>
    <w:rsid w:val="00036779"/>
    <w:rsid w:val="00036CE6"/>
    <w:rsid w:val="00037219"/>
    <w:rsid w:val="000378E0"/>
    <w:rsid w:val="0004071E"/>
    <w:rsid w:val="00042930"/>
    <w:rsid w:val="0004493D"/>
    <w:rsid w:val="00052ECF"/>
    <w:rsid w:val="0005398E"/>
    <w:rsid w:val="00055ED2"/>
    <w:rsid w:val="00056349"/>
    <w:rsid w:val="00057024"/>
    <w:rsid w:val="000606B0"/>
    <w:rsid w:val="0006395B"/>
    <w:rsid w:val="00066406"/>
    <w:rsid w:val="00066C4C"/>
    <w:rsid w:val="00067CD7"/>
    <w:rsid w:val="0007099D"/>
    <w:rsid w:val="00072DCC"/>
    <w:rsid w:val="00082E89"/>
    <w:rsid w:val="00084ACC"/>
    <w:rsid w:val="00086E50"/>
    <w:rsid w:val="0009034C"/>
    <w:rsid w:val="00090A68"/>
    <w:rsid w:val="00091967"/>
    <w:rsid w:val="00092D1F"/>
    <w:rsid w:val="00092EA2"/>
    <w:rsid w:val="0009429C"/>
    <w:rsid w:val="00097FFA"/>
    <w:rsid w:val="000A0000"/>
    <w:rsid w:val="000A0D6F"/>
    <w:rsid w:val="000A0DCF"/>
    <w:rsid w:val="000A2CF0"/>
    <w:rsid w:val="000B1CB5"/>
    <w:rsid w:val="000B26AA"/>
    <w:rsid w:val="000B4BAF"/>
    <w:rsid w:val="000B6E44"/>
    <w:rsid w:val="000B71DE"/>
    <w:rsid w:val="000C0D80"/>
    <w:rsid w:val="000C40F5"/>
    <w:rsid w:val="000C415C"/>
    <w:rsid w:val="000C51E1"/>
    <w:rsid w:val="000C5C4D"/>
    <w:rsid w:val="000C63D6"/>
    <w:rsid w:val="000C6FF6"/>
    <w:rsid w:val="000C780B"/>
    <w:rsid w:val="000C7921"/>
    <w:rsid w:val="000D146D"/>
    <w:rsid w:val="000D2AD9"/>
    <w:rsid w:val="000D4FB8"/>
    <w:rsid w:val="000D59B6"/>
    <w:rsid w:val="000D62DC"/>
    <w:rsid w:val="000D7568"/>
    <w:rsid w:val="000E2021"/>
    <w:rsid w:val="000E31BF"/>
    <w:rsid w:val="000E41AC"/>
    <w:rsid w:val="000E50DF"/>
    <w:rsid w:val="000E608E"/>
    <w:rsid w:val="000F23A5"/>
    <w:rsid w:val="000F2626"/>
    <w:rsid w:val="000F283E"/>
    <w:rsid w:val="000F3270"/>
    <w:rsid w:val="000F3ADE"/>
    <w:rsid w:val="000F3DA7"/>
    <w:rsid w:val="000F6427"/>
    <w:rsid w:val="000F663B"/>
    <w:rsid w:val="00100536"/>
    <w:rsid w:val="00100EB1"/>
    <w:rsid w:val="0010167B"/>
    <w:rsid w:val="00101EC9"/>
    <w:rsid w:val="001025EB"/>
    <w:rsid w:val="00103B36"/>
    <w:rsid w:val="00107524"/>
    <w:rsid w:val="00107B78"/>
    <w:rsid w:val="001138AA"/>
    <w:rsid w:val="00113F1E"/>
    <w:rsid w:val="001141C0"/>
    <w:rsid w:val="001148BB"/>
    <w:rsid w:val="001151D0"/>
    <w:rsid w:val="00120DF2"/>
    <w:rsid w:val="001214F3"/>
    <w:rsid w:val="00122DD3"/>
    <w:rsid w:val="00123723"/>
    <w:rsid w:val="00123A11"/>
    <w:rsid w:val="00124843"/>
    <w:rsid w:val="00125F03"/>
    <w:rsid w:val="00132AF2"/>
    <w:rsid w:val="00133083"/>
    <w:rsid w:val="00133DB0"/>
    <w:rsid w:val="00134296"/>
    <w:rsid w:val="00134418"/>
    <w:rsid w:val="001346A0"/>
    <w:rsid w:val="00134E82"/>
    <w:rsid w:val="00134FA4"/>
    <w:rsid w:val="001406E8"/>
    <w:rsid w:val="00140990"/>
    <w:rsid w:val="00141ED1"/>
    <w:rsid w:val="00142B50"/>
    <w:rsid w:val="00145806"/>
    <w:rsid w:val="001470B5"/>
    <w:rsid w:val="00147E71"/>
    <w:rsid w:val="00150221"/>
    <w:rsid w:val="00150726"/>
    <w:rsid w:val="001508E7"/>
    <w:rsid w:val="00152ADF"/>
    <w:rsid w:val="00153BF9"/>
    <w:rsid w:val="00154B0C"/>
    <w:rsid w:val="00156ABE"/>
    <w:rsid w:val="0015743D"/>
    <w:rsid w:val="001602DA"/>
    <w:rsid w:val="00160D23"/>
    <w:rsid w:val="00160E21"/>
    <w:rsid w:val="00160EAF"/>
    <w:rsid w:val="001613F4"/>
    <w:rsid w:val="00164B92"/>
    <w:rsid w:val="001670C8"/>
    <w:rsid w:val="001673E9"/>
    <w:rsid w:val="0016759C"/>
    <w:rsid w:val="0016778F"/>
    <w:rsid w:val="00171531"/>
    <w:rsid w:val="00171E41"/>
    <w:rsid w:val="00173309"/>
    <w:rsid w:val="001743D8"/>
    <w:rsid w:val="00174432"/>
    <w:rsid w:val="001762D9"/>
    <w:rsid w:val="00177999"/>
    <w:rsid w:val="00183987"/>
    <w:rsid w:val="00184B8E"/>
    <w:rsid w:val="0018620A"/>
    <w:rsid w:val="00187607"/>
    <w:rsid w:val="0019086C"/>
    <w:rsid w:val="00191A51"/>
    <w:rsid w:val="00193052"/>
    <w:rsid w:val="00193289"/>
    <w:rsid w:val="0019328F"/>
    <w:rsid w:val="00193571"/>
    <w:rsid w:val="0019531B"/>
    <w:rsid w:val="001A2031"/>
    <w:rsid w:val="001A51E5"/>
    <w:rsid w:val="001A5BC5"/>
    <w:rsid w:val="001A73EC"/>
    <w:rsid w:val="001B021C"/>
    <w:rsid w:val="001B1F47"/>
    <w:rsid w:val="001B34AA"/>
    <w:rsid w:val="001B5EE0"/>
    <w:rsid w:val="001B7487"/>
    <w:rsid w:val="001C26EC"/>
    <w:rsid w:val="001C3B0D"/>
    <w:rsid w:val="001C4694"/>
    <w:rsid w:val="001C4AD6"/>
    <w:rsid w:val="001D0EAE"/>
    <w:rsid w:val="001D104B"/>
    <w:rsid w:val="001D1968"/>
    <w:rsid w:val="001D2603"/>
    <w:rsid w:val="001D3889"/>
    <w:rsid w:val="001D4BBA"/>
    <w:rsid w:val="001D70E0"/>
    <w:rsid w:val="001E04E9"/>
    <w:rsid w:val="001E1725"/>
    <w:rsid w:val="001E1E9D"/>
    <w:rsid w:val="001E47F0"/>
    <w:rsid w:val="001E48E3"/>
    <w:rsid w:val="001E492D"/>
    <w:rsid w:val="001E4A1D"/>
    <w:rsid w:val="001E6F14"/>
    <w:rsid w:val="001E6F7D"/>
    <w:rsid w:val="001E7434"/>
    <w:rsid w:val="001E7EA7"/>
    <w:rsid w:val="001F1F26"/>
    <w:rsid w:val="001F3D89"/>
    <w:rsid w:val="001F773E"/>
    <w:rsid w:val="001F790B"/>
    <w:rsid w:val="00200896"/>
    <w:rsid w:val="00202FEE"/>
    <w:rsid w:val="00203112"/>
    <w:rsid w:val="00205DBA"/>
    <w:rsid w:val="00206373"/>
    <w:rsid w:val="00211220"/>
    <w:rsid w:val="0021216D"/>
    <w:rsid w:val="002128AD"/>
    <w:rsid w:val="00212B41"/>
    <w:rsid w:val="002141C5"/>
    <w:rsid w:val="00214BFF"/>
    <w:rsid w:val="00221A34"/>
    <w:rsid w:val="00222B39"/>
    <w:rsid w:val="00225AB2"/>
    <w:rsid w:val="00233197"/>
    <w:rsid w:val="00240A02"/>
    <w:rsid w:val="002427BC"/>
    <w:rsid w:val="00242B0C"/>
    <w:rsid w:val="00243A75"/>
    <w:rsid w:val="00250325"/>
    <w:rsid w:val="00250768"/>
    <w:rsid w:val="002519D5"/>
    <w:rsid w:val="00253427"/>
    <w:rsid w:val="00254099"/>
    <w:rsid w:val="002550E0"/>
    <w:rsid w:val="00256218"/>
    <w:rsid w:val="002567C4"/>
    <w:rsid w:val="0026041B"/>
    <w:rsid w:val="0026061C"/>
    <w:rsid w:val="00260D39"/>
    <w:rsid w:val="00263A0D"/>
    <w:rsid w:val="00265C8E"/>
    <w:rsid w:val="00266CF3"/>
    <w:rsid w:val="00266E5E"/>
    <w:rsid w:val="0027013F"/>
    <w:rsid w:val="00275852"/>
    <w:rsid w:val="0027616B"/>
    <w:rsid w:val="00277241"/>
    <w:rsid w:val="002835BA"/>
    <w:rsid w:val="00290E9F"/>
    <w:rsid w:val="00293FC7"/>
    <w:rsid w:val="00294BB1"/>
    <w:rsid w:val="00296CCF"/>
    <w:rsid w:val="002A1BEB"/>
    <w:rsid w:val="002A1E4E"/>
    <w:rsid w:val="002A25B1"/>
    <w:rsid w:val="002A3286"/>
    <w:rsid w:val="002A36DB"/>
    <w:rsid w:val="002A3D7E"/>
    <w:rsid w:val="002A611E"/>
    <w:rsid w:val="002A618F"/>
    <w:rsid w:val="002A6D97"/>
    <w:rsid w:val="002A75F5"/>
    <w:rsid w:val="002B188A"/>
    <w:rsid w:val="002B35C1"/>
    <w:rsid w:val="002B50A7"/>
    <w:rsid w:val="002C043D"/>
    <w:rsid w:val="002C0C86"/>
    <w:rsid w:val="002C2906"/>
    <w:rsid w:val="002C4454"/>
    <w:rsid w:val="002C60D7"/>
    <w:rsid w:val="002C639D"/>
    <w:rsid w:val="002C6FA2"/>
    <w:rsid w:val="002C7027"/>
    <w:rsid w:val="002C7CC1"/>
    <w:rsid w:val="002C7E52"/>
    <w:rsid w:val="002D0941"/>
    <w:rsid w:val="002D1DB8"/>
    <w:rsid w:val="002D2075"/>
    <w:rsid w:val="002D3292"/>
    <w:rsid w:val="002D32AE"/>
    <w:rsid w:val="002D4D1D"/>
    <w:rsid w:val="002D5B63"/>
    <w:rsid w:val="002D64B9"/>
    <w:rsid w:val="002D732A"/>
    <w:rsid w:val="002D7855"/>
    <w:rsid w:val="002E01EE"/>
    <w:rsid w:val="002E0DAC"/>
    <w:rsid w:val="002E1BA6"/>
    <w:rsid w:val="002E22AB"/>
    <w:rsid w:val="002E6D75"/>
    <w:rsid w:val="002F1B8C"/>
    <w:rsid w:val="002F3256"/>
    <w:rsid w:val="002F5B45"/>
    <w:rsid w:val="002F664B"/>
    <w:rsid w:val="00301978"/>
    <w:rsid w:val="0030378C"/>
    <w:rsid w:val="00304976"/>
    <w:rsid w:val="00310409"/>
    <w:rsid w:val="00313F87"/>
    <w:rsid w:val="0031402C"/>
    <w:rsid w:val="003140E5"/>
    <w:rsid w:val="00316A7E"/>
    <w:rsid w:val="00317DD3"/>
    <w:rsid w:val="00320BCA"/>
    <w:rsid w:val="00323DA3"/>
    <w:rsid w:val="00323F25"/>
    <w:rsid w:val="00325E8C"/>
    <w:rsid w:val="00326F00"/>
    <w:rsid w:val="00327056"/>
    <w:rsid w:val="003273A5"/>
    <w:rsid w:val="003300DE"/>
    <w:rsid w:val="003306D8"/>
    <w:rsid w:val="00331D47"/>
    <w:rsid w:val="003342B4"/>
    <w:rsid w:val="00334B29"/>
    <w:rsid w:val="00334CCE"/>
    <w:rsid w:val="00337090"/>
    <w:rsid w:val="003413B4"/>
    <w:rsid w:val="00341754"/>
    <w:rsid w:val="00342B2C"/>
    <w:rsid w:val="00344066"/>
    <w:rsid w:val="0034584C"/>
    <w:rsid w:val="00345B15"/>
    <w:rsid w:val="00345BBB"/>
    <w:rsid w:val="0034675E"/>
    <w:rsid w:val="003478A2"/>
    <w:rsid w:val="00350CE4"/>
    <w:rsid w:val="00351ACC"/>
    <w:rsid w:val="003571A9"/>
    <w:rsid w:val="00360200"/>
    <w:rsid w:val="0036230E"/>
    <w:rsid w:val="00366735"/>
    <w:rsid w:val="00367651"/>
    <w:rsid w:val="0037232F"/>
    <w:rsid w:val="003747CA"/>
    <w:rsid w:val="00375732"/>
    <w:rsid w:val="00375CE3"/>
    <w:rsid w:val="003770D6"/>
    <w:rsid w:val="0038324E"/>
    <w:rsid w:val="003859A4"/>
    <w:rsid w:val="0038602A"/>
    <w:rsid w:val="00387820"/>
    <w:rsid w:val="00390D98"/>
    <w:rsid w:val="003916AB"/>
    <w:rsid w:val="00391834"/>
    <w:rsid w:val="003921C7"/>
    <w:rsid w:val="003949F0"/>
    <w:rsid w:val="00395008"/>
    <w:rsid w:val="00395A14"/>
    <w:rsid w:val="00397069"/>
    <w:rsid w:val="00397597"/>
    <w:rsid w:val="003A1439"/>
    <w:rsid w:val="003A1D6A"/>
    <w:rsid w:val="003A1E16"/>
    <w:rsid w:val="003A1FCD"/>
    <w:rsid w:val="003A289C"/>
    <w:rsid w:val="003A3E63"/>
    <w:rsid w:val="003B46F7"/>
    <w:rsid w:val="003B746A"/>
    <w:rsid w:val="003B7A80"/>
    <w:rsid w:val="003C01A7"/>
    <w:rsid w:val="003C0CF4"/>
    <w:rsid w:val="003C0DFE"/>
    <w:rsid w:val="003C2F29"/>
    <w:rsid w:val="003C4D04"/>
    <w:rsid w:val="003C510C"/>
    <w:rsid w:val="003C7241"/>
    <w:rsid w:val="003C792E"/>
    <w:rsid w:val="003D149C"/>
    <w:rsid w:val="003D1E1B"/>
    <w:rsid w:val="003D628F"/>
    <w:rsid w:val="003D6530"/>
    <w:rsid w:val="003D72C2"/>
    <w:rsid w:val="003D7A93"/>
    <w:rsid w:val="003E10C7"/>
    <w:rsid w:val="003E2309"/>
    <w:rsid w:val="003E3272"/>
    <w:rsid w:val="003E3B5D"/>
    <w:rsid w:val="003E5ADC"/>
    <w:rsid w:val="003E5BBD"/>
    <w:rsid w:val="003E7659"/>
    <w:rsid w:val="003F222F"/>
    <w:rsid w:val="003F28A6"/>
    <w:rsid w:val="003F34A3"/>
    <w:rsid w:val="003F754F"/>
    <w:rsid w:val="004021C7"/>
    <w:rsid w:val="00402A3D"/>
    <w:rsid w:val="0040357A"/>
    <w:rsid w:val="00404F02"/>
    <w:rsid w:val="00405D8C"/>
    <w:rsid w:val="0040782C"/>
    <w:rsid w:val="004124B4"/>
    <w:rsid w:val="00414DFB"/>
    <w:rsid w:val="00415A14"/>
    <w:rsid w:val="00421833"/>
    <w:rsid w:val="00422EFA"/>
    <w:rsid w:val="004230F8"/>
    <w:rsid w:val="00424F3B"/>
    <w:rsid w:val="00425175"/>
    <w:rsid w:val="00425E82"/>
    <w:rsid w:val="00425F49"/>
    <w:rsid w:val="00427E9C"/>
    <w:rsid w:val="00430361"/>
    <w:rsid w:val="00431C85"/>
    <w:rsid w:val="00432AE1"/>
    <w:rsid w:val="00435F67"/>
    <w:rsid w:val="00436C9A"/>
    <w:rsid w:val="00437590"/>
    <w:rsid w:val="00440253"/>
    <w:rsid w:val="00441613"/>
    <w:rsid w:val="004417B1"/>
    <w:rsid w:val="00444AB1"/>
    <w:rsid w:val="0045141B"/>
    <w:rsid w:val="00453573"/>
    <w:rsid w:val="00453C97"/>
    <w:rsid w:val="00457A9B"/>
    <w:rsid w:val="00460D12"/>
    <w:rsid w:val="004618BD"/>
    <w:rsid w:val="00462815"/>
    <w:rsid w:val="00463414"/>
    <w:rsid w:val="00464AFA"/>
    <w:rsid w:val="00465C23"/>
    <w:rsid w:val="00466CEC"/>
    <w:rsid w:val="00470D7E"/>
    <w:rsid w:val="00470E93"/>
    <w:rsid w:val="0047298B"/>
    <w:rsid w:val="00473246"/>
    <w:rsid w:val="004755EE"/>
    <w:rsid w:val="00480CC0"/>
    <w:rsid w:val="00482A45"/>
    <w:rsid w:val="00482EF5"/>
    <w:rsid w:val="00483031"/>
    <w:rsid w:val="00483648"/>
    <w:rsid w:val="00483C5F"/>
    <w:rsid w:val="004850FE"/>
    <w:rsid w:val="004870F1"/>
    <w:rsid w:val="00491985"/>
    <w:rsid w:val="00491C79"/>
    <w:rsid w:val="00492113"/>
    <w:rsid w:val="004937FA"/>
    <w:rsid w:val="00493952"/>
    <w:rsid w:val="004944B0"/>
    <w:rsid w:val="004946AF"/>
    <w:rsid w:val="004970C1"/>
    <w:rsid w:val="004A0036"/>
    <w:rsid w:val="004A6268"/>
    <w:rsid w:val="004A7CA2"/>
    <w:rsid w:val="004B2183"/>
    <w:rsid w:val="004B22F4"/>
    <w:rsid w:val="004B253E"/>
    <w:rsid w:val="004B44CA"/>
    <w:rsid w:val="004B4F4A"/>
    <w:rsid w:val="004B7B77"/>
    <w:rsid w:val="004C1DC0"/>
    <w:rsid w:val="004C2146"/>
    <w:rsid w:val="004C2B86"/>
    <w:rsid w:val="004C3662"/>
    <w:rsid w:val="004C46A4"/>
    <w:rsid w:val="004C54DA"/>
    <w:rsid w:val="004C59F9"/>
    <w:rsid w:val="004C5ACC"/>
    <w:rsid w:val="004D11EA"/>
    <w:rsid w:val="004D1264"/>
    <w:rsid w:val="004D2060"/>
    <w:rsid w:val="004D2F1D"/>
    <w:rsid w:val="004D6764"/>
    <w:rsid w:val="004D7FAA"/>
    <w:rsid w:val="004E0EF1"/>
    <w:rsid w:val="004E23BD"/>
    <w:rsid w:val="004E34B4"/>
    <w:rsid w:val="004E3E7F"/>
    <w:rsid w:val="004E44F7"/>
    <w:rsid w:val="004E6503"/>
    <w:rsid w:val="004F00EA"/>
    <w:rsid w:val="004F02DF"/>
    <w:rsid w:val="004F16FA"/>
    <w:rsid w:val="0050167C"/>
    <w:rsid w:val="00504338"/>
    <w:rsid w:val="005047BC"/>
    <w:rsid w:val="0050523A"/>
    <w:rsid w:val="00506A0A"/>
    <w:rsid w:val="00507CE5"/>
    <w:rsid w:val="005117C8"/>
    <w:rsid w:val="00511D3A"/>
    <w:rsid w:val="00512EA2"/>
    <w:rsid w:val="00515420"/>
    <w:rsid w:val="005156F9"/>
    <w:rsid w:val="005179A2"/>
    <w:rsid w:val="0052121A"/>
    <w:rsid w:val="005214D3"/>
    <w:rsid w:val="00521E2D"/>
    <w:rsid w:val="00522489"/>
    <w:rsid w:val="00523EAD"/>
    <w:rsid w:val="00524EC4"/>
    <w:rsid w:val="00525F98"/>
    <w:rsid w:val="00527005"/>
    <w:rsid w:val="0053002C"/>
    <w:rsid w:val="005357D4"/>
    <w:rsid w:val="00536C21"/>
    <w:rsid w:val="00540DA4"/>
    <w:rsid w:val="005421F6"/>
    <w:rsid w:val="005459A5"/>
    <w:rsid w:val="00547BDB"/>
    <w:rsid w:val="0055032B"/>
    <w:rsid w:val="005521C6"/>
    <w:rsid w:val="00555725"/>
    <w:rsid w:val="00555C1C"/>
    <w:rsid w:val="00555D38"/>
    <w:rsid w:val="00556871"/>
    <w:rsid w:val="005626A3"/>
    <w:rsid w:val="00564B33"/>
    <w:rsid w:val="005651AA"/>
    <w:rsid w:val="005663A8"/>
    <w:rsid w:val="00571876"/>
    <w:rsid w:val="005725CC"/>
    <w:rsid w:val="00572900"/>
    <w:rsid w:val="00572AA8"/>
    <w:rsid w:val="00573B21"/>
    <w:rsid w:val="0057439D"/>
    <w:rsid w:val="00574CCC"/>
    <w:rsid w:val="005769AE"/>
    <w:rsid w:val="00577245"/>
    <w:rsid w:val="00580B94"/>
    <w:rsid w:val="00582F78"/>
    <w:rsid w:val="00584F81"/>
    <w:rsid w:val="0058581C"/>
    <w:rsid w:val="00585D86"/>
    <w:rsid w:val="005871BE"/>
    <w:rsid w:val="005876CF"/>
    <w:rsid w:val="00590780"/>
    <w:rsid w:val="005909FB"/>
    <w:rsid w:val="005A0A52"/>
    <w:rsid w:val="005A17CD"/>
    <w:rsid w:val="005A1C3E"/>
    <w:rsid w:val="005A2F87"/>
    <w:rsid w:val="005A40A6"/>
    <w:rsid w:val="005A6185"/>
    <w:rsid w:val="005A6247"/>
    <w:rsid w:val="005A6CAA"/>
    <w:rsid w:val="005A771C"/>
    <w:rsid w:val="005A7EEA"/>
    <w:rsid w:val="005B0AB3"/>
    <w:rsid w:val="005B0D3F"/>
    <w:rsid w:val="005B1455"/>
    <w:rsid w:val="005B1C67"/>
    <w:rsid w:val="005B28E9"/>
    <w:rsid w:val="005B32E6"/>
    <w:rsid w:val="005B56ED"/>
    <w:rsid w:val="005B5EFD"/>
    <w:rsid w:val="005C0D8A"/>
    <w:rsid w:val="005C1BAA"/>
    <w:rsid w:val="005C42F7"/>
    <w:rsid w:val="005C4E83"/>
    <w:rsid w:val="005C4EF7"/>
    <w:rsid w:val="005C59DE"/>
    <w:rsid w:val="005D636E"/>
    <w:rsid w:val="005D78CA"/>
    <w:rsid w:val="005E0047"/>
    <w:rsid w:val="005E0176"/>
    <w:rsid w:val="005E5B5B"/>
    <w:rsid w:val="005E6FE9"/>
    <w:rsid w:val="005E72FE"/>
    <w:rsid w:val="005E7469"/>
    <w:rsid w:val="005F1717"/>
    <w:rsid w:val="005F1AD5"/>
    <w:rsid w:val="005F3446"/>
    <w:rsid w:val="005F3649"/>
    <w:rsid w:val="005F7124"/>
    <w:rsid w:val="005F7C2A"/>
    <w:rsid w:val="00601343"/>
    <w:rsid w:val="0060525A"/>
    <w:rsid w:val="00611D24"/>
    <w:rsid w:val="00620970"/>
    <w:rsid w:val="00621028"/>
    <w:rsid w:val="0062155B"/>
    <w:rsid w:val="006241FD"/>
    <w:rsid w:val="00625B52"/>
    <w:rsid w:val="00625E77"/>
    <w:rsid w:val="00626C1B"/>
    <w:rsid w:val="00630710"/>
    <w:rsid w:val="0063156A"/>
    <w:rsid w:val="00631ECA"/>
    <w:rsid w:val="00636049"/>
    <w:rsid w:val="0063657F"/>
    <w:rsid w:val="00636B87"/>
    <w:rsid w:val="0063765B"/>
    <w:rsid w:val="006412EC"/>
    <w:rsid w:val="00642527"/>
    <w:rsid w:val="006442F1"/>
    <w:rsid w:val="00645670"/>
    <w:rsid w:val="006459AC"/>
    <w:rsid w:val="00646E46"/>
    <w:rsid w:val="00647820"/>
    <w:rsid w:val="0064784D"/>
    <w:rsid w:val="00647989"/>
    <w:rsid w:val="006508D0"/>
    <w:rsid w:val="00652AA5"/>
    <w:rsid w:val="006535CF"/>
    <w:rsid w:val="00653640"/>
    <w:rsid w:val="0065423E"/>
    <w:rsid w:val="006548C4"/>
    <w:rsid w:val="00656C73"/>
    <w:rsid w:val="00660BAC"/>
    <w:rsid w:val="00660BF0"/>
    <w:rsid w:val="00660F4D"/>
    <w:rsid w:val="0066371C"/>
    <w:rsid w:val="00666EB2"/>
    <w:rsid w:val="00667B28"/>
    <w:rsid w:val="00670CF9"/>
    <w:rsid w:val="00671073"/>
    <w:rsid w:val="006715A9"/>
    <w:rsid w:val="00671628"/>
    <w:rsid w:val="00672516"/>
    <w:rsid w:val="00672D4C"/>
    <w:rsid w:val="006753B6"/>
    <w:rsid w:val="006764B5"/>
    <w:rsid w:val="006774D1"/>
    <w:rsid w:val="0068202A"/>
    <w:rsid w:val="00684E69"/>
    <w:rsid w:val="006857FE"/>
    <w:rsid w:val="00686B63"/>
    <w:rsid w:val="006875D9"/>
    <w:rsid w:val="006911ED"/>
    <w:rsid w:val="00691B8A"/>
    <w:rsid w:val="006929F6"/>
    <w:rsid w:val="0069339E"/>
    <w:rsid w:val="00695A3C"/>
    <w:rsid w:val="006A11F4"/>
    <w:rsid w:val="006A2F7A"/>
    <w:rsid w:val="006A34D2"/>
    <w:rsid w:val="006A3AF2"/>
    <w:rsid w:val="006A418F"/>
    <w:rsid w:val="006B0B02"/>
    <w:rsid w:val="006B32DF"/>
    <w:rsid w:val="006B407D"/>
    <w:rsid w:val="006B4AD8"/>
    <w:rsid w:val="006B66B4"/>
    <w:rsid w:val="006C028E"/>
    <w:rsid w:val="006C1A2E"/>
    <w:rsid w:val="006C2D80"/>
    <w:rsid w:val="006C31B9"/>
    <w:rsid w:val="006C3794"/>
    <w:rsid w:val="006C3AFA"/>
    <w:rsid w:val="006C3FC2"/>
    <w:rsid w:val="006C402B"/>
    <w:rsid w:val="006D0448"/>
    <w:rsid w:val="006D13A5"/>
    <w:rsid w:val="006D31E8"/>
    <w:rsid w:val="006D33B3"/>
    <w:rsid w:val="006D5A01"/>
    <w:rsid w:val="006D65C9"/>
    <w:rsid w:val="006D7213"/>
    <w:rsid w:val="006D7419"/>
    <w:rsid w:val="006E0D07"/>
    <w:rsid w:val="006E1640"/>
    <w:rsid w:val="006E4541"/>
    <w:rsid w:val="006E4870"/>
    <w:rsid w:val="006E68B4"/>
    <w:rsid w:val="006E6CBB"/>
    <w:rsid w:val="006E6DE2"/>
    <w:rsid w:val="006E7A90"/>
    <w:rsid w:val="006F002A"/>
    <w:rsid w:val="006F0882"/>
    <w:rsid w:val="006F0B8F"/>
    <w:rsid w:val="006F165F"/>
    <w:rsid w:val="006F219F"/>
    <w:rsid w:val="006F2A6B"/>
    <w:rsid w:val="006F2D74"/>
    <w:rsid w:val="006F43E6"/>
    <w:rsid w:val="006F5664"/>
    <w:rsid w:val="007026C2"/>
    <w:rsid w:val="0070402D"/>
    <w:rsid w:val="00705CE0"/>
    <w:rsid w:val="00711967"/>
    <w:rsid w:val="00712312"/>
    <w:rsid w:val="00712569"/>
    <w:rsid w:val="0071405E"/>
    <w:rsid w:val="00715E9C"/>
    <w:rsid w:val="00716654"/>
    <w:rsid w:val="00716BA9"/>
    <w:rsid w:val="00720626"/>
    <w:rsid w:val="00720E1E"/>
    <w:rsid w:val="007259F5"/>
    <w:rsid w:val="007266BB"/>
    <w:rsid w:val="00730FCC"/>
    <w:rsid w:val="00733405"/>
    <w:rsid w:val="007337B4"/>
    <w:rsid w:val="0073407F"/>
    <w:rsid w:val="00734763"/>
    <w:rsid w:val="00735C7E"/>
    <w:rsid w:val="0073676D"/>
    <w:rsid w:val="00736A14"/>
    <w:rsid w:val="0073720F"/>
    <w:rsid w:val="007423A1"/>
    <w:rsid w:val="0074263B"/>
    <w:rsid w:val="00744E4E"/>
    <w:rsid w:val="007450AE"/>
    <w:rsid w:val="00745385"/>
    <w:rsid w:val="00747403"/>
    <w:rsid w:val="00750484"/>
    <w:rsid w:val="00752815"/>
    <w:rsid w:val="00753D7F"/>
    <w:rsid w:val="007544E0"/>
    <w:rsid w:val="00754D61"/>
    <w:rsid w:val="00754EFC"/>
    <w:rsid w:val="00756B57"/>
    <w:rsid w:val="00756FBF"/>
    <w:rsid w:val="00757736"/>
    <w:rsid w:val="00760350"/>
    <w:rsid w:val="00761F02"/>
    <w:rsid w:val="00763F54"/>
    <w:rsid w:val="00766262"/>
    <w:rsid w:val="007662FD"/>
    <w:rsid w:val="007672A7"/>
    <w:rsid w:val="00770742"/>
    <w:rsid w:val="00773B3F"/>
    <w:rsid w:val="0077614B"/>
    <w:rsid w:val="00780823"/>
    <w:rsid w:val="00781A7D"/>
    <w:rsid w:val="00782134"/>
    <w:rsid w:val="0078219E"/>
    <w:rsid w:val="00797DC4"/>
    <w:rsid w:val="007A13F8"/>
    <w:rsid w:val="007A14FB"/>
    <w:rsid w:val="007A3F96"/>
    <w:rsid w:val="007A45ED"/>
    <w:rsid w:val="007A4E3C"/>
    <w:rsid w:val="007A6858"/>
    <w:rsid w:val="007A7A90"/>
    <w:rsid w:val="007A7B73"/>
    <w:rsid w:val="007B08C7"/>
    <w:rsid w:val="007B20C5"/>
    <w:rsid w:val="007B3BE6"/>
    <w:rsid w:val="007B3C31"/>
    <w:rsid w:val="007C02CC"/>
    <w:rsid w:val="007C0522"/>
    <w:rsid w:val="007C2BC4"/>
    <w:rsid w:val="007C3C05"/>
    <w:rsid w:val="007C43CD"/>
    <w:rsid w:val="007C6C4E"/>
    <w:rsid w:val="007C6CE1"/>
    <w:rsid w:val="007D1D0D"/>
    <w:rsid w:val="007D2245"/>
    <w:rsid w:val="007D2E56"/>
    <w:rsid w:val="007D2F31"/>
    <w:rsid w:val="007D2F41"/>
    <w:rsid w:val="007D3533"/>
    <w:rsid w:val="007D412E"/>
    <w:rsid w:val="007D5AF4"/>
    <w:rsid w:val="007D6B43"/>
    <w:rsid w:val="007D6F89"/>
    <w:rsid w:val="007D7B19"/>
    <w:rsid w:val="007E074D"/>
    <w:rsid w:val="007E0826"/>
    <w:rsid w:val="007E0CD6"/>
    <w:rsid w:val="007E0D6C"/>
    <w:rsid w:val="007E6234"/>
    <w:rsid w:val="007E63C1"/>
    <w:rsid w:val="007E7164"/>
    <w:rsid w:val="007E7562"/>
    <w:rsid w:val="007F27B1"/>
    <w:rsid w:val="007F34F7"/>
    <w:rsid w:val="007F36D9"/>
    <w:rsid w:val="007F42BD"/>
    <w:rsid w:val="008010B7"/>
    <w:rsid w:val="0080273D"/>
    <w:rsid w:val="00802A9A"/>
    <w:rsid w:val="008038AD"/>
    <w:rsid w:val="008040FE"/>
    <w:rsid w:val="00804E5B"/>
    <w:rsid w:val="008057A7"/>
    <w:rsid w:val="0081009A"/>
    <w:rsid w:val="00810A87"/>
    <w:rsid w:val="00812866"/>
    <w:rsid w:val="00812D0A"/>
    <w:rsid w:val="008131D0"/>
    <w:rsid w:val="00813734"/>
    <w:rsid w:val="00814720"/>
    <w:rsid w:val="00814837"/>
    <w:rsid w:val="00814C43"/>
    <w:rsid w:val="008152BA"/>
    <w:rsid w:val="00815783"/>
    <w:rsid w:val="00815BED"/>
    <w:rsid w:val="008160D5"/>
    <w:rsid w:val="00820445"/>
    <w:rsid w:val="00821902"/>
    <w:rsid w:val="00825A51"/>
    <w:rsid w:val="0083093F"/>
    <w:rsid w:val="00830DD6"/>
    <w:rsid w:val="00831082"/>
    <w:rsid w:val="008314D1"/>
    <w:rsid w:val="00833EB8"/>
    <w:rsid w:val="00834638"/>
    <w:rsid w:val="00840422"/>
    <w:rsid w:val="00840958"/>
    <w:rsid w:val="00841DE9"/>
    <w:rsid w:val="00842B68"/>
    <w:rsid w:val="008500E0"/>
    <w:rsid w:val="00851F36"/>
    <w:rsid w:val="00852A77"/>
    <w:rsid w:val="00854B89"/>
    <w:rsid w:val="00855550"/>
    <w:rsid w:val="0086454E"/>
    <w:rsid w:val="008650B2"/>
    <w:rsid w:val="008670E2"/>
    <w:rsid w:val="008677A2"/>
    <w:rsid w:val="00870C27"/>
    <w:rsid w:val="0087182E"/>
    <w:rsid w:val="00871B6D"/>
    <w:rsid w:val="008725CD"/>
    <w:rsid w:val="00872614"/>
    <w:rsid w:val="00872E0E"/>
    <w:rsid w:val="00874E16"/>
    <w:rsid w:val="008751C3"/>
    <w:rsid w:val="00881B99"/>
    <w:rsid w:val="0088202B"/>
    <w:rsid w:val="00882538"/>
    <w:rsid w:val="00884547"/>
    <w:rsid w:val="00886C0E"/>
    <w:rsid w:val="008902BD"/>
    <w:rsid w:val="008926D5"/>
    <w:rsid w:val="008947AB"/>
    <w:rsid w:val="008973ED"/>
    <w:rsid w:val="00897CC7"/>
    <w:rsid w:val="008A06EF"/>
    <w:rsid w:val="008A32AE"/>
    <w:rsid w:val="008A4BE7"/>
    <w:rsid w:val="008A52D6"/>
    <w:rsid w:val="008A557E"/>
    <w:rsid w:val="008A667F"/>
    <w:rsid w:val="008B0154"/>
    <w:rsid w:val="008B2C1A"/>
    <w:rsid w:val="008B304B"/>
    <w:rsid w:val="008B431D"/>
    <w:rsid w:val="008B561B"/>
    <w:rsid w:val="008B63A5"/>
    <w:rsid w:val="008B66A2"/>
    <w:rsid w:val="008B7921"/>
    <w:rsid w:val="008C01C2"/>
    <w:rsid w:val="008C1459"/>
    <w:rsid w:val="008C1D68"/>
    <w:rsid w:val="008C25EF"/>
    <w:rsid w:val="008C7292"/>
    <w:rsid w:val="008D1782"/>
    <w:rsid w:val="008D53EC"/>
    <w:rsid w:val="008D6F08"/>
    <w:rsid w:val="008E45E9"/>
    <w:rsid w:val="008E504F"/>
    <w:rsid w:val="008E6245"/>
    <w:rsid w:val="008E6DE0"/>
    <w:rsid w:val="008F476D"/>
    <w:rsid w:val="008F5EAC"/>
    <w:rsid w:val="008F6AF7"/>
    <w:rsid w:val="00902FF2"/>
    <w:rsid w:val="00905CC5"/>
    <w:rsid w:val="0091190B"/>
    <w:rsid w:val="00911972"/>
    <w:rsid w:val="009126DA"/>
    <w:rsid w:val="00914601"/>
    <w:rsid w:val="0091463A"/>
    <w:rsid w:val="00921761"/>
    <w:rsid w:val="009225C0"/>
    <w:rsid w:val="009256DC"/>
    <w:rsid w:val="00925D61"/>
    <w:rsid w:val="00927D63"/>
    <w:rsid w:val="009300B6"/>
    <w:rsid w:val="009323F8"/>
    <w:rsid w:val="009377F8"/>
    <w:rsid w:val="00940887"/>
    <w:rsid w:val="00941338"/>
    <w:rsid w:val="009418F4"/>
    <w:rsid w:val="009421AA"/>
    <w:rsid w:val="00942AF7"/>
    <w:rsid w:val="009435C2"/>
    <w:rsid w:val="00943F9E"/>
    <w:rsid w:val="009471AD"/>
    <w:rsid w:val="009479B2"/>
    <w:rsid w:val="009519A0"/>
    <w:rsid w:val="00951D7F"/>
    <w:rsid w:val="009522E9"/>
    <w:rsid w:val="00954802"/>
    <w:rsid w:val="00954AAA"/>
    <w:rsid w:val="00957444"/>
    <w:rsid w:val="00960EEE"/>
    <w:rsid w:val="009612A1"/>
    <w:rsid w:val="00961557"/>
    <w:rsid w:val="00962147"/>
    <w:rsid w:val="009623E6"/>
    <w:rsid w:val="0096373D"/>
    <w:rsid w:val="00964AAD"/>
    <w:rsid w:val="00966155"/>
    <w:rsid w:val="00966E2B"/>
    <w:rsid w:val="00970B87"/>
    <w:rsid w:val="009715F6"/>
    <w:rsid w:val="0097171B"/>
    <w:rsid w:val="00972272"/>
    <w:rsid w:val="00972AF4"/>
    <w:rsid w:val="00973661"/>
    <w:rsid w:val="00973732"/>
    <w:rsid w:val="00975215"/>
    <w:rsid w:val="00976604"/>
    <w:rsid w:val="00976EBD"/>
    <w:rsid w:val="00977391"/>
    <w:rsid w:val="00977953"/>
    <w:rsid w:val="00977A96"/>
    <w:rsid w:val="00980EB9"/>
    <w:rsid w:val="00981E61"/>
    <w:rsid w:val="00982953"/>
    <w:rsid w:val="009843AD"/>
    <w:rsid w:val="00986854"/>
    <w:rsid w:val="00987554"/>
    <w:rsid w:val="00987AEC"/>
    <w:rsid w:val="00990091"/>
    <w:rsid w:val="009916DE"/>
    <w:rsid w:val="00992242"/>
    <w:rsid w:val="00993AC6"/>
    <w:rsid w:val="00994D84"/>
    <w:rsid w:val="00994EB7"/>
    <w:rsid w:val="0099598F"/>
    <w:rsid w:val="00996ECD"/>
    <w:rsid w:val="0099753F"/>
    <w:rsid w:val="009A0D20"/>
    <w:rsid w:val="009A3154"/>
    <w:rsid w:val="009A4C97"/>
    <w:rsid w:val="009A74EE"/>
    <w:rsid w:val="009B05AE"/>
    <w:rsid w:val="009B341A"/>
    <w:rsid w:val="009B55C8"/>
    <w:rsid w:val="009B6C54"/>
    <w:rsid w:val="009B7BAB"/>
    <w:rsid w:val="009C0D88"/>
    <w:rsid w:val="009C1094"/>
    <w:rsid w:val="009C138A"/>
    <w:rsid w:val="009C153D"/>
    <w:rsid w:val="009C182C"/>
    <w:rsid w:val="009C23B8"/>
    <w:rsid w:val="009C53C1"/>
    <w:rsid w:val="009C622D"/>
    <w:rsid w:val="009C6944"/>
    <w:rsid w:val="009C6C54"/>
    <w:rsid w:val="009C799C"/>
    <w:rsid w:val="009C7C8D"/>
    <w:rsid w:val="009D0AA8"/>
    <w:rsid w:val="009D2409"/>
    <w:rsid w:val="009D2F22"/>
    <w:rsid w:val="009D41C4"/>
    <w:rsid w:val="009D4B4F"/>
    <w:rsid w:val="009D739F"/>
    <w:rsid w:val="009D76C8"/>
    <w:rsid w:val="009D794E"/>
    <w:rsid w:val="009D7EA4"/>
    <w:rsid w:val="009E05D3"/>
    <w:rsid w:val="009E1C0F"/>
    <w:rsid w:val="009E3102"/>
    <w:rsid w:val="009E3DC2"/>
    <w:rsid w:val="009F204A"/>
    <w:rsid w:val="009F275E"/>
    <w:rsid w:val="009F51DB"/>
    <w:rsid w:val="009F528C"/>
    <w:rsid w:val="009F5BF4"/>
    <w:rsid w:val="009F6340"/>
    <w:rsid w:val="00A002E3"/>
    <w:rsid w:val="00A05189"/>
    <w:rsid w:val="00A110AD"/>
    <w:rsid w:val="00A12DC7"/>
    <w:rsid w:val="00A12FB8"/>
    <w:rsid w:val="00A1541E"/>
    <w:rsid w:val="00A17114"/>
    <w:rsid w:val="00A22D2C"/>
    <w:rsid w:val="00A23402"/>
    <w:rsid w:val="00A239F6"/>
    <w:rsid w:val="00A24706"/>
    <w:rsid w:val="00A25725"/>
    <w:rsid w:val="00A264B4"/>
    <w:rsid w:val="00A27B5D"/>
    <w:rsid w:val="00A30C3C"/>
    <w:rsid w:val="00A31831"/>
    <w:rsid w:val="00A3251D"/>
    <w:rsid w:val="00A3388A"/>
    <w:rsid w:val="00A367A8"/>
    <w:rsid w:val="00A368C2"/>
    <w:rsid w:val="00A3693E"/>
    <w:rsid w:val="00A41EEF"/>
    <w:rsid w:val="00A42408"/>
    <w:rsid w:val="00A45098"/>
    <w:rsid w:val="00A45194"/>
    <w:rsid w:val="00A50225"/>
    <w:rsid w:val="00A5304F"/>
    <w:rsid w:val="00A53580"/>
    <w:rsid w:val="00A54691"/>
    <w:rsid w:val="00A5497B"/>
    <w:rsid w:val="00A60DDD"/>
    <w:rsid w:val="00A614FB"/>
    <w:rsid w:val="00A61600"/>
    <w:rsid w:val="00A6532D"/>
    <w:rsid w:val="00A65E30"/>
    <w:rsid w:val="00A66F3D"/>
    <w:rsid w:val="00A72649"/>
    <w:rsid w:val="00A76337"/>
    <w:rsid w:val="00A80F04"/>
    <w:rsid w:val="00A83754"/>
    <w:rsid w:val="00A87D2D"/>
    <w:rsid w:val="00A92A3F"/>
    <w:rsid w:val="00A95775"/>
    <w:rsid w:val="00A96FB1"/>
    <w:rsid w:val="00A97361"/>
    <w:rsid w:val="00AA0623"/>
    <w:rsid w:val="00AA11E2"/>
    <w:rsid w:val="00AA1283"/>
    <w:rsid w:val="00AA37D1"/>
    <w:rsid w:val="00AA3FCE"/>
    <w:rsid w:val="00AA4394"/>
    <w:rsid w:val="00AA73FE"/>
    <w:rsid w:val="00AB18DF"/>
    <w:rsid w:val="00AB4718"/>
    <w:rsid w:val="00AB692B"/>
    <w:rsid w:val="00AC0C47"/>
    <w:rsid w:val="00AC1143"/>
    <w:rsid w:val="00AC3458"/>
    <w:rsid w:val="00AC7161"/>
    <w:rsid w:val="00AC7236"/>
    <w:rsid w:val="00AD3813"/>
    <w:rsid w:val="00AD3B91"/>
    <w:rsid w:val="00AD4D36"/>
    <w:rsid w:val="00AD6F4C"/>
    <w:rsid w:val="00AE38D1"/>
    <w:rsid w:val="00AE4CFE"/>
    <w:rsid w:val="00AF1686"/>
    <w:rsid w:val="00AF216C"/>
    <w:rsid w:val="00AF23F8"/>
    <w:rsid w:val="00AF5FA0"/>
    <w:rsid w:val="00B058C4"/>
    <w:rsid w:val="00B068FE"/>
    <w:rsid w:val="00B069BF"/>
    <w:rsid w:val="00B07833"/>
    <w:rsid w:val="00B1058B"/>
    <w:rsid w:val="00B10C05"/>
    <w:rsid w:val="00B13A58"/>
    <w:rsid w:val="00B13E5A"/>
    <w:rsid w:val="00B1586A"/>
    <w:rsid w:val="00B16F05"/>
    <w:rsid w:val="00B17121"/>
    <w:rsid w:val="00B179B6"/>
    <w:rsid w:val="00B17B4C"/>
    <w:rsid w:val="00B23644"/>
    <w:rsid w:val="00B240B7"/>
    <w:rsid w:val="00B24D9A"/>
    <w:rsid w:val="00B26E75"/>
    <w:rsid w:val="00B270DF"/>
    <w:rsid w:val="00B27C3F"/>
    <w:rsid w:val="00B30990"/>
    <w:rsid w:val="00B31676"/>
    <w:rsid w:val="00B31753"/>
    <w:rsid w:val="00B32F05"/>
    <w:rsid w:val="00B33FC8"/>
    <w:rsid w:val="00B35C0F"/>
    <w:rsid w:val="00B36FE3"/>
    <w:rsid w:val="00B3704D"/>
    <w:rsid w:val="00B37669"/>
    <w:rsid w:val="00B40A36"/>
    <w:rsid w:val="00B41252"/>
    <w:rsid w:val="00B4316B"/>
    <w:rsid w:val="00B504D1"/>
    <w:rsid w:val="00B5348A"/>
    <w:rsid w:val="00B5547A"/>
    <w:rsid w:val="00B5681E"/>
    <w:rsid w:val="00B56C1C"/>
    <w:rsid w:val="00B5719F"/>
    <w:rsid w:val="00B60C44"/>
    <w:rsid w:val="00B60D17"/>
    <w:rsid w:val="00B629F2"/>
    <w:rsid w:val="00B6354D"/>
    <w:rsid w:val="00B65323"/>
    <w:rsid w:val="00B65E90"/>
    <w:rsid w:val="00B660FE"/>
    <w:rsid w:val="00B71DD6"/>
    <w:rsid w:val="00B74FA4"/>
    <w:rsid w:val="00B75587"/>
    <w:rsid w:val="00B756B1"/>
    <w:rsid w:val="00B772BA"/>
    <w:rsid w:val="00B772DD"/>
    <w:rsid w:val="00B81B15"/>
    <w:rsid w:val="00B81FFB"/>
    <w:rsid w:val="00B82373"/>
    <w:rsid w:val="00B82DF3"/>
    <w:rsid w:val="00B849D2"/>
    <w:rsid w:val="00B84A6E"/>
    <w:rsid w:val="00B86551"/>
    <w:rsid w:val="00B9012E"/>
    <w:rsid w:val="00B91A4A"/>
    <w:rsid w:val="00B91C9E"/>
    <w:rsid w:val="00B9281A"/>
    <w:rsid w:val="00B95636"/>
    <w:rsid w:val="00B96469"/>
    <w:rsid w:val="00B9676A"/>
    <w:rsid w:val="00B97930"/>
    <w:rsid w:val="00BA0196"/>
    <w:rsid w:val="00BA1A81"/>
    <w:rsid w:val="00BA1F93"/>
    <w:rsid w:val="00BA42A8"/>
    <w:rsid w:val="00BA44D7"/>
    <w:rsid w:val="00BA5486"/>
    <w:rsid w:val="00BA6A33"/>
    <w:rsid w:val="00BA71AB"/>
    <w:rsid w:val="00BB08C8"/>
    <w:rsid w:val="00BB125A"/>
    <w:rsid w:val="00BB1A0A"/>
    <w:rsid w:val="00BB1C69"/>
    <w:rsid w:val="00BB29CC"/>
    <w:rsid w:val="00BB2C9B"/>
    <w:rsid w:val="00BB4448"/>
    <w:rsid w:val="00BB6C35"/>
    <w:rsid w:val="00BB72D0"/>
    <w:rsid w:val="00BC12F7"/>
    <w:rsid w:val="00BC3A4B"/>
    <w:rsid w:val="00BC4178"/>
    <w:rsid w:val="00BC47EF"/>
    <w:rsid w:val="00BC496E"/>
    <w:rsid w:val="00BC4B50"/>
    <w:rsid w:val="00BD0EF9"/>
    <w:rsid w:val="00BD2623"/>
    <w:rsid w:val="00BD4A54"/>
    <w:rsid w:val="00BD4F7E"/>
    <w:rsid w:val="00BD5D11"/>
    <w:rsid w:val="00BD6407"/>
    <w:rsid w:val="00BE15AE"/>
    <w:rsid w:val="00BE19C8"/>
    <w:rsid w:val="00BE1B3F"/>
    <w:rsid w:val="00BE1E0D"/>
    <w:rsid w:val="00BE6082"/>
    <w:rsid w:val="00BE647E"/>
    <w:rsid w:val="00BE64E2"/>
    <w:rsid w:val="00BE65D9"/>
    <w:rsid w:val="00BE6653"/>
    <w:rsid w:val="00BE72A0"/>
    <w:rsid w:val="00BE771D"/>
    <w:rsid w:val="00BF29E4"/>
    <w:rsid w:val="00BF53F0"/>
    <w:rsid w:val="00BF6A45"/>
    <w:rsid w:val="00BF7D9A"/>
    <w:rsid w:val="00BF7E67"/>
    <w:rsid w:val="00C02EB9"/>
    <w:rsid w:val="00C0723A"/>
    <w:rsid w:val="00C1136E"/>
    <w:rsid w:val="00C11A61"/>
    <w:rsid w:val="00C11BDF"/>
    <w:rsid w:val="00C121D3"/>
    <w:rsid w:val="00C122D2"/>
    <w:rsid w:val="00C13CDA"/>
    <w:rsid w:val="00C141AA"/>
    <w:rsid w:val="00C1519F"/>
    <w:rsid w:val="00C15507"/>
    <w:rsid w:val="00C16E82"/>
    <w:rsid w:val="00C17FAC"/>
    <w:rsid w:val="00C23121"/>
    <w:rsid w:val="00C30E10"/>
    <w:rsid w:val="00C3201C"/>
    <w:rsid w:val="00C32ED1"/>
    <w:rsid w:val="00C336E2"/>
    <w:rsid w:val="00C33803"/>
    <w:rsid w:val="00C366F3"/>
    <w:rsid w:val="00C423A9"/>
    <w:rsid w:val="00C43159"/>
    <w:rsid w:val="00C4389E"/>
    <w:rsid w:val="00C444D7"/>
    <w:rsid w:val="00C44F98"/>
    <w:rsid w:val="00C47F3B"/>
    <w:rsid w:val="00C5038A"/>
    <w:rsid w:val="00C52F63"/>
    <w:rsid w:val="00C54BFB"/>
    <w:rsid w:val="00C55434"/>
    <w:rsid w:val="00C5635D"/>
    <w:rsid w:val="00C60DC4"/>
    <w:rsid w:val="00C613F7"/>
    <w:rsid w:val="00C6515A"/>
    <w:rsid w:val="00C67D5B"/>
    <w:rsid w:val="00C72930"/>
    <w:rsid w:val="00C72B55"/>
    <w:rsid w:val="00C772AD"/>
    <w:rsid w:val="00C803BF"/>
    <w:rsid w:val="00C80CCE"/>
    <w:rsid w:val="00C843D4"/>
    <w:rsid w:val="00C852C7"/>
    <w:rsid w:val="00C8750A"/>
    <w:rsid w:val="00C9016A"/>
    <w:rsid w:val="00C9045E"/>
    <w:rsid w:val="00C90E6C"/>
    <w:rsid w:val="00C91059"/>
    <w:rsid w:val="00C91F90"/>
    <w:rsid w:val="00C93178"/>
    <w:rsid w:val="00C94034"/>
    <w:rsid w:val="00C96A2E"/>
    <w:rsid w:val="00C97D19"/>
    <w:rsid w:val="00CA0B21"/>
    <w:rsid w:val="00CA277C"/>
    <w:rsid w:val="00CA3121"/>
    <w:rsid w:val="00CA47F7"/>
    <w:rsid w:val="00CA6C98"/>
    <w:rsid w:val="00CB2C1A"/>
    <w:rsid w:val="00CB37EE"/>
    <w:rsid w:val="00CB3B87"/>
    <w:rsid w:val="00CB6FED"/>
    <w:rsid w:val="00CB7D69"/>
    <w:rsid w:val="00CC1062"/>
    <w:rsid w:val="00CC38A5"/>
    <w:rsid w:val="00CC47FC"/>
    <w:rsid w:val="00CC6085"/>
    <w:rsid w:val="00CC6AC5"/>
    <w:rsid w:val="00CC6EAC"/>
    <w:rsid w:val="00CD0014"/>
    <w:rsid w:val="00CD1257"/>
    <w:rsid w:val="00CD166D"/>
    <w:rsid w:val="00CD1914"/>
    <w:rsid w:val="00CD2E31"/>
    <w:rsid w:val="00CD4866"/>
    <w:rsid w:val="00CD4D7F"/>
    <w:rsid w:val="00CD76EC"/>
    <w:rsid w:val="00CD77BF"/>
    <w:rsid w:val="00CE165F"/>
    <w:rsid w:val="00CE24C7"/>
    <w:rsid w:val="00CE4A4F"/>
    <w:rsid w:val="00CE5178"/>
    <w:rsid w:val="00CE5E38"/>
    <w:rsid w:val="00CE799C"/>
    <w:rsid w:val="00CF14FE"/>
    <w:rsid w:val="00CF3063"/>
    <w:rsid w:val="00D0028E"/>
    <w:rsid w:val="00D0097D"/>
    <w:rsid w:val="00D0175F"/>
    <w:rsid w:val="00D02DA7"/>
    <w:rsid w:val="00D03B3D"/>
    <w:rsid w:val="00D045F4"/>
    <w:rsid w:val="00D067D8"/>
    <w:rsid w:val="00D07765"/>
    <w:rsid w:val="00D07FA7"/>
    <w:rsid w:val="00D114EC"/>
    <w:rsid w:val="00D11838"/>
    <w:rsid w:val="00D120A2"/>
    <w:rsid w:val="00D13488"/>
    <w:rsid w:val="00D14ADD"/>
    <w:rsid w:val="00D16CE4"/>
    <w:rsid w:val="00D170AE"/>
    <w:rsid w:val="00D17E08"/>
    <w:rsid w:val="00D2038D"/>
    <w:rsid w:val="00D21C6B"/>
    <w:rsid w:val="00D21E67"/>
    <w:rsid w:val="00D2336D"/>
    <w:rsid w:val="00D25C69"/>
    <w:rsid w:val="00D307D6"/>
    <w:rsid w:val="00D3473F"/>
    <w:rsid w:val="00D364E3"/>
    <w:rsid w:val="00D377BA"/>
    <w:rsid w:val="00D40BFA"/>
    <w:rsid w:val="00D4154F"/>
    <w:rsid w:val="00D41A1B"/>
    <w:rsid w:val="00D447D8"/>
    <w:rsid w:val="00D47285"/>
    <w:rsid w:val="00D537CA"/>
    <w:rsid w:val="00D53C83"/>
    <w:rsid w:val="00D54D1C"/>
    <w:rsid w:val="00D54F37"/>
    <w:rsid w:val="00D57024"/>
    <w:rsid w:val="00D607C4"/>
    <w:rsid w:val="00D618DC"/>
    <w:rsid w:val="00D61D11"/>
    <w:rsid w:val="00D61FB6"/>
    <w:rsid w:val="00D63F45"/>
    <w:rsid w:val="00D64DE9"/>
    <w:rsid w:val="00D6771B"/>
    <w:rsid w:val="00D6777B"/>
    <w:rsid w:val="00D72C8A"/>
    <w:rsid w:val="00D73164"/>
    <w:rsid w:val="00D805E9"/>
    <w:rsid w:val="00D8133C"/>
    <w:rsid w:val="00D8473F"/>
    <w:rsid w:val="00D859C4"/>
    <w:rsid w:val="00D87AC8"/>
    <w:rsid w:val="00D87F9A"/>
    <w:rsid w:val="00D912AE"/>
    <w:rsid w:val="00D915EF"/>
    <w:rsid w:val="00D920A1"/>
    <w:rsid w:val="00D925BC"/>
    <w:rsid w:val="00D92E65"/>
    <w:rsid w:val="00D9312D"/>
    <w:rsid w:val="00D93A9F"/>
    <w:rsid w:val="00D94524"/>
    <w:rsid w:val="00D963F2"/>
    <w:rsid w:val="00DA1585"/>
    <w:rsid w:val="00DA38B0"/>
    <w:rsid w:val="00DA46AF"/>
    <w:rsid w:val="00DA47CA"/>
    <w:rsid w:val="00DA516F"/>
    <w:rsid w:val="00DA660D"/>
    <w:rsid w:val="00DA71ED"/>
    <w:rsid w:val="00DB6187"/>
    <w:rsid w:val="00DB68B6"/>
    <w:rsid w:val="00DC16F7"/>
    <w:rsid w:val="00DC5655"/>
    <w:rsid w:val="00DC7463"/>
    <w:rsid w:val="00DC790E"/>
    <w:rsid w:val="00DC7DED"/>
    <w:rsid w:val="00DD12C1"/>
    <w:rsid w:val="00DD2F99"/>
    <w:rsid w:val="00DD3D05"/>
    <w:rsid w:val="00DD5C44"/>
    <w:rsid w:val="00DE130B"/>
    <w:rsid w:val="00DE37D3"/>
    <w:rsid w:val="00DE5325"/>
    <w:rsid w:val="00DE7238"/>
    <w:rsid w:val="00DF1BD6"/>
    <w:rsid w:val="00DF5D51"/>
    <w:rsid w:val="00DF62B4"/>
    <w:rsid w:val="00DF714D"/>
    <w:rsid w:val="00DF7674"/>
    <w:rsid w:val="00E02588"/>
    <w:rsid w:val="00E047F5"/>
    <w:rsid w:val="00E055CF"/>
    <w:rsid w:val="00E059DE"/>
    <w:rsid w:val="00E06058"/>
    <w:rsid w:val="00E165CD"/>
    <w:rsid w:val="00E201A7"/>
    <w:rsid w:val="00E2069C"/>
    <w:rsid w:val="00E215B9"/>
    <w:rsid w:val="00E21874"/>
    <w:rsid w:val="00E257A1"/>
    <w:rsid w:val="00E25FD8"/>
    <w:rsid w:val="00E26A03"/>
    <w:rsid w:val="00E3157E"/>
    <w:rsid w:val="00E32666"/>
    <w:rsid w:val="00E34628"/>
    <w:rsid w:val="00E34D7B"/>
    <w:rsid w:val="00E35542"/>
    <w:rsid w:val="00E36C88"/>
    <w:rsid w:val="00E416BC"/>
    <w:rsid w:val="00E4211E"/>
    <w:rsid w:val="00E42417"/>
    <w:rsid w:val="00E42FDC"/>
    <w:rsid w:val="00E45DDC"/>
    <w:rsid w:val="00E461C7"/>
    <w:rsid w:val="00E50475"/>
    <w:rsid w:val="00E50977"/>
    <w:rsid w:val="00E51800"/>
    <w:rsid w:val="00E51C02"/>
    <w:rsid w:val="00E5584D"/>
    <w:rsid w:val="00E57C2C"/>
    <w:rsid w:val="00E60D20"/>
    <w:rsid w:val="00E60DC5"/>
    <w:rsid w:val="00E61268"/>
    <w:rsid w:val="00E61656"/>
    <w:rsid w:val="00E626A8"/>
    <w:rsid w:val="00E62758"/>
    <w:rsid w:val="00E64644"/>
    <w:rsid w:val="00E64F84"/>
    <w:rsid w:val="00E65F22"/>
    <w:rsid w:val="00E66546"/>
    <w:rsid w:val="00E66D35"/>
    <w:rsid w:val="00E672B3"/>
    <w:rsid w:val="00E70B69"/>
    <w:rsid w:val="00E71611"/>
    <w:rsid w:val="00E74724"/>
    <w:rsid w:val="00E75629"/>
    <w:rsid w:val="00E7742D"/>
    <w:rsid w:val="00E778AA"/>
    <w:rsid w:val="00E80493"/>
    <w:rsid w:val="00E8103E"/>
    <w:rsid w:val="00E810BD"/>
    <w:rsid w:val="00E82448"/>
    <w:rsid w:val="00E849D0"/>
    <w:rsid w:val="00E85DEC"/>
    <w:rsid w:val="00E86228"/>
    <w:rsid w:val="00E86F0B"/>
    <w:rsid w:val="00E8758E"/>
    <w:rsid w:val="00E87E64"/>
    <w:rsid w:val="00E90556"/>
    <w:rsid w:val="00E918BD"/>
    <w:rsid w:val="00E91B95"/>
    <w:rsid w:val="00E9276A"/>
    <w:rsid w:val="00E9290D"/>
    <w:rsid w:val="00E93704"/>
    <w:rsid w:val="00E9543D"/>
    <w:rsid w:val="00E97E75"/>
    <w:rsid w:val="00EA0B8B"/>
    <w:rsid w:val="00EA13A0"/>
    <w:rsid w:val="00EA15FE"/>
    <w:rsid w:val="00EA27E6"/>
    <w:rsid w:val="00EA2A31"/>
    <w:rsid w:val="00EA3B1A"/>
    <w:rsid w:val="00EA4F2F"/>
    <w:rsid w:val="00EA575A"/>
    <w:rsid w:val="00EA618C"/>
    <w:rsid w:val="00EA64FC"/>
    <w:rsid w:val="00EA66F4"/>
    <w:rsid w:val="00EA7D48"/>
    <w:rsid w:val="00EB0DEB"/>
    <w:rsid w:val="00EB1A82"/>
    <w:rsid w:val="00EB1B95"/>
    <w:rsid w:val="00EB21A7"/>
    <w:rsid w:val="00EB2AC2"/>
    <w:rsid w:val="00EB2EC1"/>
    <w:rsid w:val="00EB7287"/>
    <w:rsid w:val="00EB76C7"/>
    <w:rsid w:val="00EC1BE6"/>
    <w:rsid w:val="00EC2F80"/>
    <w:rsid w:val="00EC708C"/>
    <w:rsid w:val="00EC7713"/>
    <w:rsid w:val="00ED042F"/>
    <w:rsid w:val="00ED0919"/>
    <w:rsid w:val="00ED2975"/>
    <w:rsid w:val="00ED29F3"/>
    <w:rsid w:val="00ED5E95"/>
    <w:rsid w:val="00ED69A6"/>
    <w:rsid w:val="00ED78F0"/>
    <w:rsid w:val="00EE0C46"/>
    <w:rsid w:val="00EE1180"/>
    <w:rsid w:val="00EE164C"/>
    <w:rsid w:val="00EE25D1"/>
    <w:rsid w:val="00EE394F"/>
    <w:rsid w:val="00EE553E"/>
    <w:rsid w:val="00EE690B"/>
    <w:rsid w:val="00EE6C79"/>
    <w:rsid w:val="00EE7158"/>
    <w:rsid w:val="00EE7F3D"/>
    <w:rsid w:val="00EF270F"/>
    <w:rsid w:val="00EF2B6B"/>
    <w:rsid w:val="00EF3410"/>
    <w:rsid w:val="00EF3DAA"/>
    <w:rsid w:val="00EF56F3"/>
    <w:rsid w:val="00F00E59"/>
    <w:rsid w:val="00F02F3A"/>
    <w:rsid w:val="00F03955"/>
    <w:rsid w:val="00F03D49"/>
    <w:rsid w:val="00F04645"/>
    <w:rsid w:val="00F04EE7"/>
    <w:rsid w:val="00F05D5F"/>
    <w:rsid w:val="00F06027"/>
    <w:rsid w:val="00F067C7"/>
    <w:rsid w:val="00F11369"/>
    <w:rsid w:val="00F13F86"/>
    <w:rsid w:val="00F1689A"/>
    <w:rsid w:val="00F16C08"/>
    <w:rsid w:val="00F16E1A"/>
    <w:rsid w:val="00F170E8"/>
    <w:rsid w:val="00F2203E"/>
    <w:rsid w:val="00F2243C"/>
    <w:rsid w:val="00F22915"/>
    <w:rsid w:val="00F22D02"/>
    <w:rsid w:val="00F26017"/>
    <w:rsid w:val="00F30E04"/>
    <w:rsid w:val="00F31B6B"/>
    <w:rsid w:val="00F33947"/>
    <w:rsid w:val="00F3479D"/>
    <w:rsid w:val="00F3522E"/>
    <w:rsid w:val="00F35E81"/>
    <w:rsid w:val="00F367BB"/>
    <w:rsid w:val="00F36D9A"/>
    <w:rsid w:val="00F40711"/>
    <w:rsid w:val="00F41FD6"/>
    <w:rsid w:val="00F4265B"/>
    <w:rsid w:val="00F431BE"/>
    <w:rsid w:val="00F45DB2"/>
    <w:rsid w:val="00F469F4"/>
    <w:rsid w:val="00F47EC6"/>
    <w:rsid w:val="00F50064"/>
    <w:rsid w:val="00F52392"/>
    <w:rsid w:val="00F52FB5"/>
    <w:rsid w:val="00F543BE"/>
    <w:rsid w:val="00F550EE"/>
    <w:rsid w:val="00F572BB"/>
    <w:rsid w:val="00F61DAD"/>
    <w:rsid w:val="00F62BD5"/>
    <w:rsid w:val="00F640F6"/>
    <w:rsid w:val="00F65068"/>
    <w:rsid w:val="00F67501"/>
    <w:rsid w:val="00F72136"/>
    <w:rsid w:val="00F72CA7"/>
    <w:rsid w:val="00F75264"/>
    <w:rsid w:val="00F80024"/>
    <w:rsid w:val="00F823E2"/>
    <w:rsid w:val="00F866F4"/>
    <w:rsid w:val="00F86946"/>
    <w:rsid w:val="00F86BD5"/>
    <w:rsid w:val="00F92059"/>
    <w:rsid w:val="00F9419C"/>
    <w:rsid w:val="00F94E5D"/>
    <w:rsid w:val="00F953B4"/>
    <w:rsid w:val="00F95660"/>
    <w:rsid w:val="00F960DD"/>
    <w:rsid w:val="00F96858"/>
    <w:rsid w:val="00F978B8"/>
    <w:rsid w:val="00FA093F"/>
    <w:rsid w:val="00FA15F1"/>
    <w:rsid w:val="00FA1FFC"/>
    <w:rsid w:val="00FA32C9"/>
    <w:rsid w:val="00FA527F"/>
    <w:rsid w:val="00FA5301"/>
    <w:rsid w:val="00FA5474"/>
    <w:rsid w:val="00FB24F0"/>
    <w:rsid w:val="00FB54C5"/>
    <w:rsid w:val="00FB5696"/>
    <w:rsid w:val="00FB56DA"/>
    <w:rsid w:val="00FB5F4E"/>
    <w:rsid w:val="00FB79E8"/>
    <w:rsid w:val="00FC0B08"/>
    <w:rsid w:val="00FC0C76"/>
    <w:rsid w:val="00FC2F91"/>
    <w:rsid w:val="00FC56AB"/>
    <w:rsid w:val="00FC624F"/>
    <w:rsid w:val="00FD46F6"/>
    <w:rsid w:val="00FD6888"/>
    <w:rsid w:val="00FD75F0"/>
    <w:rsid w:val="00FE177B"/>
    <w:rsid w:val="00FE2D4E"/>
    <w:rsid w:val="00FE2F26"/>
    <w:rsid w:val="00FE350A"/>
    <w:rsid w:val="00FE3A10"/>
    <w:rsid w:val="00FE3F91"/>
    <w:rsid w:val="00FE4B8B"/>
    <w:rsid w:val="00FE57B2"/>
    <w:rsid w:val="00FE66D2"/>
    <w:rsid w:val="00FE6D6E"/>
    <w:rsid w:val="00FF1B4F"/>
    <w:rsid w:val="00FF24D6"/>
    <w:rsid w:val="00FF3C5C"/>
    <w:rsid w:val="00FF5A02"/>
    <w:rsid w:val="00FF5BBA"/>
    <w:rsid w:val="00FF66E5"/>
    <w:rsid w:val="00FF7249"/>
    <w:rsid w:val="00FF7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360D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87"/>
    <w:rPr>
      <w:rFonts w:ascii="Times New Roman" w:hAnsi="Times New Roman" w:cs="Times New Roman"/>
      <w:lang w:eastAsia="en-GB"/>
    </w:rPr>
  </w:style>
  <w:style w:type="paragraph" w:styleId="Heading1">
    <w:name w:val="heading 1"/>
    <w:basedOn w:val="Normal"/>
    <w:next w:val="Normal"/>
    <w:link w:val="Heading1Char"/>
    <w:uiPriority w:val="9"/>
    <w:qFormat/>
    <w:rsid w:val="007423A1"/>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820445"/>
    <w:pPr>
      <w:keepNext/>
      <w:keepLines/>
      <w:spacing w:before="40"/>
      <w:outlineLvl w:val="1"/>
    </w:pPr>
    <w:rPr>
      <w:rFonts w:eastAsiaTheme="majorEastAsia"/>
      <w:b/>
      <w:color w:val="000000" w:themeColor="text1"/>
      <w:sz w:val="28"/>
      <w:szCs w:val="28"/>
      <w:u w:val="single"/>
      <w:lang w:eastAsia="en-US"/>
    </w:rPr>
  </w:style>
  <w:style w:type="paragraph" w:styleId="Heading3">
    <w:name w:val="heading 3"/>
    <w:basedOn w:val="Normal"/>
    <w:next w:val="Normal"/>
    <w:link w:val="Heading3Char"/>
    <w:uiPriority w:val="9"/>
    <w:unhideWhenUsed/>
    <w:qFormat/>
    <w:rsid w:val="002D2075"/>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5">
    <w:name w:val="heading 5"/>
    <w:basedOn w:val="Normal"/>
    <w:next w:val="Normal"/>
    <w:link w:val="Heading5Char"/>
    <w:uiPriority w:val="9"/>
    <w:unhideWhenUsed/>
    <w:qFormat/>
    <w:rsid w:val="007D41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23A1"/>
    <w:pPr>
      <w:tabs>
        <w:tab w:val="left" w:pos="-720"/>
        <w:tab w:val="left" w:pos="0"/>
      </w:tabs>
      <w:suppressAutoHyphens/>
      <w:jc w:val="both"/>
    </w:pPr>
    <w:rPr>
      <w:rFonts w:ascii="Arial" w:eastAsia="Times New Roman" w:hAnsi="Arial" w:cs="Arial"/>
      <w:spacing w:val="-3"/>
      <w:szCs w:val="20"/>
      <w:lang w:eastAsia="en-US"/>
    </w:rPr>
  </w:style>
  <w:style w:type="character" w:customStyle="1" w:styleId="BodyTextChar">
    <w:name w:val="Body Text Char"/>
    <w:basedOn w:val="DefaultParagraphFont"/>
    <w:link w:val="BodyText"/>
    <w:rsid w:val="007423A1"/>
    <w:rPr>
      <w:rFonts w:ascii="Arial" w:eastAsia="Times New Roman" w:hAnsi="Arial" w:cs="Arial"/>
      <w:spacing w:val="-3"/>
      <w:szCs w:val="20"/>
    </w:rPr>
  </w:style>
  <w:style w:type="character" w:customStyle="1" w:styleId="Heading1Char">
    <w:name w:val="Heading 1 Char"/>
    <w:basedOn w:val="DefaultParagraphFont"/>
    <w:link w:val="Heading1"/>
    <w:uiPriority w:val="9"/>
    <w:rsid w:val="007423A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72614"/>
    <w:pPr>
      <w:ind w:left="720"/>
      <w:contextualSpacing/>
    </w:pPr>
  </w:style>
  <w:style w:type="table" w:styleId="TableGrid">
    <w:name w:val="Table Grid"/>
    <w:basedOn w:val="TableNormal"/>
    <w:uiPriority w:val="39"/>
    <w:rsid w:val="0087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7E9C"/>
    <w:rPr>
      <w:b/>
      <w:bCs/>
    </w:rPr>
  </w:style>
  <w:style w:type="character" w:styleId="CommentReference">
    <w:name w:val="annotation reference"/>
    <w:basedOn w:val="DefaultParagraphFont"/>
    <w:uiPriority w:val="99"/>
    <w:semiHidden/>
    <w:unhideWhenUsed/>
    <w:rsid w:val="00DD2F99"/>
    <w:rPr>
      <w:sz w:val="18"/>
      <w:szCs w:val="18"/>
    </w:rPr>
  </w:style>
  <w:style w:type="paragraph" w:styleId="CommentText">
    <w:name w:val="annotation text"/>
    <w:basedOn w:val="Normal"/>
    <w:link w:val="CommentTextChar"/>
    <w:uiPriority w:val="99"/>
    <w:unhideWhenUsed/>
    <w:rsid w:val="00DD2F99"/>
    <w:rPr>
      <w:rFonts w:ascii="Courier" w:eastAsia="Times New Roman" w:hAnsi="Courier"/>
      <w:lang w:eastAsia="en-US"/>
    </w:rPr>
  </w:style>
  <w:style w:type="character" w:customStyle="1" w:styleId="CommentTextChar">
    <w:name w:val="Comment Text Char"/>
    <w:basedOn w:val="DefaultParagraphFont"/>
    <w:link w:val="CommentText"/>
    <w:uiPriority w:val="99"/>
    <w:rsid w:val="00DD2F99"/>
    <w:rPr>
      <w:rFonts w:ascii="Courier" w:eastAsia="Times New Roman" w:hAnsi="Courier" w:cs="Times New Roman"/>
    </w:rPr>
  </w:style>
  <w:style w:type="paragraph" w:styleId="CommentSubject">
    <w:name w:val="annotation subject"/>
    <w:basedOn w:val="CommentText"/>
    <w:next w:val="CommentText"/>
    <w:link w:val="CommentSubjectChar"/>
    <w:uiPriority w:val="99"/>
    <w:semiHidden/>
    <w:unhideWhenUsed/>
    <w:rsid w:val="00DD2F99"/>
    <w:rPr>
      <w:b/>
      <w:bCs/>
      <w:sz w:val="20"/>
      <w:szCs w:val="20"/>
    </w:rPr>
  </w:style>
  <w:style w:type="character" w:customStyle="1" w:styleId="CommentSubjectChar">
    <w:name w:val="Comment Subject Char"/>
    <w:basedOn w:val="CommentTextChar"/>
    <w:link w:val="CommentSubject"/>
    <w:uiPriority w:val="99"/>
    <w:semiHidden/>
    <w:rsid w:val="00DD2F99"/>
    <w:rPr>
      <w:rFonts w:ascii="Courier" w:eastAsia="Times New Roman" w:hAnsi="Courier" w:cs="Times New Roman"/>
      <w:b/>
      <w:bCs/>
      <w:sz w:val="20"/>
      <w:szCs w:val="20"/>
    </w:rPr>
  </w:style>
  <w:style w:type="paragraph" w:styleId="Revision">
    <w:name w:val="Revision"/>
    <w:hidden/>
    <w:uiPriority w:val="99"/>
    <w:semiHidden/>
    <w:rsid w:val="00DD2F99"/>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DD2F99"/>
    <w:rPr>
      <w:rFonts w:eastAsia="Times New Roman"/>
      <w:sz w:val="18"/>
      <w:szCs w:val="18"/>
      <w:lang w:eastAsia="en-US"/>
    </w:rPr>
  </w:style>
  <w:style w:type="character" w:customStyle="1" w:styleId="BalloonTextChar">
    <w:name w:val="Balloon Text Char"/>
    <w:basedOn w:val="DefaultParagraphFont"/>
    <w:link w:val="BalloonText"/>
    <w:uiPriority w:val="99"/>
    <w:semiHidden/>
    <w:rsid w:val="00DD2F99"/>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820445"/>
    <w:rPr>
      <w:rFonts w:ascii="Times New Roman" w:eastAsiaTheme="majorEastAsia" w:hAnsi="Times New Roman" w:cs="Times New Roman"/>
      <w:b/>
      <w:color w:val="000000" w:themeColor="text1"/>
      <w:sz w:val="28"/>
      <w:szCs w:val="28"/>
      <w:u w:val="single"/>
    </w:rPr>
  </w:style>
  <w:style w:type="character" w:customStyle="1" w:styleId="Heading3Char">
    <w:name w:val="Heading 3 Char"/>
    <w:basedOn w:val="DefaultParagraphFont"/>
    <w:link w:val="Heading3"/>
    <w:uiPriority w:val="9"/>
    <w:rsid w:val="002D2075"/>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DE7238"/>
  </w:style>
  <w:style w:type="character" w:styleId="Emphasis">
    <w:name w:val="Emphasis"/>
    <w:basedOn w:val="DefaultParagraphFont"/>
    <w:uiPriority w:val="20"/>
    <w:qFormat/>
    <w:rsid w:val="00B9676A"/>
    <w:rPr>
      <w:i/>
      <w:iCs/>
    </w:rPr>
  </w:style>
  <w:style w:type="character" w:customStyle="1" w:styleId="querysrchtext">
    <w:name w:val="querysrchtext"/>
    <w:basedOn w:val="DefaultParagraphFont"/>
    <w:rsid w:val="00B9676A"/>
  </w:style>
  <w:style w:type="paragraph" w:styleId="FootnoteText">
    <w:name w:val="footnote text"/>
    <w:basedOn w:val="Normal"/>
    <w:link w:val="FootnoteTextChar"/>
    <w:uiPriority w:val="99"/>
    <w:unhideWhenUsed/>
    <w:rsid w:val="00642527"/>
  </w:style>
  <w:style w:type="character" w:customStyle="1" w:styleId="FootnoteTextChar">
    <w:name w:val="Footnote Text Char"/>
    <w:basedOn w:val="DefaultParagraphFont"/>
    <w:link w:val="FootnoteText"/>
    <w:uiPriority w:val="99"/>
    <w:rsid w:val="00642527"/>
    <w:rPr>
      <w:rFonts w:ascii="Times New Roman" w:hAnsi="Times New Roman" w:cs="Times New Roman"/>
      <w:lang w:eastAsia="en-GB"/>
    </w:rPr>
  </w:style>
  <w:style w:type="character" w:styleId="FootnoteReference">
    <w:name w:val="footnote reference"/>
    <w:basedOn w:val="DefaultParagraphFont"/>
    <w:uiPriority w:val="99"/>
    <w:unhideWhenUsed/>
    <w:rsid w:val="00642527"/>
    <w:rPr>
      <w:vertAlign w:val="superscript"/>
    </w:rPr>
  </w:style>
  <w:style w:type="character" w:styleId="Hyperlink">
    <w:name w:val="Hyperlink"/>
    <w:basedOn w:val="DefaultParagraphFont"/>
    <w:uiPriority w:val="99"/>
    <w:unhideWhenUsed/>
    <w:rsid w:val="00BB1A0A"/>
    <w:rPr>
      <w:color w:val="0000FF"/>
      <w:u w:val="single"/>
    </w:rPr>
  </w:style>
  <w:style w:type="paragraph" w:styleId="EndnoteText">
    <w:name w:val="endnote text"/>
    <w:basedOn w:val="Normal"/>
    <w:link w:val="EndnoteTextChar"/>
    <w:uiPriority w:val="99"/>
    <w:unhideWhenUsed/>
    <w:rsid w:val="005A1C3E"/>
  </w:style>
  <w:style w:type="character" w:customStyle="1" w:styleId="EndnoteTextChar">
    <w:name w:val="Endnote Text Char"/>
    <w:basedOn w:val="DefaultParagraphFont"/>
    <w:link w:val="EndnoteText"/>
    <w:uiPriority w:val="99"/>
    <w:rsid w:val="005A1C3E"/>
    <w:rPr>
      <w:rFonts w:ascii="Times New Roman" w:hAnsi="Times New Roman" w:cs="Times New Roman"/>
      <w:lang w:eastAsia="en-GB"/>
    </w:rPr>
  </w:style>
  <w:style w:type="character" w:styleId="EndnoteReference">
    <w:name w:val="endnote reference"/>
    <w:basedOn w:val="DefaultParagraphFont"/>
    <w:uiPriority w:val="99"/>
    <w:unhideWhenUsed/>
    <w:rsid w:val="005A1C3E"/>
    <w:rPr>
      <w:vertAlign w:val="superscript"/>
    </w:rPr>
  </w:style>
  <w:style w:type="character" w:customStyle="1" w:styleId="highlight">
    <w:name w:val="highlight"/>
    <w:basedOn w:val="DefaultParagraphFont"/>
    <w:rsid w:val="00EB21A7"/>
  </w:style>
  <w:style w:type="paragraph" w:styleId="Caption">
    <w:name w:val="caption"/>
    <w:basedOn w:val="Normal"/>
    <w:next w:val="Normal"/>
    <w:uiPriority w:val="35"/>
    <w:unhideWhenUsed/>
    <w:qFormat/>
    <w:rsid w:val="00EE7F3D"/>
    <w:pPr>
      <w:spacing w:after="200"/>
    </w:pPr>
    <w:rPr>
      <w:i/>
      <w:iCs/>
      <w:color w:val="44546A" w:themeColor="text2"/>
      <w:sz w:val="18"/>
      <w:szCs w:val="18"/>
    </w:rPr>
  </w:style>
  <w:style w:type="paragraph" w:styleId="TableofFigures">
    <w:name w:val="table of figures"/>
    <w:basedOn w:val="Normal"/>
    <w:next w:val="Normal"/>
    <w:uiPriority w:val="99"/>
    <w:unhideWhenUsed/>
    <w:rsid w:val="004B253E"/>
    <w:pPr>
      <w:ind w:left="480" w:hanging="480"/>
    </w:pPr>
  </w:style>
  <w:style w:type="character" w:styleId="FollowedHyperlink">
    <w:name w:val="FollowedHyperlink"/>
    <w:basedOn w:val="DefaultParagraphFont"/>
    <w:uiPriority w:val="99"/>
    <w:semiHidden/>
    <w:unhideWhenUsed/>
    <w:rsid w:val="00014067"/>
    <w:rPr>
      <w:color w:val="954F72" w:themeColor="followedHyperlink"/>
      <w:u w:val="single"/>
    </w:rPr>
  </w:style>
  <w:style w:type="paragraph" w:customStyle="1" w:styleId="DissTitle">
    <w:name w:val="Diss Title"/>
    <w:basedOn w:val="Title"/>
    <w:qFormat/>
    <w:rsid w:val="00756FBF"/>
    <w:pPr>
      <w:numPr>
        <w:ilvl w:val="1"/>
      </w:numPr>
      <w:spacing w:after="160" w:line="360" w:lineRule="auto"/>
      <w:contextualSpacing w:val="0"/>
    </w:pPr>
    <w:rPr>
      <w:rFonts w:ascii="Times New Roman" w:eastAsiaTheme="minorEastAsia" w:hAnsi="Times New Roman" w:cstheme="minorBidi"/>
      <w:b/>
      <w:color w:val="000000" w:themeColor="text1"/>
      <w:spacing w:val="15"/>
      <w:kern w:val="0"/>
      <w:sz w:val="32"/>
      <w:szCs w:val="22"/>
      <w:u w:val="single"/>
    </w:rPr>
  </w:style>
  <w:style w:type="paragraph" w:customStyle="1" w:styleId="Disstext">
    <w:name w:val="Diss text"/>
    <w:basedOn w:val="BodyText"/>
    <w:next w:val="Normal"/>
    <w:qFormat/>
    <w:rsid w:val="00756FBF"/>
    <w:pPr>
      <w:spacing w:line="360" w:lineRule="auto"/>
    </w:pPr>
    <w:rPr>
      <w:rFonts w:ascii="Times New Roman" w:hAnsi="Times New Roman"/>
    </w:rPr>
  </w:style>
  <w:style w:type="paragraph" w:styleId="Title">
    <w:name w:val="Title"/>
    <w:basedOn w:val="Normal"/>
    <w:next w:val="Normal"/>
    <w:link w:val="TitleChar"/>
    <w:uiPriority w:val="10"/>
    <w:qFormat/>
    <w:rsid w:val="00756F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FBF"/>
    <w:rPr>
      <w:rFonts w:asciiTheme="majorHAnsi" w:eastAsiaTheme="majorEastAsia" w:hAnsiTheme="majorHAnsi" w:cstheme="majorBidi"/>
      <w:spacing w:val="-10"/>
      <w:kern w:val="28"/>
      <w:sz w:val="56"/>
      <w:szCs w:val="56"/>
      <w:lang w:eastAsia="en-GB"/>
    </w:rPr>
  </w:style>
  <w:style w:type="paragraph" w:customStyle="1" w:styleId="DissTitle2">
    <w:name w:val="Diss Title 2"/>
    <w:basedOn w:val="Subtitle"/>
    <w:next w:val="DissTitle"/>
    <w:qFormat/>
    <w:rsid w:val="006875D9"/>
    <w:rPr>
      <w:rFonts w:ascii="Times New Roman" w:hAnsi="Times New Roman"/>
      <w:b/>
      <w:sz w:val="28"/>
      <w:u w:val="single"/>
      <w:lang w:eastAsia="en-US"/>
    </w:rPr>
  </w:style>
  <w:style w:type="paragraph" w:styleId="Subtitle">
    <w:name w:val="Subtitle"/>
    <w:basedOn w:val="Normal"/>
    <w:next w:val="Normal"/>
    <w:link w:val="SubtitleChar"/>
    <w:uiPriority w:val="11"/>
    <w:qFormat/>
    <w:rsid w:val="00687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875D9"/>
    <w:rPr>
      <w:rFonts w:eastAsiaTheme="minorEastAsia"/>
      <w:color w:val="5A5A5A" w:themeColor="text1" w:themeTint="A5"/>
      <w:spacing w:val="15"/>
      <w:sz w:val="22"/>
      <w:szCs w:val="22"/>
      <w:lang w:eastAsia="en-GB"/>
    </w:rPr>
  </w:style>
  <w:style w:type="paragraph" w:styleId="TOCHeading">
    <w:name w:val="TOC Heading"/>
    <w:basedOn w:val="Heading1"/>
    <w:next w:val="Normal"/>
    <w:uiPriority w:val="39"/>
    <w:unhideWhenUsed/>
    <w:qFormat/>
    <w:rsid w:val="00647820"/>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647820"/>
    <w:pPr>
      <w:spacing w:before="120"/>
    </w:pPr>
    <w:rPr>
      <w:rFonts w:asciiTheme="minorHAnsi" w:hAnsiTheme="minorHAnsi"/>
      <w:b/>
      <w:bCs/>
    </w:rPr>
  </w:style>
  <w:style w:type="paragraph" w:styleId="TOC3">
    <w:name w:val="toc 3"/>
    <w:basedOn w:val="Normal"/>
    <w:next w:val="Normal"/>
    <w:autoRedefine/>
    <w:uiPriority w:val="39"/>
    <w:unhideWhenUsed/>
    <w:rsid w:val="00CA277C"/>
    <w:pPr>
      <w:ind w:left="480"/>
    </w:pPr>
    <w:rPr>
      <w:rFonts w:asciiTheme="minorHAnsi" w:hAnsiTheme="minorHAnsi"/>
      <w:sz w:val="22"/>
      <w:szCs w:val="22"/>
    </w:rPr>
  </w:style>
  <w:style w:type="paragraph" w:styleId="TOC2">
    <w:name w:val="toc 2"/>
    <w:basedOn w:val="Normal"/>
    <w:next w:val="Normal"/>
    <w:autoRedefine/>
    <w:uiPriority w:val="39"/>
    <w:unhideWhenUsed/>
    <w:rsid w:val="00647820"/>
    <w:pPr>
      <w:ind w:left="240"/>
    </w:pPr>
    <w:rPr>
      <w:rFonts w:asciiTheme="minorHAnsi" w:hAnsiTheme="minorHAnsi"/>
      <w:b/>
      <w:bCs/>
      <w:sz w:val="22"/>
      <w:szCs w:val="22"/>
    </w:rPr>
  </w:style>
  <w:style w:type="paragraph" w:styleId="TOC4">
    <w:name w:val="toc 4"/>
    <w:basedOn w:val="Normal"/>
    <w:next w:val="Normal"/>
    <w:autoRedefine/>
    <w:uiPriority w:val="39"/>
    <w:semiHidden/>
    <w:unhideWhenUsed/>
    <w:rsid w:val="0064782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4782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64782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4782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4782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47820"/>
    <w:pPr>
      <w:ind w:left="1920"/>
    </w:pPr>
    <w:rPr>
      <w:rFonts w:asciiTheme="minorHAnsi" w:hAnsiTheme="minorHAnsi"/>
      <w:sz w:val="20"/>
      <w:szCs w:val="20"/>
    </w:rPr>
  </w:style>
  <w:style w:type="paragraph" w:styleId="Footer">
    <w:name w:val="footer"/>
    <w:basedOn w:val="Normal"/>
    <w:link w:val="FooterChar"/>
    <w:uiPriority w:val="99"/>
    <w:unhideWhenUsed/>
    <w:rsid w:val="00D912AE"/>
    <w:pPr>
      <w:tabs>
        <w:tab w:val="center" w:pos="4513"/>
        <w:tab w:val="right" w:pos="9026"/>
      </w:tabs>
    </w:pPr>
  </w:style>
  <w:style w:type="character" w:customStyle="1" w:styleId="FooterChar">
    <w:name w:val="Footer Char"/>
    <w:basedOn w:val="DefaultParagraphFont"/>
    <w:link w:val="Footer"/>
    <w:uiPriority w:val="99"/>
    <w:rsid w:val="00D912AE"/>
    <w:rPr>
      <w:rFonts w:ascii="Times New Roman" w:hAnsi="Times New Roman" w:cs="Times New Roman"/>
      <w:lang w:eastAsia="en-GB"/>
    </w:rPr>
  </w:style>
  <w:style w:type="character" w:styleId="PageNumber">
    <w:name w:val="page number"/>
    <w:basedOn w:val="DefaultParagraphFont"/>
    <w:uiPriority w:val="99"/>
    <w:semiHidden/>
    <w:unhideWhenUsed/>
    <w:rsid w:val="00D912AE"/>
  </w:style>
  <w:style w:type="character" w:customStyle="1" w:styleId="Heading5Char">
    <w:name w:val="Heading 5 Char"/>
    <w:basedOn w:val="DefaultParagraphFont"/>
    <w:link w:val="Heading5"/>
    <w:uiPriority w:val="9"/>
    <w:rsid w:val="007D412E"/>
    <w:rPr>
      <w:rFonts w:asciiTheme="majorHAnsi" w:eastAsiaTheme="majorEastAsia" w:hAnsiTheme="majorHAnsi" w:cstheme="majorBidi"/>
      <w:color w:val="2F5496" w:themeColor="accent1" w:themeShade="BF"/>
      <w:lang w:eastAsia="en-GB"/>
    </w:rPr>
  </w:style>
  <w:style w:type="paragraph" w:styleId="NormalWeb">
    <w:name w:val="Normal (Web)"/>
    <w:basedOn w:val="Normal"/>
    <w:uiPriority w:val="99"/>
    <w:unhideWhenUsed/>
    <w:rsid w:val="007D412E"/>
    <w:pPr>
      <w:spacing w:before="100" w:beforeAutospacing="1" w:after="100" w:afterAutospacing="1"/>
    </w:pPr>
    <w:rPr>
      <w:rFonts w:eastAsia="Times New Roman"/>
    </w:rPr>
  </w:style>
  <w:style w:type="paragraph" w:styleId="Header">
    <w:name w:val="header"/>
    <w:basedOn w:val="Normal"/>
    <w:link w:val="HeaderChar"/>
    <w:uiPriority w:val="99"/>
    <w:unhideWhenUsed/>
    <w:rsid w:val="0019328F"/>
    <w:pPr>
      <w:tabs>
        <w:tab w:val="center" w:pos="4513"/>
        <w:tab w:val="right" w:pos="9026"/>
      </w:tabs>
    </w:pPr>
  </w:style>
  <w:style w:type="character" w:customStyle="1" w:styleId="HeaderChar">
    <w:name w:val="Header Char"/>
    <w:basedOn w:val="DefaultParagraphFont"/>
    <w:link w:val="Header"/>
    <w:uiPriority w:val="99"/>
    <w:rsid w:val="0019328F"/>
    <w:rPr>
      <w:rFonts w:ascii="Times New Roman" w:hAnsi="Times New Roman" w:cs="Times New Roman"/>
      <w:lang w:eastAsia="en-GB"/>
    </w:rPr>
  </w:style>
  <w:style w:type="paragraph" w:customStyle="1" w:styleId="p1">
    <w:name w:val="p1"/>
    <w:basedOn w:val="Normal"/>
    <w:rsid w:val="004970C1"/>
    <w:rPr>
      <w:rFonts w:ascii="Times" w:hAnsi="Times"/>
      <w:sz w:val="17"/>
      <w:szCs w:val="17"/>
    </w:rPr>
  </w:style>
  <w:style w:type="character" w:customStyle="1" w:styleId="s1">
    <w:name w:val="s1"/>
    <w:basedOn w:val="DefaultParagraphFont"/>
    <w:rsid w:val="004970C1"/>
    <w:rPr>
      <w:rFonts w:ascii="Times" w:hAnsi="Times" w:hint="default"/>
      <w:sz w:val="12"/>
      <w:szCs w:val="12"/>
    </w:rPr>
  </w:style>
  <w:style w:type="paragraph" w:customStyle="1" w:styleId="p2">
    <w:name w:val="p2"/>
    <w:basedOn w:val="Normal"/>
    <w:rsid w:val="001D1968"/>
    <w:rPr>
      <w:rFonts w:ascii="Times" w:hAnsi="Time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7087">
      <w:bodyDiv w:val="1"/>
      <w:marLeft w:val="0"/>
      <w:marRight w:val="0"/>
      <w:marTop w:val="0"/>
      <w:marBottom w:val="0"/>
      <w:divBdr>
        <w:top w:val="none" w:sz="0" w:space="0" w:color="auto"/>
        <w:left w:val="none" w:sz="0" w:space="0" w:color="auto"/>
        <w:bottom w:val="none" w:sz="0" w:space="0" w:color="auto"/>
        <w:right w:val="none" w:sz="0" w:space="0" w:color="auto"/>
      </w:divBdr>
    </w:div>
    <w:div w:id="68507200">
      <w:bodyDiv w:val="1"/>
      <w:marLeft w:val="0"/>
      <w:marRight w:val="0"/>
      <w:marTop w:val="0"/>
      <w:marBottom w:val="0"/>
      <w:divBdr>
        <w:top w:val="none" w:sz="0" w:space="0" w:color="auto"/>
        <w:left w:val="none" w:sz="0" w:space="0" w:color="auto"/>
        <w:bottom w:val="none" w:sz="0" w:space="0" w:color="auto"/>
        <w:right w:val="none" w:sz="0" w:space="0" w:color="auto"/>
      </w:divBdr>
    </w:div>
    <w:div w:id="69155051">
      <w:bodyDiv w:val="1"/>
      <w:marLeft w:val="0"/>
      <w:marRight w:val="0"/>
      <w:marTop w:val="0"/>
      <w:marBottom w:val="0"/>
      <w:divBdr>
        <w:top w:val="none" w:sz="0" w:space="0" w:color="auto"/>
        <w:left w:val="none" w:sz="0" w:space="0" w:color="auto"/>
        <w:bottom w:val="none" w:sz="0" w:space="0" w:color="auto"/>
        <w:right w:val="none" w:sz="0" w:space="0" w:color="auto"/>
      </w:divBdr>
    </w:div>
    <w:div w:id="106044111">
      <w:bodyDiv w:val="1"/>
      <w:marLeft w:val="0"/>
      <w:marRight w:val="0"/>
      <w:marTop w:val="0"/>
      <w:marBottom w:val="0"/>
      <w:divBdr>
        <w:top w:val="none" w:sz="0" w:space="0" w:color="auto"/>
        <w:left w:val="none" w:sz="0" w:space="0" w:color="auto"/>
        <w:bottom w:val="none" w:sz="0" w:space="0" w:color="auto"/>
        <w:right w:val="none" w:sz="0" w:space="0" w:color="auto"/>
      </w:divBdr>
    </w:div>
    <w:div w:id="142627642">
      <w:bodyDiv w:val="1"/>
      <w:marLeft w:val="0"/>
      <w:marRight w:val="0"/>
      <w:marTop w:val="0"/>
      <w:marBottom w:val="0"/>
      <w:divBdr>
        <w:top w:val="none" w:sz="0" w:space="0" w:color="auto"/>
        <w:left w:val="none" w:sz="0" w:space="0" w:color="auto"/>
        <w:bottom w:val="none" w:sz="0" w:space="0" w:color="auto"/>
        <w:right w:val="none" w:sz="0" w:space="0" w:color="auto"/>
      </w:divBdr>
    </w:div>
    <w:div w:id="160436349">
      <w:bodyDiv w:val="1"/>
      <w:marLeft w:val="0"/>
      <w:marRight w:val="0"/>
      <w:marTop w:val="0"/>
      <w:marBottom w:val="0"/>
      <w:divBdr>
        <w:top w:val="none" w:sz="0" w:space="0" w:color="auto"/>
        <w:left w:val="none" w:sz="0" w:space="0" w:color="auto"/>
        <w:bottom w:val="none" w:sz="0" w:space="0" w:color="auto"/>
        <w:right w:val="none" w:sz="0" w:space="0" w:color="auto"/>
      </w:divBdr>
    </w:div>
    <w:div w:id="166942101">
      <w:bodyDiv w:val="1"/>
      <w:marLeft w:val="0"/>
      <w:marRight w:val="0"/>
      <w:marTop w:val="0"/>
      <w:marBottom w:val="0"/>
      <w:divBdr>
        <w:top w:val="none" w:sz="0" w:space="0" w:color="auto"/>
        <w:left w:val="none" w:sz="0" w:space="0" w:color="auto"/>
        <w:bottom w:val="none" w:sz="0" w:space="0" w:color="auto"/>
        <w:right w:val="none" w:sz="0" w:space="0" w:color="auto"/>
      </w:divBdr>
    </w:div>
    <w:div w:id="170143368">
      <w:bodyDiv w:val="1"/>
      <w:marLeft w:val="0"/>
      <w:marRight w:val="0"/>
      <w:marTop w:val="0"/>
      <w:marBottom w:val="0"/>
      <w:divBdr>
        <w:top w:val="none" w:sz="0" w:space="0" w:color="auto"/>
        <w:left w:val="none" w:sz="0" w:space="0" w:color="auto"/>
        <w:bottom w:val="none" w:sz="0" w:space="0" w:color="auto"/>
        <w:right w:val="none" w:sz="0" w:space="0" w:color="auto"/>
      </w:divBdr>
    </w:div>
    <w:div w:id="198199730">
      <w:bodyDiv w:val="1"/>
      <w:marLeft w:val="0"/>
      <w:marRight w:val="0"/>
      <w:marTop w:val="0"/>
      <w:marBottom w:val="0"/>
      <w:divBdr>
        <w:top w:val="none" w:sz="0" w:space="0" w:color="auto"/>
        <w:left w:val="none" w:sz="0" w:space="0" w:color="auto"/>
        <w:bottom w:val="none" w:sz="0" w:space="0" w:color="auto"/>
        <w:right w:val="none" w:sz="0" w:space="0" w:color="auto"/>
      </w:divBdr>
    </w:div>
    <w:div w:id="206794155">
      <w:bodyDiv w:val="1"/>
      <w:marLeft w:val="0"/>
      <w:marRight w:val="0"/>
      <w:marTop w:val="0"/>
      <w:marBottom w:val="0"/>
      <w:divBdr>
        <w:top w:val="none" w:sz="0" w:space="0" w:color="auto"/>
        <w:left w:val="none" w:sz="0" w:space="0" w:color="auto"/>
        <w:bottom w:val="none" w:sz="0" w:space="0" w:color="auto"/>
        <w:right w:val="none" w:sz="0" w:space="0" w:color="auto"/>
      </w:divBdr>
    </w:div>
    <w:div w:id="251161708">
      <w:bodyDiv w:val="1"/>
      <w:marLeft w:val="0"/>
      <w:marRight w:val="0"/>
      <w:marTop w:val="0"/>
      <w:marBottom w:val="0"/>
      <w:divBdr>
        <w:top w:val="none" w:sz="0" w:space="0" w:color="auto"/>
        <w:left w:val="none" w:sz="0" w:space="0" w:color="auto"/>
        <w:bottom w:val="none" w:sz="0" w:space="0" w:color="auto"/>
        <w:right w:val="none" w:sz="0" w:space="0" w:color="auto"/>
      </w:divBdr>
    </w:div>
    <w:div w:id="268587657">
      <w:bodyDiv w:val="1"/>
      <w:marLeft w:val="0"/>
      <w:marRight w:val="0"/>
      <w:marTop w:val="0"/>
      <w:marBottom w:val="0"/>
      <w:divBdr>
        <w:top w:val="none" w:sz="0" w:space="0" w:color="auto"/>
        <w:left w:val="none" w:sz="0" w:space="0" w:color="auto"/>
        <w:bottom w:val="none" w:sz="0" w:space="0" w:color="auto"/>
        <w:right w:val="none" w:sz="0" w:space="0" w:color="auto"/>
      </w:divBdr>
    </w:div>
    <w:div w:id="315259953">
      <w:bodyDiv w:val="1"/>
      <w:marLeft w:val="0"/>
      <w:marRight w:val="0"/>
      <w:marTop w:val="0"/>
      <w:marBottom w:val="0"/>
      <w:divBdr>
        <w:top w:val="none" w:sz="0" w:space="0" w:color="auto"/>
        <w:left w:val="none" w:sz="0" w:space="0" w:color="auto"/>
        <w:bottom w:val="none" w:sz="0" w:space="0" w:color="auto"/>
        <w:right w:val="none" w:sz="0" w:space="0" w:color="auto"/>
      </w:divBdr>
    </w:div>
    <w:div w:id="316345008">
      <w:bodyDiv w:val="1"/>
      <w:marLeft w:val="0"/>
      <w:marRight w:val="0"/>
      <w:marTop w:val="0"/>
      <w:marBottom w:val="0"/>
      <w:divBdr>
        <w:top w:val="none" w:sz="0" w:space="0" w:color="auto"/>
        <w:left w:val="none" w:sz="0" w:space="0" w:color="auto"/>
        <w:bottom w:val="none" w:sz="0" w:space="0" w:color="auto"/>
        <w:right w:val="none" w:sz="0" w:space="0" w:color="auto"/>
      </w:divBdr>
    </w:div>
    <w:div w:id="360133363">
      <w:bodyDiv w:val="1"/>
      <w:marLeft w:val="0"/>
      <w:marRight w:val="0"/>
      <w:marTop w:val="0"/>
      <w:marBottom w:val="0"/>
      <w:divBdr>
        <w:top w:val="none" w:sz="0" w:space="0" w:color="auto"/>
        <w:left w:val="none" w:sz="0" w:space="0" w:color="auto"/>
        <w:bottom w:val="none" w:sz="0" w:space="0" w:color="auto"/>
        <w:right w:val="none" w:sz="0" w:space="0" w:color="auto"/>
      </w:divBdr>
    </w:div>
    <w:div w:id="383137842">
      <w:bodyDiv w:val="1"/>
      <w:marLeft w:val="0"/>
      <w:marRight w:val="0"/>
      <w:marTop w:val="0"/>
      <w:marBottom w:val="0"/>
      <w:divBdr>
        <w:top w:val="none" w:sz="0" w:space="0" w:color="auto"/>
        <w:left w:val="none" w:sz="0" w:space="0" w:color="auto"/>
        <w:bottom w:val="none" w:sz="0" w:space="0" w:color="auto"/>
        <w:right w:val="none" w:sz="0" w:space="0" w:color="auto"/>
      </w:divBdr>
    </w:div>
    <w:div w:id="396980076">
      <w:bodyDiv w:val="1"/>
      <w:marLeft w:val="0"/>
      <w:marRight w:val="0"/>
      <w:marTop w:val="0"/>
      <w:marBottom w:val="0"/>
      <w:divBdr>
        <w:top w:val="none" w:sz="0" w:space="0" w:color="auto"/>
        <w:left w:val="none" w:sz="0" w:space="0" w:color="auto"/>
        <w:bottom w:val="none" w:sz="0" w:space="0" w:color="auto"/>
        <w:right w:val="none" w:sz="0" w:space="0" w:color="auto"/>
      </w:divBdr>
    </w:div>
    <w:div w:id="397746698">
      <w:bodyDiv w:val="1"/>
      <w:marLeft w:val="0"/>
      <w:marRight w:val="0"/>
      <w:marTop w:val="0"/>
      <w:marBottom w:val="0"/>
      <w:divBdr>
        <w:top w:val="none" w:sz="0" w:space="0" w:color="auto"/>
        <w:left w:val="none" w:sz="0" w:space="0" w:color="auto"/>
        <w:bottom w:val="none" w:sz="0" w:space="0" w:color="auto"/>
        <w:right w:val="none" w:sz="0" w:space="0" w:color="auto"/>
      </w:divBdr>
    </w:div>
    <w:div w:id="401488274">
      <w:bodyDiv w:val="1"/>
      <w:marLeft w:val="0"/>
      <w:marRight w:val="0"/>
      <w:marTop w:val="0"/>
      <w:marBottom w:val="0"/>
      <w:divBdr>
        <w:top w:val="none" w:sz="0" w:space="0" w:color="auto"/>
        <w:left w:val="none" w:sz="0" w:space="0" w:color="auto"/>
        <w:bottom w:val="none" w:sz="0" w:space="0" w:color="auto"/>
        <w:right w:val="none" w:sz="0" w:space="0" w:color="auto"/>
      </w:divBdr>
    </w:div>
    <w:div w:id="417212627">
      <w:bodyDiv w:val="1"/>
      <w:marLeft w:val="0"/>
      <w:marRight w:val="0"/>
      <w:marTop w:val="0"/>
      <w:marBottom w:val="0"/>
      <w:divBdr>
        <w:top w:val="none" w:sz="0" w:space="0" w:color="auto"/>
        <w:left w:val="none" w:sz="0" w:space="0" w:color="auto"/>
        <w:bottom w:val="none" w:sz="0" w:space="0" w:color="auto"/>
        <w:right w:val="none" w:sz="0" w:space="0" w:color="auto"/>
      </w:divBdr>
    </w:div>
    <w:div w:id="417486787">
      <w:bodyDiv w:val="1"/>
      <w:marLeft w:val="0"/>
      <w:marRight w:val="0"/>
      <w:marTop w:val="0"/>
      <w:marBottom w:val="0"/>
      <w:divBdr>
        <w:top w:val="none" w:sz="0" w:space="0" w:color="auto"/>
        <w:left w:val="none" w:sz="0" w:space="0" w:color="auto"/>
        <w:bottom w:val="none" w:sz="0" w:space="0" w:color="auto"/>
        <w:right w:val="none" w:sz="0" w:space="0" w:color="auto"/>
      </w:divBdr>
    </w:div>
    <w:div w:id="421025102">
      <w:bodyDiv w:val="1"/>
      <w:marLeft w:val="0"/>
      <w:marRight w:val="0"/>
      <w:marTop w:val="0"/>
      <w:marBottom w:val="0"/>
      <w:divBdr>
        <w:top w:val="none" w:sz="0" w:space="0" w:color="auto"/>
        <w:left w:val="none" w:sz="0" w:space="0" w:color="auto"/>
        <w:bottom w:val="none" w:sz="0" w:space="0" w:color="auto"/>
        <w:right w:val="none" w:sz="0" w:space="0" w:color="auto"/>
      </w:divBdr>
    </w:div>
    <w:div w:id="473329640">
      <w:bodyDiv w:val="1"/>
      <w:marLeft w:val="0"/>
      <w:marRight w:val="0"/>
      <w:marTop w:val="0"/>
      <w:marBottom w:val="0"/>
      <w:divBdr>
        <w:top w:val="none" w:sz="0" w:space="0" w:color="auto"/>
        <w:left w:val="none" w:sz="0" w:space="0" w:color="auto"/>
        <w:bottom w:val="none" w:sz="0" w:space="0" w:color="auto"/>
        <w:right w:val="none" w:sz="0" w:space="0" w:color="auto"/>
      </w:divBdr>
    </w:div>
    <w:div w:id="480659421">
      <w:bodyDiv w:val="1"/>
      <w:marLeft w:val="0"/>
      <w:marRight w:val="0"/>
      <w:marTop w:val="0"/>
      <w:marBottom w:val="0"/>
      <w:divBdr>
        <w:top w:val="none" w:sz="0" w:space="0" w:color="auto"/>
        <w:left w:val="none" w:sz="0" w:space="0" w:color="auto"/>
        <w:bottom w:val="none" w:sz="0" w:space="0" w:color="auto"/>
        <w:right w:val="none" w:sz="0" w:space="0" w:color="auto"/>
      </w:divBdr>
    </w:div>
    <w:div w:id="530849448">
      <w:bodyDiv w:val="1"/>
      <w:marLeft w:val="0"/>
      <w:marRight w:val="0"/>
      <w:marTop w:val="0"/>
      <w:marBottom w:val="0"/>
      <w:divBdr>
        <w:top w:val="none" w:sz="0" w:space="0" w:color="auto"/>
        <w:left w:val="none" w:sz="0" w:space="0" w:color="auto"/>
        <w:bottom w:val="none" w:sz="0" w:space="0" w:color="auto"/>
        <w:right w:val="none" w:sz="0" w:space="0" w:color="auto"/>
      </w:divBdr>
    </w:div>
    <w:div w:id="576866801">
      <w:bodyDiv w:val="1"/>
      <w:marLeft w:val="0"/>
      <w:marRight w:val="0"/>
      <w:marTop w:val="0"/>
      <w:marBottom w:val="0"/>
      <w:divBdr>
        <w:top w:val="none" w:sz="0" w:space="0" w:color="auto"/>
        <w:left w:val="none" w:sz="0" w:space="0" w:color="auto"/>
        <w:bottom w:val="none" w:sz="0" w:space="0" w:color="auto"/>
        <w:right w:val="none" w:sz="0" w:space="0" w:color="auto"/>
      </w:divBdr>
    </w:div>
    <w:div w:id="627856469">
      <w:bodyDiv w:val="1"/>
      <w:marLeft w:val="0"/>
      <w:marRight w:val="0"/>
      <w:marTop w:val="0"/>
      <w:marBottom w:val="0"/>
      <w:divBdr>
        <w:top w:val="none" w:sz="0" w:space="0" w:color="auto"/>
        <w:left w:val="none" w:sz="0" w:space="0" w:color="auto"/>
        <w:bottom w:val="none" w:sz="0" w:space="0" w:color="auto"/>
        <w:right w:val="none" w:sz="0" w:space="0" w:color="auto"/>
      </w:divBdr>
    </w:div>
    <w:div w:id="630552982">
      <w:bodyDiv w:val="1"/>
      <w:marLeft w:val="0"/>
      <w:marRight w:val="0"/>
      <w:marTop w:val="0"/>
      <w:marBottom w:val="0"/>
      <w:divBdr>
        <w:top w:val="none" w:sz="0" w:space="0" w:color="auto"/>
        <w:left w:val="none" w:sz="0" w:space="0" w:color="auto"/>
        <w:bottom w:val="none" w:sz="0" w:space="0" w:color="auto"/>
        <w:right w:val="none" w:sz="0" w:space="0" w:color="auto"/>
      </w:divBdr>
    </w:div>
    <w:div w:id="659893699">
      <w:bodyDiv w:val="1"/>
      <w:marLeft w:val="0"/>
      <w:marRight w:val="0"/>
      <w:marTop w:val="0"/>
      <w:marBottom w:val="0"/>
      <w:divBdr>
        <w:top w:val="none" w:sz="0" w:space="0" w:color="auto"/>
        <w:left w:val="none" w:sz="0" w:space="0" w:color="auto"/>
        <w:bottom w:val="none" w:sz="0" w:space="0" w:color="auto"/>
        <w:right w:val="none" w:sz="0" w:space="0" w:color="auto"/>
      </w:divBdr>
    </w:div>
    <w:div w:id="693969221">
      <w:bodyDiv w:val="1"/>
      <w:marLeft w:val="0"/>
      <w:marRight w:val="0"/>
      <w:marTop w:val="0"/>
      <w:marBottom w:val="0"/>
      <w:divBdr>
        <w:top w:val="none" w:sz="0" w:space="0" w:color="auto"/>
        <w:left w:val="none" w:sz="0" w:space="0" w:color="auto"/>
        <w:bottom w:val="none" w:sz="0" w:space="0" w:color="auto"/>
        <w:right w:val="none" w:sz="0" w:space="0" w:color="auto"/>
      </w:divBdr>
    </w:div>
    <w:div w:id="699432081">
      <w:bodyDiv w:val="1"/>
      <w:marLeft w:val="0"/>
      <w:marRight w:val="0"/>
      <w:marTop w:val="0"/>
      <w:marBottom w:val="0"/>
      <w:divBdr>
        <w:top w:val="none" w:sz="0" w:space="0" w:color="auto"/>
        <w:left w:val="none" w:sz="0" w:space="0" w:color="auto"/>
        <w:bottom w:val="none" w:sz="0" w:space="0" w:color="auto"/>
        <w:right w:val="none" w:sz="0" w:space="0" w:color="auto"/>
      </w:divBdr>
    </w:div>
    <w:div w:id="785664199">
      <w:bodyDiv w:val="1"/>
      <w:marLeft w:val="0"/>
      <w:marRight w:val="0"/>
      <w:marTop w:val="0"/>
      <w:marBottom w:val="0"/>
      <w:divBdr>
        <w:top w:val="none" w:sz="0" w:space="0" w:color="auto"/>
        <w:left w:val="none" w:sz="0" w:space="0" w:color="auto"/>
        <w:bottom w:val="none" w:sz="0" w:space="0" w:color="auto"/>
        <w:right w:val="none" w:sz="0" w:space="0" w:color="auto"/>
      </w:divBdr>
    </w:div>
    <w:div w:id="832338899">
      <w:bodyDiv w:val="1"/>
      <w:marLeft w:val="0"/>
      <w:marRight w:val="0"/>
      <w:marTop w:val="0"/>
      <w:marBottom w:val="0"/>
      <w:divBdr>
        <w:top w:val="none" w:sz="0" w:space="0" w:color="auto"/>
        <w:left w:val="none" w:sz="0" w:space="0" w:color="auto"/>
        <w:bottom w:val="none" w:sz="0" w:space="0" w:color="auto"/>
        <w:right w:val="none" w:sz="0" w:space="0" w:color="auto"/>
      </w:divBdr>
    </w:div>
    <w:div w:id="837623215">
      <w:bodyDiv w:val="1"/>
      <w:marLeft w:val="0"/>
      <w:marRight w:val="0"/>
      <w:marTop w:val="0"/>
      <w:marBottom w:val="0"/>
      <w:divBdr>
        <w:top w:val="none" w:sz="0" w:space="0" w:color="auto"/>
        <w:left w:val="none" w:sz="0" w:space="0" w:color="auto"/>
        <w:bottom w:val="none" w:sz="0" w:space="0" w:color="auto"/>
        <w:right w:val="none" w:sz="0" w:space="0" w:color="auto"/>
      </w:divBdr>
    </w:div>
    <w:div w:id="839003943">
      <w:bodyDiv w:val="1"/>
      <w:marLeft w:val="0"/>
      <w:marRight w:val="0"/>
      <w:marTop w:val="0"/>
      <w:marBottom w:val="0"/>
      <w:divBdr>
        <w:top w:val="none" w:sz="0" w:space="0" w:color="auto"/>
        <w:left w:val="none" w:sz="0" w:space="0" w:color="auto"/>
        <w:bottom w:val="none" w:sz="0" w:space="0" w:color="auto"/>
        <w:right w:val="none" w:sz="0" w:space="0" w:color="auto"/>
      </w:divBdr>
    </w:div>
    <w:div w:id="842090829">
      <w:bodyDiv w:val="1"/>
      <w:marLeft w:val="0"/>
      <w:marRight w:val="0"/>
      <w:marTop w:val="0"/>
      <w:marBottom w:val="0"/>
      <w:divBdr>
        <w:top w:val="none" w:sz="0" w:space="0" w:color="auto"/>
        <w:left w:val="none" w:sz="0" w:space="0" w:color="auto"/>
        <w:bottom w:val="none" w:sz="0" w:space="0" w:color="auto"/>
        <w:right w:val="none" w:sz="0" w:space="0" w:color="auto"/>
      </w:divBdr>
    </w:div>
    <w:div w:id="859127569">
      <w:bodyDiv w:val="1"/>
      <w:marLeft w:val="0"/>
      <w:marRight w:val="0"/>
      <w:marTop w:val="0"/>
      <w:marBottom w:val="0"/>
      <w:divBdr>
        <w:top w:val="none" w:sz="0" w:space="0" w:color="auto"/>
        <w:left w:val="none" w:sz="0" w:space="0" w:color="auto"/>
        <w:bottom w:val="none" w:sz="0" w:space="0" w:color="auto"/>
        <w:right w:val="none" w:sz="0" w:space="0" w:color="auto"/>
      </w:divBdr>
    </w:div>
    <w:div w:id="871267785">
      <w:bodyDiv w:val="1"/>
      <w:marLeft w:val="0"/>
      <w:marRight w:val="0"/>
      <w:marTop w:val="0"/>
      <w:marBottom w:val="0"/>
      <w:divBdr>
        <w:top w:val="none" w:sz="0" w:space="0" w:color="auto"/>
        <w:left w:val="none" w:sz="0" w:space="0" w:color="auto"/>
        <w:bottom w:val="none" w:sz="0" w:space="0" w:color="auto"/>
        <w:right w:val="none" w:sz="0" w:space="0" w:color="auto"/>
      </w:divBdr>
    </w:div>
    <w:div w:id="902377214">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
    <w:div w:id="940455796">
      <w:bodyDiv w:val="1"/>
      <w:marLeft w:val="0"/>
      <w:marRight w:val="0"/>
      <w:marTop w:val="0"/>
      <w:marBottom w:val="0"/>
      <w:divBdr>
        <w:top w:val="none" w:sz="0" w:space="0" w:color="auto"/>
        <w:left w:val="none" w:sz="0" w:space="0" w:color="auto"/>
        <w:bottom w:val="none" w:sz="0" w:space="0" w:color="auto"/>
        <w:right w:val="none" w:sz="0" w:space="0" w:color="auto"/>
      </w:divBdr>
    </w:div>
    <w:div w:id="953949103">
      <w:bodyDiv w:val="1"/>
      <w:marLeft w:val="0"/>
      <w:marRight w:val="0"/>
      <w:marTop w:val="0"/>
      <w:marBottom w:val="0"/>
      <w:divBdr>
        <w:top w:val="none" w:sz="0" w:space="0" w:color="auto"/>
        <w:left w:val="none" w:sz="0" w:space="0" w:color="auto"/>
        <w:bottom w:val="none" w:sz="0" w:space="0" w:color="auto"/>
        <w:right w:val="none" w:sz="0" w:space="0" w:color="auto"/>
      </w:divBdr>
    </w:div>
    <w:div w:id="966206983">
      <w:bodyDiv w:val="1"/>
      <w:marLeft w:val="0"/>
      <w:marRight w:val="0"/>
      <w:marTop w:val="0"/>
      <w:marBottom w:val="0"/>
      <w:divBdr>
        <w:top w:val="none" w:sz="0" w:space="0" w:color="auto"/>
        <w:left w:val="none" w:sz="0" w:space="0" w:color="auto"/>
        <w:bottom w:val="none" w:sz="0" w:space="0" w:color="auto"/>
        <w:right w:val="none" w:sz="0" w:space="0" w:color="auto"/>
      </w:divBdr>
    </w:div>
    <w:div w:id="1041977822">
      <w:bodyDiv w:val="1"/>
      <w:marLeft w:val="0"/>
      <w:marRight w:val="0"/>
      <w:marTop w:val="0"/>
      <w:marBottom w:val="0"/>
      <w:divBdr>
        <w:top w:val="none" w:sz="0" w:space="0" w:color="auto"/>
        <w:left w:val="none" w:sz="0" w:space="0" w:color="auto"/>
        <w:bottom w:val="none" w:sz="0" w:space="0" w:color="auto"/>
        <w:right w:val="none" w:sz="0" w:space="0" w:color="auto"/>
      </w:divBdr>
    </w:div>
    <w:div w:id="1043019661">
      <w:bodyDiv w:val="1"/>
      <w:marLeft w:val="0"/>
      <w:marRight w:val="0"/>
      <w:marTop w:val="0"/>
      <w:marBottom w:val="0"/>
      <w:divBdr>
        <w:top w:val="none" w:sz="0" w:space="0" w:color="auto"/>
        <w:left w:val="none" w:sz="0" w:space="0" w:color="auto"/>
        <w:bottom w:val="none" w:sz="0" w:space="0" w:color="auto"/>
        <w:right w:val="none" w:sz="0" w:space="0" w:color="auto"/>
      </w:divBdr>
    </w:div>
    <w:div w:id="1059598758">
      <w:bodyDiv w:val="1"/>
      <w:marLeft w:val="0"/>
      <w:marRight w:val="0"/>
      <w:marTop w:val="0"/>
      <w:marBottom w:val="0"/>
      <w:divBdr>
        <w:top w:val="none" w:sz="0" w:space="0" w:color="auto"/>
        <w:left w:val="none" w:sz="0" w:space="0" w:color="auto"/>
        <w:bottom w:val="none" w:sz="0" w:space="0" w:color="auto"/>
        <w:right w:val="none" w:sz="0" w:space="0" w:color="auto"/>
      </w:divBdr>
    </w:div>
    <w:div w:id="1104882930">
      <w:bodyDiv w:val="1"/>
      <w:marLeft w:val="0"/>
      <w:marRight w:val="0"/>
      <w:marTop w:val="0"/>
      <w:marBottom w:val="0"/>
      <w:divBdr>
        <w:top w:val="none" w:sz="0" w:space="0" w:color="auto"/>
        <w:left w:val="none" w:sz="0" w:space="0" w:color="auto"/>
        <w:bottom w:val="none" w:sz="0" w:space="0" w:color="auto"/>
        <w:right w:val="none" w:sz="0" w:space="0" w:color="auto"/>
      </w:divBdr>
    </w:div>
    <w:div w:id="1171334509">
      <w:bodyDiv w:val="1"/>
      <w:marLeft w:val="0"/>
      <w:marRight w:val="0"/>
      <w:marTop w:val="0"/>
      <w:marBottom w:val="0"/>
      <w:divBdr>
        <w:top w:val="none" w:sz="0" w:space="0" w:color="auto"/>
        <w:left w:val="none" w:sz="0" w:space="0" w:color="auto"/>
        <w:bottom w:val="none" w:sz="0" w:space="0" w:color="auto"/>
        <w:right w:val="none" w:sz="0" w:space="0" w:color="auto"/>
      </w:divBdr>
    </w:div>
    <w:div w:id="1207717347">
      <w:bodyDiv w:val="1"/>
      <w:marLeft w:val="0"/>
      <w:marRight w:val="0"/>
      <w:marTop w:val="0"/>
      <w:marBottom w:val="0"/>
      <w:divBdr>
        <w:top w:val="none" w:sz="0" w:space="0" w:color="auto"/>
        <w:left w:val="none" w:sz="0" w:space="0" w:color="auto"/>
        <w:bottom w:val="none" w:sz="0" w:space="0" w:color="auto"/>
        <w:right w:val="none" w:sz="0" w:space="0" w:color="auto"/>
      </w:divBdr>
    </w:div>
    <w:div w:id="1243182605">
      <w:bodyDiv w:val="1"/>
      <w:marLeft w:val="0"/>
      <w:marRight w:val="0"/>
      <w:marTop w:val="0"/>
      <w:marBottom w:val="0"/>
      <w:divBdr>
        <w:top w:val="none" w:sz="0" w:space="0" w:color="auto"/>
        <w:left w:val="none" w:sz="0" w:space="0" w:color="auto"/>
        <w:bottom w:val="none" w:sz="0" w:space="0" w:color="auto"/>
        <w:right w:val="none" w:sz="0" w:space="0" w:color="auto"/>
      </w:divBdr>
    </w:div>
    <w:div w:id="1268318767">
      <w:bodyDiv w:val="1"/>
      <w:marLeft w:val="0"/>
      <w:marRight w:val="0"/>
      <w:marTop w:val="0"/>
      <w:marBottom w:val="0"/>
      <w:divBdr>
        <w:top w:val="none" w:sz="0" w:space="0" w:color="auto"/>
        <w:left w:val="none" w:sz="0" w:space="0" w:color="auto"/>
        <w:bottom w:val="none" w:sz="0" w:space="0" w:color="auto"/>
        <w:right w:val="none" w:sz="0" w:space="0" w:color="auto"/>
      </w:divBdr>
    </w:div>
    <w:div w:id="1327857553">
      <w:bodyDiv w:val="1"/>
      <w:marLeft w:val="0"/>
      <w:marRight w:val="0"/>
      <w:marTop w:val="0"/>
      <w:marBottom w:val="0"/>
      <w:divBdr>
        <w:top w:val="none" w:sz="0" w:space="0" w:color="auto"/>
        <w:left w:val="none" w:sz="0" w:space="0" w:color="auto"/>
        <w:bottom w:val="none" w:sz="0" w:space="0" w:color="auto"/>
        <w:right w:val="none" w:sz="0" w:space="0" w:color="auto"/>
      </w:divBdr>
    </w:div>
    <w:div w:id="1360472073">
      <w:bodyDiv w:val="1"/>
      <w:marLeft w:val="0"/>
      <w:marRight w:val="0"/>
      <w:marTop w:val="0"/>
      <w:marBottom w:val="0"/>
      <w:divBdr>
        <w:top w:val="none" w:sz="0" w:space="0" w:color="auto"/>
        <w:left w:val="none" w:sz="0" w:space="0" w:color="auto"/>
        <w:bottom w:val="none" w:sz="0" w:space="0" w:color="auto"/>
        <w:right w:val="none" w:sz="0" w:space="0" w:color="auto"/>
      </w:divBdr>
    </w:div>
    <w:div w:id="1372412864">
      <w:bodyDiv w:val="1"/>
      <w:marLeft w:val="0"/>
      <w:marRight w:val="0"/>
      <w:marTop w:val="0"/>
      <w:marBottom w:val="0"/>
      <w:divBdr>
        <w:top w:val="none" w:sz="0" w:space="0" w:color="auto"/>
        <w:left w:val="none" w:sz="0" w:space="0" w:color="auto"/>
        <w:bottom w:val="none" w:sz="0" w:space="0" w:color="auto"/>
        <w:right w:val="none" w:sz="0" w:space="0" w:color="auto"/>
      </w:divBdr>
    </w:div>
    <w:div w:id="1372800356">
      <w:bodyDiv w:val="1"/>
      <w:marLeft w:val="0"/>
      <w:marRight w:val="0"/>
      <w:marTop w:val="0"/>
      <w:marBottom w:val="0"/>
      <w:divBdr>
        <w:top w:val="none" w:sz="0" w:space="0" w:color="auto"/>
        <w:left w:val="none" w:sz="0" w:space="0" w:color="auto"/>
        <w:bottom w:val="none" w:sz="0" w:space="0" w:color="auto"/>
        <w:right w:val="none" w:sz="0" w:space="0" w:color="auto"/>
      </w:divBdr>
    </w:div>
    <w:div w:id="1405565011">
      <w:bodyDiv w:val="1"/>
      <w:marLeft w:val="0"/>
      <w:marRight w:val="0"/>
      <w:marTop w:val="0"/>
      <w:marBottom w:val="0"/>
      <w:divBdr>
        <w:top w:val="none" w:sz="0" w:space="0" w:color="auto"/>
        <w:left w:val="none" w:sz="0" w:space="0" w:color="auto"/>
        <w:bottom w:val="none" w:sz="0" w:space="0" w:color="auto"/>
        <w:right w:val="none" w:sz="0" w:space="0" w:color="auto"/>
      </w:divBdr>
    </w:div>
    <w:div w:id="1431199732">
      <w:bodyDiv w:val="1"/>
      <w:marLeft w:val="0"/>
      <w:marRight w:val="0"/>
      <w:marTop w:val="0"/>
      <w:marBottom w:val="0"/>
      <w:divBdr>
        <w:top w:val="none" w:sz="0" w:space="0" w:color="auto"/>
        <w:left w:val="none" w:sz="0" w:space="0" w:color="auto"/>
        <w:bottom w:val="none" w:sz="0" w:space="0" w:color="auto"/>
        <w:right w:val="none" w:sz="0" w:space="0" w:color="auto"/>
      </w:divBdr>
    </w:div>
    <w:div w:id="1433207128">
      <w:bodyDiv w:val="1"/>
      <w:marLeft w:val="0"/>
      <w:marRight w:val="0"/>
      <w:marTop w:val="0"/>
      <w:marBottom w:val="0"/>
      <w:divBdr>
        <w:top w:val="none" w:sz="0" w:space="0" w:color="auto"/>
        <w:left w:val="none" w:sz="0" w:space="0" w:color="auto"/>
        <w:bottom w:val="none" w:sz="0" w:space="0" w:color="auto"/>
        <w:right w:val="none" w:sz="0" w:space="0" w:color="auto"/>
      </w:divBdr>
    </w:div>
    <w:div w:id="1445464921">
      <w:bodyDiv w:val="1"/>
      <w:marLeft w:val="0"/>
      <w:marRight w:val="0"/>
      <w:marTop w:val="0"/>
      <w:marBottom w:val="0"/>
      <w:divBdr>
        <w:top w:val="none" w:sz="0" w:space="0" w:color="auto"/>
        <w:left w:val="none" w:sz="0" w:space="0" w:color="auto"/>
        <w:bottom w:val="none" w:sz="0" w:space="0" w:color="auto"/>
        <w:right w:val="none" w:sz="0" w:space="0" w:color="auto"/>
      </w:divBdr>
    </w:div>
    <w:div w:id="1466042299">
      <w:bodyDiv w:val="1"/>
      <w:marLeft w:val="0"/>
      <w:marRight w:val="0"/>
      <w:marTop w:val="0"/>
      <w:marBottom w:val="0"/>
      <w:divBdr>
        <w:top w:val="none" w:sz="0" w:space="0" w:color="auto"/>
        <w:left w:val="none" w:sz="0" w:space="0" w:color="auto"/>
        <w:bottom w:val="none" w:sz="0" w:space="0" w:color="auto"/>
        <w:right w:val="none" w:sz="0" w:space="0" w:color="auto"/>
      </w:divBdr>
    </w:div>
    <w:div w:id="1473061450">
      <w:bodyDiv w:val="1"/>
      <w:marLeft w:val="0"/>
      <w:marRight w:val="0"/>
      <w:marTop w:val="0"/>
      <w:marBottom w:val="0"/>
      <w:divBdr>
        <w:top w:val="none" w:sz="0" w:space="0" w:color="auto"/>
        <w:left w:val="none" w:sz="0" w:space="0" w:color="auto"/>
        <w:bottom w:val="none" w:sz="0" w:space="0" w:color="auto"/>
        <w:right w:val="none" w:sz="0" w:space="0" w:color="auto"/>
      </w:divBdr>
    </w:div>
    <w:div w:id="1476407834">
      <w:bodyDiv w:val="1"/>
      <w:marLeft w:val="0"/>
      <w:marRight w:val="0"/>
      <w:marTop w:val="0"/>
      <w:marBottom w:val="0"/>
      <w:divBdr>
        <w:top w:val="none" w:sz="0" w:space="0" w:color="auto"/>
        <w:left w:val="none" w:sz="0" w:space="0" w:color="auto"/>
        <w:bottom w:val="none" w:sz="0" w:space="0" w:color="auto"/>
        <w:right w:val="none" w:sz="0" w:space="0" w:color="auto"/>
      </w:divBdr>
    </w:div>
    <w:div w:id="1536312127">
      <w:bodyDiv w:val="1"/>
      <w:marLeft w:val="0"/>
      <w:marRight w:val="0"/>
      <w:marTop w:val="0"/>
      <w:marBottom w:val="0"/>
      <w:divBdr>
        <w:top w:val="none" w:sz="0" w:space="0" w:color="auto"/>
        <w:left w:val="none" w:sz="0" w:space="0" w:color="auto"/>
        <w:bottom w:val="none" w:sz="0" w:space="0" w:color="auto"/>
        <w:right w:val="none" w:sz="0" w:space="0" w:color="auto"/>
      </w:divBdr>
    </w:div>
    <w:div w:id="1543059475">
      <w:bodyDiv w:val="1"/>
      <w:marLeft w:val="0"/>
      <w:marRight w:val="0"/>
      <w:marTop w:val="0"/>
      <w:marBottom w:val="0"/>
      <w:divBdr>
        <w:top w:val="none" w:sz="0" w:space="0" w:color="auto"/>
        <w:left w:val="none" w:sz="0" w:space="0" w:color="auto"/>
        <w:bottom w:val="none" w:sz="0" w:space="0" w:color="auto"/>
        <w:right w:val="none" w:sz="0" w:space="0" w:color="auto"/>
      </w:divBdr>
    </w:div>
    <w:div w:id="1545562060">
      <w:bodyDiv w:val="1"/>
      <w:marLeft w:val="0"/>
      <w:marRight w:val="0"/>
      <w:marTop w:val="0"/>
      <w:marBottom w:val="0"/>
      <w:divBdr>
        <w:top w:val="none" w:sz="0" w:space="0" w:color="auto"/>
        <w:left w:val="none" w:sz="0" w:space="0" w:color="auto"/>
        <w:bottom w:val="none" w:sz="0" w:space="0" w:color="auto"/>
        <w:right w:val="none" w:sz="0" w:space="0" w:color="auto"/>
      </w:divBdr>
    </w:div>
    <w:div w:id="1576861835">
      <w:bodyDiv w:val="1"/>
      <w:marLeft w:val="0"/>
      <w:marRight w:val="0"/>
      <w:marTop w:val="0"/>
      <w:marBottom w:val="0"/>
      <w:divBdr>
        <w:top w:val="none" w:sz="0" w:space="0" w:color="auto"/>
        <w:left w:val="none" w:sz="0" w:space="0" w:color="auto"/>
        <w:bottom w:val="none" w:sz="0" w:space="0" w:color="auto"/>
        <w:right w:val="none" w:sz="0" w:space="0" w:color="auto"/>
      </w:divBdr>
    </w:div>
    <w:div w:id="1600063870">
      <w:bodyDiv w:val="1"/>
      <w:marLeft w:val="0"/>
      <w:marRight w:val="0"/>
      <w:marTop w:val="0"/>
      <w:marBottom w:val="0"/>
      <w:divBdr>
        <w:top w:val="none" w:sz="0" w:space="0" w:color="auto"/>
        <w:left w:val="none" w:sz="0" w:space="0" w:color="auto"/>
        <w:bottom w:val="none" w:sz="0" w:space="0" w:color="auto"/>
        <w:right w:val="none" w:sz="0" w:space="0" w:color="auto"/>
      </w:divBdr>
    </w:div>
    <w:div w:id="1601180590">
      <w:bodyDiv w:val="1"/>
      <w:marLeft w:val="0"/>
      <w:marRight w:val="0"/>
      <w:marTop w:val="0"/>
      <w:marBottom w:val="0"/>
      <w:divBdr>
        <w:top w:val="none" w:sz="0" w:space="0" w:color="auto"/>
        <w:left w:val="none" w:sz="0" w:space="0" w:color="auto"/>
        <w:bottom w:val="none" w:sz="0" w:space="0" w:color="auto"/>
        <w:right w:val="none" w:sz="0" w:space="0" w:color="auto"/>
      </w:divBdr>
    </w:div>
    <w:div w:id="1619946536">
      <w:bodyDiv w:val="1"/>
      <w:marLeft w:val="0"/>
      <w:marRight w:val="0"/>
      <w:marTop w:val="0"/>
      <w:marBottom w:val="0"/>
      <w:divBdr>
        <w:top w:val="none" w:sz="0" w:space="0" w:color="auto"/>
        <w:left w:val="none" w:sz="0" w:space="0" w:color="auto"/>
        <w:bottom w:val="none" w:sz="0" w:space="0" w:color="auto"/>
        <w:right w:val="none" w:sz="0" w:space="0" w:color="auto"/>
      </w:divBdr>
    </w:div>
    <w:div w:id="1631202361">
      <w:bodyDiv w:val="1"/>
      <w:marLeft w:val="0"/>
      <w:marRight w:val="0"/>
      <w:marTop w:val="0"/>
      <w:marBottom w:val="0"/>
      <w:divBdr>
        <w:top w:val="none" w:sz="0" w:space="0" w:color="auto"/>
        <w:left w:val="none" w:sz="0" w:space="0" w:color="auto"/>
        <w:bottom w:val="none" w:sz="0" w:space="0" w:color="auto"/>
        <w:right w:val="none" w:sz="0" w:space="0" w:color="auto"/>
      </w:divBdr>
    </w:div>
    <w:div w:id="1647121427">
      <w:bodyDiv w:val="1"/>
      <w:marLeft w:val="0"/>
      <w:marRight w:val="0"/>
      <w:marTop w:val="0"/>
      <w:marBottom w:val="0"/>
      <w:divBdr>
        <w:top w:val="none" w:sz="0" w:space="0" w:color="auto"/>
        <w:left w:val="none" w:sz="0" w:space="0" w:color="auto"/>
        <w:bottom w:val="none" w:sz="0" w:space="0" w:color="auto"/>
        <w:right w:val="none" w:sz="0" w:space="0" w:color="auto"/>
      </w:divBdr>
    </w:div>
    <w:div w:id="1696812220">
      <w:bodyDiv w:val="1"/>
      <w:marLeft w:val="0"/>
      <w:marRight w:val="0"/>
      <w:marTop w:val="0"/>
      <w:marBottom w:val="0"/>
      <w:divBdr>
        <w:top w:val="none" w:sz="0" w:space="0" w:color="auto"/>
        <w:left w:val="none" w:sz="0" w:space="0" w:color="auto"/>
        <w:bottom w:val="none" w:sz="0" w:space="0" w:color="auto"/>
        <w:right w:val="none" w:sz="0" w:space="0" w:color="auto"/>
      </w:divBdr>
    </w:div>
    <w:div w:id="1700815671">
      <w:bodyDiv w:val="1"/>
      <w:marLeft w:val="0"/>
      <w:marRight w:val="0"/>
      <w:marTop w:val="0"/>
      <w:marBottom w:val="0"/>
      <w:divBdr>
        <w:top w:val="none" w:sz="0" w:space="0" w:color="auto"/>
        <w:left w:val="none" w:sz="0" w:space="0" w:color="auto"/>
        <w:bottom w:val="none" w:sz="0" w:space="0" w:color="auto"/>
        <w:right w:val="none" w:sz="0" w:space="0" w:color="auto"/>
      </w:divBdr>
    </w:div>
    <w:div w:id="1764565587">
      <w:bodyDiv w:val="1"/>
      <w:marLeft w:val="0"/>
      <w:marRight w:val="0"/>
      <w:marTop w:val="0"/>
      <w:marBottom w:val="0"/>
      <w:divBdr>
        <w:top w:val="none" w:sz="0" w:space="0" w:color="auto"/>
        <w:left w:val="none" w:sz="0" w:space="0" w:color="auto"/>
        <w:bottom w:val="none" w:sz="0" w:space="0" w:color="auto"/>
        <w:right w:val="none" w:sz="0" w:space="0" w:color="auto"/>
      </w:divBdr>
    </w:div>
    <w:div w:id="1768844111">
      <w:bodyDiv w:val="1"/>
      <w:marLeft w:val="0"/>
      <w:marRight w:val="0"/>
      <w:marTop w:val="0"/>
      <w:marBottom w:val="0"/>
      <w:divBdr>
        <w:top w:val="none" w:sz="0" w:space="0" w:color="auto"/>
        <w:left w:val="none" w:sz="0" w:space="0" w:color="auto"/>
        <w:bottom w:val="none" w:sz="0" w:space="0" w:color="auto"/>
        <w:right w:val="none" w:sz="0" w:space="0" w:color="auto"/>
      </w:divBdr>
    </w:div>
    <w:div w:id="1778259017">
      <w:bodyDiv w:val="1"/>
      <w:marLeft w:val="0"/>
      <w:marRight w:val="0"/>
      <w:marTop w:val="0"/>
      <w:marBottom w:val="0"/>
      <w:divBdr>
        <w:top w:val="none" w:sz="0" w:space="0" w:color="auto"/>
        <w:left w:val="none" w:sz="0" w:space="0" w:color="auto"/>
        <w:bottom w:val="none" w:sz="0" w:space="0" w:color="auto"/>
        <w:right w:val="none" w:sz="0" w:space="0" w:color="auto"/>
      </w:divBdr>
    </w:div>
    <w:div w:id="1806237734">
      <w:bodyDiv w:val="1"/>
      <w:marLeft w:val="0"/>
      <w:marRight w:val="0"/>
      <w:marTop w:val="0"/>
      <w:marBottom w:val="0"/>
      <w:divBdr>
        <w:top w:val="none" w:sz="0" w:space="0" w:color="auto"/>
        <w:left w:val="none" w:sz="0" w:space="0" w:color="auto"/>
        <w:bottom w:val="none" w:sz="0" w:space="0" w:color="auto"/>
        <w:right w:val="none" w:sz="0" w:space="0" w:color="auto"/>
      </w:divBdr>
    </w:div>
    <w:div w:id="1808165568">
      <w:bodyDiv w:val="1"/>
      <w:marLeft w:val="0"/>
      <w:marRight w:val="0"/>
      <w:marTop w:val="0"/>
      <w:marBottom w:val="0"/>
      <w:divBdr>
        <w:top w:val="none" w:sz="0" w:space="0" w:color="auto"/>
        <w:left w:val="none" w:sz="0" w:space="0" w:color="auto"/>
        <w:bottom w:val="none" w:sz="0" w:space="0" w:color="auto"/>
        <w:right w:val="none" w:sz="0" w:space="0" w:color="auto"/>
      </w:divBdr>
    </w:div>
    <w:div w:id="1812869598">
      <w:bodyDiv w:val="1"/>
      <w:marLeft w:val="0"/>
      <w:marRight w:val="0"/>
      <w:marTop w:val="0"/>
      <w:marBottom w:val="0"/>
      <w:divBdr>
        <w:top w:val="none" w:sz="0" w:space="0" w:color="auto"/>
        <w:left w:val="none" w:sz="0" w:space="0" w:color="auto"/>
        <w:bottom w:val="none" w:sz="0" w:space="0" w:color="auto"/>
        <w:right w:val="none" w:sz="0" w:space="0" w:color="auto"/>
      </w:divBdr>
    </w:div>
    <w:div w:id="1843815498">
      <w:bodyDiv w:val="1"/>
      <w:marLeft w:val="0"/>
      <w:marRight w:val="0"/>
      <w:marTop w:val="0"/>
      <w:marBottom w:val="0"/>
      <w:divBdr>
        <w:top w:val="none" w:sz="0" w:space="0" w:color="auto"/>
        <w:left w:val="none" w:sz="0" w:space="0" w:color="auto"/>
        <w:bottom w:val="none" w:sz="0" w:space="0" w:color="auto"/>
        <w:right w:val="none" w:sz="0" w:space="0" w:color="auto"/>
      </w:divBdr>
    </w:div>
    <w:div w:id="1844202821">
      <w:bodyDiv w:val="1"/>
      <w:marLeft w:val="0"/>
      <w:marRight w:val="0"/>
      <w:marTop w:val="0"/>
      <w:marBottom w:val="0"/>
      <w:divBdr>
        <w:top w:val="none" w:sz="0" w:space="0" w:color="auto"/>
        <w:left w:val="none" w:sz="0" w:space="0" w:color="auto"/>
        <w:bottom w:val="none" w:sz="0" w:space="0" w:color="auto"/>
        <w:right w:val="none" w:sz="0" w:space="0" w:color="auto"/>
      </w:divBdr>
    </w:div>
    <w:div w:id="1851064633">
      <w:bodyDiv w:val="1"/>
      <w:marLeft w:val="0"/>
      <w:marRight w:val="0"/>
      <w:marTop w:val="0"/>
      <w:marBottom w:val="0"/>
      <w:divBdr>
        <w:top w:val="none" w:sz="0" w:space="0" w:color="auto"/>
        <w:left w:val="none" w:sz="0" w:space="0" w:color="auto"/>
        <w:bottom w:val="none" w:sz="0" w:space="0" w:color="auto"/>
        <w:right w:val="none" w:sz="0" w:space="0" w:color="auto"/>
      </w:divBdr>
    </w:div>
    <w:div w:id="1864660694">
      <w:bodyDiv w:val="1"/>
      <w:marLeft w:val="0"/>
      <w:marRight w:val="0"/>
      <w:marTop w:val="0"/>
      <w:marBottom w:val="0"/>
      <w:divBdr>
        <w:top w:val="none" w:sz="0" w:space="0" w:color="auto"/>
        <w:left w:val="none" w:sz="0" w:space="0" w:color="auto"/>
        <w:bottom w:val="none" w:sz="0" w:space="0" w:color="auto"/>
        <w:right w:val="none" w:sz="0" w:space="0" w:color="auto"/>
      </w:divBdr>
    </w:div>
    <w:div w:id="1865551451">
      <w:bodyDiv w:val="1"/>
      <w:marLeft w:val="0"/>
      <w:marRight w:val="0"/>
      <w:marTop w:val="0"/>
      <w:marBottom w:val="0"/>
      <w:divBdr>
        <w:top w:val="none" w:sz="0" w:space="0" w:color="auto"/>
        <w:left w:val="none" w:sz="0" w:space="0" w:color="auto"/>
        <w:bottom w:val="none" w:sz="0" w:space="0" w:color="auto"/>
        <w:right w:val="none" w:sz="0" w:space="0" w:color="auto"/>
      </w:divBdr>
    </w:div>
    <w:div w:id="1869444286">
      <w:bodyDiv w:val="1"/>
      <w:marLeft w:val="0"/>
      <w:marRight w:val="0"/>
      <w:marTop w:val="0"/>
      <w:marBottom w:val="0"/>
      <w:divBdr>
        <w:top w:val="none" w:sz="0" w:space="0" w:color="auto"/>
        <w:left w:val="none" w:sz="0" w:space="0" w:color="auto"/>
        <w:bottom w:val="none" w:sz="0" w:space="0" w:color="auto"/>
        <w:right w:val="none" w:sz="0" w:space="0" w:color="auto"/>
      </w:divBdr>
    </w:div>
    <w:div w:id="1961103114">
      <w:bodyDiv w:val="1"/>
      <w:marLeft w:val="0"/>
      <w:marRight w:val="0"/>
      <w:marTop w:val="0"/>
      <w:marBottom w:val="0"/>
      <w:divBdr>
        <w:top w:val="none" w:sz="0" w:space="0" w:color="auto"/>
        <w:left w:val="none" w:sz="0" w:space="0" w:color="auto"/>
        <w:bottom w:val="none" w:sz="0" w:space="0" w:color="auto"/>
        <w:right w:val="none" w:sz="0" w:space="0" w:color="auto"/>
      </w:divBdr>
    </w:div>
    <w:div w:id="1967808437">
      <w:bodyDiv w:val="1"/>
      <w:marLeft w:val="0"/>
      <w:marRight w:val="0"/>
      <w:marTop w:val="0"/>
      <w:marBottom w:val="0"/>
      <w:divBdr>
        <w:top w:val="none" w:sz="0" w:space="0" w:color="auto"/>
        <w:left w:val="none" w:sz="0" w:space="0" w:color="auto"/>
        <w:bottom w:val="none" w:sz="0" w:space="0" w:color="auto"/>
        <w:right w:val="none" w:sz="0" w:space="0" w:color="auto"/>
      </w:divBdr>
    </w:div>
    <w:div w:id="2022707587">
      <w:bodyDiv w:val="1"/>
      <w:marLeft w:val="0"/>
      <w:marRight w:val="0"/>
      <w:marTop w:val="0"/>
      <w:marBottom w:val="0"/>
      <w:divBdr>
        <w:top w:val="none" w:sz="0" w:space="0" w:color="auto"/>
        <w:left w:val="none" w:sz="0" w:space="0" w:color="auto"/>
        <w:bottom w:val="none" w:sz="0" w:space="0" w:color="auto"/>
        <w:right w:val="none" w:sz="0" w:space="0" w:color="auto"/>
      </w:divBdr>
    </w:div>
    <w:div w:id="2036420407">
      <w:bodyDiv w:val="1"/>
      <w:marLeft w:val="0"/>
      <w:marRight w:val="0"/>
      <w:marTop w:val="0"/>
      <w:marBottom w:val="0"/>
      <w:divBdr>
        <w:top w:val="none" w:sz="0" w:space="0" w:color="auto"/>
        <w:left w:val="none" w:sz="0" w:space="0" w:color="auto"/>
        <w:bottom w:val="none" w:sz="0" w:space="0" w:color="auto"/>
        <w:right w:val="none" w:sz="0" w:space="0" w:color="auto"/>
      </w:divBdr>
    </w:div>
    <w:div w:id="2073456231">
      <w:bodyDiv w:val="1"/>
      <w:marLeft w:val="0"/>
      <w:marRight w:val="0"/>
      <w:marTop w:val="0"/>
      <w:marBottom w:val="0"/>
      <w:divBdr>
        <w:top w:val="none" w:sz="0" w:space="0" w:color="auto"/>
        <w:left w:val="none" w:sz="0" w:space="0" w:color="auto"/>
        <w:bottom w:val="none" w:sz="0" w:space="0" w:color="auto"/>
        <w:right w:val="none" w:sz="0" w:space="0" w:color="auto"/>
      </w:divBdr>
    </w:div>
    <w:div w:id="2074040094">
      <w:bodyDiv w:val="1"/>
      <w:marLeft w:val="0"/>
      <w:marRight w:val="0"/>
      <w:marTop w:val="0"/>
      <w:marBottom w:val="0"/>
      <w:divBdr>
        <w:top w:val="none" w:sz="0" w:space="0" w:color="auto"/>
        <w:left w:val="none" w:sz="0" w:space="0" w:color="auto"/>
        <w:bottom w:val="none" w:sz="0" w:space="0" w:color="auto"/>
        <w:right w:val="none" w:sz="0" w:space="0" w:color="auto"/>
      </w:divBdr>
    </w:div>
    <w:div w:id="2106723773">
      <w:bodyDiv w:val="1"/>
      <w:marLeft w:val="0"/>
      <w:marRight w:val="0"/>
      <w:marTop w:val="0"/>
      <w:marBottom w:val="0"/>
      <w:divBdr>
        <w:top w:val="none" w:sz="0" w:space="0" w:color="auto"/>
        <w:left w:val="none" w:sz="0" w:space="0" w:color="auto"/>
        <w:bottom w:val="none" w:sz="0" w:space="0" w:color="auto"/>
        <w:right w:val="none" w:sz="0" w:space="0" w:color="auto"/>
      </w:divBdr>
    </w:div>
    <w:div w:id="2119062798">
      <w:bodyDiv w:val="1"/>
      <w:marLeft w:val="0"/>
      <w:marRight w:val="0"/>
      <w:marTop w:val="0"/>
      <w:marBottom w:val="0"/>
      <w:divBdr>
        <w:top w:val="none" w:sz="0" w:space="0" w:color="auto"/>
        <w:left w:val="none" w:sz="0" w:space="0" w:color="auto"/>
        <w:bottom w:val="none" w:sz="0" w:space="0" w:color="auto"/>
        <w:right w:val="none" w:sz="0" w:space="0" w:color="auto"/>
      </w:divBdr>
    </w:div>
    <w:div w:id="2121952961">
      <w:bodyDiv w:val="1"/>
      <w:marLeft w:val="0"/>
      <w:marRight w:val="0"/>
      <w:marTop w:val="0"/>
      <w:marBottom w:val="0"/>
      <w:divBdr>
        <w:top w:val="none" w:sz="0" w:space="0" w:color="auto"/>
        <w:left w:val="none" w:sz="0" w:space="0" w:color="auto"/>
        <w:bottom w:val="none" w:sz="0" w:space="0" w:color="auto"/>
        <w:right w:val="none" w:sz="0" w:space="0" w:color="auto"/>
      </w:divBdr>
    </w:div>
    <w:div w:id="2124033865">
      <w:bodyDiv w:val="1"/>
      <w:marLeft w:val="0"/>
      <w:marRight w:val="0"/>
      <w:marTop w:val="0"/>
      <w:marBottom w:val="0"/>
      <w:divBdr>
        <w:top w:val="none" w:sz="0" w:space="0" w:color="auto"/>
        <w:left w:val="none" w:sz="0" w:space="0" w:color="auto"/>
        <w:bottom w:val="none" w:sz="0" w:space="0" w:color="auto"/>
        <w:right w:val="none" w:sz="0" w:space="0" w:color="auto"/>
      </w:divBdr>
    </w:div>
    <w:div w:id="2128817404">
      <w:bodyDiv w:val="1"/>
      <w:marLeft w:val="0"/>
      <w:marRight w:val="0"/>
      <w:marTop w:val="0"/>
      <w:marBottom w:val="0"/>
      <w:divBdr>
        <w:top w:val="none" w:sz="0" w:space="0" w:color="auto"/>
        <w:left w:val="none" w:sz="0" w:space="0" w:color="auto"/>
        <w:bottom w:val="none" w:sz="0" w:space="0" w:color="auto"/>
        <w:right w:val="none" w:sz="0" w:space="0" w:color="auto"/>
      </w:divBdr>
    </w:div>
    <w:div w:id="2129624092">
      <w:bodyDiv w:val="1"/>
      <w:marLeft w:val="0"/>
      <w:marRight w:val="0"/>
      <w:marTop w:val="0"/>
      <w:marBottom w:val="0"/>
      <w:divBdr>
        <w:top w:val="none" w:sz="0" w:space="0" w:color="auto"/>
        <w:left w:val="none" w:sz="0" w:space="0" w:color="auto"/>
        <w:bottom w:val="none" w:sz="0" w:space="0" w:color="auto"/>
        <w:right w:val="none" w:sz="0" w:space="0" w:color="auto"/>
      </w:divBdr>
    </w:div>
    <w:div w:id="2140956890">
      <w:bodyDiv w:val="1"/>
      <w:marLeft w:val="0"/>
      <w:marRight w:val="0"/>
      <w:marTop w:val="0"/>
      <w:marBottom w:val="0"/>
      <w:divBdr>
        <w:top w:val="none" w:sz="0" w:space="0" w:color="auto"/>
        <w:left w:val="none" w:sz="0" w:space="0" w:color="auto"/>
        <w:bottom w:val="none" w:sz="0" w:space="0" w:color="auto"/>
        <w:right w:val="none" w:sz="0" w:space="0" w:color="auto"/>
      </w:divBdr>
    </w:div>
    <w:div w:id="2142572666">
      <w:bodyDiv w:val="1"/>
      <w:marLeft w:val="0"/>
      <w:marRight w:val="0"/>
      <w:marTop w:val="0"/>
      <w:marBottom w:val="0"/>
      <w:divBdr>
        <w:top w:val="none" w:sz="0" w:space="0" w:color="auto"/>
        <w:left w:val="none" w:sz="0" w:space="0" w:color="auto"/>
        <w:bottom w:val="none" w:sz="0" w:space="0" w:color="auto"/>
        <w:right w:val="none" w:sz="0" w:space="0" w:color="auto"/>
      </w:divBdr>
    </w:div>
    <w:div w:id="2146972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f.nice.org.uk/medicinal-forms/ondansetr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90C1DE-D05F-4536-939A-DBE8A30A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16048</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Abstract</vt:lpstr>
      <vt:lpstr/>
      <vt:lpstr>Introduction</vt:lpstr>
      <vt:lpstr>    Method</vt:lpstr>
      <vt:lpstr>    </vt:lpstr>
      <vt:lpstr>    Results</vt:lpstr>
      <vt:lpstr>    </vt:lpstr>
      <vt:lpstr>    Discussion</vt:lpstr>
      <vt:lpstr/>
      <vt:lpstr>Conclusion</vt:lpstr>
      <vt:lpstr>References</vt:lpstr>
    </vt:vector>
  </TitlesOfParts>
  <Company>The University of Liverpool</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Alden-Bennett</dc:creator>
  <cp:lastModifiedBy>Bridge, Pete</cp:lastModifiedBy>
  <cp:revision>4</cp:revision>
  <cp:lastPrinted>2020-02-17T15:51:00Z</cp:lastPrinted>
  <dcterms:created xsi:type="dcterms:W3CDTF">2021-02-09T21:37:00Z</dcterms:created>
  <dcterms:modified xsi:type="dcterms:W3CDTF">2021-02-09T21:38:00Z</dcterms:modified>
</cp:coreProperties>
</file>