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1887" w14:textId="4BBBDC53" w:rsidR="00B12AE0" w:rsidRPr="00A64B10" w:rsidRDefault="00D33DBC" w:rsidP="00D33DBC">
      <w:pPr>
        <w:jc w:val="center"/>
        <w:rPr>
          <w:b/>
          <w:sz w:val="24"/>
          <w:szCs w:val="24"/>
        </w:rPr>
      </w:pPr>
      <w:r w:rsidRPr="00A64B10">
        <w:rPr>
          <w:b/>
          <w:sz w:val="24"/>
          <w:szCs w:val="24"/>
        </w:rPr>
        <w:t>Methodological needs</w:t>
      </w:r>
      <w:r w:rsidR="00B12AE0" w:rsidRPr="00A64B10">
        <w:rPr>
          <w:b/>
          <w:sz w:val="24"/>
          <w:szCs w:val="24"/>
        </w:rPr>
        <w:t xml:space="preserve"> in the </w:t>
      </w:r>
      <w:r w:rsidR="0000021E">
        <w:rPr>
          <w:b/>
          <w:sz w:val="24"/>
          <w:szCs w:val="24"/>
        </w:rPr>
        <w:t xml:space="preserve">quality and safety </w:t>
      </w:r>
      <w:r w:rsidR="00B12AE0" w:rsidRPr="00A64B10">
        <w:rPr>
          <w:b/>
          <w:sz w:val="24"/>
          <w:szCs w:val="24"/>
        </w:rPr>
        <w:t>characteri</w:t>
      </w:r>
      <w:r w:rsidR="000173D6">
        <w:rPr>
          <w:b/>
          <w:sz w:val="24"/>
          <w:szCs w:val="24"/>
        </w:rPr>
        <w:t>s</w:t>
      </w:r>
      <w:r w:rsidR="00B12AE0" w:rsidRPr="00A64B10">
        <w:rPr>
          <w:b/>
          <w:sz w:val="24"/>
          <w:szCs w:val="24"/>
        </w:rPr>
        <w:t xml:space="preserve">ation of </w:t>
      </w:r>
      <w:r w:rsidRPr="00A64B10">
        <w:rPr>
          <w:b/>
          <w:sz w:val="24"/>
          <w:szCs w:val="24"/>
        </w:rPr>
        <w:t xml:space="preserve">nanotechnology-based health products: priorities for method </w:t>
      </w:r>
      <w:r w:rsidR="00741EDF" w:rsidRPr="00A64B10">
        <w:rPr>
          <w:b/>
          <w:sz w:val="24"/>
          <w:szCs w:val="24"/>
        </w:rPr>
        <w:t xml:space="preserve">development and </w:t>
      </w:r>
      <w:r w:rsidRPr="00A64B10">
        <w:rPr>
          <w:b/>
          <w:sz w:val="24"/>
          <w:szCs w:val="24"/>
        </w:rPr>
        <w:t>standardisation</w:t>
      </w:r>
    </w:p>
    <w:p w14:paraId="5260B5F4" w14:textId="046AEAA0" w:rsidR="00FE5346" w:rsidRPr="00FC6D0F" w:rsidRDefault="00FE5346" w:rsidP="005A1BA0">
      <w:pPr>
        <w:jc w:val="center"/>
      </w:pPr>
      <w:r w:rsidRPr="000173D6">
        <w:rPr>
          <w:b/>
        </w:rPr>
        <w:t xml:space="preserve"> </w:t>
      </w:r>
      <w:r w:rsidR="00E963AB" w:rsidRPr="00FC6D0F">
        <w:rPr>
          <w:b/>
          <w:vertAlign w:val="superscript"/>
          <w:lang w:val="it-IT"/>
        </w:rPr>
        <w:t>1</w:t>
      </w:r>
      <w:r w:rsidR="00D33DBC" w:rsidRPr="00FC6D0F">
        <w:rPr>
          <w:bCs/>
          <w:lang w:val="it-IT"/>
        </w:rPr>
        <w:t xml:space="preserve">B. </w:t>
      </w:r>
      <w:proofErr w:type="spellStart"/>
      <w:r w:rsidR="00D33DBC" w:rsidRPr="00FC6D0F">
        <w:rPr>
          <w:bCs/>
          <w:lang w:val="it-IT"/>
        </w:rPr>
        <w:t>Halamoda-Kenzaoui</w:t>
      </w:r>
      <w:proofErr w:type="spellEnd"/>
      <w:r w:rsidRPr="00FC6D0F">
        <w:rPr>
          <w:bCs/>
          <w:lang w:val="it-IT"/>
        </w:rPr>
        <w:t xml:space="preserve">, </w:t>
      </w:r>
      <w:r w:rsidR="0035540F" w:rsidRPr="00FC6D0F">
        <w:rPr>
          <w:bCs/>
          <w:vertAlign w:val="superscript"/>
          <w:lang w:val="it-IT"/>
        </w:rPr>
        <w:t>2</w:t>
      </w:r>
      <w:r w:rsidRPr="00FC6D0F">
        <w:rPr>
          <w:bCs/>
          <w:lang w:val="it-IT"/>
        </w:rPr>
        <w:t>R.</w:t>
      </w:r>
      <w:r w:rsidR="00F85DF2" w:rsidRPr="00FC6D0F">
        <w:rPr>
          <w:bCs/>
          <w:lang w:val="it-IT"/>
        </w:rPr>
        <w:t>J.</w:t>
      </w:r>
      <w:r w:rsidRPr="00FC6D0F">
        <w:rPr>
          <w:bCs/>
          <w:lang w:val="it-IT"/>
        </w:rPr>
        <w:t xml:space="preserve"> </w:t>
      </w:r>
      <w:proofErr w:type="spellStart"/>
      <w:r w:rsidRPr="00FC6D0F">
        <w:rPr>
          <w:bCs/>
          <w:lang w:val="it-IT"/>
        </w:rPr>
        <w:t>Vandebriel</w:t>
      </w:r>
      <w:proofErr w:type="spellEnd"/>
      <w:r w:rsidRPr="00FC6D0F">
        <w:rPr>
          <w:bCs/>
          <w:lang w:val="it-IT"/>
        </w:rPr>
        <w:t xml:space="preserve">, </w:t>
      </w:r>
      <w:r w:rsidR="0035540F" w:rsidRPr="00FC6D0F">
        <w:rPr>
          <w:bCs/>
          <w:vertAlign w:val="superscript"/>
          <w:lang w:val="it-IT"/>
        </w:rPr>
        <w:t>3</w:t>
      </w:r>
      <w:r w:rsidRPr="00FC6D0F">
        <w:rPr>
          <w:bCs/>
          <w:lang w:val="it-IT"/>
        </w:rPr>
        <w:t xml:space="preserve">A. </w:t>
      </w:r>
      <w:r w:rsidRPr="00A64B10">
        <w:rPr>
          <w:bCs/>
        </w:rPr>
        <w:t xml:space="preserve">Howarth, </w:t>
      </w:r>
      <w:r w:rsidR="0035540F" w:rsidRPr="00A64B10">
        <w:rPr>
          <w:bCs/>
          <w:vertAlign w:val="superscript"/>
        </w:rPr>
        <w:t>3</w:t>
      </w:r>
      <w:r w:rsidRPr="00A64B10">
        <w:rPr>
          <w:bCs/>
        </w:rPr>
        <w:t xml:space="preserve">M. </w:t>
      </w:r>
      <w:proofErr w:type="spellStart"/>
      <w:r w:rsidRPr="009D3EBB">
        <w:rPr>
          <w:bCs/>
        </w:rPr>
        <w:t>Siccardi</w:t>
      </w:r>
      <w:proofErr w:type="spellEnd"/>
      <w:r w:rsidRPr="009D3EBB">
        <w:rPr>
          <w:bCs/>
        </w:rPr>
        <w:t xml:space="preserve">, </w:t>
      </w:r>
      <w:r w:rsidR="00C7263A" w:rsidRPr="009D3EBB">
        <w:rPr>
          <w:bCs/>
          <w:vertAlign w:val="superscript"/>
        </w:rPr>
        <w:t>3</w:t>
      </w:r>
      <w:r w:rsidR="00C7263A" w:rsidRPr="009D3EBB">
        <w:rPr>
          <w:bCs/>
        </w:rPr>
        <w:t>C.A.W. David,</w:t>
      </w:r>
      <w:r w:rsidR="006F496A" w:rsidRPr="009D3EBB">
        <w:rPr>
          <w:bCs/>
        </w:rPr>
        <w:t xml:space="preserve"> </w:t>
      </w:r>
      <w:r w:rsidR="00C7263A" w:rsidRPr="009D3EBB">
        <w:rPr>
          <w:bCs/>
          <w:vertAlign w:val="superscript"/>
        </w:rPr>
        <w:t>3</w:t>
      </w:r>
      <w:r w:rsidRPr="009D3EBB">
        <w:rPr>
          <w:bCs/>
        </w:rPr>
        <w:t xml:space="preserve">N. </w:t>
      </w:r>
      <w:r w:rsidR="00C7263A" w:rsidRPr="00FC6D0F">
        <w:rPr>
          <w:lang w:val="nl-NL"/>
        </w:rPr>
        <w:t xml:space="preserve">J. </w:t>
      </w:r>
      <w:r w:rsidRPr="00FC6D0F">
        <w:rPr>
          <w:lang w:val="nl-NL"/>
        </w:rPr>
        <w:t xml:space="preserve">Liptrott, </w:t>
      </w:r>
      <w:r w:rsidR="00397E3F" w:rsidRPr="00FC6D0F">
        <w:rPr>
          <w:vertAlign w:val="superscript"/>
          <w:lang w:val="nl-NL"/>
        </w:rPr>
        <w:t>4</w:t>
      </w:r>
      <w:r w:rsidRPr="00FC6D0F">
        <w:rPr>
          <w:lang w:val="nl-NL"/>
        </w:rPr>
        <w:t xml:space="preserve">M. Santin, </w:t>
      </w:r>
      <w:r w:rsidR="00397E3F" w:rsidRPr="00FC6D0F">
        <w:rPr>
          <w:vertAlign w:val="superscript"/>
        </w:rPr>
        <w:t>5</w:t>
      </w:r>
      <w:r w:rsidR="00D33DBC" w:rsidRPr="00FC6D0F">
        <w:t>S</w:t>
      </w:r>
      <w:r w:rsidR="00225E8B" w:rsidRPr="00FC6D0F">
        <w:t>.</w:t>
      </w:r>
      <w:r w:rsidR="00D33DBC" w:rsidRPr="00FC6D0F">
        <w:t>E</w:t>
      </w:r>
      <w:r w:rsidR="00225E8B" w:rsidRPr="00FC6D0F">
        <w:t>.</w:t>
      </w:r>
      <w:r w:rsidR="00D33DBC" w:rsidRPr="00FC6D0F">
        <w:rPr>
          <w:lang w:val="nb-NO"/>
        </w:rPr>
        <w:t xml:space="preserve"> Borgos</w:t>
      </w:r>
      <w:r w:rsidR="00D33DBC" w:rsidRPr="00FC6D0F">
        <w:rPr>
          <w:vertAlign w:val="superscript"/>
          <w:lang w:val="nb-NO"/>
        </w:rPr>
        <w:t>£</w:t>
      </w:r>
      <w:r w:rsidR="00D33DBC" w:rsidRPr="00FC6D0F">
        <w:rPr>
          <w:lang w:val="nb-NO"/>
        </w:rPr>
        <w:t xml:space="preserve">, </w:t>
      </w:r>
      <w:r w:rsidR="00E963AB" w:rsidRPr="00FC6D0F">
        <w:rPr>
          <w:vertAlign w:val="superscript"/>
          <w:lang w:val="nl-NL"/>
        </w:rPr>
        <w:t>1</w:t>
      </w:r>
      <w:r w:rsidR="00225E8B" w:rsidRPr="00FC6D0F">
        <w:rPr>
          <w:lang w:val="nl-NL"/>
        </w:rPr>
        <w:t>S. B</w:t>
      </w:r>
      <w:r w:rsidRPr="00FC6D0F">
        <w:rPr>
          <w:lang w:val="nl-NL"/>
        </w:rPr>
        <w:t>remer-Hoffman</w:t>
      </w:r>
      <w:r w:rsidR="00A1145B" w:rsidRPr="00FC6D0F">
        <w:rPr>
          <w:vertAlign w:val="superscript"/>
          <w:lang w:val="nl-NL"/>
        </w:rPr>
        <w:t>£</w:t>
      </w:r>
      <w:r w:rsidRPr="00FC6D0F">
        <w:rPr>
          <w:lang w:val="nl-NL"/>
        </w:rPr>
        <w:t>,</w:t>
      </w:r>
      <w:r w:rsidR="00F85DF2" w:rsidRPr="00FC6D0F">
        <w:rPr>
          <w:lang w:val="nl-NL"/>
        </w:rPr>
        <w:t xml:space="preserve"> </w:t>
      </w:r>
      <w:r w:rsidR="00397E3F" w:rsidRPr="00FC6D0F">
        <w:rPr>
          <w:vertAlign w:val="superscript"/>
          <w:lang w:val="nl-NL"/>
        </w:rPr>
        <w:t>5</w:t>
      </w:r>
      <w:r w:rsidR="00D33DBC" w:rsidRPr="00FC6D0F">
        <w:rPr>
          <w:lang w:val="nl-NL"/>
        </w:rPr>
        <w:t xml:space="preserve">F. </w:t>
      </w:r>
      <w:r w:rsidR="00D33DBC" w:rsidRPr="00FC6D0F">
        <w:t>Caputo,</w:t>
      </w:r>
    </w:p>
    <w:p w14:paraId="63313358" w14:textId="77777777" w:rsidR="00A1145B" w:rsidRPr="00A64B10" w:rsidRDefault="00A1145B" w:rsidP="005A1BA0">
      <w:pPr>
        <w:jc w:val="center"/>
        <w:rPr>
          <w:bCs/>
        </w:rPr>
      </w:pPr>
      <w:bookmarkStart w:id="0" w:name="_Hlk58507719"/>
      <w:r w:rsidRPr="00A64B10">
        <w:rPr>
          <w:bCs/>
        </w:rPr>
        <w:t xml:space="preserve">£ </w:t>
      </w:r>
      <w:bookmarkEnd w:id="0"/>
      <w:r w:rsidRPr="00A64B10">
        <w:rPr>
          <w:bCs/>
        </w:rPr>
        <w:t xml:space="preserve">Corresponding authors </w:t>
      </w:r>
    </w:p>
    <w:p w14:paraId="718BB1C6" w14:textId="1D7D7436" w:rsidR="00E963AB" w:rsidRPr="00A64B10" w:rsidRDefault="00FC6D0F" w:rsidP="00397E3F">
      <w:pPr>
        <w:jc w:val="center"/>
        <w:rPr>
          <w:bCs/>
        </w:rPr>
      </w:pPr>
      <w:r>
        <w:rPr>
          <w:bCs/>
          <w:vertAlign w:val="superscript"/>
        </w:rPr>
        <w:t>1</w:t>
      </w:r>
      <w:r w:rsidR="00E963AB" w:rsidRPr="00A64B10">
        <w:rPr>
          <w:bCs/>
        </w:rPr>
        <w:t>European Commission</w:t>
      </w:r>
      <w:r w:rsidR="00E0384E">
        <w:rPr>
          <w:bCs/>
        </w:rPr>
        <w:t>,</w:t>
      </w:r>
      <w:r w:rsidR="00E963AB" w:rsidRPr="00A64B10">
        <w:rPr>
          <w:bCs/>
        </w:rPr>
        <w:t xml:space="preserve"> Joint Re</w:t>
      </w:r>
      <w:r w:rsidR="0081087E">
        <w:rPr>
          <w:bCs/>
        </w:rPr>
        <w:t xml:space="preserve">search Centre (JRC), </w:t>
      </w:r>
      <w:proofErr w:type="spellStart"/>
      <w:r w:rsidR="0081087E">
        <w:rPr>
          <w:bCs/>
        </w:rPr>
        <w:t>Ispra</w:t>
      </w:r>
      <w:proofErr w:type="spellEnd"/>
      <w:r w:rsidR="00E963AB" w:rsidRPr="00A64B10">
        <w:rPr>
          <w:bCs/>
        </w:rPr>
        <w:t>, Italy</w:t>
      </w:r>
    </w:p>
    <w:p w14:paraId="172FEDF8" w14:textId="1F298DF3" w:rsidR="00397E3F" w:rsidRPr="00A64B10" w:rsidRDefault="00F85DF2" w:rsidP="00397E3F">
      <w:pPr>
        <w:jc w:val="center"/>
        <w:rPr>
          <w:bCs/>
        </w:rPr>
      </w:pPr>
      <w:r w:rsidRPr="00A64B10">
        <w:rPr>
          <w:bCs/>
          <w:vertAlign w:val="superscript"/>
        </w:rPr>
        <w:t>2</w:t>
      </w:r>
      <w:r w:rsidRPr="00A64B10">
        <w:rPr>
          <w:bCs/>
        </w:rPr>
        <w:t xml:space="preserve">National Institute </w:t>
      </w:r>
      <w:r w:rsidR="00005EA0" w:rsidRPr="00A64B10">
        <w:rPr>
          <w:bCs/>
        </w:rPr>
        <w:t>o</w:t>
      </w:r>
      <w:r w:rsidRPr="00A64B10">
        <w:rPr>
          <w:bCs/>
        </w:rPr>
        <w:t xml:space="preserve">f Public Health and the Environment (RIVM), </w:t>
      </w:r>
      <w:proofErr w:type="spellStart"/>
      <w:r w:rsidRPr="00A64B10">
        <w:rPr>
          <w:bCs/>
        </w:rPr>
        <w:t>Bilthoven</w:t>
      </w:r>
      <w:proofErr w:type="spellEnd"/>
      <w:r w:rsidRPr="00A64B10">
        <w:rPr>
          <w:bCs/>
        </w:rPr>
        <w:t>, the Netherlands</w:t>
      </w:r>
    </w:p>
    <w:p w14:paraId="24C91272" w14:textId="77777777" w:rsidR="00C7263A" w:rsidRPr="00A64B10" w:rsidRDefault="00C7263A" w:rsidP="00397E3F">
      <w:pPr>
        <w:jc w:val="center"/>
        <w:rPr>
          <w:bCs/>
        </w:rPr>
      </w:pPr>
      <w:r w:rsidRPr="00A64B10">
        <w:rPr>
          <w:bCs/>
        </w:rPr>
        <w:t xml:space="preserve"> </w:t>
      </w:r>
      <w:r w:rsidR="00F048F4" w:rsidRPr="00A64B10">
        <w:rPr>
          <w:bCs/>
          <w:vertAlign w:val="superscript"/>
        </w:rPr>
        <w:t>3</w:t>
      </w:r>
      <w:r w:rsidRPr="00A64B10">
        <w:rPr>
          <w:bCs/>
        </w:rPr>
        <w:t>Department of Pharmacology and Therapeutics, Institute of Systems, Molecular and Integrative Biology, University of Liverpool, Liverpool, UK</w:t>
      </w:r>
    </w:p>
    <w:p w14:paraId="50D5609A" w14:textId="2DBB797D" w:rsidR="00603BE0" w:rsidRPr="00A64B10" w:rsidRDefault="00397E3F" w:rsidP="00397E3F">
      <w:pPr>
        <w:jc w:val="center"/>
        <w:rPr>
          <w:bCs/>
        </w:rPr>
      </w:pPr>
      <w:r w:rsidRPr="00A64B10">
        <w:rPr>
          <w:bCs/>
          <w:vertAlign w:val="superscript"/>
        </w:rPr>
        <w:t>4</w:t>
      </w:r>
      <w:r w:rsidR="00603BE0" w:rsidRPr="00A64B10">
        <w:rPr>
          <w:bCs/>
        </w:rPr>
        <w:t>Centre for Regenerative Medicine and Devices, School of Pharmacy and Biomolecular Sciences, University of Brighton, Brighton, UK</w:t>
      </w:r>
    </w:p>
    <w:p w14:paraId="24E7CED6" w14:textId="1537C593" w:rsidR="00FD0887" w:rsidRPr="00A64B10" w:rsidRDefault="00397E3F" w:rsidP="00397E3F">
      <w:pPr>
        <w:jc w:val="center"/>
        <w:rPr>
          <w:rFonts w:cstheme="minorHAnsi"/>
        </w:rPr>
      </w:pPr>
      <w:r w:rsidRPr="00A64B10">
        <w:rPr>
          <w:bCs/>
          <w:vertAlign w:val="superscript"/>
        </w:rPr>
        <w:t>5</w:t>
      </w:r>
      <w:r w:rsidR="00FD0887" w:rsidRPr="00A64B10">
        <w:rPr>
          <w:rFonts w:cstheme="minorHAnsi"/>
        </w:rPr>
        <w:t>Department of Biotechnology and Nanomedicine, SINTEF Industry, Trondheim, Norway</w:t>
      </w:r>
    </w:p>
    <w:p w14:paraId="6BF6A7E1" w14:textId="77777777" w:rsidR="00603BE0" w:rsidRPr="00A64B10" w:rsidRDefault="00603BE0" w:rsidP="00F048F4">
      <w:pPr>
        <w:rPr>
          <w:bCs/>
        </w:rPr>
      </w:pPr>
    </w:p>
    <w:p w14:paraId="70934F28" w14:textId="77777777" w:rsidR="0032207B" w:rsidRPr="00A64B10" w:rsidRDefault="0032207B" w:rsidP="0032207B">
      <w:pPr>
        <w:jc w:val="center"/>
        <w:rPr>
          <w:bCs/>
        </w:rPr>
      </w:pPr>
    </w:p>
    <w:p w14:paraId="5E50AB70" w14:textId="77777777" w:rsidR="00E963AB" w:rsidRPr="00A64B10" w:rsidRDefault="00E963AB" w:rsidP="005A1BA0">
      <w:pPr>
        <w:jc w:val="center"/>
        <w:rPr>
          <w:bCs/>
        </w:rPr>
      </w:pPr>
    </w:p>
    <w:p w14:paraId="57CDD5E8" w14:textId="77777777" w:rsidR="0035540F" w:rsidRPr="00A64B10" w:rsidRDefault="0035540F" w:rsidP="005A1BA0">
      <w:pPr>
        <w:jc w:val="center"/>
        <w:rPr>
          <w:bCs/>
        </w:rPr>
      </w:pPr>
    </w:p>
    <w:p w14:paraId="0E94068B" w14:textId="77777777" w:rsidR="0035540F" w:rsidRPr="00A64B10" w:rsidRDefault="0035540F" w:rsidP="005A1BA0">
      <w:pPr>
        <w:jc w:val="center"/>
        <w:rPr>
          <w:bCs/>
        </w:rPr>
      </w:pPr>
    </w:p>
    <w:p w14:paraId="5FCBAD21" w14:textId="77777777" w:rsidR="0035540F" w:rsidRPr="00A64B10" w:rsidRDefault="0035540F" w:rsidP="005A1BA0">
      <w:pPr>
        <w:jc w:val="center"/>
        <w:rPr>
          <w:bCs/>
        </w:rPr>
      </w:pPr>
    </w:p>
    <w:p w14:paraId="23BDB264" w14:textId="77777777" w:rsidR="00E963AB" w:rsidRPr="00A64B10" w:rsidRDefault="00E963AB" w:rsidP="005A1BA0">
      <w:pPr>
        <w:jc w:val="center"/>
        <w:rPr>
          <w:bCs/>
        </w:rPr>
      </w:pPr>
    </w:p>
    <w:p w14:paraId="3F717348" w14:textId="77777777" w:rsidR="00E963AB" w:rsidRPr="00A64B10" w:rsidRDefault="00E963AB" w:rsidP="00E963AB">
      <w:pPr>
        <w:widowControl w:val="0"/>
        <w:tabs>
          <w:tab w:val="left" w:pos="720"/>
          <w:tab w:val="left" w:pos="2835"/>
        </w:tabs>
        <w:overflowPunct w:val="0"/>
        <w:autoSpaceDE w:val="0"/>
        <w:autoSpaceDN w:val="0"/>
        <w:adjustRightInd w:val="0"/>
        <w:spacing w:after="0" w:line="360" w:lineRule="auto"/>
        <w:jc w:val="both"/>
        <w:rPr>
          <w:rFonts w:eastAsia="Times New Roman" w:cstheme="minorHAnsi"/>
          <w:bCs/>
          <w:iCs/>
          <w:sz w:val="20"/>
          <w:szCs w:val="20"/>
          <w:lang w:eastAsia="fr-FR"/>
        </w:rPr>
      </w:pPr>
      <w:r w:rsidRPr="00A64B10">
        <w:rPr>
          <w:rFonts w:eastAsia="Times New Roman" w:cstheme="minorHAnsi"/>
          <w:bCs/>
          <w:iCs/>
          <w:sz w:val="20"/>
          <w:szCs w:val="20"/>
          <w:lang w:eastAsia="fr-FR"/>
        </w:rPr>
        <w:t>£ Corresponding authors:</w:t>
      </w:r>
    </w:p>
    <w:p w14:paraId="4A661C98" w14:textId="77777777" w:rsidR="0000021E" w:rsidRDefault="0000021E" w:rsidP="0000021E">
      <w:pPr>
        <w:pStyle w:val="ListParagraph"/>
        <w:widowControl w:val="0"/>
        <w:numPr>
          <w:ilvl w:val="0"/>
          <w:numId w:val="19"/>
        </w:numPr>
        <w:tabs>
          <w:tab w:val="left" w:pos="720"/>
          <w:tab w:val="left" w:pos="2835"/>
        </w:tabs>
        <w:overflowPunct w:val="0"/>
        <w:autoSpaceDE w:val="0"/>
        <w:autoSpaceDN w:val="0"/>
        <w:adjustRightInd w:val="0"/>
        <w:spacing w:after="0" w:line="360" w:lineRule="auto"/>
        <w:jc w:val="both"/>
        <w:rPr>
          <w:rFonts w:eastAsia="Times New Roman" w:cstheme="minorHAnsi"/>
          <w:bCs/>
          <w:iCs/>
          <w:sz w:val="20"/>
          <w:szCs w:val="20"/>
          <w:lang w:eastAsia="fr-FR"/>
        </w:rPr>
      </w:pPr>
      <w:r>
        <w:rPr>
          <w:rFonts w:eastAsia="Times New Roman" w:cstheme="minorHAnsi"/>
          <w:bCs/>
          <w:iCs/>
          <w:sz w:val="20"/>
          <w:szCs w:val="20"/>
          <w:lang w:eastAsia="fr-FR"/>
        </w:rPr>
        <w:t xml:space="preserve">Regulatory/Standardisation part: </w:t>
      </w:r>
    </w:p>
    <w:p w14:paraId="7E605989" w14:textId="51BFE94D" w:rsidR="00E963AB" w:rsidRPr="0000021E" w:rsidRDefault="00E963AB" w:rsidP="0000021E">
      <w:pPr>
        <w:widowControl w:val="0"/>
        <w:tabs>
          <w:tab w:val="left" w:pos="720"/>
          <w:tab w:val="left" w:pos="2835"/>
        </w:tabs>
        <w:overflowPunct w:val="0"/>
        <w:autoSpaceDE w:val="0"/>
        <w:autoSpaceDN w:val="0"/>
        <w:adjustRightInd w:val="0"/>
        <w:spacing w:after="0" w:line="360" w:lineRule="auto"/>
        <w:jc w:val="both"/>
        <w:rPr>
          <w:rFonts w:eastAsia="Times New Roman" w:cstheme="minorHAnsi"/>
          <w:bCs/>
          <w:iCs/>
          <w:sz w:val="20"/>
          <w:szCs w:val="20"/>
          <w:lang w:eastAsia="fr-FR"/>
        </w:rPr>
      </w:pPr>
      <w:r w:rsidRPr="0000021E">
        <w:rPr>
          <w:rFonts w:eastAsia="Times New Roman" w:cstheme="minorHAnsi"/>
          <w:bCs/>
          <w:iCs/>
          <w:sz w:val="20"/>
          <w:szCs w:val="20"/>
          <w:lang w:eastAsia="fr-FR"/>
        </w:rPr>
        <w:t>Susanne Bremer-Hoffmann</w:t>
      </w:r>
    </w:p>
    <w:p w14:paraId="45616B35" w14:textId="3E7259B1" w:rsidR="00E963AB" w:rsidRPr="00A64B10" w:rsidRDefault="00E963AB" w:rsidP="00E963AB">
      <w:pPr>
        <w:widowControl w:val="0"/>
        <w:tabs>
          <w:tab w:val="left" w:pos="720"/>
          <w:tab w:val="left" w:pos="2835"/>
        </w:tabs>
        <w:overflowPunct w:val="0"/>
        <w:autoSpaceDE w:val="0"/>
        <w:autoSpaceDN w:val="0"/>
        <w:adjustRightInd w:val="0"/>
        <w:spacing w:after="0" w:line="360" w:lineRule="auto"/>
        <w:jc w:val="both"/>
        <w:rPr>
          <w:rFonts w:eastAsia="Times New Roman" w:cstheme="minorHAnsi"/>
          <w:bCs/>
          <w:iCs/>
          <w:sz w:val="20"/>
          <w:szCs w:val="20"/>
          <w:lang w:eastAsia="fr-FR"/>
        </w:rPr>
      </w:pPr>
      <w:r w:rsidRPr="00A64B10">
        <w:rPr>
          <w:rFonts w:eastAsia="Times New Roman" w:cstheme="minorHAnsi"/>
          <w:bCs/>
          <w:iCs/>
          <w:sz w:val="20"/>
          <w:szCs w:val="20"/>
          <w:lang w:eastAsia="fr-FR"/>
        </w:rPr>
        <w:t>E</w:t>
      </w:r>
      <w:r w:rsidR="008D5865">
        <w:rPr>
          <w:rFonts w:eastAsia="Times New Roman" w:cstheme="minorHAnsi"/>
          <w:bCs/>
          <w:iCs/>
          <w:sz w:val="20"/>
          <w:szCs w:val="20"/>
          <w:lang w:eastAsia="fr-FR"/>
        </w:rPr>
        <w:t xml:space="preserve">uropean </w:t>
      </w:r>
      <w:r w:rsidR="00E0384E">
        <w:rPr>
          <w:rFonts w:eastAsia="Times New Roman" w:cstheme="minorHAnsi"/>
          <w:bCs/>
          <w:iCs/>
          <w:sz w:val="20"/>
          <w:szCs w:val="20"/>
          <w:lang w:eastAsia="fr-FR"/>
        </w:rPr>
        <w:t>C</w:t>
      </w:r>
      <w:r w:rsidR="008D5865">
        <w:rPr>
          <w:rFonts w:eastAsia="Times New Roman" w:cstheme="minorHAnsi"/>
          <w:bCs/>
          <w:iCs/>
          <w:sz w:val="20"/>
          <w:szCs w:val="20"/>
          <w:lang w:eastAsia="fr-FR"/>
        </w:rPr>
        <w:t xml:space="preserve">ommission, </w:t>
      </w:r>
      <w:r w:rsidRPr="00A64B10">
        <w:rPr>
          <w:rFonts w:eastAsia="Times New Roman" w:cstheme="minorHAnsi"/>
          <w:bCs/>
          <w:iCs/>
          <w:sz w:val="20"/>
          <w:szCs w:val="20"/>
          <w:lang w:eastAsia="fr-FR"/>
        </w:rPr>
        <w:t>Joint Research Centre</w:t>
      </w:r>
      <w:r w:rsidR="00E0384E">
        <w:rPr>
          <w:rFonts w:eastAsia="Times New Roman" w:cstheme="minorHAnsi"/>
          <w:bCs/>
          <w:iCs/>
          <w:sz w:val="20"/>
          <w:szCs w:val="20"/>
          <w:lang w:eastAsia="fr-FR"/>
        </w:rPr>
        <w:t xml:space="preserve">, </w:t>
      </w:r>
      <w:proofErr w:type="spellStart"/>
      <w:r w:rsidRPr="00A64B10">
        <w:rPr>
          <w:rFonts w:eastAsia="Times New Roman" w:cstheme="minorHAnsi"/>
          <w:bCs/>
          <w:iCs/>
          <w:sz w:val="20"/>
          <w:szCs w:val="20"/>
          <w:lang w:eastAsia="fr-FR"/>
        </w:rPr>
        <w:t>Ispra</w:t>
      </w:r>
      <w:proofErr w:type="spellEnd"/>
      <w:r w:rsidRPr="00A64B10">
        <w:rPr>
          <w:rFonts w:eastAsia="Times New Roman" w:cstheme="minorHAnsi"/>
          <w:bCs/>
          <w:iCs/>
          <w:sz w:val="20"/>
          <w:szCs w:val="20"/>
          <w:lang w:eastAsia="fr-FR"/>
        </w:rPr>
        <w:t>, Italy</w:t>
      </w:r>
    </w:p>
    <w:p w14:paraId="41BDB215" w14:textId="77777777" w:rsidR="00E963AB" w:rsidRPr="00A64B10" w:rsidRDefault="00E963AB" w:rsidP="00E963AB">
      <w:pPr>
        <w:widowControl w:val="0"/>
        <w:tabs>
          <w:tab w:val="left" w:pos="720"/>
          <w:tab w:val="left" w:pos="2835"/>
        </w:tabs>
        <w:overflowPunct w:val="0"/>
        <w:autoSpaceDE w:val="0"/>
        <w:autoSpaceDN w:val="0"/>
        <w:adjustRightInd w:val="0"/>
        <w:spacing w:after="0" w:line="360" w:lineRule="auto"/>
        <w:jc w:val="both"/>
        <w:rPr>
          <w:rFonts w:eastAsia="Times New Roman" w:cstheme="minorHAnsi"/>
          <w:bCs/>
          <w:iCs/>
          <w:sz w:val="20"/>
          <w:szCs w:val="20"/>
          <w:lang w:eastAsia="fr-FR"/>
        </w:rPr>
      </w:pPr>
      <w:r w:rsidRPr="00A64B10">
        <w:rPr>
          <w:rFonts w:eastAsia="Times New Roman" w:cstheme="minorHAnsi"/>
          <w:bCs/>
          <w:iCs/>
          <w:sz w:val="20"/>
          <w:szCs w:val="20"/>
          <w:lang w:eastAsia="fr-FR"/>
        </w:rPr>
        <w:t xml:space="preserve">Email: </w:t>
      </w:r>
      <w:hyperlink r:id="rId11" w:history="1">
        <w:r w:rsidRPr="00A64B10">
          <w:rPr>
            <w:rFonts w:eastAsia="Times New Roman" w:cstheme="minorHAnsi"/>
            <w:bCs/>
            <w:iCs/>
            <w:sz w:val="20"/>
            <w:szCs w:val="20"/>
            <w:lang w:eastAsia="fr-FR"/>
          </w:rPr>
          <w:t>susanne.bremer-hoffmann@ec.europa.eu</w:t>
        </w:r>
      </w:hyperlink>
    </w:p>
    <w:p w14:paraId="25659E88" w14:textId="77777777" w:rsidR="00E963AB" w:rsidRPr="00A64B10" w:rsidRDefault="00E963AB" w:rsidP="00E963AB">
      <w:pPr>
        <w:widowControl w:val="0"/>
        <w:tabs>
          <w:tab w:val="left" w:pos="720"/>
          <w:tab w:val="left" w:pos="2835"/>
        </w:tabs>
        <w:overflowPunct w:val="0"/>
        <w:autoSpaceDE w:val="0"/>
        <w:autoSpaceDN w:val="0"/>
        <w:adjustRightInd w:val="0"/>
        <w:spacing w:after="0" w:line="360" w:lineRule="auto"/>
        <w:jc w:val="both"/>
        <w:rPr>
          <w:rFonts w:eastAsia="Times New Roman" w:cstheme="minorHAnsi"/>
          <w:bCs/>
          <w:iCs/>
          <w:sz w:val="20"/>
          <w:szCs w:val="20"/>
          <w:lang w:eastAsia="fr-FR"/>
        </w:rPr>
      </w:pPr>
    </w:p>
    <w:p w14:paraId="49EC1688" w14:textId="4A0E83A4" w:rsidR="0000021E" w:rsidRDefault="00AE293B" w:rsidP="0000021E">
      <w:pPr>
        <w:pStyle w:val="ListParagraph"/>
        <w:widowControl w:val="0"/>
        <w:numPr>
          <w:ilvl w:val="0"/>
          <w:numId w:val="19"/>
        </w:numPr>
        <w:tabs>
          <w:tab w:val="left" w:pos="720"/>
          <w:tab w:val="left" w:pos="2835"/>
        </w:tabs>
        <w:overflowPunct w:val="0"/>
        <w:autoSpaceDE w:val="0"/>
        <w:autoSpaceDN w:val="0"/>
        <w:adjustRightInd w:val="0"/>
        <w:spacing w:after="0" w:line="360" w:lineRule="auto"/>
        <w:jc w:val="both"/>
        <w:rPr>
          <w:rFonts w:eastAsia="Times New Roman" w:cstheme="minorHAnsi"/>
          <w:bCs/>
          <w:iCs/>
          <w:sz w:val="20"/>
          <w:szCs w:val="20"/>
          <w:lang w:eastAsia="fr-FR"/>
        </w:rPr>
      </w:pPr>
      <w:r>
        <w:rPr>
          <w:rFonts w:eastAsia="Times New Roman" w:cstheme="minorHAnsi"/>
          <w:bCs/>
          <w:iCs/>
          <w:sz w:val="20"/>
          <w:szCs w:val="20"/>
          <w:lang w:eastAsia="fr-FR"/>
        </w:rPr>
        <w:t>C</w:t>
      </w:r>
      <w:r w:rsidR="0000021E">
        <w:rPr>
          <w:rFonts w:eastAsia="Times New Roman" w:cstheme="minorHAnsi"/>
          <w:bCs/>
          <w:iCs/>
          <w:sz w:val="20"/>
          <w:szCs w:val="20"/>
          <w:lang w:eastAsia="fr-FR"/>
        </w:rPr>
        <w:t>haracterisation</w:t>
      </w:r>
      <w:r>
        <w:rPr>
          <w:rFonts w:eastAsia="Times New Roman" w:cstheme="minorHAnsi"/>
          <w:bCs/>
          <w:iCs/>
          <w:sz w:val="20"/>
          <w:szCs w:val="20"/>
          <w:lang w:eastAsia="fr-FR"/>
        </w:rPr>
        <w:t xml:space="preserve"> part</w:t>
      </w:r>
      <w:r w:rsidR="0000021E">
        <w:rPr>
          <w:rFonts w:eastAsia="Times New Roman" w:cstheme="minorHAnsi"/>
          <w:bCs/>
          <w:iCs/>
          <w:sz w:val="20"/>
          <w:szCs w:val="20"/>
          <w:lang w:eastAsia="fr-FR"/>
        </w:rPr>
        <w:t>:</w:t>
      </w:r>
    </w:p>
    <w:p w14:paraId="467F8526" w14:textId="4532D397" w:rsidR="00E963AB" w:rsidRPr="0000021E" w:rsidRDefault="00E963AB" w:rsidP="0000021E">
      <w:pPr>
        <w:widowControl w:val="0"/>
        <w:tabs>
          <w:tab w:val="left" w:pos="720"/>
          <w:tab w:val="left" w:pos="2835"/>
        </w:tabs>
        <w:overflowPunct w:val="0"/>
        <w:autoSpaceDE w:val="0"/>
        <w:autoSpaceDN w:val="0"/>
        <w:adjustRightInd w:val="0"/>
        <w:spacing w:after="0" w:line="360" w:lineRule="auto"/>
        <w:jc w:val="both"/>
        <w:rPr>
          <w:rFonts w:eastAsia="Times New Roman" w:cstheme="minorHAnsi"/>
          <w:bCs/>
          <w:iCs/>
          <w:sz w:val="20"/>
          <w:szCs w:val="20"/>
          <w:lang w:eastAsia="fr-FR"/>
        </w:rPr>
      </w:pPr>
      <w:r w:rsidRPr="0000021E">
        <w:rPr>
          <w:rFonts w:eastAsia="Times New Roman" w:cstheme="minorHAnsi"/>
          <w:bCs/>
          <w:iCs/>
          <w:sz w:val="20"/>
          <w:szCs w:val="20"/>
          <w:lang w:eastAsia="fr-FR"/>
        </w:rPr>
        <w:t xml:space="preserve">Sven </w:t>
      </w:r>
      <w:r w:rsidR="00F85DF2" w:rsidRPr="0000021E">
        <w:rPr>
          <w:rFonts w:eastAsia="Times New Roman" w:cstheme="minorHAnsi"/>
          <w:bCs/>
          <w:iCs/>
          <w:sz w:val="20"/>
          <w:szCs w:val="20"/>
          <w:lang w:eastAsia="fr-FR"/>
        </w:rPr>
        <w:t>E</w:t>
      </w:r>
      <w:r w:rsidRPr="0000021E">
        <w:rPr>
          <w:rFonts w:eastAsia="Times New Roman" w:cstheme="minorHAnsi"/>
          <w:bCs/>
          <w:iCs/>
          <w:sz w:val="20"/>
          <w:szCs w:val="20"/>
          <w:lang w:eastAsia="fr-FR"/>
        </w:rPr>
        <w:t>ven Borgos</w:t>
      </w:r>
    </w:p>
    <w:p w14:paraId="2523D00F" w14:textId="45C75906" w:rsidR="00E963AB" w:rsidRDefault="0000021E" w:rsidP="00E963AB">
      <w:pPr>
        <w:widowControl w:val="0"/>
        <w:tabs>
          <w:tab w:val="left" w:pos="720"/>
          <w:tab w:val="left" w:pos="2835"/>
        </w:tabs>
        <w:overflowPunct w:val="0"/>
        <w:autoSpaceDE w:val="0"/>
        <w:autoSpaceDN w:val="0"/>
        <w:adjustRightInd w:val="0"/>
        <w:spacing w:after="0" w:line="360" w:lineRule="auto"/>
        <w:jc w:val="both"/>
        <w:rPr>
          <w:rFonts w:eastAsia="Times New Roman" w:cstheme="minorHAnsi"/>
          <w:bCs/>
          <w:iCs/>
          <w:sz w:val="20"/>
          <w:szCs w:val="20"/>
          <w:lang w:eastAsia="fr-FR"/>
        </w:rPr>
      </w:pPr>
      <w:r w:rsidRPr="0000021E">
        <w:rPr>
          <w:rFonts w:eastAsia="Times New Roman" w:cstheme="minorHAnsi"/>
          <w:bCs/>
          <w:iCs/>
          <w:sz w:val="20"/>
          <w:szCs w:val="20"/>
          <w:lang w:eastAsia="fr-FR"/>
        </w:rPr>
        <w:t>SINTEF Industry, Trondheim, Norway</w:t>
      </w:r>
    </w:p>
    <w:p w14:paraId="03E81FD6" w14:textId="62ABDB15" w:rsidR="0000021E" w:rsidRPr="00A64B10" w:rsidRDefault="0000021E" w:rsidP="00E963AB">
      <w:pPr>
        <w:widowControl w:val="0"/>
        <w:tabs>
          <w:tab w:val="left" w:pos="720"/>
          <w:tab w:val="left" w:pos="2835"/>
        </w:tabs>
        <w:overflowPunct w:val="0"/>
        <w:autoSpaceDE w:val="0"/>
        <w:autoSpaceDN w:val="0"/>
        <w:adjustRightInd w:val="0"/>
        <w:spacing w:after="0" w:line="360" w:lineRule="auto"/>
        <w:jc w:val="both"/>
        <w:rPr>
          <w:rFonts w:eastAsia="Times New Roman" w:cstheme="minorHAnsi"/>
          <w:bCs/>
          <w:iCs/>
          <w:sz w:val="20"/>
          <w:szCs w:val="20"/>
          <w:lang w:eastAsia="fr-FR"/>
        </w:rPr>
      </w:pPr>
      <w:r>
        <w:rPr>
          <w:rFonts w:eastAsia="Times New Roman" w:cstheme="minorHAnsi"/>
          <w:bCs/>
          <w:iCs/>
          <w:sz w:val="20"/>
          <w:szCs w:val="20"/>
          <w:lang w:eastAsia="fr-FR"/>
        </w:rPr>
        <w:t>Email: SvenEven.Borgos@sintef.no</w:t>
      </w:r>
    </w:p>
    <w:p w14:paraId="69F18D56" w14:textId="77777777" w:rsidR="00E963AB" w:rsidRPr="00A64B10" w:rsidRDefault="00E963AB">
      <w:pPr>
        <w:rPr>
          <w:bCs/>
        </w:rPr>
      </w:pPr>
      <w:r w:rsidRPr="00A64B10">
        <w:rPr>
          <w:bCs/>
        </w:rPr>
        <w:br w:type="page"/>
      </w:r>
    </w:p>
    <w:p w14:paraId="72C81DCA" w14:textId="77777777" w:rsidR="001156DB" w:rsidRPr="00A64B10" w:rsidRDefault="001156DB" w:rsidP="003E2543">
      <w:pPr>
        <w:pStyle w:val="Heading1"/>
      </w:pPr>
      <w:bookmarkStart w:id="1" w:name="_Hlk50535081"/>
      <w:r w:rsidRPr="00A64B10">
        <w:lastRenderedPageBreak/>
        <w:t>Abstract</w:t>
      </w:r>
      <w:r w:rsidR="00881926" w:rsidRPr="00A64B10">
        <w:t>:</w:t>
      </w:r>
    </w:p>
    <w:bookmarkEnd w:id="1"/>
    <w:p w14:paraId="022BD0C3" w14:textId="20B33FFA" w:rsidR="00136CAA" w:rsidRPr="00A64B10" w:rsidRDefault="00F00CA7" w:rsidP="00E963AB">
      <w:pPr>
        <w:jc w:val="both"/>
        <w:rPr>
          <w:rFonts w:ascii="Calibri" w:eastAsia="Calibri" w:hAnsi="Calibri" w:cs="Times New Roman"/>
        </w:rPr>
      </w:pPr>
      <w:r w:rsidRPr="00A64B10">
        <w:rPr>
          <w:rFonts w:ascii="Calibri" w:hAnsi="Calibri" w:cs="Calibri"/>
        </w:rPr>
        <w:t>Nanotechnology</w:t>
      </w:r>
      <w:r w:rsidR="00C47C6B" w:rsidRPr="00A64B10">
        <w:rPr>
          <w:rFonts w:ascii="Calibri" w:hAnsi="Calibri" w:cs="Calibri"/>
        </w:rPr>
        <w:t>-based</w:t>
      </w:r>
      <w:r w:rsidR="00D563A8">
        <w:rPr>
          <w:rFonts w:ascii="Calibri" w:hAnsi="Calibri" w:cs="Calibri"/>
        </w:rPr>
        <w:t xml:space="preserve"> health products </w:t>
      </w:r>
      <w:r w:rsidR="002E6D5D" w:rsidRPr="00A64B10">
        <w:rPr>
          <w:rFonts w:ascii="Calibri" w:hAnsi="Calibri" w:cs="Calibri"/>
        </w:rPr>
        <w:t xml:space="preserve">are providing innovative </w:t>
      </w:r>
      <w:r w:rsidR="00036863" w:rsidRPr="00A64B10">
        <w:rPr>
          <w:rFonts w:ascii="Calibri" w:hAnsi="Calibri" w:cs="Calibri"/>
        </w:rPr>
        <w:t>solution</w:t>
      </w:r>
      <w:r w:rsidR="002E6D5D" w:rsidRPr="00A64B10">
        <w:rPr>
          <w:rFonts w:ascii="Calibri" w:hAnsi="Calibri" w:cs="Calibri"/>
        </w:rPr>
        <w:t xml:space="preserve">s in </w:t>
      </w:r>
      <w:r w:rsidR="00C47C6B" w:rsidRPr="00A64B10">
        <w:rPr>
          <w:rFonts w:ascii="Calibri" w:hAnsi="Calibri" w:cs="Calibri"/>
        </w:rPr>
        <w:t>h</w:t>
      </w:r>
      <w:r w:rsidR="002E6D5D" w:rsidRPr="00A64B10">
        <w:rPr>
          <w:rFonts w:ascii="Calibri" w:hAnsi="Calibri" w:cs="Calibri"/>
        </w:rPr>
        <w:t xml:space="preserve">ealth </w:t>
      </w:r>
      <w:r w:rsidR="00C47C6B" w:rsidRPr="00A64B10">
        <w:rPr>
          <w:rFonts w:ascii="Calibri" w:hAnsi="Calibri" w:cs="Calibri"/>
        </w:rPr>
        <w:t>t</w:t>
      </w:r>
      <w:r w:rsidR="002E6D5D" w:rsidRPr="00A64B10">
        <w:rPr>
          <w:rFonts w:ascii="Calibri" w:hAnsi="Calibri" w:cs="Calibri"/>
        </w:rPr>
        <w:t>echnolog</w:t>
      </w:r>
      <w:r w:rsidR="00C47C6B" w:rsidRPr="00A64B10">
        <w:rPr>
          <w:rFonts w:ascii="Calibri" w:hAnsi="Calibri" w:cs="Calibri"/>
        </w:rPr>
        <w:t>ies</w:t>
      </w:r>
      <w:r w:rsidR="002E6D5D" w:rsidRPr="00A64B10">
        <w:rPr>
          <w:rFonts w:ascii="Calibri" w:hAnsi="Calibri" w:cs="Calibri"/>
        </w:rPr>
        <w:t xml:space="preserve"> and </w:t>
      </w:r>
      <w:r w:rsidR="0032207B" w:rsidRPr="00A64B10">
        <w:rPr>
          <w:rFonts w:ascii="Calibri" w:hAnsi="Calibri" w:cs="Calibri"/>
        </w:rPr>
        <w:t xml:space="preserve">the </w:t>
      </w:r>
      <w:r w:rsidR="002E6D5D" w:rsidRPr="00A64B10">
        <w:rPr>
          <w:rFonts w:ascii="Calibri" w:hAnsi="Calibri" w:cs="Calibri"/>
        </w:rPr>
        <w:t>pharmaceutical field, responding to unmet clinical needs. However,</w:t>
      </w:r>
      <w:r w:rsidR="00D563A8">
        <w:rPr>
          <w:rFonts w:ascii="Calibri" w:hAnsi="Calibri" w:cs="Calibri"/>
        </w:rPr>
        <w:t xml:space="preserve"> </w:t>
      </w:r>
      <w:r w:rsidR="002E6D5D" w:rsidRPr="00A64B10">
        <w:rPr>
          <w:rFonts w:ascii="Calibri" w:hAnsi="Calibri" w:cs="Calibri"/>
        </w:rPr>
        <w:t>suitable standardised metho</w:t>
      </w:r>
      <w:r w:rsidR="00723731" w:rsidRPr="00A64B10">
        <w:rPr>
          <w:rFonts w:ascii="Calibri" w:hAnsi="Calibri" w:cs="Calibri"/>
        </w:rPr>
        <w:t xml:space="preserve">ds need to be available for the </w:t>
      </w:r>
      <w:r w:rsidR="002E6D5D" w:rsidRPr="00A64B10">
        <w:rPr>
          <w:rFonts w:ascii="Calibri" w:hAnsi="Calibri" w:cs="Calibri"/>
        </w:rPr>
        <w:t xml:space="preserve">assessment of quality and safety of </w:t>
      </w:r>
      <w:r w:rsidR="004D53E8" w:rsidRPr="00A64B10">
        <w:rPr>
          <w:rFonts w:ascii="Calibri" w:hAnsi="Calibri" w:cs="Calibri"/>
        </w:rPr>
        <w:t>these innovative products</w:t>
      </w:r>
      <w:r w:rsidR="002E6D5D" w:rsidRPr="00A64B10">
        <w:rPr>
          <w:rFonts w:ascii="Calibri" w:hAnsi="Calibri" w:cs="Calibri"/>
        </w:rPr>
        <w:t xml:space="preserve"> prior to their translation </w:t>
      </w:r>
      <w:r w:rsidR="00E60260">
        <w:rPr>
          <w:rFonts w:ascii="Calibri" w:hAnsi="Calibri" w:cs="Calibri"/>
        </w:rPr>
        <w:t>in</w:t>
      </w:r>
      <w:r w:rsidR="002E6D5D" w:rsidRPr="00A64B10">
        <w:rPr>
          <w:rFonts w:ascii="Calibri" w:hAnsi="Calibri" w:cs="Calibri"/>
        </w:rPr>
        <w:t>to the clinic</w:t>
      </w:r>
      <w:r w:rsidR="00D563A8">
        <w:rPr>
          <w:rFonts w:ascii="Calibri" w:hAnsi="Calibri" w:cs="Calibri"/>
        </w:rPr>
        <w:t xml:space="preserve"> and for</w:t>
      </w:r>
      <w:r w:rsidR="002A3327" w:rsidRPr="00A64B10">
        <w:rPr>
          <w:rFonts w:ascii="Calibri" w:hAnsi="Calibri" w:cs="Calibri"/>
        </w:rPr>
        <w:t xml:space="preserve"> monitor</w:t>
      </w:r>
      <w:r w:rsidR="00D563A8">
        <w:rPr>
          <w:rFonts w:ascii="Calibri" w:hAnsi="Calibri" w:cs="Calibri"/>
        </w:rPr>
        <w:t>ing</w:t>
      </w:r>
      <w:r w:rsidR="002A3327" w:rsidRPr="00A64B10">
        <w:rPr>
          <w:rFonts w:ascii="Calibri" w:hAnsi="Calibri" w:cs="Calibri"/>
        </w:rPr>
        <w:t xml:space="preserve"> </w:t>
      </w:r>
      <w:r w:rsidR="00D563A8">
        <w:rPr>
          <w:rFonts w:ascii="Calibri" w:hAnsi="Calibri" w:cs="Calibri"/>
        </w:rPr>
        <w:t>it</w:t>
      </w:r>
      <w:r w:rsidR="002A3327" w:rsidRPr="00A64B10">
        <w:rPr>
          <w:rFonts w:ascii="Calibri" w:hAnsi="Calibri" w:cs="Calibri"/>
        </w:rPr>
        <w:t xml:space="preserve"> when manufacturing processes are changed</w:t>
      </w:r>
      <w:r w:rsidR="002E6D5D" w:rsidRPr="00A64B10">
        <w:rPr>
          <w:rFonts w:ascii="Calibri" w:hAnsi="Calibri" w:cs="Calibri"/>
        </w:rPr>
        <w:t xml:space="preserve">. </w:t>
      </w:r>
      <w:r w:rsidR="00036863" w:rsidRPr="00A64B10">
        <w:rPr>
          <w:rFonts w:ascii="Calibri" w:hAnsi="Calibri" w:cs="Calibri"/>
        </w:rPr>
        <w:t xml:space="preserve">The question arises which technological solutions are currently available within the scientific community to support the requested characterisation of nanotechnology-based products, and which methodological developments should be prioritized to support product developers in their </w:t>
      </w:r>
      <w:r w:rsidR="00723731" w:rsidRPr="00A64B10">
        <w:rPr>
          <w:rFonts w:ascii="Calibri" w:hAnsi="Calibri" w:cs="Calibri"/>
        </w:rPr>
        <w:t>regulatory</w:t>
      </w:r>
      <w:r w:rsidR="00E0384E">
        <w:rPr>
          <w:rFonts w:ascii="Calibri" w:hAnsi="Calibri" w:cs="Calibri"/>
        </w:rPr>
        <w:t xml:space="preserve"> </w:t>
      </w:r>
      <w:r w:rsidR="00036863" w:rsidRPr="00A64B10">
        <w:rPr>
          <w:rFonts w:ascii="Calibri" w:hAnsi="Calibri" w:cs="Calibri"/>
        </w:rPr>
        <w:t xml:space="preserve">assessment. </w:t>
      </w:r>
      <w:r w:rsidR="0087251B" w:rsidRPr="00A64B10">
        <w:rPr>
          <w:rFonts w:ascii="Calibri" w:hAnsi="Calibri" w:cs="Calibri"/>
        </w:rPr>
        <w:t>To this end, the</w:t>
      </w:r>
      <w:r w:rsidR="002E6D5D" w:rsidRPr="00A64B10">
        <w:rPr>
          <w:rFonts w:ascii="Calibri" w:hAnsi="Calibri" w:cs="Calibri"/>
        </w:rPr>
        <w:t xml:space="preserve"> work</w:t>
      </w:r>
      <w:r w:rsidR="0087251B" w:rsidRPr="00A64B10">
        <w:rPr>
          <w:rFonts w:ascii="Calibri" w:hAnsi="Calibri" w:cs="Calibri"/>
        </w:rPr>
        <w:t xml:space="preserve"> presented </w:t>
      </w:r>
      <w:r w:rsidR="00240CD6">
        <w:rPr>
          <w:rFonts w:ascii="Calibri" w:hAnsi="Calibri" w:cs="Calibri"/>
        </w:rPr>
        <w:t xml:space="preserve">here </w:t>
      </w:r>
      <w:r w:rsidR="0087251B" w:rsidRPr="00A64B10">
        <w:rPr>
          <w:rFonts w:ascii="Calibri" w:hAnsi="Calibri" w:cs="Calibri"/>
        </w:rPr>
        <w:t>explored</w:t>
      </w:r>
      <w:r w:rsidR="002E6D5D" w:rsidRPr="00A64B10">
        <w:rPr>
          <w:rFonts w:ascii="Calibri" w:hAnsi="Calibri" w:cs="Calibri"/>
        </w:rPr>
        <w:t xml:space="preserve"> </w:t>
      </w:r>
      <w:r w:rsidR="0087251B" w:rsidRPr="00A64B10">
        <w:rPr>
          <w:rFonts w:ascii="Calibri" w:hAnsi="Calibri" w:cs="Calibri"/>
        </w:rPr>
        <w:t>the</w:t>
      </w:r>
      <w:r w:rsidR="002E6D5D" w:rsidRPr="00A64B10">
        <w:rPr>
          <w:rFonts w:ascii="Calibri" w:hAnsi="Calibri" w:cs="Calibri"/>
        </w:rPr>
        <w:t xml:space="preserve"> state</w:t>
      </w:r>
      <w:r w:rsidR="00011A44" w:rsidRPr="00A64B10">
        <w:rPr>
          <w:rFonts w:ascii="Calibri" w:hAnsi="Calibri" w:cs="Calibri"/>
        </w:rPr>
        <w:t>-</w:t>
      </w:r>
      <w:r w:rsidR="002E6D5D" w:rsidRPr="00A64B10">
        <w:rPr>
          <w:rFonts w:ascii="Calibri" w:hAnsi="Calibri" w:cs="Calibri"/>
        </w:rPr>
        <w:t>of</w:t>
      </w:r>
      <w:r w:rsidR="00011A44" w:rsidRPr="00A64B10">
        <w:rPr>
          <w:rFonts w:ascii="Calibri" w:hAnsi="Calibri" w:cs="Calibri"/>
        </w:rPr>
        <w:t>-</w:t>
      </w:r>
      <w:r w:rsidR="002E6D5D" w:rsidRPr="00A64B10">
        <w:rPr>
          <w:rFonts w:ascii="Calibri" w:hAnsi="Calibri" w:cs="Calibri"/>
        </w:rPr>
        <w:t>the</w:t>
      </w:r>
      <w:r w:rsidR="00011A44" w:rsidRPr="00A64B10">
        <w:rPr>
          <w:rFonts w:ascii="Calibri" w:hAnsi="Calibri" w:cs="Calibri"/>
        </w:rPr>
        <w:t>-</w:t>
      </w:r>
      <w:r w:rsidR="002E6D5D" w:rsidRPr="00A64B10">
        <w:rPr>
          <w:rFonts w:ascii="Calibri" w:hAnsi="Calibri" w:cs="Calibri"/>
        </w:rPr>
        <w:t xml:space="preserve">art </w:t>
      </w:r>
      <w:r w:rsidR="00136CAA" w:rsidRPr="00A64B10">
        <w:rPr>
          <w:rFonts w:ascii="Calibri" w:hAnsi="Calibri" w:cs="Calibri"/>
        </w:rPr>
        <w:t xml:space="preserve">methods </w:t>
      </w:r>
      <w:r w:rsidR="0087251B" w:rsidRPr="00A64B10">
        <w:rPr>
          <w:rFonts w:ascii="Calibri" w:hAnsi="Calibri" w:cs="Calibri"/>
        </w:rPr>
        <w:t>to identify</w:t>
      </w:r>
      <w:r w:rsidR="002E6D5D" w:rsidRPr="00A64B10">
        <w:rPr>
          <w:rFonts w:ascii="Calibri" w:hAnsi="Calibri" w:cs="Calibri"/>
        </w:rPr>
        <w:t xml:space="preserve"> methodological gaps associated </w:t>
      </w:r>
      <w:r w:rsidR="0032207B" w:rsidRPr="00A64B10">
        <w:rPr>
          <w:rFonts w:ascii="Calibri" w:hAnsi="Calibri" w:cs="Calibri"/>
        </w:rPr>
        <w:t>with</w:t>
      </w:r>
      <w:r w:rsidR="002E6D5D" w:rsidRPr="00A64B10">
        <w:rPr>
          <w:rFonts w:ascii="Calibri" w:hAnsi="Calibri" w:cs="Calibri"/>
        </w:rPr>
        <w:t xml:space="preserve"> the preclinical </w:t>
      </w:r>
      <w:r w:rsidR="0016184F" w:rsidRPr="00A64B10">
        <w:rPr>
          <w:rFonts w:ascii="Calibri" w:hAnsi="Calibri" w:cs="Calibri"/>
        </w:rPr>
        <w:t>characterisation</w:t>
      </w:r>
      <w:r w:rsidR="002E6D5D" w:rsidRPr="00A64B10">
        <w:rPr>
          <w:rFonts w:ascii="Calibri" w:hAnsi="Calibri" w:cs="Calibri"/>
        </w:rPr>
        <w:t xml:space="preserve"> of </w:t>
      </w:r>
      <w:r w:rsidR="004D53E8" w:rsidRPr="00A64B10">
        <w:rPr>
          <w:rFonts w:ascii="Calibri" w:hAnsi="Calibri" w:cs="Calibri"/>
        </w:rPr>
        <w:t>nanotechnology-</w:t>
      </w:r>
      <w:r w:rsidR="002E6D5D" w:rsidRPr="00A64B10">
        <w:rPr>
          <w:rFonts w:ascii="Calibri" w:hAnsi="Calibri" w:cs="Calibri"/>
        </w:rPr>
        <w:t xml:space="preserve">based medicinal products and medical devices. </w:t>
      </w:r>
      <w:r w:rsidR="002E6D5D" w:rsidRPr="00A64B10">
        <w:rPr>
          <w:rFonts w:ascii="Calibri" w:eastAsia="Calibri" w:hAnsi="Calibri" w:cs="Times New Roman"/>
        </w:rPr>
        <w:t>The regulatory information needs</w:t>
      </w:r>
      <w:r w:rsidR="00EC6172">
        <w:rPr>
          <w:rFonts w:ascii="Calibri" w:eastAsia="Calibri" w:hAnsi="Calibri" w:cs="Times New Roman"/>
        </w:rPr>
        <w:t>,</w:t>
      </w:r>
      <w:r w:rsidR="002E6D5D" w:rsidRPr="00A64B10">
        <w:rPr>
          <w:rFonts w:ascii="Calibri" w:eastAsia="Calibri" w:hAnsi="Calibri" w:cs="Times New Roman"/>
        </w:rPr>
        <w:t xml:space="preserve"> </w:t>
      </w:r>
      <w:r w:rsidR="00EC6172">
        <w:rPr>
          <w:rFonts w:ascii="Calibri" w:eastAsia="Calibri" w:hAnsi="Calibri" w:cs="Times New Roman"/>
        </w:rPr>
        <w:t>as</w:t>
      </w:r>
      <w:r w:rsidR="002E6D5D" w:rsidRPr="00A64B10">
        <w:rPr>
          <w:rFonts w:ascii="Calibri" w:eastAsia="Calibri" w:hAnsi="Calibri" w:cs="Times New Roman"/>
        </w:rPr>
        <w:t xml:space="preserve"> expressed by regulatory authorities</w:t>
      </w:r>
      <w:r w:rsidR="00EC6172">
        <w:rPr>
          <w:rFonts w:ascii="Calibri" w:eastAsia="Calibri" w:hAnsi="Calibri" w:cs="Times New Roman"/>
        </w:rPr>
        <w:t>,</w:t>
      </w:r>
      <w:r w:rsidR="002E6D5D" w:rsidRPr="00A64B10">
        <w:rPr>
          <w:rFonts w:ascii="Calibri" w:eastAsia="Calibri" w:hAnsi="Calibri" w:cs="Times New Roman"/>
        </w:rPr>
        <w:t xml:space="preserve"> were extracted from the </w:t>
      </w:r>
      <w:r w:rsidR="00C47C6B" w:rsidRPr="00A64B10">
        <w:rPr>
          <w:rFonts w:ascii="Calibri" w:eastAsia="Calibri" w:hAnsi="Calibri" w:cs="Times New Roman"/>
        </w:rPr>
        <w:t>guidance documents</w:t>
      </w:r>
      <w:r w:rsidR="002E6D5D" w:rsidRPr="00A64B10">
        <w:rPr>
          <w:rFonts w:ascii="Calibri" w:eastAsia="Calibri" w:hAnsi="Calibri" w:cs="Times New Roman"/>
        </w:rPr>
        <w:t xml:space="preserve"> released so far for nanotechnology</w:t>
      </w:r>
      <w:r w:rsidR="00C47C6B" w:rsidRPr="00A64B10">
        <w:rPr>
          <w:rFonts w:ascii="Calibri" w:eastAsia="Calibri" w:hAnsi="Calibri" w:cs="Times New Roman"/>
        </w:rPr>
        <w:t>-based</w:t>
      </w:r>
      <w:r w:rsidR="002E6D5D" w:rsidRPr="00A64B10">
        <w:rPr>
          <w:rFonts w:ascii="Calibri" w:eastAsia="Calibri" w:hAnsi="Calibri" w:cs="Times New Roman"/>
        </w:rPr>
        <w:t xml:space="preserve"> </w:t>
      </w:r>
      <w:r w:rsidR="004D53E8" w:rsidRPr="00A64B10">
        <w:rPr>
          <w:rFonts w:ascii="Calibri" w:eastAsia="Calibri" w:hAnsi="Calibri" w:cs="Times New Roman"/>
        </w:rPr>
        <w:t xml:space="preserve">health </w:t>
      </w:r>
      <w:r w:rsidR="002E6D5D" w:rsidRPr="00A64B10">
        <w:rPr>
          <w:rFonts w:ascii="Calibri" w:eastAsia="Calibri" w:hAnsi="Calibri" w:cs="Times New Roman"/>
        </w:rPr>
        <w:t>products and mapped against available methods</w:t>
      </w:r>
      <w:r w:rsidR="00C9056B">
        <w:rPr>
          <w:rFonts w:ascii="Calibri" w:eastAsia="Calibri" w:hAnsi="Calibri" w:cs="Times New Roman"/>
        </w:rPr>
        <w:t>,</w:t>
      </w:r>
      <w:r w:rsidR="002E6D5D" w:rsidRPr="00A64B10">
        <w:rPr>
          <w:rFonts w:ascii="Calibri" w:eastAsia="Calibri" w:hAnsi="Calibri" w:cs="Times New Roman"/>
        </w:rPr>
        <w:t xml:space="preserve"> </w:t>
      </w:r>
      <w:r w:rsidR="0087251B" w:rsidRPr="00A64B10">
        <w:rPr>
          <w:rFonts w:ascii="Calibri" w:eastAsia="Calibri" w:hAnsi="Calibri" w:cs="Times New Roman"/>
        </w:rPr>
        <w:t xml:space="preserve">thus </w:t>
      </w:r>
      <w:r w:rsidR="002E6D5D" w:rsidRPr="00A64B10">
        <w:rPr>
          <w:rFonts w:ascii="Calibri" w:eastAsia="Calibri" w:hAnsi="Calibri" w:cs="Times New Roman"/>
        </w:rPr>
        <w:t xml:space="preserve">allowing an analysis of methodological </w:t>
      </w:r>
      <w:r w:rsidR="00011A44" w:rsidRPr="00A64B10">
        <w:rPr>
          <w:rFonts w:ascii="Calibri" w:eastAsia="Calibri" w:hAnsi="Calibri" w:cs="Times New Roman"/>
        </w:rPr>
        <w:t>gaps</w:t>
      </w:r>
      <w:r w:rsidR="002E6D5D" w:rsidRPr="00A64B10">
        <w:rPr>
          <w:rFonts w:ascii="Calibri" w:eastAsia="Calibri" w:hAnsi="Calibri" w:cs="Times New Roman"/>
        </w:rPr>
        <w:t xml:space="preserve"> and </w:t>
      </w:r>
      <w:r w:rsidR="00011A44" w:rsidRPr="00A64B10">
        <w:rPr>
          <w:rFonts w:ascii="Calibri" w:eastAsia="Calibri" w:hAnsi="Calibri" w:cs="Times New Roman"/>
        </w:rPr>
        <w:t>needs</w:t>
      </w:r>
      <w:r w:rsidR="002E6D5D" w:rsidRPr="00A64B10">
        <w:rPr>
          <w:rFonts w:ascii="Calibri" w:eastAsia="Calibri" w:hAnsi="Calibri" w:cs="Times New Roman"/>
        </w:rPr>
        <w:t>.</w:t>
      </w:r>
    </w:p>
    <w:p w14:paraId="65F47E69" w14:textId="28D83EE7" w:rsidR="00375667" w:rsidRPr="00A64B10" w:rsidRDefault="002E6D5D" w:rsidP="00E963AB">
      <w:pPr>
        <w:jc w:val="both"/>
        <w:rPr>
          <w:rFonts w:ascii="Calibri" w:hAnsi="Calibri"/>
        </w:rPr>
      </w:pPr>
      <w:bookmarkStart w:id="2" w:name="_Hlk50538719"/>
      <w:r w:rsidRPr="00A64B10">
        <w:t xml:space="preserve">In </w:t>
      </w:r>
      <w:r w:rsidR="00011A44" w:rsidRPr="00A64B10">
        <w:t>the</w:t>
      </w:r>
      <w:r w:rsidRPr="00A64B10">
        <w:t xml:space="preserve"> first step, only standardised methods </w:t>
      </w:r>
      <w:r w:rsidR="0032207B" w:rsidRPr="00A64B10">
        <w:t xml:space="preserve">were </w:t>
      </w:r>
      <w:r w:rsidRPr="00A64B10">
        <w:t xml:space="preserve">considered, leading to the identification of </w:t>
      </w:r>
      <w:r w:rsidRPr="00A64B10">
        <w:rPr>
          <w:rFonts w:ascii="Calibri" w:eastAsia="Calibri" w:hAnsi="Calibri" w:cs="Arial"/>
        </w:rPr>
        <w:t xml:space="preserve">methodological needs in </w:t>
      </w:r>
      <w:r w:rsidR="00011A44" w:rsidRPr="00A64B10">
        <w:rPr>
          <w:rFonts w:ascii="Calibri" w:eastAsia="Calibri" w:hAnsi="Calibri" w:cs="Arial"/>
        </w:rPr>
        <w:t>five</w:t>
      </w:r>
      <w:r w:rsidRPr="00A64B10">
        <w:rPr>
          <w:rFonts w:ascii="Calibri" w:eastAsia="Calibri" w:hAnsi="Calibri" w:cs="Arial"/>
        </w:rPr>
        <w:t xml:space="preserve"> areas of characterisation</w:t>
      </w:r>
      <w:bookmarkEnd w:id="2"/>
      <w:r w:rsidRPr="00A64B10">
        <w:rPr>
          <w:rFonts w:ascii="Calibri" w:hAnsi="Calibri" w:cs="Calibri"/>
        </w:rPr>
        <w:t>, including: (</w:t>
      </w:r>
      <w:proofErr w:type="spellStart"/>
      <w:r w:rsidRPr="00A64B10">
        <w:rPr>
          <w:rFonts w:ascii="Calibri" w:hAnsi="Calibri" w:cs="Calibri"/>
        </w:rPr>
        <w:t>i</w:t>
      </w:r>
      <w:proofErr w:type="spellEnd"/>
      <w:r w:rsidRPr="00A64B10">
        <w:rPr>
          <w:rFonts w:ascii="Calibri" w:hAnsi="Calibri" w:cs="Calibri"/>
        </w:rPr>
        <w:t xml:space="preserve">) </w:t>
      </w:r>
      <w:r w:rsidR="00900006" w:rsidRPr="00A64B10">
        <w:rPr>
          <w:rFonts w:ascii="Calibri" w:hAnsi="Calibri" w:cs="Calibri"/>
        </w:rPr>
        <w:t xml:space="preserve">surface properties, </w:t>
      </w:r>
      <w:r w:rsidRPr="00A64B10">
        <w:rPr>
          <w:rFonts w:ascii="Calibri" w:hAnsi="Calibri" w:cs="Calibri"/>
        </w:rPr>
        <w:t>(ii)</w:t>
      </w:r>
      <w:r w:rsidR="00900006" w:rsidRPr="00A64B10">
        <w:t xml:space="preserve"> </w:t>
      </w:r>
      <w:r w:rsidR="00900006" w:rsidRPr="00A64B10">
        <w:rPr>
          <w:rFonts w:ascii="Calibri" w:hAnsi="Calibri" w:cs="Calibri"/>
        </w:rPr>
        <w:t>drug loading and release,</w:t>
      </w:r>
      <w:r w:rsidRPr="00A64B10">
        <w:rPr>
          <w:rFonts w:ascii="Calibri" w:hAnsi="Calibri" w:cs="Calibri"/>
        </w:rPr>
        <w:t xml:space="preserve"> </w:t>
      </w:r>
      <w:r w:rsidR="00FC7D6E">
        <w:rPr>
          <w:rFonts w:ascii="Calibri" w:hAnsi="Calibri" w:cs="Calibri"/>
        </w:rPr>
        <w:t>(</w:t>
      </w:r>
      <w:r w:rsidR="00900006" w:rsidRPr="00A64B10">
        <w:rPr>
          <w:rFonts w:ascii="Calibri" w:hAnsi="Calibri" w:cs="Calibri"/>
        </w:rPr>
        <w:t xml:space="preserve">iii) </w:t>
      </w:r>
      <w:r w:rsidRPr="00A64B10">
        <w:rPr>
          <w:rFonts w:ascii="Calibri" w:hAnsi="Calibri" w:cs="Calibri"/>
        </w:rPr>
        <w:t>kinetic properties in complex biological media</w:t>
      </w:r>
      <w:r w:rsidR="00900006" w:rsidRPr="00A64B10">
        <w:rPr>
          <w:rFonts w:ascii="Calibri" w:hAnsi="Calibri" w:cs="Calibri"/>
        </w:rPr>
        <w:t xml:space="preserve">, </w:t>
      </w:r>
      <w:r w:rsidRPr="00A64B10">
        <w:rPr>
          <w:rFonts w:ascii="Calibri" w:hAnsi="Calibri" w:cs="Calibri"/>
        </w:rPr>
        <w:t xml:space="preserve">(iv) </w:t>
      </w:r>
      <w:r w:rsidR="00FC7D6E" w:rsidRPr="00A64B10">
        <w:t xml:space="preserve">ADME (absorption, distribution, </w:t>
      </w:r>
      <w:proofErr w:type="gramStart"/>
      <w:r w:rsidR="00FC7D6E" w:rsidRPr="00A64B10">
        <w:t>metabolism</w:t>
      </w:r>
      <w:proofErr w:type="gramEnd"/>
      <w:r w:rsidR="00FC7D6E" w:rsidRPr="00A64B10">
        <w:t xml:space="preserve"> and </w:t>
      </w:r>
      <w:r w:rsidR="00A222F3">
        <w:t>excretion</w:t>
      </w:r>
      <w:r w:rsidR="00FC7D6E" w:rsidRPr="00A64B10">
        <w:t xml:space="preserve">) parameters </w:t>
      </w:r>
      <w:r w:rsidR="000B6B21" w:rsidRPr="00A64B10">
        <w:rPr>
          <w:rFonts w:ascii="Calibri" w:hAnsi="Calibri" w:cs="Calibri"/>
        </w:rPr>
        <w:t xml:space="preserve">and (v) </w:t>
      </w:r>
      <w:r w:rsidRPr="00A64B10">
        <w:rPr>
          <w:rFonts w:ascii="Calibri" w:hAnsi="Calibri" w:cs="Calibri"/>
        </w:rPr>
        <w:t xml:space="preserve">interaction with blood and </w:t>
      </w:r>
      <w:r w:rsidR="00011A44" w:rsidRPr="00A64B10">
        <w:rPr>
          <w:rFonts w:ascii="Calibri" w:hAnsi="Calibri" w:cs="Calibri"/>
        </w:rPr>
        <w:t xml:space="preserve">the </w:t>
      </w:r>
      <w:r w:rsidRPr="00A64B10">
        <w:rPr>
          <w:rFonts w:ascii="Calibri" w:hAnsi="Calibri" w:cs="Calibri"/>
        </w:rPr>
        <w:t>immune system. In the second step, a detailed gap analysis included analytical approaches in earlier stage</w:t>
      </w:r>
      <w:r w:rsidR="000B6B21" w:rsidRPr="00A64B10">
        <w:rPr>
          <w:rFonts w:ascii="Calibri" w:hAnsi="Calibri" w:cs="Calibri"/>
        </w:rPr>
        <w:t>s</w:t>
      </w:r>
      <w:r w:rsidRPr="00A64B10">
        <w:rPr>
          <w:rFonts w:ascii="Calibri" w:hAnsi="Calibri" w:cs="Calibri"/>
        </w:rPr>
        <w:t xml:space="preserve"> of development</w:t>
      </w:r>
      <w:r w:rsidR="000B6B21" w:rsidRPr="00A64B10">
        <w:rPr>
          <w:rFonts w:ascii="Calibri" w:hAnsi="Calibri" w:cs="Calibri"/>
        </w:rPr>
        <w:t>, and</w:t>
      </w:r>
      <w:r w:rsidRPr="00A64B10">
        <w:rPr>
          <w:rFonts w:ascii="Calibri" w:hAnsi="Calibri" w:cs="Calibri"/>
        </w:rPr>
        <w:t xml:space="preserve"> </w:t>
      </w:r>
      <w:r w:rsidR="00EC70BA" w:rsidRPr="00A64B10">
        <w:rPr>
          <w:rFonts w:ascii="Calibri" w:hAnsi="Calibri" w:cs="Calibri"/>
        </w:rPr>
        <w:t>standardised</w:t>
      </w:r>
      <w:r w:rsidRPr="00A64B10">
        <w:rPr>
          <w:rFonts w:ascii="Calibri" w:hAnsi="Calibri" w:cs="Calibri"/>
        </w:rPr>
        <w:t xml:space="preserve"> test methods </w:t>
      </w:r>
      <w:r w:rsidR="004848A7" w:rsidRPr="00A64B10">
        <w:rPr>
          <w:rFonts w:ascii="Calibri" w:hAnsi="Calibri" w:cs="Calibri"/>
        </w:rPr>
        <w:t>from</w:t>
      </w:r>
      <w:r w:rsidR="00136CAA" w:rsidRPr="00A64B10">
        <w:rPr>
          <w:rFonts w:ascii="Calibri" w:hAnsi="Calibri" w:cs="Calibri"/>
        </w:rPr>
        <w:t xml:space="preserve"> </w:t>
      </w:r>
      <w:r w:rsidR="004848A7" w:rsidRPr="00A64B10">
        <w:rPr>
          <w:rFonts w:ascii="Calibri" w:hAnsi="Calibri" w:cs="Calibri"/>
        </w:rPr>
        <w:t xml:space="preserve">outside </w:t>
      </w:r>
      <w:r w:rsidR="00136CAA" w:rsidRPr="00A64B10">
        <w:rPr>
          <w:rFonts w:ascii="Calibri" w:hAnsi="Calibri" w:cs="Calibri"/>
        </w:rPr>
        <w:t xml:space="preserve">of </w:t>
      </w:r>
      <w:r w:rsidR="00900006" w:rsidRPr="00A64B10">
        <w:rPr>
          <w:rFonts w:ascii="Calibri" w:hAnsi="Calibri" w:cs="Calibri"/>
        </w:rPr>
        <w:t>the</w:t>
      </w:r>
      <w:r w:rsidR="004848A7" w:rsidRPr="00A64B10">
        <w:rPr>
          <w:rFonts w:ascii="Calibri" w:hAnsi="Calibri" w:cs="Calibri"/>
        </w:rPr>
        <w:t xml:space="preserve"> nanotechnology field </w:t>
      </w:r>
      <w:r w:rsidRPr="00A64B10">
        <w:rPr>
          <w:rFonts w:ascii="Calibri" w:hAnsi="Calibri" w:cs="Calibri"/>
        </w:rPr>
        <w:t xml:space="preserve">that could address </w:t>
      </w:r>
      <w:r w:rsidR="0016184F" w:rsidRPr="00A64B10">
        <w:rPr>
          <w:rFonts w:ascii="Calibri" w:hAnsi="Calibri" w:cs="Calibri"/>
        </w:rPr>
        <w:t>the identified areas of gaps. Based on th</w:t>
      </w:r>
      <w:r w:rsidR="00900006" w:rsidRPr="00A64B10">
        <w:rPr>
          <w:rFonts w:ascii="Calibri" w:hAnsi="Calibri" w:cs="Calibri"/>
        </w:rPr>
        <w:t xml:space="preserve">is </w:t>
      </w:r>
      <w:r w:rsidR="0016184F" w:rsidRPr="00A64B10">
        <w:rPr>
          <w:rFonts w:ascii="Calibri" w:hAnsi="Calibri" w:cs="Calibri"/>
        </w:rPr>
        <w:t>analysis</w:t>
      </w:r>
      <w:r w:rsidR="000B6B21" w:rsidRPr="00A64B10">
        <w:rPr>
          <w:rFonts w:ascii="Calibri" w:hAnsi="Calibri" w:cs="Calibri"/>
        </w:rPr>
        <w:t>,</w:t>
      </w:r>
      <w:r w:rsidR="0016184F" w:rsidRPr="00A64B10">
        <w:rPr>
          <w:rFonts w:ascii="Calibri" w:hAnsi="Calibri" w:cs="Calibri"/>
        </w:rPr>
        <w:t xml:space="preserve"> three </w:t>
      </w:r>
      <w:r w:rsidR="00EB7444" w:rsidRPr="00A64B10">
        <w:rPr>
          <w:rFonts w:ascii="Calibri" w:hAnsi="Calibri" w:cs="Calibri"/>
        </w:rPr>
        <w:t>categories</w:t>
      </w:r>
      <w:r w:rsidR="0016184F" w:rsidRPr="00A64B10">
        <w:rPr>
          <w:rFonts w:ascii="Calibri" w:hAnsi="Calibri" w:cs="Calibri"/>
        </w:rPr>
        <w:t xml:space="preserve"> of methodological needs were identified,</w:t>
      </w:r>
      <w:r w:rsidR="00136CAA" w:rsidRPr="00A64B10">
        <w:rPr>
          <w:rFonts w:ascii="Calibri" w:hAnsi="Calibri" w:cs="Calibri"/>
        </w:rPr>
        <w:t xml:space="preserve"> </w:t>
      </w:r>
      <w:r w:rsidR="0016184F" w:rsidRPr="00A64B10">
        <w:rPr>
          <w:rFonts w:ascii="Calibri" w:hAnsi="Calibri" w:cs="Calibri"/>
        </w:rPr>
        <w:t>includ</w:t>
      </w:r>
      <w:r w:rsidR="00375667" w:rsidRPr="00A64B10">
        <w:rPr>
          <w:rFonts w:ascii="Calibri" w:hAnsi="Calibri" w:cs="Calibri"/>
        </w:rPr>
        <w:t>ing</w:t>
      </w:r>
      <w:r w:rsidR="0016184F" w:rsidRPr="00A64B10">
        <w:rPr>
          <w:rFonts w:ascii="Calibri" w:hAnsi="Calibri" w:cs="Calibri"/>
        </w:rPr>
        <w:t xml:space="preserve"> </w:t>
      </w:r>
      <w:r w:rsidR="000B6B21" w:rsidRPr="00A64B10">
        <w:rPr>
          <w:rFonts w:ascii="Calibri" w:hAnsi="Calibri" w:cs="Calibri"/>
        </w:rPr>
        <w:t>(</w:t>
      </w:r>
      <w:proofErr w:type="spellStart"/>
      <w:r w:rsidR="00375667" w:rsidRPr="00A64B10">
        <w:rPr>
          <w:rFonts w:ascii="Calibri" w:hAnsi="Calibri" w:cs="Calibri"/>
        </w:rPr>
        <w:t>i</w:t>
      </w:r>
      <w:proofErr w:type="spellEnd"/>
      <w:r w:rsidR="00375667" w:rsidRPr="00A64B10">
        <w:rPr>
          <w:rFonts w:ascii="Calibri" w:hAnsi="Calibri" w:cs="Calibri"/>
        </w:rPr>
        <w:t xml:space="preserve">) </w:t>
      </w:r>
      <w:r w:rsidR="0016184F" w:rsidRPr="00A64B10">
        <w:rPr>
          <w:rFonts w:ascii="Calibri" w:hAnsi="Calibri" w:cs="Calibri"/>
        </w:rPr>
        <w:t xml:space="preserve">method optimisation/adaptation to </w:t>
      </w:r>
      <w:r w:rsidR="00B10ECF" w:rsidRPr="00A64B10">
        <w:rPr>
          <w:rFonts w:ascii="Calibri" w:hAnsi="Calibri" w:cs="Calibri"/>
        </w:rPr>
        <w:t xml:space="preserve">nanotechnological </w:t>
      </w:r>
      <w:r w:rsidR="0016184F" w:rsidRPr="00A64B10">
        <w:rPr>
          <w:rFonts w:ascii="Calibri" w:hAnsi="Calibri" w:cs="Calibri"/>
        </w:rPr>
        <w:t>platforms</w:t>
      </w:r>
      <w:r w:rsidR="00375667" w:rsidRPr="00A64B10">
        <w:rPr>
          <w:rFonts w:ascii="Calibri" w:hAnsi="Calibri" w:cs="Calibri"/>
        </w:rPr>
        <w:t xml:space="preserve">, </w:t>
      </w:r>
      <w:r w:rsidR="00805A2E">
        <w:rPr>
          <w:rFonts w:ascii="Calibri" w:hAnsi="Calibri" w:cs="Calibri"/>
        </w:rPr>
        <w:t>(</w:t>
      </w:r>
      <w:r w:rsidR="00375667" w:rsidRPr="00A64B10">
        <w:rPr>
          <w:rFonts w:ascii="Calibri" w:hAnsi="Calibri" w:cs="Calibri"/>
        </w:rPr>
        <w:t xml:space="preserve">ii) </w:t>
      </w:r>
      <w:r w:rsidR="0016184F" w:rsidRPr="00A64B10">
        <w:rPr>
          <w:rFonts w:ascii="Calibri" w:hAnsi="Calibri" w:cs="Calibri"/>
        </w:rPr>
        <w:t xml:space="preserve">method </w:t>
      </w:r>
      <w:r w:rsidR="00375667" w:rsidRPr="00A64B10">
        <w:rPr>
          <w:rFonts w:ascii="Calibri" w:hAnsi="Calibri" w:cs="Calibri"/>
        </w:rPr>
        <w:t>validation/</w:t>
      </w:r>
      <w:r w:rsidR="0016184F" w:rsidRPr="00A64B10">
        <w:rPr>
          <w:rFonts w:ascii="Calibri" w:hAnsi="Calibri" w:cs="Calibri"/>
        </w:rPr>
        <w:t>standardisation</w:t>
      </w:r>
      <w:r w:rsidR="00375667" w:rsidRPr="00A64B10">
        <w:rPr>
          <w:rFonts w:ascii="Calibri" w:hAnsi="Calibri" w:cs="Calibri"/>
        </w:rPr>
        <w:t xml:space="preserve"> and </w:t>
      </w:r>
      <w:r w:rsidR="00805A2E">
        <w:rPr>
          <w:rFonts w:ascii="Calibri" w:hAnsi="Calibri" w:cs="Calibri"/>
        </w:rPr>
        <w:t>(</w:t>
      </w:r>
      <w:r w:rsidR="00375667" w:rsidRPr="00A64B10">
        <w:rPr>
          <w:rFonts w:ascii="Calibri" w:hAnsi="Calibri" w:cs="Calibri"/>
        </w:rPr>
        <w:t xml:space="preserve">iii) method development for those areas where no technological solutions </w:t>
      </w:r>
      <w:r w:rsidR="0032207B" w:rsidRPr="00A64B10">
        <w:rPr>
          <w:rFonts w:ascii="Calibri" w:hAnsi="Calibri" w:cs="Calibri"/>
        </w:rPr>
        <w:t>currently</w:t>
      </w:r>
      <w:r w:rsidR="00136CAA" w:rsidRPr="00A64B10">
        <w:rPr>
          <w:rFonts w:ascii="Calibri" w:hAnsi="Calibri" w:cs="Calibri"/>
        </w:rPr>
        <w:t xml:space="preserve"> exist</w:t>
      </w:r>
      <w:r w:rsidR="00900006" w:rsidRPr="00A64B10">
        <w:rPr>
          <w:rFonts w:ascii="Calibri" w:hAnsi="Calibri" w:cs="Calibri"/>
        </w:rPr>
        <w:t xml:space="preserve">. </w:t>
      </w:r>
      <w:r w:rsidR="003C691B" w:rsidRPr="00A64B10">
        <w:rPr>
          <w:rFonts w:ascii="Calibri" w:hAnsi="Calibri" w:cs="Calibri"/>
        </w:rPr>
        <w:t xml:space="preserve">The results of the analysis presented in this work </w:t>
      </w:r>
      <w:r w:rsidR="00805A2E">
        <w:rPr>
          <w:rFonts w:ascii="Calibri" w:hAnsi="Calibri" w:cs="Calibri"/>
        </w:rPr>
        <w:t>should</w:t>
      </w:r>
      <w:r w:rsidR="002125AB" w:rsidRPr="00A64B10">
        <w:rPr>
          <w:rFonts w:ascii="Calibri" w:hAnsi="Calibri" w:cs="Calibri"/>
        </w:rPr>
        <w:t xml:space="preserve"> </w:t>
      </w:r>
      <w:r w:rsidR="003C691B" w:rsidRPr="00A64B10">
        <w:rPr>
          <w:rFonts w:ascii="Calibri" w:hAnsi="Calibri" w:cs="Calibri"/>
        </w:rPr>
        <w:t xml:space="preserve">raise awareness </w:t>
      </w:r>
      <w:r w:rsidR="002125AB" w:rsidRPr="00A64B10">
        <w:rPr>
          <w:rFonts w:ascii="Calibri" w:hAnsi="Calibri" w:cs="Calibri"/>
        </w:rPr>
        <w:t xml:space="preserve">within </w:t>
      </w:r>
      <w:r w:rsidR="003C691B" w:rsidRPr="00A64B10">
        <w:rPr>
          <w:rFonts w:ascii="Calibri" w:hAnsi="Calibri" w:cs="Calibri"/>
        </w:rPr>
        <w:t xml:space="preserve">the scientific community on existing and emerging methodological needs, setting priorities for the development </w:t>
      </w:r>
      <w:r w:rsidR="003840CC" w:rsidRPr="00A64B10">
        <w:rPr>
          <w:rFonts w:ascii="Calibri" w:hAnsi="Calibri" w:cs="Calibri"/>
        </w:rPr>
        <w:t xml:space="preserve">and standardisation </w:t>
      </w:r>
      <w:r w:rsidR="003C691B" w:rsidRPr="00A64B10">
        <w:rPr>
          <w:rFonts w:ascii="Calibri" w:hAnsi="Calibri" w:cs="Calibri"/>
        </w:rPr>
        <w:t xml:space="preserve">of </w:t>
      </w:r>
      <w:r w:rsidR="003840CC" w:rsidRPr="00A64B10">
        <w:rPr>
          <w:rFonts w:ascii="Calibri" w:hAnsi="Calibri" w:cs="Calibri"/>
        </w:rPr>
        <w:t>relevant</w:t>
      </w:r>
      <w:r w:rsidR="003C691B" w:rsidRPr="00A64B10">
        <w:rPr>
          <w:rFonts w:ascii="Calibri" w:hAnsi="Calibri" w:cs="Calibri"/>
        </w:rPr>
        <w:t xml:space="preserve"> analytical and toxicological </w:t>
      </w:r>
      <w:r w:rsidR="003840CC" w:rsidRPr="00A64B10">
        <w:rPr>
          <w:rFonts w:ascii="Calibri" w:hAnsi="Calibri" w:cs="Calibri"/>
        </w:rPr>
        <w:t>methods</w:t>
      </w:r>
      <w:r w:rsidR="003C691B" w:rsidRPr="00A64B10">
        <w:rPr>
          <w:rFonts w:ascii="Calibri" w:hAnsi="Calibri" w:cs="Calibri"/>
        </w:rPr>
        <w:t xml:space="preserve"> allowing development of a robust testing strategy for nanotechnology-based health products.</w:t>
      </w:r>
    </w:p>
    <w:p w14:paraId="4B8D7B06" w14:textId="3538CE37" w:rsidR="006C7029" w:rsidRPr="00A23F1A" w:rsidRDefault="00FE5346" w:rsidP="00A23F1A">
      <w:pPr>
        <w:jc w:val="both"/>
      </w:pPr>
      <w:r w:rsidRPr="00A64B10">
        <w:rPr>
          <w:rStyle w:val="Heading1Char"/>
        </w:rPr>
        <w:t>Keywords:</w:t>
      </w:r>
      <w:r w:rsidRPr="00A64B10">
        <w:rPr>
          <w:i/>
          <w:iCs/>
        </w:rPr>
        <w:t xml:space="preserve"> </w:t>
      </w:r>
      <w:r w:rsidRPr="00A64B10">
        <w:t xml:space="preserve">Nanomedicine, </w:t>
      </w:r>
      <w:r w:rsidR="003840CC" w:rsidRPr="00A64B10">
        <w:t xml:space="preserve">nanotechnology-based products, </w:t>
      </w:r>
      <w:r w:rsidRPr="00A64B10">
        <w:t>regulatory</w:t>
      </w:r>
      <w:r w:rsidR="003840CC" w:rsidRPr="00A64B10">
        <w:t xml:space="preserve"> needs</w:t>
      </w:r>
      <w:r w:rsidRPr="00A64B10">
        <w:t xml:space="preserve">, methodological gaps, </w:t>
      </w:r>
      <w:r w:rsidR="003840CC" w:rsidRPr="00A64B10">
        <w:t>method standardisation, method development</w:t>
      </w:r>
      <w:r w:rsidRPr="00A64B10">
        <w:t xml:space="preserve">, </w:t>
      </w:r>
      <w:r w:rsidR="003840CC" w:rsidRPr="00A64B10">
        <w:t xml:space="preserve">physicochemical </w:t>
      </w:r>
      <w:proofErr w:type="gramStart"/>
      <w:r w:rsidR="003840CC" w:rsidRPr="00A64B10">
        <w:t>characterisation</w:t>
      </w:r>
      <w:r w:rsidRPr="00A64B10">
        <w:t xml:space="preserve">, </w:t>
      </w:r>
      <w:r w:rsidR="003840CC" w:rsidRPr="00A64B10">
        <w:t xml:space="preserve"> immunotoxicity</w:t>
      </w:r>
      <w:proofErr w:type="gramEnd"/>
      <w:r w:rsidR="003840CC" w:rsidRPr="00A64B10">
        <w:t xml:space="preserve"> assessment</w:t>
      </w:r>
    </w:p>
    <w:p w14:paraId="0DB573D1" w14:textId="77777777" w:rsidR="003840CC" w:rsidRPr="00A64B10" w:rsidRDefault="006C7029" w:rsidP="00740F8C">
      <w:pPr>
        <w:ind w:left="360"/>
        <w:jc w:val="both"/>
        <w:rPr>
          <w:b/>
          <w:bCs/>
          <w:sz w:val="24"/>
          <w:szCs w:val="24"/>
        </w:rPr>
      </w:pPr>
      <w:r w:rsidRPr="00A64B10">
        <w:rPr>
          <w:b/>
          <w:bCs/>
          <w:sz w:val="24"/>
          <w:szCs w:val="24"/>
        </w:rPr>
        <w:t>Abbreviation list:</w:t>
      </w:r>
    </w:p>
    <w:p w14:paraId="0528DC37" w14:textId="0AF1EEED" w:rsidR="00B10ECF" w:rsidRPr="00A222F3" w:rsidRDefault="00B10ECF" w:rsidP="00B10ECF">
      <w:pPr>
        <w:spacing w:after="0"/>
        <w:ind w:left="360"/>
        <w:jc w:val="both"/>
      </w:pPr>
      <w:r w:rsidRPr="00A222F3">
        <w:t>ADME</w:t>
      </w:r>
      <w:r w:rsidRPr="00A222F3">
        <w:tab/>
        <w:t xml:space="preserve">Absorption, Distribution, Metabolism, </w:t>
      </w:r>
      <w:r w:rsidR="00A222F3" w:rsidRPr="00A222F3">
        <w:t>Ex</w:t>
      </w:r>
      <w:r w:rsidR="00A222F3" w:rsidRPr="00993B28">
        <w:t>cretion</w:t>
      </w:r>
    </w:p>
    <w:p w14:paraId="0B94E1CE" w14:textId="77777777" w:rsidR="00B10ECF" w:rsidRPr="0075456F" w:rsidRDefault="00B10ECF" w:rsidP="00B10ECF">
      <w:pPr>
        <w:spacing w:after="0"/>
        <w:ind w:left="360"/>
        <w:jc w:val="both"/>
      </w:pPr>
      <w:r w:rsidRPr="0075456F">
        <w:t>API</w:t>
      </w:r>
      <w:r w:rsidRPr="0075456F">
        <w:tab/>
      </w:r>
      <w:r w:rsidRPr="0075456F">
        <w:tab/>
        <w:t>Active Pharmaceutical Ingredient</w:t>
      </w:r>
    </w:p>
    <w:p w14:paraId="69A75BAC" w14:textId="3C2D18F8" w:rsidR="00B10ECF" w:rsidRDefault="00B10ECF" w:rsidP="00F00CA7">
      <w:pPr>
        <w:spacing w:after="0"/>
        <w:ind w:left="360"/>
        <w:jc w:val="both"/>
      </w:pPr>
      <w:r w:rsidRPr="0075456F">
        <w:t>CARPA</w:t>
      </w:r>
      <w:r w:rsidRPr="0075456F">
        <w:tab/>
        <w:t>Complement Activation related Pseudo</w:t>
      </w:r>
      <w:r w:rsidR="00005EA0" w:rsidRPr="0075456F">
        <w:t>-</w:t>
      </w:r>
      <w:proofErr w:type="gramStart"/>
      <w:r w:rsidRPr="0075456F">
        <w:t>allergy</w:t>
      </w:r>
      <w:proofErr w:type="gramEnd"/>
    </w:p>
    <w:p w14:paraId="2923AE86" w14:textId="24F99964" w:rsidR="00993B28" w:rsidRPr="0075456F" w:rsidRDefault="00993B28" w:rsidP="00F00CA7">
      <w:pPr>
        <w:spacing w:after="0"/>
        <w:ind w:left="360"/>
        <w:jc w:val="both"/>
      </w:pPr>
      <w:r>
        <w:t>CEN</w:t>
      </w:r>
      <w:r>
        <w:tab/>
        <w:t>European Committee for Standardisation</w:t>
      </w:r>
    </w:p>
    <w:p w14:paraId="5474CC65" w14:textId="77777777" w:rsidR="00B10ECF" w:rsidRPr="0075456F" w:rsidRDefault="00B10ECF" w:rsidP="00B10ECF">
      <w:pPr>
        <w:spacing w:after="0"/>
        <w:ind w:left="360"/>
        <w:jc w:val="both"/>
      </w:pPr>
      <w:r w:rsidRPr="0075456F">
        <w:t>EMA</w:t>
      </w:r>
      <w:r w:rsidRPr="0075456F">
        <w:tab/>
        <w:t>European Medicines Agency</w:t>
      </w:r>
    </w:p>
    <w:p w14:paraId="1FD222A6" w14:textId="77777777" w:rsidR="00B10ECF" w:rsidRPr="0075456F" w:rsidRDefault="00B10ECF" w:rsidP="00B10ECF">
      <w:pPr>
        <w:spacing w:after="0"/>
        <w:ind w:left="360"/>
        <w:jc w:val="both"/>
      </w:pPr>
      <w:r w:rsidRPr="0075456F">
        <w:t>EUNCL</w:t>
      </w:r>
      <w:r w:rsidR="00740F8C" w:rsidRPr="0075456F">
        <w:tab/>
        <w:t>European Nanomedicine</w:t>
      </w:r>
      <w:r w:rsidR="00E10F29" w:rsidRPr="0075456F">
        <w:t xml:space="preserve"> Characterisation Laboratory</w:t>
      </w:r>
    </w:p>
    <w:p w14:paraId="5B87F99E" w14:textId="77777777" w:rsidR="00B10ECF" w:rsidRPr="0075456F" w:rsidRDefault="00B10ECF" w:rsidP="00B10ECF">
      <w:pPr>
        <w:spacing w:after="0"/>
        <w:ind w:left="360"/>
        <w:jc w:val="both"/>
      </w:pPr>
      <w:r w:rsidRPr="0075456F">
        <w:t>FDA</w:t>
      </w:r>
      <w:r w:rsidRPr="0075456F">
        <w:tab/>
        <w:t>Food and Drug Administration</w:t>
      </w:r>
    </w:p>
    <w:p w14:paraId="0A800EE6" w14:textId="1E7E9FFF" w:rsidR="00B10ECF" w:rsidRPr="0075456F" w:rsidRDefault="00B10ECF" w:rsidP="0075456F">
      <w:pPr>
        <w:spacing w:after="0"/>
        <w:ind w:left="1440" w:hanging="1080"/>
      </w:pPr>
      <w:r w:rsidRPr="0075456F">
        <w:t>ICH</w:t>
      </w:r>
      <w:r w:rsidR="00740F8C" w:rsidRPr="0075456F">
        <w:tab/>
        <w:t>International Council for Harmonisation of Technical Requirements for Pharmaceuticals for Human Use</w:t>
      </w:r>
    </w:p>
    <w:p w14:paraId="6DC841A1" w14:textId="77777777" w:rsidR="005261B2" w:rsidRPr="0075456F" w:rsidRDefault="005261B2" w:rsidP="00B10ECF">
      <w:pPr>
        <w:spacing w:after="0"/>
        <w:ind w:left="360"/>
        <w:jc w:val="both"/>
      </w:pPr>
      <w:r w:rsidRPr="0075456F">
        <w:t>ISO</w:t>
      </w:r>
      <w:r w:rsidRPr="0075456F">
        <w:tab/>
      </w:r>
      <w:r w:rsidRPr="0075456F">
        <w:tab/>
        <w:t>International Standardisation Organisation</w:t>
      </w:r>
    </w:p>
    <w:p w14:paraId="368AA08B" w14:textId="77777777" w:rsidR="00B10ECF" w:rsidRPr="0075456F" w:rsidRDefault="00740F8C" w:rsidP="00F00CA7">
      <w:pPr>
        <w:spacing w:after="0"/>
        <w:ind w:left="360"/>
        <w:jc w:val="both"/>
      </w:pPr>
      <w:r w:rsidRPr="0075456F">
        <w:lastRenderedPageBreak/>
        <w:t>NCI</w:t>
      </w:r>
      <w:r w:rsidR="00F512DD" w:rsidRPr="0075456F">
        <w:t>-</w:t>
      </w:r>
      <w:r w:rsidR="00B10ECF" w:rsidRPr="0075456F">
        <w:t>NCL</w:t>
      </w:r>
      <w:r w:rsidRPr="0075456F">
        <w:tab/>
        <w:t>Nanotechnology Characterisation Laboratory</w:t>
      </w:r>
    </w:p>
    <w:p w14:paraId="7F3DD36D" w14:textId="0729C6B7" w:rsidR="00491A53" w:rsidRPr="0075456F" w:rsidRDefault="00491A53" w:rsidP="00F00CA7">
      <w:pPr>
        <w:spacing w:after="0"/>
        <w:ind w:left="360"/>
        <w:jc w:val="both"/>
      </w:pPr>
      <w:r w:rsidRPr="0075456F">
        <w:t>NPs</w:t>
      </w:r>
      <w:r w:rsidR="00B10ECF" w:rsidRPr="0075456F">
        <w:tab/>
      </w:r>
      <w:r w:rsidR="0075456F">
        <w:tab/>
      </w:r>
      <w:r w:rsidR="00B10ECF" w:rsidRPr="0075456F">
        <w:t>Nanoparticles</w:t>
      </w:r>
    </w:p>
    <w:p w14:paraId="01E50220" w14:textId="77777777" w:rsidR="00EB7444" w:rsidRPr="0075456F" w:rsidRDefault="00EB7444" w:rsidP="00F00CA7">
      <w:pPr>
        <w:spacing w:after="0"/>
        <w:ind w:left="360"/>
        <w:jc w:val="both"/>
      </w:pPr>
      <w:r w:rsidRPr="0075456F">
        <w:t>PBPK</w:t>
      </w:r>
      <w:r w:rsidRPr="0075456F">
        <w:tab/>
      </w:r>
      <w:r w:rsidRPr="0075456F">
        <w:rPr>
          <w:rFonts w:ascii="Calibri" w:eastAsia="Calibri" w:hAnsi="Calibri" w:cs="Arial"/>
        </w:rPr>
        <w:t xml:space="preserve">Physiologically based </w:t>
      </w:r>
      <w:proofErr w:type="gramStart"/>
      <w:r w:rsidRPr="0075456F">
        <w:rPr>
          <w:rFonts w:ascii="Calibri" w:eastAsia="Calibri" w:hAnsi="Calibri" w:cs="Arial"/>
        </w:rPr>
        <w:t>pharmacokinetic</w:t>
      </w:r>
      <w:proofErr w:type="gramEnd"/>
    </w:p>
    <w:p w14:paraId="498F2D1D" w14:textId="68B90EEE" w:rsidR="002D4B60" w:rsidRPr="0075456F" w:rsidRDefault="002D4B60" w:rsidP="00F00CA7">
      <w:pPr>
        <w:spacing w:after="0"/>
        <w:ind w:left="360"/>
        <w:jc w:val="both"/>
      </w:pPr>
      <w:r w:rsidRPr="0075456F">
        <w:t>P</w:t>
      </w:r>
      <w:r w:rsidR="00B10ECF" w:rsidRPr="0075456F">
        <w:t>CC</w:t>
      </w:r>
      <w:r w:rsidR="00B10ECF" w:rsidRPr="0075456F">
        <w:tab/>
      </w:r>
      <w:r w:rsidR="0075456F">
        <w:tab/>
      </w:r>
      <w:r w:rsidR="00B10ECF" w:rsidRPr="0075456F">
        <w:t>Physicochemical characterisation</w:t>
      </w:r>
    </w:p>
    <w:p w14:paraId="14C280D1" w14:textId="61A81BFF" w:rsidR="008F0BC8" w:rsidRPr="0075456F" w:rsidRDefault="008F0BC8" w:rsidP="00740F8C">
      <w:pPr>
        <w:spacing w:after="0"/>
        <w:ind w:left="360"/>
        <w:jc w:val="both"/>
      </w:pPr>
      <w:r w:rsidRPr="0075456F">
        <w:t>Ph. Eur</w:t>
      </w:r>
      <w:r w:rsidR="00333432" w:rsidRPr="0075456F">
        <w:t>.</w:t>
      </w:r>
      <w:r w:rsidRPr="0075456F">
        <w:t xml:space="preserve"> </w:t>
      </w:r>
      <w:r w:rsidRPr="0075456F">
        <w:tab/>
        <w:t>European Pharmacopoeia</w:t>
      </w:r>
    </w:p>
    <w:p w14:paraId="04D47CCA" w14:textId="77777777" w:rsidR="00B87CEC" w:rsidRPr="0075456F" w:rsidRDefault="002D4B60" w:rsidP="00740F8C">
      <w:pPr>
        <w:spacing w:after="0"/>
        <w:ind w:left="360"/>
        <w:jc w:val="both"/>
      </w:pPr>
      <w:r w:rsidRPr="0075456F">
        <w:t>PK</w:t>
      </w:r>
      <w:r w:rsidR="00B10ECF" w:rsidRPr="0075456F">
        <w:tab/>
      </w:r>
      <w:r w:rsidR="00B10ECF" w:rsidRPr="0075456F">
        <w:tab/>
        <w:t>Pharmacokinetic</w:t>
      </w:r>
      <w:r w:rsidR="00B87CEC" w:rsidRPr="0075456F">
        <w:br w:type="page"/>
      </w:r>
    </w:p>
    <w:p w14:paraId="66C400F6" w14:textId="77777777" w:rsidR="00C55182" w:rsidRPr="00A64B10" w:rsidRDefault="00B87CEC" w:rsidP="0000021E">
      <w:pPr>
        <w:pStyle w:val="Heading1"/>
        <w:numPr>
          <w:ilvl w:val="0"/>
          <w:numId w:val="15"/>
        </w:numPr>
      </w:pPr>
      <w:r w:rsidRPr="00A64B10">
        <w:lastRenderedPageBreak/>
        <w:t>B</w:t>
      </w:r>
      <w:r w:rsidR="00192D1B" w:rsidRPr="00A64B10">
        <w:t>ackground</w:t>
      </w:r>
      <w:r w:rsidR="00C55182" w:rsidRPr="00A64B10">
        <w:t xml:space="preserve"> </w:t>
      </w:r>
    </w:p>
    <w:p w14:paraId="0865C453" w14:textId="723E387F" w:rsidR="00D20F21" w:rsidRPr="00A64B10" w:rsidRDefault="00200AC7" w:rsidP="00F42715">
      <w:pPr>
        <w:jc w:val="both"/>
      </w:pPr>
      <w:r w:rsidRPr="00A64B10">
        <w:t>Nanotechnology-based health products</w:t>
      </w:r>
      <w:r w:rsidR="006C7029" w:rsidRPr="00A64B10">
        <w:t xml:space="preserve"> </w:t>
      </w:r>
      <w:r w:rsidR="00986858" w:rsidRPr="00A64B10">
        <w:t xml:space="preserve">are an emerging class of </w:t>
      </w:r>
      <w:r w:rsidRPr="00A64B10">
        <w:t xml:space="preserve">innovative </w:t>
      </w:r>
      <w:r w:rsidR="00986858" w:rsidRPr="00A64B10">
        <w:t xml:space="preserve">medical products </w:t>
      </w:r>
      <w:r w:rsidRPr="00A64B10">
        <w:t xml:space="preserve">and devices </w:t>
      </w:r>
      <w:r w:rsidR="00986858" w:rsidRPr="00A64B10">
        <w:t>offering innovative therapeutic and diagnostic opportunities. Currently</w:t>
      </w:r>
      <w:r w:rsidR="006C7029" w:rsidRPr="00A64B10">
        <w:t>, in the field of nanomedicine more than</w:t>
      </w:r>
      <w:r w:rsidR="00986858" w:rsidRPr="00A64B10">
        <w:t xml:space="preserve"> 50 formulation</w:t>
      </w:r>
      <w:r w:rsidR="00D77AF5" w:rsidRPr="00A64B10">
        <w:t>s</w:t>
      </w:r>
      <w:r w:rsidR="00986858" w:rsidRPr="00A64B10">
        <w:t xml:space="preserve"> have been approved for clinical use, including </w:t>
      </w:r>
      <w:r w:rsidR="00D77AF5" w:rsidRPr="00A64B10">
        <w:t xml:space="preserve">indications </w:t>
      </w:r>
      <w:r w:rsidR="00986858" w:rsidRPr="00A64B10">
        <w:t xml:space="preserve">for cancer treatment, </w:t>
      </w:r>
      <w:r w:rsidR="005B6B7D" w:rsidRPr="00A64B10">
        <w:t>i</w:t>
      </w:r>
      <w:r w:rsidR="00986858" w:rsidRPr="00A64B10">
        <w:t xml:space="preserve">ron-replacement therapies, imaging agents, </w:t>
      </w:r>
      <w:r w:rsidR="007977F8" w:rsidRPr="00A64B10">
        <w:t>anaesthetics</w:t>
      </w:r>
      <w:r w:rsidR="00986858" w:rsidRPr="00A64B10">
        <w:t>, fungal treatments, and</w:t>
      </w:r>
      <w:r w:rsidR="000666C3" w:rsidRPr="00A64B10">
        <w:t xml:space="preserve"> treatments for</w:t>
      </w:r>
      <w:r w:rsidR="00986858" w:rsidRPr="00A64B10">
        <w:t xml:space="preserve"> macular degeneration </w:t>
      </w:r>
      <w:r w:rsidR="006D0C31" w:rsidRPr="00A64B10">
        <w:fldChar w:fldCharType="begin" w:fldLock="1"/>
      </w:r>
      <w:r w:rsidR="009C76FF" w:rsidRPr="00A64B10">
        <w:instrText>ADDIN CSL_CITATION {"citationItems":[{"id":"ITEM-1","itemData":{"DOI":"10.1016/j.jconrel.2020.07.007","ISSN":"18734995","PMID":"32681950","abstract":"The situation of the COVID-19 pandemic reminds us that we permanently need high-value flexible solutions to urgent clinical needs including simplified diagnostic technologies suitable for use in the field and for delivering targeted therapeutics. From our perspective nanotechnology is revealed as a vital resource for this, as a generic platform of technical solutions to tackle complex medical challenges. It is towards this perspective and focusing on nanomedicine that we take issue with Prof Park's recent editorial published in the Journal of Controlled Release. Prof. Park argued that in the last 15 years nanomedicine failed to deliver the promised innovative clinical solutions to the patients (Park, K. The beginning of the end of the nanomedicine hype. Journal of Controlled Release, 2019; 305, 221–222 [1]. We, the ETPN (European Technology Platform on Nanomedicine) [2], respectfully disagree. In fact, the more than 50 formulations currently in the market, and the recent approval of 3 key nanomedicine products (e. g. Onpattro, Hensify and Vyxeos), have demonstrated that the nanomedicine field is concretely able to design products that overcome critical barriers in conventional medicine in a unique manner, but also to deliver within the cells new drug-free therapeutic effects by using pure physical modes of action, and therefore make a difference in patients lives. Furthermore, the &gt;400 nanomedicine formulations currently in clinical trials are expecting to bring novel clinical solutions (e.g. platforms for nucleic acid delivery), alone or in combination with other key enabling technologies to the market, including biotechnologies, microfluidics, advanced materials, biomaterials, smart systems, photonics, robotics, textiles, Big Data and ICT (information &amp; communication technologies) more generally. However, we agree with Prof. Park that “ it is time to examine the sources of difficulty in clinical translation of nanomedicine and move forward “. But for reaching this goal, the investments to support clinical translation of promising nanomedicine formulations should increase, not decrease. As recently encouraged by EMA in its roadmap to 2025, we should create more unity through a common knowledge hub linking academia, industry, healthcare providers and hopefully policy makers to reduce the current fragmentation of the standardization and regulatory body landscape. We should also promote a strategy of cross-technology innovation, support nanomedicine devel…","author":[{"dropping-particle":"","family":"Germain","given":"Matthieu","non-dropping-particle":"","parse-names":false,"suffix":""},{"dropping-particle":"","family":"Caputo","given":"Fanny","non-dropping-particle":"","parse-names":false,"suffix":""},{"dropping-particle":"","family":"Metcalfe","given":"Su","non-dropping-particle":"","parse-names":false,"suffix":""},{"dropping-particle":"","family":"Tosi","given":"Giovanni","non-dropping-particle":"","parse-names":false,"suffix":""},{"dropping-particle":"","family":"Spring","given":"Kathleen","non-dropping-particle":"","parse-names":false,"suffix":""},{"dropping-particle":"","family":"Åslund","given":"Andreas K.O.","non-dropping-particle":"","parse-names":false,"suffix":""},{"dropping-particle":"","family":"Pottier","given":"Agnes","non-dropping-particle":"","parse-names":false,"suffix":""},{"dropping-particle":"","family":"Schiffelers","given":"Raymond","non-dropping-particle":"","parse-names":false,"suffix":""},{"dropping-particle":"","family":"Ceccaldi","given":"Alexandre","non-dropping-particle":"","parse-names":false,"suffix":""},{"dropping-particle":"","family":"Schmid","given":"Ruth","non-dropping-particle":"","parse-names":false,"suffix":""}],"container-title":"Journal of Controlled Release","id":"ITEM-1","issued":{"date-parts":[["2020","10","10"]]},"page":"164-171","publisher":"Elsevier B.V.","title":"Delivering the power of nanomedicine to patients today","type":"article-journal","volume":"326"},"uris":["http://www.mendeley.com/documents/?uuid=7853f636-4558-3e41-9706-2f3eaecbe905"]},{"id":"ITEM-2","itemData":{"DOI":"10.2217/nnm.15.21","ISBN":"1748-6963 (Electronic)\\r1743-5889 (Linking)","ISSN":"1748-6963","PMID":"25694061","abstract":"Aim: A horizon scan of nanomedicinal product on the market or undergoing clinical investigation by analyzing the current nanomedicinal landscape. Materials &amp; Methods: The horizon scan includes a search of literature, clinical trial registries and the internet. Results: This horizon scan yielded 175 nanomedicinal products. Most products were intended for cancer treatment, followed by infectious diseases. Polymer conjugates, liposomes and protein nanoparticles were the most used structures for nanomedicinal products. Conclusions: This paper provides an overview of nanomedicinal products on the market or undergoing clinical investigation, their application areas and specific properties.","author":[{"dropping-particle":"","family":"Noorlander","given":"Cornelle W","non-dropping-particle":"","parse-names":false,"suffix":""},{"dropping-particle":"","family":"Kooi","given":"Myrna W","non-dropping-particle":"","parse-names":false,"suffix":""},{"dropping-particle":"","family":"Oomen","given":"Agnes G","non-dropping-particle":"","parse-names":false,"suffix":""},{"dropping-particle":"","family":"Park","given":"Margriet Vdz","non-dropping-particle":"","parse-names":false,"suffix":""},{"dropping-particle":"","family":"Vandebriel","given":"Rob J","non-dropping-particle":"","parse-names":false,"suffix":""},{"dropping-particle":"","family":"Geertsma","given":"Robert E","non-dropping-particle":"","parse-names":false,"suffix":""},{"dropping-particle":"","family":"Agnes","given":"G","non-dropping-particle":"","parse-names":false,"suffix":""}],"container-title":"Nanomedicine (London, England)","id":"ITEM-2","issued":{"date-parts":[["2015"]]},"page":"1-10","title":"Horizon scan of nanomedicinal products.","type":"article-journal","volume":"10"},"uris":["http://www.mendeley.com/documents/?uuid=ae62989e-3565-4318-b18f-c9fb1c913fd3"]}],"mendeley":{"formattedCitation":"[1,2]","plainTextFormattedCitation":"[1,2]","previouslyFormattedCitation":"[1,2]"},"properties":{"noteIndex":0},"schema":"https://github.com/citation-style-language/schema/raw/master/csl-citation.json"}</w:instrText>
      </w:r>
      <w:r w:rsidR="006D0C31" w:rsidRPr="00A64B10">
        <w:fldChar w:fldCharType="separate"/>
      </w:r>
      <w:r w:rsidR="009C76FF" w:rsidRPr="00A64B10">
        <w:rPr>
          <w:noProof/>
        </w:rPr>
        <w:t>[1,2]</w:t>
      </w:r>
      <w:r w:rsidR="006D0C31" w:rsidRPr="00A64B10">
        <w:fldChar w:fldCharType="end"/>
      </w:r>
      <w:r w:rsidR="00986858" w:rsidRPr="00A64B10">
        <w:t>.</w:t>
      </w:r>
      <w:r w:rsidR="00217CC2" w:rsidRPr="00A64B10">
        <w:t xml:space="preserve"> </w:t>
      </w:r>
      <w:r w:rsidR="00951C57" w:rsidRPr="00A64B10">
        <w:t xml:space="preserve">The relevance of nanotechnology in health products was </w:t>
      </w:r>
      <w:r w:rsidR="00F23008" w:rsidRPr="00A64B10">
        <w:t>remarkably</w:t>
      </w:r>
      <w:r w:rsidR="00951C57" w:rsidRPr="00A64B10">
        <w:t xml:space="preserve"> demonstrated in the field of vaccine development when the first covid-19 vaccines</w:t>
      </w:r>
      <w:r w:rsidR="003F06B2" w:rsidRPr="00A64B10">
        <w:t xml:space="preserve"> received market authorisation</w:t>
      </w:r>
      <w:r w:rsidR="00951C57" w:rsidRPr="00A64B10">
        <w:t xml:space="preserve"> </w:t>
      </w:r>
      <w:r w:rsidR="00D563A8">
        <w:t>in</w:t>
      </w:r>
      <w:r w:rsidR="00951C57" w:rsidRPr="00A64B10">
        <w:t xml:space="preserve"> </w:t>
      </w:r>
      <w:r w:rsidR="006138FD">
        <w:t xml:space="preserve">less than </w:t>
      </w:r>
      <w:r w:rsidR="00951C57" w:rsidRPr="00A64B10">
        <w:t>1 year.</w:t>
      </w:r>
      <w:r w:rsidR="003F06B2" w:rsidRPr="00A64B10">
        <w:t xml:space="preserve"> </w:t>
      </w:r>
      <w:r w:rsidR="00F42715" w:rsidRPr="00A64B10">
        <w:t>Thanks to their specific properties</w:t>
      </w:r>
      <w:r w:rsidR="005F38E4">
        <w:t>,</w:t>
      </w:r>
      <w:r w:rsidR="00F42715" w:rsidRPr="00A64B10">
        <w:t xml:space="preserve"> nanotechnology-based systems can improve pharmacokinetic properties of </w:t>
      </w:r>
      <w:r w:rsidR="001D3133" w:rsidRPr="00A64B10">
        <w:t xml:space="preserve">classic </w:t>
      </w:r>
      <w:r w:rsidR="00F42715" w:rsidRPr="00A64B10">
        <w:t>drugs</w:t>
      </w:r>
      <w:r w:rsidR="001D3133" w:rsidRPr="00A64B10">
        <w:t xml:space="preserve"> and biological products (</w:t>
      </w:r>
      <w:proofErr w:type="gramStart"/>
      <w:r w:rsidR="001D3133" w:rsidRPr="00A64B10">
        <w:t>e.g.</w:t>
      </w:r>
      <w:proofErr w:type="gramEnd"/>
      <w:r w:rsidR="001D3133" w:rsidRPr="00A64B10">
        <w:t xml:space="preserve"> nucleic acids)</w:t>
      </w:r>
      <w:r w:rsidR="00F42715" w:rsidRPr="00A64B10">
        <w:t xml:space="preserve"> enhancing their therapeutic efficacy and reducing side effects. They can also offer new therapeutic possibilities, e.g. using physical factors such as magnetic field or radiation in </w:t>
      </w:r>
      <w:r w:rsidR="00CF6535" w:rsidRPr="00A64B10">
        <w:t>oncological therapies</w:t>
      </w:r>
      <w:r w:rsidR="009C76FF" w:rsidRPr="00A64B10">
        <w:t xml:space="preserve"> </w:t>
      </w:r>
      <w:r w:rsidR="00632322" w:rsidRPr="00A64B10">
        <w:fldChar w:fldCharType="begin" w:fldLock="1"/>
      </w:r>
      <w:r w:rsidR="00632322" w:rsidRPr="00A64B10">
        <w:instrText>ADDIN CSL_CITATION {"citationItems":[{"id":"ITEM-1","itemData":{"DOI":"10.1016/j.pharmthera.2017.03.006","ISSN":"01637258","PMID":"28322970","abstract":"Considering both cancer's serious impact on public health and the side effects of cancer treatments, strategies towards targeted cancer therapy have lately gained considerable interest. Employment of gold nanoparticles (GNPs), in combination with ionizing and non-ionizing radiations, has been shown to improve the effect of radiation treatment significantly. GNPs, as high-Z particles, possess the ability to absorb ionizing radiation and enhance the deposited dose within the targeted tumors. Furthermore, they can convert non-ionizing radiation into heat, due to plasmon resonance, leading to hyperthermic damage to cancer cells. These observations, also supported by experimental evidence both in vitro and in vivo systems, reveal the capacity of GNPs to act as radiosensitizers for different types of radiation. In addition, they can be chemically modified to selectively target tumors, which renders them suitable for future cancer treatment therapies. Herein, a current review of the latest data on the physical properties of GNPs and their effects on GNP circulation time, biodistribution and clearance, as well as their interactions with plasma proteins and the immune system, is presented. Emphasis is also given with an in depth discussion on the underlying physical and biological mechanisms of radiosensitization. Furthermore, simulation data are provided on the use of GNPs in photothermal therapy upon non-ionizing laser irradiation treatment. Finally, the results obtained from the application of GNPs at clinical trials and pre-clinical experiments in vivo are reported.","author":[{"dropping-particle":"","family":"Dimitriou","given":"Nikolaos M.","non-dropping-particle":"","parse-names":false,"suffix":""},{"dropping-particle":"","family":"Tsekenis","given":"George","non-dropping-particle":"","parse-names":false,"suffix":""},{"dropping-particle":"","family":"Balanikas","given":"Evangelos C.","non-dropping-particle":"","parse-names":false,"suffix":""},{"dropping-particle":"","family":"Pavlopoulou","given":"Athanasia","non-dropping-particle":"","parse-names":false,"suffix":""},{"dropping-particle":"","family":"Mitsiogianni","given":"Melina","non-dropping-particle":"","parse-names":false,"suffix":""},{"dropping-particle":"","family":"Mantso","given":"Theodora","non-dropping-particle":"","parse-names":false,"suffix":""},{"dropping-particle":"","family":"Pashos","given":"George","non-dropping-particle":"","parse-names":false,"suffix":""},{"dropping-particle":"","family":"Boudouvis","given":"Andreas G.","non-dropping-particle":"","parse-names":false,"suffix":""},{"dropping-particle":"","family":"Lykakis","given":"Ioannis N.","non-dropping-particle":"","parse-names":false,"suffix":""},{"dropping-particle":"","family":"Tsigaridas","given":"Georgios","non-dropping-particle":"","parse-names":false,"suffix":""},{"dropping-particle":"","family":"Panayiotidis","given":"Mihalis I.","non-dropping-particle":"","parse-names":false,"suffix":""},{"dropping-particle":"","family":"Yannopapas","given":"Vassilios","non-dropping-particle":"","parse-names":false,"suffix":""},{"dropping-particle":"","family":"Georgakilas","given":"Alexandros G.","non-dropping-particle":"","parse-names":false,"suffix":""}],"container-title":"Pharmacology &amp; Therapeutics","id":"ITEM-1","issued":{"date-parts":[["2017","10"]]},"page":"1-17","title":"Gold nanoparticles, radiations and the immune system: Current insights into the physical mechanisms and the biological interactions of this new alliance towards cancer therapy","type":"article-journal","volume":"178"},"uris":["http://www.mendeley.com/documents/?uuid=79183cd0-e0c0-3f83-b115-bfde98efe10e"]}],"mendeley":{"formattedCitation":"[3]","plainTextFormattedCitation":"[3]","previouslyFormattedCitation":"[3]"},"properties":{"noteIndex":0},"schema":"https://github.com/citation-style-language/schema/raw/master/csl-citation.json"}</w:instrText>
      </w:r>
      <w:r w:rsidR="00632322" w:rsidRPr="00A64B10">
        <w:fldChar w:fldCharType="separate"/>
      </w:r>
      <w:r w:rsidR="00632322" w:rsidRPr="00A64B10">
        <w:rPr>
          <w:noProof/>
        </w:rPr>
        <w:t>[3]</w:t>
      </w:r>
      <w:r w:rsidR="00632322" w:rsidRPr="00A64B10">
        <w:fldChar w:fldCharType="end"/>
      </w:r>
      <w:r w:rsidR="00D00100" w:rsidRPr="00A64B10">
        <w:t xml:space="preserve">. </w:t>
      </w:r>
      <w:r w:rsidR="00986858" w:rsidRPr="00A64B10">
        <w:t xml:space="preserve">The most common </w:t>
      </w:r>
      <w:proofErr w:type="spellStart"/>
      <w:r w:rsidR="00D00100" w:rsidRPr="00A64B10">
        <w:t>nanomedicinal</w:t>
      </w:r>
      <w:proofErr w:type="spellEnd"/>
      <w:r w:rsidR="00D00100" w:rsidRPr="00A64B10">
        <w:t xml:space="preserve"> </w:t>
      </w:r>
      <w:r w:rsidR="00986858" w:rsidRPr="00A64B10">
        <w:t xml:space="preserve">formulations under investigation are </w:t>
      </w:r>
      <w:r w:rsidR="001F5E78" w:rsidRPr="00A64B10">
        <w:t>liposomes and</w:t>
      </w:r>
      <w:r w:rsidR="007104FA" w:rsidRPr="00A64B10">
        <w:t xml:space="preserve"> protein-bound drugs</w:t>
      </w:r>
      <w:r w:rsidR="00986858" w:rsidRPr="00A64B10">
        <w:t xml:space="preserve">, but many </w:t>
      </w:r>
      <w:r w:rsidR="00CF6535" w:rsidRPr="00A64B10">
        <w:t>studies</w:t>
      </w:r>
      <w:r w:rsidR="00986858" w:rsidRPr="00A64B10">
        <w:t xml:space="preserve"> are focusing on other innovative concept</w:t>
      </w:r>
      <w:r w:rsidR="00CF6535" w:rsidRPr="00A64B10">
        <w:t>s</w:t>
      </w:r>
      <w:r w:rsidR="00986858" w:rsidRPr="00A64B10">
        <w:t xml:space="preserve"> such as </w:t>
      </w:r>
      <w:r w:rsidR="00205783" w:rsidRPr="00A64B10">
        <w:t>l</w:t>
      </w:r>
      <w:r w:rsidR="00986858" w:rsidRPr="00A64B10">
        <w:t xml:space="preserve">ipid-based nanoparticles </w:t>
      </w:r>
      <w:r w:rsidR="00F42715" w:rsidRPr="00A64B10">
        <w:t xml:space="preserve">(NPs) </w:t>
      </w:r>
      <w:r w:rsidR="00986858" w:rsidRPr="00A64B10">
        <w:t xml:space="preserve">for nucleic acid delivery, </w:t>
      </w:r>
      <w:r w:rsidR="0017482A" w:rsidRPr="00A64B10">
        <w:t xml:space="preserve">and </w:t>
      </w:r>
      <w:r w:rsidR="000123E8" w:rsidRPr="00A64B10">
        <w:t xml:space="preserve">metal and </w:t>
      </w:r>
      <w:r w:rsidR="00986858" w:rsidRPr="00A64B10">
        <w:t xml:space="preserve">metal oxide </w:t>
      </w:r>
      <w:r w:rsidR="001130CA" w:rsidRPr="00A64B10">
        <w:t xml:space="preserve">NPs </w:t>
      </w:r>
      <w:r w:rsidR="00986858" w:rsidRPr="00A64B10">
        <w:t xml:space="preserve">as radio-enhancers or </w:t>
      </w:r>
      <w:r w:rsidR="00225E8B" w:rsidRPr="000700DD">
        <w:t>magnetic resonance imaging (</w:t>
      </w:r>
      <w:r w:rsidR="00986858" w:rsidRPr="00A64B10">
        <w:t>MRI</w:t>
      </w:r>
      <w:r w:rsidR="00225E8B" w:rsidRPr="000700DD">
        <w:t>)</w:t>
      </w:r>
      <w:r w:rsidR="00986858" w:rsidRPr="00A64B10">
        <w:t xml:space="preserve"> contrast agents. Other </w:t>
      </w:r>
      <w:r w:rsidR="006D0C31" w:rsidRPr="00A64B10">
        <w:t>nanotechnological platforms</w:t>
      </w:r>
      <w:r w:rsidR="00986858" w:rsidRPr="00A64B10">
        <w:t xml:space="preserve"> </w:t>
      </w:r>
      <w:r w:rsidR="00F42715" w:rsidRPr="00A64B10">
        <w:t>include</w:t>
      </w:r>
      <w:r w:rsidR="00986858" w:rsidRPr="00A64B10">
        <w:t xml:space="preserve"> polymeric </w:t>
      </w:r>
      <w:r w:rsidR="00F42715" w:rsidRPr="00A64B10">
        <w:t>NPs</w:t>
      </w:r>
      <w:r w:rsidR="00986858" w:rsidRPr="00A64B10">
        <w:t>, virus</w:t>
      </w:r>
      <w:r w:rsidR="0017482A" w:rsidRPr="00A64B10">
        <w:t>-</w:t>
      </w:r>
      <w:r w:rsidR="00986858" w:rsidRPr="00A64B10">
        <w:t xml:space="preserve">like particles, micelles, extracellular vesicles, gold NPs and nanocrystals </w:t>
      </w:r>
      <w:r w:rsidR="009C76FF" w:rsidRPr="00A64B10">
        <w:fldChar w:fldCharType="begin" w:fldLock="1"/>
      </w:r>
      <w:r w:rsidR="00D00100" w:rsidRPr="00A64B10">
        <w:instrText>ADDIN CSL_CITATION {"citationItems":[{"id":"ITEM-1","itemData":{"DOI":"10.1016/j.jconrel.2020.07.007","ISSN":"18734995","PMID":"32681950","abstract":"The situation of the COVID-19 pandemic reminds us that we permanently need high-value flexible solutions to urgent clinical needs including simplified diagnostic technologies suitable for use in the field and for delivering targeted therapeutics. From our perspective nanotechnology is revealed as a vital resource for this, as a generic platform of technical solutions to tackle complex medical challenges. It is towards this perspective and focusing on nanomedicine that we take issue with Prof Park's recent editorial published in the Journal of Controlled Release. Prof. Park argued that in the last 15 years nanomedicine failed to deliver the promised innovative clinical solutions to the patients (Park, K. The beginning of the end of the nanomedicine hype. Journal of Controlled Release, 2019; 305, 221–222 [1]. We, the ETPN (European Technology Platform on Nanomedicine) [2], respectfully disagree. In fact, the more than 50 formulations currently in the market, and the recent approval of 3 key nanomedicine products (e. g. Onpattro, Hensify and Vyxeos), have demonstrated that the nanomedicine field is concretely able to design products that overcome critical barriers in conventional medicine in a unique manner, but also to deliver within the cells new drug-free therapeutic effects by using pure physical modes of action, and therefore make a difference in patients lives. Furthermore, the &gt;400 nanomedicine formulations currently in clinical trials are expecting to bring novel clinical solutions (e.g. platforms for nucleic acid delivery), alone or in combination with other key enabling technologies to the market, including biotechnologies, microfluidics, advanced materials, biomaterials, smart systems, photonics, robotics, textiles, Big Data and ICT (information &amp; communication technologies) more generally. However, we agree with Prof. Park that “ it is time to examine the sources of difficulty in clinical translation of nanomedicine and move forward “. But for reaching this goal, the investments to support clinical translation of promising nanomedicine formulations should increase, not decrease. As recently encouraged by EMA in its roadmap to 2025, we should create more unity through a common knowledge hub linking academia, industry, healthcare providers and hopefully policy makers to reduce the current fragmentation of the standardization and regulatory body landscape. We should also promote a strategy of cross-technology innovation, support nanomedicine devel…","author":[{"dropping-particle":"","family":"Germain","given":"Matthieu","non-dropping-particle":"","parse-names":false,"suffix":""},{"dropping-particle":"","family":"Caputo","given":"Fanny","non-dropping-particle":"","parse-names":false,"suffix":""},{"dropping-particle":"","family":"Metcalfe","given":"Su","non-dropping-particle":"","parse-names":false,"suffix":""},{"dropping-particle":"","family":"Tosi","given":"Giovanni","non-dropping-particle":"","parse-names":false,"suffix":""},{"dropping-particle":"","family":"Spring","given":"Kathleen","non-dropping-particle":"","parse-names":false,"suffix":""},{"dropping-particle":"","family":"Åslund","given":"Andreas K.O.","non-dropping-particle":"","parse-names":false,"suffix":""},{"dropping-particle":"","family":"Pottier","given":"Agnes","non-dropping-particle":"","parse-names":false,"suffix":""},{"dropping-particle":"","family":"Schiffelers","given":"Raymond","non-dropping-particle":"","parse-names":false,"suffix":""},{"dropping-particle":"","family":"Ceccaldi","given":"Alexandre","non-dropping-particle":"","parse-names":false,"suffix":""},{"dropping-particle":"","family":"Schmid","given":"Ruth","non-dropping-particle":"","parse-names":false,"suffix":""}],"container-title":"Journal of Controlled Release","id":"ITEM-1","issued":{"date-parts":[["2020","10","10"]]},"page":"164-171","publisher":"Elsevier B.V.","title":"Delivering the power of nanomedicine to patients today","type":"article-journal","volume":"326"},"uris":["http://www.mendeley.com/documents/?uuid=7853f636-4558-3e41-9706-2f3eaecbe905"]}],"mendeley":{"formattedCitation":"[1]","plainTextFormattedCitation":"[1]","previouslyFormattedCitation":"[1]"},"properties":{"noteIndex":0},"schema":"https://github.com/citation-style-language/schema/raw/master/csl-citation.json"}</w:instrText>
      </w:r>
      <w:r w:rsidR="009C76FF" w:rsidRPr="00A64B10">
        <w:fldChar w:fldCharType="separate"/>
      </w:r>
      <w:r w:rsidR="009C76FF" w:rsidRPr="00A64B10">
        <w:rPr>
          <w:noProof/>
        </w:rPr>
        <w:t>[1]</w:t>
      </w:r>
      <w:r w:rsidR="009C76FF" w:rsidRPr="00A64B10">
        <w:fldChar w:fldCharType="end"/>
      </w:r>
      <w:r w:rsidR="00986858" w:rsidRPr="00A64B10">
        <w:t xml:space="preserve">. </w:t>
      </w:r>
      <w:r w:rsidR="009C76FF" w:rsidRPr="00A64B10">
        <w:t xml:space="preserve">In the area of medical devices the use of nanotechnology provides improved properties for implants, dental materials, scaffolds for </w:t>
      </w:r>
      <w:r w:rsidR="00D00100" w:rsidRPr="00A64B10">
        <w:t>tissue</w:t>
      </w:r>
      <w:r w:rsidR="009C76FF" w:rsidRPr="00A64B10">
        <w:t xml:space="preserve"> regeneration purposes and smart diagnostic agents</w:t>
      </w:r>
      <w:r w:rsidR="00D00100" w:rsidRPr="00A64B10">
        <w:t xml:space="preserve"> </w:t>
      </w:r>
      <w:r w:rsidR="00D00100" w:rsidRPr="00A64B10">
        <w:fldChar w:fldCharType="begin" w:fldLock="1"/>
      </w:r>
      <w:r w:rsidR="00632322" w:rsidRPr="00A64B10">
        <w:instrText>ADDIN CSL_CITATION {"citationItems":[{"id":"ITEM-1","itemData":{"author":[{"dropping-particle":"","family":"Geertsma","given":"Robert E.","non-dropping-particle":"","parse-names":false,"suffix":""},{"dropping-particle":"","family":"Park","given":"Margriet V.D.Z.","non-dropping-particle":"","parse-names":false,"suffix":""},{"dropping-particle":"","family":"Puts","given":"C.F.","non-dropping-particle":"","parse-names":false,"suffix":""},{"dropping-particle":"","family":"Roszek","given":"B.","non-dropping-particle":"","parse-names":false,"suffix":""},{"dropping-particle":"","family":"Stijl","given":"R.","non-dropping-particle":"van der","parse-names":false,"suffix":""},{"dropping-particle":"","family":"Jong","given":"W. H.","non-dropping-particle":"de","parse-names":false,"suffix":""}],"container-title":"RIVM Report 2015-0149","id":"ITEM-1","issued":{"date-parts":[["2015"]]},"title":"Nanotechnologies in medical devices","type":"article-journal"},"uris":["http://www.mendeley.com/documents/?uuid=c1eaee63-a069-4525-9cbb-7b81752a3208"]}],"mendeley":{"formattedCitation":"[4]","plainTextFormattedCitation":"[4]","previouslyFormattedCitation":"[4]"},"properties":{"noteIndex":0},"schema":"https://github.com/citation-style-language/schema/raw/master/csl-citation.json"}</w:instrText>
      </w:r>
      <w:r w:rsidR="00D00100" w:rsidRPr="00A64B10">
        <w:fldChar w:fldCharType="separate"/>
      </w:r>
      <w:r w:rsidR="00632322" w:rsidRPr="00A64B10">
        <w:rPr>
          <w:noProof/>
        </w:rPr>
        <w:t>[4]</w:t>
      </w:r>
      <w:r w:rsidR="00D00100" w:rsidRPr="00A64B10">
        <w:fldChar w:fldCharType="end"/>
      </w:r>
      <w:r w:rsidR="00951C57" w:rsidRPr="00A64B10">
        <w:t xml:space="preserve"> using a broad range of </w:t>
      </w:r>
      <w:r w:rsidR="005261B2" w:rsidRPr="00A64B10">
        <w:t>nanomaterials</w:t>
      </w:r>
      <w:r w:rsidR="00D00100" w:rsidRPr="00A64B10">
        <w:t xml:space="preserve"> includ</w:t>
      </w:r>
      <w:r w:rsidR="005261B2" w:rsidRPr="00A64B10">
        <w:t>ing</w:t>
      </w:r>
      <w:r w:rsidR="00D00100" w:rsidRPr="00A64B10">
        <w:t xml:space="preserve"> hydroxyapatite, iron oxide NPs, silver NPs</w:t>
      </w:r>
      <w:r w:rsidR="005261B2" w:rsidRPr="00A64B10">
        <w:t>, nanoceramics</w:t>
      </w:r>
      <w:r w:rsidR="0017482A" w:rsidRPr="00A64B10">
        <w:t>,</w:t>
      </w:r>
      <w:r w:rsidR="005261B2" w:rsidRPr="00A64B10">
        <w:t xml:space="preserve"> nanocellulose and others.</w:t>
      </w:r>
    </w:p>
    <w:p w14:paraId="4329474B" w14:textId="69751DD7" w:rsidR="00986858" w:rsidRPr="00A64B10" w:rsidRDefault="007104FA" w:rsidP="005034F7">
      <w:pPr>
        <w:jc w:val="both"/>
      </w:pPr>
      <w:r w:rsidRPr="00A64B10">
        <w:t>Nanotechnology-</w:t>
      </w:r>
      <w:r w:rsidR="00951C57" w:rsidRPr="00A64B10">
        <w:t>based products are regulated under the legislative-regulatory framework</w:t>
      </w:r>
      <w:r w:rsidR="00B7556B">
        <w:t>s</w:t>
      </w:r>
      <w:r w:rsidR="00951C57" w:rsidRPr="00A64B10">
        <w:t xml:space="preserve"> of medicinal products or medical devices requiring the provision of data for quality, safety and efficacy as any other product class when ap</w:t>
      </w:r>
      <w:r w:rsidRPr="00A64B10">
        <w:t xml:space="preserve">plying for clinical application. </w:t>
      </w:r>
      <w:r w:rsidR="00986858" w:rsidRPr="00A64B10">
        <w:t>However, due to their complex nature</w:t>
      </w:r>
      <w:r w:rsidR="00CF6535" w:rsidRPr="00A64B10">
        <w:t xml:space="preserve"> and </w:t>
      </w:r>
      <w:r w:rsidR="004315BD" w:rsidRPr="00A64B10">
        <w:t xml:space="preserve">the </w:t>
      </w:r>
      <w:r w:rsidRPr="00A64B10">
        <w:t xml:space="preserve">propensity to </w:t>
      </w:r>
      <w:r w:rsidR="004315BD" w:rsidRPr="00A64B10">
        <w:t>interact with biological systems</w:t>
      </w:r>
      <w:r w:rsidR="00986858" w:rsidRPr="00A64B10">
        <w:t xml:space="preserve">, additional </w:t>
      </w:r>
      <w:r w:rsidR="0019148A" w:rsidRPr="00A64B10">
        <w:t xml:space="preserve">information </w:t>
      </w:r>
      <w:r w:rsidRPr="00A64B10">
        <w:t xml:space="preserve">is needed </w:t>
      </w:r>
      <w:r w:rsidR="0019148A" w:rsidRPr="00A64B10">
        <w:t>in order to assess the quality and safety of th</w:t>
      </w:r>
      <w:r w:rsidRPr="00A64B10">
        <w:t>ese</w:t>
      </w:r>
      <w:r w:rsidR="0019148A" w:rsidRPr="00A64B10">
        <w:t xml:space="preserve"> innovative </w:t>
      </w:r>
      <w:r w:rsidRPr="00A64B10">
        <w:t>products</w:t>
      </w:r>
      <w:r w:rsidR="00993B28">
        <w:t xml:space="preserve"> </w:t>
      </w:r>
      <w:r w:rsidR="00993B28">
        <w:fldChar w:fldCharType="begin" w:fldLock="1"/>
      </w:r>
      <w:r w:rsidR="000B3F63">
        <w:instrText>ADDIN CSL_CITATION {"citationItems":[{"id":"ITEM-1","itemData":{"DOI":"10.33218/001c.13521","abstract":"The development of nanotechnology-enabled health products offers innovative therapeutic and diagnostic opportunities to address medical needs. At the moment, no specific regulatory framework exists for such products since they can be covered by the existing frameworks for medicinal products and medical devices. However, these frameworks do require additional guidance to fully cover the particularities of nanotechnology-enabled products. After a detailed analysis of regulatory guidance documents, standards, and scientific publications originating mainly from Europe and the US, the European project “REFINE” has released a White Paper summarising the main needs in the field. The selection of the regulatory pathway, the identification of regulatory information needs, as well as the availability of standardised testing methods are among the identified regulatory challenges.\nFurthermore, additional guidance is needed on how the similarity of follow-on medicinal products can be demonstrated. Also, challenges related to the classification and assessment of nanotechnology-enabled medical devices are presented. The project consortium is now collecting feedback on the identified challenges through a dedicated survey and published comments on this manuscript. The resulting discussions within the scientific community should help to understand how essential knowledge, methods, tools, and approaches can be obtained with to advance the regulatory science in the area of nanotechnology-enabled health products.\n&lt;img src=\" https://s3.amazonaws.com/production.scholastica/article/13521/large/prnano_432020_ga.jpg?1593297352\"&gt;","author":[{"dropping-particle":"","family":"Halamoda-Kenzaoui","given":"Blanka","non-dropping-particle":"","parse-names":false,"suffix":""},{"dropping-particle":"","family":"Box","given":"Helen","non-dropping-particle":"","parse-names":false,"suffix":""},{"dropping-particle":"","family":"Elk","given":"Merel","non-dropping-particle":"van","parse-names":false,"suffix":""},{"dropping-particle":"","family":"Gaitan","given":"Sandra","non-dropping-particle":"","parse-names":false,"suffix":""},{"dropping-particle":"","family":"Geertsma","given":"Robert E.","non-dropping-particle":"","parse-names":false,"suffix":""},{"dropping-particle":"","family":"Gainza Lafuente","given":"Eusebio","non-dropping-particle":"","parse-names":false,"suffix":""},{"dropping-particle":"","family":"Owen","given":"Andrew","non-dropping-particle":"","parse-names":false,"suffix":""},{"dropping-particle":"","family":"Pozo","given":"Angel","non-dropping-particle":"del","parse-names":false,"suffix":""},{"dropping-particle":"","family":"Roesslein","given":"Matthias","non-dropping-particle":"","parse-names":false,"suffix":""},{"dropping-particle":"","family":"Bremer-Hoffmann","given":"Susanne","non-dropping-particle":"","parse-names":false,"suffix":""}],"container-title":"Precision Nanomedicine","id":"ITEM-1","issue":"3","issued":{"date-parts":[["2020","6","27"]]},"page":"608-621","publisher":"Andover House Inc","title":"Launching stakeholder discussions on identified regulatory needs for nanotechnology-enabled health products","type":"article-journal","volume":"3"},"uris":["http://www.mendeley.com/documents/?uuid=9eca6b06-691c-444a-844d-c696d4178b44"]}],"mendeley":{"formattedCitation":"[5]","plainTextFormattedCitation":"[5]","previouslyFormattedCitation":"[5]"},"properties":{"noteIndex":0},"schema":"https://github.com/citation-style-language/schema/raw/master/csl-citation.json"}</w:instrText>
      </w:r>
      <w:r w:rsidR="00993B28">
        <w:fldChar w:fldCharType="separate"/>
      </w:r>
      <w:r w:rsidR="00993B28" w:rsidRPr="00993B28">
        <w:rPr>
          <w:noProof/>
        </w:rPr>
        <w:t>[5]</w:t>
      </w:r>
      <w:r w:rsidR="00993B28">
        <w:fldChar w:fldCharType="end"/>
      </w:r>
      <w:r w:rsidRPr="00A64B10">
        <w:t xml:space="preserve">. </w:t>
      </w:r>
      <w:r w:rsidR="00210084">
        <w:t xml:space="preserve">Regulatory authorities such as European Medicines Agency (EMA) and Food and Drug Administration (FDA) </w:t>
      </w:r>
      <w:r w:rsidR="0019148A" w:rsidRPr="00A64B10">
        <w:t>h</w:t>
      </w:r>
      <w:r w:rsidRPr="00A64B10">
        <w:t xml:space="preserve">ave released </w:t>
      </w:r>
      <w:proofErr w:type="gramStart"/>
      <w:r w:rsidRPr="00A64B10">
        <w:t>a number of</w:t>
      </w:r>
      <w:proofErr w:type="gramEnd"/>
      <w:r w:rsidRPr="00A64B10">
        <w:t xml:space="preserve"> guidance</w:t>
      </w:r>
      <w:r w:rsidR="0019148A" w:rsidRPr="00A64B10">
        <w:t xml:space="preserve"> </w:t>
      </w:r>
      <w:r w:rsidR="001553C9" w:rsidRPr="00A64B10">
        <w:t xml:space="preserve">documents highlighting </w:t>
      </w:r>
      <w:r w:rsidR="0019148A" w:rsidRPr="00A64B10">
        <w:t>parameter</w:t>
      </w:r>
      <w:r w:rsidR="00F23008" w:rsidRPr="00A64B10">
        <w:t>s</w:t>
      </w:r>
      <w:r w:rsidR="0019148A" w:rsidRPr="00A64B10">
        <w:t xml:space="preserve"> of relevance for this </w:t>
      </w:r>
      <w:r w:rsidR="001553C9" w:rsidRPr="00A64B10">
        <w:t>type of products</w:t>
      </w:r>
      <w:r w:rsidR="0019148A" w:rsidRPr="00A64B10">
        <w:t xml:space="preserve">. </w:t>
      </w:r>
      <w:r w:rsidR="0019148A" w:rsidRPr="00A64B10">
        <w:rPr>
          <w:rFonts w:eastAsia="Calibri" w:cstheme="minorHAnsi"/>
          <w:szCs w:val="20"/>
        </w:rPr>
        <w:t xml:space="preserve">The described information needs are not the regulatory requirements in strict sense, but rather parameters that are considered important for quality and safety assessments of nanotechnology-based products, in addition to applicable ICH guidelines for medicinal products and CEN/ISO standards for medical devices. </w:t>
      </w:r>
      <w:proofErr w:type="gramStart"/>
      <w:r w:rsidR="0019148A" w:rsidRPr="00A64B10">
        <w:t>In order to</w:t>
      </w:r>
      <w:proofErr w:type="gramEnd"/>
      <w:r w:rsidR="0019148A" w:rsidRPr="00A64B10">
        <w:t xml:space="preserve"> satisfy such regulatory information needs, reliable, fit-for-purpose methods must be available and accepted by </w:t>
      </w:r>
      <w:r w:rsidR="00210084">
        <w:t>regulatory authorities</w:t>
      </w:r>
      <w:r w:rsidR="0019148A" w:rsidRPr="00A64B10">
        <w:t>. The availability of standardised and regulatory accepted methodologies would reduce the uncertainty for product developer</w:t>
      </w:r>
      <w:r w:rsidR="00FB5433">
        <w:t>s</w:t>
      </w:r>
      <w:r w:rsidR="0019148A" w:rsidRPr="00A64B10">
        <w:t xml:space="preserve"> and provide high quality data for quality and safety assessment</w:t>
      </w:r>
      <w:r w:rsidR="004E150E">
        <w:t>,</w:t>
      </w:r>
      <w:r w:rsidR="0019148A" w:rsidRPr="00A64B10">
        <w:t xml:space="preserve"> faci</w:t>
      </w:r>
      <w:r w:rsidR="00F23008" w:rsidRPr="00A64B10">
        <w:t>litating the regulatory process</w:t>
      </w:r>
      <w:r w:rsidR="004E150E">
        <w:t xml:space="preserve"> and thus clinical translation to benefit patients</w:t>
      </w:r>
      <w:r w:rsidR="00F23008" w:rsidRPr="00A64B10">
        <w:t>.</w:t>
      </w:r>
    </w:p>
    <w:p w14:paraId="21A0E95B" w14:textId="396F9C49" w:rsidR="0019148A" w:rsidRPr="00A64B10" w:rsidRDefault="00986858" w:rsidP="0019148A">
      <w:pPr>
        <w:jc w:val="both"/>
        <w:rPr>
          <w:b/>
          <w:bCs/>
          <w:sz w:val="24"/>
          <w:szCs w:val="24"/>
        </w:rPr>
      </w:pPr>
      <w:r w:rsidRPr="00A64B10">
        <w:t>As pa</w:t>
      </w:r>
      <w:r w:rsidR="000277FC" w:rsidRPr="00A64B10">
        <w:t>r</w:t>
      </w:r>
      <w:r w:rsidRPr="00A64B10">
        <w:t>t of the H2020 project REFINE</w:t>
      </w:r>
      <w:r w:rsidR="006E4CFC" w:rsidRPr="00A64B10">
        <w:t>, (</w:t>
      </w:r>
      <w:r w:rsidR="00E111C1" w:rsidRPr="00E111C1">
        <w:t>www.refine-nanomed.</w:t>
      </w:r>
      <w:r w:rsidR="00E111C1">
        <w:t>eu</w:t>
      </w:r>
      <w:r w:rsidR="006E4CFC" w:rsidRPr="00A64B10">
        <w:rPr>
          <w:rStyle w:val="Hyperlink"/>
          <w:color w:val="000000" w:themeColor="text1"/>
        </w:rPr>
        <w:t>)</w:t>
      </w:r>
      <w:r w:rsidRPr="00A64B10">
        <w:t xml:space="preserve">, which aims </w:t>
      </w:r>
      <w:r w:rsidR="008C6B7A" w:rsidRPr="00A64B10">
        <w:t xml:space="preserve">to </w:t>
      </w:r>
      <w:r w:rsidR="0019148A" w:rsidRPr="00A64B10">
        <w:t xml:space="preserve">advance </w:t>
      </w:r>
      <w:r w:rsidR="008C6B7A" w:rsidRPr="00A64B10">
        <w:t xml:space="preserve">the regulatory science for nanotechnology-based health products, </w:t>
      </w:r>
      <w:r w:rsidR="0019148A" w:rsidRPr="00A64B10">
        <w:t xml:space="preserve">we have systematically analysed to what </w:t>
      </w:r>
      <w:r w:rsidR="00FB5433">
        <w:t xml:space="preserve">extent </w:t>
      </w:r>
      <w:r w:rsidR="008C6B7A" w:rsidRPr="00A64B10">
        <w:t xml:space="preserve">the currently available methods are sufficient to address the regulatory information needs </w:t>
      </w:r>
      <w:r w:rsidR="0019148A" w:rsidRPr="00A64B10">
        <w:t xml:space="preserve">and elucidated </w:t>
      </w:r>
      <w:r w:rsidR="008C6B7A" w:rsidRPr="00A64B10">
        <w:t xml:space="preserve">methodological gaps. </w:t>
      </w:r>
      <w:r w:rsidR="0019148A" w:rsidRPr="00A64B10">
        <w:t>In addition, we have identified promising methods that are currently used by product developer</w:t>
      </w:r>
      <w:r w:rsidR="00F23008" w:rsidRPr="00A64B10">
        <w:t>s</w:t>
      </w:r>
      <w:r w:rsidR="0019148A" w:rsidRPr="00A64B10">
        <w:t xml:space="preserve"> but are not yet taken </w:t>
      </w:r>
      <w:r w:rsidR="00F23008" w:rsidRPr="00A64B10">
        <w:t>up in standardisation activities</w:t>
      </w:r>
      <w:r w:rsidR="0019148A" w:rsidRPr="00A64B10">
        <w:t xml:space="preserve"> and</w:t>
      </w:r>
      <w:r w:rsidR="00A23638">
        <w:t>,</w:t>
      </w:r>
      <w:r w:rsidR="0019148A" w:rsidRPr="00A64B10">
        <w:t xml:space="preserve"> finally</w:t>
      </w:r>
      <w:r w:rsidR="00A23638">
        <w:t>,</w:t>
      </w:r>
      <w:r w:rsidR="0019148A" w:rsidRPr="00A64B10">
        <w:t xml:space="preserve"> we highlighted those areas where </w:t>
      </w:r>
      <w:r w:rsidR="000D059D" w:rsidRPr="00A64B10">
        <w:t>analytical solution</w:t>
      </w:r>
      <w:r w:rsidR="00B9265E" w:rsidRPr="00A64B10">
        <w:t>s</w:t>
      </w:r>
      <w:r w:rsidR="000D059D" w:rsidRPr="00A64B10">
        <w:t xml:space="preserve"> </w:t>
      </w:r>
      <w:r w:rsidR="008C6B7A" w:rsidRPr="00A64B10">
        <w:t xml:space="preserve">are </w:t>
      </w:r>
      <w:r w:rsidR="000D059D" w:rsidRPr="00A64B10">
        <w:t xml:space="preserve">completely lacking </w:t>
      </w:r>
      <w:r w:rsidR="0019148A" w:rsidRPr="00A64B10">
        <w:t xml:space="preserve">thus requiring test development programmes. </w:t>
      </w:r>
      <w:r w:rsidR="00E02D76" w:rsidRPr="00A64B10">
        <w:t xml:space="preserve">The results of this work </w:t>
      </w:r>
      <w:r w:rsidR="00B9265E" w:rsidRPr="00A64B10">
        <w:t>will help</w:t>
      </w:r>
      <w:r w:rsidR="0019148A" w:rsidRPr="00A64B10">
        <w:t xml:space="preserve"> standardisation bodies in their priority </w:t>
      </w:r>
      <w:r w:rsidR="0019148A" w:rsidRPr="00A64B10">
        <w:lastRenderedPageBreak/>
        <w:t xml:space="preserve">setting and can stimulate research activities to make reliable and relevant methods available for regulatory purposes. </w:t>
      </w:r>
    </w:p>
    <w:p w14:paraId="69286D8A" w14:textId="77777777" w:rsidR="00214C68" w:rsidRPr="00A64B10" w:rsidRDefault="00214C68" w:rsidP="0000021E">
      <w:pPr>
        <w:pStyle w:val="Heading1"/>
        <w:numPr>
          <w:ilvl w:val="0"/>
          <w:numId w:val="15"/>
        </w:numPr>
      </w:pPr>
      <w:r w:rsidRPr="00A64B10">
        <w:t>Methodological approach</w:t>
      </w:r>
    </w:p>
    <w:p w14:paraId="30555774" w14:textId="50AD3C47" w:rsidR="003A2A06" w:rsidRPr="00A64B10" w:rsidRDefault="00E02D76" w:rsidP="003432E9">
      <w:pPr>
        <w:jc w:val="both"/>
      </w:pPr>
      <w:r w:rsidRPr="00A64B10">
        <w:t xml:space="preserve">The gap analysis reported in this work </w:t>
      </w:r>
      <w:r w:rsidR="00B533F0" w:rsidRPr="00A64B10">
        <w:t xml:space="preserve">was </w:t>
      </w:r>
      <w:r w:rsidR="0090288E" w:rsidRPr="00A64B10">
        <w:t xml:space="preserve">divided </w:t>
      </w:r>
      <w:r w:rsidR="00B533F0" w:rsidRPr="00A64B10">
        <w:t>in</w:t>
      </w:r>
      <w:r w:rsidRPr="00A64B10">
        <w:t xml:space="preserve"> </w:t>
      </w:r>
      <w:r w:rsidR="0092219A" w:rsidRPr="00A64B10">
        <w:t>four</w:t>
      </w:r>
      <w:r w:rsidRPr="00A64B10">
        <w:t xml:space="preserve"> steps, as represented in Figure 1. </w:t>
      </w:r>
    </w:p>
    <w:p w14:paraId="4C85CB60" w14:textId="77777777" w:rsidR="00214C68" w:rsidRPr="00A64B10" w:rsidRDefault="00007E36" w:rsidP="00CC56B8">
      <w:pPr>
        <w:pStyle w:val="Heading2"/>
      </w:pPr>
      <w:r w:rsidRPr="00A64B10">
        <w:t xml:space="preserve">2.1 </w:t>
      </w:r>
      <w:r w:rsidR="00854AD0" w:rsidRPr="00A64B10">
        <w:t>Extraction</w:t>
      </w:r>
      <w:r w:rsidR="00214C68" w:rsidRPr="00A64B10">
        <w:t xml:space="preserve"> of regulatory information needs</w:t>
      </w:r>
    </w:p>
    <w:p w14:paraId="43D808C0" w14:textId="55BBAF6B" w:rsidR="00214C68" w:rsidRPr="00A64B10" w:rsidRDefault="00B533F0" w:rsidP="005F2FB3">
      <w:pPr>
        <w:jc w:val="both"/>
      </w:pPr>
      <w:r w:rsidRPr="00A64B10">
        <w:t>In step</w:t>
      </w:r>
      <w:r w:rsidR="00942221" w:rsidRPr="00A64B10">
        <w:t xml:space="preserve"> </w:t>
      </w:r>
      <w:r w:rsidRPr="00A64B10">
        <w:t>1, all</w:t>
      </w:r>
      <w:r w:rsidR="00214C68" w:rsidRPr="00A64B10">
        <w:t xml:space="preserve"> the regulatory documents </w:t>
      </w:r>
      <w:proofErr w:type="gramStart"/>
      <w:r w:rsidR="0019148A" w:rsidRPr="00A64B10">
        <w:t>e.g.</w:t>
      </w:r>
      <w:proofErr w:type="gramEnd"/>
      <w:r w:rsidR="0019148A" w:rsidRPr="00A64B10">
        <w:t xml:space="preserve"> guidance documents, reflection paper</w:t>
      </w:r>
      <w:r w:rsidR="001553C9" w:rsidRPr="00A64B10">
        <w:t>s</w:t>
      </w:r>
      <w:r w:rsidR="0019148A" w:rsidRPr="00A64B10">
        <w:t xml:space="preserve"> </w:t>
      </w:r>
      <w:r w:rsidR="00214C68" w:rsidRPr="00A64B10">
        <w:t xml:space="preserve">addressing nanotechnology-based medicinal products and medical devices were compiled and categorised according to product class (e.g. liposomal products, iron-based colloidal products). </w:t>
      </w:r>
      <w:r w:rsidR="0019148A" w:rsidRPr="00A64B10">
        <w:t xml:space="preserve">Only documents published in </w:t>
      </w:r>
      <w:r w:rsidR="001553C9" w:rsidRPr="00A64B10">
        <w:t>E</w:t>
      </w:r>
      <w:r w:rsidR="0019148A" w:rsidRPr="00A64B10">
        <w:t>nglish were considered.</w:t>
      </w:r>
      <w:r w:rsidR="001553C9" w:rsidRPr="00A64B10">
        <w:t xml:space="preserve"> </w:t>
      </w:r>
      <w:r w:rsidR="00214C68" w:rsidRPr="00A64B10">
        <w:t xml:space="preserve">Regulatory information needs related to the quality and non-clinical safety assessment were extracted for each </w:t>
      </w:r>
      <w:r w:rsidR="00C82F23" w:rsidRPr="00A64B10">
        <w:t xml:space="preserve">product </w:t>
      </w:r>
      <w:r w:rsidR="002F71B8" w:rsidRPr="00A64B10">
        <w:t>class</w:t>
      </w:r>
      <w:r w:rsidR="00214C68" w:rsidRPr="00A64B10">
        <w:t xml:space="preserve">. </w:t>
      </w:r>
      <w:r w:rsidR="00AC0369" w:rsidRPr="00A64B10">
        <w:t xml:space="preserve">When </w:t>
      </w:r>
      <w:r w:rsidR="00214C68" w:rsidRPr="00A64B10">
        <w:t>several documents were a</w:t>
      </w:r>
      <w:r w:rsidR="002F71B8" w:rsidRPr="00A64B10">
        <w:t>vailable for a specific class</w:t>
      </w:r>
      <w:r w:rsidR="00214C68" w:rsidRPr="00A64B10">
        <w:t>, all included parameters were collected</w:t>
      </w:r>
      <w:r w:rsidR="00F80A43">
        <w:t>.</w:t>
      </w:r>
      <w:r w:rsidR="00C82F23" w:rsidRPr="00A64B10">
        <w:t xml:space="preserve"> </w:t>
      </w:r>
      <w:r w:rsidR="00F80A43">
        <w:t>F</w:t>
      </w:r>
      <w:r w:rsidR="00214C68" w:rsidRPr="00A64B10">
        <w:t>or the gap analysis</w:t>
      </w:r>
      <w:r w:rsidR="0017482A" w:rsidRPr="00A64B10">
        <w:t>,</w:t>
      </w:r>
      <w:r w:rsidR="00214C68" w:rsidRPr="00A64B10">
        <w:t xml:space="preserve"> only parameters relevant for different </w:t>
      </w:r>
      <w:r w:rsidR="00E4498C" w:rsidRPr="000700DD">
        <w:t xml:space="preserve">product </w:t>
      </w:r>
      <w:r w:rsidR="00214C68" w:rsidRPr="00A64B10">
        <w:t>cate</w:t>
      </w:r>
      <w:r w:rsidR="001553C9" w:rsidRPr="00A64B10">
        <w:t>gories (at least three</w:t>
      </w:r>
      <w:r w:rsidR="00214C68" w:rsidRPr="00A64B10">
        <w:t xml:space="preserve"> </w:t>
      </w:r>
      <w:r w:rsidR="00E4498C" w:rsidRPr="000700DD">
        <w:t>categories</w:t>
      </w:r>
      <w:r w:rsidR="00F512DD" w:rsidRPr="00A64B10">
        <w:t>)</w:t>
      </w:r>
      <w:r w:rsidR="00214C68" w:rsidRPr="00A64B10">
        <w:t xml:space="preserve"> or </w:t>
      </w:r>
      <w:r w:rsidR="00854AD0" w:rsidRPr="00A64B10">
        <w:t>included</w:t>
      </w:r>
      <w:r w:rsidR="00214C68" w:rsidRPr="00A64B10">
        <w:t xml:space="preserve"> in the regulatory document</w:t>
      </w:r>
      <w:r w:rsidR="001553C9" w:rsidRPr="00A64B10">
        <w:t>s</w:t>
      </w:r>
      <w:r w:rsidR="00854AD0" w:rsidRPr="00A64B10">
        <w:t xml:space="preserve"> </w:t>
      </w:r>
      <w:r w:rsidR="00214C68" w:rsidRPr="00A64B10">
        <w:t xml:space="preserve">addressing different </w:t>
      </w:r>
      <w:r w:rsidR="00854AD0" w:rsidRPr="00A64B10">
        <w:t xml:space="preserve">product </w:t>
      </w:r>
      <w:r w:rsidR="00214C68" w:rsidRPr="00A64B10">
        <w:t>categories were considered.</w:t>
      </w:r>
    </w:p>
    <w:p w14:paraId="51D496A6" w14:textId="77777777" w:rsidR="00C82F23" w:rsidRPr="00A64B10" w:rsidRDefault="00C82F23" w:rsidP="00C82F23">
      <w:pPr>
        <w:pStyle w:val="Heading2"/>
      </w:pPr>
      <w:r w:rsidRPr="00A64B10">
        <w:t>2.2 Mapping with standardised methods</w:t>
      </w:r>
    </w:p>
    <w:p w14:paraId="63A44388" w14:textId="3F06A183" w:rsidR="00C82F23" w:rsidRPr="00A64B10" w:rsidRDefault="00C82F23" w:rsidP="00C82F23">
      <w:r w:rsidRPr="00A64B10">
        <w:t>Available standardised methods (ISO, ASTM International, CEN) were mapped against regulatory information needs</w:t>
      </w:r>
      <w:r w:rsidR="00F512DD" w:rsidRPr="00A64B10">
        <w:t xml:space="preserve"> identified in</w:t>
      </w:r>
      <w:r w:rsidR="004E22B8" w:rsidRPr="00A64B10">
        <w:t xml:space="preserve"> step 1</w:t>
      </w:r>
      <w:r w:rsidRPr="00A64B10">
        <w:t xml:space="preserve">. Endpoints for which no standardised methods </w:t>
      </w:r>
      <w:r w:rsidR="00C41D99" w:rsidRPr="00A64B10">
        <w:t xml:space="preserve">are available </w:t>
      </w:r>
      <w:r w:rsidRPr="00A64B10">
        <w:t>were grouped in</w:t>
      </w:r>
      <w:r w:rsidR="002F71B8" w:rsidRPr="00A64B10">
        <w:t>to five broad areas</w:t>
      </w:r>
      <w:r w:rsidRPr="00A64B10">
        <w:t xml:space="preserve"> of gaps.</w:t>
      </w:r>
    </w:p>
    <w:p w14:paraId="2FBFA175" w14:textId="77777777" w:rsidR="00214C68" w:rsidRPr="00A64B10" w:rsidRDefault="00007E36" w:rsidP="00CC56B8">
      <w:pPr>
        <w:pStyle w:val="Heading2"/>
      </w:pPr>
      <w:r w:rsidRPr="00A64B10">
        <w:t>2.</w:t>
      </w:r>
      <w:r w:rsidR="00C82F23" w:rsidRPr="00A64B10">
        <w:t>3</w:t>
      </w:r>
      <w:r w:rsidRPr="00A64B10">
        <w:t xml:space="preserve"> </w:t>
      </w:r>
      <w:r w:rsidR="00214C68" w:rsidRPr="00A64B10">
        <w:t>Compilation of methods</w:t>
      </w:r>
      <w:r w:rsidR="0005315C" w:rsidRPr="00A64B10">
        <w:t xml:space="preserve"> addressing areas of </w:t>
      </w:r>
      <w:proofErr w:type="gramStart"/>
      <w:r w:rsidR="0005315C" w:rsidRPr="00A64B10">
        <w:t>gaps</w:t>
      </w:r>
      <w:proofErr w:type="gramEnd"/>
      <w:r w:rsidR="00214C68" w:rsidRPr="00A64B10">
        <w:t xml:space="preserve"> </w:t>
      </w:r>
    </w:p>
    <w:p w14:paraId="65A1D24E" w14:textId="02676182" w:rsidR="00214C68" w:rsidRPr="00A64B10" w:rsidRDefault="002F71B8" w:rsidP="00CC56B8">
      <w:pPr>
        <w:spacing w:after="0"/>
        <w:jc w:val="both"/>
      </w:pPr>
      <w:r w:rsidRPr="00A64B10">
        <w:t>Broad areas</w:t>
      </w:r>
      <w:r w:rsidR="00C82F23" w:rsidRPr="00A64B10">
        <w:t xml:space="preserve"> of gaps were broken down </w:t>
      </w:r>
      <w:r w:rsidR="00421DB5" w:rsidRPr="00A64B10">
        <w:t xml:space="preserve">into </w:t>
      </w:r>
      <w:r w:rsidR="00C82F23" w:rsidRPr="00A64B10">
        <w:t>more specific subcategories and endpoints</w:t>
      </w:r>
      <w:r w:rsidR="00421DB5" w:rsidRPr="00A64B10">
        <w:t xml:space="preserve"> as</w:t>
      </w:r>
      <w:r w:rsidR="00C82F23" w:rsidRPr="00A64B10">
        <w:t xml:space="preserve"> </w:t>
      </w:r>
      <w:r w:rsidR="00F512DD" w:rsidRPr="00A64B10">
        <w:t>specified</w:t>
      </w:r>
      <w:r w:rsidR="00421DB5" w:rsidRPr="00A64B10">
        <w:t xml:space="preserve"> </w:t>
      </w:r>
      <w:r w:rsidR="00F512DD" w:rsidRPr="00A64B10">
        <w:t>in</w:t>
      </w:r>
      <w:r w:rsidR="00C82F23" w:rsidRPr="00A64B10">
        <w:t xml:space="preserve"> regulatory </w:t>
      </w:r>
      <w:r w:rsidR="00F80A43">
        <w:t>documents or</w:t>
      </w:r>
      <w:r w:rsidRPr="00A64B10">
        <w:t xml:space="preserve"> </w:t>
      </w:r>
      <w:r w:rsidR="003342D9">
        <w:t xml:space="preserve">based on </w:t>
      </w:r>
      <w:r w:rsidRPr="00A64B10">
        <w:t xml:space="preserve">expert </w:t>
      </w:r>
      <w:proofErr w:type="gramStart"/>
      <w:r w:rsidRPr="00A64B10">
        <w:t>knowledge, and</w:t>
      </w:r>
      <w:proofErr w:type="gramEnd"/>
      <w:r w:rsidRPr="00A64B10">
        <w:t xml:space="preserve"> mapped against methods. M</w:t>
      </w:r>
      <w:r w:rsidR="00214C68" w:rsidRPr="00A64B10">
        <w:t xml:space="preserve">ultiple sources of methods </w:t>
      </w:r>
      <w:r w:rsidR="00421DB5" w:rsidRPr="00A64B10">
        <w:t>were</w:t>
      </w:r>
      <w:r w:rsidR="00214C68" w:rsidRPr="00A64B10">
        <w:t xml:space="preserve"> considered </w:t>
      </w:r>
      <w:r w:rsidR="005F2FB3" w:rsidRPr="00A64B10">
        <w:t>i</w:t>
      </w:r>
      <w:r w:rsidR="00214C68" w:rsidRPr="00A64B10">
        <w:t xml:space="preserve">ncluding: </w:t>
      </w:r>
    </w:p>
    <w:p w14:paraId="0C0DDB26" w14:textId="035B4CB7" w:rsidR="00214C68" w:rsidRPr="00A64B10" w:rsidRDefault="00214C68" w:rsidP="0000021E">
      <w:pPr>
        <w:pStyle w:val="ListParagraph"/>
        <w:numPr>
          <w:ilvl w:val="0"/>
          <w:numId w:val="8"/>
        </w:numPr>
        <w:spacing w:after="0"/>
        <w:jc w:val="both"/>
      </w:pPr>
      <w:r w:rsidRPr="00A64B10">
        <w:t xml:space="preserve">standards </w:t>
      </w:r>
      <w:r w:rsidR="005F2FB3" w:rsidRPr="00A64B10">
        <w:t xml:space="preserve">(also, those under development) </w:t>
      </w:r>
      <w:r w:rsidRPr="00A64B10">
        <w:t>applicable to nanomaterials (ISO, ASTM International</w:t>
      </w:r>
      <w:proofErr w:type="gramStart"/>
      <w:r w:rsidRPr="00A64B10">
        <w:t>)</w:t>
      </w:r>
      <w:r w:rsidR="00C34984">
        <w:t>;</w:t>
      </w:r>
      <w:proofErr w:type="gramEnd"/>
      <w:r w:rsidRPr="00A64B10">
        <w:t xml:space="preserve"> </w:t>
      </w:r>
    </w:p>
    <w:p w14:paraId="0A9CE7FF" w14:textId="5D31905C" w:rsidR="00214C68" w:rsidRPr="00A64B10" w:rsidRDefault="00214C68" w:rsidP="0000021E">
      <w:pPr>
        <w:pStyle w:val="ListParagraph"/>
        <w:numPr>
          <w:ilvl w:val="0"/>
          <w:numId w:val="8"/>
        </w:numPr>
        <w:spacing w:after="0"/>
        <w:jc w:val="both"/>
      </w:pPr>
      <w:r w:rsidRPr="00A64B10">
        <w:t xml:space="preserve">standards that are not specifically developed for nanomaterials, but </w:t>
      </w:r>
      <w:r w:rsidR="00C41D99" w:rsidRPr="00A64B10">
        <w:t xml:space="preserve">used for </w:t>
      </w:r>
      <w:r w:rsidRPr="00A64B10">
        <w:t>pharmaceutical products</w:t>
      </w:r>
      <w:r w:rsidR="005F2FB3" w:rsidRPr="00A64B10">
        <w:t xml:space="preserve"> and medical devices</w:t>
      </w:r>
      <w:r w:rsidRPr="00A64B10">
        <w:t xml:space="preserve"> (</w:t>
      </w:r>
      <w:r w:rsidR="005F2FB3" w:rsidRPr="00A64B10">
        <w:t xml:space="preserve">ISO, </w:t>
      </w:r>
      <w:r w:rsidRPr="00A64B10">
        <w:t>Ph</w:t>
      </w:r>
      <w:r w:rsidR="00333432">
        <w:t>. Eur.</w:t>
      </w:r>
      <w:proofErr w:type="gramStart"/>
      <w:r w:rsidRPr="00A64B10">
        <w:t>);</w:t>
      </w:r>
      <w:proofErr w:type="gramEnd"/>
      <w:r w:rsidRPr="00A64B10">
        <w:t xml:space="preserve"> </w:t>
      </w:r>
    </w:p>
    <w:p w14:paraId="407CD50A" w14:textId="068B36F0" w:rsidR="00214C68" w:rsidRPr="00A64B10" w:rsidRDefault="00214C68" w:rsidP="0000021E">
      <w:pPr>
        <w:pStyle w:val="ListParagraph"/>
        <w:numPr>
          <w:ilvl w:val="0"/>
          <w:numId w:val="8"/>
        </w:numPr>
        <w:spacing w:after="0"/>
        <w:jc w:val="both"/>
      </w:pPr>
      <w:r w:rsidRPr="00A64B10">
        <w:t xml:space="preserve">methods </w:t>
      </w:r>
      <w:r w:rsidR="00C41D99" w:rsidRPr="00A64B10">
        <w:t xml:space="preserve">developed and optimized </w:t>
      </w:r>
      <w:r w:rsidRPr="00A64B10">
        <w:t>by research infrastructures and institutes with a strong expertise in nanomedicine</w:t>
      </w:r>
      <w:r w:rsidR="00560FEC" w:rsidRPr="00A64B10">
        <w:t xml:space="preserve">, including the Nanotechnology </w:t>
      </w:r>
      <w:r w:rsidR="00F512DD" w:rsidRPr="00A64B10">
        <w:t>C</w:t>
      </w:r>
      <w:r w:rsidR="00560FEC" w:rsidRPr="00A64B10">
        <w:t>haracterization Laboratory (</w:t>
      </w:r>
      <w:r w:rsidRPr="00A64B10">
        <w:t>NCI-NCL</w:t>
      </w:r>
      <w:r w:rsidR="00560FEC" w:rsidRPr="00A64B10">
        <w:t>)</w:t>
      </w:r>
      <w:r w:rsidR="00F812F9">
        <w:rPr>
          <w:rStyle w:val="FootnoteReference"/>
        </w:rPr>
        <w:footnoteReference w:id="2"/>
      </w:r>
      <w:r w:rsidRPr="00A64B10">
        <w:t xml:space="preserve"> and </w:t>
      </w:r>
      <w:r w:rsidR="00560FEC" w:rsidRPr="00A64B10">
        <w:t>the European Nanomedicine Characterisation Lab</w:t>
      </w:r>
      <w:r w:rsidR="00F512DD" w:rsidRPr="00A64B10">
        <w:t>oratory</w:t>
      </w:r>
      <w:r w:rsidR="00560FEC" w:rsidRPr="00A64B10">
        <w:t xml:space="preserve"> (</w:t>
      </w:r>
      <w:r w:rsidRPr="00A64B10">
        <w:t>EUNCL)</w:t>
      </w:r>
      <w:r w:rsidR="00F812F9">
        <w:rPr>
          <w:rStyle w:val="FootnoteReference"/>
        </w:rPr>
        <w:footnoteReference w:id="3"/>
      </w:r>
      <w:r w:rsidRPr="00A64B10">
        <w:t xml:space="preserve">; </w:t>
      </w:r>
    </w:p>
    <w:p w14:paraId="1005AB57" w14:textId="77777777" w:rsidR="00214C68" w:rsidRPr="00A64B10" w:rsidRDefault="00821907" w:rsidP="0000021E">
      <w:pPr>
        <w:pStyle w:val="ListParagraph"/>
        <w:numPr>
          <w:ilvl w:val="0"/>
          <w:numId w:val="8"/>
        </w:numPr>
        <w:spacing w:after="0"/>
        <w:jc w:val="both"/>
      </w:pPr>
      <w:r w:rsidRPr="00A64B10">
        <w:t>s</w:t>
      </w:r>
      <w:r w:rsidR="00214C68" w:rsidRPr="00A64B10">
        <w:t xml:space="preserve">tandard operating procedures and/or protocols established or under development by initiatives </w:t>
      </w:r>
      <w:r w:rsidR="00C41D99" w:rsidRPr="00A64B10">
        <w:t xml:space="preserve">and research projects </w:t>
      </w:r>
      <w:r w:rsidR="00214C68" w:rsidRPr="00A64B10">
        <w:t xml:space="preserve">in the field of </w:t>
      </w:r>
      <w:r w:rsidR="00553D2D" w:rsidRPr="00A64B10">
        <w:t xml:space="preserve">engineered nanomaterials and </w:t>
      </w:r>
      <w:r w:rsidR="00214C68" w:rsidRPr="00A64B10">
        <w:t>nano</w:t>
      </w:r>
      <w:r w:rsidR="00553D2D" w:rsidRPr="00A64B10">
        <w:t>technology</w:t>
      </w:r>
      <w:r w:rsidR="00214C68" w:rsidRPr="00A64B10">
        <w:t>-</w:t>
      </w:r>
      <w:r w:rsidR="005F2FB3" w:rsidRPr="00A64B10">
        <w:t>based</w:t>
      </w:r>
      <w:r w:rsidR="00214C68" w:rsidRPr="00A64B10">
        <w:t xml:space="preserve"> health products (</w:t>
      </w:r>
      <w:proofErr w:type="gramStart"/>
      <w:r w:rsidR="00214C68" w:rsidRPr="00A64B10">
        <w:t>e.g.</w:t>
      </w:r>
      <w:proofErr w:type="gramEnd"/>
      <w:r w:rsidR="00553D2D" w:rsidRPr="00A64B10">
        <w:t xml:space="preserve"> FP7 </w:t>
      </w:r>
      <w:proofErr w:type="spellStart"/>
      <w:r w:rsidR="00553D2D" w:rsidRPr="00A64B10">
        <w:t>Nanommune</w:t>
      </w:r>
      <w:proofErr w:type="spellEnd"/>
      <w:r w:rsidR="00553D2D" w:rsidRPr="00A64B10">
        <w:t>,</w:t>
      </w:r>
      <w:r w:rsidR="00214C68" w:rsidRPr="00A64B10">
        <w:t xml:space="preserve"> </w:t>
      </w:r>
      <w:proofErr w:type="spellStart"/>
      <w:r w:rsidR="00FD26FB" w:rsidRPr="00A64B10">
        <w:t>NanoReg</w:t>
      </w:r>
      <w:proofErr w:type="spellEnd"/>
      <w:r w:rsidR="00FD26FB" w:rsidRPr="00A64B10">
        <w:t xml:space="preserve">, </w:t>
      </w:r>
      <w:r w:rsidR="00214C68" w:rsidRPr="00A64B10">
        <w:t xml:space="preserve">H2020-REFINE); </w:t>
      </w:r>
    </w:p>
    <w:p w14:paraId="448ADFC1" w14:textId="77777777" w:rsidR="00A923D5" w:rsidRPr="00A64B10" w:rsidRDefault="00A923D5" w:rsidP="00CC56B8">
      <w:pPr>
        <w:pStyle w:val="ListParagraph"/>
        <w:spacing w:after="0"/>
        <w:ind w:left="1080"/>
        <w:jc w:val="both"/>
      </w:pPr>
    </w:p>
    <w:p w14:paraId="1EB6BCF7" w14:textId="027FBCBA" w:rsidR="00214C68" w:rsidRPr="00A64B10" w:rsidRDefault="00214C68" w:rsidP="00CC56B8">
      <w:pPr>
        <w:jc w:val="both"/>
      </w:pPr>
      <w:r w:rsidRPr="00A64B10">
        <w:t>Method</w:t>
      </w:r>
      <w:r w:rsidR="00421DB5" w:rsidRPr="00A64B10">
        <w:t>s</w:t>
      </w:r>
      <w:r w:rsidRPr="00A64B10">
        <w:t xml:space="preserve"> existing only as primary publication or proof-of-concept were generally </w:t>
      </w:r>
      <w:r w:rsidR="0006090F" w:rsidRPr="00A64B10">
        <w:t xml:space="preserve">not </w:t>
      </w:r>
      <w:r w:rsidRPr="00A64B10">
        <w:t>included in the analysis</w:t>
      </w:r>
      <w:r w:rsidR="00E4498C" w:rsidRPr="000700DD">
        <w:t>.</w:t>
      </w:r>
      <w:r w:rsidRPr="000700DD">
        <w:t xml:space="preserve"> </w:t>
      </w:r>
      <w:r w:rsidR="00E4498C" w:rsidRPr="000700DD">
        <w:t>H</w:t>
      </w:r>
      <w:r w:rsidRPr="00A64B10">
        <w:t>owever</w:t>
      </w:r>
      <w:r w:rsidR="000029E7" w:rsidRPr="00A64B10">
        <w:t>,</w:t>
      </w:r>
      <w:r w:rsidRPr="00A64B10">
        <w:t xml:space="preserve"> where it was not possible to identify solutions based on mature methods</w:t>
      </w:r>
      <w:r w:rsidR="00D516BC" w:rsidRPr="00A64B10">
        <w:t xml:space="preserve">, as a last resort, a literature search </w:t>
      </w:r>
      <w:r w:rsidRPr="00A64B10">
        <w:t xml:space="preserve">was performed to identify protocols that may have the potential to be considered for regulatory purposes, after assessing their </w:t>
      </w:r>
      <w:r w:rsidR="00E4498C" w:rsidRPr="000700DD">
        <w:t>accuracy</w:t>
      </w:r>
      <w:r w:rsidRPr="00A64B10">
        <w:t xml:space="preserve"> and robustness.</w:t>
      </w:r>
    </w:p>
    <w:p w14:paraId="637C1F01" w14:textId="77777777" w:rsidR="00B533F0" w:rsidRPr="00A64B10" w:rsidRDefault="00007E36" w:rsidP="00CC56B8">
      <w:pPr>
        <w:pStyle w:val="Heading2"/>
      </w:pPr>
      <w:r w:rsidRPr="00A64B10">
        <w:lastRenderedPageBreak/>
        <w:t>2.</w:t>
      </w:r>
      <w:r w:rsidR="00C82F23" w:rsidRPr="00A64B10">
        <w:t>4</w:t>
      </w:r>
      <w:r w:rsidRPr="00A64B10">
        <w:t xml:space="preserve"> </w:t>
      </w:r>
      <w:r w:rsidR="0005315C" w:rsidRPr="00A64B10">
        <w:t xml:space="preserve">Categorisation of methodological gaps and </w:t>
      </w:r>
      <w:proofErr w:type="gramStart"/>
      <w:r w:rsidR="0005315C" w:rsidRPr="00A64B10">
        <w:t>needs</w:t>
      </w:r>
      <w:proofErr w:type="gramEnd"/>
    </w:p>
    <w:p w14:paraId="2BBE49F3" w14:textId="78FD24B7" w:rsidR="000257FC" w:rsidRPr="00A64B10" w:rsidRDefault="00B533F0" w:rsidP="00FA023B">
      <w:pPr>
        <w:spacing w:after="0"/>
        <w:jc w:val="both"/>
      </w:pPr>
      <w:r w:rsidRPr="00A64B10">
        <w:t xml:space="preserve">In step </w:t>
      </w:r>
      <w:r w:rsidR="005F2FB3" w:rsidRPr="00A64B10">
        <w:t>4</w:t>
      </w:r>
      <w:r w:rsidR="0006090F" w:rsidRPr="00A64B10">
        <w:t>,</w:t>
      </w:r>
      <w:r w:rsidRPr="00A64B10">
        <w:t xml:space="preserve"> the methods were </w:t>
      </w:r>
      <w:r w:rsidR="005F2FB3" w:rsidRPr="00A64B10">
        <w:t xml:space="preserve">evaluated </w:t>
      </w:r>
      <w:r w:rsidRPr="00A64B10">
        <w:t>according to their maturity level and</w:t>
      </w:r>
      <w:r w:rsidR="00D15C04" w:rsidRPr="00A64B10">
        <w:t xml:space="preserve"> </w:t>
      </w:r>
      <w:r w:rsidRPr="00A64B10">
        <w:t xml:space="preserve">proven applicability </w:t>
      </w:r>
      <w:r w:rsidR="005F2FB3" w:rsidRPr="00A64B10">
        <w:t xml:space="preserve">to </w:t>
      </w:r>
      <w:r w:rsidR="005261B2" w:rsidRPr="00A64B10">
        <w:t>nanomaterials</w:t>
      </w:r>
      <w:r w:rsidR="005F2FB3" w:rsidRPr="00A64B10">
        <w:t xml:space="preserve"> or</w:t>
      </w:r>
      <w:r w:rsidRPr="00A64B10">
        <w:t xml:space="preserve"> a </w:t>
      </w:r>
      <w:r w:rsidR="005261B2" w:rsidRPr="00A64B10">
        <w:t>nanotechnological platform</w:t>
      </w:r>
      <w:r w:rsidR="00D20A51" w:rsidRPr="00A64B10">
        <w:t xml:space="preserve">, using scoring systems </w:t>
      </w:r>
      <w:r w:rsidR="000242C0" w:rsidRPr="000700DD">
        <w:t xml:space="preserve">we </w:t>
      </w:r>
      <w:r w:rsidR="00CD7C62" w:rsidRPr="000700DD">
        <w:t xml:space="preserve">developed for this goal </w:t>
      </w:r>
      <w:r w:rsidR="00D20A51" w:rsidRPr="00A64B10">
        <w:t>(see Supplementary Material Tables)</w:t>
      </w:r>
      <w:r w:rsidR="0005315C" w:rsidRPr="00A64B10">
        <w:t>.</w:t>
      </w:r>
      <w:r w:rsidRPr="00A64B10">
        <w:t xml:space="preserve"> </w:t>
      </w:r>
      <w:r w:rsidR="00EF15B7" w:rsidRPr="00A64B10">
        <w:t>Based on this information</w:t>
      </w:r>
      <w:r w:rsidR="009851FD" w:rsidRPr="00A64B10">
        <w:t>,</w:t>
      </w:r>
      <w:r w:rsidR="00EF15B7" w:rsidRPr="00A64B10">
        <w:t xml:space="preserve"> </w:t>
      </w:r>
      <w:r w:rsidR="00DC2735" w:rsidRPr="00A64B10">
        <w:t>methodological needs in all subcategories related to five analysed areas of characterisation</w:t>
      </w:r>
      <w:r w:rsidR="00B167D8">
        <w:t xml:space="preserve"> (see point 2.2)</w:t>
      </w:r>
      <w:r w:rsidR="0061292C">
        <w:t>:</w:t>
      </w:r>
      <w:r w:rsidR="0061292C" w:rsidRPr="0061292C">
        <w:t xml:space="preserve"> (</w:t>
      </w:r>
      <w:proofErr w:type="spellStart"/>
      <w:r w:rsidR="0061292C" w:rsidRPr="0061292C">
        <w:t>i</w:t>
      </w:r>
      <w:proofErr w:type="spellEnd"/>
      <w:r w:rsidR="0061292C" w:rsidRPr="0061292C">
        <w:t xml:space="preserve">) surface properties, (ii) drug loading and release, (iii) kinetic properties in complex biological media, (iv) ADME </w:t>
      </w:r>
      <w:r w:rsidR="0061292C">
        <w:t>p</w:t>
      </w:r>
      <w:r w:rsidR="0061292C" w:rsidRPr="0061292C">
        <w:t>arameters and (v) interaction with blood and the immune system</w:t>
      </w:r>
      <w:r w:rsidR="00DC2735" w:rsidRPr="00A64B10">
        <w:t xml:space="preserve">, were classified into three categories: method optimisation, method validation/standardisation and method development. </w:t>
      </w:r>
      <w:r w:rsidR="00EF15B7" w:rsidRPr="00A64B10">
        <w:t xml:space="preserve">These categories of methodological needs are not </w:t>
      </w:r>
      <w:r w:rsidR="00617567">
        <w:t xml:space="preserve">mutually </w:t>
      </w:r>
      <w:r w:rsidR="00EF15B7" w:rsidRPr="00A64B10">
        <w:t xml:space="preserve">exclusive </w:t>
      </w:r>
      <w:proofErr w:type="gramStart"/>
      <w:r w:rsidR="00EF15B7" w:rsidRPr="00A64B10">
        <w:t>i.e.</w:t>
      </w:r>
      <w:proofErr w:type="gramEnd"/>
      <w:r w:rsidR="00EF15B7" w:rsidRPr="00A64B10">
        <w:t xml:space="preserve"> in some areas </w:t>
      </w:r>
      <w:r w:rsidR="00CD7C62" w:rsidRPr="000700DD">
        <w:t xml:space="preserve">of characterisation </w:t>
      </w:r>
      <w:r w:rsidR="00EF15B7" w:rsidRPr="00A64B10">
        <w:t xml:space="preserve">more than </w:t>
      </w:r>
      <w:r w:rsidR="005034F7" w:rsidRPr="00A64B10">
        <w:t>one</w:t>
      </w:r>
      <w:r w:rsidR="00EF15B7" w:rsidRPr="00A64B10">
        <w:t xml:space="preserve"> need could be identified.</w:t>
      </w:r>
    </w:p>
    <w:p w14:paraId="3E27A7EC" w14:textId="77777777" w:rsidR="00192D1B" w:rsidRPr="00A64B10" w:rsidRDefault="008677C9" w:rsidP="0000021E">
      <w:pPr>
        <w:pStyle w:val="Heading1"/>
        <w:numPr>
          <w:ilvl w:val="0"/>
          <w:numId w:val="15"/>
        </w:numPr>
      </w:pPr>
      <w:r w:rsidRPr="00A64B10">
        <w:t>R</w:t>
      </w:r>
      <w:r w:rsidR="00192D1B" w:rsidRPr="00A64B10">
        <w:t xml:space="preserve">egulatory </w:t>
      </w:r>
      <w:r w:rsidR="00A81763" w:rsidRPr="00A64B10">
        <w:t>information needs</w:t>
      </w:r>
      <w:r w:rsidR="00AC366E" w:rsidRPr="00A64B10">
        <w:t xml:space="preserve"> for nano</w:t>
      </w:r>
      <w:r w:rsidR="00506A2E" w:rsidRPr="00A64B10">
        <w:t>technology</w:t>
      </w:r>
      <w:r w:rsidR="00AC366E" w:rsidRPr="00A64B10">
        <w:t>-</w:t>
      </w:r>
      <w:r w:rsidR="005F09EE" w:rsidRPr="00A64B10">
        <w:t>based</w:t>
      </w:r>
      <w:r w:rsidR="00AC366E" w:rsidRPr="00A64B10">
        <w:t xml:space="preserve"> health </w:t>
      </w:r>
      <w:proofErr w:type="gramStart"/>
      <w:r w:rsidR="00AC366E" w:rsidRPr="00A64B10">
        <w:t>products</w:t>
      </w:r>
      <w:proofErr w:type="gramEnd"/>
    </w:p>
    <w:p w14:paraId="1261EEDD" w14:textId="144444C9" w:rsidR="0021628C" w:rsidRPr="00A64B10" w:rsidRDefault="00EF090F" w:rsidP="00733780">
      <w:pPr>
        <w:jc w:val="both"/>
        <w:rPr>
          <w:rFonts w:eastAsia="Calibri" w:cstheme="minorHAnsi"/>
          <w:szCs w:val="20"/>
          <w:highlight w:val="yellow"/>
        </w:rPr>
      </w:pPr>
      <w:r w:rsidRPr="00A64B10">
        <w:t>Nanotechnology</w:t>
      </w:r>
      <w:r w:rsidR="007321F7" w:rsidRPr="00A64B10">
        <w:t xml:space="preserve">-based </w:t>
      </w:r>
      <w:r w:rsidR="005261B2" w:rsidRPr="00A64B10">
        <w:t xml:space="preserve">health </w:t>
      </w:r>
      <w:r w:rsidR="007321F7" w:rsidRPr="00A64B10">
        <w:t>products</w:t>
      </w:r>
      <w:r w:rsidR="00B63FD4" w:rsidRPr="00A64B10">
        <w:t xml:space="preserve"> </w:t>
      </w:r>
      <w:r w:rsidR="0021628C" w:rsidRPr="00A64B10">
        <w:t>are regulated under the current regulatory framework</w:t>
      </w:r>
      <w:r w:rsidR="003F6D14" w:rsidRPr="00A64B10">
        <w:t>s</w:t>
      </w:r>
      <w:r w:rsidR="0021628C" w:rsidRPr="00A64B10">
        <w:t xml:space="preserve"> for medicinal products and</w:t>
      </w:r>
      <w:r w:rsidR="006F7A2F" w:rsidRPr="00A64B10">
        <w:t>/or</w:t>
      </w:r>
      <w:r w:rsidR="0021628C" w:rsidRPr="00A64B10">
        <w:t xml:space="preserve"> medical devices</w:t>
      </w:r>
      <w:r w:rsidR="006F7A2F" w:rsidRPr="00A64B10">
        <w:t xml:space="preserve"> according to their mode of action</w:t>
      </w:r>
      <w:r w:rsidR="0021628C" w:rsidRPr="00A64B10">
        <w:t>. However, given the</w:t>
      </w:r>
      <w:r w:rsidR="005261B2" w:rsidRPr="00A64B10">
        <w:t>ir</w:t>
      </w:r>
      <w:r w:rsidR="0021628C" w:rsidRPr="00A64B10">
        <w:t xml:space="preserve"> specific nanoscale-related properties additional characteri</w:t>
      </w:r>
      <w:r w:rsidR="00E21D6E" w:rsidRPr="00A64B10">
        <w:t>s</w:t>
      </w:r>
      <w:r w:rsidR="0021628C" w:rsidRPr="00A64B10">
        <w:t xml:space="preserve">ation needs </w:t>
      </w:r>
      <w:r w:rsidRPr="00A64B10">
        <w:t>were requested by</w:t>
      </w:r>
      <w:r w:rsidR="0021628C" w:rsidRPr="00A64B10">
        <w:t xml:space="preserve"> the regulatory authorities</w:t>
      </w:r>
      <w:r w:rsidRPr="00A64B10">
        <w:t xml:space="preserve"> in released </w:t>
      </w:r>
      <w:r w:rsidR="00210084">
        <w:t>guidance</w:t>
      </w:r>
      <w:r w:rsidRPr="00A64B10">
        <w:t xml:space="preserve"> documents (Table S1)</w:t>
      </w:r>
      <w:r w:rsidR="00993B28">
        <w:t>.</w:t>
      </w:r>
      <w:r w:rsidR="006A072E" w:rsidRPr="00A64B10">
        <w:t xml:space="preserve"> </w:t>
      </w:r>
      <w:r w:rsidRPr="00A64B10">
        <w:t>T</w:t>
      </w:r>
      <w:r w:rsidR="006A072E" w:rsidRPr="00A64B10">
        <w:t xml:space="preserve">he </w:t>
      </w:r>
      <w:r w:rsidR="00B63FD4" w:rsidRPr="00A64B10">
        <w:t xml:space="preserve">U.S. Food and Drug Administration (FDA) </w:t>
      </w:r>
      <w:r w:rsidR="006A072E" w:rsidRPr="00A64B10">
        <w:t>have released a guidance document addressing the specific requirements associated to</w:t>
      </w:r>
      <w:r w:rsidR="005261B2" w:rsidRPr="00A64B10">
        <w:t xml:space="preserve"> all</w:t>
      </w:r>
      <w:r w:rsidR="006A072E" w:rsidRPr="00A64B10">
        <w:t xml:space="preserve"> </w:t>
      </w:r>
      <w:r w:rsidR="000C03C5" w:rsidRPr="00A64B10">
        <w:t>d</w:t>
      </w:r>
      <w:r w:rsidR="006A072E" w:rsidRPr="00A64B10">
        <w:t xml:space="preserve">rug </w:t>
      </w:r>
      <w:r w:rsidR="000C03C5" w:rsidRPr="00A64B10">
        <w:t>p</w:t>
      </w:r>
      <w:r w:rsidR="006A072E" w:rsidRPr="00A64B10">
        <w:t xml:space="preserve">roducts, </w:t>
      </w:r>
      <w:r w:rsidR="000C03C5" w:rsidRPr="00A64B10">
        <w:t>i</w:t>
      </w:r>
      <w:r w:rsidR="006A072E" w:rsidRPr="00A64B10">
        <w:t xml:space="preserve">ncluding </w:t>
      </w:r>
      <w:r w:rsidR="000C03C5" w:rsidRPr="00A64B10">
        <w:t>b</w:t>
      </w:r>
      <w:r w:rsidR="006A072E" w:rsidRPr="00A64B10">
        <w:t xml:space="preserve">iological </w:t>
      </w:r>
      <w:r w:rsidR="000C03C5" w:rsidRPr="00A64B10">
        <w:t>p</w:t>
      </w:r>
      <w:r w:rsidR="006A072E" w:rsidRPr="00A64B10">
        <w:t xml:space="preserve">roducts, that </w:t>
      </w:r>
      <w:r w:rsidR="000C03C5" w:rsidRPr="00A64B10">
        <w:t>c</w:t>
      </w:r>
      <w:r w:rsidR="006A072E" w:rsidRPr="00A64B10">
        <w:t xml:space="preserve">ontain </w:t>
      </w:r>
      <w:r w:rsidR="000C03C5" w:rsidRPr="00A64B10">
        <w:t>n</w:t>
      </w:r>
      <w:r w:rsidR="006A072E" w:rsidRPr="00A64B10">
        <w:t xml:space="preserve">anomaterials </w:t>
      </w:r>
      <w:r w:rsidR="0072018B" w:rsidRPr="00A64B10">
        <w:fldChar w:fldCharType="begin" w:fldLock="1"/>
      </w:r>
      <w:r w:rsidR="000B3F63">
        <w:instrText>ADDIN CSL_CITATION {"citationItems":[{"id":"ITEM-1","itemData":{"author":[{"dropping-particle":"","family":"FDA","given":"","non-dropping-particle":"","parse-names":false,"suffix":""}],"id":"ITEM-1","issued":{"date-parts":[["2017"]]},"title":"Drug Products, Including Biological Products, that Contain Nanomaterials. Guidance for Industry.","type":"article-journal"},"uris":["http://www.mendeley.com/documents/?uuid=1d007232-6836-43e1-9d00-b18d18197d80"]}],"mendeley":{"formattedCitation":"[6]","plainTextFormattedCitation":"[6]","previouslyFormattedCitation":"[6]"},"properties":{"noteIndex":0},"schema":"https://github.com/citation-style-language/schema/raw/master/csl-citation.json"}</w:instrText>
      </w:r>
      <w:r w:rsidR="0072018B" w:rsidRPr="00A64B10">
        <w:fldChar w:fldCharType="separate"/>
      </w:r>
      <w:r w:rsidR="00993B28" w:rsidRPr="00993B28">
        <w:rPr>
          <w:noProof/>
        </w:rPr>
        <w:t>[6]</w:t>
      </w:r>
      <w:r w:rsidR="0072018B" w:rsidRPr="00A64B10">
        <w:fldChar w:fldCharType="end"/>
      </w:r>
      <w:r w:rsidR="006A072E" w:rsidRPr="00A64B10">
        <w:t xml:space="preserve">. </w:t>
      </w:r>
      <w:r w:rsidR="0021628C" w:rsidRPr="00A64B10">
        <w:t>For certain</w:t>
      </w:r>
      <w:r w:rsidR="005261B2" w:rsidRPr="00A64B10">
        <w:t>, more specific</w:t>
      </w:r>
      <w:r w:rsidR="0021628C" w:rsidRPr="00A64B10">
        <w:t xml:space="preserve"> </w:t>
      </w:r>
      <w:r w:rsidR="00CC0452" w:rsidRPr="00A64B10">
        <w:t xml:space="preserve">product </w:t>
      </w:r>
      <w:r w:rsidR="0021628C" w:rsidRPr="00A64B10">
        <w:t>classes, such as liposomes</w:t>
      </w:r>
      <w:r w:rsidR="00632322" w:rsidRPr="00A64B10">
        <w:t xml:space="preserve"> </w:t>
      </w:r>
      <w:r w:rsidR="00632322" w:rsidRPr="00A64B10">
        <w:fldChar w:fldCharType="begin" w:fldLock="1"/>
      </w:r>
      <w:r w:rsidR="000B3F63">
        <w:instrText>ADDIN CSL_CITATION {"citationItems":[{"id":"ITEM-1","itemData":{"abstract":"This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required.","author":[{"dropping-particle":"","family":"EMA/CHMP","given":"","non-dropping-particle":"","parse-names":false,"suffix":""}],"id":"ITEM-1","issue":"EMA/CHMP/806058/2009/Rev.02","issued":{"date-parts":[["2013"]]},"publisher-place":"London","title":"Reflection paper on the data requirements for intravenous liposomal products developed with reference to an innovator liposomal product","type":"article-journal"},"uris":["http://www.mendeley.com/documents/?uuid=e3c908b6-9d35-4812-af55-a22fdf3f47f3"]},{"id":"ITEM-2","itemData":{"author":[{"dropping-particle":"","family":"FDA","given":"","non-dropping-particle":"","parse-names":false,"suffix":""}],"id":"ITEM-2","issued":{"date-parts":[["2015"]]},"title":"Liposome Drug Products. Guidance for Industry.","type":"article-journal"},"uris":["http://www.mendeley.com/documents/?uuid=de80afa4-8e96-4dbb-9cee-0a2a0d304979"]},{"id":"ITEM-3","itemData":{"author":[{"dropping-particle":"","family":"MHLW","given":"","non-dropping-particle":"","parse-names":false,"suffix":""}],"id":"ITEM-3","issued":{"date-parts":[["2016"]]},"title":"Guideline for the development of liposome drug products","type":"article-journal"},"uris":["http://www.mendeley.com/documents/?uuid=4cdf9bd0-f0ff-4e59-9510-381b3c65c8f1"]}],"mendeley":{"formattedCitation":"[7–9]","plainTextFormattedCitation":"[7–9]","previouslyFormattedCitation":"[7–9]"},"properties":{"noteIndex":0},"schema":"https://github.com/citation-style-language/schema/raw/master/csl-citation.json"}</w:instrText>
      </w:r>
      <w:r w:rsidR="00632322" w:rsidRPr="00A64B10">
        <w:fldChar w:fldCharType="separate"/>
      </w:r>
      <w:r w:rsidR="00993B28" w:rsidRPr="00993B28">
        <w:rPr>
          <w:noProof/>
        </w:rPr>
        <w:t>[7–9]</w:t>
      </w:r>
      <w:r w:rsidR="00632322" w:rsidRPr="00A64B10">
        <w:fldChar w:fldCharType="end"/>
      </w:r>
      <w:r w:rsidR="0021628C" w:rsidRPr="00A64B10">
        <w:t>, polymeric micelles</w:t>
      </w:r>
      <w:r w:rsidR="00D8354C" w:rsidRPr="00A64B10">
        <w:t xml:space="preserve"> </w:t>
      </w:r>
      <w:r w:rsidR="00D8354C" w:rsidRPr="00A64B10">
        <w:fldChar w:fldCharType="begin" w:fldLock="1"/>
      </w:r>
      <w:r w:rsidR="000B3F63">
        <w:instrText>ADDIN CSL_CITATION {"citationItems":[{"id":"ITEM-1","itemData":{"author":[{"dropping-particle":"","family":"EMA/CHMP","given":"","non-dropping-particle":"","parse-names":false,"suffix":""}],"id":"ITEM-1","issue":"EMA/CHMP/13099/2013.","issued":{"date-parts":[["2013"]]},"publisher-place":"London","title":"Joint MHLW/EMA reflection paper on the development of block copolymer micelle medicinal products.","type":"article-journal"},"uris":["http://www.mendeley.com/documents/?uuid=931c6128-62f0-452c-91d8-48fe80efa916"]}],"mendeley":{"formattedCitation":"[10]","plainTextFormattedCitation":"[10]","previouslyFormattedCitation":"[10]"},"properties":{"noteIndex":0},"schema":"https://github.com/citation-style-language/schema/raw/master/csl-citation.json"}</w:instrText>
      </w:r>
      <w:r w:rsidR="00D8354C" w:rsidRPr="00A64B10">
        <w:fldChar w:fldCharType="separate"/>
      </w:r>
      <w:r w:rsidR="00993B28" w:rsidRPr="00993B28">
        <w:rPr>
          <w:noProof/>
        </w:rPr>
        <w:t>[10]</w:t>
      </w:r>
      <w:r w:rsidR="00D8354C" w:rsidRPr="00A64B10">
        <w:fldChar w:fldCharType="end"/>
      </w:r>
      <w:r w:rsidR="006A072E" w:rsidRPr="00A64B10">
        <w:t xml:space="preserve">, </w:t>
      </w:r>
      <w:r w:rsidR="0021628C" w:rsidRPr="00A64B10">
        <w:t>iron-based colloidal</w:t>
      </w:r>
      <w:r w:rsidR="003F6D14" w:rsidRPr="00A64B10">
        <w:t xml:space="preserve"> products</w:t>
      </w:r>
      <w:r w:rsidR="00D8354C" w:rsidRPr="00A64B10">
        <w:t xml:space="preserve"> </w:t>
      </w:r>
      <w:r w:rsidR="00D8354C" w:rsidRPr="00A64B10">
        <w:fldChar w:fldCharType="begin" w:fldLock="1"/>
      </w:r>
      <w:r w:rsidR="000B3F63">
        <w:instrText>ADDIN CSL_CITATION {"citationItems":[{"id":"ITEM-1","itemData":{"abstract":"This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required.","author":[{"dropping-particle":"","family":"EMA/CHMP","given":"","non-dropping-particle":"","parse-names":false,"suffix":""}],"id":"ITEM-1","issue":"EMA/CHMP/SWP/620008/2012","issued":{"date-parts":[["2015"]]},"publisher-place":"London","title":"Reflection paper on the data requirements for intravenous iron-based nano-colloidal products developed with reference to an innovator medicinal product","type":"article-journal"},"uris":["http://www.mendeley.com/documents/?uuid=2bd38740-cd32-48fe-b1a5-f868a29c8dbd"]}],"mendeley":{"formattedCitation":"[11]","plainTextFormattedCitation":"[11]","previouslyFormattedCitation":"[11]"},"properties":{"noteIndex":0},"schema":"https://github.com/citation-style-language/schema/raw/master/csl-citation.json"}</w:instrText>
      </w:r>
      <w:r w:rsidR="00D8354C" w:rsidRPr="00A64B10">
        <w:fldChar w:fldCharType="separate"/>
      </w:r>
      <w:r w:rsidR="00993B28" w:rsidRPr="00993B28">
        <w:rPr>
          <w:noProof/>
        </w:rPr>
        <w:t>[11]</w:t>
      </w:r>
      <w:r w:rsidR="00D8354C" w:rsidRPr="00A64B10">
        <w:fldChar w:fldCharType="end"/>
      </w:r>
      <w:r w:rsidR="006A072E" w:rsidRPr="00A64B10">
        <w:t xml:space="preserve">, </w:t>
      </w:r>
      <w:r w:rsidR="00561B7E" w:rsidRPr="000700DD">
        <w:t>and</w:t>
      </w:r>
      <w:r w:rsidR="006A072E" w:rsidRPr="00A64B10">
        <w:t xml:space="preserve"> </w:t>
      </w:r>
      <w:r w:rsidR="00607A41" w:rsidRPr="00A64B10">
        <w:t>n</w:t>
      </w:r>
      <w:r w:rsidR="006A072E" w:rsidRPr="00A64B10">
        <w:t xml:space="preserve">ucleic </w:t>
      </w:r>
      <w:r w:rsidR="00607A41" w:rsidRPr="00A64B10">
        <w:t>a</w:t>
      </w:r>
      <w:r w:rsidR="006A072E" w:rsidRPr="00A64B10">
        <w:t>cid (siRNA)-</w:t>
      </w:r>
      <w:r w:rsidR="00607A41" w:rsidRPr="00A64B10">
        <w:t>l</w:t>
      </w:r>
      <w:r w:rsidR="006A072E" w:rsidRPr="00A64B10">
        <w:t>oaded nanotechnology-</w:t>
      </w:r>
      <w:r w:rsidR="00607A41" w:rsidRPr="00A64B10">
        <w:t>b</w:t>
      </w:r>
      <w:r w:rsidR="006A072E" w:rsidRPr="00A64B10">
        <w:t xml:space="preserve">ased </w:t>
      </w:r>
      <w:r w:rsidR="00607A41" w:rsidRPr="00A64B10">
        <w:t>d</w:t>
      </w:r>
      <w:r w:rsidR="006A072E" w:rsidRPr="00A64B10">
        <w:t xml:space="preserve">rug </w:t>
      </w:r>
      <w:r w:rsidR="00607A41" w:rsidRPr="00A64B10">
        <w:t>p</w:t>
      </w:r>
      <w:r w:rsidR="006A072E" w:rsidRPr="00A64B10">
        <w:t>roducts</w:t>
      </w:r>
      <w:r w:rsidR="0021628C" w:rsidRPr="00A64B10">
        <w:t xml:space="preserve"> </w:t>
      </w:r>
      <w:r w:rsidR="00D8354C" w:rsidRPr="00A64B10">
        <w:fldChar w:fldCharType="begin" w:fldLock="1"/>
      </w:r>
      <w:r w:rsidR="000B3F63">
        <w:instrText>ADDIN CSL_CITATION {"citationItems":[{"id":"ITEM-1","itemData":{"author":[{"dropping-particle":"","family":"MHLW","given":"","non-dropping-particle":"","parse-names":false,"suffix":""}],"id":"ITEM-1","issued":{"date-parts":[["2016"]]},"title":"Reflection paper on nucleic acids (siRNA)-loaded nanotechnology based drug products","type":"article-journal"},"uris":["http://www.mendeley.com/documents/?uuid=3fd76c20-840c-414f-aef5-f91cb4afaf92"]}],"mendeley":{"formattedCitation":"[12]","plainTextFormattedCitation":"[12]","previouslyFormattedCitation":"[12]"},"properties":{"noteIndex":0},"schema":"https://github.com/citation-style-language/schema/raw/master/csl-citation.json"}</w:instrText>
      </w:r>
      <w:r w:rsidR="00D8354C" w:rsidRPr="00A64B10">
        <w:fldChar w:fldCharType="separate"/>
      </w:r>
      <w:r w:rsidR="00993B28" w:rsidRPr="00993B28">
        <w:rPr>
          <w:noProof/>
        </w:rPr>
        <w:t>[12]</w:t>
      </w:r>
      <w:r w:rsidR="00D8354C" w:rsidRPr="00A64B10">
        <w:fldChar w:fldCharType="end"/>
      </w:r>
      <w:r w:rsidR="00561B7E" w:rsidRPr="000700DD">
        <w:t>,</w:t>
      </w:r>
      <w:r w:rsidR="00D8354C" w:rsidRPr="00A64B10">
        <w:t xml:space="preserve"> </w:t>
      </w:r>
      <w:r w:rsidR="006E4CFC" w:rsidRPr="00A64B10">
        <w:t>draft</w:t>
      </w:r>
      <w:r w:rsidR="00623588" w:rsidRPr="00A64B10">
        <w:t xml:space="preserve"> guidance documents and reflection papers have been provided by </w:t>
      </w:r>
      <w:r w:rsidR="002579F0" w:rsidRPr="00A64B10">
        <w:t xml:space="preserve">the </w:t>
      </w:r>
      <w:r w:rsidR="00122AD8" w:rsidRPr="00A64B10">
        <w:t>FDA, the</w:t>
      </w:r>
      <w:r w:rsidR="007F6E78" w:rsidRPr="00A64B10">
        <w:t xml:space="preserve"> </w:t>
      </w:r>
      <w:r w:rsidR="00623588" w:rsidRPr="00A64B10">
        <w:t>EMA and</w:t>
      </w:r>
      <w:r w:rsidR="007F6E78" w:rsidRPr="00A64B10">
        <w:t xml:space="preserve"> Japan's Ministry of Health, </w:t>
      </w:r>
      <w:proofErr w:type="spellStart"/>
      <w:r w:rsidR="007F6E78" w:rsidRPr="00A64B10">
        <w:t>Labor</w:t>
      </w:r>
      <w:proofErr w:type="spellEnd"/>
      <w:r w:rsidR="007F6E78" w:rsidRPr="00A64B10">
        <w:t xml:space="preserve"> and Welfare (MHLW)</w:t>
      </w:r>
      <w:r w:rsidR="00122AD8" w:rsidRPr="00A64B10">
        <w:t xml:space="preserve"> (Table S1)</w:t>
      </w:r>
      <w:r w:rsidR="007F6E78" w:rsidRPr="00A64B10">
        <w:t>. Those documents aim to</w:t>
      </w:r>
      <w:r w:rsidR="00623588" w:rsidRPr="00A64B10">
        <w:t xml:space="preserve"> describe specific properties </w:t>
      </w:r>
      <w:r w:rsidR="007F6E78" w:rsidRPr="00A64B10">
        <w:t xml:space="preserve">of </w:t>
      </w:r>
      <w:r w:rsidR="0061292C">
        <w:t xml:space="preserve">nanotechnological </w:t>
      </w:r>
      <w:r w:rsidR="00561B7E" w:rsidRPr="000700DD">
        <w:t>product</w:t>
      </w:r>
      <w:r w:rsidR="0061292C">
        <w:t xml:space="preserve">s </w:t>
      </w:r>
      <w:r w:rsidR="00623588" w:rsidRPr="00A64B10">
        <w:t xml:space="preserve">that </w:t>
      </w:r>
      <w:r w:rsidR="007429C1" w:rsidRPr="00A64B10">
        <w:t xml:space="preserve">may affect </w:t>
      </w:r>
      <w:r w:rsidR="003F6D14" w:rsidRPr="00A64B10">
        <w:t xml:space="preserve">the product quality, </w:t>
      </w:r>
      <w:proofErr w:type="gramStart"/>
      <w:r w:rsidR="003F6D14" w:rsidRPr="00A64B10">
        <w:t>safety</w:t>
      </w:r>
      <w:proofErr w:type="gramEnd"/>
      <w:r w:rsidR="003F6D14" w:rsidRPr="00A64B10">
        <w:t xml:space="preserve"> and</w:t>
      </w:r>
      <w:r w:rsidR="006E4CFC" w:rsidRPr="00A64B10">
        <w:t xml:space="preserve"> efficacy</w:t>
      </w:r>
      <w:r w:rsidR="0021628C" w:rsidRPr="00A64B10">
        <w:t>.</w:t>
      </w:r>
      <w:r w:rsidR="00623588" w:rsidRPr="00A64B10">
        <w:t xml:space="preserve"> </w:t>
      </w:r>
      <w:r w:rsidR="006E4CFC" w:rsidRPr="00A64B10">
        <w:t>F</w:t>
      </w:r>
      <w:r w:rsidR="00623588" w:rsidRPr="00A64B10">
        <w:t xml:space="preserve">or medical devices containing nanomaterials, guidance to be followed have been provided by the </w:t>
      </w:r>
      <w:r w:rsidR="0021628C" w:rsidRPr="00A64B10">
        <w:t>Scientific Committee on Emerging and Newly Identified Health Risks (SCENIHR) and ISO</w:t>
      </w:r>
      <w:r w:rsidR="00623588" w:rsidRPr="00A64B10">
        <w:t xml:space="preserve"> </w:t>
      </w:r>
      <w:r w:rsidR="00D8354C" w:rsidRPr="00A64B10">
        <w:fldChar w:fldCharType="begin" w:fldLock="1"/>
      </w:r>
      <w:r w:rsidR="000B3F63">
        <w:instrText>ADDIN CSL_CITATION {"citationItems":[{"id":"ITEM-1","itemData":{"DOI":"10.2772/41391","ISBN":"978-92-79-35590-5","ISSN":"1831-4783","PMID":"22260506","abstract":"This Guidance addresses the use of nanomaterials in medical devices and provides information for risk assessors regarding specific aspects that need to be considered in the safety evaluation of nanomaterials. According to the EU Recommendation for the definition of a nanomaterial (Commission Recommendation 2011/696/EU, EC 2011) any particulate substance with at least one dimension in the size range between 1 and 100 nm is considered a nanomaterial. These particles (nanoparticles) exhibit specific characteristics that differ from the characteristics of larger sized particles with the same chemical composition.","author":[{"dropping-particle":"","family":"SCENIHR","given":"","non-dropping-particle":"","parse-names":false,"suffix":""}],"container-title":"Final Opinion","id":"ITEM-1","issued":{"date-parts":[["2015"]]},"page":"1-77","title":"Opinion on the Guidance on the Determination of Potential Health Effects of Nanomaterials Used in Medical Devices","type":"article-journal"},"uris":["http://www.mendeley.com/documents/?uuid=7294ce7a-b3e5-4f98-acf8-3ea180d4e0f6"]},{"id":"ITEM-2","itemData":{"author":[{"dropping-particle":"","family":"ISO/TC 194","given":"","non-dropping-particle":"","parse-names":false,"suffix":""}],"id":"ITEM-2","issued":{"date-parts":[["2012"]]},"title":"Biological evaluation of medical devices- Part 22: Guidance on nanomaterials. ISO /TR 10993-22.","type":"article-journal"},"uris":["http://www.mendeley.com/documents/?uuid=844c6a55-a55b-4548-b4a5-bcd46648fba8"]}],"mendeley":{"formattedCitation":"[13,14]","plainTextFormattedCitation":"[13,14]","previouslyFormattedCitation":"[13,14]"},"properties":{"noteIndex":0},"schema":"https://github.com/citation-style-language/schema/raw/master/csl-citation.json"}</w:instrText>
      </w:r>
      <w:r w:rsidR="00D8354C" w:rsidRPr="00A64B10">
        <w:fldChar w:fldCharType="separate"/>
      </w:r>
      <w:r w:rsidR="00993B28" w:rsidRPr="00993B28">
        <w:rPr>
          <w:noProof/>
        </w:rPr>
        <w:t>[13,14]</w:t>
      </w:r>
      <w:r w:rsidR="00D8354C" w:rsidRPr="00A64B10">
        <w:fldChar w:fldCharType="end"/>
      </w:r>
      <w:r w:rsidR="0021628C" w:rsidRPr="00A64B10">
        <w:t>.</w:t>
      </w:r>
      <w:r w:rsidR="0072018B" w:rsidRPr="00A64B10">
        <w:t xml:space="preserve"> </w:t>
      </w:r>
      <w:r w:rsidR="00122AD8" w:rsidRPr="00A64B10">
        <w:t>T</w:t>
      </w:r>
      <w:r w:rsidR="0021628C" w:rsidRPr="00A64B10">
        <w:t>he information needs</w:t>
      </w:r>
      <w:r w:rsidR="00561B7E" w:rsidRPr="000700DD">
        <w:t>,</w:t>
      </w:r>
      <w:r w:rsidR="0021628C" w:rsidRPr="00A64B10">
        <w:t xml:space="preserve"> relevant for all</w:t>
      </w:r>
      <w:r w:rsidR="0061292C">
        <w:t xml:space="preserve"> </w:t>
      </w:r>
      <w:r w:rsidR="0021628C" w:rsidRPr="00A64B10">
        <w:t xml:space="preserve">classes of </w:t>
      </w:r>
      <w:r w:rsidR="002A467B" w:rsidRPr="00A64B10">
        <w:t>nanotechnology-based products</w:t>
      </w:r>
      <w:r w:rsidR="007429C1" w:rsidRPr="00A64B10">
        <w:t xml:space="preserve"> </w:t>
      </w:r>
      <w:r w:rsidR="0021628C" w:rsidRPr="00A64B10">
        <w:t>(</w:t>
      </w:r>
      <w:r w:rsidR="00122AD8" w:rsidRPr="00A64B10">
        <w:t>requested</w:t>
      </w:r>
      <w:r w:rsidR="0021628C" w:rsidRPr="00A64B10">
        <w:t xml:space="preserve"> </w:t>
      </w:r>
      <w:r w:rsidR="00410DB6" w:rsidRPr="00A64B10">
        <w:t>for</w:t>
      </w:r>
      <w:r w:rsidR="0021628C" w:rsidRPr="00A64B10">
        <w:t xml:space="preserve"> at least </w:t>
      </w:r>
      <w:r w:rsidR="00122AD8" w:rsidRPr="00A64B10">
        <w:t>three</w:t>
      </w:r>
      <w:r w:rsidR="00354164" w:rsidRPr="00A64B10">
        <w:t xml:space="preserve"> different product classes</w:t>
      </w:r>
      <w:r w:rsidR="00410DB6" w:rsidRPr="00A64B10">
        <w:t xml:space="preserve"> or</w:t>
      </w:r>
      <w:r w:rsidR="0021628C" w:rsidRPr="00A64B10">
        <w:t xml:space="preserve"> </w:t>
      </w:r>
      <w:r w:rsidR="00122AD8" w:rsidRPr="00A64B10">
        <w:t xml:space="preserve">included </w:t>
      </w:r>
      <w:r w:rsidR="0021628C" w:rsidRPr="00A64B10">
        <w:t xml:space="preserve">in FDA guidance for </w:t>
      </w:r>
      <w:r w:rsidR="00410DB6" w:rsidRPr="00A64B10">
        <w:t xml:space="preserve">all </w:t>
      </w:r>
      <w:r w:rsidR="0021628C" w:rsidRPr="00A64B10">
        <w:t xml:space="preserve">drug products that contain nanomaterials) </w:t>
      </w:r>
      <w:r w:rsidR="00D80BBF" w:rsidRPr="00A64B10">
        <w:t xml:space="preserve">were grouped and </w:t>
      </w:r>
      <w:r w:rsidR="0021628C" w:rsidRPr="00A64B10">
        <w:t xml:space="preserve">are </w:t>
      </w:r>
      <w:r w:rsidR="0006090F" w:rsidRPr="00A64B10">
        <w:t>presented</w:t>
      </w:r>
      <w:r w:rsidR="0021628C" w:rsidRPr="00A64B10">
        <w:t xml:space="preserve"> in Table 1 </w:t>
      </w:r>
      <w:r w:rsidR="0072018B" w:rsidRPr="00A64B10">
        <w:fldChar w:fldCharType="begin" w:fldLock="1"/>
      </w:r>
      <w:r w:rsidR="000B3F63">
        <w:instrText>ADDIN CSL_CITATION {"citationItems":[{"id":"ITEM-1","itemData":{"author":[{"dropping-particle":"","family":"Halamoda-Kenzaoui","given":"Blanka","non-dropping-particle":"","parse-names":false,"suffix":""},{"dropping-particle":"","family":"Box","given":"Helen","non-dropping-particle":"","parse-names":false,"suffix":""},{"dropping-particle":"","family":"Elk","given":"Merel","non-dropping-particle":"van","parse-names":false,"suffix":""},{"dropping-particle":"","family":"Gaitan","given":"Sandra","non-dropping-particle":"","parse-names":false,"suffix":""},{"dropping-particle":"","family":"Geertsma","given":"Robert E","non-dropping-particle":"","parse-names":false,"suffix":""},{"dropping-particle":"","family":"Gainza Lafuente","given":"Eusebio","non-dropping-particle":"","parse-names":false,"suffix":""},{"dropping-particle":"","family":"Owen","given":"Andrew","non-dropping-particle":"","parse-names":false,"suffix":""},{"dropping-particle":"","family":"Pozo","given":"Angel","non-dropping-particle":"del","parse-names":false,"suffix":""},{"dropping-particle":"","family":"Roesslein","given":"Matthias","non-dropping-particle":"","parse-names":false,"suffix":""},{"dropping-particle":"","family":"Bremer-Hoffmann","given":"Susanne","non-dropping-particle":"","parse-names":false,"suffix":""}],"container-title":"Publications Office of the European Union","id":"ITEM-1","issued":{"date-parts":[["2019"]]},"title":"Anticipation of regulatory needs for nanotechnology-enabled health products- The REFINE White Paper","type":"article-journal","volume":"EUR 29919"},"uris":["http://www.mendeley.com/documents/?uuid=fb7e00e7-0098-4659-855d-1e5791ff84ae"]}],"mendeley":{"formattedCitation":"[15]","plainTextFormattedCitation":"[15]","previouslyFormattedCitation":"[15]"},"properties":{"noteIndex":0},"schema":"https://github.com/citation-style-language/schema/raw/master/csl-citation.json"}</w:instrText>
      </w:r>
      <w:r w:rsidR="0072018B" w:rsidRPr="00A64B10">
        <w:fldChar w:fldCharType="separate"/>
      </w:r>
      <w:r w:rsidR="00993B28" w:rsidRPr="00993B28">
        <w:rPr>
          <w:noProof/>
        </w:rPr>
        <w:t>[15]</w:t>
      </w:r>
      <w:r w:rsidR="0072018B" w:rsidRPr="00A64B10">
        <w:fldChar w:fldCharType="end"/>
      </w:r>
      <w:r w:rsidR="0021628C" w:rsidRPr="00A64B10">
        <w:t xml:space="preserve">. They </w:t>
      </w:r>
      <w:r w:rsidR="00D80BBF" w:rsidRPr="00A64B10">
        <w:t>are</w:t>
      </w:r>
      <w:r w:rsidR="0021628C" w:rsidRPr="00A64B10">
        <w:t xml:space="preserve"> categori</w:t>
      </w:r>
      <w:r w:rsidR="002579F0" w:rsidRPr="00A64B10">
        <w:t>s</w:t>
      </w:r>
      <w:r w:rsidR="0021628C" w:rsidRPr="00A64B10">
        <w:t>e</w:t>
      </w:r>
      <w:r w:rsidR="00E21D6E" w:rsidRPr="00A64B10">
        <w:t xml:space="preserve">d </w:t>
      </w:r>
      <w:r w:rsidR="0021628C" w:rsidRPr="00A64B10">
        <w:t>into physic</w:t>
      </w:r>
      <w:r w:rsidR="002A467B" w:rsidRPr="00A64B10">
        <w:t>o</w:t>
      </w:r>
      <w:r w:rsidR="0021628C" w:rsidRPr="00A64B10">
        <w:t>chemical and biological parameters, the latter including bioburden, pharmacokinetic and pharmacodynamic properties.</w:t>
      </w:r>
      <w:r w:rsidR="00CC0452" w:rsidRPr="00A64B10">
        <w:t xml:space="preserve"> Among</w:t>
      </w:r>
      <w:r w:rsidR="00CC0452" w:rsidRPr="000700DD">
        <w:t xml:space="preserve"> </w:t>
      </w:r>
      <w:r w:rsidR="00561B7E" w:rsidRPr="000700DD">
        <w:t>the</w:t>
      </w:r>
      <w:r w:rsidR="00CC0452" w:rsidRPr="00A64B10">
        <w:t xml:space="preserve"> physicochemical parameters</w:t>
      </w:r>
      <w:r w:rsidR="00561B7E" w:rsidRPr="000700DD">
        <w:t>,</w:t>
      </w:r>
      <w:r w:rsidR="00CC0452" w:rsidRPr="00A64B10">
        <w:t xml:space="preserve"> </w:t>
      </w:r>
      <w:proofErr w:type="gramStart"/>
      <w:r w:rsidR="00CC0452" w:rsidRPr="00A64B10">
        <w:t>a number of</w:t>
      </w:r>
      <w:proofErr w:type="gramEnd"/>
      <w:r w:rsidR="00CC0452" w:rsidRPr="00A64B10">
        <w:t xml:space="preserve"> properties are related to drug delivery systems, which</w:t>
      </w:r>
      <w:r w:rsidR="00E21D6E" w:rsidRPr="00A64B10">
        <w:t xml:space="preserve"> is the </w:t>
      </w:r>
      <w:r w:rsidR="00933C04" w:rsidRPr="00A64B10">
        <w:t>broadest</w:t>
      </w:r>
      <w:r w:rsidR="00E21D6E" w:rsidRPr="00A64B10">
        <w:t xml:space="preserve"> application </w:t>
      </w:r>
      <w:r w:rsidR="00CC0452" w:rsidRPr="00A64B10">
        <w:t xml:space="preserve">of nanotechnology-based medicinal products. The </w:t>
      </w:r>
      <w:r w:rsidR="00A64B10" w:rsidRPr="00A64B10">
        <w:t xml:space="preserve">compiled information needs </w:t>
      </w:r>
      <w:r w:rsidR="00400766">
        <w:t xml:space="preserve">are not stand-alone requirements but </w:t>
      </w:r>
      <w:r w:rsidR="00A64B10" w:rsidRPr="00A64B10">
        <w:t xml:space="preserve">should be considered in addition to applicable </w:t>
      </w:r>
      <w:r w:rsidR="00CC0452" w:rsidRPr="00A64B10">
        <w:t xml:space="preserve">guidelines for medicinal products and medical devices. </w:t>
      </w:r>
      <w:r w:rsidR="0070188E" w:rsidRPr="00A64B10">
        <w:t>Therefore, m</w:t>
      </w:r>
      <w:r w:rsidR="005F09EE" w:rsidRPr="00A64B10">
        <w:t xml:space="preserve">ost of them are specific to </w:t>
      </w:r>
      <w:r w:rsidR="002579F0" w:rsidRPr="00A64B10">
        <w:t>the</w:t>
      </w:r>
      <w:r w:rsidR="005F09EE" w:rsidRPr="00A64B10">
        <w:t xml:space="preserve"> nanotechnolo</w:t>
      </w:r>
      <w:r w:rsidR="00400766">
        <w:t>gy field</w:t>
      </w:r>
      <w:r w:rsidR="005F09EE" w:rsidRPr="00A64B10">
        <w:t xml:space="preserve">, </w:t>
      </w:r>
      <w:r w:rsidR="00122AD8" w:rsidRPr="00A64B10">
        <w:t xml:space="preserve">or </w:t>
      </w:r>
      <w:r w:rsidR="00400766">
        <w:t xml:space="preserve">represent properties particularly relevant and/or </w:t>
      </w:r>
      <w:r w:rsidR="00122AD8" w:rsidRPr="00A64B10">
        <w:t>challenging</w:t>
      </w:r>
      <w:r w:rsidR="00400766">
        <w:t xml:space="preserve"> to assess in case of </w:t>
      </w:r>
      <w:r w:rsidR="00122AD8" w:rsidRPr="00A64B10">
        <w:rPr>
          <w:rFonts w:eastAsia="Calibri" w:cstheme="minorHAnsi"/>
          <w:szCs w:val="20"/>
        </w:rPr>
        <w:t xml:space="preserve">nanotechnology-based products </w:t>
      </w:r>
      <w:r w:rsidR="005F09EE" w:rsidRPr="00A64B10">
        <w:rPr>
          <w:rFonts w:eastAsia="Calibri" w:cstheme="minorHAnsi"/>
          <w:szCs w:val="20"/>
        </w:rPr>
        <w:t>(</w:t>
      </w:r>
      <w:r w:rsidR="00122AD8" w:rsidRPr="00A64B10">
        <w:rPr>
          <w:rFonts w:eastAsia="Calibri" w:cstheme="minorHAnsi"/>
          <w:szCs w:val="20"/>
        </w:rPr>
        <w:t>e.g.,</w:t>
      </w:r>
      <w:r w:rsidR="005F09EE" w:rsidRPr="00A64B10">
        <w:rPr>
          <w:rFonts w:eastAsia="Calibri" w:cstheme="minorHAnsi"/>
          <w:szCs w:val="20"/>
        </w:rPr>
        <w:t xml:space="preserve"> stability, sterility</w:t>
      </w:r>
      <w:r w:rsidR="00122AD8" w:rsidRPr="00A64B10">
        <w:rPr>
          <w:rFonts w:eastAsia="Calibri" w:cstheme="minorHAnsi"/>
          <w:szCs w:val="20"/>
        </w:rPr>
        <w:t>).</w:t>
      </w:r>
    </w:p>
    <w:p w14:paraId="52155DDD" w14:textId="6A15BCB8" w:rsidR="0021628C" w:rsidRPr="00A64B10" w:rsidRDefault="0021628C" w:rsidP="00CC56B8">
      <w:pPr>
        <w:rPr>
          <w:sz w:val="20"/>
        </w:rPr>
      </w:pPr>
      <w:r w:rsidRPr="00A64B10">
        <w:rPr>
          <w:b/>
          <w:bCs/>
          <w:sz w:val="20"/>
          <w:szCs w:val="20"/>
        </w:rPr>
        <w:t xml:space="preserve">Table 1: </w:t>
      </w:r>
      <w:r w:rsidRPr="00A64B10">
        <w:rPr>
          <w:sz w:val="20"/>
        </w:rPr>
        <w:t>Regulatory information needs extracted from the regulatory documents addressing all classes of nanotechnology-</w:t>
      </w:r>
      <w:r w:rsidR="00561B7E" w:rsidRPr="000700DD">
        <w:rPr>
          <w:sz w:val="20"/>
        </w:rPr>
        <w:t>based</w:t>
      </w:r>
      <w:r w:rsidRPr="00A64B10">
        <w:rPr>
          <w:sz w:val="20"/>
        </w:rPr>
        <w:t xml:space="preserve"> health products</w:t>
      </w:r>
      <w:r w:rsidR="00F00CA7" w:rsidRPr="00A64B10">
        <w:rPr>
          <w:sz w:val="20"/>
        </w:rPr>
        <w:t xml:space="preserve"> </w:t>
      </w:r>
      <w:r w:rsidR="00F00CA7" w:rsidRPr="00A64B10">
        <w:rPr>
          <w:sz w:val="20"/>
        </w:rPr>
        <w:fldChar w:fldCharType="begin" w:fldLock="1"/>
      </w:r>
      <w:r w:rsidR="000B3F63">
        <w:rPr>
          <w:sz w:val="20"/>
        </w:rPr>
        <w:instrText>ADDIN CSL_CITATION {"citationItems":[{"id":"ITEM-1","itemData":{"author":[{"dropping-particle":"","family":"Halamoda-Kenzaoui","given":"Blanka","non-dropping-particle":"","parse-names":false,"suffix":""},{"dropping-particle":"","family":"Box","given":"Helen","non-dropping-particle":"","parse-names":false,"suffix":""},{"dropping-particle":"","family":"Elk","given":"Merel","non-dropping-particle":"van","parse-names":false,"suffix":""},{"dropping-particle":"","family":"Gaitan","given":"Sandra","non-dropping-particle":"","parse-names":false,"suffix":""},{"dropping-particle":"","family":"Geertsma","given":"Robert E","non-dropping-particle":"","parse-names":false,"suffix":""},{"dropping-particle":"","family":"Gainza Lafuente","given":"Eusebio","non-dropping-particle":"","parse-names":false,"suffix":""},{"dropping-particle":"","family":"Owen","given":"Andrew","non-dropping-particle":"","parse-names":false,"suffix":""},{"dropping-particle":"","family":"Pozo","given":"Angel","non-dropping-particle":"del","parse-names":false,"suffix":""},{"dropping-particle":"","family":"Roesslein","given":"Matthias","non-dropping-particle":"","parse-names":false,"suffix":""},{"dropping-particle":"","family":"Bremer-Hoffmann","given":"Susanne","non-dropping-particle":"","parse-names":false,"suffix":""}],"container-title":"Publications Office of the European Union","id":"ITEM-1","issued":{"date-parts":[["2019"]]},"title":"Anticipation of regulatory needs for nanotechnology-enabled health products- The REFINE White Paper","type":"article-journal","volume":"EUR 29919"},"uris":["http://www.mendeley.com/documents/?uuid=fb7e00e7-0098-4659-855d-1e5791ff84ae"]}],"mendeley":{"formattedCitation":"[15]","plainTextFormattedCitation":"[15]","previouslyFormattedCitation":"[15]"},"properties":{"noteIndex":0},"schema":"https://github.com/citation-style-language/schema/raw/master/csl-citation.json"}</w:instrText>
      </w:r>
      <w:r w:rsidR="00F00CA7" w:rsidRPr="00A64B10">
        <w:rPr>
          <w:sz w:val="20"/>
        </w:rPr>
        <w:fldChar w:fldCharType="separate"/>
      </w:r>
      <w:r w:rsidR="00993B28" w:rsidRPr="00993B28">
        <w:rPr>
          <w:noProof/>
          <w:sz w:val="20"/>
        </w:rPr>
        <w:t>[15]</w:t>
      </w:r>
      <w:r w:rsidR="00F00CA7" w:rsidRPr="00A64B10">
        <w:rPr>
          <w:sz w:val="20"/>
        </w:rPr>
        <w:fldChar w:fldCharType="end"/>
      </w:r>
      <w:r w:rsidR="00F00CA7" w:rsidRPr="00A64B10">
        <w:rPr>
          <w:sz w:val="20"/>
        </w:rPr>
        <w:t>.</w:t>
      </w:r>
    </w:p>
    <w:tbl>
      <w:tblPr>
        <w:tblStyle w:val="TableGrid1"/>
        <w:tblW w:w="93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42"/>
        <w:gridCol w:w="4253"/>
        <w:gridCol w:w="345"/>
      </w:tblGrid>
      <w:tr w:rsidR="0021628C" w:rsidRPr="00A64B10" w14:paraId="332691CE" w14:textId="77777777" w:rsidTr="00B96DD7">
        <w:trPr>
          <w:gridAfter w:val="1"/>
          <w:wAfter w:w="345" w:type="dxa"/>
        </w:trPr>
        <w:tc>
          <w:tcPr>
            <w:tcW w:w="4644" w:type="dxa"/>
            <w:shd w:val="clear" w:color="auto" w:fill="E7E6E6"/>
          </w:tcPr>
          <w:p w14:paraId="18BECF5D" w14:textId="77777777" w:rsidR="0021628C" w:rsidRPr="00A64B10" w:rsidRDefault="0021628C" w:rsidP="00CC56B8">
            <w:pPr>
              <w:spacing w:line="276" w:lineRule="auto"/>
              <w:jc w:val="center"/>
              <w:rPr>
                <w:rFonts w:eastAsia="Arial" w:cstheme="minorHAnsi"/>
                <w:b/>
                <w:sz w:val="20"/>
                <w:szCs w:val="20"/>
              </w:rPr>
            </w:pPr>
            <w:r w:rsidRPr="00A64B10">
              <w:rPr>
                <w:rFonts w:eastAsia="Arial" w:cstheme="minorHAnsi"/>
                <w:b/>
                <w:sz w:val="20"/>
                <w:szCs w:val="20"/>
              </w:rPr>
              <w:t>Physicochemical parameters</w:t>
            </w:r>
          </w:p>
          <w:p w14:paraId="6B25E1B9" w14:textId="77777777" w:rsidR="0021628C" w:rsidRPr="00A64B10" w:rsidRDefault="0021628C" w:rsidP="00CC56B8">
            <w:pPr>
              <w:spacing w:line="276" w:lineRule="auto"/>
              <w:jc w:val="center"/>
              <w:rPr>
                <w:rFonts w:eastAsia="Arial" w:cstheme="minorHAnsi"/>
                <w:b/>
                <w:sz w:val="20"/>
                <w:szCs w:val="20"/>
              </w:rPr>
            </w:pPr>
            <w:r w:rsidRPr="00A64B10">
              <w:rPr>
                <w:rFonts w:eastAsia="Arial" w:cstheme="minorHAnsi"/>
                <w:b/>
                <w:sz w:val="20"/>
                <w:szCs w:val="20"/>
              </w:rPr>
              <w:t xml:space="preserve"> (</w:t>
            </w:r>
            <w:proofErr w:type="gramStart"/>
            <w:r w:rsidRPr="00A64B10">
              <w:rPr>
                <w:rFonts w:eastAsia="Arial" w:cstheme="minorHAnsi"/>
                <w:b/>
                <w:sz w:val="20"/>
                <w:szCs w:val="20"/>
              </w:rPr>
              <w:t>if</w:t>
            </w:r>
            <w:proofErr w:type="gramEnd"/>
            <w:r w:rsidRPr="00A64B10">
              <w:rPr>
                <w:rFonts w:eastAsia="Arial" w:cstheme="minorHAnsi"/>
                <w:b/>
                <w:sz w:val="20"/>
                <w:szCs w:val="20"/>
              </w:rPr>
              <w:t xml:space="preserve"> applicable)</w:t>
            </w:r>
          </w:p>
        </w:tc>
        <w:tc>
          <w:tcPr>
            <w:tcW w:w="4395" w:type="dxa"/>
            <w:gridSpan w:val="2"/>
            <w:shd w:val="clear" w:color="auto" w:fill="E7E6E6"/>
          </w:tcPr>
          <w:p w14:paraId="2751663A" w14:textId="77777777" w:rsidR="0021628C" w:rsidRPr="00A64B10" w:rsidRDefault="0021628C" w:rsidP="00CC56B8">
            <w:pPr>
              <w:spacing w:line="276" w:lineRule="auto"/>
              <w:jc w:val="center"/>
              <w:rPr>
                <w:rFonts w:eastAsia="Arial" w:cstheme="minorHAnsi"/>
                <w:b/>
                <w:sz w:val="20"/>
                <w:szCs w:val="20"/>
              </w:rPr>
            </w:pPr>
            <w:r w:rsidRPr="00A64B10">
              <w:rPr>
                <w:rFonts w:eastAsia="Arial" w:cstheme="minorHAnsi"/>
                <w:b/>
                <w:sz w:val="20"/>
                <w:szCs w:val="20"/>
              </w:rPr>
              <w:t>Biological characterisation</w:t>
            </w:r>
          </w:p>
          <w:p w14:paraId="78CB87D3" w14:textId="77777777" w:rsidR="006E4CFC" w:rsidRPr="00A64B10" w:rsidRDefault="006E4CFC" w:rsidP="00CC56B8">
            <w:pPr>
              <w:spacing w:line="276" w:lineRule="auto"/>
              <w:jc w:val="center"/>
              <w:rPr>
                <w:rFonts w:eastAsia="Arial" w:cstheme="minorHAnsi"/>
                <w:b/>
                <w:sz w:val="20"/>
                <w:szCs w:val="20"/>
              </w:rPr>
            </w:pPr>
            <w:r w:rsidRPr="00A64B10">
              <w:rPr>
                <w:rFonts w:eastAsia="Arial" w:cstheme="minorHAnsi"/>
                <w:b/>
                <w:sz w:val="20"/>
                <w:szCs w:val="20"/>
              </w:rPr>
              <w:t>(</w:t>
            </w:r>
            <w:proofErr w:type="gramStart"/>
            <w:r w:rsidRPr="00A64B10">
              <w:rPr>
                <w:rFonts w:eastAsia="Arial" w:cstheme="minorHAnsi"/>
                <w:b/>
                <w:sz w:val="20"/>
                <w:szCs w:val="20"/>
              </w:rPr>
              <w:t>if</w:t>
            </w:r>
            <w:proofErr w:type="gramEnd"/>
            <w:r w:rsidRPr="00A64B10">
              <w:rPr>
                <w:rFonts w:eastAsia="Arial" w:cstheme="minorHAnsi"/>
                <w:b/>
                <w:sz w:val="20"/>
                <w:szCs w:val="20"/>
              </w:rPr>
              <w:t xml:space="preserve"> applicable)</w:t>
            </w:r>
          </w:p>
        </w:tc>
      </w:tr>
      <w:tr w:rsidR="0021628C" w:rsidRPr="00A64B10" w14:paraId="5EAFCFEE" w14:textId="77777777" w:rsidTr="00B96DD7">
        <w:tc>
          <w:tcPr>
            <w:tcW w:w="4786" w:type="dxa"/>
            <w:gridSpan w:val="2"/>
          </w:tcPr>
          <w:p w14:paraId="69B451E4" w14:textId="77777777" w:rsidR="0021628C" w:rsidRPr="00A64B10" w:rsidRDefault="0021628C" w:rsidP="0000021E">
            <w:pPr>
              <w:pStyle w:val="ListParagraph"/>
              <w:numPr>
                <w:ilvl w:val="0"/>
                <w:numId w:val="14"/>
              </w:numPr>
              <w:spacing w:line="276" w:lineRule="auto"/>
              <w:rPr>
                <w:rFonts w:eastAsia="Arial" w:cstheme="minorHAnsi"/>
                <w:sz w:val="20"/>
                <w:szCs w:val="20"/>
              </w:rPr>
            </w:pPr>
            <w:r w:rsidRPr="00A64B10">
              <w:rPr>
                <w:rFonts w:eastAsia="Arial" w:cstheme="minorHAnsi"/>
                <w:sz w:val="20"/>
                <w:szCs w:val="20"/>
              </w:rPr>
              <w:t>Chemical composition</w:t>
            </w:r>
          </w:p>
          <w:p w14:paraId="45B691A9"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t>Chemical structure</w:t>
            </w:r>
          </w:p>
          <w:p w14:paraId="07FEE793"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t xml:space="preserve">Structural attributes that relate to function </w:t>
            </w:r>
          </w:p>
          <w:p w14:paraId="5906AA73"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lastRenderedPageBreak/>
              <w:t xml:space="preserve">Crystal form </w:t>
            </w:r>
          </w:p>
          <w:p w14:paraId="6FC5D285"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t>Impurities</w:t>
            </w:r>
          </w:p>
          <w:p w14:paraId="132A22DE"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t>Particle size and size distribution</w:t>
            </w:r>
          </w:p>
          <w:p w14:paraId="52885D83"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t>Shape and morphology</w:t>
            </w:r>
          </w:p>
          <w:p w14:paraId="547853A3"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t>Surface properties (e.g., surface area, surface charge, chemical reactivity, ligands, hydrophobicity, and roughness</w:t>
            </w:r>
            <w:proofErr w:type="gramStart"/>
            <w:r w:rsidRPr="00A64B10">
              <w:rPr>
                <w:rFonts w:eastAsia="Arial" w:cstheme="minorHAnsi"/>
                <w:sz w:val="20"/>
                <w:szCs w:val="20"/>
              </w:rPr>
              <w:t>);</w:t>
            </w:r>
            <w:proofErr w:type="gramEnd"/>
          </w:p>
          <w:p w14:paraId="272D8762"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t>Particle concentration</w:t>
            </w:r>
          </w:p>
          <w:p w14:paraId="18AF750C"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t>Porosity (if it relates to a function)</w:t>
            </w:r>
          </w:p>
          <w:p w14:paraId="1E2A1AEA"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t xml:space="preserve">Degradation path, </w:t>
            </w:r>
            <w:proofErr w:type="gramStart"/>
            <w:r w:rsidRPr="00A64B10">
              <w:rPr>
                <w:rFonts w:eastAsia="Arial" w:cstheme="minorHAnsi"/>
                <w:sz w:val="20"/>
                <w:szCs w:val="20"/>
              </w:rPr>
              <w:t>kinetics</w:t>
            </w:r>
            <w:proofErr w:type="gramEnd"/>
            <w:r w:rsidRPr="00A64B10">
              <w:rPr>
                <w:rFonts w:eastAsia="Arial" w:cstheme="minorHAnsi"/>
                <w:sz w:val="20"/>
                <w:szCs w:val="20"/>
              </w:rPr>
              <w:t xml:space="preserve"> and degradation products</w:t>
            </w:r>
          </w:p>
          <w:p w14:paraId="50573668"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t>Stability, both physical and chemical</w:t>
            </w:r>
            <w:r w:rsidR="007D38AF" w:rsidRPr="00A64B10">
              <w:rPr>
                <w:rFonts w:eastAsia="Arial" w:cstheme="minorHAnsi"/>
                <w:sz w:val="20"/>
                <w:szCs w:val="20"/>
              </w:rPr>
              <w:t xml:space="preserve"> under relevant conditions</w:t>
            </w:r>
          </w:p>
          <w:p w14:paraId="3CCF24D9" w14:textId="77777777" w:rsidR="0021628C" w:rsidRPr="00A64B10" w:rsidRDefault="0021628C" w:rsidP="00CC56B8">
            <w:pPr>
              <w:spacing w:line="276" w:lineRule="auto"/>
              <w:rPr>
                <w:rFonts w:eastAsia="Arial" w:cstheme="minorHAnsi"/>
                <w:b/>
                <w:sz w:val="20"/>
                <w:szCs w:val="20"/>
              </w:rPr>
            </w:pPr>
            <w:r w:rsidRPr="00A64B10">
              <w:rPr>
                <w:rFonts w:eastAsia="Arial" w:cstheme="minorHAnsi"/>
                <w:b/>
                <w:sz w:val="20"/>
                <w:szCs w:val="20"/>
              </w:rPr>
              <w:t>Drug delivery systems</w:t>
            </w:r>
          </w:p>
          <w:p w14:paraId="71C57657" w14:textId="77777777" w:rsidR="0021628C" w:rsidRPr="00A64B10" w:rsidRDefault="0021628C" w:rsidP="0000021E">
            <w:pPr>
              <w:numPr>
                <w:ilvl w:val="0"/>
                <w:numId w:val="1"/>
              </w:numPr>
              <w:spacing w:after="200" w:line="276" w:lineRule="auto"/>
              <w:contextualSpacing/>
              <w:rPr>
                <w:rFonts w:eastAsia="Arial" w:cstheme="minorHAnsi"/>
                <w:sz w:val="20"/>
                <w:szCs w:val="20"/>
              </w:rPr>
            </w:pPr>
            <w:r w:rsidRPr="00A64B10">
              <w:rPr>
                <w:rFonts w:eastAsia="Arial" w:cstheme="minorHAnsi"/>
                <w:sz w:val="20"/>
                <w:szCs w:val="20"/>
              </w:rPr>
              <w:t>Drug loading efficiency</w:t>
            </w:r>
          </w:p>
          <w:p w14:paraId="3F59DBD2" w14:textId="360385E0" w:rsidR="0021628C" w:rsidRPr="00A64B10" w:rsidRDefault="000475E5" w:rsidP="0000021E">
            <w:pPr>
              <w:numPr>
                <w:ilvl w:val="0"/>
                <w:numId w:val="1"/>
              </w:numPr>
              <w:spacing w:after="200" w:line="276" w:lineRule="auto"/>
              <w:contextualSpacing/>
              <w:rPr>
                <w:rFonts w:eastAsia="Arial" w:cstheme="minorHAnsi"/>
                <w:sz w:val="20"/>
                <w:szCs w:val="20"/>
              </w:rPr>
            </w:pPr>
            <w:r w:rsidRPr="000700DD">
              <w:rPr>
                <w:rFonts w:eastAsia="Arial" w:cstheme="minorHAnsi"/>
                <w:sz w:val="20"/>
                <w:szCs w:val="20"/>
              </w:rPr>
              <w:t>Presence</w:t>
            </w:r>
            <w:r w:rsidR="0021628C" w:rsidRPr="00A64B10">
              <w:rPr>
                <w:rFonts w:eastAsia="Arial" w:cstheme="minorHAnsi"/>
                <w:sz w:val="20"/>
                <w:szCs w:val="20"/>
              </w:rPr>
              <w:t xml:space="preserve"> and distribution of any active ingredient associated with the nanomaterial and free in </w:t>
            </w:r>
            <w:proofErr w:type="gramStart"/>
            <w:r w:rsidR="0021628C" w:rsidRPr="00A64B10">
              <w:rPr>
                <w:rFonts w:eastAsia="Arial" w:cstheme="minorHAnsi"/>
                <w:sz w:val="20"/>
                <w:szCs w:val="20"/>
              </w:rPr>
              <w:t>solution</w:t>
            </w:r>
            <w:proofErr w:type="gramEnd"/>
            <w:r w:rsidR="0021628C" w:rsidRPr="00A64B10">
              <w:rPr>
                <w:rFonts w:eastAsia="Arial" w:cstheme="minorHAnsi"/>
                <w:sz w:val="20"/>
                <w:szCs w:val="20"/>
              </w:rPr>
              <w:t xml:space="preserve"> </w:t>
            </w:r>
          </w:p>
          <w:p w14:paraId="7552D6A3" w14:textId="77777777" w:rsidR="0021628C" w:rsidRPr="00A64B10" w:rsidRDefault="0021628C" w:rsidP="0000021E">
            <w:pPr>
              <w:numPr>
                <w:ilvl w:val="0"/>
                <w:numId w:val="1"/>
              </w:numPr>
              <w:spacing w:after="200" w:line="276" w:lineRule="auto"/>
              <w:contextualSpacing/>
              <w:rPr>
                <w:rFonts w:eastAsia="Arial" w:cstheme="minorHAnsi"/>
                <w:sz w:val="20"/>
                <w:szCs w:val="20"/>
              </w:rPr>
            </w:pPr>
            <w:r w:rsidRPr="00A64B10">
              <w:rPr>
                <w:rFonts w:eastAsia="Arial" w:cstheme="minorHAnsi"/>
                <w:sz w:val="20"/>
                <w:szCs w:val="20"/>
              </w:rPr>
              <w:t>Physical state of the active substance</w:t>
            </w:r>
          </w:p>
          <w:p w14:paraId="060112C5" w14:textId="77777777" w:rsidR="0021628C" w:rsidRPr="00A64B10" w:rsidRDefault="0021628C" w:rsidP="0000021E">
            <w:pPr>
              <w:numPr>
                <w:ilvl w:val="0"/>
                <w:numId w:val="1"/>
              </w:numPr>
              <w:spacing w:after="200" w:line="276" w:lineRule="auto"/>
              <w:contextualSpacing/>
              <w:rPr>
                <w:rFonts w:eastAsia="Arial" w:cstheme="minorHAnsi"/>
                <w:sz w:val="20"/>
                <w:szCs w:val="20"/>
              </w:rPr>
            </w:pPr>
            <w:r w:rsidRPr="00A64B10">
              <w:rPr>
                <w:rFonts w:eastAsia="Arial" w:cstheme="minorHAnsi"/>
                <w:sz w:val="20"/>
                <w:szCs w:val="20"/>
              </w:rPr>
              <w:t>In vitro drug substance /siRNA release rate in physiologically/clinically relevant media</w:t>
            </w:r>
          </w:p>
        </w:tc>
        <w:tc>
          <w:tcPr>
            <w:tcW w:w="4598" w:type="dxa"/>
            <w:gridSpan w:val="2"/>
          </w:tcPr>
          <w:p w14:paraId="7239C43D" w14:textId="77777777" w:rsidR="0021628C" w:rsidRPr="00A64B10" w:rsidRDefault="0021628C" w:rsidP="00CC56B8">
            <w:pPr>
              <w:spacing w:line="276" w:lineRule="auto"/>
              <w:rPr>
                <w:rFonts w:eastAsia="Arial" w:cstheme="minorHAnsi"/>
                <w:b/>
                <w:sz w:val="20"/>
                <w:szCs w:val="20"/>
              </w:rPr>
            </w:pPr>
            <w:r w:rsidRPr="00A64B10">
              <w:rPr>
                <w:rFonts w:eastAsia="Arial" w:cstheme="minorHAnsi"/>
                <w:b/>
                <w:sz w:val="20"/>
                <w:szCs w:val="20"/>
              </w:rPr>
              <w:lastRenderedPageBreak/>
              <w:t>Bioburden control</w:t>
            </w:r>
          </w:p>
          <w:p w14:paraId="2D2A4C9A" w14:textId="77777777" w:rsidR="0021628C" w:rsidRPr="00A64B10" w:rsidRDefault="0021628C" w:rsidP="0000021E">
            <w:pPr>
              <w:numPr>
                <w:ilvl w:val="0"/>
                <w:numId w:val="2"/>
              </w:numPr>
              <w:spacing w:after="200" w:line="276" w:lineRule="auto"/>
              <w:contextualSpacing/>
              <w:rPr>
                <w:rFonts w:eastAsia="Arial" w:cstheme="minorHAnsi"/>
                <w:sz w:val="20"/>
                <w:szCs w:val="20"/>
              </w:rPr>
            </w:pPr>
            <w:r w:rsidRPr="00A64B10">
              <w:rPr>
                <w:rFonts w:eastAsia="Arial" w:cstheme="minorHAnsi"/>
                <w:sz w:val="20"/>
                <w:szCs w:val="20"/>
              </w:rPr>
              <w:t>Sterility and endotoxin levels</w:t>
            </w:r>
          </w:p>
          <w:p w14:paraId="4AC96DE9" w14:textId="77777777" w:rsidR="0021628C" w:rsidRPr="00A64B10" w:rsidRDefault="0021628C" w:rsidP="00CC56B8">
            <w:pPr>
              <w:spacing w:line="276" w:lineRule="auto"/>
              <w:rPr>
                <w:rFonts w:eastAsia="Arial" w:cstheme="minorHAnsi"/>
                <w:b/>
                <w:sz w:val="20"/>
                <w:szCs w:val="20"/>
              </w:rPr>
            </w:pPr>
            <w:r w:rsidRPr="00A64B10">
              <w:rPr>
                <w:rFonts w:eastAsia="Arial" w:cstheme="minorHAnsi"/>
                <w:b/>
                <w:sz w:val="20"/>
                <w:szCs w:val="20"/>
              </w:rPr>
              <w:t>Pharmacokinetic parameters</w:t>
            </w:r>
          </w:p>
          <w:p w14:paraId="2C8A65CD" w14:textId="77777777" w:rsidR="0021628C" w:rsidRPr="00A64B10" w:rsidRDefault="0021628C" w:rsidP="0000021E">
            <w:pPr>
              <w:numPr>
                <w:ilvl w:val="0"/>
                <w:numId w:val="3"/>
              </w:numPr>
              <w:spacing w:after="200" w:line="276" w:lineRule="auto"/>
              <w:contextualSpacing/>
              <w:rPr>
                <w:rFonts w:eastAsia="Arial" w:cstheme="minorHAnsi"/>
                <w:sz w:val="20"/>
                <w:szCs w:val="20"/>
              </w:rPr>
            </w:pPr>
            <w:r w:rsidRPr="00A64B10">
              <w:rPr>
                <w:rFonts w:eastAsia="Arial" w:cstheme="minorHAnsi"/>
                <w:sz w:val="20"/>
                <w:szCs w:val="20"/>
              </w:rPr>
              <w:lastRenderedPageBreak/>
              <w:t>Stability in blood and serum</w:t>
            </w:r>
          </w:p>
          <w:p w14:paraId="5470415D" w14:textId="77777777" w:rsidR="0021628C" w:rsidRPr="00A64B10" w:rsidRDefault="0021628C" w:rsidP="0000021E">
            <w:pPr>
              <w:numPr>
                <w:ilvl w:val="0"/>
                <w:numId w:val="3"/>
              </w:numPr>
              <w:spacing w:after="200" w:line="276" w:lineRule="auto"/>
              <w:contextualSpacing/>
              <w:rPr>
                <w:rFonts w:eastAsia="Arial" w:cstheme="minorHAnsi"/>
                <w:sz w:val="20"/>
                <w:szCs w:val="20"/>
              </w:rPr>
            </w:pPr>
            <w:r w:rsidRPr="00A64B10">
              <w:rPr>
                <w:rFonts w:eastAsia="Arial" w:cstheme="minorHAnsi"/>
                <w:sz w:val="20"/>
                <w:szCs w:val="20"/>
              </w:rPr>
              <w:t>Biological fate</w:t>
            </w:r>
          </w:p>
          <w:p w14:paraId="71886918" w14:textId="77777777" w:rsidR="0021628C" w:rsidRPr="00A64B10" w:rsidRDefault="0021628C" w:rsidP="0000021E">
            <w:pPr>
              <w:numPr>
                <w:ilvl w:val="0"/>
                <w:numId w:val="3"/>
              </w:numPr>
              <w:spacing w:after="200" w:line="276" w:lineRule="auto"/>
              <w:contextualSpacing/>
              <w:rPr>
                <w:rFonts w:eastAsia="Arial" w:cstheme="minorHAnsi"/>
                <w:sz w:val="20"/>
                <w:szCs w:val="20"/>
              </w:rPr>
            </w:pPr>
            <w:r w:rsidRPr="00A64B10">
              <w:rPr>
                <w:rFonts w:eastAsia="Arial" w:cstheme="minorHAnsi"/>
                <w:sz w:val="20"/>
                <w:szCs w:val="20"/>
              </w:rPr>
              <w:t>Accumulation issues</w:t>
            </w:r>
          </w:p>
          <w:p w14:paraId="1934B588" w14:textId="77777777" w:rsidR="0021628C" w:rsidRPr="00A64B10" w:rsidRDefault="0021628C" w:rsidP="0000021E">
            <w:pPr>
              <w:numPr>
                <w:ilvl w:val="0"/>
                <w:numId w:val="3"/>
              </w:numPr>
              <w:spacing w:after="200" w:line="276" w:lineRule="auto"/>
              <w:contextualSpacing/>
              <w:rPr>
                <w:rFonts w:eastAsia="Arial" w:cstheme="minorHAnsi"/>
                <w:sz w:val="20"/>
                <w:szCs w:val="20"/>
              </w:rPr>
            </w:pPr>
            <w:r w:rsidRPr="00A64B10">
              <w:rPr>
                <w:rFonts w:eastAsia="Arial" w:cstheme="minorHAnsi"/>
                <w:sz w:val="20"/>
                <w:szCs w:val="20"/>
              </w:rPr>
              <w:t>ADME</w:t>
            </w:r>
          </w:p>
          <w:p w14:paraId="1624E6F8" w14:textId="77777777" w:rsidR="0021628C" w:rsidRPr="00A64B10" w:rsidRDefault="0021628C" w:rsidP="0000021E">
            <w:pPr>
              <w:numPr>
                <w:ilvl w:val="0"/>
                <w:numId w:val="3"/>
              </w:numPr>
              <w:spacing w:after="200" w:line="276" w:lineRule="auto"/>
              <w:contextualSpacing/>
              <w:rPr>
                <w:rFonts w:eastAsia="Arial" w:cstheme="minorHAnsi"/>
                <w:sz w:val="20"/>
                <w:szCs w:val="20"/>
              </w:rPr>
            </w:pPr>
            <w:r w:rsidRPr="00A64B10">
              <w:rPr>
                <w:rFonts w:eastAsia="Arial" w:cstheme="minorHAnsi"/>
                <w:sz w:val="20"/>
                <w:szCs w:val="20"/>
              </w:rPr>
              <w:t xml:space="preserve">Plasma </w:t>
            </w:r>
            <w:r w:rsidR="00DE5473" w:rsidRPr="00A64B10">
              <w:rPr>
                <w:rFonts w:eastAsia="Arial" w:cstheme="minorHAnsi"/>
                <w:sz w:val="20"/>
                <w:szCs w:val="20"/>
              </w:rPr>
              <w:t>p</w:t>
            </w:r>
            <w:r w:rsidRPr="00A64B10">
              <w:rPr>
                <w:rFonts w:eastAsia="Arial" w:cstheme="minorHAnsi"/>
                <w:sz w:val="20"/>
                <w:szCs w:val="20"/>
              </w:rPr>
              <w:t xml:space="preserve">rotein </w:t>
            </w:r>
            <w:r w:rsidR="00DE5473" w:rsidRPr="00A64B10">
              <w:rPr>
                <w:rFonts w:eastAsia="Arial" w:cstheme="minorHAnsi"/>
                <w:sz w:val="20"/>
                <w:szCs w:val="20"/>
              </w:rPr>
              <w:t>b</w:t>
            </w:r>
            <w:r w:rsidRPr="00A64B10">
              <w:rPr>
                <w:rFonts w:eastAsia="Arial" w:cstheme="minorHAnsi"/>
                <w:sz w:val="20"/>
                <w:szCs w:val="20"/>
              </w:rPr>
              <w:t xml:space="preserve">inding (formation of </w:t>
            </w:r>
            <w:r w:rsidR="00DE5473" w:rsidRPr="00A64B10">
              <w:rPr>
                <w:rFonts w:eastAsia="Arial" w:cstheme="minorHAnsi"/>
                <w:sz w:val="20"/>
                <w:szCs w:val="20"/>
              </w:rPr>
              <w:t>protein corona</w:t>
            </w:r>
            <w:r w:rsidRPr="00A64B10">
              <w:rPr>
                <w:rFonts w:eastAsia="Arial" w:cstheme="minorHAnsi"/>
                <w:sz w:val="20"/>
                <w:szCs w:val="20"/>
              </w:rPr>
              <w:t xml:space="preserve"> over time)</w:t>
            </w:r>
          </w:p>
          <w:p w14:paraId="20BD734A" w14:textId="46A07FD0" w:rsidR="0021628C" w:rsidRPr="00A64B10" w:rsidRDefault="0021628C" w:rsidP="0000021E">
            <w:pPr>
              <w:numPr>
                <w:ilvl w:val="0"/>
                <w:numId w:val="3"/>
              </w:numPr>
              <w:spacing w:after="200" w:line="276" w:lineRule="auto"/>
              <w:contextualSpacing/>
              <w:rPr>
                <w:rFonts w:eastAsia="Arial" w:cstheme="minorHAnsi"/>
                <w:sz w:val="20"/>
                <w:szCs w:val="20"/>
              </w:rPr>
            </w:pPr>
            <w:r w:rsidRPr="00A64B10">
              <w:rPr>
                <w:rFonts w:eastAsia="Arial" w:cstheme="minorHAnsi"/>
                <w:sz w:val="20"/>
                <w:szCs w:val="20"/>
              </w:rPr>
              <w:t>In vivo degradation/solubilisation rate and place of degradation</w:t>
            </w:r>
          </w:p>
          <w:p w14:paraId="1EFCA465" w14:textId="77777777" w:rsidR="0021628C" w:rsidRPr="00A64B10" w:rsidRDefault="0021628C" w:rsidP="00CC56B8">
            <w:pPr>
              <w:spacing w:line="276" w:lineRule="auto"/>
              <w:rPr>
                <w:rFonts w:eastAsia="Arial" w:cstheme="minorHAnsi"/>
                <w:b/>
                <w:sz w:val="20"/>
                <w:szCs w:val="20"/>
              </w:rPr>
            </w:pPr>
            <w:r w:rsidRPr="00A64B10">
              <w:rPr>
                <w:rFonts w:eastAsia="Arial" w:cstheme="minorHAnsi"/>
                <w:b/>
                <w:sz w:val="20"/>
                <w:szCs w:val="20"/>
              </w:rPr>
              <w:t>Pharmacodynamic parameters</w:t>
            </w:r>
          </w:p>
          <w:p w14:paraId="5D3B673E" w14:textId="77777777" w:rsidR="0021628C" w:rsidRPr="00A64B10" w:rsidRDefault="0021628C" w:rsidP="0000021E">
            <w:pPr>
              <w:numPr>
                <w:ilvl w:val="0"/>
                <w:numId w:val="3"/>
              </w:numPr>
              <w:spacing w:line="276" w:lineRule="auto"/>
              <w:rPr>
                <w:rFonts w:eastAsia="Arial" w:cstheme="minorHAnsi"/>
                <w:sz w:val="20"/>
                <w:szCs w:val="20"/>
              </w:rPr>
            </w:pPr>
            <w:r w:rsidRPr="00A64B10">
              <w:rPr>
                <w:rFonts w:eastAsia="Arial" w:cstheme="minorHAnsi"/>
                <w:sz w:val="20"/>
                <w:szCs w:val="20"/>
              </w:rPr>
              <w:t>Biocompatibility with blood and serum</w:t>
            </w:r>
          </w:p>
          <w:p w14:paraId="4AF4AA56" w14:textId="60940108" w:rsidR="0021628C" w:rsidRPr="00A64B10" w:rsidRDefault="0021628C" w:rsidP="0000021E">
            <w:pPr>
              <w:numPr>
                <w:ilvl w:val="0"/>
                <w:numId w:val="3"/>
              </w:numPr>
              <w:spacing w:line="276" w:lineRule="auto"/>
              <w:contextualSpacing/>
              <w:rPr>
                <w:rFonts w:eastAsia="Arial" w:cstheme="minorHAnsi"/>
                <w:sz w:val="20"/>
                <w:szCs w:val="20"/>
              </w:rPr>
            </w:pPr>
            <w:r w:rsidRPr="00A64B10">
              <w:rPr>
                <w:rFonts w:eastAsia="Arial" w:cstheme="minorHAnsi"/>
                <w:sz w:val="20"/>
                <w:szCs w:val="20"/>
              </w:rPr>
              <w:t xml:space="preserve">Additional risks associated with the exposure route: </w:t>
            </w:r>
            <w:r w:rsidR="007D38AF" w:rsidRPr="00A64B10">
              <w:rPr>
                <w:rFonts w:eastAsia="Arial" w:cstheme="minorHAnsi"/>
                <w:sz w:val="20"/>
                <w:szCs w:val="20"/>
              </w:rPr>
              <w:t xml:space="preserve">e.g., </w:t>
            </w:r>
            <w:proofErr w:type="spellStart"/>
            <w:r w:rsidRPr="00A64B10">
              <w:rPr>
                <w:rFonts w:eastAsia="Arial" w:cstheme="minorHAnsi"/>
                <w:sz w:val="20"/>
                <w:szCs w:val="20"/>
              </w:rPr>
              <w:t>h</w:t>
            </w:r>
            <w:r w:rsidR="00423526">
              <w:rPr>
                <w:rFonts w:eastAsia="Arial" w:cstheme="minorHAnsi"/>
                <w:sz w:val="20"/>
                <w:szCs w:val="20"/>
              </w:rPr>
              <w:t>a</w:t>
            </w:r>
            <w:r w:rsidRPr="00A64B10">
              <w:rPr>
                <w:rFonts w:eastAsia="Arial" w:cstheme="minorHAnsi"/>
                <w:sz w:val="20"/>
                <w:szCs w:val="20"/>
              </w:rPr>
              <w:t>emocompatibility</w:t>
            </w:r>
            <w:proofErr w:type="spellEnd"/>
            <w:r w:rsidR="007D38AF" w:rsidRPr="00A64B10">
              <w:rPr>
                <w:rFonts w:eastAsia="Arial" w:cstheme="minorHAnsi"/>
                <w:sz w:val="20"/>
                <w:szCs w:val="20"/>
              </w:rPr>
              <w:t xml:space="preserve"> for iv </w:t>
            </w:r>
            <w:proofErr w:type="gramStart"/>
            <w:r w:rsidR="007D38AF" w:rsidRPr="00A64B10">
              <w:rPr>
                <w:rFonts w:eastAsia="Arial" w:cstheme="minorHAnsi"/>
                <w:sz w:val="20"/>
                <w:szCs w:val="20"/>
              </w:rPr>
              <w:t>administration</w:t>
            </w:r>
            <w:proofErr w:type="gramEnd"/>
          </w:p>
          <w:p w14:paraId="273785E7" w14:textId="77777777" w:rsidR="0021628C" w:rsidRPr="00A64B10" w:rsidRDefault="0021628C" w:rsidP="0000021E">
            <w:pPr>
              <w:numPr>
                <w:ilvl w:val="0"/>
                <w:numId w:val="3"/>
              </w:numPr>
              <w:spacing w:after="200" w:line="276" w:lineRule="auto"/>
              <w:contextualSpacing/>
              <w:rPr>
                <w:rFonts w:eastAsia="Arial" w:cstheme="minorHAnsi"/>
                <w:sz w:val="20"/>
                <w:szCs w:val="20"/>
              </w:rPr>
            </w:pPr>
            <w:r w:rsidRPr="00A64B10">
              <w:rPr>
                <w:rFonts w:eastAsia="Arial" w:cstheme="minorHAnsi"/>
                <w:sz w:val="20"/>
                <w:szCs w:val="20"/>
              </w:rPr>
              <w:t>In vitro uptake and cytotoxicity of nanomaterials to the phagocytes</w:t>
            </w:r>
          </w:p>
          <w:p w14:paraId="1818AE89" w14:textId="77777777" w:rsidR="0021628C" w:rsidRPr="00A64B10" w:rsidRDefault="0021628C" w:rsidP="0000021E">
            <w:pPr>
              <w:numPr>
                <w:ilvl w:val="0"/>
                <w:numId w:val="3"/>
              </w:numPr>
              <w:spacing w:after="200" w:line="276" w:lineRule="auto"/>
              <w:contextualSpacing/>
              <w:rPr>
                <w:rFonts w:eastAsia="Arial" w:cstheme="minorHAnsi"/>
                <w:sz w:val="20"/>
                <w:szCs w:val="20"/>
              </w:rPr>
            </w:pPr>
            <w:r w:rsidRPr="00A64B10">
              <w:rPr>
                <w:rFonts w:eastAsia="Arial" w:cstheme="minorHAnsi"/>
                <w:sz w:val="20"/>
                <w:szCs w:val="20"/>
              </w:rPr>
              <w:t xml:space="preserve">Interaction with enzymes </w:t>
            </w:r>
          </w:p>
          <w:p w14:paraId="05EC796B" w14:textId="77777777" w:rsidR="0021628C" w:rsidRPr="00A64B10" w:rsidRDefault="0021628C" w:rsidP="0000021E">
            <w:pPr>
              <w:numPr>
                <w:ilvl w:val="0"/>
                <w:numId w:val="3"/>
              </w:numPr>
              <w:spacing w:after="200" w:line="276" w:lineRule="auto"/>
              <w:contextualSpacing/>
              <w:rPr>
                <w:rFonts w:eastAsia="Arial" w:cstheme="minorHAnsi"/>
                <w:sz w:val="20"/>
                <w:szCs w:val="20"/>
              </w:rPr>
            </w:pPr>
            <w:r w:rsidRPr="00A64B10">
              <w:rPr>
                <w:rFonts w:eastAsia="Arial" w:cstheme="minorHAnsi"/>
                <w:sz w:val="20"/>
                <w:szCs w:val="20"/>
              </w:rPr>
              <w:t>Immunogenicity (ICH S8)</w:t>
            </w:r>
          </w:p>
          <w:p w14:paraId="5BFAA176" w14:textId="77777777" w:rsidR="0021628C" w:rsidRPr="00A64B10" w:rsidRDefault="0021628C" w:rsidP="0000021E">
            <w:pPr>
              <w:numPr>
                <w:ilvl w:val="0"/>
                <w:numId w:val="3"/>
              </w:numPr>
              <w:spacing w:after="200" w:line="276" w:lineRule="auto"/>
              <w:contextualSpacing/>
              <w:rPr>
                <w:rFonts w:eastAsia="Arial" w:cstheme="minorHAnsi"/>
                <w:sz w:val="20"/>
                <w:szCs w:val="20"/>
              </w:rPr>
            </w:pPr>
            <w:r w:rsidRPr="00A64B10">
              <w:rPr>
                <w:rFonts w:eastAsia="Arial" w:cstheme="minorHAnsi"/>
                <w:sz w:val="20"/>
                <w:szCs w:val="20"/>
              </w:rPr>
              <w:t xml:space="preserve">Complement </w:t>
            </w:r>
            <w:proofErr w:type="gramStart"/>
            <w:r w:rsidRPr="00A64B10">
              <w:rPr>
                <w:rFonts w:eastAsia="Arial" w:cstheme="minorHAnsi"/>
                <w:sz w:val="20"/>
                <w:szCs w:val="20"/>
              </w:rPr>
              <w:t>activation</w:t>
            </w:r>
            <w:proofErr w:type="gramEnd"/>
          </w:p>
          <w:p w14:paraId="3911106C" w14:textId="77777777" w:rsidR="0021628C" w:rsidRPr="00A64B10" w:rsidRDefault="0021628C" w:rsidP="00CC56B8">
            <w:pPr>
              <w:spacing w:after="200" w:line="276" w:lineRule="auto"/>
              <w:ind w:left="360"/>
              <w:contextualSpacing/>
              <w:rPr>
                <w:rFonts w:eastAsia="Arial" w:cstheme="minorHAnsi"/>
                <w:sz w:val="20"/>
                <w:szCs w:val="20"/>
              </w:rPr>
            </w:pPr>
          </w:p>
        </w:tc>
      </w:tr>
    </w:tbl>
    <w:p w14:paraId="19C8CF5B" w14:textId="77777777" w:rsidR="00192D1B" w:rsidRPr="00A64B10" w:rsidRDefault="00192D1B" w:rsidP="0000021E">
      <w:pPr>
        <w:pStyle w:val="Heading1"/>
        <w:numPr>
          <w:ilvl w:val="0"/>
          <w:numId w:val="15"/>
        </w:numPr>
        <w:rPr>
          <w:color w:val="C0504D" w:themeColor="accent2"/>
        </w:rPr>
      </w:pPr>
      <w:r w:rsidRPr="00A64B10">
        <w:lastRenderedPageBreak/>
        <w:t xml:space="preserve">Identification of </w:t>
      </w:r>
      <w:r w:rsidR="005D3F3B" w:rsidRPr="00A64B10">
        <w:t xml:space="preserve">major </w:t>
      </w:r>
      <w:r w:rsidRPr="00A64B10">
        <w:t>methodological gaps</w:t>
      </w:r>
      <w:r w:rsidR="0074676B" w:rsidRPr="00A64B10">
        <w:t xml:space="preserve"> </w:t>
      </w:r>
    </w:p>
    <w:p w14:paraId="47C78D21" w14:textId="77767F16" w:rsidR="00F369E8" w:rsidRPr="00A64B10" w:rsidRDefault="0090288E" w:rsidP="000D7818">
      <w:pPr>
        <w:spacing w:after="0"/>
        <w:jc w:val="both"/>
      </w:pPr>
      <w:r w:rsidRPr="00A64B10">
        <w:t>To</w:t>
      </w:r>
      <w:r w:rsidR="00A63D34" w:rsidRPr="00A64B10">
        <w:t xml:space="preserve"> address the regulatory information needs</w:t>
      </w:r>
      <w:r w:rsidRPr="00A64B10">
        <w:t xml:space="preserve"> summari</w:t>
      </w:r>
      <w:r w:rsidR="002579F0" w:rsidRPr="00A64B10">
        <w:t>s</w:t>
      </w:r>
      <w:r w:rsidRPr="00A64B10">
        <w:t>ed</w:t>
      </w:r>
      <w:r w:rsidR="00C97510" w:rsidRPr="00A64B10">
        <w:t xml:space="preserve"> </w:t>
      </w:r>
      <w:r w:rsidRPr="00A64B10">
        <w:t xml:space="preserve">in </w:t>
      </w:r>
      <w:r w:rsidR="00122AD8" w:rsidRPr="00A64B10">
        <w:t>T</w:t>
      </w:r>
      <w:r w:rsidRPr="00A64B10">
        <w:t xml:space="preserve">able </w:t>
      </w:r>
      <w:r w:rsidR="00C50654" w:rsidRPr="00A64B10">
        <w:t>1</w:t>
      </w:r>
      <w:r w:rsidRPr="00A64B10">
        <w:t xml:space="preserve">, accurate, </w:t>
      </w:r>
      <w:proofErr w:type="gramStart"/>
      <w:r w:rsidRPr="00A64B10">
        <w:t>robust</w:t>
      </w:r>
      <w:proofErr w:type="gramEnd"/>
      <w:r w:rsidRPr="00A64B10">
        <w:t xml:space="preserve"> </w:t>
      </w:r>
      <w:r w:rsidR="00A63D34" w:rsidRPr="00A64B10">
        <w:t xml:space="preserve">and validated methods </w:t>
      </w:r>
      <w:r w:rsidR="00933C04">
        <w:t xml:space="preserve">that are fit for purpose </w:t>
      </w:r>
      <w:r w:rsidR="00A63D34" w:rsidRPr="00A64B10">
        <w:t xml:space="preserve">need to be available. </w:t>
      </w:r>
      <w:r w:rsidR="00F21B3A" w:rsidRPr="00A64B10">
        <w:t>C</w:t>
      </w:r>
      <w:r w:rsidR="00F369E8" w:rsidRPr="00A64B10">
        <w:t xml:space="preserve">riteria </w:t>
      </w:r>
      <w:r w:rsidR="00A63D34" w:rsidRPr="00A64B10">
        <w:t xml:space="preserve">for the validation of analytical and bioanalytical procedures and for the regulatory acceptance of 3R testing approaches, including </w:t>
      </w:r>
      <w:r w:rsidR="00A63D34" w:rsidRPr="00EB0C3C">
        <w:rPr>
          <w:i/>
        </w:rPr>
        <w:t>in vitro</w:t>
      </w:r>
      <w:r w:rsidR="00A63D34" w:rsidRPr="00A64B10">
        <w:t xml:space="preserve"> methods, ha</w:t>
      </w:r>
      <w:r w:rsidR="00401846" w:rsidRPr="00A64B10">
        <w:t>ve</w:t>
      </w:r>
      <w:r w:rsidR="00A63D34" w:rsidRPr="00A64B10">
        <w:t xml:space="preserve"> been provided by the EMA and ICH </w:t>
      </w:r>
      <w:r w:rsidR="00016A6A" w:rsidRPr="00A64B10">
        <w:fldChar w:fldCharType="begin" w:fldLock="1"/>
      </w:r>
      <w:r w:rsidR="000B3F63">
        <w:instrText>ADDIN CSL_CITATION {"citationItems":[{"id":"ITEM-1","itemData":{"DOI":"10.1136/bmj.333.7574.873-a","ISBN":"EMEA/H/C/000955","ISSN":"11677422","PMID":"22066320","author":[{"dropping-particle":"","family":"EMA","given":"","non-dropping-particle":"","parse-names":false,"suffix":""}],"id":"ITEM-1","issued":{"date-parts":[["1995"]]},"page":"CPMP/ICH/381/95","title":"ICH Topic Q2 (R1) Validation of analitical procedures: Text and Methodology","type":"article-journal","volume":"2"},"uris":["http://www.mendeley.com/documents/?uuid=ee3d8505-cf52-4ac0-83e0-5fad750c4464"]},{"id":"ITEM-2","itemData":{"DOI":"EMEA/CHMP/EWP/192217/2009","ISBN":"EMA/275542/2014","ISSN":"2229-4708","author":[{"dropping-particle":"","family":"EMA/CHMP","given":"","non-dropping-particle":"","parse-names":false,"suffix":""}],"id":"ITEM-2","issued":{"date-parts":[["2011"]]},"page":"EMEA/CHMP/EWP/192217/2009 Rev.","title":"Guideline on bioanalytical method validation","type":"article-journal"},"uris":["http://www.mendeley.com/documents/?uuid=4ef79ef7-e814-4f4a-acc7-c9937ed1abdf"]},{"id":"ITEM-3","itemData":{"abstract":"An agency of the European Union Telephone +44 (0)20 3660 6000 Facsimile +44 (0)20 3660 5555 Send a question via our website www.ema.europa.eu/contact This guideline replaces the Position on Replacement of Animal Studies by in vitro Models (CPMP/SWP/728/95).","author":[{"dropping-particle":"","family":"EMA/CHMP","given":"","non-dropping-particle":"","parse-names":false,"suffix":""}],"id":"ITEM-3","issued":{"date-parts":[["2016"]]},"page":"EMA/ CHMP/CVMP/JEG -3Rs/450091/2012","title":"Guideline on the principles of regulatory acceptance of 3Rs (replacement, reduction, refinement) testing approaches","type":"article-journal"},"uris":["http://www.mendeley.com/documents/?uuid=5429974f-a8ab-360b-957a-70d5da415b4a"]}],"mendeley":{"formattedCitation":"[16–18]","plainTextFormattedCitation":"[16–18]","previouslyFormattedCitation":"[16–18]"},"properties":{"noteIndex":0},"schema":"https://github.com/citation-style-language/schema/raw/master/csl-citation.json"}</w:instrText>
      </w:r>
      <w:r w:rsidR="00016A6A" w:rsidRPr="00A64B10">
        <w:fldChar w:fldCharType="separate"/>
      </w:r>
      <w:r w:rsidR="00993B28" w:rsidRPr="00993B28">
        <w:rPr>
          <w:noProof/>
        </w:rPr>
        <w:t>[16–18]</w:t>
      </w:r>
      <w:r w:rsidR="00016A6A" w:rsidRPr="00A64B10">
        <w:fldChar w:fldCharType="end"/>
      </w:r>
      <w:r w:rsidR="00A63D34" w:rsidRPr="00A64B10">
        <w:t xml:space="preserve">. </w:t>
      </w:r>
      <w:r w:rsidR="00401846" w:rsidRPr="00A64B10">
        <w:t xml:space="preserve">The </w:t>
      </w:r>
      <w:r w:rsidR="009A4407">
        <w:t>required</w:t>
      </w:r>
      <w:r w:rsidR="00401846" w:rsidRPr="00A64B10">
        <w:t xml:space="preserve"> </w:t>
      </w:r>
      <w:r w:rsidR="0019156C">
        <w:t>demonstration of method validity</w:t>
      </w:r>
      <w:r w:rsidR="00C41D99" w:rsidRPr="00A64B10">
        <w:t xml:space="preserve"> for a given purpose in a dossier submitted to competent authorities can be reduced if standardised </w:t>
      </w:r>
      <w:r w:rsidR="00C41D99" w:rsidRPr="0019156C">
        <w:t xml:space="preserve">and </w:t>
      </w:r>
      <w:r w:rsidR="00C41D99" w:rsidRPr="00A64B10">
        <w:t>regulatory accepted methods are used</w:t>
      </w:r>
      <w:r w:rsidR="00401846" w:rsidRPr="00A64B10">
        <w:t xml:space="preserve">. Therefore, availability of suitable standardised methods matching regulatory needs can reduce the </w:t>
      </w:r>
      <w:r w:rsidR="00C87DA3">
        <w:t xml:space="preserve">resource </w:t>
      </w:r>
      <w:r w:rsidR="00401846" w:rsidRPr="00A64B10">
        <w:t xml:space="preserve">burden </w:t>
      </w:r>
      <w:r w:rsidR="00C41D99" w:rsidRPr="00A64B10">
        <w:t xml:space="preserve">and uncertainty </w:t>
      </w:r>
      <w:r w:rsidR="00401846" w:rsidRPr="00A64B10">
        <w:t>for drug developers.</w:t>
      </w:r>
    </w:p>
    <w:p w14:paraId="4D7E183C" w14:textId="77777777" w:rsidR="00F369E8" w:rsidRPr="00A64B10" w:rsidRDefault="00401846" w:rsidP="000D7818">
      <w:pPr>
        <w:spacing w:after="0"/>
        <w:jc w:val="both"/>
      </w:pPr>
      <w:r w:rsidRPr="00A64B10">
        <w:t xml:space="preserve">In </w:t>
      </w:r>
      <w:r w:rsidR="00F21B3A" w:rsidRPr="00A64B10">
        <w:t xml:space="preserve">the present </w:t>
      </w:r>
      <w:r w:rsidRPr="00A64B10">
        <w:t>analysis</w:t>
      </w:r>
      <w:r w:rsidR="00F21B3A" w:rsidRPr="00A64B10">
        <w:t>,</w:t>
      </w:r>
      <w:r w:rsidRPr="00A64B10">
        <w:t xml:space="preserve"> existing standardised methods </w:t>
      </w:r>
      <w:r w:rsidR="00D41ABC" w:rsidRPr="00A64B10">
        <w:t>developed in</w:t>
      </w:r>
      <w:r w:rsidR="000D7818" w:rsidRPr="00A64B10">
        <w:t xml:space="preserve"> </w:t>
      </w:r>
      <w:r w:rsidR="00930DE8" w:rsidRPr="00A64B10">
        <w:t xml:space="preserve">the </w:t>
      </w:r>
      <w:r w:rsidR="000D7818" w:rsidRPr="00A64B10">
        <w:t>nanotechnology area</w:t>
      </w:r>
      <w:r w:rsidR="00F21B3A" w:rsidRPr="00A64B10">
        <w:t xml:space="preserve"> were mapped</w:t>
      </w:r>
      <w:r w:rsidRPr="00A64B10">
        <w:t xml:space="preserve"> against regulatory information needs </w:t>
      </w:r>
      <w:r w:rsidR="00F21B3A" w:rsidRPr="00A64B10">
        <w:t>reported</w:t>
      </w:r>
      <w:r w:rsidRPr="00A64B10">
        <w:t xml:space="preserve"> in Table 1. </w:t>
      </w:r>
    </w:p>
    <w:p w14:paraId="79748930" w14:textId="71EE94A3" w:rsidR="00A63D34" w:rsidRPr="00A64B10" w:rsidRDefault="00241217" w:rsidP="00CC56B8">
      <w:pPr>
        <w:spacing w:after="0"/>
        <w:jc w:val="both"/>
      </w:pPr>
      <w:r w:rsidRPr="00A64B10">
        <w:t>For physic</w:t>
      </w:r>
      <w:r w:rsidR="008F0BC8" w:rsidRPr="00A64B10">
        <w:t>o</w:t>
      </w:r>
      <w:r w:rsidRPr="00A64B10">
        <w:t>chemical</w:t>
      </w:r>
      <w:r w:rsidR="009010DA" w:rsidRPr="00A64B10">
        <w:t xml:space="preserve"> attributes</w:t>
      </w:r>
      <w:r w:rsidRPr="00A64B10">
        <w:t>, multiple</w:t>
      </w:r>
      <w:r w:rsidR="00A63D34" w:rsidRPr="00A64B10">
        <w:t xml:space="preserve"> methods </w:t>
      </w:r>
      <w:r w:rsidRPr="00A64B10">
        <w:t xml:space="preserve">have already </w:t>
      </w:r>
      <w:r w:rsidR="00930DE8" w:rsidRPr="00A64B10">
        <w:t xml:space="preserve">been </w:t>
      </w:r>
      <w:r w:rsidRPr="00A64B10">
        <w:t xml:space="preserve">considered and </w:t>
      </w:r>
      <w:r w:rsidR="00A63D34" w:rsidRPr="00A64B10">
        <w:t>standardised by the ISO Technical Committee 229 on Nanotechnologies</w:t>
      </w:r>
      <w:r w:rsidR="00F369E8" w:rsidRPr="00A64B10">
        <w:t xml:space="preserve"> and ASTM E56 committee</w:t>
      </w:r>
      <w:r w:rsidR="00A63D34" w:rsidRPr="00A64B10">
        <w:t xml:space="preserve">. These methods can apply to products from different industrial sectors, including medical devices. Furthermore, a reference to an ISO method for particle size measurement is included in </w:t>
      </w:r>
      <w:r w:rsidR="002579F0" w:rsidRPr="00A64B10">
        <w:t xml:space="preserve">the </w:t>
      </w:r>
      <w:r w:rsidRPr="00A64B10">
        <w:t>European Pharmacopoeia (</w:t>
      </w:r>
      <w:r w:rsidR="00A63D34" w:rsidRPr="00A64B10">
        <w:t>Ph. Eur</w:t>
      </w:r>
      <w:r w:rsidR="00E0384E">
        <w:t>.</w:t>
      </w:r>
      <w:r w:rsidRPr="00A64B10">
        <w:t>)</w:t>
      </w:r>
      <w:r w:rsidR="00A63D34" w:rsidRPr="00A64B10">
        <w:t xml:space="preserve">, extending its applicability to medicinal products. A review of available ISO and ASTM International standardised methods addressing nanotechnology-based products has </w:t>
      </w:r>
      <w:r w:rsidR="00F21B3A" w:rsidRPr="00A64B10">
        <w:t xml:space="preserve">recently </w:t>
      </w:r>
      <w:r w:rsidR="00A63D34" w:rsidRPr="00A64B10">
        <w:t xml:space="preserve">been published </w:t>
      </w:r>
      <w:r w:rsidR="002D0B91" w:rsidRPr="00A64B10">
        <w:fldChar w:fldCharType="begin" w:fldLock="1"/>
      </w:r>
      <w:r w:rsidR="000B3F63">
        <w:instrText>ADDIN CSL_CITATION {"citationItems":[{"id":"ITEM-1","itemData":{"DOI":"10.1002/wnan.1531","ISSN":"19390041","PMID":"29923692","abstract":"Appropriate documentary standards and reference materials are crucial building blocks for the development of innovative products. In order to support the emerging sector of nanomedicine, relevant standards must be identified and/or developed before the products will enter into the regulatory approval process. The anticipation of standardization needs requires a good understanding on the regulatory information requirements that can be triggered by the particularities of nanomedicines. However, robust datasets allowing firm conclusions on regulatory demands are not yet available due to a lack of regulatory experience with innovative products. Such a catch-22 situation can only be advanced in an iterative process by monitoring continuously the scientific evidence and by promoting intensive knowledge exchange between all involved stakeholders. In this study, we have compiled information requirements released by regulatory scientists so far and mapped it against available standards that could be of relevance for nanomedicines. Our gap analysis clearly demonstrated that for some endpoints such as drug release/loading and the interaction of nanomedicines with the immune system no standards are available so far. The emerging nanomedicine sector could benefit from cross-sector collaboration and review the suitability of standards that have been developed for nanomaterials used for other industrial applications. Only a concerted action of all parties can lead to a smooth translation of nanomedicines to clinical application and to the market. This is in particular important because nanotechnology-based drug delivery systems are key for the development and implementation of personalized medicine. This article is characterized under: Toxicology and Regulatory Issues in Nanomedicine &gt; Regulatory and Policy Issues in Nanomedicine.","author":[{"dropping-particle":"","family":"Halamoda-Kenzaoui","given":"Blanka","non-dropping-particle":"","parse-names":false,"suffix":""},{"dropping-particle":"","family":"Holzwarth","given":"Uwe","non-dropping-particle":"","parse-names":false,"suffix":""},{"dropping-particle":"","family":"Roebben","given":"Gert","non-dropping-particle":"","parse-names":false,"suffix":""},{"dropping-particle":"","family":"Bogni","given":"Alessia","non-dropping-particle":"","parse-names":false,"suffix":""},{"dropping-particle":"","family":"Bremer-Hoffmann","given":"Susanne","non-dropping-particle":"","parse-names":false,"suffix":""}],"container-title":"Wiley Interdisciplinary Reviews: Nanomedicine and Nanobiotechnology","id":"ITEM-1","issue":"1","issued":{"date-parts":[["2019","6","20"]]},"page":"e1531","title":"Mapping of the available standards against the regulatory needs for nanomedicines","type":"article","volume":"11"},"uris":["http://www.mendeley.com/documents/?uuid=70820534-ece2-30e3-b3d7-353b5decf734"]}],"mendeley":{"formattedCitation":"[19]","plainTextFormattedCitation":"[19]","previouslyFormattedCitation":"[19]"},"properties":{"noteIndex":0},"schema":"https://github.com/citation-style-language/schema/raw/master/csl-citation.json"}</w:instrText>
      </w:r>
      <w:r w:rsidR="002D0B91" w:rsidRPr="00A64B10">
        <w:fldChar w:fldCharType="separate"/>
      </w:r>
      <w:r w:rsidR="00993B28" w:rsidRPr="00993B28">
        <w:rPr>
          <w:noProof/>
        </w:rPr>
        <w:t>[19]</w:t>
      </w:r>
      <w:r w:rsidR="002D0B91" w:rsidRPr="00A64B10">
        <w:fldChar w:fldCharType="end"/>
      </w:r>
      <w:r w:rsidR="00D41ABC" w:rsidRPr="00A64B10">
        <w:t>,</w:t>
      </w:r>
      <w:r w:rsidR="00A63D34" w:rsidRPr="00A64B10">
        <w:t xml:space="preserve"> demonstrating that the majority of methods that could be relevant for health </w:t>
      </w:r>
      <w:r w:rsidR="00D41ABC" w:rsidRPr="00A64B10">
        <w:t>products</w:t>
      </w:r>
      <w:r w:rsidR="00A63D34" w:rsidRPr="00A64B10">
        <w:t xml:space="preserve"> </w:t>
      </w:r>
      <w:r w:rsidR="00C50654" w:rsidRPr="00A64B10">
        <w:t>are related to</w:t>
      </w:r>
      <w:r w:rsidR="00412192">
        <w:t xml:space="preserve"> </w:t>
      </w:r>
      <w:r w:rsidR="00A63D34" w:rsidRPr="00A64B10">
        <w:t>particle size</w:t>
      </w:r>
      <w:r w:rsidR="00396D79" w:rsidRPr="00A64B10">
        <w:t>, morphology and surface charge</w:t>
      </w:r>
      <w:r w:rsidR="00F21B3A" w:rsidRPr="00A64B10">
        <w:t>, while</w:t>
      </w:r>
      <w:r w:rsidR="00C50654" w:rsidRPr="00A64B10">
        <w:t xml:space="preserve"> no standardised methods </w:t>
      </w:r>
      <w:r w:rsidR="00A63D34" w:rsidRPr="00A64B10">
        <w:t>are available to assess other characteristics</w:t>
      </w:r>
      <w:r w:rsidR="00E11967" w:rsidRPr="00A64B10">
        <w:t xml:space="preserve"> re</w:t>
      </w:r>
      <w:r w:rsidR="00FC7D6E">
        <w:t>levant for medical applications</w:t>
      </w:r>
      <w:r w:rsidR="00E11967" w:rsidRPr="00A64B10">
        <w:t xml:space="preserve">, e.g. </w:t>
      </w:r>
      <w:r w:rsidR="00932FED" w:rsidRPr="00A64B10">
        <w:t>drug loading and release kinetics.</w:t>
      </w:r>
    </w:p>
    <w:p w14:paraId="06BFFD03" w14:textId="0124B9C8" w:rsidR="00DD7F2D" w:rsidRPr="00A64B10" w:rsidRDefault="00DD7F2D" w:rsidP="000D7818">
      <w:pPr>
        <w:spacing w:after="0"/>
        <w:jc w:val="both"/>
      </w:pPr>
      <w:r w:rsidRPr="00A64B10">
        <w:t xml:space="preserve">Safety </w:t>
      </w:r>
      <w:r w:rsidR="00C41D99" w:rsidRPr="00A64B10">
        <w:t xml:space="preserve">assessments are performed </w:t>
      </w:r>
      <w:r w:rsidR="00401846" w:rsidRPr="00A64B10">
        <w:t xml:space="preserve">following ICH guidelines </w:t>
      </w:r>
      <w:r w:rsidR="00FC7D6E">
        <w:t xml:space="preserve">(medicinal products) </w:t>
      </w:r>
      <w:r w:rsidR="00401846" w:rsidRPr="00A64B10">
        <w:t xml:space="preserve">and </w:t>
      </w:r>
      <w:r w:rsidRPr="00A64B10">
        <w:t>ISO</w:t>
      </w:r>
      <w:r w:rsidR="00401846" w:rsidRPr="00A64B10">
        <w:t xml:space="preserve"> guidance documents</w:t>
      </w:r>
      <w:r w:rsidRPr="00A64B10">
        <w:t xml:space="preserve"> </w:t>
      </w:r>
      <w:r w:rsidR="00FC7D6E">
        <w:t xml:space="preserve">(medical devices) </w:t>
      </w:r>
      <w:r w:rsidRPr="00A64B10">
        <w:t xml:space="preserve">and </w:t>
      </w:r>
      <w:r w:rsidR="00C41D99" w:rsidRPr="00A64B10">
        <w:t>currently</w:t>
      </w:r>
      <w:r w:rsidR="00841462">
        <w:t>,</w:t>
      </w:r>
      <w:r w:rsidR="00C41D99" w:rsidRPr="00A64B10">
        <w:t xml:space="preserve"> </w:t>
      </w:r>
      <w:r w:rsidRPr="00A64B10">
        <w:t xml:space="preserve">only </w:t>
      </w:r>
      <w:r w:rsidR="00401846" w:rsidRPr="00A64B10">
        <w:t>f</w:t>
      </w:r>
      <w:r w:rsidR="00F0190B" w:rsidRPr="00A64B10">
        <w:t>ew standardised methods are available to assess biological effects of nanotechnology-based products</w:t>
      </w:r>
      <w:r w:rsidR="00A63D34" w:rsidRPr="00A64B10">
        <w:t xml:space="preserve">. The ISO guidance on the biological evaluation of </w:t>
      </w:r>
      <w:r w:rsidR="00A63D34" w:rsidRPr="00A64B10">
        <w:lastRenderedPageBreak/>
        <w:t>medical devices contains</w:t>
      </w:r>
      <w:r w:rsidR="00EA216A" w:rsidRPr="00A64B10">
        <w:t xml:space="preserve"> </w:t>
      </w:r>
      <w:r w:rsidR="00A63D34" w:rsidRPr="00A64B10">
        <w:t>a specific part dedicated to products</w:t>
      </w:r>
      <w:r w:rsidR="00396D79" w:rsidRPr="00A64B10">
        <w:t xml:space="preserve"> containing nanomaterial</w:t>
      </w:r>
      <w:r w:rsidR="00F21B3A" w:rsidRPr="00A64B10">
        <w:t>s</w:t>
      </w:r>
      <w:r w:rsidR="00A63D34" w:rsidRPr="00A64B10">
        <w:t xml:space="preserve"> (ISO/TR 10993-22:2017)</w:t>
      </w:r>
      <w:r w:rsidR="00F21B3A" w:rsidRPr="00A64B10">
        <w:t>,</w:t>
      </w:r>
      <w:r w:rsidR="00A63D34" w:rsidRPr="00A64B10">
        <w:t xml:space="preserve"> but </w:t>
      </w:r>
      <w:r w:rsidR="00EA216A" w:rsidRPr="00A64B10">
        <w:t>it</w:t>
      </w:r>
      <w:r w:rsidR="00F0190B" w:rsidRPr="00A64B10">
        <w:t xml:space="preserve"> </w:t>
      </w:r>
      <w:r w:rsidR="00A63D34" w:rsidRPr="00A64B10">
        <w:t>provide</w:t>
      </w:r>
      <w:r w:rsidR="00AA5175" w:rsidRPr="00A64B10">
        <w:t>s</w:t>
      </w:r>
      <w:r w:rsidR="00A63D34" w:rsidRPr="00A64B10">
        <w:t xml:space="preserve"> only general considerations and not specific </w:t>
      </w:r>
      <w:r w:rsidR="00D41ABC" w:rsidRPr="00A64B10">
        <w:t>method</w:t>
      </w:r>
      <w:r w:rsidR="00F21B3A" w:rsidRPr="00A64B10">
        <w:t xml:space="preserve"> </w:t>
      </w:r>
      <w:r w:rsidR="00A63D34" w:rsidRPr="00A64B10">
        <w:t xml:space="preserve">protocol. </w:t>
      </w:r>
      <w:r w:rsidR="000D7818" w:rsidRPr="00A64B10">
        <w:t>In particular, characterisation of pharmacokinetic profile</w:t>
      </w:r>
      <w:r w:rsidR="002B232C" w:rsidRPr="00A64B10">
        <w:t>s</w:t>
      </w:r>
      <w:r w:rsidR="008D199C" w:rsidRPr="00A64B10">
        <w:t xml:space="preserve"> </w:t>
      </w:r>
      <w:r w:rsidR="000D7818" w:rsidRPr="00A64B10">
        <w:t xml:space="preserve">of </w:t>
      </w:r>
      <w:proofErr w:type="spellStart"/>
      <w:r w:rsidR="00AA505B" w:rsidRPr="00A64B10">
        <w:t>nanomedicinal</w:t>
      </w:r>
      <w:proofErr w:type="spellEnd"/>
      <w:r w:rsidR="00AA505B" w:rsidRPr="00A64B10">
        <w:t xml:space="preserve"> products</w:t>
      </w:r>
      <w:r w:rsidR="000D7818" w:rsidRPr="00A64B10">
        <w:t xml:space="preserve"> that can </w:t>
      </w:r>
      <w:r w:rsidR="00242636">
        <w:t>significantly differ from small-</w:t>
      </w:r>
      <w:r w:rsidR="000D7818" w:rsidRPr="00A64B10">
        <w:t>molecule drugs and</w:t>
      </w:r>
      <w:r w:rsidR="00F21B3A" w:rsidRPr="00A64B10">
        <w:t xml:space="preserve"> </w:t>
      </w:r>
      <w:r w:rsidR="000D7818" w:rsidRPr="00A64B10">
        <w:t>assessment of</w:t>
      </w:r>
      <w:r w:rsidR="008D199C" w:rsidRPr="00A64B10">
        <w:t xml:space="preserve"> </w:t>
      </w:r>
      <w:r w:rsidR="000D7818" w:rsidRPr="00A64B10">
        <w:t xml:space="preserve">immunological effects induced by </w:t>
      </w:r>
      <w:r w:rsidR="00AA505B" w:rsidRPr="00A64B10">
        <w:t>such products</w:t>
      </w:r>
      <w:r w:rsidR="000D7818" w:rsidRPr="00A64B10">
        <w:t xml:space="preserve"> needs </w:t>
      </w:r>
      <w:r w:rsidR="00EB77F6">
        <w:t>suitable standardised</w:t>
      </w:r>
      <w:r w:rsidR="00C41D99" w:rsidRPr="00A64B10">
        <w:t xml:space="preserve"> </w:t>
      </w:r>
      <w:r w:rsidR="000D7818" w:rsidRPr="00A64B10">
        <w:t>methods to complement</w:t>
      </w:r>
      <w:r w:rsidR="00EA216A" w:rsidRPr="00A64B10">
        <w:t xml:space="preserve"> existing </w:t>
      </w:r>
      <w:r w:rsidR="00EB77F6">
        <w:t xml:space="preserve">safety testing following </w:t>
      </w:r>
      <w:r w:rsidR="00EA216A" w:rsidRPr="00A64B10">
        <w:t>ICH guidelines</w:t>
      </w:r>
      <w:r w:rsidR="000D7818" w:rsidRPr="00A64B10">
        <w:t xml:space="preserve"> </w:t>
      </w:r>
      <w:r w:rsidR="000D7818" w:rsidRPr="00A64B10">
        <w:fldChar w:fldCharType="begin" w:fldLock="1"/>
      </w:r>
      <w:r w:rsidR="000B3F63">
        <w:instrText>ADDIN CSL_CITATION {"citationItems":[{"id":"ITEM-1","itemData":{"DOI":"10.1002/wnan.1633","ISSN":"1939-5116","abstract":"Various nanomedicinal products (NMPs) have been reported to induce an adverse immune response, which may be related to their tendency to accumulate in or target cells of the immune system. Therefore, before their market authorization, NMPs should be thoroughly evaluated for their immunotoxic potential. Nonclinical regulatory immunotoxicity testing of nonbiological medicinal products, including NMPs, is currently performed by following the guideline S8 “Immunotoxicity Studies for Human Pharmaceuticals” of the International Council for Harmonization of Technical Requirements for Pharmaceuticals for Human Use (ICH). However, this guideline does not cover all the immunotoxicity endpoints reported for NMPs in the literature, such as complement activation related pseudo allergy, hypersensitivity and immunosuppression. In addition, ICH-S8 does not provide any nanospecific testing considerations, which is important given their tendency to interfere with many commonly used toxicity assays. We therefore propose a nonclinical regulatory immunotoxicity assessment strategy, which considers the immunotoxicity endpoints currently missing in the ICH-S8. We also list the known pitfalls related to the testing of NMPs and how to tackle them. Next to defining the relevant physicochemical and pharmacokinetic properties of the NMP and its intended use, the proposed strategy includes an in vitro assay battery addressing various relevant immunotoxicity endpoints. A weight of evidence evaluation of this information can be used to shape the type and design of further in vivo investigations. The final outcome of the immunotoxicity assessment can be included in the overall risk assessment of the NMP and provide alerts for relevant endpoints to address during clinical investigation. This article is categorized under: Toxicology and Regulatory Issues in Nanomedicine &gt; Regulatory and Policy Issues in Nanomedicine Toxicology and Regulatory Issues in Nanomedicine &gt; Toxicology of Nanomaterials.","author":[{"dropping-particle":"","family":"Giannakou","given":"Christina","non-dropping-particle":"","parse-names":false,"suffix":""},{"dropping-particle":"","family":"Park","given":"Margriet VDZ D. Z.","non-dropping-particle":"","parse-names":false,"suffix":""},{"dropping-particle":"","family":"Bosselaers","given":"Irene E. M. EM","non-dropping-particle":"","parse-names":false,"suffix":""},{"dropping-particle":"","family":"Jong","given":"Wim H","non-dropping-particle":"De","parse-names":false,"suffix":""},{"dropping-particle":"","family":"Laan","given":"Jan Willem","non-dropping-particle":"van der","parse-names":false,"suffix":""},{"dropping-particle":"","family":"Loveren","given":"Henk","non-dropping-particle":"Van","parse-names":false,"suffix":""},{"dropping-particle":"","family":"Vandebriel","given":"Rob J.","non-dropping-particle":"","parse-names":false,"suffix":""},{"dropping-particle":"","family":"Geertsma","given":"Robert E.","non-dropping-particle":"","parse-names":false,"suffix":""},{"dropping-particle":"","family":"Jong","given":"Wim H.","non-dropping-particle":"","parse-names":false,"suffix":""},{"dropping-particle":"","family":"Laan","given":"Jan Willem","non-dropping-particle":"","parse-names":false,"suffix":""},{"dropping-particle":"","family":"Loveren","given":"Henk","non-dropping-particle":"","parse-names":false,"suffix":""},{"dropping-particle":"","family":"Vandebriel","given":"Rob J.","non-dropping-particle":"","parse-names":false,"suffix":""},{"dropping-particle":"","family":"Geertsma","given":"Robert E.","non-dropping-particle":"","parse-names":false,"suffix":""}],"container-title":"WIREs Nanomed Nanobiotechnol","id":"ITEM-1","issue":"5","issued":{"date-parts":[["2020","9","7"]]},"page":"e1633","publisher":"Wiley-Blackwell","title":"Nonclinical regulatory immunotoxicity testing of nanomedicinal products : Proposed strategy and possible pitfalls","type":"article-journal","volume":"12"},"uris":["http://www.mendeley.com/documents/?uuid=41bab9cf-b556-4ec1-a283-6a69d8c7bea3"]}],"mendeley":{"formattedCitation":"[20]","plainTextFormattedCitation":"[20]","previouslyFormattedCitation":"[20]"},"properties":{"noteIndex":0},"schema":"https://github.com/citation-style-language/schema/raw/master/csl-citation.json"}</w:instrText>
      </w:r>
      <w:r w:rsidR="000D7818" w:rsidRPr="00A64B10">
        <w:fldChar w:fldCharType="separate"/>
      </w:r>
      <w:r w:rsidR="00993B28" w:rsidRPr="00993B28">
        <w:rPr>
          <w:noProof/>
        </w:rPr>
        <w:t>[20]</w:t>
      </w:r>
      <w:r w:rsidR="000D7818" w:rsidRPr="00A64B10">
        <w:fldChar w:fldCharType="end"/>
      </w:r>
      <w:r w:rsidR="00EA216A" w:rsidRPr="00A64B10">
        <w:t>.</w:t>
      </w:r>
    </w:p>
    <w:p w14:paraId="0E5A1843" w14:textId="6E32B861" w:rsidR="003B5377" w:rsidRPr="00A64B10" w:rsidRDefault="00234669" w:rsidP="00CC56B8">
      <w:pPr>
        <w:spacing w:after="0"/>
        <w:jc w:val="both"/>
      </w:pPr>
      <w:r w:rsidRPr="00A64B10">
        <w:t xml:space="preserve">As </w:t>
      </w:r>
      <w:r w:rsidR="002579F0" w:rsidRPr="00A64B10">
        <w:t>a</w:t>
      </w:r>
      <w:r w:rsidRPr="00A64B10">
        <w:t xml:space="preserve"> result</w:t>
      </w:r>
      <w:r w:rsidR="00F369E8" w:rsidRPr="00A64B10">
        <w:t xml:space="preserve"> of our analysis, </w:t>
      </w:r>
      <w:r w:rsidR="00A63D34" w:rsidRPr="00A64B10">
        <w:t xml:space="preserve">five broad categories </w:t>
      </w:r>
      <w:r w:rsidRPr="00A64B10">
        <w:t xml:space="preserve">of characterisation </w:t>
      </w:r>
      <w:r w:rsidR="003B5377" w:rsidRPr="00A64B10">
        <w:t>were identified</w:t>
      </w:r>
      <w:r w:rsidRPr="00A64B10">
        <w:t>,</w:t>
      </w:r>
      <w:r w:rsidR="003B5377" w:rsidRPr="00A64B10">
        <w:t xml:space="preserve"> for which no standard test method currently exist. Those categories include</w:t>
      </w:r>
      <w:r w:rsidR="00A63D34" w:rsidRPr="00A64B10">
        <w:t xml:space="preserve">: </w:t>
      </w:r>
      <w:r w:rsidR="002B232C" w:rsidRPr="00A64B10">
        <w:t>(</w:t>
      </w:r>
      <w:proofErr w:type="spellStart"/>
      <w:r w:rsidR="00686D7B" w:rsidRPr="00A64B10">
        <w:t>i</w:t>
      </w:r>
      <w:proofErr w:type="spellEnd"/>
      <w:r w:rsidR="00A63D34" w:rsidRPr="00A64B10">
        <w:t>)</w:t>
      </w:r>
      <w:r w:rsidRPr="00A64B10">
        <w:t xml:space="preserve"> surface properties, </w:t>
      </w:r>
      <w:r w:rsidR="002B232C" w:rsidRPr="00A64B10">
        <w:t>(</w:t>
      </w:r>
      <w:r w:rsidR="00686D7B" w:rsidRPr="00A64B10">
        <w:t>ii</w:t>
      </w:r>
      <w:r w:rsidRPr="00A64B10">
        <w:t>)</w:t>
      </w:r>
      <w:r w:rsidR="00A63D34" w:rsidRPr="00A64B10">
        <w:t xml:space="preserve"> drug loading and release, </w:t>
      </w:r>
      <w:r w:rsidR="002B232C" w:rsidRPr="00A64B10">
        <w:t>(</w:t>
      </w:r>
      <w:r w:rsidR="00686D7B" w:rsidRPr="00A64B10">
        <w:t>iii</w:t>
      </w:r>
      <w:r w:rsidR="00A63D34" w:rsidRPr="00A64B10">
        <w:t xml:space="preserve">) kinetic properties in biological media (including degradation and protein corona formation), </w:t>
      </w:r>
      <w:r w:rsidR="00686D7B" w:rsidRPr="00A64B10">
        <w:t>(iv</w:t>
      </w:r>
      <w:r w:rsidR="00A63D34" w:rsidRPr="00A64B10">
        <w:t xml:space="preserve">) </w:t>
      </w:r>
      <w:r w:rsidR="002B232C" w:rsidRPr="00A64B10">
        <w:t xml:space="preserve">ADME (absorption, distribution, </w:t>
      </w:r>
      <w:proofErr w:type="gramStart"/>
      <w:r w:rsidR="002B232C" w:rsidRPr="00A64B10">
        <w:t>metabolism</w:t>
      </w:r>
      <w:proofErr w:type="gramEnd"/>
      <w:r w:rsidR="002B232C" w:rsidRPr="00A64B10">
        <w:t xml:space="preserve"> and </w:t>
      </w:r>
      <w:r w:rsidR="00A222F3">
        <w:t>excretion</w:t>
      </w:r>
      <w:r w:rsidR="002B232C" w:rsidRPr="00A64B10">
        <w:t>) parameters and (</w:t>
      </w:r>
      <w:r w:rsidR="00686D7B" w:rsidRPr="00A64B10">
        <w:t>v</w:t>
      </w:r>
      <w:r w:rsidR="00A63D34" w:rsidRPr="00A64B10">
        <w:t xml:space="preserve">) interaction with blood and </w:t>
      </w:r>
      <w:r w:rsidR="002B232C" w:rsidRPr="00A64B10">
        <w:t xml:space="preserve">the </w:t>
      </w:r>
      <w:r w:rsidR="00A63D34" w:rsidRPr="00A64B10">
        <w:t xml:space="preserve">immune system. </w:t>
      </w:r>
    </w:p>
    <w:p w14:paraId="193028F5" w14:textId="4468D613" w:rsidR="000A5954" w:rsidRPr="00A64B10" w:rsidRDefault="00A63D34" w:rsidP="003432E9">
      <w:pPr>
        <w:spacing w:after="0"/>
        <w:jc w:val="both"/>
      </w:pPr>
      <w:proofErr w:type="gramStart"/>
      <w:r w:rsidRPr="00A64B10">
        <w:t>In order to</w:t>
      </w:r>
      <w:proofErr w:type="gramEnd"/>
      <w:r w:rsidRPr="00A64B10">
        <w:t xml:space="preserve"> investigate more </w:t>
      </w:r>
      <w:r w:rsidR="0056119B" w:rsidRPr="00A64B10">
        <w:t>in-depth</w:t>
      </w:r>
      <w:r w:rsidR="00906C45" w:rsidRPr="00A64B10">
        <w:t xml:space="preserve"> </w:t>
      </w:r>
      <w:r w:rsidRPr="00A64B10">
        <w:t>methodological</w:t>
      </w:r>
      <w:r w:rsidR="00234669" w:rsidRPr="00A64B10">
        <w:t xml:space="preserve"> need</w:t>
      </w:r>
      <w:r w:rsidRPr="00A64B10">
        <w:t xml:space="preserve">s, these broad categories of endpoints were divided into more specific subcategories </w:t>
      </w:r>
      <w:r w:rsidR="00B25391" w:rsidRPr="00A64B10">
        <w:t xml:space="preserve">(Figure </w:t>
      </w:r>
      <w:r w:rsidR="0056119B" w:rsidRPr="00A64B10">
        <w:t>2</w:t>
      </w:r>
      <w:r w:rsidR="00B25391" w:rsidRPr="00A64B10">
        <w:t xml:space="preserve">) </w:t>
      </w:r>
      <w:r w:rsidRPr="00A64B10">
        <w:t xml:space="preserve">and mapped against existing </w:t>
      </w:r>
      <w:r w:rsidR="00555083" w:rsidRPr="00A64B10">
        <w:t>(</w:t>
      </w:r>
      <w:r w:rsidR="000B01D6" w:rsidRPr="00A64B10">
        <w:t>no</w:t>
      </w:r>
      <w:r w:rsidR="00555083" w:rsidRPr="00A64B10">
        <w:t xml:space="preserve">t only </w:t>
      </w:r>
      <w:r w:rsidR="000B01D6" w:rsidRPr="00A64B10">
        <w:t xml:space="preserve">standardised) </w:t>
      </w:r>
      <w:r w:rsidRPr="00A64B10">
        <w:t xml:space="preserve">methods that could </w:t>
      </w:r>
      <w:r w:rsidR="00F21B3A" w:rsidRPr="00A64B10">
        <w:t xml:space="preserve">provide </w:t>
      </w:r>
      <w:r w:rsidRPr="00A64B10">
        <w:t>the necessary information</w:t>
      </w:r>
      <w:r w:rsidR="003B5377" w:rsidRPr="00A64B10">
        <w:t xml:space="preserve">. The results of such exercise are presented in </w:t>
      </w:r>
      <w:r w:rsidR="00E11967" w:rsidRPr="00A64B10">
        <w:t>detail</w:t>
      </w:r>
      <w:r w:rsidR="003B5377" w:rsidRPr="00A64B10">
        <w:t xml:space="preserve"> in the next section, category by category.</w:t>
      </w:r>
      <w:r w:rsidRPr="00A64B10">
        <w:t xml:space="preserve"> </w:t>
      </w:r>
      <w:r w:rsidR="00463CDB" w:rsidRPr="00A64B10">
        <w:t xml:space="preserve">Available methods matching regulatory endpoints are gathered in </w:t>
      </w:r>
      <w:r w:rsidR="00555083" w:rsidRPr="00A64B10">
        <w:t>S</w:t>
      </w:r>
      <w:r w:rsidR="00463CDB" w:rsidRPr="00A64B10">
        <w:t xml:space="preserve">upplementary </w:t>
      </w:r>
      <w:r w:rsidR="00555083" w:rsidRPr="00A64B10">
        <w:t>M</w:t>
      </w:r>
      <w:r w:rsidR="00463CDB" w:rsidRPr="00A64B10">
        <w:t xml:space="preserve">aterial, </w:t>
      </w:r>
      <w:r w:rsidR="00234669" w:rsidRPr="00A64B10">
        <w:t>T</w:t>
      </w:r>
      <w:r w:rsidR="00463CDB" w:rsidRPr="00A64B10">
        <w:t>able</w:t>
      </w:r>
      <w:r w:rsidR="000B01D6" w:rsidRPr="00A64B10">
        <w:t>s</w:t>
      </w:r>
      <w:r w:rsidR="00463CDB" w:rsidRPr="00A64B10">
        <w:t xml:space="preserve"> S</w:t>
      </w:r>
      <w:r w:rsidR="007C17E3" w:rsidRPr="00A64B10">
        <w:t>2</w:t>
      </w:r>
      <w:r w:rsidR="00463CDB" w:rsidRPr="00A64B10">
        <w:t>-S</w:t>
      </w:r>
      <w:r w:rsidR="007C17E3" w:rsidRPr="00A64B10">
        <w:t>4</w:t>
      </w:r>
      <w:r w:rsidR="00463CDB" w:rsidRPr="00A64B10">
        <w:t>.</w:t>
      </w:r>
    </w:p>
    <w:p w14:paraId="7E0F4264" w14:textId="77777777" w:rsidR="004C06D7" w:rsidRPr="00A64B10" w:rsidRDefault="004C06D7" w:rsidP="00FB4391">
      <w:pPr>
        <w:spacing w:after="0" w:line="240" w:lineRule="auto"/>
        <w:jc w:val="both"/>
        <w:rPr>
          <w:sz w:val="20"/>
          <w:szCs w:val="20"/>
        </w:rPr>
      </w:pPr>
    </w:p>
    <w:p w14:paraId="2A72E79F" w14:textId="77777777" w:rsidR="000A5954" w:rsidRPr="00A64B10" w:rsidRDefault="000A5954" w:rsidP="000A5954">
      <w:pPr>
        <w:pStyle w:val="Heading2"/>
      </w:pPr>
      <w:r w:rsidRPr="00A64B10">
        <w:t xml:space="preserve">4.1 Surface properties </w:t>
      </w:r>
    </w:p>
    <w:p w14:paraId="152C8AD1" w14:textId="0910C1AA" w:rsidR="000A5954" w:rsidRDefault="000A5954" w:rsidP="000A5954">
      <w:pPr>
        <w:spacing w:after="160"/>
        <w:jc w:val="both"/>
      </w:pPr>
      <w:r w:rsidRPr="00A64B10">
        <w:t>The surface of the nanoparticle determines the nature and the extent of its interactions with the external environment, e.g. with proteins and immune cells</w:t>
      </w:r>
      <w:r w:rsidR="002117B7" w:rsidRPr="00A64B10">
        <w:t xml:space="preserve"> </w:t>
      </w:r>
      <w:r w:rsidR="002117B7" w:rsidRPr="00A64B10">
        <w:fldChar w:fldCharType="begin" w:fldLock="1"/>
      </w:r>
      <w:r w:rsidR="000B3F63">
        <w:instrText>ADDIN CSL_CITATION {"citationItems":[{"id":"ITEM-1","itemData":{"DOI":"10.1039/C2IB20117H","ISBN":"1757-9694","ISSN":"1757-9694","PMID":"22772974","abstract":"The Nanotechnology Characterization Laboratory's (NCL) unique set-up has allowed our lab to handle and test a variety of nanoparticle platforms intended for the delivery of cancer therapeutics and/or imaging contrast agents. Over the last six years, the NCL has characterized more than 250 different nanomaterials from more than 75 different investigators. These submitted nanomaterials stem from a range of backgrounds and experiences, including government, academia and industry. This has given the NCL a unique and valuable opportunity to observe trends in nanoparticle safety and biocompatibility, as well as note some of the common mistakes and oversights of nanoformulation. While not exhaustive, this article aims to share some of the most common pitfalls observed by the NCL as they relate to nanoparticle synthesis, purification, characterization and analysis.","author":[{"dropping-particle":"","family":"Crist","given":"Rachael M.","non-dropping-particle":"","parse-names":false,"suffix":""},{"dropping-particle":"","family":"Grossman","given":"Jennifer Hall","non-dropping-particle":"","parse-names":false,"suffix":""},{"dropping-particle":"","family":"Patri","given":"Anil K.","non-dropping-particle":"","parse-names":false,"suffix":""},{"dropping-particle":"","family":"Stern","given":"Stephan T.","non-dropping-particle":"","parse-names":false,"suffix":""},{"dropping-particle":"","family":"Dobrovolskaia","given":"Marina a.","non-dropping-particle":"","parse-names":false,"suffix":""},{"dropping-particle":"","family":"Adiseshaiah","given":"Pavan P.","non-dropping-particle":"","parse-names":false,"suffix":""},{"dropping-particle":"","family":"Clogston","given":"Jeffrey D.","non-dropping-particle":"","parse-names":false,"suffix":""},{"dropping-particle":"","family":"McNeil","given":"Scott E.","non-dropping-particle":"","parse-names":false,"suffix":""}],"container-title":"Integr. Biol.","id":"ITEM-1","issue":"1","issued":{"date-parts":[["2013","1"]]},"page":"66-73","title":"Common pitfalls in nanotechnology: lessons learned from NCI's Nanotechnology Characterization Laboratory","type":"article-journal","volume":"5"},"uris":["http://www.mendeley.com/documents/?uuid=eda98bf9-6f77-4dd5-b2f8-ae3503e97ba6"]}],"mendeley":{"formattedCitation":"[21]","plainTextFormattedCitation":"[21]","previouslyFormattedCitation":"[21]"},"properties":{"noteIndex":0},"schema":"https://github.com/citation-style-language/schema/raw/master/csl-citation.json"}</w:instrText>
      </w:r>
      <w:r w:rsidR="002117B7" w:rsidRPr="00A64B10">
        <w:fldChar w:fldCharType="separate"/>
      </w:r>
      <w:r w:rsidR="00993B28" w:rsidRPr="00993B28">
        <w:rPr>
          <w:noProof/>
        </w:rPr>
        <w:t>[21]</w:t>
      </w:r>
      <w:r w:rsidR="002117B7" w:rsidRPr="00A64B10">
        <w:fldChar w:fldCharType="end"/>
      </w:r>
      <w:r w:rsidRPr="00A64B10">
        <w:t>. Surface properties, such as particle surface area, surface charge, chemical reactivity, ligands, and hydrophobicity are therefore critical material attributes that need to be measured and controlled. While ASTM and ISO standards exist for the analysis of the surface charge of nanomaterials</w:t>
      </w:r>
      <w:r w:rsidR="007C17E3" w:rsidRPr="00A64B10">
        <w:t xml:space="preserve"> </w:t>
      </w:r>
      <w:r w:rsidR="007C17E3" w:rsidRPr="00A64B10">
        <w:fldChar w:fldCharType="begin" w:fldLock="1"/>
      </w:r>
      <w:r w:rsidR="000B3F63">
        <w:instrText>ADDIN CSL_CITATION {"citationItems":[{"id":"ITEM-1","itemData":{"DOI":"10.1002/wnan.1531","ISSN":"19390041","PMID":"29923692","abstract":"Appropriate documentary standards and reference materials are crucial building blocks for the development of innovative products. In order to support the emerging sector of nanomedicine, relevant standards must be identified and/or developed before the products will enter into the regulatory approval process. The anticipation of standardization needs requires a good understanding on the regulatory information requirements that can be triggered by the particularities of nanomedicines. However, robust datasets allowing firm conclusions on regulatory demands are not yet available due to a lack of regulatory experience with innovative products. Such a catch-22 situation can only be advanced in an iterative process by monitoring continuously the scientific evidence and by promoting intensive knowledge exchange between all involved stakeholders. In this study, we have compiled information requirements released by regulatory scientists so far and mapped it against available standards that could be of relevance for nanomedicines. Our gap analysis clearly demonstrated that for some endpoints such as drug release/loading and the interaction of nanomedicines with the immune system no standards are available so far. The emerging nanomedicine sector could benefit from cross-sector collaboration and review the suitability of standards that have been developed for nanomaterials used for other industrial applications. Only a concerted action of all parties can lead to a smooth translation of nanomedicines to clinical application and to the market. This is in particular important because nanotechnology-based drug delivery systems are key for the development and implementation of personalized medicine. This article is characterized under: Toxicology and Regulatory Issues in Nanomedicine &gt; Regulatory and Policy Issues in Nanomedicine.","author":[{"dropping-particle":"","family":"Halamoda-Kenzaoui","given":"Blanka","non-dropping-particle":"","parse-names":false,"suffix":""},{"dropping-particle":"","family":"Holzwarth","given":"Uwe","non-dropping-particle":"","parse-names":false,"suffix":""},{"dropping-particle":"","family":"Roebben","given":"Gert","non-dropping-particle":"","parse-names":false,"suffix":""},{"dropping-particle":"","family":"Bogni","given":"Alessia","non-dropping-particle":"","parse-names":false,"suffix":""},{"dropping-particle":"","family":"Bremer-Hoffmann","given":"Susanne","non-dropping-particle":"","parse-names":false,"suffix":""}],"container-title":"Wiley Interdisciplinary Reviews: Nanomedicine and Nanobiotechnology","id":"ITEM-1","issue":"1","issued":{"date-parts":[["2019","6","20"]]},"page":"e1531","title":"Mapping of the available standards against the regulatory needs for nanomedicines","type":"article","volume":"11"},"uris":["http://www.mendeley.com/documents/?uuid=70820534-ece2-30e3-b3d7-353b5decf734"]}],"mendeley":{"formattedCitation":"[19]","plainTextFormattedCitation":"[19]","previouslyFormattedCitation":"[19]"},"properties":{"noteIndex":0},"schema":"https://github.com/citation-style-language/schema/raw/master/csl-citation.json"}</w:instrText>
      </w:r>
      <w:r w:rsidR="007C17E3" w:rsidRPr="00A64B10">
        <w:fldChar w:fldCharType="separate"/>
      </w:r>
      <w:r w:rsidR="00993B28" w:rsidRPr="00993B28">
        <w:rPr>
          <w:noProof/>
        </w:rPr>
        <w:t>[19]</w:t>
      </w:r>
      <w:r w:rsidR="007C17E3" w:rsidRPr="00A64B10">
        <w:fldChar w:fldCharType="end"/>
      </w:r>
      <w:r w:rsidRPr="00A64B10">
        <w:t xml:space="preserve">, currently no </w:t>
      </w:r>
      <w:r w:rsidR="00A63976" w:rsidRPr="00A64B10">
        <w:t>standardized</w:t>
      </w:r>
      <w:r w:rsidRPr="00A64B10">
        <w:t xml:space="preserve"> methods are available for the analysis of other properties, including hydrophobicity, quantification and homogeneity of surface functionalities and surface area</w:t>
      </w:r>
      <w:r w:rsidR="00F52B96" w:rsidRPr="00A64B10">
        <w:t xml:space="preserve"> (Table 2)</w:t>
      </w:r>
      <w:r w:rsidR="002117B7" w:rsidRPr="00A64B10">
        <w:t xml:space="preserve">. </w:t>
      </w:r>
      <w:r w:rsidR="00C41D99" w:rsidRPr="00A64B10">
        <w:t xml:space="preserve">However, promising </w:t>
      </w:r>
      <w:r w:rsidR="002117B7" w:rsidRPr="00A64B10">
        <w:t xml:space="preserve">methods and techniques </w:t>
      </w:r>
      <w:r w:rsidR="00C41D99" w:rsidRPr="00A64B10">
        <w:t xml:space="preserve">exist and </w:t>
      </w:r>
      <w:r w:rsidR="002117B7" w:rsidRPr="00A64B10">
        <w:t xml:space="preserve">are described in </w:t>
      </w:r>
      <w:r w:rsidR="002B232C" w:rsidRPr="00A64B10">
        <w:t xml:space="preserve">the </w:t>
      </w:r>
      <w:r w:rsidR="002117B7" w:rsidRPr="00A64B10">
        <w:t>corresponding subsections.</w:t>
      </w:r>
    </w:p>
    <w:p w14:paraId="5846F230" w14:textId="77777777" w:rsidR="00006EED" w:rsidRPr="00A64B10" w:rsidRDefault="00006EED" w:rsidP="00006EED">
      <w:pPr>
        <w:spacing w:after="0"/>
        <w:jc w:val="both"/>
      </w:pPr>
      <w:r w:rsidRPr="00A64B10">
        <w:rPr>
          <w:b/>
        </w:rPr>
        <w:t>Table 2</w:t>
      </w:r>
      <w:r w:rsidRPr="00A64B10">
        <w:t>: Overview on relevance and major challenges related to methods measuring surface properties</w:t>
      </w:r>
      <w:r>
        <w:t>.</w:t>
      </w:r>
    </w:p>
    <w:tbl>
      <w:tblPr>
        <w:tblStyle w:val="TableGrid"/>
        <w:tblW w:w="9292" w:type="dxa"/>
        <w:tblLook w:val="04A0" w:firstRow="1" w:lastRow="0" w:firstColumn="1" w:lastColumn="0" w:noHBand="0" w:noVBand="1"/>
      </w:tblPr>
      <w:tblGrid>
        <w:gridCol w:w="1413"/>
        <w:gridCol w:w="1784"/>
        <w:gridCol w:w="1843"/>
        <w:gridCol w:w="1701"/>
        <w:gridCol w:w="2551"/>
      </w:tblGrid>
      <w:tr w:rsidR="00006EED" w:rsidRPr="00A64B10" w14:paraId="0D6F8AE5" w14:textId="77777777" w:rsidTr="002169C0">
        <w:tc>
          <w:tcPr>
            <w:tcW w:w="1413" w:type="dxa"/>
            <w:shd w:val="clear" w:color="auto" w:fill="1F497D" w:themeFill="text2"/>
          </w:tcPr>
          <w:p w14:paraId="34C60D2E" w14:textId="77777777" w:rsidR="00006EED" w:rsidRPr="00A64B10" w:rsidRDefault="00006EED" w:rsidP="002169C0">
            <w:pPr>
              <w:spacing w:after="160"/>
              <w:jc w:val="center"/>
              <w:rPr>
                <w:b/>
                <w:color w:val="FFFFFF" w:themeColor="background1"/>
              </w:rPr>
            </w:pPr>
            <w:r w:rsidRPr="00A64B10">
              <w:rPr>
                <w:b/>
                <w:color w:val="FFFFFF" w:themeColor="background1"/>
              </w:rPr>
              <w:t>Area</w:t>
            </w:r>
            <w:r>
              <w:rPr>
                <w:b/>
                <w:color w:val="FFFFFF" w:themeColor="background1"/>
              </w:rPr>
              <w:t xml:space="preserve"> </w:t>
            </w:r>
            <w:r w:rsidRPr="002F43EC">
              <w:rPr>
                <w:b/>
                <w:color w:val="FFFFFF" w:themeColor="background1"/>
                <w:sz w:val="18"/>
                <w:szCs w:val="18"/>
              </w:rPr>
              <w:t>(</w:t>
            </w:r>
            <w:r>
              <w:rPr>
                <w:b/>
                <w:color w:val="FFFFFF" w:themeColor="background1"/>
                <w:sz w:val="18"/>
                <w:szCs w:val="18"/>
              </w:rPr>
              <w:t xml:space="preserve">with </w:t>
            </w:r>
            <w:r w:rsidRPr="002F43EC">
              <w:rPr>
                <w:b/>
                <w:color w:val="FFFFFF" w:themeColor="background1"/>
                <w:sz w:val="18"/>
                <w:szCs w:val="18"/>
              </w:rPr>
              <w:t>reference to regulatory documents)</w:t>
            </w:r>
          </w:p>
        </w:tc>
        <w:tc>
          <w:tcPr>
            <w:tcW w:w="1784" w:type="dxa"/>
            <w:shd w:val="clear" w:color="auto" w:fill="1F497D" w:themeFill="text2"/>
          </w:tcPr>
          <w:p w14:paraId="2CF46D36" w14:textId="77777777" w:rsidR="00006EED" w:rsidRPr="00A64B10" w:rsidRDefault="00006EED" w:rsidP="002169C0">
            <w:pPr>
              <w:spacing w:after="160"/>
              <w:jc w:val="center"/>
              <w:rPr>
                <w:b/>
                <w:color w:val="FFFFFF" w:themeColor="background1"/>
              </w:rPr>
            </w:pPr>
            <w:r w:rsidRPr="00A64B10">
              <w:rPr>
                <w:b/>
                <w:color w:val="FFFFFF" w:themeColor="background1"/>
              </w:rPr>
              <w:t>Subcategories</w:t>
            </w:r>
          </w:p>
        </w:tc>
        <w:tc>
          <w:tcPr>
            <w:tcW w:w="1843" w:type="dxa"/>
            <w:shd w:val="clear" w:color="auto" w:fill="1F497D" w:themeFill="text2"/>
          </w:tcPr>
          <w:p w14:paraId="380E7FBE" w14:textId="77777777" w:rsidR="00006EED" w:rsidRPr="00A64B10" w:rsidRDefault="00006EED" w:rsidP="002169C0">
            <w:pPr>
              <w:spacing w:after="160"/>
              <w:jc w:val="center"/>
              <w:rPr>
                <w:b/>
                <w:color w:val="FFFFFF" w:themeColor="background1"/>
              </w:rPr>
            </w:pPr>
            <w:r w:rsidRPr="00A64B10">
              <w:rPr>
                <w:b/>
                <w:color w:val="FFFFFF" w:themeColor="background1"/>
              </w:rPr>
              <w:t>Relevance</w:t>
            </w:r>
          </w:p>
        </w:tc>
        <w:tc>
          <w:tcPr>
            <w:tcW w:w="1701" w:type="dxa"/>
            <w:shd w:val="clear" w:color="auto" w:fill="1F497D" w:themeFill="text2"/>
          </w:tcPr>
          <w:p w14:paraId="1F476EAC" w14:textId="77777777" w:rsidR="00006EED" w:rsidRPr="00A64B10" w:rsidRDefault="00006EED" w:rsidP="002169C0">
            <w:pPr>
              <w:spacing w:after="160"/>
              <w:jc w:val="center"/>
              <w:rPr>
                <w:b/>
                <w:color w:val="FFFFFF" w:themeColor="background1"/>
              </w:rPr>
            </w:pPr>
            <w:r w:rsidRPr="00A64B10">
              <w:rPr>
                <w:b/>
                <w:color w:val="FFFFFF" w:themeColor="background1"/>
              </w:rPr>
              <w:t>Challenges</w:t>
            </w:r>
          </w:p>
        </w:tc>
        <w:tc>
          <w:tcPr>
            <w:tcW w:w="2551" w:type="dxa"/>
            <w:shd w:val="clear" w:color="auto" w:fill="1F497D" w:themeFill="text2"/>
          </w:tcPr>
          <w:p w14:paraId="126D7D60" w14:textId="77777777" w:rsidR="00006EED" w:rsidRPr="00A64B10" w:rsidRDefault="00006EED" w:rsidP="002169C0">
            <w:pPr>
              <w:spacing w:after="160"/>
              <w:jc w:val="center"/>
              <w:rPr>
                <w:b/>
                <w:color w:val="FFFFFF" w:themeColor="background1"/>
              </w:rPr>
            </w:pPr>
            <w:r w:rsidRPr="00A64B10">
              <w:rPr>
                <w:b/>
                <w:color w:val="FFFFFF" w:themeColor="background1"/>
              </w:rPr>
              <w:t>Gaps</w:t>
            </w:r>
          </w:p>
        </w:tc>
      </w:tr>
      <w:tr w:rsidR="00006EED" w:rsidRPr="00A64B10" w14:paraId="48CA090B" w14:textId="77777777" w:rsidTr="002169C0">
        <w:tc>
          <w:tcPr>
            <w:tcW w:w="1413" w:type="dxa"/>
            <w:vMerge w:val="restart"/>
            <w:shd w:val="clear" w:color="auto" w:fill="F2F2F2" w:themeFill="background1" w:themeFillShade="F2"/>
          </w:tcPr>
          <w:p w14:paraId="0B301D74" w14:textId="77777777" w:rsidR="00006EED" w:rsidRPr="00A64B10" w:rsidRDefault="00006EED" w:rsidP="00993B28">
            <w:pPr>
              <w:rPr>
                <w:sz w:val="20"/>
              </w:rPr>
            </w:pPr>
            <w:r w:rsidRPr="00A64B10">
              <w:rPr>
                <w:sz w:val="20"/>
              </w:rPr>
              <w:t>Surface properties</w:t>
            </w:r>
          </w:p>
          <w:p w14:paraId="4FE6AFB3" w14:textId="2809E09F" w:rsidR="00006EED" w:rsidRPr="00A64B10" w:rsidRDefault="00006EED" w:rsidP="002169C0">
            <w:pPr>
              <w:spacing w:after="160"/>
              <w:rPr>
                <w:sz w:val="20"/>
              </w:rPr>
            </w:pPr>
            <w:r w:rsidRPr="00A64B10">
              <w:rPr>
                <w:sz w:val="20"/>
              </w:rPr>
              <w:fldChar w:fldCharType="begin" w:fldLock="1"/>
            </w:r>
            <w:r w:rsidR="000B3F63">
              <w:rPr>
                <w:sz w:val="20"/>
              </w:rPr>
              <w:instrText>ADDIN CSL_CITATION {"citationItems":[{"id":"ITEM-1","itemData":{"author":[{"dropping-particle":"","family":"FDA","given":"","non-dropping-particle":"","parse-names":false,"suffix":""}],"id":"ITEM-1","issued":{"date-parts":[["2017"]]},"title":"Drug Products, Including Biological Products, that Contain Nanomaterials. Guidance for Industry.","type":"article-journal"},"uris":["http://www.mendeley.com/documents/?uuid=1d007232-6836-43e1-9d00-b18d18197d80"]},{"id":"ITEM-2","itemData":{"author":[{"dropping-particle":"","family":"FDA","given":"","non-dropping-particle":"","parse-names":false,"suffix":""}],"id":"ITEM-2","issued":{"date-parts":[["2015"]]},"title":"Liposome Drug Products. Guidance for Industry.","type":"article-journal"},"uris":["http://www.mendeley.com/documents/?uuid=de80afa4-8e96-4dbb-9cee-0a2a0d304979"]},{"id":"ITEM-3","itemData":{"abstract":"This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required.","author":[{"dropping-particle":"","family":"EMA/CHMP","given":"","non-dropping-particle":"","parse-names":false,"suffix":""}],"id":"ITEM-3","issue":"EMA/CHMP/806058/2009/Rev.02","issued":{"date-parts":[["2013"]]},"publisher-place":"London","title":"Reflection paper on the data requirements for intravenous liposomal products developed with reference to an innovator liposomal product","type":"article-journal"},"uris":["http://www.mendeley.com/documents/?uuid=e3c908b6-9d35-4812-af55-a22fdf3f47f3"]},{"id":"ITEM-4","itemData":{"abstract":"This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required.","author":[{"dropping-particle":"","family":"EMA/CHMP","given":"","non-dropping-particle":"","parse-names":false,"suffix":""}],"id":"ITEM-4","issue":"EMA/CHMP/SWP/620008/2012","issued":{"date-parts":[["2015"]]},"publisher-place":"London","title":"Reflection paper on the data requirements for intravenous iron-based nano-colloidal products developed with reference to an innovator medicinal product","type":"article-journal"},"uris":["http://www.mendeley.com/documents/?uuid=2bd38740-cd32-48fe-b1a5-f868a29c8dbd"]},{"id":"ITEM-5","itemData":{"author":[{"dropping-particle":"","family":"EMA/CHMP","given":"","non-dropping-particle":"","parse-names":false,"suffix":""}],"id":"ITEM-5","issue":"EMA/CHMP/13099/2013.","issued":{"date-parts":[["2013"]]},"publisher-place":"London","title":"Joint MHLW/EMA reflection paper on the development of block copolymer micelle medicinal products.","type":"article-journal"},"uris":["http://www.mendeley.com/documents/?uuid=931c6128-62f0-452c-91d8-48fe80efa916"]},{"id":"ITEM-6","itemData":{"author":[{"dropping-particle":"","family":"MHLW","given":"","non-dropping-particle":"","parse-names":false,"suffix":""}],"id":"ITEM-6","issued":{"date-parts":[["2016"]]},"title":"Reflection paper on nucleic acids (siRNA)-loaded nanotechnology based drug products","type":"article-journal"},"uris":["http://www.mendeley.com/documents/?uuid=3fd76c20-840c-414f-aef5-f91cb4afaf92"]},{"id":"ITEM-7","itemData":{"author":[{"dropping-particle":"","family":"MHLW","given":"","non-dropping-particle":"","parse-names":false,"suffix":""}],"id":"ITEM-7","issued":{"date-parts":[["2016"]]},"title":"Guideline for the development of liposome drug products","type":"article-journal"},"uris":["http://www.mendeley.com/documents/?uuid=4cdf9bd0-f0ff-4e59-9510-381b3c65c8f1"]},{"id":"ITEM-8","itemData":{"DOI":"10.2772/41391","ISBN":"978-92-79-35590-5","ISSN":"1831-4783","PMID":"22260506","abstract":"This Guidance addresses the use of nanomaterials in medical devices and provides information for risk assessors regarding specific aspects that need to be considered in the safety evaluation of nanomaterials. According to the EU Recommendation for the definition of a nanomaterial (Commission Recommendation 2011/696/EU, EC 2011) any particulate substance with at least one dimension in the size range between 1 and 100 nm is considered a nanomaterial. These particles (nanoparticles) exhibit specific characteristics that differ from the characteristics of larger sized particles with the same chemical composition.","author":[{"dropping-particle":"","family":"SCENIHR","given":"","non-dropping-particle":"","parse-names":false,"suffix":""}],"container-title":"Final Opinion","id":"ITEM-8","issued":{"date-parts":[["2015"]]},"page":"1-77","title":"Opinion on the Guidance on the Determination of Potential Health Effects of Nanomaterials Used in Medical Devices","type":"article-journal"},"uris":["http://www.mendeley.com/documents/?uuid=7294ce7a-b3e5-4f98-acf8-3ea180d4e0f6"]},{"id":"ITEM-9","itemData":{"author":[{"dropping-particle":"","family":"SCENIHR","given":"","non-dropping-particle":"","parse-names":false,"suffix":""}],"id":"ITEM-9","issued":{"date-parts":[["2009"]]},"title":"Risk Assessment of Products of Nanotechnologies","type":"article-journal"},"uris":["http://www.mendeley.com/documents/?uuid=2c9526f5-b125-3cdf-b69e-f5bb3677b116"]},{"id":"ITEM-10","itemData":{"author":[{"dropping-particle":"","family":"EMA/CHMP","given":"","non-dropping-particle":"","parse-names":false,"suffix":""}],"id":"ITEM-10","issue":"EMA/325027/2013","issued":{"date-parts":[["2013"]]},"publisher-place":"London","title":"Reflection paper on surface coatings : general issues for consideration regarding parenteral administration of coated nanomedicine products.","type":"article-journal"},"uris":["http://www.mendeley.com/documents/?uuid=9ea57935-5ebc-32f3-b0a7-7501ddd02435"]}],"mendeley":{"formattedCitation":"[6–13,22,23]","plainTextFormattedCitation":"[6–13,22,23]","previouslyFormattedCitation":"[6–13,22,23]"},"properties":{"noteIndex":0},"schema":"https://github.com/citation-style-language/schema/raw/master/csl-citation.json"}</w:instrText>
            </w:r>
            <w:r w:rsidRPr="00A64B10">
              <w:rPr>
                <w:sz w:val="20"/>
              </w:rPr>
              <w:fldChar w:fldCharType="separate"/>
            </w:r>
            <w:r w:rsidR="00993B28" w:rsidRPr="00993B28">
              <w:rPr>
                <w:noProof/>
                <w:sz w:val="20"/>
              </w:rPr>
              <w:t>[6–13,22,23]</w:t>
            </w:r>
            <w:r w:rsidRPr="00A64B10">
              <w:rPr>
                <w:sz w:val="20"/>
              </w:rPr>
              <w:fldChar w:fldCharType="end"/>
            </w:r>
          </w:p>
        </w:tc>
        <w:tc>
          <w:tcPr>
            <w:tcW w:w="1784" w:type="dxa"/>
            <w:shd w:val="clear" w:color="auto" w:fill="F2F2F2" w:themeFill="background1" w:themeFillShade="F2"/>
          </w:tcPr>
          <w:p w14:paraId="5FEF4795" w14:textId="77777777" w:rsidR="00006EED" w:rsidRPr="00A64B10" w:rsidRDefault="00006EED" w:rsidP="002169C0">
            <w:pPr>
              <w:spacing w:after="160"/>
              <w:rPr>
                <w:sz w:val="20"/>
              </w:rPr>
            </w:pPr>
            <w:r w:rsidRPr="00A64B10">
              <w:rPr>
                <w:sz w:val="20"/>
              </w:rPr>
              <w:t>Coating analysis (amount, chemical composition, homogeneity)</w:t>
            </w:r>
          </w:p>
        </w:tc>
        <w:tc>
          <w:tcPr>
            <w:tcW w:w="1843" w:type="dxa"/>
            <w:vMerge w:val="restart"/>
            <w:shd w:val="clear" w:color="auto" w:fill="F2F2F2" w:themeFill="background1" w:themeFillShade="F2"/>
          </w:tcPr>
          <w:p w14:paraId="799A0BFF" w14:textId="77777777" w:rsidR="00006EED" w:rsidRPr="00A64B10" w:rsidRDefault="00006EED" w:rsidP="002169C0">
            <w:pPr>
              <w:spacing w:after="160"/>
              <w:rPr>
                <w:sz w:val="20"/>
              </w:rPr>
            </w:pPr>
            <w:r w:rsidRPr="00A64B10">
              <w:rPr>
                <w:sz w:val="20"/>
              </w:rPr>
              <w:t xml:space="preserve">Impact on the interaction with proteins, biomolecules, immune cells and subsequently on product </w:t>
            </w:r>
            <w:r w:rsidRPr="00A64B10">
              <w:rPr>
                <w:rFonts w:cstheme="minorHAnsi"/>
                <w:sz w:val="20"/>
                <w:szCs w:val="20"/>
              </w:rPr>
              <w:t xml:space="preserve">quality, </w:t>
            </w:r>
            <w:proofErr w:type="gramStart"/>
            <w:r w:rsidRPr="000700DD">
              <w:rPr>
                <w:rFonts w:cstheme="minorHAnsi"/>
                <w:sz w:val="20"/>
                <w:szCs w:val="20"/>
              </w:rPr>
              <w:t>safety</w:t>
            </w:r>
            <w:proofErr w:type="gramEnd"/>
            <w:r w:rsidRPr="000700DD">
              <w:rPr>
                <w:rFonts w:cstheme="minorHAnsi"/>
                <w:sz w:val="20"/>
                <w:szCs w:val="20"/>
              </w:rPr>
              <w:t xml:space="preserve"> and </w:t>
            </w:r>
            <w:r w:rsidRPr="00A64B10">
              <w:rPr>
                <w:sz w:val="20"/>
              </w:rPr>
              <w:t xml:space="preserve">efficacy </w:t>
            </w:r>
          </w:p>
        </w:tc>
        <w:tc>
          <w:tcPr>
            <w:tcW w:w="1701" w:type="dxa"/>
            <w:vMerge w:val="restart"/>
            <w:shd w:val="clear" w:color="auto" w:fill="F2F2F2" w:themeFill="background1" w:themeFillShade="F2"/>
          </w:tcPr>
          <w:p w14:paraId="25CB32EB" w14:textId="77777777" w:rsidR="00006EED" w:rsidRPr="00A64B10" w:rsidRDefault="00006EED" w:rsidP="002169C0">
            <w:pPr>
              <w:spacing w:after="160"/>
              <w:rPr>
                <w:sz w:val="20"/>
              </w:rPr>
            </w:pPr>
            <w:r w:rsidRPr="00A64B10">
              <w:rPr>
                <w:rFonts w:cstheme="minorHAnsi"/>
                <w:sz w:val="20"/>
                <w:szCs w:val="20"/>
              </w:rPr>
              <w:t>Most of the existing methods are not standardized yet</w:t>
            </w:r>
          </w:p>
        </w:tc>
        <w:tc>
          <w:tcPr>
            <w:tcW w:w="2551" w:type="dxa"/>
            <w:vMerge w:val="restart"/>
            <w:shd w:val="clear" w:color="auto" w:fill="F2F2F2" w:themeFill="background1" w:themeFillShade="F2"/>
          </w:tcPr>
          <w:p w14:paraId="7F6D2FD1" w14:textId="77777777" w:rsidR="00006EED" w:rsidRPr="00A64B10" w:rsidRDefault="00006EED" w:rsidP="002169C0">
            <w:pPr>
              <w:spacing w:after="160"/>
              <w:rPr>
                <w:sz w:val="20"/>
              </w:rPr>
            </w:pPr>
            <w:r w:rsidRPr="00A64B10">
              <w:rPr>
                <w:rFonts w:cstheme="minorHAnsi"/>
                <w:sz w:val="20"/>
                <w:szCs w:val="20"/>
              </w:rPr>
              <w:t>Limited technological solutions available for soft nanomaterials, and/or for the measurement of surface properties in solution</w:t>
            </w:r>
            <w:r w:rsidRPr="00A64B10">
              <w:rPr>
                <w:sz w:val="20"/>
              </w:rPr>
              <w:t xml:space="preserve"> </w:t>
            </w:r>
          </w:p>
          <w:p w14:paraId="1AD06BF3" w14:textId="77777777" w:rsidR="00006EED" w:rsidRPr="00A64B10" w:rsidRDefault="00006EED" w:rsidP="002169C0">
            <w:pPr>
              <w:spacing w:after="160"/>
              <w:rPr>
                <w:rFonts w:cstheme="minorHAnsi"/>
                <w:sz w:val="20"/>
                <w:szCs w:val="20"/>
              </w:rPr>
            </w:pPr>
            <w:r w:rsidRPr="00A64B10">
              <w:rPr>
                <w:sz w:val="20"/>
              </w:rPr>
              <w:t xml:space="preserve">No methods </w:t>
            </w:r>
            <w:r w:rsidRPr="00A64B10">
              <w:rPr>
                <w:rFonts w:cstheme="minorHAnsi"/>
                <w:sz w:val="20"/>
                <w:szCs w:val="20"/>
              </w:rPr>
              <w:t xml:space="preserve">exist </w:t>
            </w:r>
            <w:r w:rsidRPr="00A64B10">
              <w:rPr>
                <w:sz w:val="20"/>
              </w:rPr>
              <w:t>for heterogeneity of the surface coating</w:t>
            </w:r>
          </w:p>
        </w:tc>
      </w:tr>
      <w:tr w:rsidR="00006EED" w:rsidRPr="00A64B10" w14:paraId="5A79A06C" w14:textId="77777777" w:rsidTr="002169C0">
        <w:trPr>
          <w:trHeight w:val="575"/>
        </w:trPr>
        <w:tc>
          <w:tcPr>
            <w:tcW w:w="1413" w:type="dxa"/>
            <w:vMerge/>
          </w:tcPr>
          <w:p w14:paraId="09C9B494" w14:textId="77777777" w:rsidR="00006EED" w:rsidRPr="00A64B10" w:rsidRDefault="00006EED" w:rsidP="002169C0">
            <w:pPr>
              <w:spacing w:after="160"/>
              <w:rPr>
                <w:sz w:val="20"/>
              </w:rPr>
            </w:pPr>
          </w:p>
        </w:tc>
        <w:tc>
          <w:tcPr>
            <w:tcW w:w="1784" w:type="dxa"/>
            <w:shd w:val="clear" w:color="auto" w:fill="F2F2F2" w:themeFill="background1" w:themeFillShade="F2"/>
          </w:tcPr>
          <w:p w14:paraId="1A21537B" w14:textId="77777777" w:rsidR="00006EED" w:rsidRPr="00A64B10" w:rsidRDefault="00006EED" w:rsidP="002169C0">
            <w:pPr>
              <w:rPr>
                <w:sz w:val="20"/>
              </w:rPr>
            </w:pPr>
            <w:r w:rsidRPr="00A64B10">
              <w:rPr>
                <w:sz w:val="20"/>
              </w:rPr>
              <w:t>Hydrophobicity</w:t>
            </w:r>
          </w:p>
        </w:tc>
        <w:tc>
          <w:tcPr>
            <w:tcW w:w="1843" w:type="dxa"/>
            <w:vMerge/>
          </w:tcPr>
          <w:p w14:paraId="0B8C54A0" w14:textId="77777777" w:rsidR="00006EED" w:rsidRPr="00A64B10" w:rsidRDefault="00006EED" w:rsidP="002169C0">
            <w:pPr>
              <w:spacing w:after="160"/>
              <w:rPr>
                <w:sz w:val="20"/>
              </w:rPr>
            </w:pPr>
          </w:p>
        </w:tc>
        <w:tc>
          <w:tcPr>
            <w:tcW w:w="1701" w:type="dxa"/>
            <w:vMerge/>
          </w:tcPr>
          <w:p w14:paraId="219747C8" w14:textId="77777777" w:rsidR="00006EED" w:rsidRPr="00A64B10" w:rsidRDefault="00006EED" w:rsidP="002169C0">
            <w:pPr>
              <w:spacing w:after="160"/>
              <w:rPr>
                <w:sz w:val="20"/>
              </w:rPr>
            </w:pPr>
          </w:p>
        </w:tc>
        <w:tc>
          <w:tcPr>
            <w:tcW w:w="2551" w:type="dxa"/>
            <w:vMerge/>
          </w:tcPr>
          <w:p w14:paraId="43A98C56" w14:textId="77777777" w:rsidR="00006EED" w:rsidRPr="00A64B10" w:rsidRDefault="00006EED" w:rsidP="002169C0">
            <w:pPr>
              <w:spacing w:after="160"/>
              <w:rPr>
                <w:sz w:val="20"/>
              </w:rPr>
            </w:pPr>
          </w:p>
        </w:tc>
      </w:tr>
      <w:tr w:rsidR="00006EED" w:rsidRPr="00A64B10" w14:paraId="0C7B6E38" w14:textId="77777777" w:rsidTr="002169C0">
        <w:trPr>
          <w:trHeight w:val="319"/>
        </w:trPr>
        <w:tc>
          <w:tcPr>
            <w:tcW w:w="1413" w:type="dxa"/>
            <w:vMerge/>
          </w:tcPr>
          <w:p w14:paraId="070C3FA1" w14:textId="77777777" w:rsidR="00006EED" w:rsidRPr="00A64B10" w:rsidRDefault="00006EED" w:rsidP="002169C0">
            <w:pPr>
              <w:spacing w:after="160"/>
              <w:rPr>
                <w:sz w:val="20"/>
              </w:rPr>
            </w:pPr>
          </w:p>
        </w:tc>
        <w:tc>
          <w:tcPr>
            <w:tcW w:w="1784" w:type="dxa"/>
            <w:shd w:val="clear" w:color="auto" w:fill="F2F2F2" w:themeFill="background1" w:themeFillShade="F2"/>
          </w:tcPr>
          <w:p w14:paraId="7BF1C8A5" w14:textId="77777777" w:rsidR="00006EED" w:rsidRPr="00A64B10" w:rsidRDefault="00006EED" w:rsidP="002169C0">
            <w:pPr>
              <w:spacing w:after="160"/>
              <w:rPr>
                <w:sz w:val="20"/>
              </w:rPr>
            </w:pPr>
            <w:r w:rsidRPr="00A64B10">
              <w:rPr>
                <w:sz w:val="20"/>
              </w:rPr>
              <w:t>Surface area</w:t>
            </w:r>
          </w:p>
        </w:tc>
        <w:tc>
          <w:tcPr>
            <w:tcW w:w="1843" w:type="dxa"/>
            <w:vMerge/>
          </w:tcPr>
          <w:p w14:paraId="05AB54E3" w14:textId="77777777" w:rsidR="00006EED" w:rsidRPr="00A64B10" w:rsidRDefault="00006EED" w:rsidP="002169C0">
            <w:pPr>
              <w:spacing w:after="160"/>
              <w:rPr>
                <w:sz w:val="20"/>
              </w:rPr>
            </w:pPr>
          </w:p>
        </w:tc>
        <w:tc>
          <w:tcPr>
            <w:tcW w:w="1701" w:type="dxa"/>
            <w:vMerge/>
          </w:tcPr>
          <w:p w14:paraId="18E42E28" w14:textId="77777777" w:rsidR="00006EED" w:rsidRPr="00A64B10" w:rsidRDefault="00006EED" w:rsidP="002169C0">
            <w:pPr>
              <w:spacing w:after="160"/>
              <w:rPr>
                <w:sz w:val="20"/>
              </w:rPr>
            </w:pPr>
          </w:p>
        </w:tc>
        <w:tc>
          <w:tcPr>
            <w:tcW w:w="2551" w:type="dxa"/>
            <w:vMerge/>
          </w:tcPr>
          <w:p w14:paraId="04CB7606" w14:textId="77777777" w:rsidR="00006EED" w:rsidRPr="00A64B10" w:rsidRDefault="00006EED" w:rsidP="002169C0">
            <w:pPr>
              <w:spacing w:after="160"/>
              <w:rPr>
                <w:sz w:val="20"/>
              </w:rPr>
            </w:pPr>
          </w:p>
        </w:tc>
      </w:tr>
    </w:tbl>
    <w:p w14:paraId="68D63569" w14:textId="77777777" w:rsidR="000A5954" w:rsidRPr="00A64B10" w:rsidRDefault="000A5954" w:rsidP="000A5954">
      <w:pPr>
        <w:pStyle w:val="Heading4"/>
      </w:pPr>
      <w:r w:rsidRPr="00A64B10">
        <w:t>Surface coating</w:t>
      </w:r>
    </w:p>
    <w:p w14:paraId="7CCBF3E7" w14:textId="243057FB" w:rsidR="000A5954" w:rsidRPr="00A64B10" w:rsidRDefault="000A5954" w:rsidP="000A5954">
      <w:pPr>
        <w:spacing w:after="160"/>
        <w:jc w:val="both"/>
      </w:pPr>
      <w:r w:rsidRPr="00A64B10">
        <w:t xml:space="preserve">Most </w:t>
      </w:r>
      <w:proofErr w:type="spellStart"/>
      <w:r w:rsidRPr="00A64B10">
        <w:t>nanomedici</w:t>
      </w:r>
      <w:r w:rsidR="00AA505B" w:rsidRPr="00A64B10">
        <w:t>nal</w:t>
      </w:r>
      <w:proofErr w:type="spellEnd"/>
      <w:r w:rsidR="00AA505B" w:rsidRPr="00A64B10">
        <w:t xml:space="preserve"> products</w:t>
      </w:r>
      <w:r w:rsidRPr="00A64B10">
        <w:t xml:space="preserve"> possess a polymeric surface coating to enhance their dispersion, </w:t>
      </w:r>
      <w:proofErr w:type="gramStart"/>
      <w:r w:rsidRPr="00A64B10">
        <w:t>stability</w:t>
      </w:r>
      <w:proofErr w:type="gramEnd"/>
      <w:r w:rsidRPr="00A64B10">
        <w:t xml:space="preserve"> and biocompatibility. Polyethylene glycol (PEG) is by far the most used polymer for this purpose. Additional surface moieties can be included in the coating to enhance the therapeutic effects, </w:t>
      </w:r>
      <w:proofErr w:type="gramStart"/>
      <w:r w:rsidRPr="00A64B10">
        <w:t>e.g.</w:t>
      </w:r>
      <w:proofErr w:type="gramEnd"/>
      <w:r w:rsidRPr="00A64B10">
        <w:t xml:space="preserve"> to attempt active targeting or for other purposes. Ideally step-by-step, methods should </w:t>
      </w:r>
      <w:r w:rsidRPr="00A64B10">
        <w:lastRenderedPageBreak/>
        <w:t>be available to: (</w:t>
      </w:r>
      <w:proofErr w:type="spellStart"/>
      <w:r w:rsidRPr="00A64B10">
        <w:t>i</w:t>
      </w:r>
      <w:proofErr w:type="spellEnd"/>
      <w:r w:rsidRPr="00A64B10">
        <w:t>)</w:t>
      </w:r>
      <w:r w:rsidR="004556F6" w:rsidRPr="00A64B10">
        <w:t xml:space="preserve"> analyse</w:t>
      </w:r>
      <w:r w:rsidRPr="00A64B10">
        <w:t xml:space="preserve"> the chemical nature of the surface coating (qualitative), (ii) quantify the amount of surface coating (quantitative), (iii) determine the homogeneity of the coating coverage and the conformational structure of its molecules.</w:t>
      </w:r>
    </w:p>
    <w:p w14:paraId="3758E14D" w14:textId="087DC52C" w:rsidR="000A5954" w:rsidRPr="00A64B10" w:rsidRDefault="000A5954" w:rsidP="004556F6">
      <w:pPr>
        <w:spacing w:after="160"/>
        <w:jc w:val="both"/>
        <w:rPr>
          <w:strike/>
        </w:rPr>
      </w:pPr>
      <w:r w:rsidRPr="00A64B10">
        <w:t xml:space="preserve">In the case of inorganic </w:t>
      </w:r>
      <w:r w:rsidR="00F52B96" w:rsidRPr="00A64B10">
        <w:t>NPs</w:t>
      </w:r>
      <w:r w:rsidRPr="00A64B10">
        <w:t xml:space="preserve">, multiple techniques are available to </w:t>
      </w:r>
      <w:r w:rsidR="004556F6" w:rsidRPr="00A64B10">
        <w:t>analyse</w:t>
      </w:r>
      <w:r w:rsidRPr="00A64B10">
        <w:t xml:space="preserve"> the chemical composition of the coating and to quantify the total surface coverage</w:t>
      </w:r>
      <w:r w:rsidR="001F5E78" w:rsidRPr="00A64B10">
        <w:t xml:space="preserve"> </w:t>
      </w:r>
      <w:r w:rsidRPr="00A64B10">
        <w:t>(Table</w:t>
      </w:r>
      <w:r w:rsidR="002117B7" w:rsidRPr="00A64B10">
        <w:t xml:space="preserve"> S</w:t>
      </w:r>
      <w:r w:rsidR="007C17E3" w:rsidRPr="00A64B10">
        <w:t>2</w:t>
      </w:r>
      <w:r w:rsidR="00AE2365" w:rsidRPr="00A64B10">
        <w:t xml:space="preserve">). </w:t>
      </w:r>
      <w:r w:rsidRPr="00A64B10">
        <w:t xml:space="preserve">For soft nanocarriers, e.g. lipid-based or polymeric </w:t>
      </w:r>
      <w:r w:rsidR="00AA505B" w:rsidRPr="00A64B10">
        <w:t>NPs</w:t>
      </w:r>
      <w:r w:rsidRPr="00A64B10">
        <w:t xml:space="preserve">, chromatographic approaches can be developed on a case-by-case basis to identify and quantify components of the surface coating after particle dissolution </w:t>
      </w:r>
      <w:r w:rsidRPr="00A64B10">
        <w:fldChar w:fldCharType="begin" w:fldLock="1"/>
      </w:r>
      <w:r w:rsidR="000B3F63">
        <w:instrText>ADDIN CSL_CITATION {"citationItems":[{"id":"ITEM-1","itemData":{"DOI":"10.1016/j.ijpharm.2019.05.038","ISSN":"18733476","PMID":"31112794","abstract":"Lipid nanocarriers incorporating glycerides, polyethylene glycol (PEG)-stearates and phospholipids have attracted great attention for in vivo diagnostic, in vivo imaging, activated or non-activated targeted drug delivery. For quality control purposes, the development of appropriate methods for the quantification of their lipid components is needed. In the present study, we developed an analytical method for lipid quantification in formulated nanoparticles. PEG-stearates and glycerides were analyzed in a single run by RP-UPLC-ELSD using a two-step gradient elution program, while the analysis of phospholipids was accomplished by HILIC-UPLC-ELSD after isolation using an SPE silica column. Using both isolated compounds and commercial lipid standards, calibration curves were produced using second-order polynomials to attain the quantitative evaluation of each lipid excipient. Relative standard deviation of all analytes was between 0.9% and 5.3% for intra-day precision and recovery ranged from 83.5% to 112.2%. The presented method was successfully implemented to study the manufacturing process and stability of the formulated lipid excipients during long-term storage and accelerated conditions. The formulation lipid yield was determined and found equal to 82.5%.","author":[{"dropping-particle":"","family":"Varache","given":"Mathieu","non-dropping-particle":"","parse-names":false,"suffix":""},{"dropping-particle":"","family":"Ciancone","given":"Mathieu","non-dropping-particle":"","parse-names":false,"suffix":""},{"dropping-particle":"","family":"Couffin","given":"Anne Claude","non-dropping-particle":"","parse-names":false,"suffix":""}],"container-title":"International Journal of Pharmaceutics","id":"ITEM-1","issued":{"date-parts":[["2019","7","20"]]},"page":"11-23","publisher":"Elsevier B.V.","title":"Development and validation of a novel UPLC-ELSD method for the assessment of lipid composition of nanomedicine formulation","type":"article-journal","volume":"566"},"uris":["http://www.mendeley.com/documents/?uuid=5fdbb092-2b19-36dd-929b-b4da9aa6b797"]}],"mendeley":{"formattedCitation":"[24]","plainTextFormattedCitation":"[24]","previouslyFormattedCitation":"[24]"},"properties":{"noteIndex":0},"schema":"https://github.com/citation-style-language/schema/raw/master/csl-citation.json"}</w:instrText>
      </w:r>
      <w:r w:rsidRPr="00A64B10">
        <w:fldChar w:fldCharType="separate"/>
      </w:r>
      <w:r w:rsidR="00993B28" w:rsidRPr="00993B28">
        <w:rPr>
          <w:noProof/>
        </w:rPr>
        <w:t>[24]</w:t>
      </w:r>
      <w:r w:rsidRPr="00A64B10">
        <w:fldChar w:fldCharType="end"/>
      </w:r>
      <w:r w:rsidRPr="00A64B10">
        <w:t xml:space="preserve">. The analytical methods are highly specific and must be tailored according to the chemical composition and physical properties of </w:t>
      </w:r>
      <w:r w:rsidR="00686D7B" w:rsidRPr="00A64B10">
        <w:t xml:space="preserve">the </w:t>
      </w:r>
      <w:r w:rsidR="00F52B96" w:rsidRPr="00A64B10">
        <w:t>NPs</w:t>
      </w:r>
      <w:r w:rsidRPr="00A64B10">
        <w:t xml:space="preserve">. </w:t>
      </w:r>
    </w:p>
    <w:p w14:paraId="67C80E87" w14:textId="74B1AA77" w:rsidR="000A5954" w:rsidRPr="00A64B10" w:rsidRDefault="000A5954" w:rsidP="000A5954">
      <w:pPr>
        <w:spacing w:after="160"/>
        <w:jc w:val="both"/>
      </w:pPr>
      <w:r w:rsidRPr="00A64B10">
        <w:t>All the presented approaches</w:t>
      </w:r>
      <w:r w:rsidR="004556F6" w:rsidRPr="00A64B10">
        <w:t xml:space="preserve"> </w:t>
      </w:r>
      <w:r w:rsidRPr="00A64B10">
        <w:t>are performed on NP samples that determine the average amount of the coating measured over a broad particle population. Measuring the coating heterogeneity, e.g. as variable number of ligands per nanocarriers or as a non</w:t>
      </w:r>
      <w:r w:rsidR="00706197">
        <w:t>-</w:t>
      </w:r>
      <w:r w:rsidRPr="00A64B10">
        <w:t xml:space="preserve">uniform covering of ligands on the particle surface is, to our knowledge, not possible with the existing technologies </w:t>
      </w:r>
      <w:r w:rsidRPr="00A64B10">
        <w:fldChar w:fldCharType="begin" w:fldLock="1"/>
      </w:r>
      <w:r w:rsidR="000B3F63">
        <w:instrText>ADDIN CSL_CITATION {"citationItems":[{"id":"ITEM-1","itemData":{"DOI":"10.1039/c8nr04916e","ISSN":"20403372","PMID":"30560970","abstract":"Drug nanocarriers' surface chemistry is often presumed to be uniform. For instance, the polymer surface coverage and distribution of ligands on nanoparticles are described with averaged values obtained from quantification techniques based on particle populations. However, these averaged values may conceal heterogeneities at different levels, either because of the presence of particle sub-populations or because of surface inhomogeneities, such as patchy surfaces on individual particles. The characterization and quantification of chemical surface heterogeneities are tedious tasks, which are rather limited by the currently available instruments and research protocols. However, heterogeneities may contribute to some non-linear effects observed during the nanoformulation optimization process, cause problems related to nanocarrier production scale-up and correlate with unexpected biological outcomes. On the other hand, heterogeneities, while usually unintended and detrimental to nanocarrier performance, may, in some cases, be sought as adjustable properties that provide NPs with unique functionality. In this review, results and processes related to this issue are compiled, and perspectives and possible analytical developments are discussed.","author":[{"dropping-particle":"","family":"Rabanel","given":"Jean Michel","non-dropping-particle":"","parse-names":false,"suffix":""},{"dropping-particle":"","family":"Adibnia","given":"Vahid","non-dropping-particle":"","parse-names":false,"suffix":""},{"dropping-particle":"","family":"Tehrani","given":"Soudeh F.","non-dropping-particle":"","parse-names":false,"suffix":""},{"dropping-particle":"","family":"Sanche","given":"Steven","non-dropping-particle":"","parse-names":false,"suffix":""},{"dropping-particle":"","family":"Hildgen","given":"Patrice","non-dropping-particle":"","parse-names":false,"suffix":""},{"dropping-particle":"","family":"Banquy","given":"Xavier","non-dropping-particle":"","parse-names":false,"suffix":""},{"dropping-particle":"","family":"Ramassamy","given":"Charles","non-dropping-particle":"","parse-names":false,"suffix":""}],"container-title":"Nanoscale","id":"ITEM-1","issue":"2","issued":{"date-parts":[["2019","1","14"]]},"page":"383-406","publisher":"Royal Society of Chemistry","title":"Nanoparticle heterogeneity: An emerging structural parameter influencing particle fate in biological media?","type":"article","volume":"11"},"uris":["http://www.mendeley.com/documents/?uuid=c4a45c7c-f502-3d70-8f3b-1a0d41d470a0"]}],"mendeley":{"formattedCitation":"[25]","plainTextFormattedCitation":"[25]","previouslyFormattedCitation":"[25]"},"properties":{"noteIndex":0},"schema":"https://github.com/citation-style-language/schema/raw/master/csl-citation.json"}</w:instrText>
      </w:r>
      <w:r w:rsidRPr="00A64B10">
        <w:fldChar w:fldCharType="separate"/>
      </w:r>
      <w:r w:rsidR="00993B28" w:rsidRPr="00993B28">
        <w:rPr>
          <w:noProof/>
        </w:rPr>
        <w:t>[25]</w:t>
      </w:r>
      <w:r w:rsidRPr="00A64B10">
        <w:fldChar w:fldCharType="end"/>
      </w:r>
      <w:r w:rsidRPr="00A64B10">
        <w:t xml:space="preserve">. Attempts to measure heterogeneity in PEG coverage have been made at the basic research level by indirect measurements, </w:t>
      </w:r>
      <w:proofErr w:type="gramStart"/>
      <w:r w:rsidRPr="00A64B10">
        <w:t>e.g.</w:t>
      </w:r>
      <w:proofErr w:type="gramEnd"/>
      <w:r w:rsidRPr="00A64B10">
        <w:t xml:space="preserve"> by estimating particle roughness at the single particle level by using atomic force microscopy (AFM), or by fractionating particles by their hydrophobicity </w:t>
      </w:r>
      <w:r w:rsidR="006A33E7">
        <w:t>in</w:t>
      </w:r>
      <w:r w:rsidRPr="00A64B10">
        <w:t xml:space="preserve"> hydrophobic interaction chromatography. However, those methods are not yet mature enough to be considered for regulatory purposes. </w:t>
      </w:r>
    </w:p>
    <w:p w14:paraId="00E23CCB" w14:textId="77777777" w:rsidR="000A5954" w:rsidRPr="00A64B10" w:rsidRDefault="000A5954" w:rsidP="000A5954">
      <w:pPr>
        <w:pStyle w:val="Heading4"/>
      </w:pPr>
      <w:r w:rsidRPr="00A64B10">
        <w:t>Surface hydrophobicity</w:t>
      </w:r>
    </w:p>
    <w:p w14:paraId="0242F2DE" w14:textId="358123E7" w:rsidR="000A5954" w:rsidRPr="00A64B10" w:rsidRDefault="00CC2780" w:rsidP="000A5954">
      <w:pPr>
        <w:spacing w:after="160"/>
        <w:jc w:val="both"/>
      </w:pPr>
      <w:r w:rsidRPr="00A64B10">
        <w:t>T</w:t>
      </w:r>
      <w:r w:rsidR="000A5954" w:rsidRPr="00A64B10">
        <w:t xml:space="preserve">here has been </w:t>
      </w:r>
      <w:r w:rsidR="00083CB0">
        <w:t>only</w:t>
      </w:r>
      <w:r w:rsidR="000A5954" w:rsidRPr="00A64B10">
        <w:t xml:space="preserve"> limited work aimed at developing reliable methods </w:t>
      </w:r>
      <w:r w:rsidR="00F52B96" w:rsidRPr="00A64B10">
        <w:t xml:space="preserve">for surface hydrophobicity </w:t>
      </w:r>
      <w:r w:rsidR="00686D7B" w:rsidRPr="00A64B10">
        <w:t>measurement</w:t>
      </w:r>
      <w:r w:rsidR="00F52B96" w:rsidRPr="00A64B10">
        <w:t xml:space="preserve"> </w:t>
      </w:r>
      <w:r w:rsidR="000A5954" w:rsidRPr="00A64B10">
        <w:t>applicable to nanomaterials, and currently no standards exist</w:t>
      </w:r>
      <w:r w:rsidR="00733780" w:rsidRPr="00A64B10">
        <w:t xml:space="preserve"> </w:t>
      </w:r>
      <w:r w:rsidR="00733780" w:rsidRPr="00A64B10">
        <w:fldChar w:fldCharType="begin" w:fldLock="1"/>
      </w:r>
      <w:r w:rsidR="000B3F63">
        <w:instrText>ADDIN CSL_CITATION {"citationItems":[{"id":"ITEM-1","itemData":{"DOI":"10.1016/j.impact.2017.09.002","ISSN":"24520748","abstract":"Managing the risks of manufactured nanomaterials requires the ability to accurately and reproducibly measure the physical and chemical properties of these materials that are relevant to their risk assessment. However, many properties of manufactured nanomaterials and their non-equilibrium system-dependent behaviors challenge many of the conventional characterization methods used to characterize them. New methods and modifications to conventional methods are being developed to address some of these shortcomings. Here, we critically review progress towards standardization and validation of methods used to characterize manufactured nanomaterials to assess their health and safety risks. The limitations and accessibility of each method are presented, and recommendations towards improving method standardization are made where appropriate. The properties considered include intrinsic (system independent) nanomaterial properties; particle size distribution, specific surface area, particle shape, hydrophobicity, chemical composition, redox potential and band gap, and extrinsic (system dependent) properties; density, dustiness, zeta potential, agglomeration rate and surface affinity, dissolution rate and solubility, and reactive oxygen species generation. The methods evaluated include organisation for economic cooperation and development (OECD) test guidelines, NanoValid standard operating procedures, NANoREG protocols and methods being proposed by peer-reviewed publications. Compared with the characterization of intrinsic properties, the characterization of extrinsic properties is generally less validated and less reproducible. This is mainly because the medium properties may have significant effects on the result. Thus, reporting of extrinsic properties will need to include associated meta-data to make them comparable across studies. While some methods are becoming standardized and even automated, the full range of factors influencing the reliability and reproducibility of those measurements had not yet been well characterized.","author":[{"dropping-particle":"","family":"Gao","given":"Xiaoyu","non-dropping-particle":"","parse-names":false,"suffix":""},{"dropping-particle":"V.","family":"Lowry","given":"Gregory","non-dropping-particle":"","parse-names":false,"suffix":""}],"container-title":"NanoImpact","id":"ITEM-1","issued":{"date-parts":[["2018","1","1"]]},"page":"14-30","publisher":"Elsevier B.V.","title":"Progress towards standardized and validated characterizations for measuring physicochemical properties of manufactured nanomaterials relevant to nano health and safety risks","type":"article","volume":"9"},"uris":["http://www.mendeley.com/documents/?uuid=77aac438-6c1a-3450-941d-50813964b769"]}],"mendeley":{"formattedCitation":"[26]","plainTextFormattedCitation":"[26]","previouslyFormattedCitation":"[26]"},"properties":{"noteIndex":0},"schema":"https://github.com/citation-style-language/schema/raw/master/csl-citation.json"}</w:instrText>
      </w:r>
      <w:r w:rsidR="00733780" w:rsidRPr="00A64B10">
        <w:fldChar w:fldCharType="separate"/>
      </w:r>
      <w:r w:rsidR="00993B28" w:rsidRPr="00993B28">
        <w:rPr>
          <w:noProof/>
        </w:rPr>
        <w:t>[26]</w:t>
      </w:r>
      <w:r w:rsidR="00733780" w:rsidRPr="00A64B10">
        <w:fldChar w:fldCharType="end"/>
      </w:r>
      <w:r w:rsidR="000A5954" w:rsidRPr="00A64B10">
        <w:t xml:space="preserve">. </w:t>
      </w:r>
      <w:r w:rsidR="00FF4110" w:rsidRPr="00A64B10">
        <w:t>Standardi</w:t>
      </w:r>
      <w:r w:rsidR="00563EAB" w:rsidRPr="00A64B10">
        <w:t>s</w:t>
      </w:r>
      <w:r w:rsidR="00FF4110" w:rsidRPr="00A64B10">
        <w:t>ed</w:t>
      </w:r>
      <w:r w:rsidR="000A5954" w:rsidRPr="00A64B10">
        <w:t xml:space="preserve"> methods used for chemicals, e.g. water/octanol (</w:t>
      </w:r>
      <w:proofErr w:type="spellStart"/>
      <w:r w:rsidR="000A5954" w:rsidRPr="00A64B10">
        <w:t>K</w:t>
      </w:r>
      <w:r w:rsidR="000A5954" w:rsidRPr="00A64B10">
        <w:rPr>
          <w:vertAlign w:val="subscript"/>
        </w:rPr>
        <w:t>ow</w:t>
      </w:r>
      <w:proofErr w:type="spellEnd"/>
      <w:r w:rsidR="000A5954" w:rsidRPr="00A64B10">
        <w:t xml:space="preserve">) partitioning method, are not applicable to nanomaterials </w:t>
      </w:r>
      <w:r w:rsidR="000A5954" w:rsidRPr="00A64B10">
        <w:fldChar w:fldCharType="begin" w:fldLock="1"/>
      </w:r>
      <w:r w:rsidR="000B3F63">
        <w:instrText>ADDIN CSL_CITATION {"citationItems":[{"id":"ITEM-1","itemData":{"DOI":"10.1039/c4en00043a","ISSN":"20518161","abstract":"Adequate fate descriptors are crucial input parameters in models used to predict the behaviour and transport of a contaminant in the environment and determine predicted environmental concentrations for risk assessment. When new fate models are being developed for emerging contaminants, such as engineered nanoparticles (ENPs), special care has to be applied in adjusting conventional approaches and fate descriptors to a new set of substances. The aim of this paper is to clarify misconceptions about the applicability of equilibrium partition coefficients, such as the octanol-water partition coefficient (K&lt;inf&gt;ow&lt;/inf&gt;) or the soil-water distribution coefficient (K&lt;inf&gt;d&lt;/inf&gt;), whose application in the context of ENP fate assessment is frequently suggested despite lacking scientific justification. ENPs are present in the environment as thermodynamically unstable suspensions and their behaviour must be represented by kinetically controlled attachment and deposition processes as has been established by colloid science. Here, we illustrate the underlying theories of equilibrium partitioning and kinetically controlled attachment and discuss why the use of any coefficient based on equilibrium partitioning is inadequate for ENPs and can lead to significant errors in ENP fate predictions and risk assessment.","author":[{"dropping-particle":"","family":"Praetorius","given":"Antonia","non-dropping-particle":"","parse-names":false,"suffix":""},{"dropping-particle":"","family":"Tufenkji","given":"Nathalie","non-dropping-particle":"","parse-names":false,"suffix":""},{"dropping-particle":"","family":"Goss","given":"Kai Uwe","non-dropping-particle":"","parse-names":false,"suffix":""},{"dropping-particle":"","family":"Scheringer","given":"Martin","non-dropping-particle":"","parse-names":false,"suffix":""},{"dropping-particle":"","family":"Kammer","given":"Frank","non-dropping-particle":"Von Der","parse-names":false,"suffix":""},{"dropping-particle":"","family":"Elimelech","given":"Menachem","non-dropping-particle":"","parse-names":false,"suffix":""}],"container-title":"Environmental Science: Nano","id":"ITEM-1","issue":"4","issued":{"date-parts":[["2014","8","1"]]},"page":"317-323","publisher":"Royal Society of Chemistry","title":"The road to nowhere: Equilibrium partition coefficients for nanoparticles","type":"article","volume":"1"},"uris":["http://www.mendeley.com/documents/?uuid=c60d5ae2-87df-352c-a503-05647b4e21d5"]}],"mendeley":{"formattedCitation":"[27]","plainTextFormattedCitation":"[27]","previouslyFormattedCitation":"[27]"},"properties":{"noteIndex":0},"schema":"https://github.com/citation-style-language/schema/raw/master/csl-citation.json"}</w:instrText>
      </w:r>
      <w:r w:rsidR="000A5954" w:rsidRPr="00A64B10">
        <w:fldChar w:fldCharType="separate"/>
      </w:r>
      <w:r w:rsidR="00993B28" w:rsidRPr="00993B28">
        <w:rPr>
          <w:noProof/>
        </w:rPr>
        <w:t>[27]</w:t>
      </w:r>
      <w:r w:rsidR="000A5954" w:rsidRPr="00A64B10">
        <w:fldChar w:fldCharType="end"/>
      </w:r>
      <w:r w:rsidR="000A5954" w:rsidRPr="00A64B10">
        <w:t xml:space="preserve">. An alternative to the </w:t>
      </w:r>
      <w:proofErr w:type="spellStart"/>
      <w:r w:rsidR="000A5954" w:rsidRPr="00A64B10">
        <w:t>K</w:t>
      </w:r>
      <w:r w:rsidR="000A5954" w:rsidRPr="00A64B10">
        <w:rPr>
          <w:vertAlign w:val="subscript"/>
        </w:rPr>
        <w:t>ow</w:t>
      </w:r>
      <w:proofErr w:type="spellEnd"/>
      <w:r w:rsidR="000A5954" w:rsidRPr="00A64B10">
        <w:t xml:space="preserve"> method is usually the Contact Angle technique,</w:t>
      </w:r>
      <w:r w:rsidR="000A5954" w:rsidRPr="000700DD">
        <w:t xml:space="preserve"> </w:t>
      </w:r>
      <w:r w:rsidR="004305F3" w:rsidRPr="000700DD">
        <w:t>which is</w:t>
      </w:r>
      <w:r w:rsidR="000A5954" w:rsidRPr="00A64B10">
        <w:t xml:space="preserve"> only applicable to hard nanospheres, but not </w:t>
      </w:r>
      <w:proofErr w:type="spellStart"/>
      <w:r w:rsidR="00B01C7D" w:rsidRPr="00A64B10">
        <w:t>to</w:t>
      </w:r>
      <w:proofErr w:type="spellEnd"/>
      <w:r w:rsidR="00B01C7D" w:rsidRPr="00A64B10">
        <w:t xml:space="preserve"> </w:t>
      </w:r>
      <w:r w:rsidR="000A5954" w:rsidRPr="00A64B10">
        <w:t>soft NPs, such as liposomes, micelles, lipid</w:t>
      </w:r>
      <w:r w:rsidR="00FF4110" w:rsidRPr="00A64B10">
        <w:t>-</w:t>
      </w:r>
      <w:r w:rsidR="000A5954" w:rsidRPr="00A64B10">
        <w:t xml:space="preserve">based </w:t>
      </w:r>
      <w:proofErr w:type="gramStart"/>
      <w:r w:rsidR="000A5954" w:rsidRPr="00A64B10">
        <w:t>NPs</w:t>
      </w:r>
      <w:proofErr w:type="gramEnd"/>
      <w:r w:rsidR="000A5954" w:rsidRPr="00A64B10">
        <w:t xml:space="preserve"> or polymeric NPs. Most of the alternative solutions are at the proof-of-concept stage, and to our knowledge they have not been validated</w:t>
      </w:r>
      <w:r w:rsidR="00733780" w:rsidRPr="00A64B10">
        <w:t xml:space="preserve"> </w:t>
      </w:r>
      <w:r w:rsidR="00733780" w:rsidRPr="00A64B10">
        <w:fldChar w:fldCharType="begin" w:fldLock="1"/>
      </w:r>
      <w:r w:rsidR="000B3F63">
        <w:instrText>ADDIN CSL_CITATION {"citationItems":[{"id":"ITEM-1","itemData":{"DOI":"10.1016/j.impact.2017.09.002","ISSN":"24520748","abstract":"Managing the risks of manufactured nanomaterials requires the ability to accurately and reproducibly measure the physical and chemical properties of these materials that are relevant to their risk assessment. However, many properties of manufactured nanomaterials and their non-equilibrium system-dependent behaviors challenge many of the conventional characterization methods used to characterize them. New methods and modifications to conventional methods are being developed to address some of these shortcomings. Here, we critically review progress towards standardization and validation of methods used to characterize manufactured nanomaterials to assess their health and safety risks. The limitations and accessibility of each method are presented, and recommendations towards improving method standardization are made where appropriate. The properties considered include intrinsic (system independent) nanomaterial properties; particle size distribution, specific surface area, particle shape, hydrophobicity, chemical composition, redox potential and band gap, and extrinsic (system dependent) properties; density, dustiness, zeta potential, agglomeration rate and surface affinity, dissolution rate and solubility, and reactive oxygen species generation. The methods evaluated include organisation for economic cooperation and development (OECD) test guidelines, NanoValid standard operating procedures, NANoREG protocols and methods being proposed by peer-reviewed publications. Compared with the characterization of intrinsic properties, the characterization of extrinsic properties is generally less validated and less reproducible. This is mainly because the medium properties may have significant effects on the result. Thus, reporting of extrinsic properties will need to include associated meta-data to make them comparable across studies. While some methods are becoming standardized and even automated, the full range of factors influencing the reliability and reproducibility of those measurements had not yet been well characterized.","author":[{"dropping-particle":"","family":"Gao","given":"Xiaoyu","non-dropping-particle":"","parse-names":false,"suffix":""},{"dropping-particle":"V.","family":"Lowry","given":"Gregory","non-dropping-particle":"","parse-names":false,"suffix":""}],"container-title":"NanoImpact","id":"ITEM-1","issued":{"date-parts":[["2018","1","1"]]},"page":"14-30","publisher":"Elsevier B.V.","title":"Progress towards standardized and validated characterizations for measuring physicochemical properties of manufactured nanomaterials relevant to nano health and safety risks","type":"article","volume":"9"},"uris":["http://www.mendeley.com/documents/?uuid=77aac438-6c1a-3450-941d-50813964b769"]}],"mendeley":{"formattedCitation":"[26]","plainTextFormattedCitation":"[26]","previouslyFormattedCitation":"[26]"},"properties":{"noteIndex":0},"schema":"https://github.com/citation-style-language/schema/raw/master/csl-citation.json"}</w:instrText>
      </w:r>
      <w:r w:rsidR="00733780" w:rsidRPr="00A64B10">
        <w:fldChar w:fldCharType="separate"/>
      </w:r>
      <w:r w:rsidR="00993B28" w:rsidRPr="00993B28">
        <w:rPr>
          <w:noProof/>
        </w:rPr>
        <w:t>[26]</w:t>
      </w:r>
      <w:r w:rsidR="00733780" w:rsidRPr="00A64B10">
        <w:fldChar w:fldCharType="end"/>
      </w:r>
      <w:r w:rsidR="000A5954" w:rsidRPr="00A64B10">
        <w:t xml:space="preserve">. The most mature method proposed by </w:t>
      </w:r>
      <w:proofErr w:type="spellStart"/>
      <w:r w:rsidR="000A5954" w:rsidRPr="00A64B10">
        <w:t>Valsesia</w:t>
      </w:r>
      <w:proofErr w:type="spellEnd"/>
      <w:r w:rsidR="000A5954" w:rsidRPr="00A64B10">
        <w:t xml:space="preserve"> et al</w:t>
      </w:r>
      <w:r w:rsidR="00733780" w:rsidRPr="00A64B10">
        <w:t xml:space="preserve"> </w:t>
      </w:r>
      <w:r w:rsidR="000A5954" w:rsidRPr="00A64B10">
        <w:t>is based on measuring</w:t>
      </w:r>
      <w:r w:rsidRPr="00A64B10">
        <w:t xml:space="preserve"> NP</w:t>
      </w:r>
      <w:r w:rsidR="000A5954" w:rsidRPr="00A64B10">
        <w:t xml:space="preserve"> binding affinity to multiple collectors based on fluorinated hydrophobic surfaces with differential surface energy properties. The binding rate is calculated by measuring the number of NPs binding to the different collector as a function of time, by conventional dark-field microscopy </w:t>
      </w:r>
      <w:r w:rsidR="000A5954" w:rsidRPr="00A64B10">
        <w:fldChar w:fldCharType="begin" w:fldLock="1"/>
      </w:r>
      <w:r w:rsidR="000B3F63">
        <w:instrText>ADDIN CSL_CITATION {"citationItems":[{"id":"ITEM-1","itemData":{"DOI":"10.1038/s42004-018-0054-7","ISSN":"23993669","abstract":"Hydrophobicity is an important parameter for the risk assessment of chemicals, but standardised quantitative methods for the determination of hydrophobicity cannot be applied to nanomaterials. Here we describe a method for the direct quantification of the surface energy and hydrophobicity of nanomaterials. The quantification is obtained by comparing the nanomaterial binding affinity to two or more engineered collectors, i.e. surfaces with tuned hydrophobicity. In order to validate the concept, the method is applied to a set of nanoparticles with varying degrees of hydrophobicity. The technique described represents an alternative to the use of other methods such as hydrophobic interaction chromatography or water–octanol partition, which provide only qualitative values of hydrophobicity.","author":[{"dropping-particle":"","family":"Valsesia","given":"Andrea","non-dropping-particle":"","parse-names":false,"suffix":""},{"dropping-particle":"","family":"Desmet","given":"Cloé","non-dropping-particle":"","parse-names":false,"suffix":""},{"dropping-particle":"","family":"Ojea-Jiménez","given":"Isaac","non-dropping-particle":"","parse-names":false,"suffix":""},{"dropping-particle":"","family":"Oddo","given":"Arianna","non-dropping-particle":"","parse-names":false,"suffix":""},{"dropping-particle":"","family":"Capomaccio","given":"Robin","non-dropping-particle":"","parse-names":false,"suffix":""},{"dropping-particle":"","family":"Rossi","given":"François","non-dropping-particle":"","parse-names":false,"suffix":""},{"dropping-particle":"","family":"Colpo","given":"Pascal","non-dropping-particle":"","parse-names":false,"suffix":""}],"container-title":"Communications Chemistry","id":"ITEM-1","issue":"1","issued":{"date-parts":[["2018","12","1"]]},"page":"1-11","publisher":"Springer Nature","title":"Direct quantification of nanoparticle surface hydrophobicity","type":"article-journal","volume":"1"},"uris":["http://www.mendeley.com/documents/?uuid=9f4fe7e2-063a-3b20-b169-db737a6807dc"]}],"mendeley":{"formattedCitation":"[28]","plainTextFormattedCitation":"[28]","previouslyFormattedCitation":"[28]"},"properties":{"noteIndex":0},"schema":"https://github.com/citation-style-language/schema/raw/master/csl-citation.json"}</w:instrText>
      </w:r>
      <w:r w:rsidR="000A5954" w:rsidRPr="00A64B10">
        <w:fldChar w:fldCharType="separate"/>
      </w:r>
      <w:r w:rsidR="00993B28" w:rsidRPr="00993B28">
        <w:rPr>
          <w:noProof/>
        </w:rPr>
        <w:t>[28]</w:t>
      </w:r>
      <w:r w:rsidR="000A5954" w:rsidRPr="00A64B10">
        <w:fldChar w:fldCharType="end"/>
      </w:r>
      <w:r w:rsidR="00441928" w:rsidRPr="00A64B10">
        <w:t xml:space="preserve">. </w:t>
      </w:r>
      <w:r w:rsidR="000E7DFC" w:rsidRPr="00A64B10">
        <w:t>This</w:t>
      </w:r>
      <w:r w:rsidR="00F52B96" w:rsidRPr="00A64B10">
        <w:t xml:space="preserve"> </w:t>
      </w:r>
      <w:r w:rsidR="000A5954" w:rsidRPr="00A64B10">
        <w:t>method is currently under consideration for standardi</w:t>
      </w:r>
      <w:r w:rsidR="00563EAB" w:rsidRPr="00A64B10">
        <w:t>s</w:t>
      </w:r>
      <w:r w:rsidR="000A5954" w:rsidRPr="00A64B10">
        <w:t>ation within the OECD</w:t>
      </w:r>
      <w:r w:rsidR="001976B5" w:rsidRPr="00A64B10">
        <w:t xml:space="preserve"> (Table S2).</w:t>
      </w:r>
    </w:p>
    <w:p w14:paraId="5D6BEE30" w14:textId="77777777" w:rsidR="000A5954" w:rsidRPr="00A64B10" w:rsidRDefault="000A5954" w:rsidP="000A5954">
      <w:pPr>
        <w:pStyle w:val="Heading4"/>
      </w:pPr>
      <w:r w:rsidRPr="00A64B10">
        <w:t>Surface area</w:t>
      </w:r>
    </w:p>
    <w:p w14:paraId="109D8DFA" w14:textId="007E1405" w:rsidR="000A5954" w:rsidRPr="00A64B10" w:rsidRDefault="00783A4C" w:rsidP="001F5E78">
      <w:pPr>
        <w:spacing w:after="160"/>
        <w:jc w:val="both"/>
      </w:pPr>
      <w:r w:rsidRPr="00A64B10">
        <w:t>Standardi</w:t>
      </w:r>
      <w:r w:rsidR="00A4768A" w:rsidRPr="00A64B10">
        <w:t>s</w:t>
      </w:r>
      <w:r w:rsidRPr="00A64B10">
        <w:t>ed</w:t>
      </w:r>
      <w:r w:rsidR="000A5954" w:rsidRPr="00A64B10">
        <w:t xml:space="preserve"> method ISO 9277:2010 describes how to measure the specific surface area of nanoparticle powders by gas adsorption — the BET method</w:t>
      </w:r>
      <w:r w:rsidR="006F139A" w:rsidRPr="00A64B10">
        <w:t xml:space="preserve"> (Table S</w:t>
      </w:r>
      <w:r w:rsidR="007C17E3" w:rsidRPr="00A64B10">
        <w:t>2</w:t>
      </w:r>
      <w:r w:rsidR="006F139A" w:rsidRPr="00A64B10">
        <w:t>)</w:t>
      </w:r>
      <w:r w:rsidR="000A5954" w:rsidRPr="00A64B10">
        <w:t>. However, this method is only applicable to inorganic NP</w:t>
      </w:r>
      <w:r w:rsidR="009F013C" w:rsidRPr="00A64B10">
        <w:t>s</w:t>
      </w:r>
      <w:r w:rsidR="000A5954" w:rsidRPr="00A64B10">
        <w:t xml:space="preserve"> and even in this case, not reliable in the presence of a polymeric surface coating</w:t>
      </w:r>
      <w:r w:rsidR="001C3AA8">
        <w:t>. This</w:t>
      </w:r>
      <w:r w:rsidR="000A5954" w:rsidRPr="00A64B10">
        <w:t xml:space="preserve"> </w:t>
      </w:r>
      <w:r w:rsidR="001C3AA8">
        <w:t>is</w:t>
      </w:r>
      <w:r w:rsidR="000A5954" w:rsidRPr="00A64B10">
        <w:t xml:space="preserve"> reducing the range of applicability for </w:t>
      </w:r>
      <w:proofErr w:type="spellStart"/>
      <w:r w:rsidR="000A5954" w:rsidRPr="00A64B10">
        <w:t>nanomedicin</w:t>
      </w:r>
      <w:r w:rsidR="009F013C" w:rsidRPr="00A64B10">
        <w:t>al</w:t>
      </w:r>
      <w:proofErr w:type="spellEnd"/>
      <w:r w:rsidR="009F013C" w:rsidRPr="00A64B10">
        <w:t xml:space="preserve"> products</w:t>
      </w:r>
      <w:r w:rsidR="000A5954" w:rsidRPr="00A64B10">
        <w:t xml:space="preserve">. No </w:t>
      </w:r>
      <w:r w:rsidRPr="00A64B10">
        <w:t>standardi</w:t>
      </w:r>
      <w:r w:rsidR="00A4768A" w:rsidRPr="00A64B10">
        <w:t>s</w:t>
      </w:r>
      <w:r w:rsidRPr="00A64B10">
        <w:t>ed</w:t>
      </w:r>
      <w:r w:rsidR="000A5954" w:rsidRPr="00A64B10">
        <w:t xml:space="preserve"> methods exist to measure the surface area of organic particles and of particles dispersed in aqueous suspension, which is the most representative state for the characteri</w:t>
      </w:r>
      <w:r w:rsidR="00A4768A" w:rsidRPr="00A64B10">
        <w:t>s</w:t>
      </w:r>
      <w:r w:rsidR="000A5954" w:rsidRPr="00A64B10">
        <w:t xml:space="preserve">ation of </w:t>
      </w:r>
      <w:r w:rsidR="0035540F" w:rsidRPr="00A64B10">
        <w:t>medical applications</w:t>
      </w:r>
      <w:r w:rsidR="000A5954" w:rsidRPr="00A64B10">
        <w:t xml:space="preserve">. One method listed in the </w:t>
      </w:r>
      <w:proofErr w:type="spellStart"/>
      <w:r w:rsidR="000A5954" w:rsidRPr="00A64B10">
        <w:t>NanoReg</w:t>
      </w:r>
      <w:proofErr w:type="spellEnd"/>
      <w:r w:rsidR="000A5954" w:rsidRPr="00A64B10">
        <w:t xml:space="preserve"> Toolbox </w:t>
      </w:r>
      <w:r w:rsidR="00B01C7D" w:rsidRPr="00A64B10">
        <w:t>propose</w:t>
      </w:r>
      <w:r w:rsidR="00F21B3A" w:rsidRPr="00A64B10">
        <w:t>s</w:t>
      </w:r>
      <w:r w:rsidR="00B01C7D" w:rsidRPr="00A64B10">
        <w:t xml:space="preserve"> </w:t>
      </w:r>
      <w:r w:rsidR="000A5954" w:rsidRPr="00A64B10">
        <w:t xml:space="preserve">to measure the wettable surface area of organic NPs in suspension by NMR, detecting the difference between the free and absorbed H-nuclear relaxation time </w:t>
      </w:r>
      <w:r w:rsidR="000A5954" w:rsidRPr="00A64B10">
        <w:fldChar w:fldCharType="begin" w:fldLock="1"/>
      </w:r>
      <w:r w:rsidR="000B3F63">
        <w:instrText>ADDIN CSL_CITATION {"citationItems":[{"id":"ITEM-1","itemData":{"author":[{"dropping-particle":"","family":"NanoReg","given":"","non-dropping-particle":"","parse-names":false,"suffix":""}],"id":"ITEM-1","issued":{"date-parts":[["2016"]]},"page":"1-6","title":"Nuclear magnetic resonance (NMR) spectroscopy analysis for specific surface area determination","type":"article-journal"},"uris":["http://www.mendeley.com/documents/?uuid=b74210a4-c0d7-4a37-a682-cb6f895d1553"]},{"id":"ITEM-2","itemData":{"DOI":"10.1002/mrc.4218","ISSN":"07491581","abstract":"Solvent relaxation NMR has been used to estimate the surface areas and wettability of various types of nanostructured carbon materials in a range of solvents including water, ethanol, and tetrahydrofuran. We illustrate the application of the technique through several short case studies using samples including nanocarbon blacks, graphene oxide, nanographites, and porous graphenes. The technique is shown to give a good measure of surface area, correlating well with conventional surface area estimates obtained by nitrogen adsorption, transmission electron microscopy, or light scattering for the non-porous samples. NMR relaxation has advantages in terms of speed of analysis and being able to use concentrated, wet, and opaque samples. For samples that are porous, two distinct surface areas can be estimated assuming the two environments ('inner' and 'outer') have the same surface chemistry, and that there is a slow exchange of solvent molecules between them. Furthermore, we show that differences in wettability and dispersability between samples dispersed in water, ethanol, and cyclopentanone can be observed, along with changes to the surface chemistry of the interface.","author":[{"dropping-particle":"","family":"Fairhurst","given":"David","non-dropping-particle":"","parse-names":false,"suffix":""},{"dropping-particle":"","family":"Cosgrove","given":"Terence","non-dropping-particle":"","parse-names":false,"suffix":""},{"dropping-particle":"","family":"Prescott","given":"Stuart W.","non-dropping-particle":"","parse-names":false,"suffix":""}],"container-title":"Magnetic Resonance in Chemistry","id":"ITEM-2","issue":"6","issued":{"date-parts":[["2016","6","1"]]},"page":"521-526","publisher":"John Wiley and Sons Ltd","title":"Relaxation NMR as a tool to study the dispersion and formulation behavior of nanostructured carbon materials","type":"article-journal","volume":"54"},"uris":["http://www.mendeley.com/documents/?uuid=aaadcaab-228f-3821-b189-ee71d6bf209b"]}],"mendeley":{"formattedCitation":"[29,30]","plainTextFormattedCitation":"[29,30]","previouslyFormattedCitation":"[29,30]"},"properties":{"noteIndex":0},"schema":"https://github.com/citation-style-language/schema/raw/master/csl-citation.json"}</w:instrText>
      </w:r>
      <w:r w:rsidR="000A5954" w:rsidRPr="00A64B10">
        <w:fldChar w:fldCharType="separate"/>
      </w:r>
      <w:r w:rsidR="00993B28" w:rsidRPr="00993B28">
        <w:rPr>
          <w:noProof/>
        </w:rPr>
        <w:t>[29,30]</w:t>
      </w:r>
      <w:r w:rsidR="000A5954" w:rsidRPr="00A64B10">
        <w:fldChar w:fldCharType="end"/>
      </w:r>
      <w:r w:rsidR="000A5954" w:rsidRPr="00A64B10">
        <w:t>. However, its validation status is</w:t>
      </w:r>
      <w:r w:rsidR="00B01C7D" w:rsidRPr="00A64B10">
        <w:t xml:space="preserve"> not known</w:t>
      </w:r>
      <w:r w:rsidR="000A5954" w:rsidRPr="00A64B10">
        <w:t xml:space="preserve">. </w:t>
      </w:r>
    </w:p>
    <w:p w14:paraId="5244015C" w14:textId="77777777" w:rsidR="000A5954" w:rsidRPr="00A64B10" w:rsidRDefault="000A5954" w:rsidP="000A5954">
      <w:pPr>
        <w:spacing w:after="0" w:line="240" w:lineRule="auto"/>
        <w:jc w:val="both"/>
        <w:rPr>
          <w:rFonts w:eastAsia="Times New Roman" w:cstheme="minorHAnsi"/>
          <w:lang w:eastAsia="fr-FR"/>
        </w:rPr>
      </w:pPr>
    </w:p>
    <w:p w14:paraId="15F4FCBE" w14:textId="77777777" w:rsidR="003B5377" w:rsidRPr="00A64B10" w:rsidRDefault="003B5377" w:rsidP="00467A0A">
      <w:pPr>
        <w:spacing w:after="0"/>
        <w:jc w:val="both"/>
      </w:pPr>
    </w:p>
    <w:p w14:paraId="7290C216" w14:textId="740E6B40" w:rsidR="00807897" w:rsidRPr="00A64B10" w:rsidRDefault="00A91F47" w:rsidP="00CC56B8">
      <w:pPr>
        <w:pStyle w:val="Heading2"/>
      </w:pPr>
      <w:r w:rsidRPr="00A64B10">
        <w:t>4.</w:t>
      </w:r>
      <w:r w:rsidR="00FF2897" w:rsidRPr="00A64B10">
        <w:t>2</w:t>
      </w:r>
      <w:r w:rsidRPr="00A64B10">
        <w:t xml:space="preserve"> </w:t>
      </w:r>
      <w:r w:rsidR="00FF23EE" w:rsidRPr="00A64B10">
        <w:t xml:space="preserve">Drug loading and </w:t>
      </w:r>
      <w:r w:rsidR="008C795D">
        <w:t>release</w:t>
      </w:r>
      <w:r w:rsidR="00FF23EE" w:rsidRPr="00A64B10">
        <w:t xml:space="preserve"> (simple media) </w:t>
      </w:r>
    </w:p>
    <w:p w14:paraId="04100366" w14:textId="4B5BF01B" w:rsidR="0018075E" w:rsidRPr="00C727F9" w:rsidRDefault="00EC2295" w:rsidP="00C727F9">
      <w:pPr>
        <w:spacing w:after="160"/>
        <w:jc w:val="both"/>
      </w:pPr>
      <w:r w:rsidRPr="00A64B10">
        <w:t xml:space="preserve">Most of the </w:t>
      </w:r>
      <w:proofErr w:type="spellStart"/>
      <w:r w:rsidR="008858AE" w:rsidRPr="00A64B10">
        <w:t>nanomedicinal</w:t>
      </w:r>
      <w:proofErr w:type="spellEnd"/>
      <w:r w:rsidR="009B2408" w:rsidRPr="00A64B10">
        <w:t xml:space="preserve"> products</w:t>
      </w:r>
      <w:r w:rsidRPr="00A64B10">
        <w:t xml:space="preserve"> on the market</w:t>
      </w:r>
      <w:r w:rsidR="008C5061" w:rsidRPr="00A64B10">
        <w:t xml:space="preserve">, </w:t>
      </w:r>
      <w:r w:rsidRPr="00A64B10">
        <w:t xml:space="preserve">in clinical trials </w:t>
      </w:r>
      <w:r w:rsidR="008C5061" w:rsidRPr="00A64B10">
        <w:t xml:space="preserve">or under development </w:t>
      </w:r>
      <w:r w:rsidRPr="00A64B10">
        <w:t>(e.g., liposomes, emulsions, micelles,</w:t>
      </w:r>
      <w:r w:rsidR="008C5061" w:rsidRPr="00A64B10">
        <w:t xml:space="preserve"> </w:t>
      </w:r>
      <w:r w:rsidRPr="00A64B10">
        <w:t>polymeric, and lipid</w:t>
      </w:r>
      <w:r w:rsidR="008C5061" w:rsidRPr="00A64B10">
        <w:t>-based</w:t>
      </w:r>
      <w:r w:rsidRPr="00A64B10">
        <w:t xml:space="preserve"> nanoparticles) </w:t>
      </w:r>
      <w:r w:rsidR="008C5061" w:rsidRPr="00A64B10">
        <w:t xml:space="preserve">are drug delivery platforms </w:t>
      </w:r>
      <w:r w:rsidRPr="00A64B10">
        <w:t>consist</w:t>
      </w:r>
      <w:r w:rsidR="008C5061" w:rsidRPr="00A64B10">
        <w:t>ing</w:t>
      </w:r>
      <w:r w:rsidRPr="00A64B10">
        <w:t xml:space="preserve"> of two parts: (</w:t>
      </w:r>
      <w:proofErr w:type="spellStart"/>
      <w:r w:rsidRPr="00A64B10">
        <w:t>i</w:t>
      </w:r>
      <w:proofErr w:type="spellEnd"/>
      <w:r w:rsidRPr="00A64B10">
        <w:t>) a</w:t>
      </w:r>
      <w:r w:rsidR="008C5061" w:rsidRPr="00A64B10">
        <w:t xml:space="preserve"> pharmaceutically inactive</w:t>
      </w:r>
      <w:r w:rsidRPr="00A64B10">
        <w:t xml:space="preserve"> </w:t>
      </w:r>
      <w:r w:rsidR="008C5061" w:rsidRPr="00A64B10">
        <w:t>nano</w:t>
      </w:r>
      <w:r w:rsidRPr="00A64B10">
        <w:t xml:space="preserve">carrier and (ii) </w:t>
      </w:r>
      <w:r w:rsidR="008C5061" w:rsidRPr="00A64B10">
        <w:t xml:space="preserve">an </w:t>
      </w:r>
      <w:r w:rsidRPr="00A64B10">
        <w:t xml:space="preserve">active pharmaceutical ingredient (API), </w:t>
      </w:r>
      <w:proofErr w:type="gramStart"/>
      <w:r w:rsidR="00EA0136">
        <w:t>i.e.</w:t>
      </w:r>
      <w:proofErr w:type="gramEnd"/>
      <w:r w:rsidR="00EA0136">
        <w:t xml:space="preserve"> </w:t>
      </w:r>
      <w:r w:rsidRPr="00A64B10">
        <w:t>the drug substance(s), encapsulated in the nanocarrier. Encapsulation of APIs in advance</w:t>
      </w:r>
      <w:r w:rsidR="0033592E" w:rsidRPr="00A64B10">
        <w:t>d</w:t>
      </w:r>
      <w:r w:rsidRPr="00A64B10">
        <w:t xml:space="preserve"> nanodrug delivery platforms helps to provide superior therapeutic efficacy and/or safety in comparison to the free API or legacy drug counterparts.</w:t>
      </w:r>
      <w:r w:rsidR="00A10684" w:rsidRPr="00A64B10">
        <w:t xml:space="preserve"> </w:t>
      </w:r>
      <w:r w:rsidR="00027964" w:rsidRPr="00A64B10">
        <w:t>The measurement</w:t>
      </w:r>
      <w:r w:rsidR="00861C48" w:rsidRPr="00A64B10">
        <w:t xml:space="preserve"> of total drug loading </w:t>
      </w:r>
      <w:r w:rsidR="009E5197" w:rsidRPr="00A64B10">
        <w:t xml:space="preserve">in a </w:t>
      </w:r>
      <w:proofErr w:type="spellStart"/>
      <w:r w:rsidR="009E5197" w:rsidRPr="00A64B10">
        <w:t>nanomedicin</w:t>
      </w:r>
      <w:r w:rsidR="009B2408" w:rsidRPr="00A64B10">
        <w:t>al</w:t>
      </w:r>
      <w:proofErr w:type="spellEnd"/>
      <w:r w:rsidR="009E5197" w:rsidRPr="00A64B10">
        <w:t xml:space="preserve"> formulation </w:t>
      </w:r>
      <w:r w:rsidR="002B28E4" w:rsidRPr="00A64B10">
        <w:t xml:space="preserve">is </w:t>
      </w:r>
      <w:r w:rsidR="00DD1867" w:rsidRPr="00A64B10">
        <w:t xml:space="preserve">usually </w:t>
      </w:r>
      <w:r w:rsidR="005C5069">
        <w:t>achievable by</w:t>
      </w:r>
      <w:r w:rsidR="00E72750" w:rsidRPr="00A64B10">
        <w:t xml:space="preserve"> dissolution of </w:t>
      </w:r>
      <w:r w:rsidR="00C5203B" w:rsidRPr="00A64B10">
        <w:t>the delivery vehicle (nanoparticle)</w:t>
      </w:r>
      <w:r w:rsidR="00CF0CEA" w:rsidRPr="00A64B10">
        <w:t>,</w:t>
      </w:r>
      <w:r w:rsidR="00514847" w:rsidRPr="00A64B10">
        <w:t xml:space="preserve"> </w:t>
      </w:r>
      <w:r w:rsidR="00CF0CEA" w:rsidRPr="00A64B10">
        <w:t xml:space="preserve">using a surfactant or </w:t>
      </w:r>
      <w:r w:rsidR="00244E66" w:rsidRPr="00A64B10">
        <w:t xml:space="preserve">a suitable </w:t>
      </w:r>
      <w:r w:rsidR="00CF0CEA" w:rsidRPr="00A64B10">
        <w:t>organic solvent</w:t>
      </w:r>
      <w:r w:rsidR="00027964" w:rsidRPr="00A64B10">
        <w:t xml:space="preserve">, </w:t>
      </w:r>
      <w:r w:rsidR="00027964" w:rsidRPr="00A64B10">
        <w:rPr>
          <w:rFonts w:cstheme="minorHAnsi"/>
        </w:rPr>
        <w:t>follow</w:t>
      </w:r>
      <w:r w:rsidR="00A4768A" w:rsidRPr="00A64B10">
        <w:rPr>
          <w:rFonts w:cstheme="minorHAnsi"/>
        </w:rPr>
        <w:t>ed</w:t>
      </w:r>
      <w:r w:rsidR="00027964" w:rsidRPr="00A64B10">
        <w:t xml:space="preserve"> by the </w:t>
      </w:r>
      <w:r w:rsidR="008C5061" w:rsidRPr="00A64B10">
        <w:t xml:space="preserve">extraction </w:t>
      </w:r>
      <w:r w:rsidR="00027964" w:rsidRPr="00A64B10">
        <w:t xml:space="preserve">and quantification </w:t>
      </w:r>
      <w:r w:rsidR="008C5061" w:rsidRPr="00A64B10">
        <w:t>of the API</w:t>
      </w:r>
      <w:r w:rsidR="00AE00B5" w:rsidRPr="00A64B10">
        <w:t xml:space="preserve">. </w:t>
      </w:r>
      <w:r w:rsidR="00476AF4" w:rsidRPr="00A64B10">
        <w:t xml:space="preserve">More complex case-by case </w:t>
      </w:r>
      <w:r w:rsidR="008C5061" w:rsidRPr="00A64B10">
        <w:t xml:space="preserve">chemical </w:t>
      </w:r>
      <w:r w:rsidR="00476AF4" w:rsidRPr="00A64B10">
        <w:t>approache</w:t>
      </w:r>
      <w:r w:rsidR="002D0B91" w:rsidRPr="00A64B10">
        <w:t>s</w:t>
      </w:r>
      <w:r w:rsidR="00476AF4" w:rsidRPr="00A64B10">
        <w:t xml:space="preserve"> may be needed if the API is covalently bonded to the </w:t>
      </w:r>
      <w:r w:rsidR="003433BB" w:rsidRPr="00A64B10">
        <w:t>nano</w:t>
      </w:r>
      <w:r w:rsidR="006B65EE" w:rsidRPr="00A64B10">
        <w:t>carrier and</w:t>
      </w:r>
      <w:r w:rsidR="008C5061" w:rsidRPr="00A64B10">
        <w:t xml:space="preserve"> </w:t>
      </w:r>
      <w:r w:rsidR="00E85341" w:rsidRPr="00A64B10">
        <w:t>must</w:t>
      </w:r>
      <w:r w:rsidR="008C5061" w:rsidRPr="00A64B10">
        <w:t xml:space="preserve"> be released before its quantification</w:t>
      </w:r>
      <w:r w:rsidR="00476AF4" w:rsidRPr="00A64B10">
        <w:t xml:space="preserve">. </w:t>
      </w:r>
      <w:r w:rsidR="00C5203B" w:rsidRPr="00A64B10">
        <w:t xml:space="preserve">Quantification of the </w:t>
      </w:r>
      <w:r w:rsidR="008C5061" w:rsidRPr="00A64B10">
        <w:t xml:space="preserve">API </w:t>
      </w:r>
      <w:r w:rsidR="00C5203B" w:rsidRPr="00A64B10">
        <w:t xml:space="preserve">is </w:t>
      </w:r>
      <w:r w:rsidR="008C5061" w:rsidRPr="00A64B10">
        <w:t xml:space="preserve">generally </w:t>
      </w:r>
      <w:r w:rsidR="00C5203B" w:rsidRPr="00A64B10">
        <w:t>performed by liquid chromatography coupled to</w:t>
      </w:r>
      <w:r w:rsidR="00AE00B5" w:rsidRPr="00A64B10">
        <w:t xml:space="preserve"> the most suitable detection system</w:t>
      </w:r>
      <w:r w:rsidR="008C056A" w:rsidRPr="00A64B10">
        <w:t>s</w:t>
      </w:r>
      <w:r w:rsidR="00AE00B5" w:rsidRPr="00A64B10">
        <w:t xml:space="preserve">, including UV-VIS, </w:t>
      </w:r>
      <w:r w:rsidR="00C5203B" w:rsidRPr="00A64B10">
        <w:t xml:space="preserve">tandem </w:t>
      </w:r>
      <w:r w:rsidR="003E4E21" w:rsidRPr="00A64B10">
        <w:t xml:space="preserve">molecular </w:t>
      </w:r>
      <w:r w:rsidR="00C5203B" w:rsidRPr="00A64B10">
        <w:t>mass spectrometry (LC-MS/MS)</w:t>
      </w:r>
      <w:r w:rsidR="00AE00B5" w:rsidRPr="00A64B10">
        <w:t xml:space="preserve"> or </w:t>
      </w:r>
      <w:r w:rsidR="00BA310F" w:rsidRPr="00BA310F">
        <w:t xml:space="preserve">Inductively Coupled Plasma Mass Spectrometry </w:t>
      </w:r>
      <w:r w:rsidR="00BA310F">
        <w:t>(</w:t>
      </w:r>
      <w:r w:rsidR="00AE00B5" w:rsidRPr="00A64B10">
        <w:t>ICP-MS</w:t>
      </w:r>
      <w:r w:rsidR="00BA310F">
        <w:t>)</w:t>
      </w:r>
      <w:r w:rsidR="00AE00B5" w:rsidRPr="00A64B10">
        <w:t xml:space="preserve">, as described in the protocols EUNCL-PCC-30 and NCI-NCL-PCC-14 </w:t>
      </w:r>
      <w:r w:rsidR="008C5061" w:rsidRPr="00A64B10">
        <w:t>(</w:t>
      </w:r>
      <w:r w:rsidR="005E2C1D" w:rsidRPr="00A64B10">
        <w:t>T</w:t>
      </w:r>
      <w:r w:rsidR="007F63F5" w:rsidRPr="00A64B10">
        <w:t>able S</w:t>
      </w:r>
      <w:r w:rsidR="007C17E3" w:rsidRPr="00A64B10">
        <w:t>2</w:t>
      </w:r>
      <w:r w:rsidR="008C5061" w:rsidRPr="00A64B10">
        <w:t>)</w:t>
      </w:r>
      <w:r w:rsidR="00AE00B5" w:rsidRPr="00A64B10">
        <w:t>.</w:t>
      </w:r>
      <w:r w:rsidR="000058F8" w:rsidRPr="00A64B10">
        <w:t xml:space="preserve"> </w:t>
      </w:r>
      <w:r w:rsidR="007F0903" w:rsidRPr="00A64B10">
        <w:t>The</w:t>
      </w:r>
      <w:r w:rsidR="003E4E21" w:rsidRPr="00A64B10">
        <w:t>se</w:t>
      </w:r>
      <w:r w:rsidR="007F0903" w:rsidRPr="00A64B10">
        <w:t xml:space="preserve"> methods </w:t>
      </w:r>
      <w:r w:rsidR="00231657" w:rsidRPr="00A64B10">
        <w:t xml:space="preserve">are </w:t>
      </w:r>
      <w:r w:rsidR="003E4E21" w:rsidRPr="00A64B10">
        <w:t xml:space="preserve">generally </w:t>
      </w:r>
      <w:r w:rsidR="007F0903" w:rsidRPr="00A64B10">
        <w:t>able not only to quantify the</w:t>
      </w:r>
      <w:r w:rsidR="006B65EE" w:rsidRPr="00A64B10">
        <w:t xml:space="preserve"> API</w:t>
      </w:r>
      <w:r w:rsidR="007F0903" w:rsidRPr="00A64B10">
        <w:t xml:space="preserve">, but also to </w:t>
      </w:r>
      <w:r w:rsidR="003E4E21" w:rsidRPr="00A64B10">
        <w:t xml:space="preserve">detect, </w:t>
      </w:r>
      <w:r w:rsidR="007F0903" w:rsidRPr="00A64B10">
        <w:t xml:space="preserve">identify </w:t>
      </w:r>
      <w:r w:rsidR="00E40B28" w:rsidRPr="00A64B10">
        <w:t xml:space="preserve">and quantify </w:t>
      </w:r>
      <w:r w:rsidR="007F0903" w:rsidRPr="00A64B10">
        <w:t>possible impurities.</w:t>
      </w:r>
      <w:r w:rsidR="00231657" w:rsidRPr="00A64B10">
        <w:t xml:space="preserve"> </w:t>
      </w:r>
      <w:r w:rsidR="008C5061" w:rsidRPr="00A64B10">
        <w:t>T</w:t>
      </w:r>
      <w:r w:rsidR="00231657" w:rsidRPr="00A64B10">
        <w:t>he</w:t>
      </w:r>
      <w:r w:rsidR="00E85341" w:rsidRPr="00A64B10">
        <w:t xml:space="preserve"> analytical methods </w:t>
      </w:r>
      <w:r w:rsidR="00231657" w:rsidRPr="00A64B10">
        <w:t>are substance</w:t>
      </w:r>
      <w:r w:rsidR="004305F3" w:rsidRPr="000700DD">
        <w:t>-</w:t>
      </w:r>
      <w:r w:rsidR="00231657" w:rsidRPr="00A64B10">
        <w:t xml:space="preserve">specific and cannot be generically </w:t>
      </w:r>
      <w:r w:rsidR="00231657" w:rsidRPr="00A64B10">
        <w:rPr>
          <w:rFonts w:cstheme="minorHAnsi"/>
        </w:rPr>
        <w:t>standardi</w:t>
      </w:r>
      <w:r w:rsidR="00A4768A" w:rsidRPr="00A64B10">
        <w:rPr>
          <w:rFonts w:cstheme="minorHAnsi"/>
        </w:rPr>
        <w:t>s</w:t>
      </w:r>
      <w:r w:rsidR="00231657" w:rsidRPr="00A64B10">
        <w:rPr>
          <w:rFonts w:cstheme="minorHAnsi"/>
        </w:rPr>
        <w:t>e</w:t>
      </w:r>
      <w:r w:rsidR="006F1028" w:rsidRPr="00A64B10">
        <w:rPr>
          <w:rFonts w:cstheme="minorHAnsi"/>
        </w:rPr>
        <w:t>d.</w:t>
      </w:r>
      <w:r w:rsidR="006F1028" w:rsidRPr="00A64B10">
        <w:t xml:space="preserve"> </w:t>
      </w:r>
      <w:r w:rsidR="004A4771" w:rsidRPr="00A64B10">
        <w:t xml:space="preserve">Major </w:t>
      </w:r>
      <w:r w:rsidR="001826A7" w:rsidRPr="00A64B10">
        <w:t xml:space="preserve">challenges </w:t>
      </w:r>
      <w:r w:rsidR="006A6813" w:rsidRPr="00A64B10">
        <w:t xml:space="preserve">in the field </w:t>
      </w:r>
      <w:r w:rsidR="004A4771" w:rsidRPr="00A64B10">
        <w:t xml:space="preserve">are related to </w:t>
      </w:r>
      <w:r w:rsidR="008304EB" w:rsidRPr="00A64B10">
        <w:t xml:space="preserve">nanocarriers encapsulating </w:t>
      </w:r>
      <w:r w:rsidR="004A03D8" w:rsidRPr="00A64B10">
        <w:t>emerging classes of APIs, like large nucleic acids, including DNA or mRNAs</w:t>
      </w:r>
      <w:r w:rsidR="006A6813" w:rsidRPr="00A64B10">
        <w:t xml:space="preserve">, where techniques for the </w:t>
      </w:r>
      <w:r w:rsidR="009C77F2" w:rsidRPr="00A64B10">
        <w:t xml:space="preserve">API identification, quantification </w:t>
      </w:r>
      <w:r w:rsidR="006A6813" w:rsidRPr="00A64B10">
        <w:t>and</w:t>
      </w:r>
      <w:r w:rsidR="009C77F2" w:rsidRPr="00A64B10">
        <w:t xml:space="preserve"> detection of</w:t>
      </w:r>
      <w:r w:rsidR="00E36DE3" w:rsidRPr="00A64B10">
        <w:t xml:space="preserve"> </w:t>
      </w:r>
      <w:r w:rsidR="006A6813" w:rsidRPr="00A64B10">
        <w:t>impurities are still under development</w:t>
      </w:r>
      <w:r w:rsidR="003E5209" w:rsidRPr="00A64B10">
        <w:t xml:space="preserve"> (Table 3)</w:t>
      </w:r>
      <w:r w:rsidR="00025118" w:rsidRPr="00A64B10">
        <w:t xml:space="preserve"> </w:t>
      </w:r>
      <w:r w:rsidR="00025118" w:rsidRPr="00A64B10">
        <w:fldChar w:fldCharType="begin" w:fldLock="1"/>
      </w:r>
      <w:r w:rsidR="000B3F63">
        <w:instrText>ADDIN CSL_CITATION {"citationItems":[{"id":"ITEM-1","itemData":{"DOI":"10.3390/vaccines7040131","ISSN":"2076393X","abstract":"The preferred product characteristics (for chemistry, control, and manufacture), in addition to safety and efficacy, are quintessential requirements for any successful therapeutic. Messenger RNA vaccines constitute a relatively new alternative to traditional vaccine development platforms, and thus there is less clarity regarding the criteria needed to ensure regulatory compliance and acceptance. Generally, to identify the ideal product characteristics, a series of assays needs to be developed, qualified and ultimately validated to determine the integrity, purity, stability, and reproducibility of a vaccine target. Here, using the available literature, we provide a summary of the array of biophysical and biochemical assays currently used in the field to characterize mRNA vaccine antigen candidates. Moreover, we review various in vitro functional cell-based assays that have been employed to facilitate the early assessment of the biological activity of these molecules, including the predictive immune response triggered in the host cell. Messenger RNA vaccines can be produced rapidly and at large scale, and thus will particularly benefit from well-defined and well-characterized assays ultimately to be used for in-process, release and stability-indications, which will allow equally rapid screening of immunogenicity, efficacy, and safety without the need to conduct often lengthy and costly in vivo experiments.","author":[{"dropping-particle":"","family":"Cristina Poveda","given":"","non-dropping-particle":"","parse-names":false,"suffix":""},{"dropping-particle":"","family":"Biter","given":"Amadeo B.","non-dropping-particle":"","parse-names":false,"suffix":""},{"dropping-particle":"","family":"Bottazzi","given":"Maria Elena","non-dropping-particle":"","parse-names":false,"suffix":""},{"dropping-particle":"","family":"Strych","given":"Ulrich","non-dropping-particle":"","parse-names":false,"suffix":""}],"container-title":"Vaccines","id":"ITEM-1","issue":"4","issued":{"date-parts":[["2019","12","1"]]},"publisher":"MDPI AG","title":"Establishing preferred product characterization for the evaluation of rna vaccine antigens","type":"article-journal","volume":"7"},"uris":["http://www.mendeley.com/documents/?uuid=0b76eb29-7a1c-30e6-9bad-2e28eddbfe69"]}],"mendeley":{"formattedCitation":"[31]","plainTextFormattedCitation":"[31]","previouslyFormattedCitation":"[31]"},"properties":{"noteIndex":0},"schema":"https://github.com/citation-style-language/schema/raw/master/csl-citation.json"}</w:instrText>
      </w:r>
      <w:r w:rsidR="00025118" w:rsidRPr="00A64B10">
        <w:fldChar w:fldCharType="separate"/>
      </w:r>
      <w:r w:rsidR="00993B28" w:rsidRPr="00993B28">
        <w:rPr>
          <w:noProof/>
        </w:rPr>
        <w:t>[31]</w:t>
      </w:r>
      <w:r w:rsidR="00025118" w:rsidRPr="00A64B10">
        <w:fldChar w:fldCharType="end"/>
      </w:r>
      <w:r w:rsidR="009C77F2" w:rsidRPr="00A64B10">
        <w:t>.</w:t>
      </w:r>
    </w:p>
    <w:p w14:paraId="5AD2AFCB" w14:textId="15038238" w:rsidR="00A5440F" w:rsidRPr="00A64B10" w:rsidRDefault="00A5440F" w:rsidP="002C110A">
      <w:pPr>
        <w:spacing w:after="0"/>
        <w:jc w:val="both"/>
      </w:pPr>
      <w:r w:rsidRPr="00A64B10">
        <w:rPr>
          <w:b/>
        </w:rPr>
        <w:t xml:space="preserve">Table </w:t>
      </w:r>
      <w:r w:rsidR="00467A0A" w:rsidRPr="00A64B10">
        <w:rPr>
          <w:b/>
        </w:rPr>
        <w:t>3</w:t>
      </w:r>
      <w:r w:rsidRPr="00A64B10">
        <w:rPr>
          <w:b/>
        </w:rPr>
        <w:t>:</w:t>
      </w:r>
      <w:r w:rsidRPr="00A64B10">
        <w:t xml:space="preserve"> </w:t>
      </w:r>
      <w:r w:rsidR="006973C1" w:rsidRPr="00A64B10">
        <w:t>Overview of relevance and major challenges related to measurement of drug loading and free vs encapsulated drug</w:t>
      </w:r>
      <w:r w:rsidR="002C110A">
        <w:t>.</w:t>
      </w:r>
    </w:p>
    <w:tbl>
      <w:tblPr>
        <w:tblStyle w:val="TableGrid"/>
        <w:tblW w:w="8642" w:type="dxa"/>
        <w:tblLook w:val="04A0" w:firstRow="1" w:lastRow="0" w:firstColumn="1" w:lastColumn="0" w:noHBand="0" w:noVBand="1"/>
      </w:tblPr>
      <w:tblGrid>
        <w:gridCol w:w="1187"/>
        <w:gridCol w:w="1502"/>
        <w:gridCol w:w="2030"/>
        <w:gridCol w:w="2080"/>
        <w:gridCol w:w="1843"/>
      </w:tblGrid>
      <w:tr w:rsidR="00D9031C" w:rsidRPr="00A64B10" w14:paraId="6EA687AF" w14:textId="77777777" w:rsidTr="001F6073">
        <w:tc>
          <w:tcPr>
            <w:tcW w:w="1187" w:type="dxa"/>
            <w:shd w:val="clear" w:color="auto" w:fill="1F497D" w:themeFill="text2"/>
          </w:tcPr>
          <w:p w14:paraId="5FAEF25C" w14:textId="757E1468" w:rsidR="0099139F" w:rsidRPr="00A64B10" w:rsidRDefault="0099139F" w:rsidP="001F6073">
            <w:pPr>
              <w:spacing w:after="160"/>
              <w:jc w:val="center"/>
              <w:rPr>
                <w:b/>
                <w:color w:val="FFFFFF" w:themeColor="background1"/>
              </w:rPr>
            </w:pPr>
            <w:bookmarkStart w:id="3" w:name="_Hlk54097848"/>
            <w:r w:rsidRPr="00A64B10">
              <w:rPr>
                <w:b/>
                <w:color w:val="FFFFFF" w:themeColor="background1"/>
              </w:rPr>
              <w:t>Area</w:t>
            </w:r>
            <w:r w:rsidR="001F6073">
              <w:rPr>
                <w:b/>
                <w:color w:val="FFFFFF" w:themeColor="background1"/>
              </w:rPr>
              <w:t xml:space="preserve"> </w:t>
            </w:r>
            <w:r w:rsidR="001F6073" w:rsidRPr="001F6073">
              <w:rPr>
                <w:b/>
                <w:color w:val="FFFFFF" w:themeColor="background1"/>
                <w:sz w:val="18"/>
                <w:szCs w:val="18"/>
              </w:rPr>
              <w:t>(with reference to regulatory documents)</w:t>
            </w:r>
          </w:p>
        </w:tc>
        <w:tc>
          <w:tcPr>
            <w:tcW w:w="1502" w:type="dxa"/>
            <w:shd w:val="clear" w:color="auto" w:fill="1F497D" w:themeFill="text2"/>
          </w:tcPr>
          <w:p w14:paraId="559497AD" w14:textId="77777777" w:rsidR="0099139F" w:rsidRPr="00A64B10" w:rsidRDefault="0099139F" w:rsidP="007B1B39">
            <w:pPr>
              <w:spacing w:after="160"/>
              <w:jc w:val="center"/>
              <w:rPr>
                <w:b/>
                <w:color w:val="FFFFFF" w:themeColor="background1"/>
              </w:rPr>
            </w:pPr>
            <w:r w:rsidRPr="00A64B10">
              <w:rPr>
                <w:b/>
                <w:color w:val="FFFFFF" w:themeColor="background1"/>
              </w:rPr>
              <w:t>Subcategory</w:t>
            </w:r>
          </w:p>
        </w:tc>
        <w:tc>
          <w:tcPr>
            <w:tcW w:w="2030" w:type="dxa"/>
            <w:shd w:val="clear" w:color="auto" w:fill="1F497D" w:themeFill="text2"/>
          </w:tcPr>
          <w:p w14:paraId="408BA309" w14:textId="77777777" w:rsidR="0099139F" w:rsidRPr="00A64B10" w:rsidRDefault="0099139F" w:rsidP="007B1B39">
            <w:pPr>
              <w:spacing w:after="160"/>
              <w:jc w:val="center"/>
              <w:rPr>
                <w:b/>
                <w:color w:val="FFFFFF" w:themeColor="background1"/>
              </w:rPr>
            </w:pPr>
            <w:r w:rsidRPr="00A64B10">
              <w:rPr>
                <w:b/>
                <w:color w:val="FFFFFF" w:themeColor="background1"/>
              </w:rPr>
              <w:t>Relevance</w:t>
            </w:r>
          </w:p>
        </w:tc>
        <w:tc>
          <w:tcPr>
            <w:tcW w:w="2080" w:type="dxa"/>
            <w:shd w:val="clear" w:color="auto" w:fill="1F497D" w:themeFill="text2"/>
          </w:tcPr>
          <w:p w14:paraId="47FA6C48" w14:textId="77777777" w:rsidR="0099139F" w:rsidRPr="00A64B10" w:rsidRDefault="0099139F" w:rsidP="007B1B39">
            <w:pPr>
              <w:spacing w:after="160"/>
              <w:jc w:val="center"/>
              <w:rPr>
                <w:b/>
                <w:color w:val="FFFFFF" w:themeColor="background1"/>
              </w:rPr>
            </w:pPr>
            <w:r w:rsidRPr="00A64B10">
              <w:rPr>
                <w:b/>
                <w:color w:val="FFFFFF" w:themeColor="background1"/>
              </w:rPr>
              <w:t>Challenges</w:t>
            </w:r>
          </w:p>
        </w:tc>
        <w:tc>
          <w:tcPr>
            <w:tcW w:w="1843" w:type="dxa"/>
            <w:shd w:val="clear" w:color="auto" w:fill="1F497D" w:themeFill="text2"/>
          </w:tcPr>
          <w:p w14:paraId="6D18E217" w14:textId="77777777" w:rsidR="0099139F" w:rsidRPr="00A64B10" w:rsidRDefault="0099139F" w:rsidP="007B1B39">
            <w:pPr>
              <w:spacing w:after="160"/>
              <w:jc w:val="center"/>
              <w:rPr>
                <w:b/>
                <w:color w:val="FFFFFF" w:themeColor="background1"/>
              </w:rPr>
            </w:pPr>
            <w:r w:rsidRPr="00A64B10">
              <w:rPr>
                <w:b/>
                <w:color w:val="FFFFFF" w:themeColor="background1"/>
              </w:rPr>
              <w:t>Gaps</w:t>
            </w:r>
          </w:p>
        </w:tc>
      </w:tr>
      <w:tr w:rsidR="00D9031C" w:rsidRPr="00A64B10" w14:paraId="698DBAC4" w14:textId="77777777" w:rsidTr="001F6073">
        <w:tc>
          <w:tcPr>
            <w:tcW w:w="1187" w:type="dxa"/>
            <w:vMerge w:val="restart"/>
            <w:shd w:val="clear" w:color="auto" w:fill="F2F2F2" w:themeFill="background1" w:themeFillShade="F2"/>
          </w:tcPr>
          <w:p w14:paraId="05B0442E" w14:textId="77777777" w:rsidR="0099139F" w:rsidRPr="00A64B10" w:rsidRDefault="0099139F" w:rsidP="00993B28">
            <w:pPr>
              <w:rPr>
                <w:sz w:val="20"/>
              </w:rPr>
            </w:pPr>
            <w:r w:rsidRPr="00A64B10">
              <w:rPr>
                <w:sz w:val="20"/>
              </w:rPr>
              <w:t>Drug loading &amp; release</w:t>
            </w:r>
          </w:p>
          <w:p w14:paraId="56345913" w14:textId="678A7B8A" w:rsidR="0099139F" w:rsidRPr="00A64B10" w:rsidRDefault="00747FAC" w:rsidP="007B1B39">
            <w:pPr>
              <w:spacing w:after="160"/>
              <w:rPr>
                <w:sz w:val="20"/>
              </w:rPr>
            </w:pPr>
            <w:r w:rsidRPr="00A64B10">
              <w:rPr>
                <w:sz w:val="20"/>
              </w:rPr>
              <w:fldChar w:fldCharType="begin" w:fldLock="1"/>
            </w:r>
            <w:r w:rsidR="000B3F63">
              <w:rPr>
                <w:sz w:val="20"/>
              </w:rPr>
              <w:instrText>ADDIN CSL_CITATION {"citationItems":[{"id":"ITEM-1","itemData":{"author":[{"dropping-particle":"","family":"FDA","given":"","non-dropping-particle":"","parse-names":false,"suffix":""}],"id":"ITEM-1","issued":{"date-parts":[["2017"]]},"title":"Drug Products, Including Biological Products, that Contain Nanomaterials. Guidance for Industry.","type":"article-journal"},"uris":["http://www.mendeley.com/documents/?uuid=1d007232-6836-43e1-9d00-b18d18197d80"]},{"id":"ITEM-2","itemData":{"author":[{"dropping-particle":"","family":"FDA","given":"","non-dropping-particle":"","parse-names":false,"suffix":""}],"id":"ITEM-2","issued":{"date-parts":[["2015"]]},"title":"Liposome Drug Products. Guidance for Industry.","type":"article-journal"},"uris":["http://www.mendeley.com/documents/?uuid=de80afa4-8e96-4dbb-9cee-0a2a0d304979"]},{"id":"ITEM-3","itemData":{"abstract":"This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required.","author":[{"dropping-particle":"","family":"EMA/CHMP","given":"","non-dropping-particle":"","parse-names":false,"suffix":""}],"id":"ITEM-3","issue":"EMA/CHMP/806058/2009/Rev.02","issued":{"date-parts":[["2013"]]},"publisher-place":"London","title":"Reflection paper on the data requirements for intravenous liposomal products developed with reference to an innovator liposomal product","type":"article-journal"},"uris":["http://www.mendeley.com/documents/?uuid=e3c908b6-9d35-4812-af55-a22fdf3f47f3"]},{"id":"ITEM-4","itemData":{"abstract":"This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required.","author":[{"dropping-particle":"","family":"EMA/CHMP","given":"","non-dropping-particle":"","parse-names":false,"suffix":""}],"id":"ITEM-4","issue":"EMA/CHMP/SWP/620008/2012","issued":{"date-parts":[["2015"]]},"publisher-place":"London","title":"Reflection paper on the data requirements for intravenous iron-based nano-colloidal products developed with reference to an innovator medicinal product","type":"article-journal"},"uris":["http://www.mendeley.com/documents/?uuid=2bd38740-cd32-48fe-b1a5-f868a29c8dbd"]},{"id":"ITEM-5","itemData":{"author":[{"dropping-particle":"","family":"EMA/CHMP","given":"","non-dropping-particle":"","parse-names":false,"suffix":""}],"id":"ITEM-5","issue":"EMA/CHMP/13099/2013.","issued":{"date-parts":[["2013"]]},"publisher-place":"London","title":"Joint MHLW/EMA reflection paper on the development of block copolymer micelle medicinal products.","type":"article-journal"},"uris":["http://www.mendeley.com/documents/?uuid=931c6128-62f0-452c-91d8-48fe80efa916"]},{"id":"ITEM-6","itemData":{"author":[{"dropping-particle":"","family":"MHLW","given":"","non-dropping-particle":"","parse-names":false,"suffix":""}],"id":"ITEM-6","issued":{"date-parts":[["2016"]]},"title":"Reflection paper on nucleic acids (siRNA)-loaded nanotechnology based drug products","type":"article-journal"},"uris":["http://www.mendeley.com/documents/?uuid=3fd76c20-840c-414f-aef5-f91cb4afaf92"]},{"id":"ITEM-7","itemData":{"author":[{"dropping-particle":"","family":"MHLW","given":"","non-dropping-particle":"","parse-names":false,"suffix":""}],"id":"ITEM-7","issued":{"date-parts":[["2016"]]},"title":"Guideline for the development of liposome drug products","type":"article-journal"},"uris":["http://www.mendeley.com/documents/?uuid=4cdf9bd0-f0ff-4e59-9510-381b3c65c8f1"]}],"mendeley":{"formattedCitation":"[6–12]","plainTextFormattedCitation":"[6–12]","previouslyFormattedCitation":"[6–12]"},"properties":{"noteIndex":0},"schema":"https://github.com/citation-style-language/schema/raw/master/csl-citation.json"}</w:instrText>
            </w:r>
            <w:r w:rsidRPr="00A64B10">
              <w:rPr>
                <w:sz w:val="20"/>
              </w:rPr>
              <w:fldChar w:fldCharType="separate"/>
            </w:r>
            <w:r w:rsidR="00993B28" w:rsidRPr="00993B28">
              <w:rPr>
                <w:noProof/>
                <w:sz w:val="20"/>
              </w:rPr>
              <w:t>[6–12]</w:t>
            </w:r>
            <w:r w:rsidRPr="00A64B10">
              <w:rPr>
                <w:sz w:val="20"/>
              </w:rPr>
              <w:fldChar w:fldCharType="end"/>
            </w:r>
          </w:p>
        </w:tc>
        <w:tc>
          <w:tcPr>
            <w:tcW w:w="1502" w:type="dxa"/>
            <w:shd w:val="clear" w:color="auto" w:fill="F2F2F2" w:themeFill="background1" w:themeFillShade="F2"/>
          </w:tcPr>
          <w:p w14:paraId="314A08DE" w14:textId="77777777" w:rsidR="0099139F" w:rsidRPr="00A64B10" w:rsidRDefault="0099139F" w:rsidP="007B1B39">
            <w:pPr>
              <w:spacing w:after="160"/>
              <w:rPr>
                <w:sz w:val="20"/>
              </w:rPr>
            </w:pPr>
            <w:r w:rsidRPr="00A64B10">
              <w:rPr>
                <w:sz w:val="20"/>
              </w:rPr>
              <w:t>1)Total drug loading</w:t>
            </w:r>
          </w:p>
        </w:tc>
        <w:tc>
          <w:tcPr>
            <w:tcW w:w="2030" w:type="dxa"/>
            <w:vMerge w:val="restart"/>
            <w:shd w:val="clear" w:color="auto" w:fill="F2F2F2" w:themeFill="background1" w:themeFillShade="F2"/>
          </w:tcPr>
          <w:p w14:paraId="0042F3C2" w14:textId="77777777" w:rsidR="0099139F" w:rsidRPr="00A64B10" w:rsidRDefault="0099139F" w:rsidP="007B1B39">
            <w:pPr>
              <w:spacing w:after="160"/>
              <w:rPr>
                <w:sz w:val="20"/>
              </w:rPr>
            </w:pPr>
            <w:r w:rsidRPr="00A64B10">
              <w:rPr>
                <w:sz w:val="20"/>
              </w:rPr>
              <w:t>Direct impact on the therapeutic efficacy and safety of the product</w:t>
            </w:r>
          </w:p>
          <w:p w14:paraId="238E1B6A" w14:textId="77777777" w:rsidR="0099139F" w:rsidRPr="00A64B10" w:rsidRDefault="0099139F" w:rsidP="007B1B39">
            <w:pPr>
              <w:spacing w:after="160"/>
              <w:rPr>
                <w:sz w:val="20"/>
              </w:rPr>
            </w:pPr>
            <w:r w:rsidRPr="00A64B10">
              <w:rPr>
                <w:sz w:val="20"/>
              </w:rPr>
              <w:t>Monitoring of API leakage (relevant for product stability) during storage and use</w:t>
            </w:r>
          </w:p>
        </w:tc>
        <w:tc>
          <w:tcPr>
            <w:tcW w:w="2080" w:type="dxa"/>
            <w:vMerge w:val="restart"/>
            <w:shd w:val="clear" w:color="auto" w:fill="F2F2F2" w:themeFill="background1" w:themeFillShade="F2"/>
          </w:tcPr>
          <w:p w14:paraId="1DBE855B" w14:textId="77777777" w:rsidR="0099139F" w:rsidRPr="00051AA8" w:rsidRDefault="0099139F" w:rsidP="0000021E">
            <w:pPr>
              <w:pStyle w:val="ListParagraph"/>
              <w:numPr>
                <w:ilvl w:val="0"/>
                <w:numId w:val="18"/>
              </w:numPr>
              <w:spacing w:after="160"/>
              <w:ind w:left="132" w:hanging="142"/>
              <w:rPr>
                <w:sz w:val="20"/>
              </w:rPr>
            </w:pPr>
            <w:r w:rsidRPr="00051AA8">
              <w:rPr>
                <w:sz w:val="20"/>
              </w:rPr>
              <w:t>Need to adapt the methods to each</w:t>
            </w:r>
            <w:r w:rsidR="00D9031C" w:rsidRPr="00051AA8">
              <w:rPr>
                <w:rFonts w:cstheme="minorHAnsi"/>
                <w:sz w:val="20"/>
                <w:szCs w:val="20"/>
              </w:rPr>
              <w:t xml:space="preserve"> nanocarrier/API </w:t>
            </w:r>
            <w:proofErr w:type="gramStart"/>
            <w:r w:rsidR="00D9031C" w:rsidRPr="00051AA8">
              <w:rPr>
                <w:rFonts w:cstheme="minorHAnsi"/>
                <w:sz w:val="20"/>
                <w:szCs w:val="20"/>
              </w:rPr>
              <w:t>combination</w:t>
            </w:r>
            <w:proofErr w:type="gramEnd"/>
          </w:p>
          <w:p w14:paraId="310EBFBD" w14:textId="77777777" w:rsidR="0099139F" w:rsidRPr="00051AA8" w:rsidRDefault="0099139F" w:rsidP="0000021E">
            <w:pPr>
              <w:pStyle w:val="ListParagraph"/>
              <w:numPr>
                <w:ilvl w:val="0"/>
                <w:numId w:val="18"/>
              </w:numPr>
              <w:spacing w:after="160"/>
              <w:ind w:left="132" w:hanging="142"/>
              <w:rPr>
                <w:sz w:val="20"/>
              </w:rPr>
            </w:pPr>
            <w:r w:rsidRPr="00051AA8">
              <w:rPr>
                <w:sz w:val="20"/>
              </w:rPr>
              <w:t>Separation of API from nanocarrier prior to API quantification (subcategory</w:t>
            </w:r>
            <w:r w:rsidR="001E7603" w:rsidRPr="00051AA8">
              <w:rPr>
                <w:sz w:val="20"/>
              </w:rPr>
              <w:t xml:space="preserve"> </w:t>
            </w:r>
            <w:r w:rsidRPr="00051AA8">
              <w:rPr>
                <w:sz w:val="20"/>
              </w:rPr>
              <w:t>2)</w:t>
            </w:r>
            <w:r w:rsidR="003018E3" w:rsidRPr="00051AA8">
              <w:rPr>
                <w:rFonts w:cstheme="minorHAnsi"/>
                <w:sz w:val="20"/>
                <w:szCs w:val="20"/>
              </w:rPr>
              <w:t xml:space="preserve"> may be challenging and induce artefacts</w:t>
            </w:r>
          </w:p>
        </w:tc>
        <w:tc>
          <w:tcPr>
            <w:tcW w:w="1843" w:type="dxa"/>
            <w:vMerge w:val="restart"/>
            <w:shd w:val="clear" w:color="auto" w:fill="F2F2F2" w:themeFill="background1" w:themeFillShade="F2"/>
          </w:tcPr>
          <w:p w14:paraId="1DDE7AAC" w14:textId="77777777" w:rsidR="0099139F" w:rsidRPr="00A64B10" w:rsidRDefault="003018E3" w:rsidP="007B1B39">
            <w:pPr>
              <w:spacing w:after="160"/>
              <w:rPr>
                <w:rFonts w:cstheme="minorHAnsi"/>
                <w:sz w:val="20"/>
                <w:szCs w:val="20"/>
              </w:rPr>
            </w:pPr>
            <w:r w:rsidRPr="00A64B10">
              <w:rPr>
                <w:rFonts w:cstheme="minorHAnsi"/>
                <w:sz w:val="20"/>
                <w:szCs w:val="20"/>
              </w:rPr>
              <w:t>Methods for the d</w:t>
            </w:r>
            <w:r w:rsidR="0099139F" w:rsidRPr="00A64B10">
              <w:rPr>
                <w:sz w:val="20"/>
              </w:rPr>
              <w:t>etection and quantification of large API such as nucleic acid</w:t>
            </w:r>
            <w:r w:rsidRPr="00A64B10">
              <w:rPr>
                <w:rFonts w:cstheme="minorHAnsi"/>
                <w:sz w:val="20"/>
                <w:szCs w:val="20"/>
              </w:rPr>
              <w:t xml:space="preserve"> are </w:t>
            </w:r>
            <w:proofErr w:type="gramStart"/>
            <w:r w:rsidRPr="00A64B10">
              <w:rPr>
                <w:rFonts w:cstheme="minorHAnsi"/>
                <w:sz w:val="20"/>
                <w:szCs w:val="20"/>
              </w:rPr>
              <w:t>missing</w:t>
            </w:r>
            <w:proofErr w:type="gramEnd"/>
          </w:p>
          <w:p w14:paraId="7B14D71F" w14:textId="14ED981B" w:rsidR="003018E3" w:rsidRPr="00A64B10" w:rsidRDefault="003018E3" w:rsidP="007B1B39">
            <w:pPr>
              <w:spacing w:after="160"/>
              <w:rPr>
                <w:sz w:val="20"/>
              </w:rPr>
            </w:pPr>
          </w:p>
        </w:tc>
      </w:tr>
      <w:tr w:rsidR="00D9031C" w:rsidRPr="00A64B10" w14:paraId="3DB45B71" w14:textId="77777777" w:rsidTr="001F6073">
        <w:tc>
          <w:tcPr>
            <w:tcW w:w="1187" w:type="dxa"/>
            <w:vMerge/>
          </w:tcPr>
          <w:p w14:paraId="7D42F0CD" w14:textId="77777777" w:rsidR="0099139F" w:rsidRPr="00A64B10" w:rsidRDefault="0099139F" w:rsidP="007B1B39">
            <w:pPr>
              <w:spacing w:after="160"/>
              <w:rPr>
                <w:sz w:val="20"/>
              </w:rPr>
            </w:pPr>
          </w:p>
        </w:tc>
        <w:tc>
          <w:tcPr>
            <w:tcW w:w="1502" w:type="dxa"/>
          </w:tcPr>
          <w:p w14:paraId="0C1CF57E" w14:textId="77777777" w:rsidR="0099139F" w:rsidRPr="00A64B10" w:rsidRDefault="0099139F" w:rsidP="007B1B39">
            <w:pPr>
              <w:spacing w:after="160"/>
              <w:rPr>
                <w:sz w:val="20"/>
              </w:rPr>
            </w:pPr>
            <w:r w:rsidRPr="00A64B10">
              <w:rPr>
                <w:sz w:val="20"/>
              </w:rPr>
              <w:t>2)Free vs encapsulated drug</w:t>
            </w:r>
          </w:p>
        </w:tc>
        <w:tc>
          <w:tcPr>
            <w:tcW w:w="2030" w:type="dxa"/>
            <w:vMerge/>
          </w:tcPr>
          <w:p w14:paraId="4E02908E" w14:textId="77777777" w:rsidR="0099139F" w:rsidRPr="00A64B10" w:rsidRDefault="0099139F" w:rsidP="007B1B39">
            <w:pPr>
              <w:spacing w:after="160"/>
              <w:rPr>
                <w:sz w:val="20"/>
              </w:rPr>
            </w:pPr>
          </w:p>
        </w:tc>
        <w:tc>
          <w:tcPr>
            <w:tcW w:w="2080" w:type="dxa"/>
            <w:vMerge/>
          </w:tcPr>
          <w:p w14:paraId="537070C0" w14:textId="77777777" w:rsidR="0099139F" w:rsidRPr="00A64B10" w:rsidRDefault="0099139F" w:rsidP="007B1B39">
            <w:pPr>
              <w:spacing w:after="160"/>
              <w:rPr>
                <w:sz w:val="20"/>
              </w:rPr>
            </w:pPr>
          </w:p>
        </w:tc>
        <w:tc>
          <w:tcPr>
            <w:tcW w:w="1843" w:type="dxa"/>
            <w:vMerge/>
          </w:tcPr>
          <w:p w14:paraId="1BA25570" w14:textId="77777777" w:rsidR="0099139F" w:rsidRPr="00A64B10" w:rsidRDefault="0099139F" w:rsidP="007B1B39">
            <w:pPr>
              <w:spacing w:after="160"/>
              <w:rPr>
                <w:sz w:val="20"/>
              </w:rPr>
            </w:pPr>
          </w:p>
        </w:tc>
      </w:tr>
    </w:tbl>
    <w:bookmarkEnd w:id="3"/>
    <w:p w14:paraId="4EFC2BAA" w14:textId="0B7585F9" w:rsidR="00C727F9" w:rsidRPr="00A64B10" w:rsidRDefault="00C727F9" w:rsidP="00C727F9">
      <w:pPr>
        <w:autoSpaceDE w:val="0"/>
        <w:autoSpaceDN w:val="0"/>
        <w:adjustRightInd w:val="0"/>
        <w:spacing w:after="0"/>
        <w:jc w:val="both"/>
        <w:rPr>
          <w:rFonts w:ascii="Calibri" w:hAnsi="Calibri" w:cs="Calibri"/>
        </w:rPr>
      </w:pPr>
      <w:r w:rsidRPr="00A64B10">
        <w:t>The measurement of free API (percentage of the total API content</w:t>
      </w:r>
      <w:r>
        <w:t xml:space="preserve"> encapsulated into nanoparticle</w:t>
      </w:r>
      <w:r w:rsidRPr="00A64B10">
        <w:t xml:space="preserve">) and of drug release is a two-step process, depending on the availability of analytical methods that can accurately separate the carrier from the free API prior to its quantification. Most of the analytical methods currently available for the separation of the free API from the nanocarrier are adapted from techniques conventionally used for bioanalytical purification of nano-formulations, including chromatographic methods, liquid-liquid </w:t>
      </w:r>
      <w:proofErr w:type="gramStart"/>
      <w:r w:rsidRPr="00A64B10">
        <w:t>extraction</w:t>
      </w:r>
      <w:proofErr w:type="gramEnd"/>
      <w:r w:rsidRPr="00A64B10">
        <w:t xml:space="preserve"> and equilibrium methods. The method chosen should be able </w:t>
      </w:r>
      <w:r w:rsidRPr="00A64B10">
        <w:rPr>
          <w:rFonts w:ascii="Calibri" w:hAnsi="Calibri" w:cs="Calibri"/>
        </w:rPr>
        <w:t>to separate the medium with the free drug from the particles (</w:t>
      </w:r>
      <w:proofErr w:type="spellStart"/>
      <w:r w:rsidRPr="00A64B10">
        <w:rPr>
          <w:rFonts w:ascii="Calibri" w:hAnsi="Calibri" w:cs="Calibri"/>
        </w:rPr>
        <w:t>i</w:t>
      </w:r>
      <w:proofErr w:type="spellEnd"/>
      <w:r w:rsidRPr="00A64B10">
        <w:rPr>
          <w:rFonts w:ascii="Calibri" w:hAnsi="Calibri" w:cs="Calibri"/>
        </w:rPr>
        <w:t>) without affecting the carrier integrity, (ii) without inducing leakage of drug by other means (</w:t>
      </w:r>
      <w:proofErr w:type="gramStart"/>
      <w:r w:rsidRPr="00A64B10">
        <w:rPr>
          <w:rFonts w:ascii="Calibri" w:hAnsi="Calibri" w:cs="Calibri"/>
        </w:rPr>
        <w:t>e.g.</w:t>
      </w:r>
      <w:proofErr w:type="gramEnd"/>
      <w:r w:rsidRPr="00A64B10">
        <w:rPr>
          <w:rFonts w:ascii="Calibri" w:hAnsi="Calibri" w:cs="Calibri"/>
        </w:rPr>
        <w:t xml:space="preserve"> dilution) and (iii) without influencing the concentration equilibrium of the drug between the encapsulated and the free state. </w:t>
      </w:r>
      <w:r w:rsidRPr="00A64B10">
        <w:rPr>
          <w:rFonts w:ascii="Calibri" w:hAnsi="Calibri" w:cs="Calibri"/>
        </w:rPr>
        <w:lastRenderedPageBreak/>
        <w:t xml:space="preserve">EUNCL and NCI-NCL have developed and validated protocols for separation of free </w:t>
      </w:r>
      <w:r w:rsidRPr="00A64B10">
        <w:rPr>
          <w:rFonts w:ascii="Calibri" w:hAnsi="Calibri" w:cs="Calibri"/>
          <w:i/>
          <w:iCs/>
        </w:rPr>
        <w:t>vs</w:t>
      </w:r>
      <w:r w:rsidRPr="00A64B10">
        <w:rPr>
          <w:rFonts w:ascii="Calibri" w:hAnsi="Calibri" w:cs="Calibri"/>
        </w:rPr>
        <w:t xml:space="preserve"> encapsulated drugs by ultrafiltration that are applicable to multiple nano-formulations encapsulating classical small drugs (Table S2). Many other protocols are available in the literature that are tailored to specific nanomedicine classes using other separation techniques, such as the use </w:t>
      </w:r>
      <w:r w:rsidRPr="00A63721">
        <w:rPr>
          <w:rFonts w:ascii="Calibri" w:hAnsi="Calibri" w:cs="Calibri"/>
        </w:rPr>
        <w:t>of Solid Phase Ext</w:t>
      </w:r>
      <w:r>
        <w:rPr>
          <w:rFonts w:ascii="Calibri" w:hAnsi="Calibri" w:cs="Calibri"/>
        </w:rPr>
        <w:t>raction</w:t>
      </w:r>
      <w:r w:rsidRPr="00A64B10">
        <w:rPr>
          <w:rFonts w:ascii="Calibri" w:hAnsi="Calibri" w:cs="Calibri"/>
        </w:rPr>
        <w:t xml:space="preserve"> for lipid-based nanoparticles </w:t>
      </w:r>
      <w:r w:rsidRPr="00A64B10">
        <w:rPr>
          <w:rFonts w:ascii="Calibri" w:hAnsi="Calibri" w:cs="Calibri"/>
        </w:rPr>
        <w:fldChar w:fldCharType="begin" w:fldLock="1"/>
      </w:r>
      <w:r w:rsidR="000B3F63">
        <w:rPr>
          <w:rFonts w:ascii="Calibri" w:hAnsi="Calibri" w:cs="Calibri"/>
        </w:rPr>
        <w:instrText>ADDIN CSL_CITATION {"citationItems":[{"id":"ITEM-1","itemData":{"DOI":"10.1007/s11095-015-1761-8","ISSN":"1573904X","PMID":"26202518","abstract":"Purpose: Contrary to physical characterization techniques for nanopharmaceuticals (shape, size and zeta-potential), the techniques to quantify the free and the entrapped drug remain very few and difficult to transpose in routine analytical laboratories. The application of Solid Phase Extraction (SPE) technique was investigated to overcome this challenge. Methods: The separation of free and entrapped drug by SPE was quantitatively validated by High Performance Liquid Chromatography. The developed protocol was implemented to characterize cyclosporine A-loaded 120 nm-sized lipid nanoparticles (LNPs, Lipidot®) dispersed in aqueous buffer. The colloidal stability was assessed by Dynamic Light Scattering (DLS). Results: Validation experiments demonstrated suitable linearity, repeatability, accuracy and specificity to quantify residual free, entrapped and total drug. For the investigated LNPs, the method revealed a very limited shelflife of the formulation when stored in an aqueous buffer at 5°C and even more at elevated temperature. Nevertheless, the DLS measurements confirmed the stability of nanoparticles during SPE in a suitable concentration range. Conclusions: SPE, when successfully validated, represents a valuable tool for drug development and quality control purposes of lipid-based nanopharmaceuticals in an industrial environment.","author":[{"dropping-particle":"","family":"Guillot","given":"Alexis","non-dropping-particle":"","parse-names":false,"suffix":""},{"dropping-particle":"","family":"Couffin","given":"Anne Claude","non-dropping-particle":"","parse-names":false,"suffix":""},{"dropping-particle":"","family":"Sejean","given":"Xavier","non-dropping-particle":"","parse-names":false,"suffix":""},{"dropping-particle":"","family":"Navarro","given":"Fabrice","non-dropping-particle":"","parse-names":false,"suffix":""},{"dropping-particle":"","family":"Limberger","given":"Markus","non-dropping-particle":"","parse-names":false,"suffix":""},{"dropping-particle":"","family":"Lehr","given":"Claus Michael","non-dropping-particle":"","parse-names":false,"suffix":""}],"container-title":"Pharmaceutical Research","id":"ITEM-1","issue":"12","issued":{"date-parts":[["2015","7","23"]]},"page":"3999-4009","publisher":"Springer New York LLC","title":"Solid Phase Extraction as an Innovative Separation Method for Measuring Free and Entrapped Drug in Lipid Nanoparticles","type":"article-journal","volume":"32"},"uris":["http://www.mendeley.com/documents/?uuid=437f0387-6752-3c4a-b898-466b264f6063"]}],"mendeley":{"formattedCitation":"[32]","plainTextFormattedCitation":"[32]","previouslyFormattedCitation":"[32]"},"properties":{"noteIndex":0},"schema":"https://github.com/citation-style-language/schema/raw/master/csl-citation.json"}</w:instrText>
      </w:r>
      <w:r w:rsidRPr="00A64B10">
        <w:rPr>
          <w:rFonts w:ascii="Calibri" w:hAnsi="Calibri" w:cs="Calibri"/>
        </w:rPr>
        <w:fldChar w:fldCharType="separate"/>
      </w:r>
      <w:r w:rsidR="00993B28" w:rsidRPr="00993B28">
        <w:rPr>
          <w:rFonts w:ascii="Calibri" w:hAnsi="Calibri" w:cs="Calibri"/>
          <w:noProof/>
        </w:rPr>
        <w:t>[32]</w:t>
      </w:r>
      <w:r w:rsidRPr="00A64B10">
        <w:rPr>
          <w:rFonts w:ascii="Calibri" w:hAnsi="Calibri" w:cs="Calibri"/>
        </w:rPr>
        <w:fldChar w:fldCharType="end"/>
      </w:r>
      <w:r w:rsidRPr="00A64B10">
        <w:rPr>
          <w:rFonts w:ascii="Calibri" w:hAnsi="Calibri" w:cs="Calibri"/>
        </w:rPr>
        <w:t xml:space="preserve">. In case of extremely challenging products, the use of complementary methods could be used to obtain an orthogonal confirmation of the results. </w:t>
      </w:r>
    </w:p>
    <w:p w14:paraId="4B24C8E7" w14:textId="77777777" w:rsidR="00E813A1" w:rsidRPr="00A64B10" w:rsidRDefault="00E813A1" w:rsidP="00CC56B8">
      <w:pPr>
        <w:autoSpaceDE w:val="0"/>
        <w:autoSpaceDN w:val="0"/>
        <w:adjustRightInd w:val="0"/>
        <w:spacing w:after="0"/>
        <w:jc w:val="both"/>
        <w:rPr>
          <w:rFonts w:ascii="Calibri" w:hAnsi="Calibri" w:cs="Calibri"/>
        </w:rPr>
      </w:pPr>
    </w:p>
    <w:p w14:paraId="5D3C315D" w14:textId="77777777" w:rsidR="00250DFF" w:rsidRPr="00A64B10" w:rsidRDefault="00A91F47" w:rsidP="00CC56B8">
      <w:pPr>
        <w:pStyle w:val="Heading2"/>
      </w:pPr>
      <w:r w:rsidRPr="00A64B10">
        <w:t>4.</w:t>
      </w:r>
      <w:r w:rsidR="00FF2897" w:rsidRPr="00A64B10">
        <w:t>3</w:t>
      </w:r>
      <w:r w:rsidRPr="00A64B10">
        <w:t xml:space="preserve"> </w:t>
      </w:r>
      <w:r w:rsidR="00250DFF" w:rsidRPr="00A64B10">
        <w:t xml:space="preserve">Kinetic properties in biological media </w:t>
      </w:r>
    </w:p>
    <w:p w14:paraId="693EA8C1" w14:textId="6D119870" w:rsidR="00B34E46" w:rsidRDefault="00A4768A" w:rsidP="00CC56B8">
      <w:pPr>
        <w:spacing w:after="160"/>
        <w:jc w:val="both"/>
      </w:pPr>
      <w:r w:rsidRPr="00A64B10">
        <w:t xml:space="preserve">In contrast to </w:t>
      </w:r>
      <w:r w:rsidR="003250D5" w:rsidRPr="00A64B10">
        <w:t xml:space="preserve">classical drugs </w:t>
      </w:r>
      <w:r w:rsidR="00965A84" w:rsidRPr="00A64B10">
        <w:t xml:space="preserve">where stability studies in conditions mimicking the physiological exposure are </w:t>
      </w:r>
      <w:r w:rsidR="00251C0D" w:rsidRPr="00A64B10">
        <w:t xml:space="preserve">only </w:t>
      </w:r>
      <w:r w:rsidR="00041F10" w:rsidRPr="00A64B10">
        <w:t xml:space="preserve">focalised </w:t>
      </w:r>
      <w:r w:rsidR="00965A84" w:rsidRPr="00A64B10">
        <w:t xml:space="preserve">on the chemical stability, </w:t>
      </w:r>
      <w:proofErr w:type="spellStart"/>
      <w:r w:rsidR="00986858" w:rsidRPr="00A64B10">
        <w:t>nanomedici</w:t>
      </w:r>
      <w:r w:rsidR="009B2408" w:rsidRPr="00A64B10">
        <w:t>nal</w:t>
      </w:r>
      <w:proofErr w:type="spellEnd"/>
      <w:r w:rsidR="009B2408" w:rsidRPr="00A64B10">
        <w:t xml:space="preserve"> products</w:t>
      </w:r>
      <w:r w:rsidR="005B5FBA" w:rsidRPr="00A64B10">
        <w:t xml:space="preserve"> require the evaluation of</w:t>
      </w:r>
      <w:r w:rsidR="00965A84" w:rsidRPr="00A64B10">
        <w:t xml:space="preserve"> </w:t>
      </w:r>
      <w:r w:rsidR="003250D5" w:rsidRPr="00A64B10">
        <w:t>t</w:t>
      </w:r>
      <w:r w:rsidR="00D5481F" w:rsidRPr="00A64B10">
        <w:t xml:space="preserve">he </w:t>
      </w:r>
      <w:r w:rsidR="00415A33" w:rsidRPr="00A64B10">
        <w:t>stability in biological media</w:t>
      </w:r>
      <w:r w:rsidR="00BE40D0" w:rsidRPr="00A64B10">
        <w:t xml:space="preserve"> </w:t>
      </w:r>
      <w:r w:rsidR="005B5FBA" w:rsidRPr="00A64B10">
        <w:t>considering</w:t>
      </w:r>
      <w:r w:rsidR="00251B37" w:rsidRPr="00A64B10">
        <w:t xml:space="preserve"> </w:t>
      </w:r>
      <w:r w:rsidR="005C67BD" w:rsidRPr="00A64B10">
        <w:t xml:space="preserve">three </w:t>
      </w:r>
      <w:r w:rsidR="00BE40D0" w:rsidRPr="00A64B10">
        <w:t>additional</w:t>
      </w:r>
      <w:r w:rsidR="00D5481F" w:rsidRPr="00A64B10">
        <w:t xml:space="preserve"> aspects</w:t>
      </w:r>
      <w:r w:rsidR="00251B37" w:rsidRPr="00A64B10">
        <w:t xml:space="preserve">: </w:t>
      </w:r>
      <w:r w:rsidR="00736469" w:rsidRPr="00A64B10">
        <w:t>(</w:t>
      </w:r>
      <w:proofErr w:type="spellStart"/>
      <w:r w:rsidR="00736469" w:rsidRPr="00A64B10">
        <w:t>i</w:t>
      </w:r>
      <w:proofErr w:type="spellEnd"/>
      <w:r w:rsidR="00736469" w:rsidRPr="00A64B10">
        <w:t>) the release kinetic</w:t>
      </w:r>
      <w:r w:rsidR="004F7905">
        <w:t>s</w:t>
      </w:r>
      <w:r w:rsidR="00736469" w:rsidRPr="00A64B10">
        <w:t xml:space="preserve"> of the API from the carrier in </w:t>
      </w:r>
      <w:r w:rsidR="00EC4881" w:rsidRPr="00A64B10">
        <w:t xml:space="preserve">the </w:t>
      </w:r>
      <w:r w:rsidR="00736469" w:rsidRPr="00A64B10">
        <w:t xml:space="preserve">presence of the plasma proteins, </w:t>
      </w:r>
      <w:r w:rsidR="00251B37" w:rsidRPr="00A64B10">
        <w:t>(</w:t>
      </w:r>
      <w:r w:rsidR="00736469" w:rsidRPr="00A64B10">
        <w:t>i</w:t>
      </w:r>
      <w:r w:rsidR="00251B37" w:rsidRPr="00A64B10">
        <w:t xml:space="preserve">i) </w:t>
      </w:r>
      <w:r w:rsidR="00BE40D0" w:rsidRPr="00A64B10">
        <w:t xml:space="preserve">the </w:t>
      </w:r>
      <w:r w:rsidR="00251B37" w:rsidRPr="00A64B10">
        <w:t>physical stability</w:t>
      </w:r>
      <w:r w:rsidR="00BE40D0" w:rsidRPr="00A64B10">
        <w:t xml:space="preserve"> of the nanocarrier</w:t>
      </w:r>
      <w:r w:rsidR="00251B37" w:rsidRPr="00A64B10">
        <w:t xml:space="preserve"> </w:t>
      </w:r>
      <w:r w:rsidR="005B5FBA" w:rsidRPr="00A64B10">
        <w:t>regarding</w:t>
      </w:r>
      <w:r w:rsidR="00251B37" w:rsidRPr="00A64B10">
        <w:t xml:space="preserve"> the change </w:t>
      </w:r>
      <w:r w:rsidR="00EC4881" w:rsidRPr="00A64B10">
        <w:t>in</w:t>
      </w:r>
      <w:r w:rsidR="00251B37" w:rsidRPr="00A64B10">
        <w:t xml:space="preserve"> size and polydispersity </w:t>
      </w:r>
      <w:r w:rsidR="00436CF5" w:rsidRPr="00A64B10">
        <w:t xml:space="preserve">of the particles </w:t>
      </w:r>
      <w:r w:rsidR="005B5FBA" w:rsidRPr="00A64B10">
        <w:t xml:space="preserve">following their </w:t>
      </w:r>
      <w:r w:rsidR="008C22AF" w:rsidRPr="00A64B10">
        <w:t xml:space="preserve">contact with plasma proteins </w:t>
      </w:r>
      <w:r w:rsidR="00736469" w:rsidRPr="00A64B10">
        <w:t xml:space="preserve">and </w:t>
      </w:r>
      <w:r w:rsidR="005C67BD" w:rsidRPr="00A64B10">
        <w:t>(ii</w:t>
      </w:r>
      <w:r w:rsidR="0046106A" w:rsidRPr="00A64B10">
        <w:t>i</w:t>
      </w:r>
      <w:r w:rsidR="005C67BD" w:rsidRPr="00A64B10">
        <w:t xml:space="preserve">) </w:t>
      </w:r>
      <w:r w:rsidR="00700D13" w:rsidRPr="00A64B10">
        <w:t xml:space="preserve">the </w:t>
      </w:r>
      <w:r w:rsidR="005B5FBA" w:rsidRPr="00A64B10">
        <w:t xml:space="preserve">adsorption </w:t>
      </w:r>
      <w:r w:rsidR="00792998" w:rsidRPr="00A64B10">
        <w:t xml:space="preserve">of </w:t>
      </w:r>
      <w:r w:rsidR="00D614C7" w:rsidRPr="00A64B10">
        <w:t xml:space="preserve">plasma </w:t>
      </w:r>
      <w:r w:rsidR="00792998" w:rsidRPr="00A64B10">
        <w:t xml:space="preserve">proteins </w:t>
      </w:r>
      <w:r w:rsidR="005B5FBA" w:rsidRPr="00A64B10">
        <w:t xml:space="preserve">onto </w:t>
      </w:r>
      <w:r w:rsidR="00792998" w:rsidRPr="00A64B10">
        <w:t>the particle surface</w:t>
      </w:r>
      <w:r w:rsidR="005B5FBA" w:rsidRPr="00A64B10">
        <w:t xml:space="preserve"> leading to the formation of</w:t>
      </w:r>
      <w:r w:rsidR="00792998" w:rsidRPr="00A64B10">
        <w:t xml:space="preserve"> </w:t>
      </w:r>
      <w:r w:rsidR="00700D13" w:rsidRPr="00A64B10">
        <w:t xml:space="preserve">a </w:t>
      </w:r>
      <w:r w:rsidR="005C67BD" w:rsidRPr="00A64B10">
        <w:t xml:space="preserve">protein </w:t>
      </w:r>
      <w:r w:rsidR="00700D13" w:rsidRPr="00A64B10">
        <w:t>corona</w:t>
      </w:r>
      <w:r w:rsidR="0046106A" w:rsidRPr="00A64B10">
        <w:t xml:space="preserve"> </w:t>
      </w:r>
      <w:r w:rsidR="005B5FBA" w:rsidRPr="00A64B10">
        <w:t>altering the surface properties</w:t>
      </w:r>
      <w:r w:rsidR="003E5209" w:rsidRPr="00A64B10">
        <w:t xml:space="preserve"> (</w:t>
      </w:r>
      <w:r w:rsidR="009B2408" w:rsidRPr="00A64B10">
        <w:t>T</w:t>
      </w:r>
      <w:r w:rsidR="003E5209" w:rsidRPr="00A64B10">
        <w:t>able 4)</w:t>
      </w:r>
      <w:r w:rsidR="00232120" w:rsidRPr="00A64B10">
        <w:t>.</w:t>
      </w:r>
      <w:r w:rsidR="00B41589" w:rsidRPr="00A64B10">
        <w:t xml:space="preserve"> </w:t>
      </w:r>
      <w:r w:rsidR="00492BFC" w:rsidRPr="00A64B10">
        <w:t xml:space="preserve">Moreover, </w:t>
      </w:r>
      <w:r w:rsidR="004F7905" w:rsidRPr="00A64B10">
        <w:t>analysing</w:t>
      </w:r>
      <w:r w:rsidR="00492BFC" w:rsidRPr="00A64B10">
        <w:t xml:space="preserve"> the chemical stability of complex drug products, </w:t>
      </w:r>
      <w:proofErr w:type="gramStart"/>
      <w:r w:rsidR="00CB7DE3">
        <w:t>e.g.</w:t>
      </w:r>
      <w:proofErr w:type="gramEnd"/>
      <w:r w:rsidR="00CB7DE3">
        <w:t xml:space="preserve"> towards</w:t>
      </w:r>
      <w:r w:rsidR="00492BFC" w:rsidRPr="00A64B10">
        <w:t xml:space="preserve"> oxidation and degradation of lipid-based </w:t>
      </w:r>
      <w:r w:rsidR="006C2E7C" w:rsidRPr="00A64B10">
        <w:t>NPs</w:t>
      </w:r>
      <w:r w:rsidR="00492BFC" w:rsidRPr="00A64B10">
        <w:t xml:space="preserve"> containing </w:t>
      </w:r>
      <w:r w:rsidR="003066B2">
        <w:t>polydisperse</w:t>
      </w:r>
      <w:r w:rsidR="003066B2" w:rsidRPr="00A64B10">
        <w:t xml:space="preserve"> </w:t>
      </w:r>
      <w:r w:rsidR="00492BFC" w:rsidRPr="00A64B10">
        <w:t xml:space="preserve">components, by standard analytical chromatography approaches may be technically very demanding. </w:t>
      </w:r>
      <w:r w:rsidR="00E544C4" w:rsidRPr="00A64B10">
        <w:t xml:space="preserve">Molecular </w:t>
      </w:r>
      <w:r w:rsidR="000C76F6" w:rsidRPr="00A64B10">
        <w:t>stability</w:t>
      </w:r>
      <w:r w:rsidR="00690505" w:rsidRPr="00A64B10">
        <w:t xml:space="preserve"> can be affected by the biological media, </w:t>
      </w:r>
      <w:proofErr w:type="gramStart"/>
      <w:r w:rsidR="00690505" w:rsidRPr="00A64B10">
        <w:t>e.g.</w:t>
      </w:r>
      <w:proofErr w:type="gramEnd"/>
      <w:r w:rsidR="00690505" w:rsidRPr="00A64B10">
        <w:t xml:space="preserve"> by </w:t>
      </w:r>
      <w:r w:rsidR="00E544C4" w:rsidRPr="00A64B10">
        <w:t>chemical</w:t>
      </w:r>
      <w:r w:rsidR="00565DB8" w:rsidRPr="00A64B10">
        <w:t xml:space="preserve"> or enzymatic hydrolysis of labile structures like ester bonds.</w:t>
      </w:r>
      <w:r w:rsidR="00492BFC" w:rsidRPr="00A64B10">
        <w:t xml:space="preserve"> </w:t>
      </w:r>
      <w:r w:rsidR="005C67BD" w:rsidRPr="00A64B10">
        <w:t xml:space="preserve">Those </w:t>
      </w:r>
      <w:r w:rsidR="009352A6" w:rsidRPr="00A64B10">
        <w:t xml:space="preserve">aspects introduce </w:t>
      </w:r>
      <w:r w:rsidR="00DD4F00" w:rsidRPr="00A64B10">
        <w:t xml:space="preserve">critical </w:t>
      </w:r>
      <w:r w:rsidR="003F4F08" w:rsidRPr="00A64B10">
        <w:t xml:space="preserve">methodological </w:t>
      </w:r>
      <w:r w:rsidR="005C67BD" w:rsidRPr="00A64B10">
        <w:t>c</w:t>
      </w:r>
      <w:r w:rsidR="009352A6" w:rsidRPr="00A64B10">
        <w:t>hallenges, as described in the following paragraphs.</w:t>
      </w:r>
    </w:p>
    <w:p w14:paraId="354CD6D9" w14:textId="77777777" w:rsidR="008F37F0" w:rsidRPr="00A64B10" w:rsidRDefault="008F37F0" w:rsidP="008F37F0">
      <w:pPr>
        <w:spacing w:after="160"/>
        <w:jc w:val="both"/>
      </w:pPr>
      <w:r w:rsidRPr="00A64B10">
        <w:rPr>
          <w:b/>
        </w:rPr>
        <w:t>Table 4:</w:t>
      </w:r>
      <w:r w:rsidRPr="00A64B10">
        <w:t xml:space="preserve"> Overview of relevance and major challenges of methods </w:t>
      </w:r>
      <w:proofErr w:type="gramStart"/>
      <w:r w:rsidRPr="00A64B10">
        <w:t>in the area of</w:t>
      </w:r>
      <w:proofErr w:type="gramEnd"/>
      <w:r w:rsidRPr="00A64B10">
        <w:t xml:space="preserve"> kinetic properties in biological media.</w:t>
      </w:r>
    </w:p>
    <w:tbl>
      <w:tblPr>
        <w:tblStyle w:val="TableGrid"/>
        <w:tblW w:w="9067" w:type="dxa"/>
        <w:tblLook w:val="04A0" w:firstRow="1" w:lastRow="0" w:firstColumn="1" w:lastColumn="0" w:noHBand="0" w:noVBand="1"/>
      </w:tblPr>
      <w:tblGrid>
        <w:gridCol w:w="1187"/>
        <w:gridCol w:w="1643"/>
        <w:gridCol w:w="2127"/>
        <w:gridCol w:w="2126"/>
        <w:gridCol w:w="1984"/>
      </w:tblGrid>
      <w:tr w:rsidR="008F37F0" w:rsidRPr="00A64B10" w14:paraId="03C895C9" w14:textId="77777777" w:rsidTr="002169C0">
        <w:tc>
          <w:tcPr>
            <w:tcW w:w="1187" w:type="dxa"/>
            <w:shd w:val="clear" w:color="auto" w:fill="1F497D" w:themeFill="text2"/>
          </w:tcPr>
          <w:p w14:paraId="5FDB140D" w14:textId="77777777" w:rsidR="008F37F0" w:rsidRPr="00A64B10" w:rsidRDefault="008F37F0" w:rsidP="002169C0">
            <w:pPr>
              <w:spacing w:after="160"/>
              <w:jc w:val="center"/>
              <w:rPr>
                <w:b/>
                <w:color w:val="FFFFFF" w:themeColor="background1"/>
              </w:rPr>
            </w:pPr>
            <w:bookmarkStart w:id="4" w:name="_Hlk54170445"/>
            <w:r w:rsidRPr="00A64B10">
              <w:rPr>
                <w:b/>
                <w:color w:val="FFFFFF" w:themeColor="background1"/>
              </w:rPr>
              <w:t>Area</w:t>
            </w:r>
          </w:p>
        </w:tc>
        <w:tc>
          <w:tcPr>
            <w:tcW w:w="1643" w:type="dxa"/>
            <w:shd w:val="clear" w:color="auto" w:fill="1F497D" w:themeFill="text2"/>
          </w:tcPr>
          <w:p w14:paraId="729D3307" w14:textId="77777777" w:rsidR="008F37F0" w:rsidRPr="00A64B10" w:rsidRDefault="008F37F0" w:rsidP="002169C0">
            <w:pPr>
              <w:spacing w:after="160"/>
              <w:jc w:val="center"/>
              <w:rPr>
                <w:b/>
                <w:color w:val="FFFFFF" w:themeColor="background1"/>
              </w:rPr>
            </w:pPr>
            <w:r w:rsidRPr="00A64B10">
              <w:rPr>
                <w:b/>
                <w:color w:val="FFFFFF" w:themeColor="background1"/>
              </w:rPr>
              <w:t>Subcategory</w:t>
            </w:r>
            <w:r>
              <w:rPr>
                <w:b/>
                <w:color w:val="FFFFFF" w:themeColor="background1"/>
              </w:rPr>
              <w:t xml:space="preserve"> </w:t>
            </w:r>
            <w:r w:rsidRPr="00565FA3">
              <w:rPr>
                <w:bCs/>
                <w:color w:val="FFFFFF" w:themeColor="background1"/>
                <w:sz w:val="20"/>
                <w:szCs w:val="20"/>
              </w:rPr>
              <w:t>(with reference to regulatory documents)</w:t>
            </w:r>
          </w:p>
        </w:tc>
        <w:tc>
          <w:tcPr>
            <w:tcW w:w="2127" w:type="dxa"/>
            <w:shd w:val="clear" w:color="auto" w:fill="1F497D" w:themeFill="text2"/>
          </w:tcPr>
          <w:p w14:paraId="13BB7A7F" w14:textId="77777777" w:rsidR="008F37F0" w:rsidRPr="00A64B10" w:rsidRDefault="008F37F0" w:rsidP="002169C0">
            <w:pPr>
              <w:spacing w:after="160"/>
              <w:jc w:val="center"/>
              <w:rPr>
                <w:b/>
                <w:color w:val="FFFFFF" w:themeColor="background1"/>
              </w:rPr>
            </w:pPr>
            <w:r w:rsidRPr="00A64B10">
              <w:rPr>
                <w:b/>
                <w:color w:val="FFFFFF" w:themeColor="background1"/>
              </w:rPr>
              <w:t>Relevance</w:t>
            </w:r>
          </w:p>
        </w:tc>
        <w:tc>
          <w:tcPr>
            <w:tcW w:w="2126" w:type="dxa"/>
            <w:shd w:val="clear" w:color="auto" w:fill="1F497D" w:themeFill="text2"/>
          </w:tcPr>
          <w:p w14:paraId="1A5723CB" w14:textId="77777777" w:rsidR="008F37F0" w:rsidRPr="00A64B10" w:rsidRDefault="008F37F0" w:rsidP="002169C0">
            <w:pPr>
              <w:spacing w:after="160"/>
              <w:jc w:val="center"/>
              <w:rPr>
                <w:b/>
                <w:color w:val="FFFFFF" w:themeColor="background1"/>
              </w:rPr>
            </w:pPr>
            <w:r w:rsidRPr="00A64B10">
              <w:rPr>
                <w:b/>
                <w:color w:val="FFFFFF" w:themeColor="background1"/>
              </w:rPr>
              <w:t>Challenges</w:t>
            </w:r>
          </w:p>
        </w:tc>
        <w:tc>
          <w:tcPr>
            <w:tcW w:w="1984" w:type="dxa"/>
            <w:shd w:val="clear" w:color="auto" w:fill="1F497D" w:themeFill="text2"/>
          </w:tcPr>
          <w:p w14:paraId="1C04EB6E" w14:textId="77777777" w:rsidR="008F37F0" w:rsidRPr="00A64B10" w:rsidRDefault="008F37F0" w:rsidP="002169C0">
            <w:pPr>
              <w:spacing w:after="160"/>
              <w:jc w:val="center"/>
              <w:rPr>
                <w:b/>
                <w:color w:val="FFFFFF" w:themeColor="background1"/>
              </w:rPr>
            </w:pPr>
            <w:r w:rsidRPr="00A64B10">
              <w:rPr>
                <w:b/>
                <w:color w:val="FFFFFF" w:themeColor="background1"/>
              </w:rPr>
              <w:t>Gaps</w:t>
            </w:r>
          </w:p>
        </w:tc>
      </w:tr>
      <w:tr w:rsidR="008F37F0" w:rsidRPr="00A64B10" w14:paraId="66C816E5" w14:textId="77777777" w:rsidTr="002169C0">
        <w:tc>
          <w:tcPr>
            <w:tcW w:w="1187" w:type="dxa"/>
            <w:vMerge w:val="restart"/>
            <w:shd w:val="clear" w:color="auto" w:fill="F2F2F2" w:themeFill="background1" w:themeFillShade="F2"/>
          </w:tcPr>
          <w:p w14:paraId="4126E3B0" w14:textId="77777777" w:rsidR="008F37F0" w:rsidRPr="00A64B10" w:rsidRDefault="008F37F0" w:rsidP="002169C0">
            <w:pPr>
              <w:spacing w:after="160"/>
              <w:rPr>
                <w:rFonts w:cstheme="minorHAnsi"/>
                <w:sz w:val="20"/>
                <w:szCs w:val="20"/>
              </w:rPr>
            </w:pPr>
            <w:r w:rsidRPr="00A64B10">
              <w:rPr>
                <w:rFonts w:cstheme="minorHAnsi"/>
                <w:sz w:val="20"/>
                <w:szCs w:val="20"/>
              </w:rPr>
              <w:t>Kinetic properties in biological media</w:t>
            </w:r>
          </w:p>
          <w:p w14:paraId="0BF99C1A" w14:textId="77777777" w:rsidR="008F37F0" w:rsidRPr="00A64B10" w:rsidRDefault="008F37F0" w:rsidP="002169C0">
            <w:pPr>
              <w:spacing w:after="160"/>
              <w:rPr>
                <w:rFonts w:cstheme="minorHAnsi"/>
                <w:sz w:val="20"/>
                <w:szCs w:val="20"/>
              </w:rPr>
            </w:pPr>
          </w:p>
        </w:tc>
        <w:tc>
          <w:tcPr>
            <w:tcW w:w="1643" w:type="dxa"/>
            <w:shd w:val="clear" w:color="auto" w:fill="F2F2F2" w:themeFill="background1" w:themeFillShade="F2"/>
          </w:tcPr>
          <w:p w14:paraId="01E637AA" w14:textId="77777777" w:rsidR="008F37F0" w:rsidRPr="00A64B10" w:rsidRDefault="008F37F0" w:rsidP="00993B28">
            <w:pPr>
              <w:rPr>
                <w:rFonts w:cstheme="minorHAnsi"/>
                <w:sz w:val="20"/>
                <w:szCs w:val="20"/>
              </w:rPr>
            </w:pPr>
            <w:r w:rsidRPr="00A64B10">
              <w:rPr>
                <w:rFonts w:cstheme="minorHAnsi"/>
                <w:sz w:val="20"/>
                <w:szCs w:val="20"/>
              </w:rPr>
              <w:t>Drug release in blood/ plasma</w:t>
            </w:r>
          </w:p>
          <w:p w14:paraId="77F21A4B" w14:textId="3B3B8429" w:rsidR="008F37F0" w:rsidRPr="00A64B10" w:rsidRDefault="008F37F0" w:rsidP="002169C0">
            <w:pPr>
              <w:spacing w:after="160"/>
              <w:rPr>
                <w:rFonts w:cstheme="minorHAnsi"/>
                <w:sz w:val="20"/>
                <w:szCs w:val="20"/>
              </w:rPr>
            </w:pPr>
            <w:r w:rsidRPr="00A64B10">
              <w:rPr>
                <w:rFonts w:cstheme="minorHAnsi"/>
                <w:sz w:val="20"/>
                <w:szCs w:val="20"/>
              </w:rPr>
              <w:fldChar w:fldCharType="begin" w:fldLock="1"/>
            </w:r>
            <w:r w:rsidR="000B3F63">
              <w:rPr>
                <w:rFonts w:cstheme="minorHAnsi"/>
                <w:sz w:val="20"/>
                <w:szCs w:val="20"/>
              </w:rPr>
              <w:instrText>ADDIN CSL_CITATION {"citationItems":[{"id":"ITEM-1","itemData":{"author":[{"dropping-particle":"","family":"FDA","given":"","non-dropping-particle":"","parse-names":false,"suffix":""}],"id":"ITEM-1","issued":{"date-parts":[["2017"]]},"title":"Drug Products, Including Biological Products, that Contain Nanomaterials. Guidance for Industry.","type":"article-journal"},"uris":["http://www.mendeley.com/documents/?uuid=1d007232-6836-43e1-9d00-b18d18197d80"]},{"id":"ITEM-2","itemData":{"author":[{"dropping-particle":"","family":"EMA/CHMP","given":"","non-dropping-particle":"","parse-names":false,"suffix":""}],"id":"ITEM-2","issue":"EMA/CHMP/13099/2013.","issued":{"date-parts":[["2013"]]},"publisher-place":"London","title":"Joint MHLW/EMA reflection paper on the development of block copolymer micelle medicinal products.","type":"article-journal"},"uris":["http://www.mendeley.com/documents/?uuid=931c6128-62f0-452c-91d8-48fe80efa916"]},{"id":"ITEM-3","itemData":{"abstract":"This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required.","author":[{"dropping-particle":"","family":"EMA/CHMP","given":"","non-dropping-particle":"","parse-names":false,"suffix":""}],"id":"ITEM-3","issue":"EMA/CHMP/806058/2009/Rev.02","issued":{"date-parts":[["2013"]]},"publisher-place":"London","title":"Reflection paper on the data requirements for intravenous liposomal products developed with reference to an innovator liposomal product","type":"article-journal"},"uris":["http://www.mendeley.com/documents/?uuid=e3c908b6-9d35-4812-af55-a22fdf3f47f3"]},{"id":"ITEM-4","itemData":{"abstract":"This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required.","author":[{"dropping-particle":"","family":"EMA/CHMP","given":"","non-dropping-particle":"","parse-names":false,"suffix":""}],"id":"ITEM-4","issue":"EMA/CHMP/SWP/620008/2012","issued":{"date-parts":[["2015"]]},"publisher-place":"London","title":"Reflection paper on the data requirements for intravenous iron-based nano-colloidal products developed with reference to an innovator medicinal product","type":"article-journal"},"uris":["http://www.mendeley.com/documents/?uuid=2bd38740-cd32-48fe-b1a5-f868a29c8dbd"]},{"id":"ITEM-5","itemData":{"author":[{"dropping-particle":"","family":"FDA","given":"","non-dropping-particle":"","parse-names":false,"suffix":""}],"id":"ITEM-5","issued":{"date-parts":[["2015"]]},"title":"Liposome Drug Products. Guidance for Industry.","type":"article-journal"},"uris":["http://www.mendeley.com/documents/?uuid=de80afa4-8e96-4dbb-9cee-0a2a0d304979"]},{"id":"ITEM-6","itemData":{"author":[{"dropping-particle":"","family":"MHLW","given":"","non-dropping-particle":"","parse-names":false,"suffix":""}],"id":"ITEM-6","issued":{"date-parts":[["2016"]]},"title":"Guideline for the development of liposome drug products","type":"article-journal"},"uris":["http://www.mendeley.com/documents/?uuid=4cdf9bd0-f0ff-4e59-9510-381b3c65c8f1"]},{"id":"ITEM-7","itemData":{"author":[{"dropping-particle":"","family":"MHLW","given":"","non-dropping-particle":"","parse-names":false,"suffix":""}],"id":"ITEM-7","issued":{"date-parts":[["2016"]]},"title":"Reflection paper on nucleic acids (siRNA)-loaded nanotechnology based drug products","type":"article-journal"},"uris":["http://www.mendeley.com/documents/?uuid=3fd76c20-840c-414f-aef5-f91cb4afaf92"]}],"mendeley":{"formattedCitation":"[6–12]","plainTextFormattedCitation":"[6–12]","previouslyFormattedCitation":"[6–12]"},"properties":{"noteIndex":0},"schema":"https://github.com/citation-style-language/schema/raw/master/csl-citation.json"}</w:instrText>
            </w:r>
            <w:r w:rsidRPr="00A64B10">
              <w:rPr>
                <w:rFonts w:cstheme="minorHAnsi"/>
                <w:sz w:val="20"/>
                <w:szCs w:val="20"/>
              </w:rPr>
              <w:fldChar w:fldCharType="separate"/>
            </w:r>
            <w:r w:rsidR="00993B28" w:rsidRPr="00993B28">
              <w:rPr>
                <w:rFonts w:cstheme="minorHAnsi"/>
                <w:noProof/>
                <w:sz w:val="20"/>
                <w:szCs w:val="20"/>
              </w:rPr>
              <w:t>[6–12]</w:t>
            </w:r>
            <w:r w:rsidRPr="00A64B10">
              <w:rPr>
                <w:rFonts w:cstheme="minorHAnsi"/>
                <w:sz w:val="20"/>
                <w:szCs w:val="20"/>
              </w:rPr>
              <w:fldChar w:fldCharType="end"/>
            </w:r>
          </w:p>
        </w:tc>
        <w:tc>
          <w:tcPr>
            <w:tcW w:w="2127" w:type="dxa"/>
            <w:shd w:val="clear" w:color="auto" w:fill="F2F2F2" w:themeFill="background1" w:themeFillShade="F2"/>
          </w:tcPr>
          <w:p w14:paraId="1DE7AF87" w14:textId="77777777" w:rsidR="008F37F0" w:rsidRPr="00A64B10" w:rsidRDefault="008F37F0" w:rsidP="002169C0">
            <w:pPr>
              <w:spacing w:after="160"/>
              <w:rPr>
                <w:rFonts w:cstheme="minorHAnsi"/>
                <w:sz w:val="20"/>
                <w:szCs w:val="20"/>
              </w:rPr>
            </w:pPr>
            <w:r w:rsidRPr="00A64B10">
              <w:rPr>
                <w:rFonts w:cstheme="minorHAnsi"/>
                <w:sz w:val="20"/>
                <w:szCs w:val="20"/>
              </w:rPr>
              <w:t>Direct Impact on the therapeutic efficacy and safety</w:t>
            </w:r>
          </w:p>
          <w:p w14:paraId="5C459765" w14:textId="77777777" w:rsidR="008F37F0" w:rsidRPr="00A64B10" w:rsidRDefault="008F37F0" w:rsidP="002169C0">
            <w:pPr>
              <w:spacing w:after="160"/>
              <w:rPr>
                <w:rFonts w:cstheme="minorHAnsi"/>
                <w:sz w:val="20"/>
                <w:szCs w:val="20"/>
              </w:rPr>
            </w:pPr>
          </w:p>
        </w:tc>
        <w:tc>
          <w:tcPr>
            <w:tcW w:w="2126" w:type="dxa"/>
            <w:shd w:val="clear" w:color="auto" w:fill="F2F2F2" w:themeFill="background1" w:themeFillShade="F2"/>
          </w:tcPr>
          <w:p w14:paraId="74CDF739" w14:textId="77777777" w:rsidR="008F37F0" w:rsidRPr="00A64B10" w:rsidRDefault="008F37F0" w:rsidP="002169C0">
            <w:pPr>
              <w:spacing w:after="160"/>
              <w:rPr>
                <w:rFonts w:cstheme="minorHAnsi"/>
                <w:sz w:val="20"/>
                <w:szCs w:val="20"/>
              </w:rPr>
            </w:pPr>
            <w:r w:rsidRPr="00A64B10">
              <w:rPr>
                <w:rFonts w:cstheme="minorHAnsi"/>
                <w:sz w:val="20"/>
                <w:szCs w:val="20"/>
              </w:rPr>
              <w:t>Separation and quantification of encapsulated and unencapsulated drug fractions</w:t>
            </w:r>
          </w:p>
        </w:tc>
        <w:tc>
          <w:tcPr>
            <w:tcW w:w="1984" w:type="dxa"/>
            <w:shd w:val="clear" w:color="auto" w:fill="F2F2F2" w:themeFill="background1" w:themeFillShade="F2"/>
          </w:tcPr>
          <w:p w14:paraId="1C923760" w14:textId="77777777" w:rsidR="008F37F0" w:rsidRPr="00A64B10" w:rsidRDefault="008F37F0" w:rsidP="002169C0">
            <w:pPr>
              <w:spacing w:after="160"/>
              <w:rPr>
                <w:rFonts w:cstheme="minorHAnsi"/>
                <w:sz w:val="20"/>
                <w:szCs w:val="20"/>
              </w:rPr>
            </w:pPr>
            <w:r w:rsidRPr="00A64B10">
              <w:rPr>
                <w:rFonts w:cstheme="minorHAnsi"/>
                <w:sz w:val="20"/>
                <w:szCs w:val="20"/>
              </w:rPr>
              <w:t>Measurement of drug release (large APIs)</w:t>
            </w:r>
          </w:p>
          <w:p w14:paraId="3063267B" w14:textId="77777777" w:rsidR="008F37F0" w:rsidRPr="00A64B10" w:rsidRDefault="008F37F0" w:rsidP="002169C0">
            <w:pPr>
              <w:spacing w:after="160"/>
              <w:rPr>
                <w:rFonts w:cstheme="minorHAnsi"/>
                <w:sz w:val="20"/>
                <w:szCs w:val="20"/>
              </w:rPr>
            </w:pPr>
          </w:p>
        </w:tc>
      </w:tr>
      <w:tr w:rsidR="008F37F0" w:rsidRPr="00A64B10" w14:paraId="379BC104" w14:textId="77777777" w:rsidTr="002169C0">
        <w:trPr>
          <w:trHeight w:val="930"/>
        </w:trPr>
        <w:tc>
          <w:tcPr>
            <w:tcW w:w="1187" w:type="dxa"/>
            <w:vMerge/>
            <w:shd w:val="clear" w:color="auto" w:fill="F2F2F2" w:themeFill="background1" w:themeFillShade="F2"/>
          </w:tcPr>
          <w:p w14:paraId="252343B5" w14:textId="77777777" w:rsidR="008F37F0" w:rsidRPr="00A64B10" w:rsidRDefault="008F37F0" w:rsidP="002169C0">
            <w:pPr>
              <w:spacing w:after="160"/>
              <w:rPr>
                <w:rFonts w:cstheme="minorHAnsi"/>
                <w:sz w:val="20"/>
                <w:szCs w:val="20"/>
              </w:rPr>
            </w:pPr>
          </w:p>
        </w:tc>
        <w:tc>
          <w:tcPr>
            <w:tcW w:w="1643" w:type="dxa"/>
            <w:shd w:val="clear" w:color="auto" w:fill="F2F2F2" w:themeFill="background1" w:themeFillShade="F2"/>
          </w:tcPr>
          <w:p w14:paraId="54E93B8A" w14:textId="77777777" w:rsidR="008F37F0" w:rsidRPr="00A64B10" w:rsidRDefault="008F37F0" w:rsidP="00993B28">
            <w:pPr>
              <w:rPr>
                <w:rFonts w:cstheme="minorHAnsi"/>
                <w:sz w:val="20"/>
                <w:szCs w:val="20"/>
              </w:rPr>
            </w:pPr>
            <w:r w:rsidRPr="00A64B10">
              <w:rPr>
                <w:rFonts w:cstheme="minorHAnsi"/>
                <w:sz w:val="20"/>
                <w:szCs w:val="20"/>
              </w:rPr>
              <w:t>Physical stability (Size changes)</w:t>
            </w:r>
          </w:p>
          <w:p w14:paraId="129DED3C" w14:textId="442EC244" w:rsidR="008F37F0" w:rsidRPr="00A64B10" w:rsidRDefault="008F37F0" w:rsidP="002169C0">
            <w:pPr>
              <w:spacing w:after="160"/>
              <w:rPr>
                <w:rFonts w:cstheme="minorHAnsi"/>
                <w:sz w:val="20"/>
                <w:szCs w:val="20"/>
              </w:rPr>
            </w:pPr>
            <w:r w:rsidRPr="00A64B10">
              <w:rPr>
                <w:rFonts w:cstheme="minorHAnsi"/>
                <w:sz w:val="20"/>
                <w:szCs w:val="20"/>
              </w:rPr>
              <w:fldChar w:fldCharType="begin" w:fldLock="1"/>
            </w:r>
            <w:r w:rsidR="000B3F63">
              <w:rPr>
                <w:rFonts w:cstheme="minorHAnsi"/>
                <w:sz w:val="20"/>
                <w:szCs w:val="20"/>
              </w:rPr>
              <w:instrText>ADDIN CSL_CITATION {"citationItems":[{"id":"ITEM-1","itemData":{"author":[{"dropping-particle":"","family":"FDA","given":"","non-dropping-particle":"","parse-names":false,"suffix":""}],"id":"ITEM-1","issued":{"date-parts":[["2017"]]},"title":"Drug Products, Including Biological Products, that Contain Nanomaterials. Guidance for Industry.","type":"article-journal"},"uris":["http://www.mendeley.com/documents/?uuid=1d007232-6836-43e1-9d00-b18d18197d80"]},{"id":"ITEM-2","itemData":{"author":[{"dropping-particle":"","family":"EMA/CHMP","given":"","non-dropping-particle":"","parse-names":false,"suffix":""}],"id":"ITEM-2","issue":"EMA/CHMP/13099/2013.","issued":{"date-parts":[["2013"]]},"publisher-place":"London","title":"Joint MHLW/EMA reflection paper on the development of block copolymer micelle medicinal products.","type":"article-journal"},"uris":["http://www.mendeley.com/documents/?uuid=931c6128-62f0-452c-91d8-48fe80efa916"]},{"id":"ITEM-3","itemData":{"author":[{"dropping-particle":"","family":"FDA","given":"","non-dropping-particle":"","parse-names":false,"suffix":""}],"id":"ITEM-3","issued":{"date-parts":[["2015"]]},"title":"Liposome Drug Products. Guidance for Industry.","type":"article-journal"},"uris":["http://www.mendeley.com/documents/?uuid=de80afa4-8e96-4dbb-9cee-0a2a0d304979"]},{"id":"ITEM-4","itemData":{"abstract":"This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required.","author":[{"dropping-particle":"","family":"EMA/CHMP","given":"","non-dropping-particle":"","parse-names":false,"suffix":""}],"id":"ITEM-4","issue":"EMA/CHMP/806058/2009/Rev.02","issued":{"date-parts":[["2013"]]},"publisher-place":"London","title":"Reflection paper on the data requirements for intravenous liposomal products developed with reference to an innovator liposomal product","type":"article-journal"},"uris":["http://www.mendeley.com/documents/?uuid=e3c908b6-9d35-4812-af55-a22fdf3f47f3"]},{"id":"ITEM-5","itemData":{"author":[{"dropping-particle":"","family":"MHLW","given":"","non-dropping-particle":"","parse-names":false,"suffix":""}],"id":"ITEM-5","issued":{"date-parts":[["2016"]]},"title":"Guideline for the development of liposome drug products","type":"article-journal"},"uris":["http://www.mendeley.com/documents/?uuid=4cdf9bd0-f0ff-4e59-9510-381b3c65c8f1"]},{"id":"ITEM-6","itemData":{"DOI":"10.2772/41391","ISBN":"978-92-79-35590-5","ISSN":"1831-4783","PMID":"22260506","abstract":"This Guidance addresses the use of nanomaterials in medical devices and provides information for risk assessors regarding specific aspects that need to be considered in the safety evaluation of nanomaterials. According to the EU Recommendation for the definition of a nanomaterial (Commission Recommendation 2011/696/EU, EC 2011) any particulate substance with at least one dimension in the size range between 1 and 100 nm is considered a nanomaterial. These particles (nanoparticles) exhibit specific characteristics that differ from the characteristics of larger sized particles with the same chemical composition.","author":[{"dropping-particle":"","family":"SCENIHR","given":"","non-dropping-particle":"","parse-names":false,"suffix":""}],"container-title":"Final Opinion","id":"ITEM-6","issued":{"date-parts":[["2015"]]},"page":"1-77","title":"Opinion on the Guidance on the Determination of Potential Health Effects of Nanomaterials Used in Medical Devices","type":"article-journal"},"uris":["http://www.mendeley.com/documents/?uuid=7294ce7a-b3e5-4f98-acf8-3ea180d4e0f6"]}],"mendeley":{"formattedCitation":"[6–10,13]","plainTextFormattedCitation":"[6–10,13]","previouslyFormattedCitation":"[6–10,13]"},"properties":{"noteIndex":0},"schema":"https://github.com/citation-style-language/schema/raw/master/csl-citation.json"}</w:instrText>
            </w:r>
            <w:r w:rsidRPr="00A64B10">
              <w:rPr>
                <w:rFonts w:cstheme="minorHAnsi"/>
                <w:sz w:val="20"/>
                <w:szCs w:val="20"/>
              </w:rPr>
              <w:fldChar w:fldCharType="separate"/>
            </w:r>
            <w:r w:rsidR="00993B28" w:rsidRPr="00993B28">
              <w:rPr>
                <w:rFonts w:cstheme="minorHAnsi"/>
                <w:noProof/>
                <w:sz w:val="20"/>
                <w:szCs w:val="20"/>
              </w:rPr>
              <w:t>[6–10,13]</w:t>
            </w:r>
            <w:r w:rsidRPr="00A64B10">
              <w:rPr>
                <w:rFonts w:cstheme="minorHAnsi"/>
                <w:sz w:val="20"/>
                <w:szCs w:val="20"/>
              </w:rPr>
              <w:fldChar w:fldCharType="end"/>
            </w:r>
          </w:p>
        </w:tc>
        <w:tc>
          <w:tcPr>
            <w:tcW w:w="2127" w:type="dxa"/>
            <w:shd w:val="clear" w:color="auto" w:fill="F2F2F2" w:themeFill="background1" w:themeFillShade="F2"/>
          </w:tcPr>
          <w:p w14:paraId="4FA2D0F1" w14:textId="77777777" w:rsidR="008F37F0" w:rsidRPr="00A64B10" w:rsidRDefault="008F37F0" w:rsidP="002169C0">
            <w:pPr>
              <w:spacing w:after="160"/>
              <w:rPr>
                <w:rFonts w:cstheme="minorHAnsi"/>
                <w:sz w:val="20"/>
                <w:szCs w:val="20"/>
              </w:rPr>
            </w:pPr>
            <w:r w:rsidRPr="00A64B10">
              <w:rPr>
                <w:rFonts w:cstheme="minorHAnsi"/>
                <w:sz w:val="20"/>
                <w:szCs w:val="20"/>
              </w:rPr>
              <w:t>Product stability in human body</w:t>
            </w:r>
          </w:p>
        </w:tc>
        <w:tc>
          <w:tcPr>
            <w:tcW w:w="2126" w:type="dxa"/>
            <w:shd w:val="clear" w:color="auto" w:fill="F2F2F2" w:themeFill="background1" w:themeFillShade="F2"/>
          </w:tcPr>
          <w:p w14:paraId="34368598" w14:textId="77777777" w:rsidR="008F37F0" w:rsidRPr="00A64B10" w:rsidRDefault="008F37F0" w:rsidP="002169C0">
            <w:pPr>
              <w:spacing w:after="160"/>
              <w:rPr>
                <w:rFonts w:cstheme="minorHAnsi"/>
                <w:sz w:val="20"/>
                <w:szCs w:val="20"/>
              </w:rPr>
            </w:pPr>
            <w:r w:rsidRPr="00A64B10">
              <w:rPr>
                <w:rFonts w:cstheme="minorHAnsi"/>
                <w:sz w:val="20"/>
                <w:szCs w:val="20"/>
              </w:rPr>
              <w:t>Separation of particles from the blood proteins</w:t>
            </w:r>
          </w:p>
        </w:tc>
        <w:tc>
          <w:tcPr>
            <w:tcW w:w="1984" w:type="dxa"/>
            <w:shd w:val="clear" w:color="auto" w:fill="F2F2F2" w:themeFill="background1" w:themeFillShade="F2"/>
          </w:tcPr>
          <w:p w14:paraId="2AAFDC1B" w14:textId="77777777" w:rsidR="008F37F0" w:rsidRPr="00A64B10" w:rsidRDefault="008F37F0" w:rsidP="002169C0">
            <w:pPr>
              <w:spacing w:after="160"/>
              <w:rPr>
                <w:rFonts w:cstheme="minorHAnsi"/>
                <w:sz w:val="20"/>
                <w:szCs w:val="20"/>
              </w:rPr>
            </w:pPr>
            <w:r w:rsidRPr="00A64B10">
              <w:rPr>
                <w:rFonts w:cstheme="minorHAnsi"/>
                <w:sz w:val="20"/>
                <w:szCs w:val="20"/>
              </w:rPr>
              <w:t xml:space="preserve">No technological solutions for small “soft” organic particles </w:t>
            </w:r>
          </w:p>
        </w:tc>
      </w:tr>
      <w:tr w:rsidR="008F37F0" w:rsidRPr="00A64B10" w14:paraId="70C9B157" w14:textId="77777777" w:rsidTr="002169C0">
        <w:trPr>
          <w:trHeight w:val="930"/>
        </w:trPr>
        <w:tc>
          <w:tcPr>
            <w:tcW w:w="1187" w:type="dxa"/>
            <w:vMerge/>
            <w:shd w:val="clear" w:color="auto" w:fill="F2F2F2" w:themeFill="background1" w:themeFillShade="F2"/>
          </w:tcPr>
          <w:p w14:paraId="6D487BAF" w14:textId="77777777" w:rsidR="008F37F0" w:rsidRPr="00A64B10" w:rsidRDefault="008F37F0" w:rsidP="002169C0">
            <w:pPr>
              <w:spacing w:after="160"/>
              <w:rPr>
                <w:rFonts w:cstheme="minorHAnsi"/>
                <w:sz w:val="20"/>
                <w:szCs w:val="20"/>
              </w:rPr>
            </w:pPr>
          </w:p>
        </w:tc>
        <w:tc>
          <w:tcPr>
            <w:tcW w:w="1643" w:type="dxa"/>
            <w:shd w:val="clear" w:color="auto" w:fill="F2F2F2" w:themeFill="background1" w:themeFillShade="F2"/>
          </w:tcPr>
          <w:p w14:paraId="10BDE27C" w14:textId="77777777" w:rsidR="008F37F0" w:rsidRPr="00A64B10" w:rsidRDefault="008F37F0" w:rsidP="00993B28">
            <w:pPr>
              <w:rPr>
                <w:rFonts w:cstheme="minorHAnsi"/>
                <w:sz w:val="20"/>
                <w:szCs w:val="20"/>
              </w:rPr>
            </w:pPr>
            <w:r w:rsidRPr="00A64B10">
              <w:rPr>
                <w:rFonts w:cstheme="minorHAnsi"/>
                <w:sz w:val="20"/>
                <w:szCs w:val="20"/>
              </w:rPr>
              <w:t>Protein corona formation (amount and identification of bound proteins)</w:t>
            </w:r>
          </w:p>
          <w:p w14:paraId="5FA676E7" w14:textId="27C278D1" w:rsidR="008F37F0" w:rsidRPr="00A64B10" w:rsidRDefault="008F37F0" w:rsidP="002169C0">
            <w:pPr>
              <w:spacing w:after="160"/>
              <w:rPr>
                <w:rFonts w:cstheme="minorHAnsi"/>
                <w:sz w:val="20"/>
                <w:szCs w:val="20"/>
              </w:rPr>
            </w:pPr>
            <w:r w:rsidRPr="00A64B10">
              <w:rPr>
                <w:rFonts w:cstheme="minorHAnsi"/>
                <w:sz w:val="20"/>
                <w:szCs w:val="20"/>
              </w:rPr>
              <w:fldChar w:fldCharType="begin" w:fldLock="1"/>
            </w:r>
            <w:r w:rsidR="000B3F63">
              <w:rPr>
                <w:rFonts w:cstheme="minorHAnsi"/>
                <w:sz w:val="20"/>
                <w:szCs w:val="20"/>
              </w:rPr>
              <w:instrText>ADDIN CSL_CITATION {"citationItems":[{"id":"ITEM-1","itemData":{"author":[{"dropping-particle":"","family":"FDA","given":"","non-dropping-particle":"","parse-names":false,"suffix":""}],"id":"ITEM-1","issued":{"date-parts":[["2017"]]},"title":"Drug Products, Including Biological Products, that Contain Nanomaterials. Guidance for Industry.","type":"article-journal"},"uris":["http://www.mendeley.com/documents/?uuid=1d007232-6836-43e1-9d00-b18d18197d80"]},{"id":"ITEM-2","itemData":{"author":[{"dropping-particle":"","family":"EMA/CHMP","given":"","non-dropping-particle":"","parse-names":false,"suffix":""}],"id":"ITEM-2","issue":"EMA/CHMP/13099/2013.","issued":{"date-parts":[["2013"]]},"publisher-place":"London","title":"Joint MHLW/EMA reflection paper on the development of block copolymer micelle medicinal products.","type":"article-journal"},"uris":["http://www.mendeley.com/documents/?uuid=931c6128-62f0-452c-91d8-48fe80efa916"]},{"id":"ITEM-3","itemData":{"author":[{"dropping-particle":"","family":"FDA","given":"","non-dropping-particle":"","parse-names":false,"suffix":""}],"id":"ITEM-3","issued":{"date-parts":[["2015"]]},"title":"Liposome Drug Products. Guidance for Industry.","type":"article-journal"},"uris":["http://www.mendeley.com/documents/?uuid=de80afa4-8e96-4dbb-9cee-0a2a0d304979"]},{"id":"ITEM-4","itemData":{"author":[{"dropping-particle":"","family":"MHLW","given":"","non-dropping-particle":"","parse-names":false,"suffix":""}],"id":"ITEM-4","issued":{"date-parts":[["2016"]]},"title":"Guideline for the development of liposome drug products","type":"article-journal"},"uris":["http://www.mendeley.com/documents/?uuid=4cdf9bd0-f0ff-4e59-9510-381b3c65c8f1"]},{"id":"ITEM-5","itemData":{"DOI":"10.2772/41391","ISBN":"978-92-79-35590-5","ISSN":"1831-4783","PMID":"22260506","abstract":"This Guidance addresses the use of nanomaterials in medical devices and provides information for risk assessors regarding specific aspects that need to be considered in the safety evaluation of nanomaterials. According to the EU Recommendation for the definition of a nanomaterial (Commission Recommendation 2011/696/EU, EC 2011) any particulate substance with at least one dimension in the size range between 1 and 100 nm is considered a nanomaterial. These particles (nanoparticles) exhibit specific characteristics that differ from the characteristics of larger sized particles with the same chemical composition.","author":[{"dropping-particle":"","family":"SCENIHR","given":"","non-dropping-particle":"","parse-names":false,"suffix":""}],"container-title":"Final Opinion","id":"ITEM-5","issued":{"date-parts":[["2015"]]},"page":"1-77","title":"Opinion on the Guidance on the Determination of Potential Health Effects of Nanomaterials Used in Medical Devices","type":"article-journal"},"uris":["http://www.mendeley.com/documents/?uuid=7294ce7a-b3e5-4f98-acf8-3ea180d4e0f6"]}],"mendeley":{"formattedCitation":"[6,8–10,13]","plainTextFormattedCitation":"[6,8–10,13]","previouslyFormattedCitation":"[6,8–10,13]"},"properties":{"noteIndex":0},"schema":"https://github.com/citation-style-language/schema/raw/master/csl-citation.json"}</w:instrText>
            </w:r>
            <w:r w:rsidRPr="00A64B10">
              <w:rPr>
                <w:rFonts w:cstheme="minorHAnsi"/>
                <w:sz w:val="20"/>
                <w:szCs w:val="20"/>
              </w:rPr>
              <w:fldChar w:fldCharType="separate"/>
            </w:r>
            <w:r w:rsidR="00993B28" w:rsidRPr="00993B28">
              <w:rPr>
                <w:rFonts w:cstheme="minorHAnsi"/>
                <w:noProof/>
                <w:sz w:val="20"/>
                <w:szCs w:val="20"/>
              </w:rPr>
              <w:t>[6,8–10,13]</w:t>
            </w:r>
            <w:r w:rsidRPr="00A64B10">
              <w:rPr>
                <w:rFonts w:cstheme="minorHAnsi"/>
                <w:sz w:val="20"/>
                <w:szCs w:val="20"/>
              </w:rPr>
              <w:fldChar w:fldCharType="end"/>
            </w:r>
          </w:p>
        </w:tc>
        <w:tc>
          <w:tcPr>
            <w:tcW w:w="2127" w:type="dxa"/>
            <w:shd w:val="clear" w:color="auto" w:fill="F2F2F2" w:themeFill="background1" w:themeFillShade="F2"/>
          </w:tcPr>
          <w:p w14:paraId="102C5D2E" w14:textId="77777777" w:rsidR="008F37F0" w:rsidRPr="00A64B10" w:rsidRDefault="008F37F0" w:rsidP="002169C0">
            <w:pPr>
              <w:spacing w:after="160"/>
              <w:rPr>
                <w:rFonts w:cstheme="minorHAnsi"/>
                <w:sz w:val="20"/>
                <w:szCs w:val="20"/>
              </w:rPr>
            </w:pPr>
            <w:r w:rsidRPr="00A64B10">
              <w:rPr>
                <w:rFonts w:cstheme="minorHAnsi"/>
                <w:sz w:val="20"/>
                <w:szCs w:val="20"/>
              </w:rPr>
              <w:t xml:space="preserve">Impact on the interaction with immune system, </w:t>
            </w:r>
            <w:proofErr w:type="gramStart"/>
            <w:r w:rsidRPr="00A64B10">
              <w:rPr>
                <w:rFonts w:cstheme="minorHAnsi"/>
                <w:sz w:val="20"/>
                <w:szCs w:val="20"/>
              </w:rPr>
              <w:t>safety</w:t>
            </w:r>
            <w:proofErr w:type="gramEnd"/>
            <w:r w:rsidRPr="00A64B10">
              <w:rPr>
                <w:rFonts w:cstheme="minorHAnsi"/>
                <w:sz w:val="20"/>
                <w:szCs w:val="20"/>
              </w:rPr>
              <w:t xml:space="preserve"> and efficacy</w:t>
            </w:r>
          </w:p>
        </w:tc>
        <w:tc>
          <w:tcPr>
            <w:tcW w:w="2126" w:type="dxa"/>
            <w:shd w:val="clear" w:color="auto" w:fill="F2F2F2" w:themeFill="background1" w:themeFillShade="F2"/>
          </w:tcPr>
          <w:p w14:paraId="10FF5859" w14:textId="77777777" w:rsidR="008F37F0" w:rsidRPr="00A64B10" w:rsidRDefault="008F37F0" w:rsidP="002169C0">
            <w:pPr>
              <w:spacing w:after="160"/>
              <w:rPr>
                <w:rFonts w:cstheme="minorHAnsi"/>
                <w:sz w:val="20"/>
                <w:szCs w:val="20"/>
              </w:rPr>
            </w:pPr>
            <w:r w:rsidRPr="00A64B10">
              <w:rPr>
                <w:rFonts w:cstheme="minorHAnsi"/>
                <w:sz w:val="20"/>
                <w:szCs w:val="20"/>
              </w:rPr>
              <w:t>Separation of NP–protein corona complexes from excess plasma</w:t>
            </w:r>
          </w:p>
          <w:p w14:paraId="2EED0F5F" w14:textId="77777777" w:rsidR="008F37F0" w:rsidRPr="00A64B10" w:rsidRDefault="008F37F0" w:rsidP="002169C0">
            <w:pPr>
              <w:spacing w:after="160"/>
              <w:rPr>
                <w:rFonts w:cstheme="minorHAnsi"/>
                <w:sz w:val="20"/>
                <w:szCs w:val="20"/>
              </w:rPr>
            </w:pPr>
            <w:r w:rsidRPr="00A64B10">
              <w:rPr>
                <w:rFonts w:cstheme="minorHAnsi"/>
                <w:sz w:val="20"/>
                <w:szCs w:val="20"/>
              </w:rPr>
              <w:t>Standardisation of plasma composition</w:t>
            </w:r>
          </w:p>
        </w:tc>
        <w:tc>
          <w:tcPr>
            <w:tcW w:w="1984" w:type="dxa"/>
            <w:shd w:val="clear" w:color="auto" w:fill="F2F2F2" w:themeFill="background1" w:themeFillShade="F2"/>
          </w:tcPr>
          <w:p w14:paraId="57737C76" w14:textId="77777777" w:rsidR="008F37F0" w:rsidRDefault="008F37F0" w:rsidP="002169C0">
            <w:pPr>
              <w:spacing w:after="160"/>
              <w:rPr>
                <w:rFonts w:cstheme="minorHAnsi"/>
                <w:sz w:val="20"/>
                <w:szCs w:val="20"/>
              </w:rPr>
            </w:pPr>
            <w:r w:rsidRPr="00A64B10">
              <w:rPr>
                <w:rFonts w:cstheme="minorHAnsi"/>
                <w:sz w:val="20"/>
                <w:szCs w:val="20"/>
              </w:rPr>
              <w:t>No technological solutions for small organic particles</w:t>
            </w:r>
          </w:p>
          <w:p w14:paraId="047AA99D" w14:textId="77777777" w:rsidR="008F37F0" w:rsidRPr="00A64B10" w:rsidRDefault="008F37F0" w:rsidP="002169C0">
            <w:pPr>
              <w:spacing w:after="160"/>
              <w:rPr>
                <w:rFonts w:cstheme="minorHAnsi"/>
                <w:sz w:val="20"/>
                <w:szCs w:val="20"/>
              </w:rPr>
            </w:pPr>
          </w:p>
        </w:tc>
      </w:tr>
      <w:bookmarkEnd w:id="4"/>
    </w:tbl>
    <w:p w14:paraId="5711EE02" w14:textId="77777777" w:rsidR="008F37F0" w:rsidRPr="00A64B10" w:rsidRDefault="008F37F0" w:rsidP="00CC56B8">
      <w:pPr>
        <w:spacing w:after="160"/>
        <w:jc w:val="both"/>
      </w:pPr>
    </w:p>
    <w:p w14:paraId="23DCEA81" w14:textId="77777777" w:rsidR="00736469" w:rsidRPr="00A64B10" w:rsidRDefault="00736469" w:rsidP="00CC56B8">
      <w:pPr>
        <w:pStyle w:val="Heading4"/>
      </w:pPr>
      <w:r w:rsidRPr="00A64B10">
        <w:lastRenderedPageBreak/>
        <w:t xml:space="preserve">Drug release in </w:t>
      </w:r>
      <w:r w:rsidR="009D1395" w:rsidRPr="00A64B10">
        <w:t>blood/</w:t>
      </w:r>
      <w:r w:rsidRPr="00A64B10">
        <w:t>plasma</w:t>
      </w:r>
    </w:p>
    <w:p w14:paraId="6D1D0A09" w14:textId="77777777" w:rsidR="00F65236" w:rsidRPr="00A64B10" w:rsidRDefault="0023363B" w:rsidP="00CC56B8">
      <w:pPr>
        <w:spacing w:after="160"/>
        <w:jc w:val="both"/>
      </w:pPr>
      <w:r w:rsidRPr="00A64B10">
        <w:t>Once a nano</w:t>
      </w:r>
      <w:r w:rsidR="00DF00F3" w:rsidRPr="00A64B10">
        <w:t>carrier</w:t>
      </w:r>
      <w:r w:rsidRPr="00A64B10">
        <w:t>-drug delivery system is injected</w:t>
      </w:r>
      <w:r w:rsidR="00C20A53" w:rsidRPr="00A64B10">
        <w:t xml:space="preserve"> intravenously</w:t>
      </w:r>
      <w:r w:rsidRPr="00A64B10">
        <w:t>, the existence and fate of: (</w:t>
      </w:r>
      <w:proofErr w:type="spellStart"/>
      <w:r w:rsidRPr="00A64B10">
        <w:t>i</w:t>
      </w:r>
      <w:proofErr w:type="spellEnd"/>
      <w:r w:rsidRPr="00A64B10">
        <w:t xml:space="preserve">) the API encapsulated (e.g., bound) in the </w:t>
      </w:r>
      <w:r w:rsidR="00DF00F3" w:rsidRPr="00A64B10">
        <w:t>nano</w:t>
      </w:r>
      <w:r w:rsidRPr="00A64B10">
        <w:t>carrier, (ii) the free API and (ii</w:t>
      </w:r>
      <w:r w:rsidR="00EC4881" w:rsidRPr="00A64B10">
        <w:t>i</w:t>
      </w:r>
      <w:r w:rsidRPr="00A64B10">
        <w:t xml:space="preserve">) the API bound to </w:t>
      </w:r>
      <w:r w:rsidR="00F65236" w:rsidRPr="00A64B10">
        <w:t xml:space="preserve">plasma </w:t>
      </w:r>
      <w:r w:rsidRPr="00A64B10">
        <w:t xml:space="preserve">proteins should be evaluated, since the three species may have very different pharmacokinetic profiles. </w:t>
      </w:r>
      <w:r w:rsidR="00F65236" w:rsidRPr="00A64B10">
        <w:rPr>
          <w:rStyle w:val="CommentReference"/>
          <w:sz w:val="22"/>
          <w:szCs w:val="22"/>
        </w:rPr>
        <w:t>From a</w:t>
      </w:r>
      <w:r w:rsidR="00F65236" w:rsidRPr="00A64B10">
        <w:t xml:space="preserve"> technical point of view, measuring the dynamic tissue distribution of all the fractions is a very challenging task, due to the complexity of separating and quantifying encapsulated and unencapsulated drug fractions in blood and tissues. </w:t>
      </w:r>
    </w:p>
    <w:p w14:paraId="0E16FDCC" w14:textId="0B85C7C0" w:rsidR="00E84F48" w:rsidRPr="00A64B10" w:rsidRDefault="00C20A53" w:rsidP="00CC56B8">
      <w:pPr>
        <w:spacing w:after="160"/>
        <w:jc w:val="both"/>
      </w:pPr>
      <w:r w:rsidRPr="00A64B10">
        <w:t xml:space="preserve">Despite the </w:t>
      </w:r>
      <w:r w:rsidR="000C484D" w:rsidRPr="00A64B10">
        <w:t>lack of</w:t>
      </w:r>
      <w:r w:rsidRPr="00A64B10">
        <w:t xml:space="preserve"> </w:t>
      </w:r>
      <w:r w:rsidR="0035540F" w:rsidRPr="00A64B10">
        <w:t>standardi</w:t>
      </w:r>
      <w:r w:rsidR="00A4768A" w:rsidRPr="00A64B10">
        <w:t>s</w:t>
      </w:r>
      <w:r w:rsidR="0035540F" w:rsidRPr="00A64B10">
        <w:t>ed</w:t>
      </w:r>
      <w:r w:rsidR="00C648FC" w:rsidRPr="00A64B10">
        <w:t xml:space="preserve"> method</w:t>
      </w:r>
      <w:r w:rsidR="000C484D" w:rsidRPr="00A64B10">
        <w:t>s</w:t>
      </w:r>
      <w:r w:rsidRPr="00A64B10">
        <w:t xml:space="preserve"> </w:t>
      </w:r>
      <w:r w:rsidR="005B5FBA" w:rsidRPr="00A64B10">
        <w:t>to perform</w:t>
      </w:r>
      <w:r w:rsidRPr="00A64B10">
        <w:t xml:space="preserve"> such measurement</w:t>
      </w:r>
      <w:r w:rsidR="005B5FBA" w:rsidRPr="00A64B10">
        <w:t>s,</w:t>
      </w:r>
      <w:r w:rsidRPr="00A64B10">
        <w:t xml:space="preserve"> a </w:t>
      </w:r>
      <w:r w:rsidR="000C484D" w:rsidRPr="00A64B10">
        <w:t>relevant</w:t>
      </w:r>
      <w:r w:rsidRPr="00A64B10">
        <w:t xml:space="preserve"> method</w:t>
      </w:r>
      <w:r w:rsidR="00474CDA" w:rsidRPr="00A64B10">
        <w:t xml:space="preserve"> </w:t>
      </w:r>
      <w:r w:rsidRPr="00A64B10">
        <w:t xml:space="preserve">developed by NCI-NCL </w:t>
      </w:r>
      <w:r w:rsidR="00474CDA" w:rsidRPr="00A64B10">
        <w:t>(</w:t>
      </w:r>
      <w:r w:rsidR="00566771" w:rsidRPr="00A64B10">
        <w:t>T</w:t>
      </w:r>
      <w:r w:rsidR="0028647A" w:rsidRPr="00A64B10">
        <w:t>able S</w:t>
      </w:r>
      <w:r w:rsidR="007C17E3" w:rsidRPr="00A64B10">
        <w:t>2</w:t>
      </w:r>
      <w:r w:rsidR="0028647A" w:rsidRPr="00A64B10">
        <w:t xml:space="preserve">, </w:t>
      </w:r>
      <w:r w:rsidR="00474CDA" w:rsidRPr="00A64B10">
        <w:t>NCL PHA-2)</w:t>
      </w:r>
      <w:r w:rsidRPr="00A64B10">
        <w:t xml:space="preserve"> is </w:t>
      </w:r>
      <w:r w:rsidR="00474CDA" w:rsidRPr="00A64B10">
        <w:t xml:space="preserve">now </w:t>
      </w:r>
      <w:r w:rsidRPr="00A64B10">
        <w:t>under evaluation for standardi</w:t>
      </w:r>
      <w:r w:rsidR="00A4768A" w:rsidRPr="00A64B10">
        <w:t>s</w:t>
      </w:r>
      <w:r w:rsidRPr="00A64B10">
        <w:t xml:space="preserve">ation </w:t>
      </w:r>
      <w:r w:rsidR="001E7612" w:rsidRPr="00A64B10">
        <w:t xml:space="preserve">by the </w:t>
      </w:r>
      <w:r w:rsidRPr="00A64B10">
        <w:t>ASTM E56</w:t>
      </w:r>
      <w:r w:rsidR="00272DF3" w:rsidRPr="00A64B10">
        <w:t xml:space="preserve"> committee</w:t>
      </w:r>
      <w:r w:rsidR="006B26DA" w:rsidRPr="00A64B10">
        <w:t xml:space="preserve"> </w:t>
      </w:r>
      <w:r w:rsidR="006B26DA" w:rsidRPr="00A64B10">
        <w:fldChar w:fldCharType="begin" w:fldLock="1"/>
      </w:r>
      <w:r w:rsidR="000B3F63">
        <w:instrText>ADDIN CSL_CITATION {"citationItems":[{"id":"ITEM-1","itemData":{"DOI":"10.1016/j.jconrel.2015.10.042","ISSN":"1873-4995","PMID":"26596375","abstract":"Existing methods to measure nanomedicine drug release in biological matrices are inadequate. A novel drug release method utilizing a stable isotope tracer has been developed. Stable isotope-labeled drug is spiked into plasma containing nanomedicine. The labeled drug equilibrates with plasma components identical to the normoisotopic drug released from the nanomedicine formulation. Therefore, the ultrafilterable fraction of the isotope-labeled drug represents a reliable measure of free normoisotopic drug fraction in plasma, and can be used to calculate nanomedicine encapsulated and unencapsulated drug fractions. To demonstrate the utility of this method, we performed a plasma drug release study with both a fast releasing commercial docetaxel formulation, Taxotere®, and a delayed releasing nanomicellar formulation of a docetaxel prodrug, Procet 8. The instability of the unencapsulated prodrug in plasma allowed us to compare our calculated prodrug release and docetaxel conversion with the actual docetaxel concentration measured directly without fractionation. Drug release estimates for the fast releasing Taxotere formulation demonstrated accuracy deviation and precision (%CV) of &lt;15%. For the controlled release Procet 8 formulation, we calculated a slow release and conversion of the prodrug in rat plasma that was highly correlated with the direct docetaxel measurement (R(2)=0.98). We believe that this method will have tremendous utility in the development and regulatory evaluation of nanomedicines, and aid in determination of generic bioequivalence.","author":[{"dropping-particle":"","family":"Skoczen","given":"Sarah","non-dropping-particle":"","parse-names":false,"suffix":""},{"dropping-particle":"","family":"McNeil","given":"Scott E","non-dropping-particle":"","parse-names":false,"suffix":""},{"dropping-particle":"","family":"Stern","given":"Stephan T","non-dropping-particle":"","parse-names":false,"suffix":""}],"container-title":"Journal of controlled release : official journal of the Controlled Release Society","id":"ITEM-1","issue":"Pt A","issued":{"date-parts":[["2015","12","28"]]},"page":"169-74","title":"Stable isotope method to measure drug release from nanomedicines.","type":"article-journal","volume":"220"},"uris":["http://www.mendeley.com/documents/?uuid=16b4a616-ec1d-3d7a-abfc-c04f7e48591b"]}],"mendeley":{"formattedCitation":"[33]","plainTextFormattedCitation":"[33]","previouslyFormattedCitation":"[33]"},"properties":{"noteIndex":0},"schema":"https://github.com/citation-style-language/schema/raw/master/csl-citation.json"}</w:instrText>
      </w:r>
      <w:r w:rsidR="006B26DA" w:rsidRPr="00A64B10">
        <w:fldChar w:fldCharType="separate"/>
      </w:r>
      <w:r w:rsidR="00993B28" w:rsidRPr="00993B28">
        <w:rPr>
          <w:noProof/>
        </w:rPr>
        <w:t>[33]</w:t>
      </w:r>
      <w:r w:rsidR="006B26DA" w:rsidRPr="00A64B10">
        <w:fldChar w:fldCharType="end"/>
      </w:r>
      <w:r w:rsidRPr="00A64B10">
        <w:t>.</w:t>
      </w:r>
      <w:r w:rsidR="00F65236" w:rsidRPr="00A64B10">
        <w:t xml:space="preserve"> This assay utili</w:t>
      </w:r>
      <w:r w:rsidR="00A4768A" w:rsidRPr="00A64B10">
        <w:t>s</w:t>
      </w:r>
      <w:r w:rsidR="00F65236" w:rsidRPr="00A64B10">
        <w:t xml:space="preserve">es an improved ultrafiltration method for nanomedicine fractionation in plasma, based on the use of a stable isotope </w:t>
      </w:r>
      <w:r w:rsidR="00EF1FF0" w:rsidRPr="00A64B10">
        <w:t xml:space="preserve">analogue </w:t>
      </w:r>
      <w:r w:rsidR="00F65236" w:rsidRPr="00A64B10">
        <w:t xml:space="preserve">of the API, spiked into a plasma sample </w:t>
      </w:r>
      <w:r w:rsidR="000D7C05" w:rsidRPr="00A64B10">
        <w:t xml:space="preserve">containing </w:t>
      </w:r>
      <w:r w:rsidR="000D7C05">
        <w:t xml:space="preserve">the </w:t>
      </w:r>
      <w:r w:rsidR="000D7C05" w:rsidRPr="00A64B10">
        <w:t xml:space="preserve">nanomedicine </w:t>
      </w:r>
      <w:r w:rsidR="000D7C05">
        <w:t>under investigation</w:t>
      </w:r>
      <w:r w:rsidR="00F65236" w:rsidRPr="00A64B10">
        <w:t xml:space="preserve"> </w:t>
      </w:r>
      <w:proofErr w:type="gramStart"/>
      <w:r w:rsidR="00F65236" w:rsidRPr="00A64B10">
        <w:t>in order to</w:t>
      </w:r>
      <w:proofErr w:type="gramEnd"/>
      <w:r w:rsidR="00F65236" w:rsidRPr="00A64B10">
        <w:t xml:space="preserve"> </w:t>
      </w:r>
      <w:r w:rsidR="00F576A1" w:rsidRPr="00A64B10">
        <w:t>(</w:t>
      </w:r>
      <w:proofErr w:type="spellStart"/>
      <w:r w:rsidR="00F576A1" w:rsidRPr="00A64B10">
        <w:t>i</w:t>
      </w:r>
      <w:proofErr w:type="spellEnd"/>
      <w:r w:rsidR="00F576A1" w:rsidRPr="00A64B10">
        <w:t xml:space="preserve">) </w:t>
      </w:r>
      <w:r w:rsidR="00F65236" w:rsidRPr="00A64B10">
        <w:t xml:space="preserve">precisely measure the degree of </w:t>
      </w:r>
      <w:r w:rsidR="00272DF3" w:rsidRPr="00A64B10">
        <w:t xml:space="preserve">API </w:t>
      </w:r>
      <w:r w:rsidR="004073FD" w:rsidRPr="00A64B10">
        <w:t>bound</w:t>
      </w:r>
      <w:r w:rsidR="00272DF3" w:rsidRPr="00A64B10">
        <w:t xml:space="preserve"> to </w:t>
      </w:r>
      <w:r w:rsidR="00F65236" w:rsidRPr="00A64B10">
        <w:t>plasma protein</w:t>
      </w:r>
      <w:r w:rsidR="00272DF3" w:rsidRPr="00A64B10">
        <w:t xml:space="preserve">, in addition to the </w:t>
      </w:r>
      <w:r w:rsidR="00474CDA" w:rsidRPr="00A64B10">
        <w:t>unencapsulated, and encapsulated API fractions</w:t>
      </w:r>
      <w:r w:rsidR="00F576A1" w:rsidRPr="00A64B10">
        <w:t xml:space="preserve">, </w:t>
      </w:r>
      <w:r w:rsidR="0046106A" w:rsidRPr="00A64B10">
        <w:t xml:space="preserve">and </w:t>
      </w:r>
      <w:r w:rsidR="00F576A1" w:rsidRPr="00A64B10">
        <w:t xml:space="preserve">(ii) take into account </w:t>
      </w:r>
      <w:r w:rsidR="0046106A" w:rsidRPr="00A64B10">
        <w:t xml:space="preserve">all </w:t>
      </w:r>
      <w:r w:rsidR="00F576A1" w:rsidRPr="00A64B10">
        <w:t>sample loss during the process</w:t>
      </w:r>
      <w:r w:rsidR="0046106A" w:rsidRPr="00A64B10">
        <w:t>, thus correcting</w:t>
      </w:r>
      <w:r w:rsidR="00F576A1" w:rsidRPr="00A64B10">
        <w:t xml:space="preserve"> artefacts</w:t>
      </w:r>
      <w:r w:rsidR="00474CDA" w:rsidRPr="00A64B10">
        <w:t xml:space="preserve">. </w:t>
      </w:r>
      <w:r w:rsidR="00F65236" w:rsidRPr="00A64B10">
        <w:t xml:space="preserve">No solutions currently exist for </w:t>
      </w:r>
      <w:r w:rsidR="001E7612" w:rsidRPr="00A64B10">
        <w:t xml:space="preserve">the </w:t>
      </w:r>
      <w:r w:rsidR="00F65236" w:rsidRPr="00A64B10">
        <w:t>reliable quantification of large APIs (</w:t>
      </w:r>
      <w:proofErr w:type="gramStart"/>
      <w:r w:rsidR="00F65236" w:rsidRPr="00A64B10">
        <w:t>e.g.</w:t>
      </w:r>
      <w:proofErr w:type="gramEnd"/>
      <w:r w:rsidR="00F65236" w:rsidRPr="00A64B10">
        <w:t xml:space="preserve"> mRNA, DNA)</w:t>
      </w:r>
      <w:r w:rsidR="00272DF3" w:rsidRPr="00A64B10">
        <w:t xml:space="preserve">, or </w:t>
      </w:r>
      <w:r w:rsidR="00C174AD" w:rsidRPr="00A64B10">
        <w:t>for cases where</w:t>
      </w:r>
      <w:r w:rsidR="00C95E19" w:rsidRPr="00A64B10">
        <w:t xml:space="preserve"> </w:t>
      </w:r>
      <w:r w:rsidR="00272DF3" w:rsidRPr="00A64B10">
        <w:t>at least one stable isotope</w:t>
      </w:r>
      <w:r w:rsidR="00C174AD" w:rsidRPr="00A64B10">
        <w:t xml:space="preserve"> analogue</w:t>
      </w:r>
      <w:r w:rsidR="00272DF3" w:rsidRPr="00A64B10">
        <w:t xml:space="preserve"> of the drug is </w:t>
      </w:r>
      <w:r w:rsidR="00F20691" w:rsidRPr="00A64B10">
        <w:t xml:space="preserve">not </w:t>
      </w:r>
      <w:r w:rsidR="00272DF3" w:rsidRPr="00A64B10">
        <w:t>available.</w:t>
      </w:r>
    </w:p>
    <w:p w14:paraId="23133EC6" w14:textId="77777777" w:rsidR="00A66B8A" w:rsidRPr="00A64B10" w:rsidRDefault="00B34E46" w:rsidP="00CC56B8">
      <w:pPr>
        <w:pStyle w:val="Heading4"/>
      </w:pPr>
      <w:r w:rsidRPr="00A64B10">
        <w:t>Physical stability in biological media</w:t>
      </w:r>
      <w:r w:rsidR="00D97751" w:rsidRPr="00A64B10">
        <w:t xml:space="preserve"> (particle size)</w:t>
      </w:r>
    </w:p>
    <w:p w14:paraId="345BE63B" w14:textId="4C1EEB61" w:rsidR="00A66B8A" w:rsidRPr="00A64B10" w:rsidRDefault="003250D5" w:rsidP="00CC56B8">
      <w:pPr>
        <w:spacing w:after="160"/>
        <w:jc w:val="both"/>
      </w:pPr>
      <w:r w:rsidRPr="00A64B10">
        <w:t xml:space="preserve">The </w:t>
      </w:r>
      <w:r w:rsidR="00B909A0">
        <w:t>ionic</w:t>
      </w:r>
      <w:r w:rsidRPr="00A64B10">
        <w:t xml:space="preserve"> strength, the proteins </w:t>
      </w:r>
      <w:r w:rsidR="00D97751" w:rsidRPr="00A64B10">
        <w:t>and the enzymes in</w:t>
      </w:r>
      <w:r w:rsidR="00F33839" w:rsidRPr="00A64B10">
        <w:t xml:space="preserve"> blood and plasma </w:t>
      </w:r>
      <w:r w:rsidRPr="00A64B10">
        <w:t xml:space="preserve">can </w:t>
      </w:r>
      <w:r w:rsidR="00F33839" w:rsidRPr="00A64B10">
        <w:t xml:space="preserve">impact the physical stability of a </w:t>
      </w:r>
      <w:proofErr w:type="spellStart"/>
      <w:r w:rsidR="00F33839" w:rsidRPr="00A64B10">
        <w:t>nano</w:t>
      </w:r>
      <w:r w:rsidR="00C95E19" w:rsidRPr="00A64B10">
        <w:t>medicinal</w:t>
      </w:r>
      <w:proofErr w:type="spellEnd"/>
      <w:r w:rsidR="00C95E19" w:rsidRPr="00A64B10">
        <w:t xml:space="preserve"> </w:t>
      </w:r>
      <w:r w:rsidR="00F33839" w:rsidRPr="00A64B10">
        <w:t xml:space="preserve">formulation, </w:t>
      </w:r>
      <w:proofErr w:type="gramStart"/>
      <w:r w:rsidR="00F33839" w:rsidRPr="00A64B10">
        <w:t>e.g.</w:t>
      </w:r>
      <w:proofErr w:type="gramEnd"/>
      <w:r w:rsidR="00F33839" w:rsidRPr="00A64B10">
        <w:t xml:space="preserve"> </w:t>
      </w:r>
      <w:r w:rsidRPr="00A64B10">
        <w:t xml:space="preserve">by </w:t>
      </w:r>
      <w:r w:rsidR="00F33839" w:rsidRPr="00A64B10">
        <w:t xml:space="preserve">inducing </w:t>
      </w:r>
      <w:r w:rsidRPr="00A64B10">
        <w:t>aggregation/agglomeration or by enhancing particle dissolution</w:t>
      </w:r>
      <w:r w:rsidR="00F33839" w:rsidRPr="00A64B10">
        <w:t xml:space="preserve"> (dramatic size changes). </w:t>
      </w:r>
      <w:r w:rsidR="00D97751" w:rsidRPr="00A64B10">
        <w:t>Even if</w:t>
      </w:r>
      <w:r w:rsidR="00F33839" w:rsidRPr="00A64B10">
        <w:t xml:space="preserve"> particles are stable in complex </w:t>
      </w:r>
      <w:r w:rsidR="00D97751" w:rsidRPr="00A64B10">
        <w:t xml:space="preserve">biological </w:t>
      </w:r>
      <w:r w:rsidR="00F33839" w:rsidRPr="00A64B10">
        <w:t>media, they interact with plasma proteins</w:t>
      </w:r>
      <w:r w:rsidR="001E7612" w:rsidRPr="00A64B10">
        <w:t>; indeed,</w:t>
      </w:r>
      <w:r w:rsidR="00F33839" w:rsidRPr="00A64B10">
        <w:t xml:space="preserve"> protein binding </w:t>
      </w:r>
      <w:r w:rsidR="00D97751" w:rsidRPr="00A64B10">
        <w:t xml:space="preserve">on the particle surface </w:t>
      </w:r>
      <w:r w:rsidR="00F33839" w:rsidRPr="00A64B10">
        <w:t>generate</w:t>
      </w:r>
      <w:r w:rsidR="004073FD" w:rsidRPr="00A64B10">
        <w:t>s</w:t>
      </w:r>
      <w:r w:rsidR="00F33839" w:rsidRPr="00A64B10">
        <w:t xml:space="preserve"> an extra layer</w:t>
      </w:r>
      <w:r w:rsidR="0046106A" w:rsidRPr="00A64B10">
        <w:t>, the</w:t>
      </w:r>
      <w:r w:rsidR="00F33839" w:rsidRPr="00A64B10">
        <w:t xml:space="preserve"> "protein corona"</w:t>
      </w:r>
      <w:r w:rsidR="00AA48DD" w:rsidRPr="00A64B10">
        <w:t>.</w:t>
      </w:r>
      <w:r w:rsidR="00D97751" w:rsidRPr="00A64B10">
        <w:t xml:space="preserve"> </w:t>
      </w:r>
      <w:r w:rsidR="00427009" w:rsidRPr="00A64B10">
        <w:t xml:space="preserve">EUNCL and NCI-NCL </w:t>
      </w:r>
      <w:r w:rsidR="007A245F" w:rsidRPr="00A64B10">
        <w:t xml:space="preserve">laboratories </w:t>
      </w:r>
      <w:r w:rsidR="00427009" w:rsidRPr="00A64B10">
        <w:t xml:space="preserve">have </w:t>
      </w:r>
      <w:r w:rsidR="00DD4F00" w:rsidRPr="00A64B10">
        <w:t xml:space="preserve">jointly </w:t>
      </w:r>
      <w:r w:rsidR="00427009" w:rsidRPr="00A64B10">
        <w:t>developed</w:t>
      </w:r>
      <w:r w:rsidR="0069067C" w:rsidRPr="00A64B10">
        <w:t xml:space="preserve"> </w:t>
      </w:r>
      <w:r w:rsidR="00D97751" w:rsidRPr="00A64B10">
        <w:t xml:space="preserve">multiple </w:t>
      </w:r>
      <w:r w:rsidR="00FA4207" w:rsidRPr="00A64B10">
        <w:t>protocols</w:t>
      </w:r>
      <w:r w:rsidR="0069067C" w:rsidRPr="00A64B10">
        <w:t xml:space="preserve"> for size measurements, that </w:t>
      </w:r>
      <w:r w:rsidR="00D97751" w:rsidRPr="00A64B10">
        <w:t xml:space="preserve">have been tested </w:t>
      </w:r>
      <w:r w:rsidR="0069067C" w:rsidRPr="00A64B10">
        <w:t>in complex biological media under specific conditions</w:t>
      </w:r>
      <w:r w:rsidR="00D97751" w:rsidRPr="00A64B10">
        <w:t xml:space="preserve"> and suggest </w:t>
      </w:r>
      <w:proofErr w:type="gramStart"/>
      <w:r w:rsidR="00D97751" w:rsidRPr="00A64B10">
        <w:t>to</w:t>
      </w:r>
      <w:r w:rsidR="006F49FD">
        <w:t xml:space="preserve"> </w:t>
      </w:r>
      <w:r w:rsidR="00D97751" w:rsidRPr="00A64B10">
        <w:t>use</w:t>
      </w:r>
      <w:proofErr w:type="gramEnd"/>
      <w:r w:rsidR="00D97751" w:rsidRPr="00A64B10">
        <w:t xml:space="preserve"> them in a step-by-step approach of incremental complexity. </w:t>
      </w:r>
      <w:r w:rsidR="0069067C" w:rsidRPr="00A64B10">
        <w:t xml:space="preserve">The most widely used sizing technique, batch mode </w:t>
      </w:r>
      <w:r w:rsidR="00D97751" w:rsidRPr="00A64B10">
        <w:t>dynamic light scattering</w:t>
      </w:r>
      <w:r w:rsidR="0069067C" w:rsidRPr="00A64B10">
        <w:t xml:space="preserve">, can be used as first </w:t>
      </w:r>
      <w:r w:rsidR="00AE3164" w:rsidRPr="00A64B10">
        <w:t xml:space="preserve">check to investigate major size changes, </w:t>
      </w:r>
      <w:proofErr w:type="gramStart"/>
      <w:r w:rsidR="00AE3164" w:rsidRPr="00A64B10">
        <w:t>e.g.</w:t>
      </w:r>
      <w:proofErr w:type="gramEnd"/>
      <w:r w:rsidR="00AE3164" w:rsidRPr="00A64B10">
        <w:t xml:space="preserve"> fast aggregation or particle dissolution</w:t>
      </w:r>
      <w:r w:rsidR="00D97751" w:rsidRPr="00A64B10">
        <w:t xml:space="preserve"> in serum or plasma</w:t>
      </w:r>
      <w:r w:rsidR="00AE3164" w:rsidRPr="00A64B10">
        <w:t xml:space="preserve">. High resolution techniques such as particle tracking analysis (PTA), analytical ultracentrifugation </w:t>
      </w:r>
      <w:r w:rsidR="00D97751" w:rsidRPr="00A64B10">
        <w:t xml:space="preserve">(AUC) </w:t>
      </w:r>
      <w:r w:rsidR="00AE3164" w:rsidRPr="00A64B10">
        <w:t xml:space="preserve">and </w:t>
      </w:r>
      <w:r w:rsidR="00D97751" w:rsidRPr="00A64B10">
        <w:t>a</w:t>
      </w:r>
      <w:r w:rsidR="00AE3164" w:rsidRPr="00A64B10">
        <w:t xml:space="preserve">symmetric flow field flow fractionation </w:t>
      </w:r>
      <w:r w:rsidR="00DD4F00" w:rsidRPr="00A64B10">
        <w:t xml:space="preserve">(AF4) coupled to sizing detectors </w:t>
      </w:r>
      <w:r w:rsidR="00AE3164" w:rsidRPr="00A64B10">
        <w:t xml:space="preserve">may be used </w:t>
      </w:r>
      <w:r w:rsidR="00D97751" w:rsidRPr="00A64B10">
        <w:t xml:space="preserve">in a second step </w:t>
      </w:r>
      <w:r w:rsidR="00AE3164" w:rsidRPr="00A64B10">
        <w:t xml:space="preserve">to increase the measurement resolution, </w:t>
      </w:r>
      <w:proofErr w:type="gramStart"/>
      <w:r w:rsidR="00DD4F00" w:rsidRPr="00A64B10">
        <w:t>e.g.</w:t>
      </w:r>
      <w:proofErr w:type="gramEnd"/>
      <w:r w:rsidR="00DD4F00" w:rsidRPr="00A64B10">
        <w:t xml:space="preserve"> to </w:t>
      </w:r>
      <w:r w:rsidR="00AE3164" w:rsidRPr="00A64B10">
        <w:t>detect small size changes</w:t>
      </w:r>
      <w:r w:rsidR="00DD4F00" w:rsidRPr="00A64B10">
        <w:t xml:space="preserve"> like the formation </w:t>
      </w:r>
      <w:r w:rsidR="00AE3164" w:rsidRPr="00A64B10">
        <w:t>of the protein corona</w:t>
      </w:r>
      <w:r w:rsidR="008F3D37" w:rsidRPr="00A64B10">
        <w:t xml:space="preserve"> (Table S</w:t>
      </w:r>
      <w:r w:rsidR="007C17E3" w:rsidRPr="00A64B10">
        <w:t>2</w:t>
      </w:r>
      <w:r w:rsidR="008F3D37" w:rsidRPr="00A64B10">
        <w:t>)</w:t>
      </w:r>
      <w:r w:rsidR="009D1EB6" w:rsidRPr="00A64B10">
        <w:t>.</w:t>
      </w:r>
      <w:r w:rsidR="00AE3164" w:rsidRPr="00A64B10">
        <w:t xml:space="preserve"> Among the listed high resolution techniques, </w:t>
      </w:r>
      <w:r w:rsidR="007A245F" w:rsidRPr="00A64B10">
        <w:t>AF4</w:t>
      </w:r>
      <w:r w:rsidR="00AA48DD" w:rsidRPr="00A64B10">
        <w:t xml:space="preserve"> </w:t>
      </w:r>
      <w:r w:rsidR="00AE3164" w:rsidRPr="00A64B10">
        <w:t xml:space="preserve">was shown to be the most promising method to provide </w:t>
      </w:r>
      <w:r w:rsidR="003F2CF0" w:rsidRPr="00A64B10">
        <w:t xml:space="preserve">accurate size information for </w:t>
      </w:r>
      <w:r w:rsidR="00AE3164" w:rsidRPr="00A64B10">
        <w:t>polydisperse</w:t>
      </w:r>
      <w:r w:rsidR="003F2CF0" w:rsidRPr="00A64B10">
        <w:t xml:space="preserve"> samples in physiological media and for protein binding studies by fractionating the free protein and the NPs in </w:t>
      </w:r>
      <w:r w:rsidR="00AE3164" w:rsidRPr="00A64B10">
        <w:t>complex</w:t>
      </w:r>
      <w:r w:rsidR="003F2CF0" w:rsidRPr="00A64B10">
        <w:t xml:space="preserve"> media</w:t>
      </w:r>
      <w:r w:rsidR="00D97751" w:rsidRPr="00A64B10">
        <w:t xml:space="preserve"> prior to performing the sizing measurements</w:t>
      </w:r>
      <w:r w:rsidR="002935BB" w:rsidRPr="00A64B10">
        <w:t xml:space="preserve"> </w:t>
      </w:r>
      <w:r w:rsidR="002935BB" w:rsidRPr="00A64B10">
        <w:fldChar w:fldCharType="begin" w:fldLock="1"/>
      </w:r>
      <w:r w:rsidR="000B3F63">
        <w:instrText>ADDIN CSL_CITATION {"citationItems":[{"id":"ITEM-1","itemData":{"DOI":"10.1007/s00216-019-02252-9","ISSN":"16182650","PMID":"31776639","abstract":"Dynamic light scattering (DLS), transmission electron microscopy (TEM), and reversed phase-high performance liquid chromatography (RP-HPLC) are staples of nanoparticle characterization for size distribution, shape/morphology, and composition, respectively. These techniques are simple and provide important details on sample characteristics. However, DLS and TEM are routinely done in batch-mode, while RP-HPLC affords separation of components within the entire sample population, regardless of sample polydispersity. While batch-mode analysis is informative and should be a first-step analysis for any material, it may not be ideal for polydisperse formulations, such as many nanomedicines. Herein, we describe the utility of asymmetric flow field-flow fractionation (AF4) as a useful tool for a more thorough understanding of these inherently polydisperse materials. AF4 was coupled with in-line DLS for an enhanced separation and resolution of various size populations in a nanomaterial. Additionally, the various size populations were collected for offline analysis by TEM for an assessment of different shape populations, or RP-HPLC to provide a compositional analysis of each individual size population. This technique was also extended to assess nanoparticle stability, i.e., drug release, both in buffer and physiologically relevant matrix, as well as qualitatively evaluate the protein binding capacity of nanomedicines. Overall, AF4 is proven to be a very versatile technique and can provide a wealth of information on a material’s polydispersity and stability. Moreover, the ability to conduct analysis in physiological matrices provides an advantage that many other routine analytical techniques do not. [Figure not available: see fulltext.]","author":[{"dropping-particle":"","family":"Hu","given":"Yingwen","non-dropping-particle":"","parse-names":false,"suffix":""},{"dropping-particle":"","family":"Crist","given":"Rachael M.","non-dropping-particle":"","parse-names":false,"suffix":""},{"dropping-particle":"","family":"Clogston","given":"Jeffrey D.","non-dropping-particle":"","parse-names":false,"suffix":""}],"container-title":"Analytical and Bioanalytical Chemistry","id":"ITEM-1","issue":"2","issued":{"date-parts":[["2020","1","1"]]},"page":"425-438","publisher":"Springer","title":"The utility of asymmetric flow field-flow fractionation for preclinical characterization of nanomedicines","type":"article-journal","volume":"412"},"uris":["http://www.mendeley.com/documents/?uuid=0f7d94d7-4b25-3b7e-a823-e103b3eae2e5"]}],"mendeley":{"formattedCitation":"[34]","plainTextFormattedCitation":"[34]","previouslyFormattedCitation":"[34]"},"properties":{"noteIndex":0},"schema":"https://github.com/citation-style-language/schema/raw/master/csl-citation.json"}</w:instrText>
      </w:r>
      <w:r w:rsidR="002935BB" w:rsidRPr="00A64B10">
        <w:fldChar w:fldCharType="separate"/>
      </w:r>
      <w:r w:rsidR="00993B28" w:rsidRPr="00993B28">
        <w:rPr>
          <w:noProof/>
        </w:rPr>
        <w:t>[34]</w:t>
      </w:r>
      <w:r w:rsidR="002935BB" w:rsidRPr="00A64B10">
        <w:fldChar w:fldCharType="end"/>
      </w:r>
      <w:r w:rsidR="00D97751" w:rsidRPr="00A64B10">
        <w:t xml:space="preserve">. Due to the technical challenge to separate proteins from particles of comparable size and density, no technical solutions currently exist to measure size changes of small </w:t>
      </w:r>
      <w:r w:rsidR="00DD4F00" w:rsidRPr="00A64B10">
        <w:t xml:space="preserve">soft </w:t>
      </w:r>
      <w:r w:rsidR="00D97751" w:rsidRPr="00A64B10">
        <w:t xml:space="preserve">organic particles in plasma, </w:t>
      </w:r>
      <w:proofErr w:type="gramStart"/>
      <w:r w:rsidR="00D97751" w:rsidRPr="00A64B10">
        <w:t>e.g.</w:t>
      </w:r>
      <w:proofErr w:type="gramEnd"/>
      <w:r w:rsidR="00D97751" w:rsidRPr="00A64B10">
        <w:t xml:space="preserve"> dendrimers or small polymeric micelles possessing an average size below 20-30 nm (diameter)</w:t>
      </w:r>
      <w:r w:rsidR="00FA4207" w:rsidRPr="00A64B10">
        <w:t>.</w:t>
      </w:r>
    </w:p>
    <w:p w14:paraId="449C3708" w14:textId="73986FEC" w:rsidR="004F06D5" w:rsidRPr="00A64B10" w:rsidRDefault="00807897" w:rsidP="00CC56B8">
      <w:pPr>
        <w:pStyle w:val="Heading4"/>
      </w:pPr>
      <w:r w:rsidRPr="00A64B10">
        <w:t xml:space="preserve"> </w:t>
      </w:r>
      <w:r w:rsidR="004F06D5" w:rsidRPr="00A64B10">
        <w:t>Protein corona</w:t>
      </w:r>
      <w:r w:rsidR="00D97751" w:rsidRPr="00A64B10">
        <w:t xml:space="preserve"> formation</w:t>
      </w:r>
    </w:p>
    <w:p w14:paraId="37F80054" w14:textId="5141C310" w:rsidR="00723532" w:rsidRPr="00A64B10" w:rsidRDefault="00C67537" w:rsidP="00CC56B8">
      <w:pPr>
        <w:spacing w:after="160"/>
        <w:jc w:val="both"/>
      </w:pPr>
      <w:r w:rsidRPr="00A64B10">
        <w:t>Nanomaterials entering the blood circulation interact with</w:t>
      </w:r>
      <w:r w:rsidR="009565F8" w:rsidRPr="00A64B10">
        <w:t xml:space="preserve"> proteins, sugars, and lipids, </w:t>
      </w:r>
      <w:r w:rsidRPr="00A64B10">
        <w:t>resulting in the formation of a protein corona</w:t>
      </w:r>
      <w:r w:rsidR="006F13F0">
        <w:t>,</w:t>
      </w:r>
      <w:r w:rsidR="00A26CA7" w:rsidRPr="00A64B10">
        <w:t xml:space="preserve"> which influences</w:t>
      </w:r>
      <w:r w:rsidR="00770BE8" w:rsidRPr="00A64B10">
        <w:t xml:space="preserve"> </w:t>
      </w:r>
      <w:r w:rsidR="001E7612" w:rsidRPr="00A64B10">
        <w:t xml:space="preserve">the host </w:t>
      </w:r>
      <w:r w:rsidR="00814AF2" w:rsidRPr="00A64B10">
        <w:t>biological response</w:t>
      </w:r>
      <w:r w:rsidR="004073FD" w:rsidRPr="00A64B10">
        <w:t>,</w:t>
      </w:r>
      <w:r w:rsidR="00AA48DD" w:rsidRPr="00A64B10">
        <w:t xml:space="preserve"> </w:t>
      </w:r>
      <w:r w:rsidR="001E7612" w:rsidRPr="00A64B10">
        <w:t>thus</w:t>
      </w:r>
      <w:r w:rsidR="00814AF2" w:rsidRPr="00A64B10">
        <w:t xml:space="preserve"> </w:t>
      </w:r>
      <w:r w:rsidR="005044EF" w:rsidRPr="00A64B10">
        <w:t>affecting</w:t>
      </w:r>
      <w:r w:rsidR="00814AF2" w:rsidRPr="00A64B10">
        <w:t xml:space="preserve"> </w:t>
      </w:r>
      <w:r w:rsidR="001E7612" w:rsidRPr="00A64B10">
        <w:t>processes such as</w:t>
      </w:r>
      <w:r w:rsidR="00A26CA7" w:rsidRPr="00A64B10">
        <w:t xml:space="preserve"> </w:t>
      </w:r>
      <w:r w:rsidR="00814AF2" w:rsidRPr="00A64B10">
        <w:t>particle uptake by phagocytic cells and biodistribution</w:t>
      </w:r>
      <w:r w:rsidR="00770BE8" w:rsidRPr="00A64B10">
        <w:t>.</w:t>
      </w:r>
    </w:p>
    <w:p w14:paraId="403168DD" w14:textId="657A18A9" w:rsidR="0053377E" w:rsidRPr="00A64B10" w:rsidRDefault="00814AF2" w:rsidP="00770BE8">
      <w:pPr>
        <w:spacing w:after="160"/>
        <w:jc w:val="both"/>
      </w:pPr>
      <w:r w:rsidRPr="00A64B10">
        <w:t>There are two main approaches to study the protein corona</w:t>
      </w:r>
      <w:r w:rsidR="00723532" w:rsidRPr="00A64B10">
        <w:t>: (</w:t>
      </w:r>
      <w:proofErr w:type="spellStart"/>
      <w:r w:rsidR="00723532" w:rsidRPr="00A64B10">
        <w:t>i</w:t>
      </w:r>
      <w:proofErr w:type="spellEnd"/>
      <w:r w:rsidR="00723532" w:rsidRPr="00A64B10">
        <w:t>) quantif</w:t>
      </w:r>
      <w:r w:rsidR="0053377E" w:rsidRPr="00A64B10">
        <w:t>ication</w:t>
      </w:r>
      <w:r w:rsidR="00723532" w:rsidRPr="00A64B10">
        <w:t xml:space="preserve"> </w:t>
      </w:r>
      <w:r w:rsidR="00B05626" w:rsidRPr="00A64B10">
        <w:t xml:space="preserve">of </w:t>
      </w:r>
      <w:r w:rsidR="00723532" w:rsidRPr="00A64B10">
        <w:t>the total amount of proteins bind</w:t>
      </w:r>
      <w:r w:rsidR="0053377E" w:rsidRPr="00A64B10">
        <w:t>ing</w:t>
      </w:r>
      <w:r w:rsidR="00723532" w:rsidRPr="00A64B10">
        <w:t xml:space="preserve"> to the </w:t>
      </w:r>
      <w:r w:rsidR="00723532" w:rsidRPr="000700DD">
        <w:t>particles</w:t>
      </w:r>
      <w:r w:rsidR="004305F3" w:rsidRPr="000700DD">
        <w:t>’</w:t>
      </w:r>
      <w:r w:rsidR="00723532" w:rsidRPr="00A64B10">
        <w:t xml:space="preserve"> </w:t>
      </w:r>
      <w:r w:rsidR="0053377E" w:rsidRPr="00A64B10">
        <w:t xml:space="preserve">surface </w:t>
      </w:r>
      <w:r w:rsidR="00723532" w:rsidRPr="00A64B10">
        <w:t xml:space="preserve">and (ii) </w:t>
      </w:r>
      <w:r w:rsidR="0053377E" w:rsidRPr="00A64B10">
        <w:t>i</w:t>
      </w:r>
      <w:r w:rsidR="00723532" w:rsidRPr="00A64B10">
        <w:t xml:space="preserve">dentification of individual </w:t>
      </w:r>
      <w:r w:rsidR="004305F3" w:rsidRPr="000700DD">
        <w:t xml:space="preserve">corona </w:t>
      </w:r>
      <w:r w:rsidR="00723532" w:rsidRPr="00A64B10">
        <w:t xml:space="preserve">proteins separated by </w:t>
      </w:r>
      <w:r w:rsidR="00693484" w:rsidRPr="000700DD">
        <w:t>gel electrophoresis</w:t>
      </w:r>
      <w:r w:rsidR="00723532" w:rsidRPr="00A64B10">
        <w:t xml:space="preserve"> </w:t>
      </w:r>
      <w:r w:rsidR="00693484" w:rsidRPr="000700DD">
        <w:t xml:space="preserve">and </w:t>
      </w:r>
      <w:r w:rsidR="00723532" w:rsidRPr="00A64B10">
        <w:t>determined by mass spectrometry (proteomics)</w:t>
      </w:r>
      <w:r w:rsidRPr="00A64B10">
        <w:t>. The easiest</w:t>
      </w:r>
      <w:r w:rsidR="0053377E" w:rsidRPr="00A64B10">
        <w:t xml:space="preserve"> </w:t>
      </w:r>
      <w:r w:rsidRPr="00A64B10">
        <w:t xml:space="preserve">and </w:t>
      </w:r>
      <w:r w:rsidR="0053377E" w:rsidRPr="00A64B10">
        <w:t xml:space="preserve">more </w:t>
      </w:r>
      <w:r w:rsidR="0053377E" w:rsidRPr="00A64B10">
        <w:lastRenderedPageBreak/>
        <w:t>mature</w:t>
      </w:r>
      <w:r w:rsidRPr="00A64B10">
        <w:t xml:space="preserve"> </w:t>
      </w:r>
      <w:r w:rsidR="00A03576" w:rsidRPr="00A64B10">
        <w:t>method</w:t>
      </w:r>
      <w:r w:rsidR="008B23D5" w:rsidRPr="00A64B10">
        <w:t xml:space="preserve"> aim</w:t>
      </w:r>
      <w:r w:rsidR="002F0669" w:rsidRPr="00A64B10">
        <w:t>s</w:t>
      </w:r>
      <w:r w:rsidR="008B23D5" w:rsidRPr="00A64B10">
        <w:t xml:space="preserve"> to </w:t>
      </w:r>
      <w:r w:rsidRPr="00A64B10">
        <w:t xml:space="preserve">quantify the total amount of proteins binding to the </w:t>
      </w:r>
      <w:r w:rsidR="00D165DC" w:rsidRPr="00A64B10">
        <w:t xml:space="preserve">NP </w:t>
      </w:r>
      <w:r w:rsidRPr="00A64B10">
        <w:t>by two-dimensional polyacrylamide gel electrophoresis (2D PAGE)</w:t>
      </w:r>
      <w:r w:rsidR="000573E1" w:rsidRPr="00A64B10">
        <w:t xml:space="preserve"> </w:t>
      </w:r>
      <w:r w:rsidRPr="00A64B10">
        <w:t>(</w:t>
      </w:r>
      <w:r w:rsidR="00A03576" w:rsidRPr="00A64B10">
        <w:t>T</w:t>
      </w:r>
      <w:r w:rsidR="0028647A" w:rsidRPr="00A64B10">
        <w:t>able S</w:t>
      </w:r>
      <w:r w:rsidR="007C17E3" w:rsidRPr="00A64B10">
        <w:t>2</w:t>
      </w:r>
      <w:r w:rsidRPr="00A64B10">
        <w:t xml:space="preserve">). </w:t>
      </w:r>
      <w:r w:rsidR="00251C0D" w:rsidRPr="00A64B10">
        <w:t xml:space="preserve">Individual </w:t>
      </w:r>
      <w:r w:rsidR="0053377E" w:rsidRPr="00A64B10">
        <w:t xml:space="preserve">proteins can be </w:t>
      </w:r>
      <w:r w:rsidR="00251C0D" w:rsidRPr="00A64B10">
        <w:t xml:space="preserve">identified </w:t>
      </w:r>
      <w:r w:rsidR="0053377E" w:rsidRPr="00A64B10">
        <w:t xml:space="preserve">by mass spectrometry, either </w:t>
      </w:r>
      <w:r w:rsidR="00693484" w:rsidRPr="000700DD">
        <w:t>following</w:t>
      </w:r>
      <w:r w:rsidR="0053377E" w:rsidRPr="00A64B10">
        <w:t xml:space="preserve"> 2D </w:t>
      </w:r>
      <w:r w:rsidR="0046106A" w:rsidRPr="00A64B10">
        <w:t xml:space="preserve">PAGE </w:t>
      </w:r>
      <w:r w:rsidR="0053377E" w:rsidRPr="00A64B10">
        <w:t>or by separat</w:t>
      </w:r>
      <w:r w:rsidR="0046106A" w:rsidRPr="00A64B10">
        <w:t>e</w:t>
      </w:r>
      <w:r w:rsidR="0053377E" w:rsidRPr="00A64B10">
        <w:t xml:space="preserve"> proteomic approaches </w:t>
      </w:r>
      <w:r w:rsidR="00B05626" w:rsidRPr="00A64B10">
        <w:fldChar w:fldCharType="begin" w:fldLock="1"/>
      </w:r>
      <w:r w:rsidR="000B3F63">
        <w:instrText>ADDIN CSL_CITATION {"citationItems":[{"id":"ITEM-1","itemData":{"DOI":"10.1007/s13346-020-00745-0","ISSN":"21903948","PMID":"32152965","abstract":"The protein corona is a natural protein layer spontaneously formed around nanomaterials when exposed to biological media. This layer can alter the nanosystems’ biological performance, particularly their tissue accumulation, cellular uptake, clearance by the immune system, toxicity, and even the release profile of their payloads. Hence, the characterization of this protein layer has become a critical step when developing a new nanomedicine. The modification of the nanosystem fate by the protein corona, systematically ignored in the vast majority of the nanotechnology-based research, may have contributed to the low in vitro/in vivo correlation. Actually, the protein corona of polymeric nanosystems has been scarcely studied in the literature, and most studies have been focused instead on metallic nanoparticles and liposomes. In this review, we analyzed the influence of the physicochemical properties and composition of the polymeric nanosystems on the protein layer deposited around them. In addition, we present some recommendations on how to perform the protein corona studies of polymeric nanoparticles, which, hopefully, will contribute to obtain more reliable and reproducible data in the future. [Figure not available: see fulltext.].","author":[{"dropping-particle":"","family":"Berrecoso","given":"Germán","non-dropping-particle":"","parse-names":false,"suffix":""},{"dropping-particle":"","family":"Crecente-Campo","given":"José","non-dropping-particle":"","parse-names":false,"suffix":""},{"dropping-particle":"","family":"Alonso","given":"María José","non-dropping-particle":"","parse-names":false,"suffix":""}],"container-title":"Drug Delivery and Translational Research","id":"ITEM-1","issue":"3","issued":{"date-parts":[["2020","6","1"]]},"page":"730-750","publisher":"Springer","title":"Unveiling the pitfalls of the protein corona of polymeric drug nanocarriers","type":"article-journal","volume":"10"},"uris":["http://www.mendeley.com/documents/?uuid=5895b9fe-c314-311b-baae-bfa8ddbd1710"]}],"mendeley":{"formattedCitation":"[35]","plainTextFormattedCitation":"[35]","previouslyFormattedCitation":"[35]"},"properties":{"noteIndex":0},"schema":"https://github.com/citation-style-language/schema/raw/master/csl-citation.json"}</w:instrText>
      </w:r>
      <w:r w:rsidR="00B05626" w:rsidRPr="00A64B10">
        <w:fldChar w:fldCharType="separate"/>
      </w:r>
      <w:r w:rsidR="00993B28" w:rsidRPr="00993B28">
        <w:rPr>
          <w:noProof/>
        </w:rPr>
        <w:t>[35]</w:t>
      </w:r>
      <w:r w:rsidR="00B05626" w:rsidRPr="00A64B10">
        <w:fldChar w:fldCharType="end"/>
      </w:r>
      <w:r w:rsidR="0053377E" w:rsidRPr="00A64B10">
        <w:t xml:space="preserve">. </w:t>
      </w:r>
    </w:p>
    <w:p w14:paraId="4290B1AA" w14:textId="1C6B9995" w:rsidR="00814AF2" w:rsidRPr="00A64B10" w:rsidRDefault="00814AF2" w:rsidP="00CC56B8">
      <w:pPr>
        <w:spacing w:after="160"/>
        <w:jc w:val="both"/>
      </w:pPr>
      <w:r w:rsidRPr="00A64B10">
        <w:t>As reported by</w:t>
      </w:r>
      <w:r w:rsidR="007A3D0B" w:rsidRPr="00A64B10">
        <w:t xml:space="preserve"> </w:t>
      </w:r>
      <w:proofErr w:type="spellStart"/>
      <w:r w:rsidR="007A3D0B" w:rsidRPr="00A64B10">
        <w:t>Monopoli</w:t>
      </w:r>
      <w:proofErr w:type="spellEnd"/>
      <w:r w:rsidR="007A3D0B" w:rsidRPr="00A64B10">
        <w:t xml:space="preserve"> et al </w:t>
      </w:r>
      <w:r w:rsidR="007A3D0B" w:rsidRPr="00A64B10">
        <w:fldChar w:fldCharType="begin" w:fldLock="1"/>
      </w:r>
      <w:r w:rsidR="000B3F63">
        <w:instrText>ADDIN CSL_CITATION {"citationItems":[{"id":"ITEM-1","itemData":{"DOI":"10.1007/978-1-62703-462-3_11","ISBN":"9781627034616","ISSN":"10643745","abstract":"Over the last decade the existence of \"the corona,\" a natural interface between nanomaterials and living matter in biological milieu, evolved from a vague concept into broadly recognized fact. This robust shell arises (to some extent) on the surface of all nanoparticles (NPs), even the ones designed to avoid its formation upon contact with biological fluids and confers a biological identity to the nanomaterials such that they can engage with cellular machinery. The NP corona consists of those proteins (and other biomolecules such as lipids and sugars) residing on the NP surface for a sufficient timescale to influence the NP's properties and interactions with living systems. This chapter aims to provide simple protocols, as well as notes on potential pitfalls, to help researchers to perform basic experiments in this field as the basis for a more mechanistic approach to study and understand NP-protein corona complexes. This work has been supported by INSPIRE (Integrated NanoScience Platform for Ireland) funded by the Irish Government's Programme for Research in Third Level Institutions, Cycle 4, National Development Plan 2007-2013, and 3MICRON (NMP-2009-LA-245572), NAMDIATREAM (NMP4-LA-2010-246479) and QualityNano (INFRA-2010-262163) funded by the European Commission 7th Framework Programme. © Springer Science+Business Media New York 2013.","author":[{"dropping-particle":"","family":"Monopoli","given":"Marco P.","non-dropping-particle":"","parse-names":false,"suffix":""},{"dropping-particle":"","family":"Pitek","given":"Andrzej S.","non-dropping-particle":"","parse-names":false,"suffix":""},{"dropping-particle":"","family":"Lynch","given":"Iseult","non-dropping-particle":"","parse-names":false,"suffix":""},{"dropping-particle":"","family":"Dawson","given":"Kenneth A.","non-dropping-particle":"","parse-names":false,"suffix":""}],"container-title":"Methods in Molecular Biology","id":"ITEM-1","issued":{"date-parts":[["2013"]]},"page":"137-155","publisher":"Humana Press Inc.","title":"Formation and characterization of the nanoparticle-protein corona","type":"article-journal","volume":"1025"},"uris":["http://www.mendeley.com/documents/?uuid=75bfc432-0be0-3151-ad85-3b015fc248b6"]}],"mendeley":{"formattedCitation":"[36]","plainTextFormattedCitation":"[36]","previouslyFormattedCitation":"[36]"},"properties":{"noteIndex":0},"schema":"https://github.com/citation-style-language/schema/raw/master/csl-citation.json"}</w:instrText>
      </w:r>
      <w:r w:rsidR="007A3D0B" w:rsidRPr="00A64B10">
        <w:fldChar w:fldCharType="separate"/>
      </w:r>
      <w:r w:rsidR="00993B28" w:rsidRPr="00993B28">
        <w:rPr>
          <w:noProof/>
        </w:rPr>
        <w:t>[36]</w:t>
      </w:r>
      <w:r w:rsidR="007A3D0B" w:rsidRPr="00A64B10">
        <w:fldChar w:fldCharType="end"/>
      </w:r>
      <w:r w:rsidRPr="00A64B10">
        <w:t xml:space="preserve"> </w:t>
      </w:r>
      <w:r w:rsidR="005044EF" w:rsidRPr="00A64B10">
        <w:t>there are a few critical steps to take into account</w:t>
      </w:r>
      <w:r w:rsidR="00723532" w:rsidRPr="00A64B10">
        <w:t xml:space="preserve"> </w:t>
      </w:r>
      <w:r w:rsidR="009D1395" w:rsidRPr="00A64B10">
        <w:t xml:space="preserve">for </w:t>
      </w:r>
      <w:r w:rsidR="00723532" w:rsidRPr="00A64B10">
        <w:t>the corona analysis</w:t>
      </w:r>
      <w:r w:rsidR="005044EF" w:rsidRPr="00A64B10">
        <w:t>,</w:t>
      </w:r>
      <w:r w:rsidR="00D51725" w:rsidRPr="00A64B10">
        <w:t xml:space="preserve"> including</w:t>
      </w:r>
      <w:r w:rsidR="005044EF" w:rsidRPr="00A64B10">
        <w:t xml:space="preserve"> (</w:t>
      </w:r>
      <w:proofErr w:type="spellStart"/>
      <w:r w:rsidR="005044EF" w:rsidRPr="00A64B10">
        <w:t>i</w:t>
      </w:r>
      <w:proofErr w:type="spellEnd"/>
      <w:r w:rsidR="005044EF" w:rsidRPr="00A64B10">
        <w:t xml:space="preserve">) biological fluid (plasma or serum) </w:t>
      </w:r>
      <w:r w:rsidR="003A359B" w:rsidRPr="00A64B10">
        <w:t>collection and harvesting</w:t>
      </w:r>
      <w:r w:rsidR="005044EF" w:rsidRPr="00A64B10">
        <w:t>, (ii) NP incubation with biological fluid</w:t>
      </w:r>
      <w:r w:rsidR="00D51725" w:rsidRPr="00A64B10">
        <w:t xml:space="preserve"> and </w:t>
      </w:r>
      <w:r w:rsidR="005044EF" w:rsidRPr="00A64B10">
        <w:t xml:space="preserve">(iii) separation of NP–protein corona complexes from excess plasma to remove loosely bound </w:t>
      </w:r>
      <w:r w:rsidR="008B23D5" w:rsidRPr="00A64B10">
        <w:t xml:space="preserve">and free </w:t>
      </w:r>
      <w:r w:rsidR="005044EF" w:rsidRPr="00A64B10">
        <w:t xml:space="preserve">proteins. </w:t>
      </w:r>
      <w:r w:rsidR="003A359B" w:rsidRPr="00A64B10">
        <w:t>From a techn</w:t>
      </w:r>
      <w:r w:rsidR="00AA0E77" w:rsidRPr="00A64B10">
        <w:t>ical</w:t>
      </w:r>
      <w:r w:rsidR="003A359B" w:rsidRPr="00A64B10">
        <w:t xml:space="preserve"> perspective</w:t>
      </w:r>
      <w:r w:rsidR="008B23D5" w:rsidRPr="00A64B10">
        <w:t xml:space="preserve"> (point iii)</w:t>
      </w:r>
      <w:r w:rsidR="003A359B" w:rsidRPr="00A64B10">
        <w:t xml:space="preserve">, the application of </w:t>
      </w:r>
      <w:r w:rsidR="00723532" w:rsidRPr="00A64B10">
        <w:t xml:space="preserve">corona quantification/composition analysis </w:t>
      </w:r>
      <w:r w:rsidR="003A359B" w:rsidRPr="00A64B10">
        <w:t xml:space="preserve">is limited to particles </w:t>
      </w:r>
      <w:r w:rsidR="008B23D5" w:rsidRPr="00A64B10">
        <w:t xml:space="preserve">that can be separated </w:t>
      </w:r>
      <w:r w:rsidR="003A359B" w:rsidRPr="00A64B10">
        <w:t>from plasma by centrifugation (e.g., metal oxides, metal colloids, core-shell materials</w:t>
      </w:r>
      <w:r w:rsidR="00723532" w:rsidRPr="00A64B10">
        <w:t>, large polymeric NPs</w:t>
      </w:r>
      <w:r w:rsidR="003A359B" w:rsidRPr="00A64B10">
        <w:t>)</w:t>
      </w:r>
      <w:r w:rsidR="008B23D5" w:rsidRPr="00A64B10">
        <w:t>.</w:t>
      </w:r>
      <w:r w:rsidR="00020006" w:rsidRPr="00A64B10">
        <w:t xml:space="preserve"> </w:t>
      </w:r>
      <w:r w:rsidR="00322B24" w:rsidRPr="00A64B10">
        <w:t xml:space="preserve">No technological solutions </w:t>
      </w:r>
      <w:r w:rsidR="00B77BEF" w:rsidRPr="00A64B10">
        <w:t xml:space="preserve">currently </w:t>
      </w:r>
      <w:r w:rsidR="00322B24" w:rsidRPr="00A64B10">
        <w:t xml:space="preserve">exist for </w:t>
      </w:r>
      <w:r w:rsidR="00020006" w:rsidRPr="00A64B10">
        <w:t>small organic nanocarrier systems</w:t>
      </w:r>
      <w:r w:rsidR="00770BE8" w:rsidRPr="00A64B10">
        <w:t xml:space="preserve"> </w:t>
      </w:r>
      <w:r w:rsidR="0035540F" w:rsidRPr="00A64B10">
        <w:t>(T</w:t>
      </w:r>
      <w:r w:rsidR="00770BE8" w:rsidRPr="00A64B10">
        <w:t>able 4).</w:t>
      </w:r>
    </w:p>
    <w:p w14:paraId="13E24335" w14:textId="65A71EC7" w:rsidR="00565FA3" w:rsidRDefault="00020006" w:rsidP="003432E9">
      <w:pPr>
        <w:spacing w:after="160"/>
        <w:jc w:val="both"/>
      </w:pPr>
      <w:r w:rsidRPr="00A64B10">
        <w:t xml:space="preserve">Another important </w:t>
      </w:r>
      <w:r w:rsidR="002D5805" w:rsidRPr="00A64B10">
        <w:t xml:space="preserve">open question for the community is </w:t>
      </w:r>
      <w:r w:rsidRPr="00A64B10">
        <w:t>how to first define, and then standardi</w:t>
      </w:r>
      <w:r w:rsidR="004C4385" w:rsidRPr="00A64B10">
        <w:t>s</w:t>
      </w:r>
      <w:r w:rsidRPr="00A64B10">
        <w:t xml:space="preserve">e the </w:t>
      </w:r>
      <w:r w:rsidR="002B1CCA" w:rsidRPr="00A64B10">
        <w:t xml:space="preserve">composition of the </w:t>
      </w:r>
      <w:r w:rsidRPr="00A64B10">
        <w:t>biological media to be used for corona studies</w:t>
      </w:r>
      <w:r w:rsidR="002B1CCA" w:rsidRPr="00A64B10">
        <w:t xml:space="preserve">, </w:t>
      </w:r>
      <w:proofErr w:type="gramStart"/>
      <w:r w:rsidR="002B1CCA" w:rsidRPr="00A64B10">
        <w:t>in order to</w:t>
      </w:r>
      <w:proofErr w:type="gramEnd"/>
      <w:r w:rsidRPr="00A64B10">
        <w:t xml:space="preserve"> mimic the </w:t>
      </w:r>
      <w:r w:rsidR="00983AC3" w:rsidRPr="00A64B10">
        <w:t xml:space="preserve">real </w:t>
      </w:r>
      <w:r w:rsidR="002B1CCA" w:rsidRPr="00A64B10">
        <w:t>plasm</w:t>
      </w:r>
      <w:r w:rsidR="002D5805" w:rsidRPr="00A64B10">
        <w:t>a</w:t>
      </w:r>
      <w:r w:rsidR="002B1CCA" w:rsidRPr="00A64B10">
        <w:t xml:space="preserve"> composition </w:t>
      </w:r>
      <w:r w:rsidR="00983AC3" w:rsidRPr="00A64B10">
        <w:t xml:space="preserve">in the </w:t>
      </w:r>
      <w:r w:rsidR="005B084A" w:rsidRPr="00A64B10">
        <w:t xml:space="preserve">specific </w:t>
      </w:r>
      <w:r w:rsidR="00983AC3" w:rsidRPr="00A64B10">
        <w:t>clinical application</w:t>
      </w:r>
      <w:r w:rsidR="002B1CCA" w:rsidRPr="00A64B10">
        <w:t>, and to assure comparability between different studies.</w:t>
      </w:r>
      <w:r w:rsidRPr="00A64B10">
        <w:t xml:space="preserve"> </w:t>
      </w:r>
      <w:r w:rsidR="00983AC3" w:rsidRPr="00A64B10">
        <w:t xml:space="preserve">This </w:t>
      </w:r>
      <w:r w:rsidR="00AC55E5" w:rsidRPr="00A64B10">
        <w:t>challenge</w:t>
      </w:r>
      <w:r w:rsidR="00983AC3" w:rsidRPr="00A64B10">
        <w:t xml:space="preserve"> need</w:t>
      </w:r>
      <w:r w:rsidR="00AC55E5" w:rsidRPr="00A64B10">
        <w:t>s</w:t>
      </w:r>
      <w:r w:rsidR="00983AC3" w:rsidRPr="00A64B10">
        <w:t xml:space="preserve"> to be addressed </w:t>
      </w:r>
      <w:r w:rsidR="00AC55E5" w:rsidRPr="00A64B10">
        <w:t xml:space="preserve">before </w:t>
      </w:r>
      <w:r w:rsidR="00B07EE5" w:rsidRPr="00A64B10">
        <w:t>the relevance of protein corona studies</w:t>
      </w:r>
      <w:r w:rsidR="002B1CCA" w:rsidRPr="00A64B10">
        <w:t xml:space="preserve"> for </w:t>
      </w:r>
      <w:r w:rsidR="00B07EE5" w:rsidRPr="00A64B10">
        <w:t xml:space="preserve">safety and efficacy </w:t>
      </w:r>
      <w:r w:rsidR="00AC55E5" w:rsidRPr="00A64B10">
        <w:t xml:space="preserve">prediction can be demonstrated. </w:t>
      </w:r>
    </w:p>
    <w:p w14:paraId="66645610" w14:textId="6F6C98CC" w:rsidR="00D87664" w:rsidRPr="00A64B10" w:rsidRDefault="00301325" w:rsidP="00006EED">
      <w:pPr>
        <w:spacing w:after="160"/>
        <w:jc w:val="both"/>
      </w:pPr>
      <w:r>
        <w:t xml:space="preserve">Finally, slightly different challenge is related to the evaluation and monitoring of the </w:t>
      </w:r>
      <w:r w:rsidR="008F37F0">
        <w:t xml:space="preserve">quality including the </w:t>
      </w:r>
      <w:r>
        <w:t xml:space="preserve">physicochemical stability </w:t>
      </w:r>
      <w:r w:rsidRPr="00EA3BC3">
        <w:t xml:space="preserve">during </w:t>
      </w:r>
      <w:r w:rsidR="008F37F0">
        <w:t xml:space="preserve">the product </w:t>
      </w:r>
      <w:r>
        <w:t xml:space="preserve">shipment and </w:t>
      </w:r>
      <w:r w:rsidRPr="00EA3BC3">
        <w:t>storage</w:t>
      </w:r>
      <w:r>
        <w:t xml:space="preserve">. Majority of the methods described above </w:t>
      </w:r>
      <w:r w:rsidRPr="00301325">
        <w:t>are dependent on specialized infrastructure and analytical competence</w:t>
      </w:r>
      <w:r>
        <w:t xml:space="preserve"> limiting their use </w:t>
      </w:r>
      <w:r w:rsidRPr="00301325">
        <w:t xml:space="preserve">in the clinical setting. </w:t>
      </w:r>
      <w:r w:rsidR="006F49FD" w:rsidRPr="006F49FD">
        <w:t xml:space="preserve">This becomes an issue of particular relevance for complex pharmaceutical entities like protein therapeutics </w:t>
      </w:r>
      <w:r w:rsidR="000B3F63">
        <w:fldChar w:fldCharType="begin" w:fldLock="1"/>
      </w:r>
      <w:r w:rsidR="00F53111">
        <w:instrText>ADDIN CSL_CITATION {"citationItems":[{"id":"ITEM-1","itemData":{"DOI":"10.1016/j.copbio.2019.01.014","ISSN":"18790429","PMID":"30861476","abstract":"Development of a robust biologic drug product is accomplished by extensive formulation and process development screening studies; however, even in the most optimal formulation, a protein can undergo spontaneous degradation during manufacture, storage, and clinical use. Chemical changes to amino acid residues, such as oxidation of methionine or tryptophan, or changes in charge such as deamidation or carbonylation, can induce conformational changes in the overall protein structure, potentially leading to changes in physical – in addition to chemical – stability. Oxidation is often caused by light exposure or the presence of metal ions or peroxides. Asparagine deamidation is more likely to occur at higher pH and/or elevated temperature. Mechanical and interfacial stresses during manufacturing can lead to physical instabilities (i.e. various forms of aggregation). A well-defined manufacturing process and effective in-process controls are essential in minimizing chemical and physical instabilities, enabling robust production and distribution of a safe and efficacious drug product. In this work, the authors provide a review of developments in these areas over the past two years, with emphasis on manufacturability of therapeutically relevant proteins and protein-based drug products.","author":[{"dropping-particle":"","family":"Krause","given":"Mary E.","non-dropping-particle":"","parse-names":false,"suffix":""},{"dropping-particle":"","family":"Sahin","given":"Erinc","non-dropping-particle":"","parse-names":false,"suffix":""}],"container-title":"Current Opinion in Biotechnology","id":"ITEM-1","issued":{"date-parts":[["2019","12","1"]]},"page":"159-167","publisher":"Elsevier Ltd","title":"Chemical and physical instabilities in manufacturing and storage of therapeutic proteins","type":"article","volume":"60"},"uris":["http://www.mendeley.com/documents/?uuid=b4e3ab9f-5706-3f8c-9192-53bc05af7339"]}],"mendeley":{"formattedCitation":"[37]","plainTextFormattedCitation":"[37]","previouslyFormattedCitation":"[37]"},"properties":{"noteIndex":0},"schema":"https://github.com/citation-style-language/schema/raw/master/csl-citation.json"}</w:instrText>
      </w:r>
      <w:r w:rsidR="000B3F63">
        <w:fldChar w:fldCharType="separate"/>
      </w:r>
      <w:r w:rsidR="000B3F63" w:rsidRPr="000B3F63">
        <w:rPr>
          <w:noProof/>
        </w:rPr>
        <w:t>[37]</w:t>
      </w:r>
      <w:r w:rsidR="000B3F63">
        <w:fldChar w:fldCharType="end"/>
      </w:r>
      <w:r w:rsidR="006F49FD" w:rsidRPr="006F49FD">
        <w:t>and nanotechnology-based health products</w:t>
      </w:r>
      <w:r w:rsidR="006F49FD">
        <w:t>,</w:t>
      </w:r>
      <w:r w:rsidRPr="00EA3BC3">
        <w:t xml:space="preserve"> and has recently been brought to global attention in the case of </w:t>
      </w:r>
      <w:proofErr w:type="spellStart"/>
      <w:r w:rsidRPr="00EA3BC3">
        <w:t>nanoformulated</w:t>
      </w:r>
      <w:proofErr w:type="spellEnd"/>
      <w:r w:rsidRPr="00EA3BC3">
        <w:t xml:space="preserve"> mRNA-based vaccines against Covid-19, where strict cold-chain requirements pose a significant challenge for their widespread application e.g. in many developing countries.</w:t>
      </w:r>
    </w:p>
    <w:p w14:paraId="32467EA0" w14:textId="77777777" w:rsidR="00FF2897" w:rsidRPr="00A64B10" w:rsidRDefault="00FF2897" w:rsidP="00FF2897">
      <w:pPr>
        <w:pStyle w:val="Heading2"/>
      </w:pPr>
      <w:r w:rsidRPr="00A64B10">
        <w:t>4.4 ADME and biodistribution</w:t>
      </w:r>
    </w:p>
    <w:p w14:paraId="55749FA8" w14:textId="2AD85A79" w:rsidR="00FF2897" w:rsidRPr="00A64B10" w:rsidRDefault="00FF2897" w:rsidP="00FF2897">
      <w:pPr>
        <w:contextualSpacing/>
        <w:jc w:val="both"/>
        <w:rPr>
          <w:rFonts w:ascii="Calibri" w:eastAsia="Calibri" w:hAnsi="Calibri" w:cs="Arial"/>
        </w:rPr>
      </w:pPr>
      <w:r w:rsidRPr="00A64B10">
        <w:rPr>
          <w:rFonts w:ascii="Calibri" w:eastAsia="Calibri" w:hAnsi="Calibri" w:cs="Arial"/>
        </w:rPr>
        <w:t xml:space="preserve">To understand the absorption, distribution, </w:t>
      </w:r>
      <w:proofErr w:type="gramStart"/>
      <w:r w:rsidRPr="00A64B10">
        <w:rPr>
          <w:rFonts w:ascii="Calibri" w:eastAsia="Calibri" w:hAnsi="Calibri" w:cs="Arial"/>
        </w:rPr>
        <w:t>metabolism</w:t>
      </w:r>
      <w:proofErr w:type="gramEnd"/>
      <w:r w:rsidRPr="00A64B10">
        <w:rPr>
          <w:rFonts w:ascii="Calibri" w:eastAsia="Calibri" w:hAnsi="Calibri" w:cs="Arial"/>
        </w:rPr>
        <w:t xml:space="preserve"> and </w:t>
      </w:r>
      <w:r w:rsidR="00A222F3">
        <w:rPr>
          <w:rFonts w:ascii="Calibri" w:eastAsia="Calibri" w:hAnsi="Calibri" w:cs="Arial"/>
        </w:rPr>
        <w:t>excretion</w:t>
      </w:r>
      <w:r w:rsidR="00A222F3" w:rsidRPr="00A64B10">
        <w:rPr>
          <w:rFonts w:ascii="Calibri" w:eastAsia="Calibri" w:hAnsi="Calibri" w:cs="Arial"/>
        </w:rPr>
        <w:t xml:space="preserve"> </w:t>
      </w:r>
      <w:r w:rsidRPr="00A64B10">
        <w:rPr>
          <w:rFonts w:ascii="Calibri" w:eastAsia="Calibri" w:hAnsi="Calibri" w:cs="Arial"/>
        </w:rPr>
        <w:t xml:space="preserve">(ADME) profile of a </w:t>
      </w:r>
      <w:r w:rsidR="00A03576" w:rsidRPr="00A64B10">
        <w:rPr>
          <w:rFonts w:ascii="Calibri" w:eastAsia="Calibri" w:hAnsi="Calibri" w:cs="Arial"/>
        </w:rPr>
        <w:t>product under investigation</w:t>
      </w:r>
      <w:r w:rsidRPr="00A64B10">
        <w:rPr>
          <w:rFonts w:ascii="Calibri" w:eastAsia="Calibri" w:hAnsi="Calibri" w:cs="Arial"/>
        </w:rPr>
        <w:t xml:space="preserve"> it is important to use a range of model systems from </w:t>
      </w:r>
      <w:r w:rsidRPr="00A64B10">
        <w:rPr>
          <w:rFonts w:ascii="Calibri" w:eastAsia="Calibri" w:hAnsi="Calibri" w:cs="Arial"/>
          <w:i/>
          <w:iCs/>
        </w:rPr>
        <w:t>in vitro</w:t>
      </w:r>
      <w:r w:rsidRPr="00A64B10">
        <w:rPr>
          <w:rFonts w:ascii="Calibri" w:eastAsia="Calibri" w:hAnsi="Calibri" w:cs="Arial"/>
        </w:rPr>
        <w:t xml:space="preserve"> cell-based models to </w:t>
      </w:r>
      <w:r w:rsidRPr="00A64B10">
        <w:rPr>
          <w:rFonts w:ascii="Calibri" w:eastAsia="Calibri" w:hAnsi="Calibri" w:cs="Arial"/>
          <w:i/>
          <w:iCs/>
        </w:rPr>
        <w:t>in vivo</w:t>
      </w:r>
      <w:r w:rsidRPr="00A64B10">
        <w:rPr>
          <w:rFonts w:ascii="Calibri" w:eastAsia="Calibri" w:hAnsi="Calibri" w:cs="Arial"/>
        </w:rPr>
        <w:t xml:space="preserve"> animal models. In the early stages of development, the use of human subjects is not </w:t>
      </w:r>
      <w:r w:rsidR="004F7905" w:rsidRPr="00A64B10">
        <w:rPr>
          <w:rFonts w:ascii="Calibri" w:eastAsia="Calibri" w:hAnsi="Calibri" w:cs="Arial"/>
        </w:rPr>
        <w:t>feasible</w:t>
      </w:r>
      <w:r w:rsidR="00E36835">
        <w:rPr>
          <w:rFonts w:ascii="Calibri" w:eastAsia="Calibri" w:hAnsi="Calibri" w:cs="Arial"/>
        </w:rPr>
        <w:t>.</w:t>
      </w:r>
      <w:r w:rsidRPr="00A64B10">
        <w:rPr>
          <w:rFonts w:ascii="Calibri" w:eastAsia="Calibri" w:hAnsi="Calibri" w:cs="Arial"/>
        </w:rPr>
        <w:t xml:space="preserve"> </w:t>
      </w:r>
      <w:r w:rsidR="00E36835">
        <w:rPr>
          <w:rFonts w:ascii="Calibri" w:eastAsia="Calibri" w:hAnsi="Calibri" w:cs="Arial"/>
        </w:rPr>
        <w:t>H</w:t>
      </w:r>
      <w:r w:rsidRPr="00A64B10">
        <w:rPr>
          <w:rFonts w:ascii="Calibri" w:eastAsia="Calibri" w:hAnsi="Calibri" w:cs="Arial"/>
        </w:rPr>
        <w:t>owever</w:t>
      </w:r>
      <w:r w:rsidR="006F13F0">
        <w:rPr>
          <w:rFonts w:ascii="Calibri" w:eastAsia="Calibri" w:hAnsi="Calibri" w:cs="Arial"/>
        </w:rPr>
        <w:t>,</w:t>
      </w:r>
      <w:r w:rsidRPr="00A64B10">
        <w:rPr>
          <w:rFonts w:ascii="Calibri" w:eastAsia="Calibri" w:hAnsi="Calibri" w:cs="Arial"/>
        </w:rPr>
        <w:t xml:space="preserve"> the more recent evolution in experimental and computational platforms including mathematical modelling can support an integrated evaluation of biodistribution processes. </w:t>
      </w:r>
      <w:r w:rsidR="00B4614D" w:rsidRPr="00A64B10">
        <w:rPr>
          <w:rFonts w:ascii="Calibri" w:eastAsia="Calibri" w:hAnsi="Calibri" w:cs="Arial"/>
        </w:rPr>
        <w:t>Major methodological challenges related to this section are summarised in Table 5.</w:t>
      </w:r>
    </w:p>
    <w:p w14:paraId="761DE092" w14:textId="77777777" w:rsidR="00FF2897" w:rsidRPr="00A64B10" w:rsidRDefault="00554D83" w:rsidP="00752590">
      <w:pPr>
        <w:pStyle w:val="Heading4"/>
      </w:pPr>
      <w:r w:rsidRPr="00A64B10">
        <w:lastRenderedPageBreak/>
        <w:t>Detection and quantification in biological matrices</w:t>
      </w:r>
    </w:p>
    <w:p w14:paraId="733D3A7F" w14:textId="29D91EA7" w:rsidR="00FF2897" w:rsidRPr="00A64B10" w:rsidRDefault="00521D88" w:rsidP="005A751C">
      <w:pPr>
        <w:contextualSpacing/>
        <w:jc w:val="both"/>
        <w:rPr>
          <w:rFonts w:ascii="Calibri" w:eastAsia="Calibri" w:hAnsi="Calibri" w:cs="Arial"/>
          <w:b/>
          <w:bCs/>
          <w:i/>
          <w:iCs/>
        </w:rPr>
      </w:pPr>
      <w:r w:rsidRPr="00A64B10">
        <w:rPr>
          <w:rFonts w:ascii="Calibri" w:eastAsia="Calibri" w:hAnsi="Calibri" w:cs="Arial"/>
          <w:noProof/>
          <w:sz w:val="16"/>
          <w:szCs w:val="16"/>
          <w:lang w:eastAsia="en-GB"/>
        </w:rPr>
        <mc:AlternateContent>
          <mc:Choice Requires="wps">
            <w:drawing>
              <wp:anchor distT="45720" distB="45720" distL="114300" distR="114300" simplePos="0" relativeHeight="251662336" behindDoc="0" locked="0" layoutInCell="1" allowOverlap="1" wp14:anchorId="05735A56" wp14:editId="355D378F">
                <wp:simplePos x="0" y="0"/>
                <wp:positionH relativeFrom="column">
                  <wp:posOffset>3228975</wp:posOffset>
                </wp:positionH>
                <wp:positionV relativeFrom="paragraph">
                  <wp:posOffset>969456</wp:posOffset>
                </wp:positionV>
                <wp:extent cx="2625725" cy="2067560"/>
                <wp:effectExtent l="0" t="0" r="2222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067560"/>
                        </a:xfrm>
                        <a:prstGeom prst="rect">
                          <a:avLst/>
                        </a:prstGeom>
                        <a:solidFill>
                          <a:sysClr val="window" lastClr="FFFFFF"/>
                        </a:solidFill>
                        <a:ln w="25400" cap="flat" cmpd="dbl" algn="ctr">
                          <a:solidFill>
                            <a:srgbClr val="1F497D"/>
                          </a:solidFill>
                          <a:prstDash val="solid"/>
                          <a:headEnd/>
                          <a:tailEnd/>
                        </a:ln>
                        <a:effectLst/>
                      </wps:spPr>
                      <wps:txbx>
                        <w:txbxContent>
                          <w:p w14:paraId="3EB98F92" w14:textId="77777777" w:rsidR="00C727F9" w:rsidRPr="005259BF" w:rsidRDefault="00C727F9" w:rsidP="00521D88">
                            <w:pPr>
                              <w:jc w:val="center"/>
                              <w:rPr>
                                <w:b/>
                                <w:bCs/>
                                <w:sz w:val="28"/>
                                <w:szCs w:val="28"/>
                                <w:u w:val="single"/>
                              </w:rPr>
                            </w:pPr>
                            <w:r w:rsidRPr="005259BF">
                              <w:rPr>
                                <w:b/>
                                <w:bCs/>
                                <w:sz w:val="28"/>
                                <w:szCs w:val="28"/>
                                <w:u w:val="single"/>
                              </w:rPr>
                              <w:t xml:space="preserve">Box </w:t>
                            </w:r>
                            <w:r>
                              <w:rPr>
                                <w:b/>
                                <w:bCs/>
                                <w:sz w:val="28"/>
                                <w:szCs w:val="28"/>
                                <w:u w:val="single"/>
                              </w:rPr>
                              <w:t>1</w:t>
                            </w:r>
                            <w:r w:rsidRPr="005259BF">
                              <w:rPr>
                                <w:b/>
                                <w:bCs/>
                                <w:sz w:val="28"/>
                                <w:szCs w:val="28"/>
                                <w:u w:val="single"/>
                              </w:rPr>
                              <w:t xml:space="preserve">: Available techniques for </w:t>
                            </w:r>
                            <w:r>
                              <w:rPr>
                                <w:b/>
                                <w:bCs/>
                                <w:sz w:val="28"/>
                                <w:szCs w:val="28"/>
                                <w:u w:val="single"/>
                              </w:rPr>
                              <w:t>NPs</w:t>
                            </w:r>
                            <w:r w:rsidRPr="005259BF">
                              <w:rPr>
                                <w:b/>
                                <w:bCs/>
                                <w:sz w:val="28"/>
                                <w:szCs w:val="28"/>
                                <w:u w:val="single"/>
                              </w:rPr>
                              <w:t xml:space="preserve"> detection in cells</w:t>
                            </w:r>
                          </w:p>
                          <w:p w14:paraId="6FC59A52" w14:textId="1401E046" w:rsidR="00C727F9" w:rsidRPr="004F7905" w:rsidRDefault="00C727F9" w:rsidP="0000021E">
                            <w:pPr>
                              <w:pStyle w:val="ListParagraph"/>
                              <w:numPr>
                                <w:ilvl w:val="0"/>
                                <w:numId w:val="13"/>
                              </w:numPr>
                              <w:spacing w:after="0"/>
                              <w:ind w:left="284" w:hanging="284"/>
                              <w:rPr>
                                <w:bCs/>
                                <w:sz w:val="20"/>
                                <w:szCs w:val="20"/>
                              </w:rPr>
                            </w:pPr>
                            <w:r>
                              <w:rPr>
                                <w:bCs/>
                                <w:sz w:val="20"/>
                                <w:szCs w:val="20"/>
                              </w:rPr>
                              <w:t xml:space="preserve">Flow cytometry /Fluorescence microscopy </w:t>
                            </w:r>
                            <w:r w:rsidRPr="004F7905">
                              <w:rPr>
                                <w:bCs/>
                                <w:sz w:val="20"/>
                                <w:szCs w:val="20"/>
                              </w:rPr>
                              <w:t xml:space="preserve"> (fluorescently labelled NPs)</w:t>
                            </w:r>
                          </w:p>
                          <w:p w14:paraId="0ABE242B" w14:textId="77777777" w:rsidR="00C727F9" w:rsidRPr="004F7905" w:rsidRDefault="00C727F9" w:rsidP="0000021E">
                            <w:pPr>
                              <w:pStyle w:val="ListParagraph"/>
                              <w:numPr>
                                <w:ilvl w:val="0"/>
                                <w:numId w:val="13"/>
                              </w:numPr>
                              <w:spacing w:after="0"/>
                              <w:ind w:left="284" w:hanging="284"/>
                              <w:rPr>
                                <w:bCs/>
                                <w:sz w:val="20"/>
                                <w:szCs w:val="20"/>
                              </w:rPr>
                            </w:pPr>
                            <w:r w:rsidRPr="004F7905">
                              <w:rPr>
                                <w:bCs/>
                                <w:sz w:val="20"/>
                                <w:szCs w:val="20"/>
                              </w:rPr>
                              <w:t>ELISA (biotinylated NPs)</w:t>
                            </w:r>
                          </w:p>
                          <w:p w14:paraId="3B7E3A25" w14:textId="77777777" w:rsidR="00C727F9" w:rsidRPr="004F7905" w:rsidRDefault="00C727F9" w:rsidP="0000021E">
                            <w:pPr>
                              <w:pStyle w:val="ListParagraph"/>
                              <w:numPr>
                                <w:ilvl w:val="0"/>
                                <w:numId w:val="13"/>
                              </w:numPr>
                              <w:spacing w:after="0"/>
                              <w:ind w:left="284" w:hanging="284"/>
                              <w:rPr>
                                <w:bCs/>
                                <w:sz w:val="20"/>
                                <w:szCs w:val="20"/>
                              </w:rPr>
                            </w:pPr>
                            <w:r w:rsidRPr="004F7905">
                              <w:rPr>
                                <w:bCs/>
                                <w:sz w:val="20"/>
                                <w:szCs w:val="20"/>
                              </w:rPr>
                              <w:t>Molecular imaging (radiolabelled NPs)</w:t>
                            </w:r>
                          </w:p>
                          <w:p w14:paraId="748983F1" w14:textId="77777777" w:rsidR="00C727F9" w:rsidRPr="004F7905" w:rsidRDefault="00C727F9" w:rsidP="0000021E">
                            <w:pPr>
                              <w:pStyle w:val="ListParagraph"/>
                              <w:numPr>
                                <w:ilvl w:val="0"/>
                                <w:numId w:val="13"/>
                              </w:numPr>
                              <w:spacing w:after="0"/>
                              <w:ind w:left="284" w:hanging="284"/>
                              <w:rPr>
                                <w:bCs/>
                                <w:sz w:val="20"/>
                                <w:szCs w:val="20"/>
                              </w:rPr>
                            </w:pPr>
                            <w:r w:rsidRPr="004F7905">
                              <w:rPr>
                                <w:rFonts w:ascii="Calibri" w:eastAsia="Calibri" w:hAnsi="Calibri" w:cs="Times New Roman"/>
                                <w:bCs/>
                                <w:sz w:val="20"/>
                                <w:szCs w:val="20"/>
                              </w:rPr>
                              <w:t>Time-lapse video microscopy</w:t>
                            </w:r>
                          </w:p>
                          <w:p w14:paraId="5A97A0F9" w14:textId="77777777" w:rsidR="00C727F9" w:rsidRPr="004F7905" w:rsidRDefault="00C727F9" w:rsidP="0000021E">
                            <w:pPr>
                              <w:pStyle w:val="ListParagraph"/>
                              <w:numPr>
                                <w:ilvl w:val="0"/>
                                <w:numId w:val="13"/>
                              </w:numPr>
                              <w:spacing w:after="0"/>
                              <w:ind w:left="284" w:hanging="284"/>
                              <w:rPr>
                                <w:bCs/>
                                <w:sz w:val="20"/>
                                <w:szCs w:val="20"/>
                              </w:rPr>
                            </w:pPr>
                            <w:r w:rsidRPr="004F7905">
                              <w:rPr>
                                <w:bCs/>
                                <w:sz w:val="20"/>
                                <w:szCs w:val="20"/>
                              </w:rPr>
                              <w:t>Electron microscopy (solid-core NPs)</w:t>
                            </w:r>
                          </w:p>
                          <w:p w14:paraId="06074402" w14:textId="77777777" w:rsidR="00C727F9" w:rsidRPr="004F7905" w:rsidRDefault="00C727F9" w:rsidP="0000021E">
                            <w:pPr>
                              <w:pStyle w:val="ListParagraph"/>
                              <w:numPr>
                                <w:ilvl w:val="0"/>
                                <w:numId w:val="13"/>
                              </w:numPr>
                              <w:spacing w:after="0"/>
                              <w:ind w:left="284" w:hanging="284"/>
                              <w:rPr>
                                <w:bCs/>
                                <w:sz w:val="20"/>
                                <w:szCs w:val="20"/>
                              </w:rPr>
                            </w:pPr>
                            <w:r w:rsidRPr="004F7905">
                              <w:rPr>
                                <w:rFonts w:ascii="Calibri" w:eastAsia="Calibri" w:hAnsi="Calibri" w:cs="Times New Roman"/>
                                <w:bCs/>
                                <w:sz w:val="20"/>
                                <w:szCs w:val="20"/>
                              </w:rPr>
                              <w:t>ICP-MS (metal NPs)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735A56" id="_x0000_t202" coordsize="21600,21600" o:spt="202" path="m,l,21600r21600,l21600,xe">
                <v:stroke joinstyle="miter"/>
                <v:path gradientshapeok="t" o:connecttype="rect"/>
              </v:shapetype>
              <v:shape id="Text Box 2" o:spid="_x0000_s1026" type="#_x0000_t202" style="position:absolute;left:0;text-align:left;margin-left:254.25pt;margin-top:76.35pt;width:206.75pt;height:16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" fillcolor="window" strokecolor="#1f497d" strokeweight="2pt">
                <v:stroke linestyle="thinThin"/>
                <v:textbox>
                  <w:txbxContent>
                    <w:p w14:paraId="3EB98F92" w14:textId="77777777" w:rsidR="00C727F9" w:rsidRPr="005259BF" w:rsidRDefault="00C727F9" w:rsidP="00521D88">
                      <w:pPr>
                        <w:jc w:val="center"/>
                        <w:rPr>
                          <w:b/>
                          <w:bCs/>
                          <w:sz w:val="28"/>
                          <w:szCs w:val="28"/>
                          <w:u w:val="single"/>
                        </w:rPr>
                      </w:pPr>
                      <w:r w:rsidRPr="005259BF">
                        <w:rPr>
                          <w:b/>
                          <w:bCs/>
                          <w:sz w:val="28"/>
                          <w:szCs w:val="28"/>
                          <w:u w:val="single"/>
                        </w:rPr>
                        <w:t xml:space="preserve">Box </w:t>
                      </w:r>
                      <w:r>
                        <w:rPr>
                          <w:b/>
                          <w:bCs/>
                          <w:sz w:val="28"/>
                          <w:szCs w:val="28"/>
                          <w:u w:val="single"/>
                        </w:rPr>
                        <w:t>1</w:t>
                      </w:r>
                      <w:r w:rsidRPr="005259BF">
                        <w:rPr>
                          <w:b/>
                          <w:bCs/>
                          <w:sz w:val="28"/>
                          <w:szCs w:val="28"/>
                          <w:u w:val="single"/>
                        </w:rPr>
                        <w:t xml:space="preserve">: Available techniques for </w:t>
                      </w:r>
                      <w:r>
                        <w:rPr>
                          <w:b/>
                          <w:bCs/>
                          <w:sz w:val="28"/>
                          <w:szCs w:val="28"/>
                          <w:u w:val="single"/>
                        </w:rPr>
                        <w:t>NPs</w:t>
                      </w:r>
                      <w:r w:rsidRPr="005259BF">
                        <w:rPr>
                          <w:b/>
                          <w:bCs/>
                          <w:sz w:val="28"/>
                          <w:szCs w:val="28"/>
                          <w:u w:val="single"/>
                        </w:rPr>
                        <w:t xml:space="preserve"> detection in cells</w:t>
                      </w:r>
                    </w:p>
                    <w:p w14:paraId="6FC59A52" w14:textId="1401E046" w:rsidR="00C727F9" w:rsidRPr="004F7905" w:rsidRDefault="00C727F9" w:rsidP="0000021E">
                      <w:pPr>
                        <w:pStyle w:val="ListParagraph"/>
                        <w:numPr>
                          <w:ilvl w:val="0"/>
                          <w:numId w:val="13"/>
                        </w:numPr>
                        <w:spacing w:after="0"/>
                        <w:ind w:left="284" w:hanging="284"/>
                        <w:rPr>
                          <w:bCs/>
                          <w:sz w:val="20"/>
                          <w:szCs w:val="20"/>
                        </w:rPr>
                      </w:pPr>
                      <w:r>
                        <w:rPr>
                          <w:bCs/>
                          <w:sz w:val="20"/>
                          <w:szCs w:val="20"/>
                        </w:rPr>
                        <w:t xml:space="preserve">Flow cytometry /Fluorescence microscopy </w:t>
                      </w:r>
                      <w:r w:rsidRPr="004F7905">
                        <w:rPr>
                          <w:bCs/>
                          <w:sz w:val="20"/>
                          <w:szCs w:val="20"/>
                        </w:rPr>
                        <w:t xml:space="preserve"> (fluorescently labelled NPs)</w:t>
                      </w:r>
                    </w:p>
                    <w:p w14:paraId="0ABE242B" w14:textId="77777777" w:rsidR="00C727F9" w:rsidRPr="004F7905" w:rsidRDefault="00C727F9" w:rsidP="0000021E">
                      <w:pPr>
                        <w:pStyle w:val="ListParagraph"/>
                        <w:numPr>
                          <w:ilvl w:val="0"/>
                          <w:numId w:val="13"/>
                        </w:numPr>
                        <w:spacing w:after="0"/>
                        <w:ind w:left="284" w:hanging="284"/>
                        <w:rPr>
                          <w:bCs/>
                          <w:sz w:val="20"/>
                          <w:szCs w:val="20"/>
                        </w:rPr>
                      </w:pPr>
                      <w:r w:rsidRPr="004F7905">
                        <w:rPr>
                          <w:bCs/>
                          <w:sz w:val="20"/>
                          <w:szCs w:val="20"/>
                        </w:rPr>
                        <w:t>ELISA (biotinylated NPs)</w:t>
                      </w:r>
                    </w:p>
                    <w:p w14:paraId="3B7E3A25" w14:textId="77777777" w:rsidR="00C727F9" w:rsidRPr="004F7905" w:rsidRDefault="00C727F9" w:rsidP="0000021E">
                      <w:pPr>
                        <w:pStyle w:val="ListParagraph"/>
                        <w:numPr>
                          <w:ilvl w:val="0"/>
                          <w:numId w:val="13"/>
                        </w:numPr>
                        <w:spacing w:after="0"/>
                        <w:ind w:left="284" w:hanging="284"/>
                        <w:rPr>
                          <w:bCs/>
                          <w:sz w:val="20"/>
                          <w:szCs w:val="20"/>
                        </w:rPr>
                      </w:pPr>
                      <w:r w:rsidRPr="004F7905">
                        <w:rPr>
                          <w:bCs/>
                          <w:sz w:val="20"/>
                          <w:szCs w:val="20"/>
                        </w:rPr>
                        <w:t>Molecular imaging (radiolabelled NPs)</w:t>
                      </w:r>
                    </w:p>
                    <w:p w14:paraId="748983F1" w14:textId="77777777" w:rsidR="00C727F9" w:rsidRPr="004F7905" w:rsidRDefault="00C727F9" w:rsidP="0000021E">
                      <w:pPr>
                        <w:pStyle w:val="ListParagraph"/>
                        <w:numPr>
                          <w:ilvl w:val="0"/>
                          <w:numId w:val="13"/>
                        </w:numPr>
                        <w:spacing w:after="0"/>
                        <w:ind w:left="284" w:hanging="284"/>
                        <w:rPr>
                          <w:bCs/>
                          <w:sz w:val="20"/>
                          <w:szCs w:val="20"/>
                        </w:rPr>
                      </w:pPr>
                      <w:r w:rsidRPr="004F7905">
                        <w:rPr>
                          <w:rFonts w:ascii="Calibri" w:eastAsia="Calibri" w:hAnsi="Calibri" w:cs="Times New Roman"/>
                          <w:bCs/>
                          <w:sz w:val="20"/>
                          <w:szCs w:val="20"/>
                        </w:rPr>
                        <w:t>Time-lapse video microscopy</w:t>
                      </w:r>
                    </w:p>
                    <w:p w14:paraId="5A97A0F9" w14:textId="77777777" w:rsidR="00C727F9" w:rsidRPr="004F7905" w:rsidRDefault="00C727F9" w:rsidP="0000021E">
                      <w:pPr>
                        <w:pStyle w:val="ListParagraph"/>
                        <w:numPr>
                          <w:ilvl w:val="0"/>
                          <w:numId w:val="13"/>
                        </w:numPr>
                        <w:spacing w:after="0"/>
                        <w:ind w:left="284" w:hanging="284"/>
                        <w:rPr>
                          <w:bCs/>
                          <w:sz w:val="20"/>
                          <w:szCs w:val="20"/>
                        </w:rPr>
                      </w:pPr>
                      <w:r w:rsidRPr="004F7905">
                        <w:rPr>
                          <w:bCs/>
                          <w:sz w:val="20"/>
                          <w:szCs w:val="20"/>
                        </w:rPr>
                        <w:t>Electron microscopy (solid-core NPs)</w:t>
                      </w:r>
                    </w:p>
                    <w:p w14:paraId="06074402" w14:textId="77777777" w:rsidR="00C727F9" w:rsidRPr="004F7905" w:rsidRDefault="00C727F9" w:rsidP="0000021E">
                      <w:pPr>
                        <w:pStyle w:val="ListParagraph"/>
                        <w:numPr>
                          <w:ilvl w:val="0"/>
                          <w:numId w:val="13"/>
                        </w:numPr>
                        <w:spacing w:after="0"/>
                        <w:ind w:left="284" w:hanging="284"/>
                        <w:rPr>
                          <w:bCs/>
                          <w:sz w:val="20"/>
                          <w:szCs w:val="20"/>
                        </w:rPr>
                      </w:pPr>
                      <w:r w:rsidRPr="004F7905">
                        <w:rPr>
                          <w:rFonts w:ascii="Calibri" w:eastAsia="Calibri" w:hAnsi="Calibri" w:cs="Times New Roman"/>
                          <w:bCs/>
                          <w:sz w:val="20"/>
                          <w:szCs w:val="20"/>
                        </w:rPr>
                        <w:t>ICP-MS (metal NPs)</w:t>
                      </w:r>
                    </w:p>
                  </w:txbxContent>
                </v:textbox>
                <w10:wrap type="square"/>
              </v:shape>
            </w:pict>
          </mc:Fallback>
        </mc:AlternateContent>
      </w:r>
      <w:r w:rsidR="00FF2897" w:rsidRPr="00A64B10">
        <w:rPr>
          <w:rFonts w:ascii="Calibri" w:hAnsi="Calibri"/>
        </w:rPr>
        <w:t>All assays require detection and quantitation of nanomaterials in biological matrices</w:t>
      </w:r>
      <w:r w:rsidR="00554D83" w:rsidRPr="00A64B10">
        <w:rPr>
          <w:rFonts w:ascii="Calibri" w:hAnsi="Calibri"/>
        </w:rPr>
        <w:t xml:space="preserve">, such as tissues, </w:t>
      </w:r>
      <w:proofErr w:type="gramStart"/>
      <w:r w:rsidR="00554D83" w:rsidRPr="00A64B10">
        <w:rPr>
          <w:rFonts w:ascii="Calibri" w:hAnsi="Calibri"/>
        </w:rPr>
        <w:t>cells</w:t>
      </w:r>
      <w:proofErr w:type="gramEnd"/>
      <w:r w:rsidR="00554D83" w:rsidRPr="00A64B10">
        <w:rPr>
          <w:rFonts w:ascii="Calibri" w:hAnsi="Calibri"/>
        </w:rPr>
        <w:t xml:space="preserve"> and subcellular structures</w:t>
      </w:r>
      <w:r w:rsidR="00961613" w:rsidRPr="00A64B10">
        <w:rPr>
          <w:rFonts w:ascii="Calibri" w:eastAsia="Calibri" w:hAnsi="Calibri" w:cs="Arial"/>
        </w:rPr>
        <w:t>.</w:t>
      </w:r>
      <w:r w:rsidR="00FF2897" w:rsidRPr="00A64B10">
        <w:rPr>
          <w:rFonts w:ascii="Calibri" w:hAnsi="Calibri"/>
        </w:rPr>
        <w:t xml:space="preserve"> This can be in the form of either detecting the </w:t>
      </w:r>
      <w:r w:rsidR="00CB069D" w:rsidRPr="00A64B10">
        <w:rPr>
          <w:rFonts w:ascii="Calibri" w:hAnsi="Calibri"/>
        </w:rPr>
        <w:t>API,</w:t>
      </w:r>
      <w:r w:rsidR="006F13F0">
        <w:rPr>
          <w:rFonts w:ascii="Calibri" w:hAnsi="Calibri"/>
        </w:rPr>
        <w:t xml:space="preserve"> which is </w:t>
      </w:r>
      <w:r w:rsidR="00FF2897" w:rsidRPr="00A64B10">
        <w:rPr>
          <w:rFonts w:ascii="Calibri" w:hAnsi="Calibri"/>
        </w:rPr>
        <w:t xml:space="preserve">encapsulated or conjugated to </w:t>
      </w:r>
      <w:r w:rsidR="00FB3824" w:rsidRPr="00A64B10">
        <w:rPr>
          <w:rFonts w:ascii="Calibri" w:hAnsi="Calibri"/>
        </w:rPr>
        <w:t xml:space="preserve">a nanocarrier </w:t>
      </w:r>
      <w:r w:rsidR="00FF2897" w:rsidRPr="00A64B10">
        <w:rPr>
          <w:rFonts w:ascii="Calibri" w:hAnsi="Calibri"/>
        </w:rPr>
        <w:t xml:space="preserve">or, in some cases, involve detection and quantitation of the whole nanoparticle itself. </w:t>
      </w:r>
      <w:r w:rsidR="00FF2897" w:rsidRPr="00A64B10">
        <w:rPr>
          <w:rFonts w:ascii="Calibri" w:eastAsia="Calibri" w:hAnsi="Calibri" w:cs="Arial"/>
        </w:rPr>
        <w:t xml:space="preserve">In the case of detecting the API, </w:t>
      </w:r>
      <w:r w:rsidR="00B83E34" w:rsidRPr="00A64B10">
        <w:rPr>
          <w:rFonts w:ascii="Calibri" w:eastAsia="Calibri" w:hAnsi="Calibri" w:cs="Arial"/>
        </w:rPr>
        <w:t xml:space="preserve">bioanalytical </w:t>
      </w:r>
      <w:r w:rsidR="00FF2897" w:rsidRPr="00A64B10">
        <w:rPr>
          <w:rFonts w:ascii="Calibri" w:eastAsia="Calibri" w:hAnsi="Calibri" w:cs="Arial"/>
        </w:rPr>
        <w:t xml:space="preserve">methods </w:t>
      </w:r>
      <w:r w:rsidR="00B83E34" w:rsidRPr="00A64B10">
        <w:rPr>
          <w:rFonts w:ascii="Calibri" w:eastAsia="Calibri" w:hAnsi="Calibri" w:cs="Arial"/>
        </w:rPr>
        <w:t>such as LC-MS/MS, ICP-</w:t>
      </w:r>
      <w:proofErr w:type="gramStart"/>
      <w:r w:rsidR="00B83E34" w:rsidRPr="00A64B10">
        <w:rPr>
          <w:rFonts w:ascii="Calibri" w:eastAsia="Calibri" w:hAnsi="Calibri" w:cs="Arial"/>
        </w:rPr>
        <w:t>MS</w:t>
      </w:r>
      <w:proofErr w:type="gramEnd"/>
      <w:r w:rsidR="00B83E34" w:rsidRPr="00A64B10">
        <w:rPr>
          <w:rFonts w:ascii="Calibri" w:eastAsia="Calibri" w:hAnsi="Calibri" w:cs="Arial"/>
        </w:rPr>
        <w:t xml:space="preserve"> and UV-spectroscopy (Tables S2 and S3) </w:t>
      </w:r>
      <w:r w:rsidR="00FF2897" w:rsidRPr="00A64B10">
        <w:rPr>
          <w:rFonts w:ascii="Calibri" w:eastAsia="Calibri" w:hAnsi="Calibri" w:cs="Arial"/>
        </w:rPr>
        <w:t xml:space="preserve">can be </w:t>
      </w:r>
      <w:r w:rsidR="00B83E34" w:rsidRPr="00A64B10">
        <w:rPr>
          <w:rFonts w:ascii="Calibri" w:eastAsia="Calibri" w:hAnsi="Calibri" w:cs="Arial"/>
        </w:rPr>
        <w:t>used but</w:t>
      </w:r>
      <w:r w:rsidR="00FF2897" w:rsidRPr="00A64B10">
        <w:rPr>
          <w:rFonts w:ascii="Calibri" w:eastAsia="Calibri" w:hAnsi="Calibri" w:cs="Arial"/>
        </w:rPr>
        <w:t xml:space="preserve"> must be coupled to chemical or physical extraction of the API from the </w:t>
      </w:r>
      <w:r w:rsidR="00FB3824" w:rsidRPr="00A64B10">
        <w:rPr>
          <w:rFonts w:ascii="Calibri" w:eastAsia="Calibri" w:hAnsi="Calibri" w:cs="Arial"/>
        </w:rPr>
        <w:t>nanocarrier</w:t>
      </w:r>
      <w:r w:rsidR="00880EB4" w:rsidRPr="00A64B10">
        <w:rPr>
          <w:rFonts w:ascii="Calibri" w:eastAsia="Calibri" w:hAnsi="Calibri" w:cs="Arial"/>
        </w:rPr>
        <w:t xml:space="preserve"> </w:t>
      </w:r>
      <w:r w:rsidR="00880EB4" w:rsidRPr="00A64B10">
        <w:rPr>
          <w:rFonts w:ascii="Calibri" w:hAnsi="Calibri"/>
        </w:rPr>
        <w:t xml:space="preserve">(see </w:t>
      </w:r>
      <w:r w:rsidR="00A10684" w:rsidRPr="00A64B10">
        <w:rPr>
          <w:rFonts w:ascii="Calibri" w:hAnsi="Calibri"/>
        </w:rPr>
        <w:t xml:space="preserve">also </w:t>
      </w:r>
      <w:r w:rsidR="00880EB4" w:rsidRPr="00A64B10">
        <w:rPr>
          <w:rFonts w:ascii="Calibri" w:hAnsi="Calibri"/>
        </w:rPr>
        <w:t>section 4.2</w:t>
      </w:r>
      <w:r w:rsidR="00880EB4" w:rsidRPr="00A64B10">
        <w:rPr>
          <w:rFonts w:ascii="Calibri" w:eastAsia="Calibri" w:hAnsi="Calibri" w:cs="Arial"/>
        </w:rPr>
        <w:t>)</w:t>
      </w:r>
      <w:r w:rsidR="00FF2897" w:rsidRPr="00A64B10">
        <w:rPr>
          <w:rFonts w:ascii="Calibri" w:eastAsia="Calibri" w:hAnsi="Calibri" w:cs="Arial"/>
        </w:rPr>
        <w:t xml:space="preserve">. Whole nanoparticle detection can be more complicated and might only be relevant for a certain subset of </w:t>
      </w:r>
      <w:r w:rsidR="00FB3824" w:rsidRPr="00A64B10">
        <w:rPr>
          <w:rFonts w:ascii="Calibri" w:eastAsia="Calibri" w:hAnsi="Calibri" w:cs="Arial"/>
        </w:rPr>
        <w:t>nanotechnological platforms</w:t>
      </w:r>
      <w:r w:rsidR="005A751C" w:rsidRPr="00A64B10">
        <w:rPr>
          <w:rFonts w:ascii="Calibri" w:eastAsia="Calibri" w:hAnsi="Calibri" w:cs="Arial"/>
        </w:rPr>
        <w:t xml:space="preserve"> </w:t>
      </w:r>
      <w:r w:rsidR="005A751C" w:rsidRPr="00A64B10">
        <w:rPr>
          <w:rFonts w:ascii="Calibri" w:eastAsia="Calibri" w:hAnsi="Calibri" w:cs="Arial"/>
        </w:rPr>
        <w:fldChar w:fldCharType="begin" w:fldLock="1"/>
      </w:r>
      <w:r w:rsidR="00F53111">
        <w:rPr>
          <w:rFonts w:ascii="Calibri" w:eastAsia="Calibri" w:hAnsi="Calibri" w:cs="Arial"/>
        </w:rPr>
        <w:instrText>ADDIN CSL_CITATION {"citationItems":[{"id":"ITEM-1","itemData":{"DOI":"10.1002/wnan.1486","ISSN":"19395116","abstract":"How to study nanoparticle–cell interactions is the key question that puzzles researchers in the fields of nanomedicine as well as in nanotoxicology. In nanotoxicology, the amount of nanoparticles internalized by the cells or bound to the external surfaces of cells determines the toxic profile of those particles. In medical applications, cellular uptake and binding of medically effective nanoparticles decides their efficacy. Despite the importance of understanding the extent and mode of nanoparticle–cell interactions, these processes are underinvestigated, mainly due to the lack of suitable user-friendly methodologies. Here we discuss the advantages and limitations of currently available (and most advanced) microscopic, spectroscopic, and other bioanalytical methods that could be used to assess cell-nanoparticle interactions either qualitatively or quantitatively. Special emphasis is given to the methods that enable analysis and identification of nanoparticles at single-cell level, and allow intracellular localization and speciation analysis of nanoparticles. This article is categorized under: Nanotechnology Approaches to Biology &gt; Cells at the Nanoscale Toxicology and Regulatory Issues in Nanomedicine &gt; Toxicology of Nanomaterials.","author":[{"dropping-particle":"","family":"Ivask","given":"Angela","non-dropping-particle":"","parse-names":false,"suffix":""},{"dropping-particle":"","family":"Mitchell","given":"Andrew J.","non-dropping-particle":"","parse-names":false,"suffix":""},{"dropping-particle":"","family":"Malysheva","given":"Anzhela","non-dropping-particle":"","parse-names":false,"suffix":""},{"dropping-particle":"","family":"Voelcker","given":"Nicolas H.","non-dropping-particle":"","parse-names":false,"suffix":""},{"dropping-particle":"","family":"Lombi","given":"Enzo","non-dropping-particle":"","parse-names":false,"suffix":""}],"container-title":"Wiley Interdisciplinary Reviews: Nanomedicine and Nanobiotechnology","id":"ITEM-1","issue":"3","issued":{"date-parts":[["2018","5","1"]]},"page":"e1486","publisher":"Wiley-Blackwell","title":"Methodologies and approaches for the analysis of cell-nanoparticle interactions","type":"article-journal","volume":"10"},"uris":["http://www.mendeley.com/documents/?uuid=9461d29c-1a2c-3032-8dc1-5bb13472eb3c"]}],"mendeley":{"formattedCitation":"[38]","plainTextFormattedCitation":"[38]","previouslyFormattedCitation":"[38]"},"properties":{"noteIndex":0},"schema":"https://github.com/citation-style-language/schema/raw/master/csl-citation.json"}</w:instrText>
      </w:r>
      <w:r w:rsidR="005A751C" w:rsidRPr="00A64B10">
        <w:rPr>
          <w:rFonts w:ascii="Calibri" w:eastAsia="Calibri" w:hAnsi="Calibri" w:cs="Arial"/>
        </w:rPr>
        <w:fldChar w:fldCharType="separate"/>
      </w:r>
      <w:r w:rsidR="000B3F63" w:rsidRPr="000B3F63">
        <w:rPr>
          <w:rFonts w:ascii="Calibri" w:eastAsia="Calibri" w:hAnsi="Calibri" w:cs="Arial"/>
          <w:noProof/>
        </w:rPr>
        <w:t>[38]</w:t>
      </w:r>
      <w:r w:rsidR="005A751C" w:rsidRPr="00A64B10">
        <w:rPr>
          <w:rFonts w:ascii="Calibri" w:eastAsia="Calibri" w:hAnsi="Calibri" w:cs="Arial"/>
        </w:rPr>
        <w:fldChar w:fldCharType="end"/>
      </w:r>
      <w:r w:rsidR="005A751C" w:rsidRPr="00A64B10">
        <w:rPr>
          <w:rFonts w:ascii="Calibri" w:eastAsia="Calibri" w:hAnsi="Calibri" w:cs="Arial"/>
        </w:rPr>
        <w:t xml:space="preserve">. </w:t>
      </w:r>
      <w:r w:rsidR="00CB069D" w:rsidRPr="00A64B10">
        <w:rPr>
          <w:rFonts w:ascii="Calibri" w:eastAsia="Calibri" w:hAnsi="Calibri" w:cs="Arial"/>
        </w:rPr>
        <w:t xml:space="preserve">This can include nanoparticles which are natively fluorescent (such as some inorganic, metal NPs), or can be loaded with fluorescent markers for detection by flow cytometry. Various imaging techniques can be used in the case of labelled NPs or occasionally bioanalytical methods such as ICP-MS which can be used to detect intact metal nanoparticles </w:t>
      </w:r>
      <w:r w:rsidR="005A751C" w:rsidRPr="00A64B10">
        <w:rPr>
          <w:rFonts w:ascii="Calibri" w:eastAsia="Calibri" w:hAnsi="Calibri" w:cs="Arial"/>
        </w:rPr>
        <w:fldChar w:fldCharType="begin" w:fldLock="1"/>
      </w:r>
      <w:r w:rsidR="00F53111">
        <w:rPr>
          <w:rFonts w:ascii="Calibri" w:eastAsia="Calibri" w:hAnsi="Calibri" w:cs="Arial"/>
        </w:rPr>
        <w:instrText>ADDIN CSL_CITATION {"citationItems":[{"id":"ITEM-1","itemData":{"DOI":"10.1007/s00216-016-9676-8","ISSN":"16182650","PMID":"27334719","abstract":"From its early beginnings in characterizing aerosol particles to its recent applications for investigating natural waters and waste streams, single particle inductively coupled plasma-mass spectrometry (spICP-MS) has proven to be a powerful technique for the detection and characterization of aqueous dispersions of metal-containing nanomaterials. Combining the high-throughput of an ensemble technique with the specificity of a single particle counting technique and the elemental specificity of ICP-MS, spICP-MS is capable of rapidly providing researchers with information pertaining to size, size distribution, particle number concentration, and major elemental composition with minimal sample perturbation. Recently, advances in data acquisition, signal processing, and the implementation of alternative mass analyzers (e.g., time-of-flight) has resulted in a wider breadth of particle analyses and made significant progress toward overcoming many of the challenges in the quantitative analysis of nanoparticles. This review provides an overview of spICP-MS development from a niche technique to application for routine analysis, a discussion of the key issues for quantitative analysis, and examples of its further advancement for analysis of increasingly complex environmental and biological samples. [Figure not available: see fulltext.]","author":[{"dropping-particle":"","family":"Montaño","given":"Manuel D.","non-dropping-particle":"","parse-names":false,"suffix":""},{"dropping-particle":"","family":"Olesik","given":"John W.","non-dropping-particle":"","parse-names":false,"suffix":""},{"dropping-particle":"","family":"Barber","given":"Angela G.","non-dropping-particle":"","parse-names":false,"suffix":""},{"dropping-particle":"","family":"Challis","given":"Katie","non-dropping-particle":"","parse-names":false,"suffix":""},{"dropping-particle":"","family":"Ranville","given":"James F.","non-dropping-particle":"","parse-names":false,"suffix":""}],"container-title":"Analytical and Bioanalytical Chemistry","id":"ITEM-1","issue":"19","issued":{"date-parts":[["2016","7","1"]]},"page":"5053-5074","publisher":"Springer Verlag","title":"Single Particle ICP-MS: Advances toward routine analysis of nanomaterials","type":"article","volume":"408"},"uris":["http://www.mendeley.com/documents/?uuid=03a87fc4-9f23-3687-929c-fd6d01392994"]}],"mendeley":{"formattedCitation":"[39]","plainTextFormattedCitation":"[39]","previouslyFormattedCitation":"[39]"},"properties":{"noteIndex":0},"schema":"https://github.com/citation-style-language/schema/raw/master/csl-citation.json"}</w:instrText>
      </w:r>
      <w:r w:rsidR="005A751C" w:rsidRPr="00A64B10">
        <w:rPr>
          <w:rFonts w:ascii="Calibri" w:eastAsia="Calibri" w:hAnsi="Calibri" w:cs="Arial"/>
        </w:rPr>
        <w:fldChar w:fldCharType="separate"/>
      </w:r>
      <w:r w:rsidR="000B3F63" w:rsidRPr="000B3F63">
        <w:rPr>
          <w:rFonts w:ascii="Calibri" w:eastAsia="Calibri" w:hAnsi="Calibri" w:cs="Arial"/>
          <w:noProof/>
        </w:rPr>
        <w:t>[39]</w:t>
      </w:r>
      <w:r w:rsidR="005A751C" w:rsidRPr="00A64B10">
        <w:rPr>
          <w:rFonts w:ascii="Calibri" w:eastAsia="Calibri" w:hAnsi="Calibri" w:cs="Arial"/>
        </w:rPr>
        <w:fldChar w:fldCharType="end"/>
      </w:r>
      <w:r w:rsidRPr="00A64B10">
        <w:rPr>
          <w:rFonts w:ascii="Calibri" w:eastAsia="Calibri" w:hAnsi="Calibri" w:cs="Arial"/>
        </w:rPr>
        <w:t xml:space="preserve"> (Box 1)</w:t>
      </w:r>
      <w:r w:rsidR="005A751C" w:rsidRPr="00A64B10">
        <w:rPr>
          <w:rFonts w:ascii="Calibri" w:eastAsia="Calibri" w:hAnsi="Calibri" w:cs="Arial"/>
        </w:rPr>
        <w:t>.</w:t>
      </w:r>
      <w:r w:rsidRPr="00A64B10">
        <w:rPr>
          <w:rFonts w:ascii="Calibri" w:eastAsia="Calibri" w:hAnsi="Calibri" w:cs="Arial"/>
          <w:sz w:val="16"/>
          <w:szCs w:val="16"/>
        </w:rPr>
        <w:t xml:space="preserve"> </w:t>
      </w:r>
    </w:p>
    <w:p w14:paraId="0EFA04EA" w14:textId="77777777" w:rsidR="00FF2897" w:rsidRPr="00A64B10" w:rsidRDefault="00FF2897" w:rsidP="00FF2897">
      <w:pPr>
        <w:pStyle w:val="Heading4"/>
        <w:rPr>
          <w:rFonts w:eastAsia="Times New Roman"/>
        </w:rPr>
      </w:pPr>
      <w:r w:rsidRPr="00A64B10">
        <w:rPr>
          <w:rFonts w:eastAsia="Times New Roman"/>
        </w:rPr>
        <w:t>In vitro</w:t>
      </w:r>
      <w:r w:rsidR="00554D83" w:rsidRPr="00A64B10">
        <w:rPr>
          <w:rFonts w:eastAsia="Times New Roman"/>
        </w:rPr>
        <w:t xml:space="preserve"> models</w:t>
      </w:r>
      <w:r w:rsidR="00F03981" w:rsidRPr="00A64B10">
        <w:rPr>
          <w:rFonts w:eastAsia="Times New Roman"/>
        </w:rPr>
        <w:t xml:space="preserve"> </w:t>
      </w:r>
    </w:p>
    <w:p w14:paraId="289B3257" w14:textId="69E61E4D" w:rsidR="00FF2897" w:rsidRPr="00A64B10" w:rsidRDefault="00FF2897" w:rsidP="00322B24">
      <w:pPr>
        <w:contextualSpacing/>
        <w:jc w:val="both"/>
        <w:rPr>
          <w:rFonts w:ascii="Calibri" w:eastAsia="Calibri" w:hAnsi="Calibri" w:cs="Arial"/>
        </w:rPr>
      </w:pPr>
      <w:r w:rsidRPr="00A64B10">
        <w:rPr>
          <w:rFonts w:ascii="Calibri" w:eastAsia="Calibri" w:hAnsi="Calibri" w:cs="Arial"/>
        </w:rPr>
        <w:t>While many small</w:t>
      </w:r>
      <w:r w:rsidR="00693484" w:rsidRPr="000700DD">
        <w:rPr>
          <w:rFonts w:ascii="Calibri" w:eastAsia="Calibri" w:hAnsi="Calibri" w:cs="Arial"/>
        </w:rPr>
        <w:t>-</w:t>
      </w:r>
      <w:r w:rsidRPr="00A64B10">
        <w:rPr>
          <w:rFonts w:ascii="Calibri" w:eastAsia="Calibri" w:hAnsi="Calibri" w:cs="Arial"/>
        </w:rPr>
        <w:t xml:space="preserve">molecule therapeutic agents are administered orally, </w:t>
      </w:r>
      <w:proofErr w:type="gramStart"/>
      <w:r w:rsidRPr="00A64B10">
        <w:rPr>
          <w:rFonts w:ascii="Calibri" w:eastAsia="Calibri" w:hAnsi="Calibri" w:cs="Arial"/>
        </w:rPr>
        <w:t>the vast majority of</w:t>
      </w:r>
      <w:proofErr w:type="gramEnd"/>
      <w:r w:rsidRPr="00A64B10">
        <w:rPr>
          <w:rFonts w:ascii="Calibri" w:eastAsia="Calibri" w:hAnsi="Calibri" w:cs="Arial"/>
        </w:rPr>
        <w:t xml:space="preserve"> </w:t>
      </w:r>
      <w:r w:rsidR="00FB3824" w:rsidRPr="00A64B10">
        <w:rPr>
          <w:rFonts w:ascii="Calibri" w:eastAsia="Calibri" w:hAnsi="Calibri" w:cs="Arial"/>
        </w:rPr>
        <w:t>nanotechnology-based health products</w:t>
      </w:r>
      <w:r w:rsidR="00DE5B0B" w:rsidRPr="00A64B10">
        <w:rPr>
          <w:rFonts w:ascii="Calibri" w:eastAsia="Calibri" w:hAnsi="Calibri" w:cs="Arial"/>
        </w:rPr>
        <w:t xml:space="preserve"> </w:t>
      </w:r>
      <w:r w:rsidRPr="00A64B10">
        <w:rPr>
          <w:rFonts w:ascii="Calibri" w:eastAsia="Calibri" w:hAnsi="Calibri" w:cs="Arial"/>
        </w:rPr>
        <w:t xml:space="preserve">that have reached the clinic to date, have low oral bioavailability. Despite this, </w:t>
      </w:r>
      <w:r w:rsidRPr="00A64B10">
        <w:rPr>
          <w:rFonts w:ascii="Calibri" w:eastAsia="Calibri" w:hAnsi="Calibri" w:cs="Arial"/>
          <w:i/>
          <w:iCs/>
        </w:rPr>
        <w:t xml:space="preserve">in vitro </w:t>
      </w:r>
      <w:r w:rsidRPr="00A64B10">
        <w:rPr>
          <w:rFonts w:ascii="Calibri" w:eastAsia="Calibri" w:hAnsi="Calibri" w:cs="Arial"/>
        </w:rPr>
        <w:t>assays assessing the gut absorption of</w:t>
      </w:r>
      <w:r w:rsidR="00FB3824" w:rsidRPr="00A64B10">
        <w:rPr>
          <w:rFonts w:ascii="Calibri" w:eastAsia="Calibri" w:hAnsi="Calibri" w:cs="Arial"/>
        </w:rPr>
        <w:t xml:space="preserve"> </w:t>
      </w:r>
      <w:r w:rsidR="00DE5B0B" w:rsidRPr="00A64B10">
        <w:rPr>
          <w:rFonts w:ascii="Calibri" w:eastAsia="Calibri" w:hAnsi="Calibri" w:cs="Arial"/>
        </w:rPr>
        <w:t>nanomaterials</w:t>
      </w:r>
      <w:r w:rsidRPr="00A64B10">
        <w:rPr>
          <w:rFonts w:ascii="Calibri" w:eastAsia="Calibri" w:hAnsi="Calibri" w:cs="Arial"/>
        </w:rPr>
        <w:t xml:space="preserve"> are widely used, including the ubiquitous Caco-2 permeability assay</w:t>
      </w:r>
      <w:r w:rsidR="0077315F" w:rsidRPr="00A64B10">
        <w:rPr>
          <w:rFonts w:ascii="Calibri" w:eastAsia="Calibri" w:hAnsi="Calibri" w:cs="Arial"/>
        </w:rPr>
        <w:t xml:space="preserve"> (Table S</w:t>
      </w:r>
      <w:r w:rsidR="007C17E3" w:rsidRPr="00A64B10">
        <w:rPr>
          <w:rFonts w:ascii="Calibri" w:eastAsia="Calibri" w:hAnsi="Calibri" w:cs="Arial"/>
        </w:rPr>
        <w:t>3</w:t>
      </w:r>
      <w:r w:rsidR="0077315F" w:rsidRPr="00A64B10">
        <w:rPr>
          <w:rFonts w:ascii="Calibri" w:eastAsia="Calibri" w:hAnsi="Calibri" w:cs="Arial"/>
        </w:rPr>
        <w:t>)</w:t>
      </w:r>
      <w:r w:rsidRPr="00A64B10">
        <w:rPr>
          <w:rFonts w:ascii="Calibri" w:eastAsia="Calibri" w:hAnsi="Calibri" w:cs="Arial"/>
        </w:rPr>
        <w:t xml:space="preserve">. The Caco-2 cell line is an immortalised cancer cell </w:t>
      </w:r>
      <w:r w:rsidR="004F7905" w:rsidRPr="00A64B10">
        <w:rPr>
          <w:rFonts w:ascii="Calibri" w:eastAsia="Calibri" w:hAnsi="Calibri" w:cs="Arial"/>
        </w:rPr>
        <w:t>line, which</w:t>
      </w:r>
      <w:r w:rsidRPr="00A64B10">
        <w:rPr>
          <w:rFonts w:ascii="Calibri" w:eastAsia="Calibri" w:hAnsi="Calibri" w:cs="Arial"/>
        </w:rPr>
        <w:t xml:space="preserve"> forms a polarised monolayer when cultured on </w:t>
      </w:r>
      <w:proofErr w:type="spellStart"/>
      <w:r w:rsidRPr="00A64B10">
        <w:rPr>
          <w:rFonts w:ascii="Calibri" w:eastAsia="Calibri" w:hAnsi="Calibri" w:cs="Arial"/>
        </w:rPr>
        <w:t>transwell</w:t>
      </w:r>
      <w:proofErr w:type="spellEnd"/>
      <w:r w:rsidRPr="00A64B10">
        <w:rPr>
          <w:rFonts w:ascii="Calibri" w:eastAsia="Calibri" w:hAnsi="Calibri" w:cs="Arial"/>
        </w:rPr>
        <w:t xml:space="preserve"> plates for extended periods. To establish further physiological relevance the Caco-2 cell line is combined with other cell lines in co-culture </w:t>
      </w:r>
      <w:proofErr w:type="spellStart"/>
      <w:r w:rsidRPr="00A64B10">
        <w:rPr>
          <w:rFonts w:ascii="Calibri" w:eastAsia="Calibri" w:hAnsi="Calibri" w:cs="Arial"/>
        </w:rPr>
        <w:t>transwell</w:t>
      </w:r>
      <w:proofErr w:type="spellEnd"/>
      <w:r w:rsidRPr="00A64B10">
        <w:rPr>
          <w:rFonts w:ascii="Calibri" w:eastAsia="Calibri" w:hAnsi="Calibri" w:cs="Arial"/>
        </w:rPr>
        <w:t xml:space="preserve"> systems to </w:t>
      </w:r>
      <w:r w:rsidR="00732BA8" w:rsidRPr="00A64B10">
        <w:rPr>
          <w:rFonts w:ascii="Calibri" w:eastAsia="Calibri" w:hAnsi="Calibri" w:cs="Arial"/>
        </w:rPr>
        <w:t>better</w:t>
      </w:r>
      <w:r w:rsidRPr="00A64B10">
        <w:rPr>
          <w:rFonts w:ascii="Calibri" w:eastAsia="Calibri" w:hAnsi="Calibri" w:cs="Arial"/>
        </w:rPr>
        <w:t xml:space="preserve"> model the influence of specialised intestinal cells such as gut resident immune cells and mucus producing goblet cells</w:t>
      </w:r>
      <w:r w:rsidR="00DC1288" w:rsidRPr="00A64B10">
        <w:rPr>
          <w:rFonts w:ascii="Calibri" w:eastAsia="Calibri" w:hAnsi="Calibri" w:cs="Arial"/>
        </w:rPr>
        <w:t xml:space="preserve"> </w:t>
      </w:r>
      <w:r w:rsidR="00DC1288" w:rsidRPr="00A64B10">
        <w:rPr>
          <w:rFonts w:ascii="Calibri" w:eastAsia="Calibri" w:hAnsi="Calibri" w:cs="Arial"/>
        </w:rPr>
        <w:fldChar w:fldCharType="begin" w:fldLock="1"/>
      </w:r>
      <w:r w:rsidR="00F53111">
        <w:rPr>
          <w:rFonts w:ascii="Calibri" w:eastAsia="Calibri" w:hAnsi="Calibri" w:cs="Arial"/>
        </w:rPr>
        <w:instrText>ADDIN CSL_CITATION {"citationItems":[{"id":"ITEM-1","itemData":{"DOI":"10.1080/1061186X.2020.1726356","ISSN":"10292330","PMID":"32013626","abstract":"Cellular assays are essential in pharmaceutical development of protein-loaded nanomedicine. Cell lines provide robust and efficient models to characterise cytotoxicity, cellular uptake, absorption mechanism, intracellular stability, exocytosis mechanism and therapeutic effects of nanomedicine. GI epithelial cells and goblet cells have been employed to examine protein-loaded nanoparticles in vitro. However, the existence of different research protocols hampers the comparison of formulations and obtained results. Although advanced novel microscopy and fluorescent detection techniques are available for facilitating the development of nano-sized formulation, optimised research designs and validated instrument operation procedure are crucial to increase the reliability and validity of research findings. In the current review article, we examined a number of cellular assays, including cellular culture, cytotoxicity assay, cellular uptake assay, transepithelial studies, permeability assays, glucose consumption assays, and exocytosis and endocytosis studies, that have been widely employed for the development of orally administered insulin-loaded nanoparticles. Meanwhile, the role of various technologies, such as CLSM, flow cytometry, ELISA, fluorescence microscopy, microplate reader, and transmission electron microscopy, on visualisation of nanoparticle cellular uptake was evaluated. The following four challenges, including limited nanoparticle diffusion across mucus barrier, unwanted apical exocytosis, P-glycoprotein efflux pumps, endosomal entrapment and lysosomal degradation on protein-loaded nanoparticles, should be addressed in future studies. During formulation optimisation, strategies that can overcome the above hinderance are warranted to maximise oral bioavailability, minimise waste in research funding and facilitate the translation of therapeutic protein-loaded nanomedicine into clinical settings.","author":[{"dropping-particle":"","family":"Wong","given":"Chun Y.","non-dropping-particle":"","parse-names":false,"suffix":""},{"dropping-particle":"","family":"Al-Salami","given":"Hani","non-dropping-particle":"","parse-names":false,"suffix":""},{"dropping-particle":"","family":"Dass","given":"Crispin R.","non-dropping-particle":"","parse-names":false,"suffix":""}],"container-title":"Journal of Drug Targeting","id":"ITEM-1","issue":"6","issued":{"date-parts":[["2020","7","2"]]},"page":"585-599","publisher":"Taylor and Francis Ltd","title":"Cellular assays and applied technologies for characterisation of orally administered protein nanoparticles: a systematic review","type":"article","volume":"28"},"uris":["http://www.mendeley.com/documents/?uuid=c3d39eba-63dc-3534-ada9-869a3ec83904"]}],"mendeley":{"formattedCitation":"[40]","plainTextFormattedCitation":"[40]","previouslyFormattedCitation":"[40]"},"properties":{"noteIndex":0},"schema":"https://github.com/citation-style-language/schema/raw/master/csl-citation.json"}</w:instrText>
      </w:r>
      <w:r w:rsidR="00DC1288" w:rsidRPr="00A64B10">
        <w:rPr>
          <w:rFonts w:ascii="Calibri" w:eastAsia="Calibri" w:hAnsi="Calibri" w:cs="Arial"/>
        </w:rPr>
        <w:fldChar w:fldCharType="separate"/>
      </w:r>
      <w:r w:rsidR="000B3F63" w:rsidRPr="000B3F63">
        <w:rPr>
          <w:rFonts w:ascii="Calibri" w:eastAsia="Calibri" w:hAnsi="Calibri" w:cs="Arial"/>
          <w:noProof/>
        </w:rPr>
        <w:t>[40]</w:t>
      </w:r>
      <w:r w:rsidR="00DC1288" w:rsidRPr="00A64B10">
        <w:rPr>
          <w:rFonts w:ascii="Calibri" w:eastAsia="Calibri" w:hAnsi="Calibri" w:cs="Arial"/>
        </w:rPr>
        <w:fldChar w:fldCharType="end"/>
      </w:r>
      <w:r w:rsidR="00DC1288" w:rsidRPr="00A64B10">
        <w:rPr>
          <w:rFonts w:ascii="Calibri" w:eastAsia="Calibri" w:hAnsi="Calibri" w:cs="Arial"/>
        </w:rPr>
        <w:t>.</w:t>
      </w:r>
      <w:r w:rsidRPr="00A64B10">
        <w:rPr>
          <w:rFonts w:ascii="Calibri" w:eastAsia="Calibri" w:hAnsi="Calibri" w:cs="Arial"/>
        </w:rPr>
        <w:t xml:space="preserve"> </w:t>
      </w:r>
      <w:r w:rsidR="00B314B2" w:rsidRPr="00A64B10">
        <w:rPr>
          <w:rFonts w:ascii="Calibri" w:eastAsia="Calibri" w:hAnsi="Calibri" w:cs="Arial"/>
        </w:rPr>
        <w:t xml:space="preserve">Other </w:t>
      </w:r>
      <w:r w:rsidR="00B314B2" w:rsidRPr="00A64B10">
        <w:rPr>
          <w:rFonts w:ascii="Calibri" w:hAnsi="Calibri"/>
          <w:i/>
        </w:rPr>
        <w:t>in vitro</w:t>
      </w:r>
      <w:r w:rsidR="00B314B2" w:rsidRPr="00A64B10">
        <w:rPr>
          <w:rFonts w:ascii="Calibri" w:eastAsia="Calibri" w:hAnsi="Calibri" w:cs="Arial"/>
        </w:rPr>
        <w:t xml:space="preserve"> models are </w:t>
      </w:r>
      <w:r w:rsidR="00732BA8" w:rsidRPr="00A64B10">
        <w:rPr>
          <w:rFonts w:ascii="Calibri" w:eastAsia="Calibri" w:hAnsi="Calibri" w:cs="Arial"/>
        </w:rPr>
        <w:t xml:space="preserve">also </w:t>
      </w:r>
      <w:r w:rsidR="00B314B2" w:rsidRPr="00A64B10">
        <w:rPr>
          <w:rFonts w:ascii="Calibri" w:eastAsia="Calibri" w:hAnsi="Calibri" w:cs="Arial"/>
        </w:rPr>
        <w:t>available, based on primary cells or immortalised cell lines (Table S</w:t>
      </w:r>
      <w:r w:rsidR="007C17E3" w:rsidRPr="00A64B10">
        <w:rPr>
          <w:rFonts w:ascii="Calibri" w:eastAsia="Calibri" w:hAnsi="Calibri" w:cs="Arial"/>
        </w:rPr>
        <w:t>3</w:t>
      </w:r>
      <w:r w:rsidR="00B314B2" w:rsidRPr="00A64B10">
        <w:rPr>
          <w:rFonts w:ascii="Calibri" w:eastAsia="Calibri" w:hAnsi="Calibri" w:cs="Arial"/>
        </w:rPr>
        <w:t>)</w:t>
      </w:r>
      <w:r w:rsidR="00B83E34" w:rsidRPr="00A64B10">
        <w:rPr>
          <w:rFonts w:ascii="Calibri" w:eastAsia="Calibri" w:hAnsi="Calibri" w:cs="Arial"/>
        </w:rPr>
        <w:t>, however their use is mostly limited to the research area.</w:t>
      </w:r>
      <w:r w:rsidR="00272EF1" w:rsidRPr="00A64B10">
        <w:rPr>
          <w:rFonts w:ascii="Calibri" w:eastAsia="Calibri" w:hAnsi="Calibri" w:cs="Arial"/>
        </w:rPr>
        <w:t xml:space="preserve"> While some of the issues of variability might be mitigated </w:t>
      </w:r>
      <w:proofErr w:type="gramStart"/>
      <w:r w:rsidR="00693484" w:rsidRPr="000700DD">
        <w:rPr>
          <w:rFonts w:ascii="Calibri" w:eastAsia="Calibri" w:hAnsi="Calibri" w:cs="Arial"/>
        </w:rPr>
        <w:t>by</w:t>
      </w:r>
      <w:r w:rsidR="00272EF1" w:rsidRPr="00A64B10">
        <w:rPr>
          <w:rFonts w:ascii="Calibri" w:eastAsia="Calibri" w:hAnsi="Calibri" w:cs="Arial"/>
        </w:rPr>
        <w:t xml:space="preserve"> the use of</w:t>
      </w:r>
      <w:proofErr w:type="gramEnd"/>
      <w:r w:rsidR="00272EF1" w:rsidRPr="00A64B10">
        <w:rPr>
          <w:rFonts w:ascii="Calibri" w:eastAsia="Calibri" w:hAnsi="Calibri" w:cs="Arial"/>
        </w:rPr>
        <w:t xml:space="preserve"> cell lines</w:t>
      </w:r>
      <w:r w:rsidR="0077003B">
        <w:rPr>
          <w:rFonts w:ascii="Calibri" w:eastAsia="Calibri" w:hAnsi="Calibri" w:cs="Arial"/>
        </w:rPr>
        <w:t>,</w:t>
      </w:r>
      <w:r w:rsidR="00693484" w:rsidRPr="000700DD">
        <w:rPr>
          <w:rFonts w:ascii="Calibri" w:eastAsia="Calibri" w:hAnsi="Calibri" w:cs="Arial"/>
        </w:rPr>
        <w:t xml:space="preserve"> </w:t>
      </w:r>
      <w:r w:rsidR="00272EF1" w:rsidRPr="00A64B10">
        <w:rPr>
          <w:rFonts w:ascii="Calibri" w:eastAsia="Calibri" w:hAnsi="Calibri" w:cs="Arial"/>
        </w:rPr>
        <w:t xml:space="preserve">many </w:t>
      </w:r>
      <w:r w:rsidR="00272EF1" w:rsidRPr="00A64B10">
        <w:rPr>
          <w:rFonts w:ascii="Calibri" w:eastAsia="Calibri" w:hAnsi="Calibri" w:cs="Arial"/>
          <w:i/>
          <w:iCs/>
        </w:rPr>
        <w:t xml:space="preserve">in vitro </w:t>
      </w:r>
      <w:r w:rsidR="00272EF1" w:rsidRPr="00A64B10">
        <w:rPr>
          <w:rFonts w:ascii="Calibri" w:eastAsia="Calibri" w:hAnsi="Calibri" w:cs="Arial"/>
        </w:rPr>
        <w:t xml:space="preserve">assays rely on the use of immortalised cell </w:t>
      </w:r>
      <w:r w:rsidR="004F7905" w:rsidRPr="00A64B10">
        <w:rPr>
          <w:rFonts w:ascii="Calibri" w:eastAsia="Calibri" w:hAnsi="Calibri" w:cs="Arial"/>
        </w:rPr>
        <w:t>lines, which</w:t>
      </w:r>
      <w:r w:rsidR="00272EF1" w:rsidRPr="00A64B10">
        <w:rPr>
          <w:rFonts w:ascii="Calibri" w:eastAsia="Calibri" w:hAnsi="Calibri" w:cs="Arial"/>
        </w:rPr>
        <w:t xml:space="preserve"> are often cancer, or cancer hybrid lines </w:t>
      </w:r>
      <w:r w:rsidR="00574AB0" w:rsidRPr="00A64B10">
        <w:rPr>
          <w:rFonts w:ascii="Calibri" w:eastAsia="Calibri" w:hAnsi="Calibri" w:cs="Arial"/>
        </w:rPr>
        <w:t xml:space="preserve">and </w:t>
      </w:r>
      <w:r w:rsidR="00272EF1" w:rsidRPr="00A64B10">
        <w:rPr>
          <w:rFonts w:ascii="Calibri" w:eastAsia="Calibri" w:hAnsi="Calibri" w:cs="Arial"/>
        </w:rPr>
        <w:t xml:space="preserve">which can be vastly different </w:t>
      </w:r>
      <w:r w:rsidR="00732BA8" w:rsidRPr="00A64B10">
        <w:rPr>
          <w:rFonts w:ascii="Calibri" w:eastAsia="Calibri" w:hAnsi="Calibri" w:cs="Arial"/>
        </w:rPr>
        <w:t>from</w:t>
      </w:r>
      <w:r w:rsidR="00272EF1" w:rsidRPr="00A64B10">
        <w:rPr>
          <w:rFonts w:ascii="Calibri" w:eastAsia="Calibri" w:hAnsi="Calibri" w:cs="Arial"/>
        </w:rPr>
        <w:t xml:space="preserve"> normal human cells. </w:t>
      </w:r>
    </w:p>
    <w:p w14:paraId="64E70952" w14:textId="77777777" w:rsidR="00BC2F6D" w:rsidRPr="00A64B10" w:rsidRDefault="00F03981" w:rsidP="00B83E34">
      <w:pPr>
        <w:contextualSpacing/>
        <w:jc w:val="both"/>
        <w:rPr>
          <w:rFonts w:ascii="Calibri" w:eastAsia="Calibri" w:hAnsi="Calibri" w:cs="Arial"/>
        </w:rPr>
      </w:pPr>
      <w:r w:rsidRPr="00A64B10">
        <w:rPr>
          <w:rFonts w:ascii="Calibri" w:hAnsi="Calibri"/>
        </w:rPr>
        <w:t>In addition, u</w:t>
      </w:r>
      <w:r w:rsidR="00FF2897" w:rsidRPr="00A64B10">
        <w:rPr>
          <w:rFonts w:ascii="Calibri" w:hAnsi="Calibri"/>
        </w:rPr>
        <w:t xml:space="preserve">nderstanding the intracellular trafficking of </w:t>
      </w:r>
      <w:proofErr w:type="spellStart"/>
      <w:r w:rsidR="00D15C04" w:rsidRPr="00A64B10">
        <w:rPr>
          <w:rFonts w:ascii="Calibri" w:hAnsi="Calibri"/>
        </w:rPr>
        <w:t>nano</w:t>
      </w:r>
      <w:r w:rsidR="00DC1288" w:rsidRPr="00A64B10">
        <w:rPr>
          <w:rFonts w:ascii="Calibri" w:hAnsi="Calibri"/>
        </w:rPr>
        <w:t>medicinal</w:t>
      </w:r>
      <w:proofErr w:type="spellEnd"/>
      <w:r w:rsidR="00DC1288" w:rsidRPr="00A64B10">
        <w:rPr>
          <w:rFonts w:ascii="Calibri" w:hAnsi="Calibri"/>
        </w:rPr>
        <w:t xml:space="preserve"> </w:t>
      </w:r>
      <w:r w:rsidR="00D15C04" w:rsidRPr="00A64B10">
        <w:rPr>
          <w:rFonts w:ascii="Calibri" w:hAnsi="Calibri"/>
        </w:rPr>
        <w:t>formulations</w:t>
      </w:r>
      <w:r w:rsidR="00FF2897" w:rsidRPr="00A64B10">
        <w:rPr>
          <w:rFonts w:ascii="Calibri" w:hAnsi="Calibri"/>
        </w:rPr>
        <w:t xml:space="preserve"> might have value for determining whether cell uptake completely prevents bioavailability of the encapsulated molecules (in the case of degradation, or sequestration) or simply delays it (if the </w:t>
      </w:r>
      <w:r w:rsidR="00D15C04" w:rsidRPr="00A64B10">
        <w:rPr>
          <w:rFonts w:ascii="Calibri" w:hAnsi="Calibri"/>
        </w:rPr>
        <w:t xml:space="preserve">formulation </w:t>
      </w:r>
      <w:r w:rsidR="003022CA" w:rsidRPr="00A64B10">
        <w:rPr>
          <w:rFonts w:ascii="Calibri" w:hAnsi="Calibri"/>
        </w:rPr>
        <w:t xml:space="preserve">is </w:t>
      </w:r>
      <w:r w:rsidR="00FF2897" w:rsidRPr="00A64B10">
        <w:rPr>
          <w:rFonts w:ascii="Calibri" w:hAnsi="Calibri"/>
        </w:rPr>
        <w:t xml:space="preserve">subsequently released from the cell). Assays to assess this are complex and currently </w:t>
      </w:r>
      <w:r w:rsidR="00732BA8" w:rsidRPr="00A64B10">
        <w:rPr>
          <w:rFonts w:ascii="Calibri" w:eastAsia="Calibri" w:hAnsi="Calibri" w:cs="Arial"/>
        </w:rPr>
        <w:t xml:space="preserve">not </w:t>
      </w:r>
      <w:r w:rsidR="00FF2897" w:rsidRPr="00A64B10">
        <w:rPr>
          <w:rFonts w:ascii="Calibri" w:hAnsi="Calibri"/>
        </w:rPr>
        <w:t>widely used in the determination of biodistribution</w:t>
      </w:r>
      <w:r w:rsidR="003022CA" w:rsidRPr="00A64B10">
        <w:rPr>
          <w:rFonts w:ascii="Calibri" w:hAnsi="Calibri"/>
        </w:rPr>
        <w:t xml:space="preserve"> of </w:t>
      </w:r>
      <w:proofErr w:type="spellStart"/>
      <w:r w:rsidR="003022CA" w:rsidRPr="00A64B10">
        <w:rPr>
          <w:rFonts w:ascii="Calibri" w:hAnsi="Calibri"/>
        </w:rPr>
        <w:t>nanomedicinal</w:t>
      </w:r>
      <w:proofErr w:type="spellEnd"/>
      <w:r w:rsidR="003022CA" w:rsidRPr="00A64B10">
        <w:rPr>
          <w:rFonts w:ascii="Calibri" w:hAnsi="Calibri"/>
        </w:rPr>
        <w:t xml:space="preserve"> products</w:t>
      </w:r>
      <w:r w:rsidR="00FF2897" w:rsidRPr="00A64B10">
        <w:rPr>
          <w:rFonts w:ascii="Calibri" w:hAnsi="Calibri"/>
        </w:rPr>
        <w:t xml:space="preserve">. </w:t>
      </w:r>
    </w:p>
    <w:p w14:paraId="0E5D8734" w14:textId="77777777" w:rsidR="00FF2897" w:rsidRPr="00A64B10" w:rsidRDefault="00FF2897" w:rsidP="00FF2897">
      <w:pPr>
        <w:pStyle w:val="Heading4"/>
      </w:pPr>
      <w:r w:rsidRPr="00A64B10">
        <w:t>In vivo ADME</w:t>
      </w:r>
    </w:p>
    <w:p w14:paraId="35188565" w14:textId="76F72AC0" w:rsidR="00FF2897" w:rsidRPr="00A64B10" w:rsidRDefault="00FF2897" w:rsidP="00752590">
      <w:pPr>
        <w:contextualSpacing/>
        <w:jc w:val="both"/>
        <w:rPr>
          <w:rFonts w:ascii="Calibri" w:eastAsia="Calibri" w:hAnsi="Calibri" w:cs="Arial"/>
        </w:rPr>
      </w:pPr>
      <w:r w:rsidRPr="00A64B10">
        <w:rPr>
          <w:rFonts w:ascii="Calibri" w:eastAsia="Calibri" w:hAnsi="Calibri" w:cs="Arial"/>
        </w:rPr>
        <w:t xml:space="preserve">It is well established that </w:t>
      </w:r>
      <w:r w:rsidR="00F83B22" w:rsidRPr="00A64B10">
        <w:rPr>
          <w:rFonts w:ascii="Calibri" w:eastAsia="Calibri" w:hAnsi="Calibri" w:cs="Arial"/>
        </w:rPr>
        <w:t>nanotechnology-based products</w:t>
      </w:r>
      <w:r w:rsidRPr="00A64B10">
        <w:rPr>
          <w:rFonts w:ascii="Calibri" w:eastAsia="Calibri" w:hAnsi="Calibri" w:cs="Arial"/>
        </w:rPr>
        <w:t xml:space="preserve"> have a certain propensity for accumulation in tissues such as the liver and spleen which can prevent their distribution to the target tissue</w:t>
      </w:r>
      <w:r w:rsidR="00E444B0" w:rsidRPr="00A64B10">
        <w:rPr>
          <w:rFonts w:ascii="Calibri" w:eastAsia="Calibri" w:hAnsi="Calibri" w:cs="Arial"/>
        </w:rPr>
        <w:t xml:space="preserve"> </w:t>
      </w:r>
      <w:r w:rsidR="00E444B0" w:rsidRPr="00A64B10">
        <w:rPr>
          <w:rFonts w:ascii="Calibri" w:eastAsia="Calibri" w:hAnsi="Calibri" w:cs="Arial"/>
        </w:rPr>
        <w:fldChar w:fldCharType="begin" w:fldLock="1"/>
      </w:r>
      <w:r w:rsidR="00F53111">
        <w:rPr>
          <w:rFonts w:ascii="Calibri" w:eastAsia="Calibri" w:hAnsi="Calibri" w:cs="Arial"/>
        </w:rPr>
        <w:instrText>ADDIN CSL_CITATION {"citationItems":[{"id":"ITEM-1","itemData":{"DOI":"10.1016/j.taap.2010.09.002","abstract":"Nanoparticulate drug delivery systems offer great promise in addressing challenges of drug toxicity, poor bioavailability and non-specificity for a number of drugs. Much progress has been reported for nano drug delivery systems for intravenous administration, however very little is known about the effects of orally administered nanoparticles. Furthermore, the development of nanoparticulate systems necessitates a thorough understanding of the biological response post exposure. This study aimed to elucidate the in vivo uptake of chitosan and polyethylene glycol (PEG) coated Poly, dl, lactic-co-glycolic Acid (PLGA) nanoparticles and the immunological response within 24 h of oral and peritoneal administration. These PLGA nanoparticles were administered orally and peritoneally to female Balb/C mice, they were taken up by macrophages of the peritoneum. When these particles were fluorescently labelled, intracellular localisation was observed. The expression of pro-inflammatory cytokines IL-2, IL-6, IL-12p70 and TNF-α in plasma and peritoneal lavage was found to remain at low concentration in PLGA nanoparticles treated mice as well as ZnO nanoparticles during the 24 hour period. However, these were significantly increased in lipopolysaccharide (LPS) treated mice. Of these pro-inflammatory cytokines, IL-6 and IL-12p70 were produced at the highest concentration in the positive control group. The anti-inflammatory cytokines IL-10 and chemokines INF-γ, IL-4, IL-5 remained at normal levels in PLGA treated mice. IL-10 and INF-γ were significantly increased in LPS treated mice. MCP-1 was found to be significantly produced in all groups in the first hours, except the saline treated mice. These results provide the first report to detail the induction of cytokine production by PLGA nanoparticles engineered for oral applications. © 2010 Elsevier Inc.","author":[{"dropping-particle":"","family":"Semete","given":"B.","non-dropping-particle":"","parse-names":false,"suffix":""},{"dropping-particle":"","family":"Booysen","given":"L.I.J.","non-dropping-particle":"","parse-names":false,"suffix":""},{"dropping-particle":"","family":"Kalombo","given":"L.","non-dropping-particle":"","parse-names":false,"suffix":""},{"dropping-particle":"","family":"Venter","given":"J.D.","non-dropping-particle":"","parse-names":false,"suffix":""},{"dropping-particle":"","family":"Katata","given":"L.","non-dropping-particle":"","parse-names":false,"suffix":""},{"dropping-particle":"","family":"Ramalapa","given":"B.","non-dropping-particle":"","parse-names":false,"suffix":""},{"dropping-particle":"","family":"Verschoor","given":"J.A.","non-dropping-particle":"","parse-names":false,"suffix":""},{"dropping-particle":"","family":"Swai","given":"H.","non-dropping-particle":"","parse-names":false,"suffix":""}],"container-title":"Toxicology and Applied Pharmacology","id":"ITEM-1","issue":"2","issued":{"date-parts":[["2010"]]},"title":"In vivo uptake and acute immune response to orally administered chitosan and PEG coated PLGA nanoparticles","type":"article-journal","volume":"249"},"uris":["http://www.mendeley.com/documents/?uuid=0895c751-206c-34d1-9662-e49ed7afa52a"]}],"mendeley":{"formattedCitation":"[41]","plainTextFormattedCitation":"[41]","previouslyFormattedCitation":"[41]"},"properties":{"noteIndex":0},"schema":"https://github.com/citation-style-language/schema/raw/master/csl-citation.json"}</w:instrText>
      </w:r>
      <w:r w:rsidR="00E444B0" w:rsidRPr="00A64B10">
        <w:rPr>
          <w:rFonts w:ascii="Calibri" w:eastAsia="Calibri" w:hAnsi="Calibri" w:cs="Arial"/>
        </w:rPr>
        <w:fldChar w:fldCharType="separate"/>
      </w:r>
      <w:r w:rsidR="000B3F63" w:rsidRPr="000B3F63">
        <w:rPr>
          <w:rFonts w:ascii="Calibri" w:eastAsia="Calibri" w:hAnsi="Calibri" w:cs="Arial"/>
          <w:noProof/>
        </w:rPr>
        <w:t>[41]</w:t>
      </w:r>
      <w:r w:rsidR="00E444B0" w:rsidRPr="00A64B10">
        <w:rPr>
          <w:rFonts w:ascii="Calibri" w:eastAsia="Calibri" w:hAnsi="Calibri" w:cs="Arial"/>
        </w:rPr>
        <w:fldChar w:fldCharType="end"/>
      </w:r>
      <w:r w:rsidR="00E444B0" w:rsidRPr="00A64B10">
        <w:rPr>
          <w:rFonts w:ascii="Calibri" w:eastAsia="Calibri" w:hAnsi="Calibri" w:cs="Arial"/>
        </w:rPr>
        <w:t>.</w:t>
      </w:r>
      <w:r w:rsidRPr="00A64B10">
        <w:rPr>
          <w:rFonts w:ascii="Calibri" w:eastAsia="Calibri" w:hAnsi="Calibri" w:cs="Arial"/>
        </w:rPr>
        <w:t xml:space="preserve"> Mouse and rat models are used extensively to track the distribution of </w:t>
      </w:r>
      <w:r w:rsidR="00F83B22" w:rsidRPr="00A64B10">
        <w:rPr>
          <w:rFonts w:ascii="Calibri" w:eastAsia="Calibri" w:hAnsi="Calibri" w:cs="Arial"/>
        </w:rPr>
        <w:t>nanomaterials</w:t>
      </w:r>
      <w:r w:rsidRPr="00A64B10">
        <w:rPr>
          <w:rFonts w:ascii="Calibri" w:eastAsia="Calibri" w:hAnsi="Calibri" w:cs="Arial"/>
        </w:rPr>
        <w:t xml:space="preserve"> in target tissues as well as blood plasma and urine samples. Methods are </w:t>
      </w:r>
      <w:r w:rsidR="00242636">
        <w:rPr>
          <w:rFonts w:ascii="Calibri" w:eastAsia="Calibri" w:hAnsi="Calibri" w:cs="Arial"/>
        </w:rPr>
        <w:t xml:space="preserve">similar to those used for </w:t>
      </w:r>
      <w:proofErr w:type="gramStart"/>
      <w:r w:rsidR="00242636">
        <w:rPr>
          <w:rFonts w:ascii="Calibri" w:eastAsia="Calibri" w:hAnsi="Calibri" w:cs="Arial"/>
        </w:rPr>
        <w:t>small-</w:t>
      </w:r>
      <w:r w:rsidRPr="00A64B10">
        <w:rPr>
          <w:rFonts w:ascii="Calibri" w:eastAsia="Calibri" w:hAnsi="Calibri" w:cs="Arial"/>
        </w:rPr>
        <w:t>molecules</w:t>
      </w:r>
      <w:proofErr w:type="gramEnd"/>
      <w:r w:rsidRPr="00A64B10">
        <w:rPr>
          <w:rFonts w:ascii="Calibri" w:eastAsia="Calibri" w:hAnsi="Calibri" w:cs="Arial"/>
        </w:rPr>
        <w:t xml:space="preserve"> where animal models are treated with titrated doses over considered time points before the organs are harvested and processed for extraction of the API or whole nanoparticle. This can include tissue homogeni</w:t>
      </w:r>
      <w:r w:rsidR="004C4385" w:rsidRPr="00A64B10">
        <w:rPr>
          <w:rFonts w:ascii="Calibri" w:eastAsia="Calibri" w:hAnsi="Calibri" w:cs="Arial"/>
        </w:rPr>
        <w:t>s</w:t>
      </w:r>
      <w:r w:rsidRPr="00A64B10">
        <w:rPr>
          <w:rFonts w:ascii="Calibri" w:eastAsia="Calibri" w:hAnsi="Calibri" w:cs="Arial"/>
        </w:rPr>
        <w:t xml:space="preserve">ation, or sectioning to track labelled </w:t>
      </w:r>
      <w:r w:rsidR="00F83B22" w:rsidRPr="00A64B10">
        <w:rPr>
          <w:rFonts w:ascii="Calibri" w:eastAsia="Calibri" w:hAnsi="Calibri" w:cs="Arial"/>
        </w:rPr>
        <w:t>NPs</w:t>
      </w:r>
      <w:r w:rsidRPr="00A64B10">
        <w:rPr>
          <w:rFonts w:ascii="Calibri" w:eastAsia="Calibri" w:hAnsi="Calibri" w:cs="Arial"/>
        </w:rPr>
        <w:t xml:space="preserve"> visually. To date, the vast majority of clinically </w:t>
      </w:r>
      <w:r w:rsidRPr="00A64B10">
        <w:rPr>
          <w:rFonts w:ascii="Calibri" w:eastAsia="Calibri" w:hAnsi="Calibri" w:cs="Arial"/>
        </w:rPr>
        <w:lastRenderedPageBreak/>
        <w:t xml:space="preserve">approved </w:t>
      </w:r>
      <w:proofErr w:type="spellStart"/>
      <w:r w:rsidR="00F83B22" w:rsidRPr="00A64B10">
        <w:rPr>
          <w:rFonts w:ascii="Calibri" w:eastAsia="Calibri" w:hAnsi="Calibri" w:cs="Arial"/>
        </w:rPr>
        <w:t>nanomedicinal</w:t>
      </w:r>
      <w:proofErr w:type="spellEnd"/>
      <w:r w:rsidR="00F83B22" w:rsidRPr="00A64B10">
        <w:rPr>
          <w:rFonts w:ascii="Calibri" w:eastAsia="Calibri" w:hAnsi="Calibri" w:cs="Arial"/>
        </w:rPr>
        <w:t xml:space="preserve"> products</w:t>
      </w:r>
      <w:r w:rsidRPr="00A64B10">
        <w:rPr>
          <w:rFonts w:ascii="Calibri" w:eastAsia="Calibri" w:hAnsi="Calibri" w:cs="Arial"/>
        </w:rPr>
        <w:t xml:space="preserve"> are accepted for use in oncology. However, there is evidence to suggest that xenograft models used to assess oncology therapeutics have more highly vasculari</w:t>
      </w:r>
      <w:r w:rsidR="004C4385" w:rsidRPr="00A64B10">
        <w:rPr>
          <w:rFonts w:ascii="Calibri" w:eastAsia="Calibri" w:hAnsi="Calibri" w:cs="Arial"/>
        </w:rPr>
        <w:t>s</w:t>
      </w:r>
      <w:r w:rsidR="0077003B">
        <w:rPr>
          <w:rFonts w:ascii="Calibri" w:eastAsia="Calibri" w:hAnsi="Calibri" w:cs="Arial"/>
        </w:rPr>
        <w:t>ed tumours, compared to</w:t>
      </w:r>
      <w:r w:rsidRPr="00A64B10">
        <w:rPr>
          <w:rFonts w:ascii="Calibri" w:eastAsia="Calibri" w:hAnsi="Calibri" w:cs="Arial"/>
        </w:rPr>
        <w:t xml:space="preserve"> human cancer</w:t>
      </w:r>
      <w:r w:rsidR="0077003B">
        <w:rPr>
          <w:rFonts w:ascii="Calibri" w:eastAsia="Calibri" w:hAnsi="Calibri" w:cs="Arial"/>
        </w:rPr>
        <w:t>,</w:t>
      </w:r>
      <w:r w:rsidRPr="00A64B10">
        <w:rPr>
          <w:rFonts w:ascii="Calibri" w:eastAsia="Calibri" w:hAnsi="Calibri" w:cs="Arial"/>
        </w:rPr>
        <w:t xml:space="preserve"> and therefore </w:t>
      </w:r>
      <w:r w:rsidR="002E1595" w:rsidRPr="00A64B10">
        <w:rPr>
          <w:rFonts w:ascii="Calibri" w:eastAsia="Calibri" w:hAnsi="Calibri" w:cs="Arial"/>
        </w:rPr>
        <w:t>are not optimal to predict the pharmacokinetic profile in patients</w:t>
      </w:r>
      <w:r w:rsidR="00B4614D" w:rsidRPr="00A64B10">
        <w:rPr>
          <w:rFonts w:ascii="Calibri" w:eastAsia="Calibri" w:hAnsi="Calibri" w:cs="Arial"/>
        </w:rPr>
        <w:t xml:space="preserve"> (</w:t>
      </w:r>
      <w:r w:rsidR="00594B8D" w:rsidRPr="00A64B10">
        <w:rPr>
          <w:rFonts w:ascii="Calibri" w:eastAsia="Calibri" w:hAnsi="Calibri" w:cs="Arial"/>
        </w:rPr>
        <w:t>T</w:t>
      </w:r>
      <w:r w:rsidR="00B4614D" w:rsidRPr="00A64B10">
        <w:rPr>
          <w:rFonts w:ascii="Calibri" w:eastAsia="Calibri" w:hAnsi="Calibri" w:cs="Arial"/>
        </w:rPr>
        <w:t>able 5)</w:t>
      </w:r>
      <w:r w:rsidR="002E1595" w:rsidRPr="00A64B10">
        <w:rPr>
          <w:rFonts w:ascii="Calibri" w:eastAsia="Calibri" w:hAnsi="Calibri" w:cs="Arial"/>
        </w:rPr>
        <w:t xml:space="preserve">. </w:t>
      </w:r>
    </w:p>
    <w:p w14:paraId="08C253AE" w14:textId="77777777" w:rsidR="00FF2897" w:rsidRPr="00A64B10" w:rsidRDefault="00FF2897" w:rsidP="00FF2897">
      <w:pPr>
        <w:pStyle w:val="Heading4"/>
        <w:rPr>
          <w:rFonts w:eastAsia="Times New Roman"/>
        </w:rPr>
      </w:pPr>
      <w:r w:rsidRPr="00A64B10">
        <w:rPr>
          <w:rFonts w:eastAsia="Times New Roman"/>
        </w:rPr>
        <w:t>In silico computational modelling</w:t>
      </w:r>
    </w:p>
    <w:p w14:paraId="2210E17A" w14:textId="05DE8416" w:rsidR="00FF2897" w:rsidRPr="00A64B10" w:rsidRDefault="00FF2897" w:rsidP="00B4614D">
      <w:pPr>
        <w:contextualSpacing/>
        <w:jc w:val="both"/>
        <w:rPr>
          <w:rFonts w:ascii="Calibri" w:eastAsia="Calibri" w:hAnsi="Calibri" w:cs="Arial"/>
        </w:rPr>
      </w:pPr>
      <w:r w:rsidRPr="00A64B10">
        <w:rPr>
          <w:rFonts w:ascii="Calibri" w:eastAsia="Calibri" w:hAnsi="Calibri" w:cs="Arial"/>
        </w:rPr>
        <w:t xml:space="preserve">Computational tools for the assessment of biodistribution of </w:t>
      </w:r>
      <w:r w:rsidR="00A43D89" w:rsidRPr="00A64B10">
        <w:rPr>
          <w:rFonts w:ascii="Calibri" w:eastAsia="Calibri" w:hAnsi="Calibri" w:cs="Arial"/>
        </w:rPr>
        <w:t>nanotechnology-based health products</w:t>
      </w:r>
      <w:r w:rsidRPr="00A64B10">
        <w:rPr>
          <w:rFonts w:ascii="Calibri" w:eastAsia="Calibri" w:hAnsi="Calibri" w:cs="Arial"/>
        </w:rPr>
        <w:t xml:space="preserve"> are potentially very valuable due to their ability to simulate complex biological systems and the pharmacokinetics of the </w:t>
      </w:r>
      <w:r w:rsidR="00A43D89" w:rsidRPr="00A64B10">
        <w:rPr>
          <w:rFonts w:ascii="Calibri" w:eastAsia="Calibri" w:hAnsi="Calibri" w:cs="Arial"/>
        </w:rPr>
        <w:t>administered formulation</w:t>
      </w:r>
      <w:r w:rsidRPr="00A64B10">
        <w:rPr>
          <w:rFonts w:ascii="Calibri" w:eastAsia="Calibri" w:hAnsi="Calibri" w:cs="Arial"/>
        </w:rPr>
        <w:t xml:space="preserve"> through those systems. </w:t>
      </w:r>
      <w:proofErr w:type="gramStart"/>
      <w:r w:rsidRPr="00A64B10">
        <w:rPr>
          <w:rFonts w:ascii="Calibri" w:eastAsia="Calibri" w:hAnsi="Calibri" w:cs="Arial"/>
        </w:rPr>
        <w:t xml:space="preserve">In particular, </w:t>
      </w:r>
      <w:bookmarkStart w:id="5" w:name="_Hlk61528051"/>
      <w:r w:rsidRPr="00A64B10">
        <w:rPr>
          <w:rFonts w:ascii="Calibri" w:eastAsia="Calibri" w:hAnsi="Calibri" w:cs="Arial"/>
        </w:rPr>
        <w:t>physiologically</w:t>
      </w:r>
      <w:proofErr w:type="gramEnd"/>
      <w:r w:rsidRPr="00A64B10">
        <w:rPr>
          <w:rFonts w:ascii="Calibri" w:eastAsia="Calibri" w:hAnsi="Calibri" w:cs="Arial"/>
        </w:rPr>
        <w:t xml:space="preserve"> based pharmacokinetic </w:t>
      </w:r>
      <w:bookmarkEnd w:id="5"/>
      <w:r w:rsidRPr="00A64B10">
        <w:rPr>
          <w:rFonts w:ascii="Calibri" w:eastAsia="Calibri" w:hAnsi="Calibri" w:cs="Arial"/>
        </w:rPr>
        <w:t xml:space="preserve">(PBPK) modelling allows for the development of a complex, full body mathematical </w:t>
      </w:r>
      <w:r w:rsidR="00E0384E" w:rsidRPr="00A64B10">
        <w:rPr>
          <w:rFonts w:ascii="Calibri" w:eastAsia="Calibri" w:hAnsi="Calibri" w:cs="Arial"/>
        </w:rPr>
        <w:t>model, which</w:t>
      </w:r>
      <w:r w:rsidRPr="00A64B10">
        <w:rPr>
          <w:rFonts w:ascii="Calibri" w:eastAsia="Calibri" w:hAnsi="Calibri" w:cs="Arial"/>
        </w:rPr>
        <w:t xml:space="preserve"> can describe both physicochemical properties of the pharmaceutical </w:t>
      </w:r>
      <w:r w:rsidR="008178EC" w:rsidRPr="00A64B10">
        <w:rPr>
          <w:rFonts w:ascii="Calibri" w:eastAsia="Calibri" w:hAnsi="Calibri" w:cs="Arial"/>
        </w:rPr>
        <w:t>compound</w:t>
      </w:r>
      <w:r w:rsidRPr="00A64B10">
        <w:rPr>
          <w:rFonts w:ascii="Calibri" w:eastAsia="Calibri" w:hAnsi="Calibri" w:cs="Arial"/>
        </w:rPr>
        <w:t>, and human physiological processes. In PBPK modelling, each relevant organ is created as an individual compartment within the model, described by ordinary differential equations (ODE) which defi</w:t>
      </w:r>
      <w:r w:rsidR="00E0384E">
        <w:rPr>
          <w:rFonts w:ascii="Calibri" w:eastAsia="Calibri" w:hAnsi="Calibri" w:cs="Arial"/>
        </w:rPr>
        <w:t>ne the behaviour of that organ.</w:t>
      </w:r>
      <w:r w:rsidRPr="00A64B10">
        <w:rPr>
          <w:rFonts w:ascii="Calibri" w:eastAsia="Calibri" w:hAnsi="Calibri" w:cs="Arial"/>
        </w:rPr>
        <w:t xml:space="preserve"> Model parameterisation makes use of physiologically relevant data, derived from </w:t>
      </w:r>
      <w:r w:rsidRPr="00A64B10">
        <w:rPr>
          <w:rFonts w:ascii="Calibri" w:eastAsia="Calibri" w:hAnsi="Calibri" w:cs="Arial"/>
          <w:i/>
          <w:iCs/>
        </w:rPr>
        <w:t>in vivo</w:t>
      </w:r>
      <w:r w:rsidRPr="00A64B10">
        <w:rPr>
          <w:rFonts w:ascii="Calibri" w:eastAsia="Calibri" w:hAnsi="Calibri" w:cs="Arial"/>
        </w:rPr>
        <w:t xml:space="preserve">, </w:t>
      </w:r>
      <w:proofErr w:type="gramStart"/>
      <w:r w:rsidRPr="00A64B10">
        <w:rPr>
          <w:rFonts w:ascii="Calibri" w:eastAsia="Calibri" w:hAnsi="Calibri" w:cs="Arial"/>
          <w:i/>
          <w:iCs/>
        </w:rPr>
        <w:t>in vitro</w:t>
      </w:r>
      <w:proofErr w:type="gramEnd"/>
      <w:r w:rsidRPr="00A64B10">
        <w:rPr>
          <w:rFonts w:ascii="Calibri" w:eastAsia="Calibri" w:hAnsi="Calibri" w:cs="Arial"/>
        </w:rPr>
        <w:t xml:space="preserve"> or clinical analysis, in order to tailor the model to the specific </w:t>
      </w:r>
      <w:proofErr w:type="spellStart"/>
      <w:r w:rsidR="00A43D89" w:rsidRPr="00A64B10">
        <w:rPr>
          <w:rFonts w:ascii="Calibri" w:eastAsia="Calibri" w:hAnsi="Calibri" w:cs="Arial"/>
        </w:rPr>
        <w:t>nano</w:t>
      </w:r>
      <w:r w:rsidR="00594B8D" w:rsidRPr="00A64B10">
        <w:rPr>
          <w:rFonts w:ascii="Calibri" w:eastAsia="Calibri" w:hAnsi="Calibri" w:cs="Arial"/>
        </w:rPr>
        <w:t>medicinal</w:t>
      </w:r>
      <w:proofErr w:type="spellEnd"/>
      <w:r w:rsidR="00594B8D" w:rsidRPr="00A64B10">
        <w:rPr>
          <w:rFonts w:ascii="Calibri" w:eastAsia="Calibri" w:hAnsi="Calibri" w:cs="Arial"/>
        </w:rPr>
        <w:t xml:space="preserve"> </w:t>
      </w:r>
      <w:r w:rsidR="00A43D89" w:rsidRPr="00A64B10">
        <w:rPr>
          <w:rFonts w:ascii="Calibri" w:eastAsia="Calibri" w:hAnsi="Calibri" w:cs="Arial"/>
        </w:rPr>
        <w:t>formulation</w:t>
      </w:r>
      <w:r w:rsidRPr="00A64B10">
        <w:rPr>
          <w:rFonts w:ascii="Calibri" w:eastAsia="Calibri" w:hAnsi="Calibri" w:cs="Arial"/>
        </w:rPr>
        <w:t xml:space="preserve">. While the PBPK model does rely on physiological </w:t>
      </w:r>
      <w:proofErr w:type="gramStart"/>
      <w:r w:rsidRPr="00A64B10">
        <w:rPr>
          <w:rFonts w:ascii="Calibri" w:eastAsia="Calibri" w:hAnsi="Calibri" w:cs="Arial"/>
        </w:rPr>
        <w:t>data, and</w:t>
      </w:r>
      <w:proofErr w:type="gramEnd"/>
      <w:r w:rsidRPr="00A64B10">
        <w:rPr>
          <w:rFonts w:ascii="Calibri" w:eastAsia="Calibri" w:hAnsi="Calibri" w:cs="Arial"/>
        </w:rPr>
        <w:t xml:space="preserve"> is frequently hindered by the lack of such data, longer term goals for PBPK modelling aim to reduce the use of animal models by incorporating </w:t>
      </w:r>
      <w:r w:rsidRPr="00A64B10">
        <w:rPr>
          <w:rFonts w:ascii="Calibri" w:eastAsia="Calibri" w:hAnsi="Calibri" w:cs="Arial"/>
          <w:i/>
          <w:iCs/>
        </w:rPr>
        <w:t xml:space="preserve">in vitro </w:t>
      </w:r>
      <w:r w:rsidRPr="00A64B10">
        <w:rPr>
          <w:rFonts w:ascii="Calibri" w:eastAsia="Calibri" w:hAnsi="Calibri" w:cs="Arial"/>
        </w:rPr>
        <w:t xml:space="preserve">data into a human model. Application of PBPK modelling to the field of </w:t>
      </w:r>
      <w:r w:rsidR="002E1595" w:rsidRPr="00A64B10">
        <w:rPr>
          <w:rFonts w:ascii="Calibri" w:eastAsia="Calibri" w:hAnsi="Calibri" w:cs="Arial"/>
        </w:rPr>
        <w:t>nanotechnology</w:t>
      </w:r>
      <w:r w:rsidRPr="00A64B10">
        <w:rPr>
          <w:rFonts w:ascii="Calibri" w:eastAsia="Calibri" w:hAnsi="Calibri" w:cs="Arial"/>
        </w:rPr>
        <w:t xml:space="preserve"> is relatively new, around 20 models </w:t>
      </w:r>
      <w:r w:rsidR="00B4614D" w:rsidRPr="00A64B10">
        <w:rPr>
          <w:rFonts w:ascii="Calibri" w:eastAsia="Calibri" w:hAnsi="Calibri" w:cs="Arial"/>
        </w:rPr>
        <w:t xml:space="preserve">of organs (the majority using a mouse/rat model) considered most relevant for nanomaterial distribution </w:t>
      </w:r>
      <w:r w:rsidRPr="00A64B10">
        <w:rPr>
          <w:rFonts w:ascii="Calibri" w:eastAsia="Calibri" w:hAnsi="Calibri" w:cs="Arial"/>
        </w:rPr>
        <w:t>have been described in the literature</w:t>
      </w:r>
      <w:r w:rsidR="00B4614D" w:rsidRPr="00A64B10">
        <w:rPr>
          <w:rFonts w:ascii="Calibri" w:eastAsia="Calibri" w:hAnsi="Calibri" w:cs="Arial"/>
        </w:rPr>
        <w:t xml:space="preserve"> (Table S3)</w:t>
      </w:r>
      <w:r w:rsidR="001E7612" w:rsidRPr="00A64B10">
        <w:rPr>
          <w:rFonts w:ascii="Calibri" w:eastAsia="Calibri" w:hAnsi="Calibri" w:cs="Arial"/>
        </w:rPr>
        <w:t>.</w:t>
      </w:r>
      <w:r w:rsidR="00B4614D" w:rsidRPr="00A64B10">
        <w:rPr>
          <w:rFonts w:ascii="Calibri" w:eastAsia="Calibri" w:hAnsi="Calibri" w:cs="Arial"/>
        </w:rPr>
        <w:t xml:space="preserve"> </w:t>
      </w:r>
      <w:r w:rsidR="001E7612" w:rsidRPr="00A64B10">
        <w:rPr>
          <w:rFonts w:ascii="Calibri" w:eastAsia="Calibri" w:hAnsi="Calibri" w:cs="Arial"/>
        </w:rPr>
        <w:t>H</w:t>
      </w:r>
      <w:r w:rsidR="00B4614D" w:rsidRPr="00A64B10">
        <w:rPr>
          <w:rFonts w:ascii="Calibri" w:eastAsia="Calibri" w:hAnsi="Calibri" w:cs="Arial"/>
        </w:rPr>
        <w:t>owever</w:t>
      </w:r>
      <w:r w:rsidR="001E7612" w:rsidRPr="00A64B10">
        <w:rPr>
          <w:rFonts w:ascii="Calibri" w:eastAsia="Calibri" w:hAnsi="Calibri" w:cs="Arial"/>
        </w:rPr>
        <w:t>,</w:t>
      </w:r>
      <w:r w:rsidR="00B4614D" w:rsidRPr="00A64B10">
        <w:rPr>
          <w:rFonts w:ascii="Calibri" w:eastAsia="Calibri" w:hAnsi="Calibri" w:cs="Arial"/>
        </w:rPr>
        <w:t xml:space="preserve"> the</w:t>
      </w:r>
      <w:r w:rsidR="001E7612" w:rsidRPr="00A64B10">
        <w:rPr>
          <w:rFonts w:ascii="Calibri" w:eastAsia="Calibri" w:hAnsi="Calibri" w:cs="Arial"/>
        </w:rPr>
        <w:t>se</w:t>
      </w:r>
      <w:r w:rsidR="00B4614D" w:rsidRPr="00A64B10">
        <w:rPr>
          <w:rFonts w:ascii="Calibri" w:eastAsia="Calibri" w:hAnsi="Calibri" w:cs="Arial"/>
        </w:rPr>
        <w:t xml:space="preserve"> require more validation before being </w:t>
      </w:r>
      <w:r w:rsidR="001E7612" w:rsidRPr="00A64B10">
        <w:rPr>
          <w:rFonts w:ascii="Calibri" w:eastAsia="Calibri" w:hAnsi="Calibri" w:cs="Arial"/>
        </w:rPr>
        <w:t xml:space="preserve">adopted </w:t>
      </w:r>
      <w:r w:rsidR="00B4614D" w:rsidRPr="00A64B10">
        <w:rPr>
          <w:rFonts w:ascii="Calibri" w:eastAsia="Calibri" w:hAnsi="Calibri" w:cs="Arial"/>
        </w:rPr>
        <w:t>for regulatory purpose</w:t>
      </w:r>
      <w:r w:rsidR="001E7612" w:rsidRPr="00A64B10">
        <w:rPr>
          <w:rFonts w:ascii="Calibri" w:eastAsia="Calibri" w:hAnsi="Calibri" w:cs="Arial"/>
        </w:rPr>
        <w:t>s</w:t>
      </w:r>
      <w:r w:rsidR="00B4614D" w:rsidRPr="00A64B10">
        <w:rPr>
          <w:rFonts w:ascii="Calibri" w:eastAsia="Calibri" w:hAnsi="Calibri" w:cs="Arial"/>
        </w:rPr>
        <w:t>.</w:t>
      </w:r>
      <w:r w:rsidR="00B5218A" w:rsidRPr="00A64B10">
        <w:rPr>
          <w:rFonts w:ascii="Calibri" w:eastAsia="Calibri" w:hAnsi="Calibri" w:cs="Arial"/>
        </w:rPr>
        <w:t xml:space="preserve"> </w:t>
      </w:r>
    </w:p>
    <w:p w14:paraId="7CA6BFB0" w14:textId="6A6D54F8" w:rsidR="00F546C7" w:rsidRPr="00A64B10" w:rsidRDefault="00F546C7" w:rsidP="00F546C7">
      <w:pPr>
        <w:contextualSpacing/>
        <w:jc w:val="both"/>
        <w:rPr>
          <w:rFonts w:ascii="Calibri" w:hAnsi="Calibri"/>
        </w:rPr>
      </w:pPr>
      <w:r w:rsidRPr="00A64B10">
        <w:rPr>
          <w:rFonts w:ascii="Calibri" w:hAnsi="Calibri"/>
          <w:b/>
        </w:rPr>
        <w:t>Table 5</w:t>
      </w:r>
      <w:r w:rsidRPr="00A64B10">
        <w:rPr>
          <w:rFonts w:ascii="Calibri" w:hAnsi="Calibri"/>
        </w:rPr>
        <w:t>: Summary of challenges</w:t>
      </w:r>
      <w:r w:rsidR="00E0384E">
        <w:rPr>
          <w:rFonts w:ascii="Calibri" w:hAnsi="Calibri"/>
        </w:rPr>
        <w:t xml:space="preserve"> and gaps</w:t>
      </w:r>
      <w:r w:rsidRPr="00A64B10">
        <w:rPr>
          <w:rFonts w:ascii="Calibri" w:hAnsi="Calibri"/>
        </w:rPr>
        <w:t xml:space="preserve"> for the ADME and bio</w:t>
      </w:r>
      <w:r w:rsidR="00857333" w:rsidRPr="00A64B10">
        <w:rPr>
          <w:rFonts w:ascii="Calibri" w:hAnsi="Calibri"/>
        </w:rPr>
        <w:t>di</w:t>
      </w:r>
      <w:r w:rsidRPr="00A64B10">
        <w:rPr>
          <w:rFonts w:ascii="Calibri" w:hAnsi="Calibri"/>
        </w:rPr>
        <w:t>stribution methods</w:t>
      </w:r>
    </w:p>
    <w:tbl>
      <w:tblPr>
        <w:tblStyle w:val="TableGrid"/>
        <w:tblW w:w="8926" w:type="dxa"/>
        <w:tblLook w:val="04A0" w:firstRow="1" w:lastRow="0" w:firstColumn="1" w:lastColumn="0" w:noHBand="0" w:noVBand="1"/>
      </w:tblPr>
      <w:tblGrid>
        <w:gridCol w:w="1418"/>
        <w:gridCol w:w="1838"/>
        <w:gridCol w:w="2976"/>
        <w:gridCol w:w="2694"/>
      </w:tblGrid>
      <w:tr w:rsidR="00B314B2" w:rsidRPr="00A64B10" w14:paraId="256B85AA" w14:textId="77777777" w:rsidTr="00263E4A">
        <w:tc>
          <w:tcPr>
            <w:tcW w:w="1418" w:type="dxa"/>
            <w:shd w:val="clear" w:color="auto" w:fill="1F497D" w:themeFill="text2"/>
          </w:tcPr>
          <w:p w14:paraId="2414AFE3" w14:textId="73707D40" w:rsidR="00B314B2" w:rsidRPr="00A64B10" w:rsidRDefault="00B314B2" w:rsidP="00051AA8">
            <w:pPr>
              <w:jc w:val="center"/>
              <w:rPr>
                <w:b/>
                <w:color w:val="FFFFFF" w:themeColor="background1"/>
              </w:rPr>
            </w:pPr>
            <w:bookmarkStart w:id="6" w:name="_Hlk54185676"/>
            <w:r w:rsidRPr="00A64B10">
              <w:rPr>
                <w:b/>
                <w:color w:val="FFFFFF" w:themeColor="background1"/>
              </w:rPr>
              <w:t>Area</w:t>
            </w:r>
            <w:r w:rsidR="00051AA8">
              <w:rPr>
                <w:b/>
                <w:color w:val="FFFFFF" w:themeColor="background1"/>
              </w:rPr>
              <w:t xml:space="preserve"> </w:t>
            </w:r>
            <w:r w:rsidR="00051AA8" w:rsidRPr="002F43EC">
              <w:rPr>
                <w:b/>
                <w:color w:val="FFFFFF" w:themeColor="background1"/>
                <w:sz w:val="18"/>
                <w:szCs w:val="18"/>
              </w:rPr>
              <w:t>(</w:t>
            </w:r>
            <w:r w:rsidR="00051AA8">
              <w:rPr>
                <w:b/>
                <w:color w:val="FFFFFF" w:themeColor="background1"/>
                <w:sz w:val="18"/>
                <w:szCs w:val="18"/>
              </w:rPr>
              <w:t xml:space="preserve">with </w:t>
            </w:r>
            <w:r w:rsidR="00051AA8" w:rsidRPr="002F43EC">
              <w:rPr>
                <w:b/>
                <w:color w:val="FFFFFF" w:themeColor="background1"/>
                <w:sz w:val="18"/>
                <w:szCs w:val="18"/>
              </w:rPr>
              <w:t>reference to regulatory documents)</w:t>
            </w:r>
          </w:p>
        </w:tc>
        <w:tc>
          <w:tcPr>
            <w:tcW w:w="1838" w:type="dxa"/>
            <w:shd w:val="clear" w:color="auto" w:fill="1F497D" w:themeFill="text2"/>
          </w:tcPr>
          <w:p w14:paraId="48AC4F23" w14:textId="77777777" w:rsidR="00B314B2" w:rsidRPr="00A64B10" w:rsidRDefault="00B314B2" w:rsidP="00051AA8">
            <w:pPr>
              <w:jc w:val="center"/>
              <w:rPr>
                <w:b/>
                <w:color w:val="FFFFFF" w:themeColor="background1"/>
              </w:rPr>
            </w:pPr>
            <w:r w:rsidRPr="00A64B10">
              <w:rPr>
                <w:b/>
                <w:color w:val="FFFFFF" w:themeColor="background1"/>
              </w:rPr>
              <w:t>Subcategory</w:t>
            </w:r>
          </w:p>
        </w:tc>
        <w:tc>
          <w:tcPr>
            <w:tcW w:w="2976" w:type="dxa"/>
            <w:shd w:val="clear" w:color="auto" w:fill="1F497D" w:themeFill="text2"/>
          </w:tcPr>
          <w:p w14:paraId="1564C9FC" w14:textId="77777777" w:rsidR="00B314B2" w:rsidRPr="00A64B10" w:rsidRDefault="00B314B2" w:rsidP="00051AA8">
            <w:pPr>
              <w:jc w:val="center"/>
              <w:rPr>
                <w:b/>
                <w:color w:val="FFFFFF" w:themeColor="background1"/>
              </w:rPr>
            </w:pPr>
            <w:r w:rsidRPr="00A64B10">
              <w:rPr>
                <w:b/>
                <w:color w:val="FFFFFF" w:themeColor="background1"/>
              </w:rPr>
              <w:t>Challenges</w:t>
            </w:r>
          </w:p>
        </w:tc>
        <w:tc>
          <w:tcPr>
            <w:tcW w:w="2694" w:type="dxa"/>
            <w:shd w:val="clear" w:color="auto" w:fill="1F497D" w:themeFill="text2"/>
          </w:tcPr>
          <w:p w14:paraId="56A57AF9" w14:textId="77777777" w:rsidR="00B314B2" w:rsidRPr="00A64B10" w:rsidRDefault="00B314B2" w:rsidP="00051AA8">
            <w:pPr>
              <w:jc w:val="center"/>
              <w:rPr>
                <w:b/>
                <w:color w:val="FFFFFF" w:themeColor="background1"/>
              </w:rPr>
            </w:pPr>
            <w:r w:rsidRPr="00A64B10">
              <w:rPr>
                <w:b/>
                <w:color w:val="FFFFFF" w:themeColor="background1"/>
              </w:rPr>
              <w:t>Gaps</w:t>
            </w:r>
          </w:p>
        </w:tc>
      </w:tr>
      <w:tr w:rsidR="00B314B2" w:rsidRPr="00A64B10" w14:paraId="64EDBF0C" w14:textId="77777777" w:rsidTr="00263E4A">
        <w:tc>
          <w:tcPr>
            <w:tcW w:w="1418" w:type="dxa"/>
            <w:vMerge w:val="restart"/>
            <w:shd w:val="clear" w:color="auto" w:fill="F2F2F2" w:themeFill="background1" w:themeFillShade="F2"/>
          </w:tcPr>
          <w:p w14:paraId="28F3911E" w14:textId="77777777" w:rsidR="00B314B2" w:rsidRPr="00A64B10" w:rsidRDefault="00B314B2" w:rsidP="00051AA8">
            <w:pPr>
              <w:rPr>
                <w:sz w:val="20"/>
              </w:rPr>
            </w:pPr>
            <w:r w:rsidRPr="00A64B10">
              <w:rPr>
                <w:sz w:val="20"/>
              </w:rPr>
              <w:t>ADME and biodistribution</w:t>
            </w:r>
          </w:p>
          <w:p w14:paraId="2312F4E1" w14:textId="78C1AF5B" w:rsidR="00B314B2" w:rsidRPr="00A64B10" w:rsidRDefault="004F10B0" w:rsidP="00051AA8">
            <w:pPr>
              <w:rPr>
                <w:sz w:val="20"/>
              </w:rPr>
            </w:pPr>
            <w:r w:rsidRPr="00A64B10">
              <w:rPr>
                <w:sz w:val="20"/>
              </w:rPr>
              <w:fldChar w:fldCharType="begin" w:fldLock="1"/>
            </w:r>
            <w:r w:rsidR="000B3F63">
              <w:rPr>
                <w:sz w:val="20"/>
              </w:rPr>
              <w:instrText>ADDIN CSL_CITATION {"citationItems":[{"id":"ITEM-1","itemData":{"author":[{"dropping-particle":"","family":"FDA","given":"","non-dropping-particle":"","parse-names":false,"suffix":""}],"id":"ITEM-1","issued":{"date-parts":[["2017"]]},"title":"Drug Products, Including Biological Products, that Contain Nanomaterials. Guidance for Industry.","type":"article-journal"},"uris":["http://www.mendeley.com/documents/?uuid=1d007232-6836-43e1-9d00-b18d18197d80"]},{"id":"ITEM-2","itemData":{"author":[{"dropping-particle":"","family":"FDA","given":"","non-dropping-particle":"","parse-names":false,"suffix":""}],"id":"ITEM-2","issued":{"date-parts":[["2015"]]},"title":"Liposome Drug Products. Guidance for Industry.","type":"article-journal"},"uris":["http://www.mendeley.com/documents/?uuid=de80afa4-8e96-4dbb-9cee-0a2a0d304979"]},{"id":"ITEM-3","itemData":{"abstract":"This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required.","author":[{"dropping-particle":"","family":"EMA/CHMP","given":"","non-dropping-particle":"","parse-names":false,"suffix":""}],"id":"ITEM-3","issue":"EMA/CHMP/806058/2009/Rev.02","issued":{"date-parts":[["2013"]]},"publisher-place":"London","title":"Reflection paper on the data requirements for intravenous liposomal products developed with reference to an innovator liposomal product","type":"article-journal"},"uris":["http://www.mendeley.com/documents/?uuid=e3c908b6-9d35-4812-af55-a22fdf3f47f3"]},{"id":"ITEM-4","itemData":{"abstract":"This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required.","author":[{"dropping-particle":"","family":"EMA/CHMP","given":"","non-dropping-particle":"","parse-names":false,"suffix":""}],"id":"ITEM-4","issue":"EMA/CHMP/SWP/620008/2012","issued":{"date-parts":[["2015"]]},"publisher-place":"London","title":"Reflection paper on the data requirements for intravenous iron-based nano-colloidal products developed with reference to an innovator medicinal product","type":"article-journal"},"uris":["http://www.mendeley.com/documents/?uuid=2bd38740-cd32-48fe-b1a5-f868a29c8dbd"]},{"id":"ITEM-5","itemData":{"author":[{"dropping-particle":"","family":"EMA/CHMP","given":"","non-dropping-particle":"","parse-names":false,"suffix":""}],"id":"ITEM-5","issue":"EMA/CHMP/13099/2013.","issued":{"date-parts":[["2013"]]},"publisher-place":"London","title":"Joint MHLW/EMA reflection paper on the development of block copolymer micelle medicinal products.","type":"article-journal"},"uris":["http://www.mendeley.com/documents/?uuid=931c6128-62f0-452c-91d8-48fe80efa916"]},{"id":"ITEM-6","itemData":{"author":[{"dropping-particle":"","family":"MHLW","given":"","non-dropping-particle":"","parse-names":false,"suffix":""}],"id":"ITEM-6","issued":{"date-parts":[["2016"]]},"title":"Reflection paper on nucleic acids (siRNA)-loaded nanotechnology based drug products","type":"article-journal"},"uris":["http://www.mendeley.com/documents/?uuid=3fd76c20-840c-414f-aef5-f91cb4afaf92"]},{"id":"ITEM-7","itemData":{"author":[{"dropping-particle":"","family":"MHLW","given":"","non-dropping-particle":"","parse-names":false,"suffix":""}],"id":"ITEM-7","issued":{"date-parts":[["2016"]]},"title":"Guideline for the development of liposome drug products","type":"article-journal"},"uris":["http://www.mendeley.com/documents/?uuid=4cdf9bd0-f0ff-4e59-9510-381b3c65c8f1"]},{"id":"ITEM-8","itemData":{"DOI":"10.2772/41391","ISBN":"978-92-79-35590-5","ISSN":"1831-4783","PMID":"22260506","abstract":"This Guidance addresses the use of nanomaterials in medical devices and provides information for risk assessors regarding specific aspects that need to be considered in the safety evaluation of nanomaterials. According to the EU Recommendation for the definition of a nanomaterial (Commission Recommendation 2011/696/EU, EC 2011) any particulate substance with at least one dimension in the size range between 1 and 100 nm is considered a nanomaterial. These particles (nanoparticles) exhibit specific characteristics that differ from the characteristics of larger sized particles with the same chemical composition.","author":[{"dropping-particle":"","family":"SCENIHR","given":"","non-dropping-particle":"","parse-names":false,"suffix":""}],"container-title":"Final Opinion","id":"ITEM-8","issued":{"date-parts":[["2015"]]},"page":"1-77","title":"Opinion on the Guidance on the Determination of Potential Health Effects of Nanomaterials Used in Medical Devices","type":"article-journal"},"uris":["http://www.mendeley.com/documents/?uuid=7294ce7a-b3e5-4f98-acf8-3ea180d4e0f6"]},{"id":"ITEM-9","itemData":{"author":[{"dropping-particle":"","family":"SCENIHR","given":"","non-dropping-particle":"","parse-names":false,"suffix":""}],"id":"ITEM-9","issued":{"date-parts":[["2009"]]},"title":"Risk Assessment of Products of Nanotechnologies","type":"article-journal"},"uris":["http://www.mendeley.com/documents/?uuid=2c9526f5-b125-3cdf-b69e-f5bb3677b116"]},{"id":"ITEM-10","itemData":{"author":[{"dropping-particle":"","family":"EMA/CHMP","given":"","non-dropping-particle":"","parse-names":false,"suffix":""}],"id":"ITEM-10","issue":"EMA/325027/2013","issued":{"date-parts":[["2013"]]},"publisher-place":"London","title":"Reflection paper on surface coatings : general issues for consideration regarding parenteral administration of coated nanomedicine products.","type":"article-journal"},"uris":["http://www.mendeley.com/documents/?uuid=9ea57935-5ebc-32f3-b0a7-7501ddd02435"]}],"mendeley":{"formattedCitation":"[6–13,22,23]","plainTextFormattedCitation":"[6–13,22,23]","previouslyFormattedCitation":"[6–13,22,23]"},"properties":{"noteIndex":0},"schema":"https://github.com/citation-style-language/schema/raw/master/csl-citation.json"}</w:instrText>
            </w:r>
            <w:r w:rsidRPr="00A64B10">
              <w:rPr>
                <w:sz w:val="20"/>
              </w:rPr>
              <w:fldChar w:fldCharType="separate"/>
            </w:r>
            <w:r w:rsidR="00993B28" w:rsidRPr="00993B28">
              <w:rPr>
                <w:noProof/>
                <w:sz w:val="20"/>
              </w:rPr>
              <w:t>[6–13,22,23]</w:t>
            </w:r>
            <w:r w:rsidRPr="00A64B10">
              <w:rPr>
                <w:sz w:val="20"/>
              </w:rPr>
              <w:fldChar w:fldCharType="end"/>
            </w:r>
          </w:p>
        </w:tc>
        <w:tc>
          <w:tcPr>
            <w:tcW w:w="1838" w:type="dxa"/>
            <w:shd w:val="clear" w:color="auto" w:fill="F2F2F2" w:themeFill="background1" w:themeFillShade="F2"/>
          </w:tcPr>
          <w:p w14:paraId="2949326F" w14:textId="77777777" w:rsidR="00B314B2" w:rsidRPr="00A64B10" w:rsidRDefault="00B314B2" w:rsidP="00051AA8">
            <w:pPr>
              <w:rPr>
                <w:sz w:val="20"/>
              </w:rPr>
            </w:pPr>
            <w:r w:rsidRPr="00A64B10">
              <w:rPr>
                <w:sz w:val="20"/>
              </w:rPr>
              <w:t>Detection and quantification in biological matrices</w:t>
            </w:r>
          </w:p>
        </w:tc>
        <w:tc>
          <w:tcPr>
            <w:tcW w:w="2976" w:type="dxa"/>
            <w:shd w:val="clear" w:color="auto" w:fill="F2F2F2" w:themeFill="background1" w:themeFillShade="F2"/>
          </w:tcPr>
          <w:p w14:paraId="782085DE" w14:textId="77777777" w:rsidR="00B314B2" w:rsidRPr="00A64B10" w:rsidRDefault="00B314B2" w:rsidP="00051AA8">
            <w:pPr>
              <w:rPr>
                <w:sz w:val="20"/>
              </w:rPr>
            </w:pPr>
            <w:r w:rsidRPr="00A64B10">
              <w:rPr>
                <w:sz w:val="20"/>
              </w:rPr>
              <w:t xml:space="preserve">Need for method adaptation for each type of </w:t>
            </w:r>
            <w:r w:rsidR="005B3366" w:rsidRPr="00A64B10">
              <w:rPr>
                <w:sz w:val="20"/>
              </w:rPr>
              <w:t>nanomaterials</w:t>
            </w:r>
          </w:p>
        </w:tc>
        <w:tc>
          <w:tcPr>
            <w:tcW w:w="2694" w:type="dxa"/>
            <w:shd w:val="clear" w:color="auto" w:fill="F2F2F2" w:themeFill="background1" w:themeFillShade="F2"/>
          </w:tcPr>
          <w:p w14:paraId="12BC82AC" w14:textId="16440B63" w:rsidR="00B314B2" w:rsidRPr="00A64B10" w:rsidRDefault="00B314B2" w:rsidP="00051AA8">
            <w:pPr>
              <w:rPr>
                <w:sz w:val="20"/>
              </w:rPr>
            </w:pPr>
            <w:r w:rsidRPr="00A64B10">
              <w:rPr>
                <w:sz w:val="20"/>
              </w:rPr>
              <w:t>No technological solutions to detect</w:t>
            </w:r>
            <w:r w:rsidR="00051AA8">
              <w:rPr>
                <w:sz w:val="20"/>
              </w:rPr>
              <w:t xml:space="preserve"> and quantify</w:t>
            </w:r>
            <w:r w:rsidRPr="00A64B10">
              <w:rPr>
                <w:sz w:val="20"/>
              </w:rPr>
              <w:t xml:space="preserve"> </w:t>
            </w:r>
            <w:r w:rsidR="00F0065D" w:rsidRPr="00A64B10">
              <w:rPr>
                <w:rFonts w:cstheme="minorHAnsi"/>
                <w:sz w:val="20"/>
                <w:szCs w:val="20"/>
              </w:rPr>
              <w:t>intact nanoparticle except for fluorescent labelled or metal nanoparticles.</w:t>
            </w:r>
          </w:p>
        </w:tc>
      </w:tr>
      <w:tr w:rsidR="00B314B2" w:rsidRPr="00A64B10" w14:paraId="7FE6E5E5" w14:textId="77777777" w:rsidTr="00263E4A">
        <w:trPr>
          <w:trHeight w:val="930"/>
        </w:trPr>
        <w:tc>
          <w:tcPr>
            <w:tcW w:w="1418" w:type="dxa"/>
            <w:vMerge/>
            <w:shd w:val="clear" w:color="auto" w:fill="F2F2F2" w:themeFill="background1" w:themeFillShade="F2"/>
          </w:tcPr>
          <w:p w14:paraId="0FC722E7" w14:textId="77777777" w:rsidR="00B314B2" w:rsidRPr="00A64B10" w:rsidRDefault="00B314B2" w:rsidP="00051AA8">
            <w:pPr>
              <w:rPr>
                <w:sz w:val="20"/>
              </w:rPr>
            </w:pPr>
          </w:p>
        </w:tc>
        <w:tc>
          <w:tcPr>
            <w:tcW w:w="1838" w:type="dxa"/>
            <w:shd w:val="clear" w:color="auto" w:fill="F2F2F2" w:themeFill="background1" w:themeFillShade="F2"/>
          </w:tcPr>
          <w:p w14:paraId="6592AED7" w14:textId="77777777" w:rsidR="00B314B2" w:rsidRPr="00A64B10" w:rsidRDefault="00B314B2" w:rsidP="00051AA8">
            <w:pPr>
              <w:rPr>
                <w:sz w:val="20"/>
              </w:rPr>
            </w:pPr>
            <w:r w:rsidRPr="00E0384E">
              <w:rPr>
                <w:i/>
                <w:sz w:val="20"/>
              </w:rPr>
              <w:t>In vitro</w:t>
            </w:r>
            <w:r w:rsidRPr="00A64B10">
              <w:rPr>
                <w:sz w:val="20"/>
              </w:rPr>
              <w:t xml:space="preserve"> models</w:t>
            </w:r>
          </w:p>
        </w:tc>
        <w:tc>
          <w:tcPr>
            <w:tcW w:w="2976" w:type="dxa"/>
            <w:shd w:val="clear" w:color="auto" w:fill="F2F2F2" w:themeFill="background1" w:themeFillShade="F2"/>
          </w:tcPr>
          <w:p w14:paraId="474A4D6A" w14:textId="77777777" w:rsidR="00B314B2" w:rsidRPr="00A64B10" w:rsidRDefault="00B314B2" w:rsidP="00051AA8">
            <w:pPr>
              <w:rPr>
                <w:sz w:val="20"/>
              </w:rPr>
            </w:pPr>
            <w:r w:rsidRPr="00A64B10">
              <w:rPr>
                <w:sz w:val="20"/>
              </w:rPr>
              <w:t xml:space="preserve">No sufficient evidence on how </w:t>
            </w:r>
            <w:r w:rsidR="00732BA8" w:rsidRPr="00A64B10">
              <w:rPr>
                <w:rFonts w:cstheme="minorHAnsi"/>
                <w:sz w:val="20"/>
                <w:szCs w:val="20"/>
              </w:rPr>
              <w:t xml:space="preserve">relevant </w:t>
            </w:r>
            <w:r w:rsidRPr="00A64B10">
              <w:rPr>
                <w:sz w:val="20"/>
              </w:rPr>
              <w:t>they are for human biodistribution</w:t>
            </w:r>
          </w:p>
        </w:tc>
        <w:tc>
          <w:tcPr>
            <w:tcW w:w="2694" w:type="dxa"/>
            <w:shd w:val="clear" w:color="auto" w:fill="F2F2F2" w:themeFill="background1" w:themeFillShade="F2"/>
          </w:tcPr>
          <w:p w14:paraId="0888B726" w14:textId="77777777" w:rsidR="00B314B2" w:rsidRPr="00A64B10" w:rsidRDefault="00B314B2" w:rsidP="00051AA8">
            <w:pPr>
              <w:rPr>
                <w:sz w:val="20"/>
              </w:rPr>
            </w:pPr>
            <w:r w:rsidRPr="00A64B10">
              <w:rPr>
                <w:sz w:val="20"/>
              </w:rPr>
              <w:t>More sophisticated models</w:t>
            </w:r>
            <w:r w:rsidR="008178EC" w:rsidRPr="00A64B10">
              <w:rPr>
                <w:sz w:val="20"/>
              </w:rPr>
              <w:t xml:space="preserve"> including specialized cell types </w:t>
            </w:r>
            <w:r w:rsidRPr="00A64B10">
              <w:rPr>
                <w:sz w:val="20"/>
              </w:rPr>
              <w:t xml:space="preserve">are </w:t>
            </w:r>
            <w:r w:rsidR="007604CE" w:rsidRPr="00A64B10">
              <w:rPr>
                <w:sz w:val="20"/>
              </w:rPr>
              <w:t>lacking, or</w:t>
            </w:r>
            <w:r w:rsidR="0020544A" w:rsidRPr="00A64B10">
              <w:rPr>
                <w:sz w:val="20"/>
              </w:rPr>
              <w:t xml:space="preserve"> are</w:t>
            </w:r>
            <w:r w:rsidR="008178EC" w:rsidRPr="00A64B10">
              <w:rPr>
                <w:sz w:val="20"/>
              </w:rPr>
              <w:t xml:space="preserve"> in early stage of development</w:t>
            </w:r>
            <w:r w:rsidRPr="00A64B10">
              <w:rPr>
                <w:sz w:val="20"/>
              </w:rPr>
              <w:t xml:space="preserve"> </w:t>
            </w:r>
          </w:p>
        </w:tc>
      </w:tr>
      <w:tr w:rsidR="00B314B2" w:rsidRPr="00A64B10" w14:paraId="0914B774" w14:textId="77777777" w:rsidTr="00263E4A">
        <w:trPr>
          <w:trHeight w:val="930"/>
        </w:trPr>
        <w:tc>
          <w:tcPr>
            <w:tcW w:w="1418" w:type="dxa"/>
            <w:vMerge/>
            <w:shd w:val="clear" w:color="auto" w:fill="F2F2F2" w:themeFill="background1" w:themeFillShade="F2"/>
          </w:tcPr>
          <w:p w14:paraId="580E9221" w14:textId="77777777" w:rsidR="00B314B2" w:rsidRPr="00A64B10" w:rsidRDefault="00B314B2" w:rsidP="00051AA8">
            <w:pPr>
              <w:rPr>
                <w:sz w:val="20"/>
              </w:rPr>
            </w:pPr>
          </w:p>
        </w:tc>
        <w:tc>
          <w:tcPr>
            <w:tcW w:w="1838" w:type="dxa"/>
            <w:shd w:val="clear" w:color="auto" w:fill="F2F2F2" w:themeFill="background1" w:themeFillShade="F2"/>
          </w:tcPr>
          <w:p w14:paraId="4208D348" w14:textId="77777777" w:rsidR="00B314B2" w:rsidRPr="00A64B10" w:rsidRDefault="00B314B2" w:rsidP="00051AA8">
            <w:pPr>
              <w:rPr>
                <w:sz w:val="20"/>
              </w:rPr>
            </w:pPr>
            <w:r w:rsidRPr="00E0384E">
              <w:rPr>
                <w:i/>
                <w:sz w:val="20"/>
              </w:rPr>
              <w:t>In vivo</w:t>
            </w:r>
            <w:r w:rsidRPr="00A64B10">
              <w:rPr>
                <w:sz w:val="20"/>
              </w:rPr>
              <w:t xml:space="preserve"> models</w:t>
            </w:r>
          </w:p>
        </w:tc>
        <w:tc>
          <w:tcPr>
            <w:tcW w:w="2976" w:type="dxa"/>
            <w:shd w:val="clear" w:color="auto" w:fill="F2F2F2" w:themeFill="background1" w:themeFillShade="F2"/>
          </w:tcPr>
          <w:p w14:paraId="679E3C15" w14:textId="77777777" w:rsidR="00B314B2" w:rsidRPr="00A64B10" w:rsidRDefault="00B314B2" w:rsidP="00051AA8">
            <w:pPr>
              <w:rPr>
                <w:sz w:val="20"/>
              </w:rPr>
            </w:pPr>
            <w:r w:rsidRPr="00A64B10">
              <w:rPr>
                <w:sz w:val="20"/>
              </w:rPr>
              <w:t>Wide inter-species variation between pre-clinical animal models and humans</w:t>
            </w:r>
          </w:p>
        </w:tc>
        <w:tc>
          <w:tcPr>
            <w:tcW w:w="2694" w:type="dxa"/>
            <w:shd w:val="clear" w:color="auto" w:fill="F2F2F2" w:themeFill="background1" w:themeFillShade="F2"/>
          </w:tcPr>
          <w:p w14:paraId="3C73E40C" w14:textId="77777777" w:rsidR="00B314B2" w:rsidRPr="00A64B10" w:rsidRDefault="00B314B2" w:rsidP="00051AA8">
            <w:pPr>
              <w:rPr>
                <w:rFonts w:cstheme="minorHAnsi"/>
                <w:sz w:val="20"/>
                <w:szCs w:val="20"/>
              </w:rPr>
            </w:pPr>
            <w:r w:rsidRPr="00A64B10">
              <w:rPr>
                <w:sz w:val="20"/>
              </w:rPr>
              <w:t>No suitable tumour models with vascularization comparable to human cancer</w:t>
            </w:r>
            <w:r w:rsidRPr="00A64B10">
              <w:rPr>
                <w:rFonts w:cstheme="minorHAnsi"/>
                <w:sz w:val="20"/>
                <w:szCs w:val="20"/>
              </w:rPr>
              <w:t xml:space="preserve"> </w:t>
            </w:r>
          </w:p>
          <w:p w14:paraId="3AB6923B" w14:textId="14A5A0CA" w:rsidR="00B314B2" w:rsidRPr="00A64B10" w:rsidRDefault="00B314B2" w:rsidP="00051AA8">
            <w:pPr>
              <w:rPr>
                <w:sz w:val="20"/>
              </w:rPr>
            </w:pPr>
          </w:p>
        </w:tc>
      </w:tr>
      <w:tr w:rsidR="00B314B2" w:rsidRPr="00A64B10" w14:paraId="7BD68A9B" w14:textId="77777777" w:rsidTr="00263E4A">
        <w:trPr>
          <w:trHeight w:val="416"/>
        </w:trPr>
        <w:tc>
          <w:tcPr>
            <w:tcW w:w="1418" w:type="dxa"/>
            <w:vMerge/>
            <w:shd w:val="clear" w:color="auto" w:fill="F2F2F2" w:themeFill="background1" w:themeFillShade="F2"/>
          </w:tcPr>
          <w:p w14:paraId="7ACEA4B2" w14:textId="77777777" w:rsidR="00B314B2" w:rsidRPr="00A64B10" w:rsidRDefault="00B314B2" w:rsidP="00051AA8">
            <w:pPr>
              <w:rPr>
                <w:sz w:val="20"/>
              </w:rPr>
            </w:pPr>
          </w:p>
        </w:tc>
        <w:tc>
          <w:tcPr>
            <w:tcW w:w="1838" w:type="dxa"/>
            <w:shd w:val="clear" w:color="auto" w:fill="F2F2F2" w:themeFill="background1" w:themeFillShade="F2"/>
          </w:tcPr>
          <w:p w14:paraId="64912C69" w14:textId="77777777" w:rsidR="00B314B2" w:rsidRPr="00A64B10" w:rsidRDefault="00B314B2" w:rsidP="00051AA8">
            <w:pPr>
              <w:rPr>
                <w:sz w:val="20"/>
              </w:rPr>
            </w:pPr>
            <w:r w:rsidRPr="00E0384E">
              <w:rPr>
                <w:i/>
                <w:sz w:val="20"/>
              </w:rPr>
              <w:t>In silico</w:t>
            </w:r>
            <w:r w:rsidRPr="00A64B10">
              <w:rPr>
                <w:sz w:val="20"/>
              </w:rPr>
              <w:t xml:space="preserve"> </w:t>
            </w:r>
            <w:r w:rsidRPr="00A64B10">
              <w:rPr>
                <w:rFonts w:cstheme="minorHAnsi"/>
                <w:sz w:val="20"/>
                <w:szCs w:val="20"/>
              </w:rPr>
              <w:t>model</w:t>
            </w:r>
            <w:r w:rsidR="00005EA0" w:rsidRPr="00A64B10">
              <w:rPr>
                <w:rFonts w:cstheme="minorHAnsi"/>
                <w:sz w:val="20"/>
                <w:szCs w:val="20"/>
              </w:rPr>
              <w:t>l</w:t>
            </w:r>
            <w:r w:rsidRPr="00A64B10">
              <w:rPr>
                <w:rFonts w:cstheme="minorHAnsi"/>
                <w:sz w:val="20"/>
                <w:szCs w:val="20"/>
              </w:rPr>
              <w:t>ing</w:t>
            </w:r>
          </w:p>
        </w:tc>
        <w:tc>
          <w:tcPr>
            <w:tcW w:w="2976" w:type="dxa"/>
            <w:shd w:val="clear" w:color="auto" w:fill="F2F2F2" w:themeFill="background1" w:themeFillShade="F2"/>
          </w:tcPr>
          <w:p w14:paraId="306199C7" w14:textId="77777777" w:rsidR="00C135FC" w:rsidRPr="00A64B10" w:rsidRDefault="00B314B2" w:rsidP="00051AA8">
            <w:pPr>
              <w:rPr>
                <w:sz w:val="20"/>
              </w:rPr>
            </w:pPr>
            <w:r w:rsidRPr="00A64B10">
              <w:rPr>
                <w:sz w:val="20"/>
              </w:rPr>
              <w:t xml:space="preserve">Need </w:t>
            </w:r>
            <w:r w:rsidR="00C135FC" w:rsidRPr="00A64B10">
              <w:rPr>
                <w:sz w:val="20"/>
              </w:rPr>
              <w:t xml:space="preserve">more validation and require </w:t>
            </w:r>
            <w:r w:rsidRPr="00A64B10">
              <w:rPr>
                <w:sz w:val="20"/>
              </w:rPr>
              <w:t xml:space="preserve">optimization for each </w:t>
            </w:r>
            <w:proofErr w:type="gramStart"/>
            <w:r w:rsidRPr="00A64B10">
              <w:rPr>
                <w:sz w:val="20"/>
              </w:rPr>
              <w:t>platform</w:t>
            </w:r>
            <w:proofErr w:type="gramEnd"/>
          </w:p>
          <w:p w14:paraId="2B5534C5" w14:textId="77777777" w:rsidR="00263E4A" w:rsidRPr="00A64B10" w:rsidRDefault="00263E4A" w:rsidP="00051AA8">
            <w:pPr>
              <w:rPr>
                <w:sz w:val="20"/>
              </w:rPr>
            </w:pPr>
            <w:r w:rsidRPr="00A64B10">
              <w:rPr>
                <w:sz w:val="20"/>
              </w:rPr>
              <w:t>Lack of physiological data to feed the models</w:t>
            </w:r>
          </w:p>
        </w:tc>
        <w:tc>
          <w:tcPr>
            <w:tcW w:w="2694" w:type="dxa"/>
            <w:shd w:val="clear" w:color="auto" w:fill="F2F2F2" w:themeFill="background1" w:themeFillShade="F2"/>
          </w:tcPr>
          <w:p w14:paraId="7ED63C5C" w14:textId="77777777" w:rsidR="00B314B2" w:rsidRPr="00A64B10" w:rsidRDefault="00B314B2" w:rsidP="00051AA8">
            <w:pPr>
              <w:rPr>
                <w:sz w:val="20"/>
              </w:rPr>
            </w:pPr>
          </w:p>
        </w:tc>
      </w:tr>
      <w:bookmarkEnd w:id="6"/>
    </w:tbl>
    <w:p w14:paraId="1A831285" w14:textId="77777777" w:rsidR="0077003B" w:rsidRDefault="0077003B" w:rsidP="00051AA8">
      <w:pPr>
        <w:pStyle w:val="Heading2"/>
      </w:pPr>
    </w:p>
    <w:p w14:paraId="6DB859A5" w14:textId="777339F3" w:rsidR="00463E88" w:rsidRPr="00A64B10" w:rsidRDefault="004970A6" w:rsidP="00051AA8">
      <w:pPr>
        <w:pStyle w:val="Heading2"/>
      </w:pPr>
      <w:r w:rsidRPr="00A64B10">
        <w:t>4.</w:t>
      </w:r>
      <w:r w:rsidR="00574AB0" w:rsidRPr="00A64B10">
        <w:t>5</w:t>
      </w:r>
      <w:r w:rsidR="00463E88" w:rsidRPr="00A64B10">
        <w:t xml:space="preserve"> Interaction with blood and </w:t>
      </w:r>
      <w:r w:rsidR="00732BA8" w:rsidRPr="00A64B10">
        <w:rPr>
          <w:rFonts w:eastAsia="Times New Roman"/>
        </w:rPr>
        <w:t xml:space="preserve">the </w:t>
      </w:r>
      <w:r w:rsidR="00463E88" w:rsidRPr="00A64B10">
        <w:t xml:space="preserve">immune system </w:t>
      </w:r>
    </w:p>
    <w:p w14:paraId="5453F9DD" w14:textId="7C09E5AB" w:rsidR="00463E88" w:rsidRPr="00A64B10" w:rsidRDefault="00463E88" w:rsidP="00F808AA">
      <w:pPr>
        <w:jc w:val="both"/>
        <w:rPr>
          <w:rFonts w:ascii="Calibri" w:eastAsia="Calibri" w:hAnsi="Calibri" w:cs="Times New Roman"/>
        </w:rPr>
      </w:pPr>
      <w:r w:rsidRPr="00A64B10">
        <w:rPr>
          <w:rFonts w:ascii="Calibri" w:eastAsia="Calibri" w:hAnsi="Calibri" w:cs="Times New Roman"/>
        </w:rPr>
        <w:t xml:space="preserve">Interaction of nanomaterials with the immune system has been frequently reported in the scientific literature </w:t>
      </w:r>
      <w:r w:rsidR="00AF5391"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{"citationItems":[{"id":"ITEM-1","itemData":{"DOI":"10.1016/j.smim.2017.08.013","ISBN":"10445323 (ISSN)","ISSN":"10963618","PMID":"16631236","abstract":"© 2017 Elsevier Ltd. The innate immune system provides the first line of defence against foreign microbes and particulate materials. Engineered nanoparticles can interact with the immune system in many different ways. Nanoparticles may thus elicit inflammation with engagement of neutrophils, macrophages and other effector cells; however, it is important to distinguish between acute and chronic inflammation in order to identify the potential hazards of nanoparticles for human health. Nanoparticles may also interact with and become internalised by dendritic cells, key antigen-presenting cells of the immune system, where a better understanding of these processes could pave the way for improved vaccination strategies. Nanoparticle characteristics such as size, shape and deformability also influence nanoparticle uptake by a plethora of immune cells and subsequent immune responses. Furthermore, the corona of adsorbed biomolecules on nanoparticle surfaces should not be neglected. Complement activation represents a special case of regulated and dynamic corona formation on nanoparticles with important implications in clearance and safety. Additionally, the inadvertent binding of bacterial lipopolysaccharide to nanoparticles is important to consider as this may skew the outcome and interpretation of immunotoxicological studies. Here, we discuss nanoparticle interactions with different cell types and soluble mediators belonging to the innate immune system.","author":[{"dropping-particle":"","family":"Boraschi","given":"Diana","non-dropping-particle":"","parse-names":false,"suffix":""},{"dropping-particle":"","family":"Italiani","given":"Paola","non-dropping-particle":"","parse-names":false,"suffix":""},{"dropping-particle":"","family":"Palomba","given":"Roberto","non-dropping-particle":"","parse-names":false,"suffix":""},{"dropping-particle":"","family":"Decuzzi","given":"Paolo","non-dropping-particle":"","parse-names":false,"suffix":""},{"dropping-particle":"","family":"Duschl","given":"Albert","non-dropping-particle":"","parse-names":false,"suffix":""},{"dropping-particle":"","family":"Fadeel","given":"Bengt","non-dropping-particle":"","parse-names":false,"suffix":""},{"dropping-particle":"","family":"Moghimi","given":"S.M. Moein","non-dropping-particle":"","parse-names":false,"suffix":""}],"container-title":"Seminars in Immunology","id":"ITEM-1","issue":"August","issued":{"date-parts":[["2017","12","1"]]},"page":"33-51","publisher":"Elsevier","title":"Nanoparticles and innate immunity: new perspectives on host defence","type":"article-journal","volume":"34"},"uris":["http://www.mendeley.com/documents/?uuid=a6a16681-4ed5-417c-9ace-de2428eb4efd"]},{"id":"ITEM-2","itemData":{"author":[{"dropping-particle":"","family":"Halamoda-Kenzaoui","given":"Blanka","non-dropping-particle":"","parse-names":false,"suffix":""},{"dropping-particle":"","family":"Bremer-Hoffmann","given":"Susanne","non-dropping-particle":"","parse-names":false,"suffix":""}],"container-title":"International Journal of Nanomedicine","id":"ITEM-2","issued":{"date-parts":[["2018"]]},"page":"5419–5431","title":"Main trends of immune effects triggered by nanomedicines in preclinical studies","type":"article-journal","volume":"13"},"uris":["http://www.mendeley.com/documents/?uuid=1eeb5c8e-2d51-4773-b9a0-53508fbfd995"]}],"mendeley":{"formattedCitation":"[42,43]","plainTextFormattedCitation":"[42,43]","previouslyFormattedCitation":"[42,43]"},"properties":{"noteIndex":0},"schema":"https://github.com/citation-style-language/schema/raw/master/csl-citation.json"}</w:instrText>
      </w:r>
      <w:r w:rsidR="00AF5391" w:rsidRPr="00A64B10">
        <w:rPr>
          <w:rFonts w:ascii="Calibri" w:eastAsia="Calibri" w:hAnsi="Calibri" w:cs="Times New Roman"/>
        </w:rPr>
        <w:fldChar w:fldCharType="separate"/>
      </w:r>
      <w:r w:rsidR="000B3F63" w:rsidRPr="000B3F63">
        <w:rPr>
          <w:rFonts w:ascii="Calibri" w:eastAsia="Calibri" w:hAnsi="Calibri" w:cs="Times New Roman"/>
          <w:noProof/>
        </w:rPr>
        <w:t>[42,43]</w:t>
      </w:r>
      <w:r w:rsidR="00AF5391" w:rsidRPr="00A64B10">
        <w:rPr>
          <w:rFonts w:ascii="Calibri" w:eastAsia="Calibri" w:hAnsi="Calibri" w:cs="Times New Roman"/>
        </w:rPr>
        <w:fldChar w:fldCharType="end"/>
      </w:r>
      <w:r w:rsidRPr="00A64B10">
        <w:rPr>
          <w:rFonts w:ascii="Calibri" w:eastAsia="Calibri" w:hAnsi="Calibri" w:cs="Times New Roman"/>
        </w:rPr>
        <w:t xml:space="preserve"> demonstrating the capacity to activate the immune system or, in some cases, suppress/reduce the immune response. In </w:t>
      </w:r>
      <w:r w:rsidR="00F0065D" w:rsidRPr="00A64B10">
        <w:rPr>
          <w:rFonts w:ascii="Calibri" w:eastAsia="Calibri" w:hAnsi="Calibri" w:cs="Times New Roman"/>
        </w:rPr>
        <w:t>the</w:t>
      </w:r>
      <w:r w:rsidRPr="00A64B10">
        <w:rPr>
          <w:rFonts w:ascii="Calibri" w:eastAsia="Calibri" w:hAnsi="Calibri" w:cs="Times New Roman"/>
        </w:rPr>
        <w:t xml:space="preserve"> case of </w:t>
      </w:r>
      <w:proofErr w:type="spellStart"/>
      <w:r w:rsidR="0056293A" w:rsidRPr="00A64B10">
        <w:rPr>
          <w:rFonts w:ascii="Calibri" w:eastAsia="Calibri" w:hAnsi="Calibri" w:cs="Times New Roman"/>
        </w:rPr>
        <w:t>nanomedicinal</w:t>
      </w:r>
      <w:proofErr w:type="spellEnd"/>
      <w:r w:rsidRPr="00A64B10">
        <w:rPr>
          <w:rFonts w:ascii="Calibri" w:eastAsia="Calibri" w:hAnsi="Calibri" w:cs="Times New Roman"/>
        </w:rPr>
        <w:t xml:space="preserve"> products such reactions can lead </w:t>
      </w:r>
      <w:r w:rsidRPr="00A64B10">
        <w:rPr>
          <w:rFonts w:ascii="Calibri" w:eastAsia="Calibri" w:hAnsi="Calibri" w:cs="Times New Roman"/>
        </w:rPr>
        <w:lastRenderedPageBreak/>
        <w:t>to adverse effects or</w:t>
      </w:r>
      <w:r w:rsidR="0077003B">
        <w:rPr>
          <w:rFonts w:ascii="Calibri" w:eastAsia="Calibri" w:hAnsi="Calibri" w:cs="Times New Roman"/>
        </w:rPr>
        <w:t xml:space="preserve"> </w:t>
      </w:r>
      <w:r w:rsidRPr="00A64B10">
        <w:rPr>
          <w:rFonts w:ascii="Calibri" w:eastAsia="Calibri" w:hAnsi="Calibri" w:cs="Times New Roman"/>
        </w:rPr>
        <w:t xml:space="preserve">increased clearing from the body </w:t>
      </w:r>
      <w:r w:rsidR="006A79F1">
        <w:rPr>
          <w:rFonts w:ascii="Calibri" w:eastAsia="Calibri" w:hAnsi="Calibri" w:cs="Times New Roman"/>
        </w:rPr>
        <w:t>resulting in reduced</w:t>
      </w:r>
      <w:r w:rsidRPr="00A64B10">
        <w:rPr>
          <w:rFonts w:ascii="Calibri" w:eastAsia="Calibri" w:hAnsi="Calibri" w:cs="Times New Roman"/>
        </w:rPr>
        <w:t xml:space="preserve"> therapeutic efficacy of the product. </w:t>
      </w:r>
      <w:r w:rsidR="00B2788E" w:rsidRPr="00A64B10">
        <w:rPr>
          <w:rFonts w:ascii="Calibri" w:eastAsia="Calibri" w:hAnsi="Calibri" w:cs="Times New Roman"/>
        </w:rPr>
        <w:t xml:space="preserve">The assessment of </w:t>
      </w:r>
      <w:r w:rsidR="00E67A39" w:rsidRPr="00A64B10">
        <w:rPr>
          <w:rFonts w:ascii="Calibri" w:eastAsia="Calibri" w:hAnsi="Calibri" w:cs="Times New Roman"/>
        </w:rPr>
        <w:t>the immune</w:t>
      </w:r>
      <w:r w:rsidR="00F808AA" w:rsidRPr="00A64B10">
        <w:rPr>
          <w:rFonts w:ascii="Calibri" w:eastAsia="Calibri" w:hAnsi="Calibri" w:cs="Times New Roman"/>
        </w:rPr>
        <w:t xml:space="preserve"> </w:t>
      </w:r>
      <w:r w:rsidR="00B2788E" w:rsidRPr="00A64B10">
        <w:rPr>
          <w:rFonts w:ascii="Calibri" w:eastAsia="Calibri" w:hAnsi="Calibri" w:cs="Times New Roman"/>
        </w:rPr>
        <w:t>response to nano</w:t>
      </w:r>
      <w:r w:rsidR="00E67A39" w:rsidRPr="00A64B10">
        <w:rPr>
          <w:rFonts w:ascii="Calibri" w:eastAsia="Calibri" w:hAnsi="Calibri" w:cs="Times New Roman"/>
        </w:rPr>
        <w:t>technology</w:t>
      </w:r>
      <w:r w:rsidR="00B2788E" w:rsidRPr="00A64B10">
        <w:rPr>
          <w:rFonts w:ascii="Calibri" w:eastAsia="Calibri" w:hAnsi="Calibri" w:cs="Times New Roman"/>
        </w:rPr>
        <w:t>-</w:t>
      </w:r>
      <w:r w:rsidR="00E67A39" w:rsidRPr="00A64B10">
        <w:rPr>
          <w:rFonts w:ascii="Calibri" w:eastAsia="Calibri" w:hAnsi="Calibri" w:cs="Times New Roman"/>
        </w:rPr>
        <w:t>based products</w:t>
      </w:r>
      <w:r w:rsidR="00B2788E" w:rsidRPr="00A64B10">
        <w:rPr>
          <w:rFonts w:ascii="Calibri" w:eastAsia="Calibri" w:hAnsi="Calibri" w:cs="Times New Roman"/>
        </w:rPr>
        <w:t xml:space="preserve"> </w:t>
      </w:r>
      <w:r w:rsidR="00F808AA" w:rsidRPr="00A64B10">
        <w:rPr>
          <w:rFonts w:ascii="Calibri" w:eastAsia="Calibri" w:hAnsi="Calibri" w:cs="Times New Roman"/>
        </w:rPr>
        <w:t>has been recommended in regulatory documents</w:t>
      </w:r>
      <w:r w:rsidR="006A79F1">
        <w:rPr>
          <w:rFonts w:ascii="Calibri" w:eastAsia="Calibri" w:hAnsi="Calibri" w:cs="Times New Roman"/>
        </w:rPr>
        <w:t xml:space="preserve"> addressing several nanotechnology-based product classes (Table 6)</w:t>
      </w:r>
      <w:r w:rsidR="00F808AA" w:rsidRPr="00A64B10">
        <w:rPr>
          <w:rFonts w:ascii="Calibri" w:eastAsia="Calibri" w:hAnsi="Calibri" w:cs="Times New Roman"/>
        </w:rPr>
        <w:t xml:space="preserve">. Starting from regulatory endpoints specified in those documents and expanding them to endpoints routinely tested in the immunotoxicity assessment of pharmaceuticals </w:t>
      </w:r>
      <w:r w:rsidR="005B3366"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{"citationItems":[{"id":"ITEM-1","itemData":{"author":[{"dropping-particle":"","family":"ICH","given":"","non-dropping-particle":"","parse-names":false,"suffix":""}],"id":"ITEM-1","issued":{"date-parts":[["2005"]]},"title":"Immunotoxicity Studies For Human Pharmaceuticals S8","type":"article-journal"},"uris":["http://www.mendeley.com/documents/?uuid=30cf47f4-a073-31af-a3fc-ca76bba4b10a"]}],"mendeley":{"formattedCitation":"[44]","plainTextFormattedCitation":"[44]","previouslyFormattedCitation":"[44]"},"properties":{"noteIndex":0},"schema":"https://github.com/citation-style-language/schema/raw/master/csl-citation.json"}</w:instrText>
      </w:r>
      <w:r w:rsidR="005B3366" w:rsidRPr="00A64B10">
        <w:rPr>
          <w:rFonts w:ascii="Calibri" w:eastAsia="Calibri" w:hAnsi="Calibri" w:cs="Times New Roman"/>
        </w:rPr>
        <w:fldChar w:fldCharType="separate"/>
      </w:r>
      <w:r w:rsidR="000B3F63" w:rsidRPr="000B3F63">
        <w:rPr>
          <w:rFonts w:ascii="Calibri" w:eastAsia="Calibri" w:hAnsi="Calibri" w:cs="Times New Roman"/>
          <w:noProof/>
        </w:rPr>
        <w:t>[44]</w:t>
      </w:r>
      <w:r w:rsidR="005B3366" w:rsidRPr="00A64B10">
        <w:rPr>
          <w:rFonts w:ascii="Calibri" w:eastAsia="Calibri" w:hAnsi="Calibri" w:cs="Times New Roman"/>
        </w:rPr>
        <w:fldChar w:fldCharType="end"/>
      </w:r>
      <w:r w:rsidR="005B3366" w:rsidRPr="00A64B10">
        <w:rPr>
          <w:rFonts w:ascii="Calibri" w:eastAsia="Calibri" w:hAnsi="Calibri" w:cs="Times New Roman"/>
        </w:rPr>
        <w:t xml:space="preserve"> </w:t>
      </w:r>
      <w:r w:rsidR="00F808AA" w:rsidRPr="00A64B10">
        <w:rPr>
          <w:rFonts w:ascii="Calibri" w:eastAsia="Calibri" w:hAnsi="Calibri" w:cs="Times New Roman"/>
        </w:rPr>
        <w:t xml:space="preserve">and medical devices </w:t>
      </w:r>
      <w:r w:rsidR="005B3366"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{"citationItems":[{"id":"ITEM-1","itemData":{"DOI":"10.1097/00149078-199604150-00011","ISSN":"1080-9775","abstract":"The European Water Framework Directive provides a new impetus to manage river catchments in more integrated, joined-up ways. This article looks at the role of stakeholders in integrated catchment management. Taking the work of the Environment Agency as a case study, the article begins by looking at recent successes at managing water related issues and the role of stakeholders in this. It then looks at ways in which water environments continue to be vulnerable, particularly to diffuse pollution, some development practices and climatic changes. It argues for the need for more integrated management responses, characterised by collaborative and inter-disciplinary learning to manage the interdependencies, complexities and uncertainties of catchments as integrated systems. This will require both the strengthening and streamlining of current approaches to stakeholder engagement, as well as the development of new approaches. The article concludes by outlining recent work by the Environment Agency to shape these new arrangements for stakeholder engagement, and by reflecting on the lessons learned from this.","author":[{"dropping-particle":"","family":"ISO/TC 194","given":"","non-dropping-particle":"","parse-names":false,"suffix":""}],"id":"ITEM-1","issue":"7","issued":{"date-parts":[["2006"]]},"page":"54","title":"Biological Evaluation of Medical Devices- Part 20: Principles and Methods for Immunotoxicology testing of Medical Devices/ISO/TS 10993-20:2006","type":"article-journal","volume":"26"},"uris":["http://www.mendeley.com/documents/?uuid=13c005e5-d150-4dc4-b4fe-7e1c3b4a0a42"]}],"mendeley":{"formattedCitation":"[45]","plainTextFormattedCitation":"[45]","previouslyFormattedCitation":"[45]"},"properties":{"noteIndex":0},"schema":"https://github.com/citation-style-language/schema/raw/master/csl-citation.json"}</w:instrText>
      </w:r>
      <w:r w:rsidR="005B3366" w:rsidRPr="00A64B10">
        <w:rPr>
          <w:rFonts w:ascii="Calibri" w:eastAsia="Calibri" w:hAnsi="Calibri" w:cs="Times New Roman"/>
        </w:rPr>
        <w:fldChar w:fldCharType="separate"/>
      </w:r>
      <w:r w:rsidR="000B3F63" w:rsidRPr="000B3F63">
        <w:rPr>
          <w:rFonts w:ascii="Calibri" w:eastAsia="Calibri" w:hAnsi="Calibri" w:cs="Times New Roman"/>
          <w:noProof/>
        </w:rPr>
        <w:t>[45]</w:t>
      </w:r>
      <w:r w:rsidR="005B3366" w:rsidRPr="00A64B10">
        <w:rPr>
          <w:rFonts w:ascii="Calibri" w:eastAsia="Calibri" w:hAnsi="Calibri" w:cs="Times New Roman"/>
        </w:rPr>
        <w:fldChar w:fldCharType="end"/>
      </w:r>
      <w:r w:rsidR="00B2788E" w:rsidRPr="00A64B10">
        <w:rPr>
          <w:rFonts w:ascii="Calibri" w:eastAsia="Calibri" w:hAnsi="Calibri" w:cs="Times New Roman"/>
        </w:rPr>
        <w:t>,</w:t>
      </w:r>
      <w:r w:rsidR="005B3366" w:rsidRPr="00A64B10">
        <w:rPr>
          <w:rFonts w:ascii="Calibri" w:eastAsia="Calibri" w:hAnsi="Calibri" w:cs="Times New Roman"/>
        </w:rPr>
        <w:t xml:space="preserve"> </w:t>
      </w:r>
      <w:r w:rsidR="00F808AA" w:rsidRPr="00A64B10">
        <w:rPr>
          <w:rFonts w:ascii="Calibri" w:eastAsia="Calibri" w:hAnsi="Calibri" w:cs="Times New Roman"/>
        </w:rPr>
        <w:t>we identified</w:t>
      </w:r>
      <w:r w:rsidR="00E67A39" w:rsidRPr="00A64B10">
        <w:rPr>
          <w:rFonts w:ascii="Calibri" w:eastAsia="Calibri" w:hAnsi="Calibri" w:cs="Times New Roman"/>
        </w:rPr>
        <w:t xml:space="preserve"> </w:t>
      </w:r>
      <w:r w:rsidR="00F808AA" w:rsidRPr="00A64B10">
        <w:rPr>
          <w:rFonts w:ascii="Calibri" w:eastAsia="Calibri" w:hAnsi="Calibri" w:cs="Times New Roman"/>
        </w:rPr>
        <w:t xml:space="preserve">subcategories of the immune effects, that are described in </w:t>
      </w:r>
      <w:r w:rsidR="00B2788E" w:rsidRPr="00A64B10">
        <w:rPr>
          <w:rFonts w:ascii="Calibri" w:eastAsia="Calibri" w:hAnsi="Calibri" w:cs="Times New Roman"/>
        </w:rPr>
        <w:t xml:space="preserve">the </w:t>
      </w:r>
      <w:r w:rsidR="00F808AA" w:rsidRPr="00A64B10">
        <w:rPr>
          <w:rFonts w:ascii="Calibri" w:eastAsia="Calibri" w:hAnsi="Calibri" w:cs="Times New Roman"/>
        </w:rPr>
        <w:t xml:space="preserve">following subsections. The major methodological challenges </w:t>
      </w:r>
      <w:r w:rsidR="002836B8" w:rsidRPr="00A64B10">
        <w:rPr>
          <w:rFonts w:ascii="Calibri" w:eastAsia="Calibri" w:hAnsi="Calibri" w:cs="Times New Roman"/>
        </w:rPr>
        <w:t xml:space="preserve">and gaps </w:t>
      </w:r>
      <w:r w:rsidR="00F808AA" w:rsidRPr="00A64B10">
        <w:rPr>
          <w:rFonts w:ascii="Calibri" w:eastAsia="Calibri" w:hAnsi="Calibri" w:cs="Times New Roman"/>
        </w:rPr>
        <w:t xml:space="preserve">related to different subcategories are gathered in Table 6. Considering </w:t>
      </w:r>
      <w:r w:rsidR="00AA4797" w:rsidRPr="00A64B10">
        <w:rPr>
          <w:rFonts w:ascii="Calibri" w:eastAsia="Calibri" w:hAnsi="Calibri" w:cs="Times New Roman"/>
        </w:rPr>
        <w:t xml:space="preserve">that </w:t>
      </w:r>
      <w:r w:rsidR="00F808AA" w:rsidRPr="00A64B10">
        <w:rPr>
          <w:rFonts w:ascii="Calibri" w:eastAsia="Calibri" w:hAnsi="Calibri" w:cs="Times New Roman"/>
        </w:rPr>
        <w:t xml:space="preserve">inter-species variations </w:t>
      </w:r>
      <w:r w:rsidR="00AA4797" w:rsidRPr="00A64B10">
        <w:rPr>
          <w:rFonts w:ascii="Calibri" w:eastAsia="Calibri" w:hAnsi="Calibri" w:cs="Times New Roman"/>
        </w:rPr>
        <w:t xml:space="preserve">are </w:t>
      </w:r>
      <w:r w:rsidR="00F808AA" w:rsidRPr="00A64B10">
        <w:rPr>
          <w:rFonts w:ascii="Calibri" w:eastAsia="Calibri" w:hAnsi="Calibri" w:cs="Times New Roman"/>
        </w:rPr>
        <w:t xml:space="preserve">particularly evident for the immune </w:t>
      </w:r>
      <w:proofErr w:type="gramStart"/>
      <w:r w:rsidR="00F808AA" w:rsidRPr="00A64B10">
        <w:rPr>
          <w:rFonts w:ascii="Calibri" w:eastAsia="Calibri" w:hAnsi="Calibri" w:cs="Times New Roman"/>
        </w:rPr>
        <w:t>system</w:t>
      </w:r>
      <w:r w:rsidR="00B2788E" w:rsidRPr="00A64B10">
        <w:rPr>
          <w:rFonts w:ascii="Calibri" w:eastAsia="Calibri" w:hAnsi="Calibri" w:cs="Times New Roman"/>
        </w:rPr>
        <w:t>,</w:t>
      </w:r>
      <w:proofErr w:type="gramEnd"/>
      <w:r w:rsidR="00F808AA" w:rsidRPr="00A64B10">
        <w:rPr>
          <w:rFonts w:ascii="Calibri" w:eastAsia="Calibri" w:hAnsi="Calibri" w:cs="Times New Roman"/>
        </w:rPr>
        <w:t xml:space="preserve"> we have not considered animal tests but focused selectively on </w:t>
      </w:r>
      <w:r w:rsidR="00F808AA" w:rsidRPr="00E0384E">
        <w:rPr>
          <w:rFonts w:ascii="Calibri" w:eastAsia="Calibri" w:hAnsi="Calibri" w:cs="Times New Roman"/>
          <w:i/>
        </w:rPr>
        <w:t>in vitro</w:t>
      </w:r>
      <w:r w:rsidR="00F808AA" w:rsidRPr="00A64B10">
        <w:rPr>
          <w:rFonts w:ascii="Calibri" w:eastAsia="Calibri" w:hAnsi="Calibri" w:cs="Times New Roman"/>
        </w:rPr>
        <w:t xml:space="preserve"> test methods (Table S</w:t>
      </w:r>
      <w:r w:rsidR="002836B8" w:rsidRPr="00A64B10">
        <w:rPr>
          <w:rFonts w:ascii="Calibri" w:eastAsia="Calibri" w:hAnsi="Calibri" w:cs="Times New Roman"/>
        </w:rPr>
        <w:t>4</w:t>
      </w:r>
      <w:r w:rsidR="00F808AA" w:rsidRPr="00A64B10">
        <w:rPr>
          <w:rFonts w:ascii="Calibri" w:eastAsia="Calibri" w:hAnsi="Calibri" w:cs="Times New Roman"/>
        </w:rPr>
        <w:t xml:space="preserve">) that could provide relevant information. </w:t>
      </w:r>
      <w:r w:rsidRPr="00A64B10">
        <w:rPr>
          <w:rFonts w:ascii="Calibri" w:eastAsia="Calibri" w:hAnsi="Calibri" w:cs="Times New Roman"/>
        </w:rPr>
        <w:t xml:space="preserve">Most of these methods have </w:t>
      </w:r>
      <w:r w:rsidR="00B2788E" w:rsidRPr="00A64B10">
        <w:rPr>
          <w:rFonts w:ascii="Calibri" w:eastAsia="Calibri" w:hAnsi="Calibri" w:cs="Times New Roman"/>
        </w:rPr>
        <w:t xml:space="preserve">specifically </w:t>
      </w:r>
      <w:r w:rsidRPr="00A64B10">
        <w:rPr>
          <w:rFonts w:ascii="Calibri" w:eastAsia="Calibri" w:hAnsi="Calibri" w:cs="Times New Roman"/>
        </w:rPr>
        <w:t>been designed</w:t>
      </w:r>
      <w:r w:rsidR="00F808AA" w:rsidRPr="00A64B10">
        <w:rPr>
          <w:rFonts w:ascii="Calibri" w:eastAsia="Calibri" w:hAnsi="Calibri" w:cs="Times New Roman"/>
        </w:rPr>
        <w:t xml:space="preserve"> or verified for</w:t>
      </w:r>
      <w:r w:rsidR="00B2788E" w:rsidRPr="00A64B10">
        <w:rPr>
          <w:rFonts w:ascii="Calibri" w:eastAsia="Calibri" w:hAnsi="Calibri" w:cs="Times New Roman"/>
        </w:rPr>
        <w:t xml:space="preserve"> the</w:t>
      </w:r>
      <w:r w:rsidR="00F808AA" w:rsidRPr="00A64B10">
        <w:rPr>
          <w:rFonts w:ascii="Calibri" w:eastAsia="Calibri" w:hAnsi="Calibri" w:cs="Times New Roman"/>
        </w:rPr>
        <w:t xml:space="preserve"> testing</w:t>
      </w:r>
      <w:r w:rsidRPr="00A64B10">
        <w:rPr>
          <w:rFonts w:ascii="Calibri" w:eastAsia="Calibri" w:hAnsi="Calibri" w:cs="Times New Roman"/>
        </w:rPr>
        <w:t xml:space="preserve"> </w:t>
      </w:r>
      <w:r w:rsidR="00B2788E" w:rsidRPr="00A64B10">
        <w:rPr>
          <w:rFonts w:ascii="Calibri" w:eastAsia="Calibri" w:hAnsi="Calibri" w:cs="Times New Roman"/>
        </w:rPr>
        <w:t xml:space="preserve">of </w:t>
      </w:r>
      <w:r w:rsidRPr="00A64B10">
        <w:rPr>
          <w:rFonts w:ascii="Calibri" w:eastAsia="Calibri" w:hAnsi="Calibri" w:cs="Times New Roman"/>
        </w:rPr>
        <w:t>nanomaterials,</w:t>
      </w:r>
      <w:r w:rsidR="00F808AA" w:rsidRPr="00A64B10">
        <w:rPr>
          <w:rFonts w:ascii="Calibri" w:eastAsia="Calibri" w:hAnsi="Calibri" w:cs="Times New Roman"/>
        </w:rPr>
        <w:t xml:space="preserve"> since the use of conventional methods can be hampered by interference of nanomaterials with assay component</w:t>
      </w:r>
      <w:r w:rsidR="00AA4797" w:rsidRPr="00A64B10">
        <w:rPr>
          <w:rFonts w:ascii="Calibri" w:eastAsia="Calibri" w:hAnsi="Calibri" w:cs="Times New Roman"/>
        </w:rPr>
        <w:t>s</w:t>
      </w:r>
      <w:r w:rsidR="00E67A39" w:rsidRPr="00A64B10">
        <w:rPr>
          <w:rFonts w:ascii="Calibri" w:eastAsia="Calibri" w:hAnsi="Calibri" w:cs="Times New Roman"/>
        </w:rPr>
        <w:t xml:space="preserve"> </w:t>
      </w:r>
      <w:r w:rsidR="00F808AA" w:rsidRPr="00A64B10">
        <w:rPr>
          <w:rFonts w:ascii="Calibri" w:eastAsia="Calibri" w:hAnsi="Calibri" w:cs="Times New Roman"/>
        </w:rPr>
        <w:t>or readouts</w:t>
      </w:r>
      <w:r w:rsidRPr="00A64B10">
        <w:rPr>
          <w:rFonts w:ascii="Calibri" w:eastAsia="Calibri" w:hAnsi="Calibri" w:cs="Times New Roman"/>
        </w:rPr>
        <w:t xml:space="preserve"> </w:t>
      </w:r>
      <w:r w:rsidR="00BA6601"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{"citationItems":[{"id":"ITEM-1","itemData":{"ISSN":"1743-5404","PMID":"23889211","abstract":"Abstract Given the multiplicity of nanoparticles (NPs) there is a requirement to develop screening strategies to evaluate their toxicity. Within the EU-funded FP7 NanoTEST project, a panel of medically relevant NPs has been used to develop alternative testing strategies of NPs used in medical diagnostics. As conventional toxicity tests cannot necessarily be directly applied to NPs in the same manner as for soluble chemicals and drugs, we determined the extent of interference of NPs with each assay process and components. In this study we fully characterized the panel of NP suspensions used in this project (PLGA-PEO, TiO2, SiO2, uncoated and oleic acid coated Fe3O4) and showed that many NP characteristics (composition, size, coatings, and agglomeration) interfere with a range of in vitro cytotoxicity assays (WST-1, MTT, lactate dehydrogenase, neutral red, propidium iodide, 3H-Tymidine incorporation, cell counting), pro-inflammatory response evaluation (ELISA for GM-CSF, IL-6 and IL-8), and oxidative stress detection (monoBromoBimane, dichlorofluorescein, NO assays). Interferences were assay specific as well as NP specific. We propose how to integrate and avoid interferences with testing systems as a first step of a screening strategy for biomedical NPs.","author":[{"dropping-particle":"","family":"Guadagnini","given":"Rina","non-dropping-particle":"","parse-names":false,"suffix":""},{"dropping-particle":"","family":"Halamoda Kenzaoui","given":"Blanka","non-dropping-particle":"","parse-names":false,"suffix":""},{"dropping-particle":"","family":"Cartwright","given":"Laura","non-dropping-particle":"","parse-names":false,"suffix":""},{"dropping-particle":"","family":"Pojana","given":"Giulio","non-dropping-particle":"","parse-names":false,"suffix":""},{"dropping-particle":"","family":"Magdolenova","given":"Zuzana","non-dropping-particle":"","parse-names":false,"suffix":""},{"dropping-particle":"","family":"Bilanicova","given":"Dagmar","non-dropping-particle":"","parse-names":false,"suffix":""},{"dropping-particle":"","family":"Saunders","given":"Margaret","non-dropping-particle":"","parse-names":false,"suffix":""},{"dropping-particle":"","family":"Juillerat","given":"Lucienne","non-dropping-particle":"","parse-names":false,"suffix":""},{"dropping-particle":"","family":"Marcomini","given":"Antonio","non-dropping-particle":"","parse-names":false,"suffix":""},{"dropping-particle":"","family":"Huk","given":"Anna","non-dropping-particle":"","parse-names":false,"suffix":""},{"dropping-particle":"","family":"Dusinska","given":"Maria","non-dropping-particle":"","parse-names":false,"suffix":""},{"dropping-particle":"","family":"Fjellsbø","given":"Lise M","non-dropping-particle":"","parse-names":false,"suffix":""},{"dropping-particle":"","family":"Marano","given":"Fracelyne","non-dropping-particle":"","parse-names":false,"suffix":""},{"dropping-particle":"","family":"Boland","given":"Sonja","non-dropping-particle":"","parse-names":false,"suffix":""}],"container-title":"Nanotoxicology","id":"ITEM-1","issue":"Suppl 1","issued":{"date-parts":[["2015"]]},"page":"13-24","title":"Toxicity screenings of nanomaterials: challenges due to interference with assay processes and components of classic in vitro tests.","type":"article-journal","volume":"9"},"uris":["http://www.mendeley.com/documents/?uuid=d6c4fae6-a3ae-41c9-9533-7f19f6462fd5"]}],"mendeley":{"formattedCitation":"[46]","plainTextFormattedCitation":"[46]","previouslyFormattedCitation":"[46]"},"properties":{"noteIndex":0},"schema":"https://github.com/citation-style-language/schema/raw/master/csl-citation.json"}</w:instrText>
      </w:r>
      <w:r w:rsidR="00BA6601" w:rsidRPr="00A64B10">
        <w:rPr>
          <w:rFonts w:ascii="Calibri" w:eastAsia="Calibri" w:hAnsi="Calibri" w:cs="Times New Roman"/>
        </w:rPr>
        <w:fldChar w:fldCharType="separate"/>
      </w:r>
      <w:r w:rsidR="000B3F63" w:rsidRPr="000B3F63">
        <w:rPr>
          <w:rFonts w:ascii="Calibri" w:eastAsia="Calibri" w:hAnsi="Calibri" w:cs="Times New Roman"/>
          <w:noProof/>
        </w:rPr>
        <w:t>[46]</w:t>
      </w:r>
      <w:r w:rsidR="00BA6601" w:rsidRPr="00A64B10">
        <w:rPr>
          <w:rFonts w:ascii="Calibri" w:eastAsia="Calibri" w:hAnsi="Calibri" w:cs="Times New Roman"/>
        </w:rPr>
        <w:fldChar w:fldCharType="end"/>
      </w:r>
      <w:r w:rsidRPr="00A64B10">
        <w:rPr>
          <w:rFonts w:ascii="Calibri" w:eastAsia="Calibri" w:hAnsi="Calibri" w:cs="Times New Roman"/>
        </w:rPr>
        <w:t xml:space="preserve">. </w:t>
      </w:r>
    </w:p>
    <w:p w14:paraId="34A574EB" w14:textId="4DCBE99F" w:rsidR="007937FD" w:rsidRPr="008411FD" w:rsidRDefault="007937FD" w:rsidP="007937FD">
      <w:pPr>
        <w:spacing w:after="0"/>
        <w:jc w:val="both"/>
        <w:rPr>
          <w:rFonts w:ascii="Calibri" w:eastAsia="Calibri" w:hAnsi="Calibri" w:cs="Times New Roman"/>
        </w:rPr>
      </w:pPr>
      <w:r w:rsidRPr="00A64B10">
        <w:rPr>
          <w:rFonts w:ascii="Calibri" w:eastAsia="Calibri" w:hAnsi="Calibri" w:cs="Times New Roman"/>
          <w:b/>
          <w:bCs/>
        </w:rPr>
        <w:t xml:space="preserve">Table 6: </w:t>
      </w:r>
      <w:r w:rsidRPr="008411FD">
        <w:rPr>
          <w:rFonts w:ascii="Calibri" w:eastAsia="Calibri" w:hAnsi="Calibri" w:cs="Times New Roman"/>
        </w:rPr>
        <w:t xml:space="preserve">Summary of methodological challenges </w:t>
      </w:r>
      <w:proofErr w:type="gramStart"/>
      <w:r w:rsidRPr="008411FD">
        <w:rPr>
          <w:rFonts w:ascii="Calibri" w:eastAsia="Calibri" w:hAnsi="Calibri" w:cs="Times New Roman"/>
        </w:rPr>
        <w:t>in the area of</w:t>
      </w:r>
      <w:proofErr w:type="gramEnd"/>
      <w:r w:rsidRPr="008411FD">
        <w:rPr>
          <w:rFonts w:ascii="Calibri" w:eastAsia="Calibri" w:hAnsi="Calibri" w:cs="Times New Roman"/>
        </w:rPr>
        <w:t xml:space="preserve"> interaction with blood and the immune system</w:t>
      </w:r>
      <w:r w:rsidR="008411FD">
        <w:rPr>
          <w:rFonts w:ascii="Calibri" w:eastAsia="Calibri" w:hAnsi="Calibri" w:cs="Times New Roman"/>
        </w:rPr>
        <w:t>.</w:t>
      </w:r>
    </w:p>
    <w:tbl>
      <w:tblPr>
        <w:tblStyle w:val="TableGrid"/>
        <w:tblW w:w="9067" w:type="dxa"/>
        <w:tblLayout w:type="fixed"/>
        <w:tblLook w:val="04A0" w:firstRow="1" w:lastRow="0" w:firstColumn="1" w:lastColumn="0" w:noHBand="0" w:noVBand="1"/>
      </w:tblPr>
      <w:tblGrid>
        <w:gridCol w:w="1980"/>
        <w:gridCol w:w="2268"/>
        <w:gridCol w:w="1985"/>
        <w:gridCol w:w="2834"/>
      </w:tblGrid>
      <w:tr w:rsidR="00055445" w:rsidRPr="00A64B10" w14:paraId="4BF0A9E6" w14:textId="77777777" w:rsidTr="00026A37">
        <w:tc>
          <w:tcPr>
            <w:tcW w:w="1980" w:type="dxa"/>
            <w:shd w:val="clear" w:color="auto" w:fill="1F497D" w:themeFill="text2"/>
          </w:tcPr>
          <w:p w14:paraId="4A8328D9" w14:textId="604043C6" w:rsidR="00055445" w:rsidRPr="00A64B10" w:rsidRDefault="00055445" w:rsidP="00947AB9">
            <w:pPr>
              <w:spacing w:after="160"/>
              <w:jc w:val="center"/>
              <w:rPr>
                <w:rFonts w:cstheme="minorHAnsi"/>
                <w:b/>
                <w:bCs/>
                <w:color w:val="FFFFFF" w:themeColor="background1"/>
              </w:rPr>
            </w:pPr>
            <w:r w:rsidRPr="00A64B10">
              <w:rPr>
                <w:rFonts w:cstheme="minorHAnsi"/>
                <w:b/>
                <w:bCs/>
                <w:color w:val="FFFFFF" w:themeColor="background1"/>
              </w:rPr>
              <w:t>Subcategory</w:t>
            </w:r>
            <w:r w:rsidR="00051AA8">
              <w:rPr>
                <w:rFonts w:cstheme="minorHAnsi"/>
                <w:b/>
                <w:bCs/>
                <w:color w:val="FFFFFF" w:themeColor="background1"/>
              </w:rPr>
              <w:t xml:space="preserve"> </w:t>
            </w:r>
            <w:r w:rsidR="00051AA8" w:rsidRPr="002F43EC">
              <w:rPr>
                <w:b/>
                <w:color w:val="FFFFFF" w:themeColor="background1"/>
                <w:sz w:val="18"/>
                <w:szCs w:val="18"/>
              </w:rPr>
              <w:t>(</w:t>
            </w:r>
            <w:r w:rsidR="00051AA8">
              <w:rPr>
                <w:b/>
                <w:color w:val="FFFFFF" w:themeColor="background1"/>
                <w:sz w:val="18"/>
                <w:szCs w:val="18"/>
              </w:rPr>
              <w:t xml:space="preserve">with </w:t>
            </w:r>
            <w:r w:rsidR="00051AA8" w:rsidRPr="002F43EC">
              <w:rPr>
                <w:b/>
                <w:color w:val="FFFFFF" w:themeColor="background1"/>
                <w:sz w:val="18"/>
                <w:szCs w:val="18"/>
              </w:rPr>
              <w:t>reference to regulatory documents)</w:t>
            </w:r>
          </w:p>
        </w:tc>
        <w:tc>
          <w:tcPr>
            <w:tcW w:w="2268" w:type="dxa"/>
            <w:shd w:val="clear" w:color="auto" w:fill="1F497D" w:themeFill="text2"/>
          </w:tcPr>
          <w:p w14:paraId="24C2DFA1" w14:textId="770CAD01" w:rsidR="00055445" w:rsidRPr="00A64B10" w:rsidRDefault="008411FD" w:rsidP="00026A37">
            <w:pPr>
              <w:spacing w:after="160"/>
              <w:jc w:val="center"/>
              <w:rPr>
                <w:rFonts w:cstheme="minorHAnsi"/>
                <w:b/>
                <w:bCs/>
                <w:color w:val="FFFFFF" w:themeColor="background1"/>
              </w:rPr>
            </w:pPr>
            <w:r>
              <w:rPr>
                <w:rFonts w:cstheme="minorHAnsi"/>
                <w:b/>
                <w:bCs/>
                <w:color w:val="FFFFFF" w:themeColor="background1"/>
              </w:rPr>
              <w:t>Specific pathways/</w:t>
            </w:r>
            <w:r w:rsidR="00055445" w:rsidRPr="00A64B10">
              <w:rPr>
                <w:rFonts w:cstheme="minorHAnsi"/>
                <w:b/>
                <w:bCs/>
                <w:color w:val="FFFFFF" w:themeColor="background1"/>
              </w:rPr>
              <w:t xml:space="preserve"> </w:t>
            </w:r>
            <w:r w:rsidR="00026A37">
              <w:rPr>
                <w:rFonts w:cstheme="minorHAnsi"/>
                <w:b/>
                <w:bCs/>
                <w:color w:val="FFFFFF" w:themeColor="background1"/>
              </w:rPr>
              <w:t>Endpoints</w:t>
            </w:r>
          </w:p>
        </w:tc>
        <w:tc>
          <w:tcPr>
            <w:tcW w:w="1985" w:type="dxa"/>
            <w:shd w:val="clear" w:color="auto" w:fill="1F497D" w:themeFill="text2"/>
          </w:tcPr>
          <w:p w14:paraId="6309F250" w14:textId="77777777" w:rsidR="00055445" w:rsidRPr="00A64B10" w:rsidRDefault="00055445" w:rsidP="00947AB9">
            <w:pPr>
              <w:spacing w:after="160"/>
              <w:jc w:val="center"/>
              <w:rPr>
                <w:rFonts w:cstheme="minorHAnsi"/>
                <w:b/>
                <w:bCs/>
                <w:color w:val="FFFFFF" w:themeColor="background1"/>
              </w:rPr>
            </w:pPr>
            <w:r w:rsidRPr="00A64B10">
              <w:rPr>
                <w:rFonts w:cstheme="minorHAnsi"/>
                <w:b/>
                <w:bCs/>
                <w:color w:val="FFFFFF" w:themeColor="background1"/>
              </w:rPr>
              <w:t xml:space="preserve">Tested Adversity </w:t>
            </w:r>
          </w:p>
        </w:tc>
        <w:tc>
          <w:tcPr>
            <w:tcW w:w="2834" w:type="dxa"/>
            <w:shd w:val="clear" w:color="auto" w:fill="1F497D" w:themeFill="text2"/>
          </w:tcPr>
          <w:p w14:paraId="0FA1C434" w14:textId="77777777" w:rsidR="00055445" w:rsidRPr="00A64B10" w:rsidRDefault="00055445" w:rsidP="00947AB9">
            <w:pPr>
              <w:spacing w:after="160"/>
              <w:jc w:val="center"/>
              <w:rPr>
                <w:rFonts w:cstheme="minorHAnsi"/>
                <w:b/>
                <w:bCs/>
                <w:color w:val="FFFFFF" w:themeColor="background1"/>
              </w:rPr>
            </w:pPr>
            <w:r w:rsidRPr="00A64B10">
              <w:rPr>
                <w:rFonts w:cstheme="minorHAnsi"/>
                <w:b/>
                <w:bCs/>
                <w:color w:val="FFFFFF" w:themeColor="background1"/>
              </w:rPr>
              <w:t>Challenges and gaps</w:t>
            </w:r>
          </w:p>
        </w:tc>
      </w:tr>
      <w:tr w:rsidR="00055445" w:rsidRPr="00A64B10" w14:paraId="363F0FDE" w14:textId="77777777" w:rsidTr="00026A37">
        <w:trPr>
          <w:trHeight w:val="70"/>
        </w:trPr>
        <w:tc>
          <w:tcPr>
            <w:tcW w:w="1980" w:type="dxa"/>
            <w:shd w:val="clear" w:color="auto" w:fill="F2F2F2" w:themeFill="background1" w:themeFillShade="F2"/>
          </w:tcPr>
          <w:p w14:paraId="6AB2C06F" w14:textId="3F3161C0" w:rsidR="00055445" w:rsidRPr="00A64B10" w:rsidRDefault="00055445" w:rsidP="00947AB9">
            <w:pPr>
              <w:spacing w:after="160"/>
              <w:rPr>
                <w:rFonts w:cstheme="minorHAnsi"/>
                <w:sz w:val="20"/>
                <w:szCs w:val="20"/>
              </w:rPr>
            </w:pPr>
            <w:r w:rsidRPr="00A64B10">
              <w:rPr>
                <w:rFonts w:cstheme="minorHAnsi"/>
                <w:sz w:val="20"/>
                <w:szCs w:val="20"/>
              </w:rPr>
              <w:t xml:space="preserve">Endotoxin contamination </w:t>
            </w:r>
            <w:r w:rsidRPr="00A64B10">
              <w:rPr>
                <w:rFonts w:cstheme="minorHAnsi"/>
                <w:sz w:val="20"/>
                <w:szCs w:val="20"/>
              </w:rPr>
              <w:fldChar w:fldCharType="begin" w:fldLock="1"/>
            </w:r>
            <w:r w:rsidR="000B3F63">
              <w:rPr>
                <w:rFonts w:cstheme="minorHAnsi"/>
                <w:sz w:val="20"/>
                <w:szCs w:val="20"/>
              </w:rPr>
              <w:instrText>ADDIN CSL_CITATION {"citationItems":[{"id":"ITEM-1","itemData":{"author":[{"dropping-particle":"","family":"FDA","given":"","non-dropping-particle":"","parse-names":false,"suffix":""}],"id":"ITEM-1","issued":{"date-parts":[["2017"]]},"title":"Drug Products, Including Biological Products, that Contain Nanomaterials. Guidance for Industry.","type":"article-journal"},"uris":["http://www.mendeley.com/documents/?uuid=1d007232-6836-43e1-9d00-b18d18197d80"]},{"id":"ITEM-2","itemData":{"author":[{"dropping-particle":"","family":"FDA","given":"","non-dropping-particle":"","parse-names":false,"suffix":""}],"id":"ITEM-2","issued":{"date-parts":[["2015"]]},"title":"Liposome Drug Products. Guidance for Industry.","type":"article-journal"},"uris":["http://www.mendeley.com/documents/?uuid=de80afa4-8e96-4dbb-9cee-0a2a0d304979"]},{"id":"ITEM-3","itemData":{"author":[{"dropping-particle":"","family":"MHLW","given":"","non-dropping-particle":"","parse-names":false,"suffix":""}],"id":"ITEM-3","issued":{"date-parts":[["2016"]]},"title":"Guideline for the development of liposome drug products","type":"article-journal"},"uris":["http://www.mendeley.com/documents/?uuid=4cdf9bd0-f0ff-4e59-9510-381b3c65c8f1"]},{"id":"ITEM-4","itemData":{"author":[{"dropping-particle":"","family":"ISO/TC 194","given":"","non-dropping-particle":"","parse-names":false,"suffix":""}],"id":"ITEM-4","issued":{"date-parts":[["2012"]]},"title":"Biological evaluation of medical devices- Part 22: Guidance on nanomaterials. ISO /TR 10993-22.","type":"article-journal"},"uris":["http://www.mendeley.com/documents/?uuid=844c6a55-a55b-4548-b4a5-bcd46648fba8"]}],"mendeley":{"formattedCitation":"[6,8,9,14]","plainTextFormattedCitation":"[6,8,9,14]","previouslyFormattedCitation":"[6,8,9,14]"},"properties":{"noteIndex":0},"schema":"https://github.com/citation-style-language/schema/raw/master/csl-citation.json"}</w:instrText>
            </w:r>
            <w:r w:rsidRPr="00A64B10">
              <w:rPr>
                <w:rFonts w:cstheme="minorHAnsi"/>
                <w:sz w:val="20"/>
                <w:szCs w:val="20"/>
              </w:rPr>
              <w:fldChar w:fldCharType="separate"/>
            </w:r>
            <w:r w:rsidR="00993B28" w:rsidRPr="00993B28">
              <w:rPr>
                <w:rFonts w:cstheme="minorHAnsi"/>
                <w:noProof/>
                <w:sz w:val="20"/>
                <w:szCs w:val="20"/>
              </w:rPr>
              <w:t>[6,8,9,14]</w:t>
            </w:r>
            <w:r w:rsidRPr="00A64B10">
              <w:rPr>
                <w:rFonts w:cstheme="minorHAnsi"/>
                <w:sz w:val="20"/>
                <w:szCs w:val="20"/>
              </w:rPr>
              <w:fldChar w:fldCharType="end"/>
            </w:r>
          </w:p>
        </w:tc>
        <w:tc>
          <w:tcPr>
            <w:tcW w:w="2268" w:type="dxa"/>
            <w:shd w:val="clear" w:color="auto" w:fill="F2F2F2" w:themeFill="background1" w:themeFillShade="F2"/>
          </w:tcPr>
          <w:p w14:paraId="668D4108" w14:textId="77777777" w:rsidR="00055445" w:rsidRPr="00A64B10" w:rsidRDefault="00055445" w:rsidP="00947AB9">
            <w:pPr>
              <w:spacing w:after="160"/>
              <w:rPr>
                <w:rFonts w:cstheme="minorHAnsi"/>
                <w:sz w:val="20"/>
                <w:szCs w:val="20"/>
              </w:rPr>
            </w:pPr>
            <w:r w:rsidRPr="00A64B10">
              <w:rPr>
                <w:rFonts w:cstheme="minorHAnsi"/>
                <w:sz w:val="20"/>
                <w:szCs w:val="20"/>
              </w:rPr>
              <w:t>Quantification of endotoxin and pyrogens</w:t>
            </w:r>
          </w:p>
        </w:tc>
        <w:tc>
          <w:tcPr>
            <w:tcW w:w="1985" w:type="dxa"/>
            <w:shd w:val="clear" w:color="auto" w:fill="F2F2F2" w:themeFill="background1" w:themeFillShade="F2"/>
          </w:tcPr>
          <w:p w14:paraId="5404C086" w14:textId="77777777" w:rsidR="00055445" w:rsidRPr="00A64B10" w:rsidRDefault="00055445" w:rsidP="00947AB9">
            <w:pPr>
              <w:rPr>
                <w:sz w:val="20"/>
                <w:szCs w:val="20"/>
              </w:rPr>
            </w:pPr>
            <w:r w:rsidRPr="00A64B10">
              <w:rPr>
                <w:sz w:val="20"/>
                <w:szCs w:val="20"/>
              </w:rPr>
              <w:t>Microbiological contamination</w:t>
            </w:r>
          </w:p>
        </w:tc>
        <w:tc>
          <w:tcPr>
            <w:tcW w:w="2834" w:type="dxa"/>
            <w:vMerge w:val="restart"/>
            <w:shd w:val="clear" w:color="auto" w:fill="F2F2F2" w:themeFill="background1" w:themeFillShade="F2"/>
          </w:tcPr>
          <w:p w14:paraId="555AAEBE" w14:textId="77777777" w:rsidR="00055445" w:rsidRPr="00A64B10" w:rsidRDefault="00055445" w:rsidP="000B3F63">
            <w:pPr>
              <w:pStyle w:val="ListParagraph"/>
              <w:numPr>
                <w:ilvl w:val="0"/>
                <w:numId w:val="16"/>
              </w:numPr>
              <w:ind w:left="174" w:hanging="218"/>
              <w:rPr>
                <w:sz w:val="20"/>
                <w:szCs w:val="20"/>
              </w:rPr>
            </w:pPr>
            <w:r w:rsidRPr="00A64B10">
              <w:rPr>
                <w:sz w:val="20"/>
                <w:szCs w:val="20"/>
              </w:rPr>
              <w:t>Detection of encapsulated endotoxin</w:t>
            </w:r>
          </w:p>
          <w:p w14:paraId="12EE959A" w14:textId="77777777" w:rsidR="00055445" w:rsidRPr="00A64B10" w:rsidRDefault="00055445" w:rsidP="000B3F63">
            <w:pPr>
              <w:pStyle w:val="ListParagraph"/>
              <w:numPr>
                <w:ilvl w:val="0"/>
                <w:numId w:val="16"/>
              </w:numPr>
              <w:ind w:left="174" w:hanging="218"/>
              <w:rPr>
                <w:sz w:val="20"/>
                <w:szCs w:val="20"/>
              </w:rPr>
            </w:pPr>
            <w:r w:rsidRPr="00A64B10">
              <w:rPr>
                <w:sz w:val="20"/>
                <w:szCs w:val="20"/>
              </w:rPr>
              <w:t>Quantification of uptake by phagocytes (unlabelled organic nanomaterials)</w:t>
            </w:r>
          </w:p>
          <w:p w14:paraId="12314FBB" w14:textId="16B0F1FC" w:rsidR="006A2A46" w:rsidRPr="00A64B10" w:rsidRDefault="006A2A46" w:rsidP="000B3F63">
            <w:pPr>
              <w:pStyle w:val="ListParagraph"/>
              <w:numPr>
                <w:ilvl w:val="0"/>
                <w:numId w:val="17"/>
              </w:numPr>
              <w:ind w:left="172" w:hanging="172"/>
              <w:rPr>
                <w:sz w:val="20"/>
                <w:szCs w:val="20"/>
              </w:rPr>
            </w:pPr>
            <w:r w:rsidRPr="00A64B10">
              <w:rPr>
                <w:sz w:val="20"/>
                <w:szCs w:val="20"/>
              </w:rPr>
              <w:t xml:space="preserve">Interference of nanomaterials with commonly used readouts (fluorescence, </w:t>
            </w:r>
            <w:r w:rsidR="00026A37" w:rsidRPr="00A64B10">
              <w:rPr>
                <w:sz w:val="20"/>
                <w:szCs w:val="20"/>
              </w:rPr>
              <w:t>absorbance</w:t>
            </w:r>
            <w:r w:rsidR="00026A37">
              <w:rPr>
                <w:sz w:val="20"/>
                <w:szCs w:val="20"/>
              </w:rPr>
              <w:t>,</w:t>
            </w:r>
            <w:r w:rsidR="00026A37" w:rsidRPr="00A64B10">
              <w:rPr>
                <w:sz w:val="20"/>
                <w:szCs w:val="20"/>
              </w:rPr>
              <w:t xml:space="preserve"> </w:t>
            </w:r>
            <w:r w:rsidR="00026A37">
              <w:rPr>
                <w:sz w:val="20"/>
                <w:szCs w:val="20"/>
              </w:rPr>
              <w:t>chemiluminescence</w:t>
            </w:r>
            <w:r w:rsidRPr="00A64B10">
              <w:rPr>
                <w:sz w:val="20"/>
                <w:szCs w:val="20"/>
              </w:rPr>
              <w:t>)</w:t>
            </w:r>
          </w:p>
          <w:p w14:paraId="65EE01F8" w14:textId="77777777" w:rsidR="00055445" w:rsidRPr="00A64B10" w:rsidRDefault="00055445" w:rsidP="000B3F63">
            <w:pPr>
              <w:pStyle w:val="ListParagraph"/>
              <w:numPr>
                <w:ilvl w:val="0"/>
                <w:numId w:val="17"/>
              </w:numPr>
              <w:ind w:left="172" w:hanging="172"/>
              <w:rPr>
                <w:sz w:val="20"/>
                <w:szCs w:val="20"/>
              </w:rPr>
            </w:pPr>
            <w:r w:rsidRPr="00A64B10">
              <w:rPr>
                <w:sz w:val="20"/>
                <w:szCs w:val="20"/>
              </w:rPr>
              <w:t xml:space="preserve">Lack of advanced </w:t>
            </w:r>
            <w:r w:rsidRPr="006A6C1C">
              <w:rPr>
                <w:i/>
                <w:sz w:val="20"/>
                <w:szCs w:val="20"/>
              </w:rPr>
              <w:t>in vitro</w:t>
            </w:r>
            <w:r w:rsidRPr="00A64B10">
              <w:rPr>
                <w:sz w:val="20"/>
                <w:szCs w:val="20"/>
              </w:rPr>
              <w:t xml:space="preserve"> systems that could include interactions between different immune cell </w:t>
            </w:r>
            <w:proofErr w:type="gramStart"/>
            <w:r w:rsidRPr="00A64B10">
              <w:rPr>
                <w:sz w:val="20"/>
                <w:szCs w:val="20"/>
              </w:rPr>
              <w:t>types</w:t>
            </w:r>
            <w:proofErr w:type="gramEnd"/>
          </w:p>
          <w:p w14:paraId="6A96D262" w14:textId="04352106" w:rsidR="00055445" w:rsidRPr="00A64B10" w:rsidRDefault="00055445" w:rsidP="0000021E">
            <w:pPr>
              <w:pStyle w:val="ListParagraph"/>
              <w:numPr>
                <w:ilvl w:val="0"/>
                <w:numId w:val="17"/>
              </w:numPr>
              <w:ind w:left="172" w:hanging="172"/>
              <w:rPr>
                <w:sz w:val="20"/>
                <w:szCs w:val="20"/>
              </w:rPr>
            </w:pPr>
            <w:r w:rsidRPr="00A64B10">
              <w:rPr>
                <w:sz w:val="20"/>
                <w:szCs w:val="20"/>
              </w:rPr>
              <w:t xml:space="preserve">Relevance of </w:t>
            </w:r>
            <w:r w:rsidRPr="006A6C1C">
              <w:rPr>
                <w:i/>
                <w:sz w:val="20"/>
                <w:szCs w:val="20"/>
              </w:rPr>
              <w:t>in vitro</w:t>
            </w:r>
            <w:r w:rsidRPr="00A64B10">
              <w:rPr>
                <w:sz w:val="20"/>
                <w:szCs w:val="20"/>
              </w:rPr>
              <w:t xml:space="preserve"> assays for the effects in humans </w:t>
            </w:r>
          </w:p>
          <w:p w14:paraId="3711FB01" w14:textId="77777777" w:rsidR="00055445" w:rsidRPr="00A64B10" w:rsidRDefault="00055445" w:rsidP="0000021E">
            <w:pPr>
              <w:pStyle w:val="ListParagraph"/>
              <w:numPr>
                <w:ilvl w:val="0"/>
                <w:numId w:val="17"/>
              </w:numPr>
              <w:ind w:left="172" w:hanging="172"/>
              <w:rPr>
                <w:sz w:val="20"/>
                <w:szCs w:val="20"/>
              </w:rPr>
            </w:pPr>
            <w:r w:rsidRPr="00A64B10">
              <w:rPr>
                <w:sz w:val="20"/>
                <w:szCs w:val="20"/>
              </w:rPr>
              <w:t>Variability of results (whole blood, plasma, primary cells)</w:t>
            </w:r>
          </w:p>
          <w:p w14:paraId="47D72370" w14:textId="77777777" w:rsidR="00055445" w:rsidRPr="00A64B10" w:rsidRDefault="00055445" w:rsidP="0012766B">
            <w:pPr>
              <w:rPr>
                <w:sz w:val="20"/>
                <w:szCs w:val="20"/>
              </w:rPr>
            </w:pPr>
          </w:p>
          <w:p w14:paraId="237763DE" w14:textId="77777777" w:rsidR="00055445" w:rsidRPr="00A64B10" w:rsidRDefault="00055445" w:rsidP="0012766B">
            <w:pPr>
              <w:rPr>
                <w:sz w:val="20"/>
                <w:szCs w:val="20"/>
              </w:rPr>
            </w:pPr>
          </w:p>
        </w:tc>
      </w:tr>
      <w:tr w:rsidR="00055445" w:rsidRPr="00A64B10" w14:paraId="704E65DE" w14:textId="77777777" w:rsidTr="00026A37">
        <w:trPr>
          <w:trHeight w:val="918"/>
        </w:trPr>
        <w:tc>
          <w:tcPr>
            <w:tcW w:w="1980" w:type="dxa"/>
            <w:shd w:val="clear" w:color="auto" w:fill="F2F2F2" w:themeFill="background1" w:themeFillShade="F2"/>
          </w:tcPr>
          <w:p w14:paraId="2C5097C8" w14:textId="1490C07A" w:rsidR="00055445" w:rsidRPr="00A64B10" w:rsidRDefault="00055445" w:rsidP="00947AB9">
            <w:pPr>
              <w:spacing w:after="160"/>
              <w:rPr>
                <w:rFonts w:cstheme="minorHAnsi"/>
                <w:sz w:val="20"/>
                <w:szCs w:val="20"/>
              </w:rPr>
            </w:pPr>
            <w:proofErr w:type="spellStart"/>
            <w:r w:rsidRPr="00A64B10">
              <w:rPr>
                <w:rFonts w:cstheme="minorHAnsi"/>
                <w:sz w:val="20"/>
                <w:szCs w:val="20"/>
              </w:rPr>
              <w:t>Haemocompatibility</w:t>
            </w:r>
            <w:proofErr w:type="spellEnd"/>
            <w:r w:rsidRPr="00A64B10">
              <w:rPr>
                <w:rFonts w:cstheme="minorHAnsi"/>
                <w:sz w:val="20"/>
                <w:szCs w:val="20"/>
              </w:rPr>
              <w:t xml:space="preserve"> </w:t>
            </w:r>
            <w:r w:rsidRPr="00A64B10">
              <w:rPr>
                <w:rFonts w:cstheme="minorHAnsi"/>
                <w:sz w:val="20"/>
                <w:szCs w:val="20"/>
              </w:rPr>
              <w:fldChar w:fldCharType="begin" w:fldLock="1"/>
            </w:r>
            <w:r w:rsidR="000B3F63">
              <w:rPr>
                <w:rFonts w:cstheme="minorHAnsi"/>
                <w:sz w:val="20"/>
                <w:szCs w:val="20"/>
              </w:rPr>
              <w:instrText>ADDIN CSL_CITATION {"citationItems":[{"id":"ITEM-1","itemData":{"author":[{"dropping-particle":"","family":"FDA","given":"","non-dropping-particle":"","parse-names":false,"suffix":""}],"id":"ITEM-1","issued":{"date-parts":[["2017"]]},"title":"Drug Products, Including Biological Products, that Contain Nanomaterials. Guidance for Industry.","type":"article-journal"},"uris":["http://www.mendeley.com/documents/?uuid=1d007232-6836-43e1-9d00-b18d18197d80"]},{"id":"ITEM-2","itemData":{"author":[{"dropping-particle":"","family":"MHLW","given":"","non-dropping-particle":"","parse-names":false,"suffix":""}],"id":"ITEM-2","issued":{"date-parts":[["2016"]]},"title":"Reflection paper on nucleic acids (siRNA)-loaded nanotechnology based drug products","type":"article-journal"},"uris":["http://www.mendeley.com/documents/?uuid=3fd76c20-840c-414f-aef5-f91cb4afaf92"]},{"id":"ITEM-3","itemData":{"DOI":"10.2772/41391","ISBN":"978-92-79-35590-5","ISSN":"1831-4783","PMID":"22260506","abstract":"This Guidance addresses the use of nanomaterials in medical devices and provides information for risk assessors regarding specific aspects that need to be considered in the safety evaluation of nanomaterials. According to the EU Recommendation for the definition of a nanomaterial (Commission Recommendation 2011/696/EU, EC 2011) any particulate substance with at least one dimension in the size range between 1 and 100 nm is considered a nanomaterial. These particles (nanoparticles) exhibit specific characteristics that differ from the characteristics of larger sized particles with the same chemical composition.","author":[{"dropping-particle":"","family":"SCENIHR","given":"","non-dropping-particle":"","parse-names":false,"suffix":""}],"container-title":"Final Opinion","id":"ITEM-3","issued":{"date-parts":[["2015"]]},"page":"1-77","title":"Opinion on the Guidance on the Determination of Potential Health Effects of Nanomaterials Used in Medical Devices","type":"article-journal"},"uris":["http://www.mendeley.com/documents/?uuid=7294ce7a-b3e5-4f98-acf8-3ea180d4e0f6"]},{"id":"ITEM-4","itemData":{"author":[{"dropping-particle":"","family":"EMA/CHMP","given":"","non-dropping-particle":"","parse-names":false,"suffix":""}],"id":"ITEM-4","issue":"EMA/CHMP/13099/2013.","issued":{"date-parts":[["2013"]]},"publisher-place":"London","title":"Joint MHLW/EMA reflection paper on the development of block copolymer micelle medicinal products.","type":"article-journal"},"uris":["http://www.mendeley.com/documents/?uuid=931c6128-62f0-452c-91d8-48fe80efa916"]}],"mendeley":{"formattedCitation":"[6,10,12,13]","plainTextFormattedCitation":"[6,10,12,13]","previouslyFormattedCitation":"[6,10,12,13]"},"properties":{"noteIndex":0},"schema":"https://github.com/citation-style-language/schema/raw/master/csl-citation.json"}</w:instrText>
            </w:r>
            <w:r w:rsidRPr="00A64B10">
              <w:rPr>
                <w:rFonts w:cstheme="minorHAnsi"/>
                <w:sz w:val="20"/>
                <w:szCs w:val="20"/>
              </w:rPr>
              <w:fldChar w:fldCharType="separate"/>
            </w:r>
            <w:r w:rsidR="00993B28" w:rsidRPr="00993B28">
              <w:rPr>
                <w:rFonts w:cstheme="minorHAnsi"/>
                <w:noProof/>
                <w:sz w:val="20"/>
                <w:szCs w:val="20"/>
              </w:rPr>
              <w:t>[6,10,12,13]</w:t>
            </w:r>
            <w:r w:rsidRPr="00A64B10">
              <w:rPr>
                <w:rFonts w:cstheme="minorHAnsi"/>
                <w:sz w:val="20"/>
                <w:szCs w:val="20"/>
              </w:rPr>
              <w:fldChar w:fldCharType="end"/>
            </w:r>
          </w:p>
        </w:tc>
        <w:tc>
          <w:tcPr>
            <w:tcW w:w="2268" w:type="dxa"/>
            <w:shd w:val="clear" w:color="auto" w:fill="F2F2F2" w:themeFill="background1" w:themeFillShade="F2"/>
          </w:tcPr>
          <w:p w14:paraId="2ADBAF38" w14:textId="0B221DE4" w:rsidR="00055445" w:rsidRPr="00A64B10" w:rsidRDefault="00D47E76" w:rsidP="00947AB9">
            <w:pPr>
              <w:rPr>
                <w:rFonts w:cstheme="minorHAnsi"/>
                <w:sz w:val="20"/>
                <w:szCs w:val="20"/>
              </w:rPr>
            </w:pPr>
            <w:r>
              <w:rPr>
                <w:rFonts w:cstheme="minorHAnsi"/>
                <w:sz w:val="20"/>
                <w:szCs w:val="20"/>
              </w:rPr>
              <w:t>Red blood cells lysis</w:t>
            </w:r>
          </w:p>
          <w:p w14:paraId="48DDCFD5" w14:textId="5A9C141C" w:rsidR="00055445" w:rsidRPr="00A64B10" w:rsidRDefault="000A6DA1" w:rsidP="00947AB9">
            <w:pPr>
              <w:rPr>
                <w:rFonts w:cstheme="minorHAnsi"/>
                <w:sz w:val="20"/>
                <w:szCs w:val="20"/>
              </w:rPr>
            </w:pPr>
            <w:r>
              <w:rPr>
                <w:rFonts w:cstheme="minorHAnsi"/>
                <w:sz w:val="20"/>
                <w:szCs w:val="20"/>
              </w:rPr>
              <w:t>Platelet aggregation, C</w:t>
            </w:r>
            <w:r w:rsidR="00D47E76">
              <w:rPr>
                <w:rFonts w:cstheme="minorHAnsi"/>
                <w:sz w:val="20"/>
                <w:szCs w:val="20"/>
              </w:rPr>
              <w:t>oagulation</w:t>
            </w:r>
          </w:p>
        </w:tc>
        <w:tc>
          <w:tcPr>
            <w:tcW w:w="1985" w:type="dxa"/>
            <w:shd w:val="clear" w:color="auto" w:fill="F2F2F2" w:themeFill="background1" w:themeFillShade="F2"/>
          </w:tcPr>
          <w:p w14:paraId="44EE678A" w14:textId="77777777" w:rsidR="000A6DA1" w:rsidRDefault="00D47E76" w:rsidP="000A6DA1">
            <w:pPr>
              <w:rPr>
                <w:rFonts w:cstheme="minorHAnsi"/>
                <w:sz w:val="20"/>
                <w:szCs w:val="20"/>
              </w:rPr>
            </w:pPr>
            <w:r>
              <w:rPr>
                <w:rFonts w:cstheme="minorHAnsi"/>
                <w:sz w:val="20"/>
                <w:szCs w:val="20"/>
              </w:rPr>
              <w:t>Haemolysis</w:t>
            </w:r>
          </w:p>
          <w:p w14:paraId="007B0C14" w14:textId="0C416C8F" w:rsidR="00D47E76" w:rsidRPr="00A64B10" w:rsidRDefault="00D47E76" w:rsidP="00947AB9">
            <w:pPr>
              <w:spacing w:after="160"/>
              <w:rPr>
                <w:rFonts w:cstheme="minorHAnsi"/>
                <w:sz w:val="20"/>
                <w:szCs w:val="20"/>
              </w:rPr>
            </w:pPr>
            <w:r>
              <w:rPr>
                <w:rFonts w:cstheme="minorHAnsi"/>
                <w:sz w:val="20"/>
                <w:szCs w:val="20"/>
              </w:rPr>
              <w:t>Thrombogenicity</w:t>
            </w:r>
          </w:p>
        </w:tc>
        <w:tc>
          <w:tcPr>
            <w:tcW w:w="2834" w:type="dxa"/>
            <w:vMerge/>
            <w:shd w:val="clear" w:color="auto" w:fill="F2F2F2" w:themeFill="background1" w:themeFillShade="F2"/>
          </w:tcPr>
          <w:p w14:paraId="0B8B0BBF" w14:textId="77777777" w:rsidR="00055445" w:rsidRPr="00A64B10" w:rsidRDefault="00055445" w:rsidP="00947AB9">
            <w:pPr>
              <w:spacing w:after="160"/>
              <w:rPr>
                <w:rFonts w:cstheme="minorHAnsi"/>
                <w:sz w:val="20"/>
                <w:szCs w:val="20"/>
              </w:rPr>
            </w:pPr>
          </w:p>
        </w:tc>
      </w:tr>
      <w:tr w:rsidR="00055445" w:rsidRPr="00A64B10" w14:paraId="3BB46169" w14:textId="77777777" w:rsidTr="00026A37">
        <w:trPr>
          <w:trHeight w:val="416"/>
        </w:trPr>
        <w:tc>
          <w:tcPr>
            <w:tcW w:w="1980" w:type="dxa"/>
            <w:shd w:val="clear" w:color="auto" w:fill="F2F2F2" w:themeFill="background1" w:themeFillShade="F2"/>
          </w:tcPr>
          <w:p w14:paraId="0AA6E5EF" w14:textId="24E4459F" w:rsidR="00055445" w:rsidRPr="00A64B10" w:rsidRDefault="00055445" w:rsidP="00947AB9">
            <w:pPr>
              <w:spacing w:after="160"/>
              <w:rPr>
                <w:rFonts w:cstheme="minorHAnsi"/>
                <w:sz w:val="20"/>
                <w:szCs w:val="20"/>
              </w:rPr>
            </w:pPr>
            <w:r w:rsidRPr="00A64B10">
              <w:rPr>
                <w:rFonts w:cstheme="minorHAnsi"/>
                <w:sz w:val="20"/>
                <w:szCs w:val="20"/>
              </w:rPr>
              <w:t xml:space="preserve">CARPA and complement activation </w:t>
            </w:r>
            <w:r w:rsidRPr="00A64B10">
              <w:rPr>
                <w:rFonts w:cstheme="minorHAnsi"/>
                <w:sz w:val="20"/>
                <w:szCs w:val="20"/>
              </w:rPr>
              <w:fldChar w:fldCharType="begin" w:fldLock="1"/>
            </w:r>
            <w:r w:rsidR="000B3F63">
              <w:rPr>
                <w:rFonts w:cstheme="minorHAnsi"/>
                <w:sz w:val="20"/>
                <w:szCs w:val="20"/>
              </w:rPr>
              <w:instrText>ADDIN CSL_CITATION {"citationItems":[{"id":"ITEM-1","itemData":{"author":[{"dropping-particle":"","family":"EMA/CHMP","given":"","non-dropping-particle":"","parse-names":false,"suffix":""}],"id":"ITEM-1","issue":"EMA/CHMP/13099/2013.","issued":{"date-parts":[["2013"]]},"publisher-place":"London","title":"Joint MHLW/EMA reflection paper on the development of block copolymer micelle medicinal products.","type":"article-journal"},"uris":["http://www.mendeley.com/documents/?uuid=931c6128-62f0-452c-91d8-48fe80efa916"]},{"id":"ITEM-2","itemData":{"abstract":"This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required.","author":[{"dropping-particle":"","family":"EMA/CHMP","given":"","non-dropping-particle":"","parse-names":false,"suffix":""}],"id":"ITEM-2","issue":"EMA/CHMP/806058/2009/Rev.02","issued":{"date-parts":[["2013"]]},"publisher-place":"London","title":"Reflection paper on the data requirements for intravenous liposomal products developed with reference to an innovator liposomal product","type":"article-journal"},"uris":["http://www.mendeley.com/documents/?uuid=e3c908b6-9d35-4812-af55-a22fdf3f47f3"]},{"id":"ITEM-3","itemData":{"author":[{"dropping-particle":"","family":"MHLW","given":"","non-dropping-particle":"","parse-names":false,"suffix":""}],"id":"ITEM-3","issued":{"date-parts":[["2016"]]},"title":"Guideline for the development of liposome drug products","type":"article-journal"},"uris":["http://www.mendeley.com/documents/?uuid=4cdf9bd0-f0ff-4e59-9510-381b3c65c8f1"]},{"id":"ITEM-4","itemData":{"DOI":"10.2772/41391","ISBN":"978-92-79-35590-5","ISSN":"1831-4783","PMID":"22260506","abstract":"This Guidance addresses the use of nanomaterials in medical devices and provides information for risk assessors regarding specific aspects that need to be considered in the safety evaluation of nanomaterials. According to the EU Recommendation for the definition of a nanomaterial (Commission Recommendation 2011/696/EU, EC 2011) any particulate substance with at least one dimension in the size range between 1 and 100 nm is considered a nanomaterial. These particles (nanoparticles) exhibit specific characteristics that differ from the characteristics of larger sized particles with the same chemical composition.","author":[{"dropping-particle":"","family":"SCENIHR","given":"","non-dropping-particle":"","parse-names":false,"suffix":""}],"container-title":"Final Opinion","id":"ITEM-4","issued":{"date-parts":[["2015"]]},"page":"1-77","title":"Opinion on the Guidance on the Determination of Potential Health Effects of Nanomaterials Used in Medical Devices","type":"article-journal"},"uris":["http://www.mendeley.com/documents/?uuid=7294ce7a-b3e5-4f98-acf8-3ea180d4e0f6"]},{"id":"ITEM-5","itemData":{"author":[{"dropping-particle":"","family":"MHLW","given":"","non-dropping-particle":"","parse-names":false,"suffix":""}],"id":"ITEM-5","issued":{"date-parts":[["2016"]]},"title":"Reflection paper on nucleic acids (siRNA)-loaded nanotechnology based drug products","type":"article-journal"},"uris":["http://www.mendeley.com/documents/?uuid=3fd76c20-840c-414f-aef5-f91cb4afaf92"]}],"mendeley":{"formattedCitation":"[7,9,10,12,13]","plainTextFormattedCitation":"[7,9,10,12,13]","previouslyFormattedCitation":"[7,9,10,12,13]"},"properties":{"noteIndex":0},"schema":"https://github.com/citation-style-language/schema/raw/master/csl-citation.json"}</w:instrText>
            </w:r>
            <w:r w:rsidRPr="00A64B10">
              <w:rPr>
                <w:rFonts w:cstheme="minorHAnsi"/>
                <w:sz w:val="20"/>
                <w:szCs w:val="20"/>
              </w:rPr>
              <w:fldChar w:fldCharType="separate"/>
            </w:r>
            <w:r w:rsidR="00993B28" w:rsidRPr="00993B28">
              <w:rPr>
                <w:rFonts w:cstheme="minorHAnsi"/>
                <w:noProof/>
                <w:sz w:val="20"/>
                <w:szCs w:val="20"/>
              </w:rPr>
              <w:t>[7,9,10,12,13]</w:t>
            </w:r>
            <w:r w:rsidRPr="00A64B10">
              <w:rPr>
                <w:rFonts w:cstheme="minorHAnsi"/>
                <w:sz w:val="20"/>
                <w:szCs w:val="20"/>
              </w:rPr>
              <w:fldChar w:fldCharType="end"/>
            </w:r>
          </w:p>
        </w:tc>
        <w:tc>
          <w:tcPr>
            <w:tcW w:w="2268" w:type="dxa"/>
            <w:shd w:val="clear" w:color="auto" w:fill="F2F2F2" w:themeFill="background1" w:themeFillShade="F2"/>
          </w:tcPr>
          <w:p w14:paraId="3FCFA976" w14:textId="77777777" w:rsidR="00055445" w:rsidRPr="00A64B10" w:rsidRDefault="00055445" w:rsidP="00051AA8">
            <w:pPr>
              <w:rPr>
                <w:rFonts w:cstheme="minorHAnsi"/>
                <w:sz w:val="20"/>
                <w:szCs w:val="20"/>
              </w:rPr>
            </w:pPr>
            <w:r w:rsidRPr="00A64B10">
              <w:rPr>
                <w:rFonts w:cstheme="minorHAnsi"/>
                <w:sz w:val="20"/>
                <w:szCs w:val="20"/>
              </w:rPr>
              <w:t xml:space="preserve">Complement </w:t>
            </w:r>
            <w:proofErr w:type="gramStart"/>
            <w:r w:rsidRPr="00A64B10">
              <w:rPr>
                <w:rFonts w:cstheme="minorHAnsi"/>
                <w:sz w:val="20"/>
                <w:szCs w:val="20"/>
              </w:rPr>
              <w:t>activation</w:t>
            </w:r>
            <w:proofErr w:type="gramEnd"/>
            <w:r w:rsidRPr="00A64B10">
              <w:rPr>
                <w:rFonts w:cstheme="minorHAnsi"/>
                <w:sz w:val="20"/>
                <w:szCs w:val="20"/>
              </w:rPr>
              <w:t xml:space="preserve"> </w:t>
            </w:r>
          </w:p>
          <w:p w14:paraId="1CA4F115" w14:textId="77777777" w:rsidR="00055445" w:rsidRPr="00A64B10" w:rsidRDefault="00055445" w:rsidP="00215336">
            <w:pPr>
              <w:spacing w:after="160"/>
              <w:rPr>
                <w:rFonts w:cstheme="minorHAnsi"/>
                <w:sz w:val="20"/>
                <w:szCs w:val="20"/>
              </w:rPr>
            </w:pPr>
            <w:r w:rsidRPr="00A64B10">
              <w:rPr>
                <w:rFonts w:cstheme="minorHAnsi"/>
                <w:sz w:val="20"/>
                <w:szCs w:val="20"/>
              </w:rPr>
              <w:t>Activation of secretory cells</w:t>
            </w:r>
          </w:p>
        </w:tc>
        <w:tc>
          <w:tcPr>
            <w:tcW w:w="1985" w:type="dxa"/>
            <w:shd w:val="clear" w:color="auto" w:fill="F2F2F2" w:themeFill="background1" w:themeFillShade="F2"/>
          </w:tcPr>
          <w:p w14:paraId="7EC1649A" w14:textId="77777777" w:rsidR="00055445" w:rsidRPr="00A64B10" w:rsidRDefault="00055445" w:rsidP="00947AB9">
            <w:pPr>
              <w:spacing w:after="160"/>
              <w:rPr>
                <w:rFonts w:cstheme="minorHAnsi"/>
                <w:sz w:val="20"/>
                <w:szCs w:val="20"/>
              </w:rPr>
            </w:pPr>
            <w:r w:rsidRPr="00A64B10">
              <w:rPr>
                <w:rFonts w:cstheme="minorHAnsi"/>
                <w:sz w:val="20"/>
                <w:szCs w:val="20"/>
              </w:rPr>
              <w:t>Hypersensitivity reactions/CARPA</w:t>
            </w:r>
          </w:p>
        </w:tc>
        <w:tc>
          <w:tcPr>
            <w:tcW w:w="2834" w:type="dxa"/>
            <w:vMerge/>
            <w:shd w:val="clear" w:color="auto" w:fill="F2F2F2" w:themeFill="background1" w:themeFillShade="F2"/>
          </w:tcPr>
          <w:p w14:paraId="5C3D6E11" w14:textId="77777777" w:rsidR="00055445" w:rsidRPr="00A64B10" w:rsidRDefault="00055445" w:rsidP="00947AB9">
            <w:pPr>
              <w:spacing w:after="160"/>
              <w:rPr>
                <w:rFonts w:cstheme="minorHAnsi"/>
                <w:sz w:val="20"/>
                <w:szCs w:val="20"/>
              </w:rPr>
            </w:pPr>
          </w:p>
        </w:tc>
      </w:tr>
      <w:tr w:rsidR="00055445" w:rsidRPr="00A64B10" w14:paraId="60419D27" w14:textId="77777777" w:rsidTr="00026A37">
        <w:trPr>
          <w:trHeight w:val="1223"/>
        </w:trPr>
        <w:tc>
          <w:tcPr>
            <w:tcW w:w="1980" w:type="dxa"/>
            <w:shd w:val="clear" w:color="auto" w:fill="F2F2F2" w:themeFill="background1" w:themeFillShade="F2"/>
          </w:tcPr>
          <w:p w14:paraId="1209CDD1" w14:textId="19150C67" w:rsidR="00055445" w:rsidRPr="00A64B10" w:rsidRDefault="00055445" w:rsidP="00947AB9">
            <w:pPr>
              <w:spacing w:after="160"/>
              <w:rPr>
                <w:rFonts w:cstheme="minorHAnsi"/>
                <w:sz w:val="20"/>
                <w:szCs w:val="20"/>
              </w:rPr>
            </w:pPr>
            <w:r w:rsidRPr="00A64B10">
              <w:rPr>
                <w:rFonts w:cstheme="minorHAnsi"/>
                <w:sz w:val="20"/>
                <w:szCs w:val="20"/>
              </w:rPr>
              <w:t>Inflammation and innate</w:t>
            </w:r>
            <w:r w:rsidR="00F560EE" w:rsidRPr="00A64B10">
              <w:rPr>
                <w:rFonts w:cstheme="minorHAnsi"/>
                <w:sz w:val="20"/>
                <w:szCs w:val="20"/>
              </w:rPr>
              <w:t xml:space="preserve"> immune</w:t>
            </w:r>
            <w:r w:rsidRPr="00A64B10">
              <w:rPr>
                <w:rFonts w:cstheme="minorHAnsi"/>
                <w:sz w:val="20"/>
                <w:szCs w:val="20"/>
              </w:rPr>
              <w:t xml:space="preserve"> cells </w:t>
            </w:r>
            <w:r w:rsidRPr="00A64B10">
              <w:rPr>
                <w:rFonts w:cstheme="minorHAnsi"/>
                <w:sz w:val="20"/>
                <w:szCs w:val="20"/>
              </w:rPr>
              <w:fldChar w:fldCharType="begin" w:fldLock="1"/>
            </w:r>
            <w:r w:rsidR="00F53111">
              <w:rPr>
                <w:rFonts w:cstheme="minorHAnsi"/>
                <w:sz w:val="20"/>
                <w:szCs w:val="20"/>
              </w:rPr>
              <w:instrText>ADDIN CSL_CITATION {"citationItems":[{"id":"ITEM-1","itemData":{"abstract":"This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required.","author":[{"dropping-particle":"","family":"EMA/CHMP","given":"","non-dropping-particle":"","parse-names":false,"suffix":""}],"id":"ITEM-1","issue":"EMA/CHMP/SWP/620008/2012","issued":{"date-parts":[["2015"]]},"publisher-place":"London","title":"Reflection paper on the data requirements for intravenous iron-based nano-colloidal products developed with reference to an innovator medicinal product","type":"article-journal"},"uris":["http://www.mendeley.com/documents/?uuid=2bd38740-cd32-48fe-b1a5-f868a29c8dbd"]},{"id":"ITEM-2","itemData":{"abstract":"This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required.","author":[{"dropping-particle":"","family":"EMA/CHMP","given":"","non-dropping-particle":"","parse-names":false,"suffix":""}],"id":"ITEM-2","issue":"EMA/CHMP/806058/2009/Rev.02","issued":{"date-parts":[["2013"]]},"publisher-place":"London","title":"Reflection paper on the data requirements for intravenous liposomal products developed with reference to an innovator liposomal product","type":"article-journal"},"uris":["http://www.mendeley.com/documents/?uuid=e3c908b6-9d35-4812-af55-a22fdf3f47f3"]},{"id":"ITEM-3","itemData":{"author":[{"dropping-particle":"","family":"MHLW","given":"","non-dropping-particle":"","parse-names":false,"suffix":""}],"id":"ITEM-3","issued":{"date-parts":[["2016"]]},"title":"Guideline for the development of liposome drug products","type":"article-journal"},"uris":["http://www.mendeley.com/documents/?uuid=4cdf9bd0-f0ff-4e59-9510-381b3c65c8f1"]},{"id":"ITEM-4","itemData":{"author":[{"dropping-particle":"","family":"FDA","given":"","non-dropping-particle":"","parse-names":false,"suffix":""}],"id":"ITEM-4","issued":{"date-parts":[["2017"]]},"title":"Drug Products, Including Biological Products, that Contain Nanomaterials. Guidance for Industry.","type":"article-journal"},"uris":["http://www.mendeley.com/documents/?uuid=1d007232-6836-43e1-9d00-b18d18197d80"]},{"id":"ITEM-5","itemData":{"author":[{"dropping-particle":"","family":"MHLW","given":"","non-dropping-particle":"","parse-names":false,"suffix":""}],"id":"ITEM-5","issued":{"date-parts":[["2016"]]},"title":"Reflection paper on nucleic acids (siRNA)-loaded nanotechnology based drug products","type":"article-journal"},"uris":["http://www.mendeley.com/documents/?uuid=3fd76c20-840c-414f-aef5-f91cb4afaf92"]},{"id":"ITEM-6","itemData":{"DOI":"10.2772/41391","ISBN":"978-92-79-35590-5","ISSN":"1831-4783","PMID":"22260506","abstract":"This Guidance addresses the use of nanomaterials in medical devices and provides information for risk assessors regarding specific aspects that need to be considered in the safety evaluation of nanomaterials. According to the EU Recommendation for the definition of a nanomaterial (Commission Recommendation 2011/696/EU, EC 2011) any particulate substance with at least one dimension in the size range between 1 and 100 nm is considered a nanomaterial. These particles (nanoparticles) exhibit specific characteristics that differ from the characteristics of larger sized particles with the same chemical composition.","author":[{"dropping-particle":"","family":"SCENIHR","given":"","non-dropping-particle":"","parse-names":false,"suffix":""}],"container-title":"Final Opinion","id":"ITEM-6","issued":{"date-parts":[["2015"]]},"page":"1-77","title":"Opinion on the Guidance on the Determination of Potential Health Effects of Nanomaterials Used in Medical Devices","type":"article-journal"},"uris":["http://www.mendeley.com/documents/?uuid=7294ce7a-b3e5-4f98-acf8-3ea180d4e0f6"]},{"id":"ITEM-7","itemData":{"author":[{"dropping-particle":"","family":"SCENIHR","given":"","non-dropping-particle":"","parse-names":false,"suffix":""}],"id":"ITEM-7","issued":{"date-parts":[["2009"]]},"title":"Risk Assessment of Products of Nanotechnologies","type":"article-journal"},"uris":["http://www.mendeley.com/documents/?uuid=2c9526f5-b125-3cdf-b69e-f5bb3677b116"]},{"id":"ITEM-8","itemData":{"author":[{"dropping-particle":"","family":"ICH","given":"","non-dropping-particle":"","parse-names":false,"suffix":""}],"id":"ITEM-8","issued":{"date-parts":[["2005"]]},"title":"Immunotoxicity Studies For Human Pharmaceuticals S8","type":"article-journal"},"uris":["http://www.mendeley.com/documents/?uuid=30cf47f4-a073-31af-a3fc-ca76bba4b10a"]}],"mendeley":{"formattedCitation":"[6,7,9,11–13,22,44]","plainTextFormattedCitation":"[6,7,9,11–13,22,44]","previouslyFormattedCitation":"[6,7,9,11–13,22,44]"},"properties":{"noteIndex":0},"schema":"https://github.com/citation-style-language/schema/raw/master/csl-citation.json"}</w:instrText>
            </w:r>
            <w:r w:rsidRPr="00A64B10">
              <w:rPr>
                <w:rFonts w:cstheme="minorHAnsi"/>
                <w:sz w:val="20"/>
                <w:szCs w:val="20"/>
              </w:rPr>
              <w:fldChar w:fldCharType="separate"/>
            </w:r>
            <w:r w:rsidR="000B3F63" w:rsidRPr="000B3F63">
              <w:rPr>
                <w:rFonts w:cstheme="minorHAnsi"/>
                <w:noProof/>
                <w:sz w:val="20"/>
                <w:szCs w:val="20"/>
              </w:rPr>
              <w:t>[6,7,9,11–13,22,44]</w:t>
            </w:r>
            <w:r w:rsidRPr="00A64B10">
              <w:rPr>
                <w:rFonts w:cstheme="minorHAnsi"/>
                <w:sz w:val="20"/>
                <w:szCs w:val="20"/>
              </w:rPr>
              <w:fldChar w:fldCharType="end"/>
            </w:r>
          </w:p>
        </w:tc>
        <w:tc>
          <w:tcPr>
            <w:tcW w:w="2268" w:type="dxa"/>
            <w:shd w:val="clear" w:color="auto" w:fill="F2F2F2" w:themeFill="background1" w:themeFillShade="F2"/>
          </w:tcPr>
          <w:p w14:paraId="1D298825" w14:textId="77777777" w:rsidR="00055445" w:rsidRPr="00A64B10" w:rsidRDefault="00055445" w:rsidP="00947AB9">
            <w:pPr>
              <w:rPr>
                <w:rFonts w:cstheme="minorHAnsi"/>
                <w:sz w:val="20"/>
                <w:szCs w:val="20"/>
              </w:rPr>
            </w:pPr>
            <w:r w:rsidRPr="00A64B10">
              <w:rPr>
                <w:rFonts w:cstheme="minorHAnsi"/>
                <w:sz w:val="20"/>
                <w:szCs w:val="20"/>
              </w:rPr>
              <w:t xml:space="preserve">Inflammasome activation </w:t>
            </w:r>
          </w:p>
          <w:p w14:paraId="5D58B647" w14:textId="77777777" w:rsidR="00055445" w:rsidRPr="00A64B10" w:rsidRDefault="00055445" w:rsidP="00947AB9">
            <w:pPr>
              <w:rPr>
                <w:rFonts w:cstheme="minorHAnsi"/>
                <w:sz w:val="20"/>
                <w:szCs w:val="20"/>
              </w:rPr>
            </w:pPr>
            <w:r w:rsidRPr="00A64B10">
              <w:rPr>
                <w:rFonts w:cstheme="minorHAnsi"/>
                <w:sz w:val="20"/>
                <w:szCs w:val="20"/>
              </w:rPr>
              <w:t>Macrophage function</w:t>
            </w:r>
          </w:p>
          <w:p w14:paraId="2F559C88" w14:textId="77777777" w:rsidR="00055445" w:rsidRPr="00A64B10" w:rsidRDefault="00055445" w:rsidP="00947AB9">
            <w:pPr>
              <w:rPr>
                <w:rFonts w:cstheme="minorHAnsi"/>
                <w:sz w:val="20"/>
                <w:szCs w:val="20"/>
              </w:rPr>
            </w:pPr>
            <w:r w:rsidRPr="00A64B10">
              <w:rPr>
                <w:rFonts w:cstheme="minorHAnsi"/>
                <w:sz w:val="20"/>
                <w:szCs w:val="20"/>
              </w:rPr>
              <w:t xml:space="preserve">NP uptake by phagocytes </w:t>
            </w:r>
          </w:p>
          <w:p w14:paraId="0262E5FA" w14:textId="77777777" w:rsidR="00055445" w:rsidRPr="00A64B10" w:rsidRDefault="00055445" w:rsidP="00055445">
            <w:pPr>
              <w:rPr>
                <w:rFonts w:cstheme="minorHAnsi"/>
                <w:sz w:val="20"/>
                <w:szCs w:val="20"/>
              </w:rPr>
            </w:pPr>
            <w:r w:rsidRPr="00A64B10">
              <w:rPr>
                <w:rFonts w:cstheme="minorHAnsi"/>
                <w:sz w:val="20"/>
                <w:szCs w:val="20"/>
              </w:rPr>
              <w:t>NK cell activity</w:t>
            </w:r>
          </w:p>
        </w:tc>
        <w:tc>
          <w:tcPr>
            <w:tcW w:w="1985" w:type="dxa"/>
            <w:shd w:val="clear" w:color="auto" w:fill="F2F2F2" w:themeFill="background1" w:themeFillShade="F2"/>
          </w:tcPr>
          <w:p w14:paraId="271D4FC2" w14:textId="77777777" w:rsidR="00055445" w:rsidRPr="00A64B10" w:rsidRDefault="00055445" w:rsidP="00947AB9">
            <w:pPr>
              <w:spacing w:after="160"/>
              <w:rPr>
                <w:rFonts w:cstheme="minorHAnsi"/>
                <w:sz w:val="20"/>
                <w:szCs w:val="20"/>
              </w:rPr>
            </w:pPr>
            <w:r w:rsidRPr="00A64B10">
              <w:rPr>
                <w:rFonts w:cstheme="minorHAnsi"/>
                <w:sz w:val="20"/>
                <w:szCs w:val="20"/>
              </w:rPr>
              <w:t>Inflammation</w:t>
            </w:r>
          </w:p>
          <w:p w14:paraId="656F81C0" w14:textId="77777777" w:rsidR="00055445" w:rsidRDefault="00E0384E" w:rsidP="00947AB9">
            <w:pPr>
              <w:spacing w:after="160"/>
              <w:rPr>
                <w:rFonts w:cstheme="minorHAnsi"/>
                <w:sz w:val="20"/>
                <w:szCs w:val="20"/>
              </w:rPr>
            </w:pPr>
            <w:r>
              <w:rPr>
                <w:rFonts w:cstheme="minorHAnsi"/>
                <w:sz w:val="20"/>
                <w:szCs w:val="20"/>
              </w:rPr>
              <w:t>Increased clearance from the body</w:t>
            </w:r>
          </w:p>
          <w:p w14:paraId="2A899834" w14:textId="320B3796" w:rsidR="00D47E76" w:rsidRPr="00A64B10" w:rsidRDefault="00D47E76" w:rsidP="00947AB9">
            <w:pPr>
              <w:spacing w:after="160"/>
              <w:rPr>
                <w:rFonts w:cstheme="minorHAnsi"/>
                <w:sz w:val="20"/>
                <w:szCs w:val="20"/>
              </w:rPr>
            </w:pPr>
            <w:r>
              <w:rPr>
                <w:rFonts w:cstheme="minorHAnsi"/>
                <w:sz w:val="20"/>
                <w:szCs w:val="20"/>
              </w:rPr>
              <w:t>Modulation of immune response</w:t>
            </w:r>
          </w:p>
        </w:tc>
        <w:tc>
          <w:tcPr>
            <w:tcW w:w="2834" w:type="dxa"/>
            <w:vMerge/>
            <w:shd w:val="clear" w:color="auto" w:fill="F2F2F2" w:themeFill="background1" w:themeFillShade="F2"/>
          </w:tcPr>
          <w:p w14:paraId="7BA0BB62" w14:textId="77777777" w:rsidR="00055445" w:rsidRPr="00A64B10" w:rsidRDefault="00055445" w:rsidP="00947AB9">
            <w:pPr>
              <w:spacing w:after="160"/>
              <w:rPr>
                <w:rFonts w:cstheme="minorHAnsi"/>
                <w:sz w:val="20"/>
                <w:szCs w:val="20"/>
              </w:rPr>
            </w:pPr>
          </w:p>
        </w:tc>
      </w:tr>
      <w:tr w:rsidR="00055445" w:rsidRPr="00A64B10" w14:paraId="36965925" w14:textId="77777777" w:rsidTr="00026A37">
        <w:trPr>
          <w:trHeight w:val="416"/>
        </w:trPr>
        <w:tc>
          <w:tcPr>
            <w:tcW w:w="1980" w:type="dxa"/>
            <w:shd w:val="clear" w:color="auto" w:fill="F2F2F2" w:themeFill="background1" w:themeFillShade="F2"/>
          </w:tcPr>
          <w:p w14:paraId="5036D96D" w14:textId="1E07E0F8" w:rsidR="00055445" w:rsidRPr="00A64B10" w:rsidRDefault="00055445" w:rsidP="00947AB9">
            <w:pPr>
              <w:spacing w:after="160"/>
              <w:rPr>
                <w:rFonts w:cstheme="minorHAnsi"/>
                <w:sz w:val="20"/>
                <w:szCs w:val="20"/>
              </w:rPr>
            </w:pPr>
            <w:r w:rsidRPr="00A64B10">
              <w:rPr>
                <w:rFonts w:cstheme="minorHAnsi"/>
                <w:sz w:val="20"/>
                <w:szCs w:val="20"/>
              </w:rPr>
              <w:t xml:space="preserve">Effect on adaptive immune system </w:t>
            </w:r>
            <w:r w:rsidRPr="00A64B10">
              <w:rPr>
                <w:rFonts w:cstheme="minorHAnsi"/>
                <w:sz w:val="20"/>
                <w:szCs w:val="20"/>
              </w:rPr>
              <w:fldChar w:fldCharType="begin" w:fldLock="1"/>
            </w:r>
            <w:r w:rsidR="00F53111">
              <w:rPr>
                <w:rFonts w:cstheme="minorHAnsi"/>
                <w:sz w:val="20"/>
                <w:szCs w:val="20"/>
              </w:rPr>
              <w:instrText>ADDIN CSL_CITATION {"citationItems":[{"id":"ITEM-1","itemData":{"author":[{"dropping-particle":"","family":"EMA/CHMP","given":"","non-dropping-particle":"","parse-names":false,"suffix":""}],"id":"ITEM-1","issue":"EMA/CHMP/13099/2013.","issued":{"date-parts":[["2013"]]},"publisher-place":"London","title":"Joint MHLW/EMA reflection paper on the development of block copolymer micelle medicinal products.","type":"article-journal"},"uris":["http://www.mendeley.com/documents/?uuid=931c6128-62f0-452c-91d8-48fe80efa916"]},{"id":"ITEM-2","itemData":{"author":[{"dropping-particle":"","family":"ICH","given":"","non-dropping-particle":"","parse-names":false,"suffix":""}],"id":"ITEM-2","issued":{"date-parts":[["2005"]]},"title":"Immunotoxicity Studies For Human Pharmaceuticals S8","type":"article-journal"},"uris":["http://www.mendeley.com/documents/?uuid=30cf47f4-a073-31af-a3fc-ca76bba4b10a"]},{"id":"ITEM-3","itemData":{"DOI":"10.2772/41391","ISBN":"978-92-79-35590-5","ISSN":"1831-4783","PMID":"22260506","abstract":"This Guidance addresses the use of nanomaterials in medical devices and provides information for risk assessors regarding specific aspects that need to be considered in the safety evaluation of nanomaterials. According to the EU Recommendation for the definition of a nanomaterial (Commission Recommendation 2011/696/EU, EC 2011) any particulate substance with at least one dimension in the size range between 1 and 100 nm is considered a nanomaterial. These particles (nanoparticles) exhibit specific characteristics that differ from the characteristics of larger sized particles with the same chemical composition.","author":[{"dropping-particle":"","family":"SCENIHR","given":"","non-dropping-particle":"","parse-names":false,"suffix":""}],"container-title":"Final Opinion","id":"ITEM-3","issued":{"date-parts":[["2015"]]},"page":"1-77","title":"Opinion on the Guidance on the Determination of Potential Health Effects of Nanomaterials Used in Medical Devices","type":"article-journal"},"uris":["http://www.mendeley.com/documents/?uuid=7294ce7a-b3e5-4f98-acf8-3ea180d4e0f6"]},{"id":"ITEM-4","itemData":{"author":[{"dropping-particle":"","family":"ISO/TC 194","given":"","non-dropping-particle":"","parse-names":false,"suffix":""}],"id":"ITEM-4","issued":{"date-parts":[["2012"]]},"title":"Biological evaluation of medical devices- Part 22: Guidance on nanomaterials. ISO /TR 10993-22.","type":"article-journal"},"uris":["http://www.mendeley.com/documents/?uuid=844c6a55-a55b-4548-b4a5-bcd46648fba8"]}],"mendeley":{"formattedCitation":"[10,13,14,44]","plainTextFormattedCitation":"[10,13,14,44]","previouslyFormattedCitation":"[10,13,14,44]"},"properties":{"noteIndex":0},"schema":"https://github.com/citation-style-language/schema/raw/master/csl-citation.json"}</w:instrText>
            </w:r>
            <w:r w:rsidRPr="00A64B10">
              <w:rPr>
                <w:rFonts w:cstheme="minorHAnsi"/>
                <w:sz w:val="20"/>
                <w:szCs w:val="20"/>
              </w:rPr>
              <w:fldChar w:fldCharType="separate"/>
            </w:r>
            <w:r w:rsidR="000B3F63" w:rsidRPr="000B3F63">
              <w:rPr>
                <w:rFonts w:cstheme="minorHAnsi"/>
                <w:noProof/>
                <w:sz w:val="20"/>
                <w:szCs w:val="20"/>
              </w:rPr>
              <w:t>[10,13,14,44]</w:t>
            </w:r>
            <w:r w:rsidRPr="00A64B10">
              <w:rPr>
                <w:rFonts w:cstheme="minorHAnsi"/>
                <w:sz w:val="20"/>
                <w:szCs w:val="20"/>
              </w:rPr>
              <w:fldChar w:fldCharType="end"/>
            </w:r>
          </w:p>
        </w:tc>
        <w:tc>
          <w:tcPr>
            <w:tcW w:w="2268" w:type="dxa"/>
            <w:shd w:val="clear" w:color="auto" w:fill="F2F2F2" w:themeFill="background1" w:themeFillShade="F2"/>
          </w:tcPr>
          <w:p w14:paraId="019D0D2D" w14:textId="3CE19AF6" w:rsidR="00051AA8" w:rsidRDefault="00824D8F" w:rsidP="00051AA8">
            <w:pPr>
              <w:rPr>
                <w:rFonts w:cstheme="minorHAnsi"/>
                <w:sz w:val="20"/>
                <w:szCs w:val="20"/>
              </w:rPr>
            </w:pPr>
            <w:r>
              <w:rPr>
                <w:rFonts w:cstheme="minorHAnsi"/>
                <w:sz w:val="20"/>
                <w:szCs w:val="20"/>
              </w:rPr>
              <w:t>Dendritic c</w:t>
            </w:r>
            <w:r w:rsidR="00051AA8" w:rsidRPr="00051AA8">
              <w:rPr>
                <w:rFonts w:cstheme="minorHAnsi"/>
                <w:sz w:val="20"/>
                <w:szCs w:val="20"/>
              </w:rPr>
              <w:t>ell</w:t>
            </w:r>
            <w:r w:rsidR="008411FD">
              <w:rPr>
                <w:rFonts w:cstheme="minorHAnsi"/>
                <w:sz w:val="20"/>
                <w:szCs w:val="20"/>
              </w:rPr>
              <w:t xml:space="preserve"> maturation</w:t>
            </w:r>
          </w:p>
          <w:p w14:paraId="634018E4" w14:textId="2545CB82" w:rsidR="00055445" w:rsidRPr="00A64B10" w:rsidRDefault="00055445" w:rsidP="00051AA8">
            <w:pPr>
              <w:rPr>
                <w:rFonts w:cstheme="minorHAnsi"/>
                <w:sz w:val="20"/>
                <w:szCs w:val="20"/>
              </w:rPr>
            </w:pPr>
            <w:r w:rsidRPr="00A64B10">
              <w:rPr>
                <w:rFonts w:cstheme="minorHAnsi"/>
                <w:sz w:val="20"/>
                <w:szCs w:val="20"/>
              </w:rPr>
              <w:t>Effects on lymphocytes</w:t>
            </w:r>
            <w:r w:rsidR="0012766B" w:rsidRPr="00A64B10">
              <w:rPr>
                <w:rFonts w:cstheme="minorHAnsi"/>
                <w:sz w:val="20"/>
                <w:szCs w:val="20"/>
              </w:rPr>
              <w:t xml:space="preserve"> </w:t>
            </w:r>
            <w:r w:rsidRPr="00A64B10">
              <w:rPr>
                <w:rFonts w:cstheme="minorHAnsi"/>
                <w:sz w:val="20"/>
                <w:szCs w:val="20"/>
              </w:rPr>
              <w:t>Antibodies</w:t>
            </w:r>
            <w:r w:rsidR="00F842F7" w:rsidRPr="00A64B10">
              <w:rPr>
                <w:rFonts w:cstheme="minorHAnsi"/>
                <w:sz w:val="20"/>
                <w:szCs w:val="20"/>
              </w:rPr>
              <w:t xml:space="preserve"> production </w:t>
            </w:r>
          </w:p>
        </w:tc>
        <w:tc>
          <w:tcPr>
            <w:tcW w:w="1985" w:type="dxa"/>
            <w:shd w:val="clear" w:color="auto" w:fill="F2F2F2" w:themeFill="background1" w:themeFillShade="F2"/>
          </w:tcPr>
          <w:p w14:paraId="2D07CB0E" w14:textId="77777777" w:rsidR="00055445" w:rsidRPr="00A64B10" w:rsidRDefault="00055445" w:rsidP="0012766B">
            <w:pPr>
              <w:spacing w:after="160"/>
              <w:rPr>
                <w:rFonts w:cstheme="minorHAnsi"/>
                <w:sz w:val="20"/>
                <w:szCs w:val="20"/>
              </w:rPr>
            </w:pPr>
            <w:r w:rsidRPr="00A64B10">
              <w:rPr>
                <w:rFonts w:cstheme="minorHAnsi"/>
                <w:sz w:val="20"/>
                <w:szCs w:val="20"/>
              </w:rPr>
              <w:t>Immunosuppression</w:t>
            </w:r>
            <w:r w:rsidR="0012766B" w:rsidRPr="00A64B10">
              <w:rPr>
                <w:rFonts w:cstheme="minorHAnsi"/>
                <w:sz w:val="20"/>
                <w:szCs w:val="20"/>
              </w:rPr>
              <w:t xml:space="preserve"> </w:t>
            </w:r>
            <w:r w:rsidRPr="00A64B10">
              <w:rPr>
                <w:rFonts w:cstheme="minorHAnsi"/>
                <w:sz w:val="20"/>
                <w:szCs w:val="20"/>
              </w:rPr>
              <w:t>Increased clearance from the body</w:t>
            </w:r>
          </w:p>
        </w:tc>
        <w:tc>
          <w:tcPr>
            <w:tcW w:w="2834" w:type="dxa"/>
            <w:vMerge/>
            <w:shd w:val="clear" w:color="auto" w:fill="F2F2F2" w:themeFill="background1" w:themeFillShade="F2"/>
          </w:tcPr>
          <w:p w14:paraId="1F05A4F7" w14:textId="77777777" w:rsidR="00055445" w:rsidRPr="00A64B10" w:rsidRDefault="00055445" w:rsidP="00947AB9">
            <w:pPr>
              <w:spacing w:after="160"/>
              <w:rPr>
                <w:rFonts w:cstheme="minorHAnsi"/>
                <w:sz w:val="20"/>
                <w:szCs w:val="20"/>
              </w:rPr>
            </w:pPr>
          </w:p>
        </w:tc>
      </w:tr>
    </w:tbl>
    <w:p w14:paraId="40E6A9DF" w14:textId="77777777" w:rsidR="007937FD" w:rsidRPr="00A64B10" w:rsidRDefault="007937FD" w:rsidP="007937FD">
      <w:pPr>
        <w:jc w:val="both"/>
        <w:rPr>
          <w:rFonts w:ascii="Calibri" w:eastAsia="Calibri" w:hAnsi="Calibri" w:cs="Arial"/>
        </w:rPr>
      </w:pPr>
    </w:p>
    <w:p w14:paraId="6C0FAA26" w14:textId="77777777" w:rsidR="00463E88" w:rsidRPr="00A64B10" w:rsidRDefault="00463E88" w:rsidP="00D64FC0">
      <w:pPr>
        <w:keepNext/>
        <w:keepLines/>
        <w:spacing w:before="40" w:after="0"/>
        <w:outlineLvl w:val="3"/>
        <w:rPr>
          <w:rFonts w:ascii="Cambria" w:eastAsia="Calibri" w:hAnsi="Cambria" w:cs="Times New Roman"/>
          <w:i/>
          <w:iCs/>
          <w:color w:val="365F91"/>
        </w:rPr>
      </w:pPr>
      <w:r w:rsidRPr="00A64B10">
        <w:rPr>
          <w:rFonts w:ascii="Cambria" w:eastAsia="Calibri" w:hAnsi="Cambria" w:cs="Times New Roman"/>
          <w:i/>
          <w:iCs/>
          <w:color w:val="365F91"/>
        </w:rPr>
        <w:t>Endotoxin contamination</w:t>
      </w:r>
    </w:p>
    <w:p w14:paraId="2FFF615A" w14:textId="77777777" w:rsidR="00463E88" w:rsidRPr="00A64B10" w:rsidRDefault="00463E88" w:rsidP="00E575FF">
      <w:pPr>
        <w:jc w:val="both"/>
        <w:rPr>
          <w:rFonts w:ascii="Calibri" w:eastAsia="Calibri" w:hAnsi="Calibri" w:cs="Times New Roman"/>
          <w:b/>
          <w:bCs/>
          <w:i/>
          <w:iCs/>
        </w:rPr>
      </w:pPr>
      <w:r w:rsidRPr="00A64B10">
        <w:rPr>
          <w:rFonts w:ascii="Calibri" w:eastAsia="Calibri" w:hAnsi="Calibri" w:cs="Times New Roman"/>
        </w:rPr>
        <w:t xml:space="preserve">Endotoxins are lipopolysaccharides (LPS) </w:t>
      </w:r>
      <w:r w:rsidR="00B2788E" w:rsidRPr="00A64B10">
        <w:rPr>
          <w:rFonts w:ascii="Calibri" w:eastAsia="Calibri" w:hAnsi="Calibri" w:cs="Times New Roman"/>
        </w:rPr>
        <w:t>which</w:t>
      </w:r>
      <w:r w:rsidRPr="00A64B10">
        <w:rPr>
          <w:rFonts w:ascii="Calibri" w:eastAsia="Calibri" w:hAnsi="Calibri" w:cs="Times New Roman"/>
        </w:rPr>
        <w:t xml:space="preserve"> are components of the outer wall of gram-negative bacteria. LPS contamination may occur in any step of manufacturing and handling of </w:t>
      </w:r>
      <w:r w:rsidR="0042264C" w:rsidRPr="00A64B10">
        <w:rPr>
          <w:rFonts w:ascii="Calibri" w:eastAsia="Calibri" w:hAnsi="Calibri" w:cs="Times New Roman"/>
        </w:rPr>
        <w:t>nanotechnology-based product</w:t>
      </w:r>
      <w:r w:rsidR="00AA4797" w:rsidRPr="00A64B10">
        <w:rPr>
          <w:rFonts w:ascii="Calibri" w:eastAsia="Calibri" w:hAnsi="Calibri" w:cs="Times New Roman"/>
        </w:rPr>
        <w:t>s</w:t>
      </w:r>
      <w:r w:rsidR="00B2788E" w:rsidRPr="00A64B10">
        <w:rPr>
          <w:rFonts w:ascii="Calibri" w:eastAsia="Calibri" w:hAnsi="Calibri" w:cs="Times New Roman"/>
        </w:rPr>
        <w:t xml:space="preserve"> and</w:t>
      </w:r>
      <w:r w:rsidRPr="00A64B10">
        <w:rPr>
          <w:rFonts w:ascii="Calibri" w:eastAsia="Calibri" w:hAnsi="Calibri" w:cs="Times New Roman"/>
        </w:rPr>
        <w:t xml:space="preserve"> lead to </w:t>
      </w:r>
      <w:r w:rsidR="00B2788E" w:rsidRPr="00A64B10">
        <w:rPr>
          <w:rFonts w:ascii="Calibri" w:eastAsia="Calibri" w:hAnsi="Calibri" w:cs="Times New Roman"/>
        </w:rPr>
        <w:t xml:space="preserve">adverse </w:t>
      </w:r>
      <w:r w:rsidRPr="00A64B10">
        <w:rPr>
          <w:rFonts w:ascii="Calibri" w:eastAsia="Calibri" w:hAnsi="Calibri" w:cs="Times New Roman"/>
        </w:rPr>
        <w:t>effects</w:t>
      </w:r>
      <w:r w:rsidR="00B2788E" w:rsidRPr="00A64B10">
        <w:rPr>
          <w:rFonts w:ascii="Calibri" w:eastAsia="Calibri" w:hAnsi="Calibri" w:cs="Times New Roman"/>
        </w:rPr>
        <w:t>.</w:t>
      </w:r>
      <w:r w:rsidRPr="00A64B10">
        <w:rPr>
          <w:rFonts w:ascii="Calibri" w:eastAsia="Calibri" w:hAnsi="Calibri" w:cs="Times New Roman"/>
        </w:rPr>
        <w:t xml:space="preserve"> </w:t>
      </w:r>
      <w:r w:rsidR="00B2788E" w:rsidRPr="00A64B10">
        <w:rPr>
          <w:rFonts w:ascii="Calibri" w:eastAsia="Calibri" w:hAnsi="Calibri" w:cs="Times New Roman"/>
        </w:rPr>
        <w:t>T</w:t>
      </w:r>
      <w:r w:rsidRPr="00A64B10">
        <w:rPr>
          <w:rFonts w:ascii="Calibri" w:eastAsia="Calibri" w:hAnsi="Calibri" w:cs="Times New Roman"/>
        </w:rPr>
        <w:t>herefore</w:t>
      </w:r>
      <w:r w:rsidR="00B2788E" w:rsidRPr="00A64B10">
        <w:rPr>
          <w:rFonts w:ascii="Calibri" w:eastAsia="Calibri" w:hAnsi="Calibri" w:cs="Times New Roman"/>
        </w:rPr>
        <w:t>,</w:t>
      </w:r>
      <w:r w:rsidRPr="00A64B10">
        <w:rPr>
          <w:rFonts w:ascii="Calibri" w:eastAsia="Calibri" w:hAnsi="Calibri" w:cs="Times New Roman"/>
        </w:rPr>
        <w:t xml:space="preserve"> for medicinal products exposure limits</w:t>
      </w:r>
      <w:r w:rsidR="00B2788E" w:rsidRPr="00A64B10">
        <w:rPr>
          <w:rFonts w:ascii="Calibri" w:eastAsia="Calibri" w:hAnsi="Calibri" w:cs="Times New Roman"/>
        </w:rPr>
        <w:t xml:space="preserve"> </w:t>
      </w:r>
      <w:r w:rsidRPr="00A64B10">
        <w:rPr>
          <w:rFonts w:ascii="Calibri" w:eastAsia="Calibri" w:hAnsi="Calibri" w:cs="Times New Roman"/>
        </w:rPr>
        <w:t xml:space="preserve">have been set. </w:t>
      </w:r>
      <w:r w:rsidR="00B2788E" w:rsidRPr="00A64B10">
        <w:rPr>
          <w:rFonts w:ascii="Calibri" w:eastAsia="Calibri" w:hAnsi="Calibri" w:cs="Times New Roman"/>
        </w:rPr>
        <w:t xml:space="preserve">Their contamination </w:t>
      </w:r>
      <w:r w:rsidRPr="00A64B10">
        <w:rPr>
          <w:rFonts w:ascii="Calibri" w:eastAsia="Calibri" w:hAnsi="Calibri" w:cs="Times New Roman"/>
        </w:rPr>
        <w:t>may also affect the outcome of toxicological assays</w:t>
      </w:r>
      <w:r w:rsidR="00B2788E" w:rsidRPr="00A64B10">
        <w:rPr>
          <w:rFonts w:ascii="Calibri" w:eastAsia="Calibri" w:hAnsi="Calibri" w:cs="Times New Roman"/>
        </w:rPr>
        <w:t>. Hence,</w:t>
      </w:r>
      <w:r w:rsidRPr="00A64B10">
        <w:rPr>
          <w:rFonts w:ascii="Calibri" w:eastAsia="Calibri" w:hAnsi="Calibri" w:cs="Times New Roman"/>
        </w:rPr>
        <w:t xml:space="preserve"> the potential presence of LPS in the testing sample should be determined prior to performing such assays. </w:t>
      </w:r>
    </w:p>
    <w:p w14:paraId="734682BF" w14:textId="068B8698" w:rsidR="00463E88" w:rsidRPr="00A64B10" w:rsidRDefault="00463E88" w:rsidP="00385441">
      <w:pPr>
        <w:jc w:val="both"/>
        <w:rPr>
          <w:rFonts w:ascii="Calibri" w:eastAsia="Calibri" w:hAnsi="Calibri" w:cs="Times New Roman"/>
        </w:rPr>
      </w:pPr>
      <w:r w:rsidRPr="00A64B10">
        <w:rPr>
          <w:rFonts w:ascii="Calibri" w:eastAsia="Calibri" w:hAnsi="Calibri" w:cs="Times New Roman"/>
        </w:rPr>
        <w:lastRenderedPageBreak/>
        <w:t xml:space="preserve">The </w:t>
      </w:r>
      <w:proofErr w:type="gramStart"/>
      <w:r w:rsidRPr="00A64B10">
        <w:rPr>
          <w:rFonts w:ascii="Calibri" w:eastAsia="Calibri" w:hAnsi="Calibri" w:cs="Times New Roman"/>
        </w:rPr>
        <w:t>most commonly used</w:t>
      </w:r>
      <w:proofErr w:type="gramEnd"/>
      <w:r w:rsidRPr="00A64B10">
        <w:rPr>
          <w:rFonts w:ascii="Calibri" w:eastAsia="Calibri" w:hAnsi="Calibri" w:cs="Times New Roman"/>
        </w:rPr>
        <w:t xml:space="preserve"> assay for in vitro endotoxin determination is the Limulus Amoebocyte Lysate (LAL) assay. Three types of the LAL assay exist: the turbidimetric, the chromogenic, and the gel clot assay. While the LAL is a reference for endotoxin determination, included in the </w:t>
      </w:r>
      <w:proofErr w:type="spellStart"/>
      <w:r w:rsidRPr="00A64B10">
        <w:rPr>
          <w:rFonts w:ascii="Calibri" w:eastAsia="Calibri" w:hAnsi="Calibri" w:cs="Times New Roman"/>
        </w:rPr>
        <w:t>Ph.Eur</w:t>
      </w:r>
      <w:proofErr w:type="spellEnd"/>
      <w:r w:rsidR="00005EA0" w:rsidRPr="00A64B10">
        <w:rPr>
          <w:rFonts w:ascii="Calibri" w:eastAsia="Calibri" w:hAnsi="Calibri" w:cs="Times New Roman"/>
        </w:rPr>
        <w:t>.</w:t>
      </w:r>
      <w:r w:rsidRPr="00A64B10">
        <w:rPr>
          <w:rFonts w:ascii="Calibri" w:eastAsia="Calibri" w:hAnsi="Calibri" w:cs="Times New Roman"/>
        </w:rPr>
        <w:t xml:space="preserve"> and ISO standard</w:t>
      </w:r>
      <w:r w:rsidR="00AA4797" w:rsidRPr="00A64B10">
        <w:rPr>
          <w:rFonts w:ascii="Calibri" w:eastAsia="Calibri" w:hAnsi="Calibri" w:cs="Times New Roman"/>
        </w:rPr>
        <w:t>s</w:t>
      </w:r>
      <w:r w:rsidRPr="00A64B10">
        <w:rPr>
          <w:rFonts w:ascii="Calibri" w:eastAsia="Calibri" w:hAnsi="Calibri" w:cs="Times New Roman"/>
        </w:rPr>
        <w:t xml:space="preserve"> (Table </w:t>
      </w:r>
      <w:r w:rsidR="00397535" w:rsidRPr="00A64B10">
        <w:rPr>
          <w:rFonts w:ascii="Calibri" w:eastAsia="Calibri" w:hAnsi="Calibri" w:cs="Times New Roman"/>
        </w:rPr>
        <w:t>S3</w:t>
      </w:r>
      <w:r w:rsidRPr="00A64B10">
        <w:rPr>
          <w:rFonts w:ascii="Calibri" w:eastAsia="Calibri" w:hAnsi="Calibri" w:cs="Times New Roman"/>
        </w:rPr>
        <w:t>)</w:t>
      </w:r>
      <w:r w:rsidR="00AA4797" w:rsidRPr="00A64B10">
        <w:rPr>
          <w:rFonts w:ascii="Calibri" w:eastAsia="Calibri" w:hAnsi="Calibri" w:cs="Times New Roman"/>
        </w:rPr>
        <w:t>,</w:t>
      </w:r>
      <w:r w:rsidRPr="00A64B10">
        <w:rPr>
          <w:rFonts w:ascii="Calibri" w:eastAsia="Calibri" w:hAnsi="Calibri" w:cs="Times New Roman"/>
        </w:rPr>
        <w:t xml:space="preserve"> interference has been observed testing conventional medicines and </w:t>
      </w:r>
      <w:r w:rsidR="0042264C" w:rsidRPr="00A64B10">
        <w:rPr>
          <w:rFonts w:ascii="Calibri" w:eastAsia="Calibri" w:hAnsi="Calibri" w:cs="Times New Roman"/>
        </w:rPr>
        <w:t>nanomaterials</w:t>
      </w:r>
      <w:r w:rsidRPr="00A64B10">
        <w:rPr>
          <w:rFonts w:ascii="Calibri" w:eastAsia="Calibri" w:hAnsi="Calibri" w:cs="Times New Roman"/>
        </w:rPr>
        <w:t xml:space="preserve">. The extent of interference of </w:t>
      </w:r>
      <w:r w:rsidR="0042264C" w:rsidRPr="00A64B10">
        <w:rPr>
          <w:rFonts w:ascii="Calibri" w:eastAsia="Calibri" w:hAnsi="Calibri" w:cs="Times New Roman"/>
        </w:rPr>
        <w:t>nanomaterials</w:t>
      </w:r>
      <w:r w:rsidRPr="00A64B10">
        <w:rPr>
          <w:rFonts w:ascii="Calibri" w:eastAsia="Calibri" w:hAnsi="Calibri" w:cs="Times New Roman"/>
        </w:rPr>
        <w:t xml:space="preserve"> depends on different aspects, including the bacterial strain as source of LPS, the LPS concentration, the type of the assay and </w:t>
      </w:r>
      <w:r w:rsidR="00397535" w:rsidRPr="00A64B10">
        <w:rPr>
          <w:rFonts w:ascii="Calibri" w:eastAsia="Calibri" w:hAnsi="Calibri" w:cs="Times New Roman"/>
        </w:rPr>
        <w:t>p</w:t>
      </w:r>
      <w:r w:rsidRPr="00A64B10">
        <w:rPr>
          <w:rFonts w:ascii="Calibri" w:eastAsia="Calibri" w:hAnsi="Calibri" w:cs="Times New Roman"/>
        </w:rPr>
        <w:t>hysic</w:t>
      </w:r>
      <w:r w:rsidR="0042264C" w:rsidRPr="00A64B10">
        <w:rPr>
          <w:rFonts w:ascii="Calibri" w:eastAsia="Calibri" w:hAnsi="Calibri" w:cs="Times New Roman"/>
        </w:rPr>
        <w:t>o</w:t>
      </w:r>
      <w:r w:rsidRPr="00A64B10">
        <w:rPr>
          <w:rFonts w:ascii="Calibri" w:eastAsia="Calibri" w:hAnsi="Calibri" w:cs="Times New Roman"/>
        </w:rPr>
        <w:t xml:space="preserve">chemical properties of </w:t>
      </w:r>
      <w:r w:rsidR="00AA4797" w:rsidRPr="00A64B10">
        <w:rPr>
          <w:rFonts w:ascii="Calibri" w:eastAsia="Calibri" w:hAnsi="Calibri" w:cs="Times New Roman"/>
        </w:rPr>
        <w:t xml:space="preserve">the </w:t>
      </w:r>
      <w:r w:rsidR="0042264C" w:rsidRPr="00A64B10">
        <w:rPr>
          <w:rFonts w:ascii="Calibri" w:eastAsia="Calibri" w:hAnsi="Calibri" w:cs="Times New Roman"/>
        </w:rPr>
        <w:t>nanomaterials</w:t>
      </w:r>
      <w:r w:rsidR="00397535" w:rsidRPr="00A64B10">
        <w:rPr>
          <w:rFonts w:ascii="Calibri" w:eastAsia="Calibri" w:hAnsi="Calibri" w:cs="Times New Roman"/>
        </w:rPr>
        <w:t>.</w:t>
      </w:r>
      <w:r w:rsidR="0042264C" w:rsidRPr="00A64B10">
        <w:rPr>
          <w:rFonts w:ascii="Calibri" w:eastAsia="Calibri" w:hAnsi="Calibri" w:cs="Times New Roman"/>
        </w:rPr>
        <w:t xml:space="preserve"> Therefore, special precautions and assay optimisation are necessary when using LAL-based assay</w:t>
      </w:r>
      <w:r w:rsidR="00AA4797" w:rsidRPr="00A64B10">
        <w:rPr>
          <w:rFonts w:ascii="Calibri" w:eastAsia="Calibri" w:hAnsi="Calibri" w:cs="Times New Roman"/>
        </w:rPr>
        <w:t>s</w:t>
      </w:r>
      <w:r w:rsidR="0042264C" w:rsidRPr="00A64B10">
        <w:rPr>
          <w:rFonts w:ascii="Calibri" w:eastAsia="Calibri" w:hAnsi="Calibri" w:cs="Times New Roman"/>
        </w:rPr>
        <w:t xml:space="preserve"> to test nanotechnology-based products. Another challenge is related to the detection of endotoxin</w:t>
      </w:r>
      <w:r w:rsidR="00B2788E" w:rsidRPr="00A64B10">
        <w:rPr>
          <w:rFonts w:ascii="Calibri" w:eastAsia="Calibri" w:hAnsi="Calibri" w:cs="Times New Roman"/>
        </w:rPr>
        <w:t>s</w:t>
      </w:r>
      <w:r w:rsidR="0042264C" w:rsidRPr="00A64B10">
        <w:rPr>
          <w:rFonts w:ascii="Calibri" w:eastAsia="Calibri" w:hAnsi="Calibri" w:cs="Times New Roman"/>
        </w:rPr>
        <w:t xml:space="preserve"> which </w:t>
      </w:r>
      <w:r w:rsidR="00B2788E" w:rsidRPr="00A64B10">
        <w:rPr>
          <w:rFonts w:ascii="Calibri" w:eastAsia="Calibri" w:hAnsi="Calibri" w:cs="Times New Roman"/>
        </w:rPr>
        <w:t xml:space="preserve">are </w:t>
      </w:r>
      <w:r w:rsidR="0042264C" w:rsidRPr="00A64B10">
        <w:rPr>
          <w:rFonts w:ascii="Calibri" w:eastAsia="Calibri" w:hAnsi="Calibri" w:cs="Times New Roman"/>
        </w:rPr>
        <w:t>encapsulated inside a nanocarrier</w:t>
      </w:r>
      <w:r w:rsidR="00B2788E" w:rsidRPr="00A64B10">
        <w:rPr>
          <w:rFonts w:ascii="Calibri" w:eastAsia="Calibri" w:hAnsi="Calibri" w:cs="Times New Roman"/>
        </w:rPr>
        <w:t xml:space="preserve"> thus</w:t>
      </w:r>
      <w:r w:rsidR="0042264C" w:rsidRPr="00A64B10">
        <w:rPr>
          <w:rFonts w:ascii="Calibri" w:eastAsia="Calibri" w:hAnsi="Calibri" w:cs="Times New Roman"/>
        </w:rPr>
        <w:t xml:space="preserve"> </w:t>
      </w:r>
      <w:r w:rsidR="00F70D1A" w:rsidRPr="00A64B10">
        <w:rPr>
          <w:rFonts w:ascii="Calibri" w:eastAsia="Calibri" w:hAnsi="Calibri" w:cs="Times New Roman"/>
        </w:rPr>
        <w:t xml:space="preserve">giving </w:t>
      </w:r>
      <w:r w:rsidR="0042264C" w:rsidRPr="00A64B10">
        <w:rPr>
          <w:rFonts w:ascii="Calibri" w:eastAsia="Calibri" w:hAnsi="Calibri" w:cs="Times New Roman"/>
        </w:rPr>
        <w:t>false negative result</w:t>
      </w:r>
      <w:r w:rsidR="00B2788E" w:rsidRPr="00A64B10">
        <w:rPr>
          <w:rFonts w:ascii="Calibri" w:eastAsia="Calibri" w:hAnsi="Calibri" w:cs="Times New Roman"/>
        </w:rPr>
        <w:t>s</w:t>
      </w:r>
      <w:r w:rsidR="00F70D1A" w:rsidRPr="00A64B10">
        <w:rPr>
          <w:rFonts w:ascii="Calibri" w:eastAsia="Calibri" w:hAnsi="Calibri" w:cs="Times New Roman"/>
        </w:rPr>
        <w:t xml:space="preserve"> </w:t>
      </w:r>
      <w:r w:rsidR="00F70D1A"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{"citationItems":[{"id":"ITEM-1","itemData":{"DOI":"10.2217/nnm.13.157","ISSN":"1748-6963","PMID":"24359551","abstract":"AIMS Many nanoparticles interfere with traditional tests to quantify endotoxin. The aim of this study was to compare the performance of limulus amoebocyte lysate (LAL) formats on clinical-grade nanoformulations, to determine whether there were disparate results among formats and to test the applicability of an alternative bioassay (the macrophage activation test [MAT]) for resolving discrepancies, if observed. MATERIALS &amp; METHODS Clinical-grade nanoformulations were tested using turbidimetric, gel-clot and chromogenic LAL. Formulations that cause a discrepancy among LAL tests were also tested by the MAT. RESULTS &amp; CONCLUSION The gel-clot LAL method cannot be relied upon to resolve discrepancies among LAL tests for certain nanoformulations. No one LAL format was shown to be optimal for all the tested clinical-grade nanoformulations. The tested alternative bioassay (the MAT) was useful for verifying LAL findings, but only for those nanoformulations not carrying/including cytotoxic drugs.","author":[{"dropping-particle":"","family":"Dobrovolskaia","given":"Marina A","non-dropping-particle":"","parse-names":false,"suffix":""},{"dropping-particle":"","family":"Neun","given":"Barry W","non-dropping-particle":"","parse-names":false,"suffix":""},{"dropping-particle":"","family":"Clogston","given":"Jeffrey D","non-dropping-particle":"","parse-names":false,"suffix":""},{"dropping-particle":"","family":"Grossman","given":"Jennifer H","non-dropping-particle":"","parse-names":false,"suffix":""},{"dropping-particle":"","family":"McNeil","given":"Scott E","non-dropping-particle":"","parse-names":false,"suffix":""}],"container-title":"Nanomedicine (London, England)","id":"ITEM-1","issue":"12","issued":{"date-parts":[["2014"]]},"page":"1847-56","title":"Choice of method for endotoxin detection depends on nanoformulation.","type":"article-journal","volume":"9"},"uris":["http://www.mendeley.com/documents/?uuid=25724443-18d2-329d-9a64-5df21edb35fe"]},{"id":"ITEM-2","itemData":{"DOI":"10.2174/2213529402666160601115600","ISSN":"22135294","author":[{"dropping-particle":"","family":"Giannakou","given":"Christina","non-dropping-particle":"","parse-names":false,"suffix":""},{"dropping-particle":"","family":"Geertsma","given":"Robert E.","non-dropping-particle":"","parse-names":false,"suffix":""},{"dropping-particle":"","family":"Jong","given":"Wim H.","non-dropping-particle":"De","parse-names":false,"suffix":""},{"dropping-particle":"","family":"Loveren","given":"Henk","non-dropping-particle":"van","parse-names":false,"suffix":""},{"dropping-particle":"","family":"Vandebriel","given":"Rob J.","non-dropping-particle":"","parse-names":false,"suffix":""},{"dropping-particle":"","family":"Park","given":"Margriet VDZ","non-dropping-particle":"","parse-names":false,"suffix":""},{"dropping-particle":"","family":"E. Geertsma","given":"Robert","non-dropping-particle":"","parse-names":false,"suffix":""},{"dropping-particle":"","family":"H. de Jong","given":"Wim","non-dropping-particle":"","parse-names":false,"suffix":""},{"dropping-particle":"","family":"Loveren","given":"Henk","non-dropping-particle":"van","parse-names":false,"suffix":""},{"dropping-particle":"","family":"J. Vandebriel","given":"Rob","non-dropping-particle":"","parse-names":false,"suffix":""},{"dropping-particle":"","family":"VDZ Park","given":"Margriet","non-dropping-particle":"","parse-names":false,"suffix":""}],"container-title":"Current Bionanotechnology","id":"ITEM-2","issue":"2","issued":{"date-parts":[["2016","6","5"]]},"page":"95-102","publisher":"Bentham Science Publishers Ltd.","title":"Immunotoxicity testing of nanomedicinal products: possible pitfalls in endotoxin determination.","type":"article-journal","volume":"2"},"uris":["http://www.mendeley.com/documents/?uuid=a77865ff-c476-4903-9e8f-fd955b8c0a9d"]}],"mendeley":{"formattedCitation":"[47,48]","plainTextFormattedCitation":"[47,48]","previouslyFormattedCitation":"[47,48]"},"properties":{"noteIndex":0},"schema":"https://github.com/citation-style-language/schema/raw/master/csl-citation.json"}</w:instrText>
      </w:r>
      <w:r w:rsidR="00F70D1A" w:rsidRPr="00A64B10">
        <w:rPr>
          <w:rFonts w:ascii="Calibri" w:eastAsia="Calibri" w:hAnsi="Calibri" w:cs="Times New Roman"/>
        </w:rPr>
        <w:fldChar w:fldCharType="separate"/>
      </w:r>
      <w:r w:rsidR="000B3F63" w:rsidRPr="000B3F63">
        <w:rPr>
          <w:rFonts w:ascii="Calibri" w:eastAsia="Calibri" w:hAnsi="Calibri" w:cs="Times New Roman"/>
          <w:noProof/>
        </w:rPr>
        <w:t>[47,48]</w:t>
      </w:r>
      <w:r w:rsidR="00F70D1A" w:rsidRPr="00A64B10">
        <w:rPr>
          <w:rFonts w:ascii="Calibri" w:eastAsia="Calibri" w:hAnsi="Calibri" w:cs="Times New Roman"/>
        </w:rPr>
        <w:fldChar w:fldCharType="end"/>
      </w:r>
      <w:r w:rsidR="0042264C" w:rsidRPr="00A64B10">
        <w:rPr>
          <w:rFonts w:ascii="Calibri" w:eastAsia="Calibri" w:hAnsi="Calibri" w:cs="Times New Roman"/>
        </w:rPr>
        <w:t>.</w:t>
      </w:r>
    </w:p>
    <w:p w14:paraId="35C4E115" w14:textId="4B85773B" w:rsidR="003561ED" w:rsidRPr="00A64B10" w:rsidRDefault="00463E88" w:rsidP="00A23F1A">
      <w:pPr>
        <w:jc w:val="both"/>
        <w:rPr>
          <w:rFonts w:ascii="Calibri" w:eastAsia="Calibri" w:hAnsi="Calibri" w:cs="Times New Roman"/>
        </w:rPr>
      </w:pPr>
      <w:r w:rsidRPr="00A64B10">
        <w:rPr>
          <w:rFonts w:ascii="Calibri" w:eastAsia="Calibri" w:hAnsi="Calibri" w:cs="Times New Roman"/>
        </w:rPr>
        <w:t xml:space="preserve">Testing for endotoxins can also be performed by testing for pyrogenicity. An </w:t>
      </w:r>
      <w:r w:rsidRPr="00026A37">
        <w:rPr>
          <w:rFonts w:ascii="Calibri" w:eastAsia="Calibri" w:hAnsi="Calibri" w:cs="Times New Roman"/>
          <w:i/>
        </w:rPr>
        <w:t>in vitro</w:t>
      </w:r>
      <w:r w:rsidRPr="00A64B10">
        <w:rPr>
          <w:rFonts w:ascii="Calibri" w:eastAsia="Calibri" w:hAnsi="Calibri" w:cs="Times New Roman"/>
        </w:rPr>
        <w:t xml:space="preserve"> pyrogen assay is the monocyte activation test (MAT), where the presence of pyrogens results in</w:t>
      </w:r>
      <w:r w:rsidR="00D411E0" w:rsidRPr="00A64B10">
        <w:rPr>
          <w:rFonts w:ascii="Calibri" w:eastAsia="Calibri" w:hAnsi="Calibri" w:cs="Times New Roman"/>
        </w:rPr>
        <w:t xml:space="preserve"> the</w:t>
      </w:r>
      <w:r w:rsidRPr="00A64B10">
        <w:rPr>
          <w:rFonts w:ascii="Calibri" w:eastAsia="Calibri" w:hAnsi="Calibri" w:cs="Times New Roman"/>
        </w:rPr>
        <w:t xml:space="preserve"> production of proinflammatory cytokines by human monocytes. The MAT is a standardised method, included in the </w:t>
      </w:r>
      <w:proofErr w:type="spellStart"/>
      <w:r w:rsidRPr="00A64B10">
        <w:rPr>
          <w:rFonts w:ascii="Calibri" w:eastAsia="Calibri" w:hAnsi="Calibri" w:cs="Times New Roman"/>
        </w:rPr>
        <w:t>Ph.Eur</w:t>
      </w:r>
      <w:proofErr w:type="spellEnd"/>
      <w:r w:rsidRPr="00A64B10">
        <w:rPr>
          <w:rFonts w:ascii="Calibri" w:eastAsia="Calibri" w:hAnsi="Calibri" w:cs="Times New Roman"/>
        </w:rPr>
        <w:t>.,</w:t>
      </w:r>
      <w:r w:rsidR="009C077B" w:rsidRPr="00A64B10">
        <w:rPr>
          <w:rFonts w:ascii="Calibri" w:eastAsia="Calibri" w:hAnsi="Calibri" w:cs="Times New Roman"/>
        </w:rPr>
        <w:t xml:space="preserve"> </w:t>
      </w:r>
      <w:r w:rsidR="00F0065D" w:rsidRPr="00A64B10">
        <w:rPr>
          <w:rFonts w:ascii="Calibri" w:eastAsia="Calibri" w:hAnsi="Calibri" w:cs="Times New Roman"/>
        </w:rPr>
        <w:t>which</w:t>
      </w:r>
      <w:r w:rsidR="00571085" w:rsidRPr="00A64B10">
        <w:rPr>
          <w:rFonts w:ascii="Calibri" w:eastAsia="Calibri" w:hAnsi="Calibri" w:cs="Times New Roman"/>
        </w:rPr>
        <w:t xml:space="preserve"> </w:t>
      </w:r>
      <w:r w:rsidRPr="00A64B10">
        <w:rPr>
          <w:rFonts w:ascii="Calibri" w:eastAsia="Calibri" w:hAnsi="Calibri" w:cs="Times New Roman"/>
        </w:rPr>
        <w:t xml:space="preserve">can detect the </w:t>
      </w:r>
      <w:r w:rsidR="00AA4797" w:rsidRPr="00A64B10">
        <w:rPr>
          <w:rFonts w:ascii="Calibri" w:eastAsia="Calibri" w:hAnsi="Calibri" w:cs="Times New Roman"/>
        </w:rPr>
        <w:t>pyrogen</w:t>
      </w:r>
      <w:r w:rsidR="00571085" w:rsidRPr="00A64B10">
        <w:rPr>
          <w:rFonts w:ascii="Calibri" w:eastAsia="Calibri" w:hAnsi="Calibri" w:cs="Times New Roman"/>
        </w:rPr>
        <w:t xml:space="preserve">, </w:t>
      </w:r>
      <w:r w:rsidRPr="00A64B10">
        <w:rPr>
          <w:rFonts w:ascii="Calibri" w:eastAsia="Calibri" w:hAnsi="Calibri" w:cs="Times New Roman"/>
        </w:rPr>
        <w:t>even if it is encapsulated</w:t>
      </w:r>
      <w:r w:rsidR="00397535" w:rsidRPr="00A64B10">
        <w:rPr>
          <w:rFonts w:ascii="Calibri" w:eastAsia="Calibri" w:hAnsi="Calibri" w:cs="Times New Roman"/>
        </w:rPr>
        <w:t xml:space="preserve"> (Table S</w:t>
      </w:r>
      <w:r w:rsidR="007C17E3" w:rsidRPr="00A64B10">
        <w:rPr>
          <w:rFonts w:ascii="Calibri" w:eastAsia="Calibri" w:hAnsi="Calibri" w:cs="Times New Roman"/>
        </w:rPr>
        <w:t>4</w:t>
      </w:r>
      <w:r w:rsidR="00397535" w:rsidRPr="00A64B10">
        <w:rPr>
          <w:rFonts w:ascii="Calibri" w:eastAsia="Calibri" w:hAnsi="Calibri" w:cs="Times New Roman"/>
        </w:rPr>
        <w:t>)</w:t>
      </w:r>
      <w:r w:rsidR="00584037" w:rsidRPr="00A64B10">
        <w:rPr>
          <w:rFonts w:ascii="Calibri" w:eastAsia="Calibri" w:hAnsi="Calibri" w:cs="Times New Roman"/>
        </w:rPr>
        <w:t xml:space="preserve">, </w:t>
      </w:r>
      <w:r w:rsidR="00584037" w:rsidRPr="00A64B10">
        <w:rPr>
          <w:rFonts w:ascii="Calibri" w:hAnsi="Calibri"/>
        </w:rPr>
        <w:t xml:space="preserve">but does not distinguish between </w:t>
      </w:r>
      <w:r w:rsidR="00004DE3" w:rsidRPr="00A64B10">
        <w:rPr>
          <w:rFonts w:ascii="Calibri" w:eastAsia="Calibri" w:hAnsi="Calibri" w:cs="Times New Roman"/>
        </w:rPr>
        <w:t xml:space="preserve">general </w:t>
      </w:r>
      <w:r w:rsidR="00584037" w:rsidRPr="00A64B10">
        <w:rPr>
          <w:rFonts w:ascii="Calibri" w:hAnsi="Calibri"/>
        </w:rPr>
        <w:t>pyrogens and endotoxin</w:t>
      </w:r>
      <w:r w:rsidR="00004DE3" w:rsidRPr="00A64B10">
        <w:rPr>
          <w:rFonts w:ascii="Calibri" w:eastAsia="Calibri" w:hAnsi="Calibri" w:cs="Times New Roman"/>
        </w:rPr>
        <w:t>s, specifically</w:t>
      </w:r>
      <w:r w:rsidR="00571085" w:rsidRPr="00A64B10">
        <w:rPr>
          <w:rFonts w:ascii="Calibri" w:eastAsia="Calibri" w:hAnsi="Calibri" w:cs="Times New Roman"/>
        </w:rPr>
        <w:t>.</w:t>
      </w:r>
      <w:r w:rsidR="00A23F1A">
        <w:rPr>
          <w:rFonts w:ascii="Calibri" w:eastAsia="Calibri" w:hAnsi="Calibri" w:cs="Times New Roman"/>
        </w:rPr>
        <w:t xml:space="preserve"> </w:t>
      </w:r>
      <w:r w:rsidR="00584037" w:rsidRPr="000700DD">
        <w:rPr>
          <w:rFonts w:ascii="Calibri" w:eastAsia="Calibri" w:hAnsi="Calibri" w:cs="Times New Roman"/>
        </w:rPr>
        <w:t>Alternative</w:t>
      </w:r>
      <w:r w:rsidR="0017112B" w:rsidRPr="000700DD">
        <w:rPr>
          <w:rFonts w:ascii="Calibri" w:eastAsia="Calibri" w:hAnsi="Calibri" w:cs="Times New Roman"/>
        </w:rPr>
        <w:t>s</w:t>
      </w:r>
      <w:r w:rsidR="00584037" w:rsidRPr="00A64B10">
        <w:rPr>
          <w:rFonts w:ascii="Calibri" w:eastAsia="Calibri" w:hAnsi="Calibri" w:cs="Times New Roman"/>
        </w:rPr>
        <w:t xml:space="preserve"> to LAL-based methods need to be developed for nanotechnology-based products. Some alternative approaches exist,</w:t>
      </w:r>
      <w:r w:rsidR="00397535" w:rsidRPr="00A64B10">
        <w:rPr>
          <w:rFonts w:ascii="Calibri" w:eastAsia="Calibri" w:hAnsi="Calibri" w:cs="Times New Roman"/>
        </w:rPr>
        <w:t xml:space="preserve"> </w:t>
      </w:r>
      <w:r w:rsidRPr="00A64B10">
        <w:rPr>
          <w:rFonts w:ascii="Calibri" w:eastAsia="Calibri" w:hAnsi="Calibri" w:cs="Times New Roman"/>
        </w:rPr>
        <w:t>based on TLR4 reporter cells</w:t>
      </w:r>
      <w:r w:rsidR="00BA6601" w:rsidRPr="00A64B10">
        <w:rPr>
          <w:rFonts w:ascii="Calibri" w:eastAsia="Calibri" w:hAnsi="Calibri" w:cs="Times New Roman"/>
        </w:rPr>
        <w:t xml:space="preserve"> </w:t>
      </w:r>
      <w:r w:rsidR="00BA6601"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{"citationItems":[{"id":"ITEM-1","itemData":{"DOI":"10.1186/1743-8977-9-41","ISSN":"17438977","PMID":"23140310","abstract":"Background: Nanomaterials can be contaminated with endotoxin (lipopolysaccharides, LPS) during production or handling. In this study, we searched for a convenient in vitro method to evaluate endotoxin contamination in nanoparticle samples. We assessed the reliability of the commonly used limulus amebocyte lysate (LAL) assay and an alternative method based on toll-like receptor (TLR) 4 reporter cells when applied with particles (TiO2, Ag, CaCO3 and SiO2), or after extraction of the endotoxin as described in the ISO norm 29701.Results: Our results indicate that the gel clot LAL assay is easily disturbed in the presence of nanoparticles; and that the endotoxin extraction protocol is not suitable at high particle concentrations. The chromogenic-based LAL endotoxin detection systems (chromogenic LAL assay and Endosafe-PTS), and the TLR4 reporter cells were not significantly perturbed.Conclusion: We demonstrated that nanoparticles can interfere with endotoxin detection systems indicating that a convenient test method must be chosen before assessing endotoxin contamination in nanoparticle samples. © 2012 Smulders et al.; licensee BioMed Central Ltd.","author":[{"dropping-particle":"","family":"Smulders","given":"Stijn","non-dropping-particle":"","parse-names":false,"suffix":""},{"dropping-particle":"","family":"Kaiser","given":"Jean Pierre","non-dropping-particle":"","parse-names":false,"suffix":""},{"dropping-particle":"","family":"Zuin","given":"Stefano","non-dropping-particle":"","parse-names":false,"suffix":""},{"dropping-particle":"","family":"Landuyt","given":"Kirsten L.","non-dropping-particle":"Van","parse-names":false,"suffix":""},{"dropping-particle":"","family":"Golanski","given":"Luana","non-dropping-particle":"","parse-names":false,"suffix":""},{"dropping-particle":"","family":"Vanoirbeek","given":"Jeroen","non-dropping-particle":"","parse-names":false,"suffix":""},{"dropping-particle":"","family":"Wick","given":"Peter","non-dropping-particle":"","parse-names":false,"suffix":""},{"dropping-particle":"","family":"Hoet","given":"Peter H.M.","non-dropping-particle":"","parse-names":false,"suffix":""}],"container-title":"Particle and Fibre Toxicology","id":"ITEM-1","issued":{"date-parts":[["2012","11","9"]]},"publisher":"Part Fibre Toxicol","title":"Contamination of nanoparticles by endotoxin: Evaluation of different test methods","type":"article-journal","volume":"9"},"uris":["http://www.mendeley.com/documents/?uuid=9fad3d48-7f5b-306e-a816-85a732b47fdc"]}],"mendeley":{"formattedCitation":"[49]","plainTextFormattedCitation":"[49]","previouslyFormattedCitation":"[49]"},"properties":{"noteIndex":0},"schema":"https://github.com/citation-style-language/schema/raw/master/csl-citation.json"}</w:instrText>
      </w:r>
      <w:r w:rsidR="00BA6601" w:rsidRPr="00A64B10">
        <w:rPr>
          <w:rFonts w:ascii="Calibri" w:eastAsia="Calibri" w:hAnsi="Calibri" w:cs="Times New Roman"/>
        </w:rPr>
        <w:fldChar w:fldCharType="separate"/>
      </w:r>
      <w:r w:rsidR="000B3F63" w:rsidRPr="000B3F63">
        <w:rPr>
          <w:rFonts w:ascii="Calibri" w:eastAsia="Calibri" w:hAnsi="Calibri" w:cs="Times New Roman"/>
          <w:noProof/>
        </w:rPr>
        <w:t>[49]</w:t>
      </w:r>
      <w:r w:rsidR="00BA6601" w:rsidRPr="00A64B10">
        <w:rPr>
          <w:rFonts w:ascii="Calibri" w:eastAsia="Calibri" w:hAnsi="Calibri" w:cs="Times New Roman"/>
        </w:rPr>
        <w:fldChar w:fldCharType="end"/>
      </w:r>
      <w:r w:rsidRPr="00A64B10">
        <w:rPr>
          <w:rFonts w:ascii="Calibri" w:eastAsia="Calibri" w:hAnsi="Calibri" w:cs="Times New Roman"/>
        </w:rPr>
        <w:t xml:space="preserve"> </w:t>
      </w:r>
      <w:r w:rsidR="0099718D" w:rsidRPr="00A64B10">
        <w:rPr>
          <w:rFonts w:ascii="Calibri" w:eastAsia="Calibri" w:hAnsi="Calibri" w:cs="Times New Roman"/>
        </w:rPr>
        <w:t>or measur</w:t>
      </w:r>
      <w:r w:rsidR="00AA4797" w:rsidRPr="00A64B10">
        <w:rPr>
          <w:rFonts w:ascii="Calibri" w:eastAsia="Calibri" w:hAnsi="Calibri" w:cs="Times New Roman"/>
        </w:rPr>
        <w:t>ing</w:t>
      </w:r>
      <w:r w:rsidR="0099718D" w:rsidRPr="00A64B10">
        <w:rPr>
          <w:rFonts w:ascii="Calibri" w:eastAsia="Calibri" w:hAnsi="Calibri" w:cs="Times New Roman"/>
        </w:rPr>
        <w:t xml:space="preserve"> </w:t>
      </w:r>
      <w:r w:rsidRPr="00A64B10">
        <w:rPr>
          <w:rFonts w:ascii="Calibri" w:eastAsia="Calibri" w:hAnsi="Calibri" w:cs="Times New Roman"/>
        </w:rPr>
        <w:t>endotoxin indirectly via 3-hydroxylated fatty acids of lipid-</w:t>
      </w:r>
      <w:r w:rsidR="00D97CB4" w:rsidRPr="00A64B10">
        <w:rPr>
          <w:rFonts w:ascii="Calibri" w:eastAsia="Calibri" w:hAnsi="Calibri" w:cs="Times New Roman"/>
        </w:rPr>
        <w:t>A</w:t>
      </w:r>
      <w:r w:rsidRPr="00A64B10">
        <w:rPr>
          <w:rFonts w:ascii="Calibri" w:eastAsia="Calibri" w:hAnsi="Calibri" w:cs="Times New Roman"/>
        </w:rPr>
        <w:t xml:space="preserve"> </w:t>
      </w:r>
      <w:r w:rsidR="00BA6601"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10.2217/nnm-2018-0339","ISSN":"17486963","author":[{"dropping-particle":"","family":"Giannakou","given":"Christina","non-dropping-particle":"","parse-names":false,"suffix":""},{"dropping-particle":"","family":"Aimonen","given":"Kukka","non-dropping-particle":"","parse-names":false,"suffix":""},{"dropping-particle":"Van","family":"Bloois","given":"Louis","non-dropping-particle":"","parse-names":false,"suffix":""},{"dropping-particle":"","family":"Catalán","given":"Julia","non-dropping-particle":"","parse-names":false,"suffix":""},{"dropping-particle":"","family":"Geertsma","given":"Robert E.","non-dropping-particle":"","parse-names":false,"suffix":""},{"dropping-particle":"","family":"Gremmer","given":"Eric R.","non-dropping-particle":"","parse-names":false,"suffix":""},{"dropping-particle":"","family":"Jong","given":"Wim H.","non-dropping-particle":"De","parse-names":false,"suffix":""},{"dropping-particle":"","family":"Keizers","given":"Peter H.J.","non-dropping-particle":"","parse-names":false,"suffix":""},{"dropping-particle":"","family":"Schwillens","given":"Paul L.W.J.","non-dropping-particle":"","parse-names":false,"suffix":""},{"dropping-particle":"","family":"Vandebriel","given":"Rob J.","non-dropping-particle":"","parse-names":false,"suffix":""},{"dropping-particle":"","family":"Park","given":"Margriet V.D.Z.","non-dropping-particle":"","parse-names":false,"suffix":""}],"container-title":"Nanomedicine","id":"ITEM-1","issue":"10","issued":{"date-parts":[["2019"]]},"page":"1231-1246","title":"Sensitive method for endotoxin determination in nanomedicinal product samples","type":"article-journal","volume":"14"},"uris":["http://www.mendeley.com/documents/?uuid=c8caee46-4397-4af1-9a69-6f7496fb5ef8"]}],"mendeley":{"formattedCitation":"[50]","plainTextFormattedCitation":"[50]","previouslyFormattedCitation":"[50]"},"properties":{"noteIndex":0},"schema":"https://github.com/citation-style-language/schema/raw/master/csl-citation.json"}</w:instrText>
      </w:r>
      <w:r w:rsidR="00BA6601" w:rsidRPr="00A64B10">
        <w:rPr>
          <w:rFonts w:ascii="Calibri" w:eastAsia="Calibri" w:hAnsi="Calibri" w:cs="Times New Roman"/>
        </w:rPr>
        <w:fldChar w:fldCharType="separate"/>
      </w:r>
      <w:r w:rsidR="000B3F63" w:rsidRPr="000B3F63">
        <w:rPr>
          <w:rFonts w:ascii="Calibri" w:eastAsia="Calibri" w:hAnsi="Calibri" w:cs="Times New Roman"/>
          <w:noProof/>
        </w:rPr>
        <w:t>[50]</w:t>
      </w:r>
      <w:r w:rsidR="00BA6601" w:rsidRPr="00A64B10">
        <w:rPr>
          <w:rFonts w:ascii="Calibri" w:eastAsia="Calibri" w:hAnsi="Calibri" w:cs="Times New Roman"/>
        </w:rPr>
        <w:fldChar w:fldCharType="end"/>
      </w:r>
      <w:r w:rsidR="0099718D" w:rsidRPr="00A64B10">
        <w:rPr>
          <w:rFonts w:ascii="Calibri" w:eastAsia="Calibri" w:hAnsi="Calibri" w:cs="Times New Roman"/>
        </w:rPr>
        <w:t>, however</w:t>
      </w:r>
      <w:r w:rsidR="00E575FF" w:rsidRPr="00A64B10">
        <w:rPr>
          <w:rFonts w:ascii="Calibri" w:eastAsia="Calibri" w:hAnsi="Calibri" w:cs="Times New Roman"/>
        </w:rPr>
        <w:t xml:space="preserve"> </w:t>
      </w:r>
      <w:r w:rsidR="00D97CB4" w:rsidRPr="00A64B10">
        <w:rPr>
          <w:rFonts w:ascii="Calibri" w:eastAsia="Calibri" w:hAnsi="Calibri" w:cs="Times New Roman"/>
        </w:rPr>
        <w:t>they are still in early stage</w:t>
      </w:r>
      <w:r w:rsidR="00F0065D" w:rsidRPr="00A64B10">
        <w:rPr>
          <w:rFonts w:ascii="Calibri" w:eastAsia="Calibri" w:hAnsi="Calibri" w:cs="Times New Roman"/>
        </w:rPr>
        <w:t>s</w:t>
      </w:r>
      <w:r w:rsidR="00D97CB4" w:rsidRPr="00A64B10">
        <w:rPr>
          <w:rFonts w:ascii="Calibri" w:eastAsia="Calibri" w:hAnsi="Calibri" w:cs="Times New Roman"/>
        </w:rPr>
        <w:t xml:space="preserve"> of development</w:t>
      </w:r>
      <w:r w:rsidR="00026A37">
        <w:rPr>
          <w:rFonts w:ascii="Calibri" w:eastAsia="Calibri" w:hAnsi="Calibri" w:cs="Times New Roman"/>
        </w:rPr>
        <w:t xml:space="preserve"> (Table S4)</w:t>
      </w:r>
      <w:r w:rsidR="00D97CB4" w:rsidRPr="00A64B10">
        <w:rPr>
          <w:rFonts w:ascii="Calibri" w:eastAsia="Calibri" w:hAnsi="Calibri" w:cs="Times New Roman"/>
        </w:rPr>
        <w:t>.</w:t>
      </w:r>
    </w:p>
    <w:p w14:paraId="5CFBB7AC" w14:textId="77777777" w:rsidR="00463E88" w:rsidRPr="00A64B10" w:rsidRDefault="00463E88" w:rsidP="00D64FC0">
      <w:pPr>
        <w:keepNext/>
        <w:keepLines/>
        <w:spacing w:before="40" w:after="0"/>
        <w:outlineLvl w:val="3"/>
        <w:rPr>
          <w:rFonts w:ascii="Cambria" w:eastAsia="Calibri" w:hAnsi="Cambria" w:cs="Times New Roman"/>
          <w:i/>
          <w:iCs/>
          <w:color w:val="365F91"/>
        </w:rPr>
      </w:pPr>
      <w:proofErr w:type="spellStart"/>
      <w:r w:rsidRPr="00A64B10">
        <w:rPr>
          <w:rFonts w:ascii="Cambria" w:eastAsia="Calibri" w:hAnsi="Cambria" w:cs="Times New Roman"/>
          <w:i/>
          <w:iCs/>
          <w:color w:val="365F91"/>
        </w:rPr>
        <w:t>H</w:t>
      </w:r>
      <w:r w:rsidR="00FF52D2" w:rsidRPr="00A64B10">
        <w:rPr>
          <w:rFonts w:ascii="Cambria" w:eastAsia="Calibri" w:hAnsi="Cambria" w:cs="Times New Roman"/>
          <w:i/>
          <w:iCs/>
          <w:color w:val="365F91"/>
        </w:rPr>
        <w:t>a</w:t>
      </w:r>
      <w:r w:rsidRPr="00A64B10">
        <w:rPr>
          <w:rFonts w:ascii="Cambria" w:eastAsia="Calibri" w:hAnsi="Cambria" w:cs="Times New Roman"/>
          <w:i/>
          <w:iCs/>
          <w:color w:val="365F91"/>
        </w:rPr>
        <w:t>em</w:t>
      </w:r>
      <w:r w:rsidR="00453E43" w:rsidRPr="00A64B10">
        <w:rPr>
          <w:rFonts w:ascii="Cambria" w:eastAsia="Calibri" w:hAnsi="Cambria" w:cs="Times New Roman"/>
          <w:i/>
          <w:iCs/>
          <w:color w:val="365F91"/>
        </w:rPr>
        <w:t>ocompatibility</w:t>
      </w:r>
      <w:proofErr w:type="spellEnd"/>
      <w:r w:rsidRPr="00A64B10">
        <w:rPr>
          <w:rFonts w:ascii="Cambria" w:eastAsia="Calibri" w:hAnsi="Cambria" w:cs="Times New Roman"/>
          <w:i/>
          <w:iCs/>
          <w:color w:val="365F91"/>
        </w:rPr>
        <w:t xml:space="preserve"> </w:t>
      </w:r>
    </w:p>
    <w:p w14:paraId="325EA531" w14:textId="0FA33DAF" w:rsidR="00F75534" w:rsidRPr="00A64B10" w:rsidRDefault="002967FD" w:rsidP="003432E9">
      <w:pPr>
        <w:jc w:val="both"/>
        <w:rPr>
          <w:rFonts w:ascii="Calibri" w:eastAsia="Calibri" w:hAnsi="Calibri" w:cs="Times New Roman"/>
        </w:rPr>
      </w:pPr>
      <w:r w:rsidRPr="00A64B10">
        <w:rPr>
          <w:rFonts w:ascii="Calibri" w:eastAsia="Calibri" w:hAnsi="Calibri" w:cs="Times New Roman"/>
        </w:rPr>
        <w:t xml:space="preserve">Assessment of </w:t>
      </w:r>
      <w:proofErr w:type="spellStart"/>
      <w:r w:rsidR="00FF52D2" w:rsidRPr="00A64B10">
        <w:rPr>
          <w:rFonts w:ascii="Calibri" w:eastAsia="Calibri" w:hAnsi="Calibri" w:cs="Times New Roman"/>
        </w:rPr>
        <w:t>haemocompatibility</w:t>
      </w:r>
      <w:proofErr w:type="spellEnd"/>
      <w:r w:rsidRPr="00A64B10">
        <w:rPr>
          <w:rFonts w:ascii="Calibri" w:eastAsia="Calibri" w:hAnsi="Calibri" w:cs="Times New Roman"/>
        </w:rPr>
        <w:t>, including effect</w:t>
      </w:r>
      <w:r w:rsidR="00AA4797" w:rsidRPr="00A64B10">
        <w:rPr>
          <w:rFonts w:ascii="Calibri" w:eastAsia="Calibri" w:hAnsi="Calibri" w:cs="Times New Roman"/>
        </w:rPr>
        <w:t>s</w:t>
      </w:r>
      <w:r w:rsidRPr="00A64B10">
        <w:rPr>
          <w:rFonts w:ascii="Calibri" w:eastAsia="Calibri" w:hAnsi="Calibri" w:cs="Times New Roman"/>
        </w:rPr>
        <w:t xml:space="preserve"> on red blood cells</w:t>
      </w:r>
      <w:r w:rsidR="00F70D1A" w:rsidRPr="00A64B10">
        <w:rPr>
          <w:rFonts w:ascii="Calibri" w:eastAsia="Calibri" w:hAnsi="Calibri" w:cs="Times New Roman"/>
        </w:rPr>
        <w:t xml:space="preserve"> (haemolysis)</w:t>
      </w:r>
      <w:r w:rsidRPr="00A64B10">
        <w:rPr>
          <w:rFonts w:ascii="Calibri" w:eastAsia="Calibri" w:hAnsi="Calibri" w:cs="Times New Roman"/>
        </w:rPr>
        <w:t xml:space="preserve"> and thrombogenicity potential is required for medicinal products and medical devices that </w:t>
      </w:r>
      <w:r w:rsidR="005729F2" w:rsidRPr="00A64B10">
        <w:rPr>
          <w:rFonts w:ascii="Calibri" w:eastAsia="Calibri" w:hAnsi="Calibri" w:cs="Times New Roman"/>
        </w:rPr>
        <w:t>will be in contact with blood (Figure 3).</w:t>
      </w:r>
      <w:r w:rsidRPr="00A64B10">
        <w:rPr>
          <w:rFonts w:ascii="Calibri" w:eastAsia="Calibri" w:hAnsi="Calibri" w:cs="Times New Roman"/>
        </w:rPr>
        <w:t xml:space="preserve"> </w:t>
      </w:r>
      <w:r w:rsidR="00463E88" w:rsidRPr="00A64B10">
        <w:rPr>
          <w:rFonts w:ascii="Calibri" w:eastAsia="Calibri" w:hAnsi="Calibri" w:cs="Times New Roman"/>
        </w:rPr>
        <w:t>H</w:t>
      </w:r>
      <w:r w:rsidR="00EA5345" w:rsidRPr="00A64B10">
        <w:rPr>
          <w:rFonts w:ascii="Calibri" w:eastAsia="Calibri" w:hAnsi="Calibri" w:cs="Times New Roman"/>
        </w:rPr>
        <w:t>a</w:t>
      </w:r>
      <w:r w:rsidR="00463E88" w:rsidRPr="00A64B10">
        <w:rPr>
          <w:rFonts w:ascii="Calibri" w:eastAsia="Calibri" w:hAnsi="Calibri" w:cs="Times New Roman"/>
        </w:rPr>
        <w:t>emolysis refers to</w:t>
      </w:r>
      <w:r w:rsidR="00D411E0" w:rsidRPr="00A64B10">
        <w:rPr>
          <w:rFonts w:ascii="Calibri" w:eastAsia="Calibri" w:hAnsi="Calibri" w:cs="Times New Roman"/>
        </w:rPr>
        <w:t xml:space="preserve"> the</w:t>
      </w:r>
      <w:r w:rsidR="00463E88" w:rsidRPr="00A64B10">
        <w:rPr>
          <w:rFonts w:ascii="Calibri" w:eastAsia="Calibri" w:hAnsi="Calibri" w:cs="Times New Roman"/>
        </w:rPr>
        <w:t xml:space="preserve"> damage to red blood cells, which may lead to </w:t>
      </w:r>
      <w:r w:rsidR="00EA5345" w:rsidRPr="00A64B10">
        <w:rPr>
          <w:rFonts w:ascii="Calibri" w:eastAsia="Calibri" w:hAnsi="Calibri" w:cs="Times New Roman"/>
        </w:rPr>
        <w:t>anaemia</w:t>
      </w:r>
      <w:r w:rsidR="00463E88" w:rsidRPr="00A64B10">
        <w:rPr>
          <w:rFonts w:ascii="Calibri" w:eastAsia="Calibri" w:hAnsi="Calibri" w:cs="Times New Roman"/>
        </w:rPr>
        <w:t xml:space="preserve"> and other life-threatening conditions. </w:t>
      </w:r>
      <w:r w:rsidR="00383D04" w:rsidRPr="00A64B10">
        <w:rPr>
          <w:rFonts w:ascii="Calibri" w:eastAsia="Calibri" w:hAnsi="Calibri" w:cs="Times New Roman"/>
        </w:rPr>
        <w:t xml:space="preserve">The </w:t>
      </w:r>
      <w:r w:rsidR="00383D04" w:rsidRPr="002177E3">
        <w:rPr>
          <w:rFonts w:ascii="Calibri" w:hAnsi="Calibri"/>
          <w:i/>
        </w:rPr>
        <w:t>in vitro</w:t>
      </w:r>
      <w:r w:rsidR="00383D04" w:rsidRPr="00A64B10">
        <w:rPr>
          <w:rFonts w:ascii="Calibri" w:eastAsia="Calibri" w:hAnsi="Calibri" w:cs="Times New Roman"/>
        </w:rPr>
        <w:t xml:space="preserve"> haemolysis assay was found to be highly predictive </w:t>
      </w:r>
      <w:r w:rsidR="00C54711" w:rsidRPr="00A64B10">
        <w:rPr>
          <w:rFonts w:ascii="Calibri" w:eastAsia="Calibri" w:hAnsi="Calibri" w:cs="Times New Roman"/>
        </w:rPr>
        <w:t xml:space="preserve">for </w:t>
      </w:r>
      <w:r w:rsidR="00D411E0" w:rsidRPr="00026A37">
        <w:rPr>
          <w:rFonts w:ascii="Calibri" w:eastAsia="Calibri" w:hAnsi="Calibri" w:cs="Times New Roman"/>
          <w:i/>
        </w:rPr>
        <w:t xml:space="preserve">in </w:t>
      </w:r>
      <w:r w:rsidR="00463E88" w:rsidRPr="00026A37">
        <w:rPr>
          <w:rFonts w:ascii="Calibri" w:eastAsia="Calibri" w:hAnsi="Calibri" w:cs="Times New Roman"/>
          <w:i/>
        </w:rPr>
        <w:t>vivo</w:t>
      </w:r>
      <w:r w:rsidR="00463E88" w:rsidRPr="00A64B10">
        <w:rPr>
          <w:rFonts w:ascii="Calibri" w:eastAsia="Calibri" w:hAnsi="Calibri" w:cs="Times New Roman"/>
        </w:rPr>
        <w:t xml:space="preserve"> studies identifying </w:t>
      </w:r>
      <w:r w:rsidR="00517497" w:rsidRPr="00A64B10">
        <w:rPr>
          <w:rFonts w:ascii="Calibri" w:eastAsia="Calibri" w:hAnsi="Calibri" w:cs="Times New Roman"/>
        </w:rPr>
        <w:t xml:space="preserve">haemolytic and pro-inflammatory </w:t>
      </w:r>
      <w:r w:rsidR="00347945" w:rsidRPr="00A64B10">
        <w:rPr>
          <w:rFonts w:ascii="Calibri" w:eastAsia="Calibri" w:hAnsi="Calibri" w:cs="Times New Roman"/>
        </w:rPr>
        <w:t>potential</w:t>
      </w:r>
      <w:r w:rsidR="00D411E0" w:rsidRPr="00A64B10">
        <w:rPr>
          <w:rFonts w:ascii="Calibri" w:eastAsia="Calibri" w:hAnsi="Calibri" w:cs="Times New Roman"/>
        </w:rPr>
        <w:t xml:space="preserve"> of nanoparticles</w:t>
      </w:r>
      <w:r w:rsidR="00F25BD1" w:rsidRPr="00A64B10">
        <w:rPr>
          <w:rFonts w:ascii="Calibri" w:eastAsia="Calibri" w:hAnsi="Calibri" w:cs="Times New Roman"/>
        </w:rPr>
        <w:t xml:space="preserve"> </w:t>
      </w:r>
      <w:r w:rsidR="00F25BD1"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{"citationItems":[{"id":"ITEM-1","itemData":{"DOI":"10.1289/ehp.11811","ISSN":"00916765","PMID":"19270794","abstract":"Background: There has been concern regarding risks from inhalation exposure to nanoparticles (NPs). The large number of particles requiring testing means that alternative approaches to animal testing are needed. Objectives: We set out to determine whether short-term in vitro assays that assess intrinsic oxidative stress potential and membrane-damaging potency of a panel of metal oxide NPs can be used to predict their inflammogenic potency. Methods: For a panel of metal oxide NPs, we investigated intrinsic free radical generation, oxidative activity in an extracellular environment, cytotoxicity to lung epithelial cells, hemolysis, and inflammation potency in rat lungs. All exposures were carried out at equal surface area doses. Results: Only nickel oxide (NiO) and alumina 2 caused significant lung inflammation when instilled into rat lungs at equal surface area, suggesting that these two had extra surface reactivity. We observed significant free radical generation with 4 of 13 metal oxides, only one of which was inflammogenic. Only 3 of 13 were significantly hemolytic, two of which were inflammogenic. Conclusions: Potency in generating free radicals in vitro did not predict inflammation, whereas alumina 2 had no free radical activity but was inflammogenic. The hemolysis assay was correct in predicting the proinflammatory potential of 12 of 13 of the particles examined. Using a battery of simple in vitro tests, it is possible to predict the inflammogenicity of metal oxide NPs, although some false-positive results are likely. More research using a larger panel is needed to confirm the efficacy and generality of this approach for metal oxide NPs.","author":[{"dropping-particle":"","family":"Lu","given":"Senlin","non-dropping-particle":"","parse-names":false,"suffix":""},{"dropping-particle":"","family":"Duffin","given":"Rodger","non-dropping-particle":"","parse-names":false,"suffix":""},{"dropping-particle":"","family":"Poland","given":"Craig","non-dropping-particle":"","parse-names":false,"suffix":""},{"dropping-particle":"","family":"Daly","given":"Paul","non-dropping-particle":"","parse-names":false,"suffix":""},{"dropping-particle":"","family":"Murphy","given":"Fiona","non-dropping-particle":"","parse-names":false,"suffix":""},{"dropping-particle":"","family":"Drost","given":"Ellen","non-dropping-particle":"","parse-names":false,"suffix":""},{"dropping-particle":"","family":"MacNee","given":"William","non-dropping-particle":"","parse-names":false,"suffix":""},{"dropping-particle":"","family":"Stone","given":"Vicki","non-dropping-particle":"","parse-names":false,"suffix":""},{"dropping-particle":"","family":"Donaldson","given":"Ken","non-dropping-particle":"","parse-names":false,"suffix":""}],"container-title":"Environmental Health Perspectives","id":"ITEM-1","issue":"2","issued":{"date-parts":[["2009"]]},"page":"241-247","publisher":"National Institute of Environmental Health Sciences","title":"Efficacy of simple short-term in vitro assays for predicting the potential of metal oxide nanoparticles to cause pulmonary inflammation","type":"article-journal","volume":"117"},"uris":["http://www.mendeley.com/documents/?uuid=02494d11-365a-3b9c-9640-47998e066a84"]}],"mendeley":{"formattedCitation":"[51]","plainTextFormattedCitation":"[51]","previouslyFormattedCitation":"[51]"},"properties":{"noteIndex":0},"schema":"https://github.com/citation-style-language/schema/raw/master/csl-citation.json"}</w:instrText>
      </w:r>
      <w:r w:rsidR="00F25BD1" w:rsidRPr="00A64B10">
        <w:rPr>
          <w:rFonts w:ascii="Calibri" w:eastAsia="Calibri" w:hAnsi="Calibri" w:cs="Times New Roman"/>
        </w:rPr>
        <w:fldChar w:fldCharType="separate"/>
      </w:r>
      <w:r w:rsidR="000B3F63" w:rsidRPr="000B3F63">
        <w:rPr>
          <w:rFonts w:ascii="Calibri" w:eastAsia="Calibri" w:hAnsi="Calibri" w:cs="Times New Roman"/>
          <w:noProof/>
        </w:rPr>
        <w:t>[51]</w:t>
      </w:r>
      <w:r w:rsidR="00F25BD1" w:rsidRPr="00A64B10">
        <w:rPr>
          <w:rFonts w:ascii="Calibri" w:eastAsia="Calibri" w:hAnsi="Calibri" w:cs="Times New Roman"/>
        </w:rPr>
        <w:fldChar w:fldCharType="end"/>
      </w:r>
      <w:r w:rsidR="00463E88" w:rsidRPr="00A64B10">
        <w:rPr>
          <w:rFonts w:ascii="Calibri" w:eastAsia="Calibri" w:hAnsi="Calibri" w:cs="Times New Roman"/>
        </w:rPr>
        <w:t xml:space="preserve">. The ASTM International protocol E2524-08 </w:t>
      </w:r>
      <w:r w:rsidR="00BA6601" w:rsidRPr="00A64B10">
        <w:rPr>
          <w:rFonts w:ascii="Calibri" w:eastAsia="Calibri" w:hAnsi="Calibri" w:cs="Times New Roman"/>
        </w:rPr>
        <w:t xml:space="preserve">(Table </w:t>
      </w:r>
      <w:r w:rsidR="00347945" w:rsidRPr="00A64B10">
        <w:rPr>
          <w:rFonts w:ascii="Calibri" w:eastAsia="Calibri" w:hAnsi="Calibri" w:cs="Times New Roman"/>
        </w:rPr>
        <w:t>S</w:t>
      </w:r>
      <w:r w:rsidR="007C17E3" w:rsidRPr="00A64B10">
        <w:rPr>
          <w:rFonts w:ascii="Calibri" w:eastAsia="Calibri" w:hAnsi="Calibri" w:cs="Times New Roman"/>
        </w:rPr>
        <w:t>4</w:t>
      </w:r>
      <w:r w:rsidR="00BA6601" w:rsidRPr="00A64B10">
        <w:rPr>
          <w:rFonts w:ascii="Calibri" w:eastAsia="Calibri" w:hAnsi="Calibri" w:cs="Times New Roman"/>
        </w:rPr>
        <w:t>)</w:t>
      </w:r>
      <w:r w:rsidR="00C54711" w:rsidRPr="00A64B10">
        <w:rPr>
          <w:rFonts w:ascii="Calibri" w:eastAsia="Calibri" w:hAnsi="Calibri" w:cs="Times New Roman"/>
        </w:rPr>
        <w:t xml:space="preserve"> </w:t>
      </w:r>
      <w:r w:rsidR="00463E88" w:rsidRPr="00A64B10">
        <w:rPr>
          <w:rFonts w:ascii="Calibri" w:eastAsia="Calibri" w:hAnsi="Calibri" w:cs="Times New Roman"/>
        </w:rPr>
        <w:t xml:space="preserve">to study nanoparticle </w:t>
      </w:r>
      <w:r w:rsidR="00EA5345" w:rsidRPr="00A64B10">
        <w:rPr>
          <w:rFonts w:ascii="Calibri" w:eastAsia="Calibri" w:hAnsi="Calibri" w:cs="Times New Roman"/>
        </w:rPr>
        <w:t>haemolytic</w:t>
      </w:r>
      <w:r w:rsidR="00463E88" w:rsidRPr="00A64B10">
        <w:rPr>
          <w:rFonts w:ascii="Calibri" w:eastAsia="Calibri" w:hAnsi="Calibri" w:cs="Times New Roman"/>
        </w:rPr>
        <w:t xml:space="preserve"> properties sets a threshold for in vitro </w:t>
      </w:r>
      <w:r w:rsidR="00EA5345" w:rsidRPr="00A64B10">
        <w:rPr>
          <w:rFonts w:ascii="Calibri" w:eastAsia="Calibri" w:hAnsi="Calibri" w:cs="Times New Roman"/>
        </w:rPr>
        <w:t>haemolysis</w:t>
      </w:r>
      <w:r w:rsidR="00463E88" w:rsidRPr="00A64B10">
        <w:rPr>
          <w:rFonts w:ascii="Calibri" w:eastAsia="Calibri" w:hAnsi="Calibri" w:cs="Times New Roman"/>
        </w:rPr>
        <w:t xml:space="preserve"> at 2%</w:t>
      </w:r>
      <w:r w:rsidR="00D411E0" w:rsidRPr="00A64B10">
        <w:rPr>
          <w:rFonts w:ascii="Calibri" w:eastAsia="Calibri" w:hAnsi="Calibri" w:cs="Times New Roman"/>
        </w:rPr>
        <w:t xml:space="preserve"> of the positive control</w:t>
      </w:r>
      <w:r w:rsidR="000A6DA1">
        <w:rPr>
          <w:rFonts w:ascii="Calibri" w:eastAsia="Calibri" w:hAnsi="Calibri" w:cs="Times New Roman"/>
        </w:rPr>
        <w:t xml:space="preserve">. This method is </w:t>
      </w:r>
      <w:r w:rsidR="00463E88" w:rsidRPr="00A64B10">
        <w:rPr>
          <w:rFonts w:ascii="Calibri" w:eastAsia="Calibri" w:hAnsi="Calibri" w:cs="Times New Roman"/>
        </w:rPr>
        <w:t>reference</w:t>
      </w:r>
      <w:r w:rsidR="00347945" w:rsidRPr="00A64B10">
        <w:rPr>
          <w:rFonts w:ascii="Calibri" w:eastAsia="Calibri" w:hAnsi="Calibri" w:cs="Times New Roman"/>
        </w:rPr>
        <w:t>d</w:t>
      </w:r>
      <w:r w:rsidR="00463E88" w:rsidRPr="00A64B10">
        <w:rPr>
          <w:rFonts w:ascii="Calibri" w:eastAsia="Calibri" w:hAnsi="Calibri" w:cs="Times New Roman"/>
        </w:rPr>
        <w:t xml:space="preserve"> in </w:t>
      </w:r>
      <w:r w:rsidR="00347945" w:rsidRPr="00A64B10">
        <w:rPr>
          <w:rFonts w:ascii="Calibri" w:eastAsia="Calibri" w:hAnsi="Calibri" w:cs="Times New Roman"/>
        </w:rPr>
        <w:t xml:space="preserve">the ISO </w:t>
      </w:r>
      <w:r w:rsidR="00463E88" w:rsidRPr="00A64B10">
        <w:rPr>
          <w:rFonts w:ascii="Calibri" w:eastAsia="Calibri" w:hAnsi="Calibri" w:cs="Times New Roman"/>
        </w:rPr>
        <w:t>guidance for medical devices containing nanomaterial (ISO 10993-</w:t>
      </w:r>
      <w:r w:rsidR="00AD2E91" w:rsidRPr="00A64B10">
        <w:rPr>
          <w:rFonts w:ascii="Calibri" w:eastAsia="Calibri" w:hAnsi="Calibri" w:cs="Times New Roman"/>
        </w:rPr>
        <w:t>22</w:t>
      </w:r>
      <w:r w:rsidR="00CE409D" w:rsidRPr="00A64B10">
        <w:rPr>
          <w:rFonts w:ascii="Calibri" w:eastAsia="Calibri" w:hAnsi="Calibri" w:cs="Times New Roman"/>
        </w:rPr>
        <w:t>).</w:t>
      </w:r>
    </w:p>
    <w:p w14:paraId="0EB4C5F4" w14:textId="02BC65A7" w:rsidR="00463E88" w:rsidRPr="00A64B10" w:rsidRDefault="005729F2" w:rsidP="000A6DA1">
      <w:pPr>
        <w:spacing w:after="0"/>
        <w:jc w:val="both"/>
        <w:rPr>
          <w:rFonts w:ascii="Calibri" w:eastAsia="Calibri" w:hAnsi="Calibri" w:cs="Times New Roman"/>
        </w:rPr>
      </w:pPr>
      <w:r w:rsidRPr="00A64B10">
        <w:rPr>
          <w:rFonts w:ascii="Calibri" w:eastAsia="Calibri" w:hAnsi="Calibri" w:cs="Times New Roman"/>
        </w:rPr>
        <w:t xml:space="preserve">The guidance </w:t>
      </w:r>
      <w:r w:rsidR="00D411E0" w:rsidRPr="00A64B10">
        <w:rPr>
          <w:rFonts w:ascii="Calibri" w:eastAsia="Calibri" w:hAnsi="Calibri" w:cs="Times New Roman"/>
        </w:rPr>
        <w:t>also requires</w:t>
      </w:r>
      <w:r w:rsidRPr="00A64B10">
        <w:rPr>
          <w:rFonts w:ascii="Calibri" w:eastAsia="Calibri" w:hAnsi="Calibri" w:cs="Times New Roman"/>
        </w:rPr>
        <w:t xml:space="preserve"> the evaluation of</w:t>
      </w:r>
      <w:r w:rsidR="00D411E0" w:rsidRPr="00A64B10">
        <w:rPr>
          <w:rFonts w:ascii="Calibri" w:eastAsia="Calibri" w:hAnsi="Calibri" w:cs="Times New Roman"/>
        </w:rPr>
        <w:t xml:space="preserve"> the</w:t>
      </w:r>
      <w:r w:rsidRPr="00A64B10">
        <w:rPr>
          <w:rFonts w:ascii="Calibri" w:eastAsia="Calibri" w:hAnsi="Calibri" w:cs="Times New Roman"/>
        </w:rPr>
        <w:t xml:space="preserve"> risk</w:t>
      </w:r>
      <w:r w:rsidR="00D411E0" w:rsidRPr="00A64B10">
        <w:rPr>
          <w:rFonts w:ascii="Calibri" w:eastAsia="Calibri" w:hAnsi="Calibri" w:cs="Times New Roman"/>
        </w:rPr>
        <w:t>s</w:t>
      </w:r>
      <w:r w:rsidRPr="00A64B10">
        <w:rPr>
          <w:rFonts w:ascii="Calibri" w:eastAsia="Calibri" w:hAnsi="Calibri" w:cs="Times New Roman"/>
        </w:rPr>
        <w:t xml:space="preserve"> of thrombogenicity involving</w:t>
      </w:r>
      <w:r w:rsidR="00463E88" w:rsidRPr="00A64B10">
        <w:rPr>
          <w:rFonts w:ascii="Calibri" w:eastAsia="Calibri" w:hAnsi="Calibri" w:cs="Times New Roman"/>
        </w:rPr>
        <w:t xml:space="preserve"> one or more components of the blood coagulation system. The mechanisms of thrombogenicity are often complex and involve multiple cell types (thrombocytes, leukocytes, endothelial cells) and plasma coagulation factors</w:t>
      </w:r>
      <w:r w:rsidR="00EE582F" w:rsidRPr="00A64B10">
        <w:rPr>
          <w:rFonts w:ascii="Calibri" w:eastAsia="Calibri" w:hAnsi="Calibri" w:cs="Times New Roman"/>
        </w:rPr>
        <w:t xml:space="preserve"> (Figure 3)</w:t>
      </w:r>
      <w:r w:rsidR="00463E88" w:rsidRPr="00A64B10">
        <w:rPr>
          <w:rFonts w:ascii="Calibri" w:eastAsia="Calibri" w:hAnsi="Calibri" w:cs="Times New Roman"/>
        </w:rPr>
        <w:t>. As such</w:t>
      </w:r>
      <w:r w:rsidR="000A6DA1">
        <w:rPr>
          <w:rFonts w:ascii="Calibri" w:eastAsia="Calibri" w:hAnsi="Calibri" w:cs="Times New Roman"/>
        </w:rPr>
        <w:t>, there is no single assay that</w:t>
      </w:r>
      <w:r w:rsidR="00463E88" w:rsidRPr="00A64B10">
        <w:rPr>
          <w:rFonts w:ascii="Calibri" w:eastAsia="Calibri" w:hAnsi="Calibri" w:cs="Times New Roman"/>
        </w:rPr>
        <w:t xml:space="preserve"> can be used to assess nano</w:t>
      </w:r>
      <w:r w:rsidR="00F70D1A" w:rsidRPr="00A64B10">
        <w:rPr>
          <w:rFonts w:ascii="Calibri" w:eastAsia="Calibri" w:hAnsi="Calibri" w:cs="Times New Roman"/>
        </w:rPr>
        <w:t>material</w:t>
      </w:r>
      <w:r w:rsidR="00463E88" w:rsidRPr="00A64B10">
        <w:rPr>
          <w:rFonts w:ascii="Calibri" w:eastAsia="Calibri" w:hAnsi="Calibri" w:cs="Times New Roman"/>
        </w:rPr>
        <w:t xml:space="preserve"> thrombogenic potential. Nevertheless, </w:t>
      </w:r>
      <w:r w:rsidR="00463E88" w:rsidRPr="00026A37">
        <w:rPr>
          <w:rFonts w:ascii="Calibri" w:eastAsia="Calibri" w:hAnsi="Calibri" w:cs="Times New Roman"/>
          <w:i/>
        </w:rPr>
        <w:t>in vitro</w:t>
      </w:r>
      <w:r w:rsidR="00463E88" w:rsidRPr="00A64B10">
        <w:rPr>
          <w:rFonts w:ascii="Calibri" w:eastAsia="Calibri" w:hAnsi="Calibri" w:cs="Times New Roman"/>
        </w:rPr>
        <w:t xml:space="preserve"> assays targeting platelets and three plasma coagulation pathways</w:t>
      </w:r>
      <w:r w:rsidR="00501A78" w:rsidRPr="00A64B10">
        <w:rPr>
          <w:rFonts w:ascii="Calibri" w:eastAsia="Calibri" w:hAnsi="Calibri" w:cs="Times New Roman"/>
        </w:rPr>
        <w:t xml:space="preserve">: </w:t>
      </w:r>
      <w:r w:rsidR="00463E88" w:rsidRPr="00A64B10">
        <w:rPr>
          <w:rFonts w:ascii="Calibri" w:eastAsia="Calibri" w:hAnsi="Calibri" w:cs="Times New Roman"/>
        </w:rPr>
        <w:t>extrinsic, intrinsic</w:t>
      </w:r>
      <w:r w:rsidR="00501A78" w:rsidRPr="00A64B10">
        <w:rPr>
          <w:rFonts w:ascii="Calibri" w:eastAsia="Calibri" w:hAnsi="Calibri" w:cs="Times New Roman"/>
        </w:rPr>
        <w:t xml:space="preserve"> (also known as contact activation pathway)</w:t>
      </w:r>
      <w:r w:rsidR="00463E88" w:rsidRPr="00A64B10">
        <w:rPr>
          <w:rFonts w:ascii="Calibri" w:eastAsia="Calibri" w:hAnsi="Calibri" w:cs="Times New Roman"/>
        </w:rPr>
        <w:t xml:space="preserve"> and common</w:t>
      </w:r>
      <w:r w:rsidR="00501A78" w:rsidRPr="00A64B10">
        <w:rPr>
          <w:rFonts w:ascii="Calibri" w:eastAsia="Calibri" w:hAnsi="Calibri" w:cs="Times New Roman"/>
        </w:rPr>
        <w:t>,</w:t>
      </w:r>
      <w:r w:rsidR="00463E88" w:rsidRPr="00A64B10">
        <w:rPr>
          <w:rFonts w:ascii="Calibri" w:eastAsia="Calibri" w:hAnsi="Calibri" w:cs="Times New Roman"/>
        </w:rPr>
        <w:t xml:space="preserve"> </w:t>
      </w:r>
      <w:r w:rsidR="0017112B" w:rsidRPr="000700DD">
        <w:rPr>
          <w:rFonts w:ascii="Calibri" w:eastAsia="Calibri" w:hAnsi="Calibri" w:cs="Times New Roman"/>
        </w:rPr>
        <w:t>have been developed</w:t>
      </w:r>
      <w:r w:rsidR="009A749D" w:rsidRPr="000700DD">
        <w:rPr>
          <w:rFonts w:ascii="Calibri" w:eastAsia="Calibri" w:hAnsi="Calibri" w:cs="Times New Roman"/>
        </w:rPr>
        <w:t xml:space="preserve">; they are used </w:t>
      </w:r>
      <w:r w:rsidR="00463E88" w:rsidRPr="00A64B10">
        <w:rPr>
          <w:rFonts w:ascii="Calibri" w:eastAsia="Calibri" w:hAnsi="Calibri" w:cs="Times New Roman"/>
        </w:rPr>
        <w:t xml:space="preserve">for estimating </w:t>
      </w:r>
      <w:r w:rsidR="003B6322" w:rsidRPr="00A64B10">
        <w:rPr>
          <w:rFonts w:ascii="Calibri" w:eastAsia="Calibri" w:hAnsi="Calibri" w:cs="Times New Roman"/>
        </w:rPr>
        <w:t>nanoparticle</w:t>
      </w:r>
      <w:r w:rsidR="0060650B" w:rsidRPr="00A64B10">
        <w:rPr>
          <w:rFonts w:ascii="Calibri" w:eastAsia="Calibri" w:hAnsi="Calibri" w:cs="Times New Roman"/>
        </w:rPr>
        <w:t xml:space="preserve"> </w:t>
      </w:r>
      <w:r w:rsidR="00463E88" w:rsidRPr="00A64B10">
        <w:rPr>
          <w:rFonts w:ascii="Calibri" w:eastAsia="Calibri" w:hAnsi="Calibri" w:cs="Times New Roman"/>
        </w:rPr>
        <w:t xml:space="preserve">pro- and anti-coagulant properties. Protocols based on the measurement of platelet aggregation have been developed by NCI-NCL and EUNCL laboratories (Table </w:t>
      </w:r>
      <w:r w:rsidR="001D175F" w:rsidRPr="00A64B10">
        <w:rPr>
          <w:rFonts w:ascii="Calibri" w:eastAsia="Calibri" w:hAnsi="Calibri" w:cs="Times New Roman"/>
        </w:rPr>
        <w:t>S</w:t>
      </w:r>
      <w:r w:rsidR="007C17E3" w:rsidRPr="00A64B10">
        <w:rPr>
          <w:rFonts w:ascii="Calibri" w:eastAsia="Calibri" w:hAnsi="Calibri" w:cs="Times New Roman"/>
        </w:rPr>
        <w:t>4</w:t>
      </w:r>
      <w:r w:rsidR="00463E88" w:rsidRPr="00A64B10">
        <w:rPr>
          <w:rFonts w:ascii="Calibri" w:eastAsia="Calibri" w:hAnsi="Calibri" w:cs="Times New Roman"/>
        </w:rPr>
        <w:t xml:space="preserve">) and are good candidates for standardisation. Other methods evaluating interaction of </w:t>
      </w:r>
      <w:r w:rsidR="00F70D1A" w:rsidRPr="00A64B10">
        <w:rPr>
          <w:rFonts w:ascii="Calibri" w:eastAsia="Calibri" w:hAnsi="Calibri" w:cs="Times New Roman"/>
        </w:rPr>
        <w:t>nanomaterials</w:t>
      </w:r>
      <w:r w:rsidR="00463E88" w:rsidRPr="00A64B10">
        <w:rPr>
          <w:rFonts w:ascii="Calibri" w:eastAsia="Calibri" w:hAnsi="Calibri" w:cs="Times New Roman"/>
        </w:rPr>
        <w:t xml:space="preserve"> with platelets and </w:t>
      </w:r>
      <w:r w:rsidR="00E8094A" w:rsidRPr="00A64B10">
        <w:rPr>
          <w:rFonts w:ascii="Calibri" w:eastAsia="Calibri" w:hAnsi="Calibri" w:cs="Times New Roman"/>
        </w:rPr>
        <w:t xml:space="preserve">the </w:t>
      </w:r>
      <w:r w:rsidR="00463E88" w:rsidRPr="00A64B10">
        <w:rPr>
          <w:rFonts w:ascii="Calibri" w:eastAsia="Calibri" w:hAnsi="Calibri" w:cs="Times New Roman"/>
        </w:rPr>
        <w:t xml:space="preserve">clotting system are available in the scientific community </w:t>
      </w:r>
      <w:r w:rsidR="00BA6601"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{"citationItems":[{"id":"ITEM-1","itemData":{"DOI":"10.1002/adhm.201900527","ISSN":"21922659","PMID":"31612646","abstract":"The short- and long-term thrombogenicity of implant materials is still unpredictable, which is a significant challenge for the treatment of cardiovascular diseases. A knowledge-based approach for implementing biofunctions in materials requires a detailed understanding of the medical device in the biological system. In particular, the interplay between material and blood components/cells as well as standardized and commonly acknowledged in vitro test methods allowing a reproducible categorization of the material thrombogenicity requires further attention. Here, the status of in vitro thrombogenicity testing methods for biomaterials is reviewed, particularly taking in view the preparation of test materials and references, the selection and characterization of donors and blood samples, the prerequisites for reproducible approaches and applied test systems. Recent joint approaches in finding common standards for a reproducible testing are summarized and perspectives for a more disease oriented in vitro thrombogenicity testing are discussed.","author":[{"dropping-particle":"","family":"Braune","given":"Steffen","non-dropping-particle":"","parse-names":false,"suffix":""},{"dropping-particle":"","family":"Latour","given":"Robert A.","non-dropping-particle":"","parse-names":false,"suffix":""},{"dropping-particle":"","family":"Reinthaler","given":"Markus","non-dropping-particle":"","parse-names":false,"suffix":""},{"dropping-particle":"","family":"Landmesser","given":"Ulf","non-dropping-particle":"","parse-names":false,"suffix":""},{"dropping-particle":"","family":"Lendlein","given":"Andreas","non-dropping-particle":"","parse-names":false,"suffix":""},{"dropping-particle":"","family":"Jung","given":"Friedrich","non-dropping-particle":"","parse-names":false,"suffix":""}],"container-title":"Advanced Healthcare Materials","id":"ITEM-1","issue":"21","issued":{"date-parts":[["2019"]]},"title":"In Vitro Thrombogenicity Testing of Biomaterials","type":"article-journal","volume":"8"},"uris":["http://www.mendeley.com/documents/?uuid=966a8e49-2aaf-4952-841a-81c4e10120ae"]},{"id":"ITEM-2","itemData":{"DOI":"10.1098/rsif.2009.0021","ISSN":"17425662","PMID":"19324665","abstract":"Nanoparticulate materials are produced by industrial processing or engineered for specific biomedical applications. In both cases, their contact with the human body may lead to adverse reactions. Most of the published papers so far have focused on the cytotoxic effects of nanoparticles (NPs). Instead, the present in vitro study investigates the effect of different types of NP on key components of the host response such as clot formation and the inflammatory cells. The different NPs were pre-conditioned with platelet-rich human plasma for 30 min and then incubated with the blood mononuclear cells for 20 hours. The potential of the different NPs to induce clot formation, platelet activation and monocyte/macrophage differentiation was assessed by morphological analysis, immunocytochemistry and biochemical assays. The data showed that nanoparticulate materials based on antimony, silver and nickel were capable of promoting the polymerization of fibrin and the aggregation and fragmentation of platelets, leading to a moderately activated monocyte phenotype. This process was more pronounced in the case of antimony- and silver-based NPs that share a similar size and round-shaped morphology. Conversely, NPs of cobalt, titanium and iron appeared to stimulate cells to acquire a macrophage phenotype able to secrete higher levels of tumour necrosis factor α, a pro-inflammatory cytokine. Therefore, the present study provides clear indications about the subtle and adverse effects that the invasion of these materials may produce in the cardiovascular system and in vital organs. © 2009 The Royal Society.","author":[{"dropping-particle":"","family":"Guildford","given":"A. L.","non-dropping-particle":"","parse-names":false,"suffix":""},{"dropping-particle":"","family":"Poletti","given":"T.","non-dropping-particle":"","parse-names":false,"suffix":""},{"dropping-particle":"","family":"Osbourne","given":"L. H.","non-dropping-particle":"","parse-names":false,"suffix":""},{"dropping-particle":"","family":"Cerbo","given":"A.","non-dropping-particle":"Di","parse-names":false,"suffix":""},{"dropping-particle":"","family":"Gatti","given":"A. M.","non-dropping-particle":"","parse-names":false,"suffix":""},{"dropping-particle":"","family":"Santin","given":"M.","non-dropping-particle":"","parse-names":false,"suffix":""}],"container-title":"Journal of the Royal Society Interface","id":"ITEM-2","issue":"41","issued":{"date-parts":[["2009"]]},"page":"1213-1221","title":"Nanoparticles of a different source induce different patterns of activation in key biochemical and cellular components of the host response","type":"article-journal","volume":"6"},"uris":["http://www.mendeley.com/documents/?uuid=8316e9d2-0379-417e-8be3-e4244326ccf4"]}],"mendeley":{"formattedCitation":"[52,53]","plainTextFormattedCitation":"[52,53]","previouslyFormattedCitation":"[52,53]"},"properties":{"noteIndex":0},"schema":"https://github.com/citation-style-language/schema/raw/master/csl-citation.json"}</w:instrText>
      </w:r>
      <w:r w:rsidR="00BA6601" w:rsidRPr="00A64B10">
        <w:rPr>
          <w:rFonts w:ascii="Calibri" w:eastAsia="Calibri" w:hAnsi="Calibri" w:cs="Times New Roman"/>
        </w:rPr>
        <w:fldChar w:fldCharType="separate"/>
      </w:r>
      <w:r w:rsidR="000B3F63" w:rsidRPr="000B3F63">
        <w:rPr>
          <w:rFonts w:ascii="Calibri" w:eastAsia="Calibri" w:hAnsi="Calibri" w:cs="Times New Roman"/>
          <w:noProof/>
        </w:rPr>
        <w:t>[52,53]</w:t>
      </w:r>
      <w:r w:rsidR="00BA6601" w:rsidRPr="00A64B10">
        <w:rPr>
          <w:rFonts w:ascii="Calibri" w:eastAsia="Calibri" w:hAnsi="Calibri" w:cs="Times New Roman"/>
        </w:rPr>
        <w:fldChar w:fldCharType="end"/>
      </w:r>
      <w:r w:rsidR="00463E88" w:rsidRPr="00A64B10">
        <w:rPr>
          <w:rFonts w:ascii="Calibri" w:eastAsia="Calibri" w:hAnsi="Calibri" w:cs="Times New Roman"/>
        </w:rPr>
        <w:t xml:space="preserve">, </w:t>
      </w:r>
      <w:r w:rsidR="00A238A5" w:rsidRPr="00A64B10">
        <w:rPr>
          <w:rFonts w:ascii="Calibri" w:eastAsia="Calibri" w:hAnsi="Calibri" w:cs="Times New Roman"/>
        </w:rPr>
        <w:t xml:space="preserve">but </w:t>
      </w:r>
      <w:r w:rsidR="00463E88" w:rsidRPr="00A64B10">
        <w:rPr>
          <w:rFonts w:ascii="Calibri" w:eastAsia="Calibri" w:hAnsi="Calibri" w:cs="Times New Roman"/>
        </w:rPr>
        <w:t xml:space="preserve">require more validation </w:t>
      </w:r>
      <w:r w:rsidR="001D175F" w:rsidRPr="00A64B10">
        <w:rPr>
          <w:rFonts w:ascii="Calibri" w:eastAsia="Calibri" w:hAnsi="Calibri" w:cs="Times New Roman"/>
        </w:rPr>
        <w:t>before be</w:t>
      </w:r>
      <w:r w:rsidR="00A238A5" w:rsidRPr="00A64B10">
        <w:rPr>
          <w:rFonts w:ascii="Calibri" w:eastAsia="Calibri" w:hAnsi="Calibri" w:cs="Times New Roman"/>
        </w:rPr>
        <w:t>coming adoptable as</w:t>
      </w:r>
      <w:r w:rsidR="001D175F" w:rsidRPr="00A64B10">
        <w:rPr>
          <w:rFonts w:ascii="Calibri" w:eastAsia="Calibri" w:hAnsi="Calibri" w:cs="Times New Roman"/>
        </w:rPr>
        <w:t xml:space="preserve"> regulatory </w:t>
      </w:r>
      <w:r w:rsidR="00A238A5" w:rsidRPr="00A64B10">
        <w:rPr>
          <w:rFonts w:ascii="Calibri" w:eastAsia="Calibri" w:hAnsi="Calibri" w:cs="Times New Roman"/>
        </w:rPr>
        <w:t>standards</w:t>
      </w:r>
      <w:r w:rsidR="001D175F" w:rsidRPr="00A64B10">
        <w:rPr>
          <w:rFonts w:ascii="Calibri" w:eastAsia="Calibri" w:hAnsi="Calibri" w:cs="Times New Roman"/>
        </w:rPr>
        <w:t>.</w:t>
      </w:r>
    </w:p>
    <w:p w14:paraId="481ADA10" w14:textId="77777777" w:rsidR="00463E88" w:rsidRPr="00A64B10" w:rsidRDefault="00463E88" w:rsidP="000A6DA1">
      <w:pPr>
        <w:keepNext/>
        <w:keepLines/>
        <w:spacing w:before="240"/>
        <w:outlineLvl w:val="3"/>
        <w:rPr>
          <w:rFonts w:ascii="Cambria" w:eastAsia="Calibri" w:hAnsi="Cambria" w:cs="Times New Roman"/>
          <w:i/>
          <w:iCs/>
          <w:color w:val="365F91"/>
        </w:rPr>
      </w:pPr>
      <w:r w:rsidRPr="00A64B10">
        <w:rPr>
          <w:rFonts w:ascii="Cambria" w:eastAsia="Calibri" w:hAnsi="Cambria" w:cs="Times New Roman"/>
          <w:i/>
          <w:iCs/>
          <w:color w:val="365F91"/>
        </w:rPr>
        <w:t>CARPA</w:t>
      </w:r>
      <w:r w:rsidR="003B6322" w:rsidRPr="00A64B10">
        <w:rPr>
          <w:rFonts w:ascii="Cambria" w:eastAsia="Calibri" w:hAnsi="Cambria" w:cs="Times New Roman"/>
          <w:i/>
          <w:iCs/>
          <w:color w:val="365F91"/>
        </w:rPr>
        <w:t xml:space="preserve"> and complement </w:t>
      </w:r>
      <w:proofErr w:type="gramStart"/>
      <w:r w:rsidR="003B6322" w:rsidRPr="00A64B10">
        <w:rPr>
          <w:rFonts w:ascii="Cambria" w:eastAsia="Calibri" w:hAnsi="Cambria" w:cs="Times New Roman"/>
          <w:i/>
          <w:iCs/>
          <w:color w:val="365F91"/>
        </w:rPr>
        <w:t>activation</w:t>
      </w:r>
      <w:proofErr w:type="gramEnd"/>
    </w:p>
    <w:p w14:paraId="0BE226AA" w14:textId="739B4883" w:rsidR="002A0C9B" w:rsidRPr="00A64B10" w:rsidRDefault="00453E43" w:rsidP="003432E9">
      <w:pPr>
        <w:jc w:val="both"/>
        <w:rPr>
          <w:rFonts w:ascii="Calibri" w:eastAsia="Calibri" w:hAnsi="Calibri" w:cs="Times New Roman"/>
        </w:rPr>
      </w:pPr>
      <w:bookmarkStart w:id="7" w:name="_Hlk62028009"/>
      <w:r w:rsidRPr="00A64B10">
        <w:rPr>
          <w:rFonts w:ascii="Calibri" w:eastAsia="Calibri" w:hAnsi="Calibri" w:cs="Times New Roman"/>
        </w:rPr>
        <w:t>Complement activation-related pseudo</w:t>
      </w:r>
      <w:r w:rsidR="00A238A5" w:rsidRPr="00A64B10">
        <w:rPr>
          <w:rFonts w:ascii="Calibri" w:eastAsia="Calibri" w:hAnsi="Calibri" w:cs="Times New Roman"/>
        </w:rPr>
        <w:t>-</w:t>
      </w:r>
      <w:r w:rsidRPr="00A64B10">
        <w:rPr>
          <w:rFonts w:ascii="Calibri" w:eastAsia="Calibri" w:hAnsi="Calibri" w:cs="Times New Roman"/>
        </w:rPr>
        <w:t xml:space="preserve">allergy (CARPA) </w:t>
      </w:r>
      <w:bookmarkEnd w:id="7"/>
      <w:r w:rsidRPr="00A64B10">
        <w:rPr>
          <w:rFonts w:ascii="Calibri" w:eastAsia="Calibri" w:hAnsi="Calibri" w:cs="Times New Roman"/>
        </w:rPr>
        <w:t xml:space="preserve">is a hypersensitivity reaction, characterised by </w:t>
      </w:r>
      <w:r w:rsidR="009E3F12" w:rsidRPr="00A64B10">
        <w:rPr>
          <w:rFonts w:ascii="Calibri" w:eastAsia="Calibri" w:hAnsi="Calibri" w:cs="Times New Roman"/>
        </w:rPr>
        <w:t xml:space="preserve">mild to </w:t>
      </w:r>
      <w:r w:rsidR="00C15E81" w:rsidRPr="00A64B10">
        <w:rPr>
          <w:rFonts w:ascii="Calibri" w:eastAsia="Calibri" w:hAnsi="Calibri" w:cs="Times New Roman"/>
        </w:rPr>
        <w:t xml:space="preserve">severe </w:t>
      </w:r>
      <w:r w:rsidRPr="00A64B10">
        <w:rPr>
          <w:rFonts w:ascii="Calibri" w:eastAsia="Calibri" w:hAnsi="Calibri" w:cs="Times New Roman"/>
        </w:rPr>
        <w:t>cardi</w:t>
      </w:r>
      <w:r w:rsidR="009E3F12" w:rsidRPr="00A64B10">
        <w:rPr>
          <w:rFonts w:ascii="Calibri" w:eastAsia="Calibri" w:hAnsi="Calibri" w:cs="Times New Roman"/>
        </w:rPr>
        <w:t>o-</w:t>
      </w:r>
      <w:r w:rsidRPr="00A64B10">
        <w:rPr>
          <w:rFonts w:ascii="Calibri" w:eastAsia="Calibri" w:hAnsi="Calibri" w:cs="Times New Roman"/>
        </w:rPr>
        <w:t xml:space="preserve"> pulmonary symptoms and reported in</w:t>
      </w:r>
      <w:r w:rsidR="00E8094A" w:rsidRPr="00A64B10">
        <w:rPr>
          <w:rFonts w:ascii="Calibri" w:eastAsia="Calibri" w:hAnsi="Calibri" w:cs="Times New Roman"/>
        </w:rPr>
        <w:t xml:space="preserve"> the</w:t>
      </w:r>
      <w:r w:rsidRPr="00A64B10">
        <w:rPr>
          <w:rFonts w:ascii="Calibri" w:eastAsia="Calibri" w:hAnsi="Calibri" w:cs="Times New Roman"/>
        </w:rPr>
        <w:t xml:space="preserve"> context of</w:t>
      </w:r>
      <w:r w:rsidR="0060650B" w:rsidRPr="00A64B10">
        <w:rPr>
          <w:rFonts w:ascii="Calibri" w:eastAsia="Calibri" w:hAnsi="Calibri" w:cs="Times New Roman"/>
        </w:rPr>
        <w:t xml:space="preserve"> nanotechnology</w:t>
      </w:r>
      <w:r w:rsidRPr="00A64B10">
        <w:rPr>
          <w:rFonts w:ascii="Calibri" w:eastAsia="Calibri" w:hAnsi="Calibri" w:cs="Times New Roman"/>
        </w:rPr>
        <w:t xml:space="preserve">-based </w:t>
      </w:r>
      <w:r w:rsidR="0060650B" w:rsidRPr="00A64B10">
        <w:rPr>
          <w:rFonts w:ascii="Calibri" w:eastAsia="Calibri" w:hAnsi="Calibri" w:cs="Times New Roman"/>
        </w:rPr>
        <w:t xml:space="preserve">health </w:t>
      </w:r>
      <w:r w:rsidRPr="00A64B10">
        <w:rPr>
          <w:rFonts w:ascii="Calibri" w:eastAsia="Calibri" w:hAnsi="Calibri" w:cs="Times New Roman"/>
        </w:rPr>
        <w:t>products, in particular liposomes</w:t>
      </w:r>
      <w:r w:rsidR="00C15E81" w:rsidRPr="00A64B10">
        <w:rPr>
          <w:rFonts w:ascii="Calibri" w:eastAsia="Calibri" w:hAnsi="Calibri" w:cs="Times New Roman"/>
        </w:rPr>
        <w:t xml:space="preserve"> </w:t>
      </w:r>
      <w:r w:rsidR="00C15E81"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{"citationItems":[{"id":"ITEM-1","itemData":{"DOI":"10.1016/j.nano.2011.06.003","abstract":"Hypersensitivity reactions to liposomal drugs, often observed with Doxil and AmBisome, can arise from activation of the complement (C) system by phospholipid bilayers. To understand the mechanism of this adverse immune reaction called C activation-related pseudoallergy (CARPA), we analyzed the relationship among liposome features, C activation in human serum in vitro, and liposome-induced cardiovascular distress in pigs, a model for human CARPA. Among the structural variables (surface charge, presence of saturated, unsaturated, and PEGylated phospholipids, and cisplatin vs. doxorubicin inside liposomes), high negative surface charge and the presence of doxorubicin were significant contributors to reactogenicity both in vitro and in vivo. Morphological analysis suggested that the effect of doxorubicin might be indirect, via distorting the sphericity of liposomes and, if leaked, causing aggregation. The parallelism among C activation, cardiopulmonary reactions in pigs, and high rate of hypersensitivity reactions to Doxil and AmBisome in humans strengthens the utility of the applied tests in predicting the risk of CARPA. From the Clinical Editor: The authors studied complement activation-related pseudoallergy (CARPA) in a porcine model and demonstrate that high negative surface charge and drug effects leading to distortion of liposome sphericity might be the most critical factors leading to CARPA. The applied tests might be used to predict CARPA in humans. © 2012 Elsevier Inc.","author":[{"dropping-particle":"","family":"Szebeni","given":"J.","non-dropping-particle":"","parse-names":false,"suffix":""},{"dropping-particle":"","family":"Bedocs","given":"P.","non-dropping-particle":"","parse-names":false,"suffix":""},{"dropping-particle":"","family":"Rozsnyay","given":"Z.","non-dropping-particle":"","parse-names":false,"suffix":""},{"dropping-particle":"","family":"Weiszhár","given":"Z.","non-dropping-particle":"","parse-names":false,"suffix":""},{"dropping-particle":"","family":"Urbanics","given":"R.","non-dropping-particle":"","parse-names":false,"suffix":""},{"dropping-particle":"","family":"Rosivall","given":"L.","non-dropping-particle":"","parse-names":false,"suffix":""},{"dropping-particle":"","family":"Cohen","given":"R.","non-dropping-particle":"","parse-names":false,"suffix":""},{"dropping-particle":"","family":"Garbuzenko","given":"O.","non-dropping-particle":"","parse-names":false,"suffix":""},{"dropping-particle":"","family":"Báthori","given":"G.","non-dropping-particle":"","parse-names":false,"suffix":""},{"dropping-particle":"","family":"Tóth","given":"M.","non-dropping-particle":"","parse-names":false,"suffix":""},{"dropping-particle":"","family":"Bünger","given":"R.","non-dropping-particle":"","parse-names":false,"suffix":""},{"dropping-particle":"","family":"Barenholz","given":"Y.","non-dropping-particle":"","parse-names":false,"suffix":""}],"container-title":"Nanomedicine: Nanotechnology, Biology, and Medicine","id":"ITEM-1","issue":"2","issued":{"date-parts":[["2012"]]},"title":"Liposome-induced complement activation and related cardiopulmonary distress in pigs: Factors promoting reactogenicity of Doxil and AmBisome","type":"article-journal","volume":"8"},"uris":["http://www.mendeley.com/documents/?uuid=bc606b7a-725b-333e-88f1-e65162195557"]},{"id":"ITEM-2","itemData":{"DOI":"10.1016/J.MOLIMM.2014.06.038","ISSN":"0161-5890","abstract":"Intravenous injection of a variety of nanotechnology enhanced (liposomal, micellar, polymer-conjugated) and protein-based (antibodies, enzymes) drugs can lead to hypersensitivity reactions (HSRs), also known as infusion, or anaphylactoid reactions. The molecular mechanism of mild to severe allergy symptoms may differ from case to case and is mostly not known, however, in many cases a major cause, or contributing factor is activation of the complement (C) system. The clinical relevance of C activation-related HSRs, a non-IgE-mediated pseudoallergy (CARPA), lies in its unpredictability and occasional lethal outcome. Accordingly, there is an unmet medical need to develop laboratory assays and animal models that quantitate CARPA. This review provides basic information on CARPA; a short history, issues of nomenclature, incidence, classification of reactogenic drugs and symptoms, and the mechanisms of C activation via different pathways. It is pointed out that anaphylatoxin-induced mast cell release may not entirely explain the severe reactions; a “second hit” on allergy mediating cells may also contribute. In addressing the increasing requirements for CARPA testing, the review evaluates the available assays and animal models, and proposes a possible algorithm for the screening of reactogenic drugs and hypersensitive patients. Finally, an analogy is proposed between CARPA and the classic stress reaction, suggesting that CARPA represents a “blood stress” reaction, a systemic fight of the body against harmful biological and chemical agents via the anaphylatoxin/mast-cell/circulatory system axis, in analogy to the body's fight of physical and emotional stress via the hypothalamo/pituitary/adrenal axis. In both cases the response to a broad variety of noxious effects are funneled into a uniform pattern of physiological changes.","author":[{"dropping-particle":"","family":"Szebeni","given":"Janos","non-dropping-particle":"","parse-names":false,"suffix":""}],"container-title":"Molecular Immunology","id":"ITEM-2","issue":"2","issued":{"date-parts":[["2014","10","1"]]},"page":"163-173","publisher":"Pergamon","title":"Complement activation-related pseudoallergy: A stress reaction in blood triggered by nanomedicines and biologicals","type":"article-journal","volume":"61"},"uris":["http://www.mendeley.com/documents/?uuid=16c55b8d-59b0-3ba3-b492-22f8c5bfa5ef"]}],"mendeley":{"formattedCitation":"[54,55]","plainTextFormattedCitation":"[54,55]","previouslyFormattedCitation":"[54,55]"},"properties":{"noteIndex":0},"schema":"https://github.com/citation-style-language/schema/raw/master/csl-citation.json"}</w:instrText>
      </w:r>
      <w:r w:rsidR="00C15E81" w:rsidRPr="00A64B10">
        <w:rPr>
          <w:rFonts w:ascii="Calibri" w:eastAsia="Calibri" w:hAnsi="Calibri" w:cs="Times New Roman"/>
        </w:rPr>
        <w:fldChar w:fldCharType="separate"/>
      </w:r>
      <w:r w:rsidR="000B3F63" w:rsidRPr="000B3F63">
        <w:rPr>
          <w:rFonts w:ascii="Calibri" w:eastAsia="Calibri" w:hAnsi="Calibri" w:cs="Times New Roman"/>
          <w:noProof/>
        </w:rPr>
        <w:t>[54,55]</w:t>
      </w:r>
      <w:r w:rsidR="00C15E81" w:rsidRPr="00A64B10">
        <w:rPr>
          <w:rFonts w:ascii="Calibri" w:eastAsia="Calibri" w:hAnsi="Calibri" w:cs="Times New Roman"/>
        </w:rPr>
        <w:fldChar w:fldCharType="end"/>
      </w:r>
      <w:r w:rsidR="00C15E81" w:rsidRPr="00A64B10">
        <w:rPr>
          <w:rFonts w:ascii="Calibri" w:eastAsia="Calibri" w:hAnsi="Calibri" w:cs="Times New Roman"/>
        </w:rPr>
        <w:t>.</w:t>
      </w:r>
      <w:r w:rsidR="00A53F47" w:rsidRPr="00A64B10">
        <w:rPr>
          <w:rFonts w:ascii="Calibri" w:eastAsia="Calibri" w:hAnsi="Calibri" w:cs="Times New Roman"/>
        </w:rPr>
        <w:t xml:space="preserve"> This anaphylactic reaction is not </w:t>
      </w:r>
      <w:proofErr w:type="spellStart"/>
      <w:r w:rsidR="00A53F47" w:rsidRPr="00A64B10">
        <w:rPr>
          <w:rFonts w:ascii="Calibri" w:eastAsia="Calibri" w:hAnsi="Calibri" w:cs="Times New Roman"/>
        </w:rPr>
        <w:t>IgE</w:t>
      </w:r>
      <w:proofErr w:type="spellEnd"/>
      <w:r w:rsidR="00A53F47" w:rsidRPr="00A64B10">
        <w:rPr>
          <w:rFonts w:ascii="Calibri" w:eastAsia="Calibri" w:hAnsi="Calibri" w:cs="Times New Roman"/>
        </w:rPr>
        <w:t xml:space="preserve">-mediated but </w:t>
      </w:r>
      <w:r w:rsidR="00A53F47" w:rsidRPr="00A64B10">
        <w:rPr>
          <w:rFonts w:ascii="Calibri" w:eastAsia="Calibri" w:hAnsi="Calibri" w:cs="Times New Roman"/>
        </w:rPr>
        <w:lastRenderedPageBreak/>
        <w:t>triggered by complement activation</w:t>
      </w:r>
      <w:r w:rsidR="004571AC" w:rsidRPr="00A64B10">
        <w:rPr>
          <w:rFonts w:ascii="Calibri" w:eastAsia="Calibri" w:hAnsi="Calibri" w:cs="Times New Roman"/>
        </w:rPr>
        <w:t xml:space="preserve"> (Figure 4)</w:t>
      </w:r>
      <w:r w:rsidR="00A53F47" w:rsidRPr="00A64B10">
        <w:rPr>
          <w:rFonts w:ascii="Calibri" w:eastAsia="Calibri" w:hAnsi="Calibri" w:cs="Times New Roman"/>
        </w:rPr>
        <w:t xml:space="preserve">. Therefore, the activation of </w:t>
      </w:r>
      <w:r w:rsidR="00E8094A" w:rsidRPr="00A64B10">
        <w:rPr>
          <w:rFonts w:ascii="Calibri" w:eastAsia="Calibri" w:hAnsi="Calibri" w:cs="Times New Roman"/>
        </w:rPr>
        <w:t>the</w:t>
      </w:r>
      <w:r w:rsidR="00A53F47" w:rsidRPr="00A64B10">
        <w:rPr>
          <w:rFonts w:ascii="Calibri" w:eastAsia="Calibri" w:hAnsi="Calibri" w:cs="Times New Roman"/>
        </w:rPr>
        <w:t xml:space="preserve"> complement system </w:t>
      </w:r>
      <w:r w:rsidR="00A53F47" w:rsidRPr="00026A37">
        <w:rPr>
          <w:rFonts w:ascii="Calibri" w:eastAsia="Calibri" w:hAnsi="Calibri" w:cs="Times New Roman"/>
          <w:i/>
        </w:rPr>
        <w:t>in vitro</w:t>
      </w:r>
      <w:r w:rsidR="00A53F47" w:rsidRPr="00A64B10">
        <w:rPr>
          <w:rFonts w:ascii="Calibri" w:eastAsia="Calibri" w:hAnsi="Calibri" w:cs="Times New Roman"/>
        </w:rPr>
        <w:t xml:space="preserve"> is the most used approach to evaluate the risk of CARPA in patients.</w:t>
      </w:r>
    </w:p>
    <w:p w14:paraId="3ED2861B" w14:textId="14EF4187" w:rsidR="00565FA3" w:rsidRPr="00A64B10" w:rsidRDefault="00565FA3" w:rsidP="00565FA3">
      <w:pPr>
        <w:jc w:val="both"/>
        <w:rPr>
          <w:rFonts w:ascii="Calibri" w:hAnsi="Calibri"/>
        </w:rPr>
      </w:pPr>
      <w:r w:rsidRPr="00A64B10">
        <w:rPr>
          <w:rFonts w:ascii="Calibri" w:eastAsia="Calibri" w:hAnsi="Calibri" w:cs="Times New Roman"/>
        </w:rPr>
        <w:t xml:space="preserve">The complement system can be activated via </w:t>
      </w:r>
      <w:r w:rsidRPr="000700DD">
        <w:rPr>
          <w:rFonts w:ascii="Calibri" w:eastAsia="Calibri" w:hAnsi="Calibri" w:cs="Times New Roman"/>
        </w:rPr>
        <w:t xml:space="preserve">the </w:t>
      </w:r>
      <w:r w:rsidRPr="00A64B10">
        <w:rPr>
          <w:rFonts w:ascii="Calibri" w:eastAsia="Calibri" w:hAnsi="Calibri" w:cs="Times New Roman"/>
        </w:rPr>
        <w:t xml:space="preserve">classical, lectin or alternative pathway. The latter is not only the predominant one in health and disease, but also critical in complement activation by many </w:t>
      </w:r>
      <w:proofErr w:type="spellStart"/>
      <w:r w:rsidRPr="00A64B10">
        <w:rPr>
          <w:rFonts w:ascii="Calibri" w:eastAsia="Calibri" w:hAnsi="Calibri" w:cs="Times New Roman"/>
        </w:rPr>
        <w:t>nanomedicinal</w:t>
      </w:r>
      <w:proofErr w:type="spellEnd"/>
      <w:r w:rsidRPr="00A64B10">
        <w:rPr>
          <w:rFonts w:ascii="Calibri" w:eastAsia="Calibri" w:hAnsi="Calibri" w:cs="Times New Roman"/>
        </w:rPr>
        <w:t xml:space="preserve"> products </w:t>
      </w:r>
      <w:r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{"citationItems":[{"id":"ITEM-1","itemData":{"author":[{"dropping-particle":"","family":"Cunningham","given":"Carolyn M.","non-dropping-particle":"","parse-names":false,"suffix":""},{"dropping-particle":"","family":"Kingzette","given":"Mae","non-dropping-particle":"","parse-names":false,"suffix":""},{"dropping-particle":"","family":"Richards","given":"Roberta L.","non-dropping-particle":"","parse-names":false,"suffix":""},{"dropping-particle":"","family":"Alving","given":"Carl R.","non-dropping-particle":"","parse-names":false,"suffix":""},{"dropping-particle":"","family":"Lint","given":"Thomas F.","non-dropping-particle":"","parse-names":false,"suffix":""},{"dropping-particle":"","family":"Gewurz","given":"Henry","non-dropping-particle":"","parse-names":false,"suffix":""}],"container-title":"The Journal of Immunology","id":"ITEM-1","issue":"4","issued":{"date-parts":[["1979"]]},"title":"Activation of Human Complement by Liposomes: A Model for Membrane Activation of the Alternative Pathway","type":"article-journal","volume":"122"},"uris":["http://www.mendeley.com/documents/?uuid=806f06f0-426d-3769-b278-8588dc5cc995"]},{"id":"ITEM-2","itemData":{"DOI":"10.1016/j.biomaterials.2009.01.005","ISSN":"01429612","PMID":"19167749","abstract":"Here we report the immunological characterization of lipid-polymer hybrid nanoparticles (NPs) and propose a method to control the levels of complement activation induced by these NPs. This method consists of the highly specific modification of the NP surface with methoxyl, carboxyl, and amine groups. Hybrid NPs with methoxyl surface groups induced the lowest complement activation, whereas the NPs with amine surface groups induced the highest activation. All possible combinations among carboxyl, amine, and methoxyl groups also activated the complement system to a certain extent. All types of NPs activated the complement system primarily via the alternative pathway rather than the lectin pathway. The classical pathway was activated to a very small extent by the NPs with carboxyl and amine surface groups. Human serum and plasma protein binding studies showed that these NPs had different protein binding patterns. Studies of both complement activation and coagulation activation suggested that NPs with methoxyl surface groups might be an ideal candidate for drug delivery applications, since they are not likely to cause any immunological adverse reaction in the human body.","author":[{"dropping-particle":"","family":"Salvador-Morales","given":"Carolina","non-dropping-particle":"","parse-names":false,"suffix":""},{"dropping-particle":"","family":"Zhang","given":"Liangfang","non-dropping-particle":"","parse-names":false,"suffix":""},{"dropping-particle":"","family":"Langer","given":"Robert","non-dropping-particle":"","parse-names":false,"suffix":""},{"dropping-particle":"","family":"Farokhzad","given":"Omid C.","non-dropping-particle":"","parse-names":false,"suffix":""}],"container-title":"Biomaterials","id":"ITEM-2","issue":"12","issued":{"date-parts":[["2009","4"]]},"page":"2231-2240","publisher":"Biomaterials","title":"Immunocompatibility properties of lipid-polymer hybrid nanoparticles with heterogeneous surface functional groups","type":"article-journal","volume":"30"},"uris":["http://www.mendeley.com/documents/?uuid=adaa548c-8d76-3bb1-96e6-ea2965f6f7e4"]},{"id":"ITEM-3","itemData":{"DOI":"10.3389/fimmu.2016.00418","ISSN":"16643224","abstract":"While having tremendous potential as therapeutic and imaging tools, the clinical use of engineered nanoparticles has been associated with serious safety concerns. Activation of the complement cascade and the release of proinflammatory factors C3a and C5a may contribute to infusion-related reactions, whereas opsonization with C3 fragments promotes rapid recognition and clearance of nanomaterials by mononuclear phagocytes. We used dextran-coated superparamagnetic iron oxide nanoparticles (SPIO), which are potent activators of the complement system, to study the role of nanoparticle surface chemistry in inciting complement in human serum. Using complement inhibitors and measuring levels of fluid phase markers (sC5b-9, C5a, and Bb), we found that the majority of human complement activation by SPIO is through the alternative pathways (AP). SPIO prepared with high dextran/iron ratio showed some complement activation via calcium-sensitive pathways, but the AP was responsible for the bulk of complement activation and amplification. Activation via the AP required properdin, the positive regulator of the alternative C3bBb convertase. Modification of sugar alcohols of dextran with alkylating, acylating, or crosslinking agents did not overcome complement activation and C3 opsonization. These data demonstrate that human complement activation is independent of dextran modification of SPIO and suggest a crucial role of the AP in immune recognition of nano-assemblies in human serum.","author":[{"dropping-particle":"","family":"Wang","given":"Guankui","non-dropping-particle":"","parse-names":false,"suffix":""},{"dropping-particle":"","family":"Chen","given":"Fangfang","non-dropping-particle":"","parse-names":false,"suffix":""},{"dropping-particle":"","family":"Banda","given":"Nirmal K.","non-dropping-particle":"","parse-names":false,"suffix":""},{"dropping-particle":"","family":"Holers","given":"V. Michael","non-dropping-particle":"","parse-names":false,"suffix":""},{"dropping-particle":"","family":"Wu","given":"Lin Ping","non-dropping-particle":"","parse-names":false,"suffix":""},{"dropping-particle":"","family":"Moghimi","given":"S. Moein","non-dropping-particle":"","parse-names":false,"suffix":""},{"dropping-particle":"","family":"Simberg","given":"Dmitri","non-dropping-particle":"","parse-names":false,"suffix":""}],"container-title":"Frontiers in Immunology","id":"ITEM-3","issue":"OCT","issued":{"date-parts":[["2016","10","10"]]},"publisher":"Frontiers Media S.A.","title":"Activation of human complement system by dextran-coated iron oxide nanoparticles is not affected by dextran/Fe ratio, hydroxyl modifications, and crosslinking","type":"article-journal","volume":"7"},"uris":["http://www.mendeley.com/documents/?uuid=44906e47-552e-3df3-a6e9-f66b9fdf0420"]}],"mendeley":{"formattedCitation":"[56–58]","plainTextFormattedCitation":"[56–58]","previouslyFormattedCitation":"[56–58]"},"properties":{"noteIndex":0},"schema":"https://github.com/citation-style-language/schema/raw/master/csl-citation.json"}</w:instrText>
      </w:r>
      <w:r w:rsidRPr="00A64B10">
        <w:rPr>
          <w:rFonts w:ascii="Calibri" w:eastAsia="Calibri" w:hAnsi="Calibri" w:cs="Times New Roman"/>
        </w:rPr>
        <w:fldChar w:fldCharType="separate"/>
      </w:r>
      <w:r w:rsidR="000B3F63" w:rsidRPr="000B3F63">
        <w:rPr>
          <w:rFonts w:ascii="Calibri" w:eastAsia="Calibri" w:hAnsi="Calibri" w:cs="Times New Roman"/>
          <w:noProof/>
        </w:rPr>
        <w:t>[56–58]</w:t>
      </w:r>
      <w:r w:rsidRPr="00A64B10">
        <w:rPr>
          <w:rFonts w:ascii="Calibri" w:eastAsia="Calibri" w:hAnsi="Calibri" w:cs="Times New Roman"/>
        </w:rPr>
        <w:fldChar w:fldCharType="end"/>
      </w:r>
      <w:r w:rsidRPr="00A64B10">
        <w:rPr>
          <w:rFonts w:ascii="Calibri" w:eastAsia="Calibri" w:hAnsi="Calibri" w:cs="Times New Roman"/>
        </w:rPr>
        <w:t>. The information on the involved pathway</w:t>
      </w:r>
      <w:r>
        <w:rPr>
          <w:rFonts w:ascii="Calibri" w:eastAsia="Calibri" w:hAnsi="Calibri" w:cs="Times New Roman"/>
        </w:rPr>
        <w:t xml:space="preserve"> </w:t>
      </w:r>
      <w:r w:rsidRPr="00A64B10">
        <w:rPr>
          <w:rFonts w:ascii="Calibri" w:eastAsia="Calibri" w:hAnsi="Calibri" w:cs="Times New Roman"/>
        </w:rPr>
        <w:t>can be obtained depending on the selected component involved in the cascade,</w:t>
      </w:r>
      <w:r w:rsidRPr="00A64B10">
        <w:rPr>
          <w:rFonts w:ascii="Calibri" w:hAnsi="Calibri"/>
        </w:rPr>
        <w:t xml:space="preserve"> though, robust assays allowing precise identification of </w:t>
      </w:r>
      <w:r w:rsidRPr="000700DD">
        <w:rPr>
          <w:rFonts w:ascii="Calibri" w:hAnsi="Calibri"/>
        </w:rPr>
        <w:t xml:space="preserve">a </w:t>
      </w:r>
      <w:r w:rsidRPr="00A64B10">
        <w:rPr>
          <w:rFonts w:ascii="Calibri" w:hAnsi="Calibri"/>
        </w:rPr>
        <w:t xml:space="preserve">specific pathway are lacking. </w:t>
      </w:r>
      <w:r w:rsidRPr="00A64B10">
        <w:rPr>
          <w:rFonts w:ascii="Calibri" w:eastAsia="Calibri" w:hAnsi="Calibri" w:cs="Times New Roman"/>
        </w:rPr>
        <w:t>M</w:t>
      </w:r>
      <w:r w:rsidRPr="00A64B10">
        <w:rPr>
          <w:rFonts w:ascii="Calibri" w:hAnsi="Calibri"/>
        </w:rPr>
        <w:t xml:space="preserve">ost advanced current </w:t>
      </w:r>
      <w:r w:rsidRPr="00A64B10">
        <w:rPr>
          <w:rFonts w:ascii="Calibri" w:eastAsia="Calibri" w:hAnsi="Calibri" w:cs="Times New Roman"/>
        </w:rPr>
        <w:t>approaches</w:t>
      </w:r>
      <w:r w:rsidRPr="00A64B10">
        <w:rPr>
          <w:rFonts w:ascii="Calibri" w:hAnsi="Calibri"/>
        </w:rPr>
        <w:t xml:space="preserve"> are based on the quantification of iC3b, which is generated following C3 activation in any of the three pathways. C3b and iC3b prime the surface of a nanoparticle for engulfment by leukocytes and macrophages through complement receptors. A method based on</w:t>
      </w:r>
      <w:r w:rsidRPr="00A64B10">
        <w:t xml:space="preserve"> </w:t>
      </w:r>
      <w:r w:rsidRPr="00A64B10">
        <w:rPr>
          <w:rFonts w:ascii="Calibri" w:hAnsi="Calibri"/>
        </w:rPr>
        <w:t xml:space="preserve">iC3b measurement in human plasma is currently in the </w:t>
      </w:r>
      <w:r w:rsidRPr="00A64B10">
        <w:rPr>
          <w:rFonts w:ascii="Calibri" w:eastAsia="Calibri" w:hAnsi="Calibri" w:cs="Times New Roman"/>
        </w:rPr>
        <w:t>standardisation</w:t>
      </w:r>
      <w:r w:rsidRPr="00A64B10">
        <w:rPr>
          <w:rFonts w:ascii="Calibri" w:hAnsi="Calibri"/>
        </w:rPr>
        <w:t xml:space="preserve"> process by ASTM International (Table S3). Another active standard by ASTM International provides a method </w:t>
      </w:r>
      <w:r w:rsidRPr="00A64B10">
        <w:rPr>
          <w:rFonts w:ascii="Calibri" w:eastAsia="Calibri" w:hAnsi="Calibri" w:cs="Times New Roman"/>
        </w:rPr>
        <w:t>to</w:t>
      </w:r>
      <w:r w:rsidRPr="00A64B10">
        <w:rPr>
          <w:rFonts w:ascii="Calibri" w:hAnsi="Calibri"/>
        </w:rPr>
        <w:t xml:space="preserve"> test for whole complement activation in human serum by medical devices</w:t>
      </w:r>
      <w:r w:rsidRPr="000700DD">
        <w:rPr>
          <w:rFonts w:ascii="Calibri" w:hAnsi="Calibri"/>
        </w:rPr>
        <w:t xml:space="preserve"> </w:t>
      </w:r>
      <w:proofErr w:type="gramStart"/>
      <w:r w:rsidRPr="000700DD">
        <w:rPr>
          <w:rFonts w:ascii="Calibri" w:hAnsi="Calibri"/>
        </w:rPr>
        <w:t>coming into contact with</w:t>
      </w:r>
      <w:proofErr w:type="gramEnd"/>
      <w:r w:rsidRPr="000700DD">
        <w:rPr>
          <w:rFonts w:ascii="Calibri" w:hAnsi="Calibri"/>
        </w:rPr>
        <w:t xml:space="preserve"> blood.</w:t>
      </w:r>
      <w:r w:rsidRPr="00A64B10">
        <w:rPr>
          <w:rFonts w:ascii="Calibri" w:hAnsi="Calibri"/>
        </w:rPr>
        <w:t xml:space="preserve"> However, its applicability to nanotechnology-based products is not known. In this case additional considerations and controls might be applicable.</w:t>
      </w:r>
    </w:p>
    <w:p w14:paraId="2D6F8AA8" w14:textId="58ED425F" w:rsidR="00565FA3" w:rsidRPr="00A64B10" w:rsidRDefault="00565FA3" w:rsidP="00565FA3">
      <w:pPr>
        <w:jc w:val="both"/>
        <w:rPr>
          <w:rFonts w:ascii="Calibri" w:hAnsi="Calibri"/>
        </w:rPr>
      </w:pPr>
      <w:r w:rsidRPr="00A64B10">
        <w:rPr>
          <w:rFonts w:ascii="Calibri" w:hAnsi="Calibri"/>
        </w:rPr>
        <w:t>Additional approaches to measure complement activation consider deposition</w:t>
      </w:r>
      <w:r w:rsidRPr="00A64B10">
        <w:rPr>
          <w:rFonts w:ascii="Calibri" w:eastAsia="Calibri" w:hAnsi="Calibri" w:cs="Times New Roman"/>
        </w:rPr>
        <w:t xml:space="preserve"> on the surface of NPs</w:t>
      </w:r>
      <w:r w:rsidRPr="00A64B10">
        <w:rPr>
          <w:rFonts w:ascii="Calibri" w:hAnsi="Calibri"/>
        </w:rPr>
        <w:t xml:space="preserve"> of complement factors </w:t>
      </w:r>
      <w:r w:rsidRPr="00A64B10">
        <w:rPr>
          <w:rFonts w:ascii="Calibri" w:hAnsi="Calibri"/>
        </w:rPr>
        <w:fldChar w:fldCharType="begin" w:fldLock="1"/>
      </w:r>
      <w:r w:rsidR="00F53111">
        <w:rPr>
          <w:rFonts w:ascii="Calibri" w:hAnsi="Calibri"/>
        </w:rPr>
        <w:instrText>ADDIN CSL_CITATION {"citationItems":[{"id":"ITEM-1","itemData":{"DOI":"10.1021/acs.bioconjchem.7b00496","PMID":"29090582","abstract":"Opsonization (coating) of nanoparticles with complement C3 component is an important mechanism that triggers immune clearance and downstream anaphylactic and proinflammatory responses. The variability of complement C3 binding to nanoparticles in the general population has not been studied. We examined complement C3 binding to dextran superparamagnetic iron oxide nanoparticles (superparamagnetic iron oxide nanoworms, SPIO NWs, 58 and 110 nm) and clinically approved nanoparticles (carboxymethyl dextran iron oxide ferumoxytol (Feraheme, 28 nm), highly PEGylated liposomal doxorubicin (LipoDox, 88 nm), and minimally PEGylated liposomal irinotecan (Onivyde, 120 nm)) in sera from healthy human individuals. SPIO NWs had the highest variation in C3 binding (n = 47) between subjects, with a 15-30 fold range in levels of C3. LipoDox (n = 12) and Feraheme (n = 18) had the lowest levels of variation between subjects (an approximately 1.5-fold range), whereas Onivyde (n = 18) had intermediate between-subject variation (2-fold range). There was no statistical difference between males and females and no correlation with age. There was a significant correlation in complement response between small and large SPIO NWs, which are similar structurally and chemically, but the correlations between SPIO NWs and other types of nanoparticles, and between LipoDox and Onivyde, were not significant. The calculated average number of C3 molecules bound per nanoparticle correlated with the hydrodynamic diameter but was decreased in LipoDox, likely due to the PEG coating. The conclusions of this study are (1) all nanoparticles show variability of C3 opsonization in the general population; (2) an individual's response toward one nanoparticle cannot be reliably predicted based on another nanoparticle; and (3) the average number of C3 molecules per nanoparticle depends on size and surface coating. These results provide new strategies to improve nanomedicine safety.","author":[{"dropping-particle":"","family":"Benasutti","given":"Halli","non-dropping-particle":"","parse-names":false,"suffix":""},{"dropping-particle":"","family":"Wang","given":"Guankui","non-dropping-particle":"","parse-names":false,"suffix":""},{"dropping-particle":"","family":"Vu","given":"Vivian P.","non-dropping-particle":"","parse-names":false,"suffix":""},{"dropping-particle":"","family":"Scheinman","given":"Robert","non-dropping-particle":"","parse-names":false,"suffix":""},{"dropping-particle":"","family":"Groman","given":"Ernest","non-dropping-particle":"","parse-names":false,"suffix":""},{"dropping-particle":"","family":"Saba","given":"Laura","non-dropping-particle":"","parse-names":false,"suffix":""},{"dropping-particle":"","family":"Simberg","given":"Dmitri","non-dropping-particle":"","parse-names":false,"suffix":""}],"container-title":"Bioconjugate Chemistry","id":"ITEM-1","issue":"11","issued":{"date-parts":[["2017","11","15"]]},"page":"2747-2755","publisher":"American Chemical Society","title":"Variability of Complement Response toward Preclinical and Clinical Nanocarriers in the General Population","type":"article-journal","volume":"28"},"uris":["http://www.mendeley.com/documents/?uuid=06d756ad-0e6b-4ada-b884-a8d84f3f912e"]}],"mendeley":{"formattedCitation":"[59]","plainTextFormattedCitation":"[59]","previouslyFormattedCitation":"[59]"},"properties":{"noteIndex":0},"schema":"https://github.com/citation-style-language/schema/raw/master/csl-citation.json"}</w:instrText>
      </w:r>
      <w:r w:rsidRPr="00A64B10">
        <w:rPr>
          <w:rFonts w:ascii="Calibri" w:hAnsi="Calibri"/>
        </w:rPr>
        <w:fldChar w:fldCharType="separate"/>
      </w:r>
      <w:r w:rsidR="000B3F63" w:rsidRPr="000B3F63">
        <w:rPr>
          <w:rFonts w:ascii="Calibri" w:hAnsi="Calibri"/>
          <w:noProof/>
        </w:rPr>
        <w:t>[59]</w:t>
      </w:r>
      <w:r w:rsidRPr="00A64B10">
        <w:rPr>
          <w:rFonts w:ascii="Calibri" w:hAnsi="Calibri"/>
        </w:rPr>
        <w:fldChar w:fldCharType="end"/>
      </w:r>
      <w:r w:rsidRPr="00A64B10">
        <w:rPr>
          <w:rFonts w:ascii="Calibri" w:hAnsi="Calibri"/>
        </w:rPr>
        <w:t xml:space="preserve"> or denatured proteins</w:t>
      </w:r>
      <w:r w:rsidRPr="000700DD">
        <w:rPr>
          <w:rFonts w:ascii="Calibri" w:hAnsi="Calibri"/>
        </w:rPr>
        <w:t>,</w:t>
      </w:r>
      <w:r w:rsidRPr="00A64B10">
        <w:rPr>
          <w:rFonts w:ascii="Calibri" w:hAnsi="Calibri"/>
        </w:rPr>
        <w:t xml:space="preserve"> and their recognition by natural antibodies </w:t>
      </w:r>
      <w:r w:rsidRPr="00A64B10">
        <w:rPr>
          <w:rFonts w:ascii="Calibri" w:hAnsi="Calibri"/>
        </w:rPr>
        <w:fldChar w:fldCharType="begin" w:fldLock="1"/>
      </w:r>
      <w:r w:rsidR="00F53111">
        <w:rPr>
          <w:rFonts w:ascii="Calibri" w:hAnsi="Calibri"/>
        </w:rPr>
        <w:instrText>ADDIN CSL_CITATION {"citationItems":[{"id":"ITEM-1","itemData":{"DOI":"10.1038/s41565-018-0344-3","ISSN":"17483395","PMID":"30643271","abstract":"Deposition of complement factors (opsonization) on nanoparticles may promote clearance from the blood by macrophages and trigger proinflammatory responses, but the mechanisms regulating the efficiency of complement activation are poorly understood. We previously demonstrated that opsonization of superparamagnetic iron oxide (SPIO) nanoworms with the third complement protein (C3) was dependent on the biomolecule corona of the nanoparticles. Here we show that natural antibodies play a critical role in C3 opsonization of SPIO nanoworms and a range of clinically approved nanopharmaceuticals. The dependency of C3 opsonization on immunoglobulin binding is almost universal and is observed regardless of the complement activation pathway. Only a few surface-bound immunoglobulin molecules are needed to trigger complement activation and opsonization. Although the total amount of plasma proteins adsorbed on nanoparticles does not determine C3 deposition efficiency, the biomolecule corona per se enhances immunoglobulin binding to all nanoparticle types. We therefore show that natural antibodies represent a link between biomolecule corona and C3 opsonization, and may determine individual complement responses to nanomedicines.","author":[{"dropping-particle":"","family":"Vu","given":"Vivian P.","non-dropping-particle":"","parse-names":false,"suffix":""},{"dropping-particle":"","family":"Gifford","given":"Geoffrey B.","non-dropping-particle":"","parse-names":false,"suffix":""},{"dropping-particle":"","family":"Chen","given":"Fangfang","non-dropping-particle":"","parse-names":false,"suffix":""},{"dropping-particle":"","family":"Benasutti","given":"Halli","non-dropping-particle":"","parse-names":false,"suffix":""},{"dropping-particle":"","family":"Wang","given":"Guankui","non-dropping-particle":"","parse-names":false,"suffix":""},{"dropping-particle":"V.","family":"Groman","given":"Ernest","non-dropping-particle":"","parse-names":false,"suffix":""},{"dropping-particle":"","family":"Scheinman","given":"Robert","non-dropping-particle":"","parse-names":false,"suffix":""},{"dropping-particle":"","family":"Saba","given":"Laura","non-dropping-particle":"","parse-names":false,"suffix":""},{"dropping-particle":"","family":"Moghimi","given":"Seyed Moein","non-dropping-particle":"","parse-names":false,"suffix":""},{"dropping-particle":"","family":"Simberg","given":"Dmitri","non-dropping-particle":"","parse-names":false,"suffix":""}],"container-title":"Nature Nanotechnology","id":"ITEM-1","issue":"3","issued":{"date-parts":[["2019","3","1"]]},"page":"260-268","publisher":"Nature Publishing Group","title":"Immunoglobulin deposition on biomolecule corona determines complement opsonization efficiency of preclinical and clinical nanoparticles","type":"article-journal","volume":"14"},"uris":["http://www.mendeley.com/documents/?uuid=4df7bf4c-4128-3feb-af1e-86d31536fb99"]}],"mendeley":{"formattedCitation":"[60]","plainTextFormattedCitation":"[60]","previouslyFormattedCitation":"[60]"},"properties":{"noteIndex":0},"schema":"https://github.com/citation-style-language/schema/raw/master/csl-citation.json"}</w:instrText>
      </w:r>
      <w:r w:rsidRPr="00A64B10">
        <w:rPr>
          <w:rFonts w:ascii="Calibri" w:hAnsi="Calibri"/>
        </w:rPr>
        <w:fldChar w:fldCharType="separate"/>
      </w:r>
      <w:r w:rsidR="000B3F63" w:rsidRPr="000B3F63">
        <w:rPr>
          <w:rFonts w:ascii="Calibri" w:hAnsi="Calibri"/>
          <w:noProof/>
        </w:rPr>
        <w:t>[60]</w:t>
      </w:r>
      <w:r w:rsidRPr="00A64B10">
        <w:rPr>
          <w:rFonts w:ascii="Calibri" w:hAnsi="Calibri"/>
        </w:rPr>
        <w:fldChar w:fldCharType="end"/>
      </w:r>
      <w:r w:rsidRPr="00A64B10">
        <w:rPr>
          <w:rFonts w:ascii="Calibri" w:hAnsi="Calibri"/>
        </w:rPr>
        <w:t xml:space="preserve">. In addition, the protein corona (see section 4.3) plays a significant role in complement activation as C3b binds to proteins, dissociates together with the soft corona, and “new” C3 may bind to the nanoparticle </w:t>
      </w:r>
      <w:r w:rsidRPr="00A64B10">
        <w:rPr>
          <w:rFonts w:ascii="Calibri" w:hAnsi="Calibri"/>
        </w:rPr>
        <w:fldChar w:fldCharType="begin" w:fldLock="1"/>
      </w:r>
      <w:r w:rsidR="00F53111">
        <w:rPr>
          <w:rFonts w:ascii="Calibri" w:hAnsi="Calibri"/>
        </w:rPr>
        <w:instrText>ADDIN CSL_CITATION {"citationItems":[{"id":"ITEM-1","itemData":{"DOI":"10.1038/nnano.2016.269","ISBN":"1748-3395 (Electronic) 1748-3387 (Linking)","ISSN":"17483395","PMID":"27992410","abstract":"When nanoparticles are intravenously injected into the body, complement proteins deposit on the surface of nanoparticles in a process called opsonization. These proteins prime the particle for removal by immune cells and may contribute toward infusion- related adverse effects such as allergic responses. The ways complement proteins assemble on nanoparticles have remained unclear. Here, we show that dextran-coated superparamagnetic iron oxide core-shell nanoworms incubated in human serum and plasma are rapidly opsonized with the third complement component (C3) via the alternative pathway. Serum and plasma proteins bound to the nanoworms are mostly intercalated into the nanoworm shell.We show that C3 covalently binds to these absorbed proteins rather than the dextran shell and the protein-bound C3 undergoes dynamic exchange in vitro. Surface-bound proteins accelerate the assembly of the complement components of the alternative pathway on the nanoworm surface. When nanoworms pre-coated with human plasma were injected into mice, C3 and other adsorbed proteins undergo rapid loss. Our results provide important insight into dynamics of protein adsorption and complement opsonization of nanomedicines","author":[{"dropping-particle":"","family":"Chen","given":"Fangfang","non-dropping-particle":"","parse-names":false,"suffix":""},{"dropping-particle":"","family":"Wang","given":"Guankui","non-dropping-particle":"","parse-names":false,"suffix":""},{"dropping-particle":"","family":"Griffin","given":"James I.","non-dropping-particle":"","parse-names":false,"suffix":""},{"dropping-particle":"","family":"Brenneman","given":"Barbara","non-dropping-particle":"","parse-names":false,"suffix":""},{"dropping-particle":"","family":"Banda","given":"Nirmal K.","non-dropping-particle":"","parse-names":false,"suffix":""},{"dropping-particle":"","family":"Holers","given":"V. Michael","non-dropping-particle":"","parse-names":false,"suffix":""},{"dropping-particle":"","family":"Backos","given":"Donald S.","non-dropping-particle":"","parse-names":false,"suffix":""},{"dropping-particle":"","family":"Wu","given":"Linping","non-dropping-particle":"","parse-names":false,"suffix":""},{"dropping-particle":"","family":"Moghimi","given":"Seyed Moein","non-dropping-particle":"","parse-names":false,"suffix":""},{"dropping-particle":"","family":"Simberg","given":"Dmitri","non-dropping-particle":"","parse-names":false,"suffix":""}],"container-title":"Nature Nanotechnology","id":"ITEM-1","issue":"4","issued":{"date-parts":[["2017","5","1"]]},"page":"387-393","publisher":"Nature Publishing Group","title":"Complement proteins bind to nanoparticle protein corona and undergo dynamic exchange in vivo","type":"article-journal","volume":"12"},"uris":["http://www.mendeley.com/documents/?uuid=24878019-ec7f-484c-941e-865278ccce62"]}],"mendeley":{"formattedCitation":"[61]","plainTextFormattedCitation":"[61]","previouslyFormattedCitation":"[61]"},"properties":{"noteIndex":0},"schema":"https://github.com/citation-style-language/schema/raw/master/csl-citation.json"}</w:instrText>
      </w:r>
      <w:r w:rsidRPr="00A64B10">
        <w:rPr>
          <w:rFonts w:ascii="Calibri" w:hAnsi="Calibri"/>
        </w:rPr>
        <w:fldChar w:fldCharType="separate"/>
      </w:r>
      <w:r w:rsidR="000B3F63" w:rsidRPr="000B3F63">
        <w:rPr>
          <w:rFonts w:ascii="Calibri" w:hAnsi="Calibri"/>
          <w:noProof/>
        </w:rPr>
        <w:t>[61]</w:t>
      </w:r>
      <w:r w:rsidRPr="00A64B10">
        <w:rPr>
          <w:rFonts w:ascii="Calibri" w:hAnsi="Calibri"/>
        </w:rPr>
        <w:fldChar w:fldCharType="end"/>
      </w:r>
      <w:r w:rsidRPr="00A64B10">
        <w:rPr>
          <w:rFonts w:ascii="Calibri" w:hAnsi="Calibri"/>
        </w:rPr>
        <w:t>. The exchangeable nature of the protein corona could lead to continuous shedding of complement factors and re-</w:t>
      </w:r>
      <w:r w:rsidRPr="00A64B10">
        <w:rPr>
          <w:rFonts w:ascii="Calibri" w:eastAsia="Calibri" w:hAnsi="Calibri" w:cs="Times New Roman"/>
        </w:rPr>
        <w:t xml:space="preserve">opsonisation </w:t>
      </w:r>
      <w:r w:rsidRPr="00A64B10">
        <w:rPr>
          <w:rFonts w:ascii="Calibri" w:hAnsi="Calibri"/>
        </w:rPr>
        <w:t>in vivo.</w:t>
      </w:r>
    </w:p>
    <w:p w14:paraId="52DB36CF" w14:textId="18496555" w:rsidR="00565FA3" w:rsidRPr="00565FA3" w:rsidRDefault="00565FA3" w:rsidP="00565FA3">
      <w:pPr>
        <w:jc w:val="both"/>
        <w:rPr>
          <w:rFonts w:ascii="Calibri" w:eastAsia="Calibri" w:hAnsi="Calibri" w:cs="Times New Roman"/>
        </w:rPr>
      </w:pPr>
      <w:r w:rsidRPr="00A64B10">
        <w:rPr>
          <w:rFonts w:ascii="Calibri" w:eastAsia="Calibri" w:hAnsi="Calibri" w:cs="Times New Roman"/>
        </w:rPr>
        <w:t>Assessment of the impact on cells expressing anaphylatoxin receptors, such as basophils or mast cells can complement information on the mechanism leading to CARPA. Upon activation</w:t>
      </w:r>
      <w:r w:rsidRPr="000700DD">
        <w:rPr>
          <w:rFonts w:ascii="Calibri" w:eastAsia="Calibri" w:hAnsi="Calibri" w:cs="Times New Roman"/>
        </w:rPr>
        <w:t>,</w:t>
      </w:r>
      <w:r w:rsidRPr="00A64B10">
        <w:rPr>
          <w:rFonts w:ascii="Calibri" w:eastAsia="Calibri" w:hAnsi="Calibri" w:cs="Times New Roman"/>
        </w:rPr>
        <w:t xml:space="preserve"> these cells</w:t>
      </w:r>
      <w:r w:rsidRPr="00A64B10">
        <w:t xml:space="preserve"> </w:t>
      </w:r>
      <w:proofErr w:type="gramStart"/>
      <w:r w:rsidRPr="00A64B10">
        <w:rPr>
          <w:rFonts w:ascii="Calibri" w:eastAsia="Calibri" w:hAnsi="Calibri" w:cs="Times New Roman"/>
        </w:rPr>
        <w:t>are able to</w:t>
      </w:r>
      <w:proofErr w:type="gramEnd"/>
      <w:r w:rsidRPr="00A64B10">
        <w:rPr>
          <w:rFonts w:ascii="Calibri" w:eastAsia="Calibri" w:hAnsi="Calibri" w:cs="Times New Roman"/>
        </w:rPr>
        <w:t xml:space="preserve"> release the content of granules as an early-phase response (histamine, serotonin), and a range of mediators as a late-phase response (prostaglandins and leukotrienes) leading to cardio-pulmonary symptoms (Figure 4). A method evaluating the effect of nanotechnology-based products on the activation of </w:t>
      </w:r>
      <w:r w:rsidRPr="000700DD">
        <w:rPr>
          <w:rFonts w:ascii="Calibri" w:eastAsia="Calibri" w:hAnsi="Calibri" w:cs="Times New Roman"/>
        </w:rPr>
        <w:t>basophils</w:t>
      </w:r>
      <w:r w:rsidRPr="00A64B10">
        <w:rPr>
          <w:rFonts w:ascii="Calibri" w:eastAsia="Calibri" w:hAnsi="Calibri" w:cs="Times New Roman"/>
        </w:rPr>
        <w:t xml:space="preserve"> is currently in early-stage development in the REFINE project (Table S4). </w:t>
      </w:r>
    </w:p>
    <w:p w14:paraId="42F296CB" w14:textId="77777777" w:rsidR="00153209" w:rsidRPr="00A64B10" w:rsidRDefault="00153209" w:rsidP="00153209">
      <w:pPr>
        <w:keepNext/>
        <w:keepLines/>
        <w:spacing w:before="40" w:after="0"/>
        <w:outlineLvl w:val="3"/>
        <w:rPr>
          <w:rFonts w:ascii="Cambria" w:eastAsia="Calibri" w:hAnsi="Cambria" w:cs="Times New Roman"/>
          <w:i/>
          <w:iCs/>
          <w:color w:val="365F91"/>
        </w:rPr>
      </w:pPr>
      <w:r w:rsidRPr="00A64B10">
        <w:rPr>
          <w:rFonts w:ascii="Cambria" w:eastAsia="Calibri" w:hAnsi="Cambria" w:cs="Times New Roman"/>
          <w:i/>
          <w:iCs/>
          <w:color w:val="365F91"/>
        </w:rPr>
        <w:t>Inflammation and innate immune cells</w:t>
      </w:r>
    </w:p>
    <w:p w14:paraId="6F8FD33E" w14:textId="5ABBE68D" w:rsidR="00153209" w:rsidRPr="00A64B10" w:rsidRDefault="00153209" w:rsidP="00153209">
      <w:pPr>
        <w:jc w:val="both"/>
        <w:rPr>
          <w:rFonts w:ascii="Calibri" w:eastAsia="Calibri" w:hAnsi="Calibri" w:cs="Times New Roman"/>
        </w:rPr>
      </w:pPr>
      <w:r w:rsidRPr="00A64B10">
        <w:rPr>
          <w:rFonts w:ascii="Calibri" w:eastAsia="Calibri" w:hAnsi="Calibri" w:cs="Times New Roman"/>
        </w:rPr>
        <w:t xml:space="preserve">One of the first forms of defence employed by the innate immune response is accomplished by pattern recognition receptors (PRRs) encoded in the germline to recognise pathogen-associated molecular patterns (PAMPs). These receptors may be either on the membrane of many cell types </w:t>
      </w:r>
      <w:proofErr w:type="gramStart"/>
      <w:r w:rsidRPr="00A64B10">
        <w:rPr>
          <w:rFonts w:ascii="Calibri" w:eastAsia="Calibri" w:hAnsi="Calibri" w:cs="Times New Roman"/>
        </w:rPr>
        <w:t>e.g.</w:t>
      </w:r>
      <w:proofErr w:type="gramEnd"/>
      <w:r w:rsidRPr="00A64B10">
        <w:rPr>
          <w:rFonts w:ascii="Calibri" w:eastAsia="Calibri" w:hAnsi="Calibri" w:cs="Times New Roman"/>
        </w:rPr>
        <w:t xml:space="preserve"> Toll like receptors (TLRs) or inside their cytoplasm e.g. Nod-like receptors (NLRs). Among the NLRs are the inflammasomes, of which the NLRP3 inflammasome is the most fully characterised one. Upon activation, NLRP3 recruits the adapter protein ASC, involved in the activation of </w:t>
      </w:r>
      <w:proofErr w:type="gramStart"/>
      <w:r w:rsidRPr="00A64B10">
        <w:rPr>
          <w:rFonts w:ascii="Calibri" w:eastAsia="Calibri" w:hAnsi="Calibri" w:cs="Times New Roman"/>
        </w:rPr>
        <w:t>caspase-1</w:t>
      </w:r>
      <w:proofErr w:type="gramEnd"/>
      <w:r w:rsidRPr="00A64B10">
        <w:rPr>
          <w:rFonts w:ascii="Calibri" w:eastAsia="Calibri" w:hAnsi="Calibri" w:cs="Times New Roman"/>
        </w:rPr>
        <w:t>. Caspase-1 processes pro-IL-1</w:t>
      </w:r>
      <w:r w:rsidRPr="00A64B10">
        <w:rPr>
          <w:rFonts w:ascii="Calibri" w:eastAsia="Calibri" w:hAnsi="Calibri" w:cs="Calibri"/>
        </w:rPr>
        <w:t>β</w:t>
      </w:r>
      <w:r w:rsidRPr="00A64B10">
        <w:rPr>
          <w:rFonts w:ascii="Calibri" w:eastAsia="Calibri" w:hAnsi="Calibri" w:cs="Times New Roman"/>
        </w:rPr>
        <w:t xml:space="preserve"> and pro-IL-18 to </w:t>
      </w:r>
      <w:r w:rsidR="009A749D" w:rsidRPr="000700DD">
        <w:rPr>
          <w:rFonts w:ascii="Calibri" w:eastAsia="Calibri" w:hAnsi="Calibri" w:cs="Times New Roman"/>
        </w:rPr>
        <w:t xml:space="preserve">their </w:t>
      </w:r>
      <w:r w:rsidRPr="00A64B10">
        <w:rPr>
          <w:rFonts w:ascii="Calibri" w:eastAsia="Calibri" w:hAnsi="Calibri" w:cs="Times New Roman"/>
        </w:rPr>
        <w:t xml:space="preserve">biologically active forms. Activation of the NLRP3 inflammasome is a widely studied effect of nanotechnology-based products </w:t>
      </w:r>
      <w:r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{"citationItems":[{"id":"ITEM-1","itemData":{"DOI":"10.1002/smll.201201962","ISSN":"16136810","PMID":"23180683","abstract":"Engineered nanomaterials (ENMs) continue to attract significant attention because they have novel physicochemical properties that can improve the functions of products that will benefit human lives. However, the physicochemical properties that make ENMs attractive could interact with biological systems and induce cascades of events that cause toxicological effects. Recently, there have been more studies suggesting inflammasome activation may play an important role in ENM-induced biological responses. Inflammasomes are a family of multiprotein complexes that are increasingly recognized as major mediators of the host immune system. Among these, NLRP3 inflammasome is the most studied that could directly interact with ENMs to generate inflammatory responses. In this review, the ENM physicochemical properties are linked to NLRP3 inflammasome activation. An understanding of the mechanisms of ENM-NLRP3 inflammasome interactions will provide us with strategies for safer nanomaterial design and therapy. Mechanisms of NLRP3 inflammasome activation induced by engineered nanomaterials (ENMs): the physicochemical properties of ENMs that can be linked to NLRP3 inflammasome activation are reviewed. The elucidation of mechanisms of ENM-NLRP3 inflammasome interaction will help to develop safer ENMs and a potential therapy for ENM-induced adverse health effects. Copyright © 2013 WILEY-VCH Verlag GmbH &amp; Co. KGaA, Weinheim.","author":[{"dropping-particle":"","family":"Sun","given":"Bingbing","non-dropping-particle":"","parse-names":false,"suffix":""},{"dropping-particle":"","family":"Wang","given":"Xiang","non-dropping-particle":"","parse-names":false,"suffix":""},{"dropping-particle":"","family":"Ji","given":"Zhaoxia","non-dropping-particle":"","parse-names":false,"suffix":""},{"dropping-particle":"","family":"Li","given":"Ruibin","non-dropping-particle":"","parse-names":false,"suffix":""},{"dropping-particle":"","family":"Xia","given":"Tian","non-dropping-particle":"","parse-names":false,"suffix":""}],"container-title":"Small","id":"ITEM-1","issue":"9-10","issued":{"date-parts":[["2013","5","27"]]},"page":"1595-1607","publisher":"Small","title":"NLRP3 inflammasome activation induced by engineered nanomaterials","type":"article","volume":"9"},"uris":["http://www.mendeley.com/documents/?uuid=59a6cc77-7045-3f76-b5e1-d89b2f848a7b"]},{"id":"ITEM-2","itemData":{"DOI":"10.1016/j.nano.2013.12.003","ISSN":"15499642","PMID":"24361386","abstract":"We provide evidence that cationic lipids, usually considered as a safe alternative to viral vectors as nanocarriers for gene therapy or drug intracellular delivery, do not behave as inert material but do activate cellular signalling pathways implicated in inflammatory reactions. We show here that the cationic lipid RPR206252 induces NF-κB activation, and the production of TNF-α, IL-1β, IL-6 and IFN-γ by human or mouse macrophage cell lines. Further, we demonstrate that the activation of inflammatory cascades by RPR206252 is dependent on Toll-like receptor 2 (TLR2), the natural sensor of bacterial lipopeptides and NOD-like receptor protein 3 (NLRP3), the major inflammasome component. Our results suggest that cationic lipid nanocarriers because of their ability to stimulate the innate system can be used as a new class of synthetic and safe adjuvant for vaccination. From the Clinical Editor: Cationic lipid nanocarriers are typically considered neutral tools for gene delivery. However, as demonstrated in this study, they possess a clear ability to stimulate the innate immune system, and actually can be used as a new class of synthetic and safe adjuvant for vaccination. © 2014 Elsevier Inc.","author":[{"dropping-particle":"","family":"Lonez","given":"Caroline","non-dropping-particle":"","parse-names":false,"suffix":""},{"dropping-particle":"","family":"Bessodes","given":"Michel","non-dropping-particle":"","parse-names":false,"suffix":""},{"dropping-particle":"","family":"Scherman","given":"Daniel","non-dropping-particle":"","parse-names":false,"suffix":""},{"dropping-particle":"","family":"Vandenbranden","given":"Michel","non-dropping-particle":"","parse-names":false,"suffix":""},{"dropping-particle":"","family":"Escriou","given":"Virginie","non-dropping-particle":"","parse-names":false,"suffix":""},{"dropping-particle":"","family":"Ruysschaert","given":"Jean Marie","non-dropping-particle":"","parse-names":false,"suffix":""}],"container-title":"Nanomedicine: Nanotechnology, Biology, and Medicine","id":"ITEM-2","issue":"4","issued":{"date-parts":[["2014"]]},"page":"775-782","publisher":"Elsevier Inc.","title":"Cationic lipid nanocarriers activate Toll-like receptor 2 and NLRP3 inflammasome pathways","type":"article-journal","volume":"10"},"uris":["http://www.mendeley.com/documents/?uuid=c380293a-1a44-3c63-9a30-fff454a0dd2b"]},{"id":"ITEM-3","itemData":{"DOI":"10.1021/acsbiomaterials.6b00790","ISSN":"23739878","abstract":"Hepatotoxicity of cationic poly amidoamine (PAMAM) dendrimers is one of the most urgent challenges to their medicinal application. Recent studies have indicated that proinflammatory cytokines were critical in nanomaterials-induced toxicity. However, little is known about the roles and underlying regulatory mechanisms of proinflammatory cytokines in cationic PAMAM dendrimer-induced hepatotoxicity. Thus, the aim of the current study was to explore the role of proinflammatory cytokine tumor necrosis factor alpha (TNFα) in cationic PAMAM dendrimer-induced liver injury and its underlying mechanism and develop novel strategies to reduce hepatotoxicity of cationic PAMAM dendrimers through regulating TNFα. In this study, we verified the significant overexpression of TNFα in cationic PAMAM dendrimer-induced hepatotoxicity in mice and found that targeting TNFα by etanercept could protect against cationic PAMAM dendrimer-induced liver injury. Interestingly, etanercept suppressed cationic PAMAM dendrimer-induced inflammasome signaling as demonstrated by reduced activation of NALP3, cleavage of Caspase-1, and maturation of interleukin (IL)-1β. Moreover, suppression of NLRP3 inflammasomes by belnacasan could also protect against cationic PAMAM dendrimer-induced hepatotoxicity and TNFα-induced acute hepatotoxicity. Notably, targeting either TNFα or inflammasomes reduced autophagy activation in hepatotoxicity triggered by cationic PAMAM dendrimers. In general, these findings revealed that targeting TNFα could ameliorate cationic PAMAM dendrimer-induced hepatotoxicity via regulating NLRP3 inflammasome pathway, underscoring that TNFα antagonism by etanercept could be used as an effective pharmacological approach to control hepatotoxicity of cationic PAMAM dendrimers and thus providing novel therapeutic strategies for managing liver toxicity of nanomaterials via regulating inflammatory mediators.","author":[{"dropping-particle":"","family":"Li","given":"Yubin","non-dropping-particle":"","parse-names":false,"suffix":""},{"dropping-particle":"","family":"Wang","given":"Shaofei","non-dropping-particle":"","parse-names":false,"suffix":""},{"dropping-particle":"","family":"Fan","given":"Jiajun","non-dropping-particle":"","parse-names":false,"suffix":""},{"dropping-particle":"","family":"Zhang","given":"Xuesai","non-dropping-particle":"","parse-names":false,"suffix":""},{"dropping-particle":"","family":"Qian","given":"Xiaolu","non-dropping-particle":"","parse-names":false,"suffix":""},{"dropping-particle":"","family":"Zhang","given":"Xuyao","non-dropping-particle":"","parse-names":false,"suffix":""},{"dropping-particle":"","family":"Luan","given":"Jingyun","non-dropping-particle":"","parse-names":false,"suffix":""},{"dropping-particle":"","family":"Song","given":"Ping","non-dropping-particle":"","parse-names":false,"suffix":""},{"dropping-particle":"","family":"Wang","given":"Ziyu","non-dropping-particle":"","parse-names":false,"suffix":""},{"dropping-particle":"","family":"Chen","given":"Qicheng","non-dropping-particle":"","parse-names":false,"suffix":""},{"dropping-particle":"","family":"Ju","given":"Dianwen","non-dropping-particle":"","parse-names":false,"suffix":""}],"container-title":"ACS Biomaterials Science and Engineering","id":"ITEM-3","issue":"5","issued":{"date-parts":[["2017","5","8"]]},"page":"843-853","publisher":"American Chemical Society","title":"Targeting TNFα Ameliorated Cationic PAMAM Dendrimer-Induced Hepatotoxicity via Regulating NLRP3 Inflammasomes Pathway","type":"article-journal","volume":"3"},"uris":["http://www.mendeley.com/documents/?uuid=5d9e5cc4-7d2a-3945-9d7e-e6efde0f232a"]}],"mendeley":{"formattedCitation":"[62–64]","plainTextFormattedCitation":"[62–64]","previouslyFormattedCitation":"[62–64]"},"properties":{"noteIndex":0},"schema":"https://github.com/citation-style-language/schema/raw/master/csl-citation.json"}</w:instrText>
      </w:r>
      <w:r w:rsidRPr="00A64B10">
        <w:rPr>
          <w:rFonts w:ascii="Calibri" w:eastAsia="Calibri" w:hAnsi="Calibri" w:cs="Times New Roman"/>
        </w:rPr>
        <w:fldChar w:fldCharType="separate"/>
      </w:r>
      <w:r w:rsidR="000B3F63" w:rsidRPr="000B3F63">
        <w:rPr>
          <w:rFonts w:ascii="Calibri" w:eastAsia="Calibri" w:hAnsi="Calibri" w:cs="Times New Roman"/>
          <w:noProof/>
        </w:rPr>
        <w:t>[62–64]</w:t>
      </w:r>
      <w:r w:rsidRPr="00A64B10">
        <w:rPr>
          <w:rFonts w:ascii="Calibri" w:eastAsia="Calibri" w:hAnsi="Calibri" w:cs="Times New Roman"/>
        </w:rPr>
        <w:fldChar w:fldCharType="end"/>
      </w:r>
      <w:r w:rsidRPr="00A64B10">
        <w:rPr>
          <w:rFonts w:ascii="Calibri" w:eastAsia="Calibri" w:hAnsi="Calibri" w:cs="Times New Roman"/>
        </w:rPr>
        <w:t xml:space="preserve">. Available methods are based on the measurement of corresponding pro-inflammatory cytokines, </w:t>
      </w:r>
      <w:proofErr w:type="gramStart"/>
      <w:r w:rsidRPr="00A64B10">
        <w:rPr>
          <w:rFonts w:ascii="Calibri" w:eastAsia="Calibri" w:hAnsi="Calibri" w:cs="Times New Roman"/>
        </w:rPr>
        <w:t>chemokines</w:t>
      </w:r>
      <w:proofErr w:type="gramEnd"/>
      <w:r w:rsidRPr="00A64B10">
        <w:rPr>
          <w:rFonts w:ascii="Calibri" w:eastAsia="Calibri" w:hAnsi="Calibri" w:cs="Times New Roman"/>
        </w:rPr>
        <w:t xml:space="preserve"> and</w:t>
      </w:r>
      <w:r w:rsidRPr="00A64B10">
        <w:t xml:space="preserve"> </w:t>
      </w:r>
      <w:r w:rsidRPr="00A64B10">
        <w:rPr>
          <w:rFonts w:ascii="Calibri" w:eastAsia="Calibri" w:hAnsi="Calibri" w:cs="Times New Roman"/>
        </w:rPr>
        <w:t xml:space="preserve">chemoattractant capacity (Table S4). </w:t>
      </w:r>
      <w:r w:rsidR="009A749D" w:rsidRPr="000700DD">
        <w:rPr>
          <w:rFonts w:ascii="Calibri" w:eastAsia="Calibri" w:hAnsi="Calibri" w:cs="Times New Roman"/>
        </w:rPr>
        <w:t>A method evaluating the effect of nanotechnology-based products on inflammasome activation is currently in early-stage development in the REFINE project (Table S4).</w:t>
      </w:r>
    </w:p>
    <w:p w14:paraId="7BA7E822" w14:textId="754A6241" w:rsidR="00153209" w:rsidRPr="00A64B10" w:rsidRDefault="00153209" w:rsidP="00153209">
      <w:pPr>
        <w:jc w:val="both"/>
        <w:rPr>
          <w:rFonts w:ascii="Calibri" w:eastAsia="Calibri" w:hAnsi="Calibri" w:cs="Times New Roman"/>
        </w:rPr>
      </w:pPr>
      <w:r w:rsidRPr="00A64B10">
        <w:rPr>
          <w:rFonts w:ascii="Calibri" w:eastAsia="Calibri" w:hAnsi="Calibri" w:cs="Times New Roman"/>
        </w:rPr>
        <w:t xml:space="preserve">In addition, the effect on macrophage function and uptake by phagocytotic cells can provide relevant information not only on proinflammatory potential of nanotechnology-based products but also on their pharmacokinetic properties and distribution in the body. Macrophages are one of the most </w:t>
      </w:r>
      <w:r w:rsidRPr="00A64B10">
        <w:rPr>
          <w:rFonts w:ascii="Calibri" w:eastAsia="Calibri" w:hAnsi="Calibri" w:cs="Times New Roman"/>
        </w:rPr>
        <w:lastRenderedPageBreak/>
        <w:t>important par</w:t>
      </w:r>
      <w:r w:rsidR="00824D8F">
        <w:rPr>
          <w:rFonts w:ascii="Calibri" w:eastAsia="Calibri" w:hAnsi="Calibri" w:cs="Times New Roman"/>
        </w:rPr>
        <w:t xml:space="preserve">ts of the innate immune system </w:t>
      </w:r>
      <w:r w:rsidRPr="00A64B10">
        <w:rPr>
          <w:rFonts w:ascii="Calibri" w:eastAsia="Calibri" w:hAnsi="Calibri" w:cs="Times New Roman"/>
        </w:rPr>
        <w:t xml:space="preserve">that recognise, </w:t>
      </w:r>
      <w:proofErr w:type="gramStart"/>
      <w:r w:rsidRPr="00A64B10">
        <w:rPr>
          <w:rFonts w:ascii="Calibri" w:eastAsia="Calibri" w:hAnsi="Calibri" w:cs="Times New Roman"/>
        </w:rPr>
        <w:t>engulf</w:t>
      </w:r>
      <w:proofErr w:type="gramEnd"/>
      <w:r w:rsidRPr="00A64B10">
        <w:rPr>
          <w:rFonts w:ascii="Calibri" w:eastAsia="Calibri" w:hAnsi="Calibri" w:cs="Times New Roman"/>
        </w:rPr>
        <w:t xml:space="preserve"> and destroy pathogens, foreign particles and damaged or dead cells. Macrophages can differentiate into (at least) two subtypes, the pro-inflammatory (M1) type and the pro-fibrotic/anti-inflammatory M2 type. M1 macrophages are phagocytic, playing a major role in host defence, while M2 macrophages are involved in tissue remodelling and diseases such as fibrosis. </w:t>
      </w:r>
      <w:r w:rsidRPr="00A64B10">
        <w:rPr>
          <w:rFonts w:ascii="Calibri" w:eastAsia="Calibri" w:hAnsi="Calibri" w:cs="Arial"/>
        </w:rPr>
        <w:t xml:space="preserve">An </w:t>
      </w:r>
      <w:r w:rsidRPr="00A64B10">
        <w:rPr>
          <w:rFonts w:ascii="Calibri" w:eastAsia="Calibri" w:hAnsi="Calibri" w:cs="Times New Roman"/>
        </w:rPr>
        <w:t xml:space="preserve">improved foreign body reaction(less fibrosis, more vascularisation) in response to implanted medical devices was found to be associated with a local shift from M2 to M1 macrophages </w:t>
      </w:r>
      <w:r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{"citationItems":[{"id":"ITEM-1","itemData":{"DOI":"10.1007/s10439-013-0933-0","ISSN":"15739686","PMID":"24248559","abstract":"The foreign body reaction (FBR) to implanted materials is of critical importance when medical devices require biological integration and vascularization to support their proper function (e.g., transcutaneous devices, implanted drug delivery systems, tissue replacements, and sensors). One class of materials that improves FBR outcomes is made by sphere-templating, resulting in porous structures with uniform, interconnected 34 μm pores. With these materials we observe reduced fibrosis and increased vascularization. We hypothesized that improved healing is a result of a shift in macrophage polarization, often measured as the ratio of M1 pro-inflammatory cells to M2 pro-healing cells. In this study, macrophage polarity of 34 μm porous implants was compared to non-porous and 160 μm porous implants in subcutaneous mouse tissue. Immunohistochemistry revealed that macrophages in implant pores displayed a shift towards an M1 phenotype compared to externalized cells. Macrophages in 34 μm porous implants had up to 63% greater expression of M1 markers and up to 85% reduction in M2 marker expression (p &lt; 0.05). Macrophages immediately outside the porous structure, in contrast, showed a significant enrichment in M2 phenotypic cells. This study supports a role for macrophage polarization in driving the FBR to implanted materials. © 2013 Biomedical Engineering Society.","author":[{"dropping-particle":"","family":"Sussman","given":"Eric M.","non-dropping-particle":"","parse-names":false,"suffix":""},{"dropping-particle":"","family":"Halpin","given":"Michelle C.","non-dropping-particle":"","parse-names":false,"suffix":""},{"dropping-particle":"","family":"Muster","given":"Jeanot","non-dropping-particle":"","parse-names":false,"suffix":""},{"dropping-particle":"","family":"Moon","given":"Randall T.","non-dropping-particle":"","parse-names":false,"suffix":""},{"dropping-particle":"","family":"Ratner","given":"Buddy D.","non-dropping-particle":"","parse-names":false,"suffix":""}],"container-title":"Annals of Biomedical Engineering","id":"ITEM-1","issue":"7","issued":{"date-parts":[["2014"]]},"page":"1508-1516","publisher":"Kluwer Academic Publishers","title":"Porous implants modulate healing and induce shifts in local macrophage polarization in the foreign body reaction","type":"article-journal","volume":"42"},"uris":["http://www.mendeley.com/documents/?uuid=2f933bc6-def8-3e57-be7a-fa77a9e0adc5"]}],"mendeley":{"formattedCitation":"[65]","plainTextFormattedCitation":"[65]","previouslyFormattedCitation":"[65]"},"properties":{"noteIndex":0},"schema":"https://github.com/citation-style-language/schema/raw/master/csl-citation.json"}</w:instrText>
      </w:r>
      <w:r w:rsidRPr="00A64B10">
        <w:rPr>
          <w:rFonts w:ascii="Calibri" w:eastAsia="Calibri" w:hAnsi="Calibri" w:cs="Times New Roman"/>
        </w:rPr>
        <w:fldChar w:fldCharType="separate"/>
      </w:r>
      <w:r w:rsidR="000B3F63" w:rsidRPr="000B3F63">
        <w:rPr>
          <w:rFonts w:ascii="Calibri" w:eastAsia="Calibri" w:hAnsi="Calibri" w:cs="Times New Roman"/>
          <w:noProof/>
        </w:rPr>
        <w:t>[65]</w:t>
      </w:r>
      <w:r w:rsidRPr="00A64B10">
        <w:rPr>
          <w:rFonts w:ascii="Calibri" w:eastAsia="Calibri" w:hAnsi="Calibri" w:cs="Times New Roman"/>
        </w:rPr>
        <w:fldChar w:fldCharType="end"/>
      </w:r>
      <w:r w:rsidRPr="00A64B10">
        <w:rPr>
          <w:rFonts w:ascii="Calibri" w:eastAsia="Calibri" w:hAnsi="Calibri" w:cs="Times New Roman"/>
        </w:rPr>
        <w:t xml:space="preserve">. A method evaluating the effect of nanomaterials on M1 and M2 macrophages, isolated from human blood is currently being developed in the context of the REFINE project (Table S4). Other approaches are investigating the macrophage capacity to produce Reactive Oxygen Species (ROS) and to engulf apoptotic cells </w:t>
      </w:r>
      <w:r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{"citationItems":[{"id":"ITEM-1","itemData":{"DOI":"10.4049/jimmunol.169.1.487","ISSN":"0022-1767","PMID":"12077280","abstract":"Exposure of phosphatidylserine (PS) on the surface of apoptotic cells has been suggested to serve as an important recognition signal for macrophages. In this work we show that triggering of the death receptor Fas on Jurkat cells results in the generation of reactive oxygen species with oxidation and externalization of PS but not of the other major aminophospholipid, phosphati- dylethanolamine. These cells were readily ingested by several classes of macrophages, whereas Raji cells, which are defective for Fas-induced PS exposure, remained unengulfed. However, when Raji cells were incubated with the thiol-reactive agent N-ethyl- maleimide to induce PS exposure in the absence of other features of apoptosis, these cells were also engulfed by macrophages. Phagocytosis of Fas-triggered Jurkat cells was inhibited by superoxide dismutase and catalase, which prevent oxidation of PS while allowing PS to remain externalized on these cells. Moreover, liposomes containing oxidized PS (PS-OX) were more potent inhibitors of phagocytosis than those containing its nonoxidized counterpart. Finally, enrichment of the plasma membrane of Jurkat or Raji cells, or myeloid leukemic HL-60 cells, with exogenous PS resulted in phagocytic cell clearance, and this process was further enhanced when PS was substituted for by PS-OX. Taken together, our data suggest that the presence of PS-OX in conjunction with nonoxidized PS on the cell surface is an important signal for macrophage clearance of apoptotic cells.","author":[{"dropping-particle":"","family":"Kagan","given":"Valerian E.","non-dropping-particle":"","parse-names":false,"suffix":""},{"dropping-particle":"","family":"Gleiss","given":"Bettina","non-dropping-particle":"","parse-names":false,"suffix":""},{"dropping-particle":"","family":"Tyurina","given":"Yulia Y.","non-dropping-particle":"","parse-names":false,"suffix":""},{"dropping-particle":"","family":"Tyurin","given":"Vladimir A.","non-dropping-particle":"","parse-names":false,"suffix":""},{"dropping-particle":"","family":"Elenström-Magnusson","given":"Carina","non-dropping-particle":"","parse-names":false,"suffix":""},{"dropping-particle":"","family":"Liu","given":"Shang-Xi","non-dropping-particle":"","parse-names":false,"suffix":""},{"dropping-particle":"","family":"Serinkan","given":"F. Behice","non-dropping-particle":"","parse-names":false,"suffix":""},{"dropping-particle":"","family":"Arroyo","given":"Antonio","non-dropping-particle":"","parse-names":false,"suffix":""},{"dropping-particle":"","family":"Chandra","given":"Joya","non-dropping-particle":"","parse-names":false,"suffix":""},{"dropping-particle":"","family":"Orrenius","given":"Sten","non-dropping-particle":"","parse-names":false,"suffix":""},{"dropping-particle":"","family":"Fadeel","given":"Bengt","non-dropping-particle":"","parse-names":false,"suffix":""}],"container-title":"The Journal of Immunology","id":"ITEM-1","issue":"1","issued":{"date-parts":[["2002","7","1"]]},"page":"487-499","publisher":"The American Association of Immunologists","title":"A Role for Oxidative Stress in Apoptosis: Oxidation and Externalization of Phosphatidylserine Is Required for Macrophage Clearance of Cells Undergoing Fas-Mediated Apoptosis","type":"article-journal","volume":"169"},"uris":["http://www.mendeley.com/documents/?uuid=05e9a3b1-fcec-36d5-8abc-e0ed6937777e"]}],"mendeley":{"formattedCitation":"[66]","plainTextFormattedCitation":"[66]","previouslyFormattedCitation":"[66]"},"properties":{"noteIndex":0},"schema":"https://github.com/citation-style-language/schema/raw/master/csl-citation.json"}</w:instrText>
      </w:r>
      <w:r w:rsidRPr="00A64B10">
        <w:rPr>
          <w:rFonts w:ascii="Calibri" w:eastAsia="Calibri" w:hAnsi="Calibri" w:cs="Times New Roman"/>
        </w:rPr>
        <w:fldChar w:fldCharType="separate"/>
      </w:r>
      <w:r w:rsidR="000B3F63" w:rsidRPr="000B3F63">
        <w:rPr>
          <w:rFonts w:ascii="Calibri" w:eastAsia="Calibri" w:hAnsi="Calibri" w:cs="Times New Roman"/>
          <w:noProof/>
        </w:rPr>
        <w:t>[66]</w:t>
      </w:r>
      <w:r w:rsidRPr="00A64B10">
        <w:rPr>
          <w:rFonts w:ascii="Calibri" w:eastAsia="Calibri" w:hAnsi="Calibri" w:cs="Times New Roman"/>
        </w:rPr>
        <w:fldChar w:fldCharType="end"/>
      </w:r>
      <w:r w:rsidRPr="00A64B10">
        <w:rPr>
          <w:rFonts w:ascii="Calibri" w:eastAsia="Calibri" w:hAnsi="Calibri" w:cs="Times New Roman"/>
        </w:rPr>
        <w:t xml:space="preserve"> (Table S4). Several methods were developed by the European project </w:t>
      </w:r>
      <w:proofErr w:type="spellStart"/>
      <w:r w:rsidRPr="00A64B10">
        <w:rPr>
          <w:rFonts w:ascii="Calibri" w:eastAsia="Calibri" w:hAnsi="Calibri" w:cs="Times New Roman"/>
        </w:rPr>
        <w:t>Nanommune</w:t>
      </w:r>
      <w:proofErr w:type="spellEnd"/>
      <w:r w:rsidRPr="00A64B10">
        <w:rPr>
          <w:rFonts w:ascii="Calibri" w:eastAsia="Calibri" w:hAnsi="Calibri" w:cs="Times New Roman"/>
        </w:rPr>
        <w:t xml:space="preserve"> and are included in the </w:t>
      </w:r>
      <w:proofErr w:type="spellStart"/>
      <w:r w:rsidRPr="00A64B10">
        <w:rPr>
          <w:rFonts w:ascii="Calibri" w:eastAsia="Calibri" w:hAnsi="Calibri" w:cs="Times New Roman"/>
        </w:rPr>
        <w:t>Nanommune</w:t>
      </w:r>
      <w:proofErr w:type="spellEnd"/>
      <w:r w:rsidRPr="00A64B10">
        <w:rPr>
          <w:rFonts w:ascii="Calibri" w:eastAsia="Calibri" w:hAnsi="Calibri" w:cs="Times New Roman"/>
        </w:rPr>
        <w:t xml:space="preserve"> Quality Handbook </w:t>
      </w:r>
      <w:r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{"citationItems":[{"id":"ITEM-1","itemData":{"author":[{"dropping-particle":"","family":"NANOMMUNE","given":"","non-dropping-particle":"","parse-names":false,"suffix":""}],"id":"ITEM-1","issue":"2","issued":{"date-parts":[["2011"]]},"title":"Quality Handbook: Standard Procedures for Nanoparticle Testing","type":"article-journal"},"uris":["http://www.mendeley.com/documents/?uuid=24293b0a-899d-4c3b-8974-499801fa2111"]}],"mendeley":{"formattedCitation":"[67]","plainTextFormattedCitation":"[67]","previouslyFormattedCitation":"[67]"},"properties":{"noteIndex":0},"schema":"https://github.com/citation-style-language/schema/raw/master/csl-citation.json"}</w:instrText>
      </w:r>
      <w:r w:rsidRPr="00A64B10">
        <w:rPr>
          <w:rFonts w:ascii="Calibri" w:eastAsia="Calibri" w:hAnsi="Calibri" w:cs="Times New Roman"/>
        </w:rPr>
        <w:fldChar w:fldCharType="separate"/>
      </w:r>
      <w:r w:rsidR="000B3F63" w:rsidRPr="000B3F63">
        <w:rPr>
          <w:rFonts w:ascii="Calibri" w:eastAsia="Calibri" w:hAnsi="Calibri" w:cs="Times New Roman"/>
          <w:noProof/>
        </w:rPr>
        <w:t>[67]</w:t>
      </w:r>
      <w:r w:rsidRPr="00A64B10">
        <w:rPr>
          <w:rFonts w:ascii="Calibri" w:eastAsia="Calibri" w:hAnsi="Calibri" w:cs="Times New Roman"/>
        </w:rPr>
        <w:fldChar w:fldCharType="end"/>
      </w:r>
      <w:r w:rsidRPr="00A64B10">
        <w:rPr>
          <w:rFonts w:ascii="Calibri" w:eastAsia="Calibri" w:hAnsi="Calibri" w:cs="Times New Roman"/>
        </w:rPr>
        <w:t>. In addition, an ISO standardised method for assessing the generation of nanoparticle-induced ROS in a murine macrophage cell line is available. However, the use of appropriate controls for interference is required, as many nanomaterials can interfere with commonly used readouts such as fluorescence or absorbance measurements. Moreover, the use of non-human cells makes</w:t>
      </w:r>
      <w:r w:rsidR="00E30F1E">
        <w:rPr>
          <w:rFonts w:ascii="Calibri" w:eastAsia="Calibri" w:hAnsi="Calibri" w:cs="Times New Roman"/>
        </w:rPr>
        <w:t xml:space="preserve"> extrapolation of the results to</w:t>
      </w:r>
      <w:r w:rsidRPr="00A64B10">
        <w:rPr>
          <w:rFonts w:ascii="Calibri" w:eastAsia="Calibri" w:hAnsi="Calibri" w:cs="Times New Roman"/>
        </w:rPr>
        <w:t xml:space="preserve"> humans even more difficult.</w:t>
      </w:r>
    </w:p>
    <w:p w14:paraId="73814EDE" w14:textId="472CEE8F" w:rsidR="00153209" w:rsidRPr="00A64B10" w:rsidRDefault="00153209" w:rsidP="00153209">
      <w:pPr>
        <w:jc w:val="both"/>
        <w:rPr>
          <w:rFonts w:ascii="Calibri" w:eastAsia="Calibri" w:hAnsi="Calibri" w:cs="Times New Roman"/>
          <w:b/>
          <w:bCs/>
        </w:rPr>
      </w:pPr>
      <w:r w:rsidRPr="00A64B10">
        <w:rPr>
          <w:rFonts w:ascii="Calibri" w:eastAsia="Calibri" w:hAnsi="Calibri" w:cs="Times New Roman"/>
        </w:rPr>
        <w:t xml:space="preserve">Phagocytes are the type of white blood cells (mainly macrophages and neutrophils) that </w:t>
      </w:r>
      <w:proofErr w:type="gramStart"/>
      <w:r w:rsidRPr="00A64B10">
        <w:rPr>
          <w:rFonts w:ascii="Calibri" w:eastAsia="Calibri" w:hAnsi="Calibri" w:cs="Times New Roman"/>
        </w:rPr>
        <w:t>have the ability to</w:t>
      </w:r>
      <w:proofErr w:type="gramEnd"/>
      <w:r w:rsidRPr="00A64B10">
        <w:rPr>
          <w:rFonts w:ascii="Calibri" w:eastAsia="Calibri" w:hAnsi="Calibri" w:cs="Times New Roman"/>
        </w:rPr>
        <w:t xml:space="preserve"> phagocytose bacteria, foreign particles and dying cells, to protect the body. </w:t>
      </w:r>
      <w:r w:rsidRPr="00A64B10">
        <w:rPr>
          <w:rFonts w:ascii="Calibri" w:eastAsia="Calibri" w:hAnsi="Calibri" w:cs="Arial"/>
        </w:rPr>
        <w:t>Evaluation of NP uptake by phagocytes is facing technological challenges related to the detection and quantification of NPs in biological structures (see section 4.4). Available methods often</w:t>
      </w:r>
      <w:r w:rsidRPr="000700DD">
        <w:rPr>
          <w:rFonts w:ascii="Calibri" w:eastAsia="Calibri" w:hAnsi="Calibri" w:cs="Arial"/>
        </w:rPr>
        <w:t xml:space="preserve"> </w:t>
      </w:r>
      <w:r w:rsidR="00DE755A" w:rsidRPr="000700DD">
        <w:rPr>
          <w:rFonts w:ascii="Calibri" w:eastAsia="Calibri" w:hAnsi="Calibri" w:cs="Arial"/>
        </w:rPr>
        <w:t>have</w:t>
      </w:r>
      <w:r w:rsidRPr="00A64B10">
        <w:rPr>
          <w:rFonts w:ascii="Calibri" w:eastAsia="Calibri" w:hAnsi="Calibri" w:cs="Arial"/>
        </w:rPr>
        <w:t xml:space="preserve"> material-dependent applicability, and in many cases pre-labelling of NPs is required prior to the use of specific readouts.</w:t>
      </w:r>
      <w:r w:rsidRPr="00A64B10">
        <w:rPr>
          <w:rFonts w:ascii="Calibri" w:eastAsia="Calibri" w:hAnsi="Calibri" w:cs="Times New Roman"/>
        </w:rPr>
        <w:t xml:space="preserve"> A method based on luminol chemiluminescence, activated by the low pH of phagolysosomes, is currently in the process of standardisation by ASTM International (Table S4). </w:t>
      </w:r>
    </w:p>
    <w:p w14:paraId="42BB97DB" w14:textId="77777777" w:rsidR="00463E88" w:rsidRPr="00A64B10" w:rsidRDefault="00463E88" w:rsidP="00D64FC0">
      <w:pPr>
        <w:keepNext/>
        <w:keepLines/>
        <w:spacing w:before="40" w:after="0"/>
        <w:outlineLvl w:val="3"/>
        <w:rPr>
          <w:rFonts w:ascii="Cambria" w:eastAsia="Calibri" w:hAnsi="Cambria" w:cs="Times New Roman"/>
          <w:i/>
          <w:iCs/>
          <w:color w:val="365F91"/>
        </w:rPr>
      </w:pPr>
      <w:r w:rsidRPr="00A64B10">
        <w:rPr>
          <w:rFonts w:ascii="Cambria" w:eastAsia="Calibri" w:hAnsi="Cambria" w:cs="Times New Roman"/>
          <w:i/>
          <w:iCs/>
          <w:color w:val="365F91"/>
        </w:rPr>
        <w:t>Effect on adaptive immune response</w:t>
      </w:r>
    </w:p>
    <w:p w14:paraId="31BD741E" w14:textId="5BF83130" w:rsidR="00463E88" w:rsidRPr="00A64B10" w:rsidRDefault="00463E88" w:rsidP="00F61D67">
      <w:pPr>
        <w:jc w:val="both"/>
        <w:rPr>
          <w:rFonts w:ascii="Calibri" w:eastAsia="Calibri" w:hAnsi="Calibri" w:cs="Arial"/>
        </w:rPr>
      </w:pPr>
      <w:r w:rsidRPr="00A64B10">
        <w:rPr>
          <w:rFonts w:ascii="Calibri" w:eastAsia="Calibri" w:hAnsi="Calibri" w:cs="Times New Roman"/>
        </w:rPr>
        <w:t xml:space="preserve">Effects on the adaptive immune response can (virtually) only be evaluated in vivo. The assay that is nowadays considered the “gold standard” for effects of compounds and drugs on the adaptive immune system is the T-cell dependent antibody response (TDAR). </w:t>
      </w:r>
      <w:r w:rsidR="00A84BB0" w:rsidRPr="00A64B10">
        <w:rPr>
          <w:rFonts w:ascii="Calibri" w:eastAsia="Calibri" w:hAnsi="Calibri" w:cs="Times New Roman"/>
        </w:rPr>
        <w:t>Next to the antibody levels, in</w:t>
      </w:r>
      <w:r w:rsidRPr="00A64B10">
        <w:rPr>
          <w:rFonts w:ascii="Calibri" w:eastAsia="Calibri" w:hAnsi="Calibri" w:cs="Times New Roman"/>
        </w:rPr>
        <w:t xml:space="preserve"> the same animals, </w:t>
      </w:r>
      <w:r w:rsidR="00A84BB0" w:rsidRPr="00A64B10">
        <w:rPr>
          <w:rFonts w:ascii="Calibri" w:eastAsia="Calibri" w:hAnsi="Calibri" w:cs="Times New Roman"/>
        </w:rPr>
        <w:t xml:space="preserve">also </w:t>
      </w:r>
      <w:r w:rsidRPr="00A64B10">
        <w:rPr>
          <w:rFonts w:ascii="Calibri" w:eastAsia="Calibri" w:hAnsi="Calibri" w:cs="Times New Roman"/>
        </w:rPr>
        <w:t>effects on cellularity (cell number) and immune cell subsets can be evaluated</w:t>
      </w:r>
      <w:r w:rsidR="00A84BB0" w:rsidRPr="00A64B10">
        <w:rPr>
          <w:rFonts w:ascii="Calibri" w:eastAsia="Calibri" w:hAnsi="Calibri" w:cs="Times New Roman"/>
        </w:rPr>
        <w:t>. The latter is done</w:t>
      </w:r>
      <w:r w:rsidRPr="00A64B10">
        <w:rPr>
          <w:rFonts w:ascii="Calibri" w:eastAsia="Calibri" w:hAnsi="Calibri" w:cs="Times New Roman"/>
        </w:rPr>
        <w:t xml:space="preserve"> by immunophenotyping, nowadays most often performed by FACS. </w:t>
      </w:r>
      <w:r w:rsidR="0093697D" w:rsidRPr="00A64B10">
        <w:rPr>
          <w:rFonts w:ascii="Calibri" w:eastAsia="Calibri" w:hAnsi="Calibri" w:cs="Arial"/>
        </w:rPr>
        <w:t xml:space="preserve">A new development is the pursuit of an </w:t>
      </w:r>
      <w:r w:rsidR="0093697D" w:rsidRPr="002C110A">
        <w:rPr>
          <w:rFonts w:ascii="Calibri" w:eastAsia="Calibri" w:hAnsi="Calibri" w:cs="Arial"/>
          <w:i/>
          <w:iCs/>
        </w:rPr>
        <w:t>in vitro</w:t>
      </w:r>
      <w:r w:rsidR="0093697D" w:rsidRPr="00A64B10">
        <w:rPr>
          <w:rFonts w:ascii="Calibri" w:eastAsia="Calibri" w:hAnsi="Calibri" w:cs="Arial"/>
        </w:rPr>
        <w:t xml:space="preserve"> replacement of the TDAR, the Human Leukocyte (</w:t>
      </w:r>
      <w:proofErr w:type="spellStart"/>
      <w:r w:rsidR="0093697D" w:rsidRPr="00A64B10">
        <w:rPr>
          <w:rFonts w:ascii="Calibri" w:eastAsia="Calibri" w:hAnsi="Calibri" w:cs="Arial"/>
        </w:rPr>
        <w:t>HuLa</w:t>
      </w:r>
      <w:proofErr w:type="spellEnd"/>
      <w:r w:rsidR="0093697D" w:rsidRPr="00A64B10">
        <w:rPr>
          <w:rFonts w:ascii="Calibri" w:eastAsia="Calibri" w:hAnsi="Calibri" w:cs="Arial"/>
        </w:rPr>
        <w:t>) assay (Table S</w:t>
      </w:r>
      <w:r w:rsidR="000623EC" w:rsidRPr="00A64B10">
        <w:rPr>
          <w:rFonts w:ascii="Calibri" w:eastAsia="Calibri" w:hAnsi="Calibri" w:cs="Arial"/>
        </w:rPr>
        <w:t>4</w:t>
      </w:r>
      <w:r w:rsidR="0093697D" w:rsidRPr="00A64B10">
        <w:rPr>
          <w:rFonts w:ascii="Calibri" w:eastAsia="Calibri" w:hAnsi="Calibri" w:cs="Arial"/>
        </w:rPr>
        <w:t>)</w:t>
      </w:r>
      <w:r w:rsidR="00D7389D" w:rsidRPr="00A64B10">
        <w:rPr>
          <w:rFonts w:ascii="Calibri" w:eastAsia="Calibri" w:hAnsi="Calibri" w:cs="Arial"/>
        </w:rPr>
        <w:t xml:space="preserve">, </w:t>
      </w:r>
      <w:r w:rsidR="00AF5CF9" w:rsidRPr="00A64B10">
        <w:rPr>
          <w:rFonts w:ascii="Calibri" w:eastAsia="Calibri" w:hAnsi="Calibri" w:cs="Arial"/>
        </w:rPr>
        <w:t>w</w:t>
      </w:r>
      <w:r w:rsidR="00D7389D" w:rsidRPr="00A64B10">
        <w:rPr>
          <w:rFonts w:ascii="Calibri" w:eastAsia="Calibri" w:hAnsi="Calibri" w:cs="Arial"/>
        </w:rPr>
        <w:t xml:space="preserve">hich showed some promising results on </w:t>
      </w:r>
      <w:r w:rsidR="00832488" w:rsidRPr="00A64B10">
        <w:rPr>
          <w:rFonts w:ascii="Calibri" w:eastAsia="Calibri" w:hAnsi="Calibri" w:cs="Arial"/>
        </w:rPr>
        <w:t>nanomateri</w:t>
      </w:r>
      <w:r w:rsidR="004030DD" w:rsidRPr="00A64B10">
        <w:rPr>
          <w:rFonts w:ascii="Calibri" w:eastAsia="Calibri" w:hAnsi="Calibri" w:cs="Arial"/>
        </w:rPr>
        <w:t>als</w:t>
      </w:r>
      <w:r w:rsidR="003458AD" w:rsidRPr="00A64B10">
        <w:rPr>
          <w:rFonts w:ascii="Calibri" w:eastAsia="Calibri" w:hAnsi="Calibri" w:cs="Arial"/>
        </w:rPr>
        <w:t xml:space="preserve"> </w:t>
      </w:r>
      <w:r w:rsidR="003458AD" w:rsidRPr="00A64B10">
        <w:rPr>
          <w:rFonts w:ascii="Calibri" w:eastAsia="Calibri" w:hAnsi="Calibri" w:cs="Arial"/>
        </w:rPr>
        <w:fldChar w:fldCharType="begin" w:fldLock="1"/>
      </w:r>
      <w:r w:rsidR="00F53111">
        <w:rPr>
          <w:rFonts w:ascii="Calibri" w:eastAsia="Calibri" w:hAnsi="Calibri" w:cs="Arial"/>
        </w:rPr>
        <w:instrText>ADDIN CSL_CITATION {"citationItems":[{"id":"ITEM-1","itemData":{"DOI":"10.1007/978-1-4939-7352-1_14","ISSN":"10643745","PMID":"29039101","abstract":"Adverse drug effects on the immune system function represent a significant concern in the pharmaceutical industry, because 10–20% of the drug withdrawal from the market is accounted to immunotoxicity. Immunosuppression is one such adverse effect. The traditional immune function test used to estimate materials’ immunosuppression is a T-cell-dependent antibody response (TDAR). This method involves a 28 day in vivo study evaluating the animal’s antibody titer to a known antigen (KLH) with and without challenge. Due to the limited quantities of novel drug candidates, an in vitro method called human leukocyte activation (HuLa) assay has been developed to substitute the traditional TDAR assay during early preclinical development. In this test, leukocytes isolated from healthy donors vaccinated with the current year’s flu vaccine are incubated with Fluzone in the presence or absence of a test material. The antigen-specific leukocyte proliferation is then measured by ELISA analyzing incorporation of BrdU into DNA of the proliferating cells. Here, we describe the experimental procedures for investigating immunosuppressive properties of nanoparticles by both TDAR and HuLa assays, discuss the in vitro–in vivo correlation of these methods, and show a case study using the iron oxide nanoparticle formulation, Feraheme.","author":[{"dropping-particle":"","family":"Potter","given":"Timothy M.","non-dropping-particle":"","parse-names":false,"suffix":""},{"dropping-particle":"","family":"Neun","given":"Barry W.","non-dropping-particle":"","parse-names":false,"suffix":""},{"dropping-particle":"","family":"Dobrovolskaia","given":"Marina A.","non-dropping-particle":"","parse-names":false,"suffix":""}],"container-title":"Methods in Molecular Biology","id":"ITEM-1","issued":{"date-parts":[["2018"]]},"page":"161-172","publisher":"Humana Press Inc.","title":"Methods for analysis of nanoparticle immunosuppressive properties in vitro and in vivo","type":"chapter","volume":"1682"},"uris":["http://www.mendeley.com/documents/?uuid=d9844ce9-d60f-3a45-8ea1-4985e9031fc7"]}],"mendeley":{"formattedCitation":"[68]","plainTextFormattedCitation":"[68]","previouslyFormattedCitation":"[68]"},"properties":{"noteIndex":0},"schema":"https://github.com/citation-style-language/schema/raw/master/csl-citation.json"}</w:instrText>
      </w:r>
      <w:r w:rsidR="003458AD" w:rsidRPr="00A64B10">
        <w:rPr>
          <w:rFonts w:ascii="Calibri" w:eastAsia="Calibri" w:hAnsi="Calibri" w:cs="Arial"/>
        </w:rPr>
        <w:fldChar w:fldCharType="separate"/>
      </w:r>
      <w:r w:rsidR="000B3F63" w:rsidRPr="000B3F63">
        <w:rPr>
          <w:rFonts w:ascii="Calibri" w:eastAsia="Calibri" w:hAnsi="Calibri" w:cs="Arial"/>
          <w:noProof/>
        </w:rPr>
        <w:t>[68]</w:t>
      </w:r>
      <w:r w:rsidR="003458AD" w:rsidRPr="00A64B10">
        <w:rPr>
          <w:rFonts w:ascii="Calibri" w:eastAsia="Calibri" w:hAnsi="Calibri" w:cs="Arial"/>
        </w:rPr>
        <w:fldChar w:fldCharType="end"/>
      </w:r>
      <w:r w:rsidR="00D7389D" w:rsidRPr="00A64B10">
        <w:rPr>
          <w:rFonts w:ascii="Calibri" w:eastAsia="Calibri" w:hAnsi="Calibri" w:cs="Arial"/>
        </w:rPr>
        <w:t>.</w:t>
      </w:r>
      <w:r w:rsidR="00F61D67" w:rsidRPr="00A64B10">
        <w:rPr>
          <w:rFonts w:ascii="Calibri" w:eastAsia="Calibri" w:hAnsi="Calibri" w:cs="Arial"/>
        </w:rPr>
        <w:t xml:space="preserve"> </w:t>
      </w:r>
      <w:r w:rsidR="00D7389D" w:rsidRPr="00A64B10">
        <w:rPr>
          <w:rFonts w:ascii="Calibri" w:eastAsia="Calibri" w:hAnsi="Calibri" w:cs="Arial"/>
        </w:rPr>
        <w:t>However, t</w:t>
      </w:r>
      <w:r w:rsidRPr="00A64B10">
        <w:rPr>
          <w:rFonts w:ascii="Calibri" w:eastAsia="Calibri" w:hAnsi="Calibri" w:cs="Arial"/>
        </w:rPr>
        <w:t xml:space="preserve">he complexity and intricacy of a primary immune response cannot be mimicked by </w:t>
      </w:r>
      <w:r w:rsidR="00D7389D" w:rsidRPr="00A64B10">
        <w:rPr>
          <w:rFonts w:ascii="Calibri" w:eastAsia="Calibri" w:hAnsi="Calibri" w:cs="Arial"/>
        </w:rPr>
        <w:t xml:space="preserve">currently available </w:t>
      </w:r>
      <w:r w:rsidRPr="00E30F1E">
        <w:rPr>
          <w:rFonts w:ascii="Calibri" w:eastAsia="Calibri" w:hAnsi="Calibri" w:cs="Arial"/>
          <w:i/>
        </w:rPr>
        <w:t>in vitro</w:t>
      </w:r>
      <w:r w:rsidRPr="00A64B10">
        <w:rPr>
          <w:rFonts w:ascii="Calibri" w:eastAsia="Calibri" w:hAnsi="Calibri" w:cs="Arial"/>
        </w:rPr>
        <w:t xml:space="preserve"> method</w:t>
      </w:r>
      <w:r w:rsidR="00D7389D" w:rsidRPr="00A64B10">
        <w:rPr>
          <w:rFonts w:ascii="Calibri" w:eastAsia="Calibri" w:hAnsi="Calibri" w:cs="Arial"/>
        </w:rPr>
        <w:t>s</w:t>
      </w:r>
      <w:r w:rsidRPr="00A64B10">
        <w:rPr>
          <w:rFonts w:ascii="Calibri" w:eastAsia="Calibri" w:hAnsi="Calibri" w:cs="Arial"/>
        </w:rPr>
        <w:t xml:space="preserve"> or array of methods. Rather, effects on some of the individual parts of such a response can be evaluated </w:t>
      </w:r>
      <w:r w:rsidRPr="00E30F1E">
        <w:rPr>
          <w:rFonts w:ascii="Calibri" w:eastAsia="Calibri" w:hAnsi="Calibri" w:cs="Arial"/>
          <w:i/>
        </w:rPr>
        <w:t>in vitro</w:t>
      </w:r>
      <w:r w:rsidR="00824D8F">
        <w:rPr>
          <w:rFonts w:ascii="Calibri" w:eastAsia="Calibri" w:hAnsi="Calibri" w:cs="Arial"/>
        </w:rPr>
        <w:t>, being effects on d</w:t>
      </w:r>
      <w:r w:rsidR="00E30F1E">
        <w:rPr>
          <w:rFonts w:ascii="Calibri" w:eastAsia="Calibri" w:hAnsi="Calibri" w:cs="Arial"/>
        </w:rPr>
        <w:t xml:space="preserve">endritic </w:t>
      </w:r>
      <w:r w:rsidR="00824D8F">
        <w:rPr>
          <w:rFonts w:ascii="Calibri" w:eastAsia="Calibri" w:hAnsi="Calibri" w:cs="Arial"/>
        </w:rPr>
        <w:t>cells</w:t>
      </w:r>
      <w:r w:rsidRPr="00A64B10">
        <w:rPr>
          <w:rFonts w:ascii="Calibri" w:eastAsia="Calibri" w:hAnsi="Calibri" w:cs="Arial"/>
        </w:rPr>
        <w:t xml:space="preserve"> maturation, T-cell </w:t>
      </w:r>
      <w:proofErr w:type="gramStart"/>
      <w:r w:rsidRPr="00A64B10">
        <w:rPr>
          <w:rFonts w:ascii="Calibri" w:eastAsia="Calibri" w:hAnsi="Calibri" w:cs="Arial"/>
        </w:rPr>
        <w:t>proliferation</w:t>
      </w:r>
      <w:proofErr w:type="gramEnd"/>
      <w:r w:rsidRPr="00A64B10">
        <w:rPr>
          <w:rFonts w:ascii="Calibri" w:eastAsia="Calibri" w:hAnsi="Calibri" w:cs="Arial"/>
        </w:rPr>
        <w:t xml:space="preserve"> and B-cell proliferation</w:t>
      </w:r>
      <w:r w:rsidR="009054FB" w:rsidRPr="00A64B10">
        <w:rPr>
          <w:rFonts w:ascii="Calibri" w:eastAsia="Calibri" w:hAnsi="Calibri" w:cs="Arial"/>
        </w:rPr>
        <w:t xml:space="preserve"> (Table S4)</w:t>
      </w:r>
      <w:r w:rsidRPr="00A64B10">
        <w:rPr>
          <w:rFonts w:ascii="Calibri" w:eastAsia="Calibri" w:hAnsi="Calibri" w:cs="Arial"/>
        </w:rPr>
        <w:t xml:space="preserve">. </w:t>
      </w:r>
      <w:r w:rsidR="00D7389D" w:rsidRPr="00A64B10">
        <w:rPr>
          <w:rFonts w:ascii="Calibri" w:eastAsia="Calibri" w:hAnsi="Calibri" w:cs="Arial"/>
        </w:rPr>
        <w:t xml:space="preserve">Much more sophisticated </w:t>
      </w:r>
      <w:r w:rsidR="00D7389D" w:rsidRPr="00E30F1E">
        <w:rPr>
          <w:rFonts w:ascii="Calibri" w:eastAsia="Calibri" w:hAnsi="Calibri" w:cs="Arial"/>
          <w:i/>
        </w:rPr>
        <w:t>in vitro</w:t>
      </w:r>
      <w:r w:rsidR="00D7389D" w:rsidRPr="00A64B10">
        <w:rPr>
          <w:rFonts w:ascii="Calibri" w:eastAsia="Calibri" w:hAnsi="Calibri" w:cs="Arial"/>
        </w:rPr>
        <w:t xml:space="preserve"> models would be necessary to evaluate </w:t>
      </w:r>
      <w:r w:rsidRPr="00A64B10">
        <w:rPr>
          <w:rFonts w:ascii="Calibri" w:eastAsia="Calibri" w:hAnsi="Calibri" w:cs="Arial"/>
        </w:rPr>
        <w:t>interactions between different immune cell types</w:t>
      </w:r>
      <w:r w:rsidR="00A84BB0" w:rsidRPr="00A64B10">
        <w:rPr>
          <w:rFonts w:ascii="Calibri" w:eastAsia="Calibri" w:hAnsi="Calibri" w:cs="Arial"/>
        </w:rPr>
        <w:t>,</w:t>
      </w:r>
      <w:r w:rsidRPr="00A64B10">
        <w:rPr>
          <w:rFonts w:ascii="Calibri" w:eastAsia="Calibri" w:hAnsi="Calibri" w:cs="Arial"/>
        </w:rPr>
        <w:t xml:space="preserve"> and </w:t>
      </w:r>
      <w:r w:rsidR="00A84BB0" w:rsidRPr="00A64B10">
        <w:rPr>
          <w:rFonts w:ascii="Calibri" w:eastAsia="Calibri" w:hAnsi="Calibri" w:cs="Arial"/>
        </w:rPr>
        <w:t xml:space="preserve">with </w:t>
      </w:r>
      <w:r w:rsidRPr="00A64B10">
        <w:rPr>
          <w:rFonts w:ascii="Calibri" w:eastAsia="Calibri" w:hAnsi="Calibri" w:cs="Arial"/>
        </w:rPr>
        <w:t xml:space="preserve">their surrounding </w:t>
      </w:r>
      <w:r w:rsidR="00A84BB0" w:rsidRPr="00A64B10">
        <w:rPr>
          <w:rFonts w:ascii="Calibri" w:eastAsia="Calibri" w:hAnsi="Calibri" w:cs="Arial"/>
        </w:rPr>
        <w:t>tissue</w:t>
      </w:r>
      <w:r w:rsidR="00D7389D" w:rsidRPr="00A64B10">
        <w:rPr>
          <w:rFonts w:ascii="Calibri" w:eastAsia="Calibri" w:hAnsi="Calibri" w:cs="Arial"/>
        </w:rPr>
        <w:t>.</w:t>
      </w:r>
    </w:p>
    <w:p w14:paraId="4C1C6848" w14:textId="77777777" w:rsidR="00463E88" w:rsidRPr="00A64B10" w:rsidRDefault="00337EE5" w:rsidP="00D64FC0">
      <w:pPr>
        <w:keepNext/>
        <w:keepLines/>
        <w:spacing w:before="40" w:after="0"/>
        <w:outlineLvl w:val="2"/>
        <w:rPr>
          <w:rFonts w:ascii="Cambria" w:eastAsia="Calibri" w:hAnsi="Cambria" w:cs="Times New Roman"/>
          <w:b/>
          <w:bCs/>
          <w:color w:val="243F60"/>
          <w:sz w:val="24"/>
          <w:szCs w:val="24"/>
        </w:rPr>
      </w:pPr>
      <w:r w:rsidRPr="00A64B10">
        <w:rPr>
          <w:rFonts w:ascii="Cambria" w:eastAsia="Calibri" w:hAnsi="Cambria" w:cs="Times New Roman"/>
          <w:b/>
          <w:bCs/>
          <w:color w:val="243F60"/>
          <w:sz w:val="24"/>
          <w:szCs w:val="24"/>
        </w:rPr>
        <w:t>I</w:t>
      </w:r>
      <w:r w:rsidR="00463E88" w:rsidRPr="00A64B10">
        <w:rPr>
          <w:rFonts w:ascii="Cambria" w:eastAsia="Calibri" w:hAnsi="Cambria" w:cs="Times New Roman"/>
          <w:b/>
          <w:bCs/>
          <w:color w:val="243F60"/>
          <w:sz w:val="24"/>
          <w:szCs w:val="24"/>
        </w:rPr>
        <w:t xml:space="preserve">n vitro </w:t>
      </w:r>
      <w:r w:rsidRPr="00A64B10">
        <w:rPr>
          <w:rFonts w:ascii="Cambria" w:eastAsia="Calibri" w:hAnsi="Cambria" w:cs="Times New Roman"/>
          <w:b/>
          <w:bCs/>
          <w:color w:val="243F60"/>
          <w:sz w:val="24"/>
          <w:szCs w:val="24"/>
        </w:rPr>
        <w:t xml:space="preserve">models for </w:t>
      </w:r>
      <w:r w:rsidR="00463E88" w:rsidRPr="00A64B10">
        <w:rPr>
          <w:rFonts w:ascii="Cambria" w:eastAsia="Calibri" w:hAnsi="Cambria" w:cs="Times New Roman"/>
          <w:b/>
          <w:bCs/>
          <w:color w:val="243F60"/>
          <w:sz w:val="24"/>
          <w:szCs w:val="24"/>
        </w:rPr>
        <w:t>immunotoxicity testing</w:t>
      </w:r>
    </w:p>
    <w:p w14:paraId="78D973A3" w14:textId="44198AAB" w:rsidR="00463E88" w:rsidRPr="00A64B10" w:rsidRDefault="00F61D67" w:rsidP="00D64FC0">
      <w:pPr>
        <w:jc w:val="both"/>
        <w:rPr>
          <w:rFonts w:ascii="Calibri" w:eastAsia="Calibri" w:hAnsi="Calibri" w:cs="Times New Roman"/>
        </w:rPr>
      </w:pPr>
      <w:r w:rsidRPr="00A64B10">
        <w:rPr>
          <w:rFonts w:ascii="Calibri" w:eastAsia="Calibri" w:hAnsi="Calibri" w:cs="Times New Roman"/>
        </w:rPr>
        <w:t xml:space="preserve">The application of </w:t>
      </w:r>
      <w:r w:rsidRPr="00A64B10">
        <w:rPr>
          <w:rFonts w:ascii="Calibri" w:eastAsia="Calibri" w:hAnsi="Calibri" w:cs="Times New Roman"/>
          <w:i/>
        </w:rPr>
        <w:t xml:space="preserve">in vitro </w:t>
      </w:r>
      <w:r w:rsidRPr="00A64B10">
        <w:rPr>
          <w:rFonts w:ascii="Calibri" w:eastAsia="Calibri" w:hAnsi="Calibri" w:cs="Times New Roman"/>
        </w:rPr>
        <w:t xml:space="preserve">testing, for assessing </w:t>
      </w:r>
      <w:bookmarkStart w:id="8" w:name="_Hlk50465629"/>
      <w:r w:rsidRPr="00A64B10">
        <w:rPr>
          <w:rFonts w:ascii="Calibri" w:eastAsia="Calibri" w:hAnsi="Calibri" w:cs="Times New Roman"/>
        </w:rPr>
        <w:t xml:space="preserve">the immunological and haematological </w:t>
      </w:r>
      <w:bookmarkEnd w:id="8"/>
      <w:r w:rsidRPr="00A64B10">
        <w:rPr>
          <w:rFonts w:ascii="Calibri" w:eastAsia="Calibri" w:hAnsi="Calibri" w:cs="Times New Roman"/>
        </w:rPr>
        <w:t xml:space="preserve">interactions of novel therapeutics has been in place for some time </w:t>
      </w:r>
      <w:r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{"citationItems":[{"id":"ITEM-1","itemData":{"DOI":"10.3109/1547691X.2010.509848","ISSN":"1547691X","PMID":"20735150","abstract":"The realization, that the immune system can be the target of many chemicals including environmental contaminants and drugs with potentially adverse effects on the host's health, has raised serious concerns within the public and the regulatory agencies. At present, assessment of immunotoxic effects relies on different animal models and several assays have been proposed to characterize immunosuppression and sensitization. The use of whole animals, however, presents many secondary issues, such as expense, ethical concerns, and eventual relevance to risk assessment for humans. Furthermore, due to the new policy on chemicals (REACH), in the European Union, in vitro methods will play a major role in the near future. In addition, there is still a lack of human cell-based immunotoxicity assays for predicting the toxicity of xenobiotics toward the immune system in a simple, fast, economical, and reliable way. Hypersensitivity and immunosuppression, for which animal models have been developed and validated, are considered the primary focus for developing in vitro methods in immunotoxicology. Nevertheless, in vitro assays, as well as in vivo models, to detect immunostimulation and autoimmunity are also needed. Even if no validated alternative in vitro tests to assess immunotoxicity exist, in the last decade, much progress has been made toward these assays. Such models can be, at least, used for the pre-screening and hazard identification of unintended immunosuppression and contact hypersensitivity of direct immunotoxicants. Following a brief introduction to immunotoxicology and to in vivo models use to assess immunotoxicity, this manuscript will review the state-of-the-art in the field of in vitro immunotoxicity. © 2010 Informa Healthcare USA, Inc.","author":[{"dropping-particle":"","family":"Galbiati","given":"Valentina","non-dropping-particle":"","parse-names":false,"suffix":""},{"dropping-particle":"","family":"Mitjans","given":"Montserrat","non-dropping-particle":"","parse-names":false,"suffix":""},{"dropping-particle":"","family":"Corsini","given":"Emanuela","non-dropping-particle":"","parse-names":false,"suffix":""}],"container-title":"Journal of Immunotoxicology","id":"ITEM-1","issue":"4","issued":{"date-parts":[["2010","12"]]},"page":"255-267","publisher":"J Immunotoxicol","title":"Present and future of in vitro immunotoxicology in drug development","type":"article","volume":"7"},"uris":["http://www.mendeley.com/documents/?uuid=c88bf043-5f46-3010-9a69-08d3db09ebbf"]}],"mendeley":{"formattedCitation":"[69]","plainTextFormattedCitation":"[69]","previouslyFormattedCitation":"[69]"},"properties":{"noteIndex":0},"schema":"https://github.com/citation-style-language/schema/raw/master/csl-citation.json"}</w:instrText>
      </w:r>
      <w:r w:rsidRPr="00A64B10">
        <w:rPr>
          <w:rFonts w:ascii="Calibri" w:eastAsia="Calibri" w:hAnsi="Calibri" w:cs="Times New Roman"/>
        </w:rPr>
        <w:fldChar w:fldCharType="separate"/>
      </w:r>
      <w:r w:rsidR="000B3F63" w:rsidRPr="000B3F63">
        <w:rPr>
          <w:rFonts w:ascii="Calibri" w:eastAsia="Calibri" w:hAnsi="Calibri" w:cs="Times New Roman"/>
          <w:noProof/>
        </w:rPr>
        <w:t>[69]</w:t>
      </w:r>
      <w:r w:rsidRPr="00A64B10">
        <w:rPr>
          <w:rFonts w:ascii="Calibri" w:eastAsia="Calibri" w:hAnsi="Calibri" w:cs="Times New Roman"/>
        </w:rPr>
        <w:fldChar w:fldCharType="end"/>
      </w:r>
      <w:r w:rsidRPr="00A64B10">
        <w:rPr>
          <w:rFonts w:ascii="Calibri" w:eastAsia="Calibri" w:hAnsi="Calibri" w:cs="Times New Roman"/>
        </w:rPr>
        <w:t xml:space="preserve"> though is yet to be completely accepted as part of a regulatory protocol </w:t>
      </w:r>
      <w:r w:rsidRPr="00A64B10">
        <w:rPr>
          <w:rFonts w:ascii="Calibri" w:eastAsia="Calibri" w:hAnsi="Calibri" w:cs="Times New Roman"/>
        </w:rPr>
        <w:fldChar w:fldCharType="begin" w:fldLock="1"/>
      </w:r>
      <w:r w:rsidR="000B3F63">
        <w:rPr>
          <w:rFonts w:ascii="Calibri" w:eastAsia="Calibri" w:hAnsi="Calibri" w:cs="Times New Roman"/>
        </w:rPr>
        <w:instrText>ADDIN CSL_CITATION {"citationItems":[{"id":"ITEM-1","itemData":{"DOI":"10.1002/wnan.1633","ISSN":"1939-5116","abstract":"Various nanomedicinal products (NMPs) have been reported to induce an adverse immune response, which may be related to their tendency to accumulate in or target cells of the immune system. Therefore, before their market authorization, NMPs should be thoroughly evaluated for their immunotoxic potential. Nonclinical regulatory immunotoxicity testing of nonbiological medicinal products, including NMPs, is currently performed by following the guideline S8 “Immunotoxicity Studies for Human Pharmaceuticals” of the International Council for Harmonization of Technical Requirements for Pharmaceuticals for Human Use (ICH). However, this guideline does not cover all the immunotoxicity endpoints reported for NMPs in the literature, such as complement activation related pseudo allergy, hypersensitivity and immunosuppression. In addition, ICH-S8 does not provide any nanospecific testing considerations, which is important given their tendency to interfere with many commonly used toxicity assays. We therefore propose a nonclinical regulatory immunotoxicity assessment strategy, which considers the immunotoxicity endpoints currently missing in the ICH-S8. We also list the known pitfalls related to the testing of NMPs and how to tackle them. Next to defining the relevant physicochemical and pharmacokinetic properties of the NMP and its intended use, the proposed strategy includes an in vitro assay battery addressing various relevant immunotoxicity endpoints. A weight of evidence evaluation of this information can be used to shape the type and design of further in vivo investigations. The final outcome of the immunotoxicity assessment can be included in the overall risk assessment of the NMP and provide alerts for relevant endpoints to address during clinical investigation. This article is categorized under: Toxicology and Regulatory Issues in Nanomedicine &gt; Regulatory and Policy Issues in Nanomedicine Toxicology and Regulatory Issues in Nanomedicine &gt; Toxicology of Nanomaterials.","author":[{"dropping-particle":"","family":"Giannakou","given":"Christina","non-dropping-particle":"","parse-names":false,"suffix":""},{"dropping-particle":"","family":"Park","given":"Margriet VDZ D. Z.","non-dropping-particle":"","parse-names":false,"suffix":""},{"dropping-particle":"","family":"Bosselaers","given":"Irene E. M. EM","non-dropping-particle":"","parse-names":false,"suffix":""},{"dropping-particle":"","family":"Jong","given":"Wim H","non-dropping-particle":"De","parse-names":false,"suffix":""},{"dropping-particle":"","family":"Laan","given":"Jan Willem","non-dropping-particle":"van der","parse-names":false,"suffix":""},{"dropping-particle":"","family":"Loveren","given":"Henk","non-dropping-particle":"Van","parse-names":false,"suffix":""},{"dropping-particle":"","family":"Vandebriel","given":"Rob J.","non-dropping-particle":"","parse-names":false,"suffix":""},{"dropping-particle":"","family":"Geertsma","given":"Robert E.","non-dropping-particle":"","parse-names":false,"suffix":""},{"dropping-particle":"","family":"Jong","given":"Wim H.","non-dropping-particle":"","parse-names":false,"suffix":""},{"dropping-particle":"","family":"Laan","given":"Jan Willem","non-dropping-particle":"","parse-names":false,"suffix":""},{"dropping-particle":"","family":"Loveren","given":"Henk","non-dropping-particle":"","parse-names":false,"suffix":""},{"dropping-particle":"","family":"Vandebriel","given":"Rob J.","non-dropping-particle":"","parse-names":false,"suffix":""},{"dropping-particle":"","family":"Geertsma","given":"Robert E.","non-dropping-particle":"","parse-names":false,"suffix":""}],"container-title":"WIREs Nanomed Nanobiotechnol","id":"ITEM-1","issue":"5","issued":{"date-parts":[["2020","9","7"]]},"page":"e1633","publisher":"Wiley-Blackwell","title":"Nonclinical regulatory immunotoxicity testing of nanomedicinal products : Proposed strategy and possible pitfalls","type":"article-journal","volume":"12"},"uris":["http://www.mendeley.com/documents/?uuid=41bab9cf-b556-4ec1-a283-6a69d8c7bea3"]}],"mendeley":{"formattedCitation":"[20]","plainTextFormattedCitation":"[20]","previouslyFormattedCitation":"[20]"},"properties":{"noteIndex":0},"schema":"https://github.com/citation-style-language/schema/raw/master/csl-citation.json"}</w:instrText>
      </w:r>
      <w:r w:rsidRPr="00A64B10">
        <w:rPr>
          <w:rFonts w:ascii="Calibri" w:eastAsia="Calibri" w:hAnsi="Calibri" w:cs="Times New Roman"/>
        </w:rPr>
        <w:fldChar w:fldCharType="separate"/>
      </w:r>
      <w:r w:rsidR="00993B28" w:rsidRPr="00993B28">
        <w:rPr>
          <w:rFonts w:ascii="Calibri" w:eastAsia="Calibri" w:hAnsi="Calibri" w:cs="Times New Roman"/>
          <w:noProof/>
        </w:rPr>
        <w:t>[20]</w:t>
      </w:r>
      <w:r w:rsidRPr="00A64B10">
        <w:rPr>
          <w:rFonts w:ascii="Calibri" w:eastAsia="Calibri" w:hAnsi="Calibri" w:cs="Times New Roman"/>
        </w:rPr>
        <w:fldChar w:fldCharType="end"/>
      </w:r>
      <w:r w:rsidRPr="00A64B10">
        <w:rPr>
          <w:rFonts w:ascii="Calibri" w:eastAsia="Calibri" w:hAnsi="Calibri" w:cs="Times New Roman"/>
        </w:rPr>
        <w:t xml:space="preserve">. </w:t>
      </w:r>
      <w:r w:rsidR="00463E88" w:rsidRPr="00A64B10">
        <w:rPr>
          <w:rFonts w:ascii="Calibri" w:eastAsia="Calibri" w:hAnsi="Calibri" w:cs="Times New Roman"/>
        </w:rPr>
        <w:t xml:space="preserve">There are a number of advantages to the use of </w:t>
      </w:r>
      <w:r w:rsidR="00463E88" w:rsidRPr="00A64B10">
        <w:rPr>
          <w:rFonts w:ascii="Calibri" w:eastAsia="Calibri" w:hAnsi="Calibri" w:cs="Times New Roman"/>
          <w:i/>
        </w:rPr>
        <w:t xml:space="preserve">in vitro </w:t>
      </w:r>
      <w:r w:rsidR="00463E88" w:rsidRPr="00A64B10">
        <w:rPr>
          <w:rFonts w:ascii="Calibri" w:eastAsia="Calibri" w:hAnsi="Calibri" w:cs="Times New Roman"/>
        </w:rPr>
        <w:t>assays to assess immunotoxicity including, but not limited to: higher throughput assessment of materials or cell sources, exploration of possible mechanisms behind observed immune stimulation or suppression, reduction in the use of preclinical species and closer relevance to the intended human population</w:t>
      </w:r>
      <w:r w:rsidR="00470E6A" w:rsidRPr="00A64B10">
        <w:rPr>
          <w:rFonts w:ascii="Calibri" w:eastAsia="Calibri" w:hAnsi="Calibri" w:cs="Times New Roman"/>
        </w:rPr>
        <w:t xml:space="preserve"> </w:t>
      </w:r>
      <w:r w:rsidR="00470E6A"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{"citationItems":[{"id":"ITEM-1","itemData":{"DOI":"10.1016/j.cotox.2017.08.002","ISSN":"24682020","PMID":"28989989","abstract":"The discipline of immunotoxicology had its origins in the early 1970s, following the recognition of altered immune function and increased sensitivity to infections and cancers after exposure to environmental chemicals and therapeutic drugs. Reduced resistance to infectious disease was a well-documented consequence of primary and acquired immunodeficiencies, but a novel finding following xenobiotic exposure. The awareness of the consequences of altered immune function was likely heightened by the HIV epidemic, leading some to inappropriately characterize xenobiotic-induced immunosuppression as “chemical AIDS”, although it is now clear that mild to moderate suppression is the most likely outcome of inadvertent exposure. The human health implications of studies in which chemical exposure reduced resistance to infection, drove an early focus on immunosuppression within the toxicology community. Allergic hypersensitivity was well known to clinicians and symptoms were readily apparent, and therefore was not the initial focus of the developing toxicology subspecialty of immunotoxicology. The first review in the field of immunotoxicology was published by Vos in 1977, and, as research expanded during the years that followed, many of the assays, methodologies and approaches that are currently used to identify potential immunotoxicants were developed. Over the years, advances in our understanding of basic immunology have made it clear that allergy, immunosuppression and, in some cases, autoimmunity, are a matter of polarization of the immune response by immunotoxicants, rather than independent outcomes of chemical exposure.","author":[{"dropping-particle":"","family":"Germolec","given":"Dori","non-dropping-particle":"","parse-names":false,"suffix":""},{"dropping-particle":"","family":"Luebke","given":"Robert","non-dropping-particle":"","parse-names":false,"suffix":""},{"dropping-particle":"","family":"Rooney","given":"Andrew","non-dropping-particle":"","parse-names":false,"suffix":""},{"dropping-particle":"","family":"Shipkowski","given":"Kelly","non-dropping-particle":"","parse-names":false,"suffix":""},{"dropping-particle":"","family":"Vandebriel","given":"Rob","non-dropping-particle":"","parse-names":false,"suffix":""},{"dropping-particle":"","family":"Loveren","given":"Henk","non-dropping-particle":"van","parse-names":false,"suffix":""}],"container-title":"Current Opinion in Toxicology","id":"ITEM-1","issued":{"date-parts":[["2017","8","1"]]},"page":"55-59","publisher":"Elsevier B.V.","title":"Immunotoxicology: A brief history, current status and strategies for future immunotoxicity assessment","type":"article","volume":"5"},"uris":["http://www.mendeley.com/documents/?uuid=d359a944-e7f2-3887-a6b8-f7897dce0ffc"]}],"mendeley":{"formattedCitation":"[70]","plainTextFormattedCitation":"[70]","previouslyFormattedCitation":"[70]"},"properties":{"noteIndex":0},"schema":"https://github.com/citation-style-language/schema/raw/master/csl-citation.json"}</w:instrText>
      </w:r>
      <w:r w:rsidR="00470E6A" w:rsidRPr="00A64B10">
        <w:rPr>
          <w:rFonts w:ascii="Calibri" w:eastAsia="Calibri" w:hAnsi="Calibri" w:cs="Times New Roman"/>
        </w:rPr>
        <w:fldChar w:fldCharType="separate"/>
      </w:r>
      <w:r w:rsidR="000B3F63" w:rsidRPr="000B3F63">
        <w:rPr>
          <w:rFonts w:ascii="Calibri" w:eastAsia="Calibri" w:hAnsi="Calibri" w:cs="Times New Roman"/>
          <w:noProof/>
        </w:rPr>
        <w:t>[70]</w:t>
      </w:r>
      <w:r w:rsidR="00470E6A" w:rsidRPr="00A64B10">
        <w:rPr>
          <w:rFonts w:ascii="Calibri" w:eastAsia="Calibri" w:hAnsi="Calibri" w:cs="Times New Roman"/>
        </w:rPr>
        <w:fldChar w:fldCharType="end"/>
      </w:r>
      <w:r w:rsidR="00463E88" w:rsidRPr="00A64B10">
        <w:rPr>
          <w:rFonts w:ascii="Calibri" w:eastAsia="Calibri" w:hAnsi="Calibri" w:cs="Times New Roman"/>
        </w:rPr>
        <w:t xml:space="preserve">. </w:t>
      </w:r>
      <w:r w:rsidR="00463E88" w:rsidRPr="00A64B10">
        <w:rPr>
          <w:rFonts w:ascii="Calibri" w:eastAsia="Calibri" w:hAnsi="Calibri" w:cs="Times New Roman"/>
        </w:rPr>
        <w:lastRenderedPageBreak/>
        <w:t xml:space="preserve">However, </w:t>
      </w:r>
      <w:r w:rsidRPr="00A64B10">
        <w:rPr>
          <w:rFonts w:ascii="Calibri" w:eastAsia="Calibri" w:hAnsi="Calibri" w:cs="Times New Roman"/>
        </w:rPr>
        <w:t>cur</w:t>
      </w:r>
      <w:r w:rsidR="008E5D30" w:rsidRPr="00A64B10">
        <w:rPr>
          <w:rFonts w:ascii="Calibri" w:eastAsia="Calibri" w:hAnsi="Calibri" w:cs="Times New Roman"/>
        </w:rPr>
        <w:t xml:space="preserve">rent </w:t>
      </w:r>
      <w:r w:rsidR="008E5D30" w:rsidRPr="00E30F1E">
        <w:rPr>
          <w:rFonts w:ascii="Calibri" w:eastAsia="Calibri" w:hAnsi="Calibri" w:cs="Times New Roman"/>
          <w:i/>
        </w:rPr>
        <w:t>in vitro</w:t>
      </w:r>
      <w:r w:rsidR="008E5D30" w:rsidRPr="00A64B10">
        <w:rPr>
          <w:rFonts w:ascii="Calibri" w:eastAsia="Calibri" w:hAnsi="Calibri" w:cs="Times New Roman"/>
        </w:rPr>
        <w:t xml:space="preserve"> methods</w:t>
      </w:r>
      <w:r w:rsidRPr="00A64B10">
        <w:rPr>
          <w:rFonts w:ascii="Calibri" w:eastAsia="Calibri" w:hAnsi="Calibri" w:cs="Times New Roman"/>
        </w:rPr>
        <w:t xml:space="preserve"> require more validation</w:t>
      </w:r>
      <w:r w:rsidR="008E5D30" w:rsidRPr="00A64B10">
        <w:rPr>
          <w:rFonts w:ascii="Calibri" w:eastAsia="Calibri" w:hAnsi="Calibri" w:cs="Times New Roman"/>
        </w:rPr>
        <w:t>/standardisation</w:t>
      </w:r>
      <w:r w:rsidRPr="00A64B10">
        <w:rPr>
          <w:rFonts w:ascii="Calibri" w:eastAsia="Calibri" w:hAnsi="Calibri" w:cs="Times New Roman"/>
        </w:rPr>
        <w:t xml:space="preserve"> </w:t>
      </w:r>
      <w:r w:rsidR="008E5D30" w:rsidRPr="00A64B10">
        <w:rPr>
          <w:rFonts w:ascii="Calibri" w:eastAsia="Calibri" w:hAnsi="Calibri" w:cs="Times New Roman"/>
        </w:rPr>
        <w:t xml:space="preserve">and </w:t>
      </w:r>
      <w:r w:rsidR="00463E88" w:rsidRPr="00A64B10">
        <w:rPr>
          <w:rFonts w:ascii="Calibri" w:eastAsia="Calibri" w:hAnsi="Calibri" w:cs="Times New Roman"/>
        </w:rPr>
        <w:t>many of the</w:t>
      </w:r>
      <w:r w:rsidR="008E5D30" w:rsidRPr="00A64B10">
        <w:rPr>
          <w:rFonts w:ascii="Calibri" w:eastAsia="Calibri" w:hAnsi="Calibri" w:cs="Times New Roman"/>
        </w:rPr>
        <w:t xml:space="preserve">m </w:t>
      </w:r>
      <w:r w:rsidR="00463E88" w:rsidRPr="00A64B10">
        <w:rPr>
          <w:rFonts w:ascii="Calibri" w:eastAsia="Calibri" w:hAnsi="Calibri" w:cs="Times New Roman"/>
        </w:rPr>
        <w:t xml:space="preserve">have drawbacks in their relevance/application to possible </w:t>
      </w:r>
      <w:r w:rsidR="00463E88" w:rsidRPr="00A64B10">
        <w:rPr>
          <w:rFonts w:ascii="Calibri" w:eastAsia="Calibri" w:hAnsi="Calibri" w:cs="Times New Roman"/>
          <w:i/>
        </w:rPr>
        <w:t xml:space="preserve">in vivo </w:t>
      </w:r>
      <w:r w:rsidR="00463E88" w:rsidRPr="00A64B10">
        <w:rPr>
          <w:rFonts w:ascii="Calibri" w:eastAsia="Calibri" w:hAnsi="Calibri" w:cs="Times New Roman"/>
        </w:rPr>
        <w:t>interactions in humans</w:t>
      </w:r>
      <w:r w:rsidR="00337EE5" w:rsidRPr="00A64B10">
        <w:rPr>
          <w:rFonts w:ascii="Calibri" w:eastAsia="Calibri" w:hAnsi="Calibri" w:cs="Times New Roman"/>
        </w:rPr>
        <w:t xml:space="preserve"> (Table 6)</w:t>
      </w:r>
      <w:r w:rsidR="00463E88" w:rsidRPr="00A64B10">
        <w:rPr>
          <w:rFonts w:ascii="Calibri" w:eastAsia="Calibri" w:hAnsi="Calibri" w:cs="Times New Roman"/>
        </w:rPr>
        <w:t>. The immune system is complex and can, broadly, be divided into innate (functioning without prior antigen exposure) and adaptive immune responses. Cells of the innate immune system express a plethora of pattern recognition receptors that have been shown to bind to N</w:t>
      </w:r>
      <w:r w:rsidR="00470E6A" w:rsidRPr="00A64B10">
        <w:rPr>
          <w:rFonts w:ascii="Calibri" w:eastAsia="Calibri" w:hAnsi="Calibri" w:cs="Times New Roman"/>
        </w:rPr>
        <w:t>Ps</w:t>
      </w:r>
      <w:r w:rsidR="00463E88" w:rsidRPr="00A64B10">
        <w:rPr>
          <w:rFonts w:ascii="Calibri" w:eastAsia="Calibri" w:hAnsi="Calibri" w:cs="Times New Roman"/>
        </w:rPr>
        <w:t xml:space="preserve"> </w:t>
      </w:r>
      <w:proofErr w:type="gramStart"/>
      <w:r w:rsidR="00463E88" w:rsidRPr="00A64B10">
        <w:rPr>
          <w:rFonts w:ascii="Calibri" w:eastAsia="Calibri" w:hAnsi="Calibri" w:cs="Times New Roman"/>
        </w:rPr>
        <w:t>in order to</w:t>
      </w:r>
      <w:proofErr w:type="gramEnd"/>
      <w:r w:rsidR="00463E88" w:rsidRPr="00A64B10">
        <w:rPr>
          <w:rFonts w:ascii="Calibri" w:eastAsia="Calibri" w:hAnsi="Calibri" w:cs="Times New Roman"/>
        </w:rPr>
        <w:t xml:space="preserve"> bring about an immunological response. However, this complexity can make determination of the precise interaction of </w:t>
      </w:r>
      <w:r w:rsidR="004030DD" w:rsidRPr="00A64B10">
        <w:rPr>
          <w:rFonts w:ascii="Calibri" w:eastAsia="Calibri" w:hAnsi="Calibri" w:cs="Times New Roman"/>
        </w:rPr>
        <w:t>nanotechnology-based products</w:t>
      </w:r>
      <w:r w:rsidR="00463E88" w:rsidRPr="00A64B10">
        <w:rPr>
          <w:rFonts w:ascii="Calibri" w:eastAsia="Calibri" w:hAnsi="Calibri" w:cs="Times New Roman"/>
        </w:rPr>
        <w:t xml:space="preserve"> with relevant immunological components difficult to achieve. </w:t>
      </w:r>
    </w:p>
    <w:p w14:paraId="49361A1E" w14:textId="1A6581C4" w:rsidR="00463E88" w:rsidRPr="00A64B10" w:rsidRDefault="00463E88" w:rsidP="00E62A05">
      <w:pPr>
        <w:jc w:val="both"/>
        <w:rPr>
          <w:rFonts w:ascii="Calibri" w:hAnsi="Calibri"/>
        </w:rPr>
      </w:pPr>
      <w:r w:rsidRPr="00A64B10">
        <w:rPr>
          <w:rFonts w:ascii="Calibri" w:hAnsi="Calibri"/>
        </w:rPr>
        <w:t xml:space="preserve">In terms of result reproducibility, procurement possibilities and safety, the use of cell lines can offer advantages over primary cells. However, some immunological functions cannot or </w:t>
      </w:r>
      <w:r w:rsidR="00367354" w:rsidRPr="00A64B10">
        <w:rPr>
          <w:rFonts w:ascii="Calibri" w:eastAsia="Calibri" w:hAnsi="Calibri" w:cs="Arial"/>
        </w:rPr>
        <w:t xml:space="preserve">can </w:t>
      </w:r>
      <w:r w:rsidRPr="00A64B10">
        <w:rPr>
          <w:rFonts w:ascii="Calibri" w:hAnsi="Calibri"/>
        </w:rPr>
        <w:t xml:space="preserve">only poorly be reproduced by a cell line. </w:t>
      </w:r>
      <w:r w:rsidRPr="00A64B10">
        <w:rPr>
          <w:rFonts w:ascii="Calibri" w:eastAsia="Calibri" w:hAnsi="Calibri" w:cs="Times New Roman"/>
        </w:rPr>
        <w:t xml:space="preserve">The use of whole blood, or its protein and cellular composites, is a powerful tool in the understanding of nano-immune interactions and is a step closer to the </w:t>
      </w:r>
      <w:r w:rsidRPr="00A64B10">
        <w:rPr>
          <w:rFonts w:ascii="Calibri" w:eastAsia="Calibri" w:hAnsi="Calibri" w:cs="Times New Roman"/>
          <w:i/>
        </w:rPr>
        <w:t xml:space="preserve">in vivo </w:t>
      </w:r>
      <w:r w:rsidRPr="00A64B10">
        <w:rPr>
          <w:rFonts w:ascii="Calibri" w:eastAsia="Calibri" w:hAnsi="Calibri" w:cs="Times New Roman"/>
        </w:rPr>
        <w:t>environment that materials may encounter when used in humans. However, there is significant inter</w:t>
      </w:r>
      <w:r w:rsidR="00777257">
        <w:rPr>
          <w:rFonts w:ascii="Calibri" w:eastAsia="Calibri" w:hAnsi="Calibri" w:cs="Times New Roman"/>
        </w:rPr>
        <w:t>-</w:t>
      </w:r>
      <w:r w:rsidRPr="00A64B10">
        <w:rPr>
          <w:rFonts w:ascii="Calibri" w:eastAsia="Calibri" w:hAnsi="Calibri" w:cs="Times New Roman"/>
        </w:rPr>
        <w:t>individual variability in immunological responses to foreign organisms and material</w:t>
      </w:r>
      <w:r w:rsidR="00470E6A" w:rsidRPr="00A64B10">
        <w:rPr>
          <w:rFonts w:ascii="Calibri" w:eastAsia="Calibri" w:hAnsi="Calibri" w:cs="Times New Roman"/>
        </w:rPr>
        <w:t xml:space="preserve"> </w:t>
      </w:r>
      <w:r w:rsidR="00470E6A"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{"citationItems":[{"id":"ITEM-1","itemData":{"DOI":"10.1038/nri.2016.125","ISSN":"1474-1741","PMID":"27916977","abstract":"The human immune system is highly variable between individuals but relatively stable over time within a given person. Recent conceptual and technological advances have enabled systems immunology analyses, which reveal the composition of immune cells and proteins in populations of healthy individuals. The range of variation and some specific influences that shape an individual's immune system is now becoming clearer. Human immune systems vary as a consequence of heritable and non-heritable influences, but symbiotic and pathogenic microbes and other non-heritable influences explain most of this variation. Understanding when and how such influences shape the human immune system is key for defining metrics of immunological health and understanding the risk of immune-mediated and infectious diseases.","author":[{"dropping-particle":"","family":"Brodin","given":"Petter","non-dropping-particle":"","parse-names":false,"suffix":""},{"dropping-particle":"","family":"Davis","given":"Mark M","non-dropping-particle":"","parse-names":false,"suffix":""}],"container-title":"Nature reviews. Immunology","id":"ITEM-1","issue":"1","issued":{"date-parts":[["2017"]]},"page":"21-29","publisher":"NIH Public Access","title":"Human immune system variation.","type":"article-journal","volume":"17"},"uris":["http://www.mendeley.com/documents/?uuid=5bea1817-a9ca-39f1-a0bb-8816135d7ec4"]}],"mendeley":{"formattedCitation":"[71]","plainTextFormattedCitation":"[71]","previouslyFormattedCitation":"[71]"},"properties":{"noteIndex":0},"schema":"https://github.com/citation-style-language/schema/raw/master/csl-citation.json"}</w:instrText>
      </w:r>
      <w:r w:rsidR="00470E6A" w:rsidRPr="00A64B10">
        <w:rPr>
          <w:rFonts w:ascii="Calibri" w:eastAsia="Calibri" w:hAnsi="Calibri" w:cs="Times New Roman"/>
        </w:rPr>
        <w:fldChar w:fldCharType="separate"/>
      </w:r>
      <w:r w:rsidR="000B3F63" w:rsidRPr="000B3F63">
        <w:rPr>
          <w:rFonts w:ascii="Calibri" w:eastAsia="Calibri" w:hAnsi="Calibri" w:cs="Times New Roman"/>
          <w:noProof/>
        </w:rPr>
        <w:t>[71]</w:t>
      </w:r>
      <w:r w:rsidR="00470E6A" w:rsidRPr="00A64B10">
        <w:rPr>
          <w:rFonts w:ascii="Calibri" w:eastAsia="Calibri" w:hAnsi="Calibri" w:cs="Times New Roman"/>
        </w:rPr>
        <w:fldChar w:fldCharType="end"/>
      </w:r>
      <w:r w:rsidRPr="00A64B10">
        <w:rPr>
          <w:rFonts w:ascii="Calibri" w:eastAsia="Calibri" w:hAnsi="Calibri" w:cs="Times New Roman"/>
        </w:rPr>
        <w:t>, which, in turn, may extend to their potential response to nanomaterials. In addition to the individual’s health status there are also immunological variations caused by the individual</w:t>
      </w:r>
      <w:r w:rsidR="006823D2" w:rsidRPr="00A64B10">
        <w:rPr>
          <w:rFonts w:ascii="Calibri" w:eastAsia="Calibri" w:hAnsi="Calibri" w:cs="Times New Roman"/>
        </w:rPr>
        <w:t>’</w:t>
      </w:r>
      <w:r w:rsidRPr="00A64B10">
        <w:rPr>
          <w:rFonts w:ascii="Calibri" w:eastAsia="Calibri" w:hAnsi="Calibri" w:cs="Times New Roman"/>
        </w:rPr>
        <w:t xml:space="preserve">s </w:t>
      </w:r>
      <w:r w:rsidR="006823D2" w:rsidRPr="00A64B10">
        <w:rPr>
          <w:rFonts w:ascii="Calibri" w:eastAsia="Calibri" w:hAnsi="Calibri" w:cs="Times New Roman"/>
        </w:rPr>
        <w:t>genetic make-up,</w:t>
      </w:r>
      <w:r w:rsidR="00205C52" w:rsidRPr="00A64B10">
        <w:rPr>
          <w:rFonts w:ascii="Calibri" w:eastAsia="Calibri" w:hAnsi="Calibri" w:cs="Times New Roman"/>
        </w:rPr>
        <w:t xml:space="preserve"> </w:t>
      </w:r>
      <w:r w:rsidRPr="00A64B10">
        <w:rPr>
          <w:rFonts w:ascii="Calibri" w:eastAsia="Calibri" w:hAnsi="Calibri" w:cs="Times New Roman"/>
        </w:rPr>
        <w:t>individual</w:t>
      </w:r>
      <w:r w:rsidR="00367354" w:rsidRPr="00A64B10">
        <w:rPr>
          <w:rFonts w:ascii="Calibri" w:eastAsia="Calibri" w:hAnsi="Calibri" w:cs="Times New Roman"/>
        </w:rPr>
        <w:t>’</w:t>
      </w:r>
      <w:r w:rsidRPr="00A64B10">
        <w:rPr>
          <w:rFonts w:ascii="Calibri" w:eastAsia="Calibri" w:hAnsi="Calibri" w:cs="Times New Roman"/>
        </w:rPr>
        <w:t>s age, as well as seasonal and circadian factors as a result of differences in cell populations, cytokine responses and serum proteins</w:t>
      </w:r>
      <w:r w:rsidR="00E62A05" w:rsidRPr="00A64B10">
        <w:rPr>
          <w:rFonts w:ascii="Calibri" w:eastAsia="Calibri" w:hAnsi="Calibri" w:cs="Times New Roman"/>
        </w:rPr>
        <w:t xml:space="preserve"> </w:t>
      </w:r>
      <w:r w:rsidR="00E62A05"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{"citationItems":[{"id":"ITEM-1","itemData":{"DOI":"10.1038/nri.2016.125","ISSN":"1474-1741","PMID":"27916977","abstract":"The human immune system is highly variable between individuals but relatively stable over time within a given person. Recent conceptual and technological advances have enabled systems immunology analyses, which reveal the composition of immune cells and proteins in populations of healthy individuals. The range of variation and some specific influences that shape an individual's immune system is now becoming clearer. Human immune systems vary as a consequence of heritable and non-heritable influences, but symbiotic and pathogenic microbes and other non-heritable influences explain most of this variation. Understanding when and how such influences shape the human immune system is key for defining metrics of immunological health and understanding the risk of immune-mediated and infectious diseases.","author":[{"dropping-particle":"","family":"Brodin","given":"Petter","non-dropping-particle":"","parse-names":false,"suffix":""},{"dropping-particle":"","family":"Davis","given":"Mark M","non-dropping-particle":"","parse-names":false,"suffix":""}],"container-title":"Nature reviews. Immunology","id":"ITEM-1","issue":"1","issued":{"date-parts":[["2017"]]},"page":"21-29","publisher":"NIH Public Access","title":"Human immune system variation.","type":"article-journal","volume":"17"},"uris":["http://www.mendeley.com/documents/?uuid=5bea1817-a9ca-39f1-a0bb-8816135d7ec4"]}],"mendeley":{"formattedCitation":"[71]","plainTextFormattedCitation":"[71]","previouslyFormattedCitation":"[71]"},"properties":{"noteIndex":0},"schema":"https://github.com/citation-style-language/schema/raw/master/csl-citation.json"}</w:instrText>
      </w:r>
      <w:r w:rsidR="00E62A05" w:rsidRPr="00A64B10">
        <w:rPr>
          <w:rFonts w:ascii="Calibri" w:eastAsia="Calibri" w:hAnsi="Calibri" w:cs="Times New Roman"/>
        </w:rPr>
        <w:fldChar w:fldCharType="separate"/>
      </w:r>
      <w:r w:rsidR="000B3F63" w:rsidRPr="000B3F63">
        <w:rPr>
          <w:rFonts w:ascii="Calibri" w:eastAsia="Calibri" w:hAnsi="Calibri" w:cs="Times New Roman"/>
          <w:noProof/>
        </w:rPr>
        <w:t>[71]</w:t>
      </w:r>
      <w:r w:rsidR="00E62A05" w:rsidRPr="00A64B10">
        <w:rPr>
          <w:rFonts w:ascii="Calibri" w:eastAsia="Calibri" w:hAnsi="Calibri" w:cs="Times New Roman"/>
        </w:rPr>
        <w:fldChar w:fldCharType="end"/>
      </w:r>
      <w:r w:rsidRPr="00A64B10">
        <w:rPr>
          <w:rFonts w:ascii="Calibri" w:eastAsia="Calibri" w:hAnsi="Calibri" w:cs="Times New Roman"/>
        </w:rPr>
        <w:t xml:space="preserve">. </w:t>
      </w:r>
    </w:p>
    <w:p w14:paraId="3B94CBF0" w14:textId="4DE2CD1D" w:rsidR="00FF52D2" w:rsidRPr="00A64B10" w:rsidRDefault="00463E88" w:rsidP="00C20606">
      <w:pPr>
        <w:jc w:val="both"/>
        <w:rPr>
          <w:rFonts w:ascii="Calibri" w:eastAsia="Calibri" w:hAnsi="Calibri" w:cs="Times New Roman"/>
        </w:rPr>
      </w:pPr>
      <w:r w:rsidRPr="00A64B10">
        <w:rPr>
          <w:rFonts w:ascii="Calibri" w:eastAsia="Calibri" w:hAnsi="Calibri" w:cs="Times New Roman"/>
        </w:rPr>
        <w:t xml:space="preserve">At present, there is no, regular, provision for the inclusion of these factors in routine </w:t>
      </w:r>
      <w:proofErr w:type="spellStart"/>
      <w:r w:rsidRPr="00A64B10">
        <w:rPr>
          <w:rFonts w:ascii="Calibri" w:eastAsia="Calibri" w:hAnsi="Calibri" w:cs="Times New Roman"/>
        </w:rPr>
        <w:t>immunotoxicological</w:t>
      </w:r>
      <w:proofErr w:type="spellEnd"/>
      <w:r w:rsidRPr="00A64B10">
        <w:rPr>
          <w:rFonts w:ascii="Calibri" w:eastAsia="Calibri" w:hAnsi="Calibri" w:cs="Times New Roman"/>
        </w:rPr>
        <w:t xml:space="preserve"> testing but should be considered as a factor for future analysis. This may also be borne out when considering the translatability of these </w:t>
      </w:r>
      <w:r w:rsidRPr="00A64B10">
        <w:rPr>
          <w:rFonts w:ascii="Calibri" w:eastAsia="Calibri" w:hAnsi="Calibri" w:cs="Times New Roman"/>
          <w:i/>
        </w:rPr>
        <w:t>in vitro</w:t>
      </w:r>
      <w:r w:rsidRPr="00A64B10">
        <w:rPr>
          <w:rFonts w:ascii="Calibri" w:eastAsia="Calibri" w:hAnsi="Calibri" w:cs="Times New Roman"/>
        </w:rPr>
        <w:t xml:space="preserve"> assays to </w:t>
      </w:r>
      <w:r w:rsidRPr="00A64B10">
        <w:rPr>
          <w:rFonts w:ascii="Calibri" w:eastAsia="Calibri" w:hAnsi="Calibri" w:cs="Times New Roman"/>
          <w:i/>
        </w:rPr>
        <w:t>in vivo</w:t>
      </w:r>
      <w:r w:rsidRPr="00A64B10">
        <w:rPr>
          <w:rFonts w:ascii="Calibri" w:eastAsia="Calibri" w:hAnsi="Calibri" w:cs="Times New Roman"/>
        </w:rPr>
        <w:t xml:space="preserve"> readouts. The correlation between </w:t>
      </w:r>
      <w:r w:rsidRPr="00A64B10">
        <w:rPr>
          <w:rFonts w:ascii="Calibri" w:eastAsia="Calibri" w:hAnsi="Calibri" w:cs="Times New Roman"/>
          <w:i/>
        </w:rPr>
        <w:t xml:space="preserve">in vitro </w:t>
      </w:r>
      <w:r w:rsidRPr="00A64B10">
        <w:rPr>
          <w:rFonts w:ascii="Calibri" w:eastAsia="Calibri" w:hAnsi="Calibri" w:cs="Times New Roman"/>
        </w:rPr>
        <w:t xml:space="preserve">and </w:t>
      </w:r>
      <w:r w:rsidRPr="00A64B10">
        <w:rPr>
          <w:rFonts w:ascii="Calibri" w:eastAsia="Calibri" w:hAnsi="Calibri" w:cs="Times New Roman"/>
          <w:i/>
        </w:rPr>
        <w:t xml:space="preserve">in vivo </w:t>
      </w:r>
      <w:r w:rsidRPr="00A64B10">
        <w:rPr>
          <w:rFonts w:ascii="Calibri" w:eastAsia="Calibri" w:hAnsi="Calibri" w:cs="Times New Roman"/>
        </w:rPr>
        <w:t xml:space="preserve">immunotoxicity assays has been reviewed elsewhere but a number of </w:t>
      </w:r>
      <w:r w:rsidRPr="00A64B10">
        <w:rPr>
          <w:rFonts w:ascii="Calibri" w:eastAsia="Calibri" w:hAnsi="Calibri" w:cs="Times New Roman"/>
          <w:i/>
        </w:rPr>
        <w:t xml:space="preserve">in vitro </w:t>
      </w:r>
      <w:r w:rsidRPr="00A64B10">
        <w:rPr>
          <w:rFonts w:ascii="Calibri" w:eastAsia="Calibri" w:hAnsi="Calibri" w:cs="Times New Roman"/>
        </w:rPr>
        <w:t>immunotoxicity assays have been shown to have good (haemolysis, complement activation, cytokine secretion and phagocytosis) or fair (thrombogenicity, leukocyte proliferation and colony forming unit capacity) correlation</w:t>
      </w:r>
      <w:r w:rsidR="00E62A05" w:rsidRPr="00A64B10">
        <w:rPr>
          <w:rFonts w:ascii="Calibri" w:eastAsia="Calibri" w:hAnsi="Calibri" w:cs="Times New Roman"/>
        </w:rPr>
        <w:t xml:space="preserve"> </w:t>
      </w:r>
      <w:r w:rsidR="00E62A05"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{"citationItems":[{"id":"ITEM-1","itemData":{"DOI":"10.1016/j.jconrel.2013.05.025","ISBN":"0168-3659","ISSN":"1873-4995","PMID":"23742883","abstract":"Preclinical characterization of novel nanotechnology-based formulations is often challenged by physicochemical characteristics, sterility/sterilization issues, safety and efficacy. Such challenges are not unique to nanomedicine, as they are common in the development of small and macromolecular drugs. However, due to the lack of a general consensus on critical characterization parameters, a shortage of harmonized protocols to support testing, and the vast variety of engineered nanomaterials, the translation of nanomedicines into clinic is particularly complex. Understanding the immune compatibility of nanoformulations has been identified as one of the important factors in (pre)clinical development and requires reliable in vitro and in vivo immunotoxicity tests. The generally low sensitivity of standard in vivo toxicity tests to immunotoxicities, inter-species variability in the structure and function of the immune system, high costs and relatively low throughput of in vivo tests, and ethical concerns about animal use underscore the need for trustworthy in vitro assays. Here, we consider the correlation (or lack thereof) between in vitro and in vivo immunotoxicity tests as a mean to identify useful in vitro assays. We review literature examples and case studies from the experience of the NCI Nanotechnology Characterization Lab, and highlight assays where predictability has been demonstrated for a variety of nanomaterials and assays with high potential for predictability in vivo. © 2013 Elsevier B.V.","author":[{"dropping-particle":"","family":"Dobrovolskaia","given":"Marina a.","non-dropping-particle":"","parse-names":false,"suffix":""},{"dropping-particle":"","family":"McNeil","given":"Scott E.","non-dropping-particle":"","parse-names":false,"suffix":""}],"container-title":"Journal of controlled release : official journal of the Controlled Release Society","id":"ITEM-1","issue":"2","issued":{"date-parts":[["2013","12","10"]]},"page":"456-66","publisher":"Elsevier B.V.","title":"Understanding the correlation between in vitro and in vivo immunotoxicity tests for nanomedicines.","type":"article-journal","volume":"172"},"uris":["http://www.mendeley.com/documents/?uuid=ceaf388a-f799-47b5-9560-2ea6502a641f"]}],"mendeley":{"formattedCitation":"[72]","plainTextFormattedCitation":"[72]","previouslyFormattedCitation":"[72]"},"properties":{"noteIndex":0},"schema":"https://github.com/citation-style-language/schema/raw/master/csl-citation.json"}</w:instrText>
      </w:r>
      <w:r w:rsidR="00E62A05" w:rsidRPr="00A64B10">
        <w:rPr>
          <w:rFonts w:ascii="Calibri" w:eastAsia="Calibri" w:hAnsi="Calibri" w:cs="Times New Roman"/>
        </w:rPr>
        <w:fldChar w:fldCharType="separate"/>
      </w:r>
      <w:r w:rsidR="000B3F63" w:rsidRPr="000B3F63">
        <w:rPr>
          <w:rFonts w:ascii="Calibri" w:eastAsia="Calibri" w:hAnsi="Calibri" w:cs="Times New Roman"/>
          <w:noProof/>
        </w:rPr>
        <w:t>[72]</w:t>
      </w:r>
      <w:r w:rsidR="00E62A05" w:rsidRPr="00A64B10">
        <w:rPr>
          <w:rFonts w:ascii="Calibri" w:eastAsia="Calibri" w:hAnsi="Calibri" w:cs="Times New Roman"/>
        </w:rPr>
        <w:fldChar w:fldCharType="end"/>
      </w:r>
      <w:r w:rsidRPr="00A64B10">
        <w:rPr>
          <w:rFonts w:ascii="Calibri" w:eastAsia="Calibri" w:hAnsi="Calibri" w:cs="Times New Roman"/>
        </w:rPr>
        <w:t xml:space="preserve">. These </w:t>
      </w:r>
      <w:r w:rsidRPr="00A64B10">
        <w:rPr>
          <w:rFonts w:ascii="Calibri" w:eastAsia="Calibri" w:hAnsi="Calibri" w:cs="Times New Roman"/>
          <w:i/>
        </w:rPr>
        <w:t>in vitro</w:t>
      </w:r>
      <w:r w:rsidRPr="00A64B10">
        <w:rPr>
          <w:rFonts w:ascii="Calibri" w:eastAsia="Calibri" w:hAnsi="Calibri" w:cs="Times New Roman"/>
        </w:rPr>
        <w:t xml:space="preserve"> assays also help to identify the mechanism by which </w:t>
      </w:r>
      <w:r w:rsidR="00F61D67" w:rsidRPr="00A64B10">
        <w:rPr>
          <w:rFonts w:ascii="Calibri" w:eastAsia="Calibri" w:hAnsi="Calibri" w:cs="Times New Roman"/>
        </w:rPr>
        <w:t>NPs</w:t>
      </w:r>
      <w:r w:rsidRPr="00A64B10">
        <w:rPr>
          <w:rFonts w:ascii="Calibri" w:eastAsia="Calibri" w:hAnsi="Calibri" w:cs="Times New Roman"/>
        </w:rPr>
        <w:t xml:space="preserve"> may be causing the observed effect; however, each assessment is in isolation and does not, necessarily, reflect how each of these systems may interact </w:t>
      </w:r>
      <w:r w:rsidRPr="00A64B10">
        <w:rPr>
          <w:rFonts w:ascii="Calibri" w:eastAsia="Calibri" w:hAnsi="Calibri" w:cs="Times New Roman"/>
          <w:i/>
        </w:rPr>
        <w:t>in vivo</w:t>
      </w:r>
      <w:r w:rsidRPr="00A64B10">
        <w:rPr>
          <w:rFonts w:ascii="Calibri" w:eastAsia="Calibri" w:hAnsi="Calibri" w:cs="Times New Roman"/>
        </w:rPr>
        <w:t>. Complement activation may be assessed using human plasma samples</w:t>
      </w:r>
      <w:r w:rsidR="00824D8F">
        <w:rPr>
          <w:rFonts w:ascii="Calibri" w:eastAsia="Calibri" w:hAnsi="Calibri" w:cs="Times New Roman"/>
        </w:rPr>
        <w:t>,</w:t>
      </w:r>
      <w:r w:rsidRPr="00A64B10">
        <w:rPr>
          <w:rFonts w:ascii="Calibri" w:eastAsia="Calibri" w:hAnsi="Calibri" w:cs="Times New Roman"/>
        </w:rPr>
        <w:t xml:space="preserve"> however, often only certain proteins are measured in isolation of the broader cascade. </w:t>
      </w:r>
      <w:r w:rsidR="00E52C32" w:rsidRPr="00A64B10">
        <w:rPr>
          <w:rFonts w:ascii="Calibri" w:eastAsia="Calibri" w:hAnsi="Calibri" w:cs="Times New Roman"/>
        </w:rPr>
        <w:t>In addition, the effect on cells expressing anaphylatoxins</w:t>
      </w:r>
      <w:r w:rsidR="000B6469" w:rsidRPr="00A64B10">
        <w:rPr>
          <w:rFonts w:ascii="Calibri" w:eastAsia="Calibri" w:hAnsi="Calibri" w:cs="Times New Roman"/>
        </w:rPr>
        <w:t xml:space="preserve"> </w:t>
      </w:r>
      <w:r w:rsidR="000B6469"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{"citationItems":[{"id":"ITEM-1","itemData":{"DOI":"10.1016/j.imlet.2009.10.007","ISSN":"01652478","PMID":"19895849","abstract":"Allergic diseases such as asthma result from inappropriate immunologic responses to common environmental allergens in genetically susceptible individuals. Following allergen exposure, interaction of dendritic cells (DC) with CD4+ T cells leads to the production of Th2 cytokines, which induce B cells to synthesize IgE molecules (sensitization phase). These IgE molecules bind to their high affinity receptors (FcεRI) on the surface of mast cells and basophils and their subsequent cross-linking by allergen results in the release of preformed and newly synthesized mediators, which cause bronchoconstriction, lung inflammation and airway hyperresponsiveness (AHR) in asthma (effector phase). The complement components C3a and C5a levels are increased in the lungs of patients with asthma and are likely generated via the actions of both allergen and mast cell proteases. In vivo studies with rodents have shown that while C3a facilitates allergen sensitization in some models C5a inhibits this response. Despite this difference, both anaphylatoxins promote lung inflammation and AHR in vivo indicating that cells other than DC and T cells likely mediate the functional effects of C3a and C5a in asthma. This review focuses on the contribution of C3a and C5a in the pathogenesis of asthma with a particular emphasis on mast cells and basophils. It discusses the mechanisms by which anaphylatoxins activate mast cells and basophils and the associated signaling pathways via which their receptors are regulated by priming and desensitization. © 2009 Elsevier B.V. All rights reserved.","author":[{"dropping-particle":"","family":"Ali","given":"Hydar","non-dropping-particle":"","parse-names":false,"suffix":""}],"container-title":"Immunology Letters","id":"ITEM-1","issue":"1","issued":{"date-parts":[["2010","1","18"]]},"page":"36-45","publisher":"Immunol Lett","title":"Regulation of human mast cell and basophil function by anaphylatoxins C3a and C5a","type":"article","volume":"128"},"uris":["http://www.mendeley.com/documents/?uuid=bb3f3806-7886-3cf4-8b66-ce521db06c68"]}],"mendeley":{"formattedCitation":"[73]","plainTextFormattedCitation":"[73]","previouslyFormattedCitation":"[73]"},"properties":{"noteIndex":0},"schema":"https://github.com/citation-style-language/schema/raw/master/csl-citation.json"}</w:instrText>
      </w:r>
      <w:r w:rsidR="000B6469" w:rsidRPr="00A64B10">
        <w:rPr>
          <w:rFonts w:ascii="Calibri" w:eastAsia="Calibri" w:hAnsi="Calibri" w:cs="Times New Roman"/>
        </w:rPr>
        <w:fldChar w:fldCharType="separate"/>
      </w:r>
      <w:r w:rsidR="000B3F63" w:rsidRPr="000B3F63">
        <w:rPr>
          <w:rFonts w:ascii="Calibri" w:eastAsia="Calibri" w:hAnsi="Calibri" w:cs="Times New Roman"/>
          <w:noProof/>
        </w:rPr>
        <w:t>[73]</w:t>
      </w:r>
      <w:r w:rsidR="000B6469" w:rsidRPr="00A64B10">
        <w:rPr>
          <w:rFonts w:ascii="Calibri" w:eastAsia="Calibri" w:hAnsi="Calibri" w:cs="Times New Roman"/>
        </w:rPr>
        <w:fldChar w:fldCharType="end"/>
      </w:r>
      <w:r w:rsidR="00E52C32" w:rsidRPr="00A64B10">
        <w:rPr>
          <w:rFonts w:ascii="Calibri" w:eastAsia="Calibri" w:hAnsi="Calibri" w:cs="Times New Roman"/>
        </w:rPr>
        <w:t xml:space="preserve">, and the modulation by </w:t>
      </w:r>
      <w:r w:rsidRPr="00A64B10">
        <w:rPr>
          <w:rFonts w:ascii="Calibri" w:eastAsia="Calibri" w:hAnsi="Calibri" w:cs="Times New Roman"/>
        </w:rPr>
        <w:t xml:space="preserve">cytokines </w:t>
      </w:r>
      <w:r w:rsidR="000B6469" w:rsidRPr="00A64B10">
        <w:rPr>
          <w:rFonts w:ascii="Calibri" w:eastAsia="Calibri" w:hAnsi="Calibri" w:cs="Times New Roman"/>
        </w:rPr>
        <w:fldChar w:fldCharType="begin" w:fldLock="1"/>
      </w:r>
      <w:r w:rsidR="00F53111">
        <w:rPr>
          <w:rFonts w:ascii="Calibri" w:eastAsia="Calibri" w:hAnsi="Calibri" w:cs="Times New Roman"/>
        </w:rPr>
        <w:instrText>ADDIN CSL_CITATION {"citationItems":[{"id":"ITEM-1","itemData":{"DOI":"10.4049/jimmunol.170.6.3306","ISSN":"0022-1767","PMID":"12626590","abstract":"Anaphylatoxins mobilize leukocytes to the sites of inflammation. In the present study we investigated the impact of GM-CSF, IL-4, and IFN-gamma on anaphylatoxin receptor expression in monocytes and dendritic cells (DC). IL-4 was identified as the strongest down-regulator of the receptors for C5a and C3a in monocytes and monocyte-derived DC (MoDC). To study the impact of IL-4 on anaphylatoxin-induced chemotaxis, an in vivo migration model was established. For this purpose, human monocytes and MoDC were injected i.v. into SCID mice that at the same time received anaphylatoxins into the peritoneal cavity. A peritoneal influx of human monocytes could be demonstrated by 4 h after injections of C5a and C3a. In line with receptor down-regulation, IL-4 treatment inhibited in vivo mobilization of human monocytes and MoDC in response to C5a and C3a. In addition to its effects on human cells, IL-4 reduced C5a receptors in murine bone marrow-derived DC and impaired recruitment of labeled bone marrow-derived DC in syngeneic BALB/c mice to i.p. injected C5a. Overall, these data suggest that inhibition of a rapid anaphylatoxin-induced mobilization of monocytes and DC to inflamed tissues represents an important anti-inflammatory activity of the Th2 cytokine IL-4.","author":[{"dropping-particle":"","family":"Soruri","given":"Afsaneh","non-dropping-particle":"","parse-names":false,"suffix":""},{"dropping-particle":"","family":"Kiafard","given":"Ziba","non-dropping-particle":"","parse-names":false,"suffix":""},{"dropping-particle":"","family":"Dettmer","given":"Claudia","non-dropping-particle":"","parse-names":false,"suffix":""},{"dropping-particle":"","family":"Riggert","given":"Joachim","non-dropping-particle":"","parse-names":false,"suffix":""},{"dropping-particle":"","family":"Köhl","given":"Jörg","non-dropping-particle":"","parse-names":false,"suffix":""},{"dropping-particle":"","family":"Zwirner","given":"Jörg","non-dropping-particle":"","parse-names":false,"suffix":""}],"container-title":"The Journal of Immunology","id":"ITEM-1","issue":"6","issued":{"date-parts":[["2003","3","15"]]},"page":"3306-3314","publisher":"The American Association of Immunologists","title":"IL-4 Down-Regulates Anaphylatoxin Receptors in Monocytes and Dendritic Cells and Impairs Anaphylatoxin-Induced Migration In Vivo","type":"article-journal","volume":"170"},"uris":["http://www.mendeley.com/documents/?uuid=41dacdfb-f66f-395e-a4cc-db0faeb9873b"]},{"id":"ITEM-2","itemData":{"DOI":"10.1016/j.surg.2003.09.010","ISSN":"00396060","PMID":"15118592","abstract":"Background. The anaphylatoxins, C3a and C5a, that are generated during trauma, major surgery, or infection are potent proinflammatory mediators that increase interleukin (IL-1) cytokine synthesis. We investigated the effects of IL-1 on anaphylatoxin receptor expression in monocytes. Methods. A human monocytic cell line, MONO-MAC-6, was used. C3a and C5a binding sites were assayed by competitive binding. Levels of messenger RNA for the C3a and C5a receptors were analyzed by reverse transcriptase-polymerase chain reaction. Changes of free cytosolic Ca2+ concentration ([Ca2+]i) in response to C3a and C5a were measured. Results. Basal MONO-MAC-6 cell sites for C3a and C5a binding were 10,900 C3aR/cell (Kd = 2.0 nmol/L), 8700 C5aR/cell (Kd = 0.9 nmol/L). IL-1α increased sites for both C3a (61 % increase; P &lt; .01) and C5a (71 % increase; P &lt; .001). Levels of C3aR and C5aR messenger RNA also increased in IL-1α-stimulated cells. Receptors were coupled to functional responses, which were demonstrated by C3a- or C5a-induced [Ca2+]i increases. IL-1 receptor antagonist blocked the effects of IL-1α upregulation of anaphylatoxin receptors. Conclusion. These results suggest that there is an additional link between IL-1 and anaphylatoxins to amplify proinflammatory effects through monocytes and macrophages. Although C3a and C5a can increase the monocyte production of IL-1, IL-1 increases monocyte expression of receptors for these anaphylatoxins, which further amplifies inflammation.","author":[{"dropping-particle":"","family":"Takabayashi","given":"Tsukasa","non-dropping-particle":"","parse-names":false,"suffix":""},{"dropping-particle":"","family":"Shimizu","given":"Soichi","non-dropping-particle":"","parse-names":false,"suffix":""},{"dropping-particle":"","family":"Clark","given":"Burton D.","non-dropping-particle":"","parse-names":false,"suffix":""},{"dropping-particle":"","family":"Beinborn","given":"Martin","non-dropping-particle":"","parse-names":false,"suffix":""},{"dropping-particle":"","family":"Burke","given":"John F.","non-dropping-particle":"","parse-names":false,"suffix":""},{"dropping-particle":"","family":"Gelfand","given":"Jeffrey A.","non-dropping-particle":"","parse-names":false,"suffix":""}],"container-title":"Surgery","id":"ITEM-2","issue":"5","issued":{"date-parts":[["2004"]]},"page":"544-554","publisher":"Mosby Inc.","title":"Interleukin-1 upregulates anaphylatoxin receptors on mononuclear cells","type":"article-journal","volume":"135"},"uris":["http://www.mendeley.com/documents/?uuid=97351da8-85b4-383b-8295-3845b919359c"]}],"mendeley":{"formattedCitation":"[74,75]","plainTextFormattedCitation":"[74,75]","previouslyFormattedCitation":"[74,75]"},"properties":{"noteIndex":0},"schema":"https://github.com/citation-style-language/schema/raw/master/csl-citation.json"}</w:instrText>
      </w:r>
      <w:r w:rsidR="000B6469" w:rsidRPr="00A64B10">
        <w:rPr>
          <w:rFonts w:ascii="Calibri" w:eastAsia="Calibri" w:hAnsi="Calibri" w:cs="Times New Roman"/>
        </w:rPr>
        <w:fldChar w:fldCharType="separate"/>
      </w:r>
      <w:r w:rsidR="000B3F63" w:rsidRPr="000B3F63">
        <w:rPr>
          <w:rFonts w:ascii="Calibri" w:eastAsia="Calibri" w:hAnsi="Calibri" w:cs="Times New Roman"/>
          <w:noProof/>
        </w:rPr>
        <w:t>[74,75]</w:t>
      </w:r>
      <w:r w:rsidR="000B6469" w:rsidRPr="00A64B10">
        <w:rPr>
          <w:rFonts w:ascii="Calibri" w:eastAsia="Calibri" w:hAnsi="Calibri" w:cs="Times New Roman"/>
        </w:rPr>
        <w:fldChar w:fldCharType="end"/>
      </w:r>
      <w:r w:rsidR="000B6469" w:rsidRPr="00A64B10">
        <w:rPr>
          <w:rFonts w:ascii="Calibri" w:eastAsia="Calibri" w:hAnsi="Calibri" w:cs="Times New Roman"/>
        </w:rPr>
        <w:t xml:space="preserve"> </w:t>
      </w:r>
      <w:r w:rsidR="00E52C32" w:rsidRPr="00A64B10">
        <w:rPr>
          <w:rFonts w:ascii="Calibri" w:eastAsia="Calibri" w:hAnsi="Calibri" w:cs="Times New Roman"/>
        </w:rPr>
        <w:t xml:space="preserve">would require </w:t>
      </w:r>
      <w:r w:rsidRPr="00A64B10">
        <w:rPr>
          <w:rFonts w:ascii="Calibri" w:eastAsia="Calibri" w:hAnsi="Calibri" w:cs="Times New Roman"/>
        </w:rPr>
        <w:t xml:space="preserve">examination of how these complex processes may fit together in more complex cell, or co-culture, systems. </w:t>
      </w:r>
      <w:r w:rsidR="00E963AB" w:rsidRPr="00A64B10">
        <w:rPr>
          <w:rFonts w:ascii="Calibri" w:eastAsia="Calibri" w:hAnsi="Calibri" w:cs="Times New Roman"/>
        </w:rPr>
        <w:t>Finally, depending</w:t>
      </w:r>
      <w:r w:rsidRPr="00A64B10">
        <w:rPr>
          <w:rFonts w:ascii="Calibri" w:eastAsia="Calibri" w:hAnsi="Calibri" w:cs="Times New Roman"/>
        </w:rPr>
        <w:t xml:space="preserve"> on the route of administration, the immune cells that nanoparticles may </w:t>
      </w:r>
      <w:r w:rsidR="00367354" w:rsidRPr="00A64B10">
        <w:rPr>
          <w:rFonts w:ascii="Calibri" w:eastAsia="Calibri" w:hAnsi="Calibri" w:cs="Times New Roman"/>
        </w:rPr>
        <w:t>encounter</w:t>
      </w:r>
      <w:r w:rsidRPr="00A64B10">
        <w:rPr>
          <w:rFonts w:ascii="Calibri" w:eastAsia="Calibri" w:hAnsi="Calibri" w:cs="Times New Roman"/>
        </w:rPr>
        <w:t xml:space="preserve"> may vary. Although some overlap is envisaged, it is important to consider the context of each application route and prioritise assessment of the cells present. </w:t>
      </w:r>
    </w:p>
    <w:p w14:paraId="56608443" w14:textId="77777777" w:rsidR="00866C90" w:rsidRPr="00A64B10" w:rsidRDefault="00866C90" w:rsidP="0000021E">
      <w:pPr>
        <w:pStyle w:val="Heading1"/>
        <w:numPr>
          <w:ilvl w:val="0"/>
          <w:numId w:val="15"/>
        </w:numPr>
      </w:pPr>
      <w:r w:rsidRPr="00A64B10">
        <w:t>Summary o</w:t>
      </w:r>
      <w:r w:rsidR="00D60DE5" w:rsidRPr="00A64B10">
        <w:t>f</w:t>
      </w:r>
      <w:r w:rsidRPr="00A64B10">
        <w:t xml:space="preserve"> methodological </w:t>
      </w:r>
      <w:r w:rsidR="00D60DE5" w:rsidRPr="00A64B10">
        <w:t>needs and gaps</w:t>
      </w:r>
      <w:r w:rsidRPr="00A64B10">
        <w:t xml:space="preserve"> </w:t>
      </w:r>
    </w:p>
    <w:p w14:paraId="4FBEE285" w14:textId="6A61E2A8" w:rsidR="004A5F59" w:rsidRPr="00A64B10" w:rsidRDefault="004A5F59" w:rsidP="004A5F59">
      <w:pPr>
        <w:jc w:val="both"/>
      </w:pPr>
      <w:r w:rsidRPr="00A64B10">
        <w:t xml:space="preserve">By </w:t>
      </w:r>
      <w:r w:rsidR="009F1D4A" w:rsidRPr="00A64B10">
        <w:t>analysing</w:t>
      </w:r>
      <w:r w:rsidRPr="00A64B10">
        <w:t xml:space="preserve"> available methods </w:t>
      </w:r>
      <w:r w:rsidR="009F1D4A" w:rsidRPr="00A64B10">
        <w:t xml:space="preserve">applicable to nanotechnology-based health </w:t>
      </w:r>
      <w:r w:rsidR="00E30F1E" w:rsidRPr="00A64B10">
        <w:t>products,</w:t>
      </w:r>
      <w:r w:rsidRPr="00A64B10">
        <w:t xml:space="preserve"> </w:t>
      </w:r>
      <w:r w:rsidR="009F1D4A" w:rsidRPr="00A64B10">
        <w:t>we</w:t>
      </w:r>
      <w:r w:rsidRPr="00A64B10">
        <w:t xml:space="preserve"> confirmed insufficiency of methods in five areas related to physicochemical characterisation (PCC), biodistribution and interaction with blood and </w:t>
      </w:r>
      <w:r w:rsidR="00DE755A" w:rsidRPr="000700DD">
        <w:t xml:space="preserve">the </w:t>
      </w:r>
      <w:r w:rsidRPr="00A64B10">
        <w:t xml:space="preserve">immune system. Moreover, we have identified </w:t>
      </w:r>
      <w:r w:rsidR="00725B54" w:rsidRPr="00A64B10">
        <w:t xml:space="preserve">more </w:t>
      </w:r>
      <w:r w:rsidRPr="00A64B10">
        <w:t>specific methodological needs such as nanomaterial-dependent adaptation of methods</w:t>
      </w:r>
      <w:r w:rsidR="00BC0940">
        <w:t xml:space="preserve"> (category 1)</w:t>
      </w:r>
      <w:r w:rsidRPr="00A64B10">
        <w:t xml:space="preserve">, validation and standardisation of methods </w:t>
      </w:r>
      <w:r w:rsidR="00BC0940">
        <w:t xml:space="preserve">that are </w:t>
      </w:r>
      <w:r w:rsidRPr="00A64B10">
        <w:t xml:space="preserve">in early stages of development </w:t>
      </w:r>
      <w:r w:rsidR="00BC0940">
        <w:t xml:space="preserve">(category 2) </w:t>
      </w:r>
      <w:r w:rsidRPr="00A64B10">
        <w:t>and finally</w:t>
      </w:r>
      <w:r w:rsidR="00BC0940">
        <w:t>,</w:t>
      </w:r>
      <w:r w:rsidRPr="00A64B10">
        <w:t xml:space="preserve"> development of add</w:t>
      </w:r>
      <w:r w:rsidR="00BC0940">
        <w:t xml:space="preserve">itional methods, </w:t>
      </w:r>
      <w:r w:rsidRPr="00A64B10">
        <w:t xml:space="preserve">in </w:t>
      </w:r>
      <w:r w:rsidR="00BC0940">
        <w:t xml:space="preserve">those </w:t>
      </w:r>
      <w:r w:rsidRPr="00A64B10">
        <w:t>areas where no or very few methods are currently available</w:t>
      </w:r>
      <w:r w:rsidR="00BC0940">
        <w:t xml:space="preserve"> (category 3)</w:t>
      </w:r>
      <w:r w:rsidRPr="00A64B10">
        <w:t xml:space="preserve"> (Table 7). </w:t>
      </w:r>
    </w:p>
    <w:p w14:paraId="11CC698F" w14:textId="77777777" w:rsidR="00006EED" w:rsidRDefault="00006EED" w:rsidP="007937FD">
      <w:pPr>
        <w:spacing w:after="0"/>
        <w:jc w:val="both"/>
        <w:rPr>
          <w:rFonts w:cstheme="minorHAnsi"/>
          <w:b/>
          <w:sz w:val="20"/>
          <w:szCs w:val="20"/>
        </w:rPr>
      </w:pPr>
    </w:p>
    <w:p w14:paraId="6904DC89" w14:textId="764009FF" w:rsidR="0036328F" w:rsidRPr="00797D47" w:rsidRDefault="0036328F" w:rsidP="007937FD">
      <w:pPr>
        <w:spacing w:after="0"/>
        <w:jc w:val="both"/>
        <w:rPr>
          <w:rFonts w:cstheme="minorHAnsi"/>
          <w:bCs/>
        </w:rPr>
      </w:pPr>
      <w:r w:rsidRPr="00797D47">
        <w:rPr>
          <w:rFonts w:cstheme="minorHAnsi"/>
          <w:b/>
        </w:rPr>
        <w:lastRenderedPageBreak/>
        <w:t xml:space="preserve">Table 7. </w:t>
      </w:r>
      <w:r w:rsidRPr="00797D47">
        <w:rPr>
          <w:rFonts w:cstheme="minorHAnsi"/>
          <w:bCs/>
        </w:rPr>
        <w:t xml:space="preserve">Categorisation of main methodological </w:t>
      </w:r>
      <w:r w:rsidR="001B344C" w:rsidRPr="00797D47">
        <w:rPr>
          <w:rFonts w:cstheme="minorHAnsi"/>
          <w:bCs/>
        </w:rPr>
        <w:t>needs</w:t>
      </w:r>
      <w:r w:rsidR="00BC0940" w:rsidRPr="00797D47">
        <w:rPr>
          <w:rFonts w:cstheme="minorHAnsi"/>
          <w:bCs/>
        </w:rPr>
        <w:t>.</w:t>
      </w:r>
    </w:p>
    <w:tbl>
      <w:tblPr>
        <w:tblStyle w:val="TableGrid"/>
        <w:tblW w:w="8784" w:type="dxa"/>
        <w:tblLayout w:type="fixed"/>
        <w:tblLook w:val="04A0" w:firstRow="1" w:lastRow="0" w:firstColumn="1" w:lastColumn="0" w:noHBand="0" w:noVBand="1"/>
      </w:tblPr>
      <w:tblGrid>
        <w:gridCol w:w="2689"/>
        <w:gridCol w:w="2835"/>
        <w:gridCol w:w="3260"/>
      </w:tblGrid>
      <w:tr w:rsidR="0036328F" w:rsidRPr="00A64B10" w14:paraId="11916B11" w14:textId="77777777" w:rsidTr="004410A9">
        <w:tc>
          <w:tcPr>
            <w:tcW w:w="2689" w:type="dxa"/>
            <w:shd w:val="clear" w:color="auto" w:fill="808080" w:themeFill="background1" w:themeFillShade="80"/>
          </w:tcPr>
          <w:p w14:paraId="7A8D53E6" w14:textId="77777777" w:rsidR="0036328F" w:rsidRPr="004410A9" w:rsidRDefault="0036328F" w:rsidP="00180D0C">
            <w:pPr>
              <w:jc w:val="center"/>
              <w:rPr>
                <w:b/>
                <w:bCs/>
                <w:color w:val="FFFFFF" w:themeColor="background1"/>
                <w:sz w:val="20"/>
                <w:szCs w:val="20"/>
              </w:rPr>
            </w:pPr>
            <w:r w:rsidRPr="004410A9">
              <w:rPr>
                <w:b/>
                <w:bCs/>
                <w:color w:val="FFFFFF" w:themeColor="background1"/>
                <w:sz w:val="20"/>
                <w:szCs w:val="20"/>
              </w:rPr>
              <w:t>Category 1</w:t>
            </w:r>
          </w:p>
          <w:p w14:paraId="1AD8A07C" w14:textId="5ABF2646" w:rsidR="0036328F" w:rsidRPr="004410A9" w:rsidRDefault="00BC0940" w:rsidP="00180D0C">
            <w:pPr>
              <w:jc w:val="center"/>
              <w:rPr>
                <w:b/>
                <w:bCs/>
                <w:color w:val="FFFFFF" w:themeColor="background1"/>
                <w:sz w:val="20"/>
                <w:szCs w:val="20"/>
              </w:rPr>
            </w:pPr>
            <w:r w:rsidRPr="004410A9">
              <w:rPr>
                <w:b/>
                <w:bCs/>
                <w:color w:val="FFFFFF" w:themeColor="background1"/>
                <w:sz w:val="20"/>
                <w:szCs w:val="20"/>
              </w:rPr>
              <w:t>Method adaption to specific/new nanomaterial</w:t>
            </w:r>
          </w:p>
        </w:tc>
        <w:tc>
          <w:tcPr>
            <w:tcW w:w="2835" w:type="dxa"/>
            <w:shd w:val="clear" w:color="auto" w:fill="808080" w:themeFill="background1" w:themeFillShade="80"/>
          </w:tcPr>
          <w:p w14:paraId="03916754" w14:textId="77777777" w:rsidR="0036328F" w:rsidRPr="004410A9" w:rsidRDefault="0036328F" w:rsidP="00180D0C">
            <w:pPr>
              <w:jc w:val="center"/>
              <w:rPr>
                <w:b/>
                <w:bCs/>
                <w:color w:val="FFFFFF" w:themeColor="background1"/>
                <w:sz w:val="20"/>
                <w:szCs w:val="20"/>
              </w:rPr>
            </w:pPr>
            <w:r w:rsidRPr="004410A9">
              <w:rPr>
                <w:b/>
                <w:bCs/>
                <w:color w:val="FFFFFF" w:themeColor="background1"/>
                <w:sz w:val="20"/>
                <w:szCs w:val="20"/>
              </w:rPr>
              <w:t>Category 2</w:t>
            </w:r>
          </w:p>
          <w:p w14:paraId="7C35B06B" w14:textId="17499844" w:rsidR="0036328F" w:rsidRPr="004410A9" w:rsidRDefault="00BC0940" w:rsidP="00180D0C">
            <w:pPr>
              <w:jc w:val="center"/>
              <w:rPr>
                <w:b/>
                <w:bCs/>
                <w:color w:val="FFFFFF" w:themeColor="background1"/>
                <w:sz w:val="20"/>
                <w:szCs w:val="20"/>
              </w:rPr>
            </w:pPr>
            <w:r w:rsidRPr="004410A9">
              <w:rPr>
                <w:b/>
                <w:bCs/>
                <w:color w:val="FFFFFF" w:themeColor="background1"/>
                <w:sz w:val="20"/>
                <w:szCs w:val="20"/>
              </w:rPr>
              <w:t>Method validation and standardisation</w:t>
            </w:r>
          </w:p>
          <w:p w14:paraId="32BDEDD6" w14:textId="77777777" w:rsidR="0036328F" w:rsidRPr="004410A9" w:rsidRDefault="0036328F" w:rsidP="00180D0C">
            <w:pPr>
              <w:jc w:val="center"/>
              <w:rPr>
                <w:b/>
                <w:bCs/>
                <w:color w:val="FFFFFF" w:themeColor="background1"/>
                <w:sz w:val="20"/>
                <w:szCs w:val="20"/>
              </w:rPr>
            </w:pPr>
          </w:p>
        </w:tc>
        <w:tc>
          <w:tcPr>
            <w:tcW w:w="3260" w:type="dxa"/>
            <w:shd w:val="clear" w:color="auto" w:fill="808080" w:themeFill="background1" w:themeFillShade="80"/>
          </w:tcPr>
          <w:p w14:paraId="3B454EA9" w14:textId="386C866B" w:rsidR="00EE42AA" w:rsidRPr="004410A9" w:rsidRDefault="0036328F" w:rsidP="00EE42AA">
            <w:pPr>
              <w:jc w:val="center"/>
              <w:rPr>
                <w:b/>
                <w:bCs/>
                <w:color w:val="FFFFFF" w:themeColor="background1"/>
                <w:sz w:val="20"/>
                <w:szCs w:val="20"/>
              </w:rPr>
            </w:pPr>
            <w:r w:rsidRPr="004410A9">
              <w:rPr>
                <w:b/>
                <w:bCs/>
                <w:color w:val="FFFFFF" w:themeColor="background1"/>
                <w:sz w:val="20"/>
                <w:szCs w:val="20"/>
              </w:rPr>
              <w:t>Category 3</w:t>
            </w:r>
          </w:p>
          <w:p w14:paraId="2C4DDC8C" w14:textId="77777777" w:rsidR="00EE42AA" w:rsidRPr="004410A9" w:rsidRDefault="00BC0940" w:rsidP="00180D0C">
            <w:pPr>
              <w:jc w:val="center"/>
              <w:rPr>
                <w:b/>
                <w:bCs/>
                <w:color w:val="FFFFFF" w:themeColor="background1"/>
                <w:sz w:val="20"/>
                <w:szCs w:val="20"/>
              </w:rPr>
            </w:pPr>
            <w:r w:rsidRPr="004410A9">
              <w:rPr>
                <w:b/>
                <w:bCs/>
                <w:color w:val="FFFFFF" w:themeColor="background1"/>
                <w:sz w:val="20"/>
                <w:szCs w:val="20"/>
              </w:rPr>
              <w:t xml:space="preserve">Development of additional </w:t>
            </w:r>
          </w:p>
          <w:p w14:paraId="04CDF811" w14:textId="59DDC7FB" w:rsidR="0036328F" w:rsidRPr="004410A9" w:rsidRDefault="00BC0940" w:rsidP="00180D0C">
            <w:pPr>
              <w:jc w:val="center"/>
              <w:rPr>
                <w:b/>
                <w:bCs/>
                <w:color w:val="FFFFFF" w:themeColor="background1"/>
                <w:sz w:val="20"/>
                <w:szCs w:val="20"/>
              </w:rPr>
            </w:pPr>
            <w:r w:rsidRPr="004410A9">
              <w:rPr>
                <w:b/>
                <w:bCs/>
                <w:color w:val="FFFFFF" w:themeColor="background1"/>
                <w:sz w:val="20"/>
                <w:szCs w:val="20"/>
              </w:rPr>
              <w:t>methods</w:t>
            </w:r>
          </w:p>
          <w:p w14:paraId="6CB25C72" w14:textId="77777777" w:rsidR="0036328F" w:rsidRPr="004410A9" w:rsidRDefault="0036328F" w:rsidP="00180D0C">
            <w:pPr>
              <w:jc w:val="center"/>
              <w:rPr>
                <w:b/>
                <w:bCs/>
                <w:color w:val="FFFFFF" w:themeColor="background1"/>
                <w:sz w:val="20"/>
                <w:szCs w:val="20"/>
              </w:rPr>
            </w:pPr>
          </w:p>
        </w:tc>
      </w:tr>
      <w:tr w:rsidR="0036328F" w:rsidRPr="00A64B10" w14:paraId="6069F2E8" w14:textId="77777777" w:rsidTr="000B55A0">
        <w:tc>
          <w:tcPr>
            <w:tcW w:w="2689" w:type="dxa"/>
          </w:tcPr>
          <w:p w14:paraId="12C52326" w14:textId="77777777" w:rsidR="0036328F" w:rsidRPr="00A64B10" w:rsidRDefault="0036328F" w:rsidP="00180D0C">
            <w:pPr>
              <w:rPr>
                <w:b/>
                <w:bCs/>
                <w:sz w:val="18"/>
                <w:szCs w:val="18"/>
              </w:rPr>
            </w:pPr>
            <w:r w:rsidRPr="00A64B10">
              <w:rPr>
                <w:b/>
                <w:bCs/>
                <w:sz w:val="18"/>
                <w:szCs w:val="18"/>
              </w:rPr>
              <w:t>PCC:</w:t>
            </w:r>
          </w:p>
          <w:p w14:paraId="2FE23695" w14:textId="40F712EA" w:rsidR="0036328F" w:rsidRPr="00A64B10" w:rsidRDefault="0036328F" w:rsidP="00180D0C">
            <w:pPr>
              <w:rPr>
                <w:sz w:val="18"/>
                <w:szCs w:val="18"/>
              </w:rPr>
            </w:pPr>
            <w:r w:rsidRPr="00A64B10">
              <w:rPr>
                <w:sz w:val="18"/>
                <w:szCs w:val="18"/>
              </w:rPr>
              <w:t xml:space="preserve">All PCC methods </w:t>
            </w:r>
            <w:proofErr w:type="gramStart"/>
            <w:r w:rsidRPr="00A64B10">
              <w:rPr>
                <w:sz w:val="18"/>
                <w:szCs w:val="18"/>
              </w:rPr>
              <w:t>have to</w:t>
            </w:r>
            <w:proofErr w:type="gramEnd"/>
            <w:r w:rsidRPr="00A64B10">
              <w:rPr>
                <w:sz w:val="18"/>
                <w:szCs w:val="18"/>
              </w:rPr>
              <w:t xml:space="preserve"> be optimized for each specific NP/API class, according to general guidelines.</w:t>
            </w:r>
          </w:p>
          <w:p w14:paraId="1454BA70" w14:textId="77777777" w:rsidR="0036328F" w:rsidRPr="00A64B10" w:rsidRDefault="0036328F" w:rsidP="00180D0C">
            <w:pPr>
              <w:rPr>
                <w:sz w:val="18"/>
                <w:szCs w:val="18"/>
              </w:rPr>
            </w:pPr>
          </w:p>
          <w:p w14:paraId="11811908" w14:textId="77777777" w:rsidR="0036328F" w:rsidRPr="00A64B10" w:rsidRDefault="0036328F" w:rsidP="00180D0C">
            <w:pPr>
              <w:rPr>
                <w:b/>
                <w:bCs/>
                <w:sz w:val="18"/>
                <w:szCs w:val="18"/>
              </w:rPr>
            </w:pPr>
            <w:r w:rsidRPr="00A64B10">
              <w:rPr>
                <w:b/>
                <w:bCs/>
                <w:sz w:val="18"/>
                <w:szCs w:val="18"/>
              </w:rPr>
              <w:t>Biodistribution and ADME:</w:t>
            </w:r>
          </w:p>
          <w:p w14:paraId="20AA002E" w14:textId="0EF5D2CC" w:rsidR="0036328F" w:rsidRPr="00A64B10" w:rsidRDefault="00DE755A" w:rsidP="00180D0C">
            <w:pPr>
              <w:spacing w:after="160" w:line="256" w:lineRule="auto"/>
              <w:rPr>
                <w:sz w:val="18"/>
                <w:szCs w:val="18"/>
              </w:rPr>
            </w:pPr>
            <w:r w:rsidRPr="000700DD">
              <w:rPr>
                <w:sz w:val="18"/>
                <w:szCs w:val="18"/>
              </w:rPr>
              <w:t>A</w:t>
            </w:r>
            <w:r w:rsidR="0036328F" w:rsidRPr="00A64B10">
              <w:rPr>
                <w:sz w:val="18"/>
                <w:szCs w:val="18"/>
              </w:rPr>
              <w:t>djustments are necessary for each technological platform</w:t>
            </w:r>
            <w:r w:rsidRPr="000700DD">
              <w:rPr>
                <w:sz w:val="18"/>
                <w:szCs w:val="18"/>
              </w:rPr>
              <w:t>,</w:t>
            </w:r>
            <w:r w:rsidR="0036328F" w:rsidRPr="00A64B10">
              <w:rPr>
                <w:sz w:val="18"/>
                <w:szCs w:val="18"/>
              </w:rPr>
              <w:t xml:space="preserve"> for ADME and for </w:t>
            </w:r>
            <w:r w:rsidR="0036328F" w:rsidRPr="000B55A0">
              <w:rPr>
                <w:i/>
                <w:sz w:val="18"/>
                <w:szCs w:val="18"/>
              </w:rPr>
              <w:t>in silico</w:t>
            </w:r>
            <w:r w:rsidR="0036328F" w:rsidRPr="00A64B10">
              <w:rPr>
                <w:sz w:val="18"/>
                <w:szCs w:val="18"/>
              </w:rPr>
              <w:t xml:space="preserve"> </w:t>
            </w:r>
            <w:proofErr w:type="gramStart"/>
            <w:r w:rsidR="0036328F" w:rsidRPr="00A64B10">
              <w:rPr>
                <w:sz w:val="18"/>
                <w:szCs w:val="18"/>
              </w:rPr>
              <w:t>models</w:t>
            </w:r>
            <w:proofErr w:type="gramEnd"/>
          </w:p>
          <w:p w14:paraId="34D5A7FF" w14:textId="77777777" w:rsidR="0036328F" w:rsidRPr="00A64B10" w:rsidRDefault="0036328F" w:rsidP="00180D0C">
            <w:pPr>
              <w:rPr>
                <w:sz w:val="18"/>
                <w:szCs w:val="18"/>
              </w:rPr>
            </w:pPr>
          </w:p>
          <w:p w14:paraId="039ABFD3" w14:textId="77777777" w:rsidR="0036328F" w:rsidRPr="00A64B10" w:rsidRDefault="0036328F" w:rsidP="00180D0C">
            <w:pPr>
              <w:rPr>
                <w:b/>
                <w:bCs/>
                <w:sz w:val="18"/>
                <w:szCs w:val="18"/>
              </w:rPr>
            </w:pPr>
            <w:r w:rsidRPr="00A64B10">
              <w:rPr>
                <w:b/>
                <w:bCs/>
                <w:sz w:val="18"/>
                <w:szCs w:val="18"/>
              </w:rPr>
              <w:t>Immune system:</w:t>
            </w:r>
          </w:p>
          <w:p w14:paraId="62BDC17D" w14:textId="77777777" w:rsidR="0036328F" w:rsidRPr="00A64B10" w:rsidRDefault="0036328F" w:rsidP="0000021E">
            <w:pPr>
              <w:pStyle w:val="ListParagraph"/>
              <w:numPr>
                <w:ilvl w:val="0"/>
                <w:numId w:val="10"/>
              </w:numPr>
              <w:ind w:left="447"/>
              <w:rPr>
                <w:sz w:val="18"/>
                <w:szCs w:val="18"/>
              </w:rPr>
            </w:pPr>
            <w:r w:rsidRPr="00A64B10">
              <w:rPr>
                <w:sz w:val="18"/>
                <w:szCs w:val="18"/>
              </w:rPr>
              <w:t>LAL-based methods for endotoxin</w:t>
            </w:r>
          </w:p>
          <w:p w14:paraId="24B4CF53" w14:textId="77777777" w:rsidR="0036328F" w:rsidRPr="00A64B10" w:rsidRDefault="0036328F" w:rsidP="00180D0C">
            <w:pPr>
              <w:pStyle w:val="ListParagraph"/>
              <w:ind w:left="447"/>
              <w:rPr>
                <w:sz w:val="18"/>
                <w:szCs w:val="18"/>
                <w:highlight w:val="yellow"/>
              </w:rPr>
            </w:pPr>
          </w:p>
          <w:p w14:paraId="478260BE" w14:textId="77777777" w:rsidR="0036328F" w:rsidRPr="00A64B10" w:rsidRDefault="0036328F" w:rsidP="00180D0C">
            <w:pPr>
              <w:pStyle w:val="ListParagraph"/>
              <w:rPr>
                <w:sz w:val="18"/>
                <w:szCs w:val="18"/>
              </w:rPr>
            </w:pPr>
          </w:p>
        </w:tc>
        <w:tc>
          <w:tcPr>
            <w:tcW w:w="2835" w:type="dxa"/>
          </w:tcPr>
          <w:p w14:paraId="6FC63EB3" w14:textId="77777777" w:rsidR="0036328F" w:rsidRPr="00A64B10" w:rsidRDefault="0036328F" w:rsidP="00180D0C">
            <w:pPr>
              <w:rPr>
                <w:b/>
                <w:bCs/>
                <w:sz w:val="18"/>
                <w:szCs w:val="18"/>
              </w:rPr>
            </w:pPr>
            <w:r w:rsidRPr="00A64B10">
              <w:rPr>
                <w:b/>
                <w:bCs/>
                <w:sz w:val="18"/>
                <w:szCs w:val="18"/>
              </w:rPr>
              <w:t>PCC:</w:t>
            </w:r>
          </w:p>
          <w:p w14:paraId="23604587" w14:textId="77777777" w:rsidR="0036328F" w:rsidRPr="00A64B10" w:rsidRDefault="0036328F" w:rsidP="0000021E">
            <w:pPr>
              <w:pStyle w:val="ListParagraph"/>
              <w:numPr>
                <w:ilvl w:val="0"/>
                <w:numId w:val="10"/>
              </w:numPr>
              <w:ind w:left="458"/>
              <w:rPr>
                <w:sz w:val="18"/>
                <w:szCs w:val="18"/>
              </w:rPr>
            </w:pPr>
            <w:r w:rsidRPr="00A64B10">
              <w:rPr>
                <w:sz w:val="18"/>
                <w:szCs w:val="18"/>
              </w:rPr>
              <w:t xml:space="preserve">Drug loading and drug release in complex media </w:t>
            </w:r>
          </w:p>
          <w:p w14:paraId="3F58001E" w14:textId="77777777" w:rsidR="0036328F" w:rsidRPr="00A64B10" w:rsidRDefault="0036328F" w:rsidP="0000021E">
            <w:pPr>
              <w:pStyle w:val="ListParagraph"/>
              <w:numPr>
                <w:ilvl w:val="0"/>
                <w:numId w:val="10"/>
              </w:numPr>
              <w:ind w:left="458"/>
              <w:rPr>
                <w:sz w:val="18"/>
                <w:szCs w:val="18"/>
              </w:rPr>
            </w:pPr>
            <w:r w:rsidRPr="00A64B10">
              <w:rPr>
                <w:sz w:val="18"/>
                <w:szCs w:val="18"/>
              </w:rPr>
              <w:t xml:space="preserve">Hydrophobicity </w:t>
            </w:r>
          </w:p>
          <w:p w14:paraId="2E0961F4" w14:textId="77777777" w:rsidR="0036328F" w:rsidRPr="00A64B10" w:rsidRDefault="0036328F" w:rsidP="0000021E">
            <w:pPr>
              <w:pStyle w:val="ListParagraph"/>
              <w:numPr>
                <w:ilvl w:val="0"/>
                <w:numId w:val="10"/>
              </w:numPr>
              <w:ind w:left="458"/>
              <w:rPr>
                <w:sz w:val="18"/>
                <w:szCs w:val="18"/>
              </w:rPr>
            </w:pPr>
            <w:r w:rsidRPr="00A64B10">
              <w:rPr>
                <w:sz w:val="18"/>
                <w:szCs w:val="18"/>
              </w:rPr>
              <w:t xml:space="preserve">Physical stability in complex media </w:t>
            </w:r>
          </w:p>
          <w:p w14:paraId="38FFAC6D" w14:textId="77777777" w:rsidR="0036328F" w:rsidRPr="00A64B10" w:rsidRDefault="0036328F" w:rsidP="00180D0C">
            <w:pPr>
              <w:ind w:left="458"/>
              <w:rPr>
                <w:sz w:val="18"/>
                <w:szCs w:val="18"/>
              </w:rPr>
            </w:pPr>
          </w:p>
          <w:p w14:paraId="4386A2D2" w14:textId="77777777" w:rsidR="0036328F" w:rsidRPr="00A64B10" w:rsidRDefault="0036328F" w:rsidP="00180D0C">
            <w:pPr>
              <w:rPr>
                <w:b/>
                <w:bCs/>
                <w:sz w:val="18"/>
                <w:szCs w:val="18"/>
              </w:rPr>
            </w:pPr>
            <w:r w:rsidRPr="00A64B10">
              <w:rPr>
                <w:b/>
                <w:bCs/>
                <w:sz w:val="18"/>
                <w:szCs w:val="18"/>
              </w:rPr>
              <w:t>Biodistribution and ADME:</w:t>
            </w:r>
          </w:p>
          <w:p w14:paraId="1F21283C" w14:textId="30F44B96" w:rsidR="0036328F" w:rsidRPr="00A64B10" w:rsidRDefault="009C726F" w:rsidP="0000021E">
            <w:pPr>
              <w:pStyle w:val="ListParagraph"/>
              <w:numPr>
                <w:ilvl w:val="0"/>
                <w:numId w:val="10"/>
              </w:numPr>
              <w:spacing w:after="160" w:line="256" w:lineRule="auto"/>
              <w:ind w:left="458"/>
              <w:rPr>
                <w:sz w:val="18"/>
                <w:szCs w:val="18"/>
              </w:rPr>
            </w:pPr>
            <w:r>
              <w:rPr>
                <w:sz w:val="18"/>
                <w:szCs w:val="18"/>
              </w:rPr>
              <w:t>Barrier</w:t>
            </w:r>
            <w:r w:rsidR="0036328F" w:rsidRPr="00A64B10">
              <w:rPr>
                <w:sz w:val="18"/>
                <w:szCs w:val="18"/>
              </w:rPr>
              <w:t xml:space="preserve"> models </w:t>
            </w:r>
            <w:r w:rsidR="0036328F" w:rsidRPr="00A64B10">
              <w:rPr>
                <w:i/>
                <w:iCs/>
                <w:sz w:val="18"/>
                <w:szCs w:val="18"/>
              </w:rPr>
              <w:t xml:space="preserve">in vitro </w:t>
            </w:r>
          </w:p>
          <w:p w14:paraId="56114662" w14:textId="77777777" w:rsidR="0036328F" w:rsidRPr="00A64B10" w:rsidRDefault="0036328F" w:rsidP="0000021E">
            <w:pPr>
              <w:pStyle w:val="ListParagraph"/>
              <w:numPr>
                <w:ilvl w:val="0"/>
                <w:numId w:val="10"/>
              </w:numPr>
              <w:spacing w:after="160" w:line="256" w:lineRule="auto"/>
              <w:ind w:left="458"/>
              <w:rPr>
                <w:sz w:val="18"/>
                <w:szCs w:val="18"/>
              </w:rPr>
            </w:pPr>
            <w:r w:rsidRPr="00A64B10">
              <w:rPr>
                <w:sz w:val="18"/>
                <w:szCs w:val="18"/>
              </w:rPr>
              <w:t xml:space="preserve">Detection/quantitation of whole nanomaterials in simple and complex media including in </w:t>
            </w:r>
            <w:proofErr w:type="gramStart"/>
            <w:r w:rsidRPr="00A64B10">
              <w:rPr>
                <w:sz w:val="18"/>
                <w:szCs w:val="18"/>
              </w:rPr>
              <w:t>cells</w:t>
            </w:r>
            <w:proofErr w:type="gramEnd"/>
            <w:r w:rsidRPr="00A64B10">
              <w:rPr>
                <w:sz w:val="18"/>
                <w:szCs w:val="18"/>
              </w:rPr>
              <w:t xml:space="preserve"> </w:t>
            </w:r>
          </w:p>
          <w:p w14:paraId="6FC60D78" w14:textId="77777777" w:rsidR="0036328F" w:rsidRPr="00A64B10" w:rsidRDefault="0036328F" w:rsidP="0000021E">
            <w:pPr>
              <w:pStyle w:val="ListParagraph"/>
              <w:numPr>
                <w:ilvl w:val="0"/>
                <w:numId w:val="10"/>
              </w:numPr>
              <w:spacing w:after="160" w:line="256" w:lineRule="auto"/>
              <w:ind w:left="458"/>
              <w:rPr>
                <w:sz w:val="18"/>
                <w:szCs w:val="18"/>
              </w:rPr>
            </w:pPr>
            <w:r w:rsidRPr="00A64B10">
              <w:rPr>
                <w:sz w:val="18"/>
                <w:szCs w:val="18"/>
              </w:rPr>
              <w:t>Existing PBPK models</w:t>
            </w:r>
          </w:p>
          <w:p w14:paraId="1BFF95B4" w14:textId="77777777" w:rsidR="0036328F" w:rsidRPr="00A64B10" w:rsidRDefault="0036328F" w:rsidP="00180D0C">
            <w:pPr>
              <w:ind w:left="98"/>
              <w:rPr>
                <w:b/>
                <w:bCs/>
                <w:sz w:val="18"/>
                <w:szCs w:val="18"/>
              </w:rPr>
            </w:pPr>
            <w:r w:rsidRPr="00A64B10">
              <w:rPr>
                <w:b/>
                <w:bCs/>
                <w:sz w:val="18"/>
                <w:szCs w:val="18"/>
              </w:rPr>
              <w:t>Immune system:</w:t>
            </w:r>
          </w:p>
          <w:p w14:paraId="371EDD74" w14:textId="77777777" w:rsidR="0036328F" w:rsidRPr="00A64B10" w:rsidRDefault="0036328F" w:rsidP="0000021E">
            <w:pPr>
              <w:pStyle w:val="ListParagraph"/>
              <w:numPr>
                <w:ilvl w:val="0"/>
                <w:numId w:val="10"/>
              </w:numPr>
              <w:ind w:left="458"/>
              <w:rPr>
                <w:sz w:val="18"/>
                <w:szCs w:val="18"/>
              </w:rPr>
            </w:pPr>
            <w:r w:rsidRPr="00A64B10">
              <w:rPr>
                <w:sz w:val="18"/>
                <w:szCs w:val="18"/>
              </w:rPr>
              <w:t>Effect on macrophages</w:t>
            </w:r>
          </w:p>
          <w:p w14:paraId="3622746C" w14:textId="77777777" w:rsidR="0036328F" w:rsidRPr="00A64B10" w:rsidRDefault="0036328F" w:rsidP="0000021E">
            <w:pPr>
              <w:pStyle w:val="ListParagraph"/>
              <w:numPr>
                <w:ilvl w:val="0"/>
                <w:numId w:val="10"/>
              </w:numPr>
              <w:ind w:left="458"/>
              <w:rPr>
                <w:sz w:val="18"/>
                <w:szCs w:val="18"/>
              </w:rPr>
            </w:pPr>
            <w:r w:rsidRPr="00A64B10">
              <w:rPr>
                <w:sz w:val="18"/>
                <w:szCs w:val="18"/>
              </w:rPr>
              <w:t>Uptake by phagocytes</w:t>
            </w:r>
          </w:p>
          <w:p w14:paraId="62D91F6F" w14:textId="77777777" w:rsidR="0036328F" w:rsidRPr="00A64B10" w:rsidRDefault="0036328F" w:rsidP="0000021E">
            <w:pPr>
              <w:pStyle w:val="ListParagraph"/>
              <w:numPr>
                <w:ilvl w:val="0"/>
                <w:numId w:val="10"/>
              </w:numPr>
              <w:ind w:left="458"/>
              <w:rPr>
                <w:sz w:val="18"/>
                <w:szCs w:val="18"/>
              </w:rPr>
            </w:pPr>
            <w:r w:rsidRPr="00A64B10">
              <w:rPr>
                <w:sz w:val="18"/>
                <w:szCs w:val="18"/>
              </w:rPr>
              <w:t xml:space="preserve">Inflammation </w:t>
            </w:r>
          </w:p>
          <w:p w14:paraId="3E97DB1D" w14:textId="77777777" w:rsidR="0036328F" w:rsidRPr="00A64B10" w:rsidRDefault="0036328F" w:rsidP="0000021E">
            <w:pPr>
              <w:pStyle w:val="ListParagraph"/>
              <w:numPr>
                <w:ilvl w:val="0"/>
                <w:numId w:val="10"/>
              </w:numPr>
              <w:ind w:left="458"/>
              <w:rPr>
                <w:sz w:val="18"/>
                <w:szCs w:val="18"/>
              </w:rPr>
            </w:pPr>
            <w:r w:rsidRPr="00A64B10">
              <w:rPr>
                <w:sz w:val="18"/>
                <w:szCs w:val="18"/>
              </w:rPr>
              <w:t>Activation of complement system</w:t>
            </w:r>
          </w:p>
          <w:p w14:paraId="62BDAFB0" w14:textId="77777777" w:rsidR="0036328F" w:rsidRPr="00A64B10" w:rsidRDefault="0036328F" w:rsidP="0000021E">
            <w:pPr>
              <w:pStyle w:val="ListParagraph"/>
              <w:numPr>
                <w:ilvl w:val="0"/>
                <w:numId w:val="10"/>
              </w:numPr>
              <w:ind w:left="458"/>
              <w:rPr>
                <w:sz w:val="18"/>
                <w:szCs w:val="18"/>
              </w:rPr>
            </w:pPr>
            <w:r w:rsidRPr="00A64B10">
              <w:rPr>
                <w:sz w:val="18"/>
                <w:szCs w:val="18"/>
              </w:rPr>
              <w:t>Thrombogenicity</w:t>
            </w:r>
          </w:p>
          <w:p w14:paraId="2209F012" w14:textId="3686F622" w:rsidR="0036328F" w:rsidRPr="00A64B10" w:rsidRDefault="000B55A0" w:rsidP="0000021E">
            <w:pPr>
              <w:pStyle w:val="ListParagraph"/>
              <w:numPr>
                <w:ilvl w:val="0"/>
                <w:numId w:val="10"/>
              </w:numPr>
              <w:ind w:left="458"/>
              <w:rPr>
                <w:sz w:val="18"/>
                <w:szCs w:val="18"/>
              </w:rPr>
            </w:pPr>
            <w:r>
              <w:rPr>
                <w:sz w:val="18"/>
                <w:szCs w:val="18"/>
              </w:rPr>
              <w:t>E</w:t>
            </w:r>
            <w:r w:rsidR="0036328F" w:rsidRPr="00A64B10">
              <w:rPr>
                <w:sz w:val="18"/>
                <w:szCs w:val="18"/>
              </w:rPr>
              <w:t>ffect on lymphocytes and antibodies</w:t>
            </w:r>
            <w:r>
              <w:rPr>
                <w:sz w:val="18"/>
                <w:szCs w:val="18"/>
              </w:rPr>
              <w:t xml:space="preserve"> (existing methods)</w:t>
            </w:r>
          </w:p>
          <w:p w14:paraId="724BA30D" w14:textId="77777777" w:rsidR="0036328F" w:rsidRPr="00A64B10" w:rsidRDefault="0036328F" w:rsidP="00180D0C">
            <w:pPr>
              <w:rPr>
                <w:b/>
                <w:bCs/>
                <w:sz w:val="18"/>
                <w:szCs w:val="18"/>
              </w:rPr>
            </w:pPr>
          </w:p>
        </w:tc>
        <w:tc>
          <w:tcPr>
            <w:tcW w:w="3260" w:type="dxa"/>
          </w:tcPr>
          <w:p w14:paraId="5ABB129F" w14:textId="77777777" w:rsidR="0036328F" w:rsidRPr="00A64B10" w:rsidRDefault="0036328F" w:rsidP="00180D0C">
            <w:pPr>
              <w:rPr>
                <w:b/>
                <w:bCs/>
                <w:sz w:val="18"/>
                <w:szCs w:val="18"/>
              </w:rPr>
            </w:pPr>
            <w:r w:rsidRPr="00A64B10">
              <w:rPr>
                <w:b/>
                <w:bCs/>
                <w:sz w:val="18"/>
                <w:szCs w:val="18"/>
              </w:rPr>
              <w:t>PCC:</w:t>
            </w:r>
          </w:p>
          <w:p w14:paraId="55C642FD" w14:textId="77777777" w:rsidR="0036328F" w:rsidRPr="00A64B10" w:rsidRDefault="0036328F" w:rsidP="0000021E">
            <w:pPr>
              <w:pStyle w:val="ListParagraph"/>
              <w:numPr>
                <w:ilvl w:val="0"/>
                <w:numId w:val="9"/>
              </w:numPr>
              <w:ind w:left="458"/>
              <w:rPr>
                <w:sz w:val="18"/>
                <w:szCs w:val="18"/>
              </w:rPr>
            </w:pPr>
            <w:r w:rsidRPr="00A64B10">
              <w:rPr>
                <w:sz w:val="18"/>
                <w:szCs w:val="18"/>
              </w:rPr>
              <w:t>Release and quantification of large API such as nucleic acids</w:t>
            </w:r>
          </w:p>
          <w:p w14:paraId="3204CCF6" w14:textId="77777777" w:rsidR="0036328F" w:rsidRPr="00A64B10" w:rsidRDefault="0036328F" w:rsidP="0000021E">
            <w:pPr>
              <w:pStyle w:val="ListParagraph"/>
              <w:numPr>
                <w:ilvl w:val="0"/>
                <w:numId w:val="9"/>
              </w:numPr>
              <w:ind w:left="458"/>
              <w:rPr>
                <w:sz w:val="18"/>
                <w:szCs w:val="18"/>
              </w:rPr>
            </w:pPr>
            <w:r w:rsidRPr="00A64B10">
              <w:rPr>
                <w:sz w:val="18"/>
                <w:szCs w:val="18"/>
              </w:rPr>
              <w:t>Specific surface area evaluation in aqueous media</w:t>
            </w:r>
          </w:p>
          <w:p w14:paraId="7D37C62A" w14:textId="77777777" w:rsidR="0036328F" w:rsidRPr="00A64B10" w:rsidRDefault="0036328F" w:rsidP="0000021E">
            <w:pPr>
              <w:pStyle w:val="ListParagraph"/>
              <w:numPr>
                <w:ilvl w:val="0"/>
                <w:numId w:val="9"/>
              </w:numPr>
              <w:ind w:left="458"/>
              <w:rPr>
                <w:sz w:val="18"/>
                <w:szCs w:val="18"/>
              </w:rPr>
            </w:pPr>
            <w:r w:rsidRPr="00A64B10">
              <w:rPr>
                <w:sz w:val="18"/>
                <w:szCs w:val="18"/>
              </w:rPr>
              <w:t xml:space="preserve">Quantification of surface coating and analysis of coating heterogeneity </w:t>
            </w:r>
          </w:p>
          <w:p w14:paraId="5FBA406D" w14:textId="77777777" w:rsidR="0036328F" w:rsidRPr="00A64B10" w:rsidRDefault="0036328F" w:rsidP="0000021E">
            <w:pPr>
              <w:pStyle w:val="ListParagraph"/>
              <w:numPr>
                <w:ilvl w:val="0"/>
                <w:numId w:val="9"/>
              </w:numPr>
              <w:ind w:left="458"/>
              <w:rPr>
                <w:sz w:val="18"/>
                <w:szCs w:val="18"/>
              </w:rPr>
            </w:pPr>
            <w:r w:rsidRPr="00A64B10">
              <w:rPr>
                <w:sz w:val="18"/>
                <w:szCs w:val="18"/>
              </w:rPr>
              <w:t xml:space="preserve">For small organic nanomaterials: Fractionation methods for stability studies in complex media and determination of protein corona composition </w:t>
            </w:r>
          </w:p>
          <w:p w14:paraId="07468984" w14:textId="77777777" w:rsidR="0036328F" w:rsidRPr="00A64B10" w:rsidRDefault="0036328F" w:rsidP="00180D0C">
            <w:pPr>
              <w:ind w:left="458"/>
              <w:rPr>
                <w:sz w:val="18"/>
                <w:szCs w:val="18"/>
              </w:rPr>
            </w:pPr>
          </w:p>
          <w:p w14:paraId="3816405B" w14:textId="77777777" w:rsidR="0036328F" w:rsidRPr="00A64B10" w:rsidRDefault="0036328F" w:rsidP="00180D0C">
            <w:pPr>
              <w:rPr>
                <w:b/>
                <w:bCs/>
                <w:sz w:val="18"/>
                <w:szCs w:val="18"/>
              </w:rPr>
            </w:pPr>
            <w:r w:rsidRPr="00A64B10">
              <w:rPr>
                <w:b/>
                <w:bCs/>
                <w:sz w:val="18"/>
                <w:szCs w:val="18"/>
              </w:rPr>
              <w:t>Biodistribution and ADME:</w:t>
            </w:r>
          </w:p>
          <w:p w14:paraId="48AFADC3" w14:textId="63382BDA" w:rsidR="0036328F" w:rsidRPr="00A64B10" w:rsidRDefault="0036328F" w:rsidP="0000021E">
            <w:pPr>
              <w:pStyle w:val="ListParagraph"/>
              <w:numPr>
                <w:ilvl w:val="0"/>
                <w:numId w:val="10"/>
              </w:numPr>
              <w:spacing w:after="160" w:line="256" w:lineRule="auto"/>
              <w:ind w:left="458"/>
              <w:rPr>
                <w:sz w:val="18"/>
                <w:szCs w:val="18"/>
              </w:rPr>
            </w:pPr>
            <w:r w:rsidRPr="00A64B10">
              <w:rPr>
                <w:sz w:val="18"/>
                <w:szCs w:val="18"/>
              </w:rPr>
              <w:t xml:space="preserve">Detection/quantitation of </w:t>
            </w:r>
            <w:r w:rsidR="001B344C" w:rsidRPr="00A64B10">
              <w:rPr>
                <w:sz w:val="18"/>
                <w:szCs w:val="18"/>
              </w:rPr>
              <w:t xml:space="preserve">unlabelled organic </w:t>
            </w:r>
            <w:r w:rsidRPr="00A64B10">
              <w:rPr>
                <w:sz w:val="18"/>
                <w:szCs w:val="18"/>
              </w:rPr>
              <w:t xml:space="preserve">nanomaterials </w:t>
            </w:r>
            <w:r w:rsidR="00800142">
              <w:rPr>
                <w:sz w:val="18"/>
                <w:szCs w:val="18"/>
              </w:rPr>
              <w:t xml:space="preserve">in cells, </w:t>
            </w:r>
            <w:proofErr w:type="gramStart"/>
            <w:r w:rsidRPr="00A64B10">
              <w:rPr>
                <w:sz w:val="18"/>
                <w:szCs w:val="18"/>
              </w:rPr>
              <w:t>tissues</w:t>
            </w:r>
            <w:proofErr w:type="gramEnd"/>
            <w:r w:rsidRPr="00A64B10">
              <w:rPr>
                <w:sz w:val="18"/>
                <w:szCs w:val="18"/>
              </w:rPr>
              <w:t xml:space="preserve"> and subcellular structures</w:t>
            </w:r>
          </w:p>
          <w:p w14:paraId="16A9EF5A" w14:textId="25248BC2" w:rsidR="000018D7" w:rsidRPr="00A64B10" w:rsidRDefault="000018D7" w:rsidP="0000021E">
            <w:pPr>
              <w:pStyle w:val="ListParagraph"/>
              <w:numPr>
                <w:ilvl w:val="0"/>
                <w:numId w:val="10"/>
              </w:numPr>
              <w:spacing w:after="160" w:line="256" w:lineRule="auto"/>
              <w:ind w:left="458"/>
              <w:rPr>
                <w:sz w:val="18"/>
                <w:szCs w:val="18"/>
              </w:rPr>
            </w:pPr>
            <w:r w:rsidRPr="00A64B10">
              <w:rPr>
                <w:sz w:val="18"/>
                <w:szCs w:val="18"/>
              </w:rPr>
              <w:t xml:space="preserve">Sophisticated </w:t>
            </w:r>
            <w:r w:rsidRPr="000B55A0">
              <w:rPr>
                <w:i/>
                <w:sz w:val="18"/>
                <w:szCs w:val="18"/>
              </w:rPr>
              <w:t>in vitro</w:t>
            </w:r>
            <w:r w:rsidRPr="00A64B10">
              <w:rPr>
                <w:sz w:val="18"/>
                <w:szCs w:val="18"/>
              </w:rPr>
              <w:t xml:space="preserve"> models </w:t>
            </w:r>
            <w:r w:rsidR="00800142">
              <w:rPr>
                <w:sz w:val="18"/>
                <w:szCs w:val="18"/>
              </w:rPr>
              <w:t xml:space="preserve">for the prediction of </w:t>
            </w:r>
            <w:r w:rsidRPr="00A64B10">
              <w:rPr>
                <w:sz w:val="18"/>
                <w:szCs w:val="18"/>
              </w:rPr>
              <w:t>human pharmacokinetics</w:t>
            </w:r>
          </w:p>
          <w:p w14:paraId="10501D8D" w14:textId="77777777" w:rsidR="0036328F" w:rsidRPr="00A64B10" w:rsidRDefault="0036328F" w:rsidP="00180D0C">
            <w:pPr>
              <w:ind w:left="98"/>
              <w:rPr>
                <w:b/>
                <w:bCs/>
                <w:sz w:val="18"/>
                <w:szCs w:val="18"/>
              </w:rPr>
            </w:pPr>
            <w:r w:rsidRPr="00A64B10">
              <w:rPr>
                <w:b/>
                <w:bCs/>
                <w:sz w:val="18"/>
                <w:szCs w:val="18"/>
              </w:rPr>
              <w:t>Immune system:</w:t>
            </w:r>
          </w:p>
          <w:p w14:paraId="6C8A5322" w14:textId="77777777" w:rsidR="0036328F" w:rsidRPr="00A64B10" w:rsidRDefault="0036328F" w:rsidP="0000021E">
            <w:pPr>
              <w:pStyle w:val="ListParagraph"/>
              <w:numPr>
                <w:ilvl w:val="0"/>
                <w:numId w:val="11"/>
              </w:numPr>
              <w:ind w:left="458"/>
              <w:rPr>
                <w:sz w:val="18"/>
                <w:szCs w:val="18"/>
              </w:rPr>
            </w:pPr>
            <w:r w:rsidRPr="00A64B10">
              <w:rPr>
                <w:sz w:val="18"/>
                <w:szCs w:val="18"/>
              </w:rPr>
              <w:t>Endotoxin contamination: alternative methods to LAL</w:t>
            </w:r>
          </w:p>
          <w:p w14:paraId="11A41FF0" w14:textId="584FCF4F" w:rsidR="0036328F" w:rsidRPr="00A64B10" w:rsidRDefault="0036328F" w:rsidP="0011392F">
            <w:pPr>
              <w:pStyle w:val="ListParagraph"/>
              <w:numPr>
                <w:ilvl w:val="0"/>
                <w:numId w:val="11"/>
              </w:numPr>
              <w:ind w:left="458"/>
            </w:pPr>
            <w:r w:rsidRPr="00A64B10">
              <w:rPr>
                <w:sz w:val="18"/>
                <w:szCs w:val="18"/>
              </w:rPr>
              <w:t xml:space="preserve">Advanced </w:t>
            </w:r>
            <w:r w:rsidRPr="000B55A0">
              <w:rPr>
                <w:i/>
                <w:sz w:val="18"/>
                <w:szCs w:val="18"/>
              </w:rPr>
              <w:t>in vitro</w:t>
            </w:r>
            <w:r w:rsidR="00800142">
              <w:rPr>
                <w:sz w:val="18"/>
                <w:szCs w:val="18"/>
              </w:rPr>
              <w:t xml:space="preserve"> models to assess</w:t>
            </w:r>
            <w:r w:rsidRPr="00A64B10">
              <w:rPr>
                <w:sz w:val="18"/>
                <w:szCs w:val="18"/>
              </w:rPr>
              <w:t xml:space="preserve"> </w:t>
            </w:r>
            <w:r w:rsidR="0011392F">
              <w:rPr>
                <w:sz w:val="18"/>
                <w:szCs w:val="18"/>
              </w:rPr>
              <w:t>effects on adaptive immune system</w:t>
            </w:r>
          </w:p>
        </w:tc>
      </w:tr>
    </w:tbl>
    <w:p w14:paraId="2921D826" w14:textId="1F88B321" w:rsidR="0054294A" w:rsidRPr="009531CA" w:rsidRDefault="004A5F59" w:rsidP="009531CA">
      <w:pPr>
        <w:spacing w:before="240"/>
        <w:jc w:val="both"/>
      </w:pPr>
      <w:bookmarkStart w:id="9" w:name="_Hlk62462777"/>
      <w:r w:rsidRPr="00A64B10">
        <w:t xml:space="preserve">The main challenge for methods addressing PCC characterisation is their high level of specificity </w:t>
      </w:r>
      <w:r w:rsidR="004D738A">
        <w:t>yielding</w:t>
      </w:r>
      <w:r w:rsidR="004D738A" w:rsidRPr="00A64B10">
        <w:t xml:space="preserve"> </w:t>
      </w:r>
      <w:r w:rsidRPr="00A64B10">
        <w:t xml:space="preserve">applicability to certain type of nanomaterials only (Figure 5). While several methods are available for metallic and specifically gold NPs (Table S2) for the analysis of surface </w:t>
      </w:r>
      <w:r w:rsidR="009F1D4A" w:rsidRPr="00A64B10">
        <w:t>properties</w:t>
      </w:r>
      <w:r w:rsidRPr="00A64B10">
        <w:t xml:space="preserve">, no or </w:t>
      </w:r>
      <w:r w:rsidR="00DE755A" w:rsidRPr="000700DD">
        <w:t xml:space="preserve">only </w:t>
      </w:r>
      <w:r w:rsidRPr="00A64B10">
        <w:t xml:space="preserve">very few technological solutions exist for other types of nanotechnological platforms, </w:t>
      </w:r>
      <w:proofErr w:type="gramStart"/>
      <w:r w:rsidRPr="00A64B10">
        <w:t>in particular small</w:t>
      </w:r>
      <w:proofErr w:type="gramEnd"/>
      <w:r w:rsidRPr="00A64B10">
        <w:t xml:space="preserve"> organic nanomaterials. In some cases, the method adaptation and optimisation can extend the applicability to additional nanotechnological platforms. Such adaptation is also required in case of </w:t>
      </w:r>
      <w:r w:rsidRPr="006A6C1C">
        <w:rPr>
          <w:i/>
        </w:rPr>
        <w:t>in silico</w:t>
      </w:r>
      <w:r w:rsidRPr="00A64B10">
        <w:t xml:space="preserve"> models and toxicological methods developed for small-molecule drugs (such as endotoxin quantification) that might require special considerations and additional controls when used with nanomaterials</w:t>
      </w:r>
      <w:r w:rsidR="006A6C1C">
        <w:t xml:space="preserve"> (</w:t>
      </w:r>
      <w:r w:rsidR="009531CA">
        <w:t xml:space="preserve">category 1, </w:t>
      </w:r>
      <w:r w:rsidR="006A6C1C">
        <w:t>Table 7)</w:t>
      </w:r>
      <w:r w:rsidRPr="00A64B10">
        <w:t>.</w:t>
      </w:r>
      <w:bookmarkEnd w:id="9"/>
    </w:p>
    <w:p w14:paraId="3E6C7032" w14:textId="00A780FF" w:rsidR="00C15C20" w:rsidRPr="00A64B10" w:rsidRDefault="004A5F59" w:rsidP="00A23F1A">
      <w:pPr>
        <w:spacing w:before="240"/>
        <w:jc w:val="both"/>
      </w:pPr>
      <w:r w:rsidRPr="00A64B10">
        <w:t xml:space="preserve">Another need is related to method validation and standardisation. Most of the methods coming from the scientific community and covered in this review are still under development and require more validation in terms of inter-laboratory repeatability and reproducibility. This includes several methods for the PCC characterisation in biological media such as physical stability, drug loading and drug release, as well as existing tools for the characterisation of </w:t>
      </w:r>
      <w:r w:rsidR="00DE755A" w:rsidRPr="000700DD">
        <w:t xml:space="preserve">the </w:t>
      </w:r>
      <w:r w:rsidRPr="00A64B10">
        <w:t xml:space="preserve">particle surface. This category </w:t>
      </w:r>
      <w:r w:rsidR="00BF7BFE" w:rsidRPr="00A64B10">
        <w:t>also covers</w:t>
      </w:r>
      <w:r w:rsidRPr="00A64B10">
        <w:t xml:space="preserve"> </w:t>
      </w:r>
      <w:proofErr w:type="gramStart"/>
      <w:r w:rsidR="00A4551E" w:rsidRPr="00A64B10">
        <w:t>t</w:t>
      </w:r>
      <w:r w:rsidRPr="00A64B10">
        <w:t>he majority of</w:t>
      </w:r>
      <w:proofErr w:type="gramEnd"/>
      <w:r w:rsidRPr="00A64B10">
        <w:t xml:space="preserve"> </w:t>
      </w:r>
      <w:r w:rsidRPr="006A6C1C">
        <w:rPr>
          <w:i/>
        </w:rPr>
        <w:t>in vitro</w:t>
      </w:r>
      <w:r w:rsidRPr="00A64B10">
        <w:t xml:space="preserve"> immune methods addressing </w:t>
      </w:r>
      <w:proofErr w:type="spellStart"/>
      <w:r w:rsidR="006A6C1C">
        <w:t>haemocompatibility</w:t>
      </w:r>
      <w:proofErr w:type="spellEnd"/>
      <w:r w:rsidRPr="00A64B10">
        <w:t>, effect on</w:t>
      </w:r>
      <w:r w:rsidR="00A4551E" w:rsidRPr="00A64B10">
        <w:t xml:space="preserve"> innate immune cells</w:t>
      </w:r>
      <w:r w:rsidRPr="00A64B10">
        <w:t xml:space="preserve"> and inflammation</w:t>
      </w:r>
      <w:r w:rsidR="006A6C1C">
        <w:t>, where a</w:t>
      </w:r>
      <w:r w:rsidR="004E2F7C" w:rsidRPr="00A64B10">
        <w:t xml:space="preserve"> number of test methods are in early </w:t>
      </w:r>
      <w:r w:rsidR="00BF7BFE">
        <w:t>or</w:t>
      </w:r>
      <w:r w:rsidR="004E2F7C" w:rsidRPr="00A64B10">
        <w:t xml:space="preserve"> middle stage of development</w:t>
      </w:r>
      <w:r w:rsidRPr="00A64B10">
        <w:t xml:space="preserve"> (Figure </w:t>
      </w:r>
      <w:r w:rsidR="00A4551E" w:rsidRPr="00A64B10">
        <w:t>6</w:t>
      </w:r>
      <w:r w:rsidRPr="00A64B10">
        <w:t xml:space="preserve">). </w:t>
      </w:r>
      <w:r w:rsidR="00A4551E" w:rsidRPr="00A64B10">
        <w:t xml:space="preserve">More advanced methods </w:t>
      </w:r>
      <w:r w:rsidR="004E2F7C" w:rsidRPr="00A64B10">
        <w:t xml:space="preserve">addressing </w:t>
      </w:r>
      <w:proofErr w:type="gramStart"/>
      <w:r w:rsidR="004E2F7C" w:rsidRPr="00A64B10">
        <w:t>e.g.</w:t>
      </w:r>
      <w:proofErr w:type="gramEnd"/>
      <w:r w:rsidR="00A4551E" w:rsidRPr="00A64B10">
        <w:t xml:space="preserve"> </w:t>
      </w:r>
      <w:r w:rsidR="009F1D4A" w:rsidRPr="00A64B10">
        <w:t xml:space="preserve">surface </w:t>
      </w:r>
      <w:r w:rsidR="00A4551E" w:rsidRPr="00A64B10">
        <w:t xml:space="preserve">hydrophobicity, complement activation and uptake by phagocytes, for which the potential has been recognised, have </w:t>
      </w:r>
      <w:r w:rsidR="00A4551E" w:rsidRPr="00A64B10">
        <w:lastRenderedPageBreak/>
        <w:t xml:space="preserve">already entered the standardisation process. </w:t>
      </w:r>
      <w:r w:rsidRPr="00A64B10">
        <w:t xml:space="preserve">In the area of biodistribution, existing approaches for the quantification of nanomaterials in cells and tissues, as well as available </w:t>
      </w:r>
      <w:r w:rsidRPr="006A6C1C">
        <w:rPr>
          <w:i/>
        </w:rPr>
        <w:t>in vitro</w:t>
      </w:r>
      <w:r w:rsidRPr="00A64B10">
        <w:t xml:space="preserve"> permeability models and PBPK models require more validation. </w:t>
      </w:r>
    </w:p>
    <w:p w14:paraId="02C2248F" w14:textId="46FAB60A" w:rsidR="00FE34FC" w:rsidRDefault="00525938" w:rsidP="00FE34FC">
      <w:pPr>
        <w:jc w:val="both"/>
      </w:pPr>
      <w:bookmarkStart w:id="10" w:name="_Hlk62462799"/>
      <w:r w:rsidRPr="00A64B10">
        <w:t xml:space="preserve">Finally, in </w:t>
      </w:r>
      <w:r w:rsidR="00A7169F" w:rsidRPr="00A64B10">
        <w:t xml:space="preserve">certain </w:t>
      </w:r>
      <w:r w:rsidRPr="00A64B10">
        <w:t>areas,</w:t>
      </w:r>
      <w:r w:rsidR="00A7169F" w:rsidRPr="00A64B10">
        <w:t xml:space="preserve"> </w:t>
      </w:r>
      <w:r w:rsidRPr="00A64B10">
        <w:t>the appropriate</w:t>
      </w:r>
      <w:r w:rsidR="006A5F2F">
        <w:t xml:space="preserve"> technologies are not available</w:t>
      </w:r>
      <w:r w:rsidR="00A7169F" w:rsidRPr="00A64B10">
        <w:t xml:space="preserve"> </w:t>
      </w:r>
      <w:r w:rsidRPr="00A64B10">
        <w:t xml:space="preserve">or </w:t>
      </w:r>
      <w:r w:rsidR="00FB2837" w:rsidRPr="00A64B10">
        <w:t>are</w:t>
      </w:r>
      <w:r w:rsidRPr="00A64B10">
        <w:t xml:space="preserve"> in very early stage</w:t>
      </w:r>
      <w:r w:rsidR="00FB2837" w:rsidRPr="00A64B10">
        <w:t>s</w:t>
      </w:r>
      <w:r w:rsidRPr="00A64B10">
        <w:t xml:space="preserve"> of development, where their suitability or applicability cannot </w:t>
      </w:r>
      <w:r w:rsidR="00FB2837" w:rsidRPr="00A64B10">
        <w:t xml:space="preserve">yet </w:t>
      </w:r>
      <w:r w:rsidRPr="00A64B10">
        <w:t>be evaluated</w:t>
      </w:r>
      <w:r w:rsidR="0084428B">
        <w:t>. In these areas of so-</w:t>
      </w:r>
      <w:proofErr w:type="gramStart"/>
      <w:r w:rsidR="0084428B">
        <w:t xml:space="preserve">called </w:t>
      </w:r>
      <w:r w:rsidR="00A7169F" w:rsidRPr="00A64B10">
        <w:t xml:space="preserve"> complete</w:t>
      </w:r>
      <w:proofErr w:type="gramEnd"/>
      <w:r w:rsidR="00A7169F" w:rsidRPr="00A64B10">
        <w:t xml:space="preserve"> gaps</w:t>
      </w:r>
      <w:r w:rsidR="004E2F7C" w:rsidRPr="00A64B10">
        <w:t xml:space="preserve"> </w:t>
      </w:r>
      <w:r w:rsidR="00EE42AA">
        <w:t xml:space="preserve">(category 3, </w:t>
      </w:r>
      <w:r w:rsidR="004E2F7C" w:rsidRPr="00A64B10">
        <w:t>Table 7)</w:t>
      </w:r>
      <w:r w:rsidR="0084428B">
        <w:t xml:space="preserve"> particular effort of scientific community including </w:t>
      </w:r>
      <w:r w:rsidR="00CB166E">
        <w:t>academic institutions could help to develop technological solutions</w:t>
      </w:r>
      <w:r w:rsidR="00A7169F" w:rsidRPr="00A64B10">
        <w:t xml:space="preserve">. </w:t>
      </w:r>
      <w:r w:rsidRPr="00A64B10">
        <w:t xml:space="preserve">In the area of biological </w:t>
      </w:r>
      <w:r w:rsidR="00A64B10" w:rsidRPr="00A64B10">
        <w:t>characterisation,</w:t>
      </w:r>
      <w:r w:rsidRPr="00A64B10">
        <w:t xml:space="preserve"> </w:t>
      </w:r>
      <w:r w:rsidR="00A7169F" w:rsidRPr="00A64B10">
        <w:t>such critical</w:t>
      </w:r>
      <w:r w:rsidRPr="00A64B10">
        <w:t xml:space="preserve"> gaps include sophisticated </w:t>
      </w:r>
      <w:r w:rsidRPr="0011392F">
        <w:rPr>
          <w:i/>
        </w:rPr>
        <w:t>in vitro</w:t>
      </w:r>
      <w:r w:rsidRPr="00A64B10">
        <w:t xml:space="preserve"> models that could better mimic complex interactions of the immune system components</w:t>
      </w:r>
      <w:r w:rsidR="00BD3AFF" w:rsidRPr="00A64B10">
        <w:t xml:space="preserve"> </w:t>
      </w:r>
      <w:r w:rsidRPr="00A64B10">
        <w:t xml:space="preserve">and alternatives for LAL-based assays for evaluation of endotoxin contamination. Regarding the PCC characterisation analytical solutions are not available for the evaluation of surface properties of the pristine </w:t>
      </w:r>
      <w:r w:rsidR="004030DD" w:rsidRPr="00A64B10">
        <w:t>nanomaterial</w:t>
      </w:r>
      <w:r w:rsidRPr="00A64B10">
        <w:t>s (surface area in liquids, sur</w:t>
      </w:r>
      <w:r w:rsidR="0092171B">
        <w:t>face coating quantification</w:t>
      </w:r>
      <w:r w:rsidRPr="00A64B10">
        <w:t xml:space="preserve">) and of the surface properties resulting from the </w:t>
      </w:r>
      <w:r w:rsidR="004030DD" w:rsidRPr="00A64B10">
        <w:t>NP</w:t>
      </w:r>
      <w:r w:rsidRPr="00A64B10">
        <w:t xml:space="preserve"> interactions with biological media (protein corona formation). Recently, the establishment of new </w:t>
      </w:r>
      <w:r w:rsidR="004030DD" w:rsidRPr="00A64B10">
        <w:t>formulations</w:t>
      </w:r>
      <w:r w:rsidRPr="00A64B10">
        <w:t xml:space="preserve">, </w:t>
      </w:r>
      <w:r w:rsidR="00565FA3" w:rsidRPr="00A64B10">
        <w:t>e.g.,</w:t>
      </w:r>
      <w:r w:rsidRPr="00A64B10">
        <w:t xml:space="preserve"> lipid </w:t>
      </w:r>
      <w:r w:rsidR="00FE34FC">
        <w:t>nanoparticles (LNPs)</w:t>
      </w:r>
      <w:r w:rsidR="00FE34FC" w:rsidRPr="00A64B10">
        <w:t xml:space="preserve"> </w:t>
      </w:r>
      <w:r w:rsidRPr="00A64B10">
        <w:t xml:space="preserve">for delivery of complex biological drugs such as nucleic acids, is bringing to light additional needs in terms of analytical solutions for testing the integrity, payload, drug loading and release of nucleic acids and other biological complex drugs </w:t>
      </w:r>
      <w:r w:rsidR="00BD3AFF" w:rsidRPr="00A64B10">
        <w:t>in delivery systems</w:t>
      </w:r>
      <w:r w:rsidRPr="00A64B10">
        <w:t>.</w:t>
      </w:r>
      <w:r w:rsidR="0084428B">
        <w:t xml:space="preserve"> </w:t>
      </w:r>
      <w:bookmarkStart w:id="11" w:name="_Hlk73976933"/>
      <w:r w:rsidR="00FE34FC">
        <w:t>Although an exhaustive comparison of all available assays is beyond the scope of this work, in Table 8 below we highlighted some specific sub-challenges within the five</w:t>
      </w:r>
      <w:r w:rsidR="001C030D">
        <w:t xml:space="preserve"> </w:t>
      </w:r>
      <w:r w:rsidR="00FE34FC">
        <w:t xml:space="preserve">categories </w:t>
      </w:r>
      <w:r w:rsidR="001C030D">
        <w:t xml:space="preserve">of characterisation </w:t>
      </w:r>
      <w:r w:rsidR="00FE34FC">
        <w:t>listed previously, exemplified by a comparison of liposomal doxorubicin as a 'classical' nanomedicine versus an mRNA-based, LNP-formulated therapeutic as a novel class.</w:t>
      </w:r>
      <w:bookmarkEnd w:id="11"/>
      <w:r w:rsidR="00FE34FC">
        <w:t xml:space="preserve"> It should be noted that although both these formulation types are based on non-covalent assembly of lipids, and both typically incorporate cholesterol, physiological </w:t>
      </w:r>
      <w:proofErr w:type="gramStart"/>
      <w:r w:rsidR="00FE34FC">
        <w:t>phospholipids</w:t>
      </w:r>
      <w:proofErr w:type="gramEnd"/>
      <w:r w:rsidR="00FE34FC">
        <w:t xml:space="preserve"> and a PEGylated lipid, they still require very different analytical approaches, largely because of their fundamentally different APIs. We would like to emphasize the need for method development and standardization within the field of nucleic acid-based therapeutics, as these are very often </w:t>
      </w:r>
      <w:r w:rsidR="001C030D">
        <w:t>nanotechnology-based</w:t>
      </w:r>
      <w:r w:rsidR="00FE34FC">
        <w:t>, and currently a field of intense research in the wake of the successful Covid-19 vaccines.</w:t>
      </w:r>
    </w:p>
    <w:p w14:paraId="7781EEF8" w14:textId="74E1B420" w:rsidR="00FE34FC" w:rsidRDefault="00FE34FC" w:rsidP="004410A9">
      <w:pPr>
        <w:pStyle w:val="Caption"/>
        <w:keepNext/>
        <w:jc w:val="both"/>
        <w:rPr>
          <w:color w:val="000000" w:themeColor="text1"/>
        </w:rPr>
      </w:pPr>
      <w:r>
        <w:rPr>
          <w:b/>
          <w:bCs/>
          <w:i w:val="0"/>
          <w:iCs w:val="0"/>
          <w:color w:val="000000" w:themeColor="text1"/>
          <w:sz w:val="22"/>
          <w:szCs w:val="22"/>
        </w:rPr>
        <w:t>Table 8.</w:t>
      </w:r>
      <w:r>
        <w:rPr>
          <w:i w:val="0"/>
          <w:iCs w:val="0"/>
          <w:color w:val="000000" w:themeColor="text1"/>
          <w:sz w:val="22"/>
          <w:szCs w:val="22"/>
        </w:rPr>
        <w:t xml:space="preserve"> Examples of formulation-specific methodological gaps in two</w:t>
      </w:r>
      <w:r w:rsidR="001C030D">
        <w:rPr>
          <w:i w:val="0"/>
          <w:iCs w:val="0"/>
          <w:color w:val="000000" w:themeColor="text1"/>
          <w:sz w:val="22"/>
          <w:szCs w:val="22"/>
        </w:rPr>
        <w:t xml:space="preserve"> types of</w:t>
      </w:r>
      <w:r>
        <w:rPr>
          <w:i w:val="0"/>
          <w:iCs w:val="0"/>
          <w:color w:val="000000" w:themeColor="text1"/>
          <w:sz w:val="22"/>
          <w:szCs w:val="22"/>
        </w:rPr>
        <w:t xml:space="preserve"> lipid-based</w:t>
      </w:r>
      <w:r w:rsidR="001C030D">
        <w:rPr>
          <w:i w:val="0"/>
          <w:iCs w:val="0"/>
          <w:color w:val="000000" w:themeColor="text1"/>
          <w:sz w:val="22"/>
          <w:szCs w:val="22"/>
        </w:rPr>
        <w:t xml:space="preserve"> </w:t>
      </w:r>
      <w:proofErr w:type="spellStart"/>
      <w:r w:rsidR="001C030D">
        <w:rPr>
          <w:i w:val="0"/>
          <w:iCs w:val="0"/>
          <w:color w:val="000000" w:themeColor="text1"/>
          <w:sz w:val="22"/>
          <w:szCs w:val="22"/>
        </w:rPr>
        <w:t>nanomedicinal</w:t>
      </w:r>
      <w:proofErr w:type="spellEnd"/>
      <w:r w:rsidR="001C030D">
        <w:rPr>
          <w:i w:val="0"/>
          <w:iCs w:val="0"/>
          <w:color w:val="000000" w:themeColor="text1"/>
          <w:sz w:val="22"/>
          <w:szCs w:val="22"/>
        </w:rPr>
        <w:t xml:space="preserve"> products</w:t>
      </w:r>
      <w:r>
        <w:rPr>
          <w:i w:val="0"/>
          <w:iCs w:val="0"/>
          <w:color w:val="000000" w:themeColor="text1"/>
          <w:sz w:val="22"/>
          <w:szCs w:val="22"/>
        </w:rPr>
        <w:t xml:space="preserve">. </w:t>
      </w:r>
    </w:p>
    <w:tbl>
      <w:tblPr>
        <w:tblStyle w:val="ListTable4"/>
        <w:tblW w:w="0" w:type="auto"/>
        <w:tblLook w:val="04A0" w:firstRow="1" w:lastRow="0" w:firstColumn="1" w:lastColumn="0" w:noHBand="0" w:noVBand="1"/>
      </w:tblPr>
      <w:tblGrid>
        <w:gridCol w:w="2263"/>
        <w:gridCol w:w="2694"/>
        <w:gridCol w:w="4059"/>
      </w:tblGrid>
      <w:tr w:rsidR="00FE34FC" w14:paraId="7C968BA9" w14:textId="77777777" w:rsidTr="00441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404040" w:themeFill="text1" w:themeFillTint="BF"/>
            <w:hideMark/>
          </w:tcPr>
          <w:p w14:paraId="4EB99FC5" w14:textId="5D5B030A" w:rsidR="00FE34FC" w:rsidRDefault="008C795D" w:rsidP="004410A9">
            <w:pPr>
              <w:jc w:val="center"/>
            </w:pPr>
            <w:r>
              <w:t>C</w:t>
            </w:r>
            <w:r w:rsidR="00FE34FC">
              <w:t>ategory</w:t>
            </w:r>
            <w:r>
              <w:t xml:space="preserve"> of characterisation</w:t>
            </w:r>
          </w:p>
        </w:tc>
        <w:tc>
          <w:tcPr>
            <w:tcW w:w="2694" w:type="dxa"/>
            <w:shd w:val="clear" w:color="auto" w:fill="404040" w:themeFill="text1" w:themeFillTint="BF"/>
            <w:hideMark/>
          </w:tcPr>
          <w:p w14:paraId="42333630" w14:textId="77777777" w:rsidR="00FE34FC" w:rsidRDefault="00FE34FC" w:rsidP="004410A9">
            <w:pPr>
              <w:jc w:val="center"/>
              <w:cnfStyle w:val="100000000000" w:firstRow="1" w:lastRow="0" w:firstColumn="0" w:lastColumn="0" w:oddVBand="0" w:evenVBand="0" w:oddHBand="0" w:evenHBand="0" w:firstRowFirstColumn="0" w:firstRowLastColumn="0" w:lastRowFirstColumn="0" w:lastRowLastColumn="0"/>
            </w:pPr>
            <w:r>
              <w:t>Liposomal doxorubicin</w:t>
            </w:r>
          </w:p>
        </w:tc>
        <w:tc>
          <w:tcPr>
            <w:tcW w:w="4059" w:type="dxa"/>
            <w:shd w:val="clear" w:color="auto" w:fill="404040" w:themeFill="text1" w:themeFillTint="BF"/>
            <w:hideMark/>
          </w:tcPr>
          <w:p w14:paraId="41B29F50" w14:textId="77777777" w:rsidR="00FE34FC" w:rsidRDefault="00FE34FC" w:rsidP="004410A9">
            <w:pPr>
              <w:jc w:val="center"/>
              <w:cnfStyle w:val="100000000000" w:firstRow="1" w:lastRow="0" w:firstColumn="0" w:lastColumn="0" w:oddVBand="0" w:evenVBand="0" w:oddHBand="0" w:evenHBand="0" w:firstRowFirstColumn="0" w:firstRowLastColumn="0" w:lastRowFirstColumn="0" w:lastRowLastColumn="0"/>
            </w:pPr>
            <w:r>
              <w:t>mRNA/LNP therapeutic</w:t>
            </w:r>
          </w:p>
        </w:tc>
      </w:tr>
      <w:tr w:rsidR="00FE34FC" w14:paraId="5C340D2D" w14:textId="77777777" w:rsidTr="0044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hideMark/>
          </w:tcPr>
          <w:p w14:paraId="3678DD2A" w14:textId="77777777" w:rsidR="00FE34FC" w:rsidRDefault="00FE34FC">
            <w:pPr>
              <w:jc w:val="both"/>
              <w:rPr>
                <w:b w:val="0"/>
                <w:bCs w:val="0"/>
              </w:rPr>
            </w:pPr>
            <w:r>
              <w:t>Surface properties</w:t>
            </w:r>
          </w:p>
        </w:tc>
        <w:tc>
          <w:tcPr>
            <w:tcW w:w="2694" w:type="dxa"/>
            <w:shd w:val="clear" w:color="auto" w:fill="D9D9D9" w:themeFill="background1" w:themeFillShade="D9"/>
            <w:hideMark/>
          </w:tcPr>
          <w:p w14:paraId="55C95705" w14:textId="77777777" w:rsidR="00FE34FC" w:rsidRDefault="00FE34FC">
            <w:pPr>
              <w:jc w:val="both"/>
              <w:cnfStyle w:val="000000100000" w:firstRow="0" w:lastRow="0" w:firstColumn="0" w:lastColumn="0" w:oddVBand="0" w:evenVBand="0" w:oddHBand="1" w:evenHBand="0" w:firstRowFirstColumn="0" w:firstRowLastColumn="0" w:lastRowFirstColumn="0" w:lastRowLastColumn="0"/>
            </w:pPr>
            <w:r>
              <w:rPr>
                <w:i/>
                <w:iCs/>
              </w:rPr>
              <w:t xml:space="preserve">Gap: </w:t>
            </w:r>
            <w:r>
              <w:t>PEGylation density and homogeneity.</w:t>
            </w:r>
          </w:p>
        </w:tc>
        <w:tc>
          <w:tcPr>
            <w:tcW w:w="4059" w:type="dxa"/>
            <w:shd w:val="clear" w:color="auto" w:fill="D9D9D9" w:themeFill="background1" w:themeFillShade="D9"/>
            <w:hideMark/>
          </w:tcPr>
          <w:p w14:paraId="281C2E97" w14:textId="77777777" w:rsidR="00FE34FC" w:rsidRDefault="00FE34FC">
            <w:pPr>
              <w:jc w:val="both"/>
              <w:cnfStyle w:val="000000100000" w:firstRow="0" w:lastRow="0" w:firstColumn="0" w:lastColumn="0" w:oddVBand="0" w:evenVBand="0" w:oddHBand="1" w:evenHBand="0" w:firstRowFirstColumn="0" w:firstRowLastColumn="0" w:lastRowFirstColumn="0" w:lastRowLastColumn="0"/>
            </w:pPr>
            <w:r>
              <w:rPr>
                <w:i/>
                <w:iCs/>
              </w:rPr>
              <w:t xml:space="preserve">Gap: </w:t>
            </w:r>
            <w:r>
              <w:t>PEGylation density and homogeneity; degree of PEG shedding over time.</w:t>
            </w:r>
          </w:p>
        </w:tc>
      </w:tr>
      <w:tr w:rsidR="00FE34FC" w14:paraId="3FF8E91D" w14:textId="77777777" w:rsidTr="004410A9">
        <w:tc>
          <w:tcPr>
            <w:cnfStyle w:val="001000000000" w:firstRow="0" w:lastRow="0" w:firstColumn="1" w:lastColumn="0" w:oddVBand="0" w:evenVBand="0" w:oddHBand="0" w:evenHBand="0" w:firstRowFirstColumn="0" w:firstRowLastColumn="0" w:lastRowFirstColumn="0" w:lastRowLastColumn="0"/>
            <w:tcW w:w="2263" w:type="dxa"/>
            <w:hideMark/>
          </w:tcPr>
          <w:p w14:paraId="53EA6BA3" w14:textId="77777777" w:rsidR="00FE34FC" w:rsidRDefault="00FE34FC">
            <w:pPr>
              <w:jc w:val="both"/>
              <w:rPr>
                <w:b w:val="0"/>
                <w:bCs w:val="0"/>
              </w:rPr>
            </w:pPr>
            <w:r>
              <w:t>Drug loading &amp; release</w:t>
            </w:r>
          </w:p>
        </w:tc>
        <w:tc>
          <w:tcPr>
            <w:tcW w:w="2694" w:type="dxa"/>
            <w:hideMark/>
          </w:tcPr>
          <w:p w14:paraId="63302275" w14:textId="77777777" w:rsidR="00FE34FC" w:rsidRDefault="00FE34FC">
            <w:pPr>
              <w:jc w:val="both"/>
              <w:cnfStyle w:val="000000000000" w:firstRow="0" w:lastRow="0" w:firstColumn="0" w:lastColumn="0" w:oddVBand="0" w:evenVBand="0" w:oddHBand="0" w:evenHBand="0" w:firstRowFirstColumn="0" w:firstRowLastColumn="0" w:lastRowFirstColumn="0" w:lastRowLastColumn="0"/>
            </w:pPr>
            <w:r>
              <w:t>HPLC-UV, LC-MS/MS yields good sensitivity and specificity.</w:t>
            </w:r>
          </w:p>
        </w:tc>
        <w:tc>
          <w:tcPr>
            <w:tcW w:w="4059" w:type="dxa"/>
            <w:hideMark/>
          </w:tcPr>
          <w:p w14:paraId="48A6BEF7" w14:textId="77777777" w:rsidR="00FE34FC" w:rsidRDefault="00FE34FC">
            <w:pPr>
              <w:jc w:val="both"/>
              <w:cnfStyle w:val="000000000000" w:firstRow="0" w:lastRow="0" w:firstColumn="0" w:lastColumn="0" w:oddVBand="0" w:evenVBand="0" w:oddHBand="0" w:evenHBand="0" w:firstRowFirstColumn="0" w:firstRowLastColumn="0" w:lastRowFirstColumn="0" w:lastRowLastColumn="0"/>
            </w:pPr>
            <w:r>
              <w:rPr>
                <w:i/>
                <w:iCs/>
              </w:rPr>
              <w:t xml:space="preserve">Gap: </w:t>
            </w:r>
            <w:r>
              <w:t>Simultaneous quantification and verification of integrity of mRNA is challenging; fluorescence assays prone to interference, amplification-based assays prone to bias. Free mRNA cannot be separated by ultrafiltration.</w:t>
            </w:r>
          </w:p>
        </w:tc>
      </w:tr>
      <w:tr w:rsidR="00FE34FC" w14:paraId="53D41833" w14:textId="77777777" w:rsidTr="0044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hideMark/>
          </w:tcPr>
          <w:p w14:paraId="4B13E024" w14:textId="798E9423" w:rsidR="00FE34FC" w:rsidRDefault="00FE34FC">
            <w:pPr>
              <w:jc w:val="both"/>
              <w:rPr>
                <w:b w:val="0"/>
                <w:bCs w:val="0"/>
              </w:rPr>
            </w:pPr>
            <w:r>
              <w:t>Kinetic properties in biological media</w:t>
            </w:r>
            <w:r w:rsidR="008C795D">
              <w:t xml:space="preserve"> (drug release)</w:t>
            </w:r>
          </w:p>
        </w:tc>
        <w:tc>
          <w:tcPr>
            <w:tcW w:w="2694" w:type="dxa"/>
            <w:shd w:val="clear" w:color="auto" w:fill="D9D9D9" w:themeFill="background1" w:themeFillShade="D9"/>
            <w:hideMark/>
          </w:tcPr>
          <w:p w14:paraId="548AA06A" w14:textId="2983C7A0" w:rsidR="00FE34FC" w:rsidRDefault="00FE34FC">
            <w:pPr>
              <w:jc w:val="both"/>
              <w:cnfStyle w:val="000000100000" w:firstRow="0" w:lastRow="0" w:firstColumn="0" w:lastColumn="0" w:oddVBand="0" w:evenVBand="0" w:oddHBand="1" w:evenHBand="0" w:firstRowFirstColumn="0" w:firstRowLastColumn="0" w:lastRowFirstColumn="0" w:lastRowLastColumn="0"/>
            </w:pPr>
            <w:r>
              <w:t>Ultrafiltration and stable isotope labelling with LC-MS/MS</w:t>
            </w:r>
          </w:p>
        </w:tc>
        <w:tc>
          <w:tcPr>
            <w:tcW w:w="4059" w:type="dxa"/>
            <w:shd w:val="clear" w:color="auto" w:fill="D9D9D9" w:themeFill="background1" w:themeFillShade="D9"/>
            <w:hideMark/>
          </w:tcPr>
          <w:p w14:paraId="6538EC74" w14:textId="29F63892" w:rsidR="00FE34FC" w:rsidRDefault="00FE34FC">
            <w:pPr>
              <w:jc w:val="both"/>
              <w:cnfStyle w:val="000000100000" w:firstRow="0" w:lastRow="0" w:firstColumn="0" w:lastColumn="0" w:oddVBand="0" w:evenVBand="0" w:oddHBand="1" w:evenHBand="0" w:firstRowFirstColumn="0" w:firstRowLastColumn="0" w:lastRowFirstColumn="0" w:lastRowLastColumn="0"/>
            </w:pPr>
            <w:r>
              <w:rPr>
                <w:i/>
                <w:iCs/>
              </w:rPr>
              <w:t xml:space="preserve">Gap: </w:t>
            </w:r>
            <w:r>
              <w:t>Extraction and</w:t>
            </w:r>
            <w:r w:rsidRPr="008C795D">
              <w:t xml:space="preserve"> </w:t>
            </w:r>
            <w:r w:rsidR="008C795D" w:rsidRPr="008C795D">
              <w:t>d</w:t>
            </w:r>
            <w:r w:rsidRPr="008C795D">
              <w:t>etection</w:t>
            </w:r>
            <w:r>
              <w:t xml:space="preserve"> of mRNA (quantification, verification of integrity) in presence of endogenous biomolecules is very challenging.</w:t>
            </w:r>
          </w:p>
        </w:tc>
      </w:tr>
      <w:tr w:rsidR="00FE34FC" w14:paraId="0031804A" w14:textId="77777777" w:rsidTr="004410A9">
        <w:tc>
          <w:tcPr>
            <w:cnfStyle w:val="001000000000" w:firstRow="0" w:lastRow="0" w:firstColumn="1" w:lastColumn="0" w:oddVBand="0" w:evenVBand="0" w:oddHBand="0" w:evenHBand="0" w:firstRowFirstColumn="0" w:firstRowLastColumn="0" w:lastRowFirstColumn="0" w:lastRowLastColumn="0"/>
            <w:tcW w:w="2263" w:type="dxa"/>
            <w:hideMark/>
          </w:tcPr>
          <w:p w14:paraId="0AB13240" w14:textId="77777777" w:rsidR="00FE34FC" w:rsidRDefault="00FE34FC">
            <w:pPr>
              <w:jc w:val="both"/>
              <w:rPr>
                <w:b w:val="0"/>
                <w:bCs w:val="0"/>
              </w:rPr>
            </w:pPr>
            <w:r>
              <w:t>ADME &amp; biodistribution</w:t>
            </w:r>
          </w:p>
        </w:tc>
        <w:tc>
          <w:tcPr>
            <w:tcW w:w="2694" w:type="dxa"/>
            <w:hideMark/>
          </w:tcPr>
          <w:p w14:paraId="4AE16CEF" w14:textId="77777777" w:rsidR="00FE34FC" w:rsidRDefault="00FE34FC">
            <w:pPr>
              <w:jc w:val="both"/>
              <w:cnfStyle w:val="000000000000" w:firstRow="0" w:lastRow="0" w:firstColumn="0" w:lastColumn="0" w:oddVBand="0" w:evenVBand="0" w:oddHBand="0" w:evenHBand="0" w:firstRowFirstColumn="0" w:firstRowLastColumn="0" w:lastRowFirstColumn="0" w:lastRowLastColumn="0"/>
            </w:pPr>
            <w:r>
              <w:t xml:space="preserve">Drug and metabolites are easily detectable in blood, </w:t>
            </w:r>
            <w:proofErr w:type="gramStart"/>
            <w:r>
              <w:t>tissue</w:t>
            </w:r>
            <w:proofErr w:type="gramEnd"/>
            <w:r>
              <w:t xml:space="preserve"> and excretions with </w:t>
            </w:r>
            <w:r>
              <w:lastRenderedPageBreak/>
              <w:t>good sensitivity by LC-MS/MS</w:t>
            </w:r>
          </w:p>
        </w:tc>
        <w:tc>
          <w:tcPr>
            <w:tcW w:w="4059" w:type="dxa"/>
            <w:hideMark/>
          </w:tcPr>
          <w:p w14:paraId="451CE2B1" w14:textId="77777777" w:rsidR="00FE34FC" w:rsidRDefault="00FE34FC">
            <w:pPr>
              <w:jc w:val="both"/>
              <w:cnfStyle w:val="000000000000" w:firstRow="0" w:lastRow="0" w:firstColumn="0" w:lastColumn="0" w:oddVBand="0" w:evenVBand="0" w:oddHBand="0" w:evenHBand="0" w:firstRowFirstColumn="0" w:firstRowLastColumn="0" w:lastRowFirstColumn="0" w:lastRowLastColumn="0"/>
            </w:pPr>
            <w:r>
              <w:rPr>
                <w:i/>
                <w:iCs/>
              </w:rPr>
              <w:lastRenderedPageBreak/>
              <w:t xml:space="preserve">Gap: </w:t>
            </w:r>
            <w:r>
              <w:t xml:space="preserve">Detection of mRNA (quantification, verification of integrity) in presence of endogenous RNA and other biomolecules is </w:t>
            </w:r>
            <w:r>
              <w:lastRenderedPageBreak/>
              <w:t xml:space="preserve">highly challenging. Instability of RNA adds to the challenge. </w:t>
            </w:r>
            <w:r>
              <w:rPr>
                <w:i/>
                <w:iCs/>
              </w:rPr>
              <w:t>In silico</w:t>
            </w:r>
            <w:r>
              <w:t xml:space="preserve"> modelling of pharmaceutical effect needs to account for translation of the API.</w:t>
            </w:r>
          </w:p>
        </w:tc>
      </w:tr>
      <w:tr w:rsidR="00FE34FC" w14:paraId="0909DB8A" w14:textId="77777777" w:rsidTr="0044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hideMark/>
          </w:tcPr>
          <w:p w14:paraId="06133E26" w14:textId="77777777" w:rsidR="00FE34FC" w:rsidRDefault="00FE34FC">
            <w:pPr>
              <w:jc w:val="both"/>
              <w:rPr>
                <w:b w:val="0"/>
                <w:bCs w:val="0"/>
              </w:rPr>
            </w:pPr>
            <w:r>
              <w:lastRenderedPageBreak/>
              <w:t>Interaction with blood &amp; immune systems</w:t>
            </w:r>
          </w:p>
        </w:tc>
        <w:tc>
          <w:tcPr>
            <w:tcW w:w="2694" w:type="dxa"/>
            <w:shd w:val="clear" w:color="auto" w:fill="D9D9D9" w:themeFill="background1" w:themeFillShade="D9"/>
            <w:hideMark/>
          </w:tcPr>
          <w:p w14:paraId="2B43F22D" w14:textId="3387765A" w:rsidR="00FE34FC" w:rsidRDefault="00FE34FC">
            <w:pPr>
              <w:jc w:val="both"/>
              <w:cnfStyle w:val="000000100000" w:firstRow="0" w:lastRow="0" w:firstColumn="0" w:lastColumn="0" w:oddVBand="0" w:evenVBand="0" w:oddHBand="1" w:evenHBand="0" w:firstRowFirstColumn="0" w:firstRowLastColumn="0" w:lastRowFirstColumn="0" w:lastRowLastColumn="0"/>
            </w:pPr>
            <w:r>
              <w:rPr>
                <w:i/>
                <w:iCs/>
              </w:rPr>
              <w:t xml:space="preserve">Gap: </w:t>
            </w:r>
            <w:r>
              <w:t>Doxorubicin absorbance interference in chromogenic assay</w:t>
            </w:r>
            <w:r w:rsidR="00EE0D9E">
              <w:t>s</w:t>
            </w:r>
            <w:r>
              <w:t xml:space="preserve"> for</w:t>
            </w:r>
            <w:r w:rsidR="00EE0D9E">
              <w:t xml:space="preserve"> interaction with the immune system</w:t>
            </w:r>
            <w:r>
              <w:t>.</w:t>
            </w:r>
          </w:p>
        </w:tc>
        <w:tc>
          <w:tcPr>
            <w:tcW w:w="4059" w:type="dxa"/>
            <w:shd w:val="clear" w:color="auto" w:fill="D9D9D9" w:themeFill="background1" w:themeFillShade="D9"/>
            <w:hideMark/>
          </w:tcPr>
          <w:p w14:paraId="68AE7D4D" w14:textId="77777777" w:rsidR="00FE34FC" w:rsidRDefault="00FE34FC">
            <w:pPr>
              <w:jc w:val="both"/>
              <w:cnfStyle w:val="000000100000" w:firstRow="0" w:lastRow="0" w:firstColumn="0" w:lastColumn="0" w:oddVBand="0" w:evenVBand="0" w:oddHBand="1" w:evenHBand="0" w:firstRowFirstColumn="0" w:firstRowLastColumn="0" w:lastRowFirstColumn="0" w:lastRowLastColumn="0"/>
            </w:pPr>
            <w:r>
              <w:rPr>
                <w:i/>
                <w:iCs/>
              </w:rPr>
              <w:t xml:space="preserve">Gap: </w:t>
            </w:r>
            <w:r>
              <w:t xml:space="preserve">Immune cell activation can be highly dependent on mRNA sequence and presence of minor immunogenic contaminants, </w:t>
            </w:r>
            <w:proofErr w:type="gramStart"/>
            <w:r>
              <w:t>e.g.</w:t>
            </w:r>
            <w:proofErr w:type="gramEnd"/>
            <w:r>
              <w:t xml:space="preserve"> dsRNA or DNS/RNA hybrids.</w:t>
            </w:r>
          </w:p>
        </w:tc>
      </w:tr>
    </w:tbl>
    <w:p w14:paraId="08416AF9" w14:textId="6D01417C" w:rsidR="00866C90" w:rsidRPr="00A64B10" w:rsidRDefault="00866C90" w:rsidP="009A3EA7">
      <w:pPr>
        <w:jc w:val="both"/>
      </w:pPr>
    </w:p>
    <w:bookmarkEnd w:id="10"/>
    <w:p w14:paraId="50B18230" w14:textId="54327415" w:rsidR="00866C90" w:rsidRPr="00A64B10" w:rsidRDefault="00866C90" w:rsidP="0000021E">
      <w:pPr>
        <w:pStyle w:val="Heading2"/>
        <w:numPr>
          <w:ilvl w:val="0"/>
          <w:numId w:val="15"/>
        </w:numPr>
      </w:pPr>
      <w:r w:rsidRPr="00A64B10">
        <w:t xml:space="preserve"> </w:t>
      </w:r>
      <w:r w:rsidR="00D60DE5" w:rsidRPr="00A64B10">
        <w:t xml:space="preserve">Conclusions </w:t>
      </w:r>
    </w:p>
    <w:p w14:paraId="44DC39F6" w14:textId="46F7D31B" w:rsidR="007367D2" w:rsidRPr="00A64B10" w:rsidRDefault="007367D2" w:rsidP="007367D2">
      <w:pPr>
        <w:jc w:val="both"/>
      </w:pPr>
      <w:r w:rsidRPr="00A64B10">
        <w:t>Mutual acceptance of data by regulatory agencies is key for making innovative nano</w:t>
      </w:r>
      <w:r w:rsidR="0011392F">
        <w:t>technology-</w:t>
      </w:r>
      <w:r w:rsidRPr="00A64B10">
        <w:t>based products available</w:t>
      </w:r>
      <w:r w:rsidR="000B06F0" w:rsidRPr="000700DD">
        <w:t xml:space="preserve"> worldwide</w:t>
      </w:r>
      <w:r w:rsidRPr="00A64B10">
        <w:t xml:space="preserve">. </w:t>
      </w:r>
      <w:r w:rsidR="000322EF">
        <w:t>Furthermore, t</w:t>
      </w:r>
      <w:r w:rsidRPr="00A64B10">
        <w:t>he definition of standards that are accepted by th</w:t>
      </w:r>
      <w:r w:rsidR="000322EF">
        <w:t>e various regulatory bodies would</w:t>
      </w:r>
      <w:r w:rsidRPr="00A64B10">
        <w:t xml:space="preserve"> help to reduce the uncertainty for product </w:t>
      </w:r>
      <w:r w:rsidRPr="000700DD">
        <w:t>developer</w:t>
      </w:r>
      <w:r w:rsidR="000B06F0" w:rsidRPr="000700DD">
        <w:t>s</w:t>
      </w:r>
      <w:r w:rsidRPr="00A64B10">
        <w:t xml:space="preserve"> an</w:t>
      </w:r>
      <w:r w:rsidR="0011392F">
        <w:t>d ensure market authorisation for</w:t>
      </w:r>
      <w:r w:rsidRPr="00A64B10">
        <w:t xml:space="preserve"> this</w:t>
      </w:r>
      <w:r w:rsidR="0011392F">
        <w:t xml:space="preserve"> emerging product class in different geographical</w:t>
      </w:r>
      <w:r w:rsidRPr="00A64B10">
        <w:t xml:space="preserve"> regions.</w:t>
      </w:r>
    </w:p>
    <w:p w14:paraId="4FA879FE" w14:textId="078C392D" w:rsidR="007367D2" w:rsidRPr="00A64B10" w:rsidRDefault="007367D2" w:rsidP="007367D2">
      <w:pPr>
        <w:jc w:val="both"/>
      </w:pPr>
      <w:r w:rsidRPr="00A64B10">
        <w:t xml:space="preserve">Within this study, we have systematically analysed and compiled the information needs currently published by the </w:t>
      </w:r>
      <w:r w:rsidR="00154EA0">
        <w:t xml:space="preserve">regulatory authorities in Europe, </w:t>
      </w:r>
      <w:proofErr w:type="gramStart"/>
      <w:r w:rsidR="00154EA0">
        <w:t>US</w:t>
      </w:r>
      <w:proofErr w:type="gramEnd"/>
      <w:r w:rsidR="00154EA0">
        <w:t xml:space="preserve"> and Japan</w:t>
      </w:r>
      <w:r w:rsidRPr="00A64B10">
        <w:t xml:space="preserve">. </w:t>
      </w:r>
      <w:r w:rsidR="000322EF" w:rsidRPr="001C21A9">
        <w:t xml:space="preserve">Now it is of utmost importance that the </w:t>
      </w:r>
      <w:r w:rsidR="00C568F2">
        <w:t>regulatory and scientific communities</w:t>
      </w:r>
      <w:r w:rsidR="000322EF" w:rsidRPr="000700DD">
        <w:t xml:space="preserve"> </w:t>
      </w:r>
      <w:r w:rsidR="000322EF" w:rsidRPr="001C21A9">
        <w:t>agree on methods that can provide the required data and define common standardisation needs.</w:t>
      </w:r>
      <w:r w:rsidR="000322EF">
        <w:t xml:space="preserve"> </w:t>
      </w:r>
      <w:proofErr w:type="gramStart"/>
      <w:r w:rsidRPr="00A64B10">
        <w:t>In order to</w:t>
      </w:r>
      <w:proofErr w:type="gramEnd"/>
      <w:r w:rsidRPr="00A64B10">
        <w:t xml:space="preserve"> support this prioritisation process, we have compiled currently available methods and categorised them according to their level of maturity. Furthermore, we have </w:t>
      </w:r>
      <w:r w:rsidR="000322EF">
        <w:t xml:space="preserve">also highlighted areas where </w:t>
      </w:r>
      <w:r w:rsidRPr="00A64B10">
        <w:t>methodological gaps exist and focussed research activities should be initiated</w:t>
      </w:r>
      <w:r w:rsidR="00A90206">
        <w:t xml:space="preserve"> by research institutions supported by test development programmes</w:t>
      </w:r>
      <w:r w:rsidR="0061431F">
        <w:t>.</w:t>
      </w:r>
    </w:p>
    <w:p w14:paraId="0D5CE722" w14:textId="5E267BF5" w:rsidR="004E7ACA" w:rsidRPr="00A64B10" w:rsidRDefault="007367D2" w:rsidP="004E7ACA">
      <w:pPr>
        <w:jc w:val="both"/>
      </w:pPr>
      <w:r w:rsidRPr="00A64B10">
        <w:t xml:space="preserve">However, the challenges often </w:t>
      </w:r>
      <w:r w:rsidR="000B06F0" w:rsidRPr="000700DD">
        <w:t xml:space="preserve">lie </w:t>
      </w:r>
      <w:r w:rsidRPr="00A64B10">
        <w:t>in the detail</w:t>
      </w:r>
      <w:r w:rsidR="000322EF">
        <w:t>s</w:t>
      </w:r>
      <w:r w:rsidRPr="00A64B10">
        <w:t>. The characterisation of physicochemic</w:t>
      </w:r>
      <w:r w:rsidR="00EE42AA">
        <w:t>al properties of nanotechnology-</w:t>
      </w:r>
      <w:r w:rsidRPr="00A64B10">
        <w:t xml:space="preserve">based health products requires very specific methods that need to be optimised/adapted to each nanotechnological platform, raising </w:t>
      </w:r>
      <w:r w:rsidR="000B06F0" w:rsidRPr="000700DD">
        <w:t>the</w:t>
      </w:r>
      <w:r w:rsidRPr="00A64B10">
        <w:t xml:space="preserve"> question on the level of specificity/flexibility that can be accepted or is required for a standardised method, without </w:t>
      </w:r>
      <w:r w:rsidR="00D87D05" w:rsidRPr="000700DD">
        <w:t>the</w:t>
      </w:r>
      <w:r w:rsidRPr="00A64B10">
        <w:t xml:space="preserve"> necessity to develop multiple standards in the same area. Anot</w:t>
      </w:r>
      <w:r w:rsidR="000322EF">
        <w:t>her challenge is related to the</w:t>
      </w:r>
      <w:r w:rsidRPr="00A64B10">
        <w:t xml:space="preserve"> standardisation of biological tests </w:t>
      </w:r>
      <w:proofErr w:type="gramStart"/>
      <w:r w:rsidRPr="00A64B10">
        <w:t>e.g.</w:t>
      </w:r>
      <w:proofErr w:type="gramEnd"/>
      <w:r w:rsidRPr="00A64B10">
        <w:t xml:space="preserve"> immunological assays</w:t>
      </w:r>
      <w:r w:rsidR="000322EF">
        <w:t>,</w:t>
      </w:r>
      <w:r w:rsidRPr="00A64B10">
        <w:t xml:space="preserve"> which are characterised by a high variability of results reflecting inter-individual variations of immune responses. Such variability can make corresponding </w:t>
      </w:r>
      <w:r w:rsidRPr="000700DD">
        <w:t>method</w:t>
      </w:r>
      <w:r w:rsidR="00D87D05" w:rsidRPr="000700DD">
        <w:t>s</w:t>
      </w:r>
      <w:r w:rsidRPr="00A64B10">
        <w:t xml:space="preserve"> quite difficult to validate and standardise.</w:t>
      </w:r>
      <w:r w:rsidR="004E7ACA" w:rsidRPr="00A64B10">
        <w:t xml:space="preserve"> Finally, lack of reliable humanised models for the prediction of biological effects is a limiting factor for the proper investigation of pharmacokinetic profile of nanotechnology-based products, which can be significantly different from small-molecule products. </w:t>
      </w:r>
    </w:p>
    <w:p w14:paraId="00D69F89" w14:textId="7F2C811A" w:rsidR="009B6C50" w:rsidRDefault="008B584E" w:rsidP="004A364E">
      <w:pPr>
        <w:jc w:val="both"/>
      </w:pPr>
      <w:r w:rsidRPr="00A64B10">
        <w:t>A question also arises on which of the standardisation pathways is the most relevant for nanotechnology-based health products.</w:t>
      </w:r>
      <w:r w:rsidR="00FA4EDA" w:rsidRPr="00A64B10">
        <w:t xml:space="preserve"> </w:t>
      </w:r>
      <w:r w:rsidR="00803BCB" w:rsidRPr="00A64B10">
        <w:t>Whereas ISO standards are applicable to medical devices, the Ph. Eur</w:t>
      </w:r>
      <w:r w:rsidR="000322EF">
        <w:t>.</w:t>
      </w:r>
      <w:r w:rsidR="00803BCB" w:rsidRPr="00A64B10">
        <w:t xml:space="preserve"> is a reference for the quality assessment of medicinal products in Europe. Many </w:t>
      </w:r>
      <w:r w:rsidR="00803BCB" w:rsidRPr="009B6C50">
        <w:rPr>
          <w:i/>
        </w:rPr>
        <w:t>in vitro</w:t>
      </w:r>
      <w:r w:rsidR="00803BCB" w:rsidRPr="00A64B10">
        <w:t xml:space="preserve"> toxicity assays are being standardised under OECD, but they do not apply to medicinal products.</w:t>
      </w:r>
      <w:r w:rsidR="002E1EF7" w:rsidRPr="00A64B10">
        <w:t xml:space="preserve"> </w:t>
      </w:r>
      <w:proofErr w:type="gramStart"/>
      <w:r w:rsidR="002E1EF7" w:rsidRPr="00A64B10">
        <w:t>A</w:t>
      </w:r>
      <w:r w:rsidR="00803BCB" w:rsidRPr="00A64B10">
        <w:t xml:space="preserve"> number of</w:t>
      </w:r>
      <w:proofErr w:type="gramEnd"/>
      <w:r w:rsidR="00803BCB" w:rsidRPr="00A64B10">
        <w:t xml:space="preserve"> </w:t>
      </w:r>
      <w:r w:rsidR="00D10AD5" w:rsidRPr="00A64B10">
        <w:t>physic</w:t>
      </w:r>
      <w:r w:rsidR="00A9340D" w:rsidRPr="00A64B10">
        <w:t>o</w:t>
      </w:r>
      <w:r w:rsidR="00C568F2">
        <w:t xml:space="preserve">chemical methods </w:t>
      </w:r>
      <w:r w:rsidR="00D10AD5" w:rsidRPr="00A64B10">
        <w:t xml:space="preserve">and </w:t>
      </w:r>
      <w:r w:rsidR="00803BCB" w:rsidRPr="000322EF">
        <w:rPr>
          <w:i/>
        </w:rPr>
        <w:t>in vitro</w:t>
      </w:r>
      <w:r w:rsidR="00803BCB" w:rsidRPr="00A64B10">
        <w:t xml:space="preserve"> immunological assays addressing nanomedical produ</w:t>
      </w:r>
      <w:r w:rsidR="000322EF">
        <w:t>cts have</w:t>
      </w:r>
      <w:r w:rsidR="00803BCB" w:rsidRPr="00A64B10">
        <w:t xml:space="preserve"> been taken on board by ASTM International, but for the moment their formal recognition by European authorities is lacking. </w:t>
      </w:r>
    </w:p>
    <w:p w14:paraId="3E0CE543" w14:textId="413E8380" w:rsidR="004027AF" w:rsidRPr="001C030D" w:rsidRDefault="009B6C50" w:rsidP="001C030D">
      <w:pPr>
        <w:jc w:val="both"/>
      </w:pPr>
      <w:r w:rsidRPr="00A64B10">
        <w:t xml:space="preserve">Considering the complex and different regional procedures leading to the regulatory acceptance of methods, a concerted action by all parties for the prioritisation of methods and agreement on standardisation requirements is needed. The regular </w:t>
      </w:r>
      <w:r w:rsidR="001C21A9">
        <w:t xml:space="preserve">meetings of the </w:t>
      </w:r>
      <w:r>
        <w:t xml:space="preserve">Global Summit </w:t>
      </w:r>
      <w:r w:rsidR="008E75D9">
        <w:t>on</w:t>
      </w:r>
      <w:r>
        <w:t xml:space="preserve"> Regulatory </w:t>
      </w:r>
      <w:r>
        <w:lastRenderedPageBreak/>
        <w:t>Science (</w:t>
      </w:r>
      <w:r w:rsidRPr="00A64B10">
        <w:t>GSRS</w:t>
      </w:r>
      <w:r>
        <w:t>)</w:t>
      </w:r>
      <w:r w:rsidR="001C21A9">
        <w:t xml:space="preserve"> offer</w:t>
      </w:r>
      <w:r w:rsidRPr="00A64B10">
        <w:t xml:space="preserve"> a platform for discussion and exchange </w:t>
      </w:r>
      <w:r w:rsidR="008E75D9">
        <w:t>for</w:t>
      </w:r>
      <w:r w:rsidRPr="00A64B10">
        <w:t xml:space="preserve"> decision maker</w:t>
      </w:r>
      <w:r>
        <w:t>s</w:t>
      </w:r>
      <w:r w:rsidRPr="00A64B10">
        <w:t>, regulatory scientists and standardisation bodies</w:t>
      </w:r>
      <w:r w:rsidR="00D03F4D">
        <w:t xml:space="preserve"> </w:t>
      </w:r>
      <w:r w:rsidR="00D03F4D">
        <w:fldChar w:fldCharType="begin" w:fldLock="1"/>
      </w:r>
      <w:r w:rsidR="00F53111">
        <w:instrText>ADDIN CSL_CITATION {"citationItems":[{"id":"ITEM-1","itemData":{"URL":"https://www.astm.org/COMMIT/GSRS16 Final Report.pdf","author":[{"dropping-particle":"","family":"GSRS","given":"","non-dropping-particle":"","parse-names":false,"suffix":""}],"id":"ITEM-1","issued":{"date-parts":[["2016"]]},"page":"1-35","title":"Nanotechnology Standards and Applications. Report","type":"webpage"},"uris":["http://www.mendeley.com/documents/?uuid=9f2ce7a0-87eb-473b-a459-bab644ae7d8c"]}],"mendeley":{"formattedCitation":"[76]","plainTextFormattedCitation":"[76]","previouslyFormattedCitation":"[76]"},"properties":{"noteIndex":0},"schema":"https://github.com/citation-style-language/schema/raw/master/csl-citation.json"}</w:instrText>
      </w:r>
      <w:r w:rsidR="00D03F4D">
        <w:fldChar w:fldCharType="separate"/>
      </w:r>
      <w:r w:rsidR="000B3F63" w:rsidRPr="000B3F63">
        <w:rPr>
          <w:noProof/>
        </w:rPr>
        <w:t>[76]</w:t>
      </w:r>
      <w:r w:rsidR="00D03F4D">
        <w:fldChar w:fldCharType="end"/>
      </w:r>
      <w:r w:rsidRPr="00A64B10">
        <w:t>.</w:t>
      </w:r>
      <w:r w:rsidRPr="009B6C50">
        <w:t xml:space="preserve"> </w:t>
      </w:r>
      <w:r w:rsidR="00803BCB" w:rsidRPr="00A64B10">
        <w:t xml:space="preserve">More </w:t>
      </w:r>
      <w:r w:rsidR="005E01A9">
        <w:t xml:space="preserve">such </w:t>
      </w:r>
      <w:r w:rsidR="00800142">
        <w:t>effort</w:t>
      </w:r>
      <w:r w:rsidR="00803BCB" w:rsidRPr="00A64B10">
        <w:t xml:space="preserve"> should be undertaken to develop a common standardisation pathway that could be relevant for nanotechnology-based products in different sectors and different geographical regions making the standardisation activities more efficacious and harmonised.</w:t>
      </w:r>
    </w:p>
    <w:p w14:paraId="66E9B29A" w14:textId="39FD1B4B" w:rsidR="002C4A35" w:rsidRPr="00A64B10" w:rsidRDefault="002C4A35" w:rsidP="002C4A35">
      <w:pPr>
        <w:jc w:val="both"/>
        <w:rPr>
          <w:b/>
        </w:rPr>
      </w:pPr>
      <w:r w:rsidRPr="00A64B10">
        <w:rPr>
          <w:b/>
        </w:rPr>
        <w:t>Disclaimer</w:t>
      </w:r>
    </w:p>
    <w:p w14:paraId="2E75B48F" w14:textId="77777777" w:rsidR="002C4A35" w:rsidRPr="00A64B10" w:rsidRDefault="002C4A35" w:rsidP="002C4A35">
      <w:pPr>
        <w:jc w:val="both"/>
      </w:pPr>
      <w:r w:rsidRPr="00A64B10">
        <w:t>The views and opinions expressed in this report are those of the authors and do not necessarily reflect the official position of their organisations.</w:t>
      </w:r>
    </w:p>
    <w:p w14:paraId="749C9A07" w14:textId="77777777" w:rsidR="002C4A35" w:rsidRPr="00A64B10" w:rsidRDefault="002C4A35" w:rsidP="002C4A35">
      <w:pPr>
        <w:jc w:val="both"/>
        <w:rPr>
          <w:b/>
        </w:rPr>
      </w:pPr>
      <w:bookmarkStart w:id="12" w:name="_Toc8119658"/>
      <w:bookmarkStart w:id="13" w:name="_Toc17795161"/>
      <w:r w:rsidRPr="00A64B10">
        <w:rPr>
          <w:b/>
        </w:rPr>
        <w:t>Acknowledgments</w:t>
      </w:r>
      <w:bookmarkEnd w:id="12"/>
      <w:bookmarkEnd w:id="13"/>
    </w:p>
    <w:p w14:paraId="36CDF4B5" w14:textId="77777777" w:rsidR="00055445" w:rsidRPr="00A64B10" w:rsidRDefault="0091498F" w:rsidP="001B20AB">
      <w:pPr>
        <w:jc w:val="both"/>
      </w:pPr>
      <w:r w:rsidRPr="00A64B10">
        <w:t xml:space="preserve">The authors would like to thank Dr Andrea </w:t>
      </w:r>
      <w:proofErr w:type="spellStart"/>
      <w:r w:rsidRPr="00A64B10">
        <w:t>Valsesia</w:t>
      </w:r>
      <w:proofErr w:type="spellEnd"/>
      <w:r w:rsidRPr="00A64B10">
        <w:t xml:space="preserve"> for the helpful comments of the </w:t>
      </w:r>
      <w:r w:rsidR="001B20AB" w:rsidRPr="00A64B10">
        <w:t>part</w:t>
      </w:r>
      <w:r w:rsidRPr="00A64B10">
        <w:t xml:space="preserve"> related to hydrophobicity</w:t>
      </w:r>
      <w:r w:rsidR="001B20AB" w:rsidRPr="00A64B10">
        <w:t xml:space="preserve"> measurement</w:t>
      </w:r>
      <w:r w:rsidRPr="00A64B10">
        <w:t>.</w:t>
      </w:r>
      <w:r w:rsidR="001B20AB" w:rsidRPr="00A64B10">
        <w:t xml:space="preserve"> </w:t>
      </w:r>
      <w:r w:rsidR="002C4A35" w:rsidRPr="00A64B10">
        <w:t xml:space="preserve">The present </w:t>
      </w:r>
      <w:r w:rsidR="001B20AB" w:rsidRPr="00A64B10">
        <w:t>work</w:t>
      </w:r>
      <w:r w:rsidR="002C4A35" w:rsidRPr="00A64B10">
        <w:t xml:space="preserve"> has been developed within the REFINE project: Regulatory Science Framework for Nano(bio)material-based Medical Products and Devices, funded by European Union's Horizon 2020 under Grant Agreement no 761104.</w:t>
      </w:r>
      <w:r w:rsidR="001976B5" w:rsidRPr="00A64B10">
        <w:t xml:space="preserve"> </w:t>
      </w:r>
    </w:p>
    <w:p w14:paraId="054D065D" w14:textId="7707FA5F" w:rsidR="005A3AB4" w:rsidRPr="00A64B10" w:rsidRDefault="005A3AB4">
      <w:pPr>
        <w:rPr>
          <w:b/>
          <w:bCs/>
          <w:color w:val="C0504D" w:themeColor="accent2"/>
        </w:rPr>
      </w:pPr>
      <w:r w:rsidRPr="00A64B10">
        <w:rPr>
          <w:b/>
          <w:bCs/>
          <w:color w:val="C0504D" w:themeColor="accent2"/>
        </w:rPr>
        <w:br w:type="page"/>
      </w:r>
    </w:p>
    <w:p w14:paraId="76F9DC0C" w14:textId="77777777" w:rsidR="008357CC" w:rsidRPr="00A64B10" w:rsidRDefault="008357CC" w:rsidP="00B63FD4">
      <w:pPr>
        <w:pStyle w:val="Heading2"/>
      </w:pPr>
      <w:r w:rsidRPr="00A64B10">
        <w:lastRenderedPageBreak/>
        <w:t>References:</w:t>
      </w:r>
    </w:p>
    <w:p w14:paraId="7CA23EBA" w14:textId="55A84913" w:rsidR="003D6F22" w:rsidRPr="003D6F22" w:rsidRDefault="002D0B91" w:rsidP="003D6F22">
      <w:pPr>
        <w:widowControl w:val="0"/>
        <w:autoSpaceDE w:val="0"/>
        <w:autoSpaceDN w:val="0"/>
        <w:adjustRightInd w:val="0"/>
        <w:spacing w:line="240" w:lineRule="auto"/>
        <w:ind w:left="640" w:hanging="640"/>
        <w:rPr>
          <w:rFonts w:ascii="Calibri" w:hAnsi="Calibri" w:cs="Calibri"/>
          <w:noProof/>
          <w:sz w:val="20"/>
          <w:szCs w:val="24"/>
        </w:rPr>
      </w:pPr>
      <w:r w:rsidRPr="00A64B10">
        <w:rPr>
          <w:b/>
          <w:bCs/>
          <w:sz w:val="20"/>
          <w:szCs w:val="20"/>
        </w:rPr>
        <w:fldChar w:fldCharType="begin" w:fldLock="1"/>
      </w:r>
      <w:r w:rsidRPr="00A64B10">
        <w:rPr>
          <w:b/>
          <w:bCs/>
          <w:sz w:val="20"/>
          <w:szCs w:val="20"/>
        </w:rPr>
        <w:instrText xml:space="preserve">ADDIN Mendeley Bibliography CSL_BIBLIOGRAPHY </w:instrText>
      </w:r>
      <w:r w:rsidRPr="00A64B10">
        <w:rPr>
          <w:b/>
          <w:bCs/>
          <w:sz w:val="20"/>
          <w:szCs w:val="20"/>
        </w:rPr>
        <w:fldChar w:fldCharType="separate"/>
      </w:r>
      <w:r w:rsidR="003D6F22" w:rsidRPr="003D6F22">
        <w:rPr>
          <w:rFonts w:ascii="Calibri" w:hAnsi="Calibri" w:cs="Calibri"/>
          <w:noProof/>
          <w:sz w:val="20"/>
          <w:szCs w:val="24"/>
        </w:rPr>
        <w:t>[1]</w:t>
      </w:r>
      <w:r w:rsidR="003D6F22" w:rsidRPr="003D6F22">
        <w:rPr>
          <w:rFonts w:ascii="Calibri" w:hAnsi="Calibri" w:cs="Calibri"/>
          <w:noProof/>
          <w:sz w:val="20"/>
          <w:szCs w:val="24"/>
        </w:rPr>
        <w:tab/>
        <w:t>M. Germain, F. Caputo, S. Metcalfe, G. Tosi, K. Spring, A.K.O. Åslund, A. Pottier, R. Schiffelers, A. Ceccaldi, R. Schmid, Delivering the power of nanomedicine to patients today, J. Control. Release. 326 (2020) 164–171. https://doi.org/10.1016/j.jconrel.2020.07.007.</w:t>
      </w:r>
    </w:p>
    <w:p w14:paraId="774D5CA1"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[2]</w:t>
      </w:r>
      <w:r w:rsidRPr="003D6F22">
        <w:rPr>
          <w:rFonts w:ascii="Calibri" w:hAnsi="Calibri" w:cs="Calibri"/>
          <w:noProof/>
          <w:sz w:val="20"/>
          <w:szCs w:val="24"/>
        </w:rPr>
        <w:tab/>
        <w:t>C.W. Noorlander, M.W. Kooi, A.G. Oomen, M.V. Park, R.J. Vandebriel, R.E. Geertsma, G. Agnes, Horizon scan of nanomedicinal products., Nanomedicine (Lond). 10 (2015) 1–10. https://doi.org/10.2217/nnm.15.21.</w:t>
      </w:r>
    </w:p>
    <w:p w14:paraId="6DE77E74"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[3]</w:t>
      </w:r>
      <w:r w:rsidRPr="003D6F22">
        <w:rPr>
          <w:rFonts w:ascii="Calibri" w:hAnsi="Calibri" w:cs="Calibri"/>
          <w:noProof/>
          <w:sz w:val="20"/>
          <w:szCs w:val="24"/>
        </w:rPr>
        <w:tab/>
        <w:t>N.M. Dimitriou, G. Tsekenis, E.C. Balanikas, A. Pavlopoulou, M. Mitsiogianni, T. Mantso, G. Pashos, A.G. Boudouvis, I.N. Lykakis, G. Tsigaridas, M.I. Panayiotidis, V. Yannopapas, A.G. Georgakilas, Gold nanoparticles, radiations and the immune system: Current insights into the physical mechanisms and the biological interactions of this new alliance towards cancer therapy, Pharmacol. Ther. 178 (2017) 1–17. https://doi.org/10.1016/j.pharmthera.2017.03.006.</w:t>
      </w:r>
    </w:p>
    <w:p w14:paraId="64EB0C9E"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[4]</w:t>
      </w:r>
      <w:r w:rsidRPr="003D6F22">
        <w:rPr>
          <w:rFonts w:ascii="Calibri" w:hAnsi="Calibri" w:cs="Calibri"/>
          <w:noProof/>
          <w:sz w:val="20"/>
          <w:szCs w:val="24"/>
        </w:rPr>
        <w:tab/>
        <w:t>R.E. Geertsma, M.V.D.Z. Park, C.F. Puts, B. Roszek, R. van der Stijl, W.H. de Jong, Nanotechnologies in medical devices, RIVM Rep. 2015-0149. (2015).</w:t>
      </w:r>
    </w:p>
    <w:p w14:paraId="284FF991"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[5]</w:t>
      </w:r>
      <w:r w:rsidRPr="003D6F22">
        <w:rPr>
          <w:rFonts w:ascii="Calibri" w:hAnsi="Calibri" w:cs="Calibri"/>
          <w:noProof/>
          <w:sz w:val="20"/>
          <w:szCs w:val="24"/>
        </w:rPr>
        <w:tab/>
        <w:t>B. Halamoda-Kenzaoui, H. Box, M. van Elk, S. Gaitan, R.E. Geertsma, E. Gainza Lafuente, A. Owen, A. del Pozo, M. Roesslein, S. Bremer-Hoffmann, Launching stakeholder discussions on identified regulatory needs for nanotechnology-enabled health products, Precis. Nanomedicine. 3 (2020) 608–621. https://doi.org/10.33218/001c.13521.</w:t>
      </w:r>
    </w:p>
    <w:p w14:paraId="1F26064C"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[6]</w:t>
      </w:r>
      <w:r w:rsidRPr="003D6F22">
        <w:rPr>
          <w:rFonts w:ascii="Calibri" w:hAnsi="Calibri" w:cs="Calibri"/>
          <w:noProof/>
          <w:sz w:val="20"/>
          <w:szCs w:val="24"/>
        </w:rPr>
        <w:tab/>
        <w:t>FDA, Drug Products, Including Biological Products, that Contain Nanomaterials. Guidance for Industry., (2017). https://www.fda.gov/Drugs/GuidanceComplianceRegulatoryInformation/Guidances/default.htm.</w:t>
      </w:r>
    </w:p>
    <w:p w14:paraId="10CC4430"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[7]</w:t>
      </w:r>
      <w:r w:rsidRPr="003D6F22">
        <w:rPr>
          <w:rFonts w:ascii="Calibri" w:hAnsi="Calibri" w:cs="Calibri"/>
          <w:noProof/>
          <w:sz w:val="20"/>
          <w:szCs w:val="24"/>
        </w:rPr>
        <w:tab/>
        <w:t>EMA/CHMP, Reflection paper on the data requirements for intravenous liposomal products developed with reference to an innovator liposomal product, (2013). https://www.ema.europa.eu/en/data-requirements-intravenous-liposomal-products-developed-reference-innovator-liposomal-product-0.</w:t>
      </w:r>
    </w:p>
    <w:p w14:paraId="0760B038"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[8]</w:t>
      </w:r>
      <w:r w:rsidRPr="003D6F22">
        <w:rPr>
          <w:rFonts w:ascii="Calibri" w:hAnsi="Calibri" w:cs="Calibri"/>
          <w:noProof/>
          <w:sz w:val="20"/>
          <w:szCs w:val="24"/>
        </w:rPr>
        <w:tab/>
        <w:t>FDA, Liposome Drug Products. Guidance for Industry., (2015). http://www.fda.gov/downloads/drugs/guidancecomplianceregulatoryinformation/guidances/ucm070570.pdf.</w:t>
      </w:r>
    </w:p>
    <w:p w14:paraId="23551276"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[9]</w:t>
      </w:r>
      <w:r w:rsidRPr="003D6F22">
        <w:rPr>
          <w:rFonts w:ascii="Calibri" w:hAnsi="Calibri" w:cs="Calibri"/>
          <w:noProof/>
          <w:sz w:val="20"/>
          <w:szCs w:val="24"/>
        </w:rPr>
        <w:tab/>
        <w:t>MHLW, Guideline for the development of liposome drug products, (2016). http://www.nihs.go.jp/drug/section4/160328_MHLW_liposome_guideline.pdf.</w:t>
      </w:r>
    </w:p>
    <w:p w14:paraId="11B2029A"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[10]</w:t>
      </w:r>
      <w:r w:rsidRPr="003D6F22">
        <w:rPr>
          <w:rFonts w:ascii="Calibri" w:hAnsi="Calibri" w:cs="Calibri"/>
          <w:noProof/>
          <w:sz w:val="20"/>
          <w:szCs w:val="24"/>
        </w:rPr>
        <w:tab/>
        <w:t>EMA/CHMP, Joint MHLW/EMA reflection paper on the development of block copolymer micelle medicinal products., (2013). https://www.ema.europa.eu/en/development-block-copolymer-micelle-medicinal-products.</w:t>
      </w:r>
    </w:p>
    <w:p w14:paraId="751A773A"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[11]</w:t>
      </w:r>
      <w:r w:rsidRPr="003D6F22">
        <w:rPr>
          <w:rFonts w:ascii="Calibri" w:hAnsi="Calibri" w:cs="Calibri"/>
          <w:noProof/>
          <w:sz w:val="20"/>
          <w:szCs w:val="24"/>
        </w:rPr>
        <w:tab/>
        <w:t>EMA/CHMP, Reflection paper on the data requirements for intravenous iron-based nano-colloidal products developed with reference to an innovator medicinal product, (2015). https://www.ema.europa.eu/documents/scientific-guideline/reflection-paper-data-requirements-intravenous-iron-based-nano-colloidal-products-developed_en.pdf.</w:t>
      </w:r>
    </w:p>
    <w:p w14:paraId="135CEF7F"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[12]</w:t>
      </w:r>
      <w:r w:rsidRPr="003D6F22">
        <w:rPr>
          <w:rFonts w:ascii="Calibri" w:hAnsi="Calibri" w:cs="Calibri"/>
          <w:noProof/>
          <w:sz w:val="20"/>
          <w:szCs w:val="24"/>
        </w:rPr>
        <w:tab/>
        <w:t>MHLW, Reflection paper on nucleic acids (siRNA)-loaded nanotechnology based drug products, (2016). http://www.nihs.go.jp/drug/section4/160328_MHLW_siRNA_RP.pdf.</w:t>
      </w:r>
    </w:p>
    <w:p w14:paraId="6F5CA5B0"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[13]</w:t>
      </w:r>
      <w:r w:rsidRPr="003D6F22">
        <w:rPr>
          <w:rFonts w:ascii="Calibri" w:hAnsi="Calibri" w:cs="Calibri"/>
          <w:noProof/>
          <w:sz w:val="20"/>
          <w:szCs w:val="24"/>
        </w:rPr>
        <w:tab/>
        <w:t>SCENIHR, Opinion on the Guidance on the Determination of Potential Health Effects of Nanomaterials Used in Medical Devices, Final Opin. (2015) 1–77. https://doi.org/10.2772/41391.</w:t>
      </w:r>
    </w:p>
    <w:p w14:paraId="504D46E0"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[14]</w:t>
      </w:r>
      <w:r w:rsidRPr="003D6F22">
        <w:rPr>
          <w:rFonts w:ascii="Calibri" w:hAnsi="Calibri" w:cs="Calibri"/>
          <w:noProof/>
          <w:sz w:val="20"/>
          <w:szCs w:val="24"/>
        </w:rPr>
        <w:tab/>
        <w:t>ISO/TC 194, Biological evaluation of medical devices- Part 22: Guidance on nanomaterials. ISO /TR 10993-22., (2012).</w:t>
      </w:r>
    </w:p>
    <w:p w14:paraId="3FA4D59E"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[15]</w:t>
      </w:r>
      <w:r w:rsidRPr="003D6F22">
        <w:rPr>
          <w:rFonts w:ascii="Calibri" w:hAnsi="Calibri" w:cs="Calibri"/>
          <w:noProof/>
          <w:sz w:val="20"/>
          <w:szCs w:val="24"/>
        </w:rPr>
        <w:tab/>
        <w:t xml:space="preserve">B. Halamoda-Kenzaoui, H. Box, M. van Elk, S. Gaitan, R.E. Geertsma, E. Gainza Lafuente, A. Owen, A. del Pozo, M. Roesslein, S. Bremer-Hoffmann, Anticipation of regulatory needs for nanotechnology-enabled health products- The REFINE White Paper, Publ. Off. Eur. Union. EUR 29919 (2019). </w:t>
      </w:r>
      <w:r w:rsidRPr="003D6F22">
        <w:rPr>
          <w:rFonts w:ascii="Calibri" w:hAnsi="Calibri" w:cs="Calibri"/>
          <w:noProof/>
          <w:sz w:val="20"/>
          <w:szCs w:val="24"/>
        </w:rPr>
        <w:lastRenderedPageBreak/>
        <w:t>https://ec.europa.eu/jrc/en/publication/thematic-reports/anticipation-regulatory-needs-nanotechnology-enabled-health-products.</w:t>
      </w:r>
    </w:p>
    <w:p w14:paraId="31A3EADC"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[16]</w:t>
      </w:r>
      <w:r w:rsidRPr="003D6F22">
        <w:rPr>
          <w:rFonts w:ascii="Calibri" w:hAnsi="Calibri" w:cs="Calibri"/>
          <w:noProof/>
          <w:sz w:val="20"/>
          <w:szCs w:val="24"/>
        </w:rPr>
        <w:tab/>
        <w:t>EMA, ICH Topic Q2 (R1) Validation of analitical procedures: Text and Methodology, 2 (1995) CPMP/ICH/381/95. https://doi.org/10.1136/bmj.333.7574.873-a.</w:t>
      </w:r>
    </w:p>
    <w:p w14:paraId="7875D94D"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[17]</w:t>
      </w:r>
      <w:r w:rsidRPr="003D6F22">
        <w:rPr>
          <w:rFonts w:ascii="Calibri" w:hAnsi="Calibri" w:cs="Calibri"/>
          <w:noProof/>
          <w:sz w:val="20"/>
          <w:szCs w:val="24"/>
        </w:rPr>
        <w:tab/>
        <w:t>EMA/CHMP, Guideline on bioanalytical method validation, (2011) EMEA/CHMP/EWP/192217/2009 Rev. https://doi.org/EMEA/CHMP/EWP/192217/2009.</w:t>
      </w:r>
    </w:p>
    <w:p w14:paraId="5C1E67F1"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[18]</w:t>
      </w:r>
      <w:r w:rsidRPr="003D6F22">
        <w:rPr>
          <w:rFonts w:ascii="Calibri" w:hAnsi="Calibri" w:cs="Calibri"/>
          <w:noProof/>
          <w:sz w:val="20"/>
          <w:szCs w:val="24"/>
        </w:rPr>
        <w:tab/>
        <w:t>EMA/CHMP, Guideline on the principles of regulatory acceptance of 3Rs (replacement, reduction, refinement) testing approaches, (2016) EMA/ CHMP/CVMP/JEG-3Rs/450091/2012. https://www.ema.europa.eu/en/documents/scientific-guideline/guideline-principles-regulatory-acceptance-3rs-replacement-reduction-refinement-testing-approaches_en.pdf (accessed March 26, 2019).</w:t>
      </w:r>
    </w:p>
    <w:p w14:paraId="158663E4"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[19]</w:t>
      </w:r>
      <w:r w:rsidRPr="003D6F22">
        <w:rPr>
          <w:rFonts w:ascii="Calibri" w:hAnsi="Calibri" w:cs="Calibri"/>
          <w:noProof/>
          <w:sz w:val="20"/>
          <w:szCs w:val="24"/>
        </w:rPr>
        <w:tab/>
        <w:t>B. Halamoda-Kenzaoui, U. Holzwarth, G. Roebben, A. Bogni, S. Bremer-Hoffmann, Mapping of the available standards against the regulatory needs for nanomedicines, Wiley Interdiscip. Rev. Nanomedicine Nanobiotechnology. 11 (2019) e1531. https://doi.org/10.1002/wnan.1531.</w:t>
      </w:r>
    </w:p>
    <w:p w14:paraId="5FB2E569"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[20]</w:t>
      </w:r>
      <w:r w:rsidRPr="003D6F22">
        <w:rPr>
          <w:rFonts w:ascii="Calibri" w:hAnsi="Calibri" w:cs="Calibri"/>
          <w:noProof/>
          <w:sz w:val="20"/>
          <w:szCs w:val="24"/>
        </w:rPr>
        <w:tab/>
        <w:t>C. Giannakou, M.V.D.Z. Park, I.E.M.E. Bosselaers, W.H. De Jong, J.W. van der Laan, H. Van Loveren, R.J. Vandebriel, R.E. Geertsma, W.H. Jong, J.W. Laan, H. Loveren, R.J. Vandebriel, R.E. Geertsma, Nonclinical regulatory immunotoxicity testing of nanomedicinal products : Proposed strategy and possible pitfalls, WIREs Nanomed Nanobiotechnol. 12 (2020) e1633. https://doi.org/10.1002/wnan.1633.</w:t>
      </w:r>
    </w:p>
    <w:p w14:paraId="6D17E733"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[21]</w:t>
      </w:r>
      <w:r w:rsidRPr="003D6F22">
        <w:rPr>
          <w:rFonts w:ascii="Calibri" w:hAnsi="Calibri" w:cs="Calibri"/>
          <w:noProof/>
          <w:sz w:val="20"/>
          <w:szCs w:val="24"/>
        </w:rPr>
        <w:tab/>
        <w:t>R.M. Crist, J.H. Grossman, A.K. Patri, S.T. Stern, M. a. Dobrovolskaia, P.P. Adiseshaiah, J.D. Clogston, S.E. McNeil, Common pitfalls in nanotechnology: lessons learned from NCI’s Nanotechnology Characterization Laboratory, Integr. Biol. 5 (2013) 66–73. https://doi.org/10.1039/C2IB20117H.</w:t>
      </w:r>
    </w:p>
    <w:p w14:paraId="490D8B9C"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[22]</w:t>
      </w:r>
      <w:r w:rsidRPr="003D6F22">
        <w:rPr>
          <w:rFonts w:ascii="Calibri" w:hAnsi="Calibri" w:cs="Calibri"/>
          <w:noProof/>
          <w:sz w:val="20"/>
          <w:szCs w:val="24"/>
        </w:rPr>
        <w:tab/>
        <w:t>SCENIHR, Risk Assessment of Products of Nanotechnologies, (2009). http://ec.europa.eu/health/ph_risk/risk_en.htm (accessed October 31, 2018).</w:t>
      </w:r>
    </w:p>
    <w:p w14:paraId="27B1B1B8"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[23]</w:t>
      </w:r>
      <w:r w:rsidRPr="003D6F22">
        <w:rPr>
          <w:rFonts w:ascii="Calibri" w:hAnsi="Calibri" w:cs="Calibri"/>
          <w:noProof/>
          <w:sz w:val="20"/>
          <w:szCs w:val="24"/>
        </w:rPr>
        <w:tab/>
        <w:t>EMA/CHMP, Reflection paper on surface coatings : general issues for consideration regarding parenteral administration of coated nanomedicine products., (2013). https://www.ema.europa.eu/documents/scientific-guideline/reflection-paper-surface-coatings-general-issues-consideration-regarding-parenteral-administration_en.pdf (accessed July 27, 2016).</w:t>
      </w:r>
    </w:p>
    <w:p w14:paraId="66FBB5B6"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[24]</w:t>
      </w:r>
      <w:r w:rsidRPr="003D6F22">
        <w:rPr>
          <w:rFonts w:ascii="Calibri" w:hAnsi="Calibri" w:cs="Calibri"/>
          <w:noProof/>
          <w:sz w:val="20"/>
          <w:szCs w:val="24"/>
        </w:rPr>
        <w:tab/>
        <w:t>M. Varache, M. Ciancone, A.C. Couffin, Development and validation of a novel UPLC-ELSD method for the assessment of lipid composition of nanomedicine formulation, Int. J. Pharm. 566 (2019) 11–23. https://doi.org/10.1016/j.ijpharm.2019.05.038.</w:t>
      </w:r>
    </w:p>
    <w:p w14:paraId="6176E719"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[25]</w:t>
      </w:r>
      <w:r w:rsidRPr="003D6F22">
        <w:rPr>
          <w:rFonts w:ascii="Calibri" w:hAnsi="Calibri" w:cs="Calibri"/>
          <w:noProof/>
          <w:sz w:val="20"/>
          <w:szCs w:val="24"/>
        </w:rPr>
        <w:tab/>
        <w:t>J.M. Rabanel, V. Adibnia, S.F. Tehrani, S. Sanche, P. Hildgen, X. Banquy, C. Ramassamy, Nanoparticle heterogeneity: An emerging structural parameter influencing particle fate in biological media?, Nanoscale. 11 (2019) 383–406. https://doi.org/10.1039/c8nr04916e.</w:t>
      </w:r>
    </w:p>
    <w:p w14:paraId="298C9E13"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[26]</w:t>
      </w:r>
      <w:r w:rsidRPr="003D6F22">
        <w:rPr>
          <w:rFonts w:ascii="Calibri" w:hAnsi="Calibri" w:cs="Calibri"/>
          <w:noProof/>
          <w:sz w:val="20"/>
          <w:szCs w:val="24"/>
        </w:rPr>
        <w:tab/>
        <w:t>X. Gao, G. V. Lowry, Progress towards standardized and validated characterizations for measuring physicochemical properties of manufactured nanomaterials relevant to nano health and safety risks, NanoImpact. 9 (2018) 14–30. https://doi.org/10.1016/j.impact.2017.09.002.</w:t>
      </w:r>
    </w:p>
    <w:p w14:paraId="1298F946"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[27]</w:t>
      </w:r>
      <w:r w:rsidRPr="003D6F22">
        <w:rPr>
          <w:rFonts w:ascii="Calibri" w:hAnsi="Calibri" w:cs="Calibri"/>
          <w:noProof/>
          <w:sz w:val="20"/>
          <w:szCs w:val="24"/>
        </w:rPr>
        <w:tab/>
        <w:t>A. Praetorius, N. Tufenkji, K.U. Goss, M. Scheringer, F. Von Der Kammer, M. Elimelech, The road to nowhere: Equilibrium partition coefficients for nanoparticles, Environ. Sci. Nano. 1 (2014) 317–323. https://doi.org/10.1039/c4en00043a.</w:t>
      </w:r>
    </w:p>
    <w:p w14:paraId="119FB904"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[28]</w:t>
      </w:r>
      <w:r w:rsidRPr="003D6F22">
        <w:rPr>
          <w:rFonts w:ascii="Calibri" w:hAnsi="Calibri" w:cs="Calibri"/>
          <w:noProof/>
          <w:sz w:val="20"/>
          <w:szCs w:val="24"/>
        </w:rPr>
        <w:tab/>
        <w:t>A. Valsesia, C. Desmet, I. Ojea-Jiménez, A. Oddo, R. Capomaccio, F. Rossi, P. Colpo, Direct quantification of nanoparticle surface hydrophobicity, Commun. Chem. 1 (2018) 1–11. https://doi.org/10.1038/s42004-018-0054-7.</w:t>
      </w:r>
    </w:p>
    <w:p w14:paraId="378985FA"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[29]</w:t>
      </w:r>
      <w:r w:rsidRPr="003D6F22">
        <w:rPr>
          <w:rFonts w:ascii="Calibri" w:hAnsi="Calibri" w:cs="Calibri"/>
          <w:noProof/>
          <w:sz w:val="20"/>
          <w:szCs w:val="24"/>
        </w:rPr>
        <w:tab/>
        <w:t xml:space="preserve">NanoReg, Nuclear magnetic resonance (NMR) spectroscopy analysis for specific surface area determination, (2016) 1–6. </w:t>
      </w:r>
      <w:r w:rsidRPr="003D6F22">
        <w:rPr>
          <w:rFonts w:ascii="Calibri" w:hAnsi="Calibri" w:cs="Calibri"/>
          <w:noProof/>
          <w:sz w:val="20"/>
          <w:szCs w:val="24"/>
        </w:rPr>
        <w:lastRenderedPageBreak/>
        <w:t>https://www.nanoobjects.info/files/projekte/nanOxiMet/SOP/nanOxiMet_SOP_NMR-spectroscopy-analysis-specific-surface-area_V1.pdf.</w:t>
      </w:r>
    </w:p>
    <w:p w14:paraId="31E59226"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[30]</w:t>
      </w:r>
      <w:r w:rsidRPr="003D6F22">
        <w:rPr>
          <w:rFonts w:ascii="Calibri" w:hAnsi="Calibri" w:cs="Calibri"/>
          <w:noProof/>
          <w:sz w:val="20"/>
          <w:szCs w:val="24"/>
        </w:rPr>
        <w:tab/>
        <w:t>D. Fairhurst, T. Cosgrove, S.W. Prescott, Relaxation NMR as a tool to study the dispersion and formulation behavior of nanostructured carbon materials, Magn. Reson. Chem. 54 (2016) 521–526. https://doi.org/10.1002/mrc.4218.</w:t>
      </w:r>
    </w:p>
    <w:p w14:paraId="4F249CD6"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[31]</w:t>
      </w:r>
      <w:r w:rsidRPr="003D6F22">
        <w:rPr>
          <w:rFonts w:ascii="Calibri" w:hAnsi="Calibri" w:cs="Calibri"/>
          <w:noProof/>
          <w:sz w:val="20"/>
          <w:szCs w:val="24"/>
        </w:rPr>
        <w:tab/>
        <w:t>Cristina Poveda, A.B. Biter, M.E. Bottazzi, U. Strych, Establishing preferred product characterization for the evaluation of rna vaccine antigens, Vaccines. 7 (2019). https://doi.org/10.3390/vaccines7040131.</w:t>
      </w:r>
    </w:p>
    <w:p w14:paraId="4AA1A033"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[32]</w:t>
      </w:r>
      <w:r w:rsidRPr="003D6F22">
        <w:rPr>
          <w:rFonts w:ascii="Calibri" w:hAnsi="Calibri" w:cs="Calibri"/>
          <w:noProof/>
          <w:sz w:val="20"/>
          <w:szCs w:val="24"/>
        </w:rPr>
        <w:tab/>
        <w:t>A. Guillot, A.C. Couffin, X. Sejean, F. Navarro, M. Limberger, C.M. Lehr, Solid Phase Extraction as an Innovative Separation Method for Measuring Free and Entrapped Drug in Lipid Nanoparticles, Pharm. Res. 32 (2015) 3999–4009. https://doi.org/10.1007/s11095-015-1761-8.</w:t>
      </w:r>
    </w:p>
    <w:p w14:paraId="358B91EE"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[33]</w:t>
      </w:r>
      <w:r w:rsidRPr="003D6F22">
        <w:rPr>
          <w:rFonts w:ascii="Calibri" w:hAnsi="Calibri" w:cs="Calibri"/>
          <w:noProof/>
          <w:sz w:val="20"/>
          <w:szCs w:val="24"/>
        </w:rPr>
        <w:tab/>
        <w:t>S. Skoczen, S.E. McNeil, S.T. Stern, Stable isotope method to measure drug release from nanomedicines., J. Control. Release. 220 (2015) 169–74. https://doi.org/10.1016/j.jconrel.2015.10.042.</w:t>
      </w:r>
    </w:p>
    <w:p w14:paraId="466A234A"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[34]</w:t>
      </w:r>
      <w:r w:rsidRPr="003D6F22">
        <w:rPr>
          <w:rFonts w:ascii="Calibri" w:hAnsi="Calibri" w:cs="Calibri"/>
          <w:noProof/>
          <w:sz w:val="20"/>
          <w:szCs w:val="24"/>
        </w:rPr>
        <w:tab/>
        <w:t>Y. Hu, R.M. Crist, J.D. Clogston, The utility of asymmetric flow field-flow fractionation for preclinical characterization of nanomedicines, Anal. Bioanal. Chem. 412 (2020) 425–438. https://doi.org/10.1007/s00216-019-02252-9.</w:t>
      </w:r>
    </w:p>
    <w:p w14:paraId="70D8A0D3"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[35]</w:t>
      </w:r>
      <w:r w:rsidRPr="003D6F22">
        <w:rPr>
          <w:rFonts w:ascii="Calibri" w:hAnsi="Calibri" w:cs="Calibri"/>
          <w:noProof/>
          <w:sz w:val="20"/>
          <w:szCs w:val="24"/>
        </w:rPr>
        <w:tab/>
        <w:t>G. Berrecoso, J. Crecente-Campo, M.J. Alonso, Unveiling the pitfalls of the protein corona of polymeric drug nanocarriers, Drug Deliv. Transl. Res. 10 (2020) 730–750. https://doi.org/10.1007/s13346-020-00745-0.</w:t>
      </w:r>
    </w:p>
    <w:p w14:paraId="419EC1C7"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[36]</w:t>
      </w:r>
      <w:r w:rsidRPr="003D6F22">
        <w:rPr>
          <w:rFonts w:ascii="Calibri" w:hAnsi="Calibri" w:cs="Calibri"/>
          <w:noProof/>
          <w:sz w:val="20"/>
          <w:szCs w:val="24"/>
        </w:rPr>
        <w:tab/>
        <w:t>M.P. Monopoli, A.S. Pitek, I. Lynch, K.A. Dawson, Formation and characterization of the nanoparticle-protein corona, Methods Mol. Biol. 1025 (2013) 137–155. https://doi.org/10.1007/978-1-62703-462-3_11.</w:t>
      </w:r>
    </w:p>
    <w:p w14:paraId="027CC457"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[37]</w:t>
      </w:r>
      <w:r w:rsidRPr="003D6F22">
        <w:rPr>
          <w:rFonts w:ascii="Calibri" w:hAnsi="Calibri" w:cs="Calibri"/>
          <w:noProof/>
          <w:sz w:val="20"/>
          <w:szCs w:val="24"/>
        </w:rPr>
        <w:tab/>
        <w:t>M.E. Krause, E. Sahin, Chemical and physical instabilities in manufacturing and storage of therapeutic proteins, Curr. Opin. Biotechnol. 60 (2019) 159–167. https://doi.org/10.1016/j.copbio.2019.01.014.</w:t>
      </w:r>
    </w:p>
    <w:p w14:paraId="0784F74E"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[38]</w:t>
      </w:r>
      <w:r w:rsidRPr="003D6F22">
        <w:rPr>
          <w:rFonts w:ascii="Calibri" w:hAnsi="Calibri" w:cs="Calibri"/>
          <w:noProof/>
          <w:sz w:val="20"/>
          <w:szCs w:val="24"/>
        </w:rPr>
        <w:tab/>
        <w:t>A. Ivask, A.J. Mitchell, A. Malysheva, N.H. Voelcker, E. Lombi, Methodologies and approaches for the analysis of cell-nanoparticle interactions, Wiley Interdiscip. Rev. Nanomedicine Nanobiotechnology. 10 (2018) e1486. https://doi.org/10.1002/wnan.1486.</w:t>
      </w:r>
    </w:p>
    <w:p w14:paraId="13101992"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[39]</w:t>
      </w:r>
      <w:r w:rsidRPr="003D6F22">
        <w:rPr>
          <w:rFonts w:ascii="Calibri" w:hAnsi="Calibri" w:cs="Calibri"/>
          <w:noProof/>
          <w:sz w:val="20"/>
          <w:szCs w:val="24"/>
        </w:rPr>
        <w:tab/>
        <w:t>M.D. Montaño, J.W. Olesik, A.G. Barber, K. Challis, J.F. Ranville, Single Particle ICP-MS: Advances toward routine analysis of nanomaterials, Anal. Bioanal. Chem. 408 (2016) 5053–5074. https://doi.org/10.1007/s00216-016-9676-8.</w:t>
      </w:r>
    </w:p>
    <w:p w14:paraId="6BB1C347"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[40]</w:t>
      </w:r>
      <w:r w:rsidRPr="003D6F22">
        <w:rPr>
          <w:rFonts w:ascii="Calibri" w:hAnsi="Calibri" w:cs="Calibri"/>
          <w:noProof/>
          <w:sz w:val="20"/>
          <w:szCs w:val="24"/>
        </w:rPr>
        <w:tab/>
        <w:t>C.Y. Wong, H. Al-Salami, C.R. Dass, Cellular assays and applied technologies for characterisation of orally administered protein nanoparticles: a systematic review, J. Drug Target. 28 (2020) 585–599. https://doi.org/10.1080/1061186X.2020.1726356.</w:t>
      </w:r>
    </w:p>
    <w:p w14:paraId="1D9D762A"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[41]</w:t>
      </w:r>
      <w:r w:rsidRPr="003D6F22">
        <w:rPr>
          <w:rFonts w:ascii="Calibri" w:hAnsi="Calibri" w:cs="Calibri"/>
          <w:noProof/>
          <w:sz w:val="20"/>
          <w:szCs w:val="24"/>
        </w:rPr>
        <w:tab/>
        <w:t>B. Semete, L.I.J. Booysen, L. Kalombo, J.D. Venter, L. Katata, B. Ramalapa, J.A. Verschoor, H. Swai, In vivo uptake and acute immune response to orally administered chitosan and PEG coated PLGA nanoparticles, Toxicol. Appl. Pharmacol. 249 (2010). https://doi.org/10.1016/j.taap.2010.09.002.</w:t>
      </w:r>
    </w:p>
    <w:p w14:paraId="3CCAF2C3"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[42]</w:t>
      </w:r>
      <w:r w:rsidRPr="003D6F22">
        <w:rPr>
          <w:rFonts w:ascii="Calibri" w:hAnsi="Calibri" w:cs="Calibri"/>
          <w:noProof/>
          <w:sz w:val="20"/>
          <w:szCs w:val="24"/>
        </w:rPr>
        <w:tab/>
        <w:t>D. Boraschi, P. Italiani, R. Palomba, P. Decuzzi, A. Duschl, B. Fadeel, S.M.M. Moghimi, Nanoparticles and innate immunity: new perspectives on host defence, Semin. Immunol. 34 (2017) 33–51. https://doi.org/10.1016/j.smim.2017.08.013.</w:t>
      </w:r>
    </w:p>
    <w:p w14:paraId="50D003F2"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[43]</w:t>
      </w:r>
      <w:r w:rsidRPr="003D6F22">
        <w:rPr>
          <w:rFonts w:ascii="Calibri" w:hAnsi="Calibri" w:cs="Calibri"/>
          <w:noProof/>
          <w:sz w:val="20"/>
          <w:szCs w:val="24"/>
        </w:rPr>
        <w:tab/>
        <w:t>B. Halamoda-Kenzaoui, S. Bremer-Hoffmann, Main trends of immune effects triggered by nanomedicines in preclinical studies, Int. J. Nanomedicine. 13 (2018) 5419–5431.</w:t>
      </w:r>
    </w:p>
    <w:p w14:paraId="57344456"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[44]</w:t>
      </w:r>
      <w:r w:rsidRPr="003D6F22">
        <w:rPr>
          <w:rFonts w:ascii="Calibri" w:hAnsi="Calibri" w:cs="Calibri"/>
          <w:noProof/>
          <w:sz w:val="20"/>
          <w:szCs w:val="24"/>
        </w:rPr>
        <w:tab/>
        <w:t>ICH, Immunotoxicity Studies For Human Pharmaceuticals S8, (2005). http://www.ich.org/fileadmin/Public_Web_Site/ICH_Products/Guidelines/Safety/S8/Step4/S8_Guideline.pdf (accessed July 19, 2017).</w:t>
      </w:r>
    </w:p>
    <w:p w14:paraId="0B2E86E4"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[45]</w:t>
      </w:r>
      <w:r w:rsidRPr="003D6F22">
        <w:rPr>
          <w:rFonts w:ascii="Calibri" w:hAnsi="Calibri" w:cs="Calibri"/>
          <w:noProof/>
          <w:sz w:val="20"/>
          <w:szCs w:val="24"/>
        </w:rPr>
        <w:tab/>
        <w:t xml:space="preserve">ISO/TC 194, Biological Evaluation of Medical Devices- Part 20: Principles and Methods for </w:t>
      </w:r>
      <w:r w:rsidRPr="003D6F22">
        <w:rPr>
          <w:rFonts w:ascii="Calibri" w:hAnsi="Calibri" w:cs="Calibri"/>
          <w:noProof/>
          <w:sz w:val="20"/>
          <w:szCs w:val="24"/>
        </w:rPr>
        <w:lastRenderedPageBreak/>
        <w:t>Immunotoxicology testing of Medical Devices/ISO/TS 10993-20:2006, 26 (2006) 54. https://doi.org/10.1097/00149078-199604150-00011.</w:t>
      </w:r>
    </w:p>
    <w:p w14:paraId="12F97EAC"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[46]</w:t>
      </w:r>
      <w:r w:rsidRPr="003D6F22">
        <w:rPr>
          <w:rFonts w:ascii="Calibri" w:hAnsi="Calibri" w:cs="Calibri"/>
          <w:noProof/>
          <w:sz w:val="20"/>
          <w:szCs w:val="24"/>
        </w:rPr>
        <w:tab/>
        <w:t>R. Guadagnini, B. Halamoda Kenzaoui, L. Cartwright, G. Pojana, Z. Magdolenova, D. Bilanicova, M. Saunders, L. Juillerat, A. Marcomini, A. Huk, M. Dusinska, L.M. Fjellsbø, F. Marano, S. Boland, Toxicity screenings of nanomaterials: challenges due to interference with assay processes and components of classic in vitro tests., Nanotoxicology. 9 (2015) 13–24. http://www.ncbi.nlm.nih.gov/pubmed/23889211.</w:t>
      </w:r>
    </w:p>
    <w:p w14:paraId="087D358C"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[47]</w:t>
      </w:r>
      <w:r w:rsidRPr="003D6F22">
        <w:rPr>
          <w:rFonts w:ascii="Calibri" w:hAnsi="Calibri" w:cs="Calibri"/>
          <w:noProof/>
          <w:sz w:val="20"/>
          <w:szCs w:val="24"/>
        </w:rPr>
        <w:tab/>
        <w:t>M.A. Dobrovolskaia, B.W. Neun, J.D. Clogston, J.H. Grossman, S.E. McNeil, Choice of method for endotoxin detection depends on nanoformulation., Nanomedicine (Lond). 9 (2014) 1847–56. https://doi.org/10.2217/nnm.13.157.</w:t>
      </w:r>
    </w:p>
    <w:p w14:paraId="467C0404"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[48]</w:t>
      </w:r>
      <w:r w:rsidRPr="003D6F22">
        <w:rPr>
          <w:rFonts w:ascii="Calibri" w:hAnsi="Calibri" w:cs="Calibri"/>
          <w:noProof/>
          <w:sz w:val="20"/>
          <w:szCs w:val="24"/>
        </w:rPr>
        <w:tab/>
        <w:t>C. Giannakou, R.E. Geertsma, W.H. De Jong, H. van Loveren, R.J. Vandebriel, M.V. Park, R. E. Geertsma, W. H. de Jong, H. van Loveren, R. J. Vandebriel, M. VDZ Park, Immunotoxicity testing of nanomedicinal products: possible pitfalls in endotoxin determination., Curr. Bionanotechnol. 2 (2016) 95–102. https://doi.org/10.2174/2213529402666160601115600.</w:t>
      </w:r>
    </w:p>
    <w:p w14:paraId="1EB2E439"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[49]</w:t>
      </w:r>
      <w:r w:rsidRPr="003D6F22">
        <w:rPr>
          <w:rFonts w:ascii="Calibri" w:hAnsi="Calibri" w:cs="Calibri"/>
          <w:noProof/>
          <w:sz w:val="20"/>
          <w:szCs w:val="24"/>
        </w:rPr>
        <w:tab/>
        <w:t>S. Smulders, J.P. Kaiser, S. Zuin, K.L. Van Landuyt, L. Golanski, J. Vanoirbeek, P. Wick, P.H.M. Hoet, Contamination of nanoparticles by endotoxin: Evaluation of different test methods, Part. Fibre Toxicol. 9 (2012). https://doi.org/10.1186/1743-8977-9-41.</w:t>
      </w:r>
    </w:p>
    <w:p w14:paraId="4FEA1F38"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[50]</w:t>
      </w:r>
      <w:r w:rsidRPr="003D6F22">
        <w:rPr>
          <w:rFonts w:ascii="Calibri" w:hAnsi="Calibri" w:cs="Calibri"/>
          <w:noProof/>
          <w:sz w:val="20"/>
          <w:szCs w:val="24"/>
        </w:rPr>
        <w:tab/>
        <w:t>C. Giannakou, K. Aimonen, L. Van Bloois, J. Catalán, R.E. Geertsma, E.R. Gremmer, W.H. De Jong, P.H.J. Keizers, P.L.W.J. Schwillens, R.J. Vandebriel, M.V.D.Z. Park, Sensitive method for endotoxin determination in nanomedicinal product samples, Nanomedicine. 14 (2019) 1231–1246. https://doi.org/10.2217/nnm-2018-0339.</w:t>
      </w:r>
    </w:p>
    <w:p w14:paraId="63BC903E"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[51]</w:t>
      </w:r>
      <w:r w:rsidRPr="003D6F22">
        <w:rPr>
          <w:rFonts w:ascii="Calibri" w:hAnsi="Calibri" w:cs="Calibri"/>
          <w:noProof/>
          <w:sz w:val="20"/>
          <w:szCs w:val="24"/>
        </w:rPr>
        <w:tab/>
        <w:t>S. Lu, R. Duffin, C. Poland, P. Daly, F. Murphy, E. Drost, W. MacNee, V. Stone, K. Donaldson, Efficacy of simple short-term in vitro assays for predicting the potential of metal oxide nanoparticles to cause pulmonary inflammation, Environ. Health Perspect. 117 (2009) 241–247. https://doi.org/10.1289/ehp.11811.</w:t>
      </w:r>
    </w:p>
    <w:p w14:paraId="53F67FC0"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[52]</w:t>
      </w:r>
      <w:r w:rsidRPr="003D6F22">
        <w:rPr>
          <w:rFonts w:ascii="Calibri" w:hAnsi="Calibri" w:cs="Calibri"/>
          <w:noProof/>
          <w:sz w:val="20"/>
          <w:szCs w:val="24"/>
        </w:rPr>
        <w:tab/>
        <w:t>S. Braune, R.A. Latour, M. Reinthaler, U. Landmesser, A. Lendlein, F. Jung, In Vitro Thrombogenicity Testing of Biomaterials, Adv. Healthc. Mater. 8 (2019). https://doi.org/10.1002/adhm.201900527.</w:t>
      </w:r>
    </w:p>
    <w:p w14:paraId="328FD1CD"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[53]</w:t>
      </w:r>
      <w:r w:rsidRPr="003D6F22">
        <w:rPr>
          <w:rFonts w:ascii="Calibri" w:hAnsi="Calibri" w:cs="Calibri"/>
          <w:noProof/>
          <w:sz w:val="20"/>
          <w:szCs w:val="24"/>
        </w:rPr>
        <w:tab/>
        <w:t>A.L. Guildford, T. Poletti, L.H. Osbourne, A. Di Cerbo, A.M. Gatti, M. Santin, Nanoparticles of a different source induce different patterns of activation in key biochemical and cellular components of the host response, J. R. Soc. Interface. 6 (2009) 1213–1221. https://doi.org/10.1098/rsif.2009.0021.</w:t>
      </w:r>
    </w:p>
    <w:p w14:paraId="52707246"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[54]</w:t>
      </w:r>
      <w:r w:rsidRPr="003D6F22">
        <w:rPr>
          <w:rFonts w:ascii="Calibri" w:hAnsi="Calibri" w:cs="Calibri"/>
          <w:noProof/>
          <w:sz w:val="20"/>
          <w:szCs w:val="24"/>
        </w:rPr>
        <w:tab/>
        <w:t>J. Szebeni, P. Bedocs, Z. Rozsnyay, Z. Weiszhár, R. Urbanics, L. Rosivall, R. Cohen, O. Garbuzenko, G. Báthori, M. Tóth, R. Bünger, Y. Barenholz, Liposome-induced complement activation and related cardiopulmonary distress in pigs: Factors promoting reactogenicity of Doxil and AmBisome, Nanomedicine Nanotechnology, Biol. Med. 8 (2012). https://doi.org/10.1016/j.nano.2011.06.003.</w:t>
      </w:r>
    </w:p>
    <w:p w14:paraId="3EDCC83D"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[55]</w:t>
      </w:r>
      <w:r w:rsidRPr="003D6F22">
        <w:rPr>
          <w:rFonts w:ascii="Calibri" w:hAnsi="Calibri" w:cs="Calibri"/>
          <w:noProof/>
          <w:sz w:val="20"/>
          <w:szCs w:val="24"/>
        </w:rPr>
        <w:tab/>
        <w:t>J. Szebeni, Complement activation-related pseudoallergy: A stress reaction in blood triggered by nanomedicines and biologicals, Mol. Immunol. 61 (2014) 163–173. https://doi.org/10.1016/J.MOLIMM.2014.06.038.</w:t>
      </w:r>
    </w:p>
    <w:p w14:paraId="36FA99B6"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[56]</w:t>
      </w:r>
      <w:r w:rsidRPr="003D6F22">
        <w:rPr>
          <w:rFonts w:ascii="Calibri" w:hAnsi="Calibri" w:cs="Calibri"/>
          <w:noProof/>
          <w:sz w:val="20"/>
          <w:szCs w:val="24"/>
        </w:rPr>
        <w:tab/>
        <w:t>C.M. Cunningham, M. Kingzette, R.L. Richards, C.R. Alving, T.F. Lint, H. Gewurz, Activation of Human Complement by Liposomes: A Model for Membrane Activation of the Alternative Pathway, J. Immunol. 122 (1979).</w:t>
      </w:r>
    </w:p>
    <w:p w14:paraId="46E7B4E2"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[57]</w:t>
      </w:r>
      <w:r w:rsidRPr="003D6F22">
        <w:rPr>
          <w:rFonts w:ascii="Calibri" w:hAnsi="Calibri" w:cs="Calibri"/>
          <w:noProof/>
          <w:sz w:val="20"/>
          <w:szCs w:val="24"/>
        </w:rPr>
        <w:tab/>
        <w:t>C. Salvador-Morales, L. Zhang, R. Langer, O.C. Farokhzad, Immunocompatibility properties of lipid-polymer hybrid nanoparticles with heterogeneous surface functional groups, Biomaterials. 30 (2009) 2231–2240. https://doi.org/10.1016/j.biomaterials.2009.01.005.</w:t>
      </w:r>
    </w:p>
    <w:p w14:paraId="42130CCE"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[58]</w:t>
      </w:r>
      <w:r w:rsidRPr="003D6F22">
        <w:rPr>
          <w:rFonts w:ascii="Calibri" w:hAnsi="Calibri" w:cs="Calibri"/>
          <w:noProof/>
          <w:sz w:val="20"/>
          <w:szCs w:val="24"/>
        </w:rPr>
        <w:tab/>
        <w:t xml:space="preserve">G. Wang, F. Chen, N.K. Banda, V.M. Holers, L.P. Wu, S.M. Moghimi, D. Simberg, Activation of human complement system by dextran-coated iron oxide nanoparticles is not affected by dextran/Fe ratio, hydroxyl modifications, and crosslinking, Front. Immunol. 7 (2016). </w:t>
      </w:r>
      <w:r w:rsidRPr="003D6F22">
        <w:rPr>
          <w:rFonts w:ascii="Calibri" w:hAnsi="Calibri" w:cs="Calibri"/>
          <w:noProof/>
          <w:sz w:val="20"/>
          <w:szCs w:val="24"/>
        </w:rPr>
        <w:lastRenderedPageBreak/>
        <w:t>https://doi.org/10.3389/fimmu.2016.00418.</w:t>
      </w:r>
    </w:p>
    <w:p w14:paraId="6FDF1858"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[59]</w:t>
      </w:r>
      <w:r w:rsidRPr="003D6F22">
        <w:rPr>
          <w:rFonts w:ascii="Calibri" w:hAnsi="Calibri" w:cs="Calibri"/>
          <w:noProof/>
          <w:sz w:val="20"/>
          <w:szCs w:val="24"/>
        </w:rPr>
        <w:tab/>
        <w:t>H. Benasutti, G. Wang, V.P. Vu, R. Scheinman, E. Groman, L. Saba, D. Simberg, Variability of Complement Response toward Preclinical and Clinical Nanocarriers in the General Population, Bioconjug. Chem. 28 (2017) 2747–2755. https://doi.org/10.1021/acs.bioconjchem.7b00496.</w:t>
      </w:r>
    </w:p>
    <w:p w14:paraId="5CB5DC2E"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[60]</w:t>
      </w:r>
      <w:r w:rsidRPr="003D6F22">
        <w:rPr>
          <w:rFonts w:ascii="Calibri" w:hAnsi="Calibri" w:cs="Calibri"/>
          <w:noProof/>
          <w:sz w:val="20"/>
          <w:szCs w:val="24"/>
        </w:rPr>
        <w:tab/>
        <w:t>V.P. Vu, G.B. Gifford, F. Chen, H. Benasutti, G. Wang, E. V. Groman, R. Scheinman, L. Saba, S.M. Moghimi, D. Simberg, Immunoglobulin deposition on biomolecule corona determines complement opsonization efficiency of preclinical and clinical nanoparticles, Nat. Nanotechnol. 14 (2019) 260–268. https://doi.org/10.1038/s41565-018-0344-3.</w:t>
      </w:r>
    </w:p>
    <w:p w14:paraId="47CCC66C"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[61]</w:t>
      </w:r>
      <w:r w:rsidRPr="003D6F22">
        <w:rPr>
          <w:rFonts w:ascii="Calibri" w:hAnsi="Calibri" w:cs="Calibri"/>
          <w:noProof/>
          <w:sz w:val="20"/>
          <w:szCs w:val="24"/>
        </w:rPr>
        <w:tab/>
        <w:t>F. Chen, G. Wang, J.I. Griffin, B. Brenneman, N.K. Banda, V.M. Holers, D.S. Backos, L. Wu, S.M. Moghimi, D. Simberg, Complement proteins bind to nanoparticle protein corona and undergo dynamic exchange in vivo, Nat. Nanotechnol. 12 (2017) 387–393. https://doi.org/10.1038/nnano.2016.269.</w:t>
      </w:r>
    </w:p>
    <w:p w14:paraId="15E504CA"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[62]</w:t>
      </w:r>
      <w:r w:rsidRPr="003D6F22">
        <w:rPr>
          <w:rFonts w:ascii="Calibri" w:hAnsi="Calibri" w:cs="Calibri"/>
          <w:noProof/>
          <w:sz w:val="20"/>
          <w:szCs w:val="24"/>
        </w:rPr>
        <w:tab/>
        <w:t>B. Sun, X. Wang, Z. Ji, R. Li, T. Xia, NLRP3 inflammasome activation induced by engineered nanomaterials, Small. 9 (2013) 1595–1607. https://doi.org/10.1002/smll.201201962.</w:t>
      </w:r>
    </w:p>
    <w:p w14:paraId="0DF56DE9"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[63]</w:t>
      </w:r>
      <w:r w:rsidRPr="003D6F22">
        <w:rPr>
          <w:rFonts w:ascii="Calibri" w:hAnsi="Calibri" w:cs="Calibri"/>
          <w:noProof/>
          <w:sz w:val="20"/>
          <w:szCs w:val="24"/>
        </w:rPr>
        <w:tab/>
        <w:t>C. Lonez, M. Bessodes, D. Scherman, M. Vandenbranden, V. Escriou, J.M. Ruysschaert, Cationic lipid nanocarriers activate Toll-like receptor 2 and NLRP3 inflammasome pathways, Nanomedicine Nanotechnology, Biol. Med. 10 (2014) 775–782. https://doi.org/10.1016/j.nano.2013.12.003.</w:t>
      </w:r>
    </w:p>
    <w:p w14:paraId="1B8643C9"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[64]</w:t>
      </w:r>
      <w:r w:rsidRPr="003D6F22">
        <w:rPr>
          <w:rFonts w:ascii="Calibri" w:hAnsi="Calibri" w:cs="Calibri"/>
          <w:noProof/>
          <w:sz w:val="20"/>
          <w:szCs w:val="24"/>
        </w:rPr>
        <w:tab/>
        <w:t>Y. Li, S. Wang, J. Fan, X. Zhang, X. Qian, X. Zhang, J. Luan, P. Song, Z. Wang, Q. Chen, D. Ju, Targeting TNFα Ameliorated Cationic PAMAM Dendrimer-Induced Hepatotoxicity via Regulating NLRP3 Inflammasomes Pathway, ACS Biomater. Sci. Eng. 3 (2017) 843–853. https://doi.org/10.1021/acsbiomaterials.6b00790.</w:t>
      </w:r>
    </w:p>
    <w:p w14:paraId="08E33C15"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[65]</w:t>
      </w:r>
      <w:r w:rsidRPr="003D6F22">
        <w:rPr>
          <w:rFonts w:ascii="Calibri" w:hAnsi="Calibri" w:cs="Calibri"/>
          <w:noProof/>
          <w:sz w:val="20"/>
          <w:szCs w:val="24"/>
        </w:rPr>
        <w:tab/>
        <w:t>E.M. Sussman, M.C. Halpin, J. Muster, R.T. Moon, B.D. Ratner, Porous implants modulate healing and induce shifts in local macrophage polarization in the foreign body reaction, Ann. Biomed. Eng. 42 (2014) 1508–1516. https://doi.org/10.1007/s10439-013-0933-0.</w:t>
      </w:r>
    </w:p>
    <w:p w14:paraId="10849EBD"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[66]</w:t>
      </w:r>
      <w:r w:rsidRPr="003D6F22">
        <w:rPr>
          <w:rFonts w:ascii="Calibri" w:hAnsi="Calibri" w:cs="Calibri"/>
          <w:noProof/>
          <w:sz w:val="20"/>
          <w:szCs w:val="24"/>
        </w:rPr>
        <w:tab/>
        <w:t>V.E. Kagan, B. Gleiss, Y.Y. Tyurina, V.A. Tyurin, C. Elenström-Magnusson, S.-X. Liu, F.B. Serinkan, A. Arroyo, J. Chandra, S. Orrenius, B. Fadeel, A Role for Oxidative Stress in Apoptosis: Oxidation and Externalization of Phosphatidylserine Is Required for Macrophage Clearance of Cells Undergoing Fas-Mediated Apoptosis, J. Immunol. 169 (2002) 487–499. https://doi.org/10.4049/jimmunol.169.1.487.</w:t>
      </w:r>
    </w:p>
    <w:p w14:paraId="4ACA7979"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[67]</w:t>
      </w:r>
      <w:r w:rsidRPr="003D6F22">
        <w:rPr>
          <w:rFonts w:ascii="Calibri" w:hAnsi="Calibri" w:cs="Calibri"/>
          <w:noProof/>
          <w:sz w:val="20"/>
          <w:szCs w:val="24"/>
        </w:rPr>
        <w:tab/>
        <w:t>NANOMMUNE, Quality Handbook: Standard Procedures for Nanoparticle Testing, (2011).</w:t>
      </w:r>
    </w:p>
    <w:p w14:paraId="54A2F55E"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[68]</w:t>
      </w:r>
      <w:r w:rsidRPr="003D6F22">
        <w:rPr>
          <w:rFonts w:ascii="Calibri" w:hAnsi="Calibri" w:cs="Calibri"/>
          <w:noProof/>
          <w:sz w:val="20"/>
          <w:szCs w:val="24"/>
        </w:rPr>
        <w:tab/>
        <w:t>T.M. Potter, B.W. Neun, M.A. Dobrovolskaia, Methods for analysis of nanoparticle immunosuppressive properties in vitro and in vivo, in: Methods Mol. Biol., Humana Press Inc., 2018: pp. 161–172. https://doi.org/10.1007/978-1-4939-7352-1_14.</w:t>
      </w:r>
    </w:p>
    <w:p w14:paraId="0AABEBE5"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[69]</w:t>
      </w:r>
      <w:r w:rsidRPr="003D6F22">
        <w:rPr>
          <w:rFonts w:ascii="Calibri" w:hAnsi="Calibri" w:cs="Calibri"/>
          <w:noProof/>
          <w:sz w:val="20"/>
          <w:szCs w:val="24"/>
        </w:rPr>
        <w:tab/>
        <w:t>V. Galbiati, M. Mitjans, E. Corsini, Present and future of in vitro immunotoxicology in drug development, J. Immunotoxicol. 7 (2010) 255–267. https://doi.org/10.3109/1547691X.2010.509848.</w:t>
      </w:r>
    </w:p>
    <w:p w14:paraId="00857461"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[70]</w:t>
      </w:r>
      <w:r w:rsidRPr="003D6F22">
        <w:rPr>
          <w:rFonts w:ascii="Calibri" w:hAnsi="Calibri" w:cs="Calibri"/>
          <w:noProof/>
          <w:sz w:val="20"/>
          <w:szCs w:val="24"/>
        </w:rPr>
        <w:tab/>
        <w:t>D. Germolec, R. Luebke, A. Rooney, K. Shipkowski, R. Vandebriel, H. van Loveren, Immunotoxicology: A brief history, current status and strategies for future immunotoxicity assessment, Curr. Opin. Toxicol. 5 (2017) 55–59. https://doi.org/10.1016/j.cotox.2017.08.002.</w:t>
      </w:r>
    </w:p>
    <w:p w14:paraId="1ACE6BF5"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[71]</w:t>
      </w:r>
      <w:r w:rsidRPr="003D6F22">
        <w:rPr>
          <w:rFonts w:ascii="Calibri" w:hAnsi="Calibri" w:cs="Calibri"/>
          <w:noProof/>
          <w:sz w:val="20"/>
          <w:szCs w:val="24"/>
        </w:rPr>
        <w:tab/>
        <w:t>P. Brodin, M.M. Davis, Human immune system variation., Nat. Rev. Immunol. 17 (2017) 21–29. https://doi.org/10.1038/nri.2016.125.</w:t>
      </w:r>
    </w:p>
    <w:p w14:paraId="7C104AC0"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[72]</w:t>
      </w:r>
      <w:r w:rsidRPr="003D6F22">
        <w:rPr>
          <w:rFonts w:ascii="Calibri" w:hAnsi="Calibri" w:cs="Calibri"/>
          <w:noProof/>
          <w:sz w:val="20"/>
          <w:szCs w:val="24"/>
        </w:rPr>
        <w:tab/>
        <w:t>M. a. Dobrovolskaia, S.E. McNeil, Understanding the correlation between in vitro and in vivo immunotoxicity tests for nanomedicines., J. Control. Release. 172 (2013) 456–66. https://doi.org/10.1016/j.jconrel.2013.05.025.</w:t>
      </w:r>
    </w:p>
    <w:p w14:paraId="1810AEA9"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[73]</w:t>
      </w:r>
      <w:r w:rsidRPr="003D6F22">
        <w:rPr>
          <w:rFonts w:ascii="Calibri" w:hAnsi="Calibri" w:cs="Calibri"/>
          <w:noProof/>
          <w:sz w:val="20"/>
          <w:szCs w:val="24"/>
        </w:rPr>
        <w:tab/>
        <w:t>H. Ali, Regulation of human mast cell and basophil function by anaphylatoxins C3a and C5a, Immunol. Lett. 128 (2010) 36–45. https://doi.org/10.1016/j.imlet.2009.10.007.</w:t>
      </w:r>
    </w:p>
    <w:p w14:paraId="530951D9"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[74]</w:t>
      </w:r>
      <w:r w:rsidRPr="003D6F22">
        <w:rPr>
          <w:rFonts w:ascii="Calibri" w:hAnsi="Calibri" w:cs="Calibri"/>
          <w:noProof/>
          <w:sz w:val="20"/>
          <w:szCs w:val="24"/>
        </w:rPr>
        <w:tab/>
        <w:t xml:space="preserve">A. Soruri, Z. Kiafard, C. Dettmer, J. Riggert, J. Köhl, J. Zwirner, IL-4 Down-Regulates Anaphylatoxin </w:t>
      </w:r>
      <w:r w:rsidRPr="003D6F22">
        <w:rPr>
          <w:rFonts w:ascii="Calibri" w:hAnsi="Calibri" w:cs="Calibri"/>
          <w:noProof/>
          <w:sz w:val="20"/>
          <w:szCs w:val="24"/>
        </w:rPr>
        <w:lastRenderedPageBreak/>
        <w:t>Receptors in Monocytes and Dendritic Cells and Impairs Anaphylatoxin-Induced Migration In Vivo, J. Immunol. 170 (2003) 3306–3314. https://doi.org/10.4049/jimmunol.170.6.3306.</w:t>
      </w:r>
    </w:p>
    <w:p w14:paraId="2795E479"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szCs w:val="24"/>
        </w:rPr>
      </w:pPr>
      <w:r w:rsidRPr="003D6F22">
        <w:rPr>
          <w:rFonts w:ascii="Calibri" w:hAnsi="Calibri" w:cs="Calibri"/>
          <w:noProof/>
          <w:sz w:val="20"/>
          <w:szCs w:val="24"/>
        </w:rPr>
        <w:t>[75]</w:t>
      </w:r>
      <w:r w:rsidRPr="003D6F22">
        <w:rPr>
          <w:rFonts w:ascii="Calibri" w:hAnsi="Calibri" w:cs="Calibri"/>
          <w:noProof/>
          <w:sz w:val="20"/>
          <w:szCs w:val="24"/>
        </w:rPr>
        <w:tab/>
        <w:t>T. Takabayashi, S. Shimizu, B.D. Clark, M. Beinborn, J.F. Burke, J.A. Gelfand, Interleukin-1 upregulates anaphylatoxin receptors on mononuclear cells, Surgery. 135 (2004) 544–554. https://doi.org/10.1016/j.surg.2003.09.010.</w:t>
      </w:r>
    </w:p>
    <w:p w14:paraId="3C6ACC5A" w14:textId="77777777" w:rsidR="003D6F22" w:rsidRPr="003D6F22" w:rsidRDefault="003D6F22" w:rsidP="003D6F22">
      <w:pPr>
        <w:widowControl w:val="0"/>
        <w:autoSpaceDE w:val="0"/>
        <w:autoSpaceDN w:val="0"/>
        <w:adjustRightInd w:val="0"/>
        <w:spacing w:line="240" w:lineRule="auto"/>
        <w:ind w:left="640" w:hanging="640"/>
        <w:rPr>
          <w:rFonts w:ascii="Calibri" w:hAnsi="Calibri" w:cs="Calibri"/>
          <w:noProof/>
          <w:sz w:val="20"/>
        </w:rPr>
      </w:pPr>
      <w:r w:rsidRPr="003D6F22">
        <w:rPr>
          <w:rFonts w:ascii="Calibri" w:hAnsi="Calibri" w:cs="Calibri"/>
          <w:noProof/>
          <w:sz w:val="20"/>
          <w:szCs w:val="24"/>
        </w:rPr>
        <w:t>[76]</w:t>
      </w:r>
      <w:r w:rsidRPr="003D6F22">
        <w:rPr>
          <w:rFonts w:ascii="Calibri" w:hAnsi="Calibri" w:cs="Calibri"/>
          <w:noProof/>
          <w:sz w:val="20"/>
          <w:szCs w:val="24"/>
        </w:rPr>
        <w:tab/>
        <w:t>GSRS, Nanotechnology Standards and Applications. Report, (2016) 1–35. https://www.astm.org/COMMIT/GSRS16 Final Report.pdf.</w:t>
      </w:r>
    </w:p>
    <w:p w14:paraId="74329378" w14:textId="77777777" w:rsidR="002D0B91" w:rsidRPr="00A64B10" w:rsidRDefault="002D0B91" w:rsidP="0085781E">
      <w:pPr>
        <w:jc w:val="both"/>
        <w:rPr>
          <w:b/>
          <w:bCs/>
        </w:rPr>
      </w:pPr>
      <w:r w:rsidRPr="00A64B10">
        <w:rPr>
          <w:b/>
          <w:bCs/>
          <w:sz w:val="20"/>
          <w:szCs w:val="20"/>
        </w:rPr>
        <w:fldChar w:fldCharType="end"/>
      </w:r>
    </w:p>
    <w:p w14:paraId="4B37A170" w14:textId="1BB28628" w:rsidR="003432E9" w:rsidRDefault="003432E9">
      <w:r>
        <w:br w:type="page"/>
      </w:r>
    </w:p>
    <w:p w14:paraId="2AD15C56" w14:textId="1DDF4282" w:rsidR="008357CC" w:rsidRPr="00A23F1A" w:rsidRDefault="003432E9" w:rsidP="00D10463">
      <w:pPr>
        <w:spacing w:after="0"/>
        <w:rPr>
          <w:b/>
          <w:bCs/>
        </w:rPr>
      </w:pPr>
      <w:r w:rsidRPr="00A23F1A">
        <w:rPr>
          <w:b/>
          <w:bCs/>
        </w:rPr>
        <w:lastRenderedPageBreak/>
        <w:t>Figures:</w:t>
      </w:r>
    </w:p>
    <w:p w14:paraId="47689CBF" w14:textId="722782B1" w:rsidR="003432E9" w:rsidRPr="00A23F1A" w:rsidRDefault="003432E9" w:rsidP="003432E9">
      <w:pPr>
        <w:jc w:val="both"/>
        <w:rPr>
          <w:b/>
          <w:bCs/>
        </w:rPr>
      </w:pPr>
      <w:r w:rsidRPr="00A23F1A">
        <w:rPr>
          <w:b/>
          <w:bCs/>
        </w:rPr>
        <w:t xml:space="preserve">Figure 1: </w:t>
      </w:r>
      <w:r w:rsidRPr="00A23F1A">
        <w:t>Main steps of the methodological gap analysis.</w:t>
      </w:r>
    </w:p>
    <w:p w14:paraId="20E320AA" w14:textId="77777777" w:rsidR="003432E9" w:rsidRPr="00A23F1A" w:rsidRDefault="003432E9" w:rsidP="00C44211">
      <w:pPr>
        <w:spacing w:line="240" w:lineRule="auto"/>
        <w:jc w:val="both"/>
        <w:rPr>
          <w:b/>
          <w:bCs/>
        </w:rPr>
      </w:pPr>
      <w:r w:rsidRPr="00A23F1A">
        <w:rPr>
          <w:b/>
          <w:bCs/>
        </w:rPr>
        <w:t xml:space="preserve">Figure 2: </w:t>
      </w:r>
      <w:r w:rsidRPr="00A23F1A">
        <w:t>Categories and subcategories of methodological gaps, for which no standardised methods are available for nanotechnology-based health products.</w:t>
      </w:r>
    </w:p>
    <w:p w14:paraId="0A3115B4" w14:textId="3DE6E9D8" w:rsidR="003432E9" w:rsidRPr="00A23F1A" w:rsidRDefault="003432E9" w:rsidP="003432E9">
      <w:pPr>
        <w:spacing w:line="240" w:lineRule="auto"/>
        <w:jc w:val="both"/>
        <w:rPr>
          <w:rFonts w:ascii="Calibri" w:eastAsia="Calibri" w:hAnsi="Calibri" w:cs="Times New Roman"/>
        </w:rPr>
      </w:pPr>
      <w:r w:rsidRPr="00A23F1A">
        <w:rPr>
          <w:rFonts w:ascii="Calibri" w:eastAsia="Calibri" w:hAnsi="Calibri" w:cs="Times New Roman"/>
          <w:b/>
          <w:bCs/>
        </w:rPr>
        <w:t xml:space="preserve">Figure 3: </w:t>
      </w:r>
      <w:r w:rsidRPr="00A23F1A">
        <w:rPr>
          <w:rFonts w:ascii="Calibri" w:eastAsia="Calibri" w:hAnsi="Calibri" w:cs="Times New Roman"/>
        </w:rPr>
        <w:t xml:space="preserve">Schematic illustration of the main (non-exhaustive) cellular responses and pathways (dark blue boxes) leading to adverse effects of nanotechnology-based health products following systematic administration, and corresponding </w:t>
      </w:r>
      <w:r w:rsidRPr="00A23F1A">
        <w:rPr>
          <w:rFonts w:ascii="Calibri" w:eastAsia="Calibri" w:hAnsi="Calibri" w:cs="Times New Roman"/>
          <w:i/>
          <w:iCs/>
        </w:rPr>
        <w:t xml:space="preserve">in vitro </w:t>
      </w:r>
      <w:r w:rsidRPr="00A23F1A">
        <w:rPr>
          <w:rFonts w:ascii="Calibri" w:eastAsia="Calibri" w:hAnsi="Calibri" w:cs="Times New Roman"/>
        </w:rPr>
        <w:t>endpoints of biological assays (light blue boxes).</w:t>
      </w:r>
      <w:r w:rsidR="000B3F63">
        <w:rPr>
          <w:rFonts w:ascii="Calibri" w:eastAsia="Calibri" w:hAnsi="Calibri" w:cs="Times New Roman"/>
        </w:rPr>
        <w:t xml:space="preserve"> NP: Nanoparticle</w:t>
      </w:r>
    </w:p>
    <w:p w14:paraId="37BA732C" w14:textId="0671A1F4" w:rsidR="003432E9" w:rsidRPr="00A23F1A" w:rsidRDefault="003432E9" w:rsidP="003432E9">
      <w:pPr>
        <w:jc w:val="both"/>
      </w:pPr>
      <w:r w:rsidRPr="00A23F1A">
        <w:rPr>
          <w:rFonts w:ascii="Calibri" w:eastAsia="Calibri" w:hAnsi="Calibri" w:cs="Times New Roman"/>
          <w:b/>
          <w:bCs/>
        </w:rPr>
        <w:t>Figure 4</w:t>
      </w:r>
      <w:r w:rsidRPr="00A23F1A">
        <w:rPr>
          <w:rFonts w:ascii="Calibri" w:eastAsia="Calibri" w:hAnsi="Calibri" w:cs="Times New Roman"/>
        </w:rPr>
        <w:t>: Main steps of complement system activation leading to</w:t>
      </w:r>
      <w:r w:rsidRPr="00A23F1A">
        <w:t xml:space="preserve"> </w:t>
      </w:r>
      <w:r w:rsidRPr="00A23F1A">
        <w:rPr>
          <w:rFonts w:ascii="Calibri" w:eastAsia="Calibri" w:hAnsi="Calibri" w:cs="Times New Roman"/>
        </w:rPr>
        <w:t xml:space="preserve">complement activation-related pseudo-allergy (CARPA). </w:t>
      </w:r>
      <w:r w:rsidRPr="00A23F1A">
        <w:t>In the classical pathway, mainly IgG or IgM bind to structures on the surface of NPs resulting in cleavage of C3 into C3a and C3b, while the alternative pathway requires C3 on the surface and can itself convert C3 to C3a and C3b. C3a and C3b induce inflammation, and C3b induces Membrane Attack Complex (MAC; C5b-C9) formation. Anaphylatoxins C3a and C5a induce activation of mast cells, basophils and leucocytes secreting allergy mediators leading to CARPA symptoms.</w:t>
      </w:r>
    </w:p>
    <w:p w14:paraId="5CA7FEA4" w14:textId="77777777" w:rsidR="00A23F1A" w:rsidRPr="00A23F1A" w:rsidRDefault="00A23F1A" w:rsidP="00A23F1A">
      <w:pPr>
        <w:spacing w:before="240"/>
        <w:rPr>
          <w:b/>
        </w:rPr>
      </w:pPr>
      <w:r w:rsidRPr="00A23F1A">
        <w:rPr>
          <w:b/>
        </w:rPr>
        <w:t xml:space="preserve">Figure 5: </w:t>
      </w:r>
      <w:r w:rsidRPr="00C44211">
        <w:rPr>
          <w:bCs/>
        </w:rPr>
        <w:t>Overview on applicability of methods</w:t>
      </w:r>
      <w:r w:rsidRPr="00C44211">
        <w:rPr>
          <w:rStyle w:val="FootnoteReference"/>
          <w:bCs/>
        </w:rPr>
        <w:footnoteReference w:id="4"/>
      </w:r>
      <w:r w:rsidRPr="00C44211">
        <w:rPr>
          <w:bCs/>
        </w:rPr>
        <w:t xml:space="preserve"> in three areas of physicochemical characterisation, including surface properties, drug loading and release and kinetic properties in biological media without considering the status of method validation</w:t>
      </w:r>
      <w:r w:rsidRPr="00A23F1A">
        <w:t>. Very narrow applicability: methods applicable to one specific nanomaterial or nanomaterial type (</w:t>
      </w:r>
      <w:proofErr w:type="gramStart"/>
      <w:r w:rsidRPr="00A23F1A">
        <w:t>e.g.</w:t>
      </w:r>
      <w:proofErr w:type="gramEnd"/>
      <w:r w:rsidRPr="00A23F1A">
        <w:t xml:space="preserve"> AuNPs, liposomes); Narrow applicability: methods applicable to multiple nanomaterial types (e.g. inorganic or organic), Broad applicability: methods applicable (eventually with some specific limitations, e.g. particle size) to all nanomaterial types. </w:t>
      </w:r>
    </w:p>
    <w:p w14:paraId="17EB5834" w14:textId="77777777" w:rsidR="00A23F1A" w:rsidRPr="00A23F1A" w:rsidRDefault="00A23F1A" w:rsidP="00A23F1A">
      <w:pPr>
        <w:spacing w:line="240" w:lineRule="auto"/>
        <w:jc w:val="both"/>
      </w:pPr>
      <w:r w:rsidRPr="00A23F1A">
        <w:rPr>
          <w:b/>
          <w:bCs/>
        </w:rPr>
        <w:t xml:space="preserve">Figure 6: </w:t>
      </w:r>
      <w:r w:rsidRPr="00C44211">
        <w:t xml:space="preserve">Overview on the status of validation of available </w:t>
      </w:r>
      <w:r w:rsidRPr="00C44211">
        <w:rPr>
          <w:i/>
          <w:iCs/>
        </w:rPr>
        <w:t>in vitro</w:t>
      </w:r>
      <w:r w:rsidRPr="00C44211">
        <w:t xml:space="preserve"> methods</w:t>
      </w:r>
      <w:r w:rsidRPr="00C44211">
        <w:rPr>
          <w:rStyle w:val="FootnoteReference"/>
        </w:rPr>
        <w:footnoteReference w:id="5"/>
      </w:r>
      <w:r w:rsidRPr="00C44211">
        <w:t xml:space="preserve"> addressing interaction of nanotechnology-based products with blood and the immune system.</w:t>
      </w:r>
      <w:r w:rsidRPr="00A23F1A">
        <w:t xml:space="preserve"> Early-stage methods: methods existing as primary publications or in regular use in research, but not commercially available, Middle stage methods: used routinely in relevant R&amp;D environment, with assessed intra-lab or inter-lab variability; Advanced stage methods: standardised test methods (ASTM International, ISO). Methods from outside the nanotechnology field are not included. </w:t>
      </w:r>
    </w:p>
    <w:p w14:paraId="505EB73A" w14:textId="77777777" w:rsidR="00A23F1A" w:rsidRDefault="00A23F1A" w:rsidP="003432E9">
      <w:pPr>
        <w:jc w:val="both"/>
        <w:rPr>
          <w:sz w:val="20"/>
          <w:szCs w:val="20"/>
        </w:rPr>
      </w:pPr>
    </w:p>
    <w:p w14:paraId="710A6B12" w14:textId="77777777" w:rsidR="003432E9" w:rsidRPr="002C110A" w:rsidRDefault="003432E9" w:rsidP="003432E9">
      <w:pPr>
        <w:spacing w:line="240" w:lineRule="auto"/>
        <w:jc w:val="both"/>
        <w:rPr>
          <w:rFonts w:ascii="Calibri" w:eastAsia="Calibri" w:hAnsi="Calibri" w:cs="Times New Roman"/>
          <w:sz w:val="20"/>
          <w:szCs w:val="20"/>
        </w:rPr>
      </w:pPr>
    </w:p>
    <w:p w14:paraId="70CDC3F2" w14:textId="77777777" w:rsidR="003432E9" w:rsidRPr="00A64B10" w:rsidRDefault="003432E9" w:rsidP="003432E9">
      <w:pPr>
        <w:jc w:val="both"/>
        <w:rPr>
          <w:b/>
          <w:bCs/>
          <w:sz w:val="20"/>
          <w:szCs w:val="20"/>
        </w:rPr>
      </w:pPr>
    </w:p>
    <w:p w14:paraId="1907482D" w14:textId="77777777" w:rsidR="003432E9" w:rsidRPr="00A64B10" w:rsidRDefault="003432E9" w:rsidP="00D10463">
      <w:pPr>
        <w:spacing w:after="0"/>
      </w:pPr>
    </w:p>
    <w:sectPr w:rsidR="003432E9" w:rsidRPr="00A64B10" w:rsidSect="00D1046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6323" w14:textId="77777777" w:rsidR="00C727F9" w:rsidRDefault="00C727F9" w:rsidP="00AD4B22">
      <w:pPr>
        <w:spacing w:after="0" w:line="240" w:lineRule="auto"/>
      </w:pPr>
      <w:r>
        <w:separator/>
      </w:r>
    </w:p>
  </w:endnote>
  <w:endnote w:type="continuationSeparator" w:id="0">
    <w:p w14:paraId="54A1F603" w14:textId="77777777" w:rsidR="00C727F9" w:rsidRDefault="00C727F9" w:rsidP="00AD4B22">
      <w:pPr>
        <w:spacing w:after="0" w:line="240" w:lineRule="auto"/>
      </w:pPr>
      <w:r>
        <w:continuationSeparator/>
      </w:r>
    </w:p>
  </w:endnote>
  <w:endnote w:type="continuationNotice" w:id="1">
    <w:p w14:paraId="7B065C3F" w14:textId="77777777" w:rsidR="00C727F9" w:rsidRDefault="00C72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765769"/>
      <w:docPartObj>
        <w:docPartGallery w:val="Page Numbers (Bottom of Page)"/>
        <w:docPartUnique/>
      </w:docPartObj>
    </w:sdtPr>
    <w:sdtEndPr>
      <w:rPr>
        <w:noProof/>
      </w:rPr>
    </w:sdtEndPr>
    <w:sdtContent>
      <w:p w14:paraId="61F93D83" w14:textId="7B2BA398" w:rsidR="00C727F9" w:rsidRDefault="00C727F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1B9BD09" w14:textId="77777777" w:rsidR="00C727F9" w:rsidRDefault="00C7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C4C3" w14:textId="77777777" w:rsidR="00C727F9" w:rsidRDefault="00C727F9" w:rsidP="00AD4B22">
      <w:pPr>
        <w:spacing w:after="0" w:line="240" w:lineRule="auto"/>
      </w:pPr>
      <w:r>
        <w:separator/>
      </w:r>
    </w:p>
  </w:footnote>
  <w:footnote w:type="continuationSeparator" w:id="0">
    <w:p w14:paraId="3805A7E4" w14:textId="77777777" w:rsidR="00C727F9" w:rsidRDefault="00C727F9" w:rsidP="00AD4B22">
      <w:pPr>
        <w:spacing w:after="0" w:line="240" w:lineRule="auto"/>
      </w:pPr>
      <w:r>
        <w:continuationSeparator/>
      </w:r>
    </w:p>
  </w:footnote>
  <w:footnote w:type="continuationNotice" w:id="1">
    <w:p w14:paraId="36BC2E3C" w14:textId="77777777" w:rsidR="00C727F9" w:rsidRDefault="00C727F9">
      <w:pPr>
        <w:spacing w:after="0" w:line="240" w:lineRule="auto"/>
      </w:pPr>
    </w:p>
  </w:footnote>
  <w:footnote w:id="2">
    <w:p w14:paraId="25C74AB0" w14:textId="41CB9B1E" w:rsidR="00C727F9" w:rsidRPr="00F812F9" w:rsidRDefault="00C727F9">
      <w:pPr>
        <w:pStyle w:val="FootnoteText"/>
      </w:pPr>
      <w:r>
        <w:rPr>
          <w:rStyle w:val="FootnoteReference"/>
        </w:rPr>
        <w:footnoteRef/>
      </w:r>
      <w:r>
        <w:t xml:space="preserve"> </w:t>
      </w:r>
      <w:r w:rsidRPr="00F812F9">
        <w:t xml:space="preserve">NCI-NCL SOPs available at: </w:t>
      </w:r>
      <w:hyperlink r:id="rId1" w:history="1">
        <w:r w:rsidRPr="00F812F9">
          <w:rPr>
            <w:rStyle w:val="Hyperlink"/>
            <w:color w:val="auto"/>
            <w:u w:val="none"/>
          </w:rPr>
          <w:t>https://ncl.cancer.gov/resources/assay-cascade-protocols</w:t>
        </w:r>
      </w:hyperlink>
    </w:p>
  </w:footnote>
  <w:footnote w:id="3">
    <w:p w14:paraId="146E6CF4" w14:textId="3CBDFA91" w:rsidR="00C727F9" w:rsidRDefault="00C727F9">
      <w:pPr>
        <w:pStyle w:val="FootnoteText"/>
      </w:pPr>
      <w:r>
        <w:rPr>
          <w:rStyle w:val="FootnoteReference"/>
        </w:rPr>
        <w:footnoteRef/>
      </w:r>
      <w:r>
        <w:t xml:space="preserve"> </w:t>
      </w:r>
      <w:r w:rsidRPr="00F812F9">
        <w:t>EUNCL SOP</w:t>
      </w:r>
      <w:r>
        <w:t>s</w:t>
      </w:r>
      <w:r w:rsidRPr="00F812F9">
        <w:t xml:space="preserve"> available at: www.euncl.eu</w:t>
      </w:r>
    </w:p>
  </w:footnote>
  <w:footnote w:id="4">
    <w:p w14:paraId="33E0B9DD" w14:textId="77777777" w:rsidR="00A23F1A" w:rsidRPr="00AB5C7B" w:rsidRDefault="00A23F1A" w:rsidP="00A23F1A">
      <w:pPr>
        <w:pStyle w:val="FootnoteText"/>
      </w:pPr>
      <w:r>
        <w:rPr>
          <w:rStyle w:val="FootnoteReference"/>
        </w:rPr>
        <w:footnoteRef/>
      </w:r>
      <w:r>
        <w:t xml:space="preserve"> </w:t>
      </w:r>
      <w:r w:rsidRPr="00AB5C7B">
        <w:t>Methods represented in the figure a</w:t>
      </w:r>
      <w:r>
        <w:t>re those listed in the Supplementary Material Table S2.</w:t>
      </w:r>
    </w:p>
  </w:footnote>
  <w:footnote w:id="5">
    <w:p w14:paraId="3AA3826E" w14:textId="77777777" w:rsidR="00A23F1A" w:rsidRPr="00C15C20" w:rsidRDefault="00A23F1A" w:rsidP="00A23F1A">
      <w:pPr>
        <w:pStyle w:val="FootnoteText"/>
      </w:pPr>
      <w:r>
        <w:rPr>
          <w:rStyle w:val="FootnoteReference"/>
        </w:rPr>
        <w:footnoteRef/>
      </w:r>
      <w:r>
        <w:t xml:space="preserve"> </w:t>
      </w:r>
      <w:r w:rsidRPr="00C15C20">
        <w:t>Methods represented in the figure a</w:t>
      </w:r>
      <w:r>
        <w:t>re those listed in the Supplementary Material Table S4.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8B9"/>
    <w:multiLevelType w:val="hybridMultilevel"/>
    <w:tmpl w:val="52B0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C3B00"/>
    <w:multiLevelType w:val="hybridMultilevel"/>
    <w:tmpl w:val="56CA1666"/>
    <w:lvl w:ilvl="0" w:tplc="040C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8EA"/>
    <w:multiLevelType w:val="hybridMultilevel"/>
    <w:tmpl w:val="3E8ABF7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7A621E"/>
    <w:multiLevelType w:val="hybridMultilevel"/>
    <w:tmpl w:val="B1C6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493BCC"/>
    <w:multiLevelType w:val="hybridMultilevel"/>
    <w:tmpl w:val="F6B65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071E4"/>
    <w:multiLevelType w:val="hybridMultilevel"/>
    <w:tmpl w:val="85742C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D3DA0"/>
    <w:multiLevelType w:val="multilevel"/>
    <w:tmpl w:val="6D9EA430"/>
    <w:lvl w:ilvl="0">
      <w:start w:val="1"/>
      <w:numFmt w:val="decimal"/>
      <w:lvlText w:val="%1."/>
      <w:lvlJc w:val="left"/>
      <w:pPr>
        <w:ind w:left="720" w:hanging="360"/>
      </w:pPr>
      <w:rPr>
        <w:rFonts w:hint="default"/>
        <w:color w:val="1F497D" w:themeColor="text2"/>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3C1C3A9E"/>
    <w:multiLevelType w:val="hybridMultilevel"/>
    <w:tmpl w:val="0B6EC4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103A2F"/>
    <w:multiLevelType w:val="hybridMultilevel"/>
    <w:tmpl w:val="CA42B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861E80"/>
    <w:multiLevelType w:val="hybridMultilevel"/>
    <w:tmpl w:val="CB16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40529"/>
    <w:multiLevelType w:val="hybridMultilevel"/>
    <w:tmpl w:val="CA966AC2"/>
    <w:lvl w:ilvl="0" w:tplc="08090005">
      <w:start w:val="1"/>
      <w:numFmt w:val="bullet"/>
      <w:lvlText w:val=""/>
      <w:lvlJc w:val="left"/>
      <w:pPr>
        <w:ind w:left="360" w:hanging="360"/>
      </w:pPr>
      <w:rPr>
        <w:rFonts w:ascii="Wingdings" w:hAnsi="Wingdings" w:hint="default"/>
      </w:rPr>
    </w:lvl>
    <w:lvl w:ilvl="1" w:tplc="0906729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141EFB"/>
    <w:multiLevelType w:val="hybridMultilevel"/>
    <w:tmpl w:val="8F10D610"/>
    <w:lvl w:ilvl="0" w:tplc="1FCA10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7D4188C"/>
    <w:multiLevelType w:val="hybridMultilevel"/>
    <w:tmpl w:val="0BAC3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0A299B"/>
    <w:multiLevelType w:val="hybridMultilevel"/>
    <w:tmpl w:val="CF36E3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233B0E"/>
    <w:multiLevelType w:val="hybridMultilevel"/>
    <w:tmpl w:val="DAF44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F90DCA"/>
    <w:multiLevelType w:val="hybridMultilevel"/>
    <w:tmpl w:val="1A78B5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6E417D71"/>
    <w:multiLevelType w:val="hybridMultilevel"/>
    <w:tmpl w:val="37E25A84"/>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7" w15:restartNumberingAfterBreak="0">
    <w:nsid w:val="72102C59"/>
    <w:multiLevelType w:val="hybridMultilevel"/>
    <w:tmpl w:val="3A984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E07C45"/>
    <w:multiLevelType w:val="hybridMultilevel"/>
    <w:tmpl w:val="69FA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4"/>
  </w:num>
  <w:num w:numId="5">
    <w:abstractNumId w:val="9"/>
  </w:num>
  <w:num w:numId="6">
    <w:abstractNumId w:val="14"/>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
  </w:num>
  <w:num w:numId="12">
    <w:abstractNumId w:val="17"/>
  </w:num>
  <w:num w:numId="13">
    <w:abstractNumId w:val="15"/>
  </w:num>
  <w:num w:numId="14">
    <w:abstractNumId w:val="8"/>
  </w:num>
  <w:num w:numId="15">
    <w:abstractNumId w:val="6"/>
  </w:num>
  <w:num w:numId="16">
    <w:abstractNumId w:val="18"/>
  </w:num>
  <w:num w:numId="17">
    <w:abstractNumId w:val="16"/>
  </w:num>
  <w:num w:numId="18">
    <w:abstractNumId w:val="0"/>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cleic Acids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92D1B"/>
    <w:rsid w:val="0000021E"/>
    <w:rsid w:val="00000A83"/>
    <w:rsid w:val="0000123F"/>
    <w:rsid w:val="0000157A"/>
    <w:rsid w:val="000018D7"/>
    <w:rsid w:val="0000234C"/>
    <w:rsid w:val="000025DF"/>
    <w:rsid w:val="000029E7"/>
    <w:rsid w:val="00003B83"/>
    <w:rsid w:val="0000481E"/>
    <w:rsid w:val="00004DE3"/>
    <w:rsid w:val="000058F8"/>
    <w:rsid w:val="00005EA0"/>
    <w:rsid w:val="0000680B"/>
    <w:rsid w:val="00006BB2"/>
    <w:rsid w:val="00006EED"/>
    <w:rsid w:val="00007E36"/>
    <w:rsid w:val="00011A44"/>
    <w:rsid w:val="000123E8"/>
    <w:rsid w:val="00012CEC"/>
    <w:rsid w:val="000131EB"/>
    <w:rsid w:val="00016A6A"/>
    <w:rsid w:val="000173D6"/>
    <w:rsid w:val="00017A72"/>
    <w:rsid w:val="00017EA6"/>
    <w:rsid w:val="00020006"/>
    <w:rsid w:val="0002340D"/>
    <w:rsid w:val="000242C0"/>
    <w:rsid w:val="00025118"/>
    <w:rsid w:val="000257FC"/>
    <w:rsid w:val="00026A37"/>
    <w:rsid w:val="000277FC"/>
    <w:rsid w:val="00027964"/>
    <w:rsid w:val="00030711"/>
    <w:rsid w:val="000322EF"/>
    <w:rsid w:val="000338AE"/>
    <w:rsid w:val="00035BE8"/>
    <w:rsid w:val="00036863"/>
    <w:rsid w:val="00036B85"/>
    <w:rsid w:val="00037678"/>
    <w:rsid w:val="00041F10"/>
    <w:rsid w:val="000454D7"/>
    <w:rsid w:val="000471E8"/>
    <w:rsid w:val="000475E5"/>
    <w:rsid w:val="000500EA"/>
    <w:rsid w:val="00051AA8"/>
    <w:rsid w:val="0005315C"/>
    <w:rsid w:val="00054198"/>
    <w:rsid w:val="00054C14"/>
    <w:rsid w:val="00055125"/>
    <w:rsid w:val="00055445"/>
    <w:rsid w:val="00055F79"/>
    <w:rsid w:val="000562C4"/>
    <w:rsid w:val="000573E1"/>
    <w:rsid w:val="0006090F"/>
    <w:rsid w:val="000623EC"/>
    <w:rsid w:val="00064F89"/>
    <w:rsid w:val="000650A8"/>
    <w:rsid w:val="00065550"/>
    <w:rsid w:val="00065ABB"/>
    <w:rsid w:val="000666C3"/>
    <w:rsid w:val="00066CB8"/>
    <w:rsid w:val="000672F1"/>
    <w:rsid w:val="00067B05"/>
    <w:rsid w:val="000700DD"/>
    <w:rsid w:val="00072C04"/>
    <w:rsid w:val="00073FBD"/>
    <w:rsid w:val="00074975"/>
    <w:rsid w:val="00075CE9"/>
    <w:rsid w:val="00076318"/>
    <w:rsid w:val="00077652"/>
    <w:rsid w:val="00083CB0"/>
    <w:rsid w:val="00086F22"/>
    <w:rsid w:val="00087CCC"/>
    <w:rsid w:val="00090DC9"/>
    <w:rsid w:val="00090E4E"/>
    <w:rsid w:val="00093822"/>
    <w:rsid w:val="00093BD6"/>
    <w:rsid w:val="00095DD1"/>
    <w:rsid w:val="000970A8"/>
    <w:rsid w:val="00097169"/>
    <w:rsid w:val="000971C6"/>
    <w:rsid w:val="000972C2"/>
    <w:rsid w:val="00097472"/>
    <w:rsid w:val="000A5647"/>
    <w:rsid w:val="000A5954"/>
    <w:rsid w:val="000A5D19"/>
    <w:rsid w:val="000A660D"/>
    <w:rsid w:val="000A6C6D"/>
    <w:rsid w:val="000A6D77"/>
    <w:rsid w:val="000A6DA1"/>
    <w:rsid w:val="000A775F"/>
    <w:rsid w:val="000B01D6"/>
    <w:rsid w:val="000B032D"/>
    <w:rsid w:val="000B06F0"/>
    <w:rsid w:val="000B07CF"/>
    <w:rsid w:val="000B0862"/>
    <w:rsid w:val="000B10D6"/>
    <w:rsid w:val="000B1451"/>
    <w:rsid w:val="000B3F63"/>
    <w:rsid w:val="000B4B2B"/>
    <w:rsid w:val="000B55A0"/>
    <w:rsid w:val="000B6469"/>
    <w:rsid w:val="000B67F0"/>
    <w:rsid w:val="000B6B21"/>
    <w:rsid w:val="000B7D68"/>
    <w:rsid w:val="000C03C5"/>
    <w:rsid w:val="000C04E4"/>
    <w:rsid w:val="000C2655"/>
    <w:rsid w:val="000C39A5"/>
    <w:rsid w:val="000C427D"/>
    <w:rsid w:val="000C484D"/>
    <w:rsid w:val="000C56F2"/>
    <w:rsid w:val="000C76F6"/>
    <w:rsid w:val="000C7A8C"/>
    <w:rsid w:val="000D059D"/>
    <w:rsid w:val="000D3132"/>
    <w:rsid w:val="000D4295"/>
    <w:rsid w:val="000D5949"/>
    <w:rsid w:val="000D65AC"/>
    <w:rsid w:val="000D7818"/>
    <w:rsid w:val="000D7C05"/>
    <w:rsid w:val="000E111D"/>
    <w:rsid w:val="000E18E3"/>
    <w:rsid w:val="000E3270"/>
    <w:rsid w:val="000E53B3"/>
    <w:rsid w:val="000E6A53"/>
    <w:rsid w:val="000E7DFC"/>
    <w:rsid w:val="000F139A"/>
    <w:rsid w:val="000F3A33"/>
    <w:rsid w:val="000F4B5B"/>
    <w:rsid w:val="000F7108"/>
    <w:rsid w:val="00100C45"/>
    <w:rsid w:val="00101D9C"/>
    <w:rsid w:val="00102A3A"/>
    <w:rsid w:val="001036D0"/>
    <w:rsid w:val="00105440"/>
    <w:rsid w:val="00105EF4"/>
    <w:rsid w:val="00106444"/>
    <w:rsid w:val="001064FC"/>
    <w:rsid w:val="00110CEF"/>
    <w:rsid w:val="00111583"/>
    <w:rsid w:val="001130CA"/>
    <w:rsid w:val="0011392F"/>
    <w:rsid w:val="001156DB"/>
    <w:rsid w:val="00115CE2"/>
    <w:rsid w:val="00115F19"/>
    <w:rsid w:val="00120B69"/>
    <w:rsid w:val="001217F6"/>
    <w:rsid w:val="00121B99"/>
    <w:rsid w:val="00122AD8"/>
    <w:rsid w:val="00122F3F"/>
    <w:rsid w:val="00125AB7"/>
    <w:rsid w:val="00125AD4"/>
    <w:rsid w:val="0012766B"/>
    <w:rsid w:val="00136CAA"/>
    <w:rsid w:val="001371B4"/>
    <w:rsid w:val="00143402"/>
    <w:rsid w:val="00147790"/>
    <w:rsid w:val="00147A59"/>
    <w:rsid w:val="00147B9F"/>
    <w:rsid w:val="00147C4B"/>
    <w:rsid w:val="00151D83"/>
    <w:rsid w:val="00153209"/>
    <w:rsid w:val="00154EA0"/>
    <w:rsid w:val="001553C9"/>
    <w:rsid w:val="001604EF"/>
    <w:rsid w:val="00160CF6"/>
    <w:rsid w:val="0016184F"/>
    <w:rsid w:val="00163495"/>
    <w:rsid w:val="001650F4"/>
    <w:rsid w:val="001653CA"/>
    <w:rsid w:val="00165555"/>
    <w:rsid w:val="00165998"/>
    <w:rsid w:val="00165CAA"/>
    <w:rsid w:val="001669DF"/>
    <w:rsid w:val="00166EF7"/>
    <w:rsid w:val="0017112B"/>
    <w:rsid w:val="0017341C"/>
    <w:rsid w:val="001746BA"/>
    <w:rsid w:val="0017482A"/>
    <w:rsid w:val="001761E2"/>
    <w:rsid w:val="0017698E"/>
    <w:rsid w:val="00176A07"/>
    <w:rsid w:val="00176D9C"/>
    <w:rsid w:val="0017768F"/>
    <w:rsid w:val="00180626"/>
    <w:rsid w:val="0018075E"/>
    <w:rsid w:val="00180D0C"/>
    <w:rsid w:val="001826A7"/>
    <w:rsid w:val="00184252"/>
    <w:rsid w:val="00184723"/>
    <w:rsid w:val="00185A02"/>
    <w:rsid w:val="00186A55"/>
    <w:rsid w:val="00187338"/>
    <w:rsid w:val="00187965"/>
    <w:rsid w:val="0019148A"/>
    <w:rsid w:val="0019156C"/>
    <w:rsid w:val="00191DB8"/>
    <w:rsid w:val="00191DF3"/>
    <w:rsid w:val="00192D1B"/>
    <w:rsid w:val="00194439"/>
    <w:rsid w:val="00195A1F"/>
    <w:rsid w:val="0019613E"/>
    <w:rsid w:val="00197129"/>
    <w:rsid w:val="001976B5"/>
    <w:rsid w:val="00197E7A"/>
    <w:rsid w:val="001A0AAA"/>
    <w:rsid w:val="001A12B8"/>
    <w:rsid w:val="001A21AD"/>
    <w:rsid w:val="001A5FAD"/>
    <w:rsid w:val="001A6682"/>
    <w:rsid w:val="001A6C21"/>
    <w:rsid w:val="001A6F57"/>
    <w:rsid w:val="001A6F8C"/>
    <w:rsid w:val="001B11F9"/>
    <w:rsid w:val="001B20AB"/>
    <w:rsid w:val="001B22E4"/>
    <w:rsid w:val="001B344C"/>
    <w:rsid w:val="001B6DE8"/>
    <w:rsid w:val="001B7956"/>
    <w:rsid w:val="001B7D6B"/>
    <w:rsid w:val="001C030D"/>
    <w:rsid w:val="001C08B6"/>
    <w:rsid w:val="001C0C7C"/>
    <w:rsid w:val="001C21A9"/>
    <w:rsid w:val="001C3AA8"/>
    <w:rsid w:val="001C5FF8"/>
    <w:rsid w:val="001C7C7F"/>
    <w:rsid w:val="001C7D80"/>
    <w:rsid w:val="001D175F"/>
    <w:rsid w:val="001D3133"/>
    <w:rsid w:val="001D4576"/>
    <w:rsid w:val="001D6083"/>
    <w:rsid w:val="001D6928"/>
    <w:rsid w:val="001D692F"/>
    <w:rsid w:val="001D7D34"/>
    <w:rsid w:val="001E033D"/>
    <w:rsid w:val="001E2AAF"/>
    <w:rsid w:val="001E4C5E"/>
    <w:rsid w:val="001E6455"/>
    <w:rsid w:val="001E6D65"/>
    <w:rsid w:val="001E7603"/>
    <w:rsid w:val="001E7612"/>
    <w:rsid w:val="001F1627"/>
    <w:rsid w:val="001F2449"/>
    <w:rsid w:val="001F3B2B"/>
    <w:rsid w:val="001F5ADC"/>
    <w:rsid w:val="001F5E78"/>
    <w:rsid w:val="001F6073"/>
    <w:rsid w:val="001F6221"/>
    <w:rsid w:val="00200284"/>
    <w:rsid w:val="00200AC7"/>
    <w:rsid w:val="00200C3A"/>
    <w:rsid w:val="00201F88"/>
    <w:rsid w:val="002028C4"/>
    <w:rsid w:val="00202B70"/>
    <w:rsid w:val="00203928"/>
    <w:rsid w:val="00204FA5"/>
    <w:rsid w:val="0020544A"/>
    <w:rsid w:val="00205783"/>
    <w:rsid w:val="00205C52"/>
    <w:rsid w:val="00210084"/>
    <w:rsid w:val="00211797"/>
    <w:rsid w:val="002117B7"/>
    <w:rsid w:val="00211D61"/>
    <w:rsid w:val="002125AB"/>
    <w:rsid w:val="00214C68"/>
    <w:rsid w:val="002150B5"/>
    <w:rsid w:val="00215336"/>
    <w:rsid w:val="00215514"/>
    <w:rsid w:val="0021628C"/>
    <w:rsid w:val="0021753C"/>
    <w:rsid w:val="002177E3"/>
    <w:rsid w:val="00217CC2"/>
    <w:rsid w:val="00222039"/>
    <w:rsid w:val="00224709"/>
    <w:rsid w:val="002248A5"/>
    <w:rsid w:val="00225E8B"/>
    <w:rsid w:val="00227453"/>
    <w:rsid w:val="00227C17"/>
    <w:rsid w:val="002311DB"/>
    <w:rsid w:val="00231657"/>
    <w:rsid w:val="00231D28"/>
    <w:rsid w:val="00232120"/>
    <w:rsid w:val="00232274"/>
    <w:rsid w:val="002323E2"/>
    <w:rsid w:val="0023363B"/>
    <w:rsid w:val="00234669"/>
    <w:rsid w:val="00236BB5"/>
    <w:rsid w:val="00240CD6"/>
    <w:rsid w:val="00241217"/>
    <w:rsid w:val="00242636"/>
    <w:rsid w:val="00242E05"/>
    <w:rsid w:val="00244752"/>
    <w:rsid w:val="00244E66"/>
    <w:rsid w:val="0024519A"/>
    <w:rsid w:val="002452BB"/>
    <w:rsid w:val="002459FF"/>
    <w:rsid w:val="002461DF"/>
    <w:rsid w:val="00250DFF"/>
    <w:rsid w:val="00251304"/>
    <w:rsid w:val="00251B37"/>
    <w:rsid w:val="00251C0D"/>
    <w:rsid w:val="00251C39"/>
    <w:rsid w:val="002521A1"/>
    <w:rsid w:val="00252CF3"/>
    <w:rsid w:val="002548A5"/>
    <w:rsid w:val="00255644"/>
    <w:rsid w:val="002579F0"/>
    <w:rsid w:val="00257AE4"/>
    <w:rsid w:val="002601B8"/>
    <w:rsid w:val="002614BF"/>
    <w:rsid w:val="0026360B"/>
    <w:rsid w:val="00263E4A"/>
    <w:rsid w:val="00265514"/>
    <w:rsid w:val="002663AE"/>
    <w:rsid w:val="00267802"/>
    <w:rsid w:val="00272CC5"/>
    <w:rsid w:val="00272DF3"/>
    <w:rsid w:val="00272EF1"/>
    <w:rsid w:val="002761AA"/>
    <w:rsid w:val="00277933"/>
    <w:rsid w:val="00280F45"/>
    <w:rsid w:val="00281B94"/>
    <w:rsid w:val="00281D19"/>
    <w:rsid w:val="002836B8"/>
    <w:rsid w:val="0028481F"/>
    <w:rsid w:val="0028647A"/>
    <w:rsid w:val="00287146"/>
    <w:rsid w:val="00292FF0"/>
    <w:rsid w:val="00293558"/>
    <w:rsid w:val="002935BB"/>
    <w:rsid w:val="00293CE8"/>
    <w:rsid w:val="00296652"/>
    <w:rsid w:val="002967FD"/>
    <w:rsid w:val="00297BCB"/>
    <w:rsid w:val="002A01D0"/>
    <w:rsid w:val="002A0C9B"/>
    <w:rsid w:val="002A2F22"/>
    <w:rsid w:val="002A3327"/>
    <w:rsid w:val="002A37F7"/>
    <w:rsid w:val="002A3972"/>
    <w:rsid w:val="002A467B"/>
    <w:rsid w:val="002A69B5"/>
    <w:rsid w:val="002B1CCA"/>
    <w:rsid w:val="002B232C"/>
    <w:rsid w:val="002B234C"/>
    <w:rsid w:val="002B2876"/>
    <w:rsid w:val="002B28E4"/>
    <w:rsid w:val="002B42FA"/>
    <w:rsid w:val="002B4903"/>
    <w:rsid w:val="002B4DE1"/>
    <w:rsid w:val="002B5D68"/>
    <w:rsid w:val="002C06F6"/>
    <w:rsid w:val="002C110A"/>
    <w:rsid w:val="002C4A35"/>
    <w:rsid w:val="002C4E8E"/>
    <w:rsid w:val="002C5D32"/>
    <w:rsid w:val="002C78E5"/>
    <w:rsid w:val="002C7A7E"/>
    <w:rsid w:val="002D0B91"/>
    <w:rsid w:val="002D36CA"/>
    <w:rsid w:val="002D4B60"/>
    <w:rsid w:val="002D5282"/>
    <w:rsid w:val="002D5805"/>
    <w:rsid w:val="002D5B2C"/>
    <w:rsid w:val="002D67DF"/>
    <w:rsid w:val="002D6BA5"/>
    <w:rsid w:val="002E1595"/>
    <w:rsid w:val="002E1EF7"/>
    <w:rsid w:val="002E1F0A"/>
    <w:rsid w:val="002E2747"/>
    <w:rsid w:val="002E3725"/>
    <w:rsid w:val="002E568C"/>
    <w:rsid w:val="002E580B"/>
    <w:rsid w:val="002E6D5D"/>
    <w:rsid w:val="002E7E86"/>
    <w:rsid w:val="002F005B"/>
    <w:rsid w:val="002F0669"/>
    <w:rsid w:val="002F1731"/>
    <w:rsid w:val="002F41B1"/>
    <w:rsid w:val="002F43EC"/>
    <w:rsid w:val="002F4F49"/>
    <w:rsid w:val="002F6B2B"/>
    <w:rsid w:val="002F6BDB"/>
    <w:rsid w:val="002F71B8"/>
    <w:rsid w:val="00301325"/>
    <w:rsid w:val="003018E3"/>
    <w:rsid w:val="00301CBF"/>
    <w:rsid w:val="003022CA"/>
    <w:rsid w:val="00302A65"/>
    <w:rsid w:val="003051F8"/>
    <w:rsid w:val="003054AF"/>
    <w:rsid w:val="003066B2"/>
    <w:rsid w:val="00307503"/>
    <w:rsid w:val="003132B9"/>
    <w:rsid w:val="00314DFB"/>
    <w:rsid w:val="00315E5C"/>
    <w:rsid w:val="00317ABC"/>
    <w:rsid w:val="0032207B"/>
    <w:rsid w:val="00322637"/>
    <w:rsid w:val="00322B24"/>
    <w:rsid w:val="00322B85"/>
    <w:rsid w:val="00323DB9"/>
    <w:rsid w:val="00324E4F"/>
    <w:rsid w:val="003250D5"/>
    <w:rsid w:val="00326C00"/>
    <w:rsid w:val="00327733"/>
    <w:rsid w:val="0033317F"/>
    <w:rsid w:val="003333E3"/>
    <w:rsid w:val="00333432"/>
    <w:rsid w:val="003342D9"/>
    <w:rsid w:val="00334BDF"/>
    <w:rsid w:val="00335080"/>
    <w:rsid w:val="00335547"/>
    <w:rsid w:val="0033590C"/>
    <w:rsid w:val="0033592E"/>
    <w:rsid w:val="00336123"/>
    <w:rsid w:val="00336C3A"/>
    <w:rsid w:val="00337EE5"/>
    <w:rsid w:val="003420A0"/>
    <w:rsid w:val="00343189"/>
    <w:rsid w:val="003432E9"/>
    <w:rsid w:val="003433BB"/>
    <w:rsid w:val="00344BF6"/>
    <w:rsid w:val="003458AD"/>
    <w:rsid w:val="00346B2E"/>
    <w:rsid w:val="003472BE"/>
    <w:rsid w:val="00347421"/>
    <w:rsid w:val="00347945"/>
    <w:rsid w:val="00347ADD"/>
    <w:rsid w:val="00350862"/>
    <w:rsid w:val="00352C70"/>
    <w:rsid w:val="00354164"/>
    <w:rsid w:val="003547B1"/>
    <w:rsid w:val="0035540F"/>
    <w:rsid w:val="003561ED"/>
    <w:rsid w:val="00357D5F"/>
    <w:rsid w:val="00361206"/>
    <w:rsid w:val="00361D54"/>
    <w:rsid w:val="00362A2F"/>
    <w:rsid w:val="0036328F"/>
    <w:rsid w:val="0036374A"/>
    <w:rsid w:val="00364583"/>
    <w:rsid w:val="0036487C"/>
    <w:rsid w:val="00367354"/>
    <w:rsid w:val="00371F43"/>
    <w:rsid w:val="0037270D"/>
    <w:rsid w:val="0037283A"/>
    <w:rsid w:val="00375667"/>
    <w:rsid w:val="003831CE"/>
    <w:rsid w:val="00383D04"/>
    <w:rsid w:val="003840CC"/>
    <w:rsid w:val="0038530C"/>
    <w:rsid w:val="00385441"/>
    <w:rsid w:val="0038633D"/>
    <w:rsid w:val="0038740E"/>
    <w:rsid w:val="00387E05"/>
    <w:rsid w:val="00391175"/>
    <w:rsid w:val="00391467"/>
    <w:rsid w:val="003915B6"/>
    <w:rsid w:val="0039174C"/>
    <w:rsid w:val="00391A75"/>
    <w:rsid w:val="00391D58"/>
    <w:rsid w:val="003931C4"/>
    <w:rsid w:val="00396D79"/>
    <w:rsid w:val="00397535"/>
    <w:rsid w:val="00397E3F"/>
    <w:rsid w:val="003A0EAD"/>
    <w:rsid w:val="003A1C9B"/>
    <w:rsid w:val="003A2A06"/>
    <w:rsid w:val="003A2D37"/>
    <w:rsid w:val="003A359B"/>
    <w:rsid w:val="003B0723"/>
    <w:rsid w:val="003B09BE"/>
    <w:rsid w:val="003B10E6"/>
    <w:rsid w:val="003B14E4"/>
    <w:rsid w:val="003B187B"/>
    <w:rsid w:val="003B215B"/>
    <w:rsid w:val="003B4030"/>
    <w:rsid w:val="003B5377"/>
    <w:rsid w:val="003B53BC"/>
    <w:rsid w:val="003B5A64"/>
    <w:rsid w:val="003B6322"/>
    <w:rsid w:val="003C1C28"/>
    <w:rsid w:val="003C3640"/>
    <w:rsid w:val="003C4279"/>
    <w:rsid w:val="003C6535"/>
    <w:rsid w:val="003C691B"/>
    <w:rsid w:val="003C6F51"/>
    <w:rsid w:val="003C7013"/>
    <w:rsid w:val="003D236D"/>
    <w:rsid w:val="003D367F"/>
    <w:rsid w:val="003D3E4F"/>
    <w:rsid w:val="003D413D"/>
    <w:rsid w:val="003D6C70"/>
    <w:rsid w:val="003D6DFA"/>
    <w:rsid w:val="003D6F22"/>
    <w:rsid w:val="003D6F7F"/>
    <w:rsid w:val="003E0767"/>
    <w:rsid w:val="003E2543"/>
    <w:rsid w:val="003E2C71"/>
    <w:rsid w:val="003E4A6C"/>
    <w:rsid w:val="003E4E21"/>
    <w:rsid w:val="003E5209"/>
    <w:rsid w:val="003E73B6"/>
    <w:rsid w:val="003E7B2F"/>
    <w:rsid w:val="003F06B2"/>
    <w:rsid w:val="003F0D6A"/>
    <w:rsid w:val="003F138B"/>
    <w:rsid w:val="003F2CF0"/>
    <w:rsid w:val="003F4709"/>
    <w:rsid w:val="003F4F08"/>
    <w:rsid w:val="003F6205"/>
    <w:rsid w:val="003F6D14"/>
    <w:rsid w:val="003F7CC4"/>
    <w:rsid w:val="0040033E"/>
    <w:rsid w:val="004004DE"/>
    <w:rsid w:val="00400766"/>
    <w:rsid w:val="00401846"/>
    <w:rsid w:val="00402476"/>
    <w:rsid w:val="004027AF"/>
    <w:rsid w:val="004030DD"/>
    <w:rsid w:val="004073FD"/>
    <w:rsid w:val="00410DB6"/>
    <w:rsid w:val="0041107E"/>
    <w:rsid w:val="00412192"/>
    <w:rsid w:val="0041377D"/>
    <w:rsid w:val="00415A33"/>
    <w:rsid w:val="00416723"/>
    <w:rsid w:val="00416788"/>
    <w:rsid w:val="00416E2B"/>
    <w:rsid w:val="004171F5"/>
    <w:rsid w:val="00421480"/>
    <w:rsid w:val="00421860"/>
    <w:rsid w:val="00421A98"/>
    <w:rsid w:val="00421DB5"/>
    <w:rsid w:val="00422518"/>
    <w:rsid w:val="0042264C"/>
    <w:rsid w:val="0042296A"/>
    <w:rsid w:val="00422E4A"/>
    <w:rsid w:val="00423526"/>
    <w:rsid w:val="00425235"/>
    <w:rsid w:val="004253DF"/>
    <w:rsid w:val="00427009"/>
    <w:rsid w:val="004303BE"/>
    <w:rsid w:val="004305F3"/>
    <w:rsid w:val="00430923"/>
    <w:rsid w:val="004315BD"/>
    <w:rsid w:val="00432871"/>
    <w:rsid w:val="00432BFE"/>
    <w:rsid w:val="004331DA"/>
    <w:rsid w:val="0043398C"/>
    <w:rsid w:val="004351F4"/>
    <w:rsid w:val="00436CF5"/>
    <w:rsid w:val="004410A9"/>
    <w:rsid w:val="0044162C"/>
    <w:rsid w:val="00441928"/>
    <w:rsid w:val="004423FE"/>
    <w:rsid w:val="00442AAC"/>
    <w:rsid w:val="00445085"/>
    <w:rsid w:val="0044519B"/>
    <w:rsid w:val="00445B7F"/>
    <w:rsid w:val="004478BC"/>
    <w:rsid w:val="00452306"/>
    <w:rsid w:val="00453D8D"/>
    <w:rsid w:val="00453E43"/>
    <w:rsid w:val="00454490"/>
    <w:rsid w:val="004548A2"/>
    <w:rsid w:val="004556F6"/>
    <w:rsid w:val="00456283"/>
    <w:rsid w:val="00456EA4"/>
    <w:rsid w:val="004571AC"/>
    <w:rsid w:val="00460730"/>
    <w:rsid w:val="00460AB6"/>
    <w:rsid w:val="0046106A"/>
    <w:rsid w:val="0046119C"/>
    <w:rsid w:val="0046365B"/>
    <w:rsid w:val="00463CDB"/>
    <w:rsid w:val="00463E88"/>
    <w:rsid w:val="00464566"/>
    <w:rsid w:val="00466608"/>
    <w:rsid w:val="00467A0A"/>
    <w:rsid w:val="00470E6A"/>
    <w:rsid w:val="00470FD8"/>
    <w:rsid w:val="00472364"/>
    <w:rsid w:val="00472733"/>
    <w:rsid w:val="0047439E"/>
    <w:rsid w:val="00474CDA"/>
    <w:rsid w:val="00476AF4"/>
    <w:rsid w:val="004804E8"/>
    <w:rsid w:val="004816E4"/>
    <w:rsid w:val="00482318"/>
    <w:rsid w:val="004826CB"/>
    <w:rsid w:val="004848A7"/>
    <w:rsid w:val="00487886"/>
    <w:rsid w:val="00487A36"/>
    <w:rsid w:val="0049093F"/>
    <w:rsid w:val="0049127A"/>
    <w:rsid w:val="00491A53"/>
    <w:rsid w:val="00492BFC"/>
    <w:rsid w:val="00495B0E"/>
    <w:rsid w:val="0049646E"/>
    <w:rsid w:val="004970A6"/>
    <w:rsid w:val="0049728A"/>
    <w:rsid w:val="00497375"/>
    <w:rsid w:val="004A03D8"/>
    <w:rsid w:val="004A0554"/>
    <w:rsid w:val="004A364E"/>
    <w:rsid w:val="004A463F"/>
    <w:rsid w:val="004A4771"/>
    <w:rsid w:val="004A5CB9"/>
    <w:rsid w:val="004A5F59"/>
    <w:rsid w:val="004B2245"/>
    <w:rsid w:val="004B5345"/>
    <w:rsid w:val="004B54D7"/>
    <w:rsid w:val="004B642C"/>
    <w:rsid w:val="004B7531"/>
    <w:rsid w:val="004C06D7"/>
    <w:rsid w:val="004C0F2B"/>
    <w:rsid w:val="004C4385"/>
    <w:rsid w:val="004C43ED"/>
    <w:rsid w:val="004C481F"/>
    <w:rsid w:val="004C6685"/>
    <w:rsid w:val="004D4C6B"/>
    <w:rsid w:val="004D53E8"/>
    <w:rsid w:val="004D567B"/>
    <w:rsid w:val="004D738A"/>
    <w:rsid w:val="004D7D6E"/>
    <w:rsid w:val="004E0B4D"/>
    <w:rsid w:val="004E150E"/>
    <w:rsid w:val="004E16F1"/>
    <w:rsid w:val="004E22B8"/>
    <w:rsid w:val="004E2F7C"/>
    <w:rsid w:val="004E4C04"/>
    <w:rsid w:val="004E5326"/>
    <w:rsid w:val="004E7075"/>
    <w:rsid w:val="004E7ACA"/>
    <w:rsid w:val="004F06D5"/>
    <w:rsid w:val="004F0C24"/>
    <w:rsid w:val="004F0C58"/>
    <w:rsid w:val="004F0CCC"/>
    <w:rsid w:val="004F0F0A"/>
    <w:rsid w:val="004F10B0"/>
    <w:rsid w:val="004F17FB"/>
    <w:rsid w:val="004F4F88"/>
    <w:rsid w:val="004F7905"/>
    <w:rsid w:val="005007B7"/>
    <w:rsid w:val="00501A78"/>
    <w:rsid w:val="00502772"/>
    <w:rsid w:val="005034F7"/>
    <w:rsid w:val="00504311"/>
    <w:rsid w:val="005044EF"/>
    <w:rsid w:val="00504955"/>
    <w:rsid w:val="00506A2E"/>
    <w:rsid w:val="00507682"/>
    <w:rsid w:val="00512C8A"/>
    <w:rsid w:val="00514272"/>
    <w:rsid w:val="0051442B"/>
    <w:rsid w:val="00514847"/>
    <w:rsid w:val="00517497"/>
    <w:rsid w:val="00520876"/>
    <w:rsid w:val="0052132E"/>
    <w:rsid w:val="00521D88"/>
    <w:rsid w:val="00524026"/>
    <w:rsid w:val="005245CE"/>
    <w:rsid w:val="00525938"/>
    <w:rsid w:val="005259BF"/>
    <w:rsid w:val="005261B2"/>
    <w:rsid w:val="00530556"/>
    <w:rsid w:val="00530600"/>
    <w:rsid w:val="00531830"/>
    <w:rsid w:val="0053377E"/>
    <w:rsid w:val="00534231"/>
    <w:rsid w:val="00536BEC"/>
    <w:rsid w:val="005400BE"/>
    <w:rsid w:val="005405E5"/>
    <w:rsid w:val="00541172"/>
    <w:rsid w:val="0054294A"/>
    <w:rsid w:val="0054426A"/>
    <w:rsid w:val="005515A1"/>
    <w:rsid w:val="00553D2D"/>
    <w:rsid w:val="0055477D"/>
    <w:rsid w:val="00554D83"/>
    <w:rsid w:val="00555083"/>
    <w:rsid w:val="005563B8"/>
    <w:rsid w:val="00560192"/>
    <w:rsid w:val="005607A7"/>
    <w:rsid w:val="00560FEC"/>
    <w:rsid w:val="0056119B"/>
    <w:rsid w:val="00561B7E"/>
    <w:rsid w:val="0056293A"/>
    <w:rsid w:val="00563EAB"/>
    <w:rsid w:val="00563FAE"/>
    <w:rsid w:val="005651EE"/>
    <w:rsid w:val="00565DB8"/>
    <w:rsid w:val="00565FA3"/>
    <w:rsid w:val="005660A2"/>
    <w:rsid w:val="00566771"/>
    <w:rsid w:val="005701B9"/>
    <w:rsid w:val="00571085"/>
    <w:rsid w:val="00572109"/>
    <w:rsid w:val="00572283"/>
    <w:rsid w:val="00572317"/>
    <w:rsid w:val="005729F2"/>
    <w:rsid w:val="005732D8"/>
    <w:rsid w:val="005734A2"/>
    <w:rsid w:val="00574AB0"/>
    <w:rsid w:val="0057782C"/>
    <w:rsid w:val="005779EA"/>
    <w:rsid w:val="005819C6"/>
    <w:rsid w:val="00581D4C"/>
    <w:rsid w:val="00584037"/>
    <w:rsid w:val="005858C1"/>
    <w:rsid w:val="00585D2C"/>
    <w:rsid w:val="00586C34"/>
    <w:rsid w:val="00592CA2"/>
    <w:rsid w:val="00592CA8"/>
    <w:rsid w:val="00592FE4"/>
    <w:rsid w:val="00593DA2"/>
    <w:rsid w:val="00594997"/>
    <w:rsid w:val="00594B8D"/>
    <w:rsid w:val="00595465"/>
    <w:rsid w:val="00596EFE"/>
    <w:rsid w:val="005979B5"/>
    <w:rsid w:val="005A1304"/>
    <w:rsid w:val="005A1BA0"/>
    <w:rsid w:val="005A2CD4"/>
    <w:rsid w:val="005A3748"/>
    <w:rsid w:val="005A3AB4"/>
    <w:rsid w:val="005A55D9"/>
    <w:rsid w:val="005A61CE"/>
    <w:rsid w:val="005A751C"/>
    <w:rsid w:val="005B084A"/>
    <w:rsid w:val="005B0A8A"/>
    <w:rsid w:val="005B11B3"/>
    <w:rsid w:val="005B16EA"/>
    <w:rsid w:val="005B24CD"/>
    <w:rsid w:val="005B3366"/>
    <w:rsid w:val="005B3D81"/>
    <w:rsid w:val="005B549B"/>
    <w:rsid w:val="005B5FBA"/>
    <w:rsid w:val="005B6B7D"/>
    <w:rsid w:val="005B73F3"/>
    <w:rsid w:val="005B76BD"/>
    <w:rsid w:val="005C03CD"/>
    <w:rsid w:val="005C11C0"/>
    <w:rsid w:val="005C14B0"/>
    <w:rsid w:val="005C1EE0"/>
    <w:rsid w:val="005C4C26"/>
    <w:rsid w:val="005C5069"/>
    <w:rsid w:val="005C541F"/>
    <w:rsid w:val="005C67BD"/>
    <w:rsid w:val="005C716B"/>
    <w:rsid w:val="005C72A4"/>
    <w:rsid w:val="005D1A31"/>
    <w:rsid w:val="005D26E3"/>
    <w:rsid w:val="005D3F3B"/>
    <w:rsid w:val="005D4B73"/>
    <w:rsid w:val="005D71C8"/>
    <w:rsid w:val="005D79DC"/>
    <w:rsid w:val="005D7C66"/>
    <w:rsid w:val="005D7CA7"/>
    <w:rsid w:val="005E01A9"/>
    <w:rsid w:val="005E2C1D"/>
    <w:rsid w:val="005E2E1F"/>
    <w:rsid w:val="005E53FF"/>
    <w:rsid w:val="005E67B3"/>
    <w:rsid w:val="005F09EE"/>
    <w:rsid w:val="005F0FB4"/>
    <w:rsid w:val="005F2F63"/>
    <w:rsid w:val="005F2FB3"/>
    <w:rsid w:val="005F38E4"/>
    <w:rsid w:val="005F410C"/>
    <w:rsid w:val="005F753B"/>
    <w:rsid w:val="005F7C2A"/>
    <w:rsid w:val="00600468"/>
    <w:rsid w:val="00601116"/>
    <w:rsid w:val="00602BAB"/>
    <w:rsid w:val="006031FE"/>
    <w:rsid w:val="00603BE0"/>
    <w:rsid w:val="0060473D"/>
    <w:rsid w:val="0060650B"/>
    <w:rsid w:val="00607A41"/>
    <w:rsid w:val="00607B3E"/>
    <w:rsid w:val="0061292C"/>
    <w:rsid w:val="006138FD"/>
    <w:rsid w:val="00613FA3"/>
    <w:rsid w:val="0061431F"/>
    <w:rsid w:val="00617567"/>
    <w:rsid w:val="00620C72"/>
    <w:rsid w:val="006219F0"/>
    <w:rsid w:val="0062219A"/>
    <w:rsid w:val="006230BE"/>
    <w:rsid w:val="00623588"/>
    <w:rsid w:val="00623DEF"/>
    <w:rsid w:val="00624595"/>
    <w:rsid w:val="00625F02"/>
    <w:rsid w:val="00626000"/>
    <w:rsid w:val="00626E39"/>
    <w:rsid w:val="00630BB6"/>
    <w:rsid w:val="00632322"/>
    <w:rsid w:val="006324B7"/>
    <w:rsid w:val="0063284D"/>
    <w:rsid w:val="00634F4D"/>
    <w:rsid w:val="0063571F"/>
    <w:rsid w:val="00635F1A"/>
    <w:rsid w:val="00640EA7"/>
    <w:rsid w:val="006431E1"/>
    <w:rsid w:val="00645616"/>
    <w:rsid w:val="00646044"/>
    <w:rsid w:val="006508F2"/>
    <w:rsid w:val="006514E3"/>
    <w:rsid w:val="00655885"/>
    <w:rsid w:val="00655DA7"/>
    <w:rsid w:val="00655DC0"/>
    <w:rsid w:val="00655F63"/>
    <w:rsid w:val="006561BA"/>
    <w:rsid w:val="00657CE2"/>
    <w:rsid w:val="00660FE4"/>
    <w:rsid w:val="00665FA7"/>
    <w:rsid w:val="006703DF"/>
    <w:rsid w:val="00670512"/>
    <w:rsid w:val="00673079"/>
    <w:rsid w:val="00673E57"/>
    <w:rsid w:val="0067584D"/>
    <w:rsid w:val="006765FB"/>
    <w:rsid w:val="00677B44"/>
    <w:rsid w:val="00680C83"/>
    <w:rsid w:val="006812E5"/>
    <w:rsid w:val="00681E14"/>
    <w:rsid w:val="006823D2"/>
    <w:rsid w:val="006827C8"/>
    <w:rsid w:val="00682A71"/>
    <w:rsid w:val="006851ED"/>
    <w:rsid w:val="0068597E"/>
    <w:rsid w:val="00685E68"/>
    <w:rsid w:val="00686D7B"/>
    <w:rsid w:val="006873DC"/>
    <w:rsid w:val="00690505"/>
    <w:rsid w:val="0069067C"/>
    <w:rsid w:val="006913AB"/>
    <w:rsid w:val="00693484"/>
    <w:rsid w:val="00694CE0"/>
    <w:rsid w:val="006973C1"/>
    <w:rsid w:val="006975D1"/>
    <w:rsid w:val="006A072E"/>
    <w:rsid w:val="006A0B1B"/>
    <w:rsid w:val="006A17A9"/>
    <w:rsid w:val="006A1A65"/>
    <w:rsid w:val="006A2442"/>
    <w:rsid w:val="006A2A46"/>
    <w:rsid w:val="006A33E7"/>
    <w:rsid w:val="006A35C7"/>
    <w:rsid w:val="006A4471"/>
    <w:rsid w:val="006A5F2F"/>
    <w:rsid w:val="006A6813"/>
    <w:rsid w:val="006A6C1C"/>
    <w:rsid w:val="006A79F1"/>
    <w:rsid w:val="006B1713"/>
    <w:rsid w:val="006B1751"/>
    <w:rsid w:val="006B26DA"/>
    <w:rsid w:val="006B2B75"/>
    <w:rsid w:val="006B33AC"/>
    <w:rsid w:val="006B4F1E"/>
    <w:rsid w:val="006B5330"/>
    <w:rsid w:val="006B582C"/>
    <w:rsid w:val="006B65EE"/>
    <w:rsid w:val="006C0C76"/>
    <w:rsid w:val="006C20EC"/>
    <w:rsid w:val="006C2369"/>
    <w:rsid w:val="006C23C8"/>
    <w:rsid w:val="006C2E7C"/>
    <w:rsid w:val="006C3675"/>
    <w:rsid w:val="006C473D"/>
    <w:rsid w:val="006C6840"/>
    <w:rsid w:val="006C6AAE"/>
    <w:rsid w:val="006C7029"/>
    <w:rsid w:val="006D0554"/>
    <w:rsid w:val="006D0C31"/>
    <w:rsid w:val="006D3257"/>
    <w:rsid w:val="006D36FE"/>
    <w:rsid w:val="006D6427"/>
    <w:rsid w:val="006E36C9"/>
    <w:rsid w:val="006E4CFC"/>
    <w:rsid w:val="006E65A3"/>
    <w:rsid w:val="006E65FD"/>
    <w:rsid w:val="006E6651"/>
    <w:rsid w:val="006F1028"/>
    <w:rsid w:val="006F139A"/>
    <w:rsid w:val="006F13F0"/>
    <w:rsid w:val="006F47CD"/>
    <w:rsid w:val="006F496A"/>
    <w:rsid w:val="006F49FD"/>
    <w:rsid w:val="006F73C1"/>
    <w:rsid w:val="006F7A2F"/>
    <w:rsid w:val="006F7A60"/>
    <w:rsid w:val="007006CE"/>
    <w:rsid w:val="00700D13"/>
    <w:rsid w:val="00700EF7"/>
    <w:rsid w:val="0070188E"/>
    <w:rsid w:val="00702F5B"/>
    <w:rsid w:val="0070362A"/>
    <w:rsid w:val="007041BA"/>
    <w:rsid w:val="00706197"/>
    <w:rsid w:val="00706F7A"/>
    <w:rsid w:val="00707B3B"/>
    <w:rsid w:val="007104FA"/>
    <w:rsid w:val="007112D7"/>
    <w:rsid w:val="00711864"/>
    <w:rsid w:val="007165E2"/>
    <w:rsid w:val="00716C10"/>
    <w:rsid w:val="0072018B"/>
    <w:rsid w:val="007209B3"/>
    <w:rsid w:val="00723532"/>
    <w:rsid w:val="00723540"/>
    <w:rsid w:val="00723731"/>
    <w:rsid w:val="00724BD4"/>
    <w:rsid w:val="00725B54"/>
    <w:rsid w:val="007308AE"/>
    <w:rsid w:val="007316A4"/>
    <w:rsid w:val="00731A60"/>
    <w:rsid w:val="007321EC"/>
    <w:rsid w:val="007321F7"/>
    <w:rsid w:val="00732587"/>
    <w:rsid w:val="00732BA8"/>
    <w:rsid w:val="00733780"/>
    <w:rsid w:val="0073642B"/>
    <w:rsid w:val="00736469"/>
    <w:rsid w:val="007367D2"/>
    <w:rsid w:val="00737E4A"/>
    <w:rsid w:val="00740F8C"/>
    <w:rsid w:val="00741EDF"/>
    <w:rsid w:val="007429C1"/>
    <w:rsid w:val="00742A18"/>
    <w:rsid w:val="00742B9D"/>
    <w:rsid w:val="00744FB7"/>
    <w:rsid w:val="0074676B"/>
    <w:rsid w:val="00747351"/>
    <w:rsid w:val="00747FAC"/>
    <w:rsid w:val="007507B5"/>
    <w:rsid w:val="00752590"/>
    <w:rsid w:val="00752E39"/>
    <w:rsid w:val="00752F94"/>
    <w:rsid w:val="0075371C"/>
    <w:rsid w:val="00754250"/>
    <w:rsid w:val="0075456F"/>
    <w:rsid w:val="007546F5"/>
    <w:rsid w:val="00755D11"/>
    <w:rsid w:val="00756708"/>
    <w:rsid w:val="00757987"/>
    <w:rsid w:val="007604CE"/>
    <w:rsid w:val="00761C77"/>
    <w:rsid w:val="00762817"/>
    <w:rsid w:val="00763E64"/>
    <w:rsid w:val="00764052"/>
    <w:rsid w:val="007650CC"/>
    <w:rsid w:val="0077003B"/>
    <w:rsid w:val="00770BE8"/>
    <w:rsid w:val="007714F8"/>
    <w:rsid w:val="00771537"/>
    <w:rsid w:val="0077315F"/>
    <w:rsid w:val="0077462A"/>
    <w:rsid w:val="00774ACD"/>
    <w:rsid w:val="007759BE"/>
    <w:rsid w:val="00775F56"/>
    <w:rsid w:val="00777257"/>
    <w:rsid w:val="0077783B"/>
    <w:rsid w:val="00781F4B"/>
    <w:rsid w:val="007833DC"/>
    <w:rsid w:val="00783A4C"/>
    <w:rsid w:val="00790AEA"/>
    <w:rsid w:val="00790D68"/>
    <w:rsid w:val="00790E96"/>
    <w:rsid w:val="00792998"/>
    <w:rsid w:val="007935A2"/>
    <w:rsid w:val="007937FD"/>
    <w:rsid w:val="00793949"/>
    <w:rsid w:val="0079452C"/>
    <w:rsid w:val="00795017"/>
    <w:rsid w:val="00795407"/>
    <w:rsid w:val="00795704"/>
    <w:rsid w:val="00795CA8"/>
    <w:rsid w:val="0079626D"/>
    <w:rsid w:val="0079633E"/>
    <w:rsid w:val="00796969"/>
    <w:rsid w:val="007977F8"/>
    <w:rsid w:val="00797D47"/>
    <w:rsid w:val="007A00C8"/>
    <w:rsid w:val="007A06C9"/>
    <w:rsid w:val="007A245F"/>
    <w:rsid w:val="007A2C1C"/>
    <w:rsid w:val="007A3D0B"/>
    <w:rsid w:val="007A7F92"/>
    <w:rsid w:val="007B0780"/>
    <w:rsid w:val="007B08EA"/>
    <w:rsid w:val="007B18BB"/>
    <w:rsid w:val="007B1B39"/>
    <w:rsid w:val="007B1C69"/>
    <w:rsid w:val="007B2E82"/>
    <w:rsid w:val="007B503F"/>
    <w:rsid w:val="007B7B32"/>
    <w:rsid w:val="007C0A9E"/>
    <w:rsid w:val="007C17E3"/>
    <w:rsid w:val="007C1F05"/>
    <w:rsid w:val="007C20AF"/>
    <w:rsid w:val="007C2306"/>
    <w:rsid w:val="007C320D"/>
    <w:rsid w:val="007C387B"/>
    <w:rsid w:val="007C42A2"/>
    <w:rsid w:val="007C4BB2"/>
    <w:rsid w:val="007C586E"/>
    <w:rsid w:val="007C64A9"/>
    <w:rsid w:val="007D0747"/>
    <w:rsid w:val="007D0843"/>
    <w:rsid w:val="007D2DE0"/>
    <w:rsid w:val="007D3635"/>
    <w:rsid w:val="007D38AF"/>
    <w:rsid w:val="007D453E"/>
    <w:rsid w:val="007D4B6D"/>
    <w:rsid w:val="007D50B9"/>
    <w:rsid w:val="007D6A3D"/>
    <w:rsid w:val="007D7B68"/>
    <w:rsid w:val="007E2E39"/>
    <w:rsid w:val="007E4F9F"/>
    <w:rsid w:val="007E5A65"/>
    <w:rsid w:val="007E7CC4"/>
    <w:rsid w:val="007F07E5"/>
    <w:rsid w:val="007F0903"/>
    <w:rsid w:val="007F1037"/>
    <w:rsid w:val="007F15CF"/>
    <w:rsid w:val="007F24A8"/>
    <w:rsid w:val="007F306E"/>
    <w:rsid w:val="007F35AF"/>
    <w:rsid w:val="007F56B1"/>
    <w:rsid w:val="007F63F5"/>
    <w:rsid w:val="007F6E78"/>
    <w:rsid w:val="007F7BFF"/>
    <w:rsid w:val="00800142"/>
    <w:rsid w:val="00802496"/>
    <w:rsid w:val="00803BCB"/>
    <w:rsid w:val="008043E5"/>
    <w:rsid w:val="00804467"/>
    <w:rsid w:val="00804EA6"/>
    <w:rsid w:val="0080564A"/>
    <w:rsid w:val="00805697"/>
    <w:rsid w:val="00805A2E"/>
    <w:rsid w:val="00805DCB"/>
    <w:rsid w:val="00807897"/>
    <w:rsid w:val="00807AB9"/>
    <w:rsid w:val="0081087E"/>
    <w:rsid w:val="00811BFA"/>
    <w:rsid w:val="00814AF2"/>
    <w:rsid w:val="00815E36"/>
    <w:rsid w:val="008178EC"/>
    <w:rsid w:val="008209B7"/>
    <w:rsid w:val="00821907"/>
    <w:rsid w:val="00822D0E"/>
    <w:rsid w:val="008235DB"/>
    <w:rsid w:val="0082405E"/>
    <w:rsid w:val="0082428E"/>
    <w:rsid w:val="00824D8F"/>
    <w:rsid w:val="0083010F"/>
    <w:rsid w:val="008304EB"/>
    <w:rsid w:val="00831432"/>
    <w:rsid w:val="008314A5"/>
    <w:rsid w:val="00832488"/>
    <w:rsid w:val="0083314E"/>
    <w:rsid w:val="0083375F"/>
    <w:rsid w:val="00833FDF"/>
    <w:rsid w:val="008357CC"/>
    <w:rsid w:val="0083587F"/>
    <w:rsid w:val="00835ED7"/>
    <w:rsid w:val="00836A28"/>
    <w:rsid w:val="00836B80"/>
    <w:rsid w:val="00837CD0"/>
    <w:rsid w:val="008407F0"/>
    <w:rsid w:val="00840FA9"/>
    <w:rsid w:val="008411FD"/>
    <w:rsid w:val="00841462"/>
    <w:rsid w:val="008424FE"/>
    <w:rsid w:val="0084428B"/>
    <w:rsid w:val="0084480D"/>
    <w:rsid w:val="008459FA"/>
    <w:rsid w:val="0084601A"/>
    <w:rsid w:val="008476E4"/>
    <w:rsid w:val="0085079F"/>
    <w:rsid w:val="0085089B"/>
    <w:rsid w:val="008510AE"/>
    <w:rsid w:val="008512CC"/>
    <w:rsid w:val="008512FE"/>
    <w:rsid w:val="008522AA"/>
    <w:rsid w:val="008541F5"/>
    <w:rsid w:val="00854AD0"/>
    <w:rsid w:val="00855269"/>
    <w:rsid w:val="00855289"/>
    <w:rsid w:val="0085548F"/>
    <w:rsid w:val="00857333"/>
    <w:rsid w:val="0085781E"/>
    <w:rsid w:val="00857B9A"/>
    <w:rsid w:val="00861C48"/>
    <w:rsid w:val="00861EFA"/>
    <w:rsid w:val="00863180"/>
    <w:rsid w:val="008643E7"/>
    <w:rsid w:val="008651D0"/>
    <w:rsid w:val="00865858"/>
    <w:rsid w:val="0086609C"/>
    <w:rsid w:val="00866B24"/>
    <w:rsid w:val="00866C90"/>
    <w:rsid w:val="008677C9"/>
    <w:rsid w:val="00867E93"/>
    <w:rsid w:val="00870885"/>
    <w:rsid w:val="0087213F"/>
    <w:rsid w:val="0087251B"/>
    <w:rsid w:val="00872553"/>
    <w:rsid w:val="00872635"/>
    <w:rsid w:val="00872919"/>
    <w:rsid w:val="00873308"/>
    <w:rsid w:val="00873F6D"/>
    <w:rsid w:val="008747BF"/>
    <w:rsid w:val="00874FBC"/>
    <w:rsid w:val="008757C2"/>
    <w:rsid w:val="00875E71"/>
    <w:rsid w:val="0087600E"/>
    <w:rsid w:val="00876DC0"/>
    <w:rsid w:val="00880EB4"/>
    <w:rsid w:val="00881926"/>
    <w:rsid w:val="008827BB"/>
    <w:rsid w:val="0088383D"/>
    <w:rsid w:val="00884BF3"/>
    <w:rsid w:val="008858AE"/>
    <w:rsid w:val="00885A90"/>
    <w:rsid w:val="00886154"/>
    <w:rsid w:val="00887250"/>
    <w:rsid w:val="00890683"/>
    <w:rsid w:val="0089283C"/>
    <w:rsid w:val="00892D77"/>
    <w:rsid w:val="0089685B"/>
    <w:rsid w:val="0089732C"/>
    <w:rsid w:val="008A0AC8"/>
    <w:rsid w:val="008A4446"/>
    <w:rsid w:val="008A55BD"/>
    <w:rsid w:val="008A6999"/>
    <w:rsid w:val="008B23D5"/>
    <w:rsid w:val="008B2802"/>
    <w:rsid w:val="008B584E"/>
    <w:rsid w:val="008B6C7F"/>
    <w:rsid w:val="008B6E78"/>
    <w:rsid w:val="008B7767"/>
    <w:rsid w:val="008B789B"/>
    <w:rsid w:val="008C0475"/>
    <w:rsid w:val="008C056A"/>
    <w:rsid w:val="008C088E"/>
    <w:rsid w:val="008C1CA2"/>
    <w:rsid w:val="008C22AF"/>
    <w:rsid w:val="008C2AC5"/>
    <w:rsid w:val="008C2B5D"/>
    <w:rsid w:val="008C5061"/>
    <w:rsid w:val="008C55F0"/>
    <w:rsid w:val="008C59FF"/>
    <w:rsid w:val="008C5A08"/>
    <w:rsid w:val="008C5F51"/>
    <w:rsid w:val="008C6B7A"/>
    <w:rsid w:val="008C795D"/>
    <w:rsid w:val="008D0708"/>
    <w:rsid w:val="008D0C79"/>
    <w:rsid w:val="008D199C"/>
    <w:rsid w:val="008D225C"/>
    <w:rsid w:val="008D2643"/>
    <w:rsid w:val="008D2D2F"/>
    <w:rsid w:val="008D47D2"/>
    <w:rsid w:val="008D4F09"/>
    <w:rsid w:val="008D5865"/>
    <w:rsid w:val="008D639D"/>
    <w:rsid w:val="008D6861"/>
    <w:rsid w:val="008D7418"/>
    <w:rsid w:val="008D7A55"/>
    <w:rsid w:val="008E3401"/>
    <w:rsid w:val="008E3455"/>
    <w:rsid w:val="008E3B37"/>
    <w:rsid w:val="008E4E91"/>
    <w:rsid w:val="008E5D30"/>
    <w:rsid w:val="008E75D9"/>
    <w:rsid w:val="008F0BC8"/>
    <w:rsid w:val="008F2A26"/>
    <w:rsid w:val="008F37F0"/>
    <w:rsid w:val="008F3D37"/>
    <w:rsid w:val="008F470D"/>
    <w:rsid w:val="00900006"/>
    <w:rsid w:val="009010DA"/>
    <w:rsid w:val="00901305"/>
    <w:rsid w:val="009025AB"/>
    <w:rsid w:val="0090288E"/>
    <w:rsid w:val="00903733"/>
    <w:rsid w:val="00903F7B"/>
    <w:rsid w:val="009052BF"/>
    <w:rsid w:val="009054FB"/>
    <w:rsid w:val="0090621B"/>
    <w:rsid w:val="00906C45"/>
    <w:rsid w:val="009073AF"/>
    <w:rsid w:val="009075ED"/>
    <w:rsid w:val="00911969"/>
    <w:rsid w:val="009145F8"/>
    <w:rsid w:val="0091498F"/>
    <w:rsid w:val="00916562"/>
    <w:rsid w:val="0092171B"/>
    <w:rsid w:val="0092219A"/>
    <w:rsid w:val="00922D3B"/>
    <w:rsid w:val="00924726"/>
    <w:rsid w:val="00924947"/>
    <w:rsid w:val="00924C64"/>
    <w:rsid w:val="00925D57"/>
    <w:rsid w:val="00926630"/>
    <w:rsid w:val="00926D50"/>
    <w:rsid w:val="00927FD2"/>
    <w:rsid w:val="00930DE8"/>
    <w:rsid w:val="00932FED"/>
    <w:rsid w:val="00933C04"/>
    <w:rsid w:val="009341F8"/>
    <w:rsid w:val="00934257"/>
    <w:rsid w:val="00934A35"/>
    <w:rsid w:val="00934DB9"/>
    <w:rsid w:val="009352A6"/>
    <w:rsid w:val="009354B7"/>
    <w:rsid w:val="0093697D"/>
    <w:rsid w:val="009413A6"/>
    <w:rsid w:val="00941FE8"/>
    <w:rsid w:val="00942221"/>
    <w:rsid w:val="009430BB"/>
    <w:rsid w:val="00944058"/>
    <w:rsid w:val="00946413"/>
    <w:rsid w:val="009475D6"/>
    <w:rsid w:val="00947AB9"/>
    <w:rsid w:val="00950297"/>
    <w:rsid w:val="00950979"/>
    <w:rsid w:val="00950C33"/>
    <w:rsid w:val="00951C57"/>
    <w:rsid w:val="00951DD0"/>
    <w:rsid w:val="009531CA"/>
    <w:rsid w:val="009537AF"/>
    <w:rsid w:val="00953E45"/>
    <w:rsid w:val="0095401F"/>
    <w:rsid w:val="009565F8"/>
    <w:rsid w:val="00956940"/>
    <w:rsid w:val="00956FDB"/>
    <w:rsid w:val="009573DB"/>
    <w:rsid w:val="00961613"/>
    <w:rsid w:val="00963924"/>
    <w:rsid w:val="00965030"/>
    <w:rsid w:val="00965A84"/>
    <w:rsid w:val="00965E94"/>
    <w:rsid w:val="0096602B"/>
    <w:rsid w:val="00967BEF"/>
    <w:rsid w:val="009712A8"/>
    <w:rsid w:val="009712E5"/>
    <w:rsid w:val="00971321"/>
    <w:rsid w:val="009729C5"/>
    <w:rsid w:val="00972BC4"/>
    <w:rsid w:val="00974BB3"/>
    <w:rsid w:val="00977F4C"/>
    <w:rsid w:val="00981B12"/>
    <w:rsid w:val="00982793"/>
    <w:rsid w:val="009828D8"/>
    <w:rsid w:val="00983AC3"/>
    <w:rsid w:val="00983DA3"/>
    <w:rsid w:val="009851FD"/>
    <w:rsid w:val="009865C5"/>
    <w:rsid w:val="00986796"/>
    <w:rsid w:val="00986858"/>
    <w:rsid w:val="009870C4"/>
    <w:rsid w:val="009905AD"/>
    <w:rsid w:val="0099139F"/>
    <w:rsid w:val="00991996"/>
    <w:rsid w:val="00993B28"/>
    <w:rsid w:val="00994816"/>
    <w:rsid w:val="00996A62"/>
    <w:rsid w:val="0099718D"/>
    <w:rsid w:val="00997757"/>
    <w:rsid w:val="009A14AB"/>
    <w:rsid w:val="009A2DE8"/>
    <w:rsid w:val="009A3EA7"/>
    <w:rsid w:val="009A4345"/>
    <w:rsid w:val="009A4407"/>
    <w:rsid w:val="009A749D"/>
    <w:rsid w:val="009B21BD"/>
    <w:rsid w:val="009B2408"/>
    <w:rsid w:val="009B3A2B"/>
    <w:rsid w:val="009B4226"/>
    <w:rsid w:val="009B475B"/>
    <w:rsid w:val="009B5A41"/>
    <w:rsid w:val="009B642A"/>
    <w:rsid w:val="009B6BF2"/>
    <w:rsid w:val="009B6C50"/>
    <w:rsid w:val="009B6E44"/>
    <w:rsid w:val="009B7ADF"/>
    <w:rsid w:val="009B7B97"/>
    <w:rsid w:val="009C054A"/>
    <w:rsid w:val="009C0623"/>
    <w:rsid w:val="009C077B"/>
    <w:rsid w:val="009C1847"/>
    <w:rsid w:val="009C2F16"/>
    <w:rsid w:val="009C30C9"/>
    <w:rsid w:val="009C31E8"/>
    <w:rsid w:val="009C33CA"/>
    <w:rsid w:val="009C506E"/>
    <w:rsid w:val="009C6D63"/>
    <w:rsid w:val="009C726F"/>
    <w:rsid w:val="009C7675"/>
    <w:rsid w:val="009C76FF"/>
    <w:rsid w:val="009C77F2"/>
    <w:rsid w:val="009D05E9"/>
    <w:rsid w:val="009D1395"/>
    <w:rsid w:val="009D1A13"/>
    <w:rsid w:val="009D1EB6"/>
    <w:rsid w:val="009D1FC8"/>
    <w:rsid w:val="009D25BE"/>
    <w:rsid w:val="009D3EBB"/>
    <w:rsid w:val="009D44F0"/>
    <w:rsid w:val="009D6D50"/>
    <w:rsid w:val="009E0E25"/>
    <w:rsid w:val="009E1294"/>
    <w:rsid w:val="009E17AF"/>
    <w:rsid w:val="009E3F12"/>
    <w:rsid w:val="009E5197"/>
    <w:rsid w:val="009E7564"/>
    <w:rsid w:val="009E7D67"/>
    <w:rsid w:val="009F013C"/>
    <w:rsid w:val="009F13C6"/>
    <w:rsid w:val="009F1D4A"/>
    <w:rsid w:val="009F463B"/>
    <w:rsid w:val="009F58FF"/>
    <w:rsid w:val="009F654A"/>
    <w:rsid w:val="009F6599"/>
    <w:rsid w:val="00A01239"/>
    <w:rsid w:val="00A025C0"/>
    <w:rsid w:val="00A03576"/>
    <w:rsid w:val="00A03F81"/>
    <w:rsid w:val="00A0517E"/>
    <w:rsid w:val="00A05809"/>
    <w:rsid w:val="00A06117"/>
    <w:rsid w:val="00A10684"/>
    <w:rsid w:val="00A1145B"/>
    <w:rsid w:val="00A124C8"/>
    <w:rsid w:val="00A15E4B"/>
    <w:rsid w:val="00A16FB0"/>
    <w:rsid w:val="00A219ED"/>
    <w:rsid w:val="00A222F3"/>
    <w:rsid w:val="00A23638"/>
    <w:rsid w:val="00A238A5"/>
    <w:rsid w:val="00A23F1A"/>
    <w:rsid w:val="00A25945"/>
    <w:rsid w:val="00A26A52"/>
    <w:rsid w:val="00A26CA7"/>
    <w:rsid w:val="00A2734F"/>
    <w:rsid w:val="00A34E88"/>
    <w:rsid w:val="00A35EAF"/>
    <w:rsid w:val="00A37C80"/>
    <w:rsid w:val="00A40319"/>
    <w:rsid w:val="00A40A2E"/>
    <w:rsid w:val="00A41655"/>
    <w:rsid w:val="00A4260E"/>
    <w:rsid w:val="00A433A9"/>
    <w:rsid w:val="00A43D89"/>
    <w:rsid w:val="00A445D6"/>
    <w:rsid w:val="00A4551E"/>
    <w:rsid w:val="00A4652C"/>
    <w:rsid w:val="00A4673E"/>
    <w:rsid w:val="00A46B99"/>
    <w:rsid w:val="00A4730D"/>
    <w:rsid w:val="00A4768A"/>
    <w:rsid w:val="00A47CC6"/>
    <w:rsid w:val="00A511E7"/>
    <w:rsid w:val="00A52E70"/>
    <w:rsid w:val="00A5326A"/>
    <w:rsid w:val="00A53356"/>
    <w:rsid w:val="00A53F47"/>
    <w:rsid w:val="00A5440F"/>
    <w:rsid w:val="00A54CBC"/>
    <w:rsid w:val="00A54E93"/>
    <w:rsid w:val="00A56DF5"/>
    <w:rsid w:val="00A57A9E"/>
    <w:rsid w:val="00A61B17"/>
    <w:rsid w:val="00A63721"/>
    <w:rsid w:val="00A63976"/>
    <w:rsid w:val="00A63D34"/>
    <w:rsid w:val="00A64069"/>
    <w:rsid w:val="00A646E2"/>
    <w:rsid w:val="00A64B10"/>
    <w:rsid w:val="00A64E94"/>
    <w:rsid w:val="00A65A55"/>
    <w:rsid w:val="00A66B8A"/>
    <w:rsid w:val="00A67A06"/>
    <w:rsid w:val="00A67D7A"/>
    <w:rsid w:val="00A70F29"/>
    <w:rsid w:val="00A7144B"/>
    <w:rsid w:val="00A7169F"/>
    <w:rsid w:val="00A716ED"/>
    <w:rsid w:val="00A71948"/>
    <w:rsid w:val="00A73DA4"/>
    <w:rsid w:val="00A73DE0"/>
    <w:rsid w:val="00A73F18"/>
    <w:rsid w:val="00A746F8"/>
    <w:rsid w:val="00A75035"/>
    <w:rsid w:val="00A75212"/>
    <w:rsid w:val="00A7621E"/>
    <w:rsid w:val="00A77D75"/>
    <w:rsid w:val="00A80413"/>
    <w:rsid w:val="00A81763"/>
    <w:rsid w:val="00A84690"/>
    <w:rsid w:val="00A84BB0"/>
    <w:rsid w:val="00A85BD3"/>
    <w:rsid w:val="00A861DE"/>
    <w:rsid w:val="00A90153"/>
    <w:rsid w:val="00A90206"/>
    <w:rsid w:val="00A912DA"/>
    <w:rsid w:val="00A91F47"/>
    <w:rsid w:val="00A923D5"/>
    <w:rsid w:val="00A92F89"/>
    <w:rsid w:val="00A9340D"/>
    <w:rsid w:val="00A9346F"/>
    <w:rsid w:val="00A9435A"/>
    <w:rsid w:val="00A94C7E"/>
    <w:rsid w:val="00A956A1"/>
    <w:rsid w:val="00A973D5"/>
    <w:rsid w:val="00AA0935"/>
    <w:rsid w:val="00AA0E77"/>
    <w:rsid w:val="00AA2221"/>
    <w:rsid w:val="00AA4130"/>
    <w:rsid w:val="00AA4797"/>
    <w:rsid w:val="00AA48DD"/>
    <w:rsid w:val="00AA496C"/>
    <w:rsid w:val="00AA4FD4"/>
    <w:rsid w:val="00AA505B"/>
    <w:rsid w:val="00AA5175"/>
    <w:rsid w:val="00AA6409"/>
    <w:rsid w:val="00AA71DD"/>
    <w:rsid w:val="00AB0762"/>
    <w:rsid w:val="00AB1617"/>
    <w:rsid w:val="00AB5532"/>
    <w:rsid w:val="00AB5C7B"/>
    <w:rsid w:val="00AB73AC"/>
    <w:rsid w:val="00AC0369"/>
    <w:rsid w:val="00AC052F"/>
    <w:rsid w:val="00AC2522"/>
    <w:rsid w:val="00AC366E"/>
    <w:rsid w:val="00AC55E5"/>
    <w:rsid w:val="00AC62F8"/>
    <w:rsid w:val="00AC67A5"/>
    <w:rsid w:val="00AC7502"/>
    <w:rsid w:val="00AD16F2"/>
    <w:rsid w:val="00AD1EB9"/>
    <w:rsid w:val="00AD2E91"/>
    <w:rsid w:val="00AD40C7"/>
    <w:rsid w:val="00AD46F7"/>
    <w:rsid w:val="00AD4B22"/>
    <w:rsid w:val="00AD58E4"/>
    <w:rsid w:val="00AD6B48"/>
    <w:rsid w:val="00AD6E04"/>
    <w:rsid w:val="00AE00B5"/>
    <w:rsid w:val="00AE2365"/>
    <w:rsid w:val="00AE293B"/>
    <w:rsid w:val="00AE2ED0"/>
    <w:rsid w:val="00AE3164"/>
    <w:rsid w:val="00AE5969"/>
    <w:rsid w:val="00AE5B3E"/>
    <w:rsid w:val="00AE7E86"/>
    <w:rsid w:val="00AF068A"/>
    <w:rsid w:val="00AF2998"/>
    <w:rsid w:val="00AF476C"/>
    <w:rsid w:val="00AF4B50"/>
    <w:rsid w:val="00AF4C08"/>
    <w:rsid w:val="00AF4FF5"/>
    <w:rsid w:val="00AF5391"/>
    <w:rsid w:val="00AF5CF9"/>
    <w:rsid w:val="00B012E3"/>
    <w:rsid w:val="00B01C7D"/>
    <w:rsid w:val="00B025EB"/>
    <w:rsid w:val="00B02BB1"/>
    <w:rsid w:val="00B04A3E"/>
    <w:rsid w:val="00B04A78"/>
    <w:rsid w:val="00B05626"/>
    <w:rsid w:val="00B07EE5"/>
    <w:rsid w:val="00B10024"/>
    <w:rsid w:val="00B1028D"/>
    <w:rsid w:val="00B10ECF"/>
    <w:rsid w:val="00B12AE0"/>
    <w:rsid w:val="00B15245"/>
    <w:rsid w:val="00B167D8"/>
    <w:rsid w:val="00B23548"/>
    <w:rsid w:val="00B23E7F"/>
    <w:rsid w:val="00B2435E"/>
    <w:rsid w:val="00B25298"/>
    <w:rsid w:val="00B25391"/>
    <w:rsid w:val="00B2788E"/>
    <w:rsid w:val="00B27BA5"/>
    <w:rsid w:val="00B314B2"/>
    <w:rsid w:val="00B3160A"/>
    <w:rsid w:val="00B316C4"/>
    <w:rsid w:val="00B31711"/>
    <w:rsid w:val="00B319ED"/>
    <w:rsid w:val="00B334D6"/>
    <w:rsid w:val="00B33F84"/>
    <w:rsid w:val="00B34897"/>
    <w:rsid w:val="00B34E46"/>
    <w:rsid w:val="00B3578C"/>
    <w:rsid w:val="00B377F2"/>
    <w:rsid w:val="00B41589"/>
    <w:rsid w:val="00B431D3"/>
    <w:rsid w:val="00B433CC"/>
    <w:rsid w:val="00B44C5E"/>
    <w:rsid w:val="00B456A1"/>
    <w:rsid w:val="00B4614D"/>
    <w:rsid w:val="00B46A11"/>
    <w:rsid w:val="00B501BC"/>
    <w:rsid w:val="00B520CA"/>
    <w:rsid w:val="00B5218A"/>
    <w:rsid w:val="00B533F0"/>
    <w:rsid w:val="00B5384C"/>
    <w:rsid w:val="00B54795"/>
    <w:rsid w:val="00B54C0C"/>
    <w:rsid w:val="00B554AB"/>
    <w:rsid w:val="00B555C4"/>
    <w:rsid w:val="00B57098"/>
    <w:rsid w:val="00B63FD4"/>
    <w:rsid w:val="00B648E8"/>
    <w:rsid w:val="00B65405"/>
    <w:rsid w:val="00B6730C"/>
    <w:rsid w:val="00B70067"/>
    <w:rsid w:val="00B700B2"/>
    <w:rsid w:val="00B73DB9"/>
    <w:rsid w:val="00B74A9B"/>
    <w:rsid w:val="00B7556B"/>
    <w:rsid w:val="00B77BEF"/>
    <w:rsid w:val="00B82D89"/>
    <w:rsid w:val="00B83E34"/>
    <w:rsid w:val="00B87CEC"/>
    <w:rsid w:val="00B909A0"/>
    <w:rsid w:val="00B90BC3"/>
    <w:rsid w:val="00B91D52"/>
    <w:rsid w:val="00B9265E"/>
    <w:rsid w:val="00B93461"/>
    <w:rsid w:val="00B95BA8"/>
    <w:rsid w:val="00B96DD7"/>
    <w:rsid w:val="00BA12E1"/>
    <w:rsid w:val="00BA1B4F"/>
    <w:rsid w:val="00BA310F"/>
    <w:rsid w:val="00BA3609"/>
    <w:rsid w:val="00BA6601"/>
    <w:rsid w:val="00BA6ADF"/>
    <w:rsid w:val="00BB4CF0"/>
    <w:rsid w:val="00BB65FA"/>
    <w:rsid w:val="00BB6A8C"/>
    <w:rsid w:val="00BC0940"/>
    <w:rsid w:val="00BC0F6D"/>
    <w:rsid w:val="00BC2F6D"/>
    <w:rsid w:val="00BC3D55"/>
    <w:rsid w:val="00BC45AE"/>
    <w:rsid w:val="00BC58CA"/>
    <w:rsid w:val="00BC69CC"/>
    <w:rsid w:val="00BC765C"/>
    <w:rsid w:val="00BD30B5"/>
    <w:rsid w:val="00BD311A"/>
    <w:rsid w:val="00BD3AFF"/>
    <w:rsid w:val="00BE04E1"/>
    <w:rsid w:val="00BE2E6B"/>
    <w:rsid w:val="00BE40D0"/>
    <w:rsid w:val="00BE7179"/>
    <w:rsid w:val="00BF008F"/>
    <w:rsid w:val="00BF0837"/>
    <w:rsid w:val="00BF0ABD"/>
    <w:rsid w:val="00BF4AAC"/>
    <w:rsid w:val="00BF6EFD"/>
    <w:rsid w:val="00BF7BFE"/>
    <w:rsid w:val="00C0310F"/>
    <w:rsid w:val="00C031B0"/>
    <w:rsid w:val="00C050F3"/>
    <w:rsid w:val="00C054CF"/>
    <w:rsid w:val="00C0555D"/>
    <w:rsid w:val="00C068D1"/>
    <w:rsid w:val="00C10F04"/>
    <w:rsid w:val="00C11F42"/>
    <w:rsid w:val="00C135FC"/>
    <w:rsid w:val="00C15C20"/>
    <w:rsid w:val="00C15E81"/>
    <w:rsid w:val="00C17375"/>
    <w:rsid w:val="00C174AD"/>
    <w:rsid w:val="00C17672"/>
    <w:rsid w:val="00C20606"/>
    <w:rsid w:val="00C20A53"/>
    <w:rsid w:val="00C2225D"/>
    <w:rsid w:val="00C23ECA"/>
    <w:rsid w:val="00C2407D"/>
    <w:rsid w:val="00C248EF"/>
    <w:rsid w:val="00C25117"/>
    <w:rsid w:val="00C304B5"/>
    <w:rsid w:val="00C3060D"/>
    <w:rsid w:val="00C34984"/>
    <w:rsid w:val="00C35675"/>
    <w:rsid w:val="00C41D99"/>
    <w:rsid w:val="00C4341F"/>
    <w:rsid w:val="00C44211"/>
    <w:rsid w:val="00C468E3"/>
    <w:rsid w:val="00C47001"/>
    <w:rsid w:val="00C47C6B"/>
    <w:rsid w:val="00C502A3"/>
    <w:rsid w:val="00C50654"/>
    <w:rsid w:val="00C51ABE"/>
    <w:rsid w:val="00C5203B"/>
    <w:rsid w:val="00C52B49"/>
    <w:rsid w:val="00C54711"/>
    <w:rsid w:val="00C55182"/>
    <w:rsid w:val="00C55375"/>
    <w:rsid w:val="00C5578E"/>
    <w:rsid w:val="00C55B4B"/>
    <w:rsid w:val="00C568F2"/>
    <w:rsid w:val="00C56AB7"/>
    <w:rsid w:val="00C57572"/>
    <w:rsid w:val="00C60F70"/>
    <w:rsid w:val="00C61BF1"/>
    <w:rsid w:val="00C61C77"/>
    <w:rsid w:val="00C61CFE"/>
    <w:rsid w:val="00C62974"/>
    <w:rsid w:val="00C6337B"/>
    <w:rsid w:val="00C640FB"/>
    <w:rsid w:val="00C648FC"/>
    <w:rsid w:val="00C65BC8"/>
    <w:rsid w:val="00C67537"/>
    <w:rsid w:val="00C67C24"/>
    <w:rsid w:val="00C70459"/>
    <w:rsid w:val="00C7263A"/>
    <w:rsid w:val="00C727F9"/>
    <w:rsid w:val="00C735A5"/>
    <w:rsid w:val="00C73B52"/>
    <w:rsid w:val="00C743E2"/>
    <w:rsid w:val="00C746FE"/>
    <w:rsid w:val="00C74A4F"/>
    <w:rsid w:val="00C75B02"/>
    <w:rsid w:val="00C75CAE"/>
    <w:rsid w:val="00C75F46"/>
    <w:rsid w:val="00C76F4F"/>
    <w:rsid w:val="00C77194"/>
    <w:rsid w:val="00C82F23"/>
    <w:rsid w:val="00C879F5"/>
    <w:rsid w:val="00C87DA3"/>
    <w:rsid w:val="00C87ED8"/>
    <w:rsid w:val="00C9056B"/>
    <w:rsid w:val="00C9092A"/>
    <w:rsid w:val="00C9157C"/>
    <w:rsid w:val="00C92CD4"/>
    <w:rsid w:val="00C93C4A"/>
    <w:rsid w:val="00C95E19"/>
    <w:rsid w:val="00C962B1"/>
    <w:rsid w:val="00C96BD5"/>
    <w:rsid w:val="00C97510"/>
    <w:rsid w:val="00CA2489"/>
    <w:rsid w:val="00CA269F"/>
    <w:rsid w:val="00CA3337"/>
    <w:rsid w:val="00CA4037"/>
    <w:rsid w:val="00CA5A22"/>
    <w:rsid w:val="00CA69AC"/>
    <w:rsid w:val="00CB069D"/>
    <w:rsid w:val="00CB166E"/>
    <w:rsid w:val="00CB26F1"/>
    <w:rsid w:val="00CB34FE"/>
    <w:rsid w:val="00CB599B"/>
    <w:rsid w:val="00CB5C61"/>
    <w:rsid w:val="00CB6430"/>
    <w:rsid w:val="00CB6DA4"/>
    <w:rsid w:val="00CB7747"/>
    <w:rsid w:val="00CB7DE3"/>
    <w:rsid w:val="00CC0452"/>
    <w:rsid w:val="00CC2780"/>
    <w:rsid w:val="00CC2C78"/>
    <w:rsid w:val="00CC3720"/>
    <w:rsid w:val="00CC37D4"/>
    <w:rsid w:val="00CC3DA7"/>
    <w:rsid w:val="00CC4026"/>
    <w:rsid w:val="00CC40C6"/>
    <w:rsid w:val="00CC472D"/>
    <w:rsid w:val="00CC56B8"/>
    <w:rsid w:val="00CC62B8"/>
    <w:rsid w:val="00CC6F27"/>
    <w:rsid w:val="00CD071D"/>
    <w:rsid w:val="00CD0811"/>
    <w:rsid w:val="00CD0D81"/>
    <w:rsid w:val="00CD0D89"/>
    <w:rsid w:val="00CD1054"/>
    <w:rsid w:val="00CD2242"/>
    <w:rsid w:val="00CD2A7D"/>
    <w:rsid w:val="00CD2B21"/>
    <w:rsid w:val="00CD7C62"/>
    <w:rsid w:val="00CD7E65"/>
    <w:rsid w:val="00CE0DFB"/>
    <w:rsid w:val="00CE1341"/>
    <w:rsid w:val="00CE2848"/>
    <w:rsid w:val="00CE317A"/>
    <w:rsid w:val="00CE384F"/>
    <w:rsid w:val="00CE409D"/>
    <w:rsid w:val="00CE453C"/>
    <w:rsid w:val="00CE52C6"/>
    <w:rsid w:val="00CE5F40"/>
    <w:rsid w:val="00CF09E4"/>
    <w:rsid w:val="00CF0CEA"/>
    <w:rsid w:val="00CF1751"/>
    <w:rsid w:val="00CF2E98"/>
    <w:rsid w:val="00CF3F17"/>
    <w:rsid w:val="00CF4B1B"/>
    <w:rsid w:val="00CF6535"/>
    <w:rsid w:val="00CF754A"/>
    <w:rsid w:val="00D00100"/>
    <w:rsid w:val="00D03352"/>
    <w:rsid w:val="00D03F4D"/>
    <w:rsid w:val="00D04359"/>
    <w:rsid w:val="00D04755"/>
    <w:rsid w:val="00D0579F"/>
    <w:rsid w:val="00D10463"/>
    <w:rsid w:val="00D10AD5"/>
    <w:rsid w:val="00D11951"/>
    <w:rsid w:val="00D1236D"/>
    <w:rsid w:val="00D14763"/>
    <w:rsid w:val="00D14A8A"/>
    <w:rsid w:val="00D14F88"/>
    <w:rsid w:val="00D15C04"/>
    <w:rsid w:val="00D16262"/>
    <w:rsid w:val="00D165DC"/>
    <w:rsid w:val="00D20A51"/>
    <w:rsid w:val="00D20F21"/>
    <w:rsid w:val="00D32129"/>
    <w:rsid w:val="00D3341A"/>
    <w:rsid w:val="00D33DBC"/>
    <w:rsid w:val="00D34424"/>
    <w:rsid w:val="00D35237"/>
    <w:rsid w:val="00D3624D"/>
    <w:rsid w:val="00D37376"/>
    <w:rsid w:val="00D40450"/>
    <w:rsid w:val="00D40B55"/>
    <w:rsid w:val="00D411E0"/>
    <w:rsid w:val="00D41290"/>
    <w:rsid w:val="00D41ABC"/>
    <w:rsid w:val="00D42479"/>
    <w:rsid w:val="00D4300F"/>
    <w:rsid w:val="00D479C9"/>
    <w:rsid w:val="00D47E76"/>
    <w:rsid w:val="00D516BC"/>
    <w:rsid w:val="00D51725"/>
    <w:rsid w:val="00D52030"/>
    <w:rsid w:val="00D52036"/>
    <w:rsid w:val="00D523CA"/>
    <w:rsid w:val="00D52C50"/>
    <w:rsid w:val="00D5443A"/>
    <w:rsid w:val="00D5481F"/>
    <w:rsid w:val="00D5525E"/>
    <w:rsid w:val="00D553F7"/>
    <w:rsid w:val="00D55901"/>
    <w:rsid w:val="00D563A8"/>
    <w:rsid w:val="00D56C91"/>
    <w:rsid w:val="00D60DE5"/>
    <w:rsid w:val="00D60F9D"/>
    <w:rsid w:val="00D614C7"/>
    <w:rsid w:val="00D64FC0"/>
    <w:rsid w:val="00D6714D"/>
    <w:rsid w:val="00D71644"/>
    <w:rsid w:val="00D72036"/>
    <w:rsid w:val="00D7389D"/>
    <w:rsid w:val="00D76E11"/>
    <w:rsid w:val="00D77AF5"/>
    <w:rsid w:val="00D80BBF"/>
    <w:rsid w:val="00D81465"/>
    <w:rsid w:val="00D83399"/>
    <w:rsid w:val="00D8354C"/>
    <w:rsid w:val="00D83C42"/>
    <w:rsid w:val="00D864D4"/>
    <w:rsid w:val="00D87664"/>
    <w:rsid w:val="00D87D05"/>
    <w:rsid w:val="00D87F74"/>
    <w:rsid w:val="00D9031C"/>
    <w:rsid w:val="00D9070B"/>
    <w:rsid w:val="00D90A95"/>
    <w:rsid w:val="00D92342"/>
    <w:rsid w:val="00D9269F"/>
    <w:rsid w:val="00D9273F"/>
    <w:rsid w:val="00D92757"/>
    <w:rsid w:val="00D93070"/>
    <w:rsid w:val="00D94A0B"/>
    <w:rsid w:val="00D96B75"/>
    <w:rsid w:val="00D97751"/>
    <w:rsid w:val="00D97CB4"/>
    <w:rsid w:val="00DA1133"/>
    <w:rsid w:val="00DA13B3"/>
    <w:rsid w:val="00DA2118"/>
    <w:rsid w:val="00DA3130"/>
    <w:rsid w:val="00DA31F0"/>
    <w:rsid w:val="00DA4008"/>
    <w:rsid w:val="00DA5837"/>
    <w:rsid w:val="00DA7088"/>
    <w:rsid w:val="00DB0F9F"/>
    <w:rsid w:val="00DB107F"/>
    <w:rsid w:val="00DB3747"/>
    <w:rsid w:val="00DB4F46"/>
    <w:rsid w:val="00DB6512"/>
    <w:rsid w:val="00DB6A58"/>
    <w:rsid w:val="00DC1288"/>
    <w:rsid w:val="00DC208A"/>
    <w:rsid w:val="00DC2735"/>
    <w:rsid w:val="00DC520F"/>
    <w:rsid w:val="00DC5F3E"/>
    <w:rsid w:val="00DC6780"/>
    <w:rsid w:val="00DD0780"/>
    <w:rsid w:val="00DD1867"/>
    <w:rsid w:val="00DD249E"/>
    <w:rsid w:val="00DD31BA"/>
    <w:rsid w:val="00DD4F00"/>
    <w:rsid w:val="00DD6F52"/>
    <w:rsid w:val="00DD713C"/>
    <w:rsid w:val="00DD7F2D"/>
    <w:rsid w:val="00DE1682"/>
    <w:rsid w:val="00DE5473"/>
    <w:rsid w:val="00DE5AC0"/>
    <w:rsid w:val="00DE5B0B"/>
    <w:rsid w:val="00DE755A"/>
    <w:rsid w:val="00DF00F3"/>
    <w:rsid w:val="00DF25F5"/>
    <w:rsid w:val="00DF3A9E"/>
    <w:rsid w:val="00DF5AD4"/>
    <w:rsid w:val="00DF5C06"/>
    <w:rsid w:val="00E010DF"/>
    <w:rsid w:val="00E0160E"/>
    <w:rsid w:val="00E02D76"/>
    <w:rsid w:val="00E03199"/>
    <w:rsid w:val="00E0384E"/>
    <w:rsid w:val="00E0538D"/>
    <w:rsid w:val="00E10482"/>
    <w:rsid w:val="00E10F29"/>
    <w:rsid w:val="00E111C1"/>
    <w:rsid w:val="00E11967"/>
    <w:rsid w:val="00E122C1"/>
    <w:rsid w:val="00E14435"/>
    <w:rsid w:val="00E14622"/>
    <w:rsid w:val="00E1494F"/>
    <w:rsid w:val="00E15050"/>
    <w:rsid w:val="00E15B3A"/>
    <w:rsid w:val="00E170DE"/>
    <w:rsid w:val="00E17BA3"/>
    <w:rsid w:val="00E2187A"/>
    <w:rsid w:val="00E219B7"/>
    <w:rsid w:val="00E21D6E"/>
    <w:rsid w:val="00E22FBB"/>
    <w:rsid w:val="00E230D6"/>
    <w:rsid w:val="00E24A08"/>
    <w:rsid w:val="00E27012"/>
    <w:rsid w:val="00E27397"/>
    <w:rsid w:val="00E27E99"/>
    <w:rsid w:val="00E30668"/>
    <w:rsid w:val="00E30F1E"/>
    <w:rsid w:val="00E31236"/>
    <w:rsid w:val="00E31529"/>
    <w:rsid w:val="00E31A28"/>
    <w:rsid w:val="00E32564"/>
    <w:rsid w:val="00E32838"/>
    <w:rsid w:val="00E332CF"/>
    <w:rsid w:val="00E33D0C"/>
    <w:rsid w:val="00E345B7"/>
    <w:rsid w:val="00E34DB2"/>
    <w:rsid w:val="00E35D70"/>
    <w:rsid w:val="00E36835"/>
    <w:rsid w:val="00E36DE3"/>
    <w:rsid w:val="00E400F5"/>
    <w:rsid w:val="00E404E4"/>
    <w:rsid w:val="00E40B28"/>
    <w:rsid w:val="00E411FE"/>
    <w:rsid w:val="00E417B7"/>
    <w:rsid w:val="00E429B6"/>
    <w:rsid w:val="00E43C67"/>
    <w:rsid w:val="00E4437B"/>
    <w:rsid w:val="00E444B0"/>
    <w:rsid w:val="00E4498C"/>
    <w:rsid w:val="00E52C32"/>
    <w:rsid w:val="00E52E52"/>
    <w:rsid w:val="00E544C4"/>
    <w:rsid w:val="00E556B8"/>
    <w:rsid w:val="00E575FF"/>
    <w:rsid w:val="00E60260"/>
    <w:rsid w:val="00E60C41"/>
    <w:rsid w:val="00E618AB"/>
    <w:rsid w:val="00E62746"/>
    <w:rsid w:val="00E62A05"/>
    <w:rsid w:val="00E65D6F"/>
    <w:rsid w:val="00E67A39"/>
    <w:rsid w:val="00E70DAD"/>
    <w:rsid w:val="00E72750"/>
    <w:rsid w:val="00E73C6D"/>
    <w:rsid w:val="00E7712F"/>
    <w:rsid w:val="00E77E3C"/>
    <w:rsid w:val="00E8094A"/>
    <w:rsid w:val="00E80A7A"/>
    <w:rsid w:val="00E80F23"/>
    <w:rsid w:val="00E813A1"/>
    <w:rsid w:val="00E81B92"/>
    <w:rsid w:val="00E84C2D"/>
    <w:rsid w:val="00E84F48"/>
    <w:rsid w:val="00E85341"/>
    <w:rsid w:val="00E85A5A"/>
    <w:rsid w:val="00E86505"/>
    <w:rsid w:val="00E90890"/>
    <w:rsid w:val="00E921E3"/>
    <w:rsid w:val="00E925B9"/>
    <w:rsid w:val="00E92BCB"/>
    <w:rsid w:val="00E930DC"/>
    <w:rsid w:val="00E95231"/>
    <w:rsid w:val="00E963AB"/>
    <w:rsid w:val="00EA0136"/>
    <w:rsid w:val="00EA216A"/>
    <w:rsid w:val="00EA2CFD"/>
    <w:rsid w:val="00EA31D2"/>
    <w:rsid w:val="00EA34E0"/>
    <w:rsid w:val="00EA3BC3"/>
    <w:rsid w:val="00EA5345"/>
    <w:rsid w:val="00EA5D21"/>
    <w:rsid w:val="00EA7429"/>
    <w:rsid w:val="00EA762F"/>
    <w:rsid w:val="00EB0C3C"/>
    <w:rsid w:val="00EB1667"/>
    <w:rsid w:val="00EB7444"/>
    <w:rsid w:val="00EB77F6"/>
    <w:rsid w:val="00EC2295"/>
    <w:rsid w:val="00EC4881"/>
    <w:rsid w:val="00EC501A"/>
    <w:rsid w:val="00EC6172"/>
    <w:rsid w:val="00EC6380"/>
    <w:rsid w:val="00EC6BDF"/>
    <w:rsid w:val="00EC6F79"/>
    <w:rsid w:val="00EC70BA"/>
    <w:rsid w:val="00EC7B60"/>
    <w:rsid w:val="00ED0968"/>
    <w:rsid w:val="00ED0F0F"/>
    <w:rsid w:val="00ED3331"/>
    <w:rsid w:val="00ED45E7"/>
    <w:rsid w:val="00ED4C58"/>
    <w:rsid w:val="00ED5AAE"/>
    <w:rsid w:val="00ED5B98"/>
    <w:rsid w:val="00ED79CA"/>
    <w:rsid w:val="00EE0D9E"/>
    <w:rsid w:val="00EE42AA"/>
    <w:rsid w:val="00EE582F"/>
    <w:rsid w:val="00EE6E41"/>
    <w:rsid w:val="00EF090F"/>
    <w:rsid w:val="00EF15B7"/>
    <w:rsid w:val="00EF1FF0"/>
    <w:rsid w:val="00EF66E3"/>
    <w:rsid w:val="00EF6B7F"/>
    <w:rsid w:val="00EF7D3E"/>
    <w:rsid w:val="00F000CB"/>
    <w:rsid w:val="00F00209"/>
    <w:rsid w:val="00F0065D"/>
    <w:rsid w:val="00F00B6E"/>
    <w:rsid w:val="00F00CA7"/>
    <w:rsid w:val="00F0190B"/>
    <w:rsid w:val="00F019AB"/>
    <w:rsid w:val="00F01AA6"/>
    <w:rsid w:val="00F01F6F"/>
    <w:rsid w:val="00F029CF"/>
    <w:rsid w:val="00F03981"/>
    <w:rsid w:val="00F048F4"/>
    <w:rsid w:val="00F04FCD"/>
    <w:rsid w:val="00F0609E"/>
    <w:rsid w:val="00F064A3"/>
    <w:rsid w:val="00F11A2B"/>
    <w:rsid w:val="00F12921"/>
    <w:rsid w:val="00F13183"/>
    <w:rsid w:val="00F13DD5"/>
    <w:rsid w:val="00F14880"/>
    <w:rsid w:val="00F1661B"/>
    <w:rsid w:val="00F16E5A"/>
    <w:rsid w:val="00F16F23"/>
    <w:rsid w:val="00F17FAE"/>
    <w:rsid w:val="00F17FC0"/>
    <w:rsid w:val="00F20691"/>
    <w:rsid w:val="00F21B3A"/>
    <w:rsid w:val="00F23008"/>
    <w:rsid w:val="00F244BA"/>
    <w:rsid w:val="00F2564E"/>
    <w:rsid w:val="00F25BD1"/>
    <w:rsid w:val="00F25D7B"/>
    <w:rsid w:val="00F30591"/>
    <w:rsid w:val="00F30C7A"/>
    <w:rsid w:val="00F31E14"/>
    <w:rsid w:val="00F3245C"/>
    <w:rsid w:val="00F32D03"/>
    <w:rsid w:val="00F33839"/>
    <w:rsid w:val="00F339E7"/>
    <w:rsid w:val="00F369E8"/>
    <w:rsid w:val="00F37489"/>
    <w:rsid w:val="00F4037E"/>
    <w:rsid w:val="00F41801"/>
    <w:rsid w:val="00F42715"/>
    <w:rsid w:val="00F431AD"/>
    <w:rsid w:val="00F465BB"/>
    <w:rsid w:val="00F47006"/>
    <w:rsid w:val="00F512DD"/>
    <w:rsid w:val="00F52273"/>
    <w:rsid w:val="00F52B96"/>
    <w:rsid w:val="00F53111"/>
    <w:rsid w:val="00F535F9"/>
    <w:rsid w:val="00F546C7"/>
    <w:rsid w:val="00F55E43"/>
    <w:rsid w:val="00F560EE"/>
    <w:rsid w:val="00F576A1"/>
    <w:rsid w:val="00F57C63"/>
    <w:rsid w:val="00F61210"/>
    <w:rsid w:val="00F61D67"/>
    <w:rsid w:val="00F61F30"/>
    <w:rsid w:val="00F65236"/>
    <w:rsid w:val="00F6695A"/>
    <w:rsid w:val="00F679A4"/>
    <w:rsid w:val="00F67B81"/>
    <w:rsid w:val="00F7028F"/>
    <w:rsid w:val="00F70B4B"/>
    <w:rsid w:val="00F70D1A"/>
    <w:rsid w:val="00F7111C"/>
    <w:rsid w:val="00F722FF"/>
    <w:rsid w:val="00F746A8"/>
    <w:rsid w:val="00F75534"/>
    <w:rsid w:val="00F7638E"/>
    <w:rsid w:val="00F8034A"/>
    <w:rsid w:val="00F808AA"/>
    <w:rsid w:val="00F80A43"/>
    <w:rsid w:val="00F80FFC"/>
    <w:rsid w:val="00F812F9"/>
    <w:rsid w:val="00F838CE"/>
    <w:rsid w:val="00F83B22"/>
    <w:rsid w:val="00F842F7"/>
    <w:rsid w:val="00F84A89"/>
    <w:rsid w:val="00F8541A"/>
    <w:rsid w:val="00F85DF2"/>
    <w:rsid w:val="00F86904"/>
    <w:rsid w:val="00F90DD9"/>
    <w:rsid w:val="00F933D9"/>
    <w:rsid w:val="00F944E2"/>
    <w:rsid w:val="00F94C96"/>
    <w:rsid w:val="00F94CC1"/>
    <w:rsid w:val="00F95F24"/>
    <w:rsid w:val="00F96CA2"/>
    <w:rsid w:val="00F96DEE"/>
    <w:rsid w:val="00F973F4"/>
    <w:rsid w:val="00F97BEF"/>
    <w:rsid w:val="00FA023B"/>
    <w:rsid w:val="00FA291F"/>
    <w:rsid w:val="00FA389B"/>
    <w:rsid w:val="00FA4207"/>
    <w:rsid w:val="00FA4EDA"/>
    <w:rsid w:val="00FA5884"/>
    <w:rsid w:val="00FA6774"/>
    <w:rsid w:val="00FB10F3"/>
    <w:rsid w:val="00FB2837"/>
    <w:rsid w:val="00FB3824"/>
    <w:rsid w:val="00FB3C26"/>
    <w:rsid w:val="00FB3E9D"/>
    <w:rsid w:val="00FB4391"/>
    <w:rsid w:val="00FB5433"/>
    <w:rsid w:val="00FB688A"/>
    <w:rsid w:val="00FB7B54"/>
    <w:rsid w:val="00FC1DB7"/>
    <w:rsid w:val="00FC2C61"/>
    <w:rsid w:val="00FC3376"/>
    <w:rsid w:val="00FC4A59"/>
    <w:rsid w:val="00FC61F6"/>
    <w:rsid w:val="00FC6965"/>
    <w:rsid w:val="00FC6D0F"/>
    <w:rsid w:val="00FC714D"/>
    <w:rsid w:val="00FC75D4"/>
    <w:rsid w:val="00FC7D6E"/>
    <w:rsid w:val="00FD0887"/>
    <w:rsid w:val="00FD1CE2"/>
    <w:rsid w:val="00FD26FB"/>
    <w:rsid w:val="00FD321E"/>
    <w:rsid w:val="00FD3649"/>
    <w:rsid w:val="00FD4302"/>
    <w:rsid w:val="00FD77D4"/>
    <w:rsid w:val="00FD77E9"/>
    <w:rsid w:val="00FE2969"/>
    <w:rsid w:val="00FE296A"/>
    <w:rsid w:val="00FE34FC"/>
    <w:rsid w:val="00FE5346"/>
    <w:rsid w:val="00FE5725"/>
    <w:rsid w:val="00FE5A4C"/>
    <w:rsid w:val="00FE6107"/>
    <w:rsid w:val="00FE632D"/>
    <w:rsid w:val="00FE64FD"/>
    <w:rsid w:val="00FE6E6E"/>
    <w:rsid w:val="00FE7F6B"/>
    <w:rsid w:val="00FF22F4"/>
    <w:rsid w:val="00FF23EE"/>
    <w:rsid w:val="00FF2897"/>
    <w:rsid w:val="00FF4110"/>
    <w:rsid w:val="00FF52D2"/>
    <w:rsid w:val="00FF537A"/>
    <w:rsid w:val="00FF73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E5DFBF"/>
  <w15:chartTrackingRefBased/>
  <w15:docId w15:val="{92CE4965-6CE5-4E1B-BDB3-50B6E599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60D"/>
  </w:style>
  <w:style w:type="paragraph" w:styleId="Heading1">
    <w:name w:val="heading 1"/>
    <w:basedOn w:val="Normal"/>
    <w:next w:val="Normal"/>
    <w:link w:val="Heading1Char"/>
    <w:uiPriority w:val="9"/>
    <w:qFormat/>
    <w:rsid w:val="008078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8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78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078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1B"/>
    <w:pPr>
      <w:ind w:left="720"/>
      <w:contextualSpacing/>
    </w:pPr>
  </w:style>
  <w:style w:type="table" w:customStyle="1" w:styleId="TableGrid1">
    <w:name w:val="Table Grid1"/>
    <w:basedOn w:val="TableNormal"/>
    <w:next w:val="TableGrid"/>
    <w:uiPriority w:val="59"/>
    <w:rsid w:val="002162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28C"/>
    <w:rPr>
      <w:color w:val="0000FF" w:themeColor="hyperlink"/>
      <w:u w:val="single"/>
    </w:rPr>
  </w:style>
  <w:style w:type="table" w:customStyle="1" w:styleId="LightList-Accent11">
    <w:name w:val="Light List - Accent 11"/>
    <w:basedOn w:val="TableNormal"/>
    <w:next w:val="LightList-Accent1"/>
    <w:uiPriority w:val="61"/>
    <w:rsid w:val="0021628C"/>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39"/>
    <w:rsid w:val="00216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162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A63D34"/>
    <w:rPr>
      <w:sz w:val="16"/>
      <w:szCs w:val="16"/>
    </w:rPr>
  </w:style>
  <w:style w:type="paragraph" w:styleId="CommentText">
    <w:name w:val="annotation text"/>
    <w:basedOn w:val="Normal"/>
    <w:link w:val="CommentTextChar"/>
    <w:uiPriority w:val="99"/>
    <w:unhideWhenUsed/>
    <w:rsid w:val="00A63D34"/>
    <w:pPr>
      <w:spacing w:line="240" w:lineRule="auto"/>
    </w:pPr>
    <w:rPr>
      <w:sz w:val="20"/>
      <w:szCs w:val="20"/>
    </w:rPr>
  </w:style>
  <w:style w:type="character" w:customStyle="1" w:styleId="CommentTextChar">
    <w:name w:val="Comment Text Char"/>
    <w:basedOn w:val="DefaultParagraphFont"/>
    <w:link w:val="CommentText"/>
    <w:uiPriority w:val="99"/>
    <w:rsid w:val="00A63D34"/>
    <w:rPr>
      <w:sz w:val="20"/>
      <w:szCs w:val="20"/>
    </w:rPr>
  </w:style>
  <w:style w:type="paragraph" w:styleId="CommentSubject">
    <w:name w:val="annotation subject"/>
    <w:basedOn w:val="CommentText"/>
    <w:next w:val="CommentText"/>
    <w:link w:val="CommentSubjectChar"/>
    <w:uiPriority w:val="99"/>
    <w:semiHidden/>
    <w:unhideWhenUsed/>
    <w:rsid w:val="00A63D34"/>
    <w:rPr>
      <w:b/>
      <w:bCs/>
    </w:rPr>
  </w:style>
  <w:style w:type="character" w:customStyle="1" w:styleId="CommentSubjectChar">
    <w:name w:val="Comment Subject Char"/>
    <w:basedOn w:val="CommentTextChar"/>
    <w:link w:val="CommentSubject"/>
    <w:uiPriority w:val="99"/>
    <w:semiHidden/>
    <w:rsid w:val="00A63D34"/>
    <w:rPr>
      <w:b/>
      <w:bCs/>
      <w:sz w:val="20"/>
      <w:szCs w:val="20"/>
    </w:rPr>
  </w:style>
  <w:style w:type="paragraph" w:styleId="BalloonText">
    <w:name w:val="Balloon Text"/>
    <w:basedOn w:val="Normal"/>
    <w:link w:val="BalloonTextChar"/>
    <w:uiPriority w:val="99"/>
    <w:semiHidden/>
    <w:unhideWhenUsed/>
    <w:rsid w:val="00A63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34"/>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6DD7"/>
    <w:rPr>
      <w:color w:val="605E5C"/>
      <w:shd w:val="clear" w:color="auto" w:fill="E1DFDD"/>
    </w:rPr>
  </w:style>
  <w:style w:type="table" w:styleId="GridTable4-Accent1">
    <w:name w:val="Grid Table 4 Accent 1"/>
    <w:basedOn w:val="TableNormal"/>
    <w:uiPriority w:val="49"/>
    <w:rsid w:val="004B54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4B54D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2">
    <w:name w:val="Grid Table 6 Colorful Accent 2"/>
    <w:basedOn w:val="TableNormal"/>
    <w:uiPriority w:val="51"/>
    <w:rsid w:val="004B54D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2">
    <w:name w:val="Grid Table 4 Accent 2"/>
    <w:basedOn w:val="TableNormal"/>
    <w:uiPriority w:val="49"/>
    <w:rsid w:val="003054A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F339E7"/>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labs-docsum-authors2">
    <w:name w:val="labs-docsum-authors2"/>
    <w:basedOn w:val="DefaultParagraphFont"/>
    <w:rsid w:val="00AE3164"/>
  </w:style>
  <w:style w:type="character" w:customStyle="1" w:styleId="labs-docsum-journal-citation">
    <w:name w:val="labs-docsum-journal-citation"/>
    <w:basedOn w:val="DefaultParagraphFont"/>
    <w:rsid w:val="00AE3164"/>
  </w:style>
  <w:style w:type="character" w:customStyle="1" w:styleId="period">
    <w:name w:val="period"/>
    <w:basedOn w:val="DefaultParagraphFont"/>
    <w:rsid w:val="00AE3164"/>
  </w:style>
  <w:style w:type="character" w:customStyle="1" w:styleId="cit">
    <w:name w:val="cit"/>
    <w:basedOn w:val="DefaultParagraphFont"/>
    <w:rsid w:val="00AE3164"/>
  </w:style>
  <w:style w:type="character" w:customStyle="1" w:styleId="citation-doi">
    <w:name w:val="citation-doi"/>
    <w:basedOn w:val="DefaultParagraphFont"/>
    <w:rsid w:val="00AE3164"/>
  </w:style>
  <w:style w:type="character" w:customStyle="1" w:styleId="secondary-date">
    <w:name w:val="secondary-date"/>
    <w:basedOn w:val="DefaultParagraphFont"/>
    <w:rsid w:val="00AE3164"/>
  </w:style>
  <w:style w:type="paragraph" w:styleId="Revision">
    <w:name w:val="Revision"/>
    <w:hidden/>
    <w:uiPriority w:val="99"/>
    <w:semiHidden/>
    <w:rsid w:val="006E4CFC"/>
    <w:pPr>
      <w:spacing w:after="0" w:line="240" w:lineRule="auto"/>
    </w:pPr>
  </w:style>
  <w:style w:type="character" w:styleId="FollowedHyperlink">
    <w:name w:val="FollowedHyperlink"/>
    <w:basedOn w:val="DefaultParagraphFont"/>
    <w:uiPriority w:val="99"/>
    <w:semiHidden/>
    <w:unhideWhenUsed/>
    <w:rsid w:val="00073FBD"/>
    <w:rPr>
      <w:color w:val="800080" w:themeColor="followedHyperlink"/>
      <w:u w:val="single"/>
    </w:rPr>
  </w:style>
  <w:style w:type="paragraph" w:customStyle="1" w:styleId="EndNoteBibliographyTitle">
    <w:name w:val="EndNote Bibliography Title"/>
    <w:basedOn w:val="Normal"/>
    <w:link w:val="EndNoteBibliographyTitleChar"/>
    <w:rsid w:val="00422518"/>
    <w:pPr>
      <w:spacing w:after="0" w:line="259"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22518"/>
    <w:rPr>
      <w:rFonts w:ascii="Calibri" w:hAnsi="Calibri" w:cs="Calibri"/>
      <w:noProof/>
      <w:lang w:val="en-US"/>
    </w:rPr>
  </w:style>
  <w:style w:type="paragraph" w:customStyle="1" w:styleId="EndNoteBibliography">
    <w:name w:val="EndNote Bibliography"/>
    <w:basedOn w:val="Normal"/>
    <w:link w:val="EndNoteBibliographyChar"/>
    <w:rsid w:val="00422518"/>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22518"/>
    <w:rPr>
      <w:rFonts w:ascii="Calibri" w:hAnsi="Calibri" w:cs="Calibri"/>
      <w:noProof/>
      <w:lang w:val="en-US"/>
    </w:rPr>
  </w:style>
  <w:style w:type="paragraph" w:styleId="Header">
    <w:name w:val="header"/>
    <w:basedOn w:val="Normal"/>
    <w:link w:val="HeaderChar"/>
    <w:uiPriority w:val="99"/>
    <w:unhideWhenUsed/>
    <w:rsid w:val="00AD4B22"/>
    <w:pPr>
      <w:tabs>
        <w:tab w:val="center" w:pos="4819"/>
        <w:tab w:val="right" w:pos="9638"/>
      </w:tabs>
      <w:spacing w:after="0" w:line="240" w:lineRule="auto"/>
    </w:pPr>
  </w:style>
  <w:style w:type="character" w:customStyle="1" w:styleId="HeaderChar">
    <w:name w:val="Header Char"/>
    <w:basedOn w:val="DefaultParagraphFont"/>
    <w:link w:val="Header"/>
    <w:uiPriority w:val="99"/>
    <w:rsid w:val="00AD4B22"/>
  </w:style>
  <w:style w:type="paragraph" w:styleId="Footer">
    <w:name w:val="footer"/>
    <w:basedOn w:val="Normal"/>
    <w:link w:val="FooterChar"/>
    <w:uiPriority w:val="99"/>
    <w:unhideWhenUsed/>
    <w:rsid w:val="00AD4B2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D4B22"/>
  </w:style>
  <w:style w:type="character" w:customStyle="1" w:styleId="Heading1Char">
    <w:name w:val="Heading 1 Char"/>
    <w:basedOn w:val="DefaultParagraphFont"/>
    <w:link w:val="Heading1"/>
    <w:uiPriority w:val="9"/>
    <w:rsid w:val="008078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078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789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07897"/>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B87CEC"/>
    <w:pPr>
      <w:spacing w:line="259" w:lineRule="auto"/>
      <w:outlineLvl w:val="9"/>
    </w:pPr>
    <w:rPr>
      <w:lang w:val="en-US"/>
    </w:rPr>
  </w:style>
  <w:style w:type="paragraph" w:styleId="TOC2">
    <w:name w:val="toc 2"/>
    <w:basedOn w:val="Normal"/>
    <w:next w:val="Normal"/>
    <w:autoRedefine/>
    <w:uiPriority w:val="39"/>
    <w:unhideWhenUsed/>
    <w:rsid w:val="00B87CEC"/>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B87CEC"/>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B87CEC"/>
    <w:pPr>
      <w:spacing w:after="100" w:line="259" w:lineRule="auto"/>
      <w:ind w:left="440"/>
    </w:pPr>
    <w:rPr>
      <w:rFonts w:eastAsiaTheme="minorEastAsia" w:cs="Times New Roman"/>
      <w:lang w:val="en-US"/>
    </w:rPr>
  </w:style>
  <w:style w:type="table" w:styleId="PlainTable3">
    <w:name w:val="Plain Table 3"/>
    <w:basedOn w:val="TableNormal"/>
    <w:uiPriority w:val="43"/>
    <w:rsid w:val="00586C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86C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F81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2F9"/>
    <w:rPr>
      <w:sz w:val="20"/>
      <w:szCs w:val="20"/>
    </w:rPr>
  </w:style>
  <w:style w:type="character" w:styleId="FootnoteReference">
    <w:name w:val="footnote reference"/>
    <w:basedOn w:val="DefaultParagraphFont"/>
    <w:uiPriority w:val="99"/>
    <w:semiHidden/>
    <w:unhideWhenUsed/>
    <w:rsid w:val="00F812F9"/>
    <w:rPr>
      <w:vertAlign w:val="superscript"/>
    </w:rPr>
  </w:style>
  <w:style w:type="character" w:styleId="UnresolvedMention">
    <w:name w:val="Unresolved Mention"/>
    <w:basedOn w:val="DefaultParagraphFont"/>
    <w:uiPriority w:val="99"/>
    <w:semiHidden/>
    <w:unhideWhenUsed/>
    <w:rsid w:val="00E111C1"/>
    <w:rPr>
      <w:color w:val="605E5C"/>
      <w:shd w:val="clear" w:color="auto" w:fill="E1DFDD"/>
    </w:rPr>
  </w:style>
  <w:style w:type="paragraph" w:styleId="Caption">
    <w:name w:val="caption"/>
    <w:basedOn w:val="Normal"/>
    <w:next w:val="Normal"/>
    <w:uiPriority w:val="35"/>
    <w:semiHidden/>
    <w:unhideWhenUsed/>
    <w:qFormat/>
    <w:rsid w:val="00FE34FC"/>
    <w:pPr>
      <w:spacing w:line="240" w:lineRule="auto"/>
    </w:pPr>
    <w:rPr>
      <w:i/>
      <w:iCs/>
      <w:color w:val="1F497D" w:themeColor="text2"/>
      <w:sz w:val="18"/>
      <w:szCs w:val="18"/>
    </w:rPr>
  </w:style>
  <w:style w:type="table" w:styleId="GridTable4">
    <w:name w:val="Grid Table 4"/>
    <w:basedOn w:val="TableNormal"/>
    <w:uiPriority w:val="49"/>
    <w:rsid w:val="004410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4410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385">
      <w:bodyDiv w:val="1"/>
      <w:marLeft w:val="0"/>
      <w:marRight w:val="0"/>
      <w:marTop w:val="0"/>
      <w:marBottom w:val="0"/>
      <w:divBdr>
        <w:top w:val="none" w:sz="0" w:space="0" w:color="auto"/>
        <w:left w:val="none" w:sz="0" w:space="0" w:color="auto"/>
        <w:bottom w:val="none" w:sz="0" w:space="0" w:color="auto"/>
        <w:right w:val="none" w:sz="0" w:space="0" w:color="auto"/>
      </w:divBdr>
    </w:div>
    <w:div w:id="59211303">
      <w:bodyDiv w:val="1"/>
      <w:marLeft w:val="0"/>
      <w:marRight w:val="0"/>
      <w:marTop w:val="0"/>
      <w:marBottom w:val="0"/>
      <w:divBdr>
        <w:top w:val="none" w:sz="0" w:space="0" w:color="auto"/>
        <w:left w:val="none" w:sz="0" w:space="0" w:color="auto"/>
        <w:bottom w:val="none" w:sz="0" w:space="0" w:color="auto"/>
        <w:right w:val="none" w:sz="0" w:space="0" w:color="auto"/>
      </w:divBdr>
    </w:div>
    <w:div w:id="171072214">
      <w:bodyDiv w:val="1"/>
      <w:marLeft w:val="0"/>
      <w:marRight w:val="0"/>
      <w:marTop w:val="0"/>
      <w:marBottom w:val="0"/>
      <w:divBdr>
        <w:top w:val="none" w:sz="0" w:space="0" w:color="auto"/>
        <w:left w:val="none" w:sz="0" w:space="0" w:color="auto"/>
        <w:bottom w:val="none" w:sz="0" w:space="0" w:color="auto"/>
        <w:right w:val="none" w:sz="0" w:space="0" w:color="auto"/>
      </w:divBdr>
      <w:divsChild>
        <w:div w:id="673729241">
          <w:marLeft w:val="0"/>
          <w:marRight w:val="0"/>
          <w:marTop w:val="0"/>
          <w:marBottom w:val="0"/>
          <w:divBdr>
            <w:top w:val="none" w:sz="0" w:space="0" w:color="auto"/>
            <w:left w:val="none" w:sz="0" w:space="0" w:color="auto"/>
            <w:bottom w:val="none" w:sz="0" w:space="0" w:color="auto"/>
            <w:right w:val="none" w:sz="0" w:space="0" w:color="auto"/>
          </w:divBdr>
          <w:divsChild>
            <w:div w:id="1367179017">
              <w:marLeft w:val="0"/>
              <w:marRight w:val="0"/>
              <w:marTop w:val="0"/>
              <w:marBottom w:val="0"/>
              <w:divBdr>
                <w:top w:val="none" w:sz="0" w:space="0" w:color="auto"/>
                <w:left w:val="none" w:sz="0" w:space="0" w:color="auto"/>
                <w:bottom w:val="none" w:sz="0" w:space="0" w:color="auto"/>
                <w:right w:val="none" w:sz="0" w:space="0" w:color="auto"/>
              </w:divBdr>
              <w:divsChild>
                <w:div w:id="769475497">
                  <w:marLeft w:val="0"/>
                  <w:marRight w:val="0"/>
                  <w:marTop w:val="0"/>
                  <w:marBottom w:val="0"/>
                  <w:divBdr>
                    <w:top w:val="none" w:sz="0" w:space="0" w:color="auto"/>
                    <w:left w:val="none" w:sz="0" w:space="0" w:color="auto"/>
                    <w:bottom w:val="none" w:sz="0" w:space="0" w:color="auto"/>
                    <w:right w:val="none" w:sz="0" w:space="0" w:color="auto"/>
                  </w:divBdr>
                  <w:divsChild>
                    <w:div w:id="1987780157">
                      <w:marLeft w:val="0"/>
                      <w:marRight w:val="0"/>
                      <w:marTop w:val="0"/>
                      <w:marBottom w:val="0"/>
                      <w:divBdr>
                        <w:top w:val="none" w:sz="0" w:space="0" w:color="auto"/>
                        <w:left w:val="none" w:sz="0" w:space="0" w:color="auto"/>
                        <w:bottom w:val="none" w:sz="0" w:space="0" w:color="auto"/>
                        <w:right w:val="none" w:sz="0" w:space="0" w:color="auto"/>
                      </w:divBdr>
                      <w:divsChild>
                        <w:div w:id="973873451">
                          <w:marLeft w:val="0"/>
                          <w:marRight w:val="0"/>
                          <w:marTop w:val="0"/>
                          <w:marBottom w:val="0"/>
                          <w:divBdr>
                            <w:top w:val="none" w:sz="0" w:space="0" w:color="auto"/>
                            <w:left w:val="none" w:sz="0" w:space="0" w:color="auto"/>
                            <w:bottom w:val="none" w:sz="0" w:space="0" w:color="auto"/>
                            <w:right w:val="none" w:sz="0" w:space="0" w:color="auto"/>
                          </w:divBdr>
                          <w:divsChild>
                            <w:div w:id="667904366">
                              <w:marLeft w:val="0"/>
                              <w:marRight w:val="0"/>
                              <w:marTop w:val="0"/>
                              <w:marBottom w:val="0"/>
                              <w:divBdr>
                                <w:top w:val="none" w:sz="0" w:space="0" w:color="auto"/>
                                <w:left w:val="none" w:sz="0" w:space="0" w:color="auto"/>
                                <w:bottom w:val="none" w:sz="0" w:space="0" w:color="auto"/>
                                <w:right w:val="none" w:sz="0" w:space="0" w:color="auto"/>
                              </w:divBdr>
                              <w:divsChild>
                                <w:div w:id="1720081590">
                                  <w:marLeft w:val="0"/>
                                  <w:marRight w:val="0"/>
                                  <w:marTop w:val="0"/>
                                  <w:marBottom w:val="0"/>
                                  <w:divBdr>
                                    <w:top w:val="none" w:sz="0" w:space="0" w:color="auto"/>
                                    <w:left w:val="none" w:sz="0" w:space="0" w:color="auto"/>
                                    <w:bottom w:val="none" w:sz="0" w:space="0" w:color="auto"/>
                                    <w:right w:val="none" w:sz="0" w:space="0" w:color="auto"/>
                                  </w:divBdr>
                                </w:div>
                                <w:div w:id="1901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19814">
      <w:bodyDiv w:val="1"/>
      <w:marLeft w:val="0"/>
      <w:marRight w:val="0"/>
      <w:marTop w:val="0"/>
      <w:marBottom w:val="0"/>
      <w:divBdr>
        <w:top w:val="none" w:sz="0" w:space="0" w:color="auto"/>
        <w:left w:val="none" w:sz="0" w:space="0" w:color="auto"/>
        <w:bottom w:val="none" w:sz="0" w:space="0" w:color="auto"/>
        <w:right w:val="none" w:sz="0" w:space="0" w:color="auto"/>
      </w:divBdr>
    </w:div>
    <w:div w:id="317463645">
      <w:bodyDiv w:val="1"/>
      <w:marLeft w:val="0"/>
      <w:marRight w:val="0"/>
      <w:marTop w:val="0"/>
      <w:marBottom w:val="0"/>
      <w:divBdr>
        <w:top w:val="none" w:sz="0" w:space="0" w:color="auto"/>
        <w:left w:val="none" w:sz="0" w:space="0" w:color="auto"/>
        <w:bottom w:val="none" w:sz="0" w:space="0" w:color="auto"/>
        <w:right w:val="none" w:sz="0" w:space="0" w:color="auto"/>
      </w:divBdr>
    </w:div>
    <w:div w:id="318920242">
      <w:bodyDiv w:val="1"/>
      <w:marLeft w:val="0"/>
      <w:marRight w:val="0"/>
      <w:marTop w:val="0"/>
      <w:marBottom w:val="0"/>
      <w:divBdr>
        <w:top w:val="none" w:sz="0" w:space="0" w:color="auto"/>
        <w:left w:val="none" w:sz="0" w:space="0" w:color="auto"/>
        <w:bottom w:val="none" w:sz="0" w:space="0" w:color="auto"/>
        <w:right w:val="none" w:sz="0" w:space="0" w:color="auto"/>
      </w:divBdr>
    </w:div>
    <w:div w:id="330715077">
      <w:bodyDiv w:val="1"/>
      <w:marLeft w:val="0"/>
      <w:marRight w:val="0"/>
      <w:marTop w:val="0"/>
      <w:marBottom w:val="0"/>
      <w:divBdr>
        <w:top w:val="none" w:sz="0" w:space="0" w:color="auto"/>
        <w:left w:val="none" w:sz="0" w:space="0" w:color="auto"/>
        <w:bottom w:val="none" w:sz="0" w:space="0" w:color="auto"/>
        <w:right w:val="none" w:sz="0" w:space="0" w:color="auto"/>
      </w:divBdr>
    </w:div>
    <w:div w:id="345179548">
      <w:bodyDiv w:val="1"/>
      <w:marLeft w:val="0"/>
      <w:marRight w:val="0"/>
      <w:marTop w:val="0"/>
      <w:marBottom w:val="0"/>
      <w:divBdr>
        <w:top w:val="none" w:sz="0" w:space="0" w:color="auto"/>
        <w:left w:val="none" w:sz="0" w:space="0" w:color="auto"/>
        <w:bottom w:val="none" w:sz="0" w:space="0" w:color="auto"/>
        <w:right w:val="none" w:sz="0" w:space="0" w:color="auto"/>
      </w:divBdr>
    </w:div>
    <w:div w:id="413867192">
      <w:bodyDiv w:val="1"/>
      <w:marLeft w:val="0"/>
      <w:marRight w:val="0"/>
      <w:marTop w:val="0"/>
      <w:marBottom w:val="0"/>
      <w:divBdr>
        <w:top w:val="none" w:sz="0" w:space="0" w:color="auto"/>
        <w:left w:val="none" w:sz="0" w:space="0" w:color="auto"/>
        <w:bottom w:val="none" w:sz="0" w:space="0" w:color="auto"/>
        <w:right w:val="none" w:sz="0" w:space="0" w:color="auto"/>
      </w:divBdr>
    </w:div>
    <w:div w:id="438182401">
      <w:bodyDiv w:val="1"/>
      <w:marLeft w:val="0"/>
      <w:marRight w:val="0"/>
      <w:marTop w:val="0"/>
      <w:marBottom w:val="0"/>
      <w:divBdr>
        <w:top w:val="none" w:sz="0" w:space="0" w:color="auto"/>
        <w:left w:val="none" w:sz="0" w:space="0" w:color="auto"/>
        <w:bottom w:val="none" w:sz="0" w:space="0" w:color="auto"/>
        <w:right w:val="none" w:sz="0" w:space="0" w:color="auto"/>
      </w:divBdr>
    </w:div>
    <w:div w:id="533925905">
      <w:bodyDiv w:val="1"/>
      <w:marLeft w:val="0"/>
      <w:marRight w:val="0"/>
      <w:marTop w:val="0"/>
      <w:marBottom w:val="0"/>
      <w:divBdr>
        <w:top w:val="none" w:sz="0" w:space="0" w:color="auto"/>
        <w:left w:val="none" w:sz="0" w:space="0" w:color="auto"/>
        <w:bottom w:val="none" w:sz="0" w:space="0" w:color="auto"/>
        <w:right w:val="none" w:sz="0" w:space="0" w:color="auto"/>
      </w:divBdr>
    </w:div>
    <w:div w:id="668677579">
      <w:bodyDiv w:val="1"/>
      <w:marLeft w:val="0"/>
      <w:marRight w:val="0"/>
      <w:marTop w:val="0"/>
      <w:marBottom w:val="0"/>
      <w:divBdr>
        <w:top w:val="none" w:sz="0" w:space="0" w:color="auto"/>
        <w:left w:val="none" w:sz="0" w:space="0" w:color="auto"/>
        <w:bottom w:val="none" w:sz="0" w:space="0" w:color="auto"/>
        <w:right w:val="none" w:sz="0" w:space="0" w:color="auto"/>
      </w:divBdr>
    </w:div>
    <w:div w:id="731998936">
      <w:bodyDiv w:val="1"/>
      <w:marLeft w:val="0"/>
      <w:marRight w:val="0"/>
      <w:marTop w:val="0"/>
      <w:marBottom w:val="0"/>
      <w:divBdr>
        <w:top w:val="none" w:sz="0" w:space="0" w:color="auto"/>
        <w:left w:val="none" w:sz="0" w:space="0" w:color="auto"/>
        <w:bottom w:val="none" w:sz="0" w:space="0" w:color="auto"/>
        <w:right w:val="none" w:sz="0" w:space="0" w:color="auto"/>
      </w:divBdr>
    </w:div>
    <w:div w:id="776102682">
      <w:bodyDiv w:val="1"/>
      <w:marLeft w:val="0"/>
      <w:marRight w:val="0"/>
      <w:marTop w:val="0"/>
      <w:marBottom w:val="0"/>
      <w:divBdr>
        <w:top w:val="none" w:sz="0" w:space="0" w:color="auto"/>
        <w:left w:val="none" w:sz="0" w:space="0" w:color="auto"/>
        <w:bottom w:val="none" w:sz="0" w:space="0" w:color="auto"/>
        <w:right w:val="none" w:sz="0" w:space="0" w:color="auto"/>
      </w:divBdr>
    </w:div>
    <w:div w:id="778181105">
      <w:bodyDiv w:val="1"/>
      <w:marLeft w:val="0"/>
      <w:marRight w:val="0"/>
      <w:marTop w:val="0"/>
      <w:marBottom w:val="0"/>
      <w:divBdr>
        <w:top w:val="none" w:sz="0" w:space="0" w:color="auto"/>
        <w:left w:val="none" w:sz="0" w:space="0" w:color="auto"/>
        <w:bottom w:val="none" w:sz="0" w:space="0" w:color="auto"/>
        <w:right w:val="none" w:sz="0" w:space="0" w:color="auto"/>
      </w:divBdr>
    </w:div>
    <w:div w:id="799030846">
      <w:bodyDiv w:val="1"/>
      <w:marLeft w:val="0"/>
      <w:marRight w:val="0"/>
      <w:marTop w:val="0"/>
      <w:marBottom w:val="0"/>
      <w:divBdr>
        <w:top w:val="none" w:sz="0" w:space="0" w:color="auto"/>
        <w:left w:val="none" w:sz="0" w:space="0" w:color="auto"/>
        <w:bottom w:val="none" w:sz="0" w:space="0" w:color="auto"/>
        <w:right w:val="none" w:sz="0" w:space="0" w:color="auto"/>
      </w:divBdr>
    </w:div>
    <w:div w:id="910580948">
      <w:bodyDiv w:val="1"/>
      <w:marLeft w:val="0"/>
      <w:marRight w:val="0"/>
      <w:marTop w:val="0"/>
      <w:marBottom w:val="0"/>
      <w:divBdr>
        <w:top w:val="none" w:sz="0" w:space="0" w:color="auto"/>
        <w:left w:val="none" w:sz="0" w:space="0" w:color="auto"/>
        <w:bottom w:val="none" w:sz="0" w:space="0" w:color="auto"/>
        <w:right w:val="none" w:sz="0" w:space="0" w:color="auto"/>
      </w:divBdr>
    </w:div>
    <w:div w:id="983005802">
      <w:bodyDiv w:val="1"/>
      <w:marLeft w:val="0"/>
      <w:marRight w:val="0"/>
      <w:marTop w:val="0"/>
      <w:marBottom w:val="0"/>
      <w:divBdr>
        <w:top w:val="none" w:sz="0" w:space="0" w:color="auto"/>
        <w:left w:val="none" w:sz="0" w:space="0" w:color="auto"/>
        <w:bottom w:val="none" w:sz="0" w:space="0" w:color="auto"/>
        <w:right w:val="none" w:sz="0" w:space="0" w:color="auto"/>
      </w:divBdr>
    </w:div>
    <w:div w:id="1047023959">
      <w:bodyDiv w:val="1"/>
      <w:marLeft w:val="0"/>
      <w:marRight w:val="0"/>
      <w:marTop w:val="0"/>
      <w:marBottom w:val="0"/>
      <w:divBdr>
        <w:top w:val="none" w:sz="0" w:space="0" w:color="auto"/>
        <w:left w:val="none" w:sz="0" w:space="0" w:color="auto"/>
        <w:bottom w:val="none" w:sz="0" w:space="0" w:color="auto"/>
        <w:right w:val="none" w:sz="0" w:space="0" w:color="auto"/>
      </w:divBdr>
      <w:divsChild>
        <w:div w:id="1777599950">
          <w:marLeft w:val="0"/>
          <w:marRight w:val="0"/>
          <w:marTop w:val="0"/>
          <w:marBottom w:val="0"/>
          <w:divBdr>
            <w:top w:val="none" w:sz="0" w:space="0" w:color="auto"/>
            <w:left w:val="none" w:sz="0" w:space="0" w:color="auto"/>
            <w:bottom w:val="none" w:sz="0" w:space="0" w:color="auto"/>
            <w:right w:val="none" w:sz="0" w:space="0" w:color="auto"/>
          </w:divBdr>
          <w:divsChild>
            <w:div w:id="1527401830">
              <w:marLeft w:val="0"/>
              <w:marRight w:val="0"/>
              <w:marTop w:val="0"/>
              <w:marBottom w:val="0"/>
              <w:divBdr>
                <w:top w:val="none" w:sz="0" w:space="0" w:color="auto"/>
                <w:left w:val="none" w:sz="0" w:space="0" w:color="auto"/>
                <w:bottom w:val="none" w:sz="0" w:space="0" w:color="auto"/>
                <w:right w:val="none" w:sz="0" w:space="0" w:color="auto"/>
              </w:divBdr>
              <w:divsChild>
                <w:div w:id="1974556720">
                  <w:marLeft w:val="0"/>
                  <w:marRight w:val="0"/>
                  <w:marTop w:val="0"/>
                  <w:marBottom w:val="0"/>
                  <w:divBdr>
                    <w:top w:val="none" w:sz="0" w:space="0" w:color="auto"/>
                    <w:left w:val="none" w:sz="0" w:space="0" w:color="auto"/>
                    <w:bottom w:val="none" w:sz="0" w:space="0" w:color="auto"/>
                    <w:right w:val="none" w:sz="0" w:space="0" w:color="auto"/>
                  </w:divBdr>
                  <w:divsChild>
                    <w:div w:id="783890502">
                      <w:marLeft w:val="0"/>
                      <w:marRight w:val="0"/>
                      <w:marTop w:val="0"/>
                      <w:marBottom w:val="0"/>
                      <w:divBdr>
                        <w:top w:val="none" w:sz="0" w:space="0" w:color="auto"/>
                        <w:left w:val="none" w:sz="0" w:space="0" w:color="auto"/>
                        <w:bottom w:val="none" w:sz="0" w:space="0" w:color="auto"/>
                        <w:right w:val="none" w:sz="0" w:space="0" w:color="auto"/>
                      </w:divBdr>
                      <w:divsChild>
                        <w:div w:id="1563905381">
                          <w:marLeft w:val="0"/>
                          <w:marRight w:val="0"/>
                          <w:marTop w:val="0"/>
                          <w:marBottom w:val="0"/>
                          <w:divBdr>
                            <w:top w:val="none" w:sz="0" w:space="0" w:color="auto"/>
                            <w:left w:val="none" w:sz="0" w:space="0" w:color="auto"/>
                            <w:bottom w:val="none" w:sz="0" w:space="0" w:color="auto"/>
                            <w:right w:val="none" w:sz="0" w:space="0" w:color="auto"/>
                          </w:divBdr>
                          <w:divsChild>
                            <w:div w:id="717322534">
                              <w:marLeft w:val="0"/>
                              <w:marRight w:val="0"/>
                              <w:marTop w:val="0"/>
                              <w:marBottom w:val="0"/>
                              <w:divBdr>
                                <w:top w:val="none" w:sz="0" w:space="0" w:color="auto"/>
                                <w:left w:val="none" w:sz="0" w:space="0" w:color="auto"/>
                                <w:bottom w:val="none" w:sz="0" w:space="0" w:color="auto"/>
                                <w:right w:val="none" w:sz="0" w:space="0" w:color="auto"/>
                              </w:divBdr>
                              <w:divsChild>
                                <w:div w:id="4282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37552">
      <w:bodyDiv w:val="1"/>
      <w:marLeft w:val="0"/>
      <w:marRight w:val="0"/>
      <w:marTop w:val="0"/>
      <w:marBottom w:val="0"/>
      <w:divBdr>
        <w:top w:val="none" w:sz="0" w:space="0" w:color="auto"/>
        <w:left w:val="none" w:sz="0" w:space="0" w:color="auto"/>
        <w:bottom w:val="none" w:sz="0" w:space="0" w:color="auto"/>
        <w:right w:val="none" w:sz="0" w:space="0" w:color="auto"/>
      </w:divBdr>
    </w:div>
    <w:div w:id="1285040633">
      <w:bodyDiv w:val="1"/>
      <w:marLeft w:val="0"/>
      <w:marRight w:val="0"/>
      <w:marTop w:val="0"/>
      <w:marBottom w:val="0"/>
      <w:divBdr>
        <w:top w:val="none" w:sz="0" w:space="0" w:color="auto"/>
        <w:left w:val="none" w:sz="0" w:space="0" w:color="auto"/>
        <w:bottom w:val="none" w:sz="0" w:space="0" w:color="auto"/>
        <w:right w:val="none" w:sz="0" w:space="0" w:color="auto"/>
      </w:divBdr>
    </w:div>
    <w:div w:id="1322732174">
      <w:bodyDiv w:val="1"/>
      <w:marLeft w:val="0"/>
      <w:marRight w:val="0"/>
      <w:marTop w:val="0"/>
      <w:marBottom w:val="0"/>
      <w:divBdr>
        <w:top w:val="none" w:sz="0" w:space="0" w:color="auto"/>
        <w:left w:val="none" w:sz="0" w:space="0" w:color="auto"/>
        <w:bottom w:val="none" w:sz="0" w:space="0" w:color="auto"/>
        <w:right w:val="none" w:sz="0" w:space="0" w:color="auto"/>
      </w:divBdr>
    </w:div>
    <w:div w:id="1400983863">
      <w:bodyDiv w:val="1"/>
      <w:marLeft w:val="0"/>
      <w:marRight w:val="0"/>
      <w:marTop w:val="0"/>
      <w:marBottom w:val="0"/>
      <w:divBdr>
        <w:top w:val="none" w:sz="0" w:space="0" w:color="auto"/>
        <w:left w:val="none" w:sz="0" w:space="0" w:color="auto"/>
        <w:bottom w:val="none" w:sz="0" w:space="0" w:color="auto"/>
        <w:right w:val="none" w:sz="0" w:space="0" w:color="auto"/>
      </w:divBdr>
    </w:div>
    <w:div w:id="1409771236">
      <w:bodyDiv w:val="1"/>
      <w:marLeft w:val="0"/>
      <w:marRight w:val="0"/>
      <w:marTop w:val="0"/>
      <w:marBottom w:val="0"/>
      <w:divBdr>
        <w:top w:val="none" w:sz="0" w:space="0" w:color="auto"/>
        <w:left w:val="none" w:sz="0" w:space="0" w:color="auto"/>
        <w:bottom w:val="none" w:sz="0" w:space="0" w:color="auto"/>
        <w:right w:val="none" w:sz="0" w:space="0" w:color="auto"/>
      </w:divBdr>
    </w:div>
    <w:div w:id="1432773294">
      <w:bodyDiv w:val="1"/>
      <w:marLeft w:val="0"/>
      <w:marRight w:val="0"/>
      <w:marTop w:val="0"/>
      <w:marBottom w:val="0"/>
      <w:divBdr>
        <w:top w:val="none" w:sz="0" w:space="0" w:color="auto"/>
        <w:left w:val="none" w:sz="0" w:space="0" w:color="auto"/>
        <w:bottom w:val="none" w:sz="0" w:space="0" w:color="auto"/>
        <w:right w:val="none" w:sz="0" w:space="0" w:color="auto"/>
      </w:divBdr>
    </w:div>
    <w:div w:id="1528713944">
      <w:bodyDiv w:val="1"/>
      <w:marLeft w:val="0"/>
      <w:marRight w:val="0"/>
      <w:marTop w:val="0"/>
      <w:marBottom w:val="0"/>
      <w:divBdr>
        <w:top w:val="none" w:sz="0" w:space="0" w:color="auto"/>
        <w:left w:val="none" w:sz="0" w:space="0" w:color="auto"/>
        <w:bottom w:val="none" w:sz="0" w:space="0" w:color="auto"/>
        <w:right w:val="none" w:sz="0" w:space="0" w:color="auto"/>
      </w:divBdr>
    </w:div>
    <w:div w:id="1558854094">
      <w:bodyDiv w:val="1"/>
      <w:marLeft w:val="0"/>
      <w:marRight w:val="0"/>
      <w:marTop w:val="0"/>
      <w:marBottom w:val="0"/>
      <w:divBdr>
        <w:top w:val="none" w:sz="0" w:space="0" w:color="auto"/>
        <w:left w:val="none" w:sz="0" w:space="0" w:color="auto"/>
        <w:bottom w:val="none" w:sz="0" w:space="0" w:color="auto"/>
        <w:right w:val="none" w:sz="0" w:space="0" w:color="auto"/>
      </w:divBdr>
    </w:div>
    <w:div w:id="1723285709">
      <w:bodyDiv w:val="1"/>
      <w:marLeft w:val="0"/>
      <w:marRight w:val="0"/>
      <w:marTop w:val="0"/>
      <w:marBottom w:val="0"/>
      <w:divBdr>
        <w:top w:val="none" w:sz="0" w:space="0" w:color="auto"/>
        <w:left w:val="none" w:sz="0" w:space="0" w:color="auto"/>
        <w:bottom w:val="none" w:sz="0" w:space="0" w:color="auto"/>
        <w:right w:val="none" w:sz="0" w:space="0" w:color="auto"/>
      </w:divBdr>
    </w:div>
    <w:div w:id="1798336054">
      <w:bodyDiv w:val="1"/>
      <w:marLeft w:val="0"/>
      <w:marRight w:val="0"/>
      <w:marTop w:val="0"/>
      <w:marBottom w:val="0"/>
      <w:divBdr>
        <w:top w:val="none" w:sz="0" w:space="0" w:color="auto"/>
        <w:left w:val="none" w:sz="0" w:space="0" w:color="auto"/>
        <w:bottom w:val="none" w:sz="0" w:space="0" w:color="auto"/>
        <w:right w:val="none" w:sz="0" w:space="0" w:color="auto"/>
      </w:divBdr>
    </w:div>
    <w:div w:id="1955404221">
      <w:bodyDiv w:val="1"/>
      <w:marLeft w:val="0"/>
      <w:marRight w:val="0"/>
      <w:marTop w:val="0"/>
      <w:marBottom w:val="0"/>
      <w:divBdr>
        <w:top w:val="none" w:sz="0" w:space="0" w:color="auto"/>
        <w:left w:val="none" w:sz="0" w:space="0" w:color="auto"/>
        <w:bottom w:val="none" w:sz="0" w:space="0" w:color="auto"/>
        <w:right w:val="none" w:sz="0" w:space="0" w:color="auto"/>
      </w:divBdr>
    </w:div>
    <w:div w:id="2031057095">
      <w:bodyDiv w:val="1"/>
      <w:marLeft w:val="0"/>
      <w:marRight w:val="0"/>
      <w:marTop w:val="0"/>
      <w:marBottom w:val="0"/>
      <w:divBdr>
        <w:top w:val="none" w:sz="0" w:space="0" w:color="auto"/>
        <w:left w:val="none" w:sz="0" w:space="0" w:color="auto"/>
        <w:bottom w:val="none" w:sz="0" w:space="0" w:color="auto"/>
        <w:right w:val="none" w:sz="0" w:space="0" w:color="auto"/>
      </w:divBdr>
    </w:div>
    <w:div w:id="2043047457">
      <w:bodyDiv w:val="1"/>
      <w:marLeft w:val="0"/>
      <w:marRight w:val="0"/>
      <w:marTop w:val="0"/>
      <w:marBottom w:val="0"/>
      <w:divBdr>
        <w:top w:val="none" w:sz="0" w:space="0" w:color="auto"/>
        <w:left w:val="none" w:sz="0" w:space="0" w:color="auto"/>
        <w:bottom w:val="none" w:sz="0" w:space="0" w:color="auto"/>
        <w:right w:val="none" w:sz="0" w:space="0" w:color="auto"/>
      </w:divBdr>
    </w:div>
    <w:div w:id="20778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cl.cancer.gov/resources/assay-cascade-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31EA6A58C8A4DAB1CC1825574D6EB" ma:contentTypeVersion="13" ma:contentTypeDescription="Create a new document." ma:contentTypeScope="" ma:versionID="19ef02ba588f6b60b1929891a9e0c264">
  <xsd:schema xmlns:xsd="http://www.w3.org/2001/XMLSchema" xmlns:xs="http://www.w3.org/2001/XMLSchema" xmlns:p="http://schemas.microsoft.com/office/2006/metadata/properties" xmlns:ns3="79f08403-4255-43f6-947e-cd6ad2a37abb" xmlns:ns4="d6de5687-c88a-4ca0-b640-546a7b3c6c27" targetNamespace="http://schemas.microsoft.com/office/2006/metadata/properties" ma:root="true" ma:fieldsID="6be551e2a8e06712121a7cb0b45f6295" ns3:_="" ns4:_="">
    <xsd:import namespace="79f08403-4255-43f6-947e-cd6ad2a37abb"/>
    <xsd:import namespace="d6de5687-c88a-4ca0-b640-546a7b3c6c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08403-4255-43f6-947e-cd6ad2a37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de5687-c88a-4ca0-b640-546a7b3c6c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9DFE6-682C-4517-B3B5-87671F630477}">
  <ds:schemaRefs>
    <ds:schemaRef ds:uri="http://schemas.microsoft.com/sharepoint/v3/contenttype/forms"/>
  </ds:schemaRefs>
</ds:datastoreItem>
</file>

<file path=customXml/itemProps2.xml><?xml version="1.0" encoding="utf-8"?>
<ds:datastoreItem xmlns:ds="http://schemas.openxmlformats.org/officeDocument/2006/customXml" ds:itemID="{C1CF7694-9C83-489E-AA5F-CA8BE369C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08403-4255-43f6-947e-cd6ad2a37abb"/>
    <ds:schemaRef ds:uri="d6de5687-c88a-4ca0-b640-546a7b3c6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AA02A-DE2F-4A8B-8C01-2FAF4672BF8B}">
  <ds:schemaRefs>
    <ds:schemaRef ds:uri="http://schemas.openxmlformats.org/officeDocument/2006/bibliography"/>
  </ds:schemaRefs>
</ds:datastoreItem>
</file>

<file path=customXml/itemProps4.xml><?xml version="1.0" encoding="utf-8"?>
<ds:datastoreItem xmlns:ds="http://schemas.openxmlformats.org/officeDocument/2006/customXml" ds:itemID="{116A4B8F-5572-4410-BD6D-CD7E3A87EE96}">
  <ds:schemaRefs>
    <ds:schemaRef ds:uri="http://purl.org/dc/elements/1.1/"/>
    <ds:schemaRef ds:uri="http://schemas.microsoft.com/office/2006/metadata/properties"/>
    <ds:schemaRef ds:uri="79f08403-4255-43f6-947e-cd6ad2a37a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de5687-c88a-4ca0-b640-546a7b3c6c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50401</Words>
  <Characters>287291</Characters>
  <Application>Microsoft Office Word</Application>
  <DocSecurity>0</DocSecurity>
  <Lines>2394</Lines>
  <Paragraphs>674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337018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HALAMODA KENZAOUI Blanka (JRC-ISPRA)</dc:creator>
  <cp:keywords/>
  <dc:description/>
  <cp:lastModifiedBy>HALAMODA KENZAOUI Blanka (JRC-ISPRA)</cp:lastModifiedBy>
  <cp:revision>3</cp:revision>
  <cp:lastPrinted>2020-09-08T09:10:00Z</cp:lastPrinted>
  <dcterms:created xsi:type="dcterms:W3CDTF">2021-06-08T13:24:00Z</dcterms:created>
  <dcterms:modified xsi:type="dcterms:W3CDTF">2021-06-08T13:25:00Z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0x010100CC731EA6A58C8A4DAB1CC1825574D6EB</vt:lpwstr>
  </property>
  <property fmtid="{D5CDD505-2E9C-101B-9397-08002B2CF9AE}" pid="3" name="_NewReviewCycle">
    <vt:lpwstr/>
  </property>
  <property fmtid="{D5CDD505-2E9C-101B-9397-08002B2CF9AE}" pid="4" name="Mendeley Document_1">
    <vt:lpwstr>True</vt:lpwstr>
  </property>
  <property fmtid="{D5CDD505-2E9C-101B-9397-08002B2CF9AE}" pid="5" name="Mendeley Unique User Id_1">
    <vt:lpwstr>a0919584-1c64-3088-80ac-d0f9866f7d19</vt:lpwstr>
  </property>
  <property fmtid="{D5CDD505-2E9C-101B-9397-08002B2CF9AE}" pid="6" name="Mendeley Citation Style_1">
    <vt:lpwstr>http://www.zotero.org/styles/journal-of-controlled-release</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http://www.zotero.org/styles/journal-of-controlled-release</vt:lpwstr>
  </property>
  <property fmtid="{D5CDD505-2E9C-101B-9397-08002B2CF9AE}" pid="20" name="Mendeley Recent Style Name 6_1">
    <vt:lpwstr>Journal of Controlled Release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http://www.zotero.org/styles/plos-one</vt:lpwstr>
  </property>
  <property fmtid="{D5CDD505-2E9C-101B-9397-08002B2CF9AE}" pid="26" name="Mendeley Recent Style Name 9_1">
    <vt:lpwstr>PLOS ONE</vt:lpwstr>
  </property>
</Properties>
</file>