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AA" w:rsidRDefault="00986BAA"/>
    <w:p w:rsidR="003111D5" w:rsidRDefault="003111D5"/>
    <w:p w:rsidR="003111D5" w:rsidRDefault="003111D5" w:rsidP="003111D5">
      <w:pPr>
        <w:spacing w:line="360" w:lineRule="auto"/>
        <w:jc w:val="both"/>
        <w:rPr>
          <w:rFonts w:ascii="Times New Roman" w:hAnsi="Times New Roman" w:cs="Times New Roman"/>
          <w:b/>
          <w:sz w:val="28"/>
          <w:szCs w:val="28"/>
        </w:rPr>
      </w:pPr>
      <w:r w:rsidRPr="00B9091A">
        <w:rPr>
          <w:rFonts w:ascii="Times New Roman" w:hAnsi="Times New Roman" w:cs="Times New Roman"/>
          <w:b/>
          <w:sz w:val="28"/>
          <w:szCs w:val="28"/>
        </w:rPr>
        <w:t>The prognostic and diagnostic significance of the neutrophil to lymphocyte ratio in hepatocellular carcinoma: A prospective controlled study</w:t>
      </w:r>
    </w:p>
    <w:p w:rsidR="003111D5" w:rsidRPr="00B9091A" w:rsidRDefault="003111D5" w:rsidP="003111D5">
      <w:pPr>
        <w:spacing w:line="360" w:lineRule="auto"/>
        <w:jc w:val="both"/>
        <w:rPr>
          <w:rFonts w:ascii="Times New Roman" w:hAnsi="Times New Roman" w:cs="Times New Roman"/>
          <w:b/>
          <w:sz w:val="28"/>
          <w:szCs w:val="28"/>
        </w:rPr>
      </w:pPr>
      <w:r>
        <w:rPr>
          <w:rFonts w:ascii="Times New Roman" w:hAnsi="Times New Roman" w:cs="Times New Roman"/>
          <w:b/>
          <w:sz w:val="28"/>
          <w:szCs w:val="28"/>
        </w:rPr>
        <w:t>Running Title: NLR in hepatocellular carcinoma</w:t>
      </w:r>
    </w:p>
    <w:p w:rsidR="003111D5" w:rsidRDefault="003111D5" w:rsidP="003111D5">
      <w:pPr>
        <w:spacing w:after="0" w:line="360" w:lineRule="auto"/>
        <w:jc w:val="both"/>
        <w:rPr>
          <w:rFonts w:ascii="Times New Roman" w:hAnsi="Times New Roman" w:cs="Times New Roman"/>
          <w:sz w:val="28"/>
          <w:szCs w:val="28"/>
        </w:rPr>
      </w:pPr>
    </w:p>
    <w:p w:rsidR="003111D5" w:rsidRPr="00F81166" w:rsidRDefault="003111D5" w:rsidP="003111D5">
      <w:pPr>
        <w:spacing w:after="0" w:line="360" w:lineRule="auto"/>
        <w:jc w:val="both"/>
        <w:rPr>
          <w:rFonts w:ascii="Times New Roman" w:hAnsi="Times New Roman" w:cs="Times New Roman"/>
          <w:sz w:val="28"/>
          <w:szCs w:val="28"/>
        </w:rPr>
      </w:pPr>
      <w:r w:rsidRPr="00F81166">
        <w:rPr>
          <w:rFonts w:ascii="Times New Roman" w:hAnsi="Times New Roman" w:cs="Times New Roman"/>
          <w:sz w:val="28"/>
          <w:szCs w:val="28"/>
        </w:rPr>
        <w:t>Philip J Johnson</w:t>
      </w:r>
      <w:r w:rsidRPr="00871126">
        <w:rPr>
          <w:rFonts w:ascii="Times New Roman" w:hAnsi="Times New Roman" w:cs="Times New Roman"/>
          <w:sz w:val="28"/>
          <w:szCs w:val="28"/>
          <w:vertAlign w:val="superscript"/>
        </w:rPr>
        <w:t>1</w:t>
      </w:r>
    </w:p>
    <w:p w:rsidR="003111D5" w:rsidRPr="00F81166" w:rsidRDefault="003111D5" w:rsidP="003111D5">
      <w:pPr>
        <w:spacing w:after="0" w:line="360" w:lineRule="auto"/>
        <w:jc w:val="both"/>
        <w:rPr>
          <w:rFonts w:ascii="Times New Roman" w:hAnsi="Times New Roman" w:cs="Times New Roman"/>
          <w:sz w:val="28"/>
          <w:szCs w:val="28"/>
        </w:rPr>
      </w:pPr>
      <w:r w:rsidRPr="00F81166">
        <w:rPr>
          <w:rFonts w:ascii="Times New Roman" w:hAnsi="Times New Roman" w:cs="Times New Roman"/>
          <w:sz w:val="28"/>
          <w:szCs w:val="28"/>
        </w:rPr>
        <w:t>Sofi Dhanaraj</w:t>
      </w:r>
      <w:r w:rsidRPr="00871126">
        <w:rPr>
          <w:rFonts w:ascii="Times New Roman" w:hAnsi="Times New Roman" w:cs="Times New Roman"/>
          <w:sz w:val="28"/>
          <w:szCs w:val="28"/>
          <w:vertAlign w:val="superscript"/>
        </w:rPr>
        <w:t>2</w:t>
      </w:r>
    </w:p>
    <w:p w:rsidR="003111D5" w:rsidRPr="00F81166" w:rsidRDefault="003111D5" w:rsidP="003111D5">
      <w:pPr>
        <w:spacing w:after="0" w:line="360" w:lineRule="auto"/>
        <w:jc w:val="both"/>
        <w:rPr>
          <w:rFonts w:ascii="Times New Roman" w:hAnsi="Times New Roman" w:cs="Times New Roman"/>
          <w:sz w:val="28"/>
          <w:szCs w:val="28"/>
        </w:rPr>
      </w:pPr>
      <w:r w:rsidRPr="00F81166">
        <w:rPr>
          <w:rFonts w:ascii="Times New Roman" w:hAnsi="Times New Roman" w:cs="Times New Roman"/>
          <w:sz w:val="28"/>
          <w:szCs w:val="28"/>
        </w:rPr>
        <w:t>Sarah Berhane</w:t>
      </w:r>
      <w:r w:rsidRPr="00871126">
        <w:rPr>
          <w:rFonts w:ascii="Times New Roman" w:hAnsi="Times New Roman" w:cs="Times New Roman"/>
          <w:sz w:val="28"/>
          <w:szCs w:val="28"/>
          <w:vertAlign w:val="superscript"/>
        </w:rPr>
        <w:t>3</w:t>
      </w:r>
    </w:p>
    <w:p w:rsidR="003111D5" w:rsidRDefault="003111D5" w:rsidP="003111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w:t>
      </w:r>
      <w:r w:rsidRPr="00F81166">
        <w:rPr>
          <w:rFonts w:ascii="Times New Roman" w:hAnsi="Times New Roman" w:cs="Times New Roman"/>
          <w:sz w:val="28"/>
          <w:szCs w:val="28"/>
        </w:rPr>
        <w:t>aura Bonnett</w:t>
      </w:r>
      <w:r w:rsidRPr="00871126">
        <w:rPr>
          <w:rFonts w:ascii="Times New Roman" w:hAnsi="Times New Roman" w:cs="Times New Roman"/>
          <w:sz w:val="28"/>
          <w:szCs w:val="28"/>
          <w:vertAlign w:val="superscript"/>
        </w:rPr>
        <w:t>4</w:t>
      </w:r>
    </w:p>
    <w:p w:rsidR="003111D5" w:rsidRPr="00F81166" w:rsidRDefault="003111D5" w:rsidP="003111D5">
      <w:pPr>
        <w:spacing w:after="0" w:line="360" w:lineRule="auto"/>
        <w:jc w:val="both"/>
        <w:rPr>
          <w:rFonts w:ascii="Times New Roman" w:hAnsi="Times New Roman" w:cs="Times New Roman"/>
          <w:sz w:val="28"/>
          <w:szCs w:val="28"/>
        </w:rPr>
      </w:pPr>
      <w:r w:rsidRPr="00F81166">
        <w:rPr>
          <w:rFonts w:ascii="Times New Roman" w:hAnsi="Times New Roman" w:cs="Times New Roman"/>
          <w:sz w:val="28"/>
          <w:szCs w:val="28"/>
        </w:rPr>
        <w:t xml:space="preserve">Yuk </w:t>
      </w:r>
      <w:r>
        <w:rPr>
          <w:rFonts w:ascii="Times New Roman" w:hAnsi="Times New Roman" w:cs="Times New Roman"/>
          <w:sz w:val="28"/>
          <w:szCs w:val="28"/>
        </w:rPr>
        <w:t>T</w:t>
      </w:r>
      <w:r w:rsidRPr="00F81166">
        <w:rPr>
          <w:rFonts w:ascii="Times New Roman" w:hAnsi="Times New Roman" w:cs="Times New Roman"/>
          <w:sz w:val="28"/>
          <w:szCs w:val="28"/>
        </w:rPr>
        <w:t>ing Ma</w:t>
      </w:r>
      <w:r w:rsidRPr="00871126">
        <w:rPr>
          <w:rFonts w:ascii="Times New Roman" w:hAnsi="Times New Roman" w:cs="Times New Roman"/>
          <w:sz w:val="28"/>
          <w:szCs w:val="28"/>
          <w:vertAlign w:val="superscript"/>
        </w:rPr>
        <w:t>5</w:t>
      </w:r>
    </w:p>
    <w:p w:rsidR="003111D5" w:rsidRPr="00F81166" w:rsidRDefault="003111D5" w:rsidP="003111D5">
      <w:pPr>
        <w:spacing w:after="0" w:line="240" w:lineRule="auto"/>
        <w:jc w:val="both"/>
        <w:rPr>
          <w:rFonts w:ascii="Times New Roman" w:hAnsi="Times New Roman" w:cs="Times New Roman"/>
          <w:sz w:val="28"/>
          <w:szCs w:val="28"/>
        </w:rPr>
      </w:pP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vertAlign w:val="superscript"/>
        </w:rPr>
        <w:t>1</w:t>
      </w:r>
      <w:hyperlink r:id="rId7" w:history="1">
        <w:r w:rsidRPr="001C17AD">
          <w:rPr>
            <w:rStyle w:val="Hyperlink"/>
            <w:rFonts w:ascii="Times New Roman" w:hAnsi="Times New Roman" w:cs="Times New Roman"/>
            <w:sz w:val="28"/>
            <w:szCs w:val="28"/>
          </w:rPr>
          <w:t>Philip.Johnson@liverpool.ac.uk</w:t>
        </w:r>
      </w:hyperlink>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Department of Molecular and Clinical Cancer Medicine, University of Liverpool,</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2/f Sherrington Building, Ashton Street, Liverpool L69 3GE</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0151 7958410</w:t>
      </w:r>
    </w:p>
    <w:p w:rsidR="00676A9B" w:rsidRPr="001C17AD" w:rsidRDefault="00676A9B"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Orcid:  https://orcid.org/0000-0003-1404-0209</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vertAlign w:val="superscript"/>
        </w:rPr>
        <w:t>2</w:t>
      </w:r>
      <w:hyperlink r:id="rId8" w:history="1">
        <w:r w:rsidRPr="001C17AD">
          <w:rPr>
            <w:rStyle w:val="Hyperlink"/>
            <w:rFonts w:ascii="Times New Roman" w:hAnsi="Times New Roman" w:cs="Times New Roman"/>
            <w:sz w:val="28"/>
            <w:szCs w:val="28"/>
          </w:rPr>
          <w:t>Sofi.Dhanaraj@uhb.nhs.uk</w:t>
        </w:r>
      </w:hyperlink>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Liver Services, University Hospitals NHS Foundation Trust, Birmingham</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0121 371 4652</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vertAlign w:val="superscript"/>
        </w:rPr>
        <w:t>3</w:t>
      </w:r>
      <w:hyperlink r:id="rId9" w:history="1">
        <w:r w:rsidRPr="001C17AD">
          <w:rPr>
            <w:rStyle w:val="Hyperlink"/>
            <w:rFonts w:ascii="Times New Roman" w:hAnsi="Times New Roman" w:cs="Times New Roman"/>
            <w:sz w:val="28"/>
            <w:szCs w:val="28"/>
          </w:rPr>
          <w:t>S.Berhane@bham.ac.uk</w:t>
        </w:r>
      </w:hyperlink>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Institute of Applied Health Research, University of Birmingham</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0121 4148712</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vertAlign w:val="superscript"/>
        </w:rPr>
        <w:t>4</w:t>
      </w:r>
      <w:hyperlink r:id="rId10" w:history="1">
        <w:r w:rsidRPr="001C17AD">
          <w:rPr>
            <w:rStyle w:val="Hyperlink"/>
            <w:rFonts w:ascii="Times New Roman" w:hAnsi="Times New Roman" w:cs="Times New Roman"/>
            <w:sz w:val="28"/>
            <w:szCs w:val="28"/>
          </w:rPr>
          <w:t>L.J.Bonnett@liverpool.ac.uk</w:t>
        </w:r>
      </w:hyperlink>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 xml:space="preserve">Department of </w:t>
      </w:r>
      <w:r w:rsidR="00C14226" w:rsidRPr="001C17AD">
        <w:rPr>
          <w:rFonts w:ascii="Times New Roman" w:hAnsi="Times New Roman" w:cs="Times New Roman"/>
          <w:sz w:val="28"/>
          <w:szCs w:val="28"/>
        </w:rPr>
        <w:t>Health Data Science</w:t>
      </w:r>
      <w:r w:rsidRPr="001C17AD">
        <w:rPr>
          <w:rFonts w:ascii="Times New Roman" w:hAnsi="Times New Roman" w:cs="Times New Roman"/>
          <w:sz w:val="28"/>
          <w:szCs w:val="28"/>
        </w:rPr>
        <w:t>, University of Liverpool</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0151 795 9686</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vertAlign w:val="superscript"/>
        </w:rPr>
        <w:t>5</w:t>
      </w:r>
      <w:hyperlink r:id="rId11" w:history="1">
        <w:r w:rsidRPr="001C17AD">
          <w:rPr>
            <w:rStyle w:val="Hyperlink"/>
            <w:rFonts w:ascii="Times New Roman" w:hAnsi="Times New Roman" w:cs="Times New Roman"/>
            <w:sz w:val="28"/>
            <w:szCs w:val="28"/>
          </w:rPr>
          <w:t>YukTing.Ma@uhb.nhs.uk</w:t>
        </w:r>
      </w:hyperlink>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Institute of Immunology and Immunotherapy, University of Birmingham</w:t>
      </w:r>
    </w:p>
    <w:p w:rsidR="003111D5" w:rsidRPr="001C17AD" w:rsidRDefault="003111D5" w:rsidP="003111D5">
      <w:pPr>
        <w:spacing w:after="0" w:line="240" w:lineRule="auto"/>
        <w:jc w:val="both"/>
        <w:rPr>
          <w:rFonts w:ascii="Times New Roman" w:hAnsi="Times New Roman" w:cs="Times New Roman"/>
          <w:sz w:val="28"/>
          <w:szCs w:val="28"/>
        </w:rPr>
      </w:pPr>
      <w:r w:rsidRPr="001C17AD">
        <w:rPr>
          <w:rFonts w:ascii="Times New Roman" w:hAnsi="Times New Roman" w:cs="Times New Roman"/>
          <w:sz w:val="28"/>
          <w:szCs w:val="28"/>
        </w:rPr>
        <w:t>0121 371 3571</w:t>
      </w:r>
    </w:p>
    <w:p w:rsidR="00E1789B" w:rsidRPr="001C17AD" w:rsidRDefault="00E1789B" w:rsidP="003111D5">
      <w:pPr>
        <w:rPr>
          <w:rFonts w:ascii="Times New Roman" w:hAnsi="Times New Roman" w:cs="Times New Roman"/>
          <w:i/>
          <w:sz w:val="28"/>
          <w:szCs w:val="28"/>
        </w:rPr>
      </w:pPr>
    </w:p>
    <w:p w:rsidR="003111D5" w:rsidRPr="001C17AD" w:rsidRDefault="00E1789B" w:rsidP="003111D5">
      <w:pPr>
        <w:rPr>
          <w:rFonts w:ascii="Times New Roman" w:hAnsi="Times New Roman" w:cs="Times New Roman"/>
          <w:sz w:val="28"/>
          <w:szCs w:val="28"/>
        </w:rPr>
      </w:pPr>
      <w:r w:rsidRPr="001C17AD">
        <w:rPr>
          <w:rFonts w:ascii="Times New Roman" w:hAnsi="Times New Roman" w:cs="Times New Roman"/>
          <w:i/>
          <w:sz w:val="28"/>
          <w:szCs w:val="28"/>
        </w:rPr>
        <w:t>Corresponding author</w:t>
      </w:r>
      <w:r w:rsidRPr="001C17AD">
        <w:rPr>
          <w:rFonts w:ascii="Times New Roman" w:hAnsi="Times New Roman" w:cs="Times New Roman"/>
          <w:sz w:val="28"/>
          <w:szCs w:val="28"/>
        </w:rPr>
        <w:t>:  Philip Johnson</w:t>
      </w:r>
      <w:r w:rsidR="001C17AD" w:rsidRPr="001C17AD">
        <w:rPr>
          <w:rFonts w:ascii="Times New Roman" w:hAnsi="Times New Roman" w:cs="Times New Roman"/>
          <w:sz w:val="28"/>
          <w:szCs w:val="28"/>
        </w:rPr>
        <w:t xml:space="preserve"> Department of Molecular and Clinical Cancer Medicine, University of Liverpool, UK</w:t>
      </w:r>
      <w:r w:rsidRPr="001C17AD">
        <w:rPr>
          <w:rFonts w:ascii="Times New Roman" w:hAnsi="Times New Roman" w:cs="Times New Roman"/>
          <w:sz w:val="28"/>
          <w:szCs w:val="28"/>
        </w:rPr>
        <w:t>.  Philip.Johnson@liverpool.ac.uk</w:t>
      </w:r>
      <w:r w:rsidR="003111D5" w:rsidRPr="001C17AD">
        <w:rPr>
          <w:rFonts w:ascii="Times New Roman" w:hAnsi="Times New Roman" w:cs="Times New Roman"/>
          <w:sz w:val="28"/>
          <w:szCs w:val="28"/>
        </w:rPr>
        <w:br w:type="page"/>
      </w:r>
    </w:p>
    <w:p w:rsidR="00E1789B" w:rsidRDefault="001C17AD" w:rsidP="00435F5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E1789B" w:rsidRDefault="00E1789B" w:rsidP="00435F52">
      <w:pPr>
        <w:spacing w:after="0" w:line="480" w:lineRule="auto"/>
        <w:jc w:val="both"/>
        <w:rPr>
          <w:rFonts w:ascii="Times New Roman" w:hAnsi="Times New Roman" w:cs="Times New Roman"/>
          <w:b/>
          <w:sz w:val="24"/>
          <w:szCs w:val="24"/>
        </w:rPr>
      </w:pPr>
    </w:p>
    <w:p w:rsidR="00E1789B" w:rsidRDefault="00E1789B" w:rsidP="00435F52">
      <w:pPr>
        <w:spacing w:after="0" w:line="480" w:lineRule="auto"/>
        <w:jc w:val="both"/>
        <w:rPr>
          <w:rFonts w:ascii="Times New Roman" w:eastAsia="Calibri" w:hAnsi="Times New Roman" w:cs="Times New Roman"/>
          <w:color w:val="000000"/>
          <w:sz w:val="24"/>
          <w:szCs w:val="24"/>
        </w:rPr>
      </w:pPr>
      <w:bookmarkStart w:id="0" w:name="_GoBack"/>
      <w:r>
        <w:rPr>
          <w:rFonts w:ascii="Times New Roman" w:hAnsi="Times New Roman" w:cs="Times New Roman"/>
          <w:b/>
          <w:sz w:val="24"/>
          <w:szCs w:val="24"/>
        </w:rPr>
        <w:t>Background</w:t>
      </w:r>
      <w:r w:rsidR="001C17AD">
        <w:rPr>
          <w:rFonts w:ascii="Times New Roman" w:hAnsi="Times New Roman" w:cs="Times New Roman"/>
          <w:b/>
          <w:sz w:val="24"/>
          <w:szCs w:val="24"/>
        </w:rPr>
        <w:t>:</w:t>
      </w:r>
      <w:r w:rsidR="00435F52">
        <w:rPr>
          <w:rFonts w:ascii="Times New Roman" w:hAnsi="Times New Roman" w:cs="Times New Roman"/>
          <w:b/>
          <w:sz w:val="24"/>
          <w:szCs w:val="24"/>
        </w:rPr>
        <w:t xml:space="preserve"> </w:t>
      </w:r>
      <w:r w:rsidR="00435F52">
        <w:rPr>
          <w:rFonts w:ascii="Times New Roman" w:eastAsia="Calibri" w:hAnsi="Times New Roman" w:cs="Times New Roman"/>
          <w:sz w:val="24"/>
          <w:szCs w:val="24"/>
        </w:rPr>
        <w:t xml:space="preserve">The neutrophil-lymphocyte ratio (NLR), a presumed measure of the balance </w:t>
      </w:r>
      <w:r w:rsidR="00435F52">
        <w:rPr>
          <w:rFonts w:ascii="Times New Roman" w:eastAsia="Calibri" w:hAnsi="Times New Roman" w:cs="Times New Roman"/>
          <w:color w:val="000000"/>
          <w:sz w:val="24"/>
          <w:szCs w:val="24"/>
        </w:rPr>
        <w:t xml:space="preserve">between neutrophil-associated pro-tumor inflammation and lymphocyte-dependent anti-tumor immune function, has been suggested as a prognostic factor for several cancers including hepatocellular carcinoma (HCC). </w:t>
      </w:r>
    </w:p>
    <w:p w:rsidR="00E1789B" w:rsidRDefault="00E1789B" w:rsidP="00435F52">
      <w:pPr>
        <w:spacing w:after="0" w:line="480" w:lineRule="auto"/>
        <w:jc w:val="both"/>
        <w:rPr>
          <w:rFonts w:ascii="Times New Roman" w:eastAsia="Calibri" w:hAnsi="Times New Roman" w:cs="Times New Roman"/>
          <w:sz w:val="24"/>
          <w:szCs w:val="24"/>
        </w:rPr>
      </w:pPr>
      <w:r w:rsidRPr="00E1789B">
        <w:rPr>
          <w:rFonts w:ascii="Times New Roman" w:eastAsia="Calibri" w:hAnsi="Times New Roman" w:cs="Times New Roman"/>
          <w:b/>
          <w:color w:val="000000"/>
          <w:sz w:val="24"/>
          <w:szCs w:val="24"/>
        </w:rPr>
        <w:t>Methods</w:t>
      </w:r>
      <w:r w:rsidR="001C17AD">
        <w:rPr>
          <w:rFonts w:ascii="Times New Roman" w:eastAsia="Calibri" w:hAnsi="Times New Roman" w:cs="Times New Roman"/>
          <w:b/>
          <w:color w:val="000000"/>
          <w:sz w:val="24"/>
          <w:szCs w:val="24"/>
        </w:rPr>
        <w:t>:</w:t>
      </w:r>
      <w:r w:rsidR="00435F52">
        <w:rPr>
          <w:rFonts w:ascii="Times New Roman" w:eastAsia="Calibri" w:hAnsi="Times New Roman" w:cs="Times New Roman"/>
          <w:sz w:val="24"/>
          <w:szCs w:val="24"/>
        </w:rPr>
        <w:t xml:space="preserve"> In this study a prospectively accrued cohort of 781 patients (493 HCC and 288 chronic liver disease (CLD) without HCC) were followed-up for more than 6 years. NLR levels between HCC and CLD patients were compared, and the effect of baseline NLR on overall survival amongst HCC patients was assessed via multivariable Cox regression analysis. </w:t>
      </w:r>
    </w:p>
    <w:p w:rsidR="00E1789B" w:rsidRPr="00E1789B" w:rsidRDefault="00E1789B" w:rsidP="00435F52">
      <w:pPr>
        <w:spacing w:after="0" w:line="480" w:lineRule="auto"/>
        <w:jc w:val="both"/>
        <w:rPr>
          <w:rFonts w:ascii="Times New Roman" w:eastAsia="Calibri" w:hAnsi="Times New Roman" w:cs="Times New Roman"/>
          <w:b/>
          <w:sz w:val="24"/>
          <w:szCs w:val="24"/>
        </w:rPr>
      </w:pPr>
      <w:r w:rsidRPr="00E1789B">
        <w:rPr>
          <w:rFonts w:ascii="Times New Roman" w:eastAsia="Calibri" w:hAnsi="Times New Roman" w:cs="Times New Roman"/>
          <w:b/>
          <w:sz w:val="24"/>
          <w:szCs w:val="24"/>
        </w:rPr>
        <w:t>Results</w:t>
      </w:r>
      <w:r w:rsidR="001C17AD">
        <w:rPr>
          <w:rFonts w:ascii="Times New Roman" w:eastAsia="Calibri" w:hAnsi="Times New Roman" w:cs="Times New Roman"/>
          <w:b/>
          <w:sz w:val="24"/>
          <w:szCs w:val="24"/>
        </w:rPr>
        <w:t>:</w:t>
      </w:r>
      <w:r w:rsidRPr="00E1789B">
        <w:rPr>
          <w:rFonts w:ascii="Times New Roman" w:eastAsia="Calibri" w:hAnsi="Times New Roman" w:cs="Times New Roman"/>
          <w:b/>
          <w:sz w:val="24"/>
          <w:szCs w:val="24"/>
        </w:rPr>
        <w:t xml:space="preserve"> </w:t>
      </w:r>
      <w:r w:rsidR="00435F52">
        <w:rPr>
          <w:rFonts w:ascii="Times New Roman" w:eastAsia="Calibri" w:hAnsi="Times New Roman" w:cs="Times New Roman"/>
          <w:sz w:val="24"/>
          <w:szCs w:val="24"/>
        </w:rPr>
        <w:t xml:space="preserve">On entry into the study (‘baseline’), there was no clinically significant difference in the NLR values between CLD and HCC patients. Amongst HCC patients, NLR levels closest to last visit/death were significantly higher compared to baseline. Multivariable Cox regression analysis showed that NLR was an independent prognostic factor, even after adjustment for HCC stage. </w:t>
      </w:r>
    </w:p>
    <w:p w:rsidR="00435F52" w:rsidRDefault="00E1789B" w:rsidP="00435F52">
      <w:pPr>
        <w:spacing w:after="0" w:line="480" w:lineRule="auto"/>
        <w:jc w:val="both"/>
        <w:rPr>
          <w:rFonts w:ascii="Times New Roman" w:eastAsia="Calibri" w:hAnsi="Times New Roman" w:cs="Times New Roman"/>
          <w:sz w:val="24"/>
          <w:szCs w:val="24"/>
        </w:rPr>
      </w:pPr>
      <w:r w:rsidRPr="00E1789B">
        <w:rPr>
          <w:rFonts w:ascii="Times New Roman" w:eastAsia="Calibri" w:hAnsi="Times New Roman" w:cs="Times New Roman"/>
          <w:b/>
          <w:sz w:val="24"/>
          <w:szCs w:val="24"/>
        </w:rPr>
        <w:t>Conclusion</w:t>
      </w:r>
      <w:r w:rsidR="001C17AD">
        <w:rPr>
          <w:rFonts w:ascii="Times New Roman" w:eastAsia="Calibri" w:hAnsi="Times New Roman" w:cs="Times New Roman"/>
          <w:b/>
          <w:sz w:val="24"/>
          <w:szCs w:val="24"/>
        </w:rPr>
        <w:t>:</w:t>
      </w:r>
      <w:r w:rsidRPr="00E1789B">
        <w:rPr>
          <w:rFonts w:ascii="Times New Roman" w:eastAsia="Calibri" w:hAnsi="Times New Roman" w:cs="Times New Roman"/>
          <w:b/>
          <w:sz w:val="24"/>
          <w:szCs w:val="24"/>
        </w:rPr>
        <w:t xml:space="preserve"> </w:t>
      </w:r>
      <w:r w:rsidR="00435F52">
        <w:rPr>
          <w:rFonts w:ascii="Times New Roman" w:eastAsia="Calibri" w:hAnsi="Times New Roman" w:cs="Times New Roman"/>
          <w:sz w:val="24"/>
          <w:szCs w:val="24"/>
        </w:rPr>
        <w:t>NLR is a significant independent factor influencing survival in HCC patients, hence offering an additional dimension in prognostic models.</w:t>
      </w:r>
    </w:p>
    <w:bookmarkEnd w:id="0"/>
    <w:p w:rsidR="00435F52" w:rsidRPr="004E228D" w:rsidRDefault="00435F52" w:rsidP="00435F52">
      <w:pPr>
        <w:spacing w:after="0" w:line="480" w:lineRule="auto"/>
        <w:jc w:val="both"/>
        <w:rPr>
          <w:rFonts w:ascii="Times New Roman" w:eastAsia="Calibri" w:hAnsi="Times New Roman" w:cs="Times New Roman"/>
          <w:b/>
          <w:sz w:val="24"/>
          <w:szCs w:val="24"/>
        </w:rPr>
      </w:pPr>
    </w:p>
    <w:p w:rsidR="003111D5" w:rsidRDefault="003111D5" w:rsidP="003111D5">
      <w:pPr>
        <w:spacing w:line="360" w:lineRule="auto"/>
        <w:jc w:val="both"/>
        <w:rPr>
          <w:rFonts w:ascii="Times New Roman" w:hAnsi="Times New Roman" w:cs="Times New Roman"/>
          <w:b/>
          <w:sz w:val="28"/>
          <w:szCs w:val="28"/>
        </w:rPr>
      </w:pPr>
    </w:p>
    <w:p w:rsidR="003111D5" w:rsidRDefault="003111D5" w:rsidP="003111D5">
      <w:pPr>
        <w:spacing w:after="0" w:line="480" w:lineRule="auto"/>
        <w:jc w:val="both"/>
        <w:rPr>
          <w:rFonts w:ascii="Times New Roman" w:hAnsi="Times New Roman" w:cs="Times New Roman"/>
          <w:b/>
          <w:sz w:val="24"/>
          <w:szCs w:val="24"/>
        </w:rPr>
      </w:pPr>
    </w:p>
    <w:p w:rsidR="003111D5" w:rsidRPr="00F63EFE" w:rsidRDefault="003111D5" w:rsidP="003111D5">
      <w:pPr>
        <w:spacing w:after="0" w:line="480" w:lineRule="auto"/>
        <w:jc w:val="both"/>
        <w:rPr>
          <w:rFonts w:ascii="Times New Roman" w:hAnsi="Times New Roman" w:cs="Times New Roman"/>
          <w:b/>
          <w:sz w:val="24"/>
          <w:szCs w:val="24"/>
        </w:rPr>
      </w:pPr>
      <w:r w:rsidRPr="00F63EFE">
        <w:rPr>
          <w:rFonts w:ascii="Times New Roman" w:hAnsi="Times New Roman" w:cs="Times New Roman"/>
          <w:b/>
          <w:sz w:val="24"/>
          <w:szCs w:val="24"/>
        </w:rPr>
        <w:br w:type="page"/>
      </w:r>
    </w:p>
    <w:p w:rsidR="003111D5" w:rsidRPr="00E21DE3" w:rsidRDefault="003111D5" w:rsidP="003111D5">
      <w:pPr>
        <w:spacing w:after="0" w:line="480" w:lineRule="auto"/>
        <w:jc w:val="both"/>
        <w:rPr>
          <w:rFonts w:ascii="Times New Roman" w:hAnsi="Times New Roman" w:cs="Times New Roman"/>
          <w:sz w:val="24"/>
          <w:szCs w:val="24"/>
        </w:rPr>
      </w:pPr>
      <w:r w:rsidRPr="00E21DE3">
        <w:rPr>
          <w:rFonts w:ascii="Times New Roman" w:hAnsi="Times New Roman" w:cs="Times New Roman"/>
          <w:b/>
          <w:sz w:val="24"/>
          <w:szCs w:val="24"/>
        </w:rPr>
        <w:lastRenderedPageBreak/>
        <w:t>INTRODUCTION</w:t>
      </w:r>
    </w:p>
    <w:p w:rsidR="003111D5" w:rsidRDefault="003111D5" w:rsidP="003111D5">
      <w:pPr>
        <w:spacing w:after="0" w:line="480" w:lineRule="auto"/>
        <w:jc w:val="both"/>
        <w:rPr>
          <w:rFonts w:ascii="Times New Roman" w:hAnsi="Times New Roman" w:cs="Times New Roman"/>
          <w:sz w:val="24"/>
          <w:szCs w:val="24"/>
        </w:rPr>
      </w:pPr>
      <w:r w:rsidRPr="00F054A2">
        <w:rPr>
          <w:rFonts w:ascii="Times New Roman" w:hAnsi="Times New Roman" w:cs="Times New Roman"/>
          <w:sz w:val="24"/>
          <w:szCs w:val="24"/>
        </w:rPr>
        <w:t xml:space="preserve">The main prognostic clinical features for hepatocellular carcinoma (HCC) are now well documented and include tumour size and number, presence of vascular invasion, serum </w:t>
      </w:r>
      <w:r w:rsidR="00A23758">
        <w:rPr>
          <w:rFonts w:ascii="Times New Roman" w:hAnsi="Times New Roman" w:cs="Times New Roman"/>
          <w:sz w:val="24"/>
          <w:szCs w:val="24"/>
        </w:rPr>
        <w:t>alpha fetoprotein (</w:t>
      </w:r>
      <w:r w:rsidRPr="00F054A2">
        <w:rPr>
          <w:rFonts w:ascii="Times New Roman" w:hAnsi="Times New Roman" w:cs="Times New Roman"/>
          <w:sz w:val="24"/>
          <w:szCs w:val="24"/>
        </w:rPr>
        <w:t>AFP</w:t>
      </w:r>
      <w:r w:rsidR="00A23758">
        <w:rPr>
          <w:rFonts w:ascii="Times New Roman" w:hAnsi="Times New Roman" w:cs="Times New Roman"/>
          <w:sz w:val="24"/>
          <w:szCs w:val="24"/>
        </w:rPr>
        <w:t>)</w:t>
      </w:r>
      <w:r w:rsidRPr="00F054A2">
        <w:rPr>
          <w:rFonts w:ascii="Times New Roman" w:hAnsi="Times New Roman" w:cs="Times New Roman"/>
          <w:sz w:val="24"/>
          <w:szCs w:val="24"/>
        </w:rPr>
        <w:t xml:space="preserve"> levels and performance status</w:t>
      </w:r>
      <w:r w:rsidR="00F57E02" w:rsidRPr="00F57E02">
        <w:rPr>
          <w:rFonts w:ascii="Times New Roman" w:hAnsi="Times New Roman" w:cs="Times New Roman"/>
          <w:sz w:val="24"/>
          <w:szCs w:val="24"/>
          <w:vertAlign w:val="superscript"/>
        </w:rPr>
        <w:t>1</w:t>
      </w:r>
      <w:r w:rsidR="00F57E02">
        <w:rPr>
          <w:rFonts w:ascii="Times New Roman" w:hAnsi="Times New Roman" w:cs="Times New Roman"/>
          <w:sz w:val="24"/>
          <w:szCs w:val="24"/>
        </w:rPr>
        <w:t xml:space="preserve"> </w:t>
      </w:r>
      <w:r w:rsidR="00A23758">
        <w:rPr>
          <w:rFonts w:ascii="Times New Roman" w:hAnsi="Times New Roman" w:cs="Times New Roman"/>
          <w:sz w:val="24"/>
          <w:szCs w:val="24"/>
        </w:rPr>
        <w:t>lymphocyte t</w:t>
      </w:r>
      <w:r w:rsidRPr="00F054A2">
        <w:rPr>
          <w:rFonts w:ascii="Times New Roman" w:hAnsi="Times New Roman" w:cs="Times New Roman"/>
          <w:sz w:val="24"/>
          <w:szCs w:val="24"/>
        </w:rPr>
        <w:t>o neutrophil ratio</w:t>
      </w:r>
      <w:r>
        <w:rPr>
          <w:rFonts w:ascii="Times New Roman" w:hAnsi="Times New Roman" w:cs="Times New Roman"/>
          <w:sz w:val="24"/>
          <w:szCs w:val="24"/>
        </w:rPr>
        <w:t xml:space="preserve"> (NLR)</w:t>
      </w:r>
      <w:r w:rsidRPr="00F054A2">
        <w:rPr>
          <w:rFonts w:ascii="Times New Roman" w:hAnsi="Times New Roman" w:cs="Times New Roman"/>
          <w:sz w:val="24"/>
          <w:szCs w:val="24"/>
        </w:rPr>
        <w:t>, initially proposed as an index of systemic inflammation in the critically ill</w:t>
      </w:r>
      <w:r w:rsidR="00F57E02" w:rsidRPr="00F57E02">
        <w:rPr>
          <w:rFonts w:ascii="Times New Roman" w:hAnsi="Times New Roman" w:cs="Times New Roman"/>
          <w:sz w:val="24"/>
          <w:szCs w:val="24"/>
          <w:vertAlign w:val="superscript"/>
        </w:rPr>
        <w:t>2</w:t>
      </w:r>
      <w:r w:rsidRPr="00F054A2">
        <w:rPr>
          <w:rFonts w:ascii="Times New Roman" w:hAnsi="Times New Roman" w:cs="Times New Roman"/>
          <w:sz w:val="24"/>
          <w:szCs w:val="24"/>
        </w:rPr>
        <w:t xml:space="preserve"> has recently attracted interest in the field of cancer in general</w:t>
      </w:r>
      <w:r w:rsidR="00F57E02" w:rsidRPr="00F57E02">
        <w:rPr>
          <w:rFonts w:ascii="Times New Roman" w:hAnsi="Times New Roman" w:cs="Times New Roman"/>
          <w:sz w:val="24"/>
          <w:szCs w:val="24"/>
          <w:vertAlign w:val="superscript"/>
        </w:rPr>
        <w:t>3-5</w:t>
      </w:r>
      <w:r w:rsidRPr="00F054A2">
        <w:rPr>
          <w:rFonts w:ascii="Times New Roman" w:hAnsi="Times New Roman" w:cs="Times New Roman"/>
          <w:sz w:val="24"/>
          <w:szCs w:val="24"/>
        </w:rPr>
        <w:t xml:space="preserve"> and specifically in HCC</w:t>
      </w:r>
      <w:r w:rsidR="00F57E02" w:rsidRPr="00F57E02">
        <w:rPr>
          <w:rFonts w:ascii="Times New Roman" w:hAnsi="Times New Roman" w:cs="Times New Roman"/>
          <w:sz w:val="24"/>
          <w:szCs w:val="24"/>
          <w:vertAlign w:val="superscript"/>
        </w:rPr>
        <w:t>6,7</w:t>
      </w:r>
      <w:r w:rsidRPr="00F054A2">
        <w:rPr>
          <w:rFonts w:ascii="Times New Roman" w:hAnsi="Times New Roman" w:cs="Times New Roman"/>
          <w:sz w:val="24"/>
          <w:szCs w:val="24"/>
        </w:rPr>
        <w:t>.</w:t>
      </w:r>
      <w:r w:rsidR="00B001EA" w:rsidRPr="00B001EA">
        <w:rPr>
          <w:rFonts w:ascii="Times New Roman" w:hAnsi="Times New Roman" w:cs="Times New Roman"/>
          <w:sz w:val="24"/>
          <w:szCs w:val="24"/>
        </w:rPr>
        <w:t xml:space="preserve"> </w:t>
      </w:r>
      <w:r w:rsidR="00B001EA">
        <w:rPr>
          <w:rFonts w:ascii="Times New Roman" w:hAnsi="Times New Roman" w:cs="Times New Roman"/>
          <w:sz w:val="24"/>
          <w:szCs w:val="24"/>
        </w:rPr>
        <w:t>V</w:t>
      </w:r>
      <w:r w:rsidR="00B001EA" w:rsidRPr="00F054A2">
        <w:rPr>
          <w:rFonts w:ascii="Times New Roman" w:hAnsi="Times New Roman" w:cs="Times New Roman"/>
          <w:sz w:val="24"/>
          <w:szCs w:val="24"/>
        </w:rPr>
        <w:t xml:space="preserve">ery few of the studies have been based on prospectively collected datasets and the absolute value of NLR compared to that of patients with liver disease without HCC has received very little attention.  Furthermore, follow-up has usually been short and confounding factors that might have inappropriately indicated a prognostic or diagnostic role for NLR have not been examined.  </w:t>
      </w:r>
      <w:r w:rsidRPr="00F054A2">
        <w:rPr>
          <w:rFonts w:ascii="Times New Roman" w:hAnsi="Times New Roman" w:cs="Times New Roman"/>
          <w:sz w:val="24"/>
          <w:szCs w:val="24"/>
        </w:rPr>
        <w:t xml:space="preserve"> The recent observation that NLR was a significant predictor of response to sorafenib in patients with advanced HCC has expanded the role of NLR in HCC</w:t>
      </w:r>
      <w:r w:rsidR="00F57E02" w:rsidRPr="00F57E02">
        <w:rPr>
          <w:rFonts w:ascii="Times New Roman" w:hAnsi="Times New Roman" w:cs="Times New Roman"/>
          <w:sz w:val="24"/>
          <w:szCs w:val="24"/>
          <w:vertAlign w:val="superscript"/>
        </w:rPr>
        <w:t>8</w:t>
      </w:r>
      <w:r w:rsidRPr="00F054A2">
        <w:rPr>
          <w:rFonts w:ascii="Times New Roman" w:hAnsi="Times New Roman" w:cs="Times New Roman"/>
          <w:sz w:val="24"/>
          <w:szCs w:val="24"/>
        </w:rPr>
        <w:t>.</w:t>
      </w:r>
      <w:r>
        <w:rPr>
          <w:rFonts w:ascii="Times New Roman" w:hAnsi="Times New Roman" w:cs="Times New Roman"/>
          <w:sz w:val="24"/>
          <w:szCs w:val="24"/>
        </w:rPr>
        <w:t xml:space="preserve"> </w:t>
      </w:r>
    </w:p>
    <w:p w:rsidR="00B001EA" w:rsidRDefault="00B001EA" w:rsidP="003111D5">
      <w:pPr>
        <w:spacing w:after="0" w:line="480" w:lineRule="auto"/>
        <w:jc w:val="both"/>
        <w:rPr>
          <w:rFonts w:ascii="Times New Roman" w:hAnsi="Times New Roman" w:cs="Times New Roman"/>
          <w:b/>
          <w:sz w:val="24"/>
          <w:szCs w:val="24"/>
        </w:rPr>
      </w:pPr>
    </w:p>
    <w:p w:rsidR="003111D5" w:rsidRPr="00A009AC" w:rsidRDefault="003111D5" w:rsidP="003111D5">
      <w:pPr>
        <w:spacing w:after="0" w:line="480" w:lineRule="auto"/>
        <w:jc w:val="both"/>
        <w:rPr>
          <w:rFonts w:ascii="Times New Roman" w:hAnsi="Times New Roman" w:cs="Times New Roman"/>
          <w:b/>
          <w:sz w:val="24"/>
          <w:szCs w:val="24"/>
        </w:rPr>
      </w:pPr>
      <w:r w:rsidRPr="00A009AC">
        <w:rPr>
          <w:rFonts w:ascii="Times New Roman" w:hAnsi="Times New Roman" w:cs="Times New Roman"/>
          <w:b/>
          <w:sz w:val="24"/>
          <w:szCs w:val="24"/>
        </w:rPr>
        <w:t>PATIENTS AND METHODS</w:t>
      </w:r>
    </w:p>
    <w:p w:rsidR="001532E5" w:rsidRDefault="003111D5" w:rsidP="003111D5">
      <w:pPr>
        <w:spacing w:after="0" w:line="480" w:lineRule="auto"/>
        <w:jc w:val="both"/>
        <w:rPr>
          <w:rFonts w:ascii="Times New Roman" w:hAnsi="Times New Roman" w:cs="Times New Roman"/>
          <w:sz w:val="24"/>
          <w:szCs w:val="24"/>
        </w:rPr>
      </w:pPr>
      <w:r w:rsidRPr="00F054A2">
        <w:rPr>
          <w:rFonts w:ascii="Times New Roman" w:hAnsi="Times New Roman" w:cs="Times New Roman"/>
          <w:sz w:val="24"/>
          <w:szCs w:val="24"/>
        </w:rPr>
        <w:t xml:space="preserve">This study comprised </w:t>
      </w:r>
      <w:r>
        <w:rPr>
          <w:rFonts w:ascii="Times New Roman" w:hAnsi="Times New Roman" w:cs="Times New Roman"/>
          <w:sz w:val="24"/>
          <w:szCs w:val="24"/>
        </w:rPr>
        <w:t>781</w:t>
      </w:r>
      <w:r w:rsidRPr="00F054A2">
        <w:rPr>
          <w:rFonts w:ascii="Times New Roman" w:hAnsi="Times New Roman" w:cs="Times New Roman"/>
          <w:sz w:val="24"/>
          <w:szCs w:val="24"/>
        </w:rPr>
        <w:t xml:space="preserve"> patients, </w:t>
      </w:r>
      <w:r>
        <w:rPr>
          <w:rFonts w:ascii="Times New Roman" w:hAnsi="Times New Roman" w:cs="Times New Roman"/>
          <w:sz w:val="24"/>
          <w:szCs w:val="24"/>
        </w:rPr>
        <w:t>493</w:t>
      </w:r>
      <w:r w:rsidRPr="00F054A2">
        <w:rPr>
          <w:rFonts w:ascii="Times New Roman" w:hAnsi="Times New Roman" w:cs="Times New Roman"/>
          <w:sz w:val="24"/>
          <w:szCs w:val="24"/>
        </w:rPr>
        <w:t xml:space="preserve"> with </w:t>
      </w:r>
      <w:r w:rsidR="005F462E">
        <w:rPr>
          <w:rFonts w:ascii="Times New Roman" w:hAnsi="Times New Roman" w:cs="Times New Roman"/>
          <w:sz w:val="24"/>
          <w:szCs w:val="24"/>
        </w:rPr>
        <w:t>HCC</w:t>
      </w:r>
      <w:r w:rsidRPr="00F054A2">
        <w:rPr>
          <w:rFonts w:ascii="Times New Roman" w:hAnsi="Times New Roman" w:cs="Times New Roman"/>
          <w:sz w:val="24"/>
          <w:szCs w:val="24"/>
        </w:rPr>
        <w:t xml:space="preserve"> diagnosed according to international guidelines, and a control group of 288 patients with chronic liver disease (CLD) alone.  </w:t>
      </w:r>
      <w:r w:rsidR="005F462E">
        <w:rPr>
          <w:rFonts w:ascii="Times New Roman" w:hAnsi="Times New Roman" w:cs="Times New Roman"/>
          <w:sz w:val="24"/>
          <w:szCs w:val="24"/>
        </w:rPr>
        <w:t xml:space="preserve">All patients </w:t>
      </w:r>
      <w:r w:rsidRPr="00F054A2">
        <w:rPr>
          <w:rFonts w:ascii="Times New Roman" w:hAnsi="Times New Roman" w:cs="Times New Roman"/>
          <w:sz w:val="24"/>
          <w:szCs w:val="24"/>
        </w:rPr>
        <w:t xml:space="preserve">were </w:t>
      </w:r>
      <w:r w:rsidR="005F462E">
        <w:rPr>
          <w:rFonts w:ascii="Times New Roman" w:hAnsi="Times New Roman" w:cs="Times New Roman"/>
          <w:sz w:val="24"/>
          <w:szCs w:val="24"/>
        </w:rPr>
        <w:t xml:space="preserve">recruited </w:t>
      </w:r>
      <w:r w:rsidR="000A23B9">
        <w:rPr>
          <w:rFonts w:ascii="Times New Roman" w:hAnsi="Times New Roman" w:cs="Times New Roman"/>
          <w:sz w:val="24"/>
          <w:szCs w:val="24"/>
        </w:rPr>
        <w:t xml:space="preserve">from </w:t>
      </w:r>
      <w:r w:rsidRPr="00F054A2">
        <w:rPr>
          <w:rFonts w:ascii="Times New Roman" w:hAnsi="Times New Roman" w:cs="Times New Roman"/>
          <w:sz w:val="24"/>
          <w:szCs w:val="24"/>
        </w:rPr>
        <w:t xml:space="preserve">Queen Elizabeth Hospital (Birmingham, </w:t>
      </w:r>
      <w:r w:rsidRPr="00A23758">
        <w:rPr>
          <w:rFonts w:ascii="Times New Roman" w:hAnsi="Times New Roman" w:cs="Times New Roman"/>
          <w:sz w:val="24"/>
          <w:szCs w:val="24"/>
        </w:rPr>
        <w:t>UK) between 2007 and 2012</w:t>
      </w:r>
      <w:r w:rsidR="005F462E">
        <w:rPr>
          <w:rFonts w:ascii="Times New Roman" w:hAnsi="Times New Roman" w:cs="Times New Roman"/>
          <w:sz w:val="24"/>
          <w:szCs w:val="24"/>
        </w:rPr>
        <w:t xml:space="preserve">. Those with HCC were from the HCC clinic; those with CLD were from hepatology out-patient clinics </w:t>
      </w:r>
      <w:r w:rsidR="00876D9F">
        <w:rPr>
          <w:rFonts w:ascii="Times New Roman" w:hAnsi="Times New Roman" w:cs="Times New Roman"/>
          <w:sz w:val="24"/>
          <w:szCs w:val="24"/>
        </w:rPr>
        <w:t>f</w:t>
      </w:r>
      <w:r w:rsidR="005F462E" w:rsidRPr="00876D9F">
        <w:rPr>
          <w:rFonts w:ascii="Times New Roman" w:hAnsi="Times New Roman" w:cs="Times New Roman"/>
          <w:sz w:val="24"/>
          <w:szCs w:val="24"/>
        </w:rPr>
        <w:t xml:space="preserve">rom </w:t>
      </w:r>
      <w:r w:rsidR="00876D9F">
        <w:rPr>
          <w:rFonts w:ascii="Times New Roman" w:hAnsi="Times New Roman" w:cs="Times New Roman"/>
          <w:sz w:val="24"/>
          <w:szCs w:val="24"/>
        </w:rPr>
        <w:t xml:space="preserve">where </w:t>
      </w:r>
      <w:r w:rsidR="005F462E" w:rsidRPr="00876D9F">
        <w:rPr>
          <w:rFonts w:ascii="Times New Roman" w:hAnsi="Times New Roman" w:cs="Times New Roman"/>
          <w:sz w:val="24"/>
          <w:szCs w:val="24"/>
        </w:rPr>
        <w:t xml:space="preserve">we accepted </w:t>
      </w:r>
      <w:r w:rsidR="005F462E">
        <w:rPr>
          <w:rFonts w:ascii="Times New Roman" w:hAnsi="Times New Roman" w:cs="Times New Roman"/>
          <w:sz w:val="24"/>
          <w:szCs w:val="24"/>
        </w:rPr>
        <w:t xml:space="preserve">locally defined Child-Pugh </w:t>
      </w:r>
      <w:r w:rsidR="00492200">
        <w:rPr>
          <w:rFonts w:ascii="Times New Roman" w:hAnsi="Times New Roman" w:cs="Times New Roman"/>
          <w:sz w:val="24"/>
          <w:szCs w:val="24"/>
        </w:rPr>
        <w:t xml:space="preserve">score (CPS) </w:t>
      </w:r>
      <w:r w:rsidR="005F462E">
        <w:rPr>
          <w:rFonts w:ascii="Times New Roman" w:hAnsi="Times New Roman" w:cs="Times New Roman"/>
          <w:sz w:val="24"/>
          <w:szCs w:val="24"/>
        </w:rPr>
        <w:t>and cirrhosis status</w:t>
      </w:r>
      <w:r w:rsidR="00492200">
        <w:rPr>
          <w:rFonts w:ascii="Times New Roman" w:hAnsi="Times New Roman" w:cs="Times New Roman"/>
          <w:sz w:val="24"/>
          <w:szCs w:val="24"/>
        </w:rPr>
        <w:t>,</w:t>
      </w:r>
      <w:r w:rsidR="00BD18C7">
        <w:rPr>
          <w:rFonts w:ascii="Times New Roman" w:hAnsi="Times New Roman" w:cs="Times New Roman"/>
          <w:sz w:val="24"/>
          <w:szCs w:val="24"/>
        </w:rPr>
        <w:t xml:space="preserve"> </w:t>
      </w:r>
      <w:r w:rsidR="00492200">
        <w:rPr>
          <w:rFonts w:ascii="Times New Roman" w:hAnsi="Times New Roman" w:cs="Times New Roman"/>
          <w:sz w:val="24"/>
          <w:szCs w:val="24"/>
        </w:rPr>
        <w:t>a</w:t>
      </w:r>
      <w:r w:rsidR="00BD18C7">
        <w:rPr>
          <w:rFonts w:ascii="Times New Roman" w:hAnsi="Times New Roman" w:cs="Times New Roman"/>
          <w:sz w:val="24"/>
          <w:szCs w:val="24"/>
        </w:rPr>
        <w:t>cknowledging that strictly speaking CPS should no</w:t>
      </w:r>
      <w:r w:rsidR="00F564C1">
        <w:rPr>
          <w:rFonts w:ascii="Times New Roman" w:hAnsi="Times New Roman" w:cs="Times New Roman"/>
          <w:sz w:val="24"/>
          <w:szCs w:val="24"/>
        </w:rPr>
        <w:t>t</w:t>
      </w:r>
      <w:r w:rsidR="00BD18C7">
        <w:rPr>
          <w:rFonts w:ascii="Times New Roman" w:hAnsi="Times New Roman" w:cs="Times New Roman"/>
          <w:sz w:val="24"/>
          <w:szCs w:val="24"/>
        </w:rPr>
        <w:t xml:space="preserve"> be applied in the cases where cirrhosis was not present</w:t>
      </w:r>
      <w:r w:rsidR="00B001EA" w:rsidRPr="00A23758">
        <w:rPr>
          <w:rFonts w:ascii="Times New Roman" w:hAnsi="Times New Roman" w:cs="Times New Roman"/>
          <w:sz w:val="24"/>
          <w:szCs w:val="24"/>
        </w:rPr>
        <w:t xml:space="preserve"> </w:t>
      </w:r>
      <w:r w:rsidR="00492200">
        <w:rPr>
          <w:rFonts w:ascii="Times New Roman" w:hAnsi="Times New Roman" w:cs="Times New Roman"/>
          <w:sz w:val="24"/>
          <w:szCs w:val="24"/>
        </w:rPr>
        <w:t>(</w:t>
      </w:r>
      <w:r w:rsidR="00D919D9">
        <w:rPr>
          <w:rFonts w:ascii="Times New Roman" w:hAnsi="Times New Roman" w:cs="Times New Roman"/>
          <w:sz w:val="24"/>
          <w:szCs w:val="24"/>
        </w:rPr>
        <w:t xml:space="preserve">Supplementary </w:t>
      </w:r>
      <w:r w:rsidRPr="00A23758">
        <w:rPr>
          <w:rFonts w:ascii="Times New Roman" w:hAnsi="Times New Roman" w:cs="Times New Roman"/>
          <w:sz w:val="24"/>
          <w:szCs w:val="24"/>
        </w:rPr>
        <w:t>Table 1</w:t>
      </w:r>
      <w:r w:rsidR="00492200">
        <w:rPr>
          <w:rFonts w:ascii="Times New Roman" w:hAnsi="Times New Roman" w:cs="Times New Roman"/>
          <w:sz w:val="24"/>
          <w:szCs w:val="24"/>
        </w:rPr>
        <w:t>)</w:t>
      </w:r>
      <w:r w:rsidRPr="00A23758">
        <w:rPr>
          <w:rFonts w:ascii="Times New Roman" w:hAnsi="Times New Roman" w:cs="Times New Roman"/>
          <w:sz w:val="24"/>
          <w:szCs w:val="24"/>
        </w:rPr>
        <w:t xml:space="preserve">. </w:t>
      </w:r>
      <w:r w:rsidR="005F462E">
        <w:rPr>
          <w:rFonts w:ascii="Times New Roman" w:hAnsi="Times New Roman" w:cs="Times New Roman"/>
          <w:sz w:val="24"/>
          <w:szCs w:val="24"/>
        </w:rPr>
        <w:t>The study</w:t>
      </w:r>
      <w:r w:rsidR="00F57E02">
        <w:rPr>
          <w:rFonts w:ascii="Times New Roman" w:hAnsi="Times New Roman" w:cs="Times New Roman"/>
          <w:sz w:val="24"/>
          <w:szCs w:val="24"/>
        </w:rPr>
        <w:t xml:space="preserve"> </w:t>
      </w:r>
      <w:r w:rsidRPr="00A23758">
        <w:rPr>
          <w:rFonts w:ascii="Times New Roman" w:hAnsi="Times New Roman" w:cs="Times New Roman"/>
          <w:sz w:val="24"/>
          <w:szCs w:val="24"/>
        </w:rPr>
        <w:t xml:space="preserve">was approved by the South Birmingham Ethics Committee (CARMS-13594).  </w:t>
      </w:r>
      <w:r w:rsidR="001F0237">
        <w:rPr>
          <w:rFonts w:ascii="Times New Roman" w:hAnsi="Times New Roman" w:cs="Times New Roman"/>
          <w:sz w:val="24"/>
          <w:szCs w:val="24"/>
        </w:rPr>
        <w:t>HCC treatment was decide</w:t>
      </w:r>
      <w:r w:rsidR="000A23B9">
        <w:rPr>
          <w:rFonts w:ascii="Times New Roman" w:hAnsi="Times New Roman" w:cs="Times New Roman"/>
          <w:sz w:val="24"/>
          <w:szCs w:val="24"/>
        </w:rPr>
        <w:t>d</w:t>
      </w:r>
      <w:r w:rsidR="001F0237">
        <w:rPr>
          <w:rFonts w:ascii="Times New Roman" w:hAnsi="Times New Roman" w:cs="Times New Roman"/>
          <w:sz w:val="24"/>
          <w:szCs w:val="24"/>
        </w:rPr>
        <w:t xml:space="preserve"> </w:t>
      </w:r>
      <w:r w:rsidR="000A23B9">
        <w:rPr>
          <w:rFonts w:ascii="Times New Roman" w:hAnsi="Times New Roman" w:cs="Times New Roman"/>
          <w:sz w:val="24"/>
          <w:szCs w:val="24"/>
        </w:rPr>
        <w:t>upon</w:t>
      </w:r>
      <w:r w:rsidR="001F0237">
        <w:rPr>
          <w:rFonts w:ascii="Times New Roman" w:hAnsi="Times New Roman" w:cs="Times New Roman"/>
          <w:sz w:val="24"/>
          <w:szCs w:val="24"/>
        </w:rPr>
        <w:t xml:space="preserve"> at a </w:t>
      </w:r>
      <w:r w:rsidR="000A23B9">
        <w:rPr>
          <w:rFonts w:ascii="Times New Roman" w:hAnsi="Times New Roman" w:cs="Times New Roman"/>
          <w:sz w:val="24"/>
          <w:szCs w:val="24"/>
        </w:rPr>
        <w:t>multidisciplinary</w:t>
      </w:r>
      <w:r w:rsidR="001F0237">
        <w:rPr>
          <w:rFonts w:ascii="Times New Roman" w:hAnsi="Times New Roman" w:cs="Times New Roman"/>
          <w:sz w:val="24"/>
          <w:szCs w:val="24"/>
        </w:rPr>
        <w:t xml:space="preserve"> team meeting, </w:t>
      </w:r>
      <w:r w:rsidR="000A23B9">
        <w:rPr>
          <w:rFonts w:ascii="Times New Roman" w:hAnsi="Times New Roman" w:cs="Times New Roman"/>
          <w:sz w:val="24"/>
          <w:szCs w:val="24"/>
        </w:rPr>
        <w:t>broadly</w:t>
      </w:r>
      <w:r w:rsidR="001F0237">
        <w:rPr>
          <w:rFonts w:ascii="Times New Roman" w:hAnsi="Times New Roman" w:cs="Times New Roman"/>
          <w:sz w:val="24"/>
          <w:szCs w:val="24"/>
        </w:rPr>
        <w:t xml:space="preserve"> in line with BCLC </w:t>
      </w:r>
      <w:r w:rsidR="000A23B9">
        <w:rPr>
          <w:rFonts w:ascii="Times New Roman" w:hAnsi="Times New Roman" w:cs="Times New Roman"/>
          <w:sz w:val="24"/>
          <w:szCs w:val="24"/>
        </w:rPr>
        <w:t>recommendations</w:t>
      </w:r>
      <w:r w:rsidR="00876D9F">
        <w:rPr>
          <w:rFonts w:ascii="Times New Roman" w:hAnsi="Times New Roman" w:cs="Times New Roman"/>
          <w:sz w:val="24"/>
          <w:szCs w:val="24"/>
        </w:rPr>
        <w:t>,</w:t>
      </w:r>
      <w:r w:rsidR="00F564C1">
        <w:rPr>
          <w:rFonts w:ascii="Times New Roman" w:hAnsi="Times New Roman" w:cs="Times New Roman"/>
          <w:sz w:val="24"/>
          <w:szCs w:val="24"/>
        </w:rPr>
        <w:t xml:space="preserve"> and</w:t>
      </w:r>
      <w:r w:rsidR="000A23B9">
        <w:rPr>
          <w:rFonts w:ascii="Times New Roman" w:hAnsi="Times New Roman" w:cs="Times New Roman"/>
          <w:sz w:val="24"/>
          <w:szCs w:val="24"/>
        </w:rPr>
        <w:t xml:space="preserve"> laboratory results </w:t>
      </w:r>
      <w:r w:rsidR="00F564C1">
        <w:rPr>
          <w:rFonts w:ascii="Times New Roman" w:hAnsi="Times New Roman" w:cs="Times New Roman"/>
          <w:sz w:val="24"/>
          <w:szCs w:val="24"/>
        </w:rPr>
        <w:t>we</w:t>
      </w:r>
      <w:r w:rsidR="000A23B9">
        <w:rPr>
          <w:rFonts w:ascii="Times New Roman" w:hAnsi="Times New Roman" w:cs="Times New Roman"/>
          <w:sz w:val="24"/>
          <w:szCs w:val="24"/>
        </w:rPr>
        <w:t>re those measured at the time of study recruitment.</w:t>
      </w:r>
      <w:r w:rsidR="001F0237">
        <w:rPr>
          <w:rFonts w:ascii="Times New Roman" w:hAnsi="Times New Roman" w:cs="Times New Roman"/>
          <w:sz w:val="24"/>
          <w:szCs w:val="24"/>
        </w:rPr>
        <w:t xml:space="preserve"> </w:t>
      </w:r>
      <w:r w:rsidR="001532E5">
        <w:rPr>
          <w:rFonts w:ascii="Times New Roman" w:hAnsi="Times New Roman" w:cs="Times New Roman"/>
          <w:sz w:val="24"/>
          <w:szCs w:val="24"/>
        </w:rPr>
        <w:t xml:space="preserve">However, we did not study </w:t>
      </w:r>
      <w:r w:rsidR="001532E5">
        <w:rPr>
          <w:rFonts w:ascii="Times New Roman" w:hAnsi="Times New Roman" w:cs="Times New Roman"/>
          <w:sz w:val="24"/>
          <w:szCs w:val="24"/>
        </w:rPr>
        <w:lastRenderedPageBreak/>
        <w:t>directly the changes in N</w:t>
      </w:r>
      <w:r w:rsidR="00F564C1">
        <w:rPr>
          <w:rFonts w:ascii="Times New Roman" w:hAnsi="Times New Roman" w:cs="Times New Roman"/>
          <w:sz w:val="24"/>
          <w:szCs w:val="24"/>
        </w:rPr>
        <w:t>L</w:t>
      </w:r>
      <w:r w:rsidR="001532E5">
        <w:rPr>
          <w:rFonts w:ascii="Times New Roman" w:hAnsi="Times New Roman" w:cs="Times New Roman"/>
          <w:sz w:val="24"/>
          <w:szCs w:val="24"/>
        </w:rPr>
        <w:t>R according to specific treatments</w:t>
      </w:r>
      <w:r w:rsidR="00F564C1">
        <w:rPr>
          <w:rFonts w:ascii="Times New Roman" w:hAnsi="Times New Roman" w:cs="Times New Roman"/>
          <w:sz w:val="24"/>
          <w:szCs w:val="24"/>
        </w:rPr>
        <w:t>,</w:t>
      </w:r>
      <w:r w:rsidR="001532E5">
        <w:rPr>
          <w:rFonts w:ascii="Times New Roman" w:hAnsi="Times New Roman" w:cs="Times New Roman"/>
          <w:sz w:val="24"/>
          <w:szCs w:val="24"/>
        </w:rPr>
        <w:t xml:space="preserve"> and this is acknowledge</w:t>
      </w:r>
      <w:r w:rsidR="00F564C1">
        <w:rPr>
          <w:rFonts w:ascii="Times New Roman" w:hAnsi="Times New Roman" w:cs="Times New Roman"/>
          <w:sz w:val="24"/>
          <w:szCs w:val="24"/>
        </w:rPr>
        <w:t>d</w:t>
      </w:r>
      <w:r w:rsidR="001532E5">
        <w:rPr>
          <w:rFonts w:ascii="Times New Roman" w:hAnsi="Times New Roman" w:cs="Times New Roman"/>
          <w:sz w:val="24"/>
          <w:szCs w:val="24"/>
        </w:rPr>
        <w:t xml:space="preserve"> as a limitation of the study. </w:t>
      </w:r>
    </w:p>
    <w:p w:rsidR="001532E5" w:rsidRDefault="001532E5" w:rsidP="003111D5">
      <w:pPr>
        <w:spacing w:after="0" w:line="480" w:lineRule="auto"/>
        <w:jc w:val="both"/>
        <w:rPr>
          <w:rFonts w:ascii="Times New Roman" w:hAnsi="Times New Roman" w:cs="Times New Roman"/>
          <w:sz w:val="24"/>
          <w:szCs w:val="24"/>
        </w:rPr>
      </w:pPr>
    </w:p>
    <w:p w:rsidR="003111D5" w:rsidRPr="00F054A2" w:rsidRDefault="003111D5" w:rsidP="003111D5">
      <w:pPr>
        <w:spacing w:after="0" w:line="480" w:lineRule="auto"/>
        <w:jc w:val="both"/>
        <w:rPr>
          <w:rFonts w:ascii="Times New Roman" w:eastAsia="Times New Roman" w:hAnsi="Times New Roman" w:cs="Times New Roman"/>
          <w:sz w:val="24"/>
          <w:szCs w:val="24"/>
          <w:lang w:eastAsia="en-GB"/>
        </w:rPr>
      </w:pPr>
      <w:r w:rsidRPr="00A23758">
        <w:rPr>
          <w:rFonts w:ascii="Times New Roman" w:eastAsia="Times New Roman" w:hAnsi="Times New Roman" w:cs="Times New Roman"/>
          <w:sz w:val="24"/>
          <w:szCs w:val="24"/>
          <w:lang w:eastAsia="en-GB"/>
        </w:rPr>
        <w:t xml:space="preserve">Evidence </w:t>
      </w:r>
      <w:r>
        <w:rPr>
          <w:rFonts w:ascii="Times New Roman" w:eastAsia="Times New Roman" w:hAnsi="Times New Roman" w:cs="Times New Roman"/>
          <w:sz w:val="24"/>
          <w:szCs w:val="24"/>
          <w:lang w:eastAsia="en-GB"/>
        </w:rPr>
        <w:t>suggests</w:t>
      </w:r>
      <w:r w:rsidRPr="00F054A2">
        <w:rPr>
          <w:rFonts w:ascii="Times New Roman" w:eastAsia="Times New Roman" w:hAnsi="Times New Roman" w:cs="Times New Roman"/>
          <w:sz w:val="24"/>
          <w:szCs w:val="24"/>
          <w:lang w:eastAsia="en-GB"/>
        </w:rPr>
        <w:t xml:space="preserve"> that a low NLR is associated with a better prognosis</w:t>
      </w:r>
      <w:r>
        <w:rPr>
          <w:rFonts w:ascii="Times New Roman" w:eastAsia="Times New Roman" w:hAnsi="Times New Roman" w:cs="Times New Roman"/>
          <w:sz w:val="24"/>
          <w:szCs w:val="24"/>
          <w:lang w:eastAsia="en-GB"/>
        </w:rPr>
        <w:t>. Therefore</w:t>
      </w:r>
      <w:r w:rsidRPr="00F054A2">
        <w:rPr>
          <w:rFonts w:ascii="Times New Roman" w:eastAsia="Times New Roman" w:hAnsi="Times New Roman" w:cs="Times New Roman"/>
          <w:sz w:val="24"/>
          <w:szCs w:val="24"/>
          <w:lang w:eastAsia="en-GB"/>
        </w:rPr>
        <w:t>, we considered the possibility that there may be a significant difference, with diagnostic potential, between NLR in HCC and a relevant control population. The reference range for NLR was taken from Forget et al.</w:t>
      </w:r>
      <w:r w:rsidR="00F57E02" w:rsidRPr="00F57E02">
        <w:rPr>
          <w:rFonts w:ascii="Times New Roman" w:eastAsia="Times New Roman" w:hAnsi="Times New Roman" w:cs="Times New Roman"/>
          <w:sz w:val="24"/>
          <w:szCs w:val="24"/>
          <w:vertAlign w:val="superscript"/>
          <w:lang w:eastAsia="en-GB"/>
        </w:rPr>
        <w:t>9</w:t>
      </w:r>
      <w:r w:rsidRPr="00F054A2">
        <w:rPr>
          <w:rFonts w:ascii="Times New Roman" w:eastAsia="Times New Roman" w:hAnsi="Times New Roman" w:cs="Times New Roman"/>
          <w:sz w:val="24"/>
          <w:szCs w:val="24"/>
          <w:lang w:eastAsia="en-GB"/>
        </w:rPr>
        <w:t xml:space="preserve"> For the analysis conducted here, ‘baseline’ refers to the values of the blood results taken at the time of entry into the study. In the case of patients with HCC, this was before any treatment. </w:t>
      </w:r>
      <w:r>
        <w:rPr>
          <w:rFonts w:ascii="Times New Roman" w:eastAsia="Times New Roman" w:hAnsi="Times New Roman" w:cs="Times New Roman"/>
          <w:sz w:val="24"/>
          <w:szCs w:val="24"/>
          <w:lang w:eastAsia="en-GB"/>
        </w:rPr>
        <w:t>Last NLR prior to death or last follow-up was also taken for HCC patients.  Other variables recorded were age, sex, aetiology, Child-Pugh grade, albumin (g/l), bilirubin (μmol/l), international normalised ratio (INR), creatinine (µmol/l), haemoglobin (g/l), total white blood count (WBC, x10</w:t>
      </w:r>
      <w:r w:rsidRPr="007F5746">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/l), neutrophil count (x10</w:t>
      </w:r>
      <w:r w:rsidRPr="007F5746">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/l), lymphocyte count (x10</w:t>
      </w:r>
      <w:r w:rsidRPr="007F5746">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/l), platelet count (x10</w:t>
      </w:r>
      <w:r w:rsidRPr="007F5746">
        <w:rPr>
          <w:rFonts w:ascii="Times New Roman" w:eastAsia="Times New Roman" w:hAnsi="Times New Roman" w:cs="Times New Roman"/>
          <w:sz w:val="24"/>
          <w:szCs w:val="24"/>
          <w:vertAlign w:val="superscript"/>
          <w:lang w:eastAsia="en-GB"/>
        </w:rPr>
        <w:t>9</w:t>
      </w:r>
      <w:r>
        <w:rPr>
          <w:rFonts w:ascii="Times New Roman" w:eastAsia="Times New Roman" w:hAnsi="Times New Roman" w:cs="Times New Roman"/>
          <w:sz w:val="24"/>
          <w:szCs w:val="24"/>
          <w:lang w:eastAsia="en-GB"/>
        </w:rPr>
        <w:t xml:space="preserve">/l), alpha-fetoprotein (AFP), tumour number, tumour size (cm), presence of vascular invasion (yes/no), extrahepatic spread (EHS) and Barcelona </w:t>
      </w:r>
      <w:r w:rsidR="00876D9F">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linic </w:t>
      </w:r>
      <w:r w:rsidR="00876D9F">
        <w:rPr>
          <w:rFonts w:ascii="Times New Roman" w:eastAsia="Times New Roman" w:hAnsi="Times New Roman" w:cs="Times New Roman"/>
          <w:sz w:val="24"/>
          <w:szCs w:val="24"/>
          <w:lang w:eastAsia="en-GB"/>
        </w:rPr>
        <w:t>Li</w:t>
      </w:r>
      <w:r>
        <w:rPr>
          <w:rFonts w:ascii="Times New Roman" w:eastAsia="Times New Roman" w:hAnsi="Times New Roman" w:cs="Times New Roman"/>
          <w:sz w:val="24"/>
          <w:szCs w:val="24"/>
          <w:lang w:eastAsia="en-GB"/>
        </w:rPr>
        <w:t xml:space="preserve">ver </w:t>
      </w:r>
      <w:r w:rsidR="00876D9F">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ancer (BCLC) staging. The last five listed variables were related to HCC only.</w:t>
      </w:r>
    </w:p>
    <w:p w:rsidR="00315465" w:rsidRPr="00A871E9" w:rsidRDefault="00315465" w:rsidP="00315465">
      <w:pPr>
        <w:spacing w:before="100" w:beforeAutospacing="1" w:after="100" w:afterAutospacing="1" w:line="240" w:lineRule="auto"/>
        <w:rPr>
          <w:rFonts w:ascii="Times New Roman" w:eastAsia="Times New Roman" w:hAnsi="Times New Roman" w:cs="Times New Roman"/>
          <w:b/>
          <w:sz w:val="24"/>
          <w:szCs w:val="24"/>
          <w:lang w:eastAsia="en-GB"/>
        </w:rPr>
      </w:pPr>
      <w:r w:rsidRPr="00A871E9">
        <w:rPr>
          <w:noProof/>
          <w:lang w:eastAsia="en-GB"/>
        </w:rPr>
        <mc:AlternateContent>
          <mc:Choice Requires="wps">
            <w:drawing>
              <wp:anchor distT="0" distB="0" distL="114300" distR="114300" simplePos="0" relativeHeight="251659264" behindDoc="0" locked="0" layoutInCell="1" allowOverlap="1" wp14:anchorId="6DEB85E5" wp14:editId="7F7C9A73">
                <wp:simplePos x="0" y="0"/>
                <wp:positionH relativeFrom="column">
                  <wp:posOffset>278765</wp:posOffset>
                </wp:positionH>
                <wp:positionV relativeFrom="paragraph">
                  <wp:posOffset>30918172</wp:posOffset>
                </wp:positionV>
                <wp:extent cx="5722620" cy="3183255"/>
                <wp:effectExtent l="0" t="0" r="11430" b="17145"/>
                <wp:wrapNone/>
                <wp:docPr id="1" name="Text Box 1"/>
                <wp:cNvGraphicFramePr/>
                <a:graphic xmlns:a="http://schemas.openxmlformats.org/drawingml/2006/main">
                  <a:graphicData uri="http://schemas.microsoft.com/office/word/2010/wordprocessingShape">
                    <wps:wsp>
                      <wps:cNvSpPr txBox="1"/>
                      <wps:spPr>
                        <a:xfrm>
                          <a:off x="0" y="0"/>
                          <a:ext cx="5722620" cy="3183255"/>
                        </a:xfrm>
                        <a:prstGeom prst="rect">
                          <a:avLst/>
                        </a:prstGeom>
                        <a:solidFill>
                          <a:sysClr val="window" lastClr="FFFFFF"/>
                        </a:solidFill>
                        <a:ln w="6350">
                          <a:solidFill>
                            <a:prstClr val="black"/>
                          </a:solidFill>
                        </a:ln>
                        <a:effectLst/>
                      </wps:spPr>
                      <wps:txbx>
                        <w:txbxContent>
                          <w:tbl>
                            <w:tblPr>
                              <w:tblW w:w="11360" w:type="dxa"/>
                              <w:tblCellMar>
                                <w:left w:w="0" w:type="dxa"/>
                                <w:right w:w="0" w:type="dxa"/>
                              </w:tblCellMar>
                              <w:tblLook w:val="0600" w:firstRow="0" w:lastRow="0" w:firstColumn="0" w:lastColumn="0" w:noHBand="1" w:noVBand="1"/>
                            </w:tblPr>
                            <w:tblGrid>
                              <w:gridCol w:w="3275"/>
                              <w:gridCol w:w="2974"/>
                              <w:gridCol w:w="3014"/>
                              <w:gridCol w:w="2097"/>
                            </w:tblGrid>
                            <w:tr w:rsidR="004134EF" w:rsidRPr="006E6FA9" w:rsidTr="00D82FC7">
                              <w:trPr>
                                <w:trHeight w:val="333"/>
                              </w:trPr>
                              <w:tc>
                                <w:tcPr>
                                  <w:tcW w:w="3275"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Blood test</w:t>
                                  </w:r>
                                </w:p>
                              </w:tc>
                              <w:tc>
                                <w:tcPr>
                                  <w:tcW w:w="2974"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Non-HCC</w:t>
                                  </w:r>
                                </w:p>
                              </w:tc>
                              <w:tc>
                                <w:tcPr>
                                  <w:tcW w:w="3014"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HCC</w:t>
                                  </w:r>
                                </w:p>
                              </w:tc>
                              <w:tc>
                                <w:tcPr>
                                  <w:tcW w:w="2097"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p-value</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Haemoglobin (g/l)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13.9 (12.6, 15.1),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12.9 (11.6, 14.2),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&lt;0.0001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Total WBC (x10</w:t>
                                  </w:r>
                                  <w:r w:rsidRPr="006E6FA9">
                                    <w:rPr>
                                      <w:rFonts w:ascii="Calibri" w:eastAsia="Times New Roman" w:hAnsi="Calibri" w:cs="Arial"/>
                                      <w:b/>
                                      <w:bCs/>
                                      <w:color w:val="000000" w:themeColor="dark1"/>
                                      <w:kern w:val="24"/>
                                      <w:position w:val="7"/>
                                      <w:sz w:val="16"/>
                                      <w:szCs w:val="24"/>
                                      <w:vertAlign w:val="superscript"/>
                                      <w:lang w:eastAsia="en-GB"/>
                                    </w:rPr>
                                    <w:t>9</w:t>
                                  </w:r>
                                  <w:r w:rsidRPr="006E6FA9">
                                    <w:rPr>
                                      <w:rFonts w:ascii="Calibri" w:eastAsia="Times New Roman" w:hAnsi="Calibri" w:cs="Arial"/>
                                      <w:b/>
                                      <w:bCs/>
                                      <w:color w:val="000000" w:themeColor="dark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5.6 (4.5, 7.1),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6.3 (4.7, 8.1),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0.0011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FF0000"/>
                                      <w:kern w:val="24"/>
                                      <w:sz w:val="16"/>
                                      <w:szCs w:val="24"/>
                                      <w:lang w:eastAsia="en-GB"/>
                                    </w:rPr>
                                    <w:t xml:space="preserve"> </w:t>
                                  </w:r>
                                  <w:r w:rsidRPr="006E6FA9">
                                    <w:rPr>
                                      <w:rFonts w:ascii="Calibri" w:eastAsia="Times New Roman" w:hAnsi="Calibri" w:cs="Arial"/>
                                      <w:b/>
                                      <w:bCs/>
                                      <w:color w:val="000000" w:themeColor="text1"/>
                                      <w:kern w:val="24"/>
                                      <w:sz w:val="16"/>
                                      <w:szCs w:val="24"/>
                                      <w:lang w:eastAsia="en-GB"/>
                                    </w:rPr>
                                    <w:t>Neutrophil count (x10</w:t>
                                  </w:r>
                                  <w:r w:rsidRPr="006E6FA9">
                                    <w:rPr>
                                      <w:rFonts w:ascii="Calibri" w:eastAsia="Times New Roman" w:hAnsi="Calibri" w:cs="Arial"/>
                                      <w:b/>
                                      <w:bCs/>
                                      <w:color w:val="000000" w:themeColor="text1"/>
                                      <w:kern w:val="24"/>
                                      <w:position w:val="7"/>
                                      <w:sz w:val="16"/>
                                      <w:szCs w:val="24"/>
                                      <w:vertAlign w:val="superscript"/>
                                      <w:lang w:eastAsia="en-GB"/>
                                    </w:rPr>
                                    <w:t>9</w:t>
                                  </w:r>
                                  <w:r w:rsidRPr="006E6FA9">
                                    <w:rPr>
                                      <w:rFonts w:ascii="Calibri" w:eastAsia="Times New Roman" w:hAnsi="Calibri" w:cs="Arial"/>
                                      <w:b/>
                                      <w:bCs/>
                                      <w:color w:val="000000" w:themeColor="text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3.2 (2.4, 4.4),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3.8 (2.8, 5.4),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&lt;0.0001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text1"/>
                                      <w:kern w:val="24"/>
                                      <w:sz w:val="16"/>
                                      <w:szCs w:val="24"/>
                                      <w:lang w:eastAsia="en-GB"/>
                                    </w:rPr>
                                    <w:t xml:space="preserve"> Lymphocyte count (x10</w:t>
                                  </w:r>
                                  <w:r w:rsidRPr="006E6FA9">
                                    <w:rPr>
                                      <w:rFonts w:ascii="Calibri" w:eastAsia="Times New Roman" w:hAnsi="Calibri" w:cs="Arial"/>
                                      <w:b/>
                                      <w:bCs/>
                                      <w:color w:val="000000" w:themeColor="text1"/>
                                      <w:kern w:val="24"/>
                                      <w:position w:val="7"/>
                                      <w:sz w:val="16"/>
                                      <w:szCs w:val="24"/>
                                      <w:vertAlign w:val="superscript"/>
                                      <w:lang w:eastAsia="en-GB"/>
                                    </w:rPr>
                                    <w:t>9</w:t>
                                  </w:r>
                                  <w:r w:rsidRPr="006E6FA9">
                                    <w:rPr>
                                      <w:rFonts w:ascii="Calibri" w:eastAsia="Times New Roman" w:hAnsi="Calibri" w:cs="Arial"/>
                                      <w:b/>
                                      <w:bCs/>
                                      <w:color w:val="000000" w:themeColor="text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1.6 (1.2, 2.1),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1.3 (1, 1.8),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&lt;0.0001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Platelets (x10</w:t>
                                  </w:r>
                                  <w:r w:rsidRPr="006E6FA9">
                                    <w:rPr>
                                      <w:rFonts w:ascii="Calibri" w:eastAsia="Times New Roman" w:hAnsi="Calibri" w:cs="Arial"/>
                                      <w:b/>
                                      <w:bCs/>
                                      <w:color w:val="000000" w:themeColor="dark1"/>
                                      <w:kern w:val="24"/>
                                      <w:position w:val="7"/>
                                      <w:sz w:val="16"/>
                                      <w:szCs w:val="24"/>
                                      <w:vertAlign w:val="superscript"/>
                                      <w:lang w:eastAsia="en-GB"/>
                                    </w:rPr>
                                    <w:t>9</w:t>
                                  </w:r>
                                  <w:r w:rsidRPr="006E6FA9">
                                    <w:rPr>
                                      <w:rFonts w:ascii="Calibri" w:eastAsia="Times New Roman" w:hAnsi="Calibri" w:cs="Arial"/>
                                      <w:b/>
                                      <w:bCs/>
                                      <w:color w:val="000000" w:themeColor="dark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202 (135, 250),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158 (100, 238), n=491</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0.0003</w:t>
                                  </w:r>
                                </w:p>
                              </w:tc>
                            </w:tr>
                            <w:tr w:rsidR="004134EF" w:rsidRPr="006E6FA9" w:rsidTr="00D82FC7">
                              <w:trPr>
                                <w:trHeight w:val="422"/>
                              </w:trPr>
                              <w:tc>
                                <w:tcPr>
                                  <w:tcW w:w="3275"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NLR</w:t>
                                  </w:r>
                                </w:p>
                              </w:tc>
                              <w:tc>
                                <w:tcPr>
                                  <w:tcW w:w="2974"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2 (1.4, 3.1), n=288</w:t>
                                  </w:r>
                                </w:p>
                              </w:tc>
                              <w:tc>
                                <w:tcPr>
                                  <w:tcW w:w="3014"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2.8 (1.9, 4.2), n=493</w:t>
                                  </w:r>
                                </w:p>
                              </w:tc>
                              <w:tc>
                                <w:tcPr>
                                  <w:tcW w:w="2097"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&lt;0.0001</w:t>
                                  </w:r>
                                </w:p>
                              </w:tc>
                            </w:tr>
                          </w:tbl>
                          <w:p w:rsidR="004134EF" w:rsidRPr="00A75B2B" w:rsidRDefault="004134EF" w:rsidP="00315465">
                            <w:pPr>
                              <w:rPr>
                                <w:sz w:val="14"/>
                              </w:rPr>
                            </w:pPr>
                          </w:p>
                          <w:tbl>
                            <w:tblPr>
                              <w:tblW w:w="10600" w:type="dxa"/>
                              <w:tblCellMar>
                                <w:left w:w="0" w:type="dxa"/>
                                <w:right w:w="0" w:type="dxa"/>
                              </w:tblCellMar>
                              <w:tblLook w:val="0600" w:firstRow="0" w:lastRow="0" w:firstColumn="0" w:lastColumn="0" w:noHBand="1" w:noVBand="1"/>
                            </w:tblPr>
                            <w:tblGrid>
                              <w:gridCol w:w="2073"/>
                              <w:gridCol w:w="1952"/>
                              <w:gridCol w:w="1534"/>
                              <w:gridCol w:w="2570"/>
                              <w:gridCol w:w="2471"/>
                            </w:tblGrid>
                            <w:tr w:rsidR="004134EF" w:rsidRPr="006E6FA9" w:rsidTr="00D82FC7">
                              <w:tc>
                                <w:tcPr>
                                  <w:tcW w:w="208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HCC status</w:t>
                                  </w:r>
                                </w:p>
                              </w:tc>
                              <w:tc>
                                <w:tcPr>
                                  <w:tcW w:w="196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NLR mean</w:t>
                                  </w:r>
                                </w:p>
                              </w:tc>
                              <w:tc>
                                <w:tcPr>
                                  <w:tcW w:w="154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NLR SD</w:t>
                                  </w:r>
                                </w:p>
                              </w:tc>
                              <w:tc>
                                <w:tcPr>
                                  <w:tcW w:w="258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NLR minimum </w:t>
                                  </w:r>
                                </w:p>
                              </w:tc>
                              <w:tc>
                                <w:tcPr>
                                  <w:tcW w:w="248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NLR maximum </w:t>
                                  </w:r>
                                </w:p>
                              </w:tc>
                            </w:tr>
                            <w:tr w:rsidR="004134EF" w:rsidRPr="006E6FA9" w:rsidTr="00D82FC7">
                              <w:tc>
                                <w:tcPr>
                                  <w:tcW w:w="208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CLD</w:t>
                                  </w:r>
                                </w:p>
                              </w:tc>
                              <w:tc>
                                <w:tcPr>
                                  <w:tcW w:w="196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2.47</w:t>
                                  </w:r>
                                </w:p>
                              </w:tc>
                              <w:tc>
                                <w:tcPr>
                                  <w:tcW w:w="154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1.80</w:t>
                                  </w:r>
                                </w:p>
                              </w:tc>
                              <w:tc>
                                <w:tcPr>
                                  <w:tcW w:w="258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0.41</w:t>
                                  </w:r>
                                </w:p>
                              </w:tc>
                              <w:tc>
                                <w:tcPr>
                                  <w:tcW w:w="248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15.67</w:t>
                                  </w:r>
                                </w:p>
                              </w:tc>
                            </w:tr>
                            <w:tr w:rsidR="004134EF" w:rsidRPr="006E6FA9" w:rsidTr="00D82FC7">
                              <w:tc>
                                <w:tcPr>
                                  <w:tcW w:w="208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HCC</w:t>
                                  </w:r>
                                </w:p>
                              </w:tc>
                              <w:tc>
                                <w:tcPr>
                                  <w:tcW w:w="196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3.57</w:t>
                                  </w:r>
                                </w:p>
                              </w:tc>
                              <w:tc>
                                <w:tcPr>
                                  <w:tcW w:w="154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3.52</w:t>
                                  </w:r>
                                </w:p>
                              </w:tc>
                              <w:tc>
                                <w:tcPr>
                                  <w:tcW w:w="258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0.35</w:t>
                                  </w:r>
                                </w:p>
                              </w:tc>
                              <w:tc>
                                <w:tcPr>
                                  <w:tcW w:w="248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47</w:t>
                                  </w:r>
                                </w:p>
                              </w:tc>
                            </w:tr>
                          </w:tbl>
                          <w:p w:rsidR="004134EF" w:rsidRPr="00A75B2B" w:rsidRDefault="004134EF" w:rsidP="00315465">
                            <w:pPr>
                              <w:rPr>
                                <w:sz w:val="14"/>
                              </w:rPr>
                            </w:pPr>
                          </w:p>
                          <w:p w:rsidR="004134EF" w:rsidRPr="00A75B2B" w:rsidRDefault="004134EF" w:rsidP="00315465">
                            <w:pPr>
                              <w:rPr>
                                <w:sz w:val="14"/>
                              </w:rPr>
                            </w:pPr>
                            <w:r w:rsidRPr="00A75B2B">
                              <w:rPr>
                                <w:sz w:val="14"/>
                              </w:rPr>
                              <w:t xml:space="preserve">Table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B85E5" id="_x0000_t202" coordsize="21600,21600" o:spt="202" path="m,l,21600r21600,l21600,xe">
                <v:stroke joinstyle="miter"/>
                <v:path gradientshapeok="t" o:connecttype="rect"/>
              </v:shapetype>
              <v:shape id="Text Box 1" o:spid="_x0000_s1026" type="#_x0000_t202" style="position:absolute;margin-left:21.95pt;margin-top:2434.5pt;width:450.6pt;height:2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" fillcolor="window" strokeweight=".5pt">
                <v:textbox>
                  <w:txbxContent>
                    <w:tbl>
                      <w:tblPr>
                        <w:tblW w:w="11360" w:type="dxa"/>
                        <w:tblCellMar>
                          <w:left w:w="0" w:type="dxa"/>
                          <w:right w:w="0" w:type="dxa"/>
                        </w:tblCellMar>
                        <w:tblLook w:val="0600" w:firstRow="0" w:lastRow="0" w:firstColumn="0" w:lastColumn="0" w:noHBand="1" w:noVBand="1"/>
                      </w:tblPr>
                      <w:tblGrid>
                        <w:gridCol w:w="3275"/>
                        <w:gridCol w:w="2974"/>
                        <w:gridCol w:w="3014"/>
                        <w:gridCol w:w="2097"/>
                      </w:tblGrid>
                      <w:tr w:rsidR="004134EF" w:rsidRPr="006E6FA9" w:rsidTr="00D82FC7">
                        <w:trPr>
                          <w:trHeight w:val="333"/>
                        </w:trPr>
                        <w:tc>
                          <w:tcPr>
                            <w:tcW w:w="3275"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Blood test</w:t>
                            </w:r>
                          </w:p>
                        </w:tc>
                        <w:tc>
                          <w:tcPr>
                            <w:tcW w:w="2974"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Non-HCC</w:t>
                            </w:r>
                          </w:p>
                        </w:tc>
                        <w:tc>
                          <w:tcPr>
                            <w:tcW w:w="3014"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HCC</w:t>
                            </w:r>
                          </w:p>
                        </w:tc>
                        <w:tc>
                          <w:tcPr>
                            <w:tcW w:w="2097" w:type="dxa"/>
                            <w:tcBorders>
                              <w:top w:val="single" w:sz="18" w:space="0" w:color="000000"/>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p-value</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Haemoglobin (g/l)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13.9 (12.6, 15.1),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12.9 (11.6, 14.2),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&lt;0.0001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Total WBC (x10</w:t>
                            </w:r>
                            <w:r w:rsidRPr="006E6FA9">
                              <w:rPr>
                                <w:rFonts w:ascii="Calibri" w:eastAsia="Times New Roman" w:hAnsi="Calibri" w:cs="Arial"/>
                                <w:b/>
                                <w:bCs/>
                                <w:color w:val="000000" w:themeColor="dark1"/>
                                <w:kern w:val="24"/>
                                <w:position w:val="7"/>
                                <w:sz w:val="16"/>
                                <w:szCs w:val="24"/>
                                <w:vertAlign w:val="superscript"/>
                                <w:lang w:eastAsia="en-GB"/>
                              </w:rPr>
                              <w:t>9</w:t>
                            </w:r>
                            <w:r w:rsidRPr="006E6FA9">
                              <w:rPr>
                                <w:rFonts w:ascii="Calibri" w:eastAsia="Times New Roman" w:hAnsi="Calibri" w:cs="Arial"/>
                                <w:b/>
                                <w:bCs/>
                                <w:color w:val="000000" w:themeColor="dark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5.6 (4.5, 7.1),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6.3 (4.7, 8.1),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0.0011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FF0000"/>
                                <w:kern w:val="24"/>
                                <w:sz w:val="16"/>
                                <w:szCs w:val="24"/>
                                <w:lang w:eastAsia="en-GB"/>
                              </w:rPr>
                              <w:t xml:space="preserve"> </w:t>
                            </w:r>
                            <w:r w:rsidRPr="006E6FA9">
                              <w:rPr>
                                <w:rFonts w:ascii="Calibri" w:eastAsia="Times New Roman" w:hAnsi="Calibri" w:cs="Arial"/>
                                <w:b/>
                                <w:bCs/>
                                <w:color w:val="000000" w:themeColor="text1"/>
                                <w:kern w:val="24"/>
                                <w:sz w:val="16"/>
                                <w:szCs w:val="24"/>
                                <w:lang w:eastAsia="en-GB"/>
                              </w:rPr>
                              <w:t>Neutrophil count (x10</w:t>
                            </w:r>
                            <w:r w:rsidRPr="006E6FA9">
                              <w:rPr>
                                <w:rFonts w:ascii="Calibri" w:eastAsia="Times New Roman" w:hAnsi="Calibri" w:cs="Arial"/>
                                <w:b/>
                                <w:bCs/>
                                <w:color w:val="000000" w:themeColor="text1"/>
                                <w:kern w:val="24"/>
                                <w:position w:val="7"/>
                                <w:sz w:val="16"/>
                                <w:szCs w:val="24"/>
                                <w:vertAlign w:val="superscript"/>
                                <w:lang w:eastAsia="en-GB"/>
                              </w:rPr>
                              <w:t>9</w:t>
                            </w:r>
                            <w:r w:rsidRPr="006E6FA9">
                              <w:rPr>
                                <w:rFonts w:ascii="Calibri" w:eastAsia="Times New Roman" w:hAnsi="Calibri" w:cs="Arial"/>
                                <w:b/>
                                <w:bCs/>
                                <w:color w:val="000000" w:themeColor="text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3.2 (2.4, 4.4),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3.8 (2.8, 5.4),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&lt;0.0001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text1"/>
                                <w:kern w:val="24"/>
                                <w:sz w:val="16"/>
                                <w:szCs w:val="24"/>
                                <w:lang w:eastAsia="en-GB"/>
                              </w:rPr>
                              <w:t xml:space="preserve"> Lymphocyte count (x10</w:t>
                            </w:r>
                            <w:r w:rsidRPr="006E6FA9">
                              <w:rPr>
                                <w:rFonts w:ascii="Calibri" w:eastAsia="Times New Roman" w:hAnsi="Calibri" w:cs="Arial"/>
                                <w:b/>
                                <w:bCs/>
                                <w:color w:val="000000" w:themeColor="text1"/>
                                <w:kern w:val="24"/>
                                <w:position w:val="7"/>
                                <w:sz w:val="16"/>
                                <w:szCs w:val="24"/>
                                <w:vertAlign w:val="superscript"/>
                                <w:lang w:eastAsia="en-GB"/>
                              </w:rPr>
                              <w:t>9</w:t>
                            </w:r>
                            <w:r w:rsidRPr="006E6FA9">
                              <w:rPr>
                                <w:rFonts w:ascii="Calibri" w:eastAsia="Times New Roman" w:hAnsi="Calibri" w:cs="Arial"/>
                                <w:b/>
                                <w:bCs/>
                                <w:color w:val="000000" w:themeColor="text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1.6 (1.2, 2.1),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1.3 (1, 1.8), n=493</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themeColor="text1"/>
                                <w:kern w:val="24"/>
                                <w:sz w:val="16"/>
                                <w:szCs w:val="24"/>
                                <w:lang w:val="pt-BR" w:eastAsia="en-GB"/>
                              </w:rPr>
                              <w:t>&lt;0.0001</w:t>
                            </w:r>
                          </w:p>
                        </w:tc>
                      </w:tr>
                      <w:tr w:rsidR="004134EF" w:rsidRPr="006E6FA9" w:rsidTr="00D82FC7">
                        <w:trPr>
                          <w:trHeight w:val="422"/>
                        </w:trPr>
                        <w:tc>
                          <w:tcPr>
                            <w:tcW w:w="3275"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Platelets (x10</w:t>
                            </w:r>
                            <w:r w:rsidRPr="006E6FA9">
                              <w:rPr>
                                <w:rFonts w:ascii="Calibri" w:eastAsia="Times New Roman" w:hAnsi="Calibri" w:cs="Arial"/>
                                <w:b/>
                                <w:bCs/>
                                <w:color w:val="000000" w:themeColor="dark1"/>
                                <w:kern w:val="24"/>
                                <w:position w:val="7"/>
                                <w:sz w:val="16"/>
                                <w:szCs w:val="24"/>
                                <w:vertAlign w:val="superscript"/>
                                <w:lang w:eastAsia="en-GB"/>
                              </w:rPr>
                              <w:t>9</w:t>
                            </w:r>
                            <w:r w:rsidRPr="006E6FA9">
                              <w:rPr>
                                <w:rFonts w:ascii="Calibri" w:eastAsia="Times New Roman" w:hAnsi="Calibri" w:cs="Arial"/>
                                <w:b/>
                                <w:bCs/>
                                <w:color w:val="000000" w:themeColor="dark1"/>
                                <w:kern w:val="24"/>
                                <w:sz w:val="16"/>
                                <w:szCs w:val="24"/>
                                <w:lang w:eastAsia="en-GB"/>
                              </w:rPr>
                              <w:t>/l)</w:t>
                            </w:r>
                          </w:p>
                        </w:tc>
                        <w:tc>
                          <w:tcPr>
                            <w:tcW w:w="297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202 (135, 250), n=288</w:t>
                            </w:r>
                          </w:p>
                        </w:tc>
                        <w:tc>
                          <w:tcPr>
                            <w:tcW w:w="3014"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158 (100, 238), n=491</w:t>
                            </w:r>
                          </w:p>
                        </w:tc>
                        <w:tc>
                          <w:tcPr>
                            <w:tcW w:w="2097" w:type="dxa"/>
                            <w:tcBorders>
                              <w:top w:val="nil"/>
                              <w:left w:val="nil"/>
                              <w:bottom w:val="nil"/>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0.0003</w:t>
                            </w:r>
                          </w:p>
                        </w:tc>
                      </w:tr>
                      <w:tr w:rsidR="004134EF" w:rsidRPr="006E6FA9" w:rsidTr="00D82FC7">
                        <w:trPr>
                          <w:trHeight w:val="422"/>
                        </w:trPr>
                        <w:tc>
                          <w:tcPr>
                            <w:tcW w:w="3275"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textAlignment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 NLR</w:t>
                            </w:r>
                          </w:p>
                        </w:tc>
                        <w:tc>
                          <w:tcPr>
                            <w:tcW w:w="2974"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2 (1.4, 3.1), n=288</w:t>
                            </w:r>
                          </w:p>
                        </w:tc>
                        <w:tc>
                          <w:tcPr>
                            <w:tcW w:w="3014"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2.8 (1.9, 4.2), n=493</w:t>
                            </w:r>
                          </w:p>
                        </w:tc>
                        <w:tc>
                          <w:tcPr>
                            <w:tcW w:w="2097" w:type="dxa"/>
                            <w:tcBorders>
                              <w:top w:val="nil"/>
                              <w:left w:val="nil"/>
                              <w:bottom w:val="single" w:sz="18" w:space="0" w:color="000000"/>
                              <w:right w:val="nil"/>
                            </w:tcBorders>
                            <w:shd w:val="clear" w:color="auto" w:fill="FFFFFF"/>
                            <w:tcMar>
                              <w:top w:w="11" w:type="dxa"/>
                              <w:left w:w="11" w:type="dxa"/>
                              <w:bottom w:w="0" w:type="dxa"/>
                              <w:right w:w="11" w:type="dxa"/>
                            </w:tcMar>
                            <w:vAlign w:val="center"/>
                            <w:hideMark/>
                          </w:tcPr>
                          <w:p w:rsidR="004134EF" w:rsidRPr="006E6FA9" w:rsidRDefault="004134EF" w:rsidP="00D82FC7">
                            <w:pPr>
                              <w:spacing w:after="0" w:line="240" w:lineRule="auto"/>
                              <w:jc w:val="center"/>
                              <w:textAlignment w:val="center"/>
                              <w:rPr>
                                <w:rFonts w:ascii="Arial" w:eastAsia="Times New Roman" w:hAnsi="Arial" w:cs="Arial"/>
                                <w:szCs w:val="36"/>
                                <w:lang w:eastAsia="en-GB"/>
                              </w:rPr>
                            </w:pPr>
                            <w:r w:rsidRPr="006E6FA9">
                              <w:rPr>
                                <w:rFonts w:eastAsia="Times New Roman" w:hAnsi="Calibri" w:cs="Arial"/>
                                <w:color w:val="000000"/>
                                <w:kern w:val="24"/>
                                <w:sz w:val="16"/>
                                <w:szCs w:val="24"/>
                                <w:lang w:val="pt-BR" w:eastAsia="en-GB"/>
                              </w:rPr>
                              <w:t>&lt;0.0001</w:t>
                            </w:r>
                          </w:p>
                        </w:tc>
                      </w:tr>
                    </w:tbl>
                    <w:p w:rsidR="004134EF" w:rsidRPr="00A75B2B" w:rsidRDefault="004134EF" w:rsidP="00315465">
                      <w:pPr>
                        <w:rPr>
                          <w:sz w:val="14"/>
                        </w:rPr>
                      </w:pPr>
                    </w:p>
                    <w:tbl>
                      <w:tblPr>
                        <w:tblW w:w="10600" w:type="dxa"/>
                        <w:tblCellMar>
                          <w:left w:w="0" w:type="dxa"/>
                          <w:right w:w="0" w:type="dxa"/>
                        </w:tblCellMar>
                        <w:tblLook w:val="0600" w:firstRow="0" w:lastRow="0" w:firstColumn="0" w:lastColumn="0" w:noHBand="1" w:noVBand="1"/>
                      </w:tblPr>
                      <w:tblGrid>
                        <w:gridCol w:w="2073"/>
                        <w:gridCol w:w="1952"/>
                        <w:gridCol w:w="1534"/>
                        <w:gridCol w:w="2570"/>
                        <w:gridCol w:w="2471"/>
                      </w:tblGrid>
                      <w:tr w:rsidR="004134EF" w:rsidRPr="006E6FA9" w:rsidTr="00D82FC7">
                        <w:tc>
                          <w:tcPr>
                            <w:tcW w:w="208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HCC status</w:t>
                            </w:r>
                          </w:p>
                        </w:tc>
                        <w:tc>
                          <w:tcPr>
                            <w:tcW w:w="196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NLR mean</w:t>
                            </w:r>
                          </w:p>
                        </w:tc>
                        <w:tc>
                          <w:tcPr>
                            <w:tcW w:w="154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NLR SD</w:t>
                            </w:r>
                          </w:p>
                        </w:tc>
                        <w:tc>
                          <w:tcPr>
                            <w:tcW w:w="258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NLR minimum </w:t>
                            </w:r>
                          </w:p>
                        </w:tc>
                        <w:tc>
                          <w:tcPr>
                            <w:tcW w:w="2480" w:type="dxa"/>
                            <w:tcBorders>
                              <w:top w:val="single" w:sz="18" w:space="0" w:color="000000"/>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 xml:space="preserve">NLR maximum </w:t>
                            </w:r>
                          </w:p>
                        </w:tc>
                      </w:tr>
                      <w:tr w:rsidR="004134EF" w:rsidRPr="006E6FA9" w:rsidTr="00D82FC7">
                        <w:tc>
                          <w:tcPr>
                            <w:tcW w:w="208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CLD</w:t>
                            </w:r>
                          </w:p>
                        </w:tc>
                        <w:tc>
                          <w:tcPr>
                            <w:tcW w:w="196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2.47</w:t>
                            </w:r>
                          </w:p>
                        </w:tc>
                        <w:tc>
                          <w:tcPr>
                            <w:tcW w:w="154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1.80</w:t>
                            </w:r>
                          </w:p>
                        </w:tc>
                        <w:tc>
                          <w:tcPr>
                            <w:tcW w:w="258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0.41</w:t>
                            </w:r>
                          </w:p>
                        </w:tc>
                        <w:tc>
                          <w:tcPr>
                            <w:tcW w:w="2480" w:type="dxa"/>
                            <w:tcBorders>
                              <w:top w:val="nil"/>
                              <w:left w:val="nil"/>
                              <w:bottom w:val="nil"/>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15.67</w:t>
                            </w:r>
                          </w:p>
                        </w:tc>
                      </w:tr>
                      <w:tr w:rsidR="004134EF" w:rsidRPr="006E6FA9" w:rsidTr="00D82FC7">
                        <w:tc>
                          <w:tcPr>
                            <w:tcW w:w="208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rPr>
                                <w:rFonts w:ascii="Arial" w:eastAsia="Times New Roman" w:hAnsi="Arial" w:cs="Arial"/>
                                <w:szCs w:val="36"/>
                                <w:lang w:eastAsia="en-GB"/>
                              </w:rPr>
                            </w:pPr>
                            <w:r w:rsidRPr="006E6FA9">
                              <w:rPr>
                                <w:rFonts w:ascii="Calibri" w:eastAsia="Times New Roman" w:hAnsi="Calibri" w:cs="Arial"/>
                                <w:b/>
                                <w:bCs/>
                                <w:color w:val="000000" w:themeColor="dark1"/>
                                <w:kern w:val="24"/>
                                <w:sz w:val="16"/>
                                <w:szCs w:val="24"/>
                                <w:lang w:eastAsia="en-GB"/>
                              </w:rPr>
                              <w:t>HCC</w:t>
                            </w:r>
                          </w:p>
                        </w:tc>
                        <w:tc>
                          <w:tcPr>
                            <w:tcW w:w="196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3.57</w:t>
                            </w:r>
                          </w:p>
                        </w:tc>
                        <w:tc>
                          <w:tcPr>
                            <w:tcW w:w="154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3.52</w:t>
                            </w:r>
                          </w:p>
                        </w:tc>
                        <w:tc>
                          <w:tcPr>
                            <w:tcW w:w="258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0.35</w:t>
                            </w:r>
                          </w:p>
                        </w:tc>
                        <w:tc>
                          <w:tcPr>
                            <w:tcW w:w="2480" w:type="dxa"/>
                            <w:tcBorders>
                              <w:top w:val="nil"/>
                              <w:left w:val="nil"/>
                              <w:bottom w:val="single" w:sz="18" w:space="0" w:color="000000"/>
                              <w:right w:val="nil"/>
                            </w:tcBorders>
                            <w:shd w:val="clear" w:color="auto" w:fill="FFFFFF"/>
                            <w:tcMar>
                              <w:top w:w="72" w:type="dxa"/>
                              <w:left w:w="144" w:type="dxa"/>
                              <w:bottom w:w="72" w:type="dxa"/>
                              <w:right w:w="144" w:type="dxa"/>
                            </w:tcMar>
                            <w:vAlign w:val="center"/>
                            <w:hideMark/>
                          </w:tcPr>
                          <w:p w:rsidR="004134EF" w:rsidRPr="006E6FA9" w:rsidRDefault="004134EF" w:rsidP="00D82FC7">
                            <w:pPr>
                              <w:spacing w:after="0" w:line="240" w:lineRule="auto"/>
                              <w:jc w:val="center"/>
                              <w:rPr>
                                <w:rFonts w:ascii="Arial" w:eastAsia="Times New Roman" w:hAnsi="Arial" w:cs="Arial"/>
                                <w:szCs w:val="36"/>
                                <w:lang w:eastAsia="en-GB"/>
                              </w:rPr>
                            </w:pPr>
                            <w:r w:rsidRPr="006E6FA9">
                              <w:rPr>
                                <w:rFonts w:ascii="Calibri" w:eastAsia="Times New Roman" w:hAnsi="Calibri" w:cs="Arial"/>
                                <w:color w:val="000000" w:themeColor="dark1"/>
                                <w:kern w:val="24"/>
                                <w:sz w:val="16"/>
                                <w:szCs w:val="24"/>
                                <w:lang w:eastAsia="en-GB"/>
                              </w:rPr>
                              <w:t>47</w:t>
                            </w:r>
                          </w:p>
                        </w:tc>
                      </w:tr>
                    </w:tbl>
                    <w:p w:rsidR="004134EF" w:rsidRPr="00A75B2B" w:rsidRDefault="004134EF" w:rsidP="00315465">
                      <w:pPr>
                        <w:rPr>
                          <w:sz w:val="14"/>
                        </w:rPr>
                      </w:pPr>
                    </w:p>
                    <w:p w:rsidR="004134EF" w:rsidRPr="00A75B2B" w:rsidRDefault="004134EF" w:rsidP="00315465">
                      <w:pPr>
                        <w:rPr>
                          <w:sz w:val="14"/>
                        </w:rPr>
                      </w:pPr>
                      <w:r w:rsidRPr="00A75B2B">
                        <w:rPr>
                          <w:sz w:val="14"/>
                        </w:rPr>
                        <w:t xml:space="preserve">Table 1. </w:t>
                      </w:r>
                    </w:p>
                  </w:txbxContent>
                </v:textbox>
              </v:shape>
            </w:pict>
          </mc:Fallback>
        </mc:AlternateContent>
      </w:r>
      <w:r w:rsidRPr="00A871E9">
        <w:rPr>
          <w:rFonts w:ascii="Times New Roman" w:hAnsi="Times New Roman" w:cs="Times New Roman"/>
          <w:b/>
          <w:sz w:val="24"/>
          <w:szCs w:val="24"/>
        </w:rPr>
        <w:t xml:space="preserve">Statistical Methods </w:t>
      </w:r>
    </w:p>
    <w:p w:rsidR="00315465" w:rsidRPr="00A23758" w:rsidRDefault="00315465" w:rsidP="003154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Analysis was carried out using Stata/</w:t>
      </w:r>
      <w:r w:rsidRPr="004004CB">
        <w:rPr>
          <w:rFonts w:ascii="Times New Roman" w:hAnsi="Times New Roman" w:cs="Times New Roman"/>
          <w:sz w:val="24"/>
          <w:szCs w:val="24"/>
        </w:rPr>
        <w:t xml:space="preserve">SE </w:t>
      </w:r>
      <w:r>
        <w:rPr>
          <w:rFonts w:ascii="Times New Roman" w:hAnsi="Times New Roman" w:cs="Times New Roman"/>
          <w:sz w:val="24"/>
          <w:szCs w:val="24"/>
        </w:rPr>
        <w:t>16 (StataCorp, Texas, USA)</w:t>
      </w:r>
      <w:r w:rsidRPr="00214E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4E8E">
        <w:rPr>
          <w:rFonts w:ascii="Times New Roman" w:hAnsi="Times New Roman" w:cs="Times New Roman"/>
          <w:color w:val="000000" w:themeColor="text1"/>
          <w:sz w:val="24"/>
          <w:szCs w:val="24"/>
        </w:rPr>
        <w:t>Continuous variables were reported as mean (with standard deviation [SD]) or median (with interquartile range [IQR]), the latter for variables</w:t>
      </w:r>
      <w:r>
        <w:rPr>
          <w:rFonts w:ascii="Times New Roman" w:hAnsi="Times New Roman" w:cs="Times New Roman"/>
          <w:color w:val="000000" w:themeColor="text1"/>
          <w:sz w:val="24"/>
          <w:szCs w:val="24"/>
        </w:rPr>
        <w:t xml:space="preserve"> </w:t>
      </w:r>
      <w:r w:rsidRPr="00214E8E">
        <w:rPr>
          <w:rFonts w:ascii="Times New Roman" w:hAnsi="Times New Roman" w:cs="Times New Roman"/>
          <w:color w:val="000000" w:themeColor="text1"/>
          <w:sz w:val="24"/>
          <w:szCs w:val="24"/>
        </w:rPr>
        <w:t>with skewed distributions.</w:t>
      </w:r>
      <w:r>
        <w:rPr>
          <w:rFonts w:ascii="Times New Roman" w:hAnsi="Times New Roman" w:cs="Times New Roman"/>
          <w:color w:val="000000" w:themeColor="text1"/>
          <w:sz w:val="24"/>
          <w:szCs w:val="24"/>
        </w:rPr>
        <w:t xml:space="preserve"> </w:t>
      </w:r>
      <w:r w:rsidRPr="00214E8E">
        <w:rPr>
          <w:rFonts w:ascii="Times New Roman" w:hAnsi="Times New Roman" w:cs="Times New Roman"/>
          <w:color w:val="000000" w:themeColor="text1"/>
          <w:sz w:val="24"/>
          <w:szCs w:val="24"/>
        </w:rPr>
        <w:t>Categorical</w:t>
      </w:r>
      <w:r w:rsidRPr="004004CB">
        <w:rPr>
          <w:rFonts w:ascii="Times New Roman" w:hAnsi="Times New Roman" w:cs="Times New Roman"/>
          <w:color w:val="000000" w:themeColor="text1"/>
          <w:sz w:val="24"/>
          <w:szCs w:val="24"/>
        </w:rPr>
        <w:t xml:space="preserve"> variables were presented as percentages</w:t>
      </w:r>
      <w:r>
        <w:rPr>
          <w:rFonts w:ascii="Times New Roman" w:hAnsi="Times New Roman" w:cs="Times New Roman"/>
          <w:color w:val="000000" w:themeColor="text1"/>
          <w:sz w:val="24"/>
          <w:szCs w:val="24"/>
        </w:rPr>
        <w:t>. For skewed variables, different transformations were explored – cubic, square, identity, square root, log, 1/(square root), inverse, 1/square, 1/cubic – and the resulting distributions visually examined via q-q (quantile-quantile) plots</w:t>
      </w:r>
      <w:r w:rsidRPr="00A23758">
        <w:rPr>
          <w:rFonts w:ascii="Times New Roman" w:hAnsi="Times New Roman" w:cs="Times New Roman"/>
          <w:sz w:val="24"/>
          <w:szCs w:val="24"/>
        </w:rPr>
        <w:t xml:space="preserve">.  The transformation that have a distribution closest to normal was selected. </w:t>
      </w:r>
      <w:r w:rsidR="004E228D" w:rsidRPr="00A23758">
        <w:rPr>
          <w:rFonts w:ascii="Times New Roman" w:hAnsi="Times New Roman" w:cs="Times New Roman"/>
          <w:sz w:val="24"/>
          <w:szCs w:val="24"/>
        </w:rPr>
        <w:t>Further details</w:t>
      </w:r>
      <w:r w:rsidRPr="00A23758">
        <w:rPr>
          <w:rFonts w:ascii="Times New Roman" w:hAnsi="Times New Roman" w:cs="Times New Roman"/>
          <w:sz w:val="24"/>
          <w:szCs w:val="24"/>
        </w:rPr>
        <w:t xml:space="preserve"> </w:t>
      </w:r>
      <w:r w:rsidR="006370A4" w:rsidRPr="00A23758">
        <w:rPr>
          <w:rFonts w:ascii="Times New Roman" w:hAnsi="Times New Roman" w:cs="Times New Roman"/>
          <w:sz w:val="24"/>
          <w:szCs w:val="24"/>
        </w:rPr>
        <w:t xml:space="preserve">of </w:t>
      </w:r>
      <w:r w:rsidRPr="00A23758">
        <w:rPr>
          <w:rFonts w:ascii="Times New Roman" w:hAnsi="Times New Roman" w:cs="Times New Roman"/>
          <w:sz w:val="24"/>
          <w:szCs w:val="24"/>
        </w:rPr>
        <w:t xml:space="preserve">the </w:t>
      </w:r>
      <w:r w:rsidR="00876D9F">
        <w:rPr>
          <w:rFonts w:ascii="Times New Roman" w:hAnsi="Times New Roman" w:cs="Times New Roman"/>
          <w:sz w:val="24"/>
          <w:szCs w:val="24"/>
        </w:rPr>
        <w:t>s</w:t>
      </w:r>
      <w:r w:rsidR="004E228D" w:rsidRPr="00A23758">
        <w:rPr>
          <w:rFonts w:ascii="Times New Roman" w:hAnsi="Times New Roman" w:cs="Times New Roman"/>
          <w:sz w:val="24"/>
          <w:szCs w:val="24"/>
        </w:rPr>
        <w:t>tatistical</w:t>
      </w:r>
      <w:r w:rsidRPr="00A23758">
        <w:rPr>
          <w:rFonts w:ascii="Times New Roman" w:hAnsi="Times New Roman" w:cs="Times New Roman"/>
          <w:sz w:val="24"/>
          <w:szCs w:val="24"/>
        </w:rPr>
        <w:t xml:space="preserve"> </w:t>
      </w:r>
      <w:r w:rsidR="004E228D" w:rsidRPr="00A23758">
        <w:rPr>
          <w:rFonts w:ascii="Times New Roman" w:hAnsi="Times New Roman" w:cs="Times New Roman"/>
          <w:sz w:val="24"/>
          <w:szCs w:val="24"/>
        </w:rPr>
        <w:t>methodology</w:t>
      </w:r>
      <w:r w:rsidRPr="00A23758">
        <w:rPr>
          <w:rFonts w:ascii="Times New Roman" w:hAnsi="Times New Roman" w:cs="Times New Roman"/>
          <w:sz w:val="24"/>
          <w:szCs w:val="24"/>
        </w:rPr>
        <w:t xml:space="preserve"> are presented in</w:t>
      </w:r>
      <w:r w:rsidR="00A23758" w:rsidRPr="00A23758">
        <w:rPr>
          <w:rFonts w:ascii="Times New Roman" w:hAnsi="Times New Roman" w:cs="Times New Roman"/>
          <w:sz w:val="24"/>
          <w:szCs w:val="24"/>
        </w:rPr>
        <w:t xml:space="preserve"> the</w:t>
      </w:r>
      <w:r w:rsidRPr="00A23758">
        <w:rPr>
          <w:rFonts w:ascii="Times New Roman" w:hAnsi="Times New Roman" w:cs="Times New Roman"/>
          <w:sz w:val="24"/>
          <w:szCs w:val="24"/>
        </w:rPr>
        <w:t xml:space="preserve"> Supplementary </w:t>
      </w:r>
      <w:r w:rsidR="004E228D" w:rsidRPr="00A23758">
        <w:rPr>
          <w:rFonts w:ascii="Times New Roman" w:hAnsi="Times New Roman" w:cs="Times New Roman"/>
          <w:sz w:val="24"/>
          <w:szCs w:val="24"/>
        </w:rPr>
        <w:t>D</w:t>
      </w:r>
      <w:r w:rsidRPr="00A23758">
        <w:rPr>
          <w:rFonts w:ascii="Times New Roman" w:hAnsi="Times New Roman" w:cs="Times New Roman"/>
          <w:sz w:val="24"/>
          <w:szCs w:val="24"/>
        </w:rPr>
        <w:t>ata</w:t>
      </w:r>
      <w:r w:rsidR="00A23758" w:rsidRPr="00A23758">
        <w:rPr>
          <w:rFonts w:ascii="Times New Roman" w:hAnsi="Times New Roman" w:cs="Times New Roman"/>
          <w:sz w:val="24"/>
          <w:szCs w:val="24"/>
        </w:rPr>
        <w:t xml:space="preserve"> section</w:t>
      </w:r>
      <w:r w:rsidRPr="00A23758">
        <w:rPr>
          <w:rFonts w:ascii="Times New Roman" w:hAnsi="Times New Roman" w:cs="Times New Roman"/>
          <w:sz w:val="24"/>
          <w:szCs w:val="24"/>
        </w:rPr>
        <w:t>.</w:t>
      </w:r>
    </w:p>
    <w:p w:rsidR="003111D5" w:rsidRDefault="003111D5" w:rsidP="003111D5">
      <w:pPr>
        <w:spacing w:after="0" w:line="480" w:lineRule="auto"/>
        <w:jc w:val="both"/>
        <w:rPr>
          <w:rFonts w:ascii="Times New Roman" w:hAnsi="Times New Roman" w:cs="Times New Roman"/>
          <w:b/>
          <w:sz w:val="24"/>
          <w:szCs w:val="24"/>
        </w:rPr>
      </w:pPr>
    </w:p>
    <w:p w:rsidR="003111D5" w:rsidRDefault="003111D5" w:rsidP="003111D5">
      <w:pPr>
        <w:spacing w:after="0" w:line="480" w:lineRule="auto"/>
        <w:jc w:val="both"/>
      </w:pPr>
    </w:p>
    <w:p w:rsidR="003111D5" w:rsidRPr="00654737" w:rsidRDefault="003111D5" w:rsidP="003111D5">
      <w:pPr>
        <w:spacing w:after="0" w:line="480" w:lineRule="auto"/>
        <w:jc w:val="both"/>
        <w:rPr>
          <w:rFonts w:ascii="Times New Roman" w:eastAsia="Times New Roman" w:hAnsi="Times New Roman" w:cs="Times New Roman"/>
          <w:b/>
          <w:sz w:val="24"/>
          <w:szCs w:val="24"/>
          <w:lang w:eastAsia="en-GB"/>
        </w:rPr>
      </w:pPr>
      <w:r w:rsidRPr="00654737">
        <w:rPr>
          <w:rFonts w:ascii="Times New Roman" w:eastAsia="Times New Roman" w:hAnsi="Times New Roman" w:cs="Times New Roman"/>
          <w:b/>
          <w:sz w:val="24"/>
          <w:szCs w:val="24"/>
          <w:lang w:eastAsia="en-GB"/>
        </w:rPr>
        <w:t>RESULTS</w:t>
      </w:r>
    </w:p>
    <w:p w:rsidR="003111D5" w:rsidRPr="00654737" w:rsidRDefault="003111D5" w:rsidP="003111D5">
      <w:pPr>
        <w:spacing w:after="0" w:line="480" w:lineRule="auto"/>
        <w:jc w:val="both"/>
        <w:rPr>
          <w:rFonts w:ascii="Times New Roman" w:hAnsi="Times New Roman" w:cs="Times New Roman"/>
          <w:i/>
          <w:sz w:val="24"/>
          <w:szCs w:val="24"/>
        </w:rPr>
      </w:pPr>
      <w:r w:rsidRPr="00654737">
        <w:rPr>
          <w:rFonts w:ascii="Times New Roman" w:hAnsi="Times New Roman" w:cs="Times New Roman"/>
          <w:i/>
          <w:sz w:val="24"/>
          <w:szCs w:val="24"/>
        </w:rPr>
        <w:t>NLR levels in CLD versus HCC patients</w:t>
      </w:r>
      <w:r w:rsidR="002B3A47" w:rsidRPr="00654737">
        <w:rPr>
          <w:rFonts w:ascii="Times New Roman" w:hAnsi="Times New Roman" w:cs="Times New Roman"/>
          <w:i/>
          <w:sz w:val="24"/>
          <w:szCs w:val="24"/>
        </w:rPr>
        <w:t xml:space="preserve"> - Diagnostic role of NLR</w:t>
      </w:r>
    </w:p>
    <w:p w:rsidR="003111D5" w:rsidRPr="00A23758" w:rsidRDefault="003111D5" w:rsidP="003111D5">
      <w:pPr>
        <w:spacing w:after="0" w:line="480" w:lineRule="auto"/>
        <w:jc w:val="both"/>
        <w:rPr>
          <w:rFonts w:ascii="Times New Roman" w:hAnsi="Times New Roman" w:cs="Times New Roman"/>
          <w:sz w:val="24"/>
          <w:szCs w:val="24"/>
        </w:rPr>
      </w:pPr>
      <w:r w:rsidRPr="00654737">
        <w:rPr>
          <w:rFonts w:ascii="Times New Roman" w:hAnsi="Times New Roman" w:cs="Times New Roman"/>
          <w:sz w:val="24"/>
          <w:szCs w:val="24"/>
        </w:rPr>
        <w:t xml:space="preserve">At baseline, NLR was higher in the HCC cohort compared to the control subjects (2.79 vs 2). Although this difference was statistically significant (p&lt;0.0001), it was unlikely to be of any </w:t>
      </w:r>
      <w:r w:rsidRPr="00A23758">
        <w:rPr>
          <w:rFonts w:ascii="Times New Roman" w:hAnsi="Times New Roman" w:cs="Times New Roman"/>
          <w:sz w:val="24"/>
          <w:szCs w:val="24"/>
        </w:rPr>
        <w:t xml:space="preserve">clinical </w:t>
      </w:r>
      <w:r w:rsidR="002B3A47" w:rsidRPr="00A23758">
        <w:rPr>
          <w:rFonts w:ascii="Times New Roman" w:hAnsi="Times New Roman" w:cs="Times New Roman"/>
          <w:sz w:val="24"/>
          <w:szCs w:val="24"/>
        </w:rPr>
        <w:t xml:space="preserve">significance. </w:t>
      </w:r>
      <w:r w:rsidRPr="00A23758">
        <w:rPr>
          <w:rFonts w:ascii="Times New Roman" w:hAnsi="Times New Roman" w:cs="Times New Roman"/>
          <w:sz w:val="24"/>
          <w:szCs w:val="24"/>
        </w:rPr>
        <w:t>However, when baseline NLR of the HCC patients was compared to the levels taken closest to last visit or death, it became apparent that NLR rose significantly (from 2.79 to 4.59, p&lt;0.0001</w:t>
      </w:r>
      <w:r w:rsidR="002B3A47" w:rsidRPr="00A23758">
        <w:rPr>
          <w:rFonts w:ascii="Times New Roman" w:hAnsi="Times New Roman" w:cs="Times New Roman"/>
          <w:sz w:val="24"/>
          <w:szCs w:val="24"/>
        </w:rPr>
        <w:t xml:space="preserve">) </w:t>
      </w:r>
      <w:r w:rsidRPr="00A23758">
        <w:rPr>
          <w:rFonts w:ascii="Times New Roman" w:hAnsi="Times New Roman" w:cs="Times New Roman"/>
          <w:sz w:val="24"/>
          <w:szCs w:val="24"/>
        </w:rPr>
        <w:t>(</w:t>
      </w:r>
      <w:r w:rsidR="00B001EA" w:rsidRPr="00A23758">
        <w:rPr>
          <w:rFonts w:ascii="Times New Roman" w:hAnsi="Times New Roman" w:cs="Times New Roman"/>
          <w:sz w:val="24"/>
          <w:szCs w:val="24"/>
        </w:rPr>
        <w:t xml:space="preserve">Supplementary </w:t>
      </w:r>
      <w:r w:rsidRPr="00A23758">
        <w:rPr>
          <w:rFonts w:ascii="Times New Roman" w:hAnsi="Times New Roman" w:cs="Times New Roman"/>
          <w:sz w:val="24"/>
          <w:szCs w:val="24"/>
        </w:rPr>
        <w:t xml:space="preserve">Figure 1).  The corresponding AUROC estimate was 0.65 (95% CI 0.62, 0.69), showing that NLR is </w:t>
      </w:r>
      <w:r w:rsidR="002B3A47" w:rsidRPr="00A23758">
        <w:rPr>
          <w:rFonts w:ascii="Times New Roman" w:hAnsi="Times New Roman" w:cs="Times New Roman"/>
          <w:sz w:val="24"/>
          <w:szCs w:val="24"/>
        </w:rPr>
        <w:t xml:space="preserve">only very </w:t>
      </w:r>
      <w:r w:rsidRPr="00A23758">
        <w:rPr>
          <w:rFonts w:ascii="Times New Roman" w:hAnsi="Times New Roman" w:cs="Times New Roman"/>
          <w:sz w:val="24"/>
          <w:szCs w:val="24"/>
        </w:rPr>
        <w:t>weakly diagnostic.</w:t>
      </w:r>
    </w:p>
    <w:p w:rsidR="003111D5" w:rsidRPr="00A23758" w:rsidRDefault="003111D5" w:rsidP="003111D5">
      <w:pPr>
        <w:spacing w:after="0" w:line="480" w:lineRule="auto"/>
        <w:jc w:val="both"/>
        <w:rPr>
          <w:rFonts w:ascii="Times New Roman" w:hAnsi="Times New Roman" w:cs="Times New Roman"/>
          <w:i/>
          <w:sz w:val="24"/>
          <w:szCs w:val="24"/>
        </w:rPr>
      </w:pPr>
    </w:p>
    <w:p w:rsidR="003111D5" w:rsidRPr="00A23758" w:rsidRDefault="003111D5" w:rsidP="003111D5">
      <w:pPr>
        <w:spacing w:after="0" w:line="480" w:lineRule="auto"/>
        <w:jc w:val="both"/>
        <w:rPr>
          <w:rFonts w:ascii="Times New Roman" w:hAnsi="Times New Roman" w:cs="Times New Roman"/>
          <w:i/>
          <w:sz w:val="24"/>
          <w:szCs w:val="24"/>
        </w:rPr>
      </w:pPr>
      <w:r w:rsidRPr="00A23758">
        <w:rPr>
          <w:rFonts w:ascii="Times New Roman" w:hAnsi="Times New Roman" w:cs="Times New Roman"/>
          <w:i/>
          <w:sz w:val="24"/>
          <w:szCs w:val="24"/>
        </w:rPr>
        <w:t>Prognostic analysis</w:t>
      </w:r>
    </w:p>
    <w:p w:rsidR="003111D5" w:rsidRPr="00A23758" w:rsidRDefault="003111D5" w:rsidP="003111D5">
      <w:pPr>
        <w:spacing w:after="0" w:line="480" w:lineRule="auto"/>
        <w:jc w:val="both"/>
        <w:rPr>
          <w:rFonts w:ascii="Times New Roman" w:hAnsi="Times New Roman" w:cs="Times New Roman"/>
          <w:sz w:val="24"/>
          <w:szCs w:val="24"/>
        </w:rPr>
      </w:pPr>
      <w:r w:rsidRPr="00A23758">
        <w:rPr>
          <w:rFonts w:ascii="Times New Roman" w:hAnsi="Times New Roman" w:cs="Times New Roman"/>
          <w:sz w:val="24"/>
          <w:szCs w:val="24"/>
        </w:rPr>
        <w:t>Median overall survival was 12.60 months (95% C.I. 10.23, 14.51) for HCC patients, whereas this was not reached for CLD patients (</w:t>
      </w:r>
      <w:r w:rsidR="00E23A62" w:rsidRPr="00A23758">
        <w:rPr>
          <w:rFonts w:ascii="Times New Roman" w:hAnsi="Times New Roman" w:cs="Times New Roman"/>
          <w:sz w:val="24"/>
          <w:szCs w:val="24"/>
        </w:rPr>
        <w:t xml:space="preserve">Supplementary </w:t>
      </w:r>
      <w:r w:rsidRPr="00A23758">
        <w:rPr>
          <w:rFonts w:ascii="Times New Roman" w:hAnsi="Times New Roman" w:cs="Times New Roman"/>
          <w:sz w:val="24"/>
          <w:szCs w:val="24"/>
        </w:rPr>
        <w:t>Figure 2).  Univariable Cox regressions have shown that NLR (log-transformed) is a prognostic factor in HCC patients (p&lt;0.0001) but not in CLD patients (p=0.200) (</w:t>
      </w:r>
      <w:r w:rsidR="00B001EA" w:rsidRPr="00A23758">
        <w:rPr>
          <w:rFonts w:ascii="Times New Roman" w:hAnsi="Times New Roman" w:cs="Times New Roman"/>
          <w:sz w:val="24"/>
          <w:szCs w:val="24"/>
        </w:rPr>
        <w:t xml:space="preserve">Supplementary </w:t>
      </w:r>
      <w:r w:rsidRPr="00A23758">
        <w:rPr>
          <w:rFonts w:ascii="Times New Roman" w:hAnsi="Times New Roman" w:cs="Times New Roman"/>
          <w:sz w:val="24"/>
          <w:szCs w:val="24"/>
        </w:rPr>
        <w:t xml:space="preserve">Table </w:t>
      </w:r>
      <w:r w:rsidR="00654737" w:rsidRPr="00A23758">
        <w:rPr>
          <w:rFonts w:ascii="Times New Roman" w:hAnsi="Times New Roman" w:cs="Times New Roman"/>
          <w:sz w:val="24"/>
          <w:szCs w:val="24"/>
        </w:rPr>
        <w:t>2</w:t>
      </w:r>
      <w:r w:rsidRPr="00A23758">
        <w:rPr>
          <w:rFonts w:ascii="Times New Roman" w:hAnsi="Times New Roman" w:cs="Times New Roman"/>
          <w:sz w:val="24"/>
          <w:szCs w:val="24"/>
        </w:rPr>
        <w:t>).</w:t>
      </w:r>
    </w:p>
    <w:p w:rsidR="003111D5" w:rsidRPr="00A23758" w:rsidRDefault="003111D5" w:rsidP="003111D5">
      <w:pPr>
        <w:spacing w:after="0" w:line="480" w:lineRule="auto"/>
        <w:jc w:val="both"/>
        <w:rPr>
          <w:rFonts w:ascii="Times New Roman" w:hAnsi="Times New Roman" w:cs="Times New Roman"/>
          <w:sz w:val="24"/>
          <w:szCs w:val="24"/>
        </w:rPr>
      </w:pPr>
    </w:p>
    <w:p w:rsidR="003111D5" w:rsidRPr="00A23758" w:rsidRDefault="00B001EA" w:rsidP="00B001EA">
      <w:pPr>
        <w:spacing w:after="0" w:line="480" w:lineRule="auto"/>
        <w:jc w:val="both"/>
        <w:rPr>
          <w:rFonts w:ascii="Times New Roman" w:eastAsiaTheme="minorEastAsia" w:hAnsi="Times New Roman" w:cs="Times New Roman"/>
          <w:kern w:val="24"/>
          <w:sz w:val="24"/>
          <w:szCs w:val="24"/>
        </w:rPr>
      </w:pPr>
      <w:r w:rsidRPr="00A23758">
        <w:rPr>
          <w:rFonts w:ascii="Times New Roman" w:hAnsi="Times New Roman" w:cs="Times New Roman"/>
          <w:sz w:val="24"/>
          <w:szCs w:val="24"/>
        </w:rPr>
        <w:t xml:space="preserve">In a </w:t>
      </w:r>
      <w:r w:rsidR="003111D5" w:rsidRPr="00A23758">
        <w:rPr>
          <w:rFonts w:ascii="Times New Roman" w:hAnsi="Times New Roman" w:cs="Times New Roman"/>
          <w:sz w:val="24"/>
          <w:szCs w:val="24"/>
        </w:rPr>
        <w:t>Cox regression model, NLR remains one of the independent factors influencing overall survival along with age, bilirubin, AFP, haemoglobin, WBC and BCLC stage (</w:t>
      </w:r>
      <w:r w:rsidRPr="00A23758">
        <w:rPr>
          <w:rFonts w:ascii="Times New Roman" w:hAnsi="Times New Roman" w:cs="Times New Roman"/>
          <w:sz w:val="24"/>
          <w:szCs w:val="24"/>
        </w:rPr>
        <w:t xml:space="preserve">Supplementary </w:t>
      </w:r>
      <w:r w:rsidR="003111D5" w:rsidRPr="00A23758">
        <w:rPr>
          <w:rFonts w:ascii="Times New Roman" w:hAnsi="Times New Roman" w:cs="Times New Roman"/>
          <w:sz w:val="24"/>
          <w:szCs w:val="24"/>
        </w:rPr>
        <w:t xml:space="preserve">Table </w:t>
      </w:r>
      <w:r w:rsidR="00654737" w:rsidRPr="00A23758">
        <w:rPr>
          <w:rFonts w:ascii="Times New Roman" w:hAnsi="Times New Roman" w:cs="Times New Roman"/>
          <w:sz w:val="24"/>
          <w:szCs w:val="24"/>
        </w:rPr>
        <w:t>3</w:t>
      </w:r>
      <w:r w:rsidR="003111D5" w:rsidRPr="00A23758">
        <w:rPr>
          <w:rFonts w:ascii="Times New Roman" w:hAnsi="Times New Roman" w:cs="Times New Roman"/>
          <w:sz w:val="24"/>
          <w:szCs w:val="24"/>
        </w:rPr>
        <w:t>).</w:t>
      </w:r>
      <w:r w:rsidRPr="00A23758">
        <w:rPr>
          <w:rFonts w:ascii="Times New Roman" w:hAnsi="Times New Roman" w:cs="Times New Roman"/>
          <w:sz w:val="24"/>
          <w:szCs w:val="24"/>
        </w:rPr>
        <w:t xml:space="preserve">  Survival among </w:t>
      </w:r>
      <w:r w:rsidR="003111D5" w:rsidRPr="00A23758">
        <w:rPr>
          <w:rFonts w:ascii="Times New Roman" w:hAnsi="Times New Roman" w:cs="Times New Roman"/>
          <w:sz w:val="24"/>
          <w:szCs w:val="24"/>
        </w:rPr>
        <w:t>those with levels below the median (n=247) had overall survival of 17.40 months (95% C.I. 14.44, 22.37) and those with NLR greater than the median (n=246) survived 7.57 months (95% C.I. 6.18, 9.44) (p&lt;0.0001).</w:t>
      </w:r>
      <w:r w:rsidR="003111D5" w:rsidRPr="00A23758">
        <w:rPr>
          <w:rFonts w:ascii="Times New Roman" w:eastAsiaTheme="minorEastAsia" w:hAnsi="Times New Roman" w:cs="Times New Roman"/>
          <w:kern w:val="24"/>
          <w:sz w:val="24"/>
          <w:szCs w:val="24"/>
        </w:rPr>
        <w:t xml:space="preserve"> </w:t>
      </w:r>
      <w:r w:rsidRPr="00A23758">
        <w:rPr>
          <w:rFonts w:ascii="Times New Roman" w:hAnsi="Times New Roman" w:cs="Times New Roman"/>
          <w:sz w:val="24"/>
          <w:szCs w:val="24"/>
        </w:rPr>
        <w:t>(Figure 1</w:t>
      </w:r>
      <w:r w:rsidR="00212433" w:rsidRPr="00A23758">
        <w:rPr>
          <w:rFonts w:ascii="Times New Roman" w:hAnsi="Times New Roman" w:cs="Times New Roman"/>
          <w:sz w:val="24"/>
          <w:szCs w:val="24"/>
        </w:rPr>
        <w:t>)</w:t>
      </w:r>
      <w:r w:rsidRPr="00A23758">
        <w:rPr>
          <w:rFonts w:ascii="Times New Roman" w:hAnsi="Times New Roman" w:cs="Times New Roman"/>
          <w:sz w:val="24"/>
          <w:szCs w:val="24"/>
        </w:rPr>
        <w:t>.</w:t>
      </w:r>
    </w:p>
    <w:p w:rsidR="003111D5" w:rsidRDefault="003111D5" w:rsidP="003111D5">
      <w:pPr>
        <w:spacing w:after="0" w:line="480" w:lineRule="auto"/>
        <w:jc w:val="both"/>
        <w:rPr>
          <w:rFonts w:ascii="Times New Roman" w:hAnsi="Times New Roman" w:cs="Times New Roman"/>
          <w:sz w:val="24"/>
          <w:szCs w:val="24"/>
        </w:rPr>
      </w:pPr>
    </w:p>
    <w:p w:rsidR="003111D5" w:rsidRDefault="003111D5" w:rsidP="003111D5">
      <w:pPr>
        <w:spacing w:after="0" w:line="480" w:lineRule="auto"/>
        <w:jc w:val="both"/>
        <w:rPr>
          <w:rFonts w:ascii="Times New Roman" w:hAnsi="Times New Roman" w:cs="Times New Roman"/>
          <w:sz w:val="24"/>
          <w:szCs w:val="24"/>
        </w:rPr>
      </w:pPr>
    </w:p>
    <w:p w:rsidR="00654737" w:rsidRDefault="00654737" w:rsidP="003111D5">
      <w:pPr>
        <w:spacing w:after="0" w:line="480" w:lineRule="auto"/>
        <w:jc w:val="both"/>
        <w:rPr>
          <w:rFonts w:ascii="Times New Roman" w:hAnsi="Times New Roman" w:cs="Times New Roman"/>
          <w:sz w:val="24"/>
          <w:szCs w:val="24"/>
        </w:rPr>
      </w:pPr>
    </w:p>
    <w:p w:rsidR="00654737" w:rsidRDefault="00654737" w:rsidP="003111D5">
      <w:pPr>
        <w:spacing w:after="0" w:line="480" w:lineRule="auto"/>
        <w:jc w:val="both"/>
        <w:rPr>
          <w:rFonts w:ascii="Times New Roman" w:hAnsi="Times New Roman" w:cs="Times New Roman"/>
          <w:sz w:val="24"/>
          <w:szCs w:val="24"/>
        </w:rPr>
      </w:pPr>
    </w:p>
    <w:p w:rsidR="00A23758" w:rsidRDefault="00A23758" w:rsidP="003111D5">
      <w:pPr>
        <w:spacing w:after="0" w:line="480" w:lineRule="auto"/>
        <w:jc w:val="both"/>
        <w:rPr>
          <w:rFonts w:ascii="Times New Roman" w:hAnsi="Times New Roman" w:cs="Times New Roman"/>
          <w:sz w:val="24"/>
          <w:szCs w:val="24"/>
        </w:rPr>
      </w:pPr>
    </w:p>
    <w:p w:rsidR="00A23758" w:rsidRPr="0040418C" w:rsidRDefault="00A23758" w:rsidP="003111D5">
      <w:pPr>
        <w:spacing w:after="0" w:line="480" w:lineRule="auto"/>
        <w:jc w:val="both"/>
        <w:rPr>
          <w:rFonts w:ascii="Times New Roman" w:hAnsi="Times New Roman" w:cs="Times New Roman"/>
          <w:sz w:val="24"/>
          <w:szCs w:val="24"/>
        </w:rPr>
      </w:pPr>
    </w:p>
    <w:p w:rsidR="003111D5" w:rsidRPr="00AC3813" w:rsidRDefault="003111D5" w:rsidP="003111D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DISCUSSION</w:t>
      </w:r>
    </w:p>
    <w:p w:rsidR="009A69EA" w:rsidRDefault="003111D5" w:rsidP="003111D5">
      <w:pPr>
        <w:spacing w:after="0" w:line="480" w:lineRule="auto"/>
        <w:jc w:val="both"/>
        <w:rPr>
          <w:rFonts w:ascii="Times New Roman" w:hAnsi="Times New Roman" w:cs="Times New Roman"/>
          <w:sz w:val="24"/>
          <w:szCs w:val="24"/>
        </w:rPr>
      </w:pPr>
      <w:r w:rsidRPr="0040418C">
        <w:rPr>
          <w:rFonts w:ascii="Times New Roman" w:hAnsi="Times New Roman" w:cs="Times New Roman"/>
          <w:sz w:val="24"/>
          <w:szCs w:val="24"/>
        </w:rPr>
        <w:t xml:space="preserve">The great majority </w:t>
      </w:r>
      <w:r>
        <w:rPr>
          <w:rFonts w:ascii="Times New Roman" w:hAnsi="Times New Roman" w:cs="Times New Roman"/>
          <w:sz w:val="24"/>
          <w:szCs w:val="24"/>
        </w:rPr>
        <w:t xml:space="preserve">of </w:t>
      </w:r>
      <w:r w:rsidRPr="0040418C">
        <w:rPr>
          <w:rFonts w:ascii="Times New Roman" w:hAnsi="Times New Roman" w:cs="Times New Roman"/>
          <w:sz w:val="24"/>
          <w:szCs w:val="24"/>
        </w:rPr>
        <w:t>previous studies have been retrospective, with all the attendant limitations and have largely be</w:t>
      </w:r>
      <w:r>
        <w:rPr>
          <w:rFonts w:ascii="Times New Roman" w:hAnsi="Times New Roman" w:cs="Times New Roman"/>
          <w:sz w:val="24"/>
          <w:szCs w:val="24"/>
        </w:rPr>
        <w:t>en</w:t>
      </w:r>
      <w:r w:rsidR="006370A4">
        <w:rPr>
          <w:rFonts w:ascii="Times New Roman" w:hAnsi="Times New Roman" w:cs="Times New Roman"/>
          <w:sz w:val="24"/>
          <w:szCs w:val="24"/>
        </w:rPr>
        <w:t xml:space="preserve"> focused on specific</w:t>
      </w:r>
      <w:r w:rsidRPr="0040418C">
        <w:rPr>
          <w:rFonts w:ascii="Times New Roman" w:hAnsi="Times New Roman" w:cs="Times New Roman"/>
          <w:sz w:val="24"/>
          <w:szCs w:val="24"/>
        </w:rPr>
        <w:t xml:space="preserve"> stages of the disease. Here we confirm that within a single large referral practice over a recent period, NLR is indeed a statistically significant independent prognostic </w:t>
      </w:r>
      <w:r w:rsidR="00B81A53">
        <w:rPr>
          <w:rFonts w:ascii="Times New Roman" w:hAnsi="Times New Roman" w:cs="Times New Roman"/>
          <w:sz w:val="24"/>
          <w:szCs w:val="24"/>
        </w:rPr>
        <w:t>(</w:t>
      </w:r>
      <w:r w:rsidR="00562640">
        <w:rPr>
          <w:rFonts w:ascii="Times New Roman" w:hAnsi="Times New Roman" w:cs="Times New Roman"/>
          <w:sz w:val="24"/>
          <w:szCs w:val="24"/>
        </w:rPr>
        <w:t xml:space="preserve">but not diagnostic) </w:t>
      </w:r>
      <w:r w:rsidRPr="0040418C">
        <w:rPr>
          <w:rFonts w:ascii="Times New Roman" w:hAnsi="Times New Roman" w:cs="Times New Roman"/>
          <w:sz w:val="24"/>
          <w:szCs w:val="24"/>
        </w:rPr>
        <w:t>factor</w:t>
      </w:r>
      <w:r w:rsidR="00B81A53">
        <w:rPr>
          <w:rFonts w:ascii="Times New Roman" w:hAnsi="Times New Roman" w:cs="Times New Roman"/>
          <w:sz w:val="24"/>
          <w:szCs w:val="24"/>
        </w:rPr>
        <w:t>.</w:t>
      </w:r>
      <w:r w:rsidR="000A23B9">
        <w:rPr>
          <w:rFonts w:ascii="Times New Roman" w:hAnsi="Times New Roman" w:cs="Times New Roman"/>
          <w:sz w:val="24"/>
          <w:szCs w:val="24"/>
        </w:rPr>
        <w:t xml:space="preserve"> Although the absolute survival figures varied according</w:t>
      </w:r>
      <w:r w:rsidR="00876D9F">
        <w:rPr>
          <w:rFonts w:ascii="Times New Roman" w:hAnsi="Times New Roman" w:cs="Times New Roman"/>
          <w:sz w:val="24"/>
          <w:szCs w:val="24"/>
        </w:rPr>
        <w:t xml:space="preserve"> to</w:t>
      </w:r>
      <w:r w:rsidR="000A23B9">
        <w:rPr>
          <w:rFonts w:ascii="Times New Roman" w:hAnsi="Times New Roman" w:cs="Times New Roman"/>
          <w:sz w:val="24"/>
          <w:szCs w:val="24"/>
        </w:rPr>
        <w:t xml:space="preserve"> disease stage (and hence treatm</w:t>
      </w:r>
      <w:r w:rsidR="00492200">
        <w:rPr>
          <w:rFonts w:ascii="Times New Roman" w:hAnsi="Times New Roman" w:cs="Times New Roman"/>
          <w:sz w:val="24"/>
          <w:szCs w:val="24"/>
        </w:rPr>
        <w:t>ent), within each disease stage</w:t>
      </w:r>
      <w:r w:rsidR="000A23B9">
        <w:rPr>
          <w:rFonts w:ascii="Times New Roman" w:hAnsi="Times New Roman" w:cs="Times New Roman"/>
          <w:sz w:val="24"/>
          <w:szCs w:val="24"/>
        </w:rPr>
        <w:t xml:space="preserve"> NLR remained </w:t>
      </w:r>
      <w:r w:rsidR="000A23B9" w:rsidRPr="00546ECE">
        <w:rPr>
          <w:rFonts w:ascii="Times New Roman" w:hAnsi="Times New Roman" w:cs="Times New Roman"/>
          <w:sz w:val="24"/>
          <w:szCs w:val="24"/>
        </w:rPr>
        <w:t>an independent prognostic factor.</w:t>
      </w:r>
      <w:r w:rsidR="000A23B9" w:rsidRPr="00E16C92">
        <w:rPr>
          <w:rFonts w:ascii="Times New Roman" w:hAnsi="Times New Roman" w:cs="Times New Roman"/>
          <w:color w:val="FF0000"/>
          <w:sz w:val="24"/>
          <w:szCs w:val="24"/>
        </w:rPr>
        <w:t xml:space="preserve"> </w:t>
      </w:r>
    </w:p>
    <w:p w:rsidR="00DC4023" w:rsidRDefault="00DC4023" w:rsidP="00CD3A39">
      <w:pPr>
        <w:spacing w:after="0" w:line="480" w:lineRule="auto"/>
        <w:jc w:val="both"/>
        <w:rPr>
          <w:rFonts w:ascii="Times New Roman" w:hAnsi="Times New Roman" w:cs="Times New Roman"/>
          <w:sz w:val="24"/>
          <w:szCs w:val="24"/>
        </w:rPr>
      </w:pPr>
    </w:p>
    <w:p w:rsidR="00CD3A39" w:rsidRDefault="003111D5" w:rsidP="00CD3A39">
      <w:pPr>
        <w:spacing w:after="0" w:line="480" w:lineRule="auto"/>
        <w:jc w:val="both"/>
        <w:rPr>
          <w:rFonts w:ascii="Times New Roman" w:hAnsi="Times New Roman" w:cs="Times New Roman"/>
          <w:sz w:val="24"/>
          <w:szCs w:val="24"/>
        </w:rPr>
      </w:pPr>
      <w:r w:rsidRPr="0040418C">
        <w:rPr>
          <w:rFonts w:ascii="Times New Roman" w:hAnsi="Times New Roman" w:cs="Times New Roman"/>
          <w:sz w:val="24"/>
          <w:szCs w:val="24"/>
        </w:rPr>
        <w:t xml:space="preserve">The optimal ‘cut-off point’ to use in a clinical setting has been the source of extensive </w:t>
      </w:r>
      <w:r w:rsidRPr="00017A80">
        <w:rPr>
          <w:rFonts w:ascii="Times New Roman" w:hAnsi="Times New Roman" w:cs="Times New Roman"/>
          <w:color w:val="000000" w:themeColor="text1"/>
          <w:sz w:val="24"/>
          <w:szCs w:val="24"/>
        </w:rPr>
        <w:t>discussion</w:t>
      </w:r>
      <w:r w:rsidR="00F57E02" w:rsidRPr="00F57E02">
        <w:rPr>
          <w:rFonts w:ascii="Times New Roman" w:hAnsi="Times New Roman" w:cs="Times New Roman"/>
          <w:color w:val="000000" w:themeColor="text1"/>
          <w:sz w:val="24"/>
          <w:szCs w:val="24"/>
          <w:vertAlign w:val="superscript"/>
        </w:rPr>
        <w:t>10</w:t>
      </w:r>
      <w:r w:rsidRPr="00017A80">
        <w:rPr>
          <w:rFonts w:ascii="Times New Roman" w:hAnsi="Times New Roman" w:cs="Times New Roman"/>
          <w:color w:val="000000" w:themeColor="text1"/>
          <w:sz w:val="24"/>
          <w:szCs w:val="24"/>
        </w:rPr>
        <w:t>.</w:t>
      </w:r>
      <w:r w:rsidR="009A69EA">
        <w:rPr>
          <w:rFonts w:ascii="Times New Roman" w:hAnsi="Times New Roman" w:cs="Times New Roman"/>
          <w:color w:val="000000" w:themeColor="text1"/>
          <w:sz w:val="24"/>
          <w:szCs w:val="24"/>
        </w:rPr>
        <w:t xml:space="preserve"> </w:t>
      </w:r>
      <w:r w:rsidRPr="0040418C">
        <w:rPr>
          <w:rFonts w:ascii="Times New Roman" w:hAnsi="Times New Roman" w:cs="Times New Roman"/>
          <w:sz w:val="24"/>
          <w:szCs w:val="24"/>
        </w:rPr>
        <w:t>The median value has been widely advanced and our more formal statistical analysis suggest</w:t>
      </w:r>
      <w:r>
        <w:rPr>
          <w:rFonts w:ascii="Times New Roman" w:hAnsi="Times New Roman" w:cs="Times New Roman"/>
          <w:sz w:val="24"/>
          <w:szCs w:val="24"/>
        </w:rPr>
        <w:t>s</w:t>
      </w:r>
      <w:r w:rsidRPr="0040418C">
        <w:rPr>
          <w:rFonts w:ascii="Times New Roman" w:hAnsi="Times New Roman" w:cs="Times New Roman"/>
          <w:sz w:val="24"/>
          <w:szCs w:val="24"/>
        </w:rPr>
        <w:t xml:space="preserve"> that this is, indeed, close to optimal. The difference in survival above and below the median o</w:t>
      </w:r>
      <w:r w:rsidR="006370A4">
        <w:rPr>
          <w:rFonts w:ascii="Times New Roman" w:hAnsi="Times New Roman" w:cs="Times New Roman"/>
          <w:sz w:val="24"/>
          <w:szCs w:val="24"/>
        </w:rPr>
        <w:t>f</w:t>
      </w:r>
      <w:r w:rsidRPr="0040418C">
        <w:rPr>
          <w:rFonts w:ascii="Times New Roman" w:hAnsi="Times New Roman" w:cs="Times New Roman"/>
          <w:sz w:val="24"/>
          <w:szCs w:val="24"/>
        </w:rPr>
        <w:t xml:space="preserve"> 7 months vs 18 months is clearly clinically significant.  However, it is difficult </w:t>
      </w:r>
      <w:r>
        <w:rPr>
          <w:rFonts w:ascii="Times New Roman" w:hAnsi="Times New Roman" w:cs="Times New Roman"/>
          <w:sz w:val="24"/>
          <w:szCs w:val="24"/>
        </w:rPr>
        <w:t>to</w:t>
      </w:r>
      <w:r w:rsidRPr="0040418C">
        <w:rPr>
          <w:rFonts w:ascii="Times New Roman" w:hAnsi="Times New Roman" w:cs="Times New Roman"/>
          <w:sz w:val="24"/>
          <w:szCs w:val="24"/>
        </w:rPr>
        <w:t xml:space="preserve"> conceive of a situation in which NLR would be useful in a clinical setting since</w:t>
      </w:r>
      <w:r>
        <w:rPr>
          <w:rFonts w:ascii="Times New Roman" w:hAnsi="Times New Roman" w:cs="Times New Roman"/>
          <w:sz w:val="24"/>
          <w:szCs w:val="24"/>
        </w:rPr>
        <w:t>;</w:t>
      </w:r>
      <w:r w:rsidRPr="0040418C">
        <w:rPr>
          <w:rFonts w:ascii="Times New Roman" w:hAnsi="Times New Roman" w:cs="Times New Roman"/>
          <w:sz w:val="24"/>
          <w:szCs w:val="24"/>
        </w:rPr>
        <w:t xml:space="preserve"> as shown here it will only be one of several interlinked factors influencing </w:t>
      </w:r>
      <w:r w:rsidRPr="00C06D7F">
        <w:rPr>
          <w:rFonts w:ascii="Times New Roman" w:hAnsi="Times New Roman" w:cs="Times New Roman"/>
          <w:sz w:val="24"/>
          <w:szCs w:val="24"/>
        </w:rPr>
        <w:t>survival</w:t>
      </w:r>
      <w:r w:rsidRPr="00A93820">
        <w:rPr>
          <w:rFonts w:ascii="Times New Roman" w:hAnsi="Times New Roman" w:cs="Times New Roman"/>
          <w:sz w:val="24"/>
          <w:szCs w:val="24"/>
        </w:rPr>
        <w:t>. We therefore</w:t>
      </w:r>
      <w:r w:rsidRPr="00501FDC">
        <w:rPr>
          <w:rFonts w:ascii="Times New Roman" w:hAnsi="Times New Roman" w:cs="Times New Roman"/>
          <w:sz w:val="24"/>
          <w:szCs w:val="24"/>
        </w:rPr>
        <w:t xml:space="preserve"> show that it</w:t>
      </w:r>
      <w:r w:rsidRPr="00C06D7F">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C06D7F">
        <w:rPr>
          <w:rFonts w:ascii="Times New Roman" w:hAnsi="Times New Roman" w:cs="Times New Roman"/>
          <w:sz w:val="24"/>
          <w:szCs w:val="24"/>
        </w:rPr>
        <w:t>entirely feasible to build a simple prognostic mod</w:t>
      </w:r>
      <w:r>
        <w:rPr>
          <w:rFonts w:ascii="Times New Roman" w:hAnsi="Times New Roman" w:cs="Times New Roman"/>
          <w:sz w:val="24"/>
          <w:szCs w:val="24"/>
        </w:rPr>
        <w:t>el</w:t>
      </w:r>
      <w:r w:rsidRPr="00C06D7F">
        <w:rPr>
          <w:rFonts w:ascii="Times New Roman" w:hAnsi="Times New Roman" w:cs="Times New Roman"/>
          <w:sz w:val="24"/>
          <w:szCs w:val="24"/>
        </w:rPr>
        <w:t xml:space="preserve"> for HCC</w:t>
      </w:r>
      <w:r w:rsidRPr="00C432EF">
        <w:rPr>
          <w:rFonts w:ascii="Times New Roman" w:hAnsi="Times New Roman" w:cs="Times New Roman"/>
          <w:sz w:val="24"/>
          <w:szCs w:val="24"/>
        </w:rPr>
        <w:t>, which takes into account all defined prognostic factors and includes NLR. This may be particularly important as an additional dimension to the three current dimensions - performance status, liver function and tumour characteristics.</w:t>
      </w:r>
      <w:r>
        <w:rPr>
          <w:rFonts w:ascii="Times New Roman" w:hAnsi="Times New Roman" w:cs="Times New Roman"/>
          <w:sz w:val="24"/>
          <w:szCs w:val="24"/>
        </w:rPr>
        <w:t xml:space="preserve"> The recent analysis of the SHARP and AP placebo controlled sorafenib trials, which showed that NLR was a predictive factor for benefit from Sorafenib, support this contention</w:t>
      </w:r>
      <w:r w:rsidR="00F57E02" w:rsidRPr="00F57E02">
        <w:rPr>
          <w:rFonts w:ascii="Times New Roman" w:hAnsi="Times New Roman" w:cs="Times New Roman"/>
          <w:sz w:val="24"/>
          <w:szCs w:val="24"/>
          <w:vertAlign w:val="superscript"/>
        </w:rPr>
        <w:t>8</w:t>
      </w:r>
      <w:r w:rsidR="00316419">
        <w:rPr>
          <w:rFonts w:ascii="Times New Roman" w:hAnsi="Times New Roman" w:cs="Times New Roman"/>
          <w:sz w:val="24"/>
          <w:szCs w:val="24"/>
        </w:rPr>
        <w:t xml:space="preserve"> and we can show that adding NLR to our prognostic model (PROSASH) for sorafenib treated patients does indeed improve performance</w:t>
      </w:r>
      <w:r>
        <w:rPr>
          <w:rFonts w:ascii="Times New Roman" w:hAnsi="Times New Roman" w:cs="Times New Roman"/>
          <w:sz w:val="24"/>
          <w:szCs w:val="24"/>
        </w:rPr>
        <w:t xml:space="preserve">.   </w:t>
      </w:r>
    </w:p>
    <w:p w:rsidR="00AA3953" w:rsidRDefault="00AA3953" w:rsidP="00CD3A39">
      <w:pPr>
        <w:spacing w:after="0" w:line="480" w:lineRule="auto"/>
        <w:jc w:val="both"/>
        <w:rPr>
          <w:rFonts w:cstheme="minorHAnsi"/>
        </w:rPr>
      </w:pPr>
    </w:p>
    <w:p w:rsidR="00DC4023" w:rsidRDefault="00DC4023" w:rsidP="00CD3A39">
      <w:pPr>
        <w:spacing w:after="0" w:line="480" w:lineRule="auto"/>
        <w:jc w:val="both"/>
        <w:rPr>
          <w:rFonts w:ascii="Times New Roman" w:hAnsi="Times New Roman" w:cs="Times New Roman"/>
          <w:b/>
          <w:sz w:val="24"/>
          <w:szCs w:val="24"/>
        </w:rPr>
      </w:pPr>
    </w:p>
    <w:p w:rsidR="0082291A" w:rsidRPr="0082291A" w:rsidRDefault="0082291A" w:rsidP="00CD3A39">
      <w:pPr>
        <w:spacing w:after="0" w:line="480" w:lineRule="auto"/>
        <w:jc w:val="both"/>
        <w:rPr>
          <w:rFonts w:ascii="Times New Roman" w:hAnsi="Times New Roman" w:cs="Times New Roman"/>
          <w:b/>
          <w:sz w:val="24"/>
          <w:szCs w:val="24"/>
        </w:rPr>
      </w:pPr>
      <w:r w:rsidRPr="0082291A">
        <w:rPr>
          <w:rFonts w:ascii="Times New Roman" w:hAnsi="Times New Roman" w:cs="Times New Roman"/>
          <w:b/>
          <w:sz w:val="24"/>
          <w:szCs w:val="24"/>
        </w:rPr>
        <w:lastRenderedPageBreak/>
        <w:t>Additional Information</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z w:val="24"/>
          <w:szCs w:val="24"/>
          <w:lang w:eastAsia="en-GB"/>
        </w:rPr>
      </w:pPr>
      <w:r w:rsidRPr="0082291A">
        <w:rPr>
          <w:rFonts w:ascii="Times New Roman" w:eastAsia="Times New Roman" w:hAnsi="Times New Roman" w:cs="Times New Roman"/>
          <w:color w:val="231F20"/>
          <w:sz w:val="24"/>
          <w:szCs w:val="24"/>
          <w:lang w:eastAsia="en-GB"/>
        </w:rPr>
        <w:t xml:space="preserve">Validation and refinement of PROSASH model using the </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z w:val="24"/>
          <w:szCs w:val="24"/>
          <w:lang w:eastAsia="en-GB"/>
        </w:rPr>
      </w:pPr>
      <w:r w:rsidRPr="0082291A">
        <w:rPr>
          <w:rFonts w:ascii="Times New Roman" w:eastAsia="Times New Roman" w:hAnsi="Times New Roman" w:cs="Times New Roman"/>
          <w:color w:val="231F20"/>
          <w:sz w:val="24"/>
          <w:szCs w:val="24"/>
          <w:lang w:eastAsia="en-GB"/>
        </w:rPr>
        <w:t xml:space="preserve">neutrophil-to-lymphocyte ratio in patients with HCC receiving </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pacing w:val="-5"/>
          <w:sz w:val="24"/>
          <w:szCs w:val="24"/>
          <w:lang w:eastAsia="en-GB"/>
        </w:rPr>
      </w:pPr>
      <w:r w:rsidRPr="0082291A">
        <w:rPr>
          <w:rFonts w:ascii="Times New Roman" w:eastAsia="Times New Roman" w:hAnsi="Times New Roman" w:cs="Times New Roman"/>
          <w:color w:val="231F20"/>
          <w:spacing w:val="-5"/>
          <w:sz w:val="24"/>
          <w:szCs w:val="24"/>
          <w:lang w:eastAsia="en-GB"/>
        </w:rPr>
        <w:t>sorafenib</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pacing w:val="-2"/>
          <w:sz w:val="24"/>
          <w:szCs w:val="24"/>
          <w:lang w:eastAsia="en-GB"/>
        </w:rPr>
      </w:pPr>
      <w:r w:rsidRPr="0082291A">
        <w:rPr>
          <w:rFonts w:ascii="Times New Roman" w:eastAsia="Times New Roman" w:hAnsi="Times New Roman" w:cs="Times New Roman"/>
          <w:color w:val="231F20"/>
          <w:spacing w:val="-2"/>
          <w:sz w:val="24"/>
          <w:szCs w:val="24"/>
          <w:lang w:eastAsia="en-GB"/>
        </w:rPr>
        <w:t>Andrea Casadei-Gardini</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z w:val="24"/>
          <w:szCs w:val="24"/>
          <w:lang w:eastAsia="en-GB"/>
        </w:rPr>
      </w:pPr>
      <w:r w:rsidRPr="0082291A">
        <w:rPr>
          <w:rFonts w:ascii="Times New Roman" w:eastAsia="Times New Roman" w:hAnsi="Times New Roman" w:cs="Times New Roman"/>
          <w:color w:val="231F20"/>
          <w:sz w:val="24"/>
          <w:szCs w:val="24"/>
          <w:lang w:eastAsia="en-GB"/>
        </w:rPr>
        <w:t>1</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z w:val="24"/>
          <w:szCs w:val="24"/>
          <w:lang w:eastAsia="en-GB"/>
        </w:rPr>
      </w:pPr>
      <w:r w:rsidRPr="0082291A">
        <w:rPr>
          <w:rFonts w:ascii="Times New Roman" w:hAnsi="Times New Roman" w:cs="Times New Roman"/>
          <w:color w:val="231F20"/>
          <w:sz w:val="24"/>
          <w:szCs w:val="24"/>
          <w:shd w:val="clear" w:color="auto" w:fill="FFFFFF"/>
        </w:rPr>
        <w:t xml:space="preserve"> Li</w:t>
      </w:r>
      <w:r w:rsidRPr="0082291A">
        <w:rPr>
          <w:rFonts w:ascii="Times New Roman" w:eastAsia="Times New Roman" w:hAnsi="Times New Roman" w:cs="Times New Roman"/>
          <w:color w:val="231F20"/>
          <w:sz w:val="24"/>
          <w:szCs w:val="24"/>
          <w:lang w:eastAsia="en-GB"/>
        </w:rPr>
        <w:t xml:space="preserve"> Validation and refinement of PROSASH model using the </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z w:val="24"/>
          <w:szCs w:val="24"/>
          <w:lang w:eastAsia="en-GB"/>
        </w:rPr>
      </w:pPr>
      <w:r w:rsidRPr="0082291A">
        <w:rPr>
          <w:rFonts w:ascii="Times New Roman" w:eastAsia="Times New Roman" w:hAnsi="Times New Roman" w:cs="Times New Roman"/>
          <w:color w:val="231F20"/>
          <w:sz w:val="24"/>
          <w:szCs w:val="24"/>
          <w:lang w:eastAsia="en-GB"/>
        </w:rPr>
        <w:t xml:space="preserve">neutrophil-to-lymphocyte ratio in patients with HCC receiving </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pacing w:val="-5"/>
          <w:sz w:val="24"/>
          <w:szCs w:val="24"/>
          <w:lang w:eastAsia="en-GB"/>
        </w:rPr>
      </w:pPr>
      <w:r w:rsidRPr="0082291A">
        <w:rPr>
          <w:rFonts w:ascii="Times New Roman" w:eastAsia="Times New Roman" w:hAnsi="Times New Roman" w:cs="Times New Roman"/>
          <w:color w:val="231F20"/>
          <w:spacing w:val="-5"/>
          <w:sz w:val="24"/>
          <w:szCs w:val="24"/>
          <w:lang w:eastAsia="en-GB"/>
        </w:rPr>
        <w:t>sorafenib</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pacing w:val="-2"/>
          <w:sz w:val="24"/>
          <w:szCs w:val="24"/>
          <w:lang w:eastAsia="en-GB"/>
        </w:rPr>
      </w:pPr>
      <w:r w:rsidRPr="0082291A">
        <w:rPr>
          <w:rFonts w:ascii="Times New Roman" w:eastAsia="Times New Roman" w:hAnsi="Times New Roman" w:cs="Times New Roman"/>
          <w:color w:val="231F20"/>
          <w:spacing w:val="-2"/>
          <w:sz w:val="24"/>
          <w:szCs w:val="24"/>
          <w:lang w:eastAsia="en-GB"/>
        </w:rPr>
        <w:t>Andrea Casadei-Gardini</w:t>
      </w:r>
    </w:p>
    <w:p w:rsidR="00AA3953" w:rsidRPr="0082291A" w:rsidRDefault="00AA3953" w:rsidP="00AA3953">
      <w:pPr>
        <w:shd w:val="clear" w:color="auto" w:fill="FFFFFF"/>
        <w:spacing w:after="0" w:line="0" w:lineRule="auto"/>
        <w:rPr>
          <w:rFonts w:ascii="Times New Roman" w:eastAsia="Times New Roman" w:hAnsi="Times New Roman" w:cs="Times New Roman"/>
          <w:color w:val="231F20"/>
          <w:sz w:val="24"/>
          <w:szCs w:val="24"/>
          <w:lang w:eastAsia="en-GB"/>
        </w:rPr>
      </w:pPr>
      <w:r w:rsidRPr="0082291A">
        <w:rPr>
          <w:rFonts w:ascii="Times New Roman" w:eastAsia="Times New Roman" w:hAnsi="Times New Roman" w:cs="Times New Roman"/>
          <w:color w:val="231F20"/>
          <w:sz w:val="24"/>
          <w:szCs w:val="24"/>
          <w:lang w:eastAsia="en-GB"/>
        </w:rPr>
        <w:t>1</w:t>
      </w:r>
    </w:p>
    <w:p w:rsidR="00864E03"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Acknowledgements</w:t>
      </w:r>
      <w:r w:rsidRPr="0082291A">
        <w:rPr>
          <w:rStyle w:val="ff2"/>
          <w:rFonts w:ascii="Times New Roman" w:hAnsi="Times New Roman" w:cs="Times New Roman"/>
          <w:color w:val="231F20"/>
          <w:sz w:val="24"/>
          <w:szCs w:val="24"/>
          <w:shd w:val="clear" w:color="auto" w:fill="FFFFFF"/>
        </w:rPr>
        <w:t>:  None</w:t>
      </w:r>
    </w:p>
    <w:p w:rsidR="00FA2D22"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Authors’ Contributions</w:t>
      </w:r>
      <w:r w:rsidRPr="0082291A">
        <w:rPr>
          <w:rStyle w:val="ff2"/>
          <w:rFonts w:ascii="Times New Roman" w:hAnsi="Times New Roman" w:cs="Times New Roman"/>
          <w:color w:val="231F20"/>
          <w:sz w:val="24"/>
          <w:szCs w:val="24"/>
          <w:shd w:val="clear" w:color="auto" w:fill="FFFFFF"/>
        </w:rPr>
        <w:t>: Concept:  PJ;  Data Acquisition: SD, YTM, PJ; Statistics: SB, LB; Drafting of manuscript and critical revision: All authors.</w:t>
      </w:r>
    </w:p>
    <w:p w:rsidR="00FA2D22"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Ethics</w:t>
      </w:r>
      <w:r w:rsidRPr="0082291A">
        <w:rPr>
          <w:rStyle w:val="ff2"/>
          <w:rFonts w:ascii="Times New Roman" w:hAnsi="Times New Roman" w:cs="Times New Roman"/>
          <w:color w:val="231F20"/>
          <w:sz w:val="24"/>
          <w:szCs w:val="24"/>
          <w:shd w:val="clear" w:color="auto" w:fill="FFFFFF"/>
        </w:rPr>
        <w:t>:  Anonymous patient data was collected from patients recruited at Queen Elizabeth Hospital Birmingham after informed consent and with the approval of South Birmingham Ethics Committee (CARMS-13594).</w:t>
      </w:r>
      <w:r w:rsidR="006B2C16" w:rsidRPr="006B2C16">
        <w:rPr>
          <w:rFonts w:ascii="Times New Roman" w:hAnsi="Times New Roman" w:cs="Times New Roman"/>
          <w:color w:val="222222"/>
          <w:sz w:val="24"/>
          <w:szCs w:val="24"/>
          <w:shd w:val="clear" w:color="auto" w:fill="FFFFFF"/>
        </w:rPr>
        <w:t xml:space="preserve"> </w:t>
      </w:r>
      <w:r w:rsidR="006B2C16">
        <w:rPr>
          <w:rFonts w:ascii="Times New Roman" w:hAnsi="Times New Roman" w:cs="Times New Roman"/>
          <w:color w:val="222222"/>
          <w:sz w:val="24"/>
          <w:szCs w:val="24"/>
          <w:shd w:val="clear" w:color="auto" w:fill="FFFFFF"/>
        </w:rPr>
        <w:t>T</w:t>
      </w:r>
      <w:r w:rsidR="006B2C16" w:rsidRPr="0082291A">
        <w:rPr>
          <w:rFonts w:ascii="Times New Roman" w:hAnsi="Times New Roman" w:cs="Times New Roman"/>
          <w:color w:val="222222"/>
          <w:sz w:val="24"/>
          <w:szCs w:val="24"/>
          <w:shd w:val="clear" w:color="auto" w:fill="FFFFFF"/>
        </w:rPr>
        <w:t>he study was performed in accordance with the Declaration of Helsinki</w:t>
      </w:r>
      <w:r w:rsidR="006B2C16">
        <w:rPr>
          <w:rFonts w:ascii="Times New Roman" w:hAnsi="Times New Roman" w:cs="Times New Roman"/>
          <w:color w:val="222222"/>
          <w:sz w:val="24"/>
          <w:szCs w:val="24"/>
          <w:shd w:val="clear" w:color="auto" w:fill="FFFFFF"/>
        </w:rPr>
        <w:t>.</w:t>
      </w:r>
    </w:p>
    <w:p w:rsidR="00FA2D22"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Consent to publish</w:t>
      </w:r>
      <w:r w:rsidRPr="0082291A">
        <w:rPr>
          <w:rStyle w:val="ff2"/>
          <w:rFonts w:ascii="Times New Roman" w:hAnsi="Times New Roman" w:cs="Times New Roman"/>
          <w:color w:val="231F20"/>
          <w:sz w:val="24"/>
          <w:szCs w:val="24"/>
          <w:shd w:val="clear" w:color="auto" w:fill="FFFFFF"/>
        </w:rPr>
        <w:t>:  All authors have consented to publish.</w:t>
      </w:r>
    </w:p>
    <w:p w:rsidR="00FA2D22"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Data Availability</w:t>
      </w:r>
      <w:r w:rsidRPr="0082291A">
        <w:rPr>
          <w:rStyle w:val="ff2"/>
          <w:rFonts w:ascii="Times New Roman" w:hAnsi="Times New Roman" w:cs="Times New Roman"/>
          <w:color w:val="231F20"/>
          <w:sz w:val="24"/>
          <w:szCs w:val="24"/>
          <w:shd w:val="clear" w:color="auto" w:fill="FFFFFF"/>
        </w:rPr>
        <w:t>:  All reasonable requests will be considered on application to the corresponding author and subject to review by the Ethics Committee.</w:t>
      </w:r>
    </w:p>
    <w:p w:rsidR="00FA2D22"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Competing interests</w:t>
      </w:r>
      <w:r w:rsidRPr="0082291A">
        <w:rPr>
          <w:rStyle w:val="ff2"/>
          <w:rFonts w:ascii="Times New Roman" w:hAnsi="Times New Roman" w:cs="Times New Roman"/>
          <w:color w:val="231F20"/>
          <w:sz w:val="24"/>
          <w:szCs w:val="24"/>
          <w:shd w:val="clear" w:color="auto" w:fill="FFFFFF"/>
        </w:rPr>
        <w:t>:  None</w:t>
      </w:r>
    </w:p>
    <w:p w:rsidR="00FA2D22" w:rsidRPr="0082291A" w:rsidRDefault="00FA2D22" w:rsidP="00AA3953">
      <w:pPr>
        <w:spacing w:after="0" w:line="480" w:lineRule="auto"/>
        <w:jc w:val="both"/>
        <w:rPr>
          <w:rStyle w:val="ff2"/>
          <w:rFonts w:ascii="Times New Roman" w:hAnsi="Times New Roman" w:cs="Times New Roman"/>
          <w:color w:val="231F20"/>
          <w:sz w:val="24"/>
          <w:szCs w:val="24"/>
          <w:shd w:val="clear" w:color="auto" w:fill="FFFFFF"/>
        </w:rPr>
      </w:pPr>
      <w:r w:rsidRPr="0082291A">
        <w:rPr>
          <w:rStyle w:val="ff2"/>
          <w:rFonts w:ascii="Times New Roman" w:hAnsi="Times New Roman" w:cs="Times New Roman"/>
          <w:b/>
          <w:color w:val="231F20"/>
          <w:sz w:val="24"/>
          <w:szCs w:val="24"/>
          <w:shd w:val="clear" w:color="auto" w:fill="FFFFFF"/>
        </w:rPr>
        <w:t>Funding</w:t>
      </w:r>
      <w:r w:rsidRPr="0082291A">
        <w:rPr>
          <w:rStyle w:val="ff2"/>
          <w:rFonts w:ascii="Times New Roman" w:hAnsi="Times New Roman" w:cs="Times New Roman"/>
          <w:color w:val="231F20"/>
          <w:sz w:val="24"/>
          <w:szCs w:val="24"/>
          <w:shd w:val="clear" w:color="auto" w:fill="FFFFFF"/>
        </w:rPr>
        <w:t>: None</w:t>
      </w:r>
    </w:p>
    <w:p w:rsidR="0082291A" w:rsidRPr="0082291A" w:rsidRDefault="0082291A" w:rsidP="00AA3953">
      <w:pPr>
        <w:spacing w:after="0" w:line="480" w:lineRule="auto"/>
        <w:jc w:val="both"/>
        <w:rPr>
          <w:rStyle w:val="ff2"/>
          <w:rFonts w:ascii="Times New Roman" w:hAnsi="Times New Roman" w:cs="Times New Roman"/>
          <w:color w:val="231F20"/>
          <w:sz w:val="24"/>
          <w:szCs w:val="24"/>
          <w:shd w:val="clear" w:color="auto" w:fill="FFFFFF"/>
        </w:rPr>
      </w:pPr>
    </w:p>
    <w:p w:rsidR="00864E03" w:rsidRPr="00FA2D22" w:rsidRDefault="00864E03" w:rsidP="00AA3953">
      <w:pPr>
        <w:spacing w:after="0" w:line="480" w:lineRule="auto"/>
        <w:jc w:val="both"/>
        <w:rPr>
          <w:rStyle w:val="ff2"/>
          <w:rFonts w:ascii="Times New Roman" w:hAnsi="Times New Roman" w:cs="Times New Roman"/>
          <w:color w:val="231F20"/>
          <w:shd w:val="clear" w:color="auto" w:fill="FFFFFF"/>
        </w:rPr>
      </w:pPr>
    </w:p>
    <w:p w:rsidR="00864E03" w:rsidRPr="00FA2D22" w:rsidRDefault="00864E03" w:rsidP="00AA3953">
      <w:pPr>
        <w:spacing w:after="0" w:line="480" w:lineRule="auto"/>
        <w:jc w:val="both"/>
        <w:rPr>
          <w:rFonts w:cstheme="minorHAnsi"/>
        </w:rPr>
      </w:pPr>
    </w:p>
    <w:p w:rsidR="00AA3953" w:rsidRPr="00FA2D22" w:rsidRDefault="00AA3953" w:rsidP="00CD3A39">
      <w:pPr>
        <w:spacing w:after="0" w:line="480" w:lineRule="auto"/>
        <w:jc w:val="both"/>
        <w:rPr>
          <w:rFonts w:cstheme="minorHAnsi"/>
        </w:rPr>
      </w:pPr>
    </w:p>
    <w:p w:rsidR="00F515EF" w:rsidRPr="004E228D" w:rsidRDefault="00F515EF">
      <w:pPr>
        <w:spacing w:after="160" w:line="259" w:lineRule="auto"/>
        <w:rPr>
          <w:rFonts w:ascii="Times New Roman" w:hAnsi="Times New Roman" w:cs="Times New Roman"/>
          <w:b/>
          <w:sz w:val="24"/>
          <w:szCs w:val="24"/>
        </w:rPr>
      </w:pPr>
      <w:r w:rsidRPr="004E228D">
        <w:rPr>
          <w:rFonts w:ascii="Times New Roman" w:hAnsi="Times New Roman" w:cs="Times New Roman"/>
          <w:b/>
          <w:sz w:val="24"/>
          <w:szCs w:val="24"/>
        </w:rPr>
        <w:br w:type="page"/>
      </w:r>
    </w:p>
    <w:p w:rsidR="00F515EF" w:rsidRDefault="00F515EF" w:rsidP="00CD3A39">
      <w:pPr>
        <w:spacing w:after="0" w:line="480" w:lineRule="auto"/>
        <w:jc w:val="both"/>
        <w:rPr>
          <w:rFonts w:ascii="Times New Roman" w:hAnsi="Times New Roman" w:cs="Times New Roman"/>
          <w:sz w:val="24"/>
          <w:szCs w:val="24"/>
        </w:rPr>
      </w:pPr>
    </w:p>
    <w:p w:rsidR="00AE5189" w:rsidRPr="00D05E9C" w:rsidRDefault="00AE5189" w:rsidP="00AE5189">
      <w:pPr>
        <w:rPr>
          <w:rFonts w:ascii="Times New Roman" w:hAnsi="Times New Roman" w:cs="Times New Roman"/>
          <w:b/>
          <w:color w:val="000000" w:themeColor="text1"/>
          <w:sz w:val="24"/>
          <w:szCs w:val="24"/>
        </w:rPr>
      </w:pPr>
      <w:r w:rsidRPr="00D05E9C">
        <w:rPr>
          <w:rFonts w:ascii="Times New Roman" w:hAnsi="Times New Roman" w:cs="Times New Roman"/>
          <w:b/>
          <w:color w:val="000000" w:themeColor="text1"/>
          <w:sz w:val="24"/>
          <w:szCs w:val="24"/>
        </w:rPr>
        <w:t>REFERENCES</w:t>
      </w:r>
    </w:p>
    <w:p w:rsidR="006945E5" w:rsidRPr="006945E5" w:rsidRDefault="00AE5189" w:rsidP="006945E5">
      <w:pPr>
        <w:pStyle w:val="EndNoteBibliography"/>
        <w:spacing w:after="0"/>
      </w:pPr>
      <w:r w:rsidRPr="001C2738">
        <w:rPr>
          <w:rFonts w:ascii="Times New Roman" w:hAnsi="Times New Roman" w:cs="Times New Roman"/>
          <w:b/>
          <w:color w:val="FF0000"/>
          <w:sz w:val="24"/>
          <w:szCs w:val="24"/>
        </w:rPr>
        <w:fldChar w:fldCharType="begin"/>
      </w:r>
      <w:r w:rsidRPr="001C2738">
        <w:rPr>
          <w:rFonts w:ascii="Times New Roman" w:hAnsi="Times New Roman" w:cs="Times New Roman"/>
          <w:b/>
          <w:color w:val="FF0000"/>
          <w:sz w:val="24"/>
          <w:szCs w:val="24"/>
        </w:rPr>
        <w:instrText xml:space="preserve"> ADDIN EN.REFLIST </w:instrText>
      </w:r>
      <w:r w:rsidRPr="001C2738">
        <w:rPr>
          <w:rFonts w:ascii="Times New Roman" w:hAnsi="Times New Roman" w:cs="Times New Roman"/>
          <w:b/>
          <w:color w:val="FF0000"/>
          <w:sz w:val="24"/>
          <w:szCs w:val="24"/>
        </w:rPr>
        <w:fldChar w:fldCharType="separate"/>
      </w:r>
      <w:r w:rsidR="006945E5" w:rsidRPr="006945E5">
        <w:t>1.</w:t>
      </w:r>
      <w:r w:rsidR="006945E5" w:rsidRPr="006945E5">
        <w:tab/>
        <w:t>European Association for the Study of the Liver. Electronic address. Corrigendum to "EASL Clinical Practice Guidelines: Management of hepatocellular carcinoma" J Hepatol 69</w:t>
      </w:r>
      <w:r w:rsidR="009B141C">
        <w:t>,</w:t>
      </w:r>
      <w:r w:rsidR="006945E5" w:rsidRPr="006945E5">
        <w:t xml:space="preserve"> </w:t>
      </w:r>
      <w:r w:rsidR="009B141C">
        <w:t>182-236 (2018)</w:t>
      </w:r>
      <w:r w:rsidR="006945E5" w:rsidRPr="006945E5">
        <w:t>.</w:t>
      </w:r>
    </w:p>
    <w:p w:rsidR="006945E5" w:rsidRPr="006945E5" w:rsidRDefault="006945E5" w:rsidP="006945E5">
      <w:pPr>
        <w:pStyle w:val="EndNoteBibliography"/>
        <w:spacing w:after="0"/>
      </w:pPr>
      <w:r w:rsidRPr="006945E5">
        <w:t>2.</w:t>
      </w:r>
      <w:r w:rsidRPr="006945E5">
        <w:tab/>
        <w:t>Zahorec</w:t>
      </w:r>
      <w:r w:rsidR="007B222F">
        <w:t>,</w:t>
      </w:r>
      <w:r w:rsidRPr="006945E5">
        <w:t xml:space="preserve"> R. Ratio of neutrophil to lymphocyte counts--rapid and simple parameter of systemic inflammation and stress in critically ill. Bratisl Lek Listy 102(1)</w:t>
      </w:r>
      <w:r w:rsidR="009B141C">
        <w:t xml:space="preserve">, </w:t>
      </w:r>
      <w:r w:rsidRPr="006945E5">
        <w:t>5-14</w:t>
      </w:r>
      <w:r w:rsidR="009B141C">
        <w:t xml:space="preserve"> (</w:t>
      </w:r>
      <w:r w:rsidR="009B141C" w:rsidRPr="006945E5">
        <w:t>2001</w:t>
      </w:r>
      <w:r w:rsidR="009B141C">
        <w:t>)</w:t>
      </w:r>
      <w:r w:rsidRPr="006945E5">
        <w:t>.</w:t>
      </w:r>
    </w:p>
    <w:p w:rsidR="006945E5" w:rsidRPr="006945E5" w:rsidRDefault="006945E5" w:rsidP="006945E5">
      <w:pPr>
        <w:pStyle w:val="EndNoteBibliography"/>
        <w:spacing w:after="0"/>
      </w:pPr>
      <w:r w:rsidRPr="006945E5">
        <w:t>3.</w:t>
      </w:r>
      <w:r w:rsidRPr="006945E5">
        <w:tab/>
        <w:t>Templeton</w:t>
      </w:r>
      <w:r w:rsidR="007B222F">
        <w:t>,</w:t>
      </w:r>
      <w:r w:rsidRPr="006945E5">
        <w:t xml:space="preserve"> A</w:t>
      </w:r>
      <w:r w:rsidR="007B222F">
        <w:t>.</w:t>
      </w:r>
      <w:r w:rsidRPr="006945E5">
        <w:t>J</w:t>
      </w:r>
      <w:r w:rsidR="007B222F">
        <w:t>.</w:t>
      </w:r>
      <w:r w:rsidRPr="006945E5">
        <w:t>, McNamara</w:t>
      </w:r>
      <w:r w:rsidR="007B222F">
        <w:t>,</w:t>
      </w:r>
      <w:r w:rsidRPr="006945E5">
        <w:t xml:space="preserve"> M</w:t>
      </w:r>
      <w:r w:rsidR="007B222F">
        <w:t>.</w:t>
      </w:r>
      <w:r w:rsidRPr="006945E5">
        <w:t>G</w:t>
      </w:r>
      <w:r w:rsidR="007B222F">
        <w:t>.</w:t>
      </w:r>
      <w:r w:rsidRPr="006945E5">
        <w:t>, Seruga</w:t>
      </w:r>
      <w:r w:rsidR="007B222F">
        <w:t>,</w:t>
      </w:r>
      <w:r w:rsidRPr="006945E5">
        <w:t xml:space="preserve"> B</w:t>
      </w:r>
      <w:r w:rsidR="007B222F">
        <w:t>.</w:t>
      </w:r>
      <w:r w:rsidRPr="006945E5">
        <w:t>, Vera-Badillo</w:t>
      </w:r>
      <w:r w:rsidR="007B222F">
        <w:t>,</w:t>
      </w:r>
      <w:r w:rsidRPr="006945E5">
        <w:t xml:space="preserve"> F</w:t>
      </w:r>
      <w:r w:rsidR="007B222F">
        <w:t>.</w:t>
      </w:r>
      <w:r w:rsidRPr="006945E5">
        <w:t>E</w:t>
      </w:r>
      <w:r w:rsidR="007B222F">
        <w:t>.</w:t>
      </w:r>
      <w:r w:rsidRPr="006945E5">
        <w:t>, Aneja</w:t>
      </w:r>
      <w:r w:rsidR="007B222F">
        <w:t>,</w:t>
      </w:r>
      <w:r w:rsidRPr="006945E5">
        <w:t xml:space="preserve"> P</w:t>
      </w:r>
      <w:r w:rsidR="007B222F">
        <w:t>.</w:t>
      </w:r>
      <w:r w:rsidRPr="006945E5">
        <w:t>, Ocana</w:t>
      </w:r>
      <w:r w:rsidR="007B222F">
        <w:t>,</w:t>
      </w:r>
      <w:r w:rsidRPr="006945E5">
        <w:t xml:space="preserve"> A</w:t>
      </w:r>
      <w:r w:rsidR="007B222F">
        <w:t>.</w:t>
      </w:r>
      <w:r w:rsidRPr="006945E5">
        <w:t xml:space="preserve">, et al. Prognostic role of neutrophil-to-lymphocyte ratio in solid tumors: a systematic review and meta-analysis. J Natl Cancer Inst </w:t>
      </w:r>
      <w:r w:rsidR="009B141C">
        <w:t>1</w:t>
      </w:r>
      <w:r w:rsidRPr="006945E5">
        <w:t>06(6)</w:t>
      </w:r>
      <w:r w:rsidR="009B141C">
        <w:t>,</w:t>
      </w:r>
      <w:r w:rsidRPr="006945E5">
        <w:t>dju124</w:t>
      </w:r>
      <w:r w:rsidR="009B141C">
        <w:t xml:space="preserve"> (2014)</w:t>
      </w:r>
      <w:r w:rsidRPr="006945E5">
        <w:t>.</w:t>
      </w:r>
    </w:p>
    <w:p w:rsidR="006945E5" w:rsidRPr="006945E5" w:rsidRDefault="006945E5" w:rsidP="006945E5">
      <w:pPr>
        <w:pStyle w:val="EndNoteBibliography"/>
        <w:spacing w:after="0"/>
      </w:pPr>
      <w:r w:rsidRPr="006945E5">
        <w:t>4.</w:t>
      </w:r>
      <w:r w:rsidRPr="006945E5">
        <w:tab/>
        <w:t>Tandon</w:t>
      </w:r>
      <w:r w:rsidR="007B222F">
        <w:t>,</w:t>
      </w:r>
      <w:r w:rsidRPr="006945E5">
        <w:t xml:space="preserve"> P</w:t>
      </w:r>
      <w:r w:rsidR="007B222F">
        <w:t>.</w:t>
      </w:r>
      <w:r w:rsidRPr="006945E5">
        <w:t>, Garcia-Tsao</w:t>
      </w:r>
      <w:r w:rsidR="007B222F">
        <w:t>,</w:t>
      </w:r>
      <w:r w:rsidRPr="006945E5">
        <w:t xml:space="preserve"> G. Prognostic indicators in hepatocellular carcinoma: a systematic review of 72 studies. Liver Int 29(4)</w:t>
      </w:r>
      <w:r w:rsidR="009B141C">
        <w:t>,</w:t>
      </w:r>
      <w:r w:rsidRPr="006945E5">
        <w:t>502-10</w:t>
      </w:r>
      <w:r w:rsidR="009B141C">
        <w:t xml:space="preserve"> (2009)</w:t>
      </w:r>
      <w:r w:rsidRPr="006945E5">
        <w:t>.</w:t>
      </w:r>
    </w:p>
    <w:p w:rsidR="006945E5" w:rsidRPr="006945E5" w:rsidRDefault="006945E5" w:rsidP="006945E5">
      <w:pPr>
        <w:pStyle w:val="EndNoteBibliography"/>
        <w:spacing w:after="0"/>
      </w:pPr>
      <w:r w:rsidRPr="006945E5">
        <w:t>5.</w:t>
      </w:r>
      <w:r w:rsidRPr="006945E5">
        <w:tab/>
        <w:t>Lue</w:t>
      </w:r>
      <w:r w:rsidR="007B222F">
        <w:t>,</w:t>
      </w:r>
      <w:r w:rsidRPr="006945E5">
        <w:t xml:space="preserve"> A</w:t>
      </w:r>
      <w:r w:rsidR="007B222F">
        <w:t>.</w:t>
      </w:r>
      <w:r w:rsidRPr="006945E5">
        <w:t>, Serrano</w:t>
      </w:r>
      <w:r w:rsidR="007B222F">
        <w:t>,</w:t>
      </w:r>
      <w:r w:rsidRPr="006945E5">
        <w:t xml:space="preserve"> M</w:t>
      </w:r>
      <w:r w:rsidR="007B222F">
        <w:t>.</w:t>
      </w:r>
      <w:r w:rsidRPr="006945E5">
        <w:t>T</w:t>
      </w:r>
      <w:r w:rsidR="007B222F">
        <w:t>.</w:t>
      </w:r>
      <w:r w:rsidRPr="006945E5">
        <w:t>, Bustamante</w:t>
      </w:r>
      <w:r w:rsidR="007B222F">
        <w:t>,</w:t>
      </w:r>
      <w:r w:rsidRPr="006945E5">
        <w:t xml:space="preserve"> F</w:t>
      </w:r>
      <w:r w:rsidR="007B222F">
        <w:t>.</w:t>
      </w:r>
      <w:r w:rsidRPr="006945E5">
        <w:t>J</w:t>
      </w:r>
      <w:r w:rsidR="007B222F">
        <w:t>.</w:t>
      </w:r>
      <w:r w:rsidRPr="006945E5">
        <w:t>, Inarrairaegui</w:t>
      </w:r>
      <w:r w:rsidR="007B222F">
        <w:t xml:space="preserve">, </w:t>
      </w:r>
      <w:r w:rsidRPr="006945E5">
        <w:t>M</w:t>
      </w:r>
      <w:r w:rsidR="007B222F">
        <w:t>.</w:t>
      </w:r>
      <w:r w:rsidRPr="006945E5">
        <w:t>, Arenas</w:t>
      </w:r>
      <w:r w:rsidR="007B222F">
        <w:t>,</w:t>
      </w:r>
      <w:r w:rsidRPr="006945E5">
        <w:t xml:space="preserve"> J</w:t>
      </w:r>
      <w:r w:rsidR="007B222F">
        <w:t>.</w:t>
      </w:r>
      <w:r w:rsidRPr="006945E5">
        <w:t>I</w:t>
      </w:r>
      <w:r w:rsidR="007B222F">
        <w:t>.</w:t>
      </w:r>
      <w:r w:rsidRPr="006945E5">
        <w:t>, Testillano</w:t>
      </w:r>
      <w:r w:rsidR="007B222F">
        <w:t>,</w:t>
      </w:r>
      <w:r w:rsidRPr="006945E5">
        <w:t xml:space="preserve"> M</w:t>
      </w:r>
      <w:r w:rsidR="007B222F">
        <w:t>.</w:t>
      </w:r>
      <w:r w:rsidRPr="006945E5">
        <w:t>, et al. Neutrophil-to-lymphocyte ratio predicts survival in European patients with hepatocellular carcinoma administered sorafenib. Oncotarget 8(61)</w:t>
      </w:r>
      <w:r w:rsidR="009B141C">
        <w:t xml:space="preserve">, </w:t>
      </w:r>
      <w:r w:rsidRPr="006945E5">
        <w:t>103077-86</w:t>
      </w:r>
      <w:r w:rsidR="009B141C">
        <w:t xml:space="preserve"> (2017)</w:t>
      </w:r>
      <w:r w:rsidRPr="006945E5">
        <w:t>.</w:t>
      </w:r>
    </w:p>
    <w:p w:rsidR="006945E5" w:rsidRPr="006945E5" w:rsidRDefault="006945E5" w:rsidP="006945E5">
      <w:pPr>
        <w:pStyle w:val="EndNoteBibliography"/>
        <w:spacing w:after="0"/>
      </w:pPr>
      <w:r w:rsidRPr="006945E5">
        <w:t>6.</w:t>
      </w:r>
      <w:r w:rsidRPr="006945E5">
        <w:tab/>
        <w:t>Sullivan</w:t>
      </w:r>
      <w:r w:rsidR="007B222F">
        <w:t>,</w:t>
      </w:r>
      <w:r w:rsidRPr="006945E5">
        <w:t xml:space="preserve"> K</w:t>
      </w:r>
      <w:r w:rsidR="007B222F">
        <w:t>.</w:t>
      </w:r>
      <w:r w:rsidRPr="006945E5">
        <w:t>M</w:t>
      </w:r>
      <w:r w:rsidR="007B222F">
        <w:t>.</w:t>
      </w:r>
      <w:r w:rsidRPr="006945E5">
        <w:t>, Groeschl</w:t>
      </w:r>
      <w:r w:rsidR="007B222F">
        <w:t>,</w:t>
      </w:r>
      <w:r w:rsidRPr="006945E5">
        <w:t xml:space="preserve"> R</w:t>
      </w:r>
      <w:r w:rsidR="007B222F">
        <w:t>.</w:t>
      </w:r>
      <w:r w:rsidRPr="006945E5">
        <w:t>T</w:t>
      </w:r>
      <w:r w:rsidR="007B222F">
        <w:t>.</w:t>
      </w:r>
      <w:r w:rsidRPr="006945E5">
        <w:t>, Turaga</w:t>
      </w:r>
      <w:r w:rsidR="007B222F">
        <w:t>,</w:t>
      </w:r>
      <w:r w:rsidRPr="006945E5">
        <w:t xml:space="preserve"> K</w:t>
      </w:r>
      <w:r w:rsidR="007B222F">
        <w:t>.</w:t>
      </w:r>
      <w:r w:rsidRPr="006945E5">
        <w:t>K</w:t>
      </w:r>
      <w:r w:rsidR="007B222F">
        <w:t>.</w:t>
      </w:r>
      <w:r w:rsidRPr="006945E5">
        <w:t>, Tsai</w:t>
      </w:r>
      <w:r w:rsidR="007B222F">
        <w:t>,</w:t>
      </w:r>
      <w:r w:rsidRPr="006945E5">
        <w:t xml:space="preserve"> S</w:t>
      </w:r>
      <w:r w:rsidR="007B222F">
        <w:t>.</w:t>
      </w:r>
      <w:r w:rsidRPr="006945E5">
        <w:t>, Christians</w:t>
      </w:r>
      <w:r w:rsidR="007B222F">
        <w:t>,</w:t>
      </w:r>
      <w:r w:rsidRPr="006945E5">
        <w:t xml:space="preserve"> K</w:t>
      </w:r>
      <w:r w:rsidR="007B222F">
        <w:t>.</w:t>
      </w:r>
      <w:r w:rsidRPr="006945E5">
        <w:t>K</w:t>
      </w:r>
      <w:r w:rsidR="007B222F">
        <w:t>,</w:t>
      </w:r>
      <w:r w:rsidRPr="006945E5">
        <w:t>, White</w:t>
      </w:r>
      <w:r w:rsidR="007B222F">
        <w:t>,</w:t>
      </w:r>
      <w:r w:rsidRPr="006945E5">
        <w:t xml:space="preserve"> S</w:t>
      </w:r>
      <w:r w:rsidR="007B222F">
        <w:t>.</w:t>
      </w:r>
      <w:r w:rsidRPr="006945E5">
        <w:t>B</w:t>
      </w:r>
      <w:r w:rsidR="007B222F">
        <w:t>.</w:t>
      </w:r>
      <w:r w:rsidRPr="006945E5">
        <w:t>, et al. Neutrophil-to-lymphocyte ratio as a predictor of outcomes for patients with hepatocellular carcinoma: a Western perspective. J Surg Oncol 109(2)</w:t>
      </w:r>
      <w:r w:rsidR="009B141C">
        <w:t xml:space="preserve">, </w:t>
      </w:r>
      <w:r w:rsidRPr="006945E5">
        <w:t>95-7</w:t>
      </w:r>
      <w:r w:rsidR="009B141C">
        <w:t xml:space="preserve"> (2014)</w:t>
      </w:r>
      <w:r w:rsidRPr="006945E5">
        <w:t>.</w:t>
      </w:r>
    </w:p>
    <w:p w:rsidR="006945E5" w:rsidRPr="006945E5" w:rsidRDefault="006945E5" w:rsidP="006945E5">
      <w:pPr>
        <w:pStyle w:val="EndNoteBibliography"/>
        <w:spacing w:after="0"/>
      </w:pPr>
      <w:r w:rsidRPr="006945E5">
        <w:t>7.</w:t>
      </w:r>
      <w:r w:rsidRPr="006945E5">
        <w:tab/>
        <w:t>Qi</w:t>
      </w:r>
      <w:r w:rsidR="007B222F">
        <w:t>,</w:t>
      </w:r>
      <w:r w:rsidRPr="006945E5">
        <w:t xml:space="preserve"> X</w:t>
      </w:r>
      <w:r w:rsidR="007B222F">
        <w:t>,</w:t>
      </w:r>
      <w:r w:rsidRPr="006945E5">
        <w:t>, Li</w:t>
      </w:r>
      <w:r w:rsidR="007B222F">
        <w:t>,</w:t>
      </w:r>
      <w:r w:rsidRPr="006945E5">
        <w:t xml:space="preserve"> J</w:t>
      </w:r>
      <w:r w:rsidR="007B222F">
        <w:t>,</w:t>
      </w:r>
      <w:r w:rsidRPr="006945E5">
        <w:t>, Deng</w:t>
      </w:r>
      <w:r w:rsidR="007B222F">
        <w:t>,</w:t>
      </w:r>
      <w:r w:rsidRPr="006945E5">
        <w:t xml:space="preserve"> H</w:t>
      </w:r>
      <w:r w:rsidR="007B222F">
        <w:t>.</w:t>
      </w:r>
      <w:r w:rsidRPr="006945E5">
        <w:t>, Li</w:t>
      </w:r>
      <w:r w:rsidR="007B222F">
        <w:t>,</w:t>
      </w:r>
      <w:r w:rsidRPr="006945E5">
        <w:t xml:space="preserve"> H</w:t>
      </w:r>
      <w:r w:rsidR="007B222F">
        <w:t>.</w:t>
      </w:r>
      <w:r w:rsidRPr="006945E5">
        <w:t>, Su</w:t>
      </w:r>
      <w:r w:rsidR="007B222F">
        <w:t>,</w:t>
      </w:r>
      <w:r w:rsidRPr="006945E5">
        <w:t xml:space="preserve"> C</w:t>
      </w:r>
      <w:r w:rsidR="007B222F">
        <w:t>.</w:t>
      </w:r>
      <w:r w:rsidRPr="006945E5">
        <w:t>, Guo</w:t>
      </w:r>
      <w:r w:rsidR="007B222F">
        <w:t>,</w:t>
      </w:r>
      <w:r w:rsidRPr="006945E5">
        <w:t xml:space="preserve"> X. Neutrophil-to-lymphocyte ratio for the prognostic assessment of hepatocellular carcinoma: A systematic review and meta-analysis of observational studies. Oncotarget</w:t>
      </w:r>
      <w:r w:rsidR="009B141C">
        <w:t xml:space="preserve"> </w:t>
      </w:r>
      <w:r w:rsidRPr="006945E5">
        <w:t>7(29)</w:t>
      </w:r>
      <w:r w:rsidR="009B141C">
        <w:t xml:space="preserve">, </w:t>
      </w:r>
      <w:r w:rsidRPr="006945E5">
        <w:t>45283-301</w:t>
      </w:r>
      <w:r w:rsidR="009B141C">
        <w:t xml:space="preserve"> (2016)</w:t>
      </w:r>
      <w:r w:rsidRPr="006945E5">
        <w:t>.</w:t>
      </w:r>
    </w:p>
    <w:p w:rsidR="006945E5" w:rsidRPr="006945E5" w:rsidRDefault="006945E5" w:rsidP="006945E5">
      <w:pPr>
        <w:pStyle w:val="EndNoteBibliography"/>
        <w:spacing w:after="0"/>
      </w:pPr>
      <w:r w:rsidRPr="006945E5">
        <w:t>8.</w:t>
      </w:r>
      <w:r w:rsidRPr="006945E5">
        <w:tab/>
        <w:t>Bruix</w:t>
      </w:r>
      <w:r w:rsidR="007B222F">
        <w:t>,</w:t>
      </w:r>
      <w:r w:rsidRPr="006945E5">
        <w:t xml:space="preserve"> J</w:t>
      </w:r>
      <w:r w:rsidR="007B222F">
        <w:t>.</w:t>
      </w:r>
      <w:r w:rsidRPr="006945E5">
        <w:t>, Cheng</w:t>
      </w:r>
      <w:r w:rsidR="007B222F">
        <w:t>,</w:t>
      </w:r>
      <w:r w:rsidRPr="006945E5">
        <w:t xml:space="preserve"> A</w:t>
      </w:r>
      <w:r w:rsidR="007B222F">
        <w:t>.</w:t>
      </w:r>
      <w:r w:rsidRPr="006945E5">
        <w:t>L</w:t>
      </w:r>
      <w:r w:rsidR="007B222F">
        <w:t>.</w:t>
      </w:r>
      <w:r w:rsidRPr="006945E5">
        <w:t>, Meinhardt</w:t>
      </w:r>
      <w:r w:rsidR="007B222F">
        <w:t>,</w:t>
      </w:r>
      <w:r w:rsidRPr="006945E5">
        <w:t xml:space="preserve"> G</w:t>
      </w:r>
      <w:r w:rsidR="007B222F">
        <w:t>.</w:t>
      </w:r>
      <w:r w:rsidRPr="006945E5">
        <w:t>, Nakajima</w:t>
      </w:r>
      <w:r w:rsidR="007B222F">
        <w:t>,</w:t>
      </w:r>
      <w:r w:rsidRPr="006945E5">
        <w:t xml:space="preserve"> K</w:t>
      </w:r>
      <w:r w:rsidR="007B222F">
        <w:t>.</w:t>
      </w:r>
      <w:r w:rsidRPr="006945E5">
        <w:t>, De Sanctis</w:t>
      </w:r>
      <w:r w:rsidR="007B222F">
        <w:t>,</w:t>
      </w:r>
      <w:r w:rsidRPr="006945E5">
        <w:t xml:space="preserve"> Y</w:t>
      </w:r>
      <w:r w:rsidR="007B222F">
        <w:t>.</w:t>
      </w:r>
      <w:r w:rsidRPr="006945E5">
        <w:t>, Llovet</w:t>
      </w:r>
      <w:r w:rsidR="007B222F">
        <w:t>,</w:t>
      </w:r>
      <w:r w:rsidRPr="006945E5">
        <w:t xml:space="preserve"> J. Prognostic factors and predictors of sorafenib benefit in patients with hepatocellular carcinoma: Analysis of two phase III studies. J Hepatol 67(5)</w:t>
      </w:r>
      <w:r w:rsidR="009B141C">
        <w:t xml:space="preserve">, </w:t>
      </w:r>
      <w:r w:rsidRPr="006945E5">
        <w:t>999-1008</w:t>
      </w:r>
      <w:r w:rsidR="009B141C">
        <w:t xml:space="preserve"> (2017)</w:t>
      </w:r>
      <w:r w:rsidRPr="006945E5">
        <w:t>.</w:t>
      </w:r>
    </w:p>
    <w:p w:rsidR="006945E5" w:rsidRPr="006945E5" w:rsidRDefault="006945E5" w:rsidP="006945E5">
      <w:pPr>
        <w:pStyle w:val="EndNoteBibliography"/>
        <w:spacing w:after="0"/>
      </w:pPr>
      <w:r w:rsidRPr="006945E5">
        <w:t>9.</w:t>
      </w:r>
      <w:r w:rsidRPr="006945E5">
        <w:tab/>
        <w:t>Forget</w:t>
      </w:r>
      <w:r w:rsidR="007B222F">
        <w:t>,</w:t>
      </w:r>
      <w:r w:rsidRPr="006945E5">
        <w:t xml:space="preserve"> P</w:t>
      </w:r>
      <w:r w:rsidR="007B222F">
        <w:t>.</w:t>
      </w:r>
      <w:r w:rsidRPr="006945E5">
        <w:t>, Khalifa</w:t>
      </w:r>
      <w:r w:rsidR="007B222F">
        <w:t>,</w:t>
      </w:r>
      <w:r w:rsidRPr="006945E5">
        <w:t xml:space="preserve"> C</w:t>
      </w:r>
      <w:r w:rsidR="007B222F">
        <w:t>.</w:t>
      </w:r>
      <w:r w:rsidRPr="006945E5">
        <w:t>, Defour</w:t>
      </w:r>
      <w:r w:rsidR="007B222F">
        <w:t>,</w:t>
      </w:r>
      <w:r w:rsidRPr="006945E5">
        <w:t xml:space="preserve"> J</w:t>
      </w:r>
      <w:r w:rsidR="007B222F">
        <w:t>.</w:t>
      </w:r>
      <w:r w:rsidRPr="006945E5">
        <w:t>P</w:t>
      </w:r>
      <w:r w:rsidR="007B222F">
        <w:t>.</w:t>
      </w:r>
      <w:r w:rsidRPr="006945E5">
        <w:t>, Latinne</w:t>
      </w:r>
      <w:r w:rsidR="007B222F">
        <w:t>,</w:t>
      </w:r>
      <w:r w:rsidRPr="006945E5">
        <w:t xml:space="preserve"> D</w:t>
      </w:r>
      <w:r w:rsidR="007B222F">
        <w:t>.</w:t>
      </w:r>
      <w:r w:rsidRPr="006945E5">
        <w:t>, Van Pel</w:t>
      </w:r>
      <w:r w:rsidR="007B222F">
        <w:t>,</w:t>
      </w:r>
      <w:r w:rsidRPr="006945E5">
        <w:t xml:space="preserve"> M</w:t>
      </w:r>
      <w:r w:rsidR="007B222F">
        <w:t>.</w:t>
      </w:r>
      <w:r w:rsidRPr="006945E5">
        <w:t>C</w:t>
      </w:r>
      <w:r w:rsidR="007B222F">
        <w:t>.</w:t>
      </w:r>
      <w:r w:rsidRPr="006945E5">
        <w:t>, De Kock</w:t>
      </w:r>
      <w:r w:rsidR="007B222F">
        <w:t>,</w:t>
      </w:r>
      <w:r w:rsidRPr="006945E5">
        <w:t xml:space="preserve"> M. What is the normal value of the neutrophil-to-</w:t>
      </w:r>
      <w:r w:rsidR="009B141C">
        <w:t>lymphocyte ratio? BMC Res Notes</w:t>
      </w:r>
      <w:r w:rsidRPr="006945E5">
        <w:t xml:space="preserve"> 10(1)</w:t>
      </w:r>
      <w:r w:rsidR="009B141C">
        <w:t xml:space="preserve">, </w:t>
      </w:r>
      <w:r w:rsidRPr="006945E5">
        <w:t>12</w:t>
      </w:r>
      <w:r w:rsidR="009B141C">
        <w:t xml:space="preserve"> (2017)</w:t>
      </w:r>
      <w:r w:rsidRPr="006945E5">
        <w:t>.</w:t>
      </w:r>
    </w:p>
    <w:p w:rsidR="006945E5" w:rsidRPr="006945E5" w:rsidRDefault="006945E5" w:rsidP="006945E5">
      <w:pPr>
        <w:pStyle w:val="EndNoteBibliography"/>
      </w:pPr>
      <w:r w:rsidRPr="006945E5">
        <w:t>10.</w:t>
      </w:r>
      <w:r w:rsidRPr="006945E5">
        <w:tab/>
        <w:t>Vano</w:t>
      </w:r>
      <w:r w:rsidR="007B222F">
        <w:t>,</w:t>
      </w:r>
      <w:r w:rsidRPr="006945E5">
        <w:t xml:space="preserve"> Y</w:t>
      </w:r>
      <w:r w:rsidR="007B222F">
        <w:t>.</w:t>
      </w:r>
      <w:r w:rsidRPr="006945E5">
        <w:t>A</w:t>
      </w:r>
      <w:r w:rsidR="007B222F">
        <w:t>.</w:t>
      </w:r>
      <w:r w:rsidRPr="006945E5">
        <w:t>, Oudard</w:t>
      </w:r>
      <w:r w:rsidR="007B222F">
        <w:t>,</w:t>
      </w:r>
      <w:r w:rsidRPr="006945E5">
        <w:t xml:space="preserve"> S</w:t>
      </w:r>
      <w:r w:rsidR="007B222F">
        <w:t>.</w:t>
      </w:r>
      <w:r w:rsidRPr="006945E5">
        <w:t>, By</w:t>
      </w:r>
      <w:r w:rsidR="007B222F">
        <w:t>,</w:t>
      </w:r>
      <w:r w:rsidRPr="006945E5">
        <w:t xml:space="preserve"> M</w:t>
      </w:r>
      <w:r w:rsidR="007B222F">
        <w:t>.</w:t>
      </w:r>
      <w:r w:rsidRPr="006945E5">
        <w:t>A</w:t>
      </w:r>
      <w:r w:rsidR="007B222F">
        <w:t>.</w:t>
      </w:r>
      <w:r w:rsidRPr="006945E5">
        <w:t>, Tetu</w:t>
      </w:r>
      <w:r w:rsidR="007B222F">
        <w:t>,</w:t>
      </w:r>
      <w:r w:rsidRPr="006945E5">
        <w:t xml:space="preserve"> P</w:t>
      </w:r>
      <w:r w:rsidR="007B222F">
        <w:t>.</w:t>
      </w:r>
      <w:r w:rsidRPr="006945E5">
        <w:t>, Thibault</w:t>
      </w:r>
      <w:r w:rsidR="007B222F">
        <w:t>,</w:t>
      </w:r>
      <w:r w:rsidRPr="006945E5">
        <w:t xml:space="preserve"> C</w:t>
      </w:r>
      <w:r w:rsidR="007B222F">
        <w:t>.</w:t>
      </w:r>
      <w:r w:rsidRPr="006945E5">
        <w:t>, Aboudagga</w:t>
      </w:r>
      <w:r w:rsidR="007B222F">
        <w:t>,</w:t>
      </w:r>
      <w:r w:rsidRPr="006945E5">
        <w:t xml:space="preserve"> H</w:t>
      </w:r>
      <w:r w:rsidR="007B222F">
        <w:t>.</w:t>
      </w:r>
      <w:r w:rsidRPr="006945E5">
        <w:t>, et al. Optimal cut-off for neutrophil-to-lymphocyte ratio: Fact or Fantasy? A prospective cohort study in metastatic cancer patients. PLoS One 13(4)</w:t>
      </w:r>
      <w:r w:rsidR="009B141C">
        <w:t xml:space="preserve">, </w:t>
      </w:r>
      <w:r w:rsidRPr="006945E5">
        <w:t>e0195042</w:t>
      </w:r>
      <w:r w:rsidR="009B141C">
        <w:t xml:space="preserve"> (2018)</w:t>
      </w:r>
      <w:r w:rsidRPr="006945E5">
        <w:t>.</w:t>
      </w:r>
    </w:p>
    <w:p w:rsidR="00360F3D" w:rsidRDefault="00AE5189">
      <w:pPr>
        <w:rPr>
          <w:rFonts w:ascii="Times New Roman" w:hAnsi="Times New Roman" w:cs="Times New Roman"/>
          <w:b/>
          <w:color w:val="FF0000"/>
          <w:sz w:val="24"/>
          <w:szCs w:val="24"/>
        </w:rPr>
      </w:pPr>
      <w:r w:rsidRPr="001C2738">
        <w:rPr>
          <w:rFonts w:ascii="Times New Roman" w:hAnsi="Times New Roman" w:cs="Times New Roman"/>
          <w:b/>
          <w:color w:val="FF0000"/>
          <w:sz w:val="24"/>
          <w:szCs w:val="24"/>
        </w:rPr>
        <w:fldChar w:fldCharType="end"/>
      </w:r>
    </w:p>
    <w:p w:rsidR="00535E43" w:rsidRDefault="00535E43">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r>
    </w:p>
    <w:p w:rsidR="00535E43" w:rsidRDefault="00535E43">
      <w:pPr>
        <w:spacing w:after="160" w:line="259"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535E43" w:rsidRPr="00FA2D22" w:rsidRDefault="00535E43">
      <w:pPr>
        <w:spacing w:after="160" w:line="259" w:lineRule="auto"/>
        <w:rPr>
          <w:rFonts w:ascii="Times New Roman" w:hAnsi="Times New Roman" w:cs="Times New Roman"/>
          <w:b/>
          <w:sz w:val="24"/>
          <w:szCs w:val="24"/>
        </w:rPr>
      </w:pPr>
      <w:r w:rsidRPr="00FA2D22">
        <w:rPr>
          <w:rFonts w:ascii="Times New Roman" w:hAnsi="Times New Roman" w:cs="Times New Roman"/>
          <w:b/>
          <w:sz w:val="24"/>
          <w:szCs w:val="24"/>
        </w:rPr>
        <w:lastRenderedPageBreak/>
        <w:t>Legends to figures.</w:t>
      </w:r>
    </w:p>
    <w:p w:rsidR="00535E43" w:rsidRPr="00FA2D22" w:rsidRDefault="00535E43">
      <w:pPr>
        <w:spacing w:after="160" w:line="259" w:lineRule="auto"/>
        <w:rPr>
          <w:rFonts w:ascii="Times New Roman" w:hAnsi="Times New Roman" w:cs="Times New Roman"/>
          <w:b/>
          <w:sz w:val="24"/>
          <w:szCs w:val="24"/>
        </w:rPr>
      </w:pPr>
    </w:p>
    <w:p w:rsidR="00535E43" w:rsidRDefault="009B6015">
      <w:pPr>
        <w:spacing w:after="160" w:line="259" w:lineRule="auto"/>
        <w:rPr>
          <w:rFonts w:ascii="Times New Roman" w:hAnsi="Times New Roman" w:cs="Times New Roman"/>
          <w:b/>
          <w:sz w:val="24"/>
          <w:szCs w:val="24"/>
        </w:rPr>
      </w:pPr>
      <w:r w:rsidRPr="00FA2D22">
        <w:rPr>
          <w:rFonts w:ascii="Times New Roman" w:hAnsi="Times New Roman" w:cs="Times New Roman"/>
          <w:b/>
          <w:sz w:val="24"/>
          <w:szCs w:val="24"/>
        </w:rPr>
        <w:t xml:space="preserve">Figure 1.  Kaplan- Meier survival curves according to median ln(NLR) among HCC patients. NLR categories generated by applying cut-off at the median. </w:t>
      </w: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rsidP="00474FF6">
      <w:pPr>
        <w:spacing w:after="0" w:line="480" w:lineRule="auto"/>
        <w:jc w:val="both"/>
        <w:rPr>
          <w:rFonts w:ascii="Times New Roman" w:hAnsi="Times New Roman" w:cs="Times New Roman"/>
          <w:sz w:val="24"/>
          <w:szCs w:val="24"/>
        </w:rPr>
      </w:pPr>
    </w:p>
    <w:p w:rsidR="00474FF6" w:rsidRDefault="00474FF6" w:rsidP="00474F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1.</w:t>
      </w:r>
    </w:p>
    <w:p w:rsidR="00474FF6" w:rsidRDefault="00474FF6" w:rsidP="00474FF6">
      <w:r w:rsidRPr="008F36F4">
        <w:rPr>
          <w:noProof/>
          <w:lang w:eastAsia="en-GB"/>
        </w:rPr>
        <w:drawing>
          <wp:inline distT="0" distB="0" distL="0" distR="0" wp14:anchorId="2DDA3AB3" wp14:editId="280AB2F4">
            <wp:extent cx="6137028" cy="4351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35" t="3462" r="1490" b="3259"/>
                    <a:stretch/>
                  </pic:blipFill>
                  <pic:spPr bwMode="auto">
                    <a:xfrm>
                      <a:off x="0" y="0"/>
                      <a:ext cx="6139075" cy="435247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6658" w:type="dxa"/>
        <w:tblInd w:w="1220" w:type="dxa"/>
        <w:tblLook w:val="04A0" w:firstRow="1" w:lastRow="0" w:firstColumn="1" w:lastColumn="0" w:noHBand="0" w:noVBand="1"/>
      </w:tblPr>
      <w:tblGrid>
        <w:gridCol w:w="1273"/>
        <w:gridCol w:w="677"/>
        <w:gridCol w:w="4708"/>
      </w:tblGrid>
      <w:tr w:rsidR="00474FF6" w:rsidRPr="008A6CE6" w:rsidTr="00982155">
        <w:trPr>
          <w:trHeight w:val="379"/>
        </w:trPr>
        <w:tc>
          <w:tcPr>
            <w:tcW w:w="0" w:type="auto"/>
            <w:vAlign w:val="center"/>
            <w:hideMark/>
          </w:tcPr>
          <w:p w:rsidR="00474FF6" w:rsidRPr="008A6CE6" w:rsidRDefault="00474FF6" w:rsidP="00982155">
            <w:pPr>
              <w:rPr>
                <w:rFonts w:ascii="Times New Roman" w:eastAsia="Times New Roman" w:hAnsi="Times New Roman" w:cs="Times New Roman"/>
                <w:b/>
                <w:bCs/>
                <w:sz w:val="24"/>
                <w:szCs w:val="24"/>
                <w:lang w:eastAsia="en-GB"/>
              </w:rPr>
            </w:pPr>
            <w:r w:rsidRPr="008A6CE6">
              <w:rPr>
                <w:rFonts w:ascii="Times New Roman" w:eastAsia="Times New Roman" w:hAnsi="Times New Roman" w:cs="Times New Roman"/>
                <w:b/>
                <w:bCs/>
                <w:sz w:val="24"/>
                <w:szCs w:val="24"/>
                <w:lang w:eastAsia="en-GB"/>
              </w:rPr>
              <w:t>ln(NLR)</w:t>
            </w:r>
          </w:p>
        </w:tc>
        <w:tc>
          <w:tcPr>
            <w:tcW w:w="0" w:type="auto"/>
            <w:vAlign w:val="center"/>
            <w:hideMark/>
          </w:tcPr>
          <w:p w:rsidR="00474FF6" w:rsidRPr="008A6CE6" w:rsidRDefault="00474FF6" w:rsidP="00982155">
            <w:pPr>
              <w:jc w:val="center"/>
              <w:rPr>
                <w:rFonts w:ascii="Times New Roman" w:eastAsia="Times New Roman" w:hAnsi="Times New Roman" w:cs="Times New Roman"/>
                <w:b/>
                <w:bCs/>
                <w:sz w:val="24"/>
                <w:szCs w:val="24"/>
                <w:lang w:eastAsia="en-GB"/>
              </w:rPr>
            </w:pPr>
            <w:r w:rsidRPr="008A6CE6">
              <w:rPr>
                <w:rFonts w:ascii="Times New Roman" w:eastAsia="Times New Roman" w:hAnsi="Times New Roman" w:cs="Times New Roman"/>
                <w:b/>
                <w:bCs/>
                <w:sz w:val="24"/>
                <w:szCs w:val="24"/>
                <w:lang w:eastAsia="en-GB"/>
              </w:rPr>
              <w:t>N</w:t>
            </w:r>
          </w:p>
        </w:tc>
        <w:tc>
          <w:tcPr>
            <w:tcW w:w="4708" w:type="dxa"/>
            <w:vAlign w:val="center"/>
            <w:hideMark/>
          </w:tcPr>
          <w:p w:rsidR="00474FF6" w:rsidRPr="008A6CE6" w:rsidRDefault="00474FF6" w:rsidP="00982155">
            <w:pPr>
              <w:jc w:val="center"/>
              <w:rPr>
                <w:rFonts w:ascii="Times New Roman" w:eastAsia="Times New Roman" w:hAnsi="Times New Roman" w:cs="Times New Roman"/>
                <w:b/>
                <w:bCs/>
                <w:sz w:val="24"/>
                <w:szCs w:val="24"/>
                <w:lang w:eastAsia="en-GB"/>
              </w:rPr>
            </w:pPr>
            <w:r w:rsidRPr="008A6CE6">
              <w:rPr>
                <w:rFonts w:ascii="Times New Roman" w:hAnsi="Times New Roman" w:cs="Times New Roman"/>
                <w:b/>
                <w:bCs/>
                <w:sz w:val="24"/>
                <w:szCs w:val="24"/>
              </w:rPr>
              <w:t>Median overall survival, months (95% CI)</w:t>
            </w:r>
          </w:p>
        </w:tc>
      </w:tr>
      <w:tr w:rsidR="00474FF6" w:rsidRPr="008A6CE6" w:rsidTr="00982155">
        <w:trPr>
          <w:trHeight w:val="379"/>
        </w:trPr>
        <w:tc>
          <w:tcPr>
            <w:tcW w:w="0" w:type="auto"/>
            <w:vAlign w:val="center"/>
            <w:hideMark/>
          </w:tcPr>
          <w:p w:rsidR="00474FF6" w:rsidRPr="008A6CE6" w:rsidRDefault="00474FF6" w:rsidP="0098215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1.02</w:t>
            </w:r>
          </w:p>
        </w:tc>
        <w:tc>
          <w:tcPr>
            <w:tcW w:w="0" w:type="auto"/>
            <w:vAlign w:val="center"/>
            <w:hideMark/>
          </w:tcPr>
          <w:p w:rsidR="00474FF6" w:rsidRPr="008A6CE6" w:rsidRDefault="00474FF6" w:rsidP="00982155">
            <w:pPr>
              <w:jc w:val="center"/>
              <w:rPr>
                <w:rFonts w:ascii="Times New Roman" w:eastAsia="Times New Roman" w:hAnsi="Times New Roman" w:cs="Times New Roman"/>
                <w:sz w:val="24"/>
                <w:szCs w:val="24"/>
                <w:lang w:eastAsia="en-GB"/>
              </w:rPr>
            </w:pPr>
            <w:r w:rsidRPr="008A6CE6">
              <w:rPr>
                <w:rFonts w:ascii="Times New Roman" w:eastAsia="Times New Roman" w:hAnsi="Times New Roman" w:cs="Times New Roman"/>
                <w:sz w:val="24"/>
                <w:szCs w:val="24"/>
                <w:lang w:eastAsia="en-GB"/>
              </w:rPr>
              <w:t>247</w:t>
            </w:r>
          </w:p>
        </w:tc>
        <w:tc>
          <w:tcPr>
            <w:tcW w:w="4708" w:type="dxa"/>
            <w:vAlign w:val="center"/>
            <w:hideMark/>
          </w:tcPr>
          <w:p w:rsidR="00474FF6" w:rsidRPr="008A6CE6" w:rsidRDefault="00474FF6" w:rsidP="00982155">
            <w:pPr>
              <w:jc w:val="center"/>
              <w:rPr>
                <w:rFonts w:ascii="Times New Roman" w:eastAsia="Times New Roman" w:hAnsi="Times New Roman" w:cs="Times New Roman"/>
                <w:sz w:val="24"/>
                <w:szCs w:val="24"/>
                <w:lang w:eastAsia="en-GB"/>
              </w:rPr>
            </w:pPr>
            <w:r w:rsidRPr="008A6CE6">
              <w:rPr>
                <w:rFonts w:ascii="Times New Roman" w:eastAsia="Times New Roman" w:hAnsi="Times New Roman" w:cs="Times New Roman"/>
                <w:sz w:val="24"/>
                <w:szCs w:val="24"/>
                <w:lang w:eastAsia="en-GB"/>
              </w:rPr>
              <w:t>17.40</w:t>
            </w:r>
            <w:r>
              <w:rPr>
                <w:rFonts w:ascii="Times New Roman" w:eastAsia="Times New Roman" w:hAnsi="Times New Roman" w:cs="Times New Roman"/>
                <w:sz w:val="24"/>
                <w:szCs w:val="24"/>
                <w:lang w:eastAsia="en-GB"/>
              </w:rPr>
              <w:t xml:space="preserve"> (14.44, 22.37)</w:t>
            </w:r>
          </w:p>
        </w:tc>
      </w:tr>
      <w:tr w:rsidR="00474FF6" w:rsidRPr="008A6CE6" w:rsidTr="00982155">
        <w:trPr>
          <w:trHeight w:val="363"/>
        </w:trPr>
        <w:tc>
          <w:tcPr>
            <w:tcW w:w="0" w:type="auto"/>
            <w:vAlign w:val="center"/>
            <w:hideMark/>
          </w:tcPr>
          <w:p w:rsidR="00474FF6" w:rsidRPr="00AC0F65" w:rsidRDefault="00474FF6" w:rsidP="0098215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 1.02</w:t>
            </w:r>
          </w:p>
        </w:tc>
        <w:tc>
          <w:tcPr>
            <w:tcW w:w="0" w:type="auto"/>
            <w:vAlign w:val="center"/>
            <w:hideMark/>
          </w:tcPr>
          <w:p w:rsidR="00474FF6" w:rsidRPr="008A6CE6" w:rsidRDefault="00474FF6" w:rsidP="00982155">
            <w:pPr>
              <w:jc w:val="center"/>
              <w:rPr>
                <w:rFonts w:ascii="Times New Roman" w:eastAsia="Times New Roman" w:hAnsi="Times New Roman" w:cs="Times New Roman"/>
                <w:sz w:val="24"/>
                <w:szCs w:val="24"/>
                <w:lang w:eastAsia="en-GB"/>
              </w:rPr>
            </w:pPr>
            <w:r w:rsidRPr="008A6CE6">
              <w:rPr>
                <w:rFonts w:ascii="Times New Roman" w:eastAsia="Times New Roman" w:hAnsi="Times New Roman" w:cs="Times New Roman"/>
                <w:sz w:val="24"/>
                <w:szCs w:val="24"/>
                <w:lang w:eastAsia="en-GB"/>
              </w:rPr>
              <w:t>246</w:t>
            </w:r>
          </w:p>
        </w:tc>
        <w:tc>
          <w:tcPr>
            <w:tcW w:w="4708" w:type="dxa"/>
            <w:vAlign w:val="center"/>
            <w:hideMark/>
          </w:tcPr>
          <w:p w:rsidR="00474FF6" w:rsidRPr="008A6CE6" w:rsidRDefault="00474FF6" w:rsidP="00982155">
            <w:pPr>
              <w:jc w:val="center"/>
              <w:rPr>
                <w:rFonts w:ascii="Times New Roman" w:eastAsia="Times New Roman" w:hAnsi="Times New Roman" w:cs="Times New Roman"/>
                <w:sz w:val="24"/>
                <w:szCs w:val="24"/>
                <w:lang w:eastAsia="en-GB"/>
              </w:rPr>
            </w:pPr>
            <w:r w:rsidRPr="008A6CE6">
              <w:rPr>
                <w:rFonts w:ascii="Times New Roman" w:eastAsia="Times New Roman" w:hAnsi="Times New Roman" w:cs="Times New Roman"/>
                <w:sz w:val="24"/>
                <w:szCs w:val="24"/>
                <w:lang w:eastAsia="en-GB"/>
              </w:rPr>
              <w:t>7.5</w:t>
            </w:r>
            <w:r>
              <w:rPr>
                <w:rFonts w:ascii="Times New Roman" w:eastAsia="Times New Roman" w:hAnsi="Times New Roman" w:cs="Times New Roman"/>
                <w:sz w:val="24"/>
                <w:szCs w:val="24"/>
                <w:lang w:eastAsia="en-GB"/>
              </w:rPr>
              <w:t>7 (6.18, 9.44)</w:t>
            </w:r>
          </w:p>
        </w:tc>
      </w:tr>
    </w:tbl>
    <w:p w:rsidR="00474FF6" w:rsidRDefault="00474FF6" w:rsidP="00474FF6">
      <w:pPr>
        <w:rPr>
          <w:rFonts w:ascii="Times New Roman" w:hAnsi="Times New Roman" w:cs="Times New Roman"/>
          <w:sz w:val="24"/>
          <w:szCs w:val="24"/>
        </w:rPr>
      </w:pPr>
      <w:r>
        <w:rPr>
          <w:rFonts w:ascii="Times New Roman" w:hAnsi="Times New Roman" w:cs="Times New Roman"/>
          <w:sz w:val="24"/>
          <w:szCs w:val="24"/>
        </w:rPr>
        <w:t xml:space="preserve"> </w:t>
      </w:r>
    </w:p>
    <w:p w:rsidR="00474FF6" w:rsidRPr="006620FF" w:rsidRDefault="00474FF6" w:rsidP="00474FF6">
      <w:pPr>
        <w:rPr>
          <w:rFonts w:ascii="Times New Roman" w:hAnsi="Times New Roman" w:cs="Times New Roman"/>
          <w:b/>
          <w:sz w:val="24"/>
          <w:szCs w:val="24"/>
        </w:rPr>
      </w:pPr>
    </w:p>
    <w:p w:rsidR="00474FF6" w:rsidRDefault="00474FF6" w:rsidP="00474FF6"/>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sz w:val="24"/>
          <w:szCs w:val="24"/>
        </w:rPr>
      </w:pPr>
    </w:p>
    <w:p w:rsidR="00474FF6" w:rsidRDefault="00474FF6">
      <w:pPr>
        <w:spacing w:after="160" w:line="259" w:lineRule="auto"/>
        <w:rPr>
          <w:rFonts w:ascii="Times New Roman" w:hAnsi="Times New Roman" w:cs="Times New Roman"/>
          <w:b/>
          <w:color w:val="FF0000"/>
          <w:sz w:val="24"/>
          <w:szCs w:val="24"/>
        </w:rPr>
      </w:pPr>
    </w:p>
    <w:sectPr w:rsidR="00474FF6" w:rsidSect="008B455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D2" w:rsidRDefault="008005D2" w:rsidP="008B4554">
      <w:pPr>
        <w:spacing w:after="0" w:line="240" w:lineRule="auto"/>
      </w:pPr>
      <w:r>
        <w:separator/>
      </w:r>
    </w:p>
  </w:endnote>
  <w:endnote w:type="continuationSeparator" w:id="0">
    <w:p w:rsidR="008005D2" w:rsidRDefault="008005D2" w:rsidP="008B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268565"/>
      <w:docPartObj>
        <w:docPartGallery w:val="Page Numbers (Bottom of Page)"/>
        <w:docPartUnique/>
      </w:docPartObj>
    </w:sdtPr>
    <w:sdtEndPr>
      <w:rPr>
        <w:noProof/>
      </w:rPr>
    </w:sdtEndPr>
    <w:sdtContent>
      <w:p w:rsidR="004134EF" w:rsidRDefault="004134EF">
        <w:pPr>
          <w:pStyle w:val="Footer"/>
          <w:jc w:val="center"/>
        </w:pPr>
        <w:r>
          <w:fldChar w:fldCharType="begin"/>
        </w:r>
        <w:r>
          <w:instrText xml:space="preserve"> PAGE   \* MERGEFORMAT </w:instrText>
        </w:r>
        <w:r>
          <w:fldChar w:fldCharType="separate"/>
        </w:r>
        <w:r w:rsidR="00200AE0">
          <w:rPr>
            <w:noProof/>
          </w:rPr>
          <w:t>2</w:t>
        </w:r>
        <w:r>
          <w:rPr>
            <w:noProof/>
          </w:rPr>
          <w:fldChar w:fldCharType="end"/>
        </w:r>
      </w:p>
    </w:sdtContent>
  </w:sdt>
  <w:p w:rsidR="004134EF" w:rsidRDefault="00413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D2" w:rsidRDefault="008005D2" w:rsidP="008B4554">
      <w:pPr>
        <w:spacing w:after="0" w:line="240" w:lineRule="auto"/>
      </w:pPr>
      <w:r>
        <w:separator/>
      </w:r>
    </w:p>
  </w:footnote>
  <w:footnote w:type="continuationSeparator" w:id="0">
    <w:p w:rsidR="008005D2" w:rsidRDefault="008005D2" w:rsidP="008B4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td0apegwxrs7etvxf5dw9gdp5srw0vwted&quot;&gt;Endnote&lt;record-ids&gt;&lt;item&gt;3065&lt;/item&gt;&lt;item&gt;4010&lt;/item&gt;&lt;item&gt;4250&lt;/item&gt;&lt;item&gt;4282&lt;/item&gt;&lt;item&gt;4297&lt;/item&gt;&lt;item&gt;4299&lt;/item&gt;&lt;item&gt;4357&lt;/item&gt;&lt;item&gt;4359&lt;/item&gt;&lt;item&gt;4439&lt;/item&gt;&lt;item&gt;4460&lt;/item&gt;&lt;/record-ids&gt;&lt;/item&gt;&lt;/Libraries&gt;"/>
  </w:docVars>
  <w:rsids>
    <w:rsidRoot w:val="003111D5"/>
    <w:rsid w:val="00024269"/>
    <w:rsid w:val="00057525"/>
    <w:rsid w:val="00057F9E"/>
    <w:rsid w:val="00087CBC"/>
    <w:rsid w:val="00095C48"/>
    <w:rsid w:val="000A23B9"/>
    <w:rsid w:val="000A4653"/>
    <w:rsid w:val="000B5108"/>
    <w:rsid w:val="00105C71"/>
    <w:rsid w:val="001532E5"/>
    <w:rsid w:val="0018584E"/>
    <w:rsid w:val="001A71F7"/>
    <w:rsid w:val="001C17AD"/>
    <w:rsid w:val="001D1FAE"/>
    <w:rsid w:val="001F0237"/>
    <w:rsid w:val="00200AE0"/>
    <w:rsid w:val="00212433"/>
    <w:rsid w:val="00260FED"/>
    <w:rsid w:val="002A1F7A"/>
    <w:rsid w:val="002B3A47"/>
    <w:rsid w:val="002B7872"/>
    <w:rsid w:val="002E5652"/>
    <w:rsid w:val="003111D5"/>
    <w:rsid w:val="00315465"/>
    <w:rsid w:val="00316419"/>
    <w:rsid w:val="003262BA"/>
    <w:rsid w:val="00354A8B"/>
    <w:rsid w:val="00360F3D"/>
    <w:rsid w:val="00362BF6"/>
    <w:rsid w:val="003702C9"/>
    <w:rsid w:val="00377C43"/>
    <w:rsid w:val="003B6D59"/>
    <w:rsid w:val="004134EF"/>
    <w:rsid w:val="00435F52"/>
    <w:rsid w:val="00456702"/>
    <w:rsid w:val="00474FF6"/>
    <w:rsid w:val="004873E3"/>
    <w:rsid w:val="00492200"/>
    <w:rsid w:val="004B6619"/>
    <w:rsid w:val="004C023D"/>
    <w:rsid w:val="004E228D"/>
    <w:rsid w:val="00512C17"/>
    <w:rsid w:val="00535E43"/>
    <w:rsid w:val="00546ECE"/>
    <w:rsid w:val="00562640"/>
    <w:rsid w:val="005A040B"/>
    <w:rsid w:val="005A1157"/>
    <w:rsid w:val="005B5834"/>
    <w:rsid w:val="005C4BBE"/>
    <w:rsid w:val="005F462E"/>
    <w:rsid w:val="00604069"/>
    <w:rsid w:val="0061014A"/>
    <w:rsid w:val="0063112C"/>
    <w:rsid w:val="006370A4"/>
    <w:rsid w:val="00654737"/>
    <w:rsid w:val="00676A9B"/>
    <w:rsid w:val="006945E5"/>
    <w:rsid w:val="006B2C16"/>
    <w:rsid w:val="006C36A4"/>
    <w:rsid w:val="007035C0"/>
    <w:rsid w:val="0079309B"/>
    <w:rsid w:val="007939E8"/>
    <w:rsid w:val="007B222F"/>
    <w:rsid w:val="007D0663"/>
    <w:rsid w:val="007E31AE"/>
    <w:rsid w:val="008005D2"/>
    <w:rsid w:val="0082291A"/>
    <w:rsid w:val="00864E03"/>
    <w:rsid w:val="00876D9F"/>
    <w:rsid w:val="008B4554"/>
    <w:rsid w:val="008E40C6"/>
    <w:rsid w:val="0090313F"/>
    <w:rsid w:val="00986BAA"/>
    <w:rsid w:val="00996B47"/>
    <w:rsid w:val="009A69EA"/>
    <w:rsid w:val="009A6FC9"/>
    <w:rsid w:val="009B141C"/>
    <w:rsid w:val="009B6015"/>
    <w:rsid w:val="009B6735"/>
    <w:rsid w:val="009C5AB1"/>
    <w:rsid w:val="009C772D"/>
    <w:rsid w:val="00A23758"/>
    <w:rsid w:val="00A24411"/>
    <w:rsid w:val="00AA3953"/>
    <w:rsid w:val="00AB7ACE"/>
    <w:rsid w:val="00AE5189"/>
    <w:rsid w:val="00B001EA"/>
    <w:rsid w:val="00B4101F"/>
    <w:rsid w:val="00B5090E"/>
    <w:rsid w:val="00B81A53"/>
    <w:rsid w:val="00BD18C7"/>
    <w:rsid w:val="00C006C2"/>
    <w:rsid w:val="00C14226"/>
    <w:rsid w:val="00C306E9"/>
    <w:rsid w:val="00C54677"/>
    <w:rsid w:val="00C629C3"/>
    <w:rsid w:val="00C62D29"/>
    <w:rsid w:val="00C65DBA"/>
    <w:rsid w:val="00CA0524"/>
    <w:rsid w:val="00CC0ED9"/>
    <w:rsid w:val="00CD19EA"/>
    <w:rsid w:val="00CD3A39"/>
    <w:rsid w:val="00CF2A9E"/>
    <w:rsid w:val="00D030FC"/>
    <w:rsid w:val="00D24B96"/>
    <w:rsid w:val="00D357F6"/>
    <w:rsid w:val="00D533A1"/>
    <w:rsid w:val="00D82FC7"/>
    <w:rsid w:val="00D919D9"/>
    <w:rsid w:val="00DC4023"/>
    <w:rsid w:val="00E16C92"/>
    <w:rsid w:val="00E1789B"/>
    <w:rsid w:val="00E23A62"/>
    <w:rsid w:val="00E4040C"/>
    <w:rsid w:val="00ED6233"/>
    <w:rsid w:val="00EF21E3"/>
    <w:rsid w:val="00F17C42"/>
    <w:rsid w:val="00F515EF"/>
    <w:rsid w:val="00F564C1"/>
    <w:rsid w:val="00F57E02"/>
    <w:rsid w:val="00F63DF6"/>
    <w:rsid w:val="00F805D7"/>
    <w:rsid w:val="00FA2D22"/>
    <w:rsid w:val="00FA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49DE"/>
  <w15:chartTrackingRefBased/>
  <w15:docId w15:val="{DBC853C9-F8E9-4879-B868-D26AEDB1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11D5"/>
    <w:rPr>
      <w:color w:val="0563C1" w:themeColor="hyperlink"/>
      <w:u w:val="single"/>
    </w:rPr>
  </w:style>
  <w:style w:type="paragraph" w:customStyle="1" w:styleId="EndNoteBibliography">
    <w:name w:val="EndNote Bibliography"/>
    <w:basedOn w:val="Normal"/>
    <w:link w:val="EndNoteBibliographyChar"/>
    <w:rsid w:val="00AE5189"/>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E5189"/>
    <w:rPr>
      <w:rFonts w:ascii="Calibri" w:hAnsi="Calibri" w:cs="Calibri"/>
      <w:noProof/>
      <w:lang w:val="en-US"/>
    </w:rPr>
  </w:style>
  <w:style w:type="paragraph" w:styleId="Header">
    <w:name w:val="header"/>
    <w:basedOn w:val="Normal"/>
    <w:link w:val="HeaderChar"/>
    <w:uiPriority w:val="99"/>
    <w:unhideWhenUsed/>
    <w:rsid w:val="008B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554"/>
  </w:style>
  <w:style w:type="paragraph" w:styleId="Footer">
    <w:name w:val="footer"/>
    <w:basedOn w:val="Normal"/>
    <w:link w:val="FooterChar"/>
    <w:uiPriority w:val="99"/>
    <w:unhideWhenUsed/>
    <w:rsid w:val="008B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554"/>
  </w:style>
  <w:style w:type="paragraph" w:styleId="EndnoteText">
    <w:name w:val="endnote text"/>
    <w:basedOn w:val="Normal"/>
    <w:link w:val="EndnoteTextChar"/>
    <w:uiPriority w:val="99"/>
    <w:semiHidden/>
    <w:unhideWhenUsed/>
    <w:rsid w:val="000B51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108"/>
    <w:rPr>
      <w:sz w:val="20"/>
      <w:szCs w:val="20"/>
    </w:rPr>
  </w:style>
  <w:style w:type="character" w:styleId="EndnoteReference">
    <w:name w:val="endnote reference"/>
    <w:basedOn w:val="DefaultParagraphFont"/>
    <w:uiPriority w:val="99"/>
    <w:semiHidden/>
    <w:unhideWhenUsed/>
    <w:rsid w:val="000B5108"/>
    <w:rPr>
      <w:vertAlign w:val="superscript"/>
    </w:rPr>
  </w:style>
  <w:style w:type="paragraph" w:customStyle="1" w:styleId="EndNoteBibliographyTitle">
    <w:name w:val="EndNote Bibliography Title"/>
    <w:basedOn w:val="Normal"/>
    <w:link w:val="EndNoteBibliographyTitleChar"/>
    <w:rsid w:val="000B51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B5108"/>
    <w:rPr>
      <w:rFonts w:ascii="Calibri" w:hAnsi="Calibri" w:cs="Calibri"/>
      <w:noProof/>
      <w:lang w:val="en-US"/>
    </w:rPr>
  </w:style>
  <w:style w:type="table" w:styleId="TableGrid">
    <w:name w:val="Table Grid"/>
    <w:basedOn w:val="TableNormal"/>
    <w:uiPriority w:val="59"/>
    <w:rsid w:val="0036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B66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6619"/>
    <w:rPr>
      <w:rFonts w:ascii="Calibri" w:hAnsi="Calibri"/>
      <w:szCs w:val="21"/>
    </w:rPr>
  </w:style>
  <w:style w:type="table" w:customStyle="1" w:styleId="TableGridLight1">
    <w:name w:val="Table Grid Light1"/>
    <w:basedOn w:val="TableNormal"/>
    <w:uiPriority w:val="40"/>
    <w:rsid w:val="004B661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f2">
    <w:name w:val="ff2"/>
    <w:basedOn w:val="DefaultParagraphFont"/>
    <w:rsid w:val="00AA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0514">
      <w:bodyDiv w:val="1"/>
      <w:marLeft w:val="0"/>
      <w:marRight w:val="0"/>
      <w:marTop w:val="0"/>
      <w:marBottom w:val="0"/>
      <w:divBdr>
        <w:top w:val="none" w:sz="0" w:space="0" w:color="auto"/>
        <w:left w:val="none" w:sz="0" w:space="0" w:color="auto"/>
        <w:bottom w:val="none" w:sz="0" w:space="0" w:color="auto"/>
        <w:right w:val="none" w:sz="0" w:space="0" w:color="auto"/>
      </w:divBdr>
    </w:div>
    <w:div w:id="554699442">
      <w:bodyDiv w:val="1"/>
      <w:marLeft w:val="0"/>
      <w:marRight w:val="0"/>
      <w:marTop w:val="0"/>
      <w:marBottom w:val="0"/>
      <w:divBdr>
        <w:top w:val="none" w:sz="0" w:space="0" w:color="auto"/>
        <w:left w:val="none" w:sz="0" w:space="0" w:color="auto"/>
        <w:bottom w:val="none" w:sz="0" w:space="0" w:color="auto"/>
        <w:right w:val="none" w:sz="0" w:space="0" w:color="auto"/>
      </w:divBdr>
      <w:divsChild>
        <w:div w:id="1178275429">
          <w:marLeft w:val="0"/>
          <w:marRight w:val="0"/>
          <w:marTop w:val="0"/>
          <w:marBottom w:val="0"/>
          <w:divBdr>
            <w:top w:val="none" w:sz="0" w:space="0" w:color="auto"/>
            <w:left w:val="none" w:sz="0" w:space="0" w:color="auto"/>
            <w:bottom w:val="none" w:sz="0" w:space="0" w:color="auto"/>
            <w:right w:val="none" w:sz="0" w:space="0" w:color="auto"/>
          </w:divBdr>
        </w:div>
        <w:div w:id="980619084">
          <w:marLeft w:val="0"/>
          <w:marRight w:val="0"/>
          <w:marTop w:val="0"/>
          <w:marBottom w:val="0"/>
          <w:divBdr>
            <w:top w:val="none" w:sz="0" w:space="0" w:color="auto"/>
            <w:left w:val="none" w:sz="0" w:space="0" w:color="auto"/>
            <w:bottom w:val="none" w:sz="0" w:space="0" w:color="auto"/>
            <w:right w:val="none" w:sz="0" w:space="0" w:color="auto"/>
          </w:divBdr>
        </w:div>
        <w:div w:id="1714960777">
          <w:marLeft w:val="0"/>
          <w:marRight w:val="0"/>
          <w:marTop w:val="0"/>
          <w:marBottom w:val="0"/>
          <w:divBdr>
            <w:top w:val="none" w:sz="0" w:space="0" w:color="auto"/>
            <w:left w:val="none" w:sz="0" w:space="0" w:color="auto"/>
            <w:bottom w:val="none" w:sz="0" w:space="0" w:color="auto"/>
            <w:right w:val="none" w:sz="0" w:space="0" w:color="auto"/>
          </w:divBdr>
        </w:div>
        <w:div w:id="1355695510">
          <w:marLeft w:val="0"/>
          <w:marRight w:val="0"/>
          <w:marTop w:val="0"/>
          <w:marBottom w:val="0"/>
          <w:divBdr>
            <w:top w:val="none" w:sz="0" w:space="0" w:color="auto"/>
            <w:left w:val="none" w:sz="0" w:space="0" w:color="auto"/>
            <w:bottom w:val="none" w:sz="0" w:space="0" w:color="auto"/>
            <w:right w:val="none" w:sz="0" w:space="0" w:color="auto"/>
          </w:divBdr>
        </w:div>
        <w:div w:id="849026658">
          <w:marLeft w:val="0"/>
          <w:marRight w:val="0"/>
          <w:marTop w:val="0"/>
          <w:marBottom w:val="0"/>
          <w:divBdr>
            <w:top w:val="none" w:sz="0" w:space="0" w:color="auto"/>
            <w:left w:val="none" w:sz="0" w:space="0" w:color="auto"/>
            <w:bottom w:val="none" w:sz="0" w:space="0" w:color="auto"/>
            <w:right w:val="none" w:sz="0" w:space="0" w:color="auto"/>
          </w:divBdr>
        </w:div>
      </w:divsChild>
    </w:div>
    <w:div w:id="823011461">
      <w:bodyDiv w:val="1"/>
      <w:marLeft w:val="0"/>
      <w:marRight w:val="0"/>
      <w:marTop w:val="0"/>
      <w:marBottom w:val="0"/>
      <w:divBdr>
        <w:top w:val="none" w:sz="0" w:space="0" w:color="auto"/>
        <w:left w:val="none" w:sz="0" w:space="0" w:color="auto"/>
        <w:bottom w:val="none" w:sz="0" w:space="0" w:color="auto"/>
        <w:right w:val="none" w:sz="0" w:space="0" w:color="auto"/>
      </w:divBdr>
    </w:div>
    <w:div w:id="1098214041">
      <w:bodyDiv w:val="1"/>
      <w:marLeft w:val="0"/>
      <w:marRight w:val="0"/>
      <w:marTop w:val="0"/>
      <w:marBottom w:val="0"/>
      <w:divBdr>
        <w:top w:val="none" w:sz="0" w:space="0" w:color="auto"/>
        <w:left w:val="none" w:sz="0" w:space="0" w:color="auto"/>
        <w:bottom w:val="none" w:sz="0" w:space="0" w:color="auto"/>
        <w:right w:val="none" w:sz="0" w:space="0" w:color="auto"/>
      </w:divBdr>
      <w:divsChild>
        <w:div w:id="1323388415">
          <w:marLeft w:val="0"/>
          <w:marRight w:val="0"/>
          <w:marTop w:val="0"/>
          <w:marBottom w:val="0"/>
          <w:divBdr>
            <w:top w:val="none" w:sz="0" w:space="0" w:color="auto"/>
            <w:left w:val="none" w:sz="0" w:space="0" w:color="auto"/>
            <w:bottom w:val="none" w:sz="0" w:space="0" w:color="auto"/>
            <w:right w:val="none" w:sz="0" w:space="0" w:color="auto"/>
          </w:divBdr>
        </w:div>
        <w:div w:id="1418283739">
          <w:marLeft w:val="0"/>
          <w:marRight w:val="0"/>
          <w:marTop w:val="0"/>
          <w:marBottom w:val="0"/>
          <w:divBdr>
            <w:top w:val="none" w:sz="0" w:space="0" w:color="auto"/>
            <w:left w:val="none" w:sz="0" w:space="0" w:color="auto"/>
            <w:bottom w:val="none" w:sz="0" w:space="0" w:color="auto"/>
            <w:right w:val="none" w:sz="0" w:space="0" w:color="auto"/>
          </w:divBdr>
        </w:div>
        <w:div w:id="1162701261">
          <w:marLeft w:val="0"/>
          <w:marRight w:val="0"/>
          <w:marTop w:val="0"/>
          <w:marBottom w:val="0"/>
          <w:divBdr>
            <w:top w:val="none" w:sz="0" w:space="0" w:color="auto"/>
            <w:left w:val="none" w:sz="0" w:space="0" w:color="auto"/>
            <w:bottom w:val="none" w:sz="0" w:space="0" w:color="auto"/>
            <w:right w:val="none" w:sz="0" w:space="0" w:color="auto"/>
          </w:divBdr>
        </w:div>
        <w:div w:id="2073580957">
          <w:marLeft w:val="0"/>
          <w:marRight w:val="0"/>
          <w:marTop w:val="0"/>
          <w:marBottom w:val="0"/>
          <w:divBdr>
            <w:top w:val="none" w:sz="0" w:space="0" w:color="auto"/>
            <w:left w:val="none" w:sz="0" w:space="0" w:color="auto"/>
            <w:bottom w:val="none" w:sz="0" w:space="0" w:color="auto"/>
            <w:right w:val="none" w:sz="0" w:space="0" w:color="auto"/>
          </w:divBdr>
        </w:div>
        <w:div w:id="312804938">
          <w:marLeft w:val="0"/>
          <w:marRight w:val="0"/>
          <w:marTop w:val="0"/>
          <w:marBottom w:val="0"/>
          <w:divBdr>
            <w:top w:val="none" w:sz="0" w:space="0" w:color="auto"/>
            <w:left w:val="none" w:sz="0" w:space="0" w:color="auto"/>
            <w:bottom w:val="none" w:sz="0" w:space="0" w:color="auto"/>
            <w:right w:val="none" w:sz="0" w:space="0" w:color="auto"/>
          </w:divBdr>
        </w:div>
      </w:divsChild>
    </w:div>
    <w:div w:id="1855150391">
      <w:bodyDiv w:val="1"/>
      <w:marLeft w:val="0"/>
      <w:marRight w:val="0"/>
      <w:marTop w:val="0"/>
      <w:marBottom w:val="0"/>
      <w:divBdr>
        <w:top w:val="none" w:sz="0" w:space="0" w:color="auto"/>
        <w:left w:val="none" w:sz="0" w:space="0" w:color="auto"/>
        <w:bottom w:val="none" w:sz="0" w:space="0" w:color="auto"/>
        <w:right w:val="none" w:sz="0" w:space="0" w:color="auto"/>
      </w:divBdr>
      <w:divsChild>
        <w:div w:id="1012952835">
          <w:marLeft w:val="0"/>
          <w:marRight w:val="0"/>
          <w:marTop w:val="0"/>
          <w:marBottom w:val="0"/>
          <w:divBdr>
            <w:top w:val="none" w:sz="0" w:space="0" w:color="auto"/>
            <w:left w:val="none" w:sz="0" w:space="0" w:color="auto"/>
            <w:bottom w:val="none" w:sz="0" w:space="0" w:color="auto"/>
            <w:right w:val="none" w:sz="0" w:space="0" w:color="auto"/>
          </w:divBdr>
        </w:div>
        <w:div w:id="1821073485">
          <w:marLeft w:val="0"/>
          <w:marRight w:val="0"/>
          <w:marTop w:val="0"/>
          <w:marBottom w:val="0"/>
          <w:divBdr>
            <w:top w:val="none" w:sz="0" w:space="0" w:color="auto"/>
            <w:left w:val="none" w:sz="0" w:space="0" w:color="auto"/>
            <w:bottom w:val="none" w:sz="0" w:space="0" w:color="auto"/>
            <w:right w:val="none" w:sz="0" w:space="0" w:color="auto"/>
          </w:divBdr>
        </w:div>
        <w:div w:id="122503438">
          <w:marLeft w:val="0"/>
          <w:marRight w:val="0"/>
          <w:marTop w:val="0"/>
          <w:marBottom w:val="0"/>
          <w:divBdr>
            <w:top w:val="none" w:sz="0" w:space="0" w:color="auto"/>
            <w:left w:val="none" w:sz="0" w:space="0" w:color="auto"/>
            <w:bottom w:val="none" w:sz="0" w:space="0" w:color="auto"/>
            <w:right w:val="none" w:sz="0" w:space="0" w:color="auto"/>
          </w:divBdr>
        </w:div>
        <w:div w:id="1098284561">
          <w:marLeft w:val="0"/>
          <w:marRight w:val="0"/>
          <w:marTop w:val="0"/>
          <w:marBottom w:val="0"/>
          <w:divBdr>
            <w:top w:val="none" w:sz="0" w:space="0" w:color="auto"/>
            <w:left w:val="none" w:sz="0" w:space="0" w:color="auto"/>
            <w:bottom w:val="none" w:sz="0" w:space="0" w:color="auto"/>
            <w:right w:val="none" w:sz="0" w:space="0" w:color="auto"/>
          </w:divBdr>
        </w:div>
        <w:div w:id="161626268">
          <w:marLeft w:val="0"/>
          <w:marRight w:val="0"/>
          <w:marTop w:val="0"/>
          <w:marBottom w:val="0"/>
          <w:divBdr>
            <w:top w:val="none" w:sz="0" w:space="0" w:color="auto"/>
            <w:left w:val="none" w:sz="0" w:space="0" w:color="auto"/>
            <w:bottom w:val="none" w:sz="0" w:space="0" w:color="auto"/>
            <w:right w:val="none" w:sz="0" w:space="0" w:color="auto"/>
          </w:divBdr>
        </w:div>
        <w:div w:id="1326470615">
          <w:marLeft w:val="0"/>
          <w:marRight w:val="0"/>
          <w:marTop w:val="0"/>
          <w:marBottom w:val="0"/>
          <w:divBdr>
            <w:top w:val="none" w:sz="0" w:space="0" w:color="auto"/>
            <w:left w:val="none" w:sz="0" w:space="0" w:color="auto"/>
            <w:bottom w:val="none" w:sz="0" w:space="0" w:color="auto"/>
            <w:right w:val="none" w:sz="0" w:space="0" w:color="auto"/>
          </w:divBdr>
        </w:div>
        <w:div w:id="760223251">
          <w:marLeft w:val="0"/>
          <w:marRight w:val="0"/>
          <w:marTop w:val="0"/>
          <w:marBottom w:val="0"/>
          <w:divBdr>
            <w:top w:val="none" w:sz="0" w:space="0" w:color="auto"/>
            <w:left w:val="none" w:sz="0" w:space="0" w:color="auto"/>
            <w:bottom w:val="none" w:sz="0" w:space="0" w:color="auto"/>
            <w:right w:val="none" w:sz="0" w:space="0" w:color="auto"/>
          </w:divBdr>
        </w:div>
        <w:div w:id="1441218714">
          <w:marLeft w:val="0"/>
          <w:marRight w:val="0"/>
          <w:marTop w:val="0"/>
          <w:marBottom w:val="0"/>
          <w:divBdr>
            <w:top w:val="none" w:sz="0" w:space="0" w:color="auto"/>
            <w:left w:val="none" w:sz="0" w:space="0" w:color="auto"/>
            <w:bottom w:val="none" w:sz="0" w:space="0" w:color="auto"/>
            <w:right w:val="none" w:sz="0" w:space="0" w:color="auto"/>
          </w:divBdr>
        </w:div>
        <w:div w:id="2101633021">
          <w:marLeft w:val="0"/>
          <w:marRight w:val="0"/>
          <w:marTop w:val="0"/>
          <w:marBottom w:val="0"/>
          <w:divBdr>
            <w:top w:val="none" w:sz="0" w:space="0" w:color="auto"/>
            <w:left w:val="none" w:sz="0" w:space="0" w:color="auto"/>
            <w:bottom w:val="none" w:sz="0" w:space="0" w:color="auto"/>
            <w:right w:val="none" w:sz="0" w:space="0" w:color="auto"/>
          </w:divBdr>
        </w:div>
        <w:div w:id="443616758">
          <w:marLeft w:val="0"/>
          <w:marRight w:val="0"/>
          <w:marTop w:val="0"/>
          <w:marBottom w:val="0"/>
          <w:divBdr>
            <w:top w:val="none" w:sz="0" w:space="0" w:color="auto"/>
            <w:left w:val="none" w:sz="0" w:space="0" w:color="auto"/>
            <w:bottom w:val="none" w:sz="0" w:space="0" w:color="auto"/>
            <w:right w:val="none" w:sz="0" w:space="0" w:color="auto"/>
          </w:divBdr>
        </w:div>
        <w:div w:id="588083266">
          <w:marLeft w:val="0"/>
          <w:marRight w:val="0"/>
          <w:marTop w:val="0"/>
          <w:marBottom w:val="0"/>
          <w:divBdr>
            <w:top w:val="none" w:sz="0" w:space="0" w:color="auto"/>
            <w:left w:val="none" w:sz="0" w:space="0" w:color="auto"/>
            <w:bottom w:val="none" w:sz="0" w:space="0" w:color="auto"/>
            <w:right w:val="none" w:sz="0" w:space="0" w:color="auto"/>
          </w:divBdr>
        </w:div>
        <w:div w:id="864438817">
          <w:marLeft w:val="0"/>
          <w:marRight w:val="0"/>
          <w:marTop w:val="0"/>
          <w:marBottom w:val="0"/>
          <w:divBdr>
            <w:top w:val="none" w:sz="0" w:space="0" w:color="auto"/>
            <w:left w:val="none" w:sz="0" w:space="0" w:color="auto"/>
            <w:bottom w:val="none" w:sz="0" w:space="0" w:color="auto"/>
            <w:right w:val="none" w:sz="0" w:space="0" w:color="auto"/>
          </w:divBdr>
        </w:div>
        <w:div w:id="1939947631">
          <w:marLeft w:val="0"/>
          <w:marRight w:val="0"/>
          <w:marTop w:val="0"/>
          <w:marBottom w:val="0"/>
          <w:divBdr>
            <w:top w:val="none" w:sz="0" w:space="0" w:color="auto"/>
            <w:left w:val="none" w:sz="0" w:space="0" w:color="auto"/>
            <w:bottom w:val="none" w:sz="0" w:space="0" w:color="auto"/>
            <w:right w:val="none" w:sz="0" w:space="0" w:color="auto"/>
          </w:divBdr>
        </w:div>
        <w:div w:id="204459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Dhanaraj@uhb.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ilip.Johnson@liverpool.ac.uk"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ukTing.Ma@uhb.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J.Bonnett@liverpool.ac.uk" TargetMode="External"/><Relationship Id="rId4" Type="http://schemas.openxmlformats.org/officeDocument/2006/relationships/webSettings" Target="webSettings.xml"/><Relationship Id="rId9" Type="http://schemas.openxmlformats.org/officeDocument/2006/relationships/hyperlink" Target="mailto:S.Berhane@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46AB-C345-42CD-A604-B3E8523B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Philip</dc:creator>
  <cp:keywords/>
  <dc:description/>
  <cp:lastModifiedBy>Johnson, Philip</cp:lastModifiedBy>
  <cp:revision>2</cp:revision>
  <dcterms:created xsi:type="dcterms:W3CDTF">2021-04-29T15:07:00Z</dcterms:created>
  <dcterms:modified xsi:type="dcterms:W3CDTF">2021-04-29T15:07:00Z</dcterms:modified>
</cp:coreProperties>
</file>