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3B2281" w14:textId="39B04D2B" w:rsidR="00C90EA7" w:rsidRPr="00F533B4" w:rsidRDefault="00BC78FC" w:rsidP="00932FE0">
      <w:pPr>
        <w:spacing w:before="120" w:line="480" w:lineRule="auto"/>
        <w:rPr>
          <w:rFonts w:cstheme="minorHAnsi"/>
          <w:b/>
          <w:color w:val="000000" w:themeColor="text1"/>
          <w:sz w:val="32"/>
          <w:szCs w:val="32"/>
        </w:rPr>
      </w:pPr>
      <w:r w:rsidRPr="00F533B4">
        <w:rPr>
          <w:rFonts w:cstheme="minorHAnsi"/>
          <w:b/>
          <w:color w:val="000000" w:themeColor="text1"/>
          <w:sz w:val="32"/>
          <w:szCs w:val="32"/>
        </w:rPr>
        <w:t xml:space="preserve">Amikacin </w:t>
      </w:r>
      <w:r w:rsidR="00CC5A39" w:rsidRPr="00F533B4">
        <w:rPr>
          <w:rFonts w:cstheme="minorHAnsi"/>
          <w:b/>
          <w:color w:val="000000" w:themeColor="text1"/>
          <w:sz w:val="32"/>
          <w:szCs w:val="32"/>
        </w:rPr>
        <w:t xml:space="preserve">Combined with </w:t>
      </w:r>
      <w:r w:rsidRPr="00F533B4">
        <w:rPr>
          <w:rFonts w:cstheme="minorHAnsi"/>
          <w:b/>
          <w:color w:val="000000" w:themeColor="text1"/>
          <w:sz w:val="32"/>
          <w:szCs w:val="32"/>
        </w:rPr>
        <w:t xml:space="preserve">Fosfomycin for </w:t>
      </w:r>
      <w:r w:rsidR="003908DF" w:rsidRPr="00F533B4">
        <w:rPr>
          <w:rFonts w:cstheme="minorHAnsi"/>
          <w:b/>
          <w:color w:val="000000" w:themeColor="text1"/>
          <w:sz w:val="32"/>
          <w:szCs w:val="32"/>
        </w:rPr>
        <w:t xml:space="preserve">Treatment of </w:t>
      </w:r>
      <w:r w:rsidR="00CC5A39" w:rsidRPr="00F533B4">
        <w:rPr>
          <w:rFonts w:cstheme="minorHAnsi"/>
          <w:b/>
          <w:color w:val="000000" w:themeColor="text1"/>
          <w:sz w:val="32"/>
          <w:szCs w:val="32"/>
        </w:rPr>
        <w:t>Neonatal Sepsis</w:t>
      </w:r>
      <w:r w:rsidR="003908DF" w:rsidRPr="00F533B4">
        <w:rPr>
          <w:rFonts w:cstheme="minorHAnsi"/>
          <w:b/>
          <w:color w:val="000000" w:themeColor="text1"/>
          <w:sz w:val="32"/>
          <w:szCs w:val="32"/>
        </w:rPr>
        <w:t xml:space="preserve"> </w:t>
      </w:r>
      <w:r w:rsidR="0025296C" w:rsidRPr="00F533B4">
        <w:rPr>
          <w:rFonts w:cstheme="minorHAnsi"/>
          <w:b/>
          <w:color w:val="000000" w:themeColor="text1"/>
          <w:sz w:val="32"/>
          <w:szCs w:val="32"/>
        </w:rPr>
        <w:t>in the Setting of</w:t>
      </w:r>
      <w:r w:rsidR="003908DF" w:rsidRPr="00F533B4">
        <w:rPr>
          <w:rFonts w:cstheme="minorHAnsi"/>
          <w:b/>
          <w:color w:val="000000" w:themeColor="text1"/>
          <w:sz w:val="32"/>
          <w:szCs w:val="32"/>
        </w:rPr>
        <w:t xml:space="preserve"> Highly Prevalent</w:t>
      </w:r>
      <w:r w:rsidR="003723A4" w:rsidRPr="00F533B4">
        <w:rPr>
          <w:rFonts w:cstheme="minorHAnsi"/>
          <w:b/>
          <w:color w:val="000000" w:themeColor="text1"/>
          <w:sz w:val="32"/>
          <w:szCs w:val="32"/>
        </w:rPr>
        <w:t xml:space="preserve"> </w:t>
      </w:r>
      <w:r w:rsidR="003908DF" w:rsidRPr="00F533B4">
        <w:rPr>
          <w:rFonts w:cstheme="minorHAnsi"/>
          <w:b/>
          <w:color w:val="000000" w:themeColor="text1"/>
          <w:sz w:val="32"/>
          <w:szCs w:val="32"/>
        </w:rPr>
        <w:t>Antimicrobial Resistance</w:t>
      </w:r>
    </w:p>
    <w:p w14:paraId="34737417" w14:textId="77777777" w:rsidR="00932FE0" w:rsidRPr="00932FE0" w:rsidRDefault="00932FE0" w:rsidP="00932FE0">
      <w:pPr>
        <w:spacing w:line="480" w:lineRule="auto"/>
        <w:rPr>
          <w:rFonts w:ascii="Times New Roman" w:eastAsia="Times New Roman" w:hAnsi="Times New Roman" w:cs="Times New Roman"/>
          <w:sz w:val="40"/>
          <w:szCs w:val="40"/>
          <w:lang w:eastAsia="en-GB"/>
        </w:rPr>
      </w:pPr>
    </w:p>
    <w:p w14:paraId="1300A44B" w14:textId="737A186F" w:rsidR="00872AC0" w:rsidRPr="00543429" w:rsidRDefault="00872AC0" w:rsidP="00932FE0">
      <w:pPr>
        <w:spacing w:after="120" w:line="480" w:lineRule="auto"/>
        <w:rPr>
          <w:rFonts w:cstheme="minorHAnsi"/>
          <w:color w:val="000000" w:themeColor="text1"/>
        </w:rPr>
      </w:pPr>
      <w:r w:rsidRPr="00F533B4">
        <w:rPr>
          <w:color w:val="000000" w:themeColor="text1"/>
        </w:rPr>
        <w:t xml:space="preserve">Christopher A </w:t>
      </w:r>
      <w:proofErr w:type="spellStart"/>
      <w:r w:rsidRPr="00F533B4">
        <w:rPr>
          <w:color w:val="000000" w:themeColor="text1"/>
        </w:rPr>
        <w:t>Darlow</w:t>
      </w:r>
      <w:r w:rsidR="00932FE0">
        <w:rPr>
          <w:color w:val="000000" w:themeColor="text1"/>
          <w:vertAlign w:val="superscript"/>
        </w:rPr>
        <w:t>a</w:t>
      </w:r>
      <w:proofErr w:type="spellEnd"/>
      <w:r w:rsidR="00144425" w:rsidRPr="00144425">
        <w:rPr>
          <w:color w:val="000000" w:themeColor="text1"/>
        </w:rPr>
        <w:t>#</w:t>
      </w:r>
      <w:r w:rsidRPr="00F533B4">
        <w:rPr>
          <w:color w:val="000000" w:themeColor="text1"/>
        </w:rPr>
        <w:t xml:space="preserve">, Fernando </w:t>
      </w:r>
      <w:proofErr w:type="spellStart"/>
      <w:r w:rsidR="00C52B76" w:rsidRPr="00F533B4">
        <w:rPr>
          <w:color w:val="000000" w:themeColor="text1"/>
        </w:rPr>
        <w:t>D</w:t>
      </w:r>
      <w:r w:rsidR="00C52B76">
        <w:rPr>
          <w:color w:val="000000" w:themeColor="text1"/>
        </w:rPr>
        <w:t>o</w:t>
      </w:r>
      <w:r w:rsidR="00C52B76" w:rsidRPr="00F533B4">
        <w:rPr>
          <w:color w:val="000000" w:themeColor="text1"/>
        </w:rPr>
        <w:t>cobo</w:t>
      </w:r>
      <w:r w:rsidRPr="00F533B4">
        <w:rPr>
          <w:color w:val="000000" w:themeColor="text1"/>
        </w:rPr>
        <w:t>-Perez</w:t>
      </w:r>
      <w:r w:rsidR="00932FE0">
        <w:rPr>
          <w:color w:val="000000" w:themeColor="text1"/>
          <w:vertAlign w:val="superscript"/>
        </w:rPr>
        <w:t>b</w:t>
      </w:r>
      <w:proofErr w:type="spellEnd"/>
      <w:r w:rsidRPr="00F533B4">
        <w:rPr>
          <w:color w:val="000000" w:themeColor="text1"/>
        </w:rPr>
        <w:t xml:space="preserve">, Nicola </w:t>
      </w:r>
      <w:proofErr w:type="spellStart"/>
      <w:r w:rsidRPr="00F533B4">
        <w:rPr>
          <w:color w:val="000000" w:themeColor="text1"/>
        </w:rPr>
        <w:t>Farrington</w:t>
      </w:r>
      <w:r w:rsidR="00932FE0">
        <w:rPr>
          <w:color w:val="000000" w:themeColor="text1"/>
          <w:vertAlign w:val="superscript"/>
        </w:rPr>
        <w:t>a</w:t>
      </w:r>
      <w:proofErr w:type="spellEnd"/>
      <w:r w:rsidRPr="00F533B4">
        <w:rPr>
          <w:color w:val="000000" w:themeColor="text1"/>
        </w:rPr>
        <w:t xml:space="preserve">, Adam </w:t>
      </w:r>
      <w:proofErr w:type="spellStart"/>
      <w:r w:rsidRPr="00F533B4">
        <w:rPr>
          <w:color w:val="000000" w:themeColor="text1"/>
        </w:rPr>
        <w:t>Johnson</w:t>
      </w:r>
      <w:r w:rsidR="00932FE0">
        <w:rPr>
          <w:color w:val="000000" w:themeColor="text1"/>
          <w:vertAlign w:val="superscript"/>
        </w:rPr>
        <w:t>a</w:t>
      </w:r>
      <w:proofErr w:type="spellEnd"/>
      <w:r w:rsidRPr="00F533B4">
        <w:rPr>
          <w:color w:val="000000" w:themeColor="text1"/>
        </w:rPr>
        <w:t xml:space="preserve">, Laura </w:t>
      </w:r>
      <w:proofErr w:type="spellStart"/>
      <w:r w:rsidRPr="00543429">
        <w:rPr>
          <w:rFonts w:cstheme="minorHAnsi"/>
          <w:color w:val="000000" w:themeColor="text1"/>
        </w:rPr>
        <w:t>McEntee</w:t>
      </w:r>
      <w:r w:rsidR="00932FE0">
        <w:rPr>
          <w:rFonts w:cstheme="minorHAnsi"/>
          <w:color w:val="000000" w:themeColor="text1"/>
          <w:vertAlign w:val="superscript"/>
        </w:rPr>
        <w:t>a</w:t>
      </w:r>
      <w:proofErr w:type="spellEnd"/>
      <w:r w:rsidRPr="00543429">
        <w:rPr>
          <w:rFonts w:cstheme="minorHAnsi"/>
          <w:color w:val="000000" w:themeColor="text1"/>
        </w:rPr>
        <w:t xml:space="preserve">, Jennifer </w:t>
      </w:r>
      <w:proofErr w:type="spellStart"/>
      <w:r w:rsidRPr="00543429">
        <w:rPr>
          <w:rFonts w:cstheme="minorHAnsi"/>
          <w:color w:val="000000" w:themeColor="text1"/>
        </w:rPr>
        <w:t>Unsworth</w:t>
      </w:r>
      <w:r w:rsidR="00932FE0">
        <w:rPr>
          <w:rFonts w:cstheme="minorHAnsi"/>
          <w:color w:val="000000" w:themeColor="text1"/>
          <w:vertAlign w:val="superscript"/>
        </w:rPr>
        <w:t>a</w:t>
      </w:r>
      <w:proofErr w:type="spellEnd"/>
      <w:r w:rsidRPr="00543429">
        <w:rPr>
          <w:rFonts w:cstheme="minorHAnsi"/>
          <w:color w:val="000000" w:themeColor="text1"/>
        </w:rPr>
        <w:t>,</w:t>
      </w:r>
      <w:r w:rsidR="00292215" w:rsidRPr="00543429">
        <w:rPr>
          <w:rFonts w:cstheme="minorHAnsi"/>
          <w:color w:val="000000" w:themeColor="text1"/>
        </w:rPr>
        <w:t xml:space="preserve"> Ana Jimenez-</w:t>
      </w:r>
      <w:proofErr w:type="spellStart"/>
      <w:r w:rsidR="00292215" w:rsidRPr="00543429">
        <w:rPr>
          <w:rFonts w:cstheme="minorHAnsi"/>
          <w:color w:val="000000" w:themeColor="text1"/>
        </w:rPr>
        <w:t>Valverde</w:t>
      </w:r>
      <w:r w:rsidR="00932FE0">
        <w:rPr>
          <w:rFonts w:cstheme="minorHAnsi"/>
          <w:color w:val="000000" w:themeColor="text1"/>
          <w:vertAlign w:val="superscript"/>
        </w:rPr>
        <w:t>a</w:t>
      </w:r>
      <w:proofErr w:type="spellEnd"/>
      <w:r w:rsidR="00292215" w:rsidRPr="00543429">
        <w:rPr>
          <w:rFonts w:cstheme="minorHAnsi"/>
          <w:color w:val="000000" w:themeColor="text1"/>
        </w:rPr>
        <w:t xml:space="preserve">, </w:t>
      </w:r>
      <w:r w:rsidR="00DB68ED" w:rsidRPr="00543429">
        <w:rPr>
          <w:rFonts w:cstheme="minorHAnsi"/>
          <w:color w:val="000000" w:themeColor="text1"/>
        </w:rPr>
        <w:t xml:space="preserve">Silke </w:t>
      </w:r>
      <w:proofErr w:type="spellStart"/>
      <w:r w:rsidR="00DB68ED" w:rsidRPr="00543429">
        <w:rPr>
          <w:rFonts w:cstheme="minorHAnsi"/>
          <w:color w:val="000000" w:themeColor="text1"/>
        </w:rPr>
        <w:t>Gastine</w:t>
      </w:r>
      <w:r w:rsidR="00932FE0">
        <w:rPr>
          <w:rFonts w:cstheme="minorHAnsi"/>
          <w:color w:val="000000" w:themeColor="text1"/>
          <w:vertAlign w:val="superscript"/>
        </w:rPr>
        <w:t>c</w:t>
      </w:r>
      <w:proofErr w:type="spellEnd"/>
      <w:r w:rsidR="00DB68ED" w:rsidRPr="00543429">
        <w:rPr>
          <w:rFonts w:cstheme="minorHAnsi"/>
          <w:color w:val="000000" w:themeColor="text1"/>
        </w:rPr>
        <w:t xml:space="preserve">, </w:t>
      </w:r>
      <w:proofErr w:type="spellStart"/>
      <w:r w:rsidR="004A1D73" w:rsidRPr="00543429">
        <w:rPr>
          <w:rFonts w:cstheme="minorHAnsi"/>
          <w:color w:val="000000" w:themeColor="text1"/>
        </w:rPr>
        <w:t>Ruwanthi</w:t>
      </w:r>
      <w:proofErr w:type="spellEnd"/>
      <w:r w:rsidR="004A1D73" w:rsidRPr="00543429">
        <w:rPr>
          <w:rFonts w:cstheme="minorHAnsi"/>
          <w:color w:val="000000" w:themeColor="text1"/>
        </w:rPr>
        <w:t xml:space="preserve"> </w:t>
      </w:r>
      <w:proofErr w:type="spellStart"/>
      <w:r w:rsidR="004A1D73" w:rsidRPr="00543429">
        <w:rPr>
          <w:rFonts w:cstheme="minorHAnsi"/>
          <w:color w:val="000000" w:themeColor="text1"/>
        </w:rPr>
        <w:t>Kolamunnage</w:t>
      </w:r>
      <w:proofErr w:type="spellEnd"/>
      <w:r w:rsidR="004A1D73" w:rsidRPr="00543429">
        <w:rPr>
          <w:rFonts w:cstheme="minorHAnsi"/>
          <w:color w:val="000000" w:themeColor="text1"/>
        </w:rPr>
        <w:t xml:space="preserve"> </w:t>
      </w:r>
      <w:proofErr w:type="spellStart"/>
      <w:r w:rsidR="004A1D73" w:rsidRPr="00543429">
        <w:rPr>
          <w:rFonts w:cstheme="minorHAnsi"/>
          <w:color w:val="000000" w:themeColor="text1"/>
        </w:rPr>
        <w:t>Dona</w:t>
      </w:r>
      <w:r w:rsidR="00932FE0">
        <w:rPr>
          <w:rFonts w:cstheme="minorHAnsi"/>
          <w:color w:val="000000" w:themeColor="text1"/>
          <w:vertAlign w:val="superscript"/>
        </w:rPr>
        <w:t>d</w:t>
      </w:r>
      <w:proofErr w:type="spellEnd"/>
      <w:r w:rsidR="004A1D73" w:rsidRPr="00543429">
        <w:rPr>
          <w:rFonts w:cstheme="minorHAnsi"/>
          <w:color w:val="000000" w:themeColor="text1"/>
        </w:rPr>
        <w:t xml:space="preserve">, </w:t>
      </w:r>
      <w:r w:rsidRPr="00543429">
        <w:rPr>
          <w:rFonts w:cstheme="minorHAnsi"/>
          <w:color w:val="000000" w:themeColor="text1"/>
        </w:rPr>
        <w:t>Renata</w:t>
      </w:r>
      <w:r w:rsidR="0031251E" w:rsidRPr="00543429">
        <w:rPr>
          <w:rFonts w:cstheme="minorHAnsi"/>
          <w:color w:val="000000" w:themeColor="text1"/>
        </w:rPr>
        <w:t xml:space="preserve"> M A</w:t>
      </w:r>
      <w:r w:rsidRPr="00543429">
        <w:rPr>
          <w:rFonts w:cstheme="minorHAnsi"/>
          <w:color w:val="000000" w:themeColor="text1"/>
        </w:rPr>
        <w:t xml:space="preserve"> de Costa</w:t>
      </w:r>
      <w:r w:rsidR="00932FE0">
        <w:rPr>
          <w:rFonts w:cstheme="minorHAnsi"/>
          <w:color w:val="000000" w:themeColor="text1"/>
          <w:vertAlign w:val="superscript"/>
        </w:rPr>
        <w:t>e</w:t>
      </w:r>
      <w:r w:rsidRPr="00543429">
        <w:rPr>
          <w:rFonts w:cstheme="minorHAnsi"/>
          <w:color w:val="000000" w:themeColor="text1"/>
        </w:rPr>
        <w:t xml:space="preserve">, Sally </w:t>
      </w:r>
      <w:proofErr w:type="spellStart"/>
      <w:r w:rsidRPr="00543429">
        <w:rPr>
          <w:rFonts w:cstheme="minorHAnsi"/>
          <w:color w:val="000000" w:themeColor="text1"/>
        </w:rPr>
        <w:t>Ellis</w:t>
      </w:r>
      <w:r w:rsidR="00932FE0">
        <w:rPr>
          <w:rFonts w:cstheme="minorHAnsi"/>
          <w:color w:val="000000" w:themeColor="text1"/>
          <w:vertAlign w:val="superscript"/>
        </w:rPr>
        <w:t>e</w:t>
      </w:r>
      <w:proofErr w:type="spellEnd"/>
      <w:r w:rsidRPr="00543429">
        <w:rPr>
          <w:rFonts w:cstheme="minorHAnsi"/>
          <w:color w:val="000000" w:themeColor="text1"/>
        </w:rPr>
        <w:t xml:space="preserve">, François </w:t>
      </w:r>
      <w:proofErr w:type="spellStart"/>
      <w:r w:rsidRPr="00543429">
        <w:rPr>
          <w:rFonts w:cstheme="minorHAnsi"/>
          <w:color w:val="000000" w:themeColor="text1"/>
        </w:rPr>
        <w:t>Franceschi</w:t>
      </w:r>
      <w:r w:rsidR="00932FE0">
        <w:rPr>
          <w:rFonts w:cstheme="minorHAnsi"/>
          <w:color w:val="000000" w:themeColor="text1"/>
          <w:vertAlign w:val="superscript"/>
        </w:rPr>
        <w:t>e</w:t>
      </w:r>
      <w:proofErr w:type="spellEnd"/>
      <w:r w:rsidR="001B782D" w:rsidRPr="00543429">
        <w:rPr>
          <w:rFonts w:cstheme="minorHAnsi"/>
          <w:color w:val="000000" w:themeColor="text1"/>
        </w:rPr>
        <w:t xml:space="preserve">, </w:t>
      </w:r>
      <w:r w:rsidR="00DB68ED" w:rsidRPr="00543429">
        <w:rPr>
          <w:rFonts w:cstheme="minorHAnsi"/>
          <w:color w:val="000000" w:themeColor="text1"/>
        </w:rPr>
        <w:t>Jo</w:t>
      </w:r>
      <w:r w:rsidR="003414D1" w:rsidRPr="00543429">
        <w:rPr>
          <w:rFonts w:cstheme="minorHAnsi"/>
          <w:color w:val="000000" w:themeColor="text1"/>
        </w:rPr>
        <w:t>seph F</w:t>
      </w:r>
      <w:r w:rsidR="00DB68ED" w:rsidRPr="00543429">
        <w:rPr>
          <w:rFonts w:cstheme="minorHAnsi"/>
          <w:color w:val="000000" w:themeColor="text1"/>
        </w:rPr>
        <w:t xml:space="preserve"> </w:t>
      </w:r>
      <w:proofErr w:type="spellStart"/>
      <w:r w:rsidR="00DB68ED" w:rsidRPr="00543429">
        <w:rPr>
          <w:rFonts w:cstheme="minorHAnsi"/>
          <w:color w:val="000000" w:themeColor="text1"/>
        </w:rPr>
        <w:t>Standing</w:t>
      </w:r>
      <w:r w:rsidR="00932FE0">
        <w:rPr>
          <w:rFonts w:cstheme="minorHAnsi"/>
          <w:color w:val="000000" w:themeColor="text1"/>
          <w:vertAlign w:val="superscript"/>
        </w:rPr>
        <w:t>c</w:t>
      </w:r>
      <w:proofErr w:type="spellEnd"/>
      <w:r w:rsidR="00DB68ED" w:rsidRPr="00543429">
        <w:rPr>
          <w:rFonts w:cstheme="minorHAnsi"/>
          <w:color w:val="000000" w:themeColor="text1"/>
        </w:rPr>
        <w:t xml:space="preserve">, </w:t>
      </w:r>
      <w:r w:rsidR="001B782D" w:rsidRPr="00543429">
        <w:rPr>
          <w:rFonts w:cstheme="minorHAnsi"/>
          <w:color w:val="000000" w:themeColor="text1"/>
        </w:rPr>
        <w:t xml:space="preserve">Mike </w:t>
      </w:r>
      <w:proofErr w:type="spellStart"/>
      <w:r w:rsidR="001B782D" w:rsidRPr="00543429">
        <w:rPr>
          <w:rFonts w:cstheme="minorHAnsi"/>
          <w:color w:val="000000" w:themeColor="text1"/>
        </w:rPr>
        <w:t>Sharland</w:t>
      </w:r>
      <w:r w:rsidR="00932FE0">
        <w:rPr>
          <w:rFonts w:cstheme="minorHAnsi"/>
          <w:color w:val="000000" w:themeColor="text1"/>
          <w:vertAlign w:val="superscript"/>
        </w:rPr>
        <w:t>f</w:t>
      </w:r>
      <w:proofErr w:type="spellEnd"/>
      <w:r w:rsidR="001B782D" w:rsidRPr="00543429">
        <w:rPr>
          <w:rFonts w:cstheme="minorHAnsi"/>
          <w:color w:val="000000" w:themeColor="text1"/>
        </w:rPr>
        <w:t>,</w:t>
      </w:r>
      <w:r w:rsidRPr="00543429">
        <w:rPr>
          <w:rFonts w:cstheme="minorHAnsi"/>
          <w:color w:val="000000" w:themeColor="text1"/>
        </w:rPr>
        <w:t xml:space="preserve"> </w:t>
      </w:r>
      <w:r w:rsidR="00235743" w:rsidRPr="00543429">
        <w:rPr>
          <w:rFonts w:cstheme="minorHAnsi"/>
          <w:color w:val="000000" w:themeColor="text1"/>
        </w:rPr>
        <w:t xml:space="preserve">Michael </w:t>
      </w:r>
      <w:proofErr w:type="spellStart"/>
      <w:r w:rsidR="00235743" w:rsidRPr="00543429">
        <w:rPr>
          <w:rFonts w:cstheme="minorHAnsi"/>
          <w:color w:val="000000" w:themeColor="text1"/>
        </w:rPr>
        <w:t>Neely</w:t>
      </w:r>
      <w:r w:rsidR="00932FE0">
        <w:rPr>
          <w:rFonts w:cstheme="minorHAnsi"/>
          <w:color w:val="000000" w:themeColor="text1"/>
          <w:vertAlign w:val="superscript"/>
        </w:rPr>
        <w:t>g</w:t>
      </w:r>
      <w:proofErr w:type="spellEnd"/>
      <w:r w:rsidR="00235743" w:rsidRPr="00543429">
        <w:rPr>
          <w:rFonts w:cstheme="minorHAnsi"/>
          <w:color w:val="000000" w:themeColor="text1"/>
        </w:rPr>
        <w:t xml:space="preserve">, </w:t>
      </w:r>
      <w:r w:rsidRPr="00543429">
        <w:rPr>
          <w:rFonts w:cstheme="minorHAnsi"/>
          <w:color w:val="000000" w:themeColor="text1"/>
        </w:rPr>
        <w:t xml:space="preserve">Laura </w:t>
      </w:r>
      <w:proofErr w:type="spellStart"/>
      <w:r w:rsidRPr="00543429">
        <w:rPr>
          <w:rFonts w:cstheme="minorHAnsi"/>
          <w:color w:val="000000" w:themeColor="text1"/>
        </w:rPr>
        <w:t>Piddock</w:t>
      </w:r>
      <w:r w:rsidR="00932FE0">
        <w:rPr>
          <w:rFonts w:cstheme="minorHAnsi"/>
          <w:color w:val="000000" w:themeColor="text1"/>
          <w:vertAlign w:val="superscript"/>
        </w:rPr>
        <w:t>e</w:t>
      </w:r>
      <w:r w:rsidR="004A1D73" w:rsidRPr="00543429">
        <w:rPr>
          <w:rFonts w:cstheme="minorHAnsi"/>
          <w:color w:val="000000" w:themeColor="text1"/>
          <w:vertAlign w:val="superscript"/>
        </w:rPr>
        <w:t>,</w:t>
      </w:r>
      <w:r w:rsidR="00932FE0">
        <w:rPr>
          <w:rFonts w:cstheme="minorHAnsi"/>
          <w:color w:val="000000" w:themeColor="text1"/>
          <w:vertAlign w:val="superscript"/>
        </w:rPr>
        <w:t>h</w:t>
      </w:r>
      <w:proofErr w:type="spellEnd"/>
      <w:r w:rsidRPr="00543429">
        <w:rPr>
          <w:rFonts w:cstheme="minorHAnsi"/>
          <w:color w:val="000000" w:themeColor="text1"/>
        </w:rPr>
        <w:t xml:space="preserve">, </w:t>
      </w:r>
      <w:proofErr w:type="spellStart"/>
      <w:r w:rsidRPr="00543429">
        <w:rPr>
          <w:rFonts w:cstheme="minorHAnsi"/>
          <w:color w:val="000000" w:themeColor="text1"/>
        </w:rPr>
        <w:t>Shampa</w:t>
      </w:r>
      <w:proofErr w:type="spellEnd"/>
      <w:r w:rsidRPr="00543429">
        <w:rPr>
          <w:rFonts w:cstheme="minorHAnsi"/>
          <w:color w:val="000000" w:themeColor="text1"/>
        </w:rPr>
        <w:t xml:space="preserve"> </w:t>
      </w:r>
      <w:proofErr w:type="spellStart"/>
      <w:r w:rsidRPr="00543429">
        <w:rPr>
          <w:rFonts w:cstheme="minorHAnsi"/>
          <w:color w:val="000000" w:themeColor="text1"/>
        </w:rPr>
        <w:t>Das</w:t>
      </w:r>
      <w:r w:rsidR="00932FE0">
        <w:rPr>
          <w:rFonts w:cstheme="minorHAnsi"/>
          <w:color w:val="000000" w:themeColor="text1"/>
          <w:vertAlign w:val="superscript"/>
        </w:rPr>
        <w:t>a</w:t>
      </w:r>
      <w:proofErr w:type="spellEnd"/>
      <w:r w:rsidRPr="00543429">
        <w:rPr>
          <w:rFonts w:cstheme="minorHAnsi"/>
          <w:color w:val="000000" w:themeColor="text1"/>
        </w:rPr>
        <w:t xml:space="preserve">, William </w:t>
      </w:r>
      <w:proofErr w:type="spellStart"/>
      <w:r w:rsidRPr="00543429">
        <w:rPr>
          <w:rFonts w:cstheme="minorHAnsi"/>
          <w:color w:val="000000" w:themeColor="text1"/>
        </w:rPr>
        <w:t>Hope</w:t>
      </w:r>
      <w:r w:rsidR="00932FE0">
        <w:rPr>
          <w:rFonts w:cstheme="minorHAnsi"/>
          <w:color w:val="000000" w:themeColor="text1"/>
          <w:vertAlign w:val="superscript"/>
        </w:rPr>
        <w:t>a</w:t>
      </w:r>
      <w:proofErr w:type="spellEnd"/>
      <w:r w:rsidR="00774414" w:rsidRPr="00543429">
        <w:rPr>
          <w:rFonts w:cstheme="minorHAnsi"/>
          <w:color w:val="000000" w:themeColor="text1"/>
          <w:vertAlign w:val="superscript"/>
        </w:rPr>
        <w:t xml:space="preserve"> </w:t>
      </w:r>
    </w:p>
    <w:p w14:paraId="1AAB8998" w14:textId="58A7E1CF" w:rsidR="00872AC0" w:rsidRPr="00543429" w:rsidRDefault="00932FE0" w:rsidP="00E72EBF">
      <w:pPr>
        <w:spacing w:after="120" w:line="480" w:lineRule="auto"/>
        <w:rPr>
          <w:rFonts w:cstheme="minorHAnsi"/>
          <w:color w:val="000000" w:themeColor="text1"/>
        </w:rPr>
      </w:pPr>
      <w:proofErr w:type="spellStart"/>
      <w:proofErr w:type="gramStart"/>
      <w:r>
        <w:rPr>
          <w:rFonts w:cstheme="minorHAnsi"/>
          <w:color w:val="000000" w:themeColor="text1"/>
          <w:vertAlign w:val="superscript"/>
        </w:rPr>
        <w:t>a</w:t>
      </w:r>
      <w:proofErr w:type="spellEnd"/>
      <w:proofErr w:type="gramEnd"/>
      <w:r w:rsidR="00872AC0" w:rsidRPr="00543429">
        <w:rPr>
          <w:rFonts w:cstheme="minorHAnsi"/>
          <w:color w:val="000000" w:themeColor="text1"/>
          <w:vertAlign w:val="superscript"/>
        </w:rPr>
        <w:t xml:space="preserve"> </w:t>
      </w:r>
      <w:r w:rsidR="00872AC0" w:rsidRPr="00543429">
        <w:rPr>
          <w:rFonts w:cstheme="minorHAnsi"/>
          <w:color w:val="000000" w:themeColor="text1"/>
        </w:rPr>
        <w:t>Antimicrobial Pharmacodynamics and Therapeutics, University of Liverpool, Liverpool Health Partners, UK</w:t>
      </w:r>
    </w:p>
    <w:p w14:paraId="41CA5679" w14:textId="645BA53B" w:rsidR="00872AC0" w:rsidRPr="00543429" w:rsidRDefault="00932FE0" w:rsidP="00E72EBF">
      <w:pPr>
        <w:spacing w:after="120" w:line="480" w:lineRule="auto"/>
        <w:rPr>
          <w:rFonts w:cstheme="minorHAnsi"/>
          <w:color w:val="000000" w:themeColor="text1"/>
        </w:rPr>
      </w:pPr>
      <w:r>
        <w:rPr>
          <w:rFonts w:cstheme="minorHAnsi"/>
          <w:color w:val="000000" w:themeColor="text1"/>
          <w:vertAlign w:val="superscript"/>
        </w:rPr>
        <w:t>b</w:t>
      </w:r>
      <w:r w:rsidR="00872AC0" w:rsidRPr="00543429">
        <w:rPr>
          <w:rFonts w:cstheme="minorHAnsi"/>
          <w:color w:val="000000" w:themeColor="text1"/>
          <w:vertAlign w:val="superscript"/>
        </w:rPr>
        <w:t xml:space="preserve"> </w:t>
      </w:r>
      <w:r w:rsidR="00C52B76" w:rsidRPr="00543429">
        <w:rPr>
          <w:rFonts w:cstheme="minorHAnsi"/>
          <w:color w:val="000000" w:themeColor="text1"/>
          <w:lang w:val="es-ES"/>
        </w:rPr>
        <w:t xml:space="preserve">Departamento de Microbiología, Universidad de Sevilla, Sevilla, </w:t>
      </w:r>
      <w:r w:rsidR="00872AC0" w:rsidRPr="00543429">
        <w:rPr>
          <w:rFonts w:cstheme="minorHAnsi"/>
          <w:color w:val="000000" w:themeColor="text1"/>
        </w:rPr>
        <w:t>Spain</w:t>
      </w:r>
    </w:p>
    <w:p w14:paraId="79E2EF58" w14:textId="602B0FAD" w:rsidR="00236244" w:rsidRPr="00543429" w:rsidRDefault="00932FE0" w:rsidP="00E72EBF">
      <w:pPr>
        <w:spacing w:after="120" w:line="480" w:lineRule="auto"/>
        <w:rPr>
          <w:rFonts w:cstheme="minorHAnsi"/>
          <w:color w:val="000000" w:themeColor="text1"/>
        </w:rPr>
      </w:pPr>
      <w:r>
        <w:rPr>
          <w:rFonts w:cstheme="minorHAnsi"/>
          <w:color w:val="000000" w:themeColor="text1"/>
          <w:vertAlign w:val="superscript"/>
        </w:rPr>
        <w:t>c</w:t>
      </w:r>
      <w:r w:rsidR="00872AC0" w:rsidRPr="00543429">
        <w:rPr>
          <w:rFonts w:cstheme="minorHAnsi"/>
          <w:color w:val="000000" w:themeColor="text1"/>
        </w:rPr>
        <w:t xml:space="preserve"> </w:t>
      </w:r>
      <w:r w:rsidR="003414D1" w:rsidRPr="00543429">
        <w:rPr>
          <w:rFonts w:cstheme="minorHAnsi"/>
          <w:color w:val="000000" w:themeColor="text1"/>
        </w:rPr>
        <w:t>Great Ormond Street Institute of Child Health, University College London, London, UK.</w:t>
      </w:r>
    </w:p>
    <w:p w14:paraId="6D7BD014" w14:textId="507C6E67" w:rsidR="00DB68ED" w:rsidRPr="00543429" w:rsidRDefault="00932FE0" w:rsidP="00E72EBF">
      <w:pPr>
        <w:spacing w:after="120" w:line="480" w:lineRule="auto"/>
        <w:rPr>
          <w:rFonts w:cstheme="minorHAnsi"/>
          <w:color w:val="000000" w:themeColor="text1"/>
        </w:rPr>
      </w:pPr>
      <w:r>
        <w:rPr>
          <w:rFonts w:cstheme="minorHAnsi"/>
          <w:color w:val="000000" w:themeColor="text1"/>
          <w:vertAlign w:val="superscript"/>
        </w:rPr>
        <w:t>d</w:t>
      </w:r>
      <w:r w:rsidR="00DB68ED" w:rsidRPr="00543429">
        <w:rPr>
          <w:rFonts w:cstheme="minorHAnsi"/>
          <w:color w:val="000000" w:themeColor="text1"/>
        </w:rPr>
        <w:t xml:space="preserve"> </w:t>
      </w:r>
      <w:r w:rsidR="0082240B" w:rsidRPr="00543429">
        <w:rPr>
          <w:rFonts w:cstheme="minorHAnsi"/>
          <w:color w:val="000000" w:themeColor="text1"/>
        </w:rPr>
        <w:t>Department of Health Data Science, University of Liverpool, Liverpool Health Partners, UK</w:t>
      </w:r>
    </w:p>
    <w:p w14:paraId="0A643A06" w14:textId="0A2F78EC" w:rsidR="00872AC0" w:rsidRPr="00543429" w:rsidRDefault="00932FE0" w:rsidP="00E72EBF">
      <w:pPr>
        <w:spacing w:after="120" w:line="480" w:lineRule="auto"/>
        <w:rPr>
          <w:rFonts w:cstheme="minorHAnsi"/>
          <w:color w:val="000000" w:themeColor="text1"/>
        </w:rPr>
      </w:pPr>
      <w:r>
        <w:rPr>
          <w:rFonts w:cstheme="minorHAnsi"/>
          <w:color w:val="000000" w:themeColor="text1"/>
          <w:vertAlign w:val="superscript"/>
        </w:rPr>
        <w:t>e</w:t>
      </w:r>
      <w:r w:rsidR="004A1D73" w:rsidRPr="00543429">
        <w:rPr>
          <w:rFonts w:cstheme="minorHAnsi"/>
          <w:color w:val="000000" w:themeColor="text1"/>
        </w:rPr>
        <w:t xml:space="preserve"> </w:t>
      </w:r>
      <w:r w:rsidR="00872AC0" w:rsidRPr="00543429">
        <w:rPr>
          <w:rFonts w:cstheme="minorHAnsi"/>
          <w:color w:val="000000" w:themeColor="text1"/>
        </w:rPr>
        <w:t>Global Antibiotic Research and Development Partnership, 15 Chemin Louis-Dunant, 1202 Geneva, Switzerland</w:t>
      </w:r>
    </w:p>
    <w:p w14:paraId="76C2AC43" w14:textId="03C447F4" w:rsidR="00B15F34" w:rsidRPr="00543429" w:rsidRDefault="00932FE0" w:rsidP="00E72EBF">
      <w:pPr>
        <w:spacing w:line="480" w:lineRule="auto"/>
        <w:rPr>
          <w:rFonts w:cstheme="minorHAnsi"/>
          <w:color w:val="000000" w:themeColor="text1"/>
        </w:rPr>
      </w:pPr>
      <w:r>
        <w:rPr>
          <w:rFonts w:cstheme="minorHAnsi"/>
          <w:color w:val="000000" w:themeColor="text1"/>
          <w:vertAlign w:val="superscript"/>
        </w:rPr>
        <w:t>f</w:t>
      </w:r>
      <w:r w:rsidR="00B15F34" w:rsidRPr="00543429">
        <w:rPr>
          <w:rFonts w:cstheme="minorHAnsi"/>
          <w:color w:val="000000" w:themeColor="text1"/>
        </w:rPr>
        <w:t xml:space="preserve"> Paediatric Infectious Diseases Research Group,</w:t>
      </w:r>
      <w:r w:rsidR="00292215" w:rsidRPr="00543429">
        <w:rPr>
          <w:rFonts w:cstheme="minorHAnsi"/>
          <w:color w:val="000000" w:themeColor="text1"/>
        </w:rPr>
        <w:t xml:space="preserve"> </w:t>
      </w:r>
      <w:r w:rsidR="00B15F34" w:rsidRPr="00543429">
        <w:rPr>
          <w:rFonts w:cstheme="minorHAnsi"/>
          <w:color w:val="000000" w:themeColor="text1"/>
        </w:rPr>
        <w:t>St George’s University of London, UK</w:t>
      </w:r>
    </w:p>
    <w:p w14:paraId="724DBFC0" w14:textId="7179B15E" w:rsidR="004C13E7" w:rsidRPr="00543429" w:rsidRDefault="00932FE0" w:rsidP="00E72EBF">
      <w:pPr>
        <w:spacing w:after="120" w:line="480" w:lineRule="auto"/>
        <w:rPr>
          <w:rFonts w:cstheme="minorHAnsi"/>
          <w:color w:val="000000" w:themeColor="text1"/>
        </w:rPr>
      </w:pPr>
      <w:r>
        <w:rPr>
          <w:rFonts w:cstheme="minorHAnsi"/>
          <w:color w:val="000000" w:themeColor="text1"/>
          <w:vertAlign w:val="superscript"/>
        </w:rPr>
        <w:t>g</w:t>
      </w:r>
      <w:r w:rsidR="00872AC0" w:rsidRPr="00543429">
        <w:rPr>
          <w:rFonts w:cstheme="minorHAnsi"/>
          <w:color w:val="000000" w:themeColor="text1"/>
        </w:rPr>
        <w:t xml:space="preserve"> </w:t>
      </w:r>
      <w:r w:rsidR="004C13E7" w:rsidRPr="00543429">
        <w:rPr>
          <w:rFonts w:cstheme="minorHAnsi"/>
          <w:color w:val="000000" w:themeColor="text1"/>
        </w:rPr>
        <w:t>Children’s Hospital Los Angeles and the Keck School of Medicine, University of Southern California, Los Angeles, CA, USA</w:t>
      </w:r>
      <w:r w:rsidR="004C13E7" w:rsidRPr="00543429" w:rsidDel="004C13E7">
        <w:rPr>
          <w:rFonts w:cstheme="minorHAnsi"/>
          <w:color w:val="000000" w:themeColor="text1"/>
          <w:highlight w:val="yellow"/>
        </w:rPr>
        <w:t xml:space="preserve"> </w:t>
      </w:r>
    </w:p>
    <w:p w14:paraId="6338C7B7" w14:textId="27DA7331" w:rsidR="00872AC0" w:rsidRDefault="00932FE0" w:rsidP="00E72EBF">
      <w:pPr>
        <w:spacing w:after="120" w:line="480" w:lineRule="auto"/>
        <w:rPr>
          <w:rFonts w:cstheme="minorHAnsi"/>
          <w:color w:val="000000" w:themeColor="text1"/>
        </w:rPr>
      </w:pPr>
      <w:r>
        <w:rPr>
          <w:rFonts w:cstheme="minorHAnsi"/>
          <w:color w:val="000000" w:themeColor="text1"/>
          <w:vertAlign w:val="superscript"/>
        </w:rPr>
        <w:t>h</w:t>
      </w:r>
      <w:r w:rsidR="00DB68ED" w:rsidRPr="00543429">
        <w:rPr>
          <w:rFonts w:cstheme="minorHAnsi"/>
          <w:color w:val="000000" w:themeColor="text1"/>
          <w:vertAlign w:val="superscript"/>
        </w:rPr>
        <w:t xml:space="preserve"> </w:t>
      </w:r>
      <w:r w:rsidR="00872AC0" w:rsidRPr="00543429">
        <w:rPr>
          <w:rFonts w:cstheme="minorHAnsi"/>
          <w:color w:val="000000" w:themeColor="text1"/>
        </w:rPr>
        <w:t>Antimicrobials Research Group, School of Immunity and Infection, Institute for Microbiology and Infection, University of Birmingham, UK</w:t>
      </w:r>
    </w:p>
    <w:p w14:paraId="0281F6B2" w14:textId="0D0C098F" w:rsidR="00144425" w:rsidRDefault="00144425" w:rsidP="00E72EBF">
      <w:pPr>
        <w:spacing w:after="120" w:line="480" w:lineRule="auto"/>
        <w:rPr>
          <w:rFonts w:cstheme="minorHAnsi"/>
          <w:color w:val="000000" w:themeColor="text1"/>
        </w:rPr>
      </w:pPr>
    </w:p>
    <w:p w14:paraId="21D769A6" w14:textId="5FA7DDD7" w:rsidR="00144425" w:rsidRPr="00144425" w:rsidRDefault="00144425" w:rsidP="00144425">
      <w:pPr>
        <w:spacing w:line="480" w:lineRule="auto"/>
        <w:rPr>
          <w:rFonts w:ascii="Verdana" w:eastAsia="Times New Roman" w:hAnsi="Verdana" w:cs="Times New Roman"/>
          <w:color w:val="000000"/>
          <w:sz w:val="22"/>
          <w:szCs w:val="22"/>
          <w:shd w:val="clear" w:color="auto" w:fill="FFFFFF"/>
          <w:lang w:eastAsia="en-GB"/>
        </w:rPr>
      </w:pPr>
      <w:r>
        <w:rPr>
          <w:rFonts w:cstheme="minorHAnsi"/>
          <w:color w:val="000000" w:themeColor="text1"/>
        </w:rPr>
        <w:t xml:space="preserve">Running head: </w:t>
      </w:r>
      <w:r w:rsidRPr="009526A6">
        <w:rPr>
          <w:rFonts w:cstheme="minorHAnsi"/>
          <w:color w:val="000000" w:themeColor="text1"/>
        </w:rPr>
        <w:t>Amikacin and fosfomycin combination pharmacodynamics</w:t>
      </w:r>
    </w:p>
    <w:p w14:paraId="36D1C7D0" w14:textId="77777777" w:rsidR="00144425" w:rsidRPr="00543429" w:rsidRDefault="00144425" w:rsidP="00E72EBF">
      <w:pPr>
        <w:spacing w:after="120" w:line="480" w:lineRule="auto"/>
        <w:rPr>
          <w:rFonts w:cstheme="minorHAnsi"/>
          <w:color w:val="000000" w:themeColor="text1"/>
        </w:rPr>
      </w:pPr>
    </w:p>
    <w:p w14:paraId="1EE66A56" w14:textId="53C83CA5" w:rsidR="00144425" w:rsidRDefault="00144425" w:rsidP="00144425">
      <w:pPr>
        <w:shd w:val="clear" w:color="auto" w:fill="FFFFFF"/>
        <w:spacing w:after="120" w:line="480" w:lineRule="auto"/>
        <w:rPr>
          <w:rFonts w:eastAsia="Times New Roman" w:cstheme="minorHAnsi"/>
          <w:color w:val="000000" w:themeColor="text1"/>
        </w:rPr>
      </w:pPr>
      <w:r>
        <w:rPr>
          <w:rFonts w:cstheme="minorHAnsi"/>
          <w:bCs/>
          <w:color w:val="000000" w:themeColor="text1"/>
        </w:rPr>
        <w:t># Address correspondence to Christopher A. Darlow,</w:t>
      </w:r>
      <w:r w:rsidR="00872AC0" w:rsidRPr="00543429">
        <w:rPr>
          <w:rFonts w:cstheme="minorHAnsi"/>
          <w:color w:val="000000" w:themeColor="text1"/>
        </w:rPr>
        <w:t xml:space="preserve"> </w:t>
      </w:r>
      <w:hyperlink r:id="rId8" w:history="1">
        <w:r w:rsidR="00872AC0" w:rsidRPr="00543429">
          <w:rPr>
            <w:rFonts w:cstheme="minorHAnsi"/>
            <w:color w:val="000000" w:themeColor="text1"/>
            <w:u w:val="single"/>
          </w:rPr>
          <w:t>cdarlow@liverpool.ac.uk</w:t>
        </w:r>
      </w:hyperlink>
      <w:r w:rsidR="00F41EF3" w:rsidRPr="00543429">
        <w:rPr>
          <w:rFonts w:eastAsiaTheme="minorEastAsia" w:cstheme="minorHAnsi"/>
          <w:noProof/>
          <w:color w:val="323E4F"/>
          <w:sz w:val="18"/>
          <w:szCs w:val="18"/>
          <w:lang w:eastAsia="en-GB"/>
        </w:rPr>
        <w:t xml:space="preserve"> </w:t>
      </w:r>
      <w:r>
        <w:rPr>
          <w:rFonts w:eastAsia="Times New Roman" w:cstheme="minorHAnsi"/>
          <w:color w:val="000000" w:themeColor="text1"/>
        </w:rPr>
        <w:br w:type="page"/>
      </w:r>
    </w:p>
    <w:p w14:paraId="350F7B58" w14:textId="1D8DA159" w:rsidR="00D76658" w:rsidRPr="00F533B4" w:rsidRDefault="00D76658" w:rsidP="00E72EBF">
      <w:pPr>
        <w:spacing w:before="120" w:line="480" w:lineRule="auto"/>
        <w:rPr>
          <w:rFonts w:cstheme="minorHAnsi"/>
          <w:b/>
          <w:color w:val="000000" w:themeColor="text1"/>
        </w:rPr>
      </w:pPr>
      <w:r w:rsidRPr="00F533B4">
        <w:rPr>
          <w:rFonts w:cstheme="minorHAnsi"/>
          <w:b/>
          <w:color w:val="000000" w:themeColor="text1"/>
        </w:rPr>
        <w:lastRenderedPageBreak/>
        <w:t>ABSTRACT</w:t>
      </w:r>
    </w:p>
    <w:p w14:paraId="10B2D4AE" w14:textId="12CCB7BC" w:rsidR="00FD5E21" w:rsidRDefault="00161B87" w:rsidP="00E72EBF">
      <w:pPr>
        <w:spacing w:line="480" w:lineRule="auto"/>
        <w:rPr>
          <w:rFonts w:cstheme="minorHAnsi"/>
          <w:color w:val="000000" w:themeColor="text1"/>
        </w:rPr>
      </w:pPr>
      <w:r w:rsidRPr="00F533B4">
        <w:rPr>
          <w:rFonts w:cstheme="minorHAnsi"/>
          <w:color w:val="000000" w:themeColor="text1"/>
        </w:rPr>
        <w:t xml:space="preserve">Antimicrobial resistance (particularly by </w:t>
      </w:r>
      <w:r w:rsidR="00FD5E21">
        <w:rPr>
          <w:rFonts w:cstheme="minorHAnsi"/>
          <w:color w:val="000000" w:themeColor="text1"/>
        </w:rPr>
        <w:t>extended</w:t>
      </w:r>
      <w:r w:rsidR="00F2103F">
        <w:rPr>
          <w:rFonts w:cstheme="minorHAnsi"/>
          <w:color w:val="000000" w:themeColor="text1"/>
        </w:rPr>
        <w:t xml:space="preserve"> </w:t>
      </w:r>
      <w:r w:rsidR="00FD5E21">
        <w:rPr>
          <w:rFonts w:cstheme="minorHAnsi"/>
          <w:color w:val="000000" w:themeColor="text1"/>
        </w:rPr>
        <w:t xml:space="preserve">spectrum </w:t>
      </w:r>
      <w:r w:rsidR="00FD5E21">
        <w:rPr>
          <w:rFonts w:cstheme="minorHAnsi"/>
          <w:color w:val="000000" w:themeColor="text1"/>
        </w:rPr>
        <w:sym w:font="Symbol" w:char="F062"/>
      </w:r>
      <w:r w:rsidR="00FD5E21">
        <w:rPr>
          <w:rFonts w:cstheme="minorHAnsi"/>
          <w:color w:val="000000" w:themeColor="text1"/>
        </w:rPr>
        <w:t>-lactamase</w:t>
      </w:r>
      <w:r w:rsidRPr="00F533B4">
        <w:rPr>
          <w:rFonts w:cstheme="minorHAnsi"/>
          <w:color w:val="000000" w:themeColor="text1"/>
        </w:rPr>
        <w:t xml:space="preserve"> and </w:t>
      </w:r>
      <w:r w:rsidR="00FD5E21">
        <w:rPr>
          <w:rFonts w:cstheme="minorHAnsi"/>
          <w:color w:val="000000" w:themeColor="text1"/>
        </w:rPr>
        <w:t xml:space="preserve">aminoglycoside modifying enzyme </w:t>
      </w:r>
      <w:r w:rsidRPr="00F533B4">
        <w:rPr>
          <w:rFonts w:cstheme="minorHAnsi"/>
          <w:color w:val="000000" w:themeColor="text1"/>
        </w:rPr>
        <w:t>production) in neonatal sepsis is a global problem, particularly in low- and middle-income countries</w:t>
      </w:r>
      <w:r w:rsidR="0020633E">
        <w:rPr>
          <w:rFonts w:cstheme="minorHAnsi"/>
          <w:color w:val="000000" w:themeColor="text1"/>
        </w:rPr>
        <w:t>,</w:t>
      </w:r>
      <w:r w:rsidRPr="00F533B4">
        <w:rPr>
          <w:rFonts w:cstheme="minorHAnsi"/>
          <w:color w:val="000000" w:themeColor="text1"/>
        </w:rPr>
        <w:t xml:space="preserve"> causing </w:t>
      </w:r>
      <w:r w:rsidR="009D547B">
        <w:rPr>
          <w:rFonts w:cstheme="minorHAnsi"/>
          <w:color w:val="000000" w:themeColor="text1"/>
        </w:rPr>
        <w:t>significant mortality</w:t>
      </w:r>
      <w:r w:rsidRPr="00F533B4">
        <w:rPr>
          <w:rFonts w:cstheme="minorHAnsi"/>
          <w:color w:val="000000" w:themeColor="text1"/>
        </w:rPr>
        <w:t xml:space="preserve">. </w:t>
      </w:r>
      <w:r w:rsidR="0020633E">
        <w:rPr>
          <w:rFonts w:cstheme="minorHAnsi"/>
          <w:color w:val="000000" w:themeColor="text1"/>
        </w:rPr>
        <w:t>High rates of resist</w:t>
      </w:r>
      <w:r w:rsidR="00F41EF3">
        <w:rPr>
          <w:rFonts w:cstheme="minorHAnsi"/>
          <w:color w:val="000000" w:themeColor="text1"/>
        </w:rPr>
        <w:t>ance</w:t>
      </w:r>
      <w:r w:rsidR="0020633E">
        <w:rPr>
          <w:rFonts w:cstheme="minorHAnsi"/>
          <w:color w:val="000000" w:themeColor="text1"/>
        </w:rPr>
        <w:t xml:space="preserve"> are reported </w:t>
      </w:r>
      <w:r w:rsidR="00F41EF3">
        <w:rPr>
          <w:rFonts w:cstheme="minorHAnsi"/>
          <w:color w:val="000000" w:themeColor="text1"/>
        </w:rPr>
        <w:t xml:space="preserve">for </w:t>
      </w:r>
      <w:r w:rsidR="0020633E">
        <w:rPr>
          <w:rFonts w:cstheme="minorHAnsi"/>
          <w:color w:val="000000" w:themeColor="text1"/>
        </w:rPr>
        <w:t>t</w:t>
      </w:r>
      <w:r w:rsidRPr="00F533B4">
        <w:rPr>
          <w:rFonts w:cstheme="minorHAnsi"/>
          <w:color w:val="000000" w:themeColor="text1"/>
        </w:rPr>
        <w:t>he current WHO</w:t>
      </w:r>
      <w:r w:rsidR="00E93941">
        <w:rPr>
          <w:rFonts w:cstheme="minorHAnsi"/>
          <w:color w:val="000000" w:themeColor="text1"/>
        </w:rPr>
        <w:t>-</w:t>
      </w:r>
      <w:r w:rsidRPr="00F533B4">
        <w:rPr>
          <w:rFonts w:cstheme="minorHAnsi"/>
          <w:color w:val="000000" w:themeColor="text1"/>
        </w:rPr>
        <w:t xml:space="preserve">recommended </w:t>
      </w:r>
      <w:r w:rsidR="002D15D8">
        <w:rPr>
          <w:rFonts w:cstheme="minorHAnsi"/>
          <w:color w:val="000000" w:themeColor="text1"/>
        </w:rPr>
        <w:t xml:space="preserve">first-line </w:t>
      </w:r>
      <w:r w:rsidR="0020633E">
        <w:rPr>
          <w:rFonts w:cstheme="minorHAnsi"/>
          <w:color w:val="000000" w:themeColor="text1"/>
        </w:rPr>
        <w:t xml:space="preserve">antibiotic </w:t>
      </w:r>
      <w:r w:rsidRPr="00F533B4">
        <w:rPr>
          <w:rFonts w:cstheme="minorHAnsi"/>
          <w:color w:val="000000" w:themeColor="text1"/>
        </w:rPr>
        <w:t>regimen</w:t>
      </w:r>
      <w:r w:rsidR="0020633E">
        <w:rPr>
          <w:rFonts w:cstheme="minorHAnsi"/>
          <w:color w:val="000000" w:themeColor="text1"/>
        </w:rPr>
        <w:t xml:space="preserve"> for neonatal </w:t>
      </w:r>
      <w:proofErr w:type="gramStart"/>
      <w:r w:rsidR="0020633E">
        <w:rPr>
          <w:rFonts w:cstheme="minorHAnsi"/>
          <w:color w:val="000000" w:themeColor="text1"/>
        </w:rPr>
        <w:t>sepsis</w:t>
      </w:r>
      <w:r w:rsidR="004C67B4">
        <w:rPr>
          <w:rFonts w:cstheme="minorHAnsi"/>
          <w:color w:val="000000" w:themeColor="text1"/>
        </w:rPr>
        <w:t>;</w:t>
      </w:r>
      <w:proofErr w:type="gramEnd"/>
      <w:r w:rsidRPr="00F533B4">
        <w:rPr>
          <w:rFonts w:cstheme="minorHAnsi"/>
          <w:color w:val="000000" w:themeColor="text1"/>
        </w:rPr>
        <w:t xml:space="preserve"> ampicillin and gentamicin. We assessed the utility of fosfomycin and amikacin as a potential </w:t>
      </w:r>
      <w:r w:rsidR="00E93941">
        <w:rPr>
          <w:rFonts w:cstheme="minorHAnsi"/>
          <w:color w:val="000000" w:themeColor="text1"/>
        </w:rPr>
        <w:t>alternative</w:t>
      </w:r>
      <w:r w:rsidRPr="00F533B4">
        <w:rPr>
          <w:rFonts w:cstheme="minorHAnsi"/>
          <w:color w:val="000000" w:themeColor="text1"/>
        </w:rPr>
        <w:t xml:space="preserve"> regimen</w:t>
      </w:r>
      <w:r w:rsidR="00E93941">
        <w:rPr>
          <w:rFonts w:cstheme="minorHAnsi"/>
          <w:color w:val="000000" w:themeColor="text1"/>
        </w:rPr>
        <w:t xml:space="preserve"> to be used in settings of increasingly prevalent </w:t>
      </w:r>
      <w:r w:rsidR="00FD5E21">
        <w:rPr>
          <w:rFonts w:cstheme="minorHAnsi"/>
          <w:color w:val="000000" w:themeColor="text1"/>
        </w:rPr>
        <w:t xml:space="preserve">antimicrobial </w:t>
      </w:r>
      <w:r w:rsidR="00E93941">
        <w:rPr>
          <w:rFonts w:cstheme="minorHAnsi"/>
          <w:color w:val="000000" w:themeColor="text1"/>
        </w:rPr>
        <w:t>resistance</w:t>
      </w:r>
      <w:r w:rsidRPr="00F533B4">
        <w:rPr>
          <w:rFonts w:cstheme="minorHAnsi"/>
          <w:color w:val="000000" w:themeColor="text1"/>
        </w:rPr>
        <w:t xml:space="preserve">. </w:t>
      </w:r>
    </w:p>
    <w:p w14:paraId="134A1A6E" w14:textId="7AD9F9BE" w:rsidR="00FD5E21" w:rsidRDefault="0020633E" w:rsidP="00E72EBF">
      <w:pPr>
        <w:spacing w:line="480" w:lineRule="auto"/>
        <w:rPr>
          <w:rFonts w:cstheme="minorHAnsi"/>
          <w:color w:val="000000" w:themeColor="text1"/>
        </w:rPr>
      </w:pPr>
      <w:r>
        <w:rPr>
          <w:rFonts w:cstheme="minorHAnsi"/>
          <w:color w:val="000000" w:themeColor="text1"/>
        </w:rPr>
        <w:t>The</w:t>
      </w:r>
      <w:r w:rsidR="00E37697">
        <w:rPr>
          <w:rFonts w:cstheme="minorHAnsi"/>
          <w:color w:val="000000" w:themeColor="text1"/>
        </w:rPr>
        <w:t xml:space="preserve"> combination</w:t>
      </w:r>
      <w:r>
        <w:rPr>
          <w:rFonts w:cstheme="minorHAnsi"/>
          <w:color w:val="000000" w:themeColor="text1"/>
        </w:rPr>
        <w:t xml:space="preserve"> was studied</w:t>
      </w:r>
      <w:r w:rsidR="00E37697">
        <w:rPr>
          <w:rFonts w:cstheme="minorHAnsi"/>
          <w:color w:val="000000" w:themeColor="text1"/>
        </w:rPr>
        <w:t xml:space="preserve"> in a</w:t>
      </w:r>
      <w:r w:rsidR="00FD5E21">
        <w:rPr>
          <w:rFonts w:cstheme="minorHAnsi"/>
          <w:color w:val="000000" w:themeColor="text1"/>
        </w:rPr>
        <w:t xml:space="preserve"> </w:t>
      </w:r>
      <w:proofErr w:type="gramStart"/>
      <w:r w:rsidR="00FD5E21">
        <w:rPr>
          <w:rFonts w:cstheme="minorHAnsi"/>
          <w:color w:val="000000" w:themeColor="text1"/>
        </w:rPr>
        <w:t>16 arm</w:t>
      </w:r>
      <w:proofErr w:type="gramEnd"/>
      <w:r w:rsidR="00E37697">
        <w:rPr>
          <w:rFonts w:cstheme="minorHAnsi"/>
          <w:color w:val="000000" w:themeColor="text1"/>
        </w:rPr>
        <w:t xml:space="preserve"> dose ranged </w:t>
      </w:r>
      <w:r w:rsidR="00F2103F">
        <w:rPr>
          <w:rFonts w:cstheme="minorHAnsi"/>
          <w:color w:val="000000" w:themeColor="text1"/>
        </w:rPr>
        <w:t>h</w:t>
      </w:r>
      <w:r w:rsidR="00E37697">
        <w:rPr>
          <w:rFonts w:cstheme="minorHAnsi"/>
          <w:color w:val="000000" w:themeColor="text1"/>
        </w:rPr>
        <w:t>ollow-</w:t>
      </w:r>
      <w:proofErr w:type="spellStart"/>
      <w:r w:rsidR="003414D1">
        <w:rPr>
          <w:rFonts w:cstheme="minorHAnsi"/>
          <w:color w:val="000000" w:themeColor="text1"/>
        </w:rPr>
        <w:t>fiber</w:t>
      </w:r>
      <w:proofErr w:type="spellEnd"/>
      <w:r w:rsidR="00E37697">
        <w:rPr>
          <w:rFonts w:cstheme="minorHAnsi"/>
          <w:color w:val="000000" w:themeColor="text1"/>
        </w:rPr>
        <w:t xml:space="preserve"> infection model</w:t>
      </w:r>
      <w:r w:rsidR="00FD5E21">
        <w:rPr>
          <w:rFonts w:cstheme="minorHAnsi"/>
          <w:color w:val="000000" w:themeColor="text1"/>
        </w:rPr>
        <w:t xml:space="preserve"> </w:t>
      </w:r>
      <w:r w:rsidR="00E37697">
        <w:rPr>
          <w:rFonts w:cstheme="minorHAnsi"/>
          <w:color w:val="000000" w:themeColor="text1"/>
        </w:rPr>
        <w:t>(</w:t>
      </w:r>
      <w:r w:rsidR="00FD5E21">
        <w:rPr>
          <w:rFonts w:cstheme="minorHAnsi"/>
          <w:color w:val="000000" w:themeColor="text1"/>
        </w:rPr>
        <w:t>HFIM</w:t>
      </w:r>
      <w:r w:rsidR="00E37697">
        <w:rPr>
          <w:rFonts w:cstheme="minorHAnsi"/>
          <w:color w:val="000000" w:themeColor="text1"/>
        </w:rPr>
        <w:t>)</w:t>
      </w:r>
      <w:r w:rsidR="00FD5E21">
        <w:rPr>
          <w:rFonts w:cstheme="minorHAnsi"/>
          <w:color w:val="000000" w:themeColor="text1"/>
        </w:rPr>
        <w:t xml:space="preserve"> experiment</w:t>
      </w:r>
      <w:r>
        <w:rPr>
          <w:rFonts w:cstheme="minorHAnsi"/>
          <w:color w:val="000000" w:themeColor="text1"/>
        </w:rPr>
        <w:t>.</w:t>
      </w:r>
      <w:r w:rsidR="00FD5E21">
        <w:rPr>
          <w:rFonts w:cstheme="minorHAnsi"/>
          <w:color w:val="000000" w:themeColor="text1"/>
        </w:rPr>
        <w:t xml:space="preserve"> </w:t>
      </w:r>
      <w:r>
        <w:rPr>
          <w:rFonts w:cstheme="minorHAnsi"/>
          <w:color w:val="000000" w:themeColor="text1"/>
        </w:rPr>
        <w:t>T</w:t>
      </w:r>
      <w:r w:rsidR="00FD5E21">
        <w:rPr>
          <w:rFonts w:cstheme="minorHAnsi"/>
          <w:color w:val="000000" w:themeColor="text1"/>
        </w:rPr>
        <w:t xml:space="preserve">he </w:t>
      </w:r>
      <w:r w:rsidR="009D547B">
        <w:rPr>
          <w:rFonts w:cstheme="minorHAnsi"/>
          <w:color w:val="000000" w:themeColor="text1"/>
        </w:rPr>
        <w:t>combination</w:t>
      </w:r>
      <w:r w:rsidR="009D547B" w:rsidRPr="00F533B4">
        <w:rPr>
          <w:rFonts w:cstheme="minorHAnsi"/>
          <w:color w:val="000000" w:themeColor="text1"/>
        </w:rPr>
        <w:t xml:space="preserve"> </w:t>
      </w:r>
      <w:r w:rsidR="00FD5E21" w:rsidRPr="00F533B4">
        <w:rPr>
          <w:rFonts w:cstheme="minorHAnsi"/>
          <w:color w:val="000000" w:themeColor="text1"/>
        </w:rPr>
        <w:t xml:space="preserve">of amikacin </w:t>
      </w:r>
      <w:r w:rsidR="009D547B">
        <w:rPr>
          <w:rFonts w:cstheme="minorHAnsi"/>
          <w:color w:val="000000" w:themeColor="text1"/>
        </w:rPr>
        <w:t>and</w:t>
      </w:r>
      <w:r w:rsidR="00FD5E21" w:rsidRPr="00F533B4">
        <w:rPr>
          <w:rFonts w:cstheme="minorHAnsi"/>
          <w:color w:val="000000" w:themeColor="text1"/>
        </w:rPr>
        <w:t xml:space="preserve"> fosfomycin enhanced bactericidal activity and prevented emergence of resistance compared to monotherapy of </w:t>
      </w:r>
      <w:r>
        <w:rPr>
          <w:rFonts w:cstheme="minorHAnsi"/>
          <w:color w:val="000000" w:themeColor="text1"/>
        </w:rPr>
        <w:t>either</w:t>
      </w:r>
      <w:r w:rsidR="00F41EF3">
        <w:rPr>
          <w:rFonts w:cstheme="minorHAnsi"/>
          <w:color w:val="000000" w:themeColor="text1"/>
        </w:rPr>
        <w:t xml:space="preserve"> antibiotic</w:t>
      </w:r>
      <w:r w:rsidR="00FD5E21" w:rsidRPr="00F533B4">
        <w:rPr>
          <w:rFonts w:cstheme="minorHAnsi"/>
          <w:color w:val="000000" w:themeColor="text1"/>
        </w:rPr>
        <w:t>.</w:t>
      </w:r>
      <w:r w:rsidR="00FD5E21">
        <w:rPr>
          <w:rFonts w:cstheme="minorHAnsi"/>
          <w:color w:val="000000" w:themeColor="text1"/>
        </w:rPr>
        <w:t xml:space="preserve"> </w:t>
      </w:r>
      <w:r w:rsidR="00E37697">
        <w:rPr>
          <w:rFonts w:cstheme="minorHAnsi"/>
          <w:color w:val="000000" w:themeColor="text1"/>
        </w:rPr>
        <w:t>M</w:t>
      </w:r>
      <w:r w:rsidR="00017CAC">
        <w:rPr>
          <w:rFonts w:cstheme="minorHAnsi"/>
          <w:color w:val="000000" w:themeColor="text1"/>
        </w:rPr>
        <w:t>odelling of the</w:t>
      </w:r>
      <w:r w:rsidR="00E37697">
        <w:rPr>
          <w:rFonts w:cstheme="minorHAnsi"/>
          <w:color w:val="000000" w:themeColor="text1"/>
        </w:rPr>
        <w:t xml:space="preserve"> experimental </w:t>
      </w:r>
      <w:r w:rsidR="00017CAC">
        <w:rPr>
          <w:rFonts w:cstheme="minorHAnsi"/>
          <w:color w:val="000000" w:themeColor="text1"/>
        </w:rPr>
        <w:t>quantitative outputs</w:t>
      </w:r>
      <w:r w:rsidR="00F41EF3">
        <w:rPr>
          <w:rFonts w:cstheme="minorHAnsi"/>
          <w:color w:val="000000" w:themeColor="text1"/>
        </w:rPr>
        <w:t xml:space="preserve"> and data</w:t>
      </w:r>
      <w:r w:rsidR="00E37697">
        <w:rPr>
          <w:rFonts w:cstheme="minorHAnsi"/>
          <w:color w:val="000000" w:themeColor="text1"/>
        </w:rPr>
        <w:t xml:space="preserve"> from checkerboard assays,</w:t>
      </w:r>
      <w:r w:rsidR="00017CAC">
        <w:rPr>
          <w:rFonts w:cstheme="minorHAnsi"/>
          <w:color w:val="000000" w:themeColor="text1"/>
        </w:rPr>
        <w:t xml:space="preserve"> </w:t>
      </w:r>
      <w:r w:rsidR="00F41EF3">
        <w:rPr>
          <w:rFonts w:cstheme="minorHAnsi"/>
          <w:color w:val="000000" w:themeColor="text1"/>
        </w:rPr>
        <w:t>indicated</w:t>
      </w:r>
      <w:r w:rsidR="00017CAC">
        <w:rPr>
          <w:rFonts w:cstheme="minorHAnsi"/>
          <w:color w:val="000000" w:themeColor="text1"/>
        </w:rPr>
        <w:t xml:space="preserve"> synergy.</w:t>
      </w:r>
    </w:p>
    <w:p w14:paraId="30A516F6" w14:textId="77777777" w:rsidR="00B50761" w:rsidRDefault="00E37697" w:rsidP="00E72EBF">
      <w:pPr>
        <w:spacing w:line="480" w:lineRule="auto"/>
        <w:rPr>
          <w:color w:val="000000" w:themeColor="text1"/>
        </w:rPr>
      </w:pPr>
      <w:r>
        <w:rPr>
          <w:color w:val="000000" w:themeColor="text1"/>
        </w:rPr>
        <w:t>We further assessed the</w:t>
      </w:r>
      <w:r w:rsidR="00F56D83" w:rsidRPr="00F533B4">
        <w:rPr>
          <w:color w:val="000000" w:themeColor="text1"/>
        </w:rPr>
        <w:t xml:space="preserve"> combination regimen at clinically relevant doses in HFIM with </w:t>
      </w:r>
      <w:r>
        <w:rPr>
          <w:color w:val="000000" w:themeColor="text1"/>
        </w:rPr>
        <w:t>nine</w:t>
      </w:r>
      <w:r w:rsidR="00F56D83" w:rsidRPr="00F533B4">
        <w:rPr>
          <w:color w:val="000000" w:themeColor="text1"/>
        </w:rPr>
        <w:t xml:space="preserve"> </w:t>
      </w:r>
      <w:proofErr w:type="spellStart"/>
      <w:r w:rsidRPr="00E37697">
        <w:rPr>
          <w:color w:val="000000" w:themeColor="text1"/>
        </w:rPr>
        <w:t>Enterobacterales</w:t>
      </w:r>
      <w:proofErr w:type="spellEnd"/>
      <w:r w:rsidRPr="00E37697">
        <w:rPr>
          <w:color w:val="000000" w:themeColor="text1"/>
        </w:rPr>
        <w:t xml:space="preserve"> </w:t>
      </w:r>
      <w:r w:rsidR="00F56D83" w:rsidRPr="00F533B4">
        <w:rPr>
          <w:color w:val="000000" w:themeColor="text1"/>
        </w:rPr>
        <w:t xml:space="preserve">strains with high fosfomycin/amikacin MICs </w:t>
      </w:r>
      <w:r w:rsidR="0020633E">
        <w:rPr>
          <w:color w:val="000000" w:themeColor="text1"/>
        </w:rPr>
        <w:t xml:space="preserve">and </w:t>
      </w:r>
      <w:r w:rsidR="00F56D83" w:rsidRPr="00F533B4">
        <w:rPr>
          <w:color w:val="000000" w:themeColor="text1"/>
        </w:rPr>
        <w:t>demonstrated successful kill to sterilisation in 6/9 strains</w:t>
      </w:r>
      <w:r>
        <w:rPr>
          <w:color w:val="000000" w:themeColor="text1"/>
        </w:rPr>
        <w:t>.</w:t>
      </w:r>
      <w:r w:rsidR="00DD300E" w:rsidRPr="00F533B4">
        <w:rPr>
          <w:color w:val="000000" w:themeColor="text1"/>
        </w:rPr>
        <w:t xml:space="preserve"> </w:t>
      </w:r>
      <w:r w:rsidR="000735F8" w:rsidRPr="00F533B4">
        <w:rPr>
          <w:color w:val="000000" w:themeColor="text1"/>
        </w:rPr>
        <w:t xml:space="preserve">From these data, we propose a </w:t>
      </w:r>
      <w:r w:rsidR="00C561A8">
        <w:rPr>
          <w:color w:val="000000" w:themeColor="text1"/>
        </w:rPr>
        <w:t xml:space="preserve">novel </w:t>
      </w:r>
      <w:r w:rsidR="000735F8" w:rsidRPr="00F533B4">
        <w:rPr>
          <w:color w:val="000000" w:themeColor="text1"/>
        </w:rPr>
        <w:t>combination breakpoint</w:t>
      </w:r>
      <w:r w:rsidR="008D389A">
        <w:rPr>
          <w:color w:val="000000" w:themeColor="text1"/>
        </w:rPr>
        <w:t xml:space="preserve"> </w:t>
      </w:r>
      <w:r w:rsidR="00051248">
        <w:rPr>
          <w:color w:val="000000" w:themeColor="text1"/>
        </w:rPr>
        <w:t>threshold</w:t>
      </w:r>
      <w:r w:rsidR="007B12A7">
        <w:rPr>
          <w:color w:val="000000" w:themeColor="text1"/>
        </w:rPr>
        <w:t xml:space="preserve"> </w:t>
      </w:r>
      <w:r w:rsidR="000735F8" w:rsidRPr="00F533B4">
        <w:rPr>
          <w:color w:val="000000" w:themeColor="text1"/>
        </w:rPr>
        <w:t>for microbiological success</w:t>
      </w:r>
      <w:r w:rsidR="00017CAC">
        <w:rPr>
          <w:color w:val="000000" w:themeColor="text1"/>
        </w:rPr>
        <w:t xml:space="preserve"> for this antimicrobial combination against </w:t>
      </w:r>
      <w:proofErr w:type="spellStart"/>
      <w:r w:rsidR="00017CAC">
        <w:rPr>
          <w:color w:val="000000" w:themeColor="text1"/>
        </w:rPr>
        <w:t>Enterobacterales</w:t>
      </w:r>
      <w:proofErr w:type="spellEnd"/>
      <w:r w:rsidR="00017CAC">
        <w:rPr>
          <w:color w:val="000000" w:themeColor="text1"/>
        </w:rPr>
        <w:t xml:space="preserve"> -</w:t>
      </w:r>
      <w:r w:rsidR="00CF0B3C">
        <w:rPr>
          <w:color w:val="000000" w:themeColor="text1"/>
        </w:rPr>
        <w:t xml:space="preserve"> MIC</w:t>
      </w:r>
      <w:r w:rsidR="00CF0B3C">
        <w:rPr>
          <w:color w:val="000000" w:themeColor="text1"/>
          <w:vertAlign w:val="subscript"/>
        </w:rPr>
        <w:t>F</w:t>
      </w:r>
      <w:r w:rsidR="00017CAC">
        <w:rPr>
          <w:color w:val="000000" w:themeColor="text1"/>
          <w:vertAlign w:val="subscript"/>
        </w:rPr>
        <w:t xml:space="preserve"> </w:t>
      </w:r>
      <w:r w:rsidR="00CF0B3C">
        <w:rPr>
          <w:color w:val="000000" w:themeColor="text1"/>
        </w:rPr>
        <w:t xml:space="preserve"> </w:t>
      </w:r>
      <w:r w:rsidR="00017CAC">
        <w:rPr>
          <w:color w:val="000000" w:themeColor="text1"/>
        </w:rPr>
        <w:t>* MIC</w:t>
      </w:r>
      <w:r w:rsidR="00017CAC">
        <w:rPr>
          <w:color w:val="000000" w:themeColor="text1"/>
          <w:vertAlign w:val="subscript"/>
        </w:rPr>
        <w:t>A</w:t>
      </w:r>
      <w:r w:rsidR="00017CAC">
        <w:rPr>
          <w:color w:val="000000" w:themeColor="text1"/>
        </w:rPr>
        <w:t xml:space="preserve"> </w:t>
      </w:r>
      <w:r w:rsidR="00051248">
        <w:rPr>
          <w:color w:val="000000" w:themeColor="text1"/>
        </w:rPr>
        <w:t xml:space="preserve">&lt; </w:t>
      </w:r>
      <w:r w:rsidR="00CF0B3C">
        <w:rPr>
          <w:color w:val="000000" w:themeColor="text1"/>
        </w:rPr>
        <w:t>256</w:t>
      </w:r>
      <w:r w:rsidR="00017CAC">
        <w:rPr>
          <w:color w:val="000000" w:themeColor="text1"/>
        </w:rPr>
        <w:t xml:space="preserve"> </w:t>
      </w:r>
      <w:r>
        <w:rPr>
          <w:color w:val="000000" w:themeColor="text1"/>
        </w:rPr>
        <w:t>(</w:t>
      </w:r>
      <w:r w:rsidR="00017CAC">
        <w:rPr>
          <w:color w:val="000000" w:themeColor="text1"/>
        </w:rPr>
        <w:t>where</w:t>
      </w:r>
      <w:r w:rsidR="00017CAC" w:rsidRPr="00017CAC">
        <w:rPr>
          <w:color w:val="000000" w:themeColor="text1"/>
        </w:rPr>
        <w:t xml:space="preserve"> </w:t>
      </w:r>
      <w:r w:rsidR="00017CAC">
        <w:rPr>
          <w:color w:val="000000" w:themeColor="text1"/>
        </w:rPr>
        <w:t>MIC</w:t>
      </w:r>
      <w:r w:rsidR="00017CAC">
        <w:rPr>
          <w:color w:val="000000" w:themeColor="text1"/>
          <w:vertAlign w:val="subscript"/>
        </w:rPr>
        <w:t xml:space="preserve">F </w:t>
      </w:r>
      <w:r w:rsidR="00017CAC">
        <w:rPr>
          <w:color w:val="000000" w:themeColor="text1"/>
        </w:rPr>
        <w:t>and MIC</w:t>
      </w:r>
      <w:r w:rsidR="00017CAC">
        <w:rPr>
          <w:color w:val="000000" w:themeColor="text1"/>
          <w:vertAlign w:val="subscript"/>
        </w:rPr>
        <w:t>A</w:t>
      </w:r>
      <w:r w:rsidR="00017CAC">
        <w:rPr>
          <w:color w:val="000000" w:themeColor="text1"/>
        </w:rPr>
        <w:t xml:space="preserve"> are MICs for fosfomycin and amikacin</w:t>
      </w:r>
      <w:r>
        <w:rPr>
          <w:color w:val="000000" w:themeColor="text1"/>
        </w:rPr>
        <w:t>)</w:t>
      </w:r>
      <w:r w:rsidR="00CF0B3C">
        <w:rPr>
          <w:color w:val="000000" w:themeColor="text1"/>
        </w:rPr>
        <w:t>. Monte</w:t>
      </w:r>
      <w:r w:rsidR="00017CAC">
        <w:rPr>
          <w:color w:val="000000" w:themeColor="text1"/>
        </w:rPr>
        <w:t xml:space="preserve"> Carlo</w:t>
      </w:r>
      <w:r w:rsidR="00CF0B3C">
        <w:rPr>
          <w:color w:val="000000" w:themeColor="text1"/>
        </w:rPr>
        <w:t xml:space="preserve"> simulations</w:t>
      </w:r>
      <w:r w:rsidR="00017CAC">
        <w:rPr>
          <w:color w:val="000000" w:themeColor="text1"/>
        </w:rPr>
        <w:t xml:space="preserve"> </w:t>
      </w:r>
      <w:r w:rsidR="00CF0B3C">
        <w:rPr>
          <w:color w:val="000000" w:themeColor="text1"/>
        </w:rPr>
        <w:t xml:space="preserve">predict </w:t>
      </w:r>
      <w:r w:rsidR="00B12037">
        <w:rPr>
          <w:color w:val="000000" w:themeColor="text1"/>
        </w:rPr>
        <w:t xml:space="preserve">that a </w:t>
      </w:r>
      <w:r w:rsidR="002924C4">
        <w:rPr>
          <w:color w:val="000000" w:themeColor="text1"/>
        </w:rPr>
        <w:t xml:space="preserve">standard fosfomycin/amikacin </w:t>
      </w:r>
      <w:r w:rsidR="00B12037">
        <w:rPr>
          <w:color w:val="000000" w:themeColor="text1"/>
        </w:rPr>
        <w:t xml:space="preserve">neonatal regimen will </w:t>
      </w:r>
      <w:r w:rsidR="002924C4">
        <w:rPr>
          <w:color w:val="000000" w:themeColor="text1"/>
        </w:rPr>
        <w:t>achieve a &gt;99% probability of pharmacodynamic success</w:t>
      </w:r>
      <w:r w:rsidR="00B12037">
        <w:rPr>
          <w:color w:val="000000" w:themeColor="text1"/>
        </w:rPr>
        <w:t xml:space="preserve"> for strains</w:t>
      </w:r>
      <w:r>
        <w:rPr>
          <w:color w:val="000000" w:themeColor="text1"/>
        </w:rPr>
        <w:t xml:space="preserve"> with MICs</w:t>
      </w:r>
      <w:r w:rsidR="00B12037">
        <w:rPr>
          <w:color w:val="000000" w:themeColor="text1"/>
        </w:rPr>
        <w:t xml:space="preserve"> below this threshold. </w:t>
      </w:r>
    </w:p>
    <w:p w14:paraId="6DBFA1B0" w14:textId="0DF95100" w:rsidR="00D76658" w:rsidRPr="00F533B4" w:rsidRDefault="00DD300E" w:rsidP="00E72EBF">
      <w:pPr>
        <w:spacing w:line="480" w:lineRule="auto"/>
        <w:rPr>
          <w:color w:val="000000" w:themeColor="text1"/>
        </w:rPr>
      </w:pPr>
      <w:r w:rsidRPr="00F533B4">
        <w:rPr>
          <w:color w:val="000000" w:themeColor="text1"/>
        </w:rPr>
        <w:lastRenderedPageBreak/>
        <w:t>We conclude that</w:t>
      </w:r>
      <w:r w:rsidR="00F41EF3">
        <w:rPr>
          <w:color w:val="000000" w:themeColor="text1"/>
        </w:rPr>
        <w:t xml:space="preserve"> the combination of</w:t>
      </w:r>
      <w:r w:rsidRPr="00F533B4">
        <w:rPr>
          <w:color w:val="000000" w:themeColor="text1"/>
        </w:rPr>
        <w:t xml:space="preserve"> fosfomycin </w:t>
      </w:r>
      <w:r w:rsidR="00F41EF3">
        <w:rPr>
          <w:color w:val="000000" w:themeColor="text1"/>
        </w:rPr>
        <w:t>with</w:t>
      </w:r>
      <w:r w:rsidR="00F41EF3" w:rsidRPr="00F533B4">
        <w:rPr>
          <w:color w:val="000000" w:themeColor="text1"/>
        </w:rPr>
        <w:t xml:space="preserve"> </w:t>
      </w:r>
      <w:r w:rsidRPr="00F533B4">
        <w:rPr>
          <w:color w:val="000000" w:themeColor="text1"/>
        </w:rPr>
        <w:t xml:space="preserve">amikacin is a viable </w:t>
      </w:r>
      <w:r w:rsidR="000735F8" w:rsidRPr="00F533B4">
        <w:rPr>
          <w:color w:val="000000" w:themeColor="text1"/>
        </w:rPr>
        <w:t>regimen for the empiric treatment of neonatal sepsis and is suitable for further clinical assessment in a randomised controlled trial.</w:t>
      </w:r>
      <w:r w:rsidR="00D76658" w:rsidRPr="00F533B4">
        <w:rPr>
          <w:rFonts w:cstheme="minorHAnsi"/>
          <w:b/>
          <w:color w:val="000000" w:themeColor="text1"/>
        </w:rPr>
        <w:br w:type="page"/>
      </w:r>
    </w:p>
    <w:p w14:paraId="458EEE0D" w14:textId="7B84798B" w:rsidR="00BF403F" w:rsidRPr="00F533B4" w:rsidRDefault="00BC78FC" w:rsidP="00501CB2">
      <w:pPr>
        <w:spacing w:before="120" w:line="480" w:lineRule="auto"/>
        <w:rPr>
          <w:rFonts w:cstheme="minorHAnsi"/>
          <w:b/>
          <w:color w:val="000000" w:themeColor="text1"/>
        </w:rPr>
      </w:pPr>
      <w:r w:rsidRPr="00F533B4">
        <w:rPr>
          <w:rFonts w:cstheme="minorHAnsi"/>
          <w:b/>
          <w:color w:val="000000" w:themeColor="text1"/>
        </w:rPr>
        <w:lastRenderedPageBreak/>
        <w:t>Introduction</w:t>
      </w:r>
      <w:r w:rsidR="00D76658" w:rsidRPr="00F533B4">
        <w:rPr>
          <w:rFonts w:cstheme="minorHAnsi"/>
          <w:b/>
          <w:color w:val="000000" w:themeColor="text1"/>
        </w:rPr>
        <w:t xml:space="preserve"> </w:t>
      </w:r>
    </w:p>
    <w:p w14:paraId="69EF3F0F" w14:textId="010C970C" w:rsidR="00BC78FC" w:rsidRPr="00F533B4" w:rsidRDefault="00992B31" w:rsidP="00501CB2">
      <w:pPr>
        <w:spacing w:before="120" w:line="480" w:lineRule="auto"/>
        <w:rPr>
          <w:rFonts w:cstheme="minorHAnsi"/>
          <w:color w:val="000000" w:themeColor="text1"/>
        </w:rPr>
      </w:pPr>
      <w:r w:rsidRPr="00F533B4">
        <w:rPr>
          <w:rFonts w:cstheme="minorHAnsi"/>
          <w:color w:val="000000" w:themeColor="text1"/>
        </w:rPr>
        <w:t>Neonatal sepsis</w:t>
      </w:r>
      <w:r w:rsidR="0025296C" w:rsidRPr="00F533B4">
        <w:rPr>
          <w:rFonts w:cstheme="minorHAnsi"/>
          <w:color w:val="000000" w:themeColor="text1"/>
        </w:rPr>
        <w:t xml:space="preserve"> is a common condition</w:t>
      </w:r>
      <w:r w:rsidR="00D262D0">
        <w:rPr>
          <w:rFonts w:cstheme="minorHAnsi"/>
          <w:color w:val="000000" w:themeColor="text1"/>
        </w:rPr>
        <w:t xml:space="preserve"> with a high mortality</w:t>
      </w:r>
      <w:r w:rsidR="0025296C" w:rsidRPr="00F533B4">
        <w:rPr>
          <w:rFonts w:cstheme="minorHAnsi"/>
          <w:color w:val="000000" w:themeColor="text1"/>
        </w:rPr>
        <w:t xml:space="preserve"> </w:t>
      </w:r>
      <w:r w:rsidRPr="00F533B4">
        <w:rPr>
          <w:rFonts w:cstheme="minorHAnsi"/>
          <w:color w:val="000000" w:themeColor="text1"/>
        </w:rPr>
        <w:fldChar w:fldCharType="begin" w:fldLock="1"/>
      </w:r>
      <w:r w:rsidR="00532F48" w:rsidRPr="00F533B4">
        <w:rPr>
          <w:rFonts w:cstheme="minorHAnsi"/>
          <w:color w:val="000000" w:themeColor="text1"/>
        </w:rPr>
        <w:instrText>ADDIN CSL_CITATION {"citationItems":[{"id":"ITEM-1","itemData":{"DOI":"10.1016/S0140-6736(17)31002-4","ISSN":"1474-547X","PMID":"28434651","abstract":"Neonatal sepsis is the cause of substantial morbidity and mortality. Precise estimates of neonatal sepsis burden vary by setting. Differing estimates of disease burden have been reported from high-income countries compared with reports from low-income and middle-income countries. The clinical manifestations range from subclinical infection to severe manifestations of focal or systemic disease. The source of the pathogen might be attributed to an in-utero infection, acquisition from maternal flora, or postnatal acquisition from the hospital or community. The timing of exposure, inoculum size, immune status of the infant, and virulence of the causative agent influence the clinical expression of neonatal sepsis. Immunological immaturity of the neonate might result in an impaired response to infectious agents. This is especially evident in premature infants whose prolonged stays in hospital and need for invasive procedures place them at increased risk for hospital-acquired infections. Clinically, there is often little difference between sepsis that is caused by an identified pathogen and sepsis that is caused by an unknown pathogen. Culture-independent diagnostics, the use of sepsis prediction scores, judicious antimicrobial use, and the development of preventive measures including maternal vaccines are ongoing efforts designed to reduce the burden of neonatal sepsis.","author":[{"dropping-particle":"","family":"Shane","given":"Andi L","non-dropping-particle":"","parse-names":false,"suffix":""},{"dropping-particle":"","family":"Sánchez","given":"Pablo J","non-dropping-particle":"","parse-names":false,"suffix":""},{"dropping-particle":"","family":"Stoll","given":"Barbara J","non-dropping-particle":"","parse-names":false,"suffix":""}],"container-title":"Lancet (London, England)","id":"ITEM-1","issue":"10104","issued":{"date-parts":[["2017","10","14"]]},"page":"1770-1780","publisher":"Elsevier","title":"Neonatal sepsis.","type":"article-journal","volume":"390"},"uris":["http://www.mendeley.com/documents/?uuid=5b8d76f0-b279-3284-8a8a-608e4ca45695"]}],"mendeley":{"formattedCitation":"(1)","plainTextFormattedCitation":"(1)","previouslyFormattedCitation":"(1)"},"properties":{"noteIndex":0},"schema":"https://github.com/citation-style-language/schema/raw/master/csl-citation.json"}</w:instrText>
      </w:r>
      <w:r w:rsidRPr="00F533B4">
        <w:rPr>
          <w:rFonts w:cstheme="minorHAnsi"/>
          <w:color w:val="000000" w:themeColor="text1"/>
        </w:rPr>
        <w:fldChar w:fldCharType="separate"/>
      </w:r>
      <w:r w:rsidRPr="00F533B4">
        <w:rPr>
          <w:rFonts w:cstheme="minorHAnsi"/>
          <w:noProof/>
          <w:color w:val="000000" w:themeColor="text1"/>
        </w:rPr>
        <w:t>(1)</w:t>
      </w:r>
      <w:r w:rsidRPr="00F533B4">
        <w:rPr>
          <w:rFonts w:cstheme="minorHAnsi"/>
          <w:color w:val="000000" w:themeColor="text1"/>
        </w:rPr>
        <w:fldChar w:fldCharType="end"/>
      </w:r>
      <w:r w:rsidRPr="00F533B4">
        <w:rPr>
          <w:rFonts w:cstheme="minorHAnsi"/>
          <w:color w:val="000000" w:themeColor="text1"/>
        </w:rPr>
        <w:t xml:space="preserve">. </w:t>
      </w:r>
      <w:r w:rsidR="0025296C" w:rsidRPr="00F533B4">
        <w:rPr>
          <w:rFonts w:cstheme="minorHAnsi"/>
          <w:color w:val="000000" w:themeColor="text1"/>
        </w:rPr>
        <w:t xml:space="preserve"> Leading causative pathogens are</w:t>
      </w:r>
      <w:r w:rsidRPr="00F533B4">
        <w:rPr>
          <w:rFonts w:cstheme="minorHAnsi"/>
          <w:color w:val="000000" w:themeColor="text1"/>
        </w:rPr>
        <w:t xml:space="preserve"> </w:t>
      </w:r>
      <w:r w:rsidR="00D262D0">
        <w:rPr>
          <w:rFonts w:cstheme="minorHAnsi"/>
          <w:color w:val="000000" w:themeColor="text1"/>
        </w:rPr>
        <w:t xml:space="preserve">both </w:t>
      </w:r>
      <w:r w:rsidR="00532F48" w:rsidRPr="00F533B4">
        <w:rPr>
          <w:rFonts w:cstheme="minorHAnsi"/>
          <w:color w:val="000000" w:themeColor="text1"/>
        </w:rPr>
        <w:t>Gram-negative (</w:t>
      </w:r>
      <w:r w:rsidR="00772452">
        <w:rPr>
          <w:rFonts w:cstheme="minorHAnsi"/>
          <w:color w:val="000000" w:themeColor="text1"/>
        </w:rPr>
        <w:t>e.g.</w:t>
      </w:r>
      <w:r w:rsidR="00532F48" w:rsidRPr="00F533B4">
        <w:rPr>
          <w:rFonts w:cstheme="minorHAnsi"/>
          <w:color w:val="000000" w:themeColor="text1"/>
        </w:rPr>
        <w:t xml:space="preserve"> </w:t>
      </w:r>
      <w:r w:rsidR="00532F48" w:rsidRPr="00F533B4">
        <w:rPr>
          <w:rFonts w:cstheme="minorHAnsi"/>
          <w:i/>
          <w:color w:val="000000" w:themeColor="text1"/>
        </w:rPr>
        <w:t>E. coli</w:t>
      </w:r>
      <w:r w:rsidR="00772452">
        <w:rPr>
          <w:rFonts w:cstheme="minorHAnsi"/>
          <w:color w:val="000000" w:themeColor="text1"/>
        </w:rPr>
        <w:t>,</w:t>
      </w:r>
      <w:r w:rsidR="00532F48" w:rsidRPr="00F533B4">
        <w:rPr>
          <w:rFonts w:cstheme="minorHAnsi"/>
          <w:color w:val="000000" w:themeColor="text1"/>
        </w:rPr>
        <w:t xml:space="preserve"> </w:t>
      </w:r>
      <w:r w:rsidR="00532F48" w:rsidRPr="00F533B4">
        <w:rPr>
          <w:rFonts w:cstheme="minorHAnsi"/>
          <w:i/>
          <w:color w:val="000000" w:themeColor="text1"/>
        </w:rPr>
        <w:t>K. pneumoniae</w:t>
      </w:r>
      <w:r w:rsidR="00532F48" w:rsidRPr="00F533B4">
        <w:rPr>
          <w:rFonts w:cstheme="minorHAnsi"/>
          <w:color w:val="000000" w:themeColor="text1"/>
        </w:rPr>
        <w:t xml:space="preserve">) and </w:t>
      </w:r>
      <w:r w:rsidR="00D262D0">
        <w:rPr>
          <w:rFonts w:cstheme="minorHAnsi"/>
          <w:color w:val="000000" w:themeColor="text1"/>
        </w:rPr>
        <w:t xml:space="preserve">Gram-positive organisms (e.g. </w:t>
      </w:r>
      <w:r w:rsidR="00532F48" w:rsidRPr="00F533B4">
        <w:rPr>
          <w:rFonts w:cstheme="minorHAnsi"/>
          <w:i/>
          <w:color w:val="000000" w:themeColor="text1"/>
        </w:rPr>
        <w:t>Staphylococcus aureus</w:t>
      </w:r>
      <w:r w:rsidR="00D262D0">
        <w:rPr>
          <w:rFonts w:cstheme="minorHAnsi"/>
          <w:i/>
          <w:color w:val="000000" w:themeColor="text1"/>
        </w:rPr>
        <w:t>,</w:t>
      </w:r>
      <w:r w:rsidR="00D262D0" w:rsidRPr="00D262D0">
        <w:rPr>
          <w:rFonts w:cstheme="minorHAnsi"/>
          <w:i/>
          <w:color w:val="000000" w:themeColor="text1"/>
        </w:rPr>
        <w:t xml:space="preserve"> </w:t>
      </w:r>
      <w:r w:rsidR="00D262D0" w:rsidRPr="00F533B4">
        <w:rPr>
          <w:rFonts w:cstheme="minorHAnsi"/>
          <w:i/>
          <w:color w:val="000000" w:themeColor="text1"/>
        </w:rPr>
        <w:t xml:space="preserve">Streptococcus agalactiae </w:t>
      </w:r>
      <w:r w:rsidR="00D262D0" w:rsidRPr="00F533B4">
        <w:rPr>
          <w:rFonts w:cstheme="minorHAnsi"/>
          <w:color w:val="000000" w:themeColor="text1"/>
        </w:rPr>
        <w:t>(Group B streptococci</w:t>
      </w:r>
      <w:r w:rsidR="00051248">
        <w:rPr>
          <w:rFonts w:cstheme="minorHAnsi"/>
          <w:color w:val="000000" w:themeColor="text1"/>
        </w:rPr>
        <w:t xml:space="preserve"> - GBS</w:t>
      </w:r>
      <w:r w:rsidR="00D262D0" w:rsidRPr="00F533B4">
        <w:rPr>
          <w:rFonts w:cstheme="minorHAnsi"/>
          <w:color w:val="000000" w:themeColor="text1"/>
        </w:rPr>
        <w:t>)</w:t>
      </w:r>
      <w:r w:rsidR="00D262D0">
        <w:rPr>
          <w:rFonts w:cstheme="minorHAnsi"/>
          <w:color w:val="000000" w:themeColor="text1"/>
        </w:rPr>
        <w:t>)</w:t>
      </w:r>
      <w:r w:rsidR="00D262D0" w:rsidRPr="00F533B4">
        <w:rPr>
          <w:rFonts w:cstheme="minorHAnsi"/>
          <w:color w:val="000000" w:themeColor="text1"/>
        </w:rPr>
        <w:t xml:space="preserve"> </w:t>
      </w:r>
      <w:r w:rsidR="00532F48" w:rsidRPr="00F533B4">
        <w:rPr>
          <w:rFonts w:cstheme="minorHAnsi"/>
          <w:i/>
          <w:color w:val="000000" w:themeColor="text1"/>
        </w:rPr>
        <w:t xml:space="preserve"> </w:t>
      </w:r>
      <w:r w:rsidR="00532F48" w:rsidRPr="00F533B4">
        <w:rPr>
          <w:rFonts w:cstheme="minorHAnsi"/>
          <w:i/>
          <w:color w:val="000000" w:themeColor="text1"/>
        </w:rPr>
        <w:fldChar w:fldCharType="begin" w:fldLock="1"/>
      </w:r>
      <w:r w:rsidR="002E1840" w:rsidRPr="00F533B4">
        <w:rPr>
          <w:rFonts w:cstheme="minorHAnsi"/>
          <w:i/>
          <w:color w:val="000000" w:themeColor="text1"/>
        </w:rPr>
        <w:instrText>ADDIN CSL_CITATION {"citationItems":[{"id":"ITEM-1","itemData":{"DOI":"10.1016/S0140-6736(17)31002-4","ISSN":"1474-547X","PMID":"28434651","abstract":"Neonatal sepsis is the cause of substantial morbidity and mortality. Precise estimates of neonatal sepsis burden vary by setting. Differing estimates of disease burden have been reported from high-income countries compared with reports from low-income and middle-income countries. The clinical manifestations range from subclinical infection to severe manifestations of focal or systemic disease. The source of the pathogen might be attributed to an in-utero infection, acquisition from maternal flora, or postnatal acquisition from the hospital or community. The timing of exposure, inoculum size, immune status of the infant, and virulence of the causative agent influence the clinical expression of neonatal sepsis. Immunological immaturity of the neonate might result in an impaired response to infectious agents. This is especially evident in premature infants whose prolonged stays in hospital and need for invasive procedures place them at increased risk for hospital-acquired infections. Clinically, there is often little difference between sepsis that is caused by an identified pathogen and sepsis that is caused by an unknown pathogen. Culture-independent diagnostics, the use of sepsis prediction scores, judicious antimicrobial use, and the development of preventive measures including maternal vaccines are ongoing efforts designed to reduce the burden of neonatal sepsis.","author":[{"dropping-particle":"","family":"Shane","given":"Andi L","non-dropping-particle":"","parse-names":false,"suffix":""},{"dropping-particle":"","family":"Sánchez","given":"Pablo J","non-dropping-particle":"","parse-names":false,"suffix":""},{"dropping-particle":"","family":"Stoll","given":"Barbara J","non-dropping-particle":"","parse-names":false,"suffix":""}],"container-title":"Lancet (London, England)","id":"ITEM-1","issue":"10104","issued":{"date-parts":[["2017","10","14"]]},"page":"1770-1780","publisher":"Elsevier","title":"Neonatal sepsis.","type":"article-journal","volume":"390"},"uris":["http://www.mendeley.com/documents/?uuid=5b8d76f0-b279-3284-8a8a-608e4ca45695"]}],"mendeley":{"formattedCitation":"(1)","plainTextFormattedCitation":"(1)","previouslyFormattedCitation":"(1)"},"properties":{"noteIndex":0},"schema":"https://github.com/citation-style-language/schema/raw/master/csl-citation.json"}</w:instrText>
      </w:r>
      <w:r w:rsidR="00532F48" w:rsidRPr="00F533B4">
        <w:rPr>
          <w:rFonts w:cstheme="minorHAnsi"/>
          <w:i/>
          <w:color w:val="000000" w:themeColor="text1"/>
        </w:rPr>
        <w:fldChar w:fldCharType="separate"/>
      </w:r>
      <w:r w:rsidR="00532F48" w:rsidRPr="00F533B4">
        <w:rPr>
          <w:rFonts w:cstheme="minorHAnsi"/>
          <w:noProof/>
          <w:color w:val="000000" w:themeColor="text1"/>
        </w:rPr>
        <w:t>(1)</w:t>
      </w:r>
      <w:r w:rsidR="00532F48" w:rsidRPr="00F533B4">
        <w:rPr>
          <w:rFonts w:cstheme="minorHAnsi"/>
          <w:i/>
          <w:color w:val="000000" w:themeColor="text1"/>
        </w:rPr>
        <w:fldChar w:fldCharType="end"/>
      </w:r>
      <w:r w:rsidR="00532F48" w:rsidRPr="00F533B4">
        <w:rPr>
          <w:rFonts w:cstheme="minorHAnsi"/>
          <w:i/>
          <w:color w:val="000000" w:themeColor="text1"/>
        </w:rPr>
        <w:t>.</w:t>
      </w:r>
      <w:r w:rsidR="0025296C" w:rsidRPr="00F533B4">
        <w:rPr>
          <w:rFonts w:cstheme="minorHAnsi"/>
          <w:i/>
          <w:color w:val="000000" w:themeColor="text1"/>
        </w:rPr>
        <w:t xml:space="preserve"> </w:t>
      </w:r>
      <w:r w:rsidR="00532F48" w:rsidRPr="00F533B4">
        <w:rPr>
          <w:rFonts w:cstheme="minorHAnsi"/>
          <w:i/>
          <w:color w:val="000000" w:themeColor="text1"/>
        </w:rPr>
        <w:t xml:space="preserve"> </w:t>
      </w:r>
      <w:r w:rsidR="0025296C" w:rsidRPr="00F533B4">
        <w:rPr>
          <w:rFonts w:cstheme="minorHAnsi"/>
          <w:color w:val="000000" w:themeColor="text1"/>
        </w:rPr>
        <w:t>Neonatal sepsis accounts</w:t>
      </w:r>
      <w:r w:rsidR="00532F48" w:rsidRPr="00F533B4">
        <w:rPr>
          <w:rFonts w:cstheme="minorHAnsi"/>
          <w:color w:val="000000" w:themeColor="text1"/>
        </w:rPr>
        <w:t xml:space="preserve"> for </w:t>
      </w:r>
      <w:r w:rsidR="00340096">
        <w:rPr>
          <w:rFonts w:cstheme="minorHAnsi"/>
          <w:color w:val="000000" w:themeColor="text1"/>
        </w:rPr>
        <w:t>an estimated</w:t>
      </w:r>
      <w:r w:rsidR="00532F48" w:rsidRPr="00F533B4">
        <w:rPr>
          <w:rFonts w:cstheme="minorHAnsi"/>
          <w:color w:val="000000" w:themeColor="text1"/>
        </w:rPr>
        <w:t xml:space="preserve"> </w:t>
      </w:r>
      <w:r w:rsidR="00340096">
        <w:rPr>
          <w:rFonts w:cstheme="minorHAnsi"/>
          <w:color w:val="000000" w:themeColor="text1"/>
        </w:rPr>
        <w:t>430,000 - 680,000</w:t>
      </w:r>
      <w:r w:rsidR="00532F48" w:rsidRPr="00F533B4">
        <w:rPr>
          <w:rFonts w:cstheme="minorHAnsi"/>
          <w:color w:val="000000" w:themeColor="text1"/>
        </w:rPr>
        <w:t xml:space="preserve"> deaths annually,</w:t>
      </w:r>
      <w:r w:rsidR="0025296C" w:rsidRPr="00F533B4">
        <w:rPr>
          <w:rFonts w:cstheme="minorHAnsi"/>
          <w:color w:val="000000" w:themeColor="text1"/>
        </w:rPr>
        <w:t xml:space="preserve"> </w:t>
      </w:r>
      <w:r w:rsidR="00D262D0">
        <w:rPr>
          <w:rFonts w:cstheme="minorHAnsi"/>
          <w:color w:val="000000" w:themeColor="text1"/>
        </w:rPr>
        <w:t>with the highest mortality</w:t>
      </w:r>
      <w:r w:rsidR="0025296C" w:rsidRPr="00F533B4">
        <w:rPr>
          <w:rFonts w:cstheme="minorHAnsi"/>
          <w:color w:val="000000" w:themeColor="text1"/>
        </w:rPr>
        <w:t xml:space="preserve"> </w:t>
      </w:r>
      <w:r w:rsidR="00532F48" w:rsidRPr="00F533B4">
        <w:rPr>
          <w:rFonts w:cstheme="minorHAnsi"/>
          <w:color w:val="000000" w:themeColor="text1"/>
        </w:rPr>
        <w:t xml:space="preserve">in low- and middle-income countries (LMICs) </w:t>
      </w:r>
      <w:r w:rsidR="00532F48" w:rsidRPr="00F533B4">
        <w:rPr>
          <w:rFonts w:cstheme="minorHAnsi"/>
          <w:color w:val="000000" w:themeColor="text1"/>
        </w:rPr>
        <w:fldChar w:fldCharType="begin" w:fldLock="1"/>
      </w:r>
      <w:r w:rsidR="000F1D8F">
        <w:rPr>
          <w:rFonts w:cstheme="minorHAnsi"/>
          <w:color w:val="000000" w:themeColor="text1"/>
        </w:rPr>
        <w:instrText>ADDIN CSL_CITATION {"citationItems":[{"id":"ITEM-1","itemData":{"DOI":"10.2471/BLT.14.139790","ISBN":"1564-0604 (Electronic)\\r0042-9686 (Linking)","ISSN":"1564-0604","PMID":"25558104","abstract":"OBJECTIVE: To estimate cause-of-death distributions in the early (0-6 days of age) and late (7-27 days of age) neonatal periods, for 194 countries between 2000 and 2013.\\n\\nMETHODS: For 65 countries with high-quality vital registration, we used each country's observed early and late neonatal proportional cause distributions. For the remaining 129 countries, we used multinomial logistic models to estimate these distributions. For countries with low child mortality we used vital registration data as inputs and for countries with high child mortality we used neonatal cause-of-death distribution data from studies in similar settings. We applied cause-specific proportions to neonatal death estimates from the United Nations Inter-agency Group for Child Mortality Estimation, by country and year, to estimate cause-specific risks and numbers of deaths.\\n\\nFINDINGS: Over time, neonatal deaths decreased for most causes. Of the 2.8 million neonatal deaths in 2013, 0.99 million deaths (uncertainty range: 0.70-1.31) were estimated to be caused by preterm birth complications, 0.64 million (uncertainty range: 0.46-0.84) by intrapartum complications and 0.43 million (uncertainty range: 0.22-0.66) by sepsis and other severe infections. Preterm birth (40.8%) and intrapartum complications (27.0%) accounted for most early neonatal deaths while infections caused nearly half of late neonatal deaths. Preterm birth complications were the leading cause of death in all regions of the world.\\n\\nCONCLUSION: The neonatal cause-of-death distribution differs between the early and late periods and varies with neonatal mortality rate level. To reduce neonatal deaths, effective interventions to address these causes must be incorporated into policy decisions.\\n\\nAbstract available from the publisher.\\n\\nAbstract available from the publisher.\\n\\nAbstract available from the publisher.\\n\\nAbstract available from the publisher.\\n\\nAbstract available from the publisher.","author":[{"dropping-particle":"","family":"Oza","given":"Shefali","non-dropping-particle":"","parse-names":false,"suffix":""},{"dropping-particle":"","family":"Lawn","given":"Joy E","non-dropping-particle":"","parse-names":false,"suffix":""},{"dropping-particle":"","family":"Hogan","given":"Daniel R","non-dropping-particle":"","parse-names":false,"suffix":""},{"dropping-particle":"","family":"Mathers","given":"Colin","non-dropping-particle":"","parse-names":false,"suffix":""},{"dropping-particle":"","family":"Cousens","given":"Simon N","non-dropping-particle":"","parse-names":false,"suffix":""}],"container-title":"Bulletin of the World Health Organization","id":"ITEM-1","issue":"1","issued":{"date-parts":[["2015"]]},"page":"19-28","title":"Neonatal cause-of-death estimates for the early and late neonatal periods for 194 countries: 2000-2013.","type":"article-journal","volume":"93"},"uris":["http://www.mendeley.com/documents/?uuid=bb98a2e8-bb29-413c-a141-93fe6233733f"]},{"id":"ITEM-2","itemData":{"DOI":"10.1016/S1473-3099(14)70804-7","ISBN":"1474-4457 (Electronic)\\r1473-3099 (Linking)","ISSN":"14744457","PMID":"24974250","abstract":"Background: Bacterial infections are a leading cause of the 2·9 million annual neonatal deaths. Treatment is usually based on clinical diagnosis of possible severe bacterial infection (pSBI). To guide programme planning, we have undertaken the first estimates of neonatal pSBI, by sex and by region, for sub-Saharan Africa, south Asia, and Latin America. Methods: We included data for pSBI incidence in neonates of 32 weeks' gestation or more (or birthweight ≥1500 g) with livebirth denominator data, undertaking a systematic review and forming an investigator group to obtain unpublished data. We calculated pooled risk estimates for neonatal pSBI and case fatality risk, by sex and by region. We then applied these risk estimates to estimates of livebirths in sub-Saharan Africa, south Asia, and Latin America to estimate cases and associated deaths in 2012. Findings: We included data from 22 studies, for 259 944 neonates and 20 196 pSBI cases, with most of the data (18 of the 22 studies) coming from the investigator group. The pooled estimate of pSBI incidence risk was 7·6% (95% CI 6·1-9·2%) and the case-fatality risk associated with pSBI was 9·8% (7·4-12·2). We estimated that in 2012 there were 6·9 million cases (uncertainty range 5·5 million-8·3 million) of pSBI in neonates needing treatment: 3·5 million (2·8 million-4·2 million) in south Asia, 2·6 million (2·1 million-3·1 million) in sub-Saharan Africa, and 0·8 million (0·7 million-1·0 million) in Latin America. The risk of pSBI was greater in boys (risk ratio 1·12, 95% CI 1·06-1·18) than girls. We estimated that there were 0·68 million (0·46 million-0·92 million) neonatal deaths associated with pSBI in 2012. Interpretation: The need-to-treat population for pSBI in these three regions is high, with ten cases of pSBI diagnosed for each associated neonatal death. Deaths and disability can be reduced through improved prevention, detection, and case management. Funding: The Wellcome Trust and the Bill &amp; Melinda Gates Foundation through grants to Child Health Epidemiology Reference Group (CHERG) and Save the Children's Saving Newborn Lives programme. © 2014 Seale et al.","author":[{"dropping-particle":"","family":"Seale","given":"Anna C.","non-dropping-particle":"","parse-names":false,"suffix":""},{"dropping-particle":"","family":"Blencowe","given":"Hannah","non-dropping-particle":"","parse-names":false,"suffix":""},{"dropping-particle":"","family":"Manu","given":"Alexander A.","non-dropping-particle":"","parse-names":false,"suffix":""},{"dropping-particle":"","family":"Nair","given":"Harish","non-dropping-particle":"","parse-names":false,"suffix":""},{"dropping-particle":"","family":"Bahl","given":"Rajiv","non-dropping-particle":"","parse-names":false,"suffix":""},{"dropping-particle":"","family":"Qazi","given":"Shamim A.","non-dropping-particle":"","parse-names":false,"suffix":""},{"dropping-particle":"","family":"Zaidi","given":"Anita K.","non-dropping-particle":"","parse-names":false,"suffix":""},{"dropping-particle":"","family":"Berkley","given":"James A.","non-dropping-particle":"","parse-names":false,"suffix":""},{"dropping-particle":"","family":"Cousens","given":"Simon N.","non-dropping-particle":"","parse-names":false,"suffix":""},{"dropping-particle":"","family":"Lawn","given":"Joy E.","non-dropping-particle":"","parse-names":false,"suffix":""},{"dropping-particle":"","family":"Agustian","given":"Dwi","non-dropping-particle":"","parse-names":false,"suffix":""},{"dropping-particle":"","family":"Althabe","given":"Fernando","non-dropping-particle":"","parse-names":false,"suffix":""},{"dropping-particle":"","family":"Azziz-Baumgartner","given":"Eduardo","non-dropping-particle":"","parse-names":false,"suffix":""},{"dropping-particle":"","family":"Baqui","given":"Abdullah H.","non-dropping-particle":"","parse-names":false,"suffix":""},{"dropping-particle":"","family":"Bausch","given":"Daniel G.","non-dropping-particle":"","parse-names":false,"suffix":""},{"dropping-particle":"","family":"Belizan","given":"Jose M.","non-dropping-particle":"","parse-names":false,"suffix":""},{"dropping-particle":"","family":"Qar Bhutta","given":"Zulfi","non-dropping-particle":"","parse-names":false,"suffix":""},{"dropping-particle":"","family":"Black","given":"Robert E.","non-dropping-particle":"","parse-names":false,"suffix":""},{"dropping-particle":"","family":"Broor","given":"Shobha","non-dropping-particle":"","parse-names":false,"suffix":""},{"dropping-particle":"","family":"Bruce","given":"Nigel","non-dropping-particle":"","parse-names":false,"suffix":""},{"dropping-particle":"","family":"Buekens","given":"Pierre","non-dropping-particle":"","parse-names":false,"suffix":""},{"dropping-particle":"","family":"Campbell","given":"Harry","non-dropping-particle":"","parse-names":false,"suffix":""},{"dropping-particle":"","family":"Carlo","given":"Waldemar A.","non-dropping-particle":"","parse-names":false,"suffix":""},{"dropping-particle":"","family":"Chomba","given":"Elwyn","non-dropping-particle":"","parse-names":false,"suffix":""},{"dropping-particle":"","family":"Costello","given":"Anthony","non-dropping-particle":"","parse-names":false,"suffix":""},{"dropping-particle":"","family":"Derman","given":"Richard J.","non-dropping-particle":"","parse-names":false,"suffix":""},{"dropping-particle":"","family":"Dherani","given":"Mukesh","non-dropping-particle":"","parse-names":false,"suffix":""},{"dropping-particle":"","family":"El-Arifeen","given":"Shams","non-dropping-particle":"","parse-names":false,"suffix":""},{"dropping-particle":"","family":"Engmann","given":"Cyril","non-dropping-particle":"","parse-names":false,"suffix":""},{"dropping-particle":"","family":"Esamai","given":"Fabian","non-dropping-particle":"","parse-names":false,"suffix":""},{"dropping-particle":"","family":"Ganatra","given":"Hammad","non-dropping-particle":"","parse-names":false,"suffix":""},{"dropping-particle":"","family":"Garcés","given":"Ana","non-dropping-particle":"","parse-names":false,"suffix":""},{"dropping-particle":"","family":"Gessner","given":"Bradford D.","non-dropping-particle":"","parse-names":false,"suffix":""},{"dropping-particle":"","family":"Gill","given":"Christopher","non-dropping-particle":"","parse-names":false,"suffix":""},{"dropping-particle":"","family":"Goldenberg","given":"Robert L.","non-dropping-particle":"","parse-names":false,"suffix":""},{"dropping-particle":"","family":"Goudar","given":"Shivaprasad S.","non-dropping-particle":"","parse-names":false,"suffix":""},{"dropping-particle":"","family":"Hambidge","given":"K. Michael","non-dropping-particle":"","parse-names":false,"suffix":""},{"dropping-particle":"","family":"Hamer","given":"Davidson H.","non-dropping-particle":"","parse-names":false,"suffix":""},{"dropping-particle":"","family":"Hansen","given":"Nellie I.","non-dropping-particle":"","parse-names":false,"suffix":""},{"dropping-particle":"","family":"Hibberd","given":"Patricia L.","non-dropping-particle":"","parse-names":false,"suffix":""},{"dropping-particle":"","family":"Khanal","given":"Sudhir","non-dropping-particle":"","parse-names":false,"suffix":""},{"dropping-particle":"","family":"Kirkwood","given":"Betty","non-dropping-particle":"","parse-names":false,"suffix":""},{"dropping-particle":"","family":"Kosgei","given":"Patrick","non-dropping-particle":"","parse-names":false,"suffix":""},{"dropping-particle":"","family":"Koso-Thomas","given":"Marion","non-dropping-particle":"","parse-names":false,"suffix":""},{"dropping-particle":"","family":"Liechty","given":"Edward A.","non-dropping-particle":"","parse-names":false,"suffix":""},{"dropping-particle":"","family":"McClure","given":"Elizabeth M.","non-dropping-particle":"","parse-names":false,"suffix":""},{"dropping-particle":"","family":"Mitra","given":"Dipak","non-dropping-particle":"","parse-names":false,"suffix":""},{"dropping-particle":"","family":"Mturi","given":"Neema","non-dropping-particle":"","parse-names":false,"suffix":""},{"dropping-particle":"","family":"Mullany","given":"Luke C.","non-dropping-particle":"","parse-names":false,"suffix":""},{"dropping-particle":"","family":"Newton","given":"Charles R.","non-dropping-particle":"","parse-names":false,"suffix":""},{"dropping-particle":"","family":"Nosten","given":"Francois","non-dropping-particle":"","parse-names":false,"suffix":""},{"dropping-particle":"","family":"Parveen","given":"Shama","non-dropping-particle":"","parse-names":false,"suffix":""},{"dropping-particle":"","family":"Patel","given":"Archana","non-dropping-particle":"","parse-names":false,"suffix":""},{"dropping-particle":"","family":"Romero","given":"Candice","non-dropping-particle":"","parse-names":false,"suffix":""},{"dropping-particle":"","family":"Saville","given":"Naomi","non-dropping-particle":"","parse-names":false,"suffix":""},{"dropping-particle":"","family":"Semrau","given":"Katherine","non-dropping-particle":"","parse-names":false,"suffix":""},{"dropping-particle":"","family":"Simões","given":"Eric A.F.","non-dropping-particle":"","parse-names":false,"suffix":""},{"dropping-particle":"","family":"Soofi","given":"Sajid","non-dropping-particle":"","parse-names":false,"suffix":""},{"dropping-particle":"","family":"Stoll","given":"Barbara J.","non-dropping-particle":"","parse-names":false,"suffix":""},{"dropping-particle":"","family":"Sunder","given":"Shiyam","non-dropping-particle":"","parse-names":false,"suffix":""},{"dropping-particle":"","family":"Syed","given":"Sana","non-dropping-particle":"","parse-names":false,"suffix":""},{"dropping-particle":"","family":"Tielsch","given":"James M.","non-dropping-particle":"","parse-names":false,"suffix":""},{"dropping-particle":"","family":"Tinoco","given":"Yeny O.","non-dropping-particle":"","parse-names":false,"suffix":""},{"dropping-particle":"","family":"Turner","given":"Claudia","non-dropping-particle":"","parse-names":false,"suffix":""},{"dropping-particle":"","family":"Vergnano","given":"Stefania","non-dropping-particle":"","parse-names":false,"suffix":""}],"container-title":"The Lancet Infectious Diseases","id":"ITEM-2","issue":"8","issued":{"date-parts":[["2014"]]},"page":"731-741","publisher":"Seale et al. Open Access article distributed under the terms of CC BY","title":"Estimates of possible severe bacterial infection in neonates in sub-Saharan Africa, south Asia, and Latin America for 2012: A systematic review and meta-analysis","type":"article-journal","volume":"14"},"uris":["http://www.mendeley.com/documents/?uuid=2887c48e-bd06-4474-9138-2fe9851ae6a3"]}],"mendeley":{"formattedCitation":"(2, 3)","plainTextFormattedCitation":"(2, 3)","previouslyFormattedCitation":"(2, 3)"},"properties":{"noteIndex":0},"schema":"https://github.com/citation-style-language/schema/raw/master/csl-citation.json"}</w:instrText>
      </w:r>
      <w:r w:rsidR="00532F48" w:rsidRPr="00F533B4">
        <w:rPr>
          <w:rFonts w:cstheme="minorHAnsi"/>
          <w:color w:val="000000" w:themeColor="text1"/>
        </w:rPr>
        <w:fldChar w:fldCharType="separate"/>
      </w:r>
      <w:r w:rsidR="000F1D8F" w:rsidRPr="000F1D8F">
        <w:rPr>
          <w:rFonts w:cstheme="minorHAnsi"/>
          <w:noProof/>
          <w:color w:val="000000" w:themeColor="text1"/>
        </w:rPr>
        <w:t>(2, 3)</w:t>
      </w:r>
      <w:r w:rsidR="00532F48" w:rsidRPr="00F533B4">
        <w:rPr>
          <w:rFonts w:cstheme="minorHAnsi"/>
          <w:color w:val="000000" w:themeColor="text1"/>
        </w:rPr>
        <w:fldChar w:fldCharType="end"/>
      </w:r>
      <w:r w:rsidR="00532F48" w:rsidRPr="00F533B4">
        <w:rPr>
          <w:rFonts w:cstheme="minorHAnsi"/>
          <w:color w:val="000000" w:themeColor="text1"/>
        </w:rPr>
        <w:t xml:space="preserve">.  </w:t>
      </w:r>
      <w:r w:rsidR="0025296C" w:rsidRPr="00F533B4">
        <w:rPr>
          <w:rFonts w:cstheme="minorHAnsi"/>
          <w:color w:val="000000" w:themeColor="text1"/>
        </w:rPr>
        <w:t>T</w:t>
      </w:r>
      <w:r w:rsidR="00BC78FC" w:rsidRPr="00F533B4">
        <w:rPr>
          <w:rFonts w:cstheme="minorHAnsi"/>
          <w:color w:val="000000" w:themeColor="text1"/>
        </w:rPr>
        <w:t xml:space="preserve">he World Health Organisation (WHO) </w:t>
      </w:r>
      <w:r w:rsidR="00FF274D" w:rsidRPr="00F533B4">
        <w:rPr>
          <w:rFonts w:cstheme="minorHAnsi"/>
          <w:color w:val="000000" w:themeColor="text1"/>
        </w:rPr>
        <w:t xml:space="preserve">currently </w:t>
      </w:r>
      <w:r w:rsidR="002E1840" w:rsidRPr="00F533B4">
        <w:rPr>
          <w:rFonts w:cstheme="minorHAnsi"/>
          <w:color w:val="000000" w:themeColor="text1"/>
        </w:rPr>
        <w:t xml:space="preserve">recommends </w:t>
      </w:r>
      <w:r w:rsidR="00BC78FC" w:rsidRPr="00F533B4">
        <w:rPr>
          <w:rFonts w:cstheme="minorHAnsi"/>
          <w:color w:val="000000" w:themeColor="text1"/>
        </w:rPr>
        <w:t>a narrow</w:t>
      </w:r>
      <w:r w:rsidR="0025296C" w:rsidRPr="00F533B4">
        <w:rPr>
          <w:rFonts w:cstheme="minorHAnsi"/>
          <w:color w:val="000000" w:themeColor="text1"/>
        </w:rPr>
        <w:t>-</w:t>
      </w:r>
      <w:r w:rsidR="00BC78FC" w:rsidRPr="00F533B4">
        <w:rPr>
          <w:rFonts w:cstheme="minorHAnsi"/>
          <w:color w:val="000000" w:themeColor="text1"/>
        </w:rPr>
        <w:t xml:space="preserve">spectrum β-lactam </w:t>
      </w:r>
      <w:r w:rsidR="00DC62A3" w:rsidRPr="00F533B4">
        <w:rPr>
          <w:rFonts w:cstheme="minorHAnsi"/>
          <w:color w:val="000000" w:themeColor="text1"/>
        </w:rPr>
        <w:t xml:space="preserve">agent </w:t>
      </w:r>
      <w:r w:rsidR="00BC78FC" w:rsidRPr="00F533B4">
        <w:rPr>
          <w:rFonts w:cstheme="minorHAnsi"/>
          <w:color w:val="000000" w:themeColor="text1"/>
        </w:rPr>
        <w:t>(e.g. amoxicillin or</w:t>
      </w:r>
      <w:r w:rsidR="002E1840" w:rsidRPr="00F533B4">
        <w:rPr>
          <w:rFonts w:cstheme="minorHAnsi"/>
          <w:color w:val="000000" w:themeColor="text1"/>
        </w:rPr>
        <w:t xml:space="preserve"> penicillin</w:t>
      </w:r>
      <w:r w:rsidR="00E93941">
        <w:rPr>
          <w:rFonts w:cstheme="minorHAnsi"/>
          <w:color w:val="000000" w:themeColor="text1"/>
        </w:rPr>
        <w:t xml:space="preserve"> G</w:t>
      </w:r>
      <w:r w:rsidR="00BC78FC" w:rsidRPr="00F533B4">
        <w:rPr>
          <w:rFonts w:cstheme="minorHAnsi"/>
          <w:color w:val="000000" w:themeColor="text1"/>
        </w:rPr>
        <w:t xml:space="preserve">) in combination with gentamicin </w:t>
      </w:r>
      <w:r w:rsidR="009D0E70">
        <w:rPr>
          <w:rFonts w:cstheme="minorHAnsi"/>
          <w:color w:val="000000" w:themeColor="text1"/>
        </w:rPr>
        <w:t xml:space="preserve">as the first line empiric regimen to </w:t>
      </w:r>
      <w:r w:rsidR="0025296C" w:rsidRPr="00F533B4">
        <w:rPr>
          <w:rFonts w:cstheme="minorHAnsi"/>
          <w:color w:val="000000" w:themeColor="text1"/>
        </w:rPr>
        <w:t xml:space="preserve">treat neonatal sepsis </w:t>
      </w:r>
      <w:r w:rsidR="00BC78FC" w:rsidRPr="00F533B4">
        <w:rPr>
          <w:rFonts w:cstheme="minorHAnsi"/>
          <w:color w:val="000000" w:themeColor="text1"/>
        </w:rPr>
        <w:fldChar w:fldCharType="begin" w:fldLock="1"/>
      </w:r>
      <w:r w:rsidR="00E67581">
        <w:rPr>
          <w:rFonts w:cstheme="minorHAnsi"/>
          <w:color w:val="000000" w:themeColor="text1"/>
        </w:rPr>
        <w:instrText>ADDIN CSL_CITATION {"citationItems":[{"id":"ITEM-1","itemData":{"DOI":"10.1136/archdischild-2012-302033","ISBN":"10.1136/bmjqs-2012-001325","ISSN":"0031-4005","PMID":"15794973","abstract":"Aims Sepsis remains a leading cause of mortality and morbidity, especially during the first five days of life and in low and middle-income countries (LMIC) [1]. Hospital infection also remains a major cause of mortality in children despite progress encountered in the last decades. WHO recommends ampicillin (or penicillin; cloxacillin if staphylococcal infection is suspected) plus gentamicin for empiric treatment of neonates with suspected clinical sepsis; when referral is not possible, once daily gentamicin plus oral amoxicillin may be used. It is known, however, that in many countries, agents with a broader spectrum, such as third-generation cephalosporins, are commonly used to treat neonatal and infant sepsis [2] Against this background, concerns are increasing regarding bacterial pathogens with reduced susceptibility to empiric medication with variations both between and within LMIC [3]. The WHO seeks to provide a paediatric perspective on antibiotics to be included on the list of essential medicines, which is currently in the process of being updated. The potential need to revise the existing WHO guidelines based on new antimicrobial resistance (AMR) data or evidence relating to drug safety in neonates and children must be evaluated. For this purpose, a number of reviews have been commissioned to address these aspects. This review collates evidence to support current empiric antibiotic recommendations for suspected or confirmed sepsis in neonates and children according to the most recent (≥ year 2012) relevant studies","author":[{"dropping-particle":"","family":"Fuchs","given":"Aline","non-dropping-particle":"","parse-names":false,"suffix":""},{"dropping-particle":"","family":"Bielicki","given":"Julia","non-dropping-particle":"","parse-names":false,"suffix":""},{"dropping-particle":"","family":"Mathur","given":"Shrey","non-dropping-particle":"","parse-names":false,"suffix":""},{"dropping-particle":"","family":"Sharland","given":"Mike","non-dropping-particle":"","parse-names":false,"suffix":""},{"dropping-particle":"","family":"Van","given":"Johannes N","non-dropping-particle":"","parse-names":false,"suffix":""},{"dropping-particle":"","family":"Anker","given":"Den","non-dropping-particle":"","parse-names":false,"suffix":""}],"container-title":"WHO-Reviews","id":"ITEM-1","issued":{"date-parts":[["2016"]]},"page":"7","title":"Antibiotic Use for Sepsis in Neonates and Children: 2016 Evidence Update","type":"article-journal"},"uris":["http://www.mendeley.com/documents/?uuid=2f9861e2-b467-4652-9725-2e0e06e992b7"]},{"id":"ITEM-2","itemData":{"ISBN":"978 92 4 154837 3","abstract":"xv Preface This is the second edition of the World Health Organization (WHO) Pocket book of hospital care for children , which was fi rst published in 2005. It is a compila- tion of the updated WHO guidelines for the management of common childhood illnesses at the fi r s t- r e f e r r a l l e v e l i n l o w - r e s o ur c e c o u n t r i e s . I t p r e s e n t s r e l e v a n t , up-to-date, evidence-based clinical guidelines that can be used by clinicians in their daily work in hospitals with basic laboratory facilities and inexpensive medicines. The guidelines focus on inpatient management of children who are severely ill with conditions that are major causes of childhood mor talit y, such as neonatal illness, pneumonia, diarrhoea, fever (mainly malaria, meningitis and septicaemia), severe acute malnutrition and HIV/AIDS. It also includes guidance on common surgical problems, appropriate supportive care and monitoring of patients on the ward. The Pocket book is part of a series of tools for improving the quality of care for severely ill children and is consistent with the Integrated Management of Childhood Illness (IMCI) guidelines for outpatient management of sick chil- dren. It is for use by doctors, senior nurses and other senior health workers who are responsible for the care of young children at the fi rst referral level in developing countries","author":[{"dropping-particle":"","family":"World Health Organization","given":"","non-dropping-particle":"","parse-names":false,"suffix":""}],"edition":"Second Edi","id":"ITEM-2","issued":{"date-parts":[["2013"]]},"number-of-pages":"438","publisher":"World Health Organisation","publisher-place":"Geneva","title":"Pocket book of hospital care for children","type":"book"},"uris":["http://www.mendeley.com/documents/?uuid=84f9a66e-5a51-42eb-b122-afb363a7f124"]}],"mendeley":{"formattedCitation":"(4, 5)","plainTextFormattedCitation":"(4, 5)","previouslyFormattedCitation":"(4, 5)"},"properties":{"noteIndex":0},"schema":"https://github.com/citation-style-language/schema/raw/master/csl-citation.json"}</w:instrText>
      </w:r>
      <w:r w:rsidR="00BC78FC" w:rsidRPr="00F533B4">
        <w:rPr>
          <w:rFonts w:cstheme="minorHAnsi"/>
          <w:color w:val="000000" w:themeColor="text1"/>
        </w:rPr>
        <w:fldChar w:fldCharType="separate"/>
      </w:r>
      <w:r w:rsidR="000F1D8F" w:rsidRPr="000F1D8F">
        <w:rPr>
          <w:rFonts w:cstheme="minorHAnsi"/>
          <w:noProof/>
          <w:color w:val="000000" w:themeColor="text1"/>
        </w:rPr>
        <w:t>(4, 5)</w:t>
      </w:r>
      <w:r w:rsidR="00BC78FC" w:rsidRPr="00F533B4">
        <w:rPr>
          <w:rFonts w:cstheme="minorHAnsi"/>
          <w:color w:val="000000" w:themeColor="text1"/>
        </w:rPr>
        <w:fldChar w:fldCharType="end"/>
      </w:r>
      <w:r w:rsidR="00F53315" w:rsidRPr="00F533B4">
        <w:rPr>
          <w:rFonts w:cstheme="minorHAnsi"/>
          <w:color w:val="000000" w:themeColor="text1"/>
        </w:rPr>
        <w:t xml:space="preserve">. </w:t>
      </w:r>
      <w:r w:rsidR="0025296C" w:rsidRPr="00F533B4">
        <w:rPr>
          <w:rFonts w:cstheme="minorHAnsi"/>
          <w:color w:val="000000" w:themeColor="text1"/>
        </w:rPr>
        <w:t xml:space="preserve"> </w:t>
      </w:r>
      <w:r w:rsidR="00D76658" w:rsidRPr="00F533B4">
        <w:rPr>
          <w:rFonts w:cstheme="minorHAnsi"/>
          <w:color w:val="000000" w:themeColor="text1"/>
        </w:rPr>
        <w:t>T</w:t>
      </w:r>
      <w:r w:rsidR="00F53315" w:rsidRPr="00F533B4">
        <w:rPr>
          <w:rFonts w:cstheme="minorHAnsi"/>
          <w:color w:val="000000" w:themeColor="text1"/>
        </w:rPr>
        <w:t>his regime</w:t>
      </w:r>
      <w:r w:rsidR="00D76658" w:rsidRPr="00F533B4">
        <w:rPr>
          <w:rFonts w:cstheme="minorHAnsi"/>
          <w:color w:val="000000" w:themeColor="text1"/>
        </w:rPr>
        <w:t>n</w:t>
      </w:r>
      <w:r w:rsidR="00F53315" w:rsidRPr="00F533B4">
        <w:rPr>
          <w:rFonts w:cstheme="minorHAnsi"/>
          <w:color w:val="000000" w:themeColor="text1"/>
        </w:rPr>
        <w:t xml:space="preserve"> has </w:t>
      </w:r>
      <w:r w:rsidR="001C53E4" w:rsidRPr="00F533B4">
        <w:rPr>
          <w:rFonts w:cstheme="minorHAnsi"/>
          <w:color w:val="000000" w:themeColor="text1"/>
        </w:rPr>
        <w:t xml:space="preserve">an </w:t>
      </w:r>
      <w:r w:rsidR="00532F48" w:rsidRPr="00F533B4">
        <w:rPr>
          <w:rFonts w:cstheme="minorHAnsi"/>
          <w:color w:val="000000" w:themeColor="text1"/>
        </w:rPr>
        <w:t>acceptable</w:t>
      </w:r>
      <w:r w:rsidR="001C53E4" w:rsidRPr="00F533B4">
        <w:rPr>
          <w:rFonts w:cstheme="minorHAnsi"/>
          <w:color w:val="000000" w:themeColor="text1"/>
        </w:rPr>
        <w:t xml:space="preserve"> safety profile</w:t>
      </w:r>
      <w:r w:rsidR="00F53315" w:rsidRPr="00F533B4">
        <w:rPr>
          <w:rFonts w:cstheme="minorHAnsi"/>
          <w:color w:val="000000" w:themeColor="text1"/>
        </w:rPr>
        <w:t xml:space="preserve">, </w:t>
      </w:r>
      <w:r w:rsidR="0025296C" w:rsidRPr="00F533B4">
        <w:rPr>
          <w:rFonts w:cstheme="minorHAnsi"/>
          <w:color w:val="000000" w:themeColor="text1"/>
        </w:rPr>
        <w:t>is active</w:t>
      </w:r>
      <w:r w:rsidR="001C53E4" w:rsidRPr="00F533B4">
        <w:rPr>
          <w:rFonts w:cstheme="minorHAnsi"/>
          <w:color w:val="000000" w:themeColor="text1"/>
        </w:rPr>
        <w:t xml:space="preserve"> </w:t>
      </w:r>
      <w:r w:rsidR="00F53315" w:rsidRPr="00F533B4">
        <w:rPr>
          <w:rFonts w:cstheme="minorHAnsi"/>
          <w:color w:val="000000" w:themeColor="text1"/>
        </w:rPr>
        <w:t xml:space="preserve">against common causative </w:t>
      </w:r>
      <w:r w:rsidR="0025296C" w:rsidRPr="00F533B4">
        <w:rPr>
          <w:rFonts w:cstheme="minorHAnsi"/>
          <w:color w:val="000000" w:themeColor="text1"/>
        </w:rPr>
        <w:t xml:space="preserve">wild-type </w:t>
      </w:r>
      <w:r w:rsidR="00F53315" w:rsidRPr="00F533B4">
        <w:rPr>
          <w:rFonts w:cstheme="minorHAnsi"/>
          <w:color w:val="000000" w:themeColor="text1"/>
        </w:rPr>
        <w:t>organisms, is inexpensive and</w:t>
      </w:r>
      <w:r w:rsidR="0025296C" w:rsidRPr="00F533B4">
        <w:rPr>
          <w:rFonts w:cstheme="minorHAnsi"/>
          <w:color w:val="000000" w:themeColor="text1"/>
        </w:rPr>
        <w:t xml:space="preserve"> feasible </w:t>
      </w:r>
      <w:r w:rsidR="00F53315" w:rsidRPr="00F533B4">
        <w:rPr>
          <w:rFonts w:cstheme="minorHAnsi"/>
          <w:color w:val="000000" w:themeColor="text1"/>
        </w:rPr>
        <w:t>to administer.</w:t>
      </w:r>
      <w:r w:rsidR="0025296C" w:rsidRPr="00F533B4">
        <w:rPr>
          <w:rFonts w:cstheme="minorHAnsi"/>
          <w:color w:val="000000" w:themeColor="text1"/>
        </w:rPr>
        <w:t xml:space="preserve">  However, clinical efficacy is increasingly compromised by the rise of antimicrobial resistance (AMR).</w:t>
      </w:r>
    </w:p>
    <w:p w14:paraId="5B56A3B2" w14:textId="0096BE57" w:rsidR="0061683A" w:rsidRDefault="0025296C" w:rsidP="00501CB2">
      <w:pPr>
        <w:spacing w:before="120" w:line="480" w:lineRule="auto"/>
        <w:rPr>
          <w:color w:val="000000" w:themeColor="text1"/>
        </w:rPr>
      </w:pPr>
      <w:r w:rsidRPr="00F533B4">
        <w:rPr>
          <w:rFonts w:cstheme="minorHAnsi"/>
          <w:color w:val="000000" w:themeColor="text1"/>
        </w:rPr>
        <w:t>M</w:t>
      </w:r>
      <w:r w:rsidR="002E1840" w:rsidRPr="00F533B4">
        <w:rPr>
          <w:rFonts w:cstheme="minorHAnsi"/>
          <w:color w:val="000000" w:themeColor="text1"/>
        </w:rPr>
        <w:t xml:space="preserve">ultiple epidemiological studies of neonatal sepsis demonstrate significant levels of </w:t>
      </w:r>
      <w:r w:rsidRPr="00F533B4">
        <w:rPr>
          <w:rFonts w:cstheme="minorHAnsi"/>
          <w:color w:val="000000" w:themeColor="text1"/>
        </w:rPr>
        <w:t>drug resistance</w:t>
      </w:r>
      <w:r w:rsidR="002E1840" w:rsidRPr="00F533B4">
        <w:rPr>
          <w:rFonts w:cstheme="minorHAnsi"/>
          <w:color w:val="000000" w:themeColor="text1"/>
        </w:rPr>
        <w:t xml:space="preserve">, particularly to </w:t>
      </w:r>
      <w:r w:rsidR="002E1840" w:rsidRPr="00F533B4">
        <w:rPr>
          <w:rFonts w:cstheme="minorHAnsi"/>
          <w:color w:val="000000" w:themeColor="text1"/>
        </w:rPr>
        <w:sym w:font="Symbol" w:char="F062"/>
      </w:r>
      <w:r w:rsidR="002E1840" w:rsidRPr="00F533B4">
        <w:rPr>
          <w:rFonts w:cstheme="minorHAnsi"/>
          <w:color w:val="000000" w:themeColor="text1"/>
        </w:rPr>
        <w:t xml:space="preserve">-lactams and gentamicin </w:t>
      </w:r>
      <w:r w:rsidR="002E1840" w:rsidRPr="00F533B4">
        <w:rPr>
          <w:rFonts w:cstheme="minorHAnsi"/>
          <w:color w:val="000000" w:themeColor="text1"/>
        </w:rPr>
        <w:fldChar w:fldCharType="begin" w:fldLock="1"/>
      </w:r>
      <w:r w:rsidR="008E186E">
        <w:rPr>
          <w:rFonts w:cstheme="minorHAnsi"/>
          <w:color w:val="000000" w:themeColor="text1"/>
        </w:rPr>
        <w:instrText>ADDIN CSL_CITATION {"citationItems":[{"id":"ITEM-1","itemData":{"DOI":"10.1016/S2214-109X(16)30148-6","ISSN":"2214109X","PMID":"27633433","abstract":"Background Sepsis is one of the most common causes of neonatal deaths globally. Most sepsis-related deaths occur in low-income and middle-income countries, where the epidemiology of neonatal sepsis remains poorly understood. Most of these countries lack proper surveillance networks, hampering accurate assessment of the burden of sepsis, implementation of preventive measures, and investment in research. We report results of neonates born in hospital from a multicentre collaboration on neonatal sepsis. Methods In this cohort study, dedicated research teams prospectively followed up neonates born in one of three tertiary care centres in Delhi, India (Vardhaman Mahavir Medical College, Maulana Azad Medical College, and All India Institute of Medical Sciences [coordinating centre]) and subsequently admitted to the intensive care unit. Neonates were followed up daily until discharge or death. On clinical suspicion, neonates underwent sepsis work-up including blood cultures. The isolated organisms were identified and tested for antimicrobial susceptibility. We defined Gram-negative isolates resistant to any three of five antibiotic classes (extended-spectrum cephalosporins, carbapenems, aminoglycosides, fluoroquinolones, and piperacillin-tazobactam) as multidrug resistant. Findings 13 530 neonates of 88 636 livebirths were enrolled between July 18, 2011, and Feb 28, 2014. The incidence of total sepsis was 14·3% (95% CI 13·8–14·9) and of culture-positive sepsis was 6·2% (5·8–6·6). Nearly two-thirds of total episodes occurred at or before 72 h of life (defined as early onset; 1351 [83%] of 1980). Two-thirds (645 [64%]) of 1005 isolates were Gram-negative including, Acinetobacter spp (22%), Klebsiella spp (17%), and Escherichia coli (14%). The pathogen mix in early-onset sepsis did not differ from that of late-onset sepsis (ie, after 72 h). High rates of multidrug resistance were observed in Acinetobacter spp (181/222, 82%), Klebsiella spp (91/169, 54%), and Escherichia coli (52/137, 38%) isolates. Meticillin resistance prevailed in 61% (85/140) of coagulase-negative staphylococci and 38% (43/114) of Staphylococcus aureus isolates. Nearly a quarter of the deaths were attributable to sepsis. The population-attributable risks of mortality were 8·6% in culture-negative sepsis, 15·7% in culture-positive sepsis by multidrug-resistant organisms, and 12·0% in culture-positive sepsis by non-multidrug-resistant organisms. Interpretation The high incidence of sepsis and al…","author":[{"dropping-particle":"","family":"DeNIS collaboration","given":"","non-dropping-particle":"","parse-names":false,"suffix":""}],"container-title":"The Lancet Global Health","id":"ITEM-1","issue":"10","issued":{"date-parts":[["2016"]]},"page":"e752-e760","publisher":"The Author(s). Published by Elsevier Ltd. This is an Open Access article under the CC BY license","title":"Characterisation and antimicrobial resistance of sepsis pathogens in neonates born in tertiary care centres in Delhi, India: a cohort study","type":"article-journal","volume":"4"},"uris":["http://www.mendeley.com/documents/?uuid=76f96f51-f757-46aa-a680-b1a17e886322"]},{"id":"ITEM-2","itemData":{"DOI":"10.1186/s12879-016-1913-4","ISSN":"14712334","PMID":"27776490","abstract":"Diagnosis of bloodstream infections (BSI) in neonates is usually difficult due to minimal symptoms at presentation; thus early empirical therapy guided by local antibiotic susceptibility profile is necessary to improve therapeutic outcomes. A review of neonatal blood cultures submitted to the microbiology department of the Korle-Bu Teaching Hospital was conducted from January 2010 through December 2013. We assessed the prevalence of bacteria and fungi involved in BSI and the susceptibility coverage of recommended empiric antibiotics by Ghana Standard Treatment guidelines and the WHO recommendations for managing neonatal sepsis. The national and WHO treatment guidelines recommend either ampicillin plus gentamicin or ampicillin plus cefotaxime for empiric treatment of neonatal BSI. The WHO recommendations also include cloxacillin plus gentamicin. We described the resistance profile over a 28-day neonatal period using multivariable logistic regression analysis with linear or restricted cubic splines. A total of 8,025 neonatal blood culture reports were reviewed over the four-year period. Total blood culture positivity was 21.9 %. Gram positive organisms accounted for most positive cultures, with coagulase negative staphylococci (CoNS) being the most frequently isolated pathogen in early onset infections (EOS) (59.1 %) and late onset infections (LOS) (52.8 %). Susceptibility coverage of early onset bacterial isolates were 20.7 % to ampicillin plus cefotaxime, 32.2 % to the combination of ampicillin and gentamicin, and 71.7 % to cloxacillin plus gentamicin. For LOS, coverage was 24.6 % to ampicillin plus cefotaxime, 36.2 % to the combination ampicillin and gentamicin and 63.6 % to cloxacillin plus gentamicin. Cloxacillin plus gentamicin remained the most active regimen for EOS and LOS after exclusion of BSI caused by CoNS. For this regimen, the adjusted odds of resistance decreased between 12-34 % per day from birth to day 3 followed by the slowest rate of resistance increase, compared to the other antibiotic regimen, thereafter until day 28. The trend in resistance remained generally unchanged after excluding data from CoNS. Multidrug resistant isolates were significantly (p-value &lt;0.001) higher in LOS (62.4 %, n = 555/886) than in EOS (37.3 %, n = 331/886). There is low antibiotic susceptibility coverage for organisms causing neonatal bloodstream infections in Korle-Bu Teaching Hospital when the current national and WHO recommended empiric antibiotics were…","author":[{"dropping-particle":"","family":"Labi","given":"Appiah Korang","non-dropping-particle":"","parse-names":false,"suffix":""},{"dropping-particle":"","family":"Obeng-Nkrumah","given":"Noah","non-dropping-particle":"","parse-names":false,"suffix":""},{"dropping-particle":"","family":"Bjerrum","given":"Stephanie","non-dropping-particle":"","parse-names":false,"suffix":""},{"dropping-particle":"","family":"Enweronu-Laryea","given":"Christabel","non-dropping-particle":"","parse-names":false,"suffix":""},{"dropping-particle":"","family":"Newman","given":"Mercy Jemima","non-dropping-particle":"","parse-names":false,"suffix":""}],"container-title":"BMC Infectious Diseases","id":"ITEM-2","issue":"1","issued":{"date-parts":[["2016"]]},"publisher":"BMC Infectious Diseases","title":"Neonatal bloodstream infections in a Ghanaian Tertiary Hospital: Are the current antibiotic recommendations adequate?","type":"article-journal","volume":"16"},"uris":["http://www.mendeley.com/documents/?uuid=1153f67f-fe98-4322-9d71-c41d9a9d3957"]},{"id":"ITEM-3","itemData":{"DOI":"10.3233/NPM-1765","ISSN":"18784429","abstract":"OBJECTIVE: The aim of this study is to investigate etiological agents, patterns of antimicrobial resistance and predictors of mortality in culture proven neonatal sepsis. METHOD: This is a twenty-four month retrospective cohort study of infants with culture proven sepsis. Demographic data, type of isolates and its sensitivity pattern were recorded. Multidrug resistant gram-negative isolates were defined as resistance to any three of five antibiotic classes: extended-spectrum cephalosporins, carbapenems, aminoglycosides, fluoroquinolones and piperacillin-tazobactam. RESULT: A total of 183 case with culture positive sepsis were identified. Early onset sepsis occurred in 59% of cases. The majority of isolates (56.2%) were gram-positive but the most common individual isolates were klebsiella spp. (31.1%), Staphylococcus aureus (24.5%) and coagulase-negative staphylococci (CONS) (22.9%). The pathogen mix in early-onset did not differ from late-onset sepsis. High rates of multidrug resistance were observed in klebsiella spp. (49.1%), Escherichia coli (50%), citrobacter spp (50%), acinetobacter spp. (28.5%), pseudomonas spp. (100%) isolates. Methicillin resistance prevailed in 16.6% of coagulase-negative staphylococci, 24.4% of Staphylococcus aureus and 62.5% of enterococcus spp. Multivariate analysis revealed invasive ventilation and early onset sepsis to be independently associated with increased risk of mortality in contrast to breast milk feeding which is associated with decreased risk of mortality. CONCLUSION: A high degree of antimicrobial resistance underscores the need to understand the pathogenesis of resistance, curtail the irrational prescription of antibiotics in neonates and the requirement for measures to prevent it in low-income and middle-income countries.","author":[{"dropping-particle":"","family":"Bandyopadhyay","given":"T.","non-dropping-particle":"","parse-names":false,"suffix":""},{"dropping-particle":"","family":"Kumar","given":"A.","non-dropping-particle":"","parse-names":false,"suffix":""},{"dropping-particle":"","family":"Saili","given":"A.","non-dropping-particle":"","parse-names":false,"suffix":""},{"dropping-particle":"","family":"Randhawa","given":"V. S.","non-dropping-particle":"","parse-names":false,"suffix":""}],"container-title":"Journal of Neonatal-Perinatal Medicine","id":"ITEM-3","issue":"2","issued":{"date-parts":[["2018"]]},"page":"145-153","title":"Distribution, antimicrobial resistance and predictors of mortality in neonatal sepsis","type":"article-journal","volume":"11"},"uris":["http://www.mendeley.com/documents/?uuid=8822e4f6-79cf-4362-a795-3c37d06e91ec"]},{"id":"ITEM-4","itemData":{"DOI":"10.1371/journal.pone.0180705","ISBN":"1111111111","ISSN":"19326203","abstract":"BACKGROUND: There is a paucity of data on the epidemiology of sepsis in outborn neonates being referred to level-3 units in low- and middle-income countries (LMIC). The objective of the present study was to evaluate the prevalence of sepsis and outcomes of outborn neonates with sepsis, and to characterize the pathogen profile and antimicrobial resistance (AMR) patterns of common isolates in them. METHODS: In this prospective observational cohort study (2011–2015), a dedicated research team enrolled all neonates admitted to an outborn level-3 neonatal unit and followed them until discharge/death. Sepsis work-up including blood culture(s) was performed upon suspicion of sepsis. All the isolates were identified and tested for antimicrobial susceptibility. Gram-negative pathogens resistant to any three of the five antibiotic classes (extended-spectrum cephalosporins, carbapenems, aminoglycosides, fluoroquinolones, and piperacillin-tazobactam) were labeled multi-drug resistant. RESULTS: Of the total of 2588 neonates enrolled, culture positive sepsis and total sepsis–i.e. culture positive and/or culture negative sepsis–was diagnosed in 13.1% (95% CI 11.8% to 14.5%) and 54.7% (95% CI 52.8% to 56.6%), respectively. The case fatality rates were 23.4% and 11.0% in culture-positive and total sepsis, respectively. Sepsis accounted for two-thirds of total neonatal deaths (153/235, 63.0%). Bacterial isolates caused about three-fourths (296/401; 73.8%) of the infections. The two common pathogens–Klebsiella pneumoniae (n = 50, 12.5%) and Acinetobacter baumannii (n = 46, 11.5%)–showed high degree of multi-drug resistance (78.0% and 91.3%, respectively) and carbapenem resistance (84.0% and 91.3%, respectively). About a quarter of infections were caused by Candida spp. (n = 91; 22.7%); almost three-fourths (73.7%) of these infections occurred in neonates born at or after 32 weeks’ gestation and about two-thirds (62.1%) in those weighing 1500 g or more at birth. CONCLUSIONS: In this large outborn cohort, we report high burden of sepsis, high prevalence of systemic fungal infections, and alarming rates of antimicrobial resistance among bacterial pathogens.","author":[{"dropping-particle":"","family":"Jajoo","given":"Mamta","non-dropping-particle":"","parse-names":false,"suffix":""},{"dropping-particle":"","family":"Manchanda","given":"Vikas","non-dropping-particle":"","parse-names":false,"suffix":""},{"dropping-particle":"","family":"Chaurasia","given":"Suman","non-dropping-particle":"","parse-names":false,"suffix":""},{"dropping-particle":"","family":"Jeeva Sankar","given":"M.","non-dropping-particle":"","parse-names":false,"suffix":""},{"dropping-particle":"","family":"Gautam","given":"Hitender","non-dropping-particle":"","parse-names":false,"suffix":""},{"dropping-particle":"","family":"Agarwal","given":"Ramesh","non-dropping-particle":"","parse-names":false,"suffix":""},{"dropping-particle":"","family":"Yadav","given":"Chander Prakash","non-dropping-particle":"","parse-names":false,"suffix":""},{"dropping-particle":"","family":"Aggarwal","given":"Kailash C.","non-dropping-particle":"","parse-names":false,"suffix":""},{"dropping-particle":"","family":"Chellani","given":"Harish","non-dropping-particle":"","parse-names":false,"suffix":""},{"dropping-particle":"","family":"Ramji","given":"Siddharth","non-dropping-particle":"","parse-names":false,"suffix":""},{"dropping-particle":"","family":"Deb","given":"Monorama","non-dropping-particle":"","parse-names":false,"suffix":""},{"dropping-particle":"","family":"Gaind","given":"Rajni","non-dropping-particle":"","parse-names":false,"suffix":""},{"dropping-particle":"","family":"Kumar","given":"Surinder","non-dropping-particle":"","parse-names":false,"suffix":""},{"dropping-particle":"","family":"Arya","given":"Sugandha","non-dropping-particle":"","parse-names":false,"suffix":""},{"dropping-particle":"","family":"Sreenivas","given":"Vishnubhatla","non-dropping-particle":"","parse-names":false,"suffix":""},{"dropping-particle":"","family":"Kapil","given":"Arti","non-dropping-particle":"","parse-names":false,"suffix":""},{"dropping-particle":"","family":"Mathur","given":"Purva","non-dropping-particle":"","parse-names":false,"suffix":""},{"dropping-particle":"","family":"Rasaily","given":"Reeta","non-dropping-particle":"","parse-names":false,"suffix":""},{"dropping-particle":"","family":"Deorari","given":"Ashok K.","non-dropping-particle":"","parse-names":false,"suffix":""},{"dropping-particle":"","family":"Paul","given":"Vinod K.","non-dropping-particle":"","parse-names":false,"suffix":""}],"container-title":"PLoS ONE","id":"ITEM-4","issue":"6","issued":{"date-parts":[["2018"]]},"page":"1-16","title":"Alarming rates of antimicrobial resistance and fungal sepsis in outborn neonates in North India","type":"article-journal","volume":"13"},"uris":["http://www.mendeley.com/documents/?uuid=66c5b8c8-238a-42e8-a9ed-afac7b8bda76"]},{"id":"ITEM-5","itemData":{"DOI":"10.1186/s13104-018-3394-6","ISSN":"17560500","abstract":"Neonatal sepsis is a major cause of morbidity and mortality of newborns (&lt; 1 month of age). Septicemia and drug resistance is a predominant issue for neonatal death in Nepal. This study is intended to find bacteriological profile of neonatal sepsis and antibiotic susceptibility pattern of the isolates from neonates at Kanti Children’s Hospital, Kathmandu, Nepal.","author":[{"dropping-particle":"","family":"Yadav","given":"Nikita Singh","non-dropping-particle":"","parse-names":false,"suffix":""},{"dropping-particle":"","family":"Sharma","given":"Saroj","non-dropping-particle":"","parse-names":false,"suffix":""},{"dropping-particle":"","family":"Chaudhary","given":"Dhiraj Kumar","non-dropping-particle":"","parse-names":false,"suffix":""},{"dropping-particle":"","family":"Panthi","given":"Prabhat","non-dropping-particle":"","parse-names":false,"suffix":""},{"dropping-particle":"","family":"Pokhrel","given":"Pankaj","non-dropping-particle":"","parse-names":false,"suffix":""},{"dropping-particle":"","family":"Shrestha","given":"Anil","non-dropping-particle":"","parse-names":false,"suffix":""},{"dropping-particle":"","family":"Mandal","given":"Pappu Kumar","non-dropping-particle":"","parse-names":false,"suffix":""}],"container-title":"BMC Research Notes","id":"ITEM-5","issue":"1","issued":{"date-parts":[["2018"]]},"page":"1-6","publisher":"BioMed Central","title":"Bacteriological profile of neonatal sepsis and antibiotic susceptibility pattern of isolates admitted at Kanti Children's Hospital, Kathmandu, Nepal","type":"article-journal","volume":"11"},"uris":["http://www.mendeley.com/documents/?uuid=e0baf012-be02-4f9c-b969-3c12fd0d29c7"]},{"id":"ITEM-6","itemData":{"DOI":"10.1186/s12887-018-1176-x","ISSN":"14712431","PMID":"29950162","abstract":"Neonatal sepsis, one of the leading causes of mortality in neonatal intensive care units (NICU) of developing countries like Nepal, is often not extensively studied. In order to decrease the morbidity and mortality associated with neonatal sepsis, neonatologists should have a keen knowledge of the existing bacteriological flora and their antibiotic susceptibility pattern. In this study, we aim to determine the bacteriological profile and antibiotic susceptibility pattern of culture positive neonatal sepsis in the NICU of a tertiary teaching hospital in Nepal.","author":[{"dropping-particle":"","family":"Pokhrel","given":"Bhishma","non-dropping-particle":"","parse-names":false,"suffix":""},{"dropping-particle":"","family":"Koirala","given":"Tapendra","non-dropping-particle":"","parse-names":false,"suffix":""},{"dropping-particle":"","family":"Shah","given":"Ganesh","non-dropping-particle":"","parse-names":false,"suffix":""},{"dropping-particle":"","family":"Joshi","given":"Suchita","non-dropping-particle":"","parse-names":false,"suffix":""},{"dropping-particle":"","family":"Baral","given":"Pinky","non-dropping-particle":"","parse-names":false,"suffix":""}],"container-title":"BMC Pediatrics","id":"ITEM-6","issue":"1","issued":{"date-parts":[["2018"]]},"page":"1-8","publisher":"BMC Pediatrics","title":"Bacteriological profile and antibiotic susceptibility of neonatal sepsis in neonatal intensive care unit of a tertiary hospital in Nepal","type":"article-journal","volume":"18"},"uris":["http://www.mendeley.com/documents/?uuid=2bb3e3c8-e0dc-481d-99a4-90952e42a3eb"]},{"id":"ITEM-7","itemData":{"DOI":"10.1136/bmj.k5314","ISSN":"17561833","abstract":"M Jeeva Sankar and colleagues call for urgent action to improve quality of care at birth and implement antimicrobial stewardship in health facilities in South Asia to reduce neonatal deaths from sepsis.","author":[{"dropping-particle":"","family":"Chaurasia","given":"Suman","non-dropping-particle":"","parse-names":false,"suffix":""},{"dropping-particle":"","family":"Sivanandan","given":"Sindhu","non-dropping-particle":"","parse-names":false,"suffix":""},{"dropping-particle":"","family":"Agarwal","given":"Ramesh","non-dropping-particle":"","parse-names":false,"suffix":""},{"dropping-particle":"","family":"Ellis","given":"Sally","non-dropping-particle":"","parse-names":false,"suffix":""},{"dropping-particle":"","family":"Sharland","given":"Mike","non-dropping-particle":"","parse-names":false,"suffix":""},{"dropping-particle":"","family":"Sankar","given":"M. Jeeva","non-dropping-particle":"","parse-names":false,"suffix":""}],"container-title":"BMJ (Online)","id":"ITEM-7","issued":{"date-parts":[["2019","1","22"]]},"publisher":"BMJ Publishing Group","title":"Neonatal sepsis in South Asia: Huge burden and spiralling antimicrobial resistance","type":"article","volume":"364"},"uris":["http://www.mendeley.com/documents/?uuid=2c7c7bc7-3a55-33f0-8cbd-848015b8ba33"]}],"mendeley":{"formattedCitation":"(6–12)","plainTextFormattedCitation":"(6–12)","previouslyFormattedCitation":"(6–12)"},"properties":{"noteIndex":0},"schema":"https://github.com/citation-style-language/schema/raw/master/csl-citation.json"}</w:instrText>
      </w:r>
      <w:r w:rsidR="002E1840" w:rsidRPr="00F533B4">
        <w:rPr>
          <w:rFonts w:cstheme="minorHAnsi"/>
          <w:color w:val="000000" w:themeColor="text1"/>
        </w:rPr>
        <w:fldChar w:fldCharType="separate"/>
      </w:r>
      <w:r w:rsidR="00340096" w:rsidRPr="00340096">
        <w:rPr>
          <w:rFonts w:cstheme="minorHAnsi"/>
          <w:noProof/>
          <w:color w:val="000000" w:themeColor="text1"/>
        </w:rPr>
        <w:t>(6–12)</w:t>
      </w:r>
      <w:r w:rsidR="002E1840" w:rsidRPr="00F533B4">
        <w:rPr>
          <w:rFonts w:cstheme="minorHAnsi"/>
          <w:color w:val="000000" w:themeColor="text1"/>
        </w:rPr>
        <w:fldChar w:fldCharType="end"/>
      </w:r>
      <w:r w:rsidR="00C3731D" w:rsidRPr="00F533B4">
        <w:rPr>
          <w:rFonts w:cstheme="minorHAnsi"/>
          <w:color w:val="000000" w:themeColor="text1"/>
        </w:rPr>
        <w:t xml:space="preserve">, with a </w:t>
      </w:r>
      <w:r w:rsidR="00DF035E" w:rsidRPr="00F533B4">
        <w:rPr>
          <w:rFonts w:cstheme="minorHAnsi"/>
          <w:color w:val="000000" w:themeColor="text1"/>
        </w:rPr>
        <w:t xml:space="preserve">variety of </w:t>
      </w:r>
      <w:r w:rsidR="00C3731D" w:rsidRPr="00F533B4">
        <w:rPr>
          <w:rFonts w:cstheme="minorHAnsi"/>
          <w:color w:val="000000" w:themeColor="text1"/>
        </w:rPr>
        <w:t xml:space="preserve">increasingly prevalent </w:t>
      </w:r>
      <w:r w:rsidR="00DF035E" w:rsidRPr="00F533B4">
        <w:rPr>
          <w:rFonts w:cstheme="minorHAnsi"/>
          <w:color w:val="000000" w:themeColor="text1"/>
        </w:rPr>
        <w:t xml:space="preserve">resistance mechanisms </w:t>
      </w:r>
      <w:r w:rsidR="00DD1E32" w:rsidRPr="00F533B4">
        <w:rPr>
          <w:rFonts w:cstheme="minorHAnsi"/>
          <w:color w:val="000000" w:themeColor="text1"/>
        </w:rPr>
        <w:t>such as</w:t>
      </w:r>
      <w:r w:rsidR="00DF035E" w:rsidRPr="00F533B4">
        <w:rPr>
          <w:rFonts w:cstheme="minorHAnsi"/>
          <w:color w:val="000000" w:themeColor="text1"/>
        </w:rPr>
        <w:t xml:space="preserve"> </w:t>
      </w:r>
      <w:r w:rsidR="00C3731D" w:rsidRPr="00F533B4">
        <w:rPr>
          <w:rFonts w:cstheme="minorHAnsi"/>
          <w:color w:val="000000" w:themeColor="text1"/>
        </w:rPr>
        <w:t>e</w:t>
      </w:r>
      <w:r w:rsidR="00CA147D" w:rsidRPr="00F533B4">
        <w:rPr>
          <w:rFonts w:cstheme="minorHAnsi"/>
          <w:color w:val="000000" w:themeColor="text1"/>
        </w:rPr>
        <w:t xml:space="preserve">xtended spectrum </w:t>
      </w:r>
      <w:r w:rsidR="00CA147D" w:rsidRPr="00F533B4">
        <w:rPr>
          <w:rFonts w:cstheme="minorHAnsi"/>
          <w:color w:val="000000" w:themeColor="text1"/>
        </w:rPr>
        <w:sym w:font="Symbol" w:char="F062"/>
      </w:r>
      <w:r w:rsidR="00CA147D" w:rsidRPr="00F533B4">
        <w:rPr>
          <w:rFonts w:cstheme="minorHAnsi"/>
          <w:color w:val="000000" w:themeColor="text1"/>
        </w:rPr>
        <w:t>-lactamases</w:t>
      </w:r>
      <w:r w:rsidR="00C3731D" w:rsidRPr="00F533B4">
        <w:rPr>
          <w:rFonts w:cstheme="minorHAnsi"/>
          <w:color w:val="000000" w:themeColor="text1"/>
        </w:rPr>
        <w:t xml:space="preserve"> </w:t>
      </w:r>
      <w:r w:rsidR="00FF274D" w:rsidRPr="00F533B4">
        <w:rPr>
          <w:rFonts w:cstheme="minorHAnsi"/>
          <w:color w:val="000000" w:themeColor="text1"/>
        </w:rPr>
        <w:t xml:space="preserve">(ESBLs) </w:t>
      </w:r>
      <w:r w:rsidR="00C3731D" w:rsidRPr="00F533B4">
        <w:rPr>
          <w:rFonts w:cstheme="minorHAnsi"/>
          <w:color w:val="000000" w:themeColor="text1"/>
        </w:rPr>
        <w:t xml:space="preserve">and aminoglycoside modifying enzymes </w:t>
      </w:r>
      <w:r w:rsidR="00FF274D" w:rsidRPr="00F533B4">
        <w:rPr>
          <w:rFonts w:cstheme="minorHAnsi"/>
          <w:color w:val="000000" w:themeColor="text1"/>
        </w:rPr>
        <w:t>(AMEs)</w:t>
      </w:r>
      <w:r w:rsidR="00C3731D" w:rsidRPr="00F533B4">
        <w:rPr>
          <w:rFonts w:cstheme="minorHAnsi"/>
          <w:color w:val="000000" w:themeColor="text1"/>
        </w:rPr>
        <w:t>.</w:t>
      </w:r>
      <w:r w:rsidR="004C67B4">
        <w:rPr>
          <w:rFonts w:cstheme="minorHAnsi"/>
          <w:color w:val="000000" w:themeColor="text1"/>
        </w:rPr>
        <w:t xml:space="preserve"> In hospital settings, r</w:t>
      </w:r>
      <w:r w:rsidR="00C3731D" w:rsidRPr="00F533B4">
        <w:rPr>
          <w:rFonts w:cstheme="minorHAnsi"/>
          <w:color w:val="000000" w:themeColor="text1"/>
        </w:rPr>
        <w:t>esistance</w:t>
      </w:r>
      <w:r w:rsidR="00CD05B9" w:rsidRPr="00F533B4">
        <w:rPr>
          <w:rFonts w:cstheme="minorHAnsi"/>
          <w:color w:val="000000" w:themeColor="text1"/>
        </w:rPr>
        <w:t xml:space="preserve"> rates of Gram-negative </w:t>
      </w:r>
      <w:r w:rsidR="004C67B4">
        <w:rPr>
          <w:rFonts w:cstheme="minorHAnsi"/>
          <w:color w:val="000000" w:themeColor="text1"/>
        </w:rPr>
        <w:t>bacteria causing neonatal sepsis</w:t>
      </w:r>
      <w:r w:rsidR="00CD05B9" w:rsidRPr="00F533B4">
        <w:rPr>
          <w:rFonts w:cstheme="minorHAnsi"/>
          <w:color w:val="000000" w:themeColor="text1"/>
        </w:rPr>
        <w:t xml:space="preserve"> to amoxicillin and gentamicin </w:t>
      </w:r>
      <w:r w:rsidRPr="00F533B4">
        <w:rPr>
          <w:rFonts w:cstheme="minorHAnsi"/>
          <w:color w:val="000000" w:themeColor="text1"/>
        </w:rPr>
        <w:t xml:space="preserve">are </w:t>
      </w:r>
      <w:r w:rsidR="00DC62A3" w:rsidRPr="00F533B4">
        <w:rPr>
          <w:rFonts w:cstheme="minorHAnsi"/>
          <w:color w:val="000000" w:themeColor="text1"/>
        </w:rPr>
        <w:t>approximately</w:t>
      </w:r>
      <w:r w:rsidR="00CD05B9" w:rsidRPr="00F533B4">
        <w:rPr>
          <w:rFonts w:cstheme="minorHAnsi"/>
          <w:color w:val="000000" w:themeColor="text1"/>
        </w:rPr>
        <w:t xml:space="preserve"> 80% and 60%</w:t>
      </w:r>
      <w:r w:rsidR="00103278" w:rsidRPr="00F533B4">
        <w:rPr>
          <w:rFonts w:cstheme="minorHAnsi"/>
          <w:color w:val="000000" w:themeColor="text1"/>
        </w:rPr>
        <w:t>,</w:t>
      </w:r>
      <w:r w:rsidR="00CD05B9" w:rsidRPr="00F533B4">
        <w:rPr>
          <w:rFonts w:cstheme="minorHAnsi"/>
          <w:color w:val="000000" w:themeColor="text1"/>
        </w:rPr>
        <w:t xml:space="preserve"> respectively</w:t>
      </w:r>
      <w:r w:rsidR="00C3731D" w:rsidRPr="00F533B4">
        <w:rPr>
          <w:rFonts w:cstheme="minorHAnsi"/>
          <w:color w:val="000000" w:themeColor="text1"/>
        </w:rPr>
        <w:t>, with some regional variation</w:t>
      </w:r>
      <w:r w:rsidR="00C20E4C" w:rsidRPr="00F533B4">
        <w:rPr>
          <w:rFonts w:cstheme="minorHAnsi"/>
          <w:color w:val="000000" w:themeColor="text1"/>
        </w:rPr>
        <w:t xml:space="preserve"> </w:t>
      </w:r>
      <w:r w:rsidR="00C20E4C" w:rsidRPr="00F533B4">
        <w:rPr>
          <w:rFonts w:cstheme="minorHAnsi"/>
          <w:color w:val="000000" w:themeColor="text1"/>
        </w:rPr>
        <w:fldChar w:fldCharType="begin" w:fldLock="1"/>
      </w:r>
      <w:r w:rsidR="008E186E">
        <w:rPr>
          <w:rFonts w:cstheme="minorHAnsi"/>
          <w:color w:val="000000" w:themeColor="text1"/>
        </w:rPr>
        <w:instrText>ADDIN CSL_CITATION {"citationItems":[{"id":"ITEM-1","itemData":{"DOI":"10.1016/S2214-109X(16)30148-6","ISSN":"2214109X","PMID":"27633433","abstract":"Background Sepsis is one of the most common causes of neonatal deaths globally. Most sepsis-related deaths occur in low-income and middle-income countries, where the epidemiology of neonatal sepsis remains poorly understood. Most of these countries lack proper surveillance networks, hampering accurate assessment of the burden of sepsis, implementation of preventive measures, and investment in research. We report results of neonates born in hospital from a multicentre collaboration on neonatal sepsis. Methods In this cohort study, dedicated research teams prospectively followed up neonates born in one of three tertiary care centres in Delhi, India (Vardhaman Mahavir Medical College, Maulana Azad Medical College, and All India Institute of Medical Sciences [coordinating centre]) and subsequently admitted to the intensive care unit. Neonates were followed up daily until discharge or death. On clinical suspicion, neonates underwent sepsis work-up including blood cultures. The isolated organisms were identified and tested for antimicrobial susceptibility. We defined Gram-negative isolates resistant to any three of five antibiotic classes (extended-spectrum cephalosporins, carbapenems, aminoglycosides, fluoroquinolones, and piperacillin-tazobactam) as multidrug resistant. Findings 13 530 neonates of 88 636 livebirths were enrolled between July 18, 2011, and Feb 28, 2014. The incidence of total sepsis was 14·3% (95% CI 13·8–14·9) and of culture-positive sepsis was 6·2% (5·8–6·6). Nearly two-thirds of total episodes occurred at or before 72 h of life (defined as early onset; 1351 [83%] of 1980). Two-thirds (645 [64%]) of 1005 isolates were Gram-negative including, Acinetobacter spp (22%), Klebsiella spp (17%), and Escherichia coli (14%). The pathogen mix in early-onset sepsis did not differ from that of late-onset sepsis (ie, after 72 h). High rates of multidrug resistance were observed in Acinetobacter spp (181/222, 82%), Klebsiella spp (91/169, 54%), and Escherichia coli (52/137, 38%) isolates. Meticillin resistance prevailed in 61% (85/140) of coagulase-negative staphylococci and 38% (43/114) of Staphylococcus aureus isolates. Nearly a quarter of the deaths were attributable to sepsis. The population-attributable risks of mortality were 8·6% in culture-negative sepsis, 15·7% in culture-positive sepsis by multidrug-resistant organisms, and 12·0% in culture-positive sepsis by non-multidrug-resistant organisms. Interpretation The high incidence of sepsis and al…","author":[{"dropping-particle":"","family":"DeNIS collaboration","given":"","non-dropping-particle":"","parse-names":false,"suffix":""}],"container-title":"The Lancet Global Health","id":"ITEM-1","issue":"10","issued":{"date-parts":[["2016"]]},"page":"e752-e760","publisher":"The Author(s). Published by Elsevier Ltd. This is an Open Access article under the CC BY license","title":"Characterisation and antimicrobial resistance of sepsis pathogens in neonates born in tertiary care centres in Delhi, India: a cohort study","type":"article-journal","volume":"4"},"uris":["http://www.mendeley.com/documents/?uuid=76f96f51-f757-46aa-a680-b1a17e886322"]},{"id":"ITEM-2","itemData":{"DOI":"10.1186/s12879-016-1913-4","ISSN":"14712334","PMID":"27776490","abstract":"Diagnosis of bloodstream infections (BSI) in neonates is usually difficult due to minimal symptoms at presentation; thus early empirical therapy guided by local antibiotic susceptibility profile is necessary to improve therapeutic outcomes. A review of neonatal blood cultures submitted to the microbiology department of the Korle-Bu Teaching Hospital was conducted from January 2010 through December 2013. We assessed the prevalence of bacteria and fungi involved in BSI and the susceptibility coverage of recommended empiric antibiotics by Ghana Standard Treatment guidelines and the WHO recommendations for managing neonatal sepsis. The national and WHO treatment guidelines recommend either ampicillin plus gentamicin or ampicillin plus cefotaxime for empiric treatment of neonatal BSI. The WHO recommendations also include cloxacillin plus gentamicin. We described the resistance profile over a 28-day neonatal period using multivariable logistic regression analysis with linear or restricted cubic splines. A total of 8,025 neonatal blood culture reports were reviewed over the four-year period. Total blood culture positivity was 21.9 %. Gram positive organisms accounted for most positive cultures, with coagulase negative staphylococci (CoNS) being the most frequently isolated pathogen in early onset infections (EOS) (59.1 %) and late onset infections (LOS) (52.8 %). Susceptibility coverage of early onset bacterial isolates were 20.7 % to ampicillin plus cefotaxime, 32.2 % to the combination of ampicillin and gentamicin, and 71.7 % to cloxacillin plus gentamicin. For LOS, coverage was 24.6 % to ampicillin plus cefotaxime, 36.2 % to the combination ampicillin and gentamicin and 63.6 % to cloxacillin plus gentamicin. Cloxacillin plus gentamicin remained the most active regimen for EOS and LOS after exclusion of BSI caused by CoNS. For this regimen, the adjusted odds of resistance decreased between 12-34 % per day from birth to day 3 followed by the slowest rate of resistance increase, compared to the other antibiotic regimen, thereafter until day 28. The trend in resistance remained generally unchanged after excluding data from CoNS. Multidrug resistant isolates were significantly (p-value &lt;0.001) higher in LOS (62.4 %, n = 555/886) than in EOS (37.3 %, n = 331/886). There is low antibiotic susceptibility coverage for organisms causing neonatal bloodstream infections in Korle-Bu Teaching Hospital when the current national and WHO recommended empiric antibiotics were…","author":[{"dropping-particle":"","family":"Labi","given":"Appiah Korang","non-dropping-particle":"","parse-names":false,"suffix":""},{"dropping-particle":"","family":"Obeng-Nkrumah","given":"Noah","non-dropping-particle":"","parse-names":false,"suffix":""},{"dropping-particle":"","family":"Bjerrum","given":"Stephanie","non-dropping-particle":"","parse-names":false,"suffix":""},{"dropping-particle":"","family":"Enweronu-Laryea","given":"Christabel","non-dropping-particle":"","parse-names":false,"suffix":""},{"dropping-particle":"","family":"Newman","given":"Mercy Jemima","non-dropping-particle":"","parse-names":false,"suffix":""}],"container-title":"BMC Infectious Diseases","id":"ITEM-2","issue":"1","issued":{"date-parts":[["2016"]]},"publisher":"BMC Infectious Diseases","title":"Neonatal bloodstream infections in a Ghanaian Tertiary Hospital: Are the current antibiotic recommendations adequate?","type":"article-journal","volume":"16"},"uris":["http://www.mendeley.com/documents/?uuid=1153f67f-fe98-4322-9d71-c41d9a9d3957"]},{"id":"ITEM-3","itemData":{"DOI":"10.3233/NPM-1765","ISSN":"18784429","abstract":"OBJECTIVE: The aim of this study is to investigate etiological agents, patterns of antimicrobial resistance and predictors of mortality in culture proven neonatal sepsis. METHOD: This is a twenty-four month retrospective cohort study of infants with culture proven sepsis. Demographic data, type of isolates and its sensitivity pattern were recorded. Multidrug resistant gram-negative isolates were defined as resistance to any three of five antibiotic classes: extended-spectrum cephalosporins, carbapenems, aminoglycosides, fluoroquinolones and piperacillin-tazobactam. RESULT: A total of 183 case with culture positive sepsis were identified. Early onset sepsis occurred in 59% of cases. The majority of isolates (56.2%) were gram-positive but the most common individual isolates were klebsiella spp. (31.1%), Staphylococcus aureus (24.5%) and coagulase-negative staphylococci (CONS) (22.9%). The pathogen mix in early-onset did not differ from late-onset sepsis. High rates of multidrug resistance were observed in klebsiella spp. (49.1%), Escherichia coli (50%), citrobacter spp (50%), acinetobacter spp. (28.5%), pseudomonas spp. (100%) isolates. Methicillin resistance prevailed in 16.6% of coagulase-negative staphylococci, 24.4% of Staphylococcus aureus and 62.5% of enterococcus spp. Multivariate analysis revealed invasive ventilation and early onset sepsis to be independently associated with increased risk of mortality in contrast to breast milk feeding which is associated with decreased risk of mortality. CONCLUSION: A high degree of antimicrobial resistance underscores the need to understand the pathogenesis of resistance, curtail the irrational prescription of antibiotics in neonates and the requirement for measures to prevent it in low-income and middle-income countries.","author":[{"dropping-particle":"","family":"Bandyopadhyay","given":"T.","non-dropping-particle":"","parse-names":false,"suffix":""},{"dropping-particle":"","family":"Kumar","given":"A.","non-dropping-particle":"","parse-names":false,"suffix":""},{"dropping-particle":"","family":"Saili","given":"A.","non-dropping-particle":"","parse-names":false,"suffix":""},{"dropping-particle":"","family":"Randhawa","given":"V. S.","non-dropping-particle":"","parse-names":false,"suffix":""}],"container-title":"Journal of Neonatal-Perinatal Medicine","id":"ITEM-3","issue":"2","issued":{"date-parts":[["2018"]]},"page":"145-153","title":"Distribution, antimicrobial resistance and predictors of mortality in neonatal sepsis","type":"article-journal","volume":"11"},"uris":["http://www.mendeley.com/documents/?uuid=8822e4f6-79cf-4362-a795-3c37d06e91ec"]},{"id":"ITEM-4","itemData":{"DOI":"10.1371/journal.pone.0180705","ISBN":"1111111111","ISSN":"19326203","abstract":"BACKGROUND: There is a paucity of data on the epidemiology of sepsis in outborn neonates being referred to level-3 units in low- and middle-income countries (LMIC). The objective of the present study was to evaluate the prevalence of sepsis and outcomes of outborn neonates with sepsis, and to characterize the pathogen profile and antimicrobial resistance (AMR) patterns of common isolates in them. METHODS: In this prospective observational cohort study (2011–2015), a dedicated research team enrolled all neonates admitted to an outborn level-3 neonatal unit and followed them until discharge/death. Sepsis work-up including blood culture(s) was performed upon suspicion of sepsis. All the isolates were identified and tested for antimicrobial susceptibility. Gram-negative pathogens resistant to any three of the five antibiotic classes (extended-spectrum cephalosporins, carbapenems, aminoglycosides, fluoroquinolones, and piperacillin-tazobactam) were labeled multi-drug resistant. RESULTS: Of the total of 2588 neonates enrolled, culture positive sepsis and total sepsis–i.e. culture positive and/or culture negative sepsis–was diagnosed in 13.1% (95% CI 11.8% to 14.5%) and 54.7% (95% CI 52.8% to 56.6%), respectively. The case fatality rates were 23.4% and 11.0% in culture-positive and total sepsis, respectively. Sepsis accounted for two-thirds of total neonatal deaths (153/235, 63.0%). Bacterial isolates caused about three-fourths (296/401; 73.8%) of the infections. The two common pathogens–Klebsiella pneumoniae (n = 50, 12.5%) and Acinetobacter baumannii (n = 46, 11.5%)–showed high degree of multi-drug resistance (78.0% and 91.3%, respectively) and carbapenem resistance (84.0% and 91.3%, respectively). About a quarter of infections were caused by Candida spp. (n = 91; 22.7%); almost three-fourths (73.7%) of these infections occurred in neonates born at or after 32 weeks’ gestation and about two-thirds (62.1%) in those weighing 1500 g or more at birth. CONCLUSIONS: In this large outborn cohort, we report high burden of sepsis, high prevalence of systemic fungal infections, and alarming rates of antimicrobial resistance among bacterial pathogens.","author":[{"dropping-particle":"","family":"Jajoo","given":"Mamta","non-dropping-particle":"","parse-names":false,"suffix":""},{"dropping-particle":"","family":"Manchanda","given":"Vikas","non-dropping-particle":"","parse-names":false,"suffix":""},{"dropping-particle":"","family":"Chaurasia","given":"Suman","non-dropping-particle":"","parse-names":false,"suffix":""},{"dropping-particle":"","family":"Jeeva Sankar","given":"M.","non-dropping-particle":"","parse-names":false,"suffix":""},{"dropping-particle":"","family":"Gautam","given":"Hitender","non-dropping-particle":"","parse-names":false,"suffix":""},{"dropping-particle":"","family":"Agarwal","given":"Ramesh","non-dropping-particle":"","parse-names":false,"suffix":""},{"dropping-particle":"","family":"Yadav","given":"Chander Prakash","non-dropping-particle":"","parse-names":false,"suffix":""},{"dropping-particle":"","family":"Aggarwal","given":"Kailash C.","non-dropping-particle":"","parse-names":false,"suffix":""},{"dropping-particle":"","family":"Chellani","given":"Harish","non-dropping-particle":"","parse-names":false,"suffix":""},{"dropping-particle":"","family":"Ramji","given":"Siddharth","non-dropping-particle":"","parse-names":false,"suffix":""},{"dropping-particle":"","family":"Deb","given":"Monorama","non-dropping-particle":"","parse-names":false,"suffix":""},{"dropping-particle":"","family":"Gaind","given":"Rajni","non-dropping-particle":"","parse-names":false,"suffix":""},{"dropping-particle":"","family":"Kumar","given":"Surinder","non-dropping-particle":"","parse-names":false,"suffix":""},{"dropping-particle":"","family":"Arya","given":"Sugandha","non-dropping-particle":"","parse-names":false,"suffix":""},{"dropping-particle":"","family":"Sreenivas","given":"Vishnubhatla","non-dropping-particle":"","parse-names":false,"suffix":""},{"dropping-particle":"","family":"Kapil","given":"Arti","non-dropping-particle":"","parse-names":false,"suffix":""},{"dropping-particle":"","family":"Mathur","given":"Purva","non-dropping-particle":"","parse-names":false,"suffix":""},{"dropping-particle":"","family":"Rasaily","given":"Reeta","non-dropping-particle":"","parse-names":false,"suffix":""},{"dropping-particle":"","family":"Deorari","given":"Ashok K.","non-dropping-particle":"","parse-names":false,"suffix":""},{"dropping-particle":"","family":"Paul","given":"Vinod K.","non-dropping-particle":"","parse-names":false,"suffix":""}],"container-title":"PLoS ONE","id":"ITEM-4","issue":"6","issued":{"date-parts":[["2018"]]},"page":"1-16","title":"Alarming rates of antimicrobial resistance and fungal sepsis in outborn neonates in North India","type":"article-journal","volume":"13"},"uris":["http://www.mendeley.com/documents/?uuid=66c5b8c8-238a-42e8-a9ed-afac7b8bda76"]},{"id":"ITEM-5","itemData":{"DOI":"10.1186/s13104-018-3394-6","ISSN":"17560500","abstract":"Neonatal sepsis is a major cause of morbidity and mortality of newborns (&lt; 1 month of age). Septicemia and drug resistance is a predominant issue for neonatal death in Nepal. This study is intended to find bacteriological profile of neonatal sepsis and antibiotic susceptibility pattern of the isolates from neonates at Kanti Children’s Hospital, Kathmandu, Nepal.","author":[{"dropping-particle":"","family":"Yadav","given":"Nikita Singh","non-dropping-particle":"","parse-names":false,"suffix":""},{"dropping-particle":"","family":"Sharma","given":"Saroj","non-dropping-particle":"","parse-names":false,"suffix":""},{"dropping-particle":"","family":"Chaudhary","given":"Dhiraj Kumar","non-dropping-particle":"","parse-names":false,"suffix":""},{"dropping-particle":"","family":"Panthi","given":"Prabhat","non-dropping-particle":"","parse-names":false,"suffix":""},{"dropping-particle":"","family":"Pokhrel","given":"Pankaj","non-dropping-particle":"","parse-names":false,"suffix":""},{"dropping-particle":"","family":"Shrestha","given":"Anil","non-dropping-particle":"","parse-names":false,"suffix":""},{"dropping-particle":"","family":"Mandal","given":"Pappu Kumar","non-dropping-particle":"","parse-names":false,"suffix":""}],"container-title":"BMC Research Notes","id":"ITEM-5","issue":"1","issued":{"date-parts":[["2018"]]},"page":"1-6","publisher":"BioMed Central","title":"Bacteriological profile of neonatal sepsis and antibiotic susceptibility pattern of isolates admitted at Kanti Children's Hospital, Kathmandu, Nepal","type":"article-journal","volume":"11"},"uris":["http://www.mendeley.com/documents/?uuid=e0baf012-be02-4f9c-b969-3c12fd0d29c7"]},{"id":"ITEM-6","itemData":{"DOI":"10.1186/s12887-018-1176-x","ISSN":"14712431","PMID":"29950162","abstract":"Neonatal sepsis, one of the leading causes of mortality in neonatal intensive care units (NICU) of developing countries like Nepal, is often not extensively studied. In order to decrease the morbidity and mortality associated with neonatal sepsis, neonatologists should have a keen knowledge of the existing bacteriological flora and their antibiotic susceptibility pattern. In this study, we aim to determine the bacteriological profile and antibiotic susceptibility pattern of culture positive neonatal sepsis in the NICU of a tertiary teaching hospital in Nepal.","author":[{"dropping-particle":"","family":"Pokhrel","given":"Bhishma","non-dropping-particle":"","parse-names":false,"suffix":""},{"dropping-particle":"","family":"Koirala","given":"Tapendra","non-dropping-particle":"","parse-names":false,"suffix":""},{"dropping-particle":"","family":"Shah","given":"Ganesh","non-dropping-particle":"","parse-names":false,"suffix":""},{"dropping-particle":"","family":"Joshi","given":"Suchita","non-dropping-particle":"","parse-names":false,"suffix":""},{"dropping-particle":"","family":"Baral","given":"Pinky","non-dropping-particle":"","parse-names":false,"suffix":""}],"container-title":"BMC Pediatrics","id":"ITEM-6","issue":"1","issued":{"date-parts":[["2018"]]},"page":"1-8","publisher":"BMC Pediatrics","title":"Bacteriological profile and antibiotic susceptibility of neonatal sepsis in neonatal intensive care unit of a tertiary hospital in Nepal","type":"article-journal","volume":"18"},"uris":["http://www.mendeley.com/documents/?uuid=2bb3e3c8-e0dc-481d-99a4-90952e42a3eb"]},{"id":"ITEM-7","itemData":{"DOI":"10.1136/bmj.k5314","ISSN":"17561833","abstract":"M Jeeva Sankar and colleagues call for urgent action to improve quality of care at birth and implement antimicrobial stewardship in health facilities in South Asia to reduce neonatal deaths from sepsis.","author":[{"dropping-particle":"","family":"Chaurasia","given":"Suman","non-dropping-particle":"","parse-names":false,"suffix":""},{"dropping-particle":"","family":"Sivanandan","given":"Sindhu","non-dropping-particle":"","parse-names":false,"suffix":""},{"dropping-particle":"","family":"Agarwal","given":"Ramesh","non-dropping-particle":"","parse-names":false,"suffix":""},{"dropping-particle":"","family":"Ellis","given":"Sally","non-dropping-particle":"","parse-names":false,"suffix":""},{"dropping-particle":"","family":"Sharland","given":"Mike","non-dropping-particle":"","parse-names":false,"suffix":""},{"dropping-particle":"","family":"Sankar","given":"M. Jeeva","non-dropping-particle":"","parse-names":false,"suffix":""}],"container-title":"BMJ (Online)","id":"ITEM-7","issued":{"date-parts":[["2019","1","22"]]},"publisher":"BMJ Publishing Group","title":"Neonatal sepsis in South Asia: Huge burden and spiralling antimicrobial resistance","type":"article","volume":"364"},"uris":["http://www.mendeley.com/documents/?uuid=2c7c7bc7-3a55-33f0-8cbd-848015b8ba33"]}],"mendeley":{"formattedCitation":"(6–12)","plainTextFormattedCitation":"(6–12)","previouslyFormattedCitation":"(6–12)"},"properties":{"noteIndex":0},"schema":"https://github.com/citation-style-language/schema/raw/master/csl-citation.json"}</w:instrText>
      </w:r>
      <w:r w:rsidR="00C20E4C" w:rsidRPr="00F533B4">
        <w:rPr>
          <w:rFonts w:cstheme="minorHAnsi"/>
          <w:color w:val="000000" w:themeColor="text1"/>
        </w:rPr>
        <w:fldChar w:fldCharType="separate"/>
      </w:r>
      <w:r w:rsidR="00340096" w:rsidRPr="00340096">
        <w:rPr>
          <w:rFonts w:cstheme="minorHAnsi"/>
          <w:noProof/>
          <w:color w:val="000000" w:themeColor="text1"/>
        </w:rPr>
        <w:t>(6–12)</w:t>
      </w:r>
      <w:r w:rsidR="00C20E4C" w:rsidRPr="00F533B4">
        <w:rPr>
          <w:rFonts w:cstheme="minorHAnsi"/>
          <w:color w:val="000000" w:themeColor="text1"/>
        </w:rPr>
        <w:fldChar w:fldCharType="end"/>
      </w:r>
      <w:r w:rsidR="00CD05B9" w:rsidRPr="00F533B4">
        <w:rPr>
          <w:rFonts w:cstheme="minorHAnsi"/>
          <w:color w:val="000000" w:themeColor="text1"/>
        </w:rPr>
        <w:t xml:space="preserve">. </w:t>
      </w:r>
      <w:r w:rsidR="00DC62A3" w:rsidRPr="00F533B4">
        <w:rPr>
          <w:rFonts w:cstheme="minorHAnsi"/>
          <w:color w:val="000000" w:themeColor="text1"/>
        </w:rPr>
        <w:t xml:space="preserve"> </w:t>
      </w:r>
      <w:r w:rsidR="00103278" w:rsidRPr="00F533B4">
        <w:rPr>
          <w:color w:val="000000" w:themeColor="text1"/>
        </w:rPr>
        <w:t>A</w:t>
      </w:r>
      <w:r w:rsidR="00DC62A3" w:rsidRPr="00F533B4">
        <w:rPr>
          <w:color w:val="000000" w:themeColor="text1"/>
        </w:rPr>
        <w:t xml:space="preserve">lternative </w:t>
      </w:r>
      <w:r w:rsidR="00103278" w:rsidRPr="00F533B4">
        <w:rPr>
          <w:color w:val="000000" w:themeColor="text1"/>
        </w:rPr>
        <w:t xml:space="preserve">options are urgently required </w:t>
      </w:r>
      <w:r w:rsidR="00DC62A3" w:rsidRPr="00F533B4">
        <w:rPr>
          <w:color w:val="000000" w:themeColor="text1"/>
        </w:rPr>
        <w:t xml:space="preserve">for the treatment of neonatal sepsis </w:t>
      </w:r>
      <w:r w:rsidR="009D4A51" w:rsidRPr="00F533B4">
        <w:rPr>
          <w:color w:val="000000" w:themeColor="text1"/>
        </w:rPr>
        <w:t>caused by</w:t>
      </w:r>
      <w:r w:rsidR="00DC62A3" w:rsidRPr="00F533B4">
        <w:rPr>
          <w:color w:val="000000" w:themeColor="text1"/>
        </w:rPr>
        <w:t xml:space="preserve"> </w:t>
      </w:r>
      <w:r w:rsidR="00FF274D" w:rsidRPr="00F533B4">
        <w:rPr>
          <w:color w:val="000000" w:themeColor="text1"/>
        </w:rPr>
        <w:t>multi- and extremely-drug resistant (</w:t>
      </w:r>
      <w:r w:rsidR="009D4A51" w:rsidRPr="00F533B4">
        <w:rPr>
          <w:color w:val="000000" w:themeColor="text1"/>
        </w:rPr>
        <w:t>MDR and XDR</w:t>
      </w:r>
      <w:r w:rsidR="00FF274D" w:rsidRPr="00F533B4">
        <w:rPr>
          <w:color w:val="000000" w:themeColor="text1"/>
        </w:rPr>
        <w:t>)</w:t>
      </w:r>
      <w:r w:rsidR="00DC62A3" w:rsidRPr="00F533B4">
        <w:rPr>
          <w:color w:val="000000" w:themeColor="text1"/>
        </w:rPr>
        <w:t xml:space="preserve"> bacteria and suitable for use in LMIC setting</w:t>
      </w:r>
      <w:r w:rsidR="00103278" w:rsidRPr="00F533B4">
        <w:rPr>
          <w:color w:val="000000" w:themeColor="text1"/>
        </w:rPr>
        <w:t>s</w:t>
      </w:r>
      <w:r w:rsidR="00DC62A3" w:rsidRPr="00F533B4">
        <w:rPr>
          <w:color w:val="000000" w:themeColor="text1"/>
        </w:rPr>
        <w:t>.</w:t>
      </w:r>
    </w:p>
    <w:p w14:paraId="3210C674" w14:textId="22AEEB3A" w:rsidR="00E52CB1" w:rsidRPr="00F533B4" w:rsidRDefault="00E52CB1" w:rsidP="00501CB2">
      <w:pPr>
        <w:spacing w:before="120" w:line="480" w:lineRule="auto"/>
        <w:rPr>
          <w:color w:val="000000" w:themeColor="text1"/>
        </w:rPr>
      </w:pPr>
      <w:r>
        <w:rPr>
          <w:color w:val="000000" w:themeColor="text1"/>
        </w:rPr>
        <w:t xml:space="preserve">A potential replacement regimen would need to provide spectrum of activity against the commonly encountered pathogens and resistance motifs. Additionally, if the regimen were a </w:t>
      </w:r>
      <w:r>
        <w:rPr>
          <w:color w:val="000000" w:themeColor="text1"/>
        </w:rPr>
        <w:lastRenderedPageBreak/>
        <w:t xml:space="preserve">combination of two agents, a favourable pharmacodynamic interaction would </w:t>
      </w:r>
      <w:proofErr w:type="spellStart"/>
      <w:r w:rsidR="009D547B">
        <w:rPr>
          <w:color w:val="000000" w:themeColor="text1"/>
        </w:rPr>
        <w:t>benefical</w:t>
      </w:r>
      <w:proofErr w:type="spellEnd"/>
      <w:r>
        <w:rPr>
          <w:color w:val="000000" w:themeColor="text1"/>
        </w:rPr>
        <w:t>.</w:t>
      </w:r>
      <w:r w:rsidR="005578B0">
        <w:rPr>
          <w:color w:val="000000" w:themeColor="text1"/>
        </w:rPr>
        <w:t xml:space="preserve"> </w:t>
      </w:r>
      <w:r w:rsidR="00EC6CE2">
        <w:rPr>
          <w:color w:val="000000" w:themeColor="text1"/>
        </w:rPr>
        <w:t>Antimicrobial interactions</w:t>
      </w:r>
      <w:r w:rsidR="00D56FE6">
        <w:rPr>
          <w:color w:val="000000" w:themeColor="text1"/>
        </w:rPr>
        <w:t xml:space="preserve"> can be defined by several metrics and definitions </w:t>
      </w:r>
      <w:r w:rsidR="00D56FE6">
        <w:rPr>
          <w:color w:val="000000" w:themeColor="text1"/>
        </w:rPr>
        <w:fldChar w:fldCharType="begin" w:fldLock="1"/>
      </w:r>
      <w:r w:rsidR="00EC6CE2">
        <w:rPr>
          <w:color w:val="000000" w:themeColor="text1"/>
        </w:rPr>
        <w:instrText>ADDIN CSL_CITATION {"citationItems":[{"id":"ITEM-1","itemData":{"DOI":"10.1128/JCM.01121-14","abstract":"In this age of emerging antibiotic resistance, limited therapeutic options exist for treating multidrug-resistant organisms. Combination therapy is commonly employed to manage these infections despite little laboratory guidance as to the efficacy of this approach. Synergy testing methods have been used to assess the interaction of antibiotic combinations in vitro. This review will discuss the four primary methods used to assess synergy, as well as the data that exist for testing of cystic fibrosis. In the final analysis, this review concludes that there is not enough evidence to endorse synergy testing for routine clinical use. O ne of the most important functions of the clinical microbiology laboratory is to provide predictive information regarding the use of antimicrobials for the treatment of infectious diseases. The methods by which the laboratory assesses susceptibility are highly standardized and remarkably reproducible, especially when considering that biological systems are being tested (1). It is this reproducibility that allows laboratories across the street and across the globe to generate comparable results. In order to make accurate predictions about treatment outcome, laboratories must not only have a reproducible and reliable method, but the in vitro data generated by these methods must have relevance to the phys-iologic conditions found within a patient. For most commonly encountered infections, these data exist in the form of pharmaco-kinetic/pharmacodynamic (PK/PD) analyses, as well as in outcome studies. By considering a combination of in vitro data, PK/PD analyses, and outcome studies, interpretive criteria are established and allow the laboratory to report antimicrobial-organism combinations as susceptible, intermediate, or resistant. The benefit of this susceptibility testing system is that it is a simple and robust method enabling extraordinary degrees of re-producibility, despite being performed by a wide variety of laboratories. However, the greatest strength of this method may also be its greatest weakness. Because this method is so exceedingly simple , it fails to account for factors that are undoubtedly critical for accurate prediction of treatment outcome. For example, current susceptibility methods do not take into account factors such as patient immune system function, site of infection (with a few exceptions), and drug-drug interactions. It is perhaps not surprising that some have found significant limitations in the abil…","author":[{"dropping-particle":"","family":"Doern","given":"Christopher D","non-dropping-particle":"","parse-names":false,"suffix":""}],"container-title":"4124 jcm.asm.org Journal of Clinical Microbiology","id":"ITEM-1","issued":{"date-parts":[["2014"]]},"page":"4124-4128","title":"When Does 2 Plus 2 Equal 5? A Review of Antimicrobial Synergy Testing Downloaded from","type":"article-journal","volume":"52"},"uris":["http://www.mendeley.com/documents/?uuid=ac5ba362-279c-313e-90a6-abda07784a05"]}],"mendeley":{"formattedCitation":"(13)","plainTextFormattedCitation":"(13)","previouslyFormattedCitation":"(13)"},"properties":{"noteIndex":0},"schema":"https://github.com/citation-style-language/schema/raw/master/csl-citation.json"}</w:instrText>
      </w:r>
      <w:r w:rsidR="00D56FE6">
        <w:rPr>
          <w:color w:val="000000" w:themeColor="text1"/>
        </w:rPr>
        <w:fldChar w:fldCharType="separate"/>
      </w:r>
      <w:r w:rsidR="00EC6CE2" w:rsidRPr="00EC6CE2">
        <w:rPr>
          <w:noProof/>
          <w:color w:val="000000" w:themeColor="text1"/>
        </w:rPr>
        <w:t>(13)</w:t>
      </w:r>
      <w:r w:rsidR="00D56FE6">
        <w:rPr>
          <w:color w:val="000000" w:themeColor="text1"/>
        </w:rPr>
        <w:fldChar w:fldCharType="end"/>
      </w:r>
      <w:r w:rsidR="00EC6CE2">
        <w:rPr>
          <w:color w:val="000000" w:themeColor="text1"/>
        </w:rPr>
        <w:t>.</w:t>
      </w:r>
      <w:r w:rsidR="00D56FE6">
        <w:rPr>
          <w:color w:val="000000" w:themeColor="text1"/>
        </w:rPr>
        <w:t xml:space="preserve"> </w:t>
      </w:r>
      <w:r w:rsidR="00EC6CE2">
        <w:rPr>
          <w:color w:val="000000" w:themeColor="text1"/>
        </w:rPr>
        <w:t>H</w:t>
      </w:r>
      <w:r w:rsidR="00D56FE6">
        <w:rPr>
          <w:color w:val="000000" w:themeColor="text1"/>
        </w:rPr>
        <w:t>owever,</w:t>
      </w:r>
      <w:r w:rsidR="00EC6CE2">
        <w:rPr>
          <w:color w:val="000000" w:themeColor="text1"/>
        </w:rPr>
        <w:t xml:space="preserve"> the interaction model described by Greco based on Loewe additivity </w:t>
      </w:r>
      <w:r w:rsidR="00EC6CE2">
        <w:rPr>
          <w:color w:val="000000" w:themeColor="text1"/>
        </w:rPr>
        <w:fldChar w:fldCharType="begin" w:fldLock="1"/>
      </w:r>
      <w:r w:rsidR="00EC6CE2">
        <w:rPr>
          <w:color w:val="000000" w:themeColor="text1"/>
        </w:rPr>
        <w:instrText>ADDIN CSL_CITATION {"citationItems":[{"id":"ITEM-1","itemData":{"ISSN":"00316997","PMID":"7568331","author":[{"dropping-particle":"","family":"Greco","given":"W. R.","non-dropping-particle":"","parse-names":false,"suffix":""},{"dropping-particle":"","family":"Bravo","given":"G.","non-dropping-particle":"","parse-names":false,"suffix":""},{"dropping-particle":"","family":"Parsons","given":"J. C.","non-dropping-particle":"","parse-names":false,"suffix":""}],"container-title":"Pharmacological Reviews","id":"ITEM-1","issue":"2","issued":{"date-parts":[["1995"]]},"page":"331-385","publisher":"Pharmacol Rev","title":"The search for synergy: A critical review from a response surface perspective","type":"article","volume":"47"},"uris":["http://www.mendeley.com/documents/?uuid=09711f40-8780-378e-954e-5bd53fbfaac1"]},{"id":"ITEM-2","itemData":{"ISBN":"0008-5472 (Print)\\r0008-5472 (Linking)","ISSN":"00085472","PMID":"2386940","abstract":"This report describes the application of a new approach, the universal response surface approach, to the quantitative assessment of drug inter action, i.e., the determination of synergism, antagonism, additivity, po- tentiation, inhibition, and coalitive action. The specific drug combination and experimental growth system for this introductory application was that of I-/3-r&gt;arabinofuranosylcytosine (ara-C) and cisplatin with simul taneous drug exposure (1, 3, 6, 12, or 48 h) against I.I21(1 leukemia in vitro. To quantitate the type and degree of drug interaction, a model was fitted using nonlinear regression to the data from each separate experi ment, and parameters were estimated (K. C. Syracuse and W. R. Greco, Proc. Biopharm. Sect. Am. Stat. Assoc., 127-132,1986). The parameters included the maximum cell density over background in absence of drug, the background cell density in presence of infinite drug, the 50% inhibi tory concentrations and concentration-effect slopes for each drug, and a synergism-antagonism parameter, a. A positive a indicates synergism, a negative a, antagonism, and a zero a, additivity. Maximal synergy was found with a 3-h exposure of ara-C + cisplatin, with a = 3.08 Â±0.96 (SE) and 2.44 Â± 0.70 in two separate experiments. Four different graphic representations of the raw data and fitted curves provide visual indications of goodness of fit of the estimated dose-response surface to the data and visual indications of the intensity of drug interaction. The universal response surface approach is mathematically consistent with the tradi tional isobologram approach but is more objective, is more quantitative, and is more easily automated. Although specifically developed for in vitro cancer chemotherapy applications, the universal response surface approach should prove to be useful in the fields of pharmacology, toxicology, epidemiology, and biomedicai science in general.","author":[{"dropping-particle":"","family":"Greco","given":"William R","non-dropping-particle":"","parse-names":false,"suffix":""},{"dropping-particle":"","family":"Park","given":"Hyoung Sook","non-dropping-particle":"","parse-names":false,"suffix":""},{"dropping-particle":"","family":"Rustum","given":"Youcef M","non-dropping-particle":"","parse-names":false,"suffix":""}],"container-title":"Cancer Research","id":"ITEM-2","issued":{"date-parts":[["1990"]]},"page":"5318-5327","title":"Application of a New Approach for the Quantitation of Drug Synergism to the Combination of cis -Diamminedichloroplatinum and 1- β -d-Arabinofuranosylcytosine Application of a New Approach for the Quantitation of Drug Synergism to the Combination of m-Diam","type":"article-journal","volume":"50"},"uris":["http://www.mendeley.com/documents/?uuid=6608a118-4b39-4589-92a7-9d021bcaff64"]}],"mendeley":{"formattedCitation":"(14, 15)","plainTextFormattedCitation":"(14, 15)","previouslyFormattedCitation":"(14)"},"properties":{"noteIndex":0},"schema":"https://github.com/citation-style-language/schema/raw/master/csl-citation.json"}</w:instrText>
      </w:r>
      <w:r w:rsidR="00EC6CE2">
        <w:rPr>
          <w:color w:val="000000" w:themeColor="text1"/>
        </w:rPr>
        <w:fldChar w:fldCharType="separate"/>
      </w:r>
      <w:r w:rsidR="00EC6CE2" w:rsidRPr="00EC6CE2">
        <w:rPr>
          <w:noProof/>
          <w:color w:val="000000" w:themeColor="text1"/>
        </w:rPr>
        <w:t>(14, 15)</w:t>
      </w:r>
      <w:r w:rsidR="00EC6CE2">
        <w:rPr>
          <w:color w:val="000000" w:themeColor="text1"/>
        </w:rPr>
        <w:fldChar w:fldCharType="end"/>
      </w:r>
      <w:r w:rsidR="00D56FE6">
        <w:rPr>
          <w:color w:val="000000" w:themeColor="text1"/>
        </w:rPr>
        <w:t xml:space="preserve"> </w:t>
      </w:r>
      <w:r w:rsidR="00EC6CE2">
        <w:rPr>
          <w:color w:val="000000" w:themeColor="text1"/>
        </w:rPr>
        <w:t>allows determination and quantification of any interaction with precision and without arbitrary thresholds for determining the natures of interaction.</w:t>
      </w:r>
    </w:p>
    <w:p w14:paraId="4F33C5AA" w14:textId="0B048FF5" w:rsidR="00E72EBF" w:rsidRDefault="00CD05B9" w:rsidP="00501CB2">
      <w:pPr>
        <w:spacing w:before="120" w:line="480" w:lineRule="auto"/>
        <w:rPr>
          <w:b/>
          <w:color w:val="000000" w:themeColor="text1"/>
        </w:rPr>
      </w:pPr>
      <w:r w:rsidRPr="00F533B4">
        <w:rPr>
          <w:color w:val="000000" w:themeColor="text1"/>
        </w:rPr>
        <w:t xml:space="preserve">Amikacin and fosfomycin have several </w:t>
      </w:r>
      <w:r w:rsidR="00FF274D" w:rsidRPr="00F533B4">
        <w:rPr>
          <w:color w:val="000000" w:themeColor="text1"/>
        </w:rPr>
        <w:t xml:space="preserve">attributes </w:t>
      </w:r>
      <w:r w:rsidRPr="00F533B4">
        <w:rPr>
          <w:color w:val="000000" w:themeColor="text1"/>
        </w:rPr>
        <w:t xml:space="preserve">that make them </w:t>
      </w:r>
      <w:r w:rsidR="00DC62A3" w:rsidRPr="00F533B4">
        <w:rPr>
          <w:color w:val="000000" w:themeColor="text1"/>
        </w:rPr>
        <w:t xml:space="preserve">potential </w:t>
      </w:r>
      <w:r w:rsidRPr="00F533B4">
        <w:rPr>
          <w:color w:val="000000" w:themeColor="text1"/>
        </w:rPr>
        <w:t>candidates</w:t>
      </w:r>
      <w:r w:rsidR="00DC62A3" w:rsidRPr="00F533B4">
        <w:rPr>
          <w:color w:val="000000" w:themeColor="text1"/>
        </w:rPr>
        <w:t xml:space="preserve"> for use in neonatal sepsis</w:t>
      </w:r>
      <w:r w:rsidRPr="00F533B4">
        <w:rPr>
          <w:color w:val="000000" w:themeColor="text1"/>
        </w:rPr>
        <w:t>.</w:t>
      </w:r>
      <w:r w:rsidR="00103278" w:rsidRPr="00F533B4">
        <w:rPr>
          <w:color w:val="000000" w:themeColor="text1"/>
        </w:rPr>
        <w:t xml:space="preserve"> </w:t>
      </w:r>
      <w:r w:rsidRPr="00F533B4">
        <w:rPr>
          <w:color w:val="000000" w:themeColor="text1"/>
        </w:rPr>
        <w:t xml:space="preserve"> They are </w:t>
      </w:r>
      <w:r w:rsidR="009D0E70">
        <w:rPr>
          <w:color w:val="000000" w:themeColor="text1"/>
        </w:rPr>
        <w:t>off</w:t>
      </w:r>
      <w:r w:rsidR="00F2103F">
        <w:rPr>
          <w:color w:val="000000" w:themeColor="text1"/>
        </w:rPr>
        <w:t>-</w:t>
      </w:r>
      <w:r w:rsidR="009D0E70">
        <w:rPr>
          <w:color w:val="000000" w:themeColor="text1"/>
        </w:rPr>
        <w:t>patent with a neonatal licence,</w:t>
      </w:r>
      <w:r w:rsidRPr="00F533B4">
        <w:rPr>
          <w:color w:val="000000" w:themeColor="text1"/>
        </w:rPr>
        <w:t xml:space="preserve"> have an acceptable safety profile</w:t>
      </w:r>
      <w:r w:rsidR="007109B9" w:rsidRPr="00F533B4">
        <w:rPr>
          <w:color w:val="000000" w:themeColor="text1"/>
        </w:rPr>
        <w:t xml:space="preserve"> with limited toxicities </w:t>
      </w:r>
      <w:r w:rsidR="007109B9" w:rsidRPr="00F533B4">
        <w:rPr>
          <w:color w:val="000000" w:themeColor="text1"/>
        </w:rPr>
        <w:fldChar w:fldCharType="begin" w:fldLock="1"/>
      </w:r>
      <w:r w:rsidR="00EC6CE2">
        <w:rPr>
          <w:color w:val="000000" w:themeColor="text1"/>
        </w:rPr>
        <w:instrText>ADDIN CSL_CITATION {"citationItems":[{"id":"ITEM-1","itemData":{"DOI":"10.1007/s40121-015-0092-8","ISSN":"2193-8229","author":[{"dropping-particle":"","family":"Iarikov","given":"Dmitri","non-dropping-particle":"","parse-names":false,"suffix":""},{"dropping-particle":"","family":"Wassel","given":"Ronald","non-dropping-particle":"","parse-names":false,"suffix":""},{"dropping-particle":"","family":"Farley","given":"John","non-dropping-particle":"","parse-names":false,"suffix":""},{"dropping-particle":"","family":"Nambiar","given":"Sumathi","non-dropping-particle":"","parse-names":false,"suffix":""}],"container-title":"Infectious Diseases and Therapy","id":"ITEM-1","issue":"4","issued":{"date-parts":[["2015","12","5"]]},"page":"433-458","title":"Adverse Events Associated with Fosfomycin Use: Review of the Literature and Analyses of the FDA Adverse Event Reporting System Database","type":"article-journal","volume":"4"},"uris":["http://www.mendeley.com/documents/?uuid=8761f872-1896-30c5-aa31-2fe52d041648"]},{"id":"ITEM-2","itemData":{"DOI":"10.1586/14787210.2014.878648","ISSN":"1478-7210","author":[{"dropping-particle":"","family":"Kent","given":"Alison","non-dropping-particle":"","parse-names":false,"suffix":""},{"dropping-particle":"","family":"Turner","given":"Mark A","non-dropping-particle":"","parse-names":false,"suffix":""},{"dropping-particle":"","family":"Sharland","given":"Mike","non-dropping-particle":"","parse-names":false,"suffix":""},{"dropping-particle":"","family":"Heath","given":"Paul T","non-dropping-particle":"","parse-names":false,"suffix":""}],"container-title":"Expert Review of Anti-infective Therapy","id":"ITEM-2","issue":"3","issued":{"date-parts":[["2014","3","21"]]},"page":"319-331","title":"Aminoglycoside toxicity in neonates: something to worry about?","type":"article-journal","volume":"12"},"uris":["http://www.mendeley.com/documents/?uuid=833b9602-fef6-3f63-abca-c79b8a94ef5e"]}],"mendeley":{"formattedCitation":"(16, 17)","plainTextFormattedCitation":"(16, 17)","previouslyFormattedCitation":"(16, 17)"},"properties":{"noteIndex":0},"schema":"https://github.com/citation-style-language/schema/raw/master/csl-citation.json"}</w:instrText>
      </w:r>
      <w:r w:rsidR="007109B9" w:rsidRPr="00F533B4">
        <w:rPr>
          <w:color w:val="000000" w:themeColor="text1"/>
        </w:rPr>
        <w:fldChar w:fldCharType="separate"/>
      </w:r>
      <w:r w:rsidR="00EC6CE2" w:rsidRPr="00EC6CE2">
        <w:rPr>
          <w:noProof/>
          <w:color w:val="000000" w:themeColor="text1"/>
        </w:rPr>
        <w:t>(16, 17)</w:t>
      </w:r>
      <w:r w:rsidR="007109B9" w:rsidRPr="00F533B4">
        <w:rPr>
          <w:color w:val="000000" w:themeColor="text1"/>
        </w:rPr>
        <w:fldChar w:fldCharType="end"/>
      </w:r>
      <w:r w:rsidR="009D0E70">
        <w:rPr>
          <w:color w:val="000000" w:themeColor="text1"/>
        </w:rPr>
        <w:t>, and</w:t>
      </w:r>
      <w:r w:rsidRPr="00F533B4">
        <w:rPr>
          <w:color w:val="000000" w:themeColor="text1"/>
        </w:rPr>
        <w:t xml:space="preserve"> have efficacy against </w:t>
      </w:r>
      <w:r w:rsidR="00DC62A3" w:rsidRPr="00F533B4">
        <w:rPr>
          <w:color w:val="000000" w:themeColor="text1"/>
        </w:rPr>
        <w:t>commonly encountered multidrug resistant (</w:t>
      </w:r>
      <w:r w:rsidRPr="00F533B4">
        <w:rPr>
          <w:color w:val="000000" w:themeColor="text1"/>
        </w:rPr>
        <w:t>MDR</w:t>
      </w:r>
      <w:r w:rsidR="00DC62A3" w:rsidRPr="00F533B4">
        <w:rPr>
          <w:color w:val="000000" w:themeColor="text1"/>
        </w:rPr>
        <w:t>)</w:t>
      </w:r>
      <w:r w:rsidRPr="00F533B4">
        <w:rPr>
          <w:color w:val="000000" w:themeColor="text1"/>
        </w:rPr>
        <w:t xml:space="preserve"> pathogens</w:t>
      </w:r>
      <w:r w:rsidR="009D0E70">
        <w:rPr>
          <w:color w:val="000000" w:themeColor="text1"/>
        </w:rPr>
        <w:t xml:space="preserve">. </w:t>
      </w:r>
      <w:r w:rsidR="00103278" w:rsidRPr="00F533B4">
        <w:rPr>
          <w:color w:val="000000" w:themeColor="text1"/>
        </w:rPr>
        <w:t>We</w:t>
      </w:r>
      <w:r w:rsidR="009D0E70">
        <w:rPr>
          <w:color w:val="000000" w:themeColor="text1"/>
        </w:rPr>
        <w:t xml:space="preserve"> therefore</w:t>
      </w:r>
      <w:r w:rsidR="00103278" w:rsidRPr="00F533B4">
        <w:rPr>
          <w:color w:val="000000" w:themeColor="text1"/>
        </w:rPr>
        <w:t xml:space="preserve"> studied</w:t>
      </w:r>
      <w:r w:rsidRPr="00F533B4">
        <w:rPr>
          <w:color w:val="000000" w:themeColor="text1"/>
        </w:rPr>
        <w:t xml:space="preserve"> </w:t>
      </w:r>
      <w:r w:rsidR="00103278" w:rsidRPr="00F533B4">
        <w:rPr>
          <w:color w:val="000000" w:themeColor="text1"/>
        </w:rPr>
        <w:t>the potential utility</w:t>
      </w:r>
      <w:r w:rsidRPr="00F533B4">
        <w:rPr>
          <w:color w:val="000000" w:themeColor="text1"/>
        </w:rPr>
        <w:t xml:space="preserve"> of this combination </w:t>
      </w:r>
      <w:r w:rsidR="009D4A51" w:rsidRPr="00F533B4">
        <w:rPr>
          <w:color w:val="000000" w:themeColor="text1"/>
        </w:rPr>
        <w:t xml:space="preserve">for neonatal sepsis </w:t>
      </w:r>
      <w:r w:rsidRPr="00F533B4">
        <w:rPr>
          <w:color w:val="000000" w:themeColor="text1"/>
        </w:rPr>
        <w:t xml:space="preserve">by assessing </w:t>
      </w:r>
      <w:r w:rsidR="00103278" w:rsidRPr="00F533B4">
        <w:rPr>
          <w:i/>
          <w:color w:val="000000" w:themeColor="text1"/>
        </w:rPr>
        <w:t xml:space="preserve">in vitro </w:t>
      </w:r>
      <w:r w:rsidRPr="00F533B4">
        <w:rPr>
          <w:color w:val="000000" w:themeColor="text1"/>
        </w:rPr>
        <w:t xml:space="preserve">activity, </w:t>
      </w:r>
      <w:r w:rsidR="00CF0B3C">
        <w:rPr>
          <w:color w:val="000000" w:themeColor="text1"/>
        </w:rPr>
        <w:t xml:space="preserve">the </w:t>
      </w:r>
      <w:r w:rsidR="009D4A51" w:rsidRPr="00F533B4">
        <w:rPr>
          <w:color w:val="000000" w:themeColor="text1"/>
        </w:rPr>
        <w:t xml:space="preserve">nature and extent of </w:t>
      </w:r>
      <w:r w:rsidR="00772452">
        <w:rPr>
          <w:color w:val="000000" w:themeColor="text1"/>
        </w:rPr>
        <w:t>any</w:t>
      </w:r>
      <w:r w:rsidR="00772452" w:rsidRPr="00F533B4">
        <w:rPr>
          <w:color w:val="000000" w:themeColor="text1"/>
        </w:rPr>
        <w:t xml:space="preserve"> </w:t>
      </w:r>
      <w:r w:rsidR="00103278" w:rsidRPr="00F533B4">
        <w:rPr>
          <w:color w:val="000000" w:themeColor="text1"/>
        </w:rPr>
        <w:t>pharmacodynamic interaction</w:t>
      </w:r>
      <w:r w:rsidR="00CF0B3C">
        <w:rPr>
          <w:color w:val="000000" w:themeColor="text1"/>
        </w:rPr>
        <w:t xml:space="preserve"> using</w:t>
      </w:r>
      <w:r w:rsidR="00C561A8">
        <w:rPr>
          <w:color w:val="000000" w:themeColor="text1"/>
        </w:rPr>
        <w:t xml:space="preserve"> </w:t>
      </w:r>
      <w:r w:rsidR="00CF0B3C">
        <w:rPr>
          <w:color w:val="000000" w:themeColor="text1"/>
        </w:rPr>
        <w:t xml:space="preserve">checkerboard assays and hollow </w:t>
      </w:r>
      <w:proofErr w:type="spellStart"/>
      <w:r w:rsidR="003414D1">
        <w:rPr>
          <w:color w:val="000000" w:themeColor="text1"/>
        </w:rPr>
        <w:t>fiber</w:t>
      </w:r>
      <w:proofErr w:type="spellEnd"/>
      <w:r w:rsidR="00CF0B3C">
        <w:rPr>
          <w:color w:val="000000" w:themeColor="text1"/>
        </w:rPr>
        <w:t xml:space="preserve"> infection models (HFIMs), </w:t>
      </w:r>
      <w:r w:rsidRPr="00F533B4">
        <w:rPr>
          <w:color w:val="000000" w:themeColor="text1"/>
        </w:rPr>
        <w:t xml:space="preserve">and </w:t>
      </w:r>
      <w:r w:rsidR="00103278" w:rsidRPr="00F533B4">
        <w:rPr>
          <w:color w:val="000000" w:themeColor="text1"/>
        </w:rPr>
        <w:t xml:space="preserve">defined candidate </w:t>
      </w:r>
      <w:r w:rsidR="00FF274D" w:rsidRPr="00F533B4">
        <w:rPr>
          <w:color w:val="000000" w:themeColor="text1"/>
        </w:rPr>
        <w:t xml:space="preserve">combination </w:t>
      </w:r>
      <w:r w:rsidR="00103278" w:rsidRPr="00F533B4">
        <w:rPr>
          <w:color w:val="000000" w:themeColor="text1"/>
        </w:rPr>
        <w:t>regimens suitable for further clinical study</w:t>
      </w:r>
      <w:r w:rsidR="00EA3C3C" w:rsidRPr="00F533B4">
        <w:rPr>
          <w:color w:val="000000" w:themeColor="text1"/>
        </w:rPr>
        <w:t>.</w:t>
      </w:r>
      <w:r w:rsidR="00E72EBF">
        <w:rPr>
          <w:b/>
          <w:color w:val="000000" w:themeColor="text1"/>
        </w:rPr>
        <w:br w:type="page"/>
      </w:r>
    </w:p>
    <w:p w14:paraId="3CF9B153" w14:textId="4B09BA10" w:rsidR="003857CD" w:rsidRPr="00F533B4" w:rsidRDefault="00CF444F" w:rsidP="00501CB2">
      <w:pPr>
        <w:spacing w:before="120" w:line="480" w:lineRule="auto"/>
        <w:rPr>
          <w:b/>
          <w:i/>
          <w:color w:val="000000" w:themeColor="text1"/>
        </w:rPr>
      </w:pPr>
      <w:r w:rsidRPr="00F533B4">
        <w:rPr>
          <w:b/>
          <w:color w:val="000000" w:themeColor="text1"/>
        </w:rPr>
        <w:lastRenderedPageBreak/>
        <w:t>Results</w:t>
      </w:r>
    </w:p>
    <w:p w14:paraId="368D8B14" w14:textId="39A541A5" w:rsidR="00105FB0" w:rsidRPr="00F533B4" w:rsidRDefault="00105FB0" w:rsidP="00501CB2">
      <w:pPr>
        <w:spacing w:before="120" w:line="480" w:lineRule="auto"/>
        <w:rPr>
          <w:b/>
          <w:bCs/>
          <w:color w:val="000000" w:themeColor="text1"/>
        </w:rPr>
      </w:pPr>
      <w:r w:rsidRPr="00F533B4">
        <w:rPr>
          <w:b/>
          <w:bCs/>
          <w:i/>
          <w:color w:val="000000" w:themeColor="text1"/>
        </w:rPr>
        <w:t>In vitro</w:t>
      </w:r>
      <w:r w:rsidRPr="00F533B4">
        <w:rPr>
          <w:b/>
          <w:bCs/>
          <w:color w:val="000000" w:themeColor="text1"/>
        </w:rPr>
        <w:t xml:space="preserve"> susceptibility testing</w:t>
      </w:r>
    </w:p>
    <w:p w14:paraId="16E46C3E" w14:textId="174EE7DC" w:rsidR="00105FB0" w:rsidRPr="00F533B4" w:rsidRDefault="000B3FB2" w:rsidP="00501CB2">
      <w:pPr>
        <w:spacing w:before="120" w:line="480" w:lineRule="auto"/>
        <w:rPr>
          <w:color w:val="000000" w:themeColor="text1"/>
        </w:rPr>
      </w:pPr>
      <w:r w:rsidRPr="00F533B4">
        <w:rPr>
          <w:color w:val="000000" w:themeColor="text1"/>
        </w:rPr>
        <w:t>A panel of 40 strains</w:t>
      </w:r>
      <w:r w:rsidR="00051248">
        <w:rPr>
          <w:color w:val="000000" w:themeColor="text1"/>
        </w:rPr>
        <w:t xml:space="preserve"> of bacterial species</w:t>
      </w:r>
      <w:r w:rsidRPr="00F533B4">
        <w:rPr>
          <w:color w:val="000000" w:themeColor="text1"/>
        </w:rPr>
        <w:t xml:space="preserve"> </w:t>
      </w:r>
      <w:r w:rsidR="007C0A5B" w:rsidRPr="00F533B4">
        <w:rPr>
          <w:color w:val="000000" w:themeColor="text1"/>
        </w:rPr>
        <w:t xml:space="preserve">was assembled to give a representative range of </w:t>
      </w:r>
      <w:r w:rsidR="00445372" w:rsidRPr="00F533B4">
        <w:rPr>
          <w:color w:val="000000" w:themeColor="text1"/>
        </w:rPr>
        <w:t>bacteria</w:t>
      </w:r>
      <w:r w:rsidR="007C0A5B" w:rsidRPr="00F533B4">
        <w:rPr>
          <w:color w:val="000000" w:themeColor="text1"/>
        </w:rPr>
        <w:t xml:space="preserve"> that cause neonatal sepsis in a LMIC setting</w:t>
      </w:r>
      <w:r w:rsidR="00445372" w:rsidRPr="00F533B4">
        <w:rPr>
          <w:color w:val="000000" w:themeColor="text1"/>
        </w:rPr>
        <w:t xml:space="preserve">, with </w:t>
      </w:r>
      <w:r w:rsidR="00772452">
        <w:rPr>
          <w:color w:val="000000" w:themeColor="text1"/>
        </w:rPr>
        <w:t>a majority</w:t>
      </w:r>
      <w:r w:rsidR="00445372" w:rsidRPr="00F533B4">
        <w:rPr>
          <w:color w:val="000000" w:themeColor="text1"/>
        </w:rPr>
        <w:t xml:space="preserve"> </w:t>
      </w:r>
      <w:r w:rsidR="00F2103F">
        <w:rPr>
          <w:color w:val="000000" w:themeColor="text1"/>
        </w:rPr>
        <w:t xml:space="preserve">of </w:t>
      </w:r>
      <w:r w:rsidR="00445372" w:rsidRPr="00F533B4">
        <w:rPr>
          <w:color w:val="000000" w:themeColor="text1"/>
        </w:rPr>
        <w:t xml:space="preserve">strains </w:t>
      </w:r>
      <w:r w:rsidR="00772452">
        <w:rPr>
          <w:color w:val="000000" w:themeColor="text1"/>
        </w:rPr>
        <w:t>harbouring</w:t>
      </w:r>
      <w:r w:rsidR="00445372" w:rsidRPr="00F533B4">
        <w:rPr>
          <w:color w:val="000000" w:themeColor="text1"/>
        </w:rPr>
        <w:t xml:space="preserve"> </w:t>
      </w:r>
      <w:r w:rsidR="00772452">
        <w:rPr>
          <w:color w:val="000000" w:themeColor="text1"/>
        </w:rPr>
        <w:t>relevant resistance motifs</w:t>
      </w:r>
      <w:r w:rsidR="00051248">
        <w:rPr>
          <w:color w:val="000000" w:themeColor="text1"/>
        </w:rPr>
        <w:t xml:space="preserve"> for geographic regions of interest</w:t>
      </w:r>
      <w:r w:rsidR="007C0A5B" w:rsidRPr="00F533B4">
        <w:rPr>
          <w:color w:val="000000" w:themeColor="text1"/>
        </w:rPr>
        <w:t>. These includ</w:t>
      </w:r>
      <w:r w:rsidR="002D15D8">
        <w:rPr>
          <w:color w:val="000000" w:themeColor="text1"/>
        </w:rPr>
        <w:t>e</w:t>
      </w:r>
      <w:r w:rsidR="007C0A5B" w:rsidRPr="00F533B4">
        <w:rPr>
          <w:color w:val="000000" w:themeColor="text1"/>
        </w:rPr>
        <w:t xml:space="preserve"> 10 methicillin-resistant </w:t>
      </w:r>
      <w:proofErr w:type="spellStart"/>
      <w:r w:rsidR="007C0A5B" w:rsidRPr="00F533B4">
        <w:rPr>
          <w:i/>
          <w:color w:val="000000" w:themeColor="text1"/>
        </w:rPr>
        <w:t>Staphyloccocu</w:t>
      </w:r>
      <w:r w:rsidR="000E486C">
        <w:rPr>
          <w:i/>
          <w:color w:val="000000" w:themeColor="text1"/>
        </w:rPr>
        <w:t>s</w:t>
      </w:r>
      <w:proofErr w:type="spellEnd"/>
      <w:r w:rsidR="007C0A5B" w:rsidRPr="00F533B4">
        <w:rPr>
          <w:i/>
          <w:color w:val="000000" w:themeColor="text1"/>
        </w:rPr>
        <w:t xml:space="preserve"> aureus</w:t>
      </w:r>
      <w:r w:rsidR="007C0A5B" w:rsidRPr="00F533B4">
        <w:rPr>
          <w:color w:val="000000" w:themeColor="text1"/>
        </w:rPr>
        <w:t xml:space="preserve"> (MRSA) strains, 10 </w:t>
      </w:r>
      <w:r w:rsidR="007C0A5B" w:rsidRPr="00F533B4">
        <w:rPr>
          <w:i/>
          <w:color w:val="000000" w:themeColor="text1"/>
        </w:rPr>
        <w:t>E</w:t>
      </w:r>
      <w:r w:rsidR="00772452">
        <w:rPr>
          <w:i/>
          <w:color w:val="000000" w:themeColor="text1"/>
        </w:rPr>
        <w:t>.</w:t>
      </w:r>
      <w:r w:rsidR="007C0A5B" w:rsidRPr="00F533B4">
        <w:rPr>
          <w:i/>
          <w:color w:val="000000" w:themeColor="text1"/>
        </w:rPr>
        <w:t xml:space="preserve"> coli </w:t>
      </w:r>
      <w:r w:rsidR="007C0A5B" w:rsidRPr="00F533B4">
        <w:rPr>
          <w:color w:val="000000" w:themeColor="text1"/>
        </w:rPr>
        <w:t xml:space="preserve">and </w:t>
      </w:r>
      <w:r w:rsidR="004B4A82" w:rsidRPr="00F533B4">
        <w:rPr>
          <w:color w:val="000000" w:themeColor="text1"/>
        </w:rPr>
        <w:t xml:space="preserve">10 </w:t>
      </w:r>
      <w:r w:rsidR="007C0A5B" w:rsidRPr="00F533B4">
        <w:rPr>
          <w:i/>
          <w:color w:val="000000" w:themeColor="text1"/>
        </w:rPr>
        <w:t>K</w:t>
      </w:r>
      <w:r w:rsidR="00772452">
        <w:rPr>
          <w:i/>
          <w:color w:val="000000" w:themeColor="text1"/>
        </w:rPr>
        <w:t>.</w:t>
      </w:r>
      <w:r w:rsidR="007C0A5B" w:rsidRPr="00F533B4">
        <w:rPr>
          <w:i/>
          <w:color w:val="000000" w:themeColor="text1"/>
        </w:rPr>
        <w:t xml:space="preserve"> pneumoniae </w:t>
      </w:r>
      <w:r w:rsidR="004B4A82" w:rsidRPr="00F533B4">
        <w:rPr>
          <w:color w:val="000000" w:themeColor="text1"/>
        </w:rPr>
        <w:t>strains</w:t>
      </w:r>
      <w:r w:rsidR="00E5113A" w:rsidRPr="00F533B4">
        <w:rPr>
          <w:color w:val="000000" w:themeColor="text1"/>
        </w:rPr>
        <w:t xml:space="preserve"> (all ESBL or </w:t>
      </w:r>
      <w:r w:rsidR="009C1C11">
        <w:rPr>
          <w:color w:val="000000" w:themeColor="text1"/>
        </w:rPr>
        <w:t>carbapenemase</w:t>
      </w:r>
      <w:r w:rsidR="00E5113A" w:rsidRPr="00F533B4">
        <w:rPr>
          <w:color w:val="000000" w:themeColor="text1"/>
        </w:rPr>
        <w:t xml:space="preserve"> producers)</w:t>
      </w:r>
      <w:r w:rsidR="004B4A82" w:rsidRPr="00F533B4">
        <w:rPr>
          <w:color w:val="000000" w:themeColor="text1"/>
        </w:rPr>
        <w:t>, and 10 wild</w:t>
      </w:r>
      <w:r w:rsidR="00772452">
        <w:rPr>
          <w:color w:val="000000" w:themeColor="text1"/>
        </w:rPr>
        <w:t>-</w:t>
      </w:r>
      <w:r w:rsidR="004B4A82" w:rsidRPr="00F533B4">
        <w:rPr>
          <w:color w:val="000000" w:themeColor="text1"/>
        </w:rPr>
        <w:t xml:space="preserve">type </w:t>
      </w:r>
      <w:r w:rsidR="004B4A82" w:rsidRPr="00F533B4">
        <w:rPr>
          <w:i/>
          <w:color w:val="000000" w:themeColor="text1"/>
        </w:rPr>
        <w:t>S</w:t>
      </w:r>
      <w:r w:rsidR="007569B5">
        <w:rPr>
          <w:i/>
          <w:color w:val="000000" w:themeColor="text1"/>
        </w:rPr>
        <w:t>.</w:t>
      </w:r>
      <w:r w:rsidR="004B4A82" w:rsidRPr="00F533B4">
        <w:rPr>
          <w:i/>
          <w:color w:val="000000" w:themeColor="text1"/>
        </w:rPr>
        <w:t xml:space="preserve"> agalactiae </w:t>
      </w:r>
      <w:r w:rsidR="004B4A82" w:rsidRPr="00F533B4">
        <w:rPr>
          <w:color w:val="000000" w:themeColor="text1"/>
        </w:rPr>
        <w:t>strain</w:t>
      </w:r>
      <w:r w:rsidR="00772452">
        <w:rPr>
          <w:color w:val="000000" w:themeColor="text1"/>
        </w:rPr>
        <w:t>s</w:t>
      </w:r>
      <w:r w:rsidRPr="00F533B4">
        <w:rPr>
          <w:color w:val="000000" w:themeColor="text1"/>
        </w:rPr>
        <w:t xml:space="preserve"> (</w:t>
      </w:r>
      <w:r w:rsidR="00932FE0">
        <w:rPr>
          <w:color w:val="000000" w:themeColor="text1"/>
        </w:rPr>
        <w:t>Table</w:t>
      </w:r>
      <w:r w:rsidRPr="00F533B4">
        <w:rPr>
          <w:color w:val="000000" w:themeColor="text1"/>
        </w:rPr>
        <w:t xml:space="preserve"> </w:t>
      </w:r>
      <w:r w:rsidR="00932FE0">
        <w:rPr>
          <w:color w:val="000000" w:themeColor="text1"/>
        </w:rPr>
        <w:t>S</w:t>
      </w:r>
      <w:r w:rsidRPr="00F533B4">
        <w:rPr>
          <w:color w:val="000000" w:themeColor="text1"/>
        </w:rPr>
        <w:t xml:space="preserve">1). </w:t>
      </w:r>
      <w:r w:rsidR="00FF274D" w:rsidRPr="00F533B4">
        <w:rPr>
          <w:color w:val="000000" w:themeColor="text1"/>
        </w:rPr>
        <w:t xml:space="preserve"> </w:t>
      </w:r>
      <w:r w:rsidR="007E430D" w:rsidRPr="00F533B4">
        <w:rPr>
          <w:color w:val="000000" w:themeColor="text1"/>
        </w:rPr>
        <w:t xml:space="preserve">The MIC distributions </w:t>
      </w:r>
      <w:r w:rsidR="003857CD" w:rsidRPr="00F533B4">
        <w:rPr>
          <w:color w:val="000000" w:themeColor="text1"/>
        </w:rPr>
        <w:t>for fosfomycin and amikacin against th</w:t>
      </w:r>
      <w:r w:rsidRPr="00F533B4">
        <w:rPr>
          <w:color w:val="000000" w:themeColor="text1"/>
        </w:rPr>
        <w:t>is</w:t>
      </w:r>
      <w:r w:rsidR="003857CD" w:rsidRPr="00F533B4">
        <w:rPr>
          <w:color w:val="000000" w:themeColor="text1"/>
        </w:rPr>
        <w:t xml:space="preserve"> panel</w:t>
      </w:r>
      <w:r w:rsidRPr="00F533B4">
        <w:rPr>
          <w:color w:val="000000" w:themeColor="text1"/>
        </w:rPr>
        <w:t xml:space="preserve"> of strains</w:t>
      </w:r>
      <w:r w:rsidR="003857CD" w:rsidRPr="00F533B4">
        <w:rPr>
          <w:color w:val="000000" w:themeColor="text1"/>
        </w:rPr>
        <w:t xml:space="preserve"> </w:t>
      </w:r>
      <w:r w:rsidR="007E430D" w:rsidRPr="00F533B4">
        <w:rPr>
          <w:color w:val="000000" w:themeColor="text1"/>
        </w:rPr>
        <w:t xml:space="preserve">are </w:t>
      </w:r>
      <w:r w:rsidR="00C01315" w:rsidRPr="00F533B4">
        <w:rPr>
          <w:color w:val="000000" w:themeColor="text1"/>
        </w:rPr>
        <w:t xml:space="preserve">shown in </w:t>
      </w:r>
      <w:r w:rsidR="00772452">
        <w:rPr>
          <w:color w:val="000000" w:themeColor="text1"/>
        </w:rPr>
        <w:t>T</w:t>
      </w:r>
      <w:r w:rsidR="00AF09D6" w:rsidRPr="00F533B4">
        <w:rPr>
          <w:color w:val="000000" w:themeColor="text1"/>
        </w:rPr>
        <w:t xml:space="preserve">able </w:t>
      </w:r>
      <w:r w:rsidR="00E70504">
        <w:rPr>
          <w:color w:val="000000" w:themeColor="text1"/>
        </w:rPr>
        <w:t>S2</w:t>
      </w:r>
      <w:r w:rsidR="00C01315" w:rsidRPr="00F533B4">
        <w:rPr>
          <w:color w:val="000000" w:themeColor="text1"/>
        </w:rPr>
        <w:t xml:space="preserve">. </w:t>
      </w:r>
      <w:r w:rsidR="00AF09D6" w:rsidRPr="00F533B4">
        <w:rPr>
          <w:color w:val="000000" w:themeColor="text1"/>
        </w:rPr>
        <w:t xml:space="preserve">The modal amikacin MIC was 2-4 </w:t>
      </w:r>
      <w:r w:rsidRPr="00F533B4">
        <w:rPr>
          <w:rFonts w:cstheme="minorHAnsi"/>
          <w:color w:val="000000" w:themeColor="text1"/>
        </w:rPr>
        <w:t>mg/L</w:t>
      </w:r>
      <w:r w:rsidR="00FF274D" w:rsidRPr="00F533B4">
        <w:rPr>
          <w:rFonts w:cstheme="minorHAnsi"/>
          <w:color w:val="000000" w:themeColor="text1"/>
        </w:rPr>
        <w:t xml:space="preserve"> </w:t>
      </w:r>
      <w:r w:rsidR="00AF09D6" w:rsidRPr="00F533B4">
        <w:rPr>
          <w:color w:val="000000" w:themeColor="text1"/>
        </w:rPr>
        <w:t xml:space="preserve">(excluding the intrinsically resistant </w:t>
      </w:r>
      <w:r w:rsidR="00AF09D6" w:rsidRPr="00F533B4">
        <w:rPr>
          <w:i/>
          <w:color w:val="000000" w:themeColor="text1"/>
        </w:rPr>
        <w:t>S. agalactiae</w:t>
      </w:r>
      <w:r w:rsidR="0092362E">
        <w:rPr>
          <w:iCs/>
          <w:color w:val="000000" w:themeColor="text1"/>
        </w:rPr>
        <w:t xml:space="preserve">, </w:t>
      </w:r>
      <w:r w:rsidR="00A12D7B">
        <w:rPr>
          <w:iCs/>
          <w:color w:val="000000" w:themeColor="text1"/>
        </w:rPr>
        <w:t xml:space="preserve">inhibited by a </w:t>
      </w:r>
      <w:r w:rsidR="0092362E">
        <w:rPr>
          <w:iCs/>
          <w:color w:val="000000" w:themeColor="text1"/>
        </w:rPr>
        <w:t>modal MIC</w:t>
      </w:r>
      <w:r w:rsidR="00A12D7B">
        <w:rPr>
          <w:iCs/>
          <w:color w:val="000000" w:themeColor="text1"/>
        </w:rPr>
        <w:t xml:space="preserve"> of</w:t>
      </w:r>
      <w:r w:rsidR="0092362E">
        <w:rPr>
          <w:iCs/>
          <w:color w:val="000000" w:themeColor="text1"/>
        </w:rPr>
        <w:t xml:space="preserve"> &gt;32 mg/L</w:t>
      </w:r>
      <w:r w:rsidR="00AF09D6" w:rsidRPr="00F533B4">
        <w:rPr>
          <w:color w:val="000000" w:themeColor="text1"/>
        </w:rPr>
        <w:t xml:space="preserve">); the modal fosfomycin MIC was 2 </w:t>
      </w:r>
      <w:r w:rsidRPr="00F533B4">
        <w:rPr>
          <w:rFonts w:cstheme="minorHAnsi"/>
          <w:color w:val="000000" w:themeColor="text1"/>
        </w:rPr>
        <w:t>mg/L</w:t>
      </w:r>
      <w:r w:rsidR="00FF274D" w:rsidRPr="00F533B4">
        <w:rPr>
          <w:rFonts w:cstheme="minorHAnsi"/>
          <w:color w:val="000000" w:themeColor="text1"/>
        </w:rPr>
        <w:t xml:space="preserve"> </w:t>
      </w:r>
      <w:r w:rsidR="00AF09D6" w:rsidRPr="00F533B4">
        <w:rPr>
          <w:color w:val="000000" w:themeColor="text1"/>
        </w:rPr>
        <w:t xml:space="preserve">(excluding the </w:t>
      </w:r>
      <w:r w:rsidR="00AF09D6" w:rsidRPr="00F533B4">
        <w:rPr>
          <w:i/>
          <w:color w:val="000000" w:themeColor="text1"/>
        </w:rPr>
        <w:t xml:space="preserve">K. pneumoniae </w:t>
      </w:r>
      <w:r w:rsidR="00AF09D6" w:rsidRPr="00F533B4">
        <w:rPr>
          <w:color w:val="000000" w:themeColor="text1"/>
        </w:rPr>
        <w:t>strains, which have a</w:t>
      </w:r>
      <w:r w:rsidR="00496ED4" w:rsidRPr="00F533B4">
        <w:rPr>
          <w:color w:val="000000" w:themeColor="text1"/>
        </w:rPr>
        <w:t xml:space="preserve"> modal MIC of &gt;32mg/L</w:t>
      </w:r>
      <w:r w:rsidR="0085603A">
        <w:rPr>
          <w:color w:val="000000" w:themeColor="text1"/>
        </w:rPr>
        <w:t>, likely</w:t>
      </w:r>
      <w:r w:rsidR="00496ED4" w:rsidRPr="00F533B4">
        <w:rPr>
          <w:color w:val="000000" w:themeColor="text1"/>
        </w:rPr>
        <w:t xml:space="preserve"> due to</w:t>
      </w:r>
      <w:r w:rsidR="00AF09D6" w:rsidRPr="00F533B4">
        <w:rPr>
          <w:color w:val="000000" w:themeColor="text1"/>
        </w:rPr>
        <w:t xml:space="preserve"> </w:t>
      </w:r>
      <w:r w:rsidR="00772452">
        <w:rPr>
          <w:color w:val="000000" w:themeColor="text1"/>
        </w:rPr>
        <w:t xml:space="preserve">a </w:t>
      </w:r>
      <w:r w:rsidR="00AF09D6" w:rsidRPr="00F533B4">
        <w:rPr>
          <w:color w:val="000000" w:themeColor="text1"/>
        </w:rPr>
        <w:t xml:space="preserve">high incidence of chromosomal </w:t>
      </w:r>
      <w:proofErr w:type="spellStart"/>
      <w:r w:rsidR="00AF09D6" w:rsidRPr="00F533B4">
        <w:rPr>
          <w:color w:val="000000" w:themeColor="text1"/>
        </w:rPr>
        <w:t>FosA</w:t>
      </w:r>
      <w:proofErr w:type="spellEnd"/>
      <w:r w:rsidR="00AF09D6" w:rsidRPr="00F533B4">
        <w:rPr>
          <w:color w:val="000000" w:themeColor="text1"/>
        </w:rPr>
        <w:t xml:space="preserve"> </w:t>
      </w:r>
      <w:r w:rsidR="00D56E3F" w:rsidRPr="00F533B4">
        <w:rPr>
          <w:color w:val="000000" w:themeColor="text1"/>
        </w:rPr>
        <w:fldChar w:fldCharType="begin" w:fldLock="1"/>
      </w:r>
      <w:r w:rsidR="00EC6CE2">
        <w:rPr>
          <w:color w:val="000000" w:themeColor="text1"/>
        </w:rPr>
        <w:instrText>ADDIN CSL_CITATION {"citationItems":[{"id":"ITEM-1","itemData":{"DOI":"10.1128/mBio.00749-17","ISSN":"21507511","abstract":"Fosfomycin is a decades-old antibiotic which is being revisited because of its perceived activity against many extensively drug-resistant Gram-negative pathogens. FosA proteins are Mn 2+ and K + -dependent glutathione S -transferases which confer fosfomycin resistance in Gram-negative bacteria by conjugation of glutathione to the antibiotic. Plasmid-borne fosA variants have been reported in fosfomycin-resistant Escherichia coli strains. However, the prevalence and distribution of fosA in other Gram-negative bacteria are not known. We systematically surveyed the presence of fosA in Gram-negative bacteria in over 18,000 published genomes from 18 Gram-negative species and investigated their contribution to fosfomycin resistance. We show that FosA homologues are present in the majority of genomes in some species (e.g., Klebsiella spp., Enterobacter spp., Serratia marcescens , and Pseudomonas aeruginosa ), whereas they are largely absent in others (e.g., E. coli , Acinetobacter baumannii , and Burkholderia cepacia ). FosA proteins in different bacterial pathogens are highly divergent, but key amino acid residues in the active site are conserved. Chromosomal fosA genes conferred high-level fosfomycin resistance when expressed in E. coli , and deletion of chromosomal fosA in S. marcescens eliminated fosfomycin resistance. Our results indicate that FosA is encoded by clinically relevant Gram-negative species and contributes to intrinsic fosfomycin resistance. IMPORTANCE There is a critical need to identify alternate approaches to treat infections caused by extensively drug-resistant (XDR) Gram-negative bacteria. Fosfomycin is an old antibiotic which is routinely used for the treatment of urinary tract infections, although there is substantial interest in expanding its use to systemic infections caused by XDR Gram-negative bacteria. In this study, we show that fosA genes, which encode dimeric Mn 2+ - and K + -dependent glutathione S -transferase, are widely distributed in the genomes of Gram-negative bacteria—particularly those belonging to the family Enterobacteriaceae —and confer fosfomycin resistance. This finding suggests that chromosomally located fosA genes represent a vast reservoir of fosfomycin resistance determinants that may be transferred to E. coli . Furthermore, they suggest that inhibition of FosA activity may provide a viable strategy to potentiate the activity of fosfomycin against XDR Gram-negative bacteria.","author":[{"dropping-particle":"","family":"Ito","given":"Ryota","non-dropping-particle":"","parse-names":false,"suffix":""},{"dropping-particle":"","family":"Mustapha","given":"Mustapha M.","non-dropping-particle":"","parse-names":false,"suffix":""},{"dropping-particle":"","family":"Tomich","given":"Adam D.","non-dropping-particle":"","parse-names":false,"suffix":""},{"dropping-particle":"","family":"Callaghan","given":"Jake D.","non-dropping-particle":"","parse-names":false,"suffix":""},{"dropping-particle":"","family":"McElheny","given":"Christi L.","non-dropping-particle":"","parse-names":false,"suffix":""},{"dropping-particle":"","family":"Mettus","given":"Roberta T.","non-dropping-particle":"","parse-names":false,"suffix":""},{"dropping-particle":"","family":"Shanks","given":"Robert M.Q.","non-dropping-particle":"","parse-names":false,"suffix":""},{"dropping-particle":"","family":"Sluis-Cremer","given":"Nicolas","non-dropping-particle":"","parse-names":false,"suffix":""},{"dropping-particle":"","family":"Doi","given":"Yohei","non-dropping-particle":"","parse-names":false,"suffix":""}],"container-title":"mBio","id":"ITEM-1","issue":"4","issued":{"date-parts":[["2017"]]},"page":"1-9","title":"Widespread fosfomycin resistance in gram-negative bacteria attributable to the chromosomal &lt;i&gt;fosA&lt;/i&gt; gene","type":"article-journal","volume":"8"},"uris":["http://www.mendeley.com/documents/?uuid=6e83aa41-1425-4ae8-9c2d-d86dbbeda7d0"]}],"mendeley":{"formattedCitation":"(18)","plainTextFormattedCitation":"(18)","previouslyFormattedCitation":"(18)"},"properties":{"noteIndex":0},"schema":"https://github.com/citation-style-language/schema/raw/master/csl-citation.json"}</w:instrText>
      </w:r>
      <w:r w:rsidR="00D56E3F" w:rsidRPr="00F533B4">
        <w:rPr>
          <w:color w:val="000000" w:themeColor="text1"/>
        </w:rPr>
        <w:fldChar w:fldCharType="separate"/>
      </w:r>
      <w:r w:rsidR="00EC6CE2" w:rsidRPr="00EC6CE2">
        <w:rPr>
          <w:noProof/>
          <w:color w:val="000000" w:themeColor="text1"/>
        </w:rPr>
        <w:t>(18)</w:t>
      </w:r>
      <w:r w:rsidR="00D56E3F" w:rsidRPr="00F533B4">
        <w:rPr>
          <w:color w:val="000000" w:themeColor="text1"/>
        </w:rPr>
        <w:fldChar w:fldCharType="end"/>
      </w:r>
      <w:r w:rsidR="00D56E3F" w:rsidRPr="00F533B4">
        <w:rPr>
          <w:color w:val="000000" w:themeColor="text1"/>
        </w:rPr>
        <w:t>).</w:t>
      </w:r>
      <w:r w:rsidR="00AF09D6" w:rsidRPr="00F533B4">
        <w:rPr>
          <w:color w:val="000000" w:themeColor="text1"/>
        </w:rPr>
        <w:t xml:space="preserve"> </w:t>
      </w:r>
    </w:p>
    <w:p w14:paraId="710205DD" w14:textId="77777777" w:rsidR="00DD1E32" w:rsidRPr="00F533B4" w:rsidRDefault="00DD1E32" w:rsidP="00501CB2">
      <w:pPr>
        <w:spacing w:before="120" w:line="480" w:lineRule="auto"/>
        <w:rPr>
          <w:b/>
          <w:bCs/>
          <w:i/>
          <w:color w:val="000000" w:themeColor="text1"/>
        </w:rPr>
      </w:pPr>
    </w:p>
    <w:p w14:paraId="1DBF496F" w14:textId="160C4D66" w:rsidR="00105FB0" w:rsidRPr="00F533B4" w:rsidRDefault="00105FB0" w:rsidP="00501CB2">
      <w:pPr>
        <w:spacing w:before="120" w:line="480" w:lineRule="auto"/>
        <w:rPr>
          <w:b/>
          <w:bCs/>
          <w:color w:val="000000" w:themeColor="text1"/>
        </w:rPr>
      </w:pPr>
      <w:r w:rsidRPr="00F533B4">
        <w:rPr>
          <w:b/>
          <w:bCs/>
          <w:i/>
          <w:color w:val="000000" w:themeColor="text1"/>
        </w:rPr>
        <w:t>In vitro</w:t>
      </w:r>
      <w:r w:rsidRPr="00F533B4">
        <w:rPr>
          <w:b/>
          <w:bCs/>
          <w:color w:val="000000" w:themeColor="text1"/>
        </w:rPr>
        <w:t xml:space="preserve"> drug-drug interaction </w:t>
      </w:r>
      <w:r w:rsidR="00D56E3F" w:rsidRPr="00F533B4">
        <w:rPr>
          <w:b/>
          <w:bCs/>
          <w:color w:val="000000" w:themeColor="text1"/>
        </w:rPr>
        <w:t>modelling</w:t>
      </w:r>
    </w:p>
    <w:p w14:paraId="6FA41450" w14:textId="6D77E062" w:rsidR="009C1C11" w:rsidRDefault="000B3FB2" w:rsidP="00501CB2">
      <w:pPr>
        <w:spacing w:before="120" w:line="480" w:lineRule="auto"/>
        <w:rPr>
          <w:color w:val="000000" w:themeColor="text1"/>
        </w:rPr>
      </w:pPr>
      <w:r w:rsidRPr="00F533B4">
        <w:rPr>
          <w:color w:val="000000" w:themeColor="text1"/>
        </w:rPr>
        <w:t xml:space="preserve">Checkerboard assays were performed on a </w:t>
      </w:r>
      <w:r w:rsidR="007F2854" w:rsidRPr="00F533B4">
        <w:rPr>
          <w:color w:val="000000" w:themeColor="text1"/>
        </w:rPr>
        <w:t>selection of the neonatal sepsis panel strains</w:t>
      </w:r>
      <w:r w:rsidR="00506DC8" w:rsidRPr="00F533B4">
        <w:rPr>
          <w:color w:val="000000" w:themeColor="text1"/>
        </w:rPr>
        <w:t xml:space="preserve"> (n=16)</w:t>
      </w:r>
      <w:r w:rsidR="00DE4FCF" w:rsidRPr="00F533B4">
        <w:rPr>
          <w:color w:val="000000" w:themeColor="text1"/>
        </w:rPr>
        <w:t>.</w:t>
      </w:r>
      <w:r w:rsidR="0092362E">
        <w:rPr>
          <w:color w:val="000000" w:themeColor="text1"/>
        </w:rPr>
        <w:t xml:space="preserve"> These strains were selected on the basis of having MICs &gt;0.0625mg/L and &lt;32mg/L for </w:t>
      </w:r>
      <w:r w:rsidR="00045442">
        <w:rPr>
          <w:color w:val="000000" w:themeColor="text1"/>
        </w:rPr>
        <w:t>fosfomycin and amikacin.</w:t>
      </w:r>
      <w:r w:rsidR="0092362E">
        <w:rPr>
          <w:color w:val="000000" w:themeColor="text1"/>
        </w:rPr>
        <w:t xml:space="preserve"> </w:t>
      </w:r>
      <w:r w:rsidR="00DE4FCF" w:rsidRPr="00F533B4">
        <w:rPr>
          <w:color w:val="000000" w:themeColor="text1"/>
        </w:rPr>
        <w:t xml:space="preserve">An interaction model </w:t>
      </w:r>
      <w:r w:rsidR="00772452">
        <w:rPr>
          <w:color w:val="000000" w:themeColor="text1"/>
        </w:rPr>
        <w:t xml:space="preserve">originally </w:t>
      </w:r>
      <w:r w:rsidR="00DE4FCF" w:rsidRPr="00F533B4">
        <w:rPr>
          <w:color w:val="000000" w:themeColor="text1"/>
        </w:rPr>
        <w:t>developed by Greco</w:t>
      </w:r>
      <w:r w:rsidR="007109B9" w:rsidRPr="00F533B4">
        <w:rPr>
          <w:color w:val="000000" w:themeColor="text1"/>
        </w:rPr>
        <w:t xml:space="preserve"> </w:t>
      </w:r>
      <w:r w:rsidR="007109B9" w:rsidRPr="00F533B4">
        <w:rPr>
          <w:color w:val="000000" w:themeColor="text1"/>
        </w:rPr>
        <w:fldChar w:fldCharType="begin" w:fldLock="1"/>
      </w:r>
      <w:r w:rsidR="00EC6CE2">
        <w:rPr>
          <w:color w:val="000000" w:themeColor="text1"/>
        </w:rPr>
        <w:instrText>ADDIN CSL_CITATION {"citationItems":[{"id":"ITEM-1","itemData":{"ISSN":"00316997","PMID":"7568331","author":[{"dropping-particle":"","family":"Greco","given":"W. R.","non-dropping-particle":"","parse-names":false,"suffix":""},{"dropping-particle":"","family":"Bravo","given":"G.","non-dropping-particle":"","parse-names":false,"suffix":""},{"dropping-particle":"","family":"Parsons","given":"J. C.","non-dropping-particle":"","parse-names":false,"suffix":""}],"container-title":"Pharmacological Reviews","id":"ITEM-1","issue":"2","issued":{"date-parts":[["1995"]]},"page":"331-385","publisher":"Pharmacol Rev","title":"The search for synergy: A critical review from a response surface perspective","type":"article","volume":"47"},"uris":["http://www.mendeley.com/documents/?uuid=09711f40-8780-378e-954e-5bd53fbfaac1"]}],"mendeley":{"formattedCitation":"(14)","plainTextFormattedCitation":"(14)","previouslyFormattedCitation":"(14)"},"properties":{"noteIndex":0},"schema":"https://github.com/citation-style-language/schema/raw/master/csl-citation.json"}</w:instrText>
      </w:r>
      <w:r w:rsidR="007109B9" w:rsidRPr="00F533B4">
        <w:rPr>
          <w:color w:val="000000" w:themeColor="text1"/>
        </w:rPr>
        <w:fldChar w:fldCharType="separate"/>
      </w:r>
      <w:r w:rsidR="00EC6CE2" w:rsidRPr="00EC6CE2">
        <w:rPr>
          <w:noProof/>
          <w:color w:val="000000" w:themeColor="text1"/>
        </w:rPr>
        <w:t>(14)</w:t>
      </w:r>
      <w:r w:rsidR="007109B9" w:rsidRPr="00F533B4">
        <w:rPr>
          <w:color w:val="000000" w:themeColor="text1"/>
        </w:rPr>
        <w:fldChar w:fldCharType="end"/>
      </w:r>
      <w:r w:rsidR="00DE4FCF" w:rsidRPr="00F533B4">
        <w:rPr>
          <w:color w:val="000000" w:themeColor="text1"/>
        </w:rPr>
        <w:t xml:space="preserve"> was fitted to the dataset </w:t>
      </w:r>
      <w:r w:rsidR="007F2854" w:rsidRPr="00F533B4">
        <w:rPr>
          <w:color w:val="000000" w:themeColor="text1"/>
        </w:rPr>
        <w:t>to</w:t>
      </w:r>
      <w:r w:rsidR="00511AC8" w:rsidRPr="00F533B4">
        <w:rPr>
          <w:color w:val="000000" w:themeColor="text1"/>
        </w:rPr>
        <w:t xml:space="preserve"> </w:t>
      </w:r>
      <w:r w:rsidR="00DE4FCF" w:rsidRPr="00F533B4">
        <w:rPr>
          <w:color w:val="000000" w:themeColor="text1"/>
        </w:rPr>
        <w:t xml:space="preserve">estimate </w:t>
      </w:r>
      <w:r w:rsidR="004C5613" w:rsidRPr="00F533B4">
        <w:rPr>
          <w:color w:val="000000" w:themeColor="text1"/>
        </w:rPr>
        <w:t>a</w:t>
      </w:r>
      <w:r w:rsidR="00FF274D" w:rsidRPr="00F533B4">
        <w:rPr>
          <w:color w:val="000000" w:themeColor="text1"/>
        </w:rPr>
        <w:t xml:space="preserve"> pharmacodynamic</w:t>
      </w:r>
      <w:r w:rsidR="004C5613" w:rsidRPr="00F533B4">
        <w:rPr>
          <w:color w:val="000000" w:themeColor="text1"/>
        </w:rPr>
        <w:t xml:space="preserve"> interaction parameter, </w:t>
      </w:r>
      <w:r w:rsidR="004C5613" w:rsidRPr="00F533B4">
        <w:rPr>
          <w:color w:val="000000" w:themeColor="text1"/>
        </w:rPr>
        <w:sym w:font="Symbol" w:char="F061"/>
      </w:r>
      <w:r w:rsidR="004C5613" w:rsidRPr="00F533B4">
        <w:rPr>
          <w:color w:val="000000" w:themeColor="text1"/>
        </w:rPr>
        <w:t>, for each strain (</w:t>
      </w:r>
      <w:r w:rsidR="00DD1E32" w:rsidRPr="00F533B4">
        <w:rPr>
          <w:color w:val="000000" w:themeColor="text1"/>
        </w:rPr>
        <w:t xml:space="preserve">Fig. </w:t>
      </w:r>
      <w:r w:rsidR="004C5613" w:rsidRPr="00F533B4">
        <w:rPr>
          <w:color w:val="000000" w:themeColor="text1"/>
        </w:rPr>
        <w:t>1)</w:t>
      </w:r>
      <w:r w:rsidR="00AC2CF9">
        <w:rPr>
          <w:color w:val="000000" w:themeColor="text1"/>
        </w:rPr>
        <w:t>. A</w:t>
      </w:r>
      <w:r w:rsidR="007F2854" w:rsidRPr="00F533B4">
        <w:rPr>
          <w:color w:val="000000" w:themeColor="text1"/>
        </w:rPr>
        <w:t xml:space="preserve"> value of </w:t>
      </w:r>
      <w:r w:rsidR="007F2854" w:rsidRPr="00F533B4">
        <w:rPr>
          <w:color w:val="000000" w:themeColor="text1"/>
        </w:rPr>
        <w:sym w:font="Symbol" w:char="F061"/>
      </w:r>
      <w:r w:rsidR="007F2854" w:rsidRPr="00F533B4">
        <w:rPr>
          <w:color w:val="000000" w:themeColor="text1"/>
        </w:rPr>
        <w:t xml:space="preserve"> for the interaction of two </w:t>
      </w:r>
      <w:r w:rsidR="00DE4FCF" w:rsidRPr="00F533B4">
        <w:rPr>
          <w:color w:val="000000" w:themeColor="text1"/>
        </w:rPr>
        <w:t xml:space="preserve">agents </w:t>
      </w:r>
      <w:r w:rsidR="007F2854" w:rsidRPr="00F533B4">
        <w:rPr>
          <w:color w:val="000000" w:themeColor="text1"/>
        </w:rPr>
        <w:t>is interpreted as follows</w:t>
      </w:r>
      <w:r w:rsidR="00DE4FCF" w:rsidRPr="00F533B4">
        <w:rPr>
          <w:color w:val="000000" w:themeColor="text1"/>
        </w:rPr>
        <w:t>:</w:t>
      </w:r>
      <w:r w:rsidR="007F2854" w:rsidRPr="00F533B4">
        <w:rPr>
          <w:color w:val="000000" w:themeColor="text1"/>
        </w:rPr>
        <w:t xml:space="preserve"> a </w:t>
      </w:r>
      <w:r w:rsidR="007B383A">
        <w:rPr>
          <w:color w:val="000000" w:themeColor="text1"/>
        </w:rPr>
        <w:t>lower bound of the 95%</w:t>
      </w:r>
      <w:r w:rsidR="00DE4FCF" w:rsidRPr="00F533B4">
        <w:rPr>
          <w:color w:val="000000" w:themeColor="text1"/>
        </w:rPr>
        <w:t xml:space="preserve"> </w:t>
      </w:r>
      <w:r w:rsidR="007F2854" w:rsidRPr="00F533B4">
        <w:rPr>
          <w:color w:val="000000" w:themeColor="text1"/>
        </w:rPr>
        <w:t xml:space="preserve">CI of </w:t>
      </w:r>
      <w:r w:rsidR="007F2854" w:rsidRPr="00F533B4">
        <w:rPr>
          <w:color w:val="000000" w:themeColor="text1"/>
        </w:rPr>
        <w:sym w:font="Symbol" w:char="F061"/>
      </w:r>
      <w:r w:rsidR="007F2854" w:rsidRPr="00F533B4">
        <w:rPr>
          <w:color w:val="000000" w:themeColor="text1"/>
        </w:rPr>
        <w:t xml:space="preserve"> &gt; 0 indicates a synergistic interaction; </w:t>
      </w:r>
      <w:r w:rsidR="00AC2CF9">
        <w:rPr>
          <w:color w:val="000000" w:themeColor="text1"/>
        </w:rPr>
        <w:t>an upper</w:t>
      </w:r>
      <w:r w:rsidR="007B383A">
        <w:rPr>
          <w:color w:val="000000" w:themeColor="text1"/>
        </w:rPr>
        <w:t xml:space="preserve"> bound of the</w:t>
      </w:r>
      <w:r w:rsidR="007F2854" w:rsidRPr="00F533B4">
        <w:rPr>
          <w:color w:val="000000" w:themeColor="text1"/>
        </w:rPr>
        <w:t xml:space="preserve"> </w:t>
      </w:r>
      <w:r w:rsidR="00DE4FCF" w:rsidRPr="00F533B4">
        <w:rPr>
          <w:color w:val="000000" w:themeColor="text1"/>
        </w:rPr>
        <w:t xml:space="preserve">95% </w:t>
      </w:r>
      <w:r w:rsidR="007F2854" w:rsidRPr="00F533B4">
        <w:rPr>
          <w:color w:val="000000" w:themeColor="text1"/>
        </w:rPr>
        <w:t xml:space="preserve">CI of </w:t>
      </w:r>
      <w:r w:rsidR="007F2854" w:rsidRPr="00F533B4">
        <w:rPr>
          <w:color w:val="000000" w:themeColor="text1"/>
        </w:rPr>
        <w:sym w:font="Symbol" w:char="F061"/>
      </w:r>
      <w:r w:rsidR="007F2854" w:rsidRPr="00F533B4">
        <w:rPr>
          <w:color w:val="000000" w:themeColor="text1"/>
        </w:rPr>
        <w:t xml:space="preserve"> &lt; 0 indicates an antagonistic interaction; a </w:t>
      </w:r>
      <w:r w:rsidR="00DE4FCF" w:rsidRPr="00F533B4">
        <w:rPr>
          <w:color w:val="000000" w:themeColor="text1"/>
        </w:rPr>
        <w:t xml:space="preserve">95% </w:t>
      </w:r>
      <w:r w:rsidR="007F2854" w:rsidRPr="00F533B4">
        <w:rPr>
          <w:color w:val="000000" w:themeColor="text1"/>
        </w:rPr>
        <w:t>CI crossing 0 indicates no evidence of interaction</w:t>
      </w:r>
      <w:r w:rsidR="00772452">
        <w:rPr>
          <w:color w:val="000000" w:themeColor="text1"/>
        </w:rPr>
        <w:t xml:space="preserve"> </w:t>
      </w:r>
      <w:r w:rsidR="00AC2CF9">
        <w:rPr>
          <w:color w:val="000000" w:themeColor="text1"/>
        </w:rPr>
        <w:t>i.e. simple</w:t>
      </w:r>
      <w:r w:rsidR="00772452">
        <w:rPr>
          <w:color w:val="000000" w:themeColor="text1"/>
        </w:rPr>
        <w:t xml:space="preserve"> </w:t>
      </w:r>
      <w:r w:rsidR="00772452">
        <w:rPr>
          <w:color w:val="000000" w:themeColor="text1"/>
        </w:rPr>
        <w:lastRenderedPageBreak/>
        <w:t>additivity</w:t>
      </w:r>
      <w:r w:rsidR="00506DC8" w:rsidRPr="00F533B4">
        <w:rPr>
          <w:color w:val="000000" w:themeColor="text1"/>
        </w:rPr>
        <w:t xml:space="preserve"> </w:t>
      </w:r>
      <w:r w:rsidR="00506DC8" w:rsidRPr="00F533B4">
        <w:rPr>
          <w:color w:val="000000" w:themeColor="text1"/>
        </w:rPr>
        <w:fldChar w:fldCharType="begin" w:fldLock="1"/>
      </w:r>
      <w:r w:rsidR="00EC6CE2">
        <w:rPr>
          <w:color w:val="000000" w:themeColor="text1"/>
        </w:rPr>
        <w:instrText>ADDIN CSL_CITATION {"citationItems":[{"id":"ITEM-1","itemData":{"ISSN":"00316997","PMID":"7568331","author":[{"dropping-particle":"","family":"Greco","given":"W. R.","non-dropping-particle":"","parse-names":false,"suffix":""},{"dropping-particle":"","family":"Bravo","given":"G.","non-dropping-particle":"","parse-names":false,"suffix":""},{"dropping-particle":"","family":"Parsons","given":"J. C.","non-dropping-particle":"","parse-names":false,"suffix":""}],"container-title":"Pharmacological Reviews","id":"ITEM-1","issue":"2","issued":{"date-parts":[["1995"]]},"page":"331-385","publisher":"Pharmacol Rev","title":"The search for synergy: A critical review from a response surface perspective","type":"article","volume":"47"},"uris":["http://www.mendeley.com/documents/?uuid=09711f40-8780-378e-954e-5bd53fbfaac1"]}],"mendeley":{"formattedCitation":"(14)","plainTextFormattedCitation":"(14)","previouslyFormattedCitation":"(14)"},"properties":{"noteIndex":0},"schema":"https://github.com/citation-style-language/schema/raw/master/csl-citation.json"}</w:instrText>
      </w:r>
      <w:r w:rsidR="00506DC8" w:rsidRPr="00F533B4">
        <w:rPr>
          <w:color w:val="000000" w:themeColor="text1"/>
        </w:rPr>
        <w:fldChar w:fldCharType="separate"/>
      </w:r>
      <w:r w:rsidR="00EC6CE2" w:rsidRPr="00EC6CE2">
        <w:rPr>
          <w:noProof/>
          <w:color w:val="000000" w:themeColor="text1"/>
        </w:rPr>
        <w:t>(14)</w:t>
      </w:r>
      <w:r w:rsidR="00506DC8" w:rsidRPr="00F533B4">
        <w:rPr>
          <w:color w:val="000000" w:themeColor="text1"/>
        </w:rPr>
        <w:fldChar w:fldCharType="end"/>
      </w:r>
      <w:r w:rsidR="007F2854" w:rsidRPr="00F533B4">
        <w:rPr>
          <w:color w:val="000000" w:themeColor="text1"/>
        </w:rPr>
        <w:t>)</w:t>
      </w:r>
      <w:r w:rsidR="00772452">
        <w:rPr>
          <w:color w:val="000000" w:themeColor="text1"/>
        </w:rPr>
        <w:t>.</w:t>
      </w:r>
      <w:r w:rsidR="00506DC8" w:rsidRPr="00F533B4">
        <w:rPr>
          <w:color w:val="000000" w:themeColor="text1"/>
        </w:rPr>
        <w:t xml:space="preserve"> A total of 9/16 individual strains</w:t>
      </w:r>
      <w:r w:rsidR="007B383A">
        <w:rPr>
          <w:color w:val="000000" w:themeColor="text1"/>
        </w:rPr>
        <w:t xml:space="preserve"> had CIs &gt;0 (and therefore indicated</w:t>
      </w:r>
      <w:r w:rsidR="00AC2CF9">
        <w:rPr>
          <w:color w:val="000000" w:themeColor="text1"/>
        </w:rPr>
        <w:t xml:space="preserve"> synerg</w:t>
      </w:r>
      <w:r w:rsidR="007B383A">
        <w:rPr>
          <w:color w:val="000000" w:themeColor="text1"/>
        </w:rPr>
        <w:t>y)</w:t>
      </w:r>
      <w:r w:rsidR="00506DC8" w:rsidRPr="00F533B4">
        <w:rPr>
          <w:color w:val="000000" w:themeColor="text1"/>
        </w:rPr>
        <w:t>; the remaining 7/16 strains</w:t>
      </w:r>
      <w:r w:rsidR="007B383A">
        <w:rPr>
          <w:color w:val="000000" w:themeColor="text1"/>
        </w:rPr>
        <w:t xml:space="preserve"> had CIs crossing 0 (and therefore demonstrated no evidence of interaction)</w:t>
      </w:r>
      <w:r w:rsidR="004C5613" w:rsidRPr="00F533B4">
        <w:rPr>
          <w:color w:val="000000" w:themeColor="text1"/>
        </w:rPr>
        <w:t xml:space="preserve">. When the </w:t>
      </w:r>
      <w:r w:rsidR="002A69DB" w:rsidRPr="00F533B4">
        <w:rPr>
          <w:color w:val="000000" w:themeColor="text1"/>
        </w:rPr>
        <w:sym w:font="Symbol" w:char="F061"/>
      </w:r>
      <w:r w:rsidR="002A69DB">
        <w:rPr>
          <w:color w:val="000000" w:themeColor="text1"/>
        </w:rPr>
        <w:t xml:space="preserve"> value output of the </w:t>
      </w:r>
      <w:r w:rsidR="00DE4FCF" w:rsidRPr="00F533B4">
        <w:rPr>
          <w:color w:val="000000" w:themeColor="text1"/>
        </w:rPr>
        <w:t xml:space="preserve">models fitted to each </w:t>
      </w:r>
      <w:proofErr w:type="gramStart"/>
      <w:r w:rsidR="004C5613" w:rsidRPr="00F533B4">
        <w:rPr>
          <w:color w:val="000000" w:themeColor="text1"/>
        </w:rPr>
        <w:t>strains</w:t>
      </w:r>
      <w:proofErr w:type="gramEnd"/>
      <w:r w:rsidR="004C5613" w:rsidRPr="00F533B4">
        <w:rPr>
          <w:color w:val="000000" w:themeColor="text1"/>
        </w:rPr>
        <w:t xml:space="preserve"> </w:t>
      </w:r>
      <w:r w:rsidR="00DE4FCF" w:rsidRPr="00F533B4">
        <w:rPr>
          <w:color w:val="000000" w:themeColor="text1"/>
        </w:rPr>
        <w:t xml:space="preserve">were </w:t>
      </w:r>
      <w:r w:rsidR="004C5613" w:rsidRPr="00F533B4">
        <w:rPr>
          <w:color w:val="000000" w:themeColor="text1"/>
        </w:rPr>
        <w:t xml:space="preserve">combined in </w:t>
      </w:r>
      <w:r w:rsidR="00DE4FCF" w:rsidRPr="00F533B4">
        <w:rPr>
          <w:color w:val="000000" w:themeColor="text1"/>
        </w:rPr>
        <w:t xml:space="preserve">a </w:t>
      </w:r>
      <w:r w:rsidR="004C5613" w:rsidRPr="00F533B4">
        <w:rPr>
          <w:color w:val="000000" w:themeColor="text1"/>
        </w:rPr>
        <w:t xml:space="preserve">meta-analysis, </w:t>
      </w:r>
      <w:r w:rsidR="00395472" w:rsidRPr="00F533B4">
        <w:rPr>
          <w:color w:val="000000" w:themeColor="text1"/>
        </w:rPr>
        <w:t>t</w:t>
      </w:r>
      <w:r w:rsidR="004C5613" w:rsidRPr="00F533B4">
        <w:rPr>
          <w:color w:val="000000" w:themeColor="text1"/>
        </w:rPr>
        <w:t>he</w:t>
      </w:r>
      <w:r w:rsidR="002A69DB">
        <w:rPr>
          <w:color w:val="000000" w:themeColor="text1"/>
        </w:rPr>
        <w:t xml:space="preserve"> combined</w:t>
      </w:r>
      <w:r w:rsidR="0091745D" w:rsidRPr="00F533B4">
        <w:rPr>
          <w:color w:val="000000" w:themeColor="text1"/>
        </w:rPr>
        <w:t xml:space="preserve"> </w:t>
      </w:r>
      <w:r w:rsidR="00395472" w:rsidRPr="00F533B4">
        <w:rPr>
          <w:color w:val="000000" w:themeColor="text1"/>
        </w:rPr>
        <w:sym w:font="Symbol" w:char="F061"/>
      </w:r>
      <w:r w:rsidR="00395472" w:rsidRPr="00F533B4">
        <w:rPr>
          <w:color w:val="000000" w:themeColor="text1"/>
        </w:rPr>
        <w:t xml:space="preserve"> interaction value </w:t>
      </w:r>
      <w:r w:rsidR="00DD1E32" w:rsidRPr="00F533B4">
        <w:rPr>
          <w:color w:val="000000" w:themeColor="text1"/>
        </w:rPr>
        <w:t xml:space="preserve">was </w:t>
      </w:r>
      <w:r w:rsidR="00395472" w:rsidRPr="00F533B4">
        <w:rPr>
          <w:color w:val="000000" w:themeColor="text1"/>
        </w:rPr>
        <w:t>0.1705 (</w:t>
      </w:r>
      <w:r w:rsidR="00DE4FCF" w:rsidRPr="00F533B4">
        <w:rPr>
          <w:color w:val="000000" w:themeColor="text1"/>
        </w:rPr>
        <w:t xml:space="preserve">95% CI </w:t>
      </w:r>
      <w:r w:rsidR="00395472" w:rsidRPr="00F533B4">
        <w:rPr>
          <w:color w:val="000000" w:themeColor="text1"/>
        </w:rPr>
        <w:t>0.0811</w:t>
      </w:r>
      <w:r w:rsidR="00DE4FCF" w:rsidRPr="00F533B4">
        <w:rPr>
          <w:color w:val="000000" w:themeColor="text1"/>
        </w:rPr>
        <w:t xml:space="preserve"> to 0</w:t>
      </w:r>
      <w:r w:rsidR="00395472" w:rsidRPr="00F533B4">
        <w:rPr>
          <w:color w:val="000000" w:themeColor="text1"/>
        </w:rPr>
        <w:t>.2599)</w:t>
      </w:r>
      <w:r w:rsidR="004C5613" w:rsidRPr="00F533B4">
        <w:rPr>
          <w:color w:val="000000" w:themeColor="text1"/>
        </w:rPr>
        <w:t>, with low int</w:t>
      </w:r>
      <w:r w:rsidR="007F2854" w:rsidRPr="00F533B4">
        <w:rPr>
          <w:color w:val="000000" w:themeColor="text1"/>
        </w:rPr>
        <w:t>er</w:t>
      </w:r>
      <w:r w:rsidR="004C5613" w:rsidRPr="00F533B4">
        <w:rPr>
          <w:color w:val="000000" w:themeColor="text1"/>
        </w:rPr>
        <w:t>-strain heterogeneity</w:t>
      </w:r>
      <w:r w:rsidR="001926BB">
        <w:rPr>
          <w:color w:val="000000" w:themeColor="text1"/>
        </w:rPr>
        <w:t xml:space="preserve"> (</w:t>
      </w:r>
      <w:r w:rsidR="001926BB">
        <w:rPr>
          <w:i/>
          <w:iCs/>
          <w:color w:val="000000" w:themeColor="text1"/>
        </w:rPr>
        <w:t>I</w:t>
      </w:r>
      <w:r w:rsidR="001926BB">
        <w:rPr>
          <w:i/>
          <w:iCs/>
          <w:color w:val="000000" w:themeColor="text1"/>
          <w:vertAlign w:val="superscript"/>
        </w:rPr>
        <w:t>2</w:t>
      </w:r>
      <w:r w:rsidR="001926BB">
        <w:rPr>
          <w:color w:val="000000" w:themeColor="text1"/>
        </w:rPr>
        <w:t xml:space="preserve"> = 30.7%</w:t>
      </w:r>
      <w:r w:rsidR="0061683A">
        <w:rPr>
          <w:color w:val="000000" w:themeColor="text1"/>
        </w:rPr>
        <w:t>, p value = 0.383</w:t>
      </w:r>
      <w:r w:rsidR="001926BB">
        <w:rPr>
          <w:color w:val="000000" w:themeColor="text1"/>
        </w:rPr>
        <w:t>)</w:t>
      </w:r>
      <w:r w:rsidR="004C5613" w:rsidRPr="00F533B4">
        <w:rPr>
          <w:color w:val="000000" w:themeColor="text1"/>
        </w:rPr>
        <w:t xml:space="preserve"> indicating </w:t>
      </w:r>
      <w:r w:rsidR="007D63DF" w:rsidRPr="00F533B4">
        <w:rPr>
          <w:color w:val="000000" w:themeColor="text1"/>
        </w:rPr>
        <w:t>a</w:t>
      </w:r>
      <w:r w:rsidR="00DE4FCF" w:rsidRPr="00F533B4">
        <w:rPr>
          <w:color w:val="000000" w:themeColor="text1"/>
        </w:rPr>
        <w:t xml:space="preserve"> synergistic </w:t>
      </w:r>
      <w:r w:rsidR="004C5613" w:rsidRPr="00F533B4">
        <w:rPr>
          <w:color w:val="000000" w:themeColor="text1"/>
        </w:rPr>
        <w:t xml:space="preserve">effect </w:t>
      </w:r>
      <w:r w:rsidR="002A69DB">
        <w:rPr>
          <w:color w:val="000000" w:themeColor="text1"/>
        </w:rPr>
        <w:t>observed across all species</w:t>
      </w:r>
      <w:r w:rsidR="0061683A">
        <w:rPr>
          <w:color w:val="000000" w:themeColor="text1"/>
        </w:rPr>
        <w:t>/strains tested</w:t>
      </w:r>
      <w:r w:rsidR="002A69DB">
        <w:rPr>
          <w:color w:val="000000" w:themeColor="text1"/>
        </w:rPr>
        <w:t>.</w:t>
      </w:r>
    </w:p>
    <w:p w14:paraId="2F2155EE" w14:textId="77777777" w:rsidR="00E72EBF" w:rsidRDefault="00E72EBF" w:rsidP="00501CB2">
      <w:pPr>
        <w:spacing w:before="120" w:line="480" w:lineRule="auto"/>
        <w:rPr>
          <w:b/>
          <w:color w:val="000000" w:themeColor="text1"/>
        </w:rPr>
      </w:pPr>
    </w:p>
    <w:p w14:paraId="6E9BAA90" w14:textId="2F1C66E4" w:rsidR="00105FB0" w:rsidRPr="00F533B4" w:rsidRDefault="004C5613" w:rsidP="00501CB2">
      <w:pPr>
        <w:spacing w:before="120" w:line="480" w:lineRule="auto"/>
        <w:rPr>
          <w:b/>
          <w:color w:val="000000" w:themeColor="text1"/>
        </w:rPr>
      </w:pPr>
      <w:r w:rsidRPr="00F533B4">
        <w:rPr>
          <w:b/>
          <w:color w:val="000000" w:themeColor="text1"/>
        </w:rPr>
        <w:t>Pharmacodynamic interaction of fosfomycin and amikacin using neonatal PK</w:t>
      </w:r>
    </w:p>
    <w:p w14:paraId="631921C3" w14:textId="2AE7FCD9" w:rsidR="00B17027" w:rsidRPr="00F533B4" w:rsidRDefault="007F2854" w:rsidP="00501CB2">
      <w:pPr>
        <w:spacing w:before="120" w:line="480" w:lineRule="auto"/>
        <w:rPr>
          <w:color w:val="000000" w:themeColor="text1"/>
        </w:rPr>
      </w:pPr>
      <w:r w:rsidRPr="00F533B4">
        <w:rPr>
          <w:color w:val="000000" w:themeColor="text1"/>
        </w:rPr>
        <w:t xml:space="preserve">To determine the </w:t>
      </w:r>
      <w:r w:rsidR="00DE4FCF" w:rsidRPr="00F533B4">
        <w:rPr>
          <w:color w:val="000000" w:themeColor="text1"/>
        </w:rPr>
        <w:t xml:space="preserve">nature and magnitude </w:t>
      </w:r>
      <w:r w:rsidRPr="00F533B4">
        <w:rPr>
          <w:color w:val="000000" w:themeColor="text1"/>
        </w:rPr>
        <w:t xml:space="preserve">of </w:t>
      </w:r>
      <w:r w:rsidR="00DE4FCF" w:rsidRPr="00F533B4">
        <w:rPr>
          <w:color w:val="000000" w:themeColor="text1"/>
        </w:rPr>
        <w:t>the pharm</w:t>
      </w:r>
      <w:r w:rsidR="00ED19F1">
        <w:rPr>
          <w:color w:val="000000" w:themeColor="text1"/>
        </w:rPr>
        <w:t>a</w:t>
      </w:r>
      <w:r w:rsidR="00DE4FCF" w:rsidRPr="00F533B4">
        <w:rPr>
          <w:color w:val="000000" w:themeColor="text1"/>
        </w:rPr>
        <w:t>cody</w:t>
      </w:r>
      <w:r w:rsidR="00506DC8" w:rsidRPr="00F533B4">
        <w:rPr>
          <w:color w:val="000000" w:themeColor="text1"/>
        </w:rPr>
        <w:t>na</w:t>
      </w:r>
      <w:r w:rsidR="00DE4FCF" w:rsidRPr="00F533B4">
        <w:rPr>
          <w:color w:val="000000" w:themeColor="text1"/>
        </w:rPr>
        <w:t xml:space="preserve">mic </w:t>
      </w:r>
      <w:r w:rsidRPr="00F533B4">
        <w:rPr>
          <w:color w:val="000000" w:themeColor="text1"/>
        </w:rPr>
        <w:t xml:space="preserve">interaction between </w:t>
      </w:r>
      <w:r w:rsidR="00DE4FCF" w:rsidRPr="00F533B4">
        <w:rPr>
          <w:color w:val="000000" w:themeColor="text1"/>
        </w:rPr>
        <w:t>fosfomycin and amikacin</w:t>
      </w:r>
      <w:r w:rsidRPr="00F533B4">
        <w:rPr>
          <w:color w:val="000000" w:themeColor="text1"/>
        </w:rPr>
        <w:t xml:space="preserve"> </w:t>
      </w:r>
      <w:r w:rsidR="00DE4FCF" w:rsidRPr="00F533B4">
        <w:rPr>
          <w:color w:val="000000" w:themeColor="text1"/>
        </w:rPr>
        <w:t xml:space="preserve">using </w:t>
      </w:r>
      <w:r w:rsidR="00772452">
        <w:rPr>
          <w:color w:val="000000" w:themeColor="text1"/>
        </w:rPr>
        <w:t>neonatal</w:t>
      </w:r>
      <w:r w:rsidR="00DE4FCF" w:rsidRPr="00F533B4">
        <w:rPr>
          <w:color w:val="000000" w:themeColor="text1"/>
        </w:rPr>
        <w:t xml:space="preserve"> concentration-time profiles</w:t>
      </w:r>
      <w:r w:rsidRPr="00F533B4">
        <w:rPr>
          <w:color w:val="000000" w:themeColor="text1"/>
        </w:rPr>
        <w:t xml:space="preserve">, a </w:t>
      </w:r>
      <w:r w:rsidR="00DE4FCF" w:rsidRPr="00F533B4">
        <w:rPr>
          <w:color w:val="000000" w:themeColor="text1"/>
        </w:rPr>
        <w:t>h</w:t>
      </w:r>
      <w:r w:rsidR="00F80174" w:rsidRPr="00F533B4">
        <w:rPr>
          <w:color w:val="000000" w:themeColor="text1"/>
        </w:rPr>
        <w:t xml:space="preserve">ollow </w:t>
      </w:r>
      <w:proofErr w:type="spellStart"/>
      <w:r w:rsidR="00DE4FCF" w:rsidRPr="00F533B4">
        <w:rPr>
          <w:color w:val="000000" w:themeColor="text1"/>
        </w:rPr>
        <w:t>f</w:t>
      </w:r>
      <w:r w:rsidR="00F80174" w:rsidRPr="00F533B4">
        <w:rPr>
          <w:color w:val="000000" w:themeColor="text1"/>
        </w:rPr>
        <w:t>iber</w:t>
      </w:r>
      <w:proofErr w:type="spellEnd"/>
      <w:r w:rsidR="00F80174" w:rsidRPr="00F533B4">
        <w:rPr>
          <w:color w:val="000000" w:themeColor="text1"/>
        </w:rPr>
        <w:t xml:space="preserve"> </w:t>
      </w:r>
      <w:r w:rsidR="00DE4FCF" w:rsidRPr="00F533B4">
        <w:rPr>
          <w:color w:val="000000" w:themeColor="text1"/>
        </w:rPr>
        <w:t>i</w:t>
      </w:r>
      <w:r w:rsidR="00F80174" w:rsidRPr="00F533B4">
        <w:rPr>
          <w:color w:val="000000" w:themeColor="text1"/>
        </w:rPr>
        <w:t xml:space="preserve">nfection </w:t>
      </w:r>
      <w:r w:rsidR="00DE4FCF" w:rsidRPr="00F533B4">
        <w:rPr>
          <w:color w:val="000000" w:themeColor="text1"/>
        </w:rPr>
        <w:t>m</w:t>
      </w:r>
      <w:r w:rsidR="00F80174" w:rsidRPr="00F533B4">
        <w:rPr>
          <w:color w:val="000000" w:themeColor="text1"/>
        </w:rPr>
        <w:t>odel (</w:t>
      </w:r>
      <w:r w:rsidRPr="00F533B4">
        <w:rPr>
          <w:color w:val="000000" w:themeColor="text1"/>
        </w:rPr>
        <w:t>HFIM</w:t>
      </w:r>
      <w:r w:rsidR="00F80174" w:rsidRPr="00F533B4">
        <w:rPr>
          <w:color w:val="000000" w:themeColor="text1"/>
        </w:rPr>
        <w:t>)</w:t>
      </w:r>
      <w:r w:rsidRPr="00F533B4">
        <w:rPr>
          <w:color w:val="000000" w:themeColor="text1"/>
        </w:rPr>
        <w:t xml:space="preserve"> </w:t>
      </w:r>
      <w:r w:rsidR="00DE4FCF" w:rsidRPr="00F533B4">
        <w:rPr>
          <w:color w:val="000000" w:themeColor="text1"/>
        </w:rPr>
        <w:t xml:space="preserve">was used </w:t>
      </w:r>
      <w:r w:rsidR="00F80174" w:rsidRPr="00F533B4">
        <w:rPr>
          <w:color w:val="000000" w:themeColor="text1"/>
        </w:rPr>
        <w:t xml:space="preserve">(Fig. </w:t>
      </w:r>
      <w:r w:rsidR="004C3EF5">
        <w:rPr>
          <w:color w:val="000000" w:themeColor="text1"/>
        </w:rPr>
        <w:t>S1</w:t>
      </w:r>
      <w:r w:rsidR="00F80174" w:rsidRPr="00F533B4">
        <w:rPr>
          <w:color w:val="000000" w:themeColor="text1"/>
        </w:rPr>
        <w:t>)</w:t>
      </w:r>
      <w:r w:rsidR="00ED19F1">
        <w:rPr>
          <w:color w:val="000000" w:themeColor="text1"/>
        </w:rPr>
        <w:t xml:space="preserve"> using </w:t>
      </w:r>
      <w:r w:rsidR="00A661E1">
        <w:rPr>
          <w:color w:val="000000" w:themeColor="text1"/>
        </w:rPr>
        <w:t>the</w:t>
      </w:r>
      <w:r w:rsidR="00ED19F1">
        <w:rPr>
          <w:color w:val="000000" w:themeColor="text1"/>
        </w:rPr>
        <w:t xml:space="preserve"> </w:t>
      </w:r>
      <w:r w:rsidR="00ED19F1">
        <w:rPr>
          <w:i/>
          <w:iCs/>
          <w:color w:val="000000" w:themeColor="text1"/>
        </w:rPr>
        <w:t xml:space="preserve">E coli </w:t>
      </w:r>
      <w:r w:rsidR="00E83D20" w:rsidRPr="00E83D20">
        <w:rPr>
          <w:color w:val="000000" w:themeColor="text1"/>
        </w:rPr>
        <w:t>ST195</w:t>
      </w:r>
      <w:r w:rsidR="00E83D20">
        <w:rPr>
          <w:i/>
          <w:iCs/>
          <w:color w:val="000000" w:themeColor="text1"/>
        </w:rPr>
        <w:t xml:space="preserve"> </w:t>
      </w:r>
      <w:r w:rsidR="00ED19F1">
        <w:rPr>
          <w:color w:val="000000" w:themeColor="text1"/>
        </w:rPr>
        <w:t>strain</w:t>
      </w:r>
      <w:r w:rsidR="00122497">
        <w:rPr>
          <w:color w:val="000000" w:themeColor="text1"/>
        </w:rPr>
        <w:t>,</w:t>
      </w:r>
      <w:r w:rsidR="00ED19F1">
        <w:rPr>
          <w:color w:val="000000" w:themeColor="text1"/>
        </w:rPr>
        <w:t xml:space="preserve"> </w:t>
      </w:r>
      <w:r w:rsidR="00122497">
        <w:rPr>
          <w:color w:val="000000" w:themeColor="text1"/>
        </w:rPr>
        <w:t xml:space="preserve">a </w:t>
      </w:r>
      <w:r w:rsidR="00ED19F1">
        <w:rPr>
          <w:color w:val="000000" w:themeColor="text1"/>
        </w:rPr>
        <w:t>CTX-M-14 produc</w:t>
      </w:r>
      <w:r w:rsidR="00122497">
        <w:rPr>
          <w:color w:val="000000" w:themeColor="text1"/>
        </w:rPr>
        <w:t xml:space="preserve">er </w:t>
      </w:r>
      <w:r w:rsidR="00A661E1">
        <w:rPr>
          <w:color w:val="000000" w:themeColor="text1"/>
        </w:rPr>
        <w:t>from Laos</w:t>
      </w:r>
      <w:r w:rsidR="00ED19F1">
        <w:rPr>
          <w:color w:val="000000" w:themeColor="text1"/>
        </w:rPr>
        <w:t xml:space="preserve"> </w:t>
      </w:r>
      <w:r w:rsidR="00122497">
        <w:rPr>
          <w:color w:val="000000" w:themeColor="text1"/>
        </w:rPr>
        <w:t>(</w:t>
      </w:r>
      <w:r w:rsidR="00ED19F1">
        <w:rPr>
          <w:color w:val="000000" w:themeColor="text1"/>
        </w:rPr>
        <w:t>amikacin MIC 4 mg/L</w:t>
      </w:r>
      <w:r w:rsidR="00A661E1">
        <w:rPr>
          <w:color w:val="000000" w:themeColor="text1"/>
        </w:rPr>
        <w:t>;</w:t>
      </w:r>
      <w:r w:rsidR="00ED19F1">
        <w:rPr>
          <w:color w:val="000000" w:themeColor="text1"/>
        </w:rPr>
        <w:t xml:space="preserve"> fosfomycin MIC 1 mg/L)</w:t>
      </w:r>
      <w:r w:rsidR="00167B68">
        <w:rPr>
          <w:color w:val="000000" w:themeColor="text1"/>
        </w:rPr>
        <w:t xml:space="preserve"> </w:t>
      </w:r>
      <w:r w:rsidR="00167B68">
        <w:rPr>
          <w:color w:val="000000" w:themeColor="text1"/>
        </w:rPr>
        <w:fldChar w:fldCharType="begin" w:fldLock="1"/>
      </w:r>
      <w:r w:rsidR="005578B0">
        <w:rPr>
          <w:color w:val="000000" w:themeColor="text1"/>
        </w:rPr>
        <w:instrText>ADDIN CSL_CITATION {"citationItems":[{"id":"ITEM-1","itemData":{"DOI":"10.1101/827915","abstract":"Background Antimicrobial resistance (AMR) is highly prevalent in low- and middle-income countries (LMIC). International travel contributes substantially to the global spread of intestinal multidrug-resistant gram-negative (MDR-GN) bacteria. Of the 100 million annual visitors to LMIC, 30-70% become colonized by MDR-GN bacteria. The phenomenon has been well documented, but since sampling has only been conducted after travelers' return home, data on the actual colonization process are scarce. We aimed to characterize colonization dynamics by exploring stool samples abroad on a daily basis while visiting LMIC. Methods A group of 20 European volunteers visiting Lao People's Democratic Republic for three weeks provided daily stool samples and filled in daily questionnaires. Acquisition of extended-spectrum beta-lactamase-producing gram-negative bacteria (ESBL-GN) was examined by selective stool cultures followed by whole-genome sequencing (WGS) of isolates. Results While colonization rates were 70% at the end of the study, daily sampling revealed that all participants had acquired ESBL-GN at some time point during their overseas stay, the colonization status varying day by day. WGS analysis ascribed the transient pattern of colonization to sequential acquisition of new strains, resulting in a loss of detectable colonization by the initial MDR-GN strains. All but one participant acquired multiple strains (n=2-7). Of the total of 83 unique strains identified (53 E. coli, 10 Klebsiella, 20 other ESBL-GN species), some were shared by as many as four subjects. Conclusions This is the first study to characterize in real time the dynamics of acquiring MDR-GN during travel. Our data show multiple transient colonization events indicative of constant microbial competition.","author":[{"dropping-particle":"","family":"Anu","given":"Kantele","non-dropping-particle":"","parse-names":false,"suffix":""},{"dropping-particle":"","family":"Esther","given":"Kuenzli","non-dropping-particle":"","parse-names":false,"suffix":""},{"dropping-particle":"","family":"Dunn Steven","given":"J.","non-dropping-particle":"","parse-names":false,"suffix":""},{"dropping-particle":"","family":"Dance David","given":"A. B.","non-dropping-particle":"","parse-names":false,"suffix":""},{"dropping-particle":"","family":"Newton Paul","given":"N.","non-dropping-particle":"","parse-names":false,"suffix":""},{"dropping-particle":"","family":"Davong","given":"V.","non-dropping-particle":"","parse-names":false,"suffix":""},{"dropping-particle":"","family":"Sointu","given":"Mero","non-dropping-particle":"","parse-names":false,"suffix":""},{"dropping-particle":"","family":"Pakkanen Sari","given":"H.","non-dropping-particle":"","parse-names":false,"suffix":""},{"dropping-particle":"","family":"Andreas","given":"Neumayr","non-dropping-particle":"","parse-names":false,"suffix":""},{"dropping-particle":"","family":"Cristoph","given":"Hatz","non-dropping-particle":"","parse-names":false,"suffix":""},{"dropping-particle":"","family":"Ann","given":"Snaith","non-dropping-particle":"","parse-names":false,"suffix":""},{"dropping-particle":"","family":"Teemu","given":"Kallonen","non-dropping-particle":"","parse-names":false,"suffix":""},{"dropping-particle":"","family":"Jukka","given":"Corander","non-dropping-particle":"","parse-names":false,"suffix":""},{"dropping-particle":"","family":"Alan","given":"McNally","non-dropping-particle":"","parse-names":false,"suffix":""}],"container-title":"bioRxiv","id":"ITEM-1","issued":{"date-parts":[["2019","11","7"]]},"page":"827915","publisher":"bioRxiv","title":"Real-time sampling of travelers shows intestinal colonization by multidrug-resistant bacteria to be a dynamic process with multiple transient acquisitions","type":"article"},"uris":["http://www.mendeley.com/documents/?uuid=f0d28faf-e5db-3cfe-8f83-0372b555ed92"]}],"mendeley":{"formattedCitation":"(19)","plainTextFormattedCitation":"(19)","previouslyFormattedCitation":"(19)"},"properties":{"noteIndex":0},"schema":"https://github.com/citation-style-language/schema/raw/master/csl-citation.json"}</w:instrText>
      </w:r>
      <w:r w:rsidR="00167B68">
        <w:rPr>
          <w:color w:val="000000" w:themeColor="text1"/>
        </w:rPr>
        <w:fldChar w:fldCharType="separate"/>
      </w:r>
      <w:r w:rsidR="005578B0" w:rsidRPr="005578B0">
        <w:rPr>
          <w:noProof/>
          <w:color w:val="000000" w:themeColor="text1"/>
        </w:rPr>
        <w:t>(19)</w:t>
      </w:r>
      <w:r w:rsidR="00167B68">
        <w:rPr>
          <w:color w:val="000000" w:themeColor="text1"/>
        </w:rPr>
        <w:fldChar w:fldCharType="end"/>
      </w:r>
      <w:r w:rsidR="00167B68">
        <w:rPr>
          <w:color w:val="000000" w:themeColor="text1"/>
        </w:rPr>
        <w:t xml:space="preserve"> </w:t>
      </w:r>
      <w:r w:rsidR="00DE4FCF" w:rsidRPr="00F533B4">
        <w:rPr>
          <w:color w:val="000000" w:themeColor="text1"/>
        </w:rPr>
        <w:t xml:space="preserve">. These </w:t>
      </w:r>
      <w:r w:rsidR="00744038" w:rsidRPr="00F533B4">
        <w:rPr>
          <w:color w:val="000000" w:themeColor="text1"/>
        </w:rPr>
        <w:t>experiments</w:t>
      </w:r>
      <w:r w:rsidR="00DE4FCF" w:rsidRPr="00F533B4">
        <w:rPr>
          <w:color w:val="000000" w:themeColor="text1"/>
        </w:rPr>
        <w:t xml:space="preserve"> were conducted </w:t>
      </w:r>
      <w:r w:rsidR="00744038" w:rsidRPr="00F533B4">
        <w:rPr>
          <w:color w:val="000000" w:themeColor="text1"/>
        </w:rPr>
        <w:t>following preliminary</w:t>
      </w:r>
      <w:r w:rsidR="00DE4FCF" w:rsidRPr="00F533B4">
        <w:rPr>
          <w:color w:val="000000" w:themeColor="text1"/>
        </w:rPr>
        <w:t xml:space="preserve"> </w:t>
      </w:r>
      <w:r w:rsidR="00744038" w:rsidRPr="00F533B4">
        <w:rPr>
          <w:color w:val="000000" w:themeColor="text1"/>
        </w:rPr>
        <w:t>dose-finding</w:t>
      </w:r>
      <w:r w:rsidR="00DE4FCF" w:rsidRPr="00F533B4">
        <w:rPr>
          <w:color w:val="000000" w:themeColor="text1"/>
        </w:rPr>
        <w:t xml:space="preserve"> experiments </w:t>
      </w:r>
      <w:r w:rsidR="00744038" w:rsidRPr="00F533B4">
        <w:rPr>
          <w:color w:val="000000" w:themeColor="text1"/>
        </w:rPr>
        <w:t xml:space="preserve">with each drug alone </w:t>
      </w:r>
      <w:r w:rsidR="00DE4FCF" w:rsidRPr="00F533B4">
        <w:rPr>
          <w:color w:val="000000" w:themeColor="text1"/>
        </w:rPr>
        <w:t>to define informative parts of the drug exposure</w:t>
      </w:r>
      <w:r w:rsidR="00506DC8" w:rsidRPr="00F533B4">
        <w:rPr>
          <w:color w:val="000000" w:themeColor="text1"/>
        </w:rPr>
        <w:t>-</w:t>
      </w:r>
      <w:r w:rsidR="00DE4FCF" w:rsidRPr="00F533B4">
        <w:rPr>
          <w:color w:val="000000" w:themeColor="text1"/>
        </w:rPr>
        <w:t>response and drug exp</w:t>
      </w:r>
      <w:r w:rsidR="00506DC8" w:rsidRPr="00F533B4">
        <w:rPr>
          <w:color w:val="000000" w:themeColor="text1"/>
        </w:rPr>
        <w:t>o</w:t>
      </w:r>
      <w:r w:rsidR="00DE4FCF" w:rsidRPr="00F533B4">
        <w:rPr>
          <w:color w:val="000000" w:themeColor="text1"/>
        </w:rPr>
        <w:t>s</w:t>
      </w:r>
      <w:r w:rsidR="00506DC8" w:rsidRPr="00F533B4">
        <w:rPr>
          <w:color w:val="000000" w:themeColor="text1"/>
        </w:rPr>
        <w:t>u</w:t>
      </w:r>
      <w:r w:rsidR="00DE4FCF" w:rsidRPr="00F533B4">
        <w:rPr>
          <w:color w:val="000000" w:themeColor="text1"/>
        </w:rPr>
        <w:t>re</w:t>
      </w:r>
      <w:r w:rsidR="00506DC8" w:rsidRPr="00F533B4">
        <w:rPr>
          <w:color w:val="000000" w:themeColor="text1"/>
        </w:rPr>
        <w:t>-emergence of resistance</w:t>
      </w:r>
      <w:r w:rsidR="00DE4FCF" w:rsidRPr="00F533B4">
        <w:rPr>
          <w:color w:val="000000" w:themeColor="text1"/>
        </w:rPr>
        <w:t xml:space="preserve"> relationships.</w:t>
      </w:r>
      <w:r w:rsidRPr="00F533B4">
        <w:rPr>
          <w:color w:val="000000" w:themeColor="text1"/>
        </w:rPr>
        <w:t xml:space="preserve"> </w:t>
      </w:r>
      <w:r w:rsidR="00BB4220" w:rsidRPr="00F533B4">
        <w:rPr>
          <w:color w:val="000000" w:themeColor="text1"/>
        </w:rPr>
        <w:t>For fosfomycin, the E</w:t>
      </w:r>
      <w:r w:rsidR="00AC2CF9">
        <w:rPr>
          <w:color w:val="000000" w:themeColor="text1"/>
        </w:rPr>
        <w:t>C</w:t>
      </w:r>
      <w:r w:rsidR="00BB4220" w:rsidRPr="009C1C11">
        <w:rPr>
          <w:color w:val="000000" w:themeColor="text1"/>
          <w:vertAlign w:val="subscript"/>
        </w:rPr>
        <w:t>20</w:t>
      </w:r>
      <w:r w:rsidR="00BB4220" w:rsidRPr="00F533B4">
        <w:rPr>
          <w:color w:val="000000" w:themeColor="text1"/>
        </w:rPr>
        <w:t>, E</w:t>
      </w:r>
      <w:r w:rsidR="00AC2CF9">
        <w:rPr>
          <w:color w:val="000000" w:themeColor="text1"/>
        </w:rPr>
        <w:t>C</w:t>
      </w:r>
      <w:r w:rsidR="00BB4220" w:rsidRPr="009C1C11">
        <w:rPr>
          <w:color w:val="000000" w:themeColor="text1"/>
          <w:vertAlign w:val="subscript"/>
        </w:rPr>
        <w:t>50</w:t>
      </w:r>
      <w:r w:rsidR="00BB4220" w:rsidRPr="00F533B4">
        <w:rPr>
          <w:color w:val="000000" w:themeColor="text1"/>
        </w:rPr>
        <w:t>,</w:t>
      </w:r>
      <w:r w:rsidR="00AC2CF9">
        <w:rPr>
          <w:color w:val="000000" w:themeColor="text1"/>
        </w:rPr>
        <w:t xml:space="preserve"> and</w:t>
      </w:r>
      <w:r w:rsidR="00BB4220" w:rsidRPr="00F533B4">
        <w:rPr>
          <w:color w:val="000000" w:themeColor="text1"/>
        </w:rPr>
        <w:t xml:space="preserve"> E</w:t>
      </w:r>
      <w:r w:rsidR="00AC2CF9">
        <w:rPr>
          <w:color w:val="000000" w:themeColor="text1"/>
        </w:rPr>
        <w:t>C</w:t>
      </w:r>
      <w:r w:rsidR="00BB4220" w:rsidRPr="009C1C11">
        <w:rPr>
          <w:color w:val="000000" w:themeColor="text1"/>
          <w:vertAlign w:val="subscript"/>
        </w:rPr>
        <w:t>80</w:t>
      </w:r>
      <w:r w:rsidR="00BB4220" w:rsidRPr="00F533B4">
        <w:rPr>
          <w:color w:val="000000" w:themeColor="text1"/>
        </w:rPr>
        <w:t xml:space="preserve"> for bactericidal effect were </w:t>
      </w:r>
      <w:r w:rsidR="00BB4220">
        <w:rPr>
          <w:color w:val="000000" w:themeColor="text1"/>
        </w:rPr>
        <w:t>achieved with</w:t>
      </w:r>
      <w:r w:rsidR="00BB4220" w:rsidRPr="00F533B4">
        <w:rPr>
          <w:color w:val="000000" w:themeColor="text1"/>
        </w:rPr>
        <w:t xml:space="preserve"> </w:t>
      </w:r>
      <w:r w:rsidR="007569B5" w:rsidRPr="00236244">
        <w:rPr>
          <w:i/>
          <w:iCs/>
          <w:color w:val="000000" w:themeColor="text1"/>
        </w:rPr>
        <w:t>f</w:t>
      </w:r>
      <w:r w:rsidR="00BB4220" w:rsidRPr="00F533B4">
        <w:rPr>
          <w:color w:val="000000" w:themeColor="text1"/>
        </w:rPr>
        <w:t>AUC</w:t>
      </w:r>
      <w:r w:rsidR="00BB4220" w:rsidRPr="009C1C11">
        <w:rPr>
          <w:color w:val="000000" w:themeColor="text1"/>
          <w:vertAlign w:val="subscript"/>
        </w:rPr>
        <w:t>0-24</w:t>
      </w:r>
      <w:r w:rsidR="00BB4220" w:rsidRPr="00F533B4">
        <w:rPr>
          <w:color w:val="000000" w:themeColor="text1"/>
        </w:rPr>
        <w:t xml:space="preserve"> of 25, 200 and 400 mg</w:t>
      </w:r>
      <w:r w:rsidR="00BB4220">
        <w:rPr>
          <w:color w:val="000000" w:themeColor="text1"/>
        </w:rPr>
        <w:t>*h</w:t>
      </w:r>
      <w:r w:rsidR="00BB4220" w:rsidRPr="00F533B4">
        <w:rPr>
          <w:color w:val="000000" w:themeColor="text1"/>
        </w:rPr>
        <w:t>/L</w:t>
      </w:r>
      <w:r w:rsidR="00BB4220">
        <w:rPr>
          <w:color w:val="000000" w:themeColor="text1"/>
        </w:rPr>
        <w:t>, respectively</w:t>
      </w:r>
      <w:r w:rsidR="00BB4220" w:rsidRPr="00F533B4">
        <w:rPr>
          <w:color w:val="000000" w:themeColor="text1"/>
        </w:rPr>
        <w:t xml:space="preserve">. </w:t>
      </w:r>
      <w:r w:rsidR="00744038" w:rsidRPr="00F533B4">
        <w:rPr>
          <w:color w:val="000000" w:themeColor="text1"/>
        </w:rPr>
        <w:t>For amikacin</w:t>
      </w:r>
      <w:r w:rsidR="00772452">
        <w:rPr>
          <w:color w:val="000000" w:themeColor="text1"/>
        </w:rPr>
        <w:t>,</w:t>
      </w:r>
      <w:r w:rsidR="00506DC8" w:rsidRPr="00F533B4">
        <w:rPr>
          <w:color w:val="000000" w:themeColor="text1"/>
        </w:rPr>
        <w:t xml:space="preserve"> the EC</w:t>
      </w:r>
      <w:r w:rsidR="00506DC8" w:rsidRPr="009C1C11">
        <w:rPr>
          <w:color w:val="000000" w:themeColor="text1"/>
          <w:vertAlign w:val="subscript"/>
        </w:rPr>
        <w:t>20</w:t>
      </w:r>
      <w:r w:rsidR="00506DC8" w:rsidRPr="00F533B4">
        <w:rPr>
          <w:color w:val="000000" w:themeColor="text1"/>
        </w:rPr>
        <w:t>, EC</w:t>
      </w:r>
      <w:r w:rsidR="00506DC8" w:rsidRPr="009C1C11">
        <w:rPr>
          <w:color w:val="000000" w:themeColor="text1"/>
          <w:vertAlign w:val="subscript"/>
        </w:rPr>
        <w:t>50</w:t>
      </w:r>
      <w:r w:rsidR="00506DC8" w:rsidRPr="00F533B4">
        <w:rPr>
          <w:color w:val="000000" w:themeColor="text1"/>
        </w:rPr>
        <w:t>, and EC</w:t>
      </w:r>
      <w:r w:rsidR="00506DC8" w:rsidRPr="009C1C11">
        <w:rPr>
          <w:color w:val="000000" w:themeColor="text1"/>
          <w:vertAlign w:val="subscript"/>
        </w:rPr>
        <w:t>80</w:t>
      </w:r>
      <w:r w:rsidR="00506DC8" w:rsidRPr="00F533B4">
        <w:rPr>
          <w:color w:val="000000" w:themeColor="text1"/>
        </w:rPr>
        <w:t xml:space="preserve"> were </w:t>
      </w:r>
      <w:r w:rsidR="00772452">
        <w:rPr>
          <w:color w:val="000000" w:themeColor="text1"/>
        </w:rPr>
        <w:t>achieved with</w:t>
      </w:r>
      <w:r w:rsidR="00506DC8" w:rsidRPr="00F533B4">
        <w:rPr>
          <w:color w:val="000000" w:themeColor="text1"/>
        </w:rPr>
        <w:t xml:space="preserve"> </w:t>
      </w:r>
      <w:r w:rsidR="007569B5" w:rsidRPr="00236244">
        <w:rPr>
          <w:i/>
          <w:iCs/>
          <w:color w:val="000000" w:themeColor="text1"/>
        </w:rPr>
        <w:t>f</w:t>
      </w:r>
      <w:r w:rsidR="006D6EA1" w:rsidRPr="00F533B4">
        <w:rPr>
          <w:color w:val="000000" w:themeColor="text1"/>
        </w:rPr>
        <w:t>AUC</w:t>
      </w:r>
      <w:r w:rsidR="00772452" w:rsidRPr="00625D3D">
        <w:rPr>
          <w:color w:val="000000" w:themeColor="text1"/>
          <w:vertAlign w:val="subscript"/>
        </w:rPr>
        <w:t>0-24</w:t>
      </w:r>
      <w:r w:rsidR="006D6EA1" w:rsidRPr="00F533B4">
        <w:rPr>
          <w:color w:val="000000" w:themeColor="text1"/>
        </w:rPr>
        <w:t xml:space="preserve"> of 50, 200 and 380 </w:t>
      </w:r>
      <w:r w:rsidR="00772452" w:rsidRPr="00F533B4">
        <w:rPr>
          <w:color w:val="000000" w:themeColor="text1"/>
        </w:rPr>
        <w:t>mg</w:t>
      </w:r>
      <w:r w:rsidR="00772452">
        <w:rPr>
          <w:color w:val="000000" w:themeColor="text1"/>
        </w:rPr>
        <w:t>*h</w:t>
      </w:r>
      <w:r w:rsidR="00772452" w:rsidRPr="00F533B4">
        <w:rPr>
          <w:color w:val="000000" w:themeColor="text1"/>
        </w:rPr>
        <w:t>/L</w:t>
      </w:r>
      <w:r w:rsidR="00772452">
        <w:rPr>
          <w:color w:val="000000" w:themeColor="text1"/>
        </w:rPr>
        <w:t>, respectively</w:t>
      </w:r>
      <w:r w:rsidR="00506DC8" w:rsidRPr="00F533B4">
        <w:rPr>
          <w:color w:val="000000" w:themeColor="text1"/>
        </w:rPr>
        <w:t xml:space="preserve">. </w:t>
      </w:r>
    </w:p>
    <w:p w14:paraId="2AD648FC" w14:textId="41FA0B1B" w:rsidR="00C11191" w:rsidRPr="00F533B4" w:rsidRDefault="00744038" w:rsidP="00501CB2">
      <w:pPr>
        <w:spacing w:before="120" w:line="480" w:lineRule="auto"/>
        <w:rPr>
          <w:color w:val="000000" w:themeColor="text1"/>
        </w:rPr>
      </w:pPr>
      <w:r w:rsidRPr="00F533B4">
        <w:rPr>
          <w:color w:val="000000" w:themeColor="text1"/>
        </w:rPr>
        <w:t xml:space="preserve">The pharmacodynamics of the fosfomycin-amikacin combination </w:t>
      </w:r>
      <w:r w:rsidR="00772452">
        <w:rPr>
          <w:color w:val="000000" w:themeColor="text1"/>
        </w:rPr>
        <w:t xml:space="preserve">was </w:t>
      </w:r>
      <w:r w:rsidRPr="00F533B4">
        <w:rPr>
          <w:color w:val="000000" w:themeColor="text1"/>
        </w:rPr>
        <w:t xml:space="preserve">determined in a 16-arm </w:t>
      </w:r>
      <w:r w:rsidR="003E608D">
        <w:rPr>
          <w:color w:val="000000" w:themeColor="text1"/>
        </w:rPr>
        <w:t xml:space="preserve">4x4 </w:t>
      </w:r>
      <w:r w:rsidRPr="00F533B4">
        <w:rPr>
          <w:color w:val="000000" w:themeColor="text1"/>
        </w:rPr>
        <w:t>experiment that included no</w:t>
      </w:r>
      <w:r w:rsidR="00506DC8" w:rsidRPr="00F533B4">
        <w:rPr>
          <w:color w:val="000000" w:themeColor="text1"/>
        </w:rPr>
        <w:t>-</w:t>
      </w:r>
      <w:r w:rsidRPr="00F533B4">
        <w:rPr>
          <w:color w:val="000000" w:themeColor="text1"/>
        </w:rPr>
        <w:t xml:space="preserve">treatment controls, each drug alone </w:t>
      </w:r>
      <w:r w:rsidR="00AC2CF9">
        <w:rPr>
          <w:color w:val="000000" w:themeColor="text1"/>
        </w:rPr>
        <w:t xml:space="preserve">at the three doses, </w:t>
      </w:r>
      <w:r w:rsidRPr="00F533B4">
        <w:rPr>
          <w:color w:val="000000" w:themeColor="text1"/>
        </w:rPr>
        <w:t xml:space="preserve">and </w:t>
      </w:r>
      <w:r w:rsidR="00772452">
        <w:rPr>
          <w:color w:val="000000" w:themeColor="text1"/>
        </w:rPr>
        <w:t>an</w:t>
      </w:r>
      <w:r w:rsidR="00772452" w:rsidRPr="00F533B4">
        <w:rPr>
          <w:color w:val="000000" w:themeColor="text1"/>
        </w:rPr>
        <w:t xml:space="preserve"> </w:t>
      </w:r>
      <w:r w:rsidRPr="00F533B4">
        <w:rPr>
          <w:color w:val="000000" w:themeColor="text1"/>
        </w:rPr>
        <w:t xml:space="preserve">interaction matrix </w:t>
      </w:r>
      <w:r w:rsidR="00AC2CF9">
        <w:rPr>
          <w:color w:val="000000" w:themeColor="text1"/>
        </w:rPr>
        <w:t xml:space="preserve">of all 2-drug dose combinations as </w:t>
      </w:r>
      <w:r w:rsidRPr="00F533B4">
        <w:rPr>
          <w:color w:val="000000" w:themeColor="text1"/>
        </w:rPr>
        <w:t xml:space="preserve">shown in Fig. </w:t>
      </w:r>
      <w:r w:rsidR="004C3EF5">
        <w:rPr>
          <w:color w:val="000000" w:themeColor="text1"/>
        </w:rPr>
        <w:t>2</w:t>
      </w:r>
      <w:r w:rsidRPr="00F533B4">
        <w:rPr>
          <w:color w:val="000000" w:themeColor="text1"/>
        </w:rPr>
        <w:t xml:space="preserve">.  When </w:t>
      </w:r>
      <w:r w:rsidR="00BB4220" w:rsidRPr="00F533B4">
        <w:rPr>
          <w:color w:val="000000" w:themeColor="text1"/>
        </w:rPr>
        <w:t>admi</w:t>
      </w:r>
      <w:r w:rsidR="00BB4220">
        <w:rPr>
          <w:color w:val="000000" w:themeColor="text1"/>
        </w:rPr>
        <w:t>ni</w:t>
      </w:r>
      <w:r w:rsidR="00BB4220" w:rsidRPr="00F533B4">
        <w:rPr>
          <w:color w:val="000000" w:themeColor="text1"/>
        </w:rPr>
        <w:t>stered</w:t>
      </w:r>
      <w:r w:rsidRPr="00F533B4">
        <w:rPr>
          <w:color w:val="000000" w:themeColor="text1"/>
        </w:rPr>
        <w:t xml:space="preserve"> alone, increasing</w:t>
      </w:r>
      <w:r w:rsidR="00C11191" w:rsidRPr="00F533B4">
        <w:rPr>
          <w:color w:val="000000" w:themeColor="text1"/>
        </w:rPr>
        <w:t xml:space="preserve"> fosfomycin </w:t>
      </w:r>
      <w:r w:rsidRPr="00F533B4">
        <w:rPr>
          <w:color w:val="000000" w:themeColor="text1"/>
        </w:rPr>
        <w:t>exposures resulted in profound early</w:t>
      </w:r>
      <w:r w:rsidR="00C11191" w:rsidRPr="00F533B4">
        <w:rPr>
          <w:color w:val="000000" w:themeColor="text1"/>
        </w:rPr>
        <w:t xml:space="preserve"> bacterial kill</w:t>
      </w:r>
      <w:r w:rsidRPr="00F533B4">
        <w:rPr>
          <w:color w:val="000000" w:themeColor="text1"/>
        </w:rPr>
        <w:t>ing</w:t>
      </w:r>
      <w:r w:rsidR="00C11191" w:rsidRPr="00F533B4">
        <w:rPr>
          <w:color w:val="000000" w:themeColor="text1"/>
        </w:rPr>
        <w:t xml:space="preserve">. However, </w:t>
      </w:r>
      <w:r w:rsidR="00C11191" w:rsidRPr="00F533B4">
        <w:rPr>
          <w:color w:val="000000" w:themeColor="text1"/>
        </w:rPr>
        <w:lastRenderedPageBreak/>
        <w:t xml:space="preserve">failure to </w:t>
      </w:r>
      <w:r w:rsidR="008B1075" w:rsidRPr="00F533B4">
        <w:rPr>
          <w:color w:val="000000" w:themeColor="text1"/>
        </w:rPr>
        <w:t>ach</w:t>
      </w:r>
      <w:r w:rsidR="00670A6A" w:rsidRPr="00F533B4">
        <w:rPr>
          <w:color w:val="000000" w:themeColor="text1"/>
        </w:rPr>
        <w:t>ie</w:t>
      </w:r>
      <w:r w:rsidR="008B1075" w:rsidRPr="00F533B4">
        <w:rPr>
          <w:color w:val="000000" w:themeColor="text1"/>
        </w:rPr>
        <w:t>ve</w:t>
      </w:r>
      <w:r w:rsidR="00C11191" w:rsidRPr="00F533B4">
        <w:rPr>
          <w:color w:val="000000" w:themeColor="text1"/>
        </w:rPr>
        <w:t xml:space="preserve"> sterility led to rapid regrowth, with emergen</w:t>
      </w:r>
      <w:r w:rsidR="008B1075" w:rsidRPr="00F533B4">
        <w:rPr>
          <w:color w:val="000000" w:themeColor="text1"/>
        </w:rPr>
        <w:t>ce</w:t>
      </w:r>
      <w:r w:rsidR="00C11191" w:rsidRPr="00F533B4">
        <w:rPr>
          <w:color w:val="000000" w:themeColor="text1"/>
        </w:rPr>
        <w:t xml:space="preserve"> </w:t>
      </w:r>
      <w:r w:rsidR="008B1075" w:rsidRPr="00F533B4">
        <w:rPr>
          <w:color w:val="000000" w:themeColor="text1"/>
        </w:rPr>
        <w:t>of a resistant clone</w:t>
      </w:r>
      <w:r w:rsidR="007569B5">
        <w:rPr>
          <w:color w:val="000000" w:themeColor="text1"/>
        </w:rPr>
        <w:t>(s)</w:t>
      </w:r>
      <w:r w:rsidR="008B1075" w:rsidRPr="00F533B4">
        <w:rPr>
          <w:color w:val="000000" w:themeColor="text1"/>
        </w:rPr>
        <w:t xml:space="preserve"> with</w:t>
      </w:r>
      <w:r w:rsidR="00C11191" w:rsidRPr="00F533B4">
        <w:rPr>
          <w:color w:val="000000" w:themeColor="text1"/>
        </w:rPr>
        <w:t xml:space="preserve"> fosfomycin MICs</w:t>
      </w:r>
      <w:r w:rsidR="006638E6" w:rsidRPr="00F533B4">
        <w:rPr>
          <w:color w:val="000000" w:themeColor="text1"/>
        </w:rPr>
        <w:t xml:space="preserve"> </w:t>
      </w:r>
      <w:r w:rsidR="001D581F" w:rsidRPr="00F533B4">
        <w:rPr>
          <w:color w:val="000000" w:themeColor="text1"/>
        </w:rPr>
        <w:t>of</w:t>
      </w:r>
      <w:r w:rsidR="006638E6" w:rsidRPr="00F533B4">
        <w:rPr>
          <w:color w:val="000000" w:themeColor="text1"/>
        </w:rPr>
        <w:t xml:space="preserve"> </w:t>
      </w:r>
      <w:r w:rsidR="006638E6" w:rsidRPr="00F533B4">
        <w:rPr>
          <w:color w:val="000000" w:themeColor="text1"/>
        </w:rPr>
        <w:sym w:font="Symbol" w:char="F0B3"/>
      </w:r>
      <w:r w:rsidR="006638E6" w:rsidRPr="00F533B4">
        <w:rPr>
          <w:color w:val="000000" w:themeColor="text1"/>
        </w:rPr>
        <w:t>128mg/L</w:t>
      </w:r>
      <w:r w:rsidR="006D6EA1" w:rsidRPr="00F533B4">
        <w:rPr>
          <w:color w:val="000000" w:themeColor="text1"/>
        </w:rPr>
        <w:t>, with maximal emergen</w:t>
      </w:r>
      <w:r w:rsidR="00CA15DD">
        <w:rPr>
          <w:color w:val="000000" w:themeColor="text1"/>
        </w:rPr>
        <w:t>t</w:t>
      </w:r>
      <w:r w:rsidR="006D6EA1" w:rsidRPr="00F533B4">
        <w:rPr>
          <w:color w:val="000000" w:themeColor="text1"/>
        </w:rPr>
        <w:t xml:space="preserve"> resistance at </w:t>
      </w:r>
      <w:r w:rsidR="007569B5" w:rsidRPr="00236244">
        <w:rPr>
          <w:i/>
          <w:iCs/>
          <w:color w:val="000000" w:themeColor="text1"/>
        </w:rPr>
        <w:t>f</w:t>
      </w:r>
      <w:r w:rsidR="006D6EA1" w:rsidRPr="00F533B4">
        <w:rPr>
          <w:color w:val="000000" w:themeColor="text1"/>
        </w:rPr>
        <w:t>AUC</w:t>
      </w:r>
      <w:r w:rsidR="003E608D" w:rsidRPr="00625D3D">
        <w:rPr>
          <w:color w:val="000000" w:themeColor="text1"/>
          <w:vertAlign w:val="subscript"/>
        </w:rPr>
        <w:t>0-24</w:t>
      </w:r>
      <w:r w:rsidR="006D6EA1" w:rsidRPr="00F533B4">
        <w:rPr>
          <w:color w:val="000000" w:themeColor="text1"/>
        </w:rPr>
        <w:t xml:space="preserve"> of 50 and 200 </w:t>
      </w:r>
      <w:r w:rsidR="003E608D" w:rsidRPr="00F533B4">
        <w:rPr>
          <w:color w:val="000000" w:themeColor="text1"/>
        </w:rPr>
        <w:t>mg</w:t>
      </w:r>
      <w:r w:rsidR="003E608D">
        <w:rPr>
          <w:color w:val="000000" w:themeColor="text1"/>
        </w:rPr>
        <w:t>*h</w:t>
      </w:r>
      <w:r w:rsidR="003E608D" w:rsidRPr="00F533B4">
        <w:rPr>
          <w:color w:val="000000" w:themeColor="text1"/>
        </w:rPr>
        <w:t>/L</w:t>
      </w:r>
      <w:r w:rsidR="003E608D" w:rsidRPr="00F533B4" w:rsidDel="003E608D">
        <w:rPr>
          <w:color w:val="000000" w:themeColor="text1"/>
        </w:rPr>
        <w:t xml:space="preserve"> </w:t>
      </w:r>
      <w:r w:rsidR="005802B2" w:rsidRPr="00F533B4">
        <w:rPr>
          <w:color w:val="000000" w:themeColor="text1"/>
        </w:rPr>
        <w:t>(</w:t>
      </w:r>
      <w:r w:rsidR="004940B6">
        <w:rPr>
          <w:color w:val="000000" w:themeColor="text1"/>
        </w:rPr>
        <w:t>Fig.</w:t>
      </w:r>
      <w:r w:rsidR="005802B2" w:rsidRPr="00F533B4">
        <w:rPr>
          <w:color w:val="000000" w:themeColor="text1"/>
        </w:rPr>
        <w:t xml:space="preserve"> </w:t>
      </w:r>
      <w:r w:rsidR="004C3EF5">
        <w:rPr>
          <w:color w:val="000000" w:themeColor="text1"/>
        </w:rPr>
        <w:t>2</w:t>
      </w:r>
      <w:r w:rsidR="005802B2" w:rsidRPr="00F533B4">
        <w:rPr>
          <w:color w:val="000000" w:themeColor="text1"/>
        </w:rPr>
        <w:t>, Panels 1-4)</w:t>
      </w:r>
      <w:r w:rsidR="00C11191" w:rsidRPr="00F533B4">
        <w:rPr>
          <w:color w:val="000000" w:themeColor="text1"/>
        </w:rPr>
        <w:t xml:space="preserve">. </w:t>
      </w:r>
      <w:r w:rsidRPr="00F533B4">
        <w:rPr>
          <w:color w:val="000000" w:themeColor="text1"/>
        </w:rPr>
        <w:t xml:space="preserve"> Similarly, progressively increasing exposures </w:t>
      </w:r>
      <w:r w:rsidR="00C11191" w:rsidRPr="00F533B4">
        <w:rPr>
          <w:color w:val="000000" w:themeColor="text1"/>
        </w:rPr>
        <w:t xml:space="preserve">of amikacin as monotherapy led to </w:t>
      </w:r>
      <w:r w:rsidR="001D581F" w:rsidRPr="00F533B4">
        <w:rPr>
          <w:color w:val="000000" w:themeColor="text1"/>
        </w:rPr>
        <w:t xml:space="preserve">initial </w:t>
      </w:r>
      <w:r w:rsidR="00670A6A" w:rsidRPr="00F533B4">
        <w:rPr>
          <w:color w:val="000000" w:themeColor="text1"/>
        </w:rPr>
        <w:t>suppression of logarithmic growth</w:t>
      </w:r>
      <w:r w:rsidR="001D581F" w:rsidRPr="00F533B4">
        <w:rPr>
          <w:color w:val="000000" w:themeColor="text1"/>
        </w:rPr>
        <w:t xml:space="preserve"> with subsequent</w:t>
      </w:r>
      <w:r w:rsidR="00C11191" w:rsidRPr="00F533B4">
        <w:rPr>
          <w:color w:val="000000" w:themeColor="text1"/>
        </w:rPr>
        <w:t xml:space="preserve"> </w:t>
      </w:r>
      <w:r w:rsidRPr="00F533B4">
        <w:rPr>
          <w:color w:val="000000" w:themeColor="text1"/>
        </w:rPr>
        <w:t>exposure</w:t>
      </w:r>
      <w:r w:rsidR="00425FE7" w:rsidRPr="00F533B4">
        <w:rPr>
          <w:color w:val="000000" w:themeColor="text1"/>
        </w:rPr>
        <w:t>-</w:t>
      </w:r>
      <w:r w:rsidR="003E608D">
        <w:rPr>
          <w:color w:val="000000" w:themeColor="text1"/>
        </w:rPr>
        <w:t>dependent</w:t>
      </w:r>
      <w:r w:rsidR="003E608D" w:rsidRPr="00F533B4">
        <w:rPr>
          <w:color w:val="000000" w:themeColor="text1"/>
        </w:rPr>
        <w:t xml:space="preserve"> </w:t>
      </w:r>
      <w:r w:rsidRPr="00F533B4">
        <w:rPr>
          <w:color w:val="000000" w:themeColor="text1"/>
        </w:rPr>
        <w:t>emergence of</w:t>
      </w:r>
      <w:r w:rsidR="00425FE7" w:rsidRPr="00F533B4">
        <w:rPr>
          <w:color w:val="000000" w:themeColor="text1"/>
        </w:rPr>
        <w:t xml:space="preserve"> </w:t>
      </w:r>
      <w:r w:rsidRPr="00F533B4">
        <w:rPr>
          <w:color w:val="000000" w:themeColor="text1"/>
        </w:rPr>
        <w:t>a resistant subpopulation</w:t>
      </w:r>
      <w:r w:rsidR="00425FE7" w:rsidRPr="00F533B4">
        <w:rPr>
          <w:color w:val="000000" w:themeColor="text1"/>
        </w:rPr>
        <w:t xml:space="preserve"> with amikacin MICs </w:t>
      </w:r>
      <w:r w:rsidR="00670A6A" w:rsidRPr="00F533B4">
        <w:rPr>
          <w:color w:val="000000" w:themeColor="text1"/>
        </w:rPr>
        <w:sym w:font="Symbol" w:char="F0B3"/>
      </w:r>
      <w:r w:rsidR="00425FE7" w:rsidRPr="00F533B4">
        <w:rPr>
          <w:color w:val="000000" w:themeColor="text1"/>
        </w:rPr>
        <w:t>16mg/L</w:t>
      </w:r>
      <w:r w:rsidR="006D6EA1" w:rsidRPr="00F533B4">
        <w:rPr>
          <w:color w:val="000000" w:themeColor="text1"/>
        </w:rPr>
        <w:t xml:space="preserve">, with maximal emergent resistance at </w:t>
      </w:r>
      <w:r w:rsidR="007569B5" w:rsidRPr="00240C30">
        <w:rPr>
          <w:i/>
          <w:iCs/>
          <w:color w:val="000000" w:themeColor="text1"/>
        </w:rPr>
        <w:t>f</w:t>
      </w:r>
      <w:r w:rsidR="007569B5" w:rsidRPr="00F533B4">
        <w:rPr>
          <w:color w:val="000000" w:themeColor="text1"/>
        </w:rPr>
        <w:t>AUC</w:t>
      </w:r>
      <w:r w:rsidR="007569B5" w:rsidRPr="00625D3D">
        <w:rPr>
          <w:color w:val="000000" w:themeColor="text1"/>
          <w:vertAlign w:val="subscript"/>
        </w:rPr>
        <w:t>0-24</w:t>
      </w:r>
      <w:r w:rsidR="007569B5" w:rsidRPr="00F533B4">
        <w:rPr>
          <w:color w:val="000000" w:themeColor="text1"/>
        </w:rPr>
        <w:t xml:space="preserve"> </w:t>
      </w:r>
      <w:r w:rsidR="007569B5">
        <w:rPr>
          <w:color w:val="000000" w:themeColor="text1"/>
        </w:rPr>
        <w:t xml:space="preserve">of </w:t>
      </w:r>
      <w:r w:rsidR="00A52316" w:rsidRPr="00F533B4">
        <w:rPr>
          <w:color w:val="000000" w:themeColor="text1"/>
        </w:rPr>
        <w:t xml:space="preserve">380 </w:t>
      </w:r>
      <w:r w:rsidR="003E608D" w:rsidRPr="00F533B4">
        <w:rPr>
          <w:color w:val="000000" w:themeColor="text1"/>
        </w:rPr>
        <w:t>mg</w:t>
      </w:r>
      <w:r w:rsidR="003E608D">
        <w:rPr>
          <w:color w:val="000000" w:themeColor="text1"/>
        </w:rPr>
        <w:t>*h</w:t>
      </w:r>
      <w:r w:rsidR="003E608D" w:rsidRPr="00F533B4">
        <w:rPr>
          <w:color w:val="000000" w:themeColor="text1"/>
        </w:rPr>
        <w:t>/L</w:t>
      </w:r>
      <w:r w:rsidR="003E608D" w:rsidRPr="00F533B4" w:rsidDel="003E608D">
        <w:rPr>
          <w:color w:val="000000" w:themeColor="text1"/>
        </w:rPr>
        <w:t xml:space="preserve"> </w:t>
      </w:r>
      <w:r w:rsidR="005802B2" w:rsidRPr="00F533B4">
        <w:rPr>
          <w:color w:val="000000" w:themeColor="text1"/>
        </w:rPr>
        <w:t>(</w:t>
      </w:r>
      <w:r w:rsidR="004940B6">
        <w:rPr>
          <w:color w:val="000000" w:themeColor="text1"/>
        </w:rPr>
        <w:t>Fig.</w:t>
      </w:r>
      <w:r w:rsidR="005802B2" w:rsidRPr="00F533B4">
        <w:rPr>
          <w:color w:val="000000" w:themeColor="text1"/>
        </w:rPr>
        <w:t xml:space="preserve"> </w:t>
      </w:r>
      <w:r w:rsidR="004C3EF5">
        <w:rPr>
          <w:color w:val="000000" w:themeColor="text1"/>
        </w:rPr>
        <w:t>2</w:t>
      </w:r>
      <w:r w:rsidR="005802B2" w:rsidRPr="00F533B4">
        <w:rPr>
          <w:color w:val="000000" w:themeColor="text1"/>
        </w:rPr>
        <w:t>, Panels 1,5, 9, &amp; 13)</w:t>
      </w:r>
      <w:r w:rsidR="00425FE7" w:rsidRPr="00F533B4">
        <w:rPr>
          <w:color w:val="000000" w:themeColor="text1"/>
        </w:rPr>
        <w:t>.</w:t>
      </w:r>
    </w:p>
    <w:p w14:paraId="6D76E50C" w14:textId="11AB1395" w:rsidR="0072732A" w:rsidRPr="00F533B4" w:rsidRDefault="00C11191" w:rsidP="00501CB2">
      <w:pPr>
        <w:spacing w:before="120" w:line="480" w:lineRule="auto"/>
        <w:rPr>
          <w:color w:val="000000" w:themeColor="text1"/>
        </w:rPr>
      </w:pPr>
      <w:r w:rsidRPr="00F533B4">
        <w:rPr>
          <w:color w:val="000000" w:themeColor="text1"/>
        </w:rPr>
        <w:t xml:space="preserve">In combination, fosfomycin and amikacin achieved </w:t>
      </w:r>
      <w:r w:rsidR="00744038" w:rsidRPr="00F533B4">
        <w:rPr>
          <w:color w:val="000000" w:themeColor="text1"/>
        </w:rPr>
        <w:t xml:space="preserve">a </w:t>
      </w:r>
      <w:r w:rsidRPr="00F533B4">
        <w:rPr>
          <w:color w:val="000000" w:themeColor="text1"/>
        </w:rPr>
        <w:t>greater magnitude of initial bacterial kill</w:t>
      </w:r>
      <w:r w:rsidR="001D581F" w:rsidRPr="00F533B4">
        <w:rPr>
          <w:color w:val="000000" w:themeColor="text1"/>
        </w:rPr>
        <w:t>,</w:t>
      </w:r>
      <w:r w:rsidRPr="00F533B4">
        <w:rPr>
          <w:color w:val="000000" w:themeColor="text1"/>
        </w:rPr>
        <w:t xml:space="preserve"> </w:t>
      </w:r>
      <w:r w:rsidR="001D581F" w:rsidRPr="00F533B4">
        <w:rPr>
          <w:color w:val="000000" w:themeColor="text1"/>
        </w:rPr>
        <w:t xml:space="preserve">with </w:t>
      </w:r>
      <w:r w:rsidRPr="00F533B4">
        <w:rPr>
          <w:color w:val="000000" w:themeColor="text1"/>
        </w:rPr>
        <w:t xml:space="preserve">delayed </w:t>
      </w:r>
      <w:r w:rsidR="00DD1E32" w:rsidRPr="00F533B4">
        <w:rPr>
          <w:color w:val="000000" w:themeColor="text1"/>
        </w:rPr>
        <w:t xml:space="preserve">and </w:t>
      </w:r>
      <w:r w:rsidRPr="00F533B4">
        <w:rPr>
          <w:color w:val="000000" w:themeColor="text1"/>
        </w:rPr>
        <w:t xml:space="preserve">reduced emergence of resistance to fosfomycin </w:t>
      </w:r>
      <w:r w:rsidR="001D581F" w:rsidRPr="00F533B4">
        <w:rPr>
          <w:color w:val="000000" w:themeColor="text1"/>
        </w:rPr>
        <w:t>and</w:t>
      </w:r>
      <w:r w:rsidRPr="00F533B4">
        <w:rPr>
          <w:color w:val="000000" w:themeColor="text1"/>
        </w:rPr>
        <w:t xml:space="preserve"> amikacin, compared </w:t>
      </w:r>
      <w:r w:rsidR="00081FD0" w:rsidRPr="00F533B4">
        <w:rPr>
          <w:color w:val="000000" w:themeColor="text1"/>
        </w:rPr>
        <w:t xml:space="preserve">with </w:t>
      </w:r>
      <w:r w:rsidRPr="00F533B4">
        <w:rPr>
          <w:color w:val="000000" w:themeColor="text1"/>
        </w:rPr>
        <w:t xml:space="preserve">equivalent </w:t>
      </w:r>
      <w:r w:rsidR="003A1E5D" w:rsidRPr="00F533B4">
        <w:rPr>
          <w:color w:val="000000" w:themeColor="text1"/>
        </w:rPr>
        <w:t xml:space="preserve">drug </w:t>
      </w:r>
      <w:r w:rsidR="00DD1E32" w:rsidRPr="00F533B4">
        <w:rPr>
          <w:color w:val="000000" w:themeColor="text1"/>
        </w:rPr>
        <w:t xml:space="preserve">exposures </w:t>
      </w:r>
      <w:r w:rsidRPr="00F533B4">
        <w:rPr>
          <w:color w:val="000000" w:themeColor="text1"/>
        </w:rPr>
        <w:t>in monotherapy</w:t>
      </w:r>
      <w:r w:rsidR="00744038" w:rsidRPr="00F533B4">
        <w:rPr>
          <w:color w:val="000000" w:themeColor="text1"/>
        </w:rPr>
        <w:t>.</w:t>
      </w:r>
      <w:r w:rsidRPr="00F533B4">
        <w:rPr>
          <w:color w:val="000000" w:themeColor="text1"/>
        </w:rPr>
        <w:t xml:space="preserve"> </w:t>
      </w:r>
      <w:r w:rsidR="00744038" w:rsidRPr="00F533B4">
        <w:rPr>
          <w:color w:val="000000" w:themeColor="text1"/>
        </w:rPr>
        <w:t>H</w:t>
      </w:r>
      <w:r w:rsidRPr="00F533B4">
        <w:rPr>
          <w:color w:val="000000" w:themeColor="text1"/>
        </w:rPr>
        <w:t xml:space="preserve">igher combination </w:t>
      </w:r>
      <w:r w:rsidR="00744038" w:rsidRPr="00F533B4">
        <w:rPr>
          <w:color w:val="000000" w:themeColor="text1"/>
        </w:rPr>
        <w:t xml:space="preserve">exposures </w:t>
      </w:r>
      <w:r w:rsidR="00081FD0" w:rsidRPr="00F533B4">
        <w:rPr>
          <w:color w:val="000000" w:themeColor="text1"/>
        </w:rPr>
        <w:t xml:space="preserve">achieved </w:t>
      </w:r>
      <w:r w:rsidRPr="00F533B4">
        <w:rPr>
          <w:color w:val="000000" w:themeColor="text1"/>
        </w:rPr>
        <w:t>sterility.</w:t>
      </w:r>
      <w:r w:rsidR="00081FD0" w:rsidRPr="00F533B4">
        <w:rPr>
          <w:color w:val="000000" w:themeColor="text1"/>
        </w:rPr>
        <w:t xml:space="preserve"> </w:t>
      </w:r>
      <w:r w:rsidR="0072732A" w:rsidRPr="00F533B4">
        <w:rPr>
          <w:color w:val="000000" w:themeColor="text1"/>
        </w:rPr>
        <w:t xml:space="preserve">The </w:t>
      </w:r>
      <w:r w:rsidR="00081FD0" w:rsidRPr="00F533B4">
        <w:rPr>
          <w:color w:val="000000" w:themeColor="text1"/>
        </w:rPr>
        <w:t xml:space="preserve">relationship between drug exposure and the emergence of resistance with each drug administered alone formed </w:t>
      </w:r>
      <w:r w:rsidR="0072732A" w:rsidRPr="00F533B4">
        <w:rPr>
          <w:color w:val="000000" w:themeColor="text1"/>
        </w:rPr>
        <w:t>an ‘inverted U’</w:t>
      </w:r>
      <w:r w:rsidR="00AC2CF9">
        <w:rPr>
          <w:color w:val="000000" w:themeColor="text1"/>
        </w:rPr>
        <w:t xml:space="preserve"> </w:t>
      </w:r>
      <w:r w:rsidR="00AC2CF9">
        <w:rPr>
          <w:color w:val="000000" w:themeColor="text1"/>
        </w:rPr>
        <w:fldChar w:fldCharType="begin" w:fldLock="1"/>
      </w:r>
      <w:r w:rsidR="005578B0">
        <w:rPr>
          <w:color w:val="000000" w:themeColor="text1"/>
        </w:rPr>
        <w:instrText>ADDIN CSL_CITATION {"citationItems":[{"id":"ITEM-1","itemData":{"DOI":"10.1128/AAC.00334-06","ISSN":"00664804","PMID":"17116679","abstract":"We determined the relationship between garenoxacin exposure and quinolone-resistant subpopulations for three bacterial isolates in an in vitro hollow-fiber infection model. An \"inverted-U\" relationship was identified wherein resistant subpopulations rose initially and then declined with increasing exposure, until reaching a threshold that prevented resistance amplifications. Different targets for the area under the concentration-time curve over 24 h/MIC ratio were required for different bacteria. Copyright © 2007, American Society for Microbiology. All Rights Reserved.","author":[{"dropping-particle":"","family":"Tam","given":"Vincent H.","non-dropping-particle":"","parse-names":false,"suffix":""},{"dropping-particle":"","family":"Louie","given":"Arnold","non-dropping-particle":"","parse-names":false,"suffix":""},{"dropping-particle":"","family":"Deziel","given":"Mark R.","non-dropping-particle":"","parse-names":false,"suffix":""},{"dropping-particle":"","family":"Liu","given":"Weiguo","non-dropping-particle":"","parse-names":false,"suffix":""},{"dropping-particle":"","family":"Drusano","given":"George L.","non-dropping-particle":"","parse-names":false,"suffix":""}],"container-title":"Antimicrobial Agents and Chemotherapy","id":"ITEM-1","issue":"2","issued":{"date-parts":[["2007","2"]]},"page":"744-747","publisher":"American Society for Microbiology (ASM)","title":"The relationship between quinolone exposures and resistance amplification is characterized by an inverted U: A new paradigm for optimizing pharmacodynamics to counterselect resistance","type":"article-journal","volume":"51"},"uris":["http://www.mendeley.com/documents/?uuid=8f913aec-9ca1-30a4-a382-67f26ac525ba"]}],"mendeley":{"formattedCitation":"(20)","plainTextFormattedCitation":"(20)","previouslyFormattedCitation":"(20)"},"properties":{"noteIndex":0},"schema":"https://github.com/citation-style-language/schema/raw/master/csl-citation.json"}</w:instrText>
      </w:r>
      <w:r w:rsidR="00AC2CF9">
        <w:rPr>
          <w:color w:val="000000" w:themeColor="text1"/>
        </w:rPr>
        <w:fldChar w:fldCharType="separate"/>
      </w:r>
      <w:r w:rsidR="005578B0" w:rsidRPr="005578B0">
        <w:rPr>
          <w:noProof/>
          <w:color w:val="000000" w:themeColor="text1"/>
        </w:rPr>
        <w:t>(20)</w:t>
      </w:r>
      <w:r w:rsidR="00AC2CF9">
        <w:rPr>
          <w:color w:val="000000" w:themeColor="text1"/>
        </w:rPr>
        <w:fldChar w:fldCharType="end"/>
      </w:r>
      <w:r w:rsidR="0072732A" w:rsidRPr="00F533B4">
        <w:rPr>
          <w:color w:val="000000" w:themeColor="text1"/>
        </w:rPr>
        <w:t>.</w:t>
      </w:r>
      <w:r w:rsidR="00081FD0" w:rsidRPr="00F533B4">
        <w:rPr>
          <w:color w:val="000000" w:themeColor="text1"/>
        </w:rPr>
        <w:t xml:space="preserve"> </w:t>
      </w:r>
      <w:r w:rsidR="00BB3A3A">
        <w:rPr>
          <w:color w:val="000000" w:themeColor="text1"/>
        </w:rPr>
        <w:t>F</w:t>
      </w:r>
      <w:r w:rsidR="00081FD0" w:rsidRPr="00F533B4">
        <w:rPr>
          <w:color w:val="000000" w:themeColor="text1"/>
        </w:rPr>
        <w:t>osfomycin and amikacin</w:t>
      </w:r>
      <w:r w:rsidR="005F597E">
        <w:rPr>
          <w:color w:val="000000" w:themeColor="text1"/>
        </w:rPr>
        <w:t xml:space="preserve"> </w:t>
      </w:r>
      <w:r w:rsidR="00BB3A3A">
        <w:rPr>
          <w:color w:val="000000" w:themeColor="text1"/>
        </w:rPr>
        <w:t>in combination</w:t>
      </w:r>
      <w:r w:rsidR="00081FD0" w:rsidRPr="00F533B4">
        <w:rPr>
          <w:color w:val="000000" w:themeColor="text1"/>
        </w:rPr>
        <w:t xml:space="preserve"> resulted in the </w:t>
      </w:r>
      <w:r w:rsidR="0072047E" w:rsidRPr="00F533B4">
        <w:rPr>
          <w:color w:val="000000" w:themeColor="text1"/>
        </w:rPr>
        <w:t>suppression of resis</w:t>
      </w:r>
      <w:r w:rsidR="005802B2" w:rsidRPr="00F533B4">
        <w:rPr>
          <w:color w:val="000000" w:themeColor="text1"/>
        </w:rPr>
        <w:t>ta</w:t>
      </w:r>
      <w:r w:rsidR="0072047E" w:rsidRPr="00F533B4">
        <w:rPr>
          <w:color w:val="000000" w:themeColor="text1"/>
        </w:rPr>
        <w:t>nce</w:t>
      </w:r>
      <w:r w:rsidR="00BB3A3A">
        <w:rPr>
          <w:color w:val="000000" w:themeColor="text1"/>
        </w:rPr>
        <w:t xml:space="preserve"> that </w:t>
      </w:r>
      <w:proofErr w:type="spellStart"/>
      <w:r w:rsidR="009D547B">
        <w:rPr>
          <w:color w:val="000000" w:themeColor="text1"/>
        </w:rPr>
        <w:t>occured</w:t>
      </w:r>
      <w:proofErr w:type="spellEnd"/>
      <w:r w:rsidR="00BB3A3A">
        <w:rPr>
          <w:color w:val="000000" w:themeColor="text1"/>
        </w:rPr>
        <w:t xml:space="preserve"> at comparable drug exposures in monotherapy of each drug</w:t>
      </w:r>
      <w:r w:rsidR="00081FD0" w:rsidRPr="00F533B4">
        <w:rPr>
          <w:color w:val="000000" w:themeColor="text1"/>
        </w:rPr>
        <w:t xml:space="preserve"> (</w:t>
      </w:r>
      <w:r w:rsidR="004940B6">
        <w:rPr>
          <w:color w:val="000000" w:themeColor="text1"/>
        </w:rPr>
        <w:t>Fig.</w:t>
      </w:r>
      <w:r w:rsidR="00081FD0" w:rsidRPr="00F533B4">
        <w:rPr>
          <w:color w:val="000000" w:themeColor="text1"/>
        </w:rPr>
        <w:t xml:space="preserve"> </w:t>
      </w:r>
      <w:r w:rsidR="004C3EF5">
        <w:rPr>
          <w:color w:val="000000" w:themeColor="text1"/>
        </w:rPr>
        <w:t>2</w:t>
      </w:r>
      <w:r w:rsidR="00081FD0" w:rsidRPr="00F533B4">
        <w:rPr>
          <w:color w:val="000000" w:themeColor="text1"/>
        </w:rPr>
        <w:t>, Panel</w:t>
      </w:r>
      <w:r w:rsidR="005802B2" w:rsidRPr="00F533B4">
        <w:rPr>
          <w:color w:val="000000" w:themeColor="text1"/>
        </w:rPr>
        <w:t>s</w:t>
      </w:r>
      <w:r w:rsidR="00081FD0" w:rsidRPr="00F533B4">
        <w:rPr>
          <w:color w:val="000000" w:themeColor="text1"/>
        </w:rPr>
        <w:t xml:space="preserve"> </w:t>
      </w:r>
      <w:r w:rsidR="005802B2" w:rsidRPr="00F533B4">
        <w:rPr>
          <w:color w:val="000000" w:themeColor="text1"/>
        </w:rPr>
        <w:t>11,12 &amp; 14-16</w:t>
      </w:r>
      <w:r w:rsidR="00081FD0" w:rsidRPr="00F533B4">
        <w:rPr>
          <w:color w:val="000000" w:themeColor="text1"/>
        </w:rPr>
        <w:t xml:space="preserve">).  </w:t>
      </w:r>
      <w:r w:rsidR="0072732A" w:rsidRPr="00F533B4">
        <w:rPr>
          <w:color w:val="000000" w:themeColor="text1"/>
        </w:rPr>
        <w:t xml:space="preserve">As the </w:t>
      </w:r>
      <w:r w:rsidR="003E608D">
        <w:rPr>
          <w:color w:val="000000" w:themeColor="text1"/>
        </w:rPr>
        <w:t>exposure</w:t>
      </w:r>
      <w:r w:rsidR="003E608D" w:rsidRPr="00F533B4">
        <w:rPr>
          <w:color w:val="000000" w:themeColor="text1"/>
        </w:rPr>
        <w:t xml:space="preserve"> </w:t>
      </w:r>
      <w:r w:rsidR="0072732A" w:rsidRPr="00F533B4">
        <w:rPr>
          <w:color w:val="000000" w:themeColor="text1"/>
        </w:rPr>
        <w:t xml:space="preserve">of the other antibiotic </w:t>
      </w:r>
      <w:r w:rsidR="00081FD0" w:rsidRPr="00F533B4">
        <w:rPr>
          <w:color w:val="000000" w:themeColor="text1"/>
        </w:rPr>
        <w:t>increased</w:t>
      </w:r>
      <w:r w:rsidR="0072732A" w:rsidRPr="00F533B4">
        <w:rPr>
          <w:color w:val="000000" w:themeColor="text1"/>
        </w:rPr>
        <w:t xml:space="preserve">, </w:t>
      </w:r>
      <w:r w:rsidR="003E608D">
        <w:rPr>
          <w:color w:val="000000" w:themeColor="text1"/>
        </w:rPr>
        <w:t>the</w:t>
      </w:r>
      <w:r w:rsidR="003E608D" w:rsidRPr="00F533B4">
        <w:rPr>
          <w:color w:val="000000" w:themeColor="text1"/>
        </w:rPr>
        <w:t xml:space="preserve"> </w:t>
      </w:r>
      <w:r w:rsidR="0072732A" w:rsidRPr="00F533B4">
        <w:rPr>
          <w:color w:val="000000" w:themeColor="text1"/>
        </w:rPr>
        <w:t xml:space="preserve">‘inverted U’ </w:t>
      </w:r>
      <w:r w:rsidR="00081FD0" w:rsidRPr="00F533B4">
        <w:rPr>
          <w:color w:val="000000" w:themeColor="text1"/>
        </w:rPr>
        <w:t xml:space="preserve">shifted </w:t>
      </w:r>
      <w:r w:rsidR="0072732A" w:rsidRPr="00F533B4">
        <w:rPr>
          <w:color w:val="000000" w:themeColor="text1"/>
        </w:rPr>
        <w:t xml:space="preserve">to the left as emergence </w:t>
      </w:r>
      <w:r w:rsidR="00122497">
        <w:rPr>
          <w:color w:val="000000" w:themeColor="text1"/>
        </w:rPr>
        <w:t>of</w:t>
      </w:r>
      <w:r w:rsidR="00122497" w:rsidRPr="00F533B4">
        <w:rPr>
          <w:color w:val="000000" w:themeColor="text1"/>
        </w:rPr>
        <w:t xml:space="preserve"> </w:t>
      </w:r>
      <w:r w:rsidR="0072732A" w:rsidRPr="00F533B4">
        <w:rPr>
          <w:color w:val="000000" w:themeColor="text1"/>
        </w:rPr>
        <w:t xml:space="preserve">resistance </w:t>
      </w:r>
      <w:r w:rsidR="00081FD0" w:rsidRPr="00F533B4">
        <w:rPr>
          <w:color w:val="000000" w:themeColor="text1"/>
        </w:rPr>
        <w:t xml:space="preserve">was </w:t>
      </w:r>
      <w:r w:rsidR="00AE2B4C" w:rsidRPr="00F533B4">
        <w:rPr>
          <w:color w:val="000000" w:themeColor="text1"/>
        </w:rPr>
        <w:t xml:space="preserve">progressively </w:t>
      </w:r>
      <w:r w:rsidR="0072732A" w:rsidRPr="00F533B4">
        <w:rPr>
          <w:color w:val="000000" w:themeColor="text1"/>
        </w:rPr>
        <w:t>suppressed</w:t>
      </w:r>
      <w:r w:rsidR="00081FD0" w:rsidRPr="00F533B4">
        <w:rPr>
          <w:color w:val="000000" w:themeColor="text1"/>
        </w:rPr>
        <w:t xml:space="preserve"> (Fig. </w:t>
      </w:r>
      <w:r w:rsidR="004C3EF5">
        <w:rPr>
          <w:color w:val="000000" w:themeColor="text1"/>
        </w:rPr>
        <w:t>3</w:t>
      </w:r>
      <w:r w:rsidR="00081FD0" w:rsidRPr="00F533B4">
        <w:rPr>
          <w:color w:val="000000" w:themeColor="text1"/>
        </w:rPr>
        <w:t>)</w:t>
      </w:r>
      <w:r w:rsidR="0072732A" w:rsidRPr="00F533B4">
        <w:rPr>
          <w:color w:val="000000" w:themeColor="text1"/>
        </w:rPr>
        <w:t>.</w:t>
      </w:r>
    </w:p>
    <w:p w14:paraId="3BB15EE5" w14:textId="6B1AF2B9" w:rsidR="007D63DF" w:rsidRDefault="006638E6" w:rsidP="00501CB2">
      <w:pPr>
        <w:spacing w:before="120" w:line="480" w:lineRule="auto"/>
        <w:rPr>
          <w:color w:val="000000" w:themeColor="text1"/>
        </w:rPr>
      </w:pPr>
      <w:r w:rsidRPr="00F533B4">
        <w:rPr>
          <w:color w:val="000000" w:themeColor="text1"/>
        </w:rPr>
        <w:t xml:space="preserve">The </w:t>
      </w:r>
      <w:r w:rsidR="003A1E5D" w:rsidRPr="00F533B4">
        <w:rPr>
          <w:color w:val="000000" w:themeColor="text1"/>
        </w:rPr>
        <w:t>nature and magnitude of the pharmacodynamic interaction</w:t>
      </w:r>
      <w:r w:rsidR="0072732A" w:rsidRPr="00F533B4">
        <w:rPr>
          <w:color w:val="000000" w:themeColor="text1"/>
        </w:rPr>
        <w:t xml:space="preserve"> </w:t>
      </w:r>
      <w:r w:rsidR="003A1E5D" w:rsidRPr="00F533B4">
        <w:rPr>
          <w:color w:val="000000" w:themeColor="text1"/>
        </w:rPr>
        <w:t xml:space="preserve">between fosfomycin and amikacin was </w:t>
      </w:r>
      <w:r w:rsidR="00FC1A0E" w:rsidRPr="00F533B4">
        <w:rPr>
          <w:color w:val="000000" w:themeColor="text1"/>
        </w:rPr>
        <w:t>estimate</w:t>
      </w:r>
      <w:r w:rsidR="0072732A" w:rsidRPr="00F533B4">
        <w:rPr>
          <w:color w:val="000000" w:themeColor="text1"/>
        </w:rPr>
        <w:t>d</w:t>
      </w:r>
      <w:r w:rsidRPr="00F533B4">
        <w:rPr>
          <w:color w:val="000000" w:themeColor="text1"/>
        </w:rPr>
        <w:t xml:space="preserve"> </w:t>
      </w:r>
      <w:r w:rsidR="003A1E5D" w:rsidRPr="00F533B4">
        <w:rPr>
          <w:color w:val="000000" w:themeColor="text1"/>
        </w:rPr>
        <w:t xml:space="preserve">by fitting a </w:t>
      </w:r>
      <w:r w:rsidR="007D63DF" w:rsidRPr="00F533B4">
        <w:rPr>
          <w:color w:val="000000" w:themeColor="text1"/>
        </w:rPr>
        <w:t xml:space="preserve">pharmacodynamic interaction </w:t>
      </w:r>
      <w:r w:rsidR="003A1E5D" w:rsidRPr="00F533B4">
        <w:rPr>
          <w:color w:val="000000" w:themeColor="text1"/>
        </w:rPr>
        <w:t>model</w:t>
      </w:r>
      <w:r w:rsidRPr="00F533B4">
        <w:rPr>
          <w:color w:val="000000" w:themeColor="text1"/>
        </w:rPr>
        <w:t xml:space="preserve"> </w:t>
      </w:r>
      <w:r w:rsidR="003A1E5D" w:rsidRPr="00F533B4">
        <w:rPr>
          <w:color w:val="000000" w:themeColor="text1"/>
        </w:rPr>
        <w:t xml:space="preserve">to the PK-PD data </w:t>
      </w:r>
      <w:r w:rsidR="0072732A" w:rsidRPr="00F533B4">
        <w:rPr>
          <w:color w:val="000000" w:themeColor="text1"/>
        </w:rPr>
        <w:t>(</w:t>
      </w:r>
      <w:r w:rsidR="003A1E5D" w:rsidRPr="00F533B4">
        <w:rPr>
          <w:color w:val="000000" w:themeColor="text1"/>
        </w:rPr>
        <w:t xml:space="preserve">Table </w:t>
      </w:r>
      <w:r w:rsidR="00E70504">
        <w:rPr>
          <w:color w:val="000000" w:themeColor="text1"/>
        </w:rPr>
        <w:t>1</w:t>
      </w:r>
      <w:r w:rsidR="0072732A" w:rsidRPr="00F533B4">
        <w:rPr>
          <w:color w:val="000000" w:themeColor="text1"/>
        </w:rPr>
        <w:t>)</w:t>
      </w:r>
      <w:r w:rsidRPr="00F533B4">
        <w:rPr>
          <w:color w:val="000000" w:themeColor="text1"/>
        </w:rPr>
        <w:t xml:space="preserve">. </w:t>
      </w:r>
      <w:r w:rsidR="002D4357">
        <w:rPr>
          <w:color w:val="000000" w:themeColor="text1"/>
        </w:rPr>
        <w:t xml:space="preserve">The R-squared values for the </w:t>
      </w:r>
      <w:proofErr w:type="spellStart"/>
      <w:r w:rsidR="002D4357">
        <w:rPr>
          <w:color w:val="000000" w:themeColor="text1"/>
        </w:rPr>
        <w:t>observered</w:t>
      </w:r>
      <w:proofErr w:type="spellEnd"/>
      <w:r w:rsidR="002D4357">
        <w:rPr>
          <w:color w:val="000000" w:themeColor="text1"/>
        </w:rPr>
        <w:t xml:space="preserve"> vs individual predicted values were 0.875 (</w:t>
      </w:r>
      <w:r w:rsidR="0061683A">
        <w:rPr>
          <w:color w:val="000000" w:themeColor="text1"/>
        </w:rPr>
        <w:t xml:space="preserve">free </w:t>
      </w:r>
      <w:r w:rsidR="002D4357">
        <w:rPr>
          <w:color w:val="000000" w:themeColor="text1"/>
        </w:rPr>
        <w:t>fosfomycin concentrations), 0.963 (</w:t>
      </w:r>
      <w:r w:rsidR="0061683A">
        <w:rPr>
          <w:color w:val="000000" w:themeColor="text1"/>
        </w:rPr>
        <w:t xml:space="preserve">free </w:t>
      </w:r>
      <w:r w:rsidR="002D4357">
        <w:rPr>
          <w:color w:val="000000" w:themeColor="text1"/>
        </w:rPr>
        <w:t>amikacin concentrations), 0.869 (total bacterial count), 0.944 (fosfomycin-resistant bacterial count) and 0.669 (amikacin-resistant bacterial count)</w:t>
      </w:r>
      <w:r w:rsidR="00045442">
        <w:rPr>
          <w:color w:val="000000" w:themeColor="text1"/>
        </w:rPr>
        <w:t>.</w:t>
      </w:r>
      <w:r w:rsidR="007D63DF" w:rsidRPr="00F533B4">
        <w:rPr>
          <w:color w:val="000000" w:themeColor="text1"/>
        </w:rPr>
        <w:t xml:space="preserve"> </w:t>
      </w:r>
      <w:r w:rsidR="00BB4220" w:rsidRPr="00F533B4">
        <w:rPr>
          <w:color w:val="000000" w:themeColor="text1"/>
        </w:rPr>
        <w:t>There w</w:t>
      </w:r>
      <w:r w:rsidR="00BB4220">
        <w:rPr>
          <w:color w:val="000000" w:themeColor="text1"/>
        </w:rPr>
        <w:t>ere</w:t>
      </w:r>
      <w:r w:rsidR="00BB4220" w:rsidRPr="00F533B4">
        <w:rPr>
          <w:color w:val="000000" w:themeColor="text1"/>
        </w:rPr>
        <w:t xml:space="preserve"> synergistic relationships for the effects of the combination on susceptible, fosfomycin-resistant, and amikacin-resistant bacteria with </w:t>
      </w:r>
      <w:r w:rsidR="00BB4220" w:rsidRPr="00F533B4">
        <w:rPr>
          <w:color w:val="000000" w:themeColor="text1"/>
        </w:rPr>
        <w:sym w:font="Symbol" w:char="F061"/>
      </w:r>
      <w:r w:rsidR="00BB4220" w:rsidRPr="00F533B4">
        <w:rPr>
          <w:color w:val="000000" w:themeColor="text1"/>
        </w:rPr>
        <w:t xml:space="preserve"> values of 13.046 [95% CI 0.761 – </w:t>
      </w:r>
      <w:r w:rsidR="00BB4220" w:rsidRPr="00F533B4">
        <w:rPr>
          <w:color w:val="000000" w:themeColor="text1"/>
        </w:rPr>
        <w:lastRenderedPageBreak/>
        <w:t xml:space="preserve">25.331], 20.520 [95% CI 11.727 – 29.313], and 25.227 [95% CI 14.485 – 35.969], respectively.  </w:t>
      </w:r>
      <w:r w:rsidR="007D63DF" w:rsidRPr="00F533B4">
        <w:rPr>
          <w:color w:val="000000" w:themeColor="text1"/>
        </w:rPr>
        <w:t>Hence, the combination of</w:t>
      </w:r>
      <w:r w:rsidR="00FC1A0E" w:rsidRPr="00F533B4">
        <w:rPr>
          <w:color w:val="000000" w:themeColor="text1"/>
        </w:rPr>
        <w:t xml:space="preserve"> fosfomycin and amikacin </w:t>
      </w:r>
      <w:r w:rsidR="007D63DF" w:rsidRPr="00F533B4">
        <w:rPr>
          <w:color w:val="000000" w:themeColor="text1"/>
        </w:rPr>
        <w:t>was synergistic in terms of killing</w:t>
      </w:r>
      <w:r w:rsidR="00FC1A0E" w:rsidRPr="00F533B4">
        <w:rPr>
          <w:color w:val="000000" w:themeColor="text1"/>
        </w:rPr>
        <w:t xml:space="preserve"> </w:t>
      </w:r>
      <w:r w:rsidR="007D63DF" w:rsidRPr="00F533B4">
        <w:rPr>
          <w:color w:val="000000" w:themeColor="text1"/>
        </w:rPr>
        <w:t xml:space="preserve">both </w:t>
      </w:r>
      <w:r w:rsidR="00A12D7B">
        <w:rPr>
          <w:color w:val="000000" w:themeColor="text1"/>
        </w:rPr>
        <w:t>drug-</w:t>
      </w:r>
      <w:r w:rsidR="007D63DF" w:rsidRPr="00F533B4">
        <w:rPr>
          <w:color w:val="000000" w:themeColor="text1"/>
        </w:rPr>
        <w:t xml:space="preserve">susceptible and </w:t>
      </w:r>
      <w:r w:rsidR="00670A6A" w:rsidRPr="00F533B4">
        <w:rPr>
          <w:color w:val="000000" w:themeColor="text1"/>
        </w:rPr>
        <w:t>-</w:t>
      </w:r>
      <w:r w:rsidR="007D63DF" w:rsidRPr="00F533B4">
        <w:rPr>
          <w:color w:val="000000" w:themeColor="text1"/>
        </w:rPr>
        <w:t>resistant subpopulations</w:t>
      </w:r>
      <w:r w:rsidR="00FC1A0E" w:rsidRPr="00F533B4">
        <w:rPr>
          <w:color w:val="000000" w:themeColor="text1"/>
        </w:rPr>
        <w:t>.</w:t>
      </w:r>
      <w:r w:rsidR="002D4357">
        <w:rPr>
          <w:color w:val="000000" w:themeColor="text1"/>
        </w:rPr>
        <w:t xml:space="preserve"> </w:t>
      </w:r>
    </w:p>
    <w:p w14:paraId="37B0E4F3" w14:textId="77777777" w:rsidR="00E72EBF" w:rsidRPr="00F533B4" w:rsidRDefault="00E72EBF" w:rsidP="00501CB2">
      <w:pPr>
        <w:spacing w:before="120" w:line="480" w:lineRule="auto"/>
        <w:rPr>
          <w:color w:val="000000" w:themeColor="text1"/>
        </w:rPr>
      </w:pPr>
    </w:p>
    <w:p w14:paraId="3A2EB3A4" w14:textId="27FEA980" w:rsidR="00105FB0" w:rsidRPr="00F533B4" w:rsidRDefault="0072732A" w:rsidP="00501CB2">
      <w:pPr>
        <w:spacing w:before="120" w:line="480" w:lineRule="auto"/>
        <w:rPr>
          <w:b/>
          <w:color w:val="000000" w:themeColor="text1"/>
        </w:rPr>
      </w:pPr>
      <w:r w:rsidRPr="00F533B4">
        <w:rPr>
          <w:b/>
          <w:color w:val="000000" w:themeColor="text1"/>
        </w:rPr>
        <w:t xml:space="preserve">Assessment of </w:t>
      </w:r>
      <w:r w:rsidR="0084609B" w:rsidRPr="00F533B4">
        <w:rPr>
          <w:b/>
          <w:color w:val="000000" w:themeColor="text1"/>
        </w:rPr>
        <w:t xml:space="preserve">a Neonatal Combination Regimen of </w:t>
      </w:r>
      <w:r w:rsidR="00522947" w:rsidRPr="00F533B4">
        <w:rPr>
          <w:b/>
          <w:color w:val="000000" w:themeColor="text1"/>
        </w:rPr>
        <w:t xml:space="preserve">Fosfomycin </w:t>
      </w:r>
      <w:r w:rsidR="0084609B" w:rsidRPr="00F533B4">
        <w:rPr>
          <w:b/>
          <w:color w:val="000000" w:themeColor="text1"/>
        </w:rPr>
        <w:t xml:space="preserve">and </w:t>
      </w:r>
      <w:r w:rsidR="00522947" w:rsidRPr="00F533B4">
        <w:rPr>
          <w:b/>
          <w:color w:val="000000" w:themeColor="text1"/>
        </w:rPr>
        <w:t>Amikacin</w:t>
      </w:r>
    </w:p>
    <w:p w14:paraId="77633B53" w14:textId="6B06276D" w:rsidR="003E608D" w:rsidRPr="00F533B4" w:rsidRDefault="00425FE7" w:rsidP="00501CB2">
      <w:pPr>
        <w:spacing w:before="120" w:line="480" w:lineRule="auto"/>
        <w:rPr>
          <w:color w:val="000000" w:themeColor="text1"/>
        </w:rPr>
      </w:pPr>
      <w:r w:rsidRPr="00F533B4">
        <w:rPr>
          <w:color w:val="000000" w:themeColor="text1"/>
        </w:rPr>
        <w:t xml:space="preserve">We assessed the </w:t>
      </w:r>
      <w:r w:rsidR="007D63DF" w:rsidRPr="00F533B4">
        <w:rPr>
          <w:color w:val="000000" w:themeColor="text1"/>
        </w:rPr>
        <w:t xml:space="preserve">pharmacodynamics </w:t>
      </w:r>
      <w:r w:rsidRPr="00F533B4">
        <w:rPr>
          <w:color w:val="000000" w:themeColor="text1"/>
        </w:rPr>
        <w:t xml:space="preserve">of </w:t>
      </w:r>
      <w:r w:rsidR="007D63DF" w:rsidRPr="00F533B4">
        <w:rPr>
          <w:color w:val="000000" w:themeColor="text1"/>
        </w:rPr>
        <w:t xml:space="preserve">the combination of fosfomycin and amikacin using </w:t>
      </w:r>
      <w:r w:rsidR="003E608D">
        <w:rPr>
          <w:color w:val="000000" w:themeColor="text1"/>
        </w:rPr>
        <w:t xml:space="preserve">neonatal </w:t>
      </w:r>
      <w:r w:rsidR="007D63DF" w:rsidRPr="00F533B4">
        <w:rPr>
          <w:color w:val="000000" w:themeColor="text1"/>
        </w:rPr>
        <w:t>concentrat</w:t>
      </w:r>
      <w:r w:rsidR="00403534" w:rsidRPr="00F533B4">
        <w:rPr>
          <w:color w:val="000000" w:themeColor="text1"/>
        </w:rPr>
        <w:t>ion</w:t>
      </w:r>
      <w:r w:rsidR="007D63DF" w:rsidRPr="00F533B4">
        <w:rPr>
          <w:color w:val="000000" w:themeColor="text1"/>
        </w:rPr>
        <w:t>-time profiles of each drug</w:t>
      </w:r>
      <w:r w:rsidR="003B571E">
        <w:rPr>
          <w:color w:val="000000" w:themeColor="text1"/>
        </w:rPr>
        <w:t xml:space="preserve"> over a </w:t>
      </w:r>
      <w:proofErr w:type="gramStart"/>
      <w:r w:rsidR="003B571E">
        <w:rPr>
          <w:color w:val="000000" w:themeColor="text1"/>
        </w:rPr>
        <w:t>7 day</w:t>
      </w:r>
      <w:proofErr w:type="gramEnd"/>
      <w:r w:rsidR="003B571E">
        <w:rPr>
          <w:color w:val="000000" w:themeColor="text1"/>
        </w:rPr>
        <w:t xml:space="preserve"> period</w:t>
      </w:r>
      <w:r w:rsidR="002C3CBE" w:rsidRPr="00F533B4">
        <w:rPr>
          <w:color w:val="000000" w:themeColor="text1"/>
        </w:rPr>
        <w:t>.</w:t>
      </w:r>
      <w:r w:rsidR="007D63DF" w:rsidRPr="00F533B4">
        <w:rPr>
          <w:color w:val="000000" w:themeColor="text1"/>
        </w:rPr>
        <w:t xml:space="preserve"> </w:t>
      </w:r>
      <w:r w:rsidR="00A52316" w:rsidRPr="00F533B4">
        <w:rPr>
          <w:color w:val="000000" w:themeColor="text1"/>
        </w:rPr>
        <w:t xml:space="preserve">For amikacin, </w:t>
      </w:r>
      <w:r w:rsidR="00F019C4" w:rsidRPr="00F533B4">
        <w:rPr>
          <w:color w:val="000000" w:themeColor="text1"/>
        </w:rPr>
        <w:t xml:space="preserve">we </w:t>
      </w:r>
      <w:r w:rsidR="00A52316" w:rsidRPr="00F533B4">
        <w:rPr>
          <w:color w:val="000000" w:themeColor="text1"/>
        </w:rPr>
        <w:t xml:space="preserve">used a </w:t>
      </w:r>
      <w:r w:rsidR="009D547B">
        <w:rPr>
          <w:color w:val="000000" w:themeColor="text1"/>
        </w:rPr>
        <w:t>standard</w:t>
      </w:r>
      <w:r w:rsidR="009D547B" w:rsidRPr="00F533B4">
        <w:rPr>
          <w:color w:val="000000" w:themeColor="text1"/>
        </w:rPr>
        <w:t xml:space="preserve"> </w:t>
      </w:r>
      <w:r w:rsidR="002C3CBE" w:rsidRPr="00F533B4">
        <w:rPr>
          <w:color w:val="000000" w:themeColor="text1"/>
        </w:rPr>
        <w:t>neonatal</w:t>
      </w:r>
      <w:r w:rsidR="00A52316" w:rsidRPr="00F533B4">
        <w:rPr>
          <w:color w:val="000000" w:themeColor="text1"/>
        </w:rPr>
        <w:t xml:space="preserve"> dose of 15</w:t>
      </w:r>
      <w:r w:rsidR="003E608D">
        <w:rPr>
          <w:color w:val="000000" w:themeColor="text1"/>
        </w:rPr>
        <w:t xml:space="preserve"> </w:t>
      </w:r>
      <w:r w:rsidR="00A52316" w:rsidRPr="00F533B4">
        <w:rPr>
          <w:color w:val="000000" w:themeColor="text1"/>
        </w:rPr>
        <w:t xml:space="preserve">mg/kg </w:t>
      </w:r>
      <w:r w:rsidR="003E608D">
        <w:rPr>
          <w:color w:val="000000" w:themeColor="text1"/>
        </w:rPr>
        <w:t>q24h</w:t>
      </w:r>
      <w:r w:rsidR="002C3CBE" w:rsidRPr="00F533B4">
        <w:rPr>
          <w:color w:val="000000" w:themeColor="text1"/>
        </w:rPr>
        <w:t xml:space="preserve"> </w:t>
      </w:r>
      <w:r w:rsidR="002C3CBE" w:rsidRPr="00F533B4">
        <w:rPr>
          <w:color w:val="000000" w:themeColor="text1"/>
        </w:rPr>
        <w:fldChar w:fldCharType="begin" w:fldLock="1"/>
      </w:r>
      <w:r w:rsidR="005578B0">
        <w:rPr>
          <w:color w:val="000000" w:themeColor="text1"/>
        </w:rPr>
        <w:instrText>ADDIN CSL_CITATION {"citationItems":[{"id":"ITEM-1","itemData":{"URL":"http://www.medicinescomplete.com","accessed":{"date-parts":[["2020","11","1"]]},"author":[{"dropping-particle":"","family":"Joint Formulary Committee","given":"","non-dropping-particle":"","parse-names":false,"suffix":""}],"container-title":"BMJ Group ad Pharmacetucial Press","id":"ITEM-1","issued":{"date-parts":[["0"]]},"title":"British National Formulary (online)","type":"webpage"},"uris":["http://www.mendeley.com/documents/?uuid=fc119769-da56-4b56-ac1b-36860863aede"]}],"mendeley":{"formattedCitation":"(21)","plainTextFormattedCitation":"(21)","previouslyFormattedCitation":"(21)"},"properties":{"noteIndex":0},"schema":"https://github.com/citation-style-language/schema/raw/master/csl-citation.json"}</w:instrText>
      </w:r>
      <w:r w:rsidR="002C3CBE" w:rsidRPr="00F533B4">
        <w:rPr>
          <w:color w:val="000000" w:themeColor="text1"/>
        </w:rPr>
        <w:fldChar w:fldCharType="separate"/>
      </w:r>
      <w:r w:rsidR="005578B0" w:rsidRPr="005578B0">
        <w:rPr>
          <w:noProof/>
          <w:color w:val="000000" w:themeColor="text1"/>
        </w:rPr>
        <w:t>(21)</w:t>
      </w:r>
      <w:r w:rsidR="002C3CBE" w:rsidRPr="00F533B4">
        <w:rPr>
          <w:color w:val="000000" w:themeColor="text1"/>
        </w:rPr>
        <w:fldChar w:fldCharType="end"/>
      </w:r>
      <w:r w:rsidR="002C3CBE" w:rsidRPr="00F533B4">
        <w:rPr>
          <w:color w:val="000000" w:themeColor="text1"/>
        </w:rPr>
        <w:t xml:space="preserve"> and a median neonatal half-life of 7 h</w:t>
      </w:r>
      <w:r w:rsidR="003E608D">
        <w:rPr>
          <w:color w:val="000000" w:themeColor="text1"/>
        </w:rPr>
        <w:t>r</w:t>
      </w:r>
      <w:r w:rsidR="002C3CBE" w:rsidRPr="00F533B4">
        <w:rPr>
          <w:color w:val="000000" w:themeColor="text1"/>
        </w:rPr>
        <w:t xml:space="preserve"> </w:t>
      </w:r>
      <w:r w:rsidR="002C3CBE" w:rsidRPr="00F533B4">
        <w:rPr>
          <w:color w:val="000000" w:themeColor="text1"/>
        </w:rPr>
        <w:fldChar w:fldCharType="begin" w:fldLock="1"/>
      </w:r>
      <w:r w:rsidR="005578B0">
        <w:rPr>
          <w:color w:val="000000" w:themeColor="text1"/>
        </w:rPr>
        <w:instrText>ADDIN CSL_CITATION {"citationItems":[{"id":"ITEM-1","itemData":{"DOI":"10.1128/AAC.10.2.205","ISSN":"00664804","PMID":"984762","abstract":"The pharmacokinetic properties of amikacin (BBK8) were similar to those of kanamycin in newborn infants. Peak serum concentrations of both drugs were in the range of 15 to 25 mug/ml with the exception of kanamycin in babies weighing greater than 2,000 g at birth where peak levels were 12.5 to 15 mug/ml. Volumes of distribution, plasma clearances, and serum half-life values were comparable for the two drugs. The clinical and bacteriological responses to amikacin therapy were assessed in 45 neonates with bacterial diseases. A case fatality rate of 26% was observed in infants with septicemia and/or meningitis, whereas no deaths occurred among 22 infants with urinary tract and mucocutaneous infections. Cultures from infected sites were sterile within 72 h of initiating amikacin therapy in 47% of the infants, continued positive for greater than 72 h in 31%, and were not reevaluated during therapy in 22%. The clinical response was judged to be satisfactory in 92% of the surviving infants. The efficacy of amikacin was comparable to that of kanamycin or gentamicin in neonatal bacterial diseases.","author":[{"dropping-particle":"","family":"Howard","given":"J. B.","non-dropping-particle":"","parse-names":false,"suffix":""},{"dropping-particle":"","family":"McCracken","given":"G. H.","non-dropping-particle":"","parse-names":false,"suffix":""},{"dropping-particle":"","family":"Trujillo","given":"H.","non-dropping-particle":"","parse-names":false,"suffix":""},{"dropping-particle":"","family":"Mohs","given":"E.","non-dropping-particle":"","parse-names":false,"suffix":""}],"container-title":"Antimicrobial Agents and Chemotherapy","id":"ITEM-1","issue":"2","issued":{"date-parts":[["1976"]]},"page":"205-210","title":"Amikacin in newborn infants: comparative pharmacology with kanamycin and clinical efficacy in 45 neonates with bacterial diseases","type":"article-journal","volume":"10"},"uris":["http://www.mendeley.com/documents/?uuid=382c3911-c305-495d-b2db-7c07f1df5e36"]}],"mendeley":{"formattedCitation":"(22)","plainTextFormattedCitation":"(22)","previouslyFormattedCitation":"(22)"},"properties":{"noteIndex":0},"schema":"https://github.com/citation-style-language/schema/raw/master/csl-citation.json"}</w:instrText>
      </w:r>
      <w:r w:rsidR="002C3CBE" w:rsidRPr="00F533B4">
        <w:rPr>
          <w:color w:val="000000" w:themeColor="text1"/>
        </w:rPr>
        <w:fldChar w:fldCharType="separate"/>
      </w:r>
      <w:r w:rsidR="005578B0" w:rsidRPr="005578B0">
        <w:rPr>
          <w:noProof/>
          <w:color w:val="000000" w:themeColor="text1"/>
        </w:rPr>
        <w:t>(22)</w:t>
      </w:r>
      <w:r w:rsidR="002C3CBE" w:rsidRPr="00F533B4">
        <w:rPr>
          <w:color w:val="000000" w:themeColor="text1"/>
        </w:rPr>
        <w:fldChar w:fldCharType="end"/>
      </w:r>
      <w:r w:rsidR="002C3CBE" w:rsidRPr="00F533B4">
        <w:rPr>
          <w:color w:val="000000" w:themeColor="text1"/>
        </w:rPr>
        <w:t xml:space="preserve">. For </w:t>
      </w:r>
      <w:r w:rsidR="00BB4220" w:rsidRPr="00F533B4">
        <w:rPr>
          <w:color w:val="000000" w:themeColor="text1"/>
        </w:rPr>
        <w:t>fos</w:t>
      </w:r>
      <w:r w:rsidR="00BB4220">
        <w:rPr>
          <w:color w:val="000000" w:themeColor="text1"/>
        </w:rPr>
        <w:t>fo</w:t>
      </w:r>
      <w:r w:rsidR="00BB4220" w:rsidRPr="00F533B4">
        <w:rPr>
          <w:color w:val="000000" w:themeColor="text1"/>
        </w:rPr>
        <w:t>mycin</w:t>
      </w:r>
      <w:r w:rsidR="002C3CBE" w:rsidRPr="00F533B4">
        <w:rPr>
          <w:color w:val="000000" w:themeColor="text1"/>
        </w:rPr>
        <w:t xml:space="preserve"> we used a neonatal dose of 100mg/kg </w:t>
      </w:r>
      <w:r w:rsidR="003E608D">
        <w:rPr>
          <w:color w:val="000000" w:themeColor="text1"/>
        </w:rPr>
        <w:t>q12h</w:t>
      </w:r>
      <w:r w:rsidR="002C3CBE" w:rsidRPr="00F533B4">
        <w:rPr>
          <w:color w:val="000000" w:themeColor="text1"/>
        </w:rPr>
        <w:t xml:space="preserve"> with a half</w:t>
      </w:r>
      <w:r w:rsidR="003E608D">
        <w:rPr>
          <w:color w:val="000000" w:themeColor="text1"/>
        </w:rPr>
        <w:t>-</w:t>
      </w:r>
      <w:r w:rsidR="002C3CBE" w:rsidRPr="00F533B4">
        <w:rPr>
          <w:color w:val="000000" w:themeColor="text1"/>
        </w:rPr>
        <w:t>life of 5.2</w:t>
      </w:r>
      <w:r w:rsidR="003E608D">
        <w:rPr>
          <w:color w:val="000000" w:themeColor="text1"/>
        </w:rPr>
        <w:t xml:space="preserve"> </w:t>
      </w:r>
      <w:r w:rsidR="002C3CBE" w:rsidRPr="00F533B4">
        <w:rPr>
          <w:color w:val="000000" w:themeColor="text1"/>
        </w:rPr>
        <w:t>h</w:t>
      </w:r>
      <w:r w:rsidR="003E608D">
        <w:rPr>
          <w:color w:val="000000" w:themeColor="text1"/>
        </w:rPr>
        <w:t>r</w:t>
      </w:r>
      <w:r w:rsidR="002C3CBE" w:rsidRPr="00F533B4">
        <w:rPr>
          <w:color w:val="000000" w:themeColor="text1"/>
        </w:rPr>
        <w:t xml:space="preserve">, based on preliminary data from the </w:t>
      </w:r>
      <w:proofErr w:type="spellStart"/>
      <w:r w:rsidR="002C3CBE" w:rsidRPr="00F533B4">
        <w:rPr>
          <w:color w:val="000000" w:themeColor="text1"/>
        </w:rPr>
        <w:t>NeoFosfo</w:t>
      </w:r>
      <w:proofErr w:type="spellEnd"/>
      <w:r w:rsidR="002C3CBE" w:rsidRPr="00F533B4">
        <w:rPr>
          <w:color w:val="000000" w:themeColor="text1"/>
        </w:rPr>
        <w:t xml:space="preserve"> trial </w:t>
      </w:r>
      <w:r w:rsidR="002C3CBE" w:rsidRPr="00F533B4">
        <w:rPr>
          <w:color w:val="000000" w:themeColor="text1"/>
        </w:rPr>
        <w:fldChar w:fldCharType="begin" w:fldLock="1"/>
      </w:r>
      <w:r w:rsidR="005578B0">
        <w:rPr>
          <w:color w:val="000000" w:themeColor="text1"/>
        </w:rPr>
        <w:instrText>ADDIN CSL_CITATION {"citationItems":[{"id":"ITEM-1","itemData":{"URL":"https://clinicaltrials.gov/ct2/show/NCT03453177","container-title":"Clinicaltrials.gov","id":"ITEM-1","issued":{"date-parts":[["2019"]]},"title":"Intravenous and Oral Fosfomycin in Hospitalised Neonates With Clinical Sepsis (NeoFosfo) - NCT03453177","type":"webpage"},"uris":["http://www.mendeley.com/documents/?uuid=35483161-7169-44ac-b3a2-c332e5f45336"]}],"mendeley":{"formattedCitation":"(23)","plainTextFormattedCitation":"(23)","previouslyFormattedCitation":"(23)"},"properties":{"noteIndex":0},"schema":"https://github.com/citation-style-language/schema/raw/master/csl-citation.json"}</w:instrText>
      </w:r>
      <w:r w:rsidR="002C3CBE" w:rsidRPr="00F533B4">
        <w:rPr>
          <w:color w:val="000000" w:themeColor="text1"/>
        </w:rPr>
        <w:fldChar w:fldCharType="separate"/>
      </w:r>
      <w:r w:rsidR="005578B0" w:rsidRPr="005578B0">
        <w:rPr>
          <w:noProof/>
          <w:color w:val="000000" w:themeColor="text1"/>
        </w:rPr>
        <w:t>(23)</w:t>
      </w:r>
      <w:r w:rsidR="002C3CBE" w:rsidRPr="00F533B4">
        <w:rPr>
          <w:color w:val="000000" w:themeColor="text1"/>
        </w:rPr>
        <w:fldChar w:fldCharType="end"/>
      </w:r>
      <w:r w:rsidR="003E608D">
        <w:rPr>
          <w:color w:val="000000" w:themeColor="text1"/>
        </w:rPr>
        <w:t>.</w:t>
      </w:r>
      <w:r w:rsidR="002C3CBE" w:rsidRPr="00F533B4">
        <w:rPr>
          <w:color w:val="000000" w:themeColor="text1"/>
        </w:rPr>
        <w:t xml:space="preserve"> </w:t>
      </w:r>
      <w:r w:rsidR="007D63DF" w:rsidRPr="00F533B4">
        <w:rPr>
          <w:color w:val="000000" w:themeColor="text1"/>
        </w:rPr>
        <w:t xml:space="preserve">We selected </w:t>
      </w:r>
      <w:r w:rsidR="00A12D7B">
        <w:rPr>
          <w:color w:val="000000" w:themeColor="text1"/>
        </w:rPr>
        <w:t>nine</w:t>
      </w:r>
      <w:r w:rsidR="003E608D" w:rsidRPr="00F533B4">
        <w:rPr>
          <w:color w:val="000000" w:themeColor="text1"/>
        </w:rPr>
        <w:t xml:space="preserve"> </w:t>
      </w:r>
      <w:r w:rsidRPr="00F533B4">
        <w:rPr>
          <w:color w:val="000000" w:themeColor="text1"/>
        </w:rPr>
        <w:t xml:space="preserve">Gram-negative </w:t>
      </w:r>
      <w:r w:rsidR="00A12D7B">
        <w:rPr>
          <w:color w:val="000000" w:themeColor="text1"/>
        </w:rPr>
        <w:t xml:space="preserve">bacteria as the </w:t>
      </w:r>
      <w:r w:rsidR="007D63DF" w:rsidRPr="00F533B4">
        <w:rPr>
          <w:color w:val="000000" w:themeColor="text1"/>
        </w:rPr>
        <w:t xml:space="preserve">challenge </w:t>
      </w:r>
      <w:r w:rsidRPr="00F533B4">
        <w:rPr>
          <w:color w:val="000000" w:themeColor="text1"/>
        </w:rPr>
        <w:t xml:space="preserve">strains </w:t>
      </w:r>
      <w:r w:rsidR="007D63DF" w:rsidRPr="00F533B4">
        <w:rPr>
          <w:color w:val="000000" w:themeColor="text1"/>
        </w:rPr>
        <w:t>that had a range of</w:t>
      </w:r>
      <w:r w:rsidRPr="00F533B4">
        <w:rPr>
          <w:color w:val="000000" w:themeColor="text1"/>
        </w:rPr>
        <w:t xml:space="preserve"> MIC</w:t>
      </w:r>
      <w:r w:rsidR="007D63DF" w:rsidRPr="00F533B4">
        <w:rPr>
          <w:color w:val="000000" w:themeColor="text1"/>
        </w:rPr>
        <w:t>s</w:t>
      </w:r>
      <w:r w:rsidR="00A12D7B">
        <w:rPr>
          <w:color w:val="000000" w:themeColor="text1"/>
        </w:rPr>
        <w:t xml:space="preserve"> to both drugs</w:t>
      </w:r>
      <w:r w:rsidRPr="00F533B4">
        <w:rPr>
          <w:color w:val="000000" w:themeColor="text1"/>
        </w:rPr>
        <w:t xml:space="preserve"> </w:t>
      </w:r>
      <w:r w:rsidR="007D63DF" w:rsidRPr="00F533B4">
        <w:rPr>
          <w:color w:val="000000" w:themeColor="text1"/>
        </w:rPr>
        <w:t>and</w:t>
      </w:r>
      <w:r w:rsidR="00A12D7B">
        <w:rPr>
          <w:color w:val="000000" w:themeColor="text1"/>
        </w:rPr>
        <w:t xml:space="preserve"> had</w:t>
      </w:r>
      <w:r w:rsidR="007D63DF" w:rsidRPr="00F533B4">
        <w:rPr>
          <w:color w:val="000000" w:themeColor="text1"/>
        </w:rPr>
        <w:t xml:space="preserve"> different mechanisms of resistance</w:t>
      </w:r>
      <w:r w:rsidR="00A12D7B">
        <w:rPr>
          <w:color w:val="000000" w:themeColor="text1"/>
        </w:rPr>
        <w:t xml:space="preserve"> (</w:t>
      </w:r>
      <w:r w:rsidR="00875BD4">
        <w:rPr>
          <w:color w:val="000000" w:themeColor="text1"/>
        </w:rPr>
        <w:t>T</w:t>
      </w:r>
      <w:r w:rsidR="00A12D7B">
        <w:rPr>
          <w:color w:val="000000" w:themeColor="text1"/>
        </w:rPr>
        <w:t xml:space="preserve">able </w:t>
      </w:r>
      <w:r w:rsidR="00E70504">
        <w:rPr>
          <w:color w:val="000000" w:themeColor="text1"/>
        </w:rPr>
        <w:t>2</w:t>
      </w:r>
      <w:r w:rsidR="00A12D7B">
        <w:rPr>
          <w:color w:val="000000" w:themeColor="text1"/>
        </w:rPr>
        <w:t>)</w:t>
      </w:r>
      <w:r w:rsidRPr="00F533B4">
        <w:rPr>
          <w:color w:val="000000" w:themeColor="text1"/>
        </w:rPr>
        <w:t>.</w:t>
      </w:r>
      <w:r w:rsidR="008560C7" w:rsidRPr="00F533B4">
        <w:rPr>
          <w:color w:val="000000" w:themeColor="text1"/>
        </w:rPr>
        <w:t xml:space="preserve"> </w:t>
      </w:r>
      <w:r w:rsidR="007D63DF" w:rsidRPr="00F533B4">
        <w:rPr>
          <w:color w:val="000000" w:themeColor="text1"/>
        </w:rPr>
        <w:t xml:space="preserve"> We successfully recapitulated the target </w:t>
      </w:r>
      <w:r w:rsidR="00403534" w:rsidRPr="00F533B4">
        <w:rPr>
          <w:color w:val="000000" w:themeColor="text1"/>
        </w:rPr>
        <w:t xml:space="preserve">free drug </w:t>
      </w:r>
      <w:r w:rsidR="007D63DF" w:rsidRPr="00F533B4">
        <w:rPr>
          <w:color w:val="000000" w:themeColor="text1"/>
        </w:rPr>
        <w:t>PK profiles associated with each regimen</w:t>
      </w:r>
      <w:r w:rsidR="003E608D">
        <w:rPr>
          <w:color w:val="000000" w:themeColor="text1"/>
        </w:rPr>
        <w:t xml:space="preserve"> (data not shown)</w:t>
      </w:r>
      <w:r w:rsidR="007D63DF" w:rsidRPr="00F533B4">
        <w:rPr>
          <w:color w:val="000000" w:themeColor="text1"/>
        </w:rPr>
        <w:t xml:space="preserve">.  </w:t>
      </w:r>
    </w:p>
    <w:p w14:paraId="350EDD68" w14:textId="426AB0F0" w:rsidR="00B02601" w:rsidRDefault="00F6331B" w:rsidP="00501CB2">
      <w:pPr>
        <w:spacing w:before="120" w:line="480" w:lineRule="auto"/>
        <w:rPr>
          <w:color w:val="000000" w:themeColor="text1"/>
        </w:rPr>
      </w:pPr>
      <w:r w:rsidRPr="00F533B4">
        <w:rPr>
          <w:color w:val="000000" w:themeColor="text1"/>
        </w:rPr>
        <w:t>The</w:t>
      </w:r>
      <w:r w:rsidR="00445372" w:rsidRPr="00F533B4">
        <w:rPr>
          <w:color w:val="000000" w:themeColor="text1"/>
        </w:rPr>
        <w:t xml:space="preserve"> summary</w:t>
      </w:r>
      <w:r w:rsidRPr="00F533B4">
        <w:rPr>
          <w:color w:val="000000" w:themeColor="text1"/>
        </w:rPr>
        <w:t xml:space="preserve"> pharmacodynamics are shown in Fig. </w:t>
      </w:r>
      <w:r w:rsidR="004C3EF5">
        <w:rPr>
          <w:color w:val="000000" w:themeColor="text1"/>
        </w:rPr>
        <w:t xml:space="preserve">4 </w:t>
      </w:r>
      <w:r w:rsidR="00DC75E6">
        <w:rPr>
          <w:color w:val="000000" w:themeColor="text1"/>
        </w:rPr>
        <w:t>(full pharmacodynamic output are shown in Fig</w:t>
      </w:r>
      <w:r w:rsidR="00932FE0">
        <w:rPr>
          <w:color w:val="000000" w:themeColor="text1"/>
        </w:rPr>
        <w:t>.</w:t>
      </w:r>
      <w:r w:rsidR="00DC75E6">
        <w:rPr>
          <w:color w:val="000000" w:themeColor="text1"/>
        </w:rPr>
        <w:t xml:space="preserve"> </w:t>
      </w:r>
      <w:r w:rsidR="00932FE0">
        <w:rPr>
          <w:color w:val="000000" w:themeColor="text1"/>
        </w:rPr>
        <w:t>S</w:t>
      </w:r>
      <w:r w:rsidR="004C3EF5">
        <w:rPr>
          <w:color w:val="000000" w:themeColor="text1"/>
        </w:rPr>
        <w:t>2</w:t>
      </w:r>
      <w:r w:rsidR="00DC75E6">
        <w:rPr>
          <w:color w:val="000000" w:themeColor="text1"/>
        </w:rPr>
        <w:t>-</w:t>
      </w:r>
      <w:r w:rsidR="004C3EF5">
        <w:rPr>
          <w:color w:val="000000" w:themeColor="text1"/>
        </w:rPr>
        <w:t>10</w:t>
      </w:r>
      <w:r w:rsidR="00DC75E6">
        <w:rPr>
          <w:color w:val="000000" w:themeColor="text1"/>
        </w:rPr>
        <w:t>)</w:t>
      </w:r>
      <w:r w:rsidR="009E311F">
        <w:rPr>
          <w:color w:val="000000" w:themeColor="text1"/>
        </w:rPr>
        <w:t xml:space="preserve">. </w:t>
      </w:r>
      <w:r w:rsidRPr="00F533B4">
        <w:rPr>
          <w:color w:val="000000" w:themeColor="text1"/>
        </w:rPr>
        <w:t xml:space="preserve">When </w:t>
      </w:r>
      <w:r w:rsidR="00BB4220" w:rsidRPr="00F533B4">
        <w:rPr>
          <w:color w:val="000000" w:themeColor="text1"/>
        </w:rPr>
        <w:t>administered</w:t>
      </w:r>
      <w:r w:rsidRPr="00F533B4">
        <w:rPr>
          <w:color w:val="000000" w:themeColor="text1"/>
        </w:rPr>
        <w:t xml:space="preserve"> alone, amikacin </w:t>
      </w:r>
      <w:r w:rsidR="00425FE7" w:rsidRPr="00F533B4">
        <w:rPr>
          <w:color w:val="000000" w:themeColor="text1"/>
        </w:rPr>
        <w:t xml:space="preserve">and fosfomycin </w:t>
      </w:r>
      <w:r w:rsidR="008560C7" w:rsidRPr="00F533B4">
        <w:rPr>
          <w:color w:val="000000" w:themeColor="text1"/>
        </w:rPr>
        <w:t xml:space="preserve">failed to </w:t>
      </w:r>
      <w:r w:rsidRPr="00F533B4">
        <w:rPr>
          <w:color w:val="000000" w:themeColor="text1"/>
        </w:rPr>
        <w:t>achieve extinction</w:t>
      </w:r>
      <w:r w:rsidR="008560C7" w:rsidRPr="00F533B4">
        <w:rPr>
          <w:color w:val="000000" w:themeColor="text1"/>
        </w:rPr>
        <w:t xml:space="preserve"> in 9/9 </w:t>
      </w:r>
      <w:r w:rsidR="00425FE7" w:rsidRPr="00F533B4">
        <w:rPr>
          <w:color w:val="000000" w:themeColor="text1"/>
        </w:rPr>
        <w:t xml:space="preserve">and </w:t>
      </w:r>
      <w:r w:rsidR="0092041D">
        <w:rPr>
          <w:color w:val="000000" w:themeColor="text1"/>
        </w:rPr>
        <w:t>7</w:t>
      </w:r>
      <w:r w:rsidR="00425FE7" w:rsidRPr="00F533B4">
        <w:rPr>
          <w:color w:val="000000" w:themeColor="text1"/>
        </w:rPr>
        <w:t xml:space="preserve">/9 </w:t>
      </w:r>
      <w:r w:rsidR="008560C7" w:rsidRPr="00F533B4">
        <w:rPr>
          <w:color w:val="000000" w:themeColor="text1"/>
        </w:rPr>
        <w:t>strains</w:t>
      </w:r>
      <w:r w:rsidR="00425FE7" w:rsidRPr="00F533B4">
        <w:rPr>
          <w:color w:val="000000" w:themeColor="text1"/>
        </w:rPr>
        <w:t>, respectively</w:t>
      </w:r>
      <w:r w:rsidR="00E0497F" w:rsidRPr="00F533B4">
        <w:rPr>
          <w:color w:val="000000" w:themeColor="text1"/>
        </w:rPr>
        <w:t>.</w:t>
      </w:r>
      <w:r w:rsidR="00425FE7" w:rsidRPr="00F533B4">
        <w:rPr>
          <w:color w:val="000000" w:themeColor="text1"/>
        </w:rPr>
        <w:t xml:space="preserve"> </w:t>
      </w:r>
      <w:r w:rsidRPr="00F533B4">
        <w:rPr>
          <w:color w:val="000000" w:themeColor="text1"/>
        </w:rPr>
        <w:t xml:space="preserve"> </w:t>
      </w:r>
      <w:r w:rsidR="00445372" w:rsidRPr="00F533B4">
        <w:rPr>
          <w:color w:val="000000" w:themeColor="text1"/>
        </w:rPr>
        <w:t xml:space="preserve">All </w:t>
      </w:r>
      <w:r w:rsidR="00A12D7B">
        <w:rPr>
          <w:color w:val="000000" w:themeColor="text1"/>
        </w:rPr>
        <w:t xml:space="preserve">arms with </w:t>
      </w:r>
      <w:r w:rsidR="00445372" w:rsidRPr="00F533B4">
        <w:rPr>
          <w:color w:val="000000" w:themeColor="text1"/>
        </w:rPr>
        <w:t xml:space="preserve">strains </w:t>
      </w:r>
      <w:r w:rsidR="00A12D7B">
        <w:rPr>
          <w:color w:val="000000" w:themeColor="text1"/>
        </w:rPr>
        <w:t>inhibited by</w:t>
      </w:r>
      <w:r w:rsidR="00445372" w:rsidRPr="00F533B4">
        <w:rPr>
          <w:color w:val="000000" w:themeColor="text1"/>
        </w:rPr>
        <w:t xml:space="preserve"> fosfomycin MICs &gt;4mg/L treated with fosfomycin monotherapy had rapid emergence of resistance within 24h. The three strains </w:t>
      </w:r>
      <w:r w:rsidR="00A12D7B">
        <w:rPr>
          <w:color w:val="000000" w:themeColor="text1"/>
        </w:rPr>
        <w:t>inhibited by</w:t>
      </w:r>
      <w:r w:rsidR="00445372" w:rsidRPr="00F533B4">
        <w:rPr>
          <w:color w:val="000000" w:themeColor="text1"/>
        </w:rPr>
        <w:t xml:space="preserve"> fosfomycin MICs </w:t>
      </w:r>
      <w:r w:rsidR="00445372" w:rsidRPr="00F533B4">
        <w:rPr>
          <w:color w:val="000000" w:themeColor="text1"/>
        </w:rPr>
        <w:sym w:font="Symbol" w:char="F0A3"/>
      </w:r>
      <w:r w:rsidR="00445372" w:rsidRPr="00F533B4">
        <w:rPr>
          <w:color w:val="000000" w:themeColor="text1"/>
        </w:rPr>
        <w:t>4mg/L were either killed to sterility (two strains) or had delayed emergence of resistance towards the end of the experiment.</w:t>
      </w:r>
      <w:r w:rsidR="00E0497F" w:rsidRPr="00F533B4">
        <w:rPr>
          <w:color w:val="000000" w:themeColor="text1"/>
        </w:rPr>
        <w:t xml:space="preserve"> </w:t>
      </w:r>
      <w:r w:rsidR="008560C7" w:rsidRPr="00F533B4">
        <w:rPr>
          <w:color w:val="000000" w:themeColor="text1"/>
        </w:rPr>
        <w:t xml:space="preserve">In contrast, the combination regimen </w:t>
      </w:r>
      <w:r w:rsidRPr="00F533B4">
        <w:rPr>
          <w:color w:val="000000" w:themeColor="text1"/>
        </w:rPr>
        <w:t>achieved extinction</w:t>
      </w:r>
      <w:r w:rsidR="008560C7" w:rsidRPr="00F533B4">
        <w:rPr>
          <w:color w:val="000000" w:themeColor="text1"/>
        </w:rPr>
        <w:t xml:space="preserve"> in 6/9 strains.</w:t>
      </w:r>
      <w:r w:rsidR="00E0497F" w:rsidRPr="00F533B4">
        <w:rPr>
          <w:color w:val="000000" w:themeColor="text1"/>
        </w:rPr>
        <w:t xml:space="preserve"> The strains </w:t>
      </w:r>
      <w:r w:rsidR="00882D53" w:rsidRPr="00F533B4">
        <w:rPr>
          <w:color w:val="000000" w:themeColor="text1"/>
        </w:rPr>
        <w:t xml:space="preserve">for which the combination failed </w:t>
      </w:r>
      <w:r w:rsidR="00A12D7B">
        <w:rPr>
          <w:color w:val="000000" w:themeColor="text1"/>
        </w:rPr>
        <w:t>were</w:t>
      </w:r>
      <w:r w:rsidR="00882D53" w:rsidRPr="00F533B4">
        <w:rPr>
          <w:color w:val="000000" w:themeColor="text1"/>
        </w:rPr>
        <w:t xml:space="preserve"> </w:t>
      </w:r>
      <w:r w:rsidR="00A12D7B">
        <w:rPr>
          <w:color w:val="000000" w:themeColor="text1"/>
        </w:rPr>
        <w:t>all inhibited by</w:t>
      </w:r>
      <w:r w:rsidR="00882D53" w:rsidRPr="00F533B4">
        <w:rPr>
          <w:color w:val="000000" w:themeColor="text1"/>
        </w:rPr>
        <w:t xml:space="preserve"> MICs </w:t>
      </w:r>
      <w:r w:rsidR="00882D53" w:rsidRPr="00F533B4">
        <w:rPr>
          <w:color w:val="000000" w:themeColor="text1"/>
        </w:rPr>
        <w:sym w:font="Symbol" w:char="F0B3"/>
      </w:r>
      <w:r w:rsidR="007D2A34" w:rsidRPr="00F533B4">
        <w:rPr>
          <w:color w:val="000000" w:themeColor="text1"/>
        </w:rPr>
        <w:t xml:space="preserve"> </w:t>
      </w:r>
      <w:r w:rsidR="00882D53" w:rsidRPr="00F533B4">
        <w:rPr>
          <w:color w:val="000000" w:themeColor="text1"/>
        </w:rPr>
        <w:t>32mg/</w:t>
      </w:r>
      <w:r w:rsidRPr="00F533B4">
        <w:rPr>
          <w:color w:val="000000" w:themeColor="text1"/>
        </w:rPr>
        <w:t>L</w:t>
      </w:r>
      <w:r w:rsidR="00882D53" w:rsidRPr="00F533B4">
        <w:rPr>
          <w:color w:val="000000" w:themeColor="text1"/>
        </w:rPr>
        <w:t xml:space="preserve"> and </w:t>
      </w:r>
      <w:r w:rsidRPr="00F533B4">
        <w:rPr>
          <w:color w:val="000000" w:themeColor="text1"/>
        </w:rPr>
        <w:sym w:font="Symbol" w:char="F0B3"/>
      </w:r>
      <w:r w:rsidR="007D2A34" w:rsidRPr="00F533B4">
        <w:rPr>
          <w:color w:val="000000" w:themeColor="text1"/>
        </w:rPr>
        <w:t xml:space="preserve"> </w:t>
      </w:r>
      <w:r w:rsidRPr="00F533B4">
        <w:rPr>
          <w:color w:val="000000" w:themeColor="text1"/>
        </w:rPr>
        <w:t xml:space="preserve">8mg/L for fosfomycin and </w:t>
      </w:r>
      <w:r w:rsidR="00882D53" w:rsidRPr="00F533B4">
        <w:rPr>
          <w:color w:val="000000" w:themeColor="text1"/>
        </w:rPr>
        <w:t>amikaci</w:t>
      </w:r>
      <w:r w:rsidRPr="00F533B4">
        <w:rPr>
          <w:color w:val="000000" w:themeColor="text1"/>
        </w:rPr>
        <w:t xml:space="preserve">n, </w:t>
      </w:r>
      <w:r w:rsidRPr="00F533B4">
        <w:rPr>
          <w:color w:val="000000" w:themeColor="text1"/>
        </w:rPr>
        <w:lastRenderedPageBreak/>
        <w:t>respectively</w:t>
      </w:r>
      <w:r w:rsidR="00882D53" w:rsidRPr="00F533B4">
        <w:rPr>
          <w:color w:val="000000" w:themeColor="text1"/>
        </w:rPr>
        <w:t>.</w:t>
      </w:r>
      <w:r w:rsidR="000350C0" w:rsidRPr="00F533B4">
        <w:rPr>
          <w:color w:val="000000" w:themeColor="text1"/>
        </w:rPr>
        <w:t xml:space="preserve"> </w:t>
      </w:r>
      <w:r w:rsidRPr="00F533B4">
        <w:rPr>
          <w:color w:val="000000" w:themeColor="text1"/>
        </w:rPr>
        <w:t xml:space="preserve"> The distribution of combined</w:t>
      </w:r>
      <w:r w:rsidR="000350C0" w:rsidRPr="00F533B4">
        <w:rPr>
          <w:color w:val="000000" w:themeColor="text1"/>
        </w:rPr>
        <w:t xml:space="preserve"> fosfomycin and amikacin MICs </w:t>
      </w:r>
      <w:r w:rsidRPr="00F533B4">
        <w:rPr>
          <w:color w:val="000000" w:themeColor="text1"/>
        </w:rPr>
        <w:t>versus response is shown in</w:t>
      </w:r>
      <w:r w:rsidR="000350C0" w:rsidRPr="00F533B4">
        <w:rPr>
          <w:color w:val="000000" w:themeColor="text1"/>
        </w:rPr>
        <w:t xml:space="preserve"> </w:t>
      </w:r>
      <w:r w:rsidR="009E311F">
        <w:rPr>
          <w:color w:val="000000" w:themeColor="text1"/>
        </w:rPr>
        <w:t>Fig.</w:t>
      </w:r>
      <w:r w:rsidR="000350C0" w:rsidRPr="00F533B4">
        <w:rPr>
          <w:color w:val="000000" w:themeColor="text1"/>
        </w:rPr>
        <w:t xml:space="preserve"> </w:t>
      </w:r>
      <w:r w:rsidR="004C3EF5">
        <w:rPr>
          <w:color w:val="000000" w:themeColor="text1"/>
        </w:rPr>
        <w:t>4a</w:t>
      </w:r>
      <w:r w:rsidR="00B02601">
        <w:rPr>
          <w:color w:val="000000" w:themeColor="text1"/>
        </w:rPr>
        <w:t xml:space="preserve">. </w:t>
      </w:r>
      <w:r w:rsidR="009F6407">
        <w:rPr>
          <w:color w:val="000000" w:themeColor="text1"/>
        </w:rPr>
        <w:t xml:space="preserve">In </w:t>
      </w:r>
      <w:r w:rsidR="00B02601">
        <w:rPr>
          <w:color w:val="000000" w:themeColor="text1"/>
        </w:rPr>
        <w:t>this figure,</w:t>
      </w:r>
      <w:r w:rsidR="009F6407">
        <w:rPr>
          <w:color w:val="000000" w:themeColor="text1"/>
        </w:rPr>
        <w:t xml:space="preserve"> a</w:t>
      </w:r>
      <w:r w:rsidRPr="00F533B4">
        <w:rPr>
          <w:color w:val="000000" w:themeColor="text1"/>
        </w:rPr>
        <w:t xml:space="preserve"> plane (or line) de</w:t>
      </w:r>
      <w:r w:rsidR="009F6407">
        <w:rPr>
          <w:color w:val="000000" w:themeColor="text1"/>
        </w:rPr>
        <w:t xml:space="preserve">lineated two groups of strains, defined by the fosfomycin/amikacin MICs, that </w:t>
      </w:r>
      <w:r w:rsidR="0030602F" w:rsidRPr="00F533B4">
        <w:rPr>
          <w:color w:val="000000" w:themeColor="text1"/>
        </w:rPr>
        <w:t xml:space="preserve">predicted success (defined as </w:t>
      </w:r>
      <w:r w:rsidR="00371D67" w:rsidRPr="00F533B4">
        <w:rPr>
          <w:color w:val="000000" w:themeColor="text1"/>
        </w:rPr>
        <w:t>sterility at the end of the experiment</w:t>
      </w:r>
      <w:r w:rsidR="0030602F" w:rsidRPr="00F533B4">
        <w:rPr>
          <w:color w:val="000000" w:themeColor="text1"/>
        </w:rPr>
        <w:t>) and failur</w:t>
      </w:r>
      <w:r w:rsidR="00371D67" w:rsidRPr="00F533B4">
        <w:rPr>
          <w:color w:val="000000" w:themeColor="text1"/>
        </w:rPr>
        <w:t xml:space="preserve">e. </w:t>
      </w:r>
      <w:r w:rsidR="00371D67" w:rsidRPr="00B02601">
        <w:rPr>
          <w:color w:val="000000" w:themeColor="text1"/>
        </w:rPr>
        <w:t>This</w:t>
      </w:r>
      <w:r w:rsidR="00CD47DD">
        <w:rPr>
          <w:color w:val="000000" w:themeColor="text1"/>
        </w:rPr>
        <w:t xml:space="preserve"> ‘breakpoint</w:t>
      </w:r>
      <w:r w:rsidR="00371D67" w:rsidRPr="00F533B4">
        <w:rPr>
          <w:color w:val="000000" w:themeColor="text1"/>
        </w:rPr>
        <w:t xml:space="preserve"> plane</w:t>
      </w:r>
      <w:r w:rsidR="00CD47DD">
        <w:rPr>
          <w:color w:val="000000" w:themeColor="text1"/>
        </w:rPr>
        <w:t>’</w:t>
      </w:r>
      <w:r w:rsidR="00371D67" w:rsidRPr="00F533B4">
        <w:rPr>
          <w:color w:val="000000" w:themeColor="text1"/>
        </w:rPr>
        <w:t xml:space="preserve"> </w:t>
      </w:r>
      <w:r w:rsidR="003E608D">
        <w:rPr>
          <w:color w:val="000000" w:themeColor="text1"/>
        </w:rPr>
        <w:t>was</w:t>
      </w:r>
      <w:r w:rsidR="00371D67" w:rsidRPr="00F533B4">
        <w:rPr>
          <w:color w:val="000000" w:themeColor="text1"/>
        </w:rPr>
        <w:t xml:space="preserve"> described</w:t>
      </w:r>
      <w:r w:rsidR="00A95030" w:rsidRPr="00F533B4">
        <w:rPr>
          <w:color w:val="000000" w:themeColor="text1"/>
        </w:rPr>
        <w:t xml:space="preserve"> in the following </w:t>
      </w:r>
      <w:r w:rsidR="003E608D">
        <w:rPr>
          <w:color w:val="000000" w:themeColor="text1"/>
        </w:rPr>
        <w:t>C</w:t>
      </w:r>
      <w:r w:rsidR="00A95030" w:rsidRPr="00F533B4">
        <w:rPr>
          <w:color w:val="000000" w:themeColor="text1"/>
        </w:rPr>
        <w:t xml:space="preserve">artesian format </w:t>
      </w:r>
      <m:oMath>
        <m:sSub>
          <m:sSubPr>
            <m:ctrlPr>
              <w:rPr>
                <w:rFonts w:ascii="Cambria Math" w:hAnsi="Cambria Math"/>
                <w:i/>
                <w:color w:val="000000" w:themeColor="text1"/>
              </w:rPr>
            </m:ctrlPr>
          </m:sSubPr>
          <m:e>
            <m:r>
              <w:rPr>
                <w:rFonts w:ascii="Cambria Math" w:hAnsi="Cambria Math"/>
                <w:color w:val="000000" w:themeColor="text1"/>
              </w:rPr>
              <m:t>MIC</m:t>
            </m:r>
          </m:e>
          <m:sub>
            <m:r>
              <w:rPr>
                <w:rFonts w:ascii="Cambria Math" w:hAnsi="Cambria Math"/>
                <w:color w:val="000000" w:themeColor="text1"/>
              </w:rPr>
              <m:t>A</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MIC</m:t>
            </m:r>
          </m:e>
          <m:sub>
            <m:r>
              <w:rPr>
                <w:rFonts w:ascii="Cambria Math" w:hAnsi="Cambria Math"/>
                <w:color w:val="000000" w:themeColor="text1"/>
              </w:rPr>
              <m:t>F</m:t>
            </m:r>
          </m:sub>
        </m:sSub>
        <m:r>
          <w:rPr>
            <w:rFonts w:ascii="Cambria Math" w:hAnsi="Cambria Math"/>
            <w:color w:val="000000" w:themeColor="text1"/>
          </w:rPr>
          <m:t>=256</m:t>
        </m:r>
      </m:oMath>
      <w:r w:rsidR="00A95030" w:rsidRPr="00F533B4">
        <w:rPr>
          <w:rFonts w:eastAsiaTheme="minorEastAsia"/>
          <w:color w:val="000000" w:themeColor="text1"/>
        </w:rPr>
        <w:t xml:space="preserve">, where </w:t>
      </w:r>
      <w:r w:rsidR="00565FDC">
        <w:rPr>
          <w:rFonts w:eastAsiaTheme="minorEastAsia"/>
          <w:color w:val="000000" w:themeColor="text1"/>
        </w:rPr>
        <w:t>MIC</w:t>
      </w:r>
      <w:r w:rsidR="00565FDC">
        <w:rPr>
          <w:rFonts w:eastAsiaTheme="minorEastAsia"/>
          <w:color w:val="000000" w:themeColor="text1"/>
          <w:vertAlign w:val="subscript"/>
        </w:rPr>
        <w:t>A</w:t>
      </w:r>
      <w:r w:rsidR="00A95030" w:rsidRPr="00F533B4">
        <w:rPr>
          <w:rFonts w:eastAsiaTheme="minorEastAsia"/>
          <w:color w:val="000000" w:themeColor="text1"/>
        </w:rPr>
        <w:t xml:space="preserve"> and</w:t>
      </w:r>
      <w:r w:rsidR="00565FDC">
        <w:rPr>
          <w:rFonts w:eastAsiaTheme="minorEastAsia"/>
          <w:color w:val="000000" w:themeColor="text1"/>
        </w:rPr>
        <w:t xml:space="preserve"> MIC</w:t>
      </w:r>
      <w:r w:rsidR="00565FDC">
        <w:rPr>
          <w:rFonts w:eastAsiaTheme="minorEastAsia"/>
          <w:color w:val="000000" w:themeColor="text1"/>
          <w:vertAlign w:val="subscript"/>
        </w:rPr>
        <w:t>F</w:t>
      </w:r>
      <w:r w:rsidR="00A95030" w:rsidRPr="00F533B4">
        <w:rPr>
          <w:rFonts w:eastAsiaTheme="minorEastAsia"/>
          <w:color w:val="000000" w:themeColor="text1"/>
        </w:rPr>
        <w:t xml:space="preserve"> are </w:t>
      </w:r>
      <w:r w:rsidR="003E608D">
        <w:rPr>
          <w:rFonts w:eastAsiaTheme="minorEastAsia"/>
          <w:color w:val="000000" w:themeColor="text1"/>
        </w:rPr>
        <w:t>a</w:t>
      </w:r>
      <w:r w:rsidR="00A95030" w:rsidRPr="00F533B4">
        <w:rPr>
          <w:rFonts w:eastAsiaTheme="minorEastAsia"/>
          <w:color w:val="000000" w:themeColor="text1"/>
        </w:rPr>
        <w:t xml:space="preserve">mikacin </w:t>
      </w:r>
      <w:r w:rsidR="00254CE4" w:rsidRPr="00F533B4">
        <w:rPr>
          <w:rFonts w:eastAsiaTheme="minorEastAsia"/>
          <w:color w:val="000000" w:themeColor="text1"/>
        </w:rPr>
        <w:t xml:space="preserve">and </w:t>
      </w:r>
      <w:r w:rsidR="003E608D">
        <w:rPr>
          <w:rFonts w:eastAsiaTheme="minorEastAsia"/>
          <w:color w:val="000000" w:themeColor="text1"/>
        </w:rPr>
        <w:t>f</w:t>
      </w:r>
      <w:r w:rsidR="00254CE4" w:rsidRPr="00F533B4">
        <w:rPr>
          <w:rFonts w:eastAsiaTheme="minorEastAsia"/>
          <w:color w:val="000000" w:themeColor="text1"/>
        </w:rPr>
        <w:t>osfomycin MICs, respectively</w:t>
      </w:r>
      <w:r w:rsidR="00B02601">
        <w:rPr>
          <w:rFonts w:eastAsiaTheme="minorEastAsia"/>
          <w:color w:val="000000" w:themeColor="text1"/>
        </w:rPr>
        <w:t xml:space="preserve">. </w:t>
      </w:r>
      <w:r w:rsidR="00C773C3">
        <w:rPr>
          <w:rFonts w:eastAsiaTheme="minorEastAsia"/>
          <w:color w:val="000000" w:themeColor="text1"/>
        </w:rPr>
        <w:t xml:space="preserve"> </w:t>
      </w:r>
      <w:r w:rsidR="00B02601">
        <w:rPr>
          <w:rFonts w:eastAsiaTheme="minorEastAsia"/>
          <w:color w:val="000000" w:themeColor="text1"/>
        </w:rPr>
        <w:t xml:space="preserve">In a clinical context, this means that if the product of </w:t>
      </w:r>
      <w:r w:rsidR="0092041D">
        <w:rPr>
          <w:rFonts w:eastAsiaTheme="minorEastAsia"/>
          <w:color w:val="000000" w:themeColor="text1"/>
        </w:rPr>
        <w:t>the</w:t>
      </w:r>
      <w:r w:rsidR="00DB6781">
        <w:rPr>
          <w:rFonts w:eastAsiaTheme="minorEastAsia"/>
          <w:color w:val="000000" w:themeColor="text1"/>
        </w:rPr>
        <w:t xml:space="preserve"> amikacin and fosfomycin</w:t>
      </w:r>
      <w:r w:rsidR="00B02601">
        <w:rPr>
          <w:rFonts w:eastAsiaTheme="minorEastAsia"/>
          <w:color w:val="000000" w:themeColor="text1"/>
        </w:rPr>
        <w:t xml:space="preserve"> MICs</w:t>
      </w:r>
      <w:r w:rsidR="0092041D">
        <w:rPr>
          <w:rFonts w:eastAsiaTheme="minorEastAsia"/>
          <w:color w:val="000000" w:themeColor="text1"/>
        </w:rPr>
        <w:t xml:space="preserve"> inhibiting a bacterial pathogen</w:t>
      </w:r>
      <w:r w:rsidR="00B02601">
        <w:rPr>
          <w:rFonts w:eastAsiaTheme="minorEastAsia"/>
          <w:color w:val="000000" w:themeColor="text1"/>
        </w:rPr>
        <w:t xml:space="preserve"> is </w:t>
      </w:r>
      <w:r w:rsidR="007A2C79">
        <w:rPr>
          <w:rFonts w:eastAsiaTheme="minorEastAsia"/>
          <w:color w:val="000000" w:themeColor="text1"/>
        </w:rPr>
        <w:t>&lt;</w:t>
      </w:r>
      <w:r w:rsidR="0085603A">
        <w:rPr>
          <w:rFonts w:eastAsiaTheme="minorEastAsia"/>
          <w:color w:val="000000" w:themeColor="text1"/>
        </w:rPr>
        <w:t xml:space="preserve"> </w:t>
      </w:r>
      <w:r w:rsidR="00B02601">
        <w:rPr>
          <w:rFonts w:eastAsiaTheme="minorEastAsia"/>
          <w:color w:val="000000" w:themeColor="text1"/>
        </w:rPr>
        <w:t xml:space="preserve">256, then </w:t>
      </w:r>
      <w:r w:rsidR="00DB6781">
        <w:rPr>
          <w:rFonts w:eastAsiaTheme="minorEastAsia"/>
          <w:color w:val="000000" w:themeColor="text1"/>
        </w:rPr>
        <w:t>treatment with a neonatal regimen of fosfomycin and amikacin in combination</w:t>
      </w:r>
      <w:r w:rsidR="00B02601" w:rsidRPr="00B02601">
        <w:rPr>
          <w:color w:val="000000" w:themeColor="text1"/>
        </w:rPr>
        <w:t xml:space="preserve"> </w:t>
      </w:r>
      <w:r w:rsidR="00B02601">
        <w:rPr>
          <w:color w:val="000000" w:themeColor="text1"/>
        </w:rPr>
        <w:t>can be predicted to</w:t>
      </w:r>
      <w:r w:rsidR="00DB6781">
        <w:rPr>
          <w:color w:val="000000" w:themeColor="text1"/>
        </w:rPr>
        <w:t xml:space="preserve"> </w:t>
      </w:r>
      <w:r w:rsidR="007A2C79">
        <w:rPr>
          <w:color w:val="000000" w:themeColor="text1"/>
        </w:rPr>
        <w:t xml:space="preserve">succeed </w:t>
      </w:r>
      <w:r w:rsidR="00C773C3">
        <w:rPr>
          <w:color w:val="000000" w:themeColor="text1"/>
        </w:rPr>
        <w:t>(</w:t>
      </w:r>
      <w:proofErr w:type="gramStart"/>
      <w:r w:rsidR="00B02601">
        <w:rPr>
          <w:color w:val="000000" w:themeColor="text1"/>
        </w:rPr>
        <w:t>i.e.</w:t>
      </w:r>
      <w:proofErr w:type="gramEnd"/>
      <w:r w:rsidR="00B02601">
        <w:rPr>
          <w:color w:val="000000" w:themeColor="text1"/>
        </w:rPr>
        <w:t xml:space="preserve"> </w:t>
      </w:r>
      <w:r w:rsidR="00DB6781">
        <w:rPr>
          <w:color w:val="000000" w:themeColor="text1"/>
        </w:rPr>
        <w:t xml:space="preserve">the </w:t>
      </w:r>
      <w:r w:rsidR="0092041D">
        <w:rPr>
          <w:color w:val="000000" w:themeColor="text1"/>
        </w:rPr>
        <w:t xml:space="preserve">bacterium </w:t>
      </w:r>
      <w:r w:rsidR="00B02601">
        <w:rPr>
          <w:color w:val="000000" w:themeColor="text1"/>
        </w:rPr>
        <w:t>is ‘</w:t>
      </w:r>
      <w:r w:rsidR="007A2C79">
        <w:rPr>
          <w:color w:val="000000" w:themeColor="text1"/>
        </w:rPr>
        <w:t>sensitive</w:t>
      </w:r>
      <w:r w:rsidR="00B02601">
        <w:rPr>
          <w:color w:val="000000" w:themeColor="text1"/>
        </w:rPr>
        <w:t>’ to this combination</w:t>
      </w:r>
      <w:r w:rsidR="00C773C3">
        <w:rPr>
          <w:color w:val="000000" w:themeColor="text1"/>
        </w:rPr>
        <w:t>)</w:t>
      </w:r>
      <w:r w:rsidR="00B02601">
        <w:rPr>
          <w:color w:val="000000" w:themeColor="text1"/>
        </w:rPr>
        <w:t>.</w:t>
      </w:r>
    </w:p>
    <w:p w14:paraId="3FB91499" w14:textId="1212B5CA" w:rsidR="003E608D" w:rsidRPr="00B02601" w:rsidRDefault="00B02601" w:rsidP="00501CB2">
      <w:pPr>
        <w:spacing w:before="120" w:line="480" w:lineRule="auto"/>
        <w:rPr>
          <w:color w:val="000000" w:themeColor="text1"/>
        </w:rPr>
      </w:pPr>
      <w:r>
        <w:rPr>
          <w:color w:val="000000" w:themeColor="text1"/>
        </w:rPr>
        <w:t xml:space="preserve">The amikacin/fosfomycin combination success data can also be </w:t>
      </w:r>
      <w:r w:rsidR="005201FF">
        <w:rPr>
          <w:color w:val="000000" w:themeColor="text1"/>
        </w:rPr>
        <w:t xml:space="preserve">arranged </w:t>
      </w:r>
      <w:r>
        <w:rPr>
          <w:color w:val="000000" w:themeColor="text1"/>
        </w:rPr>
        <w:t xml:space="preserve">according to the </w:t>
      </w:r>
      <w:proofErr w:type="spellStart"/>
      <w:r w:rsidRPr="00B02601">
        <w:rPr>
          <w:i/>
          <w:iCs/>
          <w:color w:val="000000" w:themeColor="text1"/>
        </w:rPr>
        <w:t>f</w:t>
      </w:r>
      <w:r w:rsidRPr="00B02601">
        <w:rPr>
          <w:color w:val="000000" w:themeColor="text1"/>
        </w:rPr>
        <w:t>AUC</w:t>
      </w:r>
      <w:r>
        <w:rPr>
          <w:color w:val="000000" w:themeColor="text1"/>
        </w:rPr>
        <w:t>:MIC</w:t>
      </w:r>
      <w:proofErr w:type="spellEnd"/>
      <w:r>
        <w:rPr>
          <w:color w:val="000000" w:themeColor="text1"/>
        </w:rPr>
        <w:t xml:space="preserve"> ratio for each drug, as shown in Fig</w:t>
      </w:r>
      <w:r w:rsidR="008210B1">
        <w:rPr>
          <w:color w:val="000000" w:themeColor="text1"/>
        </w:rPr>
        <w:t>.</w:t>
      </w:r>
      <w:r>
        <w:rPr>
          <w:color w:val="000000" w:themeColor="text1"/>
        </w:rPr>
        <w:t xml:space="preserve"> </w:t>
      </w:r>
      <w:r w:rsidR="004C3EF5">
        <w:rPr>
          <w:color w:val="000000" w:themeColor="text1"/>
        </w:rPr>
        <w:t>4b</w:t>
      </w:r>
      <w:r w:rsidR="00B07A10">
        <w:rPr>
          <w:color w:val="000000" w:themeColor="text1"/>
        </w:rPr>
        <w:t>, with a similar plane describing the threshold for successful treatment with the combination.</w:t>
      </w:r>
      <w:r>
        <w:rPr>
          <w:color w:val="000000" w:themeColor="text1"/>
        </w:rPr>
        <w:t xml:space="preserve"> </w:t>
      </w:r>
      <w:r w:rsidR="00B07A10">
        <w:rPr>
          <w:rFonts w:eastAsiaTheme="minorEastAsia"/>
          <w:color w:val="000000" w:themeColor="text1"/>
        </w:rPr>
        <w:t xml:space="preserve">This </w:t>
      </w:r>
      <w:r w:rsidR="009F6407">
        <w:rPr>
          <w:rFonts w:eastAsiaTheme="minorEastAsia"/>
          <w:color w:val="000000" w:themeColor="text1"/>
        </w:rPr>
        <w:t>target</w:t>
      </w:r>
      <w:r w:rsidR="00B07A10">
        <w:rPr>
          <w:rFonts w:eastAsiaTheme="minorEastAsia"/>
          <w:color w:val="000000" w:themeColor="text1"/>
        </w:rPr>
        <w:t xml:space="preserve"> plane can be</w:t>
      </w:r>
      <w:r w:rsidR="009F6407">
        <w:rPr>
          <w:rFonts w:eastAsiaTheme="minorEastAsia"/>
          <w:color w:val="000000" w:themeColor="text1"/>
        </w:rPr>
        <w:t xml:space="preserve"> described </w:t>
      </w:r>
      <w:r w:rsidR="00B07A10">
        <w:rPr>
          <w:rFonts w:eastAsiaTheme="minorEastAsia"/>
          <w:color w:val="000000" w:themeColor="text1"/>
        </w:rPr>
        <w:t>with the form</w:t>
      </w:r>
      <w:r w:rsidR="009F6407">
        <w:rPr>
          <w:rFonts w:eastAsiaTheme="minorEastAsia"/>
          <w:color w:val="000000" w:themeColor="text1"/>
        </w:rPr>
        <w:t xml:space="preserve"> </w:t>
      </w:r>
      <m:oMath>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fAUC</m:t>
            </m:r>
          </m:e>
          <m:sub>
            <m:r>
              <w:rPr>
                <w:rFonts w:ascii="Cambria Math" w:eastAsiaTheme="minorEastAsia" w:hAnsi="Cambria Math"/>
                <w:color w:val="000000" w:themeColor="text1"/>
              </w:rPr>
              <m:t>F</m:t>
            </m:r>
          </m:sub>
        </m:sSub>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MIC</m:t>
            </m:r>
          </m:e>
          <m:sub>
            <m:r>
              <w:rPr>
                <w:rFonts w:ascii="Cambria Math" w:eastAsiaTheme="minorEastAsia" w:hAnsi="Cambria Math"/>
                <w:color w:val="000000" w:themeColor="text1"/>
              </w:rPr>
              <m:t>F</m:t>
            </m:r>
          </m:sub>
        </m:sSub>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fAUC</m:t>
            </m:r>
          </m:e>
          <m:sub>
            <m:r>
              <w:rPr>
                <w:rFonts w:ascii="Cambria Math" w:eastAsiaTheme="minorEastAsia" w:hAnsi="Cambria Math"/>
                <w:color w:val="000000" w:themeColor="text1"/>
              </w:rPr>
              <m:t>A</m:t>
            </m:r>
          </m:sub>
        </m:sSub>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MIC</m:t>
            </m:r>
          </m:e>
          <m:sub>
            <m:r>
              <w:rPr>
                <w:rFonts w:ascii="Cambria Math" w:eastAsiaTheme="minorEastAsia" w:hAnsi="Cambria Math"/>
                <w:color w:val="000000" w:themeColor="text1"/>
              </w:rPr>
              <m:t>A</m:t>
            </m:r>
          </m:sub>
        </m:sSub>
        <m:r>
          <w:rPr>
            <w:rFonts w:ascii="Cambria Math" w:eastAsiaTheme="minorEastAsia" w:hAnsi="Cambria Math"/>
            <w:color w:val="000000" w:themeColor="text1"/>
          </w:rPr>
          <m:t>) =2709.5</m:t>
        </m:r>
      </m:oMath>
      <w:r>
        <w:rPr>
          <w:rFonts w:eastAsiaTheme="minorEastAsia"/>
          <w:color w:val="000000" w:themeColor="text1"/>
        </w:rPr>
        <w:t xml:space="preserve"> </w:t>
      </w:r>
      <w:r w:rsidR="00B07A10">
        <w:rPr>
          <w:rFonts w:eastAsiaTheme="minorEastAsia"/>
          <w:color w:val="000000" w:themeColor="text1"/>
        </w:rPr>
        <w:t>(</w:t>
      </w:r>
      <w:r>
        <w:rPr>
          <w:rFonts w:eastAsiaTheme="minorEastAsia"/>
          <w:color w:val="000000" w:themeColor="text1"/>
        </w:rPr>
        <w:t xml:space="preserve">where F and A subscripts denote fosfomycin and amikacin </w:t>
      </w:r>
      <w:proofErr w:type="spellStart"/>
      <w:r>
        <w:rPr>
          <w:rFonts w:eastAsiaTheme="minorEastAsia"/>
          <w:i/>
          <w:iCs/>
          <w:color w:val="000000" w:themeColor="text1"/>
        </w:rPr>
        <w:t>f</w:t>
      </w:r>
      <w:r w:rsidRPr="00B02601">
        <w:rPr>
          <w:rFonts w:eastAsiaTheme="minorEastAsia"/>
          <w:color w:val="000000" w:themeColor="text1"/>
        </w:rPr>
        <w:t>AUC</w:t>
      </w:r>
      <w:r w:rsidR="00B07A10">
        <w:rPr>
          <w:rFonts w:eastAsiaTheme="minorEastAsia"/>
          <w:color w:val="000000" w:themeColor="text1"/>
        </w:rPr>
        <w:t>s</w:t>
      </w:r>
      <w:proofErr w:type="spellEnd"/>
      <w:r>
        <w:rPr>
          <w:rFonts w:eastAsiaTheme="minorEastAsia"/>
          <w:color w:val="000000" w:themeColor="text1"/>
        </w:rPr>
        <w:t xml:space="preserve"> and MIC</w:t>
      </w:r>
      <w:r w:rsidR="00B07A10">
        <w:rPr>
          <w:rFonts w:eastAsiaTheme="minorEastAsia"/>
          <w:color w:val="000000" w:themeColor="text1"/>
        </w:rPr>
        <w:t>s respectively)</w:t>
      </w:r>
      <w:r>
        <w:rPr>
          <w:rFonts w:eastAsiaTheme="minorEastAsia"/>
          <w:color w:val="000000" w:themeColor="text1"/>
        </w:rPr>
        <w:t xml:space="preserve">. </w:t>
      </w:r>
      <w:r w:rsidR="00723EF5">
        <w:rPr>
          <w:rFonts w:eastAsiaTheme="minorEastAsia"/>
          <w:color w:val="000000" w:themeColor="text1"/>
        </w:rPr>
        <w:t xml:space="preserve"> </w:t>
      </w:r>
      <w:r>
        <w:rPr>
          <w:rFonts w:eastAsiaTheme="minorEastAsia"/>
          <w:color w:val="000000" w:themeColor="text1"/>
        </w:rPr>
        <w:t>In</w:t>
      </w:r>
      <w:r w:rsidR="00B07A10">
        <w:rPr>
          <w:rFonts w:eastAsiaTheme="minorEastAsia"/>
          <w:color w:val="000000" w:themeColor="text1"/>
        </w:rPr>
        <w:t>terpreted in</w:t>
      </w:r>
      <w:r>
        <w:rPr>
          <w:rFonts w:eastAsiaTheme="minorEastAsia"/>
          <w:color w:val="000000" w:themeColor="text1"/>
        </w:rPr>
        <w:t xml:space="preserve"> a clinical context, </w:t>
      </w:r>
      <w:r w:rsidR="00B07A10">
        <w:rPr>
          <w:rFonts w:eastAsiaTheme="minorEastAsia"/>
          <w:color w:val="000000" w:themeColor="text1"/>
        </w:rPr>
        <w:t xml:space="preserve">if </w:t>
      </w:r>
      <w:r>
        <w:rPr>
          <w:rFonts w:eastAsiaTheme="minorEastAsia"/>
          <w:color w:val="000000" w:themeColor="text1"/>
        </w:rPr>
        <w:t xml:space="preserve">the product of the amikacin and fosfomycin </w:t>
      </w:r>
      <w:proofErr w:type="spellStart"/>
      <w:r>
        <w:rPr>
          <w:rFonts w:eastAsiaTheme="minorEastAsia"/>
          <w:i/>
          <w:iCs/>
          <w:color w:val="000000" w:themeColor="text1"/>
        </w:rPr>
        <w:t>f</w:t>
      </w:r>
      <w:r>
        <w:rPr>
          <w:rFonts w:eastAsiaTheme="minorEastAsia"/>
          <w:color w:val="000000" w:themeColor="text1"/>
        </w:rPr>
        <w:t>AUC:MIC</w:t>
      </w:r>
      <w:proofErr w:type="spellEnd"/>
      <w:r>
        <w:rPr>
          <w:rFonts w:eastAsiaTheme="minorEastAsia"/>
          <w:color w:val="000000" w:themeColor="text1"/>
        </w:rPr>
        <w:t xml:space="preserve"> ratios </w:t>
      </w:r>
      <w:r w:rsidR="0058279A">
        <w:rPr>
          <w:rFonts w:eastAsiaTheme="minorEastAsia"/>
          <w:color w:val="000000" w:themeColor="text1"/>
        </w:rPr>
        <w:t>is &gt;</w:t>
      </w:r>
      <w:r>
        <w:rPr>
          <w:rFonts w:eastAsiaTheme="minorEastAsia"/>
          <w:color w:val="000000" w:themeColor="text1"/>
        </w:rPr>
        <w:t xml:space="preserve">2709.5, then the target for </w:t>
      </w:r>
      <w:r w:rsidR="00C773C3">
        <w:rPr>
          <w:rFonts w:eastAsiaTheme="minorEastAsia"/>
          <w:color w:val="000000" w:themeColor="text1"/>
        </w:rPr>
        <w:t>pharmacodynamic</w:t>
      </w:r>
      <w:r w:rsidR="0058279A">
        <w:rPr>
          <w:rFonts w:eastAsiaTheme="minorEastAsia"/>
          <w:color w:val="000000" w:themeColor="text1"/>
        </w:rPr>
        <w:t xml:space="preserve"> success has been met</w:t>
      </w:r>
      <w:r w:rsidR="00DB6781">
        <w:rPr>
          <w:rFonts w:eastAsiaTheme="minorEastAsia"/>
          <w:color w:val="000000" w:themeColor="text1"/>
        </w:rPr>
        <w:t>, with predicted treatment success.</w:t>
      </w:r>
    </w:p>
    <w:p w14:paraId="5EC66F73" w14:textId="77777777" w:rsidR="00E72EBF" w:rsidRDefault="00E72EBF" w:rsidP="00501CB2">
      <w:pPr>
        <w:spacing w:before="120" w:line="480" w:lineRule="auto"/>
        <w:rPr>
          <w:b/>
          <w:bCs/>
          <w:color w:val="000000" w:themeColor="text1"/>
        </w:rPr>
      </w:pPr>
    </w:p>
    <w:p w14:paraId="4FB84860" w14:textId="70B90747" w:rsidR="0005091E" w:rsidRDefault="0005091E" w:rsidP="00501CB2">
      <w:pPr>
        <w:spacing w:before="120" w:line="480" w:lineRule="auto"/>
        <w:rPr>
          <w:b/>
          <w:bCs/>
          <w:color w:val="000000" w:themeColor="text1"/>
        </w:rPr>
      </w:pPr>
      <w:r w:rsidRPr="008D389A">
        <w:rPr>
          <w:b/>
          <w:bCs/>
          <w:color w:val="000000" w:themeColor="text1"/>
        </w:rPr>
        <w:t>Monte Carlo Simulation</w:t>
      </w:r>
      <w:r w:rsidR="00C97D35">
        <w:rPr>
          <w:b/>
          <w:bCs/>
          <w:color w:val="000000" w:themeColor="text1"/>
        </w:rPr>
        <w:t>s</w:t>
      </w:r>
    </w:p>
    <w:p w14:paraId="7627C426" w14:textId="0C13FC9D" w:rsidR="000057B7" w:rsidRPr="002A686A" w:rsidRDefault="00565FDC" w:rsidP="00501CB2">
      <w:pPr>
        <w:spacing w:before="120" w:line="480" w:lineRule="auto"/>
        <w:rPr>
          <w:color w:val="000000" w:themeColor="text1"/>
        </w:rPr>
      </w:pPr>
      <w:r w:rsidRPr="002A686A">
        <w:rPr>
          <w:color w:val="000000" w:themeColor="text1"/>
        </w:rPr>
        <w:t xml:space="preserve">Amikacin and fosfomycin </w:t>
      </w:r>
      <w:proofErr w:type="spellStart"/>
      <w:r w:rsidR="00FC4039" w:rsidRPr="002A686A">
        <w:rPr>
          <w:i/>
          <w:iCs/>
          <w:color w:val="000000" w:themeColor="text1"/>
        </w:rPr>
        <w:t>f</w:t>
      </w:r>
      <w:r w:rsidRPr="002A686A">
        <w:rPr>
          <w:color w:val="000000" w:themeColor="text1"/>
        </w:rPr>
        <w:t>AUCs</w:t>
      </w:r>
      <w:proofErr w:type="spellEnd"/>
      <w:r w:rsidR="00FC4039" w:rsidRPr="002A686A">
        <w:rPr>
          <w:color w:val="000000" w:themeColor="text1"/>
        </w:rPr>
        <w:t xml:space="preserve"> </w:t>
      </w:r>
      <w:r w:rsidRPr="002A686A">
        <w:rPr>
          <w:color w:val="000000" w:themeColor="text1"/>
        </w:rPr>
        <w:t xml:space="preserve"> for 10,000 neonates were </w:t>
      </w:r>
      <w:r w:rsidR="00AC2CF9">
        <w:rPr>
          <w:color w:val="000000" w:themeColor="text1"/>
        </w:rPr>
        <w:t>created</w:t>
      </w:r>
      <w:r w:rsidR="00AC2CF9" w:rsidRPr="002A686A">
        <w:rPr>
          <w:color w:val="000000" w:themeColor="text1"/>
        </w:rPr>
        <w:t xml:space="preserve"> </w:t>
      </w:r>
      <w:r w:rsidRPr="002A686A">
        <w:rPr>
          <w:color w:val="000000" w:themeColor="text1"/>
        </w:rPr>
        <w:t xml:space="preserve">using a Monte Carlo simulation </w:t>
      </w:r>
      <w:r w:rsidR="00AC2CF9">
        <w:rPr>
          <w:color w:val="000000" w:themeColor="text1"/>
        </w:rPr>
        <w:t>from</w:t>
      </w:r>
      <w:r w:rsidR="00AC2CF9" w:rsidRPr="002A686A">
        <w:rPr>
          <w:color w:val="000000" w:themeColor="text1"/>
        </w:rPr>
        <w:t xml:space="preserve"> </w:t>
      </w:r>
      <w:r w:rsidR="00D26B1D" w:rsidRPr="002A686A">
        <w:rPr>
          <w:color w:val="000000" w:themeColor="text1"/>
        </w:rPr>
        <w:t xml:space="preserve">a neonatal fosfomycin model </w:t>
      </w:r>
      <w:r w:rsidR="00AC2CF9">
        <w:rPr>
          <w:color w:val="000000" w:themeColor="text1"/>
        </w:rPr>
        <w:t xml:space="preserve">that included </w:t>
      </w:r>
      <w:r w:rsidRPr="002A686A">
        <w:rPr>
          <w:color w:val="000000" w:themeColor="text1"/>
        </w:rPr>
        <w:t xml:space="preserve">neonatal covariate distributions based on </w:t>
      </w:r>
      <w:r w:rsidR="00791B69">
        <w:rPr>
          <w:color w:val="000000" w:themeColor="text1"/>
        </w:rPr>
        <w:t xml:space="preserve">a </w:t>
      </w:r>
      <w:r w:rsidRPr="002A686A">
        <w:rPr>
          <w:color w:val="000000" w:themeColor="text1"/>
        </w:rPr>
        <w:t>neonatal cohort</w:t>
      </w:r>
      <w:r w:rsidR="00A221BE">
        <w:rPr>
          <w:color w:val="000000" w:themeColor="text1"/>
        </w:rPr>
        <w:t>s</w:t>
      </w:r>
      <w:r w:rsidRPr="002A686A">
        <w:rPr>
          <w:color w:val="000000" w:themeColor="text1"/>
        </w:rPr>
        <w:t xml:space="preserve"> from the </w:t>
      </w:r>
      <w:proofErr w:type="spellStart"/>
      <w:r w:rsidRPr="002A686A">
        <w:rPr>
          <w:color w:val="000000" w:themeColor="text1"/>
        </w:rPr>
        <w:t>NeoFosfo</w:t>
      </w:r>
      <w:proofErr w:type="spellEnd"/>
      <w:r w:rsidRPr="002A686A">
        <w:rPr>
          <w:color w:val="000000" w:themeColor="text1"/>
        </w:rPr>
        <w:t xml:space="preserve"> trial </w:t>
      </w:r>
      <w:r w:rsidR="00791B69">
        <w:rPr>
          <w:color w:val="000000" w:themeColor="text1"/>
        </w:rPr>
        <w:t xml:space="preserve">and </w:t>
      </w:r>
      <w:r w:rsidR="00A221BE">
        <w:rPr>
          <w:color w:val="000000" w:themeColor="text1"/>
        </w:rPr>
        <w:t>a</w:t>
      </w:r>
      <w:r w:rsidR="00791B69">
        <w:rPr>
          <w:color w:val="000000" w:themeColor="text1"/>
        </w:rPr>
        <w:t xml:space="preserve"> recently completed</w:t>
      </w:r>
      <w:r w:rsidR="00A221BE">
        <w:rPr>
          <w:color w:val="000000" w:themeColor="text1"/>
        </w:rPr>
        <w:t xml:space="preserve"> global neonatal </w:t>
      </w:r>
      <w:r w:rsidR="00A221BE">
        <w:rPr>
          <w:color w:val="000000" w:themeColor="text1"/>
        </w:rPr>
        <w:lastRenderedPageBreak/>
        <w:t>sepsis observational study (</w:t>
      </w:r>
      <w:proofErr w:type="spellStart"/>
      <w:r w:rsidR="00A221BE">
        <w:rPr>
          <w:color w:val="000000" w:themeColor="text1"/>
        </w:rPr>
        <w:t>NeoOBS</w:t>
      </w:r>
      <w:proofErr w:type="spellEnd"/>
      <w:r w:rsidR="00A221BE">
        <w:rPr>
          <w:color w:val="000000" w:themeColor="text1"/>
        </w:rPr>
        <w:t>)</w:t>
      </w:r>
      <w:r w:rsidR="00791B69">
        <w:rPr>
          <w:color w:val="000000" w:themeColor="text1"/>
        </w:rPr>
        <w:t xml:space="preserve"> </w:t>
      </w:r>
      <w:r w:rsidRPr="002A686A">
        <w:rPr>
          <w:color w:val="000000" w:themeColor="text1"/>
        </w:rPr>
        <w:fldChar w:fldCharType="begin" w:fldLock="1"/>
      </w:r>
      <w:r w:rsidR="005578B0">
        <w:rPr>
          <w:color w:val="000000" w:themeColor="text1"/>
        </w:rPr>
        <w:instrText>ADDIN CSL_CITATION {"citationItems":[{"id":"ITEM-1","itemData":{"URL":"https://clinicaltrials.gov/ct2/show/NCT03453177","container-title":"Clinicaltrials.gov","id":"ITEM-1","issued":{"date-parts":[["2019"]]},"title":"Intravenous and Oral Fosfomycin in Hospitalised Neonates With Clinical Sepsis (NeoFosfo) - NCT03453177","type":"webpage"},"uris":["http://www.mendeley.com/documents/?uuid=35483161-7169-44ac-b3a2-c332e5f45336"]},{"id":"ITEM-2","itemData":{"URL":"https://clinicaltrials.gov/ct2/show/NCT03721302","accessed":{"date-parts":[["2020","6","5"]]},"container-title":"ClinicalTrials.gov","id":"ITEM-2","issued":{"date-parts":[["2018"]]},"title":"NeoAMR Observational Study in Neonatal Sepsis - NCT03721302","type":"webpage"},"uris":["http://www.mendeley.com/documents/?uuid=928ff03f-c8d9-3530-a12a-5b504e45def0"]}],"mendeley":{"formattedCitation":"(23, 24)","plainTextFormattedCitation":"(23, 24)","previouslyFormattedCitation":"(23, 24)"},"properties":{"noteIndex":0},"schema":"https://github.com/citation-style-language/schema/raw/master/csl-citation.json"}</w:instrText>
      </w:r>
      <w:r w:rsidRPr="002A686A">
        <w:rPr>
          <w:color w:val="000000" w:themeColor="text1"/>
        </w:rPr>
        <w:fldChar w:fldCharType="separate"/>
      </w:r>
      <w:r w:rsidR="005578B0" w:rsidRPr="005578B0">
        <w:rPr>
          <w:noProof/>
          <w:color w:val="000000" w:themeColor="text1"/>
        </w:rPr>
        <w:t>(23, 24)</w:t>
      </w:r>
      <w:r w:rsidRPr="002A686A">
        <w:rPr>
          <w:color w:val="000000" w:themeColor="text1"/>
        </w:rPr>
        <w:fldChar w:fldCharType="end"/>
      </w:r>
      <w:r w:rsidR="00D26B1D" w:rsidRPr="002A686A">
        <w:rPr>
          <w:color w:val="000000" w:themeColor="text1"/>
        </w:rPr>
        <w:t xml:space="preserve"> and a recently published neonatal amikacin model </w:t>
      </w:r>
      <w:r w:rsidR="00D26B1D" w:rsidRPr="002A686A">
        <w:rPr>
          <w:color w:val="000000" w:themeColor="text1"/>
        </w:rPr>
        <w:fldChar w:fldCharType="begin" w:fldLock="1"/>
      </w:r>
      <w:r w:rsidR="005578B0">
        <w:rPr>
          <w:color w:val="000000" w:themeColor="text1"/>
        </w:rPr>
        <w:instrText>ADDIN CSL_CITATION {"citationItems":[{"id":"ITEM-1","itemData":{"DOI":"10.1007/s40262-018-0641-x","ISSN":"11791926","PMID":"29572662","abstract":"Amikacin plays a key role in the treatment of severe hospital-acquired infections with Gram-negative bacteria. Therapeutic use of amikacin is challenged by high inter-individual variability (IIV) combined with a narrow therapeutic spectrum. Pediatric patients represent a particularly fragile population where adequate dosing is crucial yet challenging to achieve due significant IIV associated with developmental processes and other factors. The current review provides an overview of parametric population pharmacokinetic analyses of amikacin in pediatric patients and associated patient-specific determinants of IIV. We searched PubMed for parametric population pharmacokinetic analyses of amikacin in pediatric patients. Information on patient population, study design, pharmacokinetic model characteristics, and identified patient-specific predictors of IIV was collected. Comparative analyses across studies were conducted to characterize quantitative differences reported for different studies and patient populations. Eight eligible publications were identified, of which six analyses involved neonates up to 3 months of age and two studies investigated older pediatric patients (age 2-17 years). Most commonly included covariates were current body weight for both clearance and volume of distribution, followed by age-related covariates on clearance in neonatal studies (four of six models). Quantitative comparisons of different models reported generally showed similar developmental effects in neonatal populations. The present review provides a comprehensive overview of parametric population pharmacokinetic studies for amikacin. Future studies could address the knowledge gap of patients between 3 months and 2 years of age. Furthermore, systematic studies of additional potential predictors for IIV (e.g., sepsis, inflammatory markers, renal function biomarkers) could be of relevance to address the significant IIV remaining after inclusion of the most commonly identified covariates.","author":[{"dropping-particle":"","family":"Illamola","given":"Sílvia M.","non-dropping-particle":"","parse-names":false,"suffix":""},{"dropping-particle":"","family":"Sherwin","given":"Catherine M.","non-dropping-particle":"","parse-names":false,"suffix":""},{"dropping-particle":"","family":"Hasselt","given":"J. G.Coen","non-dropping-particle":"van","parse-names":false,"suffix":""}],"container-title":"Clinical Pharmacokinetics","id":"ITEM-1","issue":"10","issued":{"date-parts":[["2018"]]},"page":"1217-1228","title":"Clinical Pharmacokinetics of Amikacin in Pediatric Patients: A Comprehensive Review of Population Pharmacokinetic Analyses","type":"article-journal","volume":"57"},"uris":["http://www.mendeley.com/documents/?uuid=3ba5599e-975b-4252-b0d4-b40308b41848"]}],"mendeley":{"formattedCitation":"(25)","plainTextFormattedCitation":"(25)","previouslyFormattedCitation":"(25)"},"properties":{"noteIndex":0},"schema":"https://github.com/citation-style-language/schema/raw/master/csl-citation.json"}</w:instrText>
      </w:r>
      <w:r w:rsidR="00D26B1D" w:rsidRPr="002A686A">
        <w:rPr>
          <w:color w:val="000000" w:themeColor="text1"/>
        </w:rPr>
        <w:fldChar w:fldCharType="separate"/>
      </w:r>
      <w:r w:rsidR="005578B0" w:rsidRPr="005578B0">
        <w:rPr>
          <w:noProof/>
          <w:color w:val="000000" w:themeColor="text1"/>
        </w:rPr>
        <w:t>(25)</w:t>
      </w:r>
      <w:r w:rsidR="00D26B1D" w:rsidRPr="002A686A">
        <w:rPr>
          <w:color w:val="000000" w:themeColor="text1"/>
        </w:rPr>
        <w:fldChar w:fldCharType="end"/>
      </w:r>
      <w:r w:rsidRPr="002A686A">
        <w:rPr>
          <w:color w:val="000000" w:themeColor="text1"/>
        </w:rPr>
        <w:t xml:space="preserve">. </w:t>
      </w:r>
      <w:r w:rsidR="000057B7" w:rsidRPr="002A686A">
        <w:rPr>
          <w:color w:val="000000" w:themeColor="text1"/>
        </w:rPr>
        <w:t xml:space="preserve">Simulated dosing </w:t>
      </w:r>
      <w:proofErr w:type="spellStart"/>
      <w:r w:rsidR="000057B7" w:rsidRPr="002A686A">
        <w:rPr>
          <w:color w:val="000000" w:themeColor="text1"/>
        </w:rPr>
        <w:t>regimes</w:t>
      </w:r>
      <w:proofErr w:type="spellEnd"/>
      <w:r w:rsidR="000057B7" w:rsidRPr="002A686A">
        <w:rPr>
          <w:color w:val="000000" w:themeColor="text1"/>
        </w:rPr>
        <w:t xml:space="preserve"> were fosfomycin 100mg/kg q12 for neonates </w:t>
      </w:r>
      <w:r w:rsidR="000057B7" w:rsidRPr="002A686A">
        <w:rPr>
          <w:color w:val="000000" w:themeColor="text1"/>
        </w:rPr>
        <w:sym w:font="Symbol" w:char="F0A3"/>
      </w:r>
      <w:r w:rsidR="000057B7" w:rsidRPr="002A686A">
        <w:rPr>
          <w:color w:val="000000" w:themeColor="text1"/>
        </w:rPr>
        <w:t xml:space="preserve">7 days old and 150mg/kg q12 for neonates &gt;7 days, as suggested by the </w:t>
      </w:r>
      <w:proofErr w:type="spellStart"/>
      <w:r w:rsidR="000057B7" w:rsidRPr="002A686A">
        <w:rPr>
          <w:color w:val="000000" w:themeColor="text1"/>
        </w:rPr>
        <w:t>NeoFosfo</w:t>
      </w:r>
      <w:proofErr w:type="spellEnd"/>
      <w:r w:rsidR="000057B7" w:rsidRPr="002A686A">
        <w:rPr>
          <w:color w:val="000000" w:themeColor="text1"/>
        </w:rPr>
        <w:t xml:space="preserve"> trial results </w:t>
      </w:r>
      <w:r w:rsidR="0016213A">
        <w:rPr>
          <w:color w:val="000000" w:themeColor="text1"/>
        </w:rPr>
        <w:t xml:space="preserve">and the EMA dosing recommendations </w:t>
      </w:r>
      <w:r w:rsidR="000057B7" w:rsidRPr="002A686A">
        <w:rPr>
          <w:color w:val="000000" w:themeColor="text1"/>
        </w:rPr>
        <w:fldChar w:fldCharType="begin" w:fldLock="1"/>
      </w:r>
      <w:r w:rsidR="005578B0">
        <w:rPr>
          <w:color w:val="000000" w:themeColor="text1"/>
        </w:rPr>
        <w:instrText>ADDIN CSL_CITATION {"citationItems":[{"id":"ITEM-1","itemData":{"URL":"https://clinicaltrials.gov/ct2/show/NCT03453177","container-title":"Clinicaltrials.gov","id":"ITEM-1","issued":{"date-parts":[["2019"]]},"title":"Intravenous and Oral Fosfomycin in Hospitalised Neonates With Clinical Sepsis (NeoFosfo) - NCT03453177","type":"webpage"},"uris":["http://www.mendeley.com/documents/?uuid=35483161-7169-44ac-b3a2-c332e5f45336"]},{"id":"ITEM-2","itemData":{"URL":"https://www.ema.europa.eu/en/documents/referral/fosfomycin-article-31-referral-assessment-report_en.pdf","accessed":{"date-parts":[["2021","1","25"]]},"id":"ITEM-2","issued":{"date-parts":[["2020"]]},"title":"European Medicines Agency - EMEA/H/A-31/1476 - Article 31 referral assessment report of fosfomycin-containing medicinal products","type":"webpage"},"uris":["http://www.mendeley.com/documents/?uuid=e881ce47-d1e3-4f52-a3b6-1c5bd7b5f2f3"]}],"mendeley":{"formattedCitation":"(23, 26)","plainTextFormattedCitation":"(23, 26)","previouslyFormattedCitation":"(23, 26)"},"properties":{"noteIndex":0},"schema":"https://github.com/citation-style-language/schema/raw/master/csl-citation.json"}</w:instrText>
      </w:r>
      <w:r w:rsidR="000057B7" w:rsidRPr="002A686A">
        <w:rPr>
          <w:color w:val="000000" w:themeColor="text1"/>
        </w:rPr>
        <w:fldChar w:fldCharType="separate"/>
      </w:r>
      <w:r w:rsidR="005578B0" w:rsidRPr="005578B0">
        <w:rPr>
          <w:noProof/>
          <w:color w:val="000000" w:themeColor="text1"/>
        </w:rPr>
        <w:t>(23, 26)</w:t>
      </w:r>
      <w:r w:rsidR="000057B7" w:rsidRPr="002A686A">
        <w:rPr>
          <w:color w:val="000000" w:themeColor="text1"/>
        </w:rPr>
        <w:fldChar w:fldCharType="end"/>
      </w:r>
      <w:r w:rsidR="000057B7" w:rsidRPr="002A686A">
        <w:rPr>
          <w:color w:val="000000" w:themeColor="text1"/>
        </w:rPr>
        <w:t xml:space="preserve">. Simulated amikacin dosages were 15mg/kg q24 for all neonates &gt; 2kg; neonates weighing </w:t>
      </w:r>
      <w:r w:rsidR="000057B7" w:rsidRPr="002A686A">
        <w:rPr>
          <w:color w:val="000000" w:themeColor="text1"/>
        </w:rPr>
        <w:sym w:font="Symbol" w:char="F0A3"/>
      </w:r>
      <w:r w:rsidR="000057B7" w:rsidRPr="002A686A">
        <w:rPr>
          <w:color w:val="000000" w:themeColor="text1"/>
        </w:rPr>
        <w:t xml:space="preserve"> 2kg were dosed at q48 if </w:t>
      </w:r>
      <w:r w:rsidR="000057B7" w:rsidRPr="002A686A">
        <w:rPr>
          <w:color w:val="000000" w:themeColor="text1"/>
        </w:rPr>
        <w:sym w:font="Symbol" w:char="F0A3"/>
      </w:r>
      <w:r w:rsidR="000057B7" w:rsidRPr="002A686A">
        <w:rPr>
          <w:color w:val="000000" w:themeColor="text1"/>
        </w:rPr>
        <w:t>7 days old and q36 if &gt;7 days old</w:t>
      </w:r>
      <w:r w:rsidR="00FC4039" w:rsidRPr="002A686A">
        <w:rPr>
          <w:color w:val="000000" w:themeColor="text1"/>
        </w:rPr>
        <w:t xml:space="preserve"> </w:t>
      </w:r>
      <w:r w:rsidR="000057B7" w:rsidRPr="002A686A">
        <w:rPr>
          <w:color w:val="000000" w:themeColor="text1"/>
        </w:rPr>
        <w:fldChar w:fldCharType="begin" w:fldLock="1"/>
      </w:r>
      <w:r w:rsidR="005578B0">
        <w:rPr>
          <w:color w:val="000000" w:themeColor="text1"/>
        </w:rPr>
        <w:instrText>ADDIN CSL_CITATION {"citationItems":[{"id":"ITEM-1","itemData":{"author":[{"dropping-particle":"","family":"Brady","given":"MT","non-dropping-particle":"","parse-names":false,"suffix":""},{"dropping-particle":"","family":"Jackson","given":"MA","non-dropping-particle":"","parse-names":false,"suffix":""},{"dropping-particle":"","family":"Kimberlin","given":"DW","non-dropping-particle":"","parse-names":false,"suffix":""},{"dropping-particle":"","family":"Long","given":"SS","non-dropping-particle":"","parse-names":false,"suffix":""}],"id":"ITEM-1","issued":{"date-parts":[["2018"]]},"publisher":"American Academy of Pediatrics","publisher-place":"Itasca","title":"Red book: 2018–2021 report of the committee on infectious diseases. 31st ed.","type":"book"},"uris":["http://www.mendeley.com/documents/?uuid=4e5bd29f-5adf-45dc-a9c2-93119d48e9ee"]}],"mendeley":{"formattedCitation":"(27)","plainTextFormattedCitation":"(27)","previouslyFormattedCitation":"(27)"},"properties":{"noteIndex":0},"schema":"https://github.com/citation-style-language/schema/raw/master/csl-citation.json"}</w:instrText>
      </w:r>
      <w:r w:rsidR="000057B7" w:rsidRPr="002A686A">
        <w:rPr>
          <w:color w:val="000000" w:themeColor="text1"/>
        </w:rPr>
        <w:fldChar w:fldCharType="separate"/>
      </w:r>
      <w:r w:rsidR="005578B0" w:rsidRPr="005578B0">
        <w:rPr>
          <w:noProof/>
          <w:color w:val="000000" w:themeColor="text1"/>
        </w:rPr>
        <w:t>(27)</w:t>
      </w:r>
      <w:r w:rsidR="000057B7" w:rsidRPr="002A686A">
        <w:rPr>
          <w:color w:val="000000" w:themeColor="text1"/>
        </w:rPr>
        <w:fldChar w:fldCharType="end"/>
      </w:r>
      <w:r w:rsidR="000057B7" w:rsidRPr="002A686A">
        <w:rPr>
          <w:color w:val="000000" w:themeColor="text1"/>
        </w:rPr>
        <w:t xml:space="preserve">. </w:t>
      </w:r>
    </w:p>
    <w:p w14:paraId="279781F9" w14:textId="72D4CE9C" w:rsidR="0091745D" w:rsidRPr="00F533B4" w:rsidRDefault="0038306B" w:rsidP="00501CB2">
      <w:pPr>
        <w:spacing w:before="120" w:line="480" w:lineRule="auto"/>
        <w:rPr>
          <w:color w:val="000000" w:themeColor="text1"/>
        </w:rPr>
      </w:pPr>
      <w:r w:rsidRPr="002A686A">
        <w:rPr>
          <w:color w:val="000000" w:themeColor="text1"/>
        </w:rPr>
        <w:t>Using the target relationship</w:t>
      </w:r>
      <w:r w:rsidR="00D26B1D" w:rsidRPr="002A686A">
        <w:rPr>
          <w:color w:val="000000" w:themeColor="text1"/>
        </w:rPr>
        <w:t>s</w:t>
      </w:r>
      <w:r w:rsidRPr="002A686A">
        <w:rPr>
          <w:color w:val="000000" w:themeColor="text1"/>
        </w:rPr>
        <w:t xml:space="preserve"> defined above, we </w:t>
      </w:r>
      <w:r w:rsidR="00D26B1D" w:rsidRPr="002A686A">
        <w:rPr>
          <w:color w:val="000000" w:themeColor="text1"/>
        </w:rPr>
        <w:t>calculated a combin</w:t>
      </w:r>
      <w:r w:rsidR="00FC4039" w:rsidRPr="002A686A">
        <w:rPr>
          <w:color w:val="000000" w:themeColor="text1"/>
        </w:rPr>
        <w:t>ed</w:t>
      </w:r>
      <w:r w:rsidR="00D26B1D" w:rsidRPr="002A686A">
        <w:rPr>
          <w:color w:val="000000" w:themeColor="text1"/>
        </w:rPr>
        <w:t xml:space="preserve"> probability of</w:t>
      </w:r>
      <w:r w:rsidR="00F906F6">
        <w:rPr>
          <w:color w:val="000000" w:themeColor="text1"/>
        </w:rPr>
        <w:t xml:space="preserve"> </w:t>
      </w:r>
      <w:proofErr w:type="spellStart"/>
      <w:r w:rsidR="00F906F6">
        <w:rPr>
          <w:color w:val="000000" w:themeColor="text1"/>
        </w:rPr>
        <w:t>pharmacodyamic</w:t>
      </w:r>
      <w:proofErr w:type="spellEnd"/>
      <w:r w:rsidR="00D26B1D" w:rsidRPr="002A686A">
        <w:rPr>
          <w:color w:val="000000" w:themeColor="text1"/>
        </w:rPr>
        <w:t xml:space="preserve"> target attainment for both drugs across MIC ranges (1 – 256 mg/L) (Table </w:t>
      </w:r>
      <w:r w:rsidR="00E70504">
        <w:rPr>
          <w:color w:val="000000" w:themeColor="text1"/>
        </w:rPr>
        <w:t>3</w:t>
      </w:r>
      <w:r w:rsidR="00D26B1D" w:rsidRPr="002A686A">
        <w:rPr>
          <w:color w:val="000000" w:themeColor="text1"/>
        </w:rPr>
        <w:t xml:space="preserve">). </w:t>
      </w:r>
      <w:r w:rsidR="00CD47DD" w:rsidRPr="002A686A">
        <w:rPr>
          <w:color w:val="000000" w:themeColor="text1"/>
        </w:rPr>
        <w:t xml:space="preserve">These simulated </w:t>
      </w:r>
      <w:proofErr w:type="spellStart"/>
      <w:r w:rsidR="00FC4039" w:rsidRPr="002A686A">
        <w:rPr>
          <w:i/>
          <w:iCs/>
          <w:color w:val="000000" w:themeColor="text1"/>
        </w:rPr>
        <w:t>f</w:t>
      </w:r>
      <w:r w:rsidR="00CD47DD" w:rsidRPr="002A686A">
        <w:rPr>
          <w:color w:val="000000" w:themeColor="text1"/>
        </w:rPr>
        <w:t>AUCs</w:t>
      </w:r>
      <w:proofErr w:type="spellEnd"/>
      <w:r w:rsidR="00CD47DD" w:rsidRPr="002A686A">
        <w:rPr>
          <w:color w:val="000000" w:themeColor="text1"/>
        </w:rPr>
        <w:t xml:space="preserve"> demonstrated </w:t>
      </w:r>
      <w:r w:rsidR="00CD47DD" w:rsidRPr="002A686A">
        <w:rPr>
          <w:color w:val="000000" w:themeColor="text1"/>
        </w:rPr>
        <w:sym w:font="Symbol" w:char="F0B3"/>
      </w:r>
      <w:r w:rsidR="00CD47DD" w:rsidRPr="002A686A">
        <w:rPr>
          <w:color w:val="000000" w:themeColor="text1"/>
        </w:rPr>
        <w:t>9</w:t>
      </w:r>
      <w:r w:rsidR="00A62A34">
        <w:rPr>
          <w:color w:val="000000" w:themeColor="text1"/>
        </w:rPr>
        <w:t>9</w:t>
      </w:r>
      <w:r w:rsidR="00CD47DD" w:rsidRPr="002A686A">
        <w:rPr>
          <w:color w:val="000000" w:themeColor="text1"/>
        </w:rPr>
        <w:t xml:space="preserve">% predicted target attainment for </w:t>
      </w:r>
      <w:proofErr w:type="spellStart"/>
      <w:r w:rsidR="00B07A10">
        <w:rPr>
          <w:color w:val="000000" w:themeColor="text1"/>
        </w:rPr>
        <w:t>Enterobacterales</w:t>
      </w:r>
      <w:proofErr w:type="spellEnd"/>
      <w:r w:rsidR="00B07A10">
        <w:rPr>
          <w:color w:val="000000" w:themeColor="text1"/>
        </w:rPr>
        <w:t xml:space="preserve"> </w:t>
      </w:r>
      <w:r w:rsidR="00CD47DD" w:rsidRPr="002A686A">
        <w:rPr>
          <w:color w:val="000000" w:themeColor="text1"/>
        </w:rPr>
        <w:t>with amikacin and fosfomycin MICs below the ‘breakpoint plane’</w:t>
      </w:r>
      <w:r w:rsidR="00B07A10">
        <w:rPr>
          <w:color w:val="000000" w:themeColor="text1"/>
        </w:rPr>
        <w:t>.</w:t>
      </w:r>
      <w:r w:rsidR="000057B7" w:rsidRPr="002A686A">
        <w:rPr>
          <w:color w:val="000000" w:themeColor="text1"/>
        </w:rPr>
        <w:t xml:space="preserve"> </w:t>
      </w:r>
      <w:r w:rsidR="00C773C3">
        <w:rPr>
          <w:color w:val="000000" w:themeColor="text1"/>
        </w:rPr>
        <w:t xml:space="preserve"> </w:t>
      </w:r>
      <w:r w:rsidR="00B07A10">
        <w:rPr>
          <w:color w:val="000000" w:themeColor="text1"/>
        </w:rPr>
        <w:t xml:space="preserve">This </w:t>
      </w:r>
      <w:r w:rsidR="000057B7" w:rsidRPr="002A686A">
        <w:rPr>
          <w:color w:val="000000" w:themeColor="text1"/>
        </w:rPr>
        <w:t>indicat</w:t>
      </w:r>
      <w:r w:rsidR="00B07A10">
        <w:rPr>
          <w:color w:val="000000" w:themeColor="text1"/>
        </w:rPr>
        <w:t>es a</w:t>
      </w:r>
      <w:r w:rsidR="000057B7" w:rsidRPr="002A686A">
        <w:rPr>
          <w:color w:val="000000" w:themeColor="text1"/>
        </w:rPr>
        <w:t xml:space="preserve"> high likelihood that </w:t>
      </w:r>
      <w:r w:rsidR="00B07A10">
        <w:rPr>
          <w:color w:val="000000" w:themeColor="text1"/>
        </w:rPr>
        <w:t>f</w:t>
      </w:r>
      <w:r w:rsidR="000057B7" w:rsidRPr="002A686A">
        <w:rPr>
          <w:color w:val="000000" w:themeColor="text1"/>
        </w:rPr>
        <w:t>osfomycin and amikacin</w:t>
      </w:r>
      <w:r w:rsidR="00B07A10">
        <w:rPr>
          <w:color w:val="000000" w:themeColor="text1"/>
        </w:rPr>
        <w:t xml:space="preserve"> in combination</w:t>
      </w:r>
      <w:r w:rsidR="000057B7" w:rsidRPr="002A686A">
        <w:rPr>
          <w:color w:val="000000" w:themeColor="text1"/>
        </w:rPr>
        <w:t xml:space="preserve"> </w:t>
      </w:r>
      <w:r w:rsidR="00CA755D" w:rsidRPr="002A686A">
        <w:rPr>
          <w:color w:val="000000" w:themeColor="text1"/>
        </w:rPr>
        <w:t xml:space="preserve">at the simulated dosing regimens </w:t>
      </w:r>
      <w:r w:rsidR="00F906F6">
        <w:rPr>
          <w:color w:val="000000" w:themeColor="text1"/>
        </w:rPr>
        <w:t>(</w:t>
      </w:r>
      <w:proofErr w:type="gramStart"/>
      <w:r w:rsidR="00F906F6">
        <w:rPr>
          <w:color w:val="000000" w:themeColor="text1"/>
        </w:rPr>
        <w:t>i.e.</w:t>
      </w:r>
      <w:proofErr w:type="gramEnd"/>
      <w:r w:rsidR="00F906F6">
        <w:rPr>
          <w:color w:val="000000" w:themeColor="text1"/>
        </w:rPr>
        <w:t xml:space="preserve"> at standard neonatal doses) </w:t>
      </w:r>
      <w:r w:rsidR="00CA755D" w:rsidRPr="002A686A">
        <w:rPr>
          <w:color w:val="000000" w:themeColor="text1"/>
        </w:rPr>
        <w:t>will successfully treat neonatal sepsis caused by these pathogens.</w:t>
      </w:r>
      <w:r w:rsidR="0091745D" w:rsidRPr="00F533B4">
        <w:rPr>
          <w:color w:val="000000" w:themeColor="text1"/>
        </w:rPr>
        <w:br w:type="page"/>
      </w:r>
    </w:p>
    <w:p w14:paraId="477625A5" w14:textId="290E7479" w:rsidR="005B5A43" w:rsidRPr="00F533B4" w:rsidRDefault="009A4E73" w:rsidP="00501CB2">
      <w:pPr>
        <w:spacing w:before="120" w:line="480" w:lineRule="auto"/>
        <w:rPr>
          <w:b/>
          <w:color w:val="000000" w:themeColor="text1"/>
        </w:rPr>
      </w:pPr>
      <w:r w:rsidRPr="00F533B4">
        <w:rPr>
          <w:b/>
          <w:color w:val="000000" w:themeColor="text1"/>
        </w:rPr>
        <w:lastRenderedPageBreak/>
        <w:t>Discussion</w:t>
      </w:r>
    </w:p>
    <w:p w14:paraId="7552B41D" w14:textId="6E444AF6" w:rsidR="001A2C27" w:rsidRDefault="001A2C27" w:rsidP="00501CB2">
      <w:pPr>
        <w:spacing w:before="120" w:line="480" w:lineRule="auto"/>
        <w:rPr>
          <w:color w:val="000000" w:themeColor="text1"/>
        </w:rPr>
      </w:pPr>
      <w:r w:rsidRPr="00F533B4">
        <w:rPr>
          <w:color w:val="000000" w:themeColor="text1"/>
        </w:rPr>
        <w:t xml:space="preserve">In both static and dynamic </w:t>
      </w:r>
      <w:r w:rsidRPr="00F533B4">
        <w:rPr>
          <w:i/>
          <w:color w:val="000000" w:themeColor="text1"/>
        </w:rPr>
        <w:t>in vitro</w:t>
      </w:r>
      <w:r w:rsidRPr="00F533B4">
        <w:rPr>
          <w:color w:val="000000" w:themeColor="text1"/>
        </w:rPr>
        <w:t xml:space="preserve"> pharmacological models there was unequivocal synergistic interactions</w:t>
      </w:r>
      <w:r>
        <w:rPr>
          <w:color w:val="000000" w:themeColor="text1"/>
        </w:rPr>
        <w:t xml:space="preserve"> between amikacin and fosfomycin</w:t>
      </w:r>
      <w:r w:rsidRPr="00F533B4">
        <w:rPr>
          <w:color w:val="000000" w:themeColor="text1"/>
        </w:rPr>
        <w:t xml:space="preserve"> </w:t>
      </w:r>
      <w:r>
        <w:rPr>
          <w:color w:val="000000" w:themeColor="text1"/>
        </w:rPr>
        <w:t>when measuring by</w:t>
      </w:r>
      <w:r w:rsidRPr="00F533B4">
        <w:rPr>
          <w:color w:val="000000" w:themeColor="text1"/>
        </w:rPr>
        <w:t xml:space="preserve"> bacteri</w:t>
      </w:r>
      <w:r>
        <w:rPr>
          <w:color w:val="000000" w:themeColor="text1"/>
        </w:rPr>
        <w:t>cidal</w:t>
      </w:r>
      <w:r w:rsidRPr="00F533B4">
        <w:rPr>
          <w:color w:val="000000" w:themeColor="text1"/>
        </w:rPr>
        <w:t xml:space="preserve"> killing and </w:t>
      </w:r>
      <w:r>
        <w:rPr>
          <w:color w:val="000000" w:themeColor="text1"/>
        </w:rPr>
        <w:t xml:space="preserve">the </w:t>
      </w:r>
      <w:r w:rsidRPr="00F533B4">
        <w:rPr>
          <w:color w:val="000000" w:themeColor="text1"/>
        </w:rPr>
        <w:t>prevention of emergence of antimicrobial resistance.</w:t>
      </w:r>
      <w:r>
        <w:rPr>
          <w:color w:val="000000" w:themeColor="text1"/>
        </w:rPr>
        <w:t xml:space="preserve"> In particular, the addition of increasing doses of the second agents suppresses the ‘inverted U’ of antimicrobial resistance emergence </w:t>
      </w:r>
      <w:r>
        <w:rPr>
          <w:color w:val="000000" w:themeColor="text1"/>
        </w:rPr>
        <w:fldChar w:fldCharType="begin" w:fldLock="1"/>
      </w:r>
      <w:r w:rsidR="005578B0">
        <w:rPr>
          <w:color w:val="000000" w:themeColor="text1"/>
        </w:rPr>
        <w:instrText>ADDIN CSL_CITATION {"citationItems":[{"id":"ITEM-1","itemData":{"DOI":"10.1128/AAC.00334-06","ISSN":"00664804","PMID":"17116679","abstract":"We determined the relationship between garenoxacin exposure and quinolone-resistant subpopulations for three bacterial isolates in an in vitro hollow-fiber infection model. An \"inverted-U\" relationship was identified wherein resistant subpopulations rose initially and then declined with increasing exposure, until reaching a threshold that prevented resistance amplifications. Different targets for the area under the concentration-time curve over 24 h/MIC ratio were required for different bacteria. Copyright © 2007, American Society for Microbiology. All Rights Reserved.","author":[{"dropping-particle":"","family":"Tam","given":"Vincent H.","non-dropping-particle":"","parse-names":false,"suffix":""},{"dropping-particle":"","family":"Louie","given":"Arnold","non-dropping-particle":"","parse-names":false,"suffix":""},{"dropping-particle":"","family":"Deziel","given":"Mark R.","non-dropping-particle":"","parse-names":false,"suffix":""},{"dropping-particle":"","family":"Liu","given":"Weiguo","non-dropping-particle":"","parse-names":false,"suffix":""},{"dropping-particle":"","family":"Drusano","given":"George L.","non-dropping-particle":"","parse-names":false,"suffix":""}],"container-title":"Antimicrobial Agents and Chemotherapy","id":"ITEM-1","issue":"2","issued":{"date-parts":[["2007","2"]]},"page":"744-747","publisher":"American Society for Microbiology (ASM)","title":"The relationship between quinolone exposures and resistance amplification is characterized by an inverted U: A new paradigm for optimizing pharmacodynamics to counterselect resistance","type":"article-journal","volume":"51"},"uris":["http://www.mendeley.com/documents/?uuid=8f913aec-9ca1-30a4-a382-67f26ac525ba"]}],"mendeley":{"formattedCitation":"(20)","plainTextFormattedCitation":"(20)","previouslyFormattedCitation":"(20)"},"properties":{"noteIndex":0},"schema":"https://github.com/citation-style-language/schema/raw/master/csl-citation.json"}</w:instrText>
      </w:r>
      <w:r>
        <w:rPr>
          <w:color w:val="000000" w:themeColor="text1"/>
        </w:rPr>
        <w:fldChar w:fldCharType="separate"/>
      </w:r>
      <w:r w:rsidR="005578B0" w:rsidRPr="005578B0">
        <w:rPr>
          <w:noProof/>
          <w:color w:val="000000" w:themeColor="text1"/>
        </w:rPr>
        <w:t>(20)</w:t>
      </w:r>
      <w:r>
        <w:rPr>
          <w:color w:val="000000" w:themeColor="text1"/>
        </w:rPr>
        <w:fldChar w:fldCharType="end"/>
      </w:r>
      <w:r>
        <w:rPr>
          <w:color w:val="000000" w:themeColor="text1"/>
        </w:rPr>
        <w:t xml:space="preserve"> (</w:t>
      </w:r>
      <w:r w:rsidR="009E311F">
        <w:rPr>
          <w:color w:val="000000" w:themeColor="text1"/>
        </w:rPr>
        <w:t>Fig.</w:t>
      </w:r>
      <w:r>
        <w:rPr>
          <w:color w:val="000000" w:themeColor="text1"/>
        </w:rPr>
        <w:t xml:space="preserve"> </w:t>
      </w:r>
      <w:r w:rsidR="004C3EF5">
        <w:rPr>
          <w:color w:val="000000" w:themeColor="text1"/>
        </w:rPr>
        <w:t>3</w:t>
      </w:r>
      <w:r>
        <w:rPr>
          <w:color w:val="000000" w:themeColor="text1"/>
        </w:rPr>
        <w:t xml:space="preserve">) preventing the resistance observed at equivalent doses in monotherapy. These characteristics are unaffected by the presence of resistance mechanisms that render first line agents ineffective </w:t>
      </w:r>
      <w:r w:rsidRPr="00F533B4">
        <w:rPr>
          <w:color w:val="000000" w:themeColor="text1"/>
        </w:rPr>
        <w:t>(</w:t>
      </w:r>
      <w:proofErr w:type="gramStart"/>
      <w:r w:rsidRPr="00F533B4">
        <w:rPr>
          <w:color w:val="000000" w:themeColor="text1"/>
        </w:rPr>
        <w:t>e.g</w:t>
      </w:r>
      <w:r>
        <w:rPr>
          <w:color w:val="000000" w:themeColor="text1"/>
        </w:rPr>
        <w:t>.</w:t>
      </w:r>
      <w:proofErr w:type="gramEnd"/>
      <w:r>
        <w:rPr>
          <w:color w:val="000000" w:themeColor="text1"/>
        </w:rPr>
        <w:t xml:space="preserve"> </w:t>
      </w:r>
      <w:r w:rsidRPr="00F533B4">
        <w:rPr>
          <w:color w:val="000000" w:themeColor="text1"/>
        </w:rPr>
        <w:t>ESBL and AMEs</w:t>
      </w:r>
      <w:r>
        <w:rPr>
          <w:color w:val="000000" w:themeColor="text1"/>
        </w:rPr>
        <w:t>)</w:t>
      </w:r>
      <w:r w:rsidR="00A24F7A">
        <w:rPr>
          <w:color w:val="000000" w:themeColor="text1"/>
        </w:rPr>
        <w:t xml:space="preserve"> in the bacteria tested in our experiments</w:t>
      </w:r>
      <w:r>
        <w:rPr>
          <w:color w:val="000000" w:themeColor="text1"/>
        </w:rPr>
        <w:t>. The combination fosfomycin and amikacin is therefore a potentially useful regiment for empiric treatment of neonatal sepsis in the context of high prevalence of these resistance mechanisms</w:t>
      </w:r>
    </w:p>
    <w:p w14:paraId="00D4A61D" w14:textId="4CFCB0E2" w:rsidR="001A2C27" w:rsidRDefault="001A2C27" w:rsidP="00501CB2">
      <w:pPr>
        <w:spacing w:before="120" w:line="480" w:lineRule="auto"/>
        <w:rPr>
          <w:color w:val="000000" w:themeColor="text1"/>
        </w:rPr>
      </w:pPr>
      <w:r>
        <w:rPr>
          <w:color w:val="000000" w:themeColor="text1"/>
        </w:rPr>
        <w:t>Prediction of antimicrobial success has traditionally been conceived using breakpoint thresholds on a scale of a single drug concentration, with the treatment success depend</w:t>
      </w:r>
      <w:r w:rsidR="0008338D">
        <w:rPr>
          <w:color w:val="000000" w:themeColor="text1"/>
        </w:rPr>
        <w:t>ent</w:t>
      </w:r>
      <w:r>
        <w:rPr>
          <w:color w:val="000000" w:themeColor="text1"/>
        </w:rPr>
        <w:t xml:space="preserve"> upon the bacteria being inhibited by a MIC being above or below a certain threshold on this scale. Our data suggests that using conventional monotherapy breakpoints is of limited value in combination antibiotics (</w:t>
      </w:r>
      <w:r w:rsidR="009E311F">
        <w:rPr>
          <w:color w:val="000000" w:themeColor="text1"/>
        </w:rPr>
        <w:t>Fig.</w:t>
      </w:r>
      <w:r>
        <w:rPr>
          <w:color w:val="000000" w:themeColor="text1"/>
        </w:rPr>
        <w:t xml:space="preserve"> </w:t>
      </w:r>
      <w:r w:rsidR="004C3EF5">
        <w:rPr>
          <w:color w:val="000000" w:themeColor="text1"/>
        </w:rPr>
        <w:t>4</w:t>
      </w:r>
      <w:r>
        <w:rPr>
          <w:color w:val="000000" w:themeColor="text1"/>
        </w:rPr>
        <w:t xml:space="preserve">). Here, we propose a novel two-dimensional breakpoint concentration threshold for treatment success defined by the Cartesian function of the pathogen’s fosfomycin and amikacin MIC; </w:t>
      </w:r>
      <m:oMath>
        <m:sSub>
          <m:sSubPr>
            <m:ctrlPr>
              <w:rPr>
                <w:rFonts w:ascii="Cambria Math" w:hAnsi="Cambria Math"/>
                <w:i/>
                <w:color w:val="000000" w:themeColor="text1"/>
              </w:rPr>
            </m:ctrlPr>
          </m:sSubPr>
          <m:e>
            <m:r>
              <w:rPr>
                <w:rFonts w:ascii="Cambria Math" w:hAnsi="Cambria Math"/>
                <w:color w:val="000000" w:themeColor="text1"/>
              </w:rPr>
              <m:t>MIC</m:t>
            </m:r>
          </m:e>
          <m:sub>
            <m:r>
              <w:rPr>
                <w:rFonts w:ascii="Cambria Math" w:hAnsi="Cambria Math"/>
                <w:color w:val="000000" w:themeColor="text1"/>
              </w:rPr>
              <m:t>A</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MIC</m:t>
            </m:r>
          </m:e>
          <m:sub>
            <m:r>
              <w:rPr>
                <w:rFonts w:ascii="Cambria Math" w:hAnsi="Cambria Math"/>
                <w:color w:val="000000" w:themeColor="text1"/>
              </w:rPr>
              <m:t>F</m:t>
            </m:r>
          </m:sub>
        </m:sSub>
        <m:r>
          <w:rPr>
            <w:rFonts w:ascii="Cambria Math" w:hAnsi="Cambria Math"/>
            <w:color w:val="000000" w:themeColor="text1"/>
          </w:rPr>
          <m:t>=256</m:t>
        </m:r>
      </m:oMath>
      <w:r>
        <w:rPr>
          <w:rFonts w:eastAsiaTheme="minorEastAsia"/>
          <w:color w:val="000000" w:themeColor="text1"/>
        </w:rPr>
        <w:t>, where A and F subscripts denote amikacin and fosfomycin MICs respectively</w:t>
      </w:r>
      <w:r w:rsidRPr="00F533B4">
        <w:rPr>
          <w:color w:val="000000" w:themeColor="text1"/>
        </w:rPr>
        <w:t>.</w:t>
      </w:r>
      <w:r>
        <w:rPr>
          <w:color w:val="000000" w:themeColor="text1"/>
        </w:rPr>
        <w:t xml:space="preserve">  </w:t>
      </w:r>
      <w:proofErr w:type="spellStart"/>
      <w:r>
        <w:rPr>
          <w:color w:val="000000" w:themeColor="text1"/>
        </w:rPr>
        <w:t>Enterobacterales</w:t>
      </w:r>
      <w:proofErr w:type="spellEnd"/>
      <w:r>
        <w:rPr>
          <w:color w:val="000000" w:themeColor="text1"/>
        </w:rPr>
        <w:t xml:space="preserve"> pathogens that are inhibited by amikacin and fosfomycin MICs lying beneath this threshold (</w:t>
      </w:r>
      <w:proofErr w:type="gramStart"/>
      <w:r>
        <w:rPr>
          <w:color w:val="000000" w:themeColor="text1"/>
        </w:rPr>
        <w:t>i.e.</w:t>
      </w:r>
      <w:proofErr w:type="gramEnd"/>
      <w:r>
        <w:rPr>
          <w:color w:val="000000" w:themeColor="text1"/>
        </w:rPr>
        <w:t xml:space="preserve"> </w:t>
      </w:r>
      <w:r w:rsidRPr="006D299C">
        <w:rPr>
          <w:color w:val="000000" w:themeColor="text1"/>
        </w:rPr>
        <w:t>MIC</w:t>
      </w:r>
      <w:r>
        <w:rPr>
          <w:color w:val="000000" w:themeColor="text1"/>
          <w:vertAlign w:val="subscript"/>
        </w:rPr>
        <w:t>A</w:t>
      </w:r>
      <w:r>
        <w:rPr>
          <w:color w:val="000000" w:themeColor="text1"/>
        </w:rPr>
        <w:t>*MIC</w:t>
      </w:r>
      <w:r>
        <w:rPr>
          <w:color w:val="000000" w:themeColor="text1"/>
          <w:vertAlign w:val="subscript"/>
        </w:rPr>
        <w:t>F</w:t>
      </w:r>
      <w:r>
        <w:rPr>
          <w:color w:val="000000" w:themeColor="text1"/>
        </w:rPr>
        <w:t xml:space="preserve"> &lt; 256) can be predicted to be successfully treated by the standard regimen of these agents used in neonates i.e. it is specific </w:t>
      </w:r>
      <w:r w:rsidR="0008338D">
        <w:rPr>
          <w:color w:val="000000" w:themeColor="text1"/>
        </w:rPr>
        <w:t>to a</w:t>
      </w:r>
      <w:r>
        <w:rPr>
          <w:color w:val="000000" w:themeColor="text1"/>
        </w:rPr>
        <w:t xml:space="preserve"> neonatal context.</w:t>
      </w:r>
    </w:p>
    <w:p w14:paraId="44374F9D" w14:textId="151AAF23" w:rsidR="00F057C6" w:rsidRDefault="001A2C27" w:rsidP="00501CB2">
      <w:pPr>
        <w:spacing w:before="120" w:line="480" w:lineRule="auto"/>
        <w:rPr>
          <w:color w:val="000000" w:themeColor="text1"/>
        </w:rPr>
      </w:pPr>
      <w:r>
        <w:rPr>
          <w:color w:val="000000" w:themeColor="text1"/>
        </w:rPr>
        <w:lastRenderedPageBreak/>
        <w:t xml:space="preserve">In a further extension, we also propose a novel combination pharmacodynamic target threshold for the combination regimen for predicted treatment success, described in the following </w:t>
      </w:r>
      <w:proofErr w:type="spellStart"/>
      <w:r>
        <w:rPr>
          <w:color w:val="000000" w:themeColor="text1"/>
        </w:rPr>
        <w:t>Cartersian</w:t>
      </w:r>
      <w:proofErr w:type="spellEnd"/>
      <w:r>
        <w:rPr>
          <w:color w:val="000000" w:themeColor="text1"/>
        </w:rPr>
        <w:t xml:space="preserve"> format: </w:t>
      </w:r>
      <m:oMath>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fAUC</m:t>
            </m:r>
          </m:e>
          <m:sub>
            <m:r>
              <w:rPr>
                <w:rFonts w:ascii="Cambria Math" w:eastAsiaTheme="minorEastAsia" w:hAnsi="Cambria Math"/>
                <w:color w:val="000000" w:themeColor="text1"/>
              </w:rPr>
              <m:t>F</m:t>
            </m:r>
          </m:sub>
        </m:sSub>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MIC</m:t>
            </m:r>
          </m:e>
          <m:sub>
            <m:r>
              <w:rPr>
                <w:rFonts w:ascii="Cambria Math" w:eastAsiaTheme="minorEastAsia" w:hAnsi="Cambria Math"/>
                <w:color w:val="000000" w:themeColor="text1"/>
              </w:rPr>
              <m:t>F</m:t>
            </m:r>
          </m:sub>
        </m:sSub>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fAUC</m:t>
            </m:r>
          </m:e>
          <m:sub>
            <m:r>
              <w:rPr>
                <w:rFonts w:ascii="Cambria Math" w:eastAsiaTheme="minorEastAsia" w:hAnsi="Cambria Math"/>
                <w:color w:val="000000" w:themeColor="text1"/>
              </w:rPr>
              <m:t>A</m:t>
            </m:r>
          </m:sub>
        </m:sSub>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MIC</m:t>
            </m:r>
          </m:e>
          <m:sub>
            <m:r>
              <w:rPr>
                <w:rFonts w:ascii="Cambria Math" w:eastAsiaTheme="minorEastAsia" w:hAnsi="Cambria Math"/>
                <w:color w:val="000000" w:themeColor="text1"/>
              </w:rPr>
              <m:t>A</m:t>
            </m:r>
          </m:sub>
        </m:sSub>
        <m:r>
          <w:rPr>
            <w:rFonts w:ascii="Cambria Math" w:eastAsiaTheme="minorEastAsia" w:hAnsi="Cambria Math"/>
            <w:color w:val="000000" w:themeColor="text1"/>
          </w:rPr>
          <m:t>) =2709.5</m:t>
        </m:r>
      </m:oMath>
      <w:r>
        <w:rPr>
          <w:color w:val="000000" w:themeColor="text1"/>
        </w:rPr>
        <w:t xml:space="preserve">.  The probabilities of standard neonatal regimens of these drugs attaining this threshold, for bacteria inhibited by a range of MIC combinations and incorporating the variability of neonatal drug exposure, are summarised in Table </w:t>
      </w:r>
      <w:r w:rsidR="00E70504">
        <w:rPr>
          <w:color w:val="000000" w:themeColor="text1"/>
        </w:rPr>
        <w:t>3</w:t>
      </w:r>
      <w:r>
        <w:rPr>
          <w:color w:val="000000" w:themeColor="text1"/>
        </w:rPr>
        <w:t xml:space="preserve">. </w:t>
      </w:r>
    </w:p>
    <w:p w14:paraId="78F55776" w14:textId="45586AA7" w:rsidR="001A2C27" w:rsidRDefault="00F057C6" w:rsidP="00501CB2">
      <w:pPr>
        <w:spacing w:before="120" w:line="480" w:lineRule="auto"/>
        <w:rPr>
          <w:color w:val="000000" w:themeColor="text1"/>
        </w:rPr>
      </w:pPr>
      <w:r>
        <w:rPr>
          <w:color w:val="000000" w:themeColor="text1"/>
        </w:rPr>
        <w:t xml:space="preserve">We aimed to ensure a diversity of resistance mechanisms across the strains used, with commonly encountered resistance motifs in LMICs represented, acknowledging we are limited to the nine strains used. Whilst it is possible that bacteria with resistance mechanisms not examined in our experiments do not follow the relationship described, </w:t>
      </w:r>
      <w:r w:rsidR="00F261DD">
        <w:rPr>
          <w:color w:val="000000" w:themeColor="text1"/>
        </w:rPr>
        <w:t>the MIC provides an integrative measure of potency regardless of the molecular mechanism of resistance</w:t>
      </w:r>
      <w:r w:rsidR="006C2F3F">
        <w:rPr>
          <w:color w:val="000000" w:themeColor="text1"/>
        </w:rPr>
        <w:t xml:space="preserve">, and can be used to predict pharmacodynamic response, as with conventional breakpoints. </w:t>
      </w:r>
    </w:p>
    <w:p w14:paraId="77293B28" w14:textId="1F9A24E1" w:rsidR="001A2C27" w:rsidRDefault="001A2C27" w:rsidP="00501CB2">
      <w:pPr>
        <w:spacing w:before="120" w:line="480" w:lineRule="auto"/>
        <w:rPr>
          <w:color w:val="000000" w:themeColor="text1"/>
        </w:rPr>
      </w:pPr>
      <w:r>
        <w:rPr>
          <w:color w:val="000000" w:themeColor="text1"/>
        </w:rPr>
        <w:t>In our HFIM experiments</w:t>
      </w:r>
      <w:r w:rsidRPr="00F533B4">
        <w:rPr>
          <w:color w:val="000000" w:themeColor="text1"/>
        </w:rPr>
        <w:t xml:space="preserve"> the monotherapy arms failed with strains </w:t>
      </w:r>
      <w:r>
        <w:rPr>
          <w:color w:val="000000" w:themeColor="text1"/>
        </w:rPr>
        <w:t>inhibited by</w:t>
      </w:r>
      <w:r w:rsidRPr="00F533B4">
        <w:rPr>
          <w:color w:val="000000" w:themeColor="text1"/>
        </w:rPr>
        <w:t xml:space="preserve"> fosfomycin</w:t>
      </w:r>
      <w:r w:rsidR="00BB3A3A">
        <w:rPr>
          <w:color w:val="000000" w:themeColor="text1"/>
        </w:rPr>
        <w:t xml:space="preserve"> and </w:t>
      </w:r>
      <w:r w:rsidRPr="00F533B4">
        <w:rPr>
          <w:color w:val="000000" w:themeColor="text1"/>
        </w:rPr>
        <w:t>amikacin MICs</w:t>
      </w:r>
      <w:r>
        <w:rPr>
          <w:color w:val="000000" w:themeColor="text1"/>
        </w:rPr>
        <w:t xml:space="preserve"> below the</w:t>
      </w:r>
      <w:r w:rsidR="00BB3A3A">
        <w:rPr>
          <w:color w:val="000000" w:themeColor="text1"/>
        </w:rPr>
        <w:t>ir</w:t>
      </w:r>
      <w:r>
        <w:rPr>
          <w:color w:val="000000" w:themeColor="text1"/>
        </w:rPr>
        <w:t xml:space="preserve"> EUCAST breakpoint concentrations </w:t>
      </w:r>
      <w:r w:rsidR="00BB3A3A">
        <w:rPr>
          <w:color w:val="000000" w:themeColor="text1"/>
        </w:rPr>
        <w:t>(</w:t>
      </w:r>
      <w:r>
        <w:rPr>
          <w:color w:val="000000" w:themeColor="text1"/>
        </w:rPr>
        <w:t xml:space="preserve">32mg/L for fosfomycin and 8mg/L for amikacin </w:t>
      </w:r>
      <w:r>
        <w:rPr>
          <w:color w:val="000000" w:themeColor="text1"/>
        </w:rPr>
        <w:fldChar w:fldCharType="begin" w:fldLock="1"/>
      </w:r>
      <w:r w:rsidR="005578B0">
        <w:rPr>
          <w:color w:val="000000" w:themeColor="text1"/>
        </w:rPr>
        <w:instrText>ADDIN CSL_CITATION {"citationItems":[{"id":"ITEM-1","itemData":{"author":[{"dropping-particle":"","family":"EUCAST","given":"","non-dropping-particle":"","parse-names":false,"suffix":""}],"id":"ITEM-1","issued":{"date-parts":[["2020"]]},"title":"The European Committee on Antimicrobial Susceptibility Testing. Breakpoint tables for interpretation of MICs and zone diameters Version 10.0","type":"report"},"uris":["http://www.mendeley.com/documents/?uuid=c169dfc5-32cb-419e-bb9e-ebee53a8ab1b"]}],"mendeley":{"formattedCitation":"(28)","plainTextFormattedCitation":"(28)","previouslyFormattedCitation":"(28)"},"properties":{"noteIndex":0},"schema":"https://github.com/citation-style-language/schema/raw/master/csl-citation.json"}</w:instrText>
      </w:r>
      <w:r>
        <w:rPr>
          <w:color w:val="000000" w:themeColor="text1"/>
        </w:rPr>
        <w:fldChar w:fldCharType="separate"/>
      </w:r>
      <w:r w:rsidR="005578B0" w:rsidRPr="005578B0">
        <w:rPr>
          <w:noProof/>
          <w:color w:val="000000" w:themeColor="text1"/>
        </w:rPr>
        <w:t>(28)</w:t>
      </w:r>
      <w:r>
        <w:rPr>
          <w:color w:val="000000" w:themeColor="text1"/>
        </w:rPr>
        <w:fldChar w:fldCharType="end"/>
      </w:r>
      <w:r>
        <w:rPr>
          <w:color w:val="000000" w:themeColor="text1"/>
        </w:rPr>
        <w:t>)</w:t>
      </w:r>
      <w:r w:rsidRPr="00F533B4">
        <w:rPr>
          <w:color w:val="000000" w:themeColor="text1"/>
        </w:rPr>
        <w:t xml:space="preserve">. </w:t>
      </w:r>
      <w:r>
        <w:rPr>
          <w:color w:val="000000" w:themeColor="text1"/>
        </w:rPr>
        <w:t>The underperformance of amikacin partially</w:t>
      </w:r>
      <w:r w:rsidRPr="00F533B4">
        <w:rPr>
          <w:color w:val="000000" w:themeColor="text1"/>
        </w:rPr>
        <w:t xml:space="preserve"> supports the recent downward revision of aminoglycoside breakpoint</w:t>
      </w:r>
      <w:r>
        <w:rPr>
          <w:color w:val="000000" w:themeColor="text1"/>
        </w:rPr>
        <w:t xml:space="preserve"> concentrations</w:t>
      </w:r>
      <w:r w:rsidRPr="00F533B4">
        <w:rPr>
          <w:color w:val="000000" w:themeColor="text1"/>
        </w:rPr>
        <w:t xml:space="preserve"> by EUCAST with a recommendation to avoid aminoglycoside monotherapy for systemic infections </w:t>
      </w:r>
      <w:r w:rsidRPr="00F533B4">
        <w:rPr>
          <w:color w:val="000000" w:themeColor="text1"/>
        </w:rPr>
        <w:fldChar w:fldCharType="begin" w:fldLock="1"/>
      </w:r>
      <w:r w:rsidR="005578B0">
        <w:rPr>
          <w:color w:val="000000" w:themeColor="text1"/>
        </w:rPr>
        <w:instrText>ADDIN CSL_CITATION {"citationItems":[{"id":"ITEM-1","itemData":{"author":[{"dropping-particle":"","family":"EUCAST","given":"","non-dropping-particle":"","parse-names":false,"suffix":""}],"id":"ITEM-1","issued":{"date-parts":[["2020"]]},"title":"The European Committee on Antimicrobial Susceptibility Testing. Breakpoint tables for interpretation of MICs and zone diameters Version 10.0","type":"report"},"uris":["http://www.mendeley.com/documents/?uuid=c169dfc5-32cb-419e-bb9e-ebee53a8ab1b"]}],"mendeley":{"formattedCitation":"(28)","plainTextFormattedCitation":"(28)","previouslyFormattedCitation":"(28)"},"properties":{"noteIndex":0},"schema":"https://github.com/citation-style-language/schema/raw/master/csl-citation.json"}</w:instrText>
      </w:r>
      <w:r w:rsidRPr="00F533B4">
        <w:rPr>
          <w:color w:val="000000" w:themeColor="text1"/>
        </w:rPr>
        <w:fldChar w:fldCharType="separate"/>
      </w:r>
      <w:r w:rsidR="005578B0" w:rsidRPr="005578B0">
        <w:rPr>
          <w:noProof/>
          <w:color w:val="000000" w:themeColor="text1"/>
        </w:rPr>
        <w:t>(28)</w:t>
      </w:r>
      <w:r w:rsidRPr="00F533B4">
        <w:rPr>
          <w:color w:val="000000" w:themeColor="text1"/>
        </w:rPr>
        <w:fldChar w:fldCharType="end"/>
      </w:r>
      <w:r>
        <w:rPr>
          <w:color w:val="000000" w:themeColor="text1"/>
        </w:rPr>
        <w:t xml:space="preserve">, but also reflects the observed greater tendency of aminoglycoside exposure to generate emergence of resistant small-colony variants </w:t>
      </w:r>
      <w:r>
        <w:rPr>
          <w:i/>
          <w:iCs/>
          <w:color w:val="000000" w:themeColor="text1"/>
        </w:rPr>
        <w:t>in vitro</w:t>
      </w:r>
      <w:r>
        <w:rPr>
          <w:color w:val="000000" w:themeColor="text1"/>
        </w:rPr>
        <w:t xml:space="preserve"> than is observed </w:t>
      </w:r>
      <w:r>
        <w:rPr>
          <w:i/>
          <w:iCs/>
          <w:color w:val="000000" w:themeColor="text1"/>
        </w:rPr>
        <w:t>in vivo</w:t>
      </w:r>
      <w:r>
        <w:rPr>
          <w:color w:val="000000" w:themeColor="text1"/>
        </w:rPr>
        <w:t xml:space="preserve"> </w:t>
      </w:r>
      <w:r>
        <w:rPr>
          <w:color w:val="000000" w:themeColor="text1"/>
        </w:rPr>
        <w:fldChar w:fldCharType="begin" w:fldLock="1"/>
      </w:r>
      <w:r w:rsidR="005578B0">
        <w:rPr>
          <w:color w:val="000000" w:themeColor="text1"/>
        </w:rPr>
        <w:instrText>ADDIN CSL_CITATION {"citationItems":[{"id":"ITEM-1","itemData":{"DOI":"10.1128/AAC.02307-18","ISSN":"10986596","PMID":"30833428","abstract":"In June 2017, the National Institute of Allergy and Infectious Diseases, part of the National Institutes of Health, organized a workshop entitled \"Pharmacokinetics-Pharmacodynamics (PK/PD) for Development of Therapeutics against Bacterial Pathogens.\" The aims were to discuss details of various PK/PD models and identify sound practices for deriving and utilizing PK/PD relationships to design optimal dosage regimens for patients. Workshop participants encompassed individuals from academia, industry, and government, including the United States Food and Drug Administration. This and the accompanying review on clinical PK/PD summarize the workshop discussions and recommendations. Nonclinical PK/PD models play a critical role in designing human dosage regimens and are essential tools for drug development. These include in vitro and in vivo efficacy models that provide valuable and complementary information for dose selection and translation from the laboratory to human. It is crucial that studies be designed, conducted, and interpreted appropriately. For antibacterial PK/PD, extensive published data and expertise are available. These have been leveraged to develop recommendations, identify common pitfalls, and describe the applications, strengths, and limitations of various nonclinical infection models and translational approaches. Despite these robust tools and published guidance, characterizing nonclinical PK/PD relationships may not be straightforward, especially for a new drug or new class. Antimicrobial PK/PD is an evolving discipline that needs to adapt to future research and development needs. Open communication between academia, pharmaceutical industry, government, and regulatory bodies is essential to share perspectives and collectively solve future challenges.","author":[{"dropping-particle":"","family":"Bulitta","given":"Jürgen B.","non-dropping-particle":"","parse-names":false,"suffix":""},{"dropping-particle":"","family":"Hope","given":"William W.","non-dropping-particle":"","parse-names":false,"suffix":""},{"dropping-particle":"","family":"Eakin","given":"Ann E.","non-dropping-particle":"","parse-names":false,"suffix":""},{"dropping-particle":"","family":"Guina","given":"Tina","non-dropping-particle":"","parse-names":false,"suffix":""},{"dropping-particle":"","family":"Tam","given":"Vincent H.","non-dropping-particle":"","parse-names":false,"suffix":""},{"dropping-particle":"","family":"Louie","given":"Arnold","non-dropping-particle":"","parse-names":false,"suffix":""},{"dropping-particle":"","family":"Drusano","given":"George L.","non-dropping-particle":"","parse-names":false,"suffix":""},{"dropping-particle":"","family":"Hoover","given":"Jennifer L.","non-dropping-particle":"","parse-names":false,"suffix":""}],"container-title":"Antimicrobial agents and chemotherapy","id":"ITEM-1","issue":"5","issued":{"date-parts":[["2019"]]},"page":"1-25","title":"Generating Robust and Informative Nonclinical &lt;i&gt;In Vitro&lt;/i&gt; and &lt;i&gt;In Vivo&lt;/i&gt; Bacterial Infection Model Efficacy Data To Support Translation to Humans","type":"article-journal","volume":"63"},"uris":["http://www.mendeley.com/documents/?uuid=e1c7e305-766b-4cd9-b35c-22b678945ab1"]}],"mendeley":{"formattedCitation":"(29)","plainTextFormattedCitation":"(29)","previouslyFormattedCitation":"(29)"},"properties":{"noteIndex":0},"schema":"https://github.com/citation-style-language/schema/raw/master/csl-citation.json"}</w:instrText>
      </w:r>
      <w:r>
        <w:rPr>
          <w:color w:val="000000" w:themeColor="text1"/>
        </w:rPr>
        <w:fldChar w:fldCharType="separate"/>
      </w:r>
      <w:r w:rsidR="005578B0" w:rsidRPr="005578B0">
        <w:rPr>
          <w:noProof/>
          <w:color w:val="000000" w:themeColor="text1"/>
        </w:rPr>
        <w:t>(29)</w:t>
      </w:r>
      <w:r>
        <w:rPr>
          <w:color w:val="000000" w:themeColor="text1"/>
        </w:rPr>
        <w:fldChar w:fldCharType="end"/>
      </w:r>
      <w:r w:rsidRPr="00F533B4">
        <w:rPr>
          <w:color w:val="000000" w:themeColor="text1"/>
        </w:rPr>
        <w:t xml:space="preserve">. Failure of fosfomycin as monotherapy for strains </w:t>
      </w:r>
      <w:r w:rsidR="0008338D">
        <w:rPr>
          <w:color w:val="000000" w:themeColor="text1"/>
        </w:rPr>
        <w:t>inhibited by</w:t>
      </w:r>
      <w:r w:rsidRPr="00F533B4">
        <w:rPr>
          <w:color w:val="000000" w:themeColor="text1"/>
        </w:rPr>
        <w:t xml:space="preserve"> MICs &gt;4mg/L supports suggestions that the breakpoint </w:t>
      </w:r>
      <w:r>
        <w:rPr>
          <w:color w:val="000000" w:themeColor="text1"/>
        </w:rPr>
        <w:t xml:space="preserve">concentration </w:t>
      </w:r>
      <w:r w:rsidRPr="00F533B4">
        <w:rPr>
          <w:color w:val="000000" w:themeColor="text1"/>
        </w:rPr>
        <w:t xml:space="preserve">for </w:t>
      </w:r>
      <w:r>
        <w:rPr>
          <w:color w:val="000000" w:themeColor="text1"/>
        </w:rPr>
        <w:t xml:space="preserve">neonatal </w:t>
      </w:r>
      <w:r w:rsidRPr="00F533B4">
        <w:rPr>
          <w:color w:val="000000" w:themeColor="text1"/>
        </w:rPr>
        <w:t xml:space="preserve">systemic infections </w:t>
      </w:r>
      <w:r>
        <w:rPr>
          <w:color w:val="000000" w:themeColor="text1"/>
        </w:rPr>
        <w:t>should be</w:t>
      </w:r>
      <w:r w:rsidRPr="00F533B4">
        <w:rPr>
          <w:color w:val="000000" w:themeColor="text1"/>
        </w:rPr>
        <w:t xml:space="preserve"> lower than the currently stated </w:t>
      </w:r>
      <w:r>
        <w:rPr>
          <w:color w:val="000000" w:themeColor="text1"/>
        </w:rPr>
        <w:t xml:space="preserve">EUCAST breakpoint for adult systemic infections of </w:t>
      </w:r>
      <w:r w:rsidRPr="00F533B4">
        <w:rPr>
          <w:color w:val="000000" w:themeColor="text1"/>
        </w:rPr>
        <w:t xml:space="preserve">32mg/L </w:t>
      </w:r>
      <w:r w:rsidRPr="00F533B4">
        <w:rPr>
          <w:color w:val="000000" w:themeColor="text1"/>
        </w:rPr>
        <w:fldChar w:fldCharType="begin" w:fldLock="1"/>
      </w:r>
      <w:r w:rsidR="005578B0">
        <w:rPr>
          <w:color w:val="000000" w:themeColor="text1"/>
        </w:rPr>
        <w:instrText>ADDIN CSL_CITATION {"citationItems":[{"id":"ITEM-1","itemData":{"author":[{"dropping-particle":"","family":"EUCAST","given":"","non-dropping-particle":"","parse-names":false,"suffix":""}],"id":"ITEM-1","issued":{"date-parts":[["2020"]]},"title":"The European Committee on Antimicrobial Susceptibility Testing. Breakpoint tables for interpretation of MICs and zone diameters Version 10.0","type":"report"},"uris":["http://www.mendeley.com/documents/?uuid=c169dfc5-32cb-419e-bb9e-ebee53a8ab1b"]}],"mendeley":{"formattedCitation":"(28)","plainTextFormattedCitation":"(28)","previouslyFormattedCitation":"(28)"},"properties":{"noteIndex":0},"schema":"https://github.com/citation-style-language/schema/raw/master/csl-citation.json"}</w:instrText>
      </w:r>
      <w:r w:rsidRPr="00F533B4">
        <w:rPr>
          <w:color w:val="000000" w:themeColor="text1"/>
        </w:rPr>
        <w:fldChar w:fldCharType="separate"/>
      </w:r>
      <w:r w:rsidR="005578B0" w:rsidRPr="005578B0">
        <w:rPr>
          <w:noProof/>
          <w:color w:val="000000" w:themeColor="text1"/>
        </w:rPr>
        <w:t>(28)</w:t>
      </w:r>
      <w:r w:rsidRPr="00F533B4">
        <w:rPr>
          <w:color w:val="000000" w:themeColor="text1"/>
        </w:rPr>
        <w:fldChar w:fldCharType="end"/>
      </w:r>
      <w:r w:rsidR="002D4357">
        <w:rPr>
          <w:color w:val="000000" w:themeColor="text1"/>
        </w:rPr>
        <w:t xml:space="preserve"> (as has previously also been </w:t>
      </w:r>
      <w:r w:rsidR="002D4357">
        <w:rPr>
          <w:color w:val="000000" w:themeColor="text1"/>
        </w:rPr>
        <w:lastRenderedPageBreak/>
        <w:t>suggested in a</w:t>
      </w:r>
      <w:r w:rsidR="00CF4DB9">
        <w:rPr>
          <w:color w:val="000000" w:themeColor="text1"/>
        </w:rPr>
        <w:t>n a</w:t>
      </w:r>
      <w:r w:rsidR="002D4357">
        <w:rPr>
          <w:color w:val="000000" w:themeColor="text1"/>
        </w:rPr>
        <w:t>dult</w:t>
      </w:r>
      <w:r w:rsidR="00CF4DB9">
        <w:rPr>
          <w:color w:val="000000" w:themeColor="text1"/>
        </w:rPr>
        <w:t xml:space="preserve"> context</w:t>
      </w:r>
      <w:r w:rsidR="002D4357">
        <w:rPr>
          <w:color w:val="000000" w:themeColor="text1"/>
        </w:rPr>
        <w:t xml:space="preserve"> </w:t>
      </w:r>
      <w:r w:rsidR="000D20D5">
        <w:rPr>
          <w:color w:val="000000" w:themeColor="text1"/>
        </w:rPr>
        <w:t xml:space="preserve">too </w:t>
      </w:r>
      <w:r w:rsidR="00CF4DB9">
        <w:rPr>
          <w:color w:val="000000" w:themeColor="text1"/>
        </w:rPr>
        <w:fldChar w:fldCharType="begin" w:fldLock="1"/>
      </w:r>
      <w:r w:rsidR="005578B0">
        <w:rPr>
          <w:color w:val="000000" w:themeColor="text1"/>
        </w:rPr>
        <w:instrText>ADDIN CSL_CITATION {"citationItems":[{"id":"ITEM-1","itemData":{"DOI":"10.1016/j.cmi.2018.02.005","ISSN":"14690691","PMID":"29649596","abstract":"Objectives: To describe the population pharmacokinetics of fosfomycin for patients with bacteraemic urinary tract infection (BUTI). The analysis identified optimal regimens on the basis of pharmacodynamic targets and assessed the adequacy of Clinical and Laboratory Standards Institute (CLSI) and European Committee on Antimicrobial Susceptibility Testing (EUCAST) susceptibility breakpoints for Escherichia coli. Methods: Data of 16 patients with BUTI caused by multidrug-resistant E. coli (FOREST clinical trial) received intravenous fosfomycin (4 g every 6 hours) were analysed. A population pharmacokinetic analysis was performed, and Monte Carlo simulations were undertaken using 4 g every 6 hours and 8 g every 8 hours. The probability of pharmacodynamic target attainment was assessed using pharmacodynamic targets for E. coli for static effect, 1-log drop in bacterial burden and resistance suppression. Results: Sixty-four plasma samples were collected over a single dosing interval (day 2 or 3 after starting fosfomycin treatment). Fosfomycin concentrations were highly variable. Pharmacodynamic target attainment analysis showed mild improvement by increasing fosfomycin dosing (4 g every 6 hours vs. every 8 hours). These dosages showed success for decreasing 1-log bacterial burden in 89% to 96% (EUCAST breakpoints) and 33% to 54% (CLSI breakpoints) of patients, but they were unable to reach bacterial resistance suppression targets. Conclusions: Fosfomycin concentrations are highly variable—a fact partially explained by renal impairment. The present work supports the use of 4 g every 6 hours as an effective regimen for the treatment of non–critically ill patients with BUTI caused by multidrug-resistant E. coli, as higher dosages might increase toxicity but may not significantly increase efficacy. The current information may suggest that fosfomycin susceptibility breakpoints need to be reappraised.","author":[{"dropping-particle":"","family":"Merino-Bohórquez","given":"V.","non-dropping-particle":"","parse-names":false,"suffix":""},{"dropping-particle":"","family":"Docobo-Pérez","given":"F.","non-dropping-particle":"","parse-names":false,"suffix":""},{"dropping-particle":"","family":"Sojo","given":"J.","non-dropping-particle":"","parse-names":false,"suffix":""},{"dropping-particle":"","family":"Morales","given":"I.","non-dropping-particle":"","parse-names":false,"suffix":""},{"dropping-particle":"","family":"Lupión","given":"C.","non-dropping-particle":"","parse-names":false,"suffix":""},{"dropping-particle":"","family":"Martín","given":"D.","non-dropping-particle":"","parse-names":false,"suffix":""},{"dropping-particle":"","family":"Cameán","given":"M.","non-dropping-particle":"","parse-names":false,"suffix":""},{"dropping-particle":"","family":"Hope","given":"W.","non-dropping-particle":"","parse-names":false,"suffix":""},{"dropping-particle":"","family":"Pascual","given":"","non-dropping-particle":"","parse-names":false,"suffix":""},{"dropping-particle":"","family":"Rodríguez-Baño","given":"J.","non-dropping-particle":"","parse-names":false,"suffix":""}],"container-title":"Clinical Microbiology and Infection","id":"ITEM-1","issue":"11","issued":{"date-parts":[["2018","11","1"]]},"page":"1177-1183","publisher":"Elsevier B.V.","title":"Population pharmacokinetics and pharmacodynamics of fosfomycin in non–critically ill patients with bacteremic urinary infection caused by multidrug-resistant&lt;i&gt; Escherichia coli&lt;/i&gt;","type":"article-journal","volume":"24"},"uris":["http://www.mendeley.com/documents/?uuid=09efeaa3-8b41-36ad-bf2d-832e22a8a342"]}],"mendeley":{"formattedCitation":"(30)","plainTextFormattedCitation":"(30)","previouslyFormattedCitation":"(30)"},"properties":{"noteIndex":0},"schema":"https://github.com/citation-style-language/schema/raw/master/csl-citation.json"}</w:instrText>
      </w:r>
      <w:r w:rsidR="00CF4DB9">
        <w:rPr>
          <w:color w:val="000000" w:themeColor="text1"/>
        </w:rPr>
        <w:fldChar w:fldCharType="separate"/>
      </w:r>
      <w:r w:rsidR="005578B0" w:rsidRPr="005578B0">
        <w:rPr>
          <w:noProof/>
          <w:color w:val="000000" w:themeColor="text1"/>
        </w:rPr>
        <w:t>(30)</w:t>
      </w:r>
      <w:r w:rsidR="00CF4DB9">
        <w:rPr>
          <w:color w:val="000000" w:themeColor="text1"/>
        </w:rPr>
        <w:fldChar w:fldCharType="end"/>
      </w:r>
      <w:r w:rsidR="00CF4DB9">
        <w:rPr>
          <w:color w:val="000000" w:themeColor="text1"/>
        </w:rPr>
        <w:t>)</w:t>
      </w:r>
      <w:r w:rsidRPr="00F533B4">
        <w:rPr>
          <w:color w:val="000000" w:themeColor="text1"/>
        </w:rPr>
        <w:t xml:space="preserve">. </w:t>
      </w:r>
      <w:r>
        <w:rPr>
          <w:color w:val="000000" w:themeColor="text1"/>
        </w:rPr>
        <w:t>However, the ideal breakpoint concentration for fosfomycin alone is difficult to define because this agent should not be used as monotherapy due to potential for rapid emergence of resistance</w:t>
      </w:r>
      <w:r w:rsidR="00045442">
        <w:rPr>
          <w:color w:val="000000" w:themeColor="text1"/>
        </w:rPr>
        <w:t xml:space="preserve"> </w:t>
      </w:r>
      <w:r w:rsidR="00045442">
        <w:rPr>
          <w:color w:val="000000" w:themeColor="text1"/>
        </w:rPr>
        <w:fldChar w:fldCharType="begin" w:fldLock="1"/>
      </w:r>
      <w:r w:rsidR="005578B0">
        <w:rPr>
          <w:color w:val="000000" w:themeColor="text1"/>
        </w:rPr>
        <w:instrText>ADDIN CSL_CITATION {"citationItems":[{"id":"ITEM-1","itemData":{"DOI":"10.1128/AAC.00752-15","ISBN":"1098-6596 (Electronic)\\r0066-4804 (Linking)","ISSN":"10986596","PMID":"26124169","abstract":"The aim of this study was to improve the understanding of the pharmacokinetic-pharmacodynamic relationships of fosfomycin against extended-spectrum beta-lactamase (ESBL)-producing Escherichia coli strains that have different fosfomycin MICs. Our methods included the use of a hollow fiber infection model with three clinical ESBL-producing E. coli strains. Human fosfomycin pharmacokinetic profiles were simulated over 4 days. Preliminary studies conducted to determine the dose ranges, including the dose ranges that suppressed the development of drug-resistant mutants, were conducted with regimens from 12 g/day to 36 g/day. The combination of fosfomycin at 4 g every 8 h (q8h) and meropenem at 1 g/q8h was selected for further assessment. The total bacterial population and the resistant subpopulations were determined. No efficacy was observed against the Ec42444 strain (fosfomycin MIC, 64 mg/liter) at doses of 12, 24, or 36 g/day. All dosages induced at least initial bacterial killing against Ec46 (fosfomycin MIC, 1 mg/liter). High-level drug-resistant mutants appeared in this strain in response to 12, 15, and 18 g/day. In the study arms that included 24 g/day, once or in a divided dose, a complete extinction of the bacterial inoculum was observed. The combination of meropenem with fosfomycin was synergistic for bacterial killing and also suppressed all fosfomycin-resistant clones of Ec2974 (fosfomycin MIC, 1 mg/liter). We conclude that fosfomycin susceptibility breakpoints (≤64 mg/liter according to CLSI [for E. coli urinary tract infections only]) should be revised for the treatment of serious systemic infections. Fosfomycin can be used to treat infections caused by organisms that demonstrate lower MICs and lower bacterial densities, although relatively high daily dosages (i.e., 24 g/day) are required to prevent the emergence of bacterial resistance. The ratio of the area under the concentration-time curve for the free, unbound fraction of fosfomycin versus the MIC (fAUC/MIC) appears to be the dynamically linked index of suppression of bacterial resistance. Fosfomycin with meropenem can act synergistically against E. coli strains in preventing the emergence of fosfomycin resistance.","author":[{"dropping-particle":"","family":"Docobo-Pérez","given":"F.","non-dropping-particle":"","parse-names":false,"suffix":""},{"dropping-particle":"","family":"Drusano","given":"G. L.","non-dropping-particle":"","parse-names":false,"suffix":""},{"dropping-particle":"","family":"Johnson","given":"A.","non-dropping-particle":"","parse-names":false,"suffix":""},{"dropping-particle":"","family":"Goodwin","given":"J.","non-dropping-particle":"","parse-names":false,"suffix":""},{"dropping-particle":"","family":"Whalley","given":"S.","non-dropping-particle":"","parse-names":false,"suffix":""},{"dropping-particle":"","family":"Ramos-Martín","given":"V.","non-dropping-particle":"","parse-names":false,"suffix":""},{"dropping-particle":"","family":"Ballestero-Tellez","given":"M.","non-dropping-particle":"","parse-names":false,"suffix":""},{"dropping-particle":"","family":"Rodriguez-Martinez","given":"J. M.","non-dropping-particle":"","parse-names":false,"suffix":""},{"dropping-particle":"","family":"Conejo","given":"M. C.","non-dropping-particle":"","parse-names":false,"suffix":""},{"dropping-particle":"","family":"Guilder","given":"M.","non-dropping-particle":"Van","parse-names":false,"suffix":""},{"dropping-particle":"","family":"Rodríguez-Baño","given":"J.","non-dropping-particle":"","parse-names":false,"suffix":""},{"dropping-particle":"","family":"Pascual","given":"A.","non-dropping-particle":"","parse-names":false,"suffix":""},{"dropping-particle":"","family":"Hope","given":"W. W.","non-dropping-particle":"","parse-names":false,"suffix":""}],"container-title":"Antimicrobial Agents and Chemotherapy","id":"ITEM-1","issue":"9","issued":{"date-parts":[["2015"]]},"page":"5602-5610","title":"Pharmacodynamics of fosfomycin: Insights into clinical use for antimicrobial resistance","type":"article-journal","volume":"59"},"uris":["http://www.mendeley.com/documents/?uuid=4376db88-954c-4bc5-9bd9-d095b73f7a29"]},{"id":"ITEM-2","itemData":{"DOI":"10.1128/AAC.04955-14","ISSN":"10986596","PMID":"26100706","abstract":"Fosfomycin, a phosphonic class antibiotic with a broad spectrum of antibacterial activity, has been used outside the United States since the early 1970s for the treatment of a variety of infections. In the United States, an oral (tromethamine salt) formulation is used for uncomplicated urinary tract infections. Recently, there has been interest in the use of an intravenous solution (ZTI-01) for the treatment of a broad range of infections associated with multidrug-resistant bacteria. In this era of multidrugresistant bacteria with few treatment options, it is critical to understand the pharmacokinetic-pharmacodynamic (PK-PD) determinants for fosfomycin efficacy. Since such data are limited, a one-compartment in vitro infection model was used to determine the PK-PD index associated with efficacy and the magnitude of this measure necessary for various levels of effect. One challenge isolate (Escherichia coli ATCC 25922, for which the fosfomycin agar MIC is 0.5 mg/liter and the broth microdilution MIC is 1 mg/liter) was evaluated in the dose fractionation studies, and two additional clinical E. coli isolates were evaluated in the doseranging studies. Mutation frequency studies indicated the presence of an inherently fosfomycin resistant E. coli subpopulation (agar MIC = 32 to 64 mg/liter) within the standard starting inoculum of a susceptibility test. Due to the presence of this resistant subpopulation, we identified the percentage of the dosing interval that drug concentrations were above the inherent resistance inhibitory concentration found at baseline to be the PK-PD index associated with efficacy (r2 = 0.777). The magnitudes of this PK-PD index associated with net bacterial stasis and 1- and 2-log10 CFU/ml reductions from baseline at 24 h were 11.9, 20.9, and 32.8, respectively. These data provide useful information for modernizing and optimizing ZTI-01 dosing regimens for further study.","author":[{"dropping-particle":"","family":"VanScoy","given":"Brian D.","non-dropping-particle":"","parse-names":false,"suffix":""},{"dropping-particle":"","family":"McCauley","given":"Jennifer","non-dropping-particle":"","parse-names":false,"suffix":""},{"dropping-particle":"","family":"Ellis-Grosse","given":"Evelyn J.","non-dropping-particle":"","parse-names":false,"suffix":""},{"dropping-particle":"","family":"Okusanya","given":"Olanrewaju O.","non-dropping-particle":"","parse-names":false,"suffix":""},{"dropping-particle":"","family":"Bhavnani","given":"Sujata M.","non-dropping-particle":"","parse-names":false,"suffix":""},{"dropping-particle":"","family":"Forrest","given":"Alan","non-dropping-particle":"","parse-names":false,"suffix":""},{"dropping-particle":"","family":"Ambrose","given":"Paul G.","non-dropping-particle":"","parse-names":false,"suffix":""}],"container-title":"Antimicrobial Agents and Chemotherapy","id":"ITEM-2","issue":"12","issued":{"date-parts":[["2015","12","1"]]},"page":"7170-7177","publisher":"American Society for Microbiology","title":"Exploration of the pharmacokinetic-pharmacodynamic relationships for fosfomycin efficacy using an in Vitro infection model","type":"article-journal","volume":"59"},"uris":["http://www.mendeley.com/documents/?uuid=2026b5d6-ec1b-3e40-ad23-accd4e866bc7"]}],"mendeley":{"formattedCitation":"(31, 32)","plainTextFormattedCitation":"(31, 32)","previouslyFormattedCitation":"(31, 32)"},"properties":{"noteIndex":0},"schema":"https://github.com/citation-style-language/schema/raw/master/csl-citation.json"}</w:instrText>
      </w:r>
      <w:r w:rsidR="00045442">
        <w:rPr>
          <w:color w:val="000000" w:themeColor="text1"/>
        </w:rPr>
        <w:fldChar w:fldCharType="separate"/>
      </w:r>
      <w:r w:rsidR="005578B0" w:rsidRPr="005578B0">
        <w:rPr>
          <w:noProof/>
          <w:color w:val="000000" w:themeColor="text1"/>
        </w:rPr>
        <w:t>(31, 32)</w:t>
      </w:r>
      <w:r w:rsidR="00045442">
        <w:rPr>
          <w:color w:val="000000" w:themeColor="text1"/>
        </w:rPr>
        <w:fldChar w:fldCharType="end"/>
      </w:r>
      <w:r>
        <w:rPr>
          <w:color w:val="000000" w:themeColor="text1"/>
        </w:rPr>
        <w:t>.</w:t>
      </w:r>
    </w:p>
    <w:p w14:paraId="03CF6B7D" w14:textId="46CD7681" w:rsidR="001A2C27" w:rsidRDefault="001A2C27" w:rsidP="00501CB2">
      <w:pPr>
        <w:spacing w:before="120" w:line="480" w:lineRule="auto"/>
        <w:rPr>
          <w:color w:val="000000" w:themeColor="text1"/>
        </w:rPr>
      </w:pPr>
      <w:r w:rsidRPr="00F533B4">
        <w:rPr>
          <w:color w:val="000000" w:themeColor="text1"/>
        </w:rPr>
        <w:t xml:space="preserve">There </w:t>
      </w:r>
      <w:r>
        <w:rPr>
          <w:color w:val="000000" w:themeColor="text1"/>
        </w:rPr>
        <w:t>is</w:t>
      </w:r>
      <w:r w:rsidRPr="00F533B4">
        <w:rPr>
          <w:color w:val="000000" w:themeColor="text1"/>
        </w:rPr>
        <w:t xml:space="preserve"> an increasing number of experimental models of neonatal infection and sepsis </w:t>
      </w:r>
      <w:r w:rsidRPr="00F533B4">
        <w:rPr>
          <w:color w:val="000000" w:themeColor="text1"/>
        </w:rPr>
        <w:fldChar w:fldCharType="begin" w:fldLock="1"/>
      </w:r>
      <w:r w:rsidR="005578B0">
        <w:rPr>
          <w:color w:val="000000" w:themeColor="text1"/>
        </w:rPr>
        <w:instrText>ADDIN CSL_CITATION {"citationItems":[{"id":"ITEM-1","itemData":{"DOI":"10.1093/jac/dkv451","ISBN":"1517945941","ISSN":"14602091","PMID":"26755499","abstract":"OBJECTIVES: CoNS are the most common cause of neonatal late-onset sepsis. Information on the vancomycin pharmacokinetics/pharmacodynamics against CoNS is limited. The aim of this study was to characterize vancomycin pharmacokinetic/pharmacodynamic relationships for CoNS and investigate neonatal optimal dosage regimens.\\n\\nMETHODS: A hollow fibre and a novel rabbit model of neonatal central line-associated bloodstream CoNS infections were developed. The results were then bridged to neonates by use of population pharmacokinetic techniques and Monte Carlo simulations.\\n\\nRESULTS: There was a dose-dependent reduction in the total bacterial population and C-reactive protein levels. The AUC/MIC and Cmax/MIC ratios were strongly linked with total and mutant resistant cell kill. Maximal amplification of resistance was observed in vitro at an fAUC/MIC of 200 mg · h/L. Simulations predicted that neonates &lt;29 weeks post-menstrual age are underdosed with standard regimens with respect to older age groups.\\n\\nCONCLUSIONS: The AUC/MIC and Cmax/MIC ratios are the pharmacodynamic indices that best explain total and resistant cell kill in CoNS infection. This suggests that less-fractionated regimens are appropriate for clinical use and continuous infusions may be associated with increased risk of emergence of antimicrobial resistance. This study has provided the pharmacodynamic evidence to inform an optimized neonatal dosage regimen to take into a randomized controlled trial.","author":[{"dropping-particle":"","family":"Ramos-Martín","given":"V.","non-dropping-particle":"","parse-names":false,"suffix":""},{"dropping-particle":"","family":"Johnson","given":"A.","non-dropping-particle":"","parse-names":false,"suffix":""},{"dropping-particle":"","family":"Livermore","given":"J.","non-dropping-particle":"","parse-names":false,"suffix":""},{"dropping-particle":"","family":"McEntee","given":"L.","non-dropping-particle":"","parse-names":false,"suffix":""},{"dropping-particle":"","family":"Goodwin","given":"J.","non-dropping-particle":"","parse-names":false,"suffix":""},{"dropping-particle":"","family":"Whalley","given":"S.","non-dropping-particle":"","parse-names":false,"suffix":""},{"dropping-particle":"","family":"Docobo-Pérez","given":"F.","non-dropping-particle":"","parse-names":false,"suffix":""},{"dropping-particle":"","family":"Felton","given":"T. W.","non-dropping-particle":"","parse-names":false,"suffix":""},{"dropping-particle":"","family":"Zhao","given":"W.","non-dropping-particle":"","parse-names":false,"suffix":""},{"dropping-particle":"","family":"Jacqz-Aigrain","given":"E.","non-dropping-particle":"","parse-names":false,"suffix":""},{"dropping-particle":"","family":"Sharland","given":"M.","non-dropping-particle":"","parse-names":false,"suffix":""},{"dropping-particle":"","family":"Turner","given":"M. A.","non-dropping-particle":"","parse-names":false,"suffix":""},{"dropping-particle":"","family":"Hope","given":"W. W.","non-dropping-particle":"","parse-names":false,"suffix":""}],"container-title":"Journal of Antimicrobial Chemotherapy","id":"ITEM-1","issue":"4","issued":{"date-parts":[["2016"]]},"page":"992-1002","title":"Pharmacodynamics of vancomycin for CoNS infection: Experimental basis for optimal use of vancomycin in neonates","type":"article-journal","volume":"71"},"uris":["http://www.mendeley.com/documents/?uuid=8fb8e111-fac3-4345-a61c-814ad4d652b6"]},{"id":"ITEM-2","itemData":{"DOI":"10.1128/AAC.05826-11","ISBN":"1098-6596 (Electronic) 0066-4804 (Linking)","ISSN":"00664804","PMID":"22123680","abstract":"Hematogenous Candida meningoencephalitis (HCME) is a serious infection in premature neonates. Anidulafungin is an echinocandin antifungal agent with potent activity against Candida spp., but its efficacy and optimal regimens for human neonates with HCME are not known. A well-validated rabbit model of HCME was used to define pharmacokinetic-pharmacodynamic (PK-PD) relationships of anidulafungin. A mathematical model was fitted to the entire data set. The experimental data were bridged to humans. A population PK model was fitted to the data from human neonates receiving anidulafungin receiving a loading dose of 3 mg/kg, followed by 1.5 mg/kg/day. Monte Carlo simulations were performed to identify candidate anidulafungin regimens for humans. All untreated rabbits succumbed by &lt;/=96 h postinoculation. The PK of anidulafungin was linear with dose-dependent penetration into the cerebrum. Anidulafungin exerted a rapid antifungal effect that was apparent in the first dosing interval. Near-maximal antifungal activity was observed with dosages of 10 to 20 mg/kg/day. The bridging studies suggested that the current regimen of first 3 mg/kg, followed by 1.5 mg/kg/day, is suboptimal. Higher dosages were associated with progressively greater antifungal effect. Anidulafungin is effective for the treatment of experimental HCME. Higher dosages than those currently used for clinical care are required for maximal antifungal effect.","author":[{"dropping-particle":"","family":"Warn","given":"Peter A.","non-dropping-particle":"","parse-names":false,"suffix":""},{"dropping-particle":"","family":"Livermore","given":"Joanne","non-dropping-particle":"","parse-names":false,"suffix":""},{"dropping-particle":"","family":"Howard","given":"Susan","non-dropping-particle":"","parse-names":false,"suffix":""},{"dropping-particle":"","family":"Felton","given":"Timothy W.","non-dropping-particle":"","parse-names":false,"suffix":""},{"dropping-particle":"","family":"Sharp","given":"Andrew","non-dropping-particle":"","parse-names":false,"suffix":""},{"dropping-particle":"","family":"Gregson","given":"Lea","non-dropping-particle":"","parse-names":false,"suffix":""},{"dropping-particle":"","family":"Goodwin","given":"Joanne","non-dropping-particle":"","parse-names":false,"suffix":""},{"dropping-particle":"","family":"Petraitiene","given":"Ruta","non-dropping-particle":"","parse-names":false,"suffix":""},{"dropping-particle":"","family":"Petraitis","given":"Vidmantas","non-dropping-particle":"","parse-names":false,"suffix":""},{"dropping-particle":"","family":"Cohen-Wolkowiez","given":"Michael","non-dropping-particle":"","parse-names":false,"suffix":""},{"dropping-particle":"","family":"Walsh","given":"Thomas J.","non-dropping-particle":"","parse-names":false,"suffix":""},{"dropping-particle":"","family":"Benjamin","given":"Daniel K.","non-dropping-particle":"","parse-names":false,"suffix":""},{"dropping-particle":"","family":"Hope","given":"William W.","non-dropping-particle":"","parse-names":false,"suffix":""}],"container-title":"Antimicrobial Agents and Chemotherapy","id":"ITEM-2","issue":"2","issued":{"date-parts":[["2012"]]},"page":"708-714","title":"Anidulafungin for neonatal hematogenous Candida meningoencephalitis: Identification of candidate regimens for humans using a translational pharmacological approach","type":"article-journal","volume":"56"},"uris":["http://www.mendeley.com/documents/?uuid=1cd91c70-3545-434f-a574-9b99568ac741"]}],"mendeley":{"formattedCitation":"(33, 34)","plainTextFormattedCitation":"(33, 34)","previouslyFormattedCitation":"(33, 34)"},"properties":{"noteIndex":0},"schema":"https://github.com/citation-style-language/schema/raw/master/csl-citation.json"}</w:instrText>
      </w:r>
      <w:r w:rsidRPr="00F533B4">
        <w:rPr>
          <w:color w:val="000000" w:themeColor="text1"/>
        </w:rPr>
        <w:fldChar w:fldCharType="separate"/>
      </w:r>
      <w:r w:rsidR="005578B0" w:rsidRPr="005578B0">
        <w:rPr>
          <w:noProof/>
          <w:color w:val="000000" w:themeColor="text1"/>
        </w:rPr>
        <w:t>(33, 34)</w:t>
      </w:r>
      <w:r w:rsidRPr="00F533B4">
        <w:rPr>
          <w:color w:val="000000" w:themeColor="text1"/>
        </w:rPr>
        <w:fldChar w:fldCharType="end"/>
      </w:r>
      <w:r w:rsidRPr="00F533B4">
        <w:rPr>
          <w:color w:val="000000" w:themeColor="text1"/>
        </w:rPr>
        <w:t>. HFIM</w:t>
      </w:r>
      <w:r w:rsidR="00B0338A">
        <w:rPr>
          <w:color w:val="000000" w:themeColor="text1"/>
        </w:rPr>
        <w:t>s</w:t>
      </w:r>
      <w:r w:rsidRPr="00F533B4">
        <w:rPr>
          <w:color w:val="000000" w:themeColor="text1"/>
        </w:rPr>
        <w:t xml:space="preserve"> has been previously used to explore the pharmacodynamics of vancomycin and teicoplanin for neonatal sepsis </w:t>
      </w:r>
      <w:r w:rsidRPr="00F533B4">
        <w:rPr>
          <w:color w:val="000000" w:themeColor="text1"/>
        </w:rPr>
        <w:fldChar w:fldCharType="begin" w:fldLock="1"/>
      </w:r>
      <w:r w:rsidR="005578B0">
        <w:rPr>
          <w:color w:val="000000" w:themeColor="text1"/>
        </w:rPr>
        <w:instrText>ADDIN CSL_CITATION {"citationItems":[{"id":"ITEM-1","itemData":{"DOI":"10.1093/jac/dkv451","ISBN":"1517945941","ISSN":"14602091","PMID":"26755499","abstract":"OBJECTIVES: CoNS are the most common cause of neonatal late-onset sepsis. Information on the vancomycin pharmacokinetics/pharmacodynamics against CoNS is limited. The aim of this study was to characterize vancomycin pharmacokinetic/pharmacodynamic relationships for CoNS and investigate neonatal optimal dosage regimens.\\n\\nMETHODS: A hollow fibre and a novel rabbit model of neonatal central line-associated bloodstream CoNS infections were developed. The results were then bridged to neonates by use of population pharmacokinetic techniques and Monte Carlo simulations.\\n\\nRESULTS: There was a dose-dependent reduction in the total bacterial population and C-reactive protein levels. The AUC/MIC and Cmax/MIC ratios were strongly linked with total and mutant resistant cell kill. Maximal amplification of resistance was observed in vitro at an fAUC/MIC of 200 mg · h/L. Simulations predicted that neonates &lt;29 weeks post-menstrual age are underdosed with standard regimens with respect to older age groups.\\n\\nCONCLUSIONS: The AUC/MIC and Cmax/MIC ratios are the pharmacodynamic indices that best explain total and resistant cell kill in CoNS infection. This suggests that less-fractionated regimens are appropriate for clinical use and continuous infusions may be associated with increased risk of emergence of antimicrobial resistance. This study has provided the pharmacodynamic evidence to inform an optimized neonatal dosage regimen to take into a randomized controlled trial.","author":[{"dropping-particle":"","family":"Ramos-Martín","given":"V.","non-dropping-particle":"","parse-names":false,"suffix":""},{"dropping-particle":"","family":"Johnson","given":"A.","non-dropping-particle":"","parse-names":false,"suffix":""},{"dropping-particle":"","family":"Livermore","given":"J.","non-dropping-particle":"","parse-names":false,"suffix":""},{"dropping-particle":"","family":"McEntee","given":"L.","non-dropping-particle":"","parse-names":false,"suffix":""},{"dropping-particle":"","family":"Goodwin","given":"J.","non-dropping-particle":"","parse-names":false,"suffix":""},{"dropping-particle":"","family":"Whalley","given":"S.","non-dropping-particle":"","parse-names":false,"suffix":""},{"dropping-particle":"","family":"Docobo-Pérez","given":"F.","non-dropping-particle":"","parse-names":false,"suffix":""},{"dropping-particle":"","family":"Felton","given":"T. W.","non-dropping-particle":"","parse-names":false,"suffix":""},{"dropping-particle":"","family":"Zhao","given":"W.","non-dropping-particle":"","parse-names":false,"suffix":""},{"dropping-particle":"","family":"Jacqz-Aigrain","given":"E.","non-dropping-particle":"","parse-names":false,"suffix":""},{"dropping-particle":"","family":"Sharland","given":"M.","non-dropping-particle":"","parse-names":false,"suffix":""},{"dropping-particle":"","family":"Turner","given":"M. A.","non-dropping-particle":"","parse-names":false,"suffix":""},{"dropping-particle":"","family":"Hope","given":"W. W.","non-dropping-particle":"","parse-names":false,"suffix":""}],"container-title":"Journal of Antimicrobial Chemotherapy","id":"ITEM-1","issue":"4","issued":{"date-parts":[["2016"]]},"page":"992-1002","title":"Pharmacodynamics of vancomycin for CoNS infection: Experimental basis for optimal use of vancomycin in neonates","type":"article-journal","volume":"71"},"uris":["http://www.mendeley.com/documents/?uuid=8fb8e111-fac3-4345-a61c-814ad4d652b6"]},{"id":"ITEM-2","itemData":{"DOI":"10.1093/jac/dkx289","ISSN":"14602091","PMID":"28962026","abstract":"Objectives: The overall study aim was to identify the relevant preclinical teicoplanin pharmacokinetic (PK)/pharmacodynamic (PD) indices to predict efficacy and suppression of resistance in MRSA infection. Methods: A hollow-fibre infection model and a neutropenic murine thigh infection model were developed. The PK/PD data generated were modelled using a non-parametric population modelling approach with Pmetrics. The posterior Bayesian estimates derived were used to study the exposure-effect relationships. Monte Carlo simulations from previously developed population PK models in adults and children were conducted to explore the probability of target attainment (PTA) for teicoplanin dosage regimens against the current EUCAST WT susceptibility range. Results: There was a concentration-dependent activity of teicoplanin in both the in vitro and in vivo models. A total in vivo AUC/MIC of 610.4 (total AUC of 305.2mg·h/L) for an MRSA strain with an MIC of 0.5 mg/L was needed for efficacy (2 log10 cell kill) against a total bacterial population. A total AUC/MIC ratio of ~1500 (total AUC of ~750mg·h/L) was needed to suppress the emergence of resistance. The PTA analyses showed that adult and paediatric patients receiving a standard regimen were only successfully treated for the in vivo bactericidal target if the MIC was ≤ 0.125 mg/L in adults and ≤ 0.064 mg/L in children. Conclusions: This study improves our understanding of teicoplanin PD against MRSA and defines an in vivo AUC/MIC target for efficacy and suppression of resistance. Additional studies are needed to further corroborate the PK/PD index in a variety of infection models and in patients.","author":[{"dropping-particle":"","family":"Ramos-Martín","given":"V.","non-dropping-particle":"","parse-names":false,"suffix":""},{"dropping-particle":"","family":"Johnson","given":"A.","non-dropping-particle":"","parse-names":false,"suffix":""},{"dropping-particle":"","family":"McEntee","given":"L.","non-dropping-particle":"","parse-names":false,"suffix":""},{"dropping-particle":"","family":"Farrington","given":"N.","non-dropping-particle":"","parse-names":false,"suffix":""},{"dropping-particle":"","family":"Padmore","given":"K.","non-dropping-particle":"","parse-names":false,"suffix":""},{"dropping-particle":"","family":"Cojutti","given":"P.","non-dropping-particle":"","parse-names":false,"suffix":""},{"dropping-particle":"","family":"Pea","given":"F.","non-dropping-particle":"","parse-names":false,"suffix":""},{"dropping-particle":"","family":"Neely","given":"M. N.","non-dropping-particle":"","parse-names":false,"suffix":""},{"dropping-particle":"","family":"Hope","given":"W. W.","non-dropping-particle":"","parse-names":false,"suffix":""}],"container-title":"Journal of Antimicrobial Chemotherapy","id":"ITEM-2","issue":"12","issued":{"date-parts":[["2017","12","1"]]},"page":"3382-3389","publisher":"Oxford University Press","title":"Pharmacodynamics of teicoplanin against MRSA","type":"article-journal","volume":"72"},"uris":["http://www.mendeley.com/documents/?uuid=2e7d7d39-4243-3eac-a643-3545dc18544c"]}],"mendeley":{"formattedCitation":"(33, 35)","plainTextFormattedCitation":"(33, 35)","previouslyFormattedCitation":"(33, 35)"},"properties":{"noteIndex":0},"schema":"https://github.com/citation-style-language/schema/raw/master/csl-citation.json"}</w:instrText>
      </w:r>
      <w:r w:rsidRPr="00F533B4">
        <w:rPr>
          <w:color w:val="000000" w:themeColor="text1"/>
        </w:rPr>
        <w:fldChar w:fldCharType="separate"/>
      </w:r>
      <w:r w:rsidR="005578B0" w:rsidRPr="005578B0">
        <w:rPr>
          <w:noProof/>
          <w:color w:val="000000" w:themeColor="text1"/>
        </w:rPr>
        <w:t>(33, 35)</w:t>
      </w:r>
      <w:r w:rsidRPr="00F533B4">
        <w:rPr>
          <w:color w:val="000000" w:themeColor="text1"/>
        </w:rPr>
        <w:fldChar w:fldCharType="end"/>
      </w:r>
      <w:r w:rsidRPr="00F533B4">
        <w:rPr>
          <w:color w:val="000000" w:themeColor="text1"/>
        </w:rPr>
        <w:t>.  HFIM has the advantage of enabling the simulation of neonatal pharmacokinetics to explore drug exposure effect and drug exposure resistance relationships that are specific to this special population</w:t>
      </w:r>
      <w:r>
        <w:rPr>
          <w:color w:val="000000" w:themeColor="text1"/>
        </w:rPr>
        <w:t>. T</w:t>
      </w:r>
      <w:r w:rsidRPr="00F533B4">
        <w:rPr>
          <w:color w:val="000000" w:themeColor="text1"/>
        </w:rPr>
        <w:t xml:space="preserve">his is extremely difficult to </w:t>
      </w:r>
      <w:r>
        <w:rPr>
          <w:color w:val="000000" w:themeColor="text1"/>
        </w:rPr>
        <w:t>achieve</w:t>
      </w:r>
      <w:r w:rsidRPr="00F533B4">
        <w:rPr>
          <w:color w:val="000000" w:themeColor="text1"/>
        </w:rPr>
        <w:t xml:space="preserve"> in laboratory animal models</w:t>
      </w:r>
      <w:r w:rsidR="00045442">
        <w:rPr>
          <w:color w:val="000000" w:themeColor="text1"/>
        </w:rPr>
        <w:t>, due to inherent pharmacokinetic differences with humans</w:t>
      </w:r>
      <w:r w:rsidRPr="00F533B4">
        <w:rPr>
          <w:color w:val="000000" w:themeColor="text1"/>
        </w:rPr>
        <w:t xml:space="preserve">.  Furthermore, laboratory animal models of bacteraemia </w:t>
      </w:r>
      <w:r>
        <w:rPr>
          <w:color w:val="000000" w:themeColor="text1"/>
        </w:rPr>
        <w:t>have additional difficulties in establishing</w:t>
      </w:r>
      <w:r w:rsidRPr="00F533B4">
        <w:rPr>
          <w:color w:val="000000" w:themeColor="text1"/>
        </w:rPr>
        <w:t xml:space="preserve"> pharmacodynamic relationships</w:t>
      </w:r>
      <w:r>
        <w:rPr>
          <w:color w:val="000000" w:themeColor="text1"/>
        </w:rPr>
        <w:t xml:space="preserve"> to due to the relatively low and intermittently detectable bacterial densities. </w:t>
      </w:r>
      <w:r w:rsidRPr="00F533B4">
        <w:rPr>
          <w:color w:val="000000" w:themeColor="text1"/>
        </w:rPr>
        <w:t xml:space="preserve"> The HFIM overcomes these limitations.  </w:t>
      </w:r>
    </w:p>
    <w:p w14:paraId="475B5AEC" w14:textId="0C35556F" w:rsidR="001A2C27" w:rsidRDefault="001A2C27" w:rsidP="00501CB2">
      <w:pPr>
        <w:spacing w:before="120" w:line="480" w:lineRule="auto"/>
        <w:rPr>
          <w:color w:val="000000" w:themeColor="text1"/>
        </w:rPr>
      </w:pPr>
      <w:r>
        <w:rPr>
          <w:color w:val="000000" w:themeColor="text1"/>
        </w:rPr>
        <w:t>However</w:t>
      </w:r>
      <w:r w:rsidRPr="00F533B4">
        <w:rPr>
          <w:color w:val="000000" w:themeColor="text1"/>
        </w:rPr>
        <w:t>,</w:t>
      </w:r>
      <w:r>
        <w:rPr>
          <w:color w:val="000000" w:themeColor="text1"/>
        </w:rPr>
        <w:t xml:space="preserve"> the</w:t>
      </w:r>
      <w:r w:rsidRPr="00F533B4">
        <w:rPr>
          <w:color w:val="000000" w:themeColor="text1"/>
        </w:rPr>
        <w:t xml:space="preserve"> HFIM does not replicate the anatomical barriers that may be important for infections of the lung and </w:t>
      </w:r>
      <w:proofErr w:type="gramStart"/>
      <w:r w:rsidRPr="00F533B4">
        <w:rPr>
          <w:color w:val="000000" w:themeColor="text1"/>
        </w:rPr>
        <w:t>brain</w:t>
      </w:r>
      <w:r w:rsidR="00C52B76">
        <w:rPr>
          <w:color w:val="000000" w:themeColor="text1"/>
        </w:rPr>
        <w:t>,</w:t>
      </w:r>
      <w:r>
        <w:rPr>
          <w:color w:val="000000" w:themeColor="text1"/>
        </w:rPr>
        <w:t xml:space="preserve"> and</w:t>
      </w:r>
      <w:proofErr w:type="gramEnd"/>
      <w:r w:rsidRPr="00F533B4">
        <w:rPr>
          <w:color w:val="000000" w:themeColor="text1"/>
        </w:rPr>
        <w:t xml:space="preserve"> does not contain any immunological effectors (even if these are immature in neonates) that may contribute to antimicrobial activity. Furthermore, the relatively high density of the inoculum used in HFIM to ensure reproducible results (circa. 10</w:t>
      </w:r>
      <w:r w:rsidRPr="00F533B4">
        <w:rPr>
          <w:color w:val="000000" w:themeColor="text1"/>
          <w:vertAlign w:val="superscript"/>
        </w:rPr>
        <w:t>6</w:t>
      </w:r>
      <w:r w:rsidRPr="00F533B4">
        <w:rPr>
          <w:color w:val="000000" w:themeColor="text1"/>
        </w:rPr>
        <w:t xml:space="preserve"> cfu/mL) is higher than the estimates for the bacterial density in the bloodstream of neonates with sepsis (circa. 10</w:t>
      </w:r>
      <w:r w:rsidRPr="00F533B4">
        <w:rPr>
          <w:color w:val="000000" w:themeColor="text1"/>
          <w:vertAlign w:val="superscript"/>
        </w:rPr>
        <w:t>0</w:t>
      </w:r>
      <w:r w:rsidRPr="00F533B4">
        <w:rPr>
          <w:color w:val="000000" w:themeColor="text1"/>
        </w:rPr>
        <w:t>-10</w:t>
      </w:r>
      <w:r w:rsidRPr="00F533B4">
        <w:rPr>
          <w:color w:val="000000" w:themeColor="text1"/>
          <w:vertAlign w:val="superscript"/>
        </w:rPr>
        <w:t>3</w:t>
      </w:r>
      <w:r w:rsidRPr="00F533B4">
        <w:rPr>
          <w:color w:val="000000" w:themeColor="text1"/>
        </w:rPr>
        <w:t xml:space="preserve"> </w:t>
      </w:r>
      <w:r>
        <w:rPr>
          <w:color w:val="000000" w:themeColor="text1"/>
        </w:rPr>
        <w:t>CFU</w:t>
      </w:r>
      <w:r w:rsidRPr="00F533B4">
        <w:rPr>
          <w:color w:val="000000" w:themeColor="text1"/>
        </w:rPr>
        <w:t xml:space="preserve">/mL) </w:t>
      </w:r>
      <w:r w:rsidRPr="00F533B4">
        <w:rPr>
          <w:color w:val="000000" w:themeColor="text1"/>
        </w:rPr>
        <w:fldChar w:fldCharType="begin" w:fldLock="1"/>
      </w:r>
      <w:r w:rsidR="005578B0">
        <w:rPr>
          <w:color w:val="000000" w:themeColor="text1"/>
        </w:rPr>
        <w:instrText>ADDIN CSL_CITATION {"citationItems":[{"id":"ITEM-1","itemData":{"DOI":"10.1097/00006454-199704000-00009","ISSN":"08913668","PMID":"9109140","abstract":"Background. The frequency of low level bacteremia (≤10 colony-forming units/ml) in infants from birth to 2 months of age and the optimal volume of blood and number of blood cultures to be collected have not been well- documented. During 1991 guidelines at this hospital for collection of blood for culture from these infants were revised. Methods. Blood from each infant with suspected bacteremia was usually inoculated into an Isolator 1.5 Microbial Tube® (1.5 ml of blood) and a bottle of anaerobic broth (0.5 to 3.0 ml of blood). The use of a second Isolator tube and the total blood volume recommended for culture (2 to 6 ml) depended on the weight and total blood volume of each infant. Results. Forty-four bacterial pathogens were recovered from the blood of 40 (2.5%) of 1589 infants. Of 34 infants from whose blood the concentration of pathogens could be determined, 23 (68%) had low level bacteremia. Of 50 isolates of pathogens recovered from Isolator cultures, 32 (64%) were detected in counts of ≤10 colony-forming units/ml. When 2 or 3 blood culture devices were inoculated with a total of 2 to 6 ml of blood from each infant, significantly more cases of bacteremia were detected (34 (3.0%) of 1126 infants had positive blood cultures) than when only one culture device containing ≤1.5 ml of blood was used (2 (0.5%) of 398 infants had positive blood cultures; P = 0.008). However, when 4 or more culture devices were inoculated with a total of &gt;6 ml of blood from each infant (5 (7.7%) of 65 infants had positive blood cultures), the difference in recovery of pathogens compared with the culturing of from 2 to 6 ml of blood per infant was not significant (P = 0.089). Conclusions. Low level bacteremia was common in our infants' patient population. The culturing of up to 6 ml of blood which represented up to 4.5% of an infant's total blood volume was required for detection of the pathogens.","author":[{"dropping-particle":"","family":"Kellogg","given":"James A.","non-dropping-particle":"","parse-names":false,"suffix":""},{"dropping-particle":"","family":"Ferrentino","given":"Frank L.","non-dropping-particle":"","parse-names":false,"suffix":""},{"dropping-particle":"","family":"Goodstein","given":"Michael H.","non-dropping-particle":"","parse-names":false,"suffix":""},{"dropping-particle":"","family":"Liss","given":"Jonathan","non-dropping-particle":"","parse-names":false,"suffix":""},{"dropping-particle":"","family":"Shapiro","given":"Steven L.","non-dropping-particle":"","parse-names":false,"suffix":""},{"dropping-particle":"","family":"Bankert","given":"David A.","non-dropping-particle":"","parse-names":false,"suffix":""}],"container-title":"Pediatric Infectious Disease Journal","id":"ITEM-1","issue":"4","issued":{"date-parts":[["1997","4"]]},"page":"381-385","publisher":"Pediatr Infect Dis J","title":"Frequency of low level bacteremia in infants from birth to two months of age","type":"article-journal","volume":"16"},"uris":["http://www.mendeley.com/documents/?uuid=c13ffeeb-b48e-37c7-9f7c-fa247bb66866"]},{"id":"ITEM-2","itemData":{"DOI":"10.1016/S0022-3476(74)80308-2","ISSN":"00223476","PMID":"4604810","abstract":"Bacterial counts in blood of E. coli (number of viable organisms per milliliter) are reported for 30 neonates whowere cultured because of suspected septicemia. Fifteen of the infants died; 13 of the deaths occurred within 48 hours after cultures were obtained and appropriate antibiotic therapy had been initiated. Thirty-five positive cultures were obtained from the 30 neonates; in 11 (31%) of the cultures the colony counts were in excess of 1,000/ml; in 5 (14%), the counts ranged from 50 to 1,000/ml; in 11 (31%), from 5 to 49/ml; in 8 (23%), from 0 to 4/ml. Seventy-three per cent (8/11) of the neonates with colony counts greater than 1,000/ml died. © 1974 The C. V. Mosby Company.","author":[{"dropping-particle":"","family":"Dietzman","given":"Dale E.","non-dropping-particle":"","parse-names":false,"suffix":""},{"dropping-particle":"","family":"Fischer","given":"Gerald W.","non-dropping-particle":"","parse-names":false,"suffix":""},{"dropping-particle":"","family":"Schoenknecht","given":"Fritz D.","non-dropping-particle":"","parse-names":false,"suffix":""}],"container-title":"The Journal of Pediatrics","id":"ITEM-2","issue":"1","issued":{"date-parts":[["1974"]]},"page":"128-130","publisher":"J Pediatr","title":"Neonatal &lt;i&gt;Escherichia coli&lt;/i&gt; septicemia-bacterial counts in blood","type":"article-journal","volume":"85"},"uris":["http://www.mendeley.com/documents/?uuid=05c1925d-2913-39af-81fc-d0a4cdf8096f"]}],"mendeley":{"formattedCitation":"(36, 37)","plainTextFormattedCitation":"(36, 37)","previouslyFormattedCitation":"(36, 37)"},"properties":{"noteIndex":0},"schema":"https://github.com/citation-style-language/schema/raw/master/csl-citation.json"}</w:instrText>
      </w:r>
      <w:r w:rsidRPr="00F533B4">
        <w:rPr>
          <w:color w:val="000000" w:themeColor="text1"/>
        </w:rPr>
        <w:fldChar w:fldCharType="separate"/>
      </w:r>
      <w:r w:rsidR="005578B0" w:rsidRPr="005578B0">
        <w:rPr>
          <w:noProof/>
          <w:color w:val="000000" w:themeColor="text1"/>
        </w:rPr>
        <w:t>(36, 37)</w:t>
      </w:r>
      <w:r w:rsidRPr="00F533B4">
        <w:rPr>
          <w:color w:val="000000" w:themeColor="text1"/>
        </w:rPr>
        <w:fldChar w:fldCharType="end"/>
      </w:r>
      <w:r w:rsidRPr="00F533B4">
        <w:rPr>
          <w:color w:val="000000" w:themeColor="text1"/>
        </w:rPr>
        <w:t xml:space="preserve">. </w:t>
      </w:r>
      <w:r>
        <w:rPr>
          <w:color w:val="000000" w:themeColor="text1"/>
        </w:rPr>
        <w:t>For these reasons,</w:t>
      </w:r>
      <w:r w:rsidRPr="00F533B4">
        <w:rPr>
          <w:color w:val="000000" w:themeColor="text1"/>
        </w:rPr>
        <w:t xml:space="preserve"> the conclusions from the HFIM may be conservative and represent a worst-case scenario for regimen identification. </w:t>
      </w:r>
    </w:p>
    <w:p w14:paraId="16BBF8A3" w14:textId="57DE4D9C" w:rsidR="001A2C27" w:rsidRDefault="001A2C27" w:rsidP="00501CB2">
      <w:pPr>
        <w:spacing w:before="120" w:line="480" w:lineRule="auto"/>
        <w:rPr>
          <w:color w:val="000000" w:themeColor="text1"/>
        </w:rPr>
      </w:pPr>
      <w:r>
        <w:t>Furthermore, the conclusions of these experiments are applicable only to the treatment of systemic infections</w:t>
      </w:r>
      <w:r w:rsidR="00A24F7A">
        <w:t xml:space="preserve"> (</w:t>
      </w:r>
      <w:proofErr w:type="gramStart"/>
      <w:r w:rsidR="00A24F7A">
        <w:t>i.e.</w:t>
      </w:r>
      <w:proofErr w:type="gramEnd"/>
      <w:r w:rsidR="00A24F7A">
        <w:t xml:space="preserve"> neonatal sepsis)</w:t>
      </w:r>
      <w:r>
        <w:t xml:space="preserve"> given the replication of neonatal systemic drug exposures. Whilst both amikacin and fosfomycin have a degree of CSF penetration (a</w:t>
      </w:r>
      <w:r>
        <w:rPr>
          <w:color w:val="000000" w:themeColor="text1"/>
        </w:rPr>
        <w:t xml:space="preserve">mikacin </w:t>
      </w:r>
      <w:r>
        <w:rPr>
          <w:color w:val="000000" w:themeColor="text1"/>
        </w:rPr>
        <w:lastRenderedPageBreak/>
        <w:t xml:space="preserve">has a CSF partition coefficient of 0.1 in neonates </w:t>
      </w:r>
      <w:r>
        <w:rPr>
          <w:color w:val="000000" w:themeColor="text1"/>
        </w:rPr>
        <w:fldChar w:fldCharType="begin" w:fldLock="1"/>
      </w:r>
      <w:r w:rsidR="005578B0">
        <w:rPr>
          <w:color w:val="000000" w:themeColor="text1"/>
        </w:rPr>
        <w:instrText>ADDIN CSL_CITATION {"citationItems":[{"id":"ITEM-1","itemData":{"DOI":"10.1128/AAC.01099-07","ISSN":"00664804","abstract":"To describe and investigate the covariate effects of cerebrospinal fluid (CSF) amikacin pharmacokinetics in neonates, CSF samples were prospectively collected from neonates in whom amikacin had been initiated before a diagnostic lumbar puncture was performed. CSF analysis (amikacin concentration, white blood count [WBC], glucose content, and protein concentration) and amikacin therapeutic drug monitoring results (peak and trough concentrations) in serum were recorded. Correlations (Spearman rank) between the CSF amikacin concentration and the CSF WBC and glucose and protein concentration were investigated. There were 44 CSF amikacin concentrations and 83 serum samples available from 43 neonates (mean postmenstrual age, 36 weeks [range, 26 to 41 weeks] ; mean weight, 2.43 kg [range, 0.87 to 3.86 kg]). The median time interval between initiation of amikacin administration and CSF sampling was 25 h (range, 2.5 to 93.7 h). The median amikacin concentration in the CSF was 1.08 mg/liter (range, 0.34 to 2.65 mg/liter), and the mean trough and peak amikacin concentrations in serum were 3.8 ± 2.5 mg/liter and 35.7 ± 5.9 mg/liter, respectively. A correlation between CSF amikacin and CSF protein contents (P  &lt;  0.01, r = 0.41, 95% confidence interval = 0.13 to 0.63) but not between CSF WBC and CSF glucose was documented. A two-compartment (central and CSF) linear disposition model was used to estimate population pharmacokinetics. The half time for equilibration (T eq ) between serum and CSF compartments was used as a measure of blood-brain barrier permeability. The T eq  was 7.58 h (coefficient of variation [CV] = 49.1%) with a partition coefficient of 0.103 (CV = 26.4%). There was no relationship between the T eq  and CSF WBC, CSF glucose content, or CSF protein content. Copyright © 2008, American Society for Microbiology. All Rights Reserved.","author":[{"dropping-particle":"","family":"Allegaert","given":"K.","non-dropping-particle":"","parse-names":false,"suffix":""},{"dropping-particle":"","family":"Scheers","given":"I.","non-dropping-particle":"","parse-names":false,"suffix":""},{"dropping-particle":"","family":"Adams","given":"E.","non-dropping-particle":"","parse-names":false,"suffix":""},{"dropping-particle":"","family":"Brajanoski","given":"G.","non-dropping-particle":"","parse-names":false,"suffix":""},{"dropping-particle":"","family":"Cossey","given":"V.","non-dropping-particle":"","parse-names":false,"suffix":""},{"dropping-particle":"","family":"Anderson","given":"B. J.","non-dropping-particle":"","parse-names":false,"suffix":""}],"container-title":"Antimicrobial Agents and Chemotherapy","id":"ITEM-1","issue":"6","issued":{"date-parts":[["2008"]]},"page":"1934-1939","title":"Cerebrospinal fluid compartmental pharmacokinetics of amikacin in neonates","type":"article-journal","volume":"52"},"uris":["http://www.mendeley.com/documents/?uuid=0c4569b7-d78b-4481-b510-41087886fc25"]}],"mendeley":{"formattedCitation":"(38)","plainTextFormattedCitation":"(38)","previouslyFormattedCitation":"(38)"},"properties":{"noteIndex":0},"schema":"https://github.com/citation-style-language/schema/raw/master/csl-citation.json"}</w:instrText>
      </w:r>
      <w:r>
        <w:rPr>
          <w:color w:val="000000" w:themeColor="text1"/>
        </w:rPr>
        <w:fldChar w:fldCharType="separate"/>
      </w:r>
      <w:r w:rsidR="005578B0" w:rsidRPr="005578B0">
        <w:rPr>
          <w:noProof/>
          <w:color w:val="000000" w:themeColor="text1"/>
        </w:rPr>
        <w:t>(38)</w:t>
      </w:r>
      <w:r>
        <w:rPr>
          <w:color w:val="000000" w:themeColor="text1"/>
        </w:rPr>
        <w:fldChar w:fldCharType="end"/>
      </w:r>
      <w:r>
        <w:rPr>
          <w:color w:val="000000" w:themeColor="text1"/>
        </w:rPr>
        <w:t xml:space="preserve">; fosfomycin has a CSF coefficient of 0.15-0.2 in adults </w:t>
      </w:r>
      <w:r>
        <w:rPr>
          <w:color w:val="000000" w:themeColor="text1"/>
        </w:rPr>
        <w:fldChar w:fldCharType="begin" w:fldLock="1"/>
      </w:r>
      <w:r w:rsidR="005578B0">
        <w:rPr>
          <w:color w:val="000000" w:themeColor="text1"/>
        </w:rPr>
        <w:instrText>ADDIN CSL_CITATION {"citationItems":[{"id":"ITEM-1","itemData":{"DOI":"10.1093/jac/dkh158","ISSN":"1460-2091","author":[{"dropping-particle":"","family":"Pfausler","given":"B.","non-dropping-particle":"","parse-names":false,"suffix":""}],"container-title":"Journal of Antimicrobial Chemotherapy","id":"ITEM-1","issue":"5","issued":{"date-parts":[["2004","3","24"]]},"page":"848-852","title":"Concentrations of fosfomycin in the cerebrospinal fluid of neurointensive care patients with ventriculostomy-associated ventriculitis","type":"article-journal","volume":"53"},"uris":["http://www.mendeley.com/documents/?uuid=2eca047c-8f9d-310b-b026-f307a039d312"]}],"mendeley":{"formattedCitation":"(39)","plainTextFormattedCitation":"(39)","previouslyFormattedCitation":"(39)"},"properties":{"noteIndex":0},"schema":"https://github.com/citation-style-language/schema/raw/master/csl-citation.json"}</w:instrText>
      </w:r>
      <w:r>
        <w:rPr>
          <w:color w:val="000000" w:themeColor="text1"/>
        </w:rPr>
        <w:fldChar w:fldCharType="separate"/>
      </w:r>
      <w:r w:rsidR="005578B0" w:rsidRPr="005578B0">
        <w:rPr>
          <w:noProof/>
          <w:color w:val="000000" w:themeColor="text1"/>
        </w:rPr>
        <w:t>(39)</w:t>
      </w:r>
      <w:r>
        <w:rPr>
          <w:color w:val="000000" w:themeColor="text1"/>
        </w:rPr>
        <w:fldChar w:fldCharType="end"/>
      </w:r>
      <w:r>
        <w:rPr>
          <w:color w:val="000000" w:themeColor="text1"/>
        </w:rPr>
        <w:t xml:space="preserve">, with neonatal data expected in the </w:t>
      </w:r>
      <w:proofErr w:type="spellStart"/>
      <w:r>
        <w:rPr>
          <w:color w:val="000000" w:themeColor="text1"/>
        </w:rPr>
        <w:t>Neofosfo</w:t>
      </w:r>
      <w:proofErr w:type="spellEnd"/>
      <w:r>
        <w:rPr>
          <w:color w:val="000000" w:themeColor="text1"/>
        </w:rPr>
        <w:t xml:space="preserve"> trial </w:t>
      </w:r>
      <w:r>
        <w:rPr>
          <w:color w:val="000000" w:themeColor="text1"/>
        </w:rPr>
        <w:fldChar w:fldCharType="begin" w:fldLock="1"/>
      </w:r>
      <w:r w:rsidR="005578B0">
        <w:rPr>
          <w:color w:val="000000" w:themeColor="text1"/>
        </w:rPr>
        <w:instrText>ADDIN CSL_CITATION {"citationItems":[{"id":"ITEM-1","itemData":{"URL":"https://clinicaltrials.gov/ct2/show/NCT03453177","container-title":"Clinicaltrials.gov","id":"ITEM-1","issued":{"date-parts":[["2019"]]},"title":"Intravenous and Oral Fosfomycin in Hospitalised Neonates With Clinical Sepsis (NeoFosfo) - NCT03453177","type":"webpage"},"uris":["http://www.mendeley.com/documents/?uuid=35483161-7169-44ac-b3a2-c332e5f45336"]}],"mendeley":{"formattedCitation":"(23)","plainTextFormattedCitation":"(23)","previouslyFormattedCitation":"(23)"},"properties":{"noteIndex":0},"schema":"https://github.com/citation-style-language/schema/raw/master/csl-citation.json"}</w:instrText>
      </w:r>
      <w:r>
        <w:rPr>
          <w:color w:val="000000" w:themeColor="text1"/>
        </w:rPr>
        <w:fldChar w:fldCharType="separate"/>
      </w:r>
      <w:r w:rsidR="005578B0" w:rsidRPr="005578B0">
        <w:rPr>
          <w:noProof/>
          <w:color w:val="000000" w:themeColor="text1"/>
        </w:rPr>
        <w:t>(23)</w:t>
      </w:r>
      <w:r>
        <w:rPr>
          <w:color w:val="000000" w:themeColor="text1"/>
        </w:rPr>
        <w:fldChar w:fldCharType="end"/>
      </w:r>
      <w:r>
        <w:rPr>
          <w:color w:val="000000" w:themeColor="text1"/>
        </w:rPr>
        <w:t>), the CSF drug exposures and the behaviour of bacterial inoculums in neonatal meningitis will be different to those modelled in this system.</w:t>
      </w:r>
    </w:p>
    <w:p w14:paraId="0E51B6D1" w14:textId="6623C773" w:rsidR="00360518" w:rsidRPr="00F533B4" w:rsidRDefault="001A2C27" w:rsidP="00C97D35">
      <w:pPr>
        <w:spacing w:before="120" w:line="480" w:lineRule="auto"/>
        <w:rPr>
          <w:color w:val="000000" w:themeColor="text1"/>
        </w:rPr>
      </w:pPr>
      <w:r>
        <w:rPr>
          <w:color w:val="000000" w:themeColor="text1"/>
        </w:rPr>
        <w:t xml:space="preserve">Despite these limitations, we conclude these experiments demonstrate that the regimen of fosfomycin and amikacin in combination is synergistic in both bactericidal effect and prevention of acquired antimicrobial resistance to either drug, with a defined threshold for probable treatment success. Additionally both agents have attributes that make them suitable for use in LMIC settings: </w:t>
      </w:r>
      <w:proofErr w:type="spellStart"/>
      <w:r>
        <w:rPr>
          <w:color w:val="000000" w:themeColor="text1"/>
        </w:rPr>
        <w:t>i</w:t>
      </w:r>
      <w:proofErr w:type="spellEnd"/>
      <w:r>
        <w:rPr>
          <w:color w:val="000000" w:themeColor="text1"/>
        </w:rPr>
        <w:t xml:space="preserve">) Stability at room temperature </w:t>
      </w:r>
      <w:r>
        <w:rPr>
          <w:color w:val="000000" w:themeColor="text1"/>
        </w:rPr>
        <w:fldChar w:fldCharType="begin" w:fldLock="1"/>
      </w:r>
      <w:r w:rsidR="005578B0">
        <w:rPr>
          <w:color w:val="000000" w:themeColor="text1"/>
        </w:rPr>
        <w:instrText>ADDIN CSL_CITATION {"citationItems":[{"id":"ITEM-1","itemData":{"URL":"https://www.medicines.org.uk/emc/product/3784/smpc#gref","accessed":{"date-parts":[["2020","11","9"]]},"id":"ITEM-1","issued":{"date-parts":[["0"]]},"title":"Amikacin 250 mg/ml Injection - Summary of Product Characteristics (SmPC) - (emc)","type":"webpage"},"uris":["http://www.mendeley.com/documents/?uuid=b7365db6-c3da-34fe-97a8-fb7e3e925cc7"]},{"id":"ITEM-2","itemData":{"URL":"https://www.medicines.org.uk/emc/product/11249/smpc#gref","accessed":{"date-parts":[["2020","11","9"]]},"id":"ITEM-2","issued":{"date-parts":[["0"]]},"title":"Fomicyt 40 mg/ml powder for solution for infusion - Summary of Product Characteristics (SmPC) - (emc)","type":"webpage"},"uris":["http://www.mendeley.com/documents/?uuid=64791df2-3c62-3120-80d1-1563a0f4f441"]}],"mendeley":{"formattedCitation":"(40, 41)","plainTextFormattedCitation":"(40, 41)","previouslyFormattedCitation":"(40, 41)"},"properties":{"noteIndex":0},"schema":"https://github.com/citation-style-language/schema/raw/master/csl-citation.json"}</w:instrText>
      </w:r>
      <w:r>
        <w:rPr>
          <w:color w:val="000000" w:themeColor="text1"/>
        </w:rPr>
        <w:fldChar w:fldCharType="separate"/>
      </w:r>
      <w:r w:rsidR="005578B0" w:rsidRPr="005578B0">
        <w:rPr>
          <w:noProof/>
          <w:color w:val="000000" w:themeColor="text1"/>
        </w:rPr>
        <w:t>(40, 41)</w:t>
      </w:r>
      <w:r>
        <w:rPr>
          <w:color w:val="000000" w:themeColor="text1"/>
        </w:rPr>
        <w:fldChar w:fldCharType="end"/>
      </w:r>
      <w:r>
        <w:rPr>
          <w:color w:val="000000" w:themeColor="text1"/>
        </w:rPr>
        <w:t>; ii) Ease of administration with once or twice daily dosing; iii) Minimal toxicities; iv) Off-patent</w:t>
      </w:r>
      <w:r w:rsidR="00F2103F">
        <w:rPr>
          <w:color w:val="000000" w:themeColor="text1"/>
        </w:rPr>
        <w:t xml:space="preserve"> status</w:t>
      </w:r>
      <w:r>
        <w:rPr>
          <w:color w:val="000000" w:themeColor="text1"/>
        </w:rPr>
        <w:t xml:space="preserve">, and therefore potential affordability; v) Potential activity, in combination, to </w:t>
      </w:r>
      <w:r w:rsidR="00C52B76">
        <w:rPr>
          <w:color w:val="000000" w:themeColor="text1"/>
        </w:rPr>
        <w:t xml:space="preserve">the </w:t>
      </w:r>
      <w:r>
        <w:rPr>
          <w:color w:val="000000" w:themeColor="text1"/>
        </w:rPr>
        <w:t xml:space="preserve">predominant bacterial causes of neonatal sepsis. </w:t>
      </w:r>
      <w:r w:rsidR="00C52B76">
        <w:rPr>
          <w:color w:val="000000" w:themeColor="text1"/>
        </w:rPr>
        <w:t>We</w:t>
      </w:r>
      <w:r>
        <w:rPr>
          <w:color w:val="000000" w:themeColor="text1"/>
        </w:rPr>
        <w:t xml:space="preserve"> conclude that this combination regimen </w:t>
      </w:r>
      <w:r w:rsidR="00C52B76">
        <w:rPr>
          <w:color w:val="000000" w:themeColor="text1"/>
        </w:rPr>
        <w:t xml:space="preserve">could </w:t>
      </w:r>
      <w:r>
        <w:rPr>
          <w:color w:val="000000" w:themeColor="text1"/>
        </w:rPr>
        <w:t xml:space="preserve">be </w:t>
      </w:r>
      <w:r w:rsidR="00C52B76">
        <w:rPr>
          <w:color w:val="000000" w:themeColor="text1"/>
        </w:rPr>
        <w:t xml:space="preserve">considered </w:t>
      </w:r>
      <w:r>
        <w:rPr>
          <w:color w:val="000000" w:themeColor="text1"/>
        </w:rPr>
        <w:t>appropriate for empiric treatment of neonatal sepsis in LMIC settings</w:t>
      </w:r>
      <w:r w:rsidR="00527C9D">
        <w:rPr>
          <w:color w:val="000000" w:themeColor="text1"/>
        </w:rPr>
        <w:t>.</w:t>
      </w:r>
      <w:r w:rsidR="00360518" w:rsidRPr="00F533B4">
        <w:rPr>
          <w:color w:val="000000" w:themeColor="text1"/>
        </w:rPr>
        <w:br w:type="page"/>
      </w:r>
    </w:p>
    <w:p w14:paraId="6C07F435" w14:textId="2CDE3E1A" w:rsidR="00DD23BE" w:rsidRPr="00F533B4" w:rsidRDefault="00A128E1" w:rsidP="00E72EBF">
      <w:pPr>
        <w:spacing w:before="120" w:line="480" w:lineRule="auto"/>
        <w:rPr>
          <w:b/>
          <w:color w:val="000000" w:themeColor="text1"/>
        </w:rPr>
      </w:pPr>
      <w:r>
        <w:rPr>
          <w:b/>
          <w:color w:val="000000" w:themeColor="text1"/>
        </w:rPr>
        <w:lastRenderedPageBreak/>
        <w:t>Methods and Materials</w:t>
      </w:r>
    </w:p>
    <w:p w14:paraId="378CA28A" w14:textId="05A784E3" w:rsidR="00C3731D" w:rsidRPr="00F533B4" w:rsidRDefault="00360518" w:rsidP="00E72EBF">
      <w:pPr>
        <w:spacing w:before="120" w:line="480" w:lineRule="auto"/>
        <w:rPr>
          <w:color w:val="000000" w:themeColor="text1"/>
        </w:rPr>
      </w:pPr>
      <w:r w:rsidRPr="00F533B4">
        <w:rPr>
          <w:b/>
          <w:i/>
          <w:iCs/>
          <w:color w:val="000000" w:themeColor="text1"/>
        </w:rPr>
        <w:t>Antimicrobial agents.</w:t>
      </w:r>
      <w:r w:rsidRPr="00F533B4">
        <w:rPr>
          <w:b/>
          <w:color w:val="000000" w:themeColor="text1"/>
        </w:rPr>
        <w:t xml:space="preserve"> </w:t>
      </w:r>
      <w:r w:rsidRPr="00F533B4">
        <w:rPr>
          <w:color w:val="000000" w:themeColor="text1"/>
        </w:rPr>
        <w:t>Amikacin (Alfa Aesar</w:t>
      </w:r>
      <w:r w:rsidR="00BF403F" w:rsidRPr="00F533B4">
        <w:rPr>
          <w:color w:val="000000" w:themeColor="text1"/>
        </w:rPr>
        <w:t xml:space="preserve">, </w:t>
      </w:r>
      <w:r w:rsidR="003B4276" w:rsidRPr="00F533B4">
        <w:rPr>
          <w:color w:val="000000" w:themeColor="text1"/>
        </w:rPr>
        <w:t>Haverhill</w:t>
      </w:r>
      <w:r w:rsidRPr="00F533B4">
        <w:rPr>
          <w:color w:val="000000" w:themeColor="text1"/>
        </w:rPr>
        <w:t xml:space="preserve">), and </w:t>
      </w:r>
      <w:r w:rsidR="00BF403F" w:rsidRPr="00F533B4">
        <w:rPr>
          <w:color w:val="000000" w:themeColor="text1"/>
        </w:rPr>
        <w:t xml:space="preserve">fosfomycin </w:t>
      </w:r>
      <w:r w:rsidRPr="00F533B4">
        <w:rPr>
          <w:color w:val="000000" w:themeColor="text1"/>
        </w:rPr>
        <w:t>(Sigma-Aldrich</w:t>
      </w:r>
      <w:r w:rsidR="003B4276" w:rsidRPr="00F533B4">
        <w:rPr>
          <w:color w:val="000000" w:themeColor="text1"/>
        </w:rPr>
        <w:t>, St Louis</w:t>
      </w:r>
      <w:r w:rsidRPr="00F533B4">
        <w:rPr>
          <w:color w:val="000000" w:themeColor="text1"/>
        </w:rPr>
        <w:t xml:space="preserve">) were </w:t>
      </w:r>
      <w:r w:rsidR="00BF403F" w:rsidRPr="00F533B4">
        <w:rPr>
          <w:color w:val="000000" w:themeColor="text1"/>
        </w:rPr>
        <w:t>purchased</w:t>
      </w:r>
      <w:r w:rsidRPr="00F533B4">
        <w:rPr>
          <w:color w:val="000000" w:themeColor="text1"/>
        </w:rPr>
        <w:t xml:space="preserve">. </w:t>
      </w:r>
      <w:r w:rsidR="00BF403F" w:rsidRPr="00F533B4">
        <w:rPr>
          <w:color w:val="000000" w:themeColor="text1"/>
        </w:rPr>
        <w:t xml:space="preserve"> Both </w:t>
      </w:r>
      <w:r w:rsidRPr="00F533B4">
        <w:rPr>
          <w:color w:val="000000" w:themeColor="text1"/>
        </w:rPr>
        <w:t>agents were stored at 2-8</w:t>
      </w:r>
      <w:r w:rsidRPr="00F533B4">
        <w:rPr>
          <w:color w:val="000000" w:themeColor="text1"/>
          <w:vertAlign w:val="superscript"/>
        </w:rPr>
        <w:t>o</w:t>
      </w:r>
      <w:r w:rsidRPr="00F533B4">
        <w:rPr>
          <w:color w:val="000000" w:themeColor="text1"/>
        </w:rPr>
        <w:t>C in anhydrous form.</w:t>
      </w:r>
      <w:r w:rsidR="00BF403F" w:rsidRPr="00F533B4">
        <w:rPr>
          <w:color w:val="000000" w:themeColor="text1"/>
        </w:rPr>
        <w:t xml:space="preserve"> </w:t>
      </w:r>
      <w:r w:rsidRPr="00F533B4">
        <w:rPr>
          <w:color w:val="000000" w:themeColor="text1"/>
        </w:rPr>
        <w:t xml:space="preserve"> Fresh solutions were prepared in sterile distilled water prior to </w:t>
      </w:r>
      <w:r w:rsidR="00011EA2">
        <w:rPr>
          <w:color w:val="000000" w:themeColor="text1"/>
        </w:rPr>
        <w:t>any use</w:t>
      </w:r>
      <w:r w:rsidRPr="00F533B4">
        <w:rPr>
          <w:color w:val="000000" w:themeColor="text1"/>
        </w:rPr>
        <w:t xml:space="preserve">. </w:t>
      </w:r>
      <w:r w:rsidR="00BF403F" w:rsidRPr="00F533B4">
        <w:rPr>
          <w:color w:val="000000" w:themeColor="text1"/>
        </w:rPr>
        <w:t xml:space="preserve"> </w:t>
      </w:r>
      <w:r w:rsidR="00DD23BE" w:rsidRPr="00F533B4">
        <w:rPr>
          <w:color w:val="000000" w:themeColor="text1"/>
        </w:rPr>
        <w:t xml:space="preserve">For the </w:t>
      </w:r>
      <w:r w:rsidRPr="00F533B4">
        <w:rPr>
          <w:i/>
          <w:color w:val="000000" w:themeColor="text1"/>
        </w:rPr>
        <w:t xml:space="preserve">in vitro </w:t>
      </w:r>
      <w:r w:rsidRPr="00F533B4">
        <w:rPr>
          <w:color w:val="000000" w:themeColor="text1"/>
        </w:rPr>
        <w:t>hollow</w:t>
      </w:r>
      <w:r w:rsidR="00BF403F" w:rsidRPr="00F533B4">
        <w:rPr>
          <w:color w:val="000000" w:themeColor="text1"/>
        </w:rPr>
        <w:t xml:space="preserve"> </w:t>
      </w:r>
      <w:proofErr w:type="spellStart"/>
      <w:r w:rsidR="003414D1">
        <w:rPr>
          <w:color w:val="000000" w:themeColor="text1"/>
        </w:rPr>
        <w:t>fiber</w:t>
      </w:r>
      <w:proofErr w:type="spellEnd"/>
      <w:r w:rsidRPr="00F533B4">
        <w:rPr>
          <w:color w:val="000000" w:themeColor="text1"/>
        </w:rPr>
        <w:t xml:space="preserve"> infection model (HFIM) experiment</w:t>
      </w:r>
      <w:r w:rsidR="00DD23BE" w:rsidRPr="00F533B4">
        <w:rPr>
          <w:color w:val="000000" w:themeColor="text1"/>
        </w:rPr>
        <w:t>s</w:t>
      </w:r>
      <w:r w:rsidRPr="00F533B4">
        <w:rPr>
          <w:color w:val="000000" w:themeColor="text1"/>
        </w:rPr>
        <w:t>,</w:t>
      </w:r>
      <w:r w:rsidR="00115BCB">
        <w:rPr>
          <w:color w:val="000000" w:themeColor="text1"/>
        </w:rPr>
        <w:t xml:space="preserve"> a</w:t>
      </w:r>
      <w:r w:rsidRPr="00F533B4">
        <w:rPr>
          <w:color w:val="000000" w:themeColor="text1"/>
        </w:rPr>
        <w:t xml:space="preserve"> </w:t>
      </w:r>
      <w:r w:rsidR="00115BCB">
        <w:rPr>
          <w:color w:val="000000" w:themeColor="text1"/>
        </w:rPr>
        <w:t xml:space="preserve">licensed </w:t>
      </w:r>
      <w:proofErr w:type="spellStart"/>
      <w:r w:rsidR="00115BCB">
        <w:rPr>
          <w:color w:val="000000" w:themeColor="text1"/>
        </w:rPr>
        <w:t>pharamaceutical</w:t>
      </w:r>
      <w:proofErr w:type="spellEnd"/>
      <w:r w:rsidR="00115BCB">
        <w:rPr>
          <w:color w:val="000000" w:themeColor="text1"/>
        </w:rPr>
        <w:t xml:space="preserve"> preparation</w:t>
      </w:r>
      <w:r w:rsidRPr="00F533B4">
        <w:rPr>
          <w:color w:val="000000" w:themeColor="text1"/>
        </w:rPr>
        <w:t xml:space="preserve"> of fosfomycin (</w:t>
      </w:r>
      <w:proofErr w:type="spellStart"/>
      <w:r w:rsidRPr="00F533B4">
        <w:rPr>
          <w:color w:val="000000" w:themeColor="text1"/>
        </w:rPr>
        <w:t>Fomicyt</w:t>
      </w:r>
      <w:proofErr w:type="spellEnd"/>
      <w:r w:rsidRPr="00F533B4">
        <w:rPr>
          <w:color w:val="000000" w:themeColor="text1"/>
        </w:rPr>
        <w:t>, Kent Pharmaceuticals Ltd) were used and were prepared using sterile distilled water.</w:t>
      </w:r>
    </w:p>
    <w:p w14:paraId="34BE177D" w14:textId="7C6F30D2" w:rsidR="002802CD" w:rsidRPr="00F533B4" w:rsidRDefault="002802CD" w:rsidP="00E72EBF">
      <w:pPr>
        <w:spacing w:before="120" w:line="480" w:lineRule="auto"/>
        <w:rPr>
          <w:color w:val="000000" w:themeColor="text1"/>
        </w:rPr>
      </w:pPr>
      <w:r w:rsidRPr="00F533B4">
        <w:rPr>
          <w:b/>
          <w:i/>
          <w:color w:val="000000" w:themeColor="text1"/>
        </w:rPr>
        <w:t>Media and agar</w:t>
      </w:r>
      <w:r w:rsidRPr="00F533B4">
        <w:rPr>
          <w:i/>
          <w:color w:val="000000" w:themeColor="text1"/>
        </w:rPr>
        <w:t>.</w:t>
      </w:r>
      <w:r w:rsidRPr="00F533B4">
        <w:rPr>
          <w:color w:val="000000" w:themeColor="text1"/>
        </w:rPr>
        <w:t xml:space="preserve"> Cation-adjusted Muller Hinton broth (MHB) (Sigma-Aldrich, St Louis) was used as the primary media in all experiments. </w:t>
      </w:r>
      <w:r w:rsidR="00790433">
        <w:rPr>
          <w:color w:val="000000" w:themeColor="text1"/>
        </w:rPr>
        <w:t>As fosfomycin requires the presence of glucose-6-phosphate (G6P) for bacterial cell entry</w:t>
      </w:r>
      <w:r w:rsidR="00E67581">
        <w:rPr>
          <w:color w:val="000000" w:themeColor="text1"/>
        </w:rPr>
        <w:t xml:space="preserve"> </w:t>
      </w:r>
      <w:r w:rsidR="00E67581">
        <w:rPr>
          <w:color w:val="000000" w:themeColor="text1"/>
        </w:rPr>
        <w:fldChar w:fldCharType="begin" w:fldLock="1"/>
      </w:r>
      <w:r w:rsidR="005578B0">
        <w:rPr>
          <w:color w:val="000000" w:themeColor="text1"/>
        </w:rPr>
        <w:instrText>ADDIN CSL_CITATION {"citationItems":[{"id":"ITEM-1","itemData":{"ISBN":"0021-9193 (Print)\\r0021-9193 (Linking)","ISSN":"00219193","PMID":"4583235","abstract":"A transport system for glucose-6-phosphate, which is inducible by glucose-6-phosphate but not glucose or β-glycerophosphate, occurs in a variety of bacterial genera. The correlation of the fosfomycin sensitivity with the presence of the transport system is described.","author":[{"dropping-particle":"","family":"Winkler","given":"H. H.","non-dropping-particle":"","parse-names":false,"suffix":""}],"container-title":"Journal of Bacteriology","id":"ITEM-1","issue":"2","issued":{"date-parts":[["1973"]]},"page":"1079-1081","title":"Distribution of an inducible hexose phosphate transport system among various bacteria","type":"article-journal","volume":"116"},"uris":["http://www.mendeley.com/documents/?uuid=d8f35536-3349-4f2e-83ee-a1a267027306"]}],"mendeley":{"formattedCitation":"(42)","plainTextFormattedCitation":"(42)","previouslyFormattedCitation":"(42)"},"properties":{"noteIndex":0},"schema":"https://github.com/citation-style-language/schema/raw/master/csl-citation.json"}</w:instrText>
      </w:r>
      <w:r w:rsidR="00E67581">
        <w:rPr>
          <w:color w:val="000000" w:themeColor="text1"/>
        </w:rPr>
        <w:fldChar w:fldCharType="separate"/>
      </w:r>
      <w:r w:rsidR="005578B0" w:rsidRPr="005578B0">
        <w:rPr>
          <w:noProof/>
          <w:color w:val="000000" w:themeColor="text1"/>
        </w:rPr>
        <w:t>(42)</w:t>
      </w:r>
      <w:r w:rsidR="00E67581">
        <w:rPr>
          <w:color w:val="000000" w:themeColor="text1"/>
        </w:rPr>
        <w:fldChar w:fldCharType="end"/>
      </w:r>
      <w:r w:rsidR="00DC5F36">
        <w:rPr>
          <w:color w:val="000000" w:themeColor="text1"/>
        </w:rPr>
        <w:t xml:space="preserve"> </w:t>
      </w:r>
      <w:r w:rsidR="00790433">
        <w:rPr>
          <w:color w:val="000000" w:themeColor="text1"/>
        </w:rPr>
        <w:t xml:space="preserve"> </w:t>
      </w:r>
      <w:r w:rsidRPr="00F533B4">
        <w:rPr>
          <w:color w:val="000000" w:themeColor="text1"/>
        </w:rPr>
        <w:t>the MHB was supplemented with 25mg/</w:t>
      </w:r>
      <w:r w:rsidR="002D15D8">
        <w:rPr>
          <w:color w:val="000000" w:themeColor="text1"/>
        </w:rPr>
        <w:t>L</w:t>
      </w:r>
      <w:r w:rsidRPr="00F533B4">
        <w:rPr>
          <w:color w:val="000000" w:themeColor="text1"/>
        </w:rPr>
        <w:t xml:space="preserve"> G6P (Sigma-Aldrich, St Louis)</w:t>
      </w:r>
      <w:r w:rsidR="00E67581">
        <w:rPr>
          <w:color w:val="000000" w:themeColor="text1"/>
        </w:rPr>
        <w:t xml:space="preserve"> in experiments where fosfomycin is used</w:t>
      </w:r>
      <w:r w:rsidRPr="00F533B4">
        <w:rPr>
          <w:color w:val="000000" w:themeColor="text1"/>
        </w:rPr>
        <w:t>. Mueller Hinton agar</w:t>
      </w:r>
      <w:r w:rsidR="00C52B76">
        <w:rPr>
          <w:color w:val="000000" w:themeColor="text1"/>
        </w:rPr>
        <w:t xml:space="preserve"> (MHA)</w:t>
      </w:r>
      <w:r w:rsidRPr="00F533B4">
        <w:rPr>
          <w:color w:val="000000" w:themeColor="text1"/>
        </w:rPr>
        <w:t xml:space="preserve"> was used in all agar plates. Commercially pre-prepared </w:t>
      </w:r>
      <w:r w:rsidR="002D15D8" w:rsidRPr="00F533B4">
        <w:rPr>
          <w:color w:val="000000" w:themeColor="text1"/>
        </w:rPr>
        <w:t>20m</w:t>
      </w:r>
      <w:r w:rsidR="002D15D8">
        <w:rPr>
          <w:color w:val="000000" w:themeColor="text1"/>
        </w:rPr>
        <w:t>L</w:t>
      </w:r>
      <w:r w:rsidR="002D15D8" w:rsidRPr="00F533B4">
        <w:rPr>
          <w:color w:val="000000" w:themeColor="text1"/>
        </w:rPr>
        <w:t xml:space="preserve"> </w:t>
      </w:r>
      <w:r w:rsidRPr="00F533B4">
        <w:rPr>
          <w:color w:val="000000" w:themeColor="text1"/>
        </w:rPr>
        <w:t xml:space="preserve">round </w:t>
      </w:r>
      <w:r w:rsidR="00C52B76">
        <w:rPr>
          <w:color w:val="000000" w:themeColor="text1"/>
        </w:rPr>
        <w:t>MHA</w:t>
      </w:r>
      <w:r w:rsidRPr="00F533B4">
        <w:rPr>
          <w:color w:val="000000" w:themeColor="text1"/>
        </w:rPr>
        <w:t xml:space="preserve"> plates (Fisher Scientific, Waltham) or self-prepared 50ml square </w:t>
      </w:r>
      <w:r w:rsidR="00C52B76">
        <w:rPr>
          <w:color w:val="000000" w:themeColor="text1"/>
        </w:rPr>
        <w:t>MHA</w:t>
      </w:r>
      <w:r w:rsidRPr="00F533B4">
        <w:rPr>
          <w:color w:val="000000" w:themeColor="text1"/>
        </w:rPr>
        <w:t xml:space="preserve"> plates (</w:t>
      </w:r>
      <w:r w:rsidR="00C52B76">
        <w:rPr>
          <w:color w:val="000000" w:themeColor="text1"/>
        </w:rPr>
        <w:t>MHA</w:t>
      </w:r>
      <w:r w:rsidRPr="00F533B4">
        <w:rPr>
          <w:color w:val="000000" w:themeColor="text1"/>
        </w:rPr>
        <w:t xml:space="preserve"> from Sigma-Aldrich; square plates from VWR, Radnor) were used in all experiments. For drug-containing plates, </w:t>
      </w:r>
      <w:r w:rsidR="00C52B76">
        <w:rPr>
          <w:color w:val="000000" w:themeColor="text1"/>
        </w:rPr>
        <w:t>MHA</w:t>
      </w:r>
      <w:r w:rsidRPr="00F533B4">
        <w:rPr>
          <w:color w:val="000000" w:themeColor="text1"/>
        </w:rPr>
        <w:t xml:space="preserve"> was supplemented </w:t>
      </w:r>
      <w:r w:rsidR="00CC2359">
        <w:rPr>
          <w:color w:val="000000" w:themeColor="text1"/>
        </w:rPr>
        <w:t>with antibiotic</w:t>
      </w:r>
      <w:r w:rsidRPr="00F533B4">
        <w:rPr>
          <w:color w:val="000000" w:themeColor="text1"/>
        </w:rPr>
        <w:t xml:space="preserve"> (</w:t>
      </w:r>
      <w:r w:rsidR="00CC2359">
        <w:rPr>
          <w:color w:val="000000" w:themeColor="text1"/>
        </w:rPr>
        <w:t>with</w:t>
      </w:r>
      <w:r w:rsidRPr="00F533B4">
        <w:rPr>
          <w:color w:val="000000" w:themeColor="text1"/>
        </w:rPr>
        <w:t xml:space="preserve"> 25mg/</w:t>
      </w:r>
      <w:r w:rsidR="002D15D8">
        <w:rPr>
          <w:color w:val="000000" w:themeColor="text1"/>
        </w:rPr>
        <w:t>L</w:t>
      </w:r>
      <w:r w:rsidR="002D15D8" w:rsidRPr="00F533B4">
        <w:rPr>
          <w:color w:val="000000" w:themeColor="text1"/>
        </w:rPr>
        <w:t xml:space="preserve"> </w:t>
      </w:r>
      <w:r w:rsidRPr="00F533B4">
        <w:rPr>
          <w:color w:val="000000" w:themeColor="text1"/>
        </w:rPr>
        <w:t xml:space="preserve">G6P </w:t>
      </w:r>
      <w:r w:rsidR="00CC2359">
        <w:rPr>
          <w:color w:val="000000" w:themeColor="text1"/>
        </w:rPr>
        <w:t>in the case of fosfomycin</w:t>
      </w:r>
      <w:r w:rsidRPr="00F533B4">
        <w:rPr>
          <w:color w:val="000000" w:themeColor="text1"/>
        </w:rPr>
        <w:t xml:space="preserve">) and </w:t>
      </w:r>
      <w:r w:rsidR="00CC2359">
        <w:rPr>
          <w:color w:val="000000" w:themeColor="text1"/>
        </w:rPr>
        <w:t>prepared</w:t>
      </w:r>
      <w:r w:rsidR="00CC2359" w:rsidRPr="00F533B4">
        <w:rPr>
          <w:color w:val="000000" w:themeColor="text1"/>
        </w:rPr>
        <w:t xml:space="preserve"> </w:t>
      </w:r>
      <w:r w:rsidRPr="00F533B4">
        <w:rPr>
          <w:color w:val="000000" w:themeColor="text1"/>
        </w:rPr>
        <w:t xml:space="preserve">within </w:t>
      </w:r>
      <w:r w:rsidR="00CC2359">
        <w:rPr>
          <w:color w:val="000000" w:themeColor="text1"/>
        </w:rPr>
        <w:t>each antibiotic’s stability limits</w:t>
      </w:r>
      <w:r w:rsidRPr="00F533B4">
        <w:rPr>
          <w:color w:val="000000" w:themeColor="text1"/>
        </w:rPr>
        <w:t>. Drug concentrations in agar were four times the MIC of the specific bacterial strain used in a given experiment.</w:t>
      </w:r>
    </w:p>
    <w:p w14:paraId="6559B6A6" w14:textId="237A7D5D" w:rsidR="003B4276" w:rsidRPr="00F533B4" w:rsidRDefault="003B4276" w:rsidP="00E72EBF">
      <w:pPr>
        <w:spacing w:before="120" w:line="480" w:lineRule="auto"/>
        <w:rPr>
          <w:color w:val="000000" w:themeColor="text1"/>
        </w:rPr>
      </w:pPr>
      <w:r w:rsidRPr="00F533B4">
        <w:rPr>
          <w:b/>
          <w:i/>
          <w:color w:val="000000" w:themeColor="text1"/>
        </w:rPr>
        <w:t>Bacterial Isolates</w:t>
      </w:r>
      <w:r w:rsidRPr="00F533B4">
        <w:rPr>
          <w:b/>
          <w:color w:val="000000" w:themeColor="text1"/>
        </w:rPr>
        <w:t xml:space="preserve">. </w:t>
      </w:r>
      <w:r w:rsidRPr="00F533B4">
        <w:rPr>
          <w:color w:val="000000" w:themeColor="text1"/>
        </w:rPr>
        <w:t>Isolates were supplied by JMI, IH</w:t>
      </w:r>
      <w:r w:rsidR="00A9601E">
        <w:rPr>
          <w:color w:val="000000" w:themeColor="text1"/>
        </w:rPr>
        <w:t>M</w:t>
      </w:r>
      <w:r w:rsidRPr="00F533B4">
        <w:rPr>
          <w:color w:val="000000" w:themeColor="text1"/>
        </w:rPr>
        <w:t xml:space="preserve">A, Public Health England (PHE), </w:t>
      </w:r>
      <w:r w:rsidR="000E486C">
        <w:rPr>
          <w:color w:val="000000" w:themeColor="text1"/>
        </w:rPr>
        <w:t xml:space="preserve">LGC  standards, </w:t>
      </w:r>
      <w:r w:rsidRPr="00F533B4">
        <w:rPr>
          <w:color w:val="000000" w:themeColor="text1"/>
        </w:rPr>
        <w:t xml:space="preserve">University of Birmingham, University of Oxford, and Royal Liverpool University Hospital. For the initial non-dynamic </w:t>
      </w:r>
      <w:r w:rsidRPr="00F533B4">
        <w:rPr>
          <w:i/>
          <w:color w:val="000000" w:themeColor="text1"/>
        </w:rPr>
        <w:t>in vitro</w:t>
      </w:r>
      <w:r w:rsidRPr="00F533B4">
        <w:rPr>
          <w:color w:val="000000" w:themeColor="text1"/>
        </w:rPr>
        <w:t xml:space="preserve"> experiments, a collection of strains was collated </w:t>
      </w:r>
      <w:r w:rsidR="00897CD9" w:rsidRPr="00F533B4">
        <w:rPr>
          <w:color w:val="000000" w:themeColor="text1"/>
        </w:rPr>
        <w:t>representing a</w:t>
      </w:r>
      <w:r w:rsidRPr="00F533B4">
        <w:rPr>
          <w:color w:val="000000" w:themeColor="text1"/>
        </w:rPr>
        <w:t xml:space="preserve"> range</w:t>
      </w:r>
      <w:r w:rsidR="00897CD9" w:rsidRPr="00F533B4">
        <w:rPr>
          <w:color w:val="000000" w:themeColor="text1"/>
        </w:rPr>
        <w:t xml:space="preserve"> of</w:t>
      </w:r>
      <w:r w:rsidRPr="00F533B4">
        <w:rPr>
          <w:color w:val="000000" w:themeColor="text1"/>
        </w:rPr>
        <w:t xml:space="preserve"> </w:t>
      </w:r>
      <w:r w:rsidR="00E67581">
        <w:rPr>
          <w:color w:val="000000" w:themeColor="text1"/>
        </w:rPr>
        <w:t xml:space="preserve">common </w:t>
      </w:r>
      <w:r w:rsidRPr="00F533B4">
        <w:rPr>
          <w:color w:val="000000" w:themeColor="text1"/>
        </w:rPr>
        <w:t>possible neonatal sepsis</w:t>
      </w:r>
      <w:r w:rsidR="00897CD9" w:rsidRPr="00F533B4">
        <w:rPr>
          <w:color w:val="000000" w:themeColor="text1"/>
        </w:rPr>
        <w:t xml:space="preserve"> bacterial</w:t>
      </w:r>
      <w:r w:rsidRPr="00F533B4">
        <w:rPr>
          <w:color w:val="000000" w:themeColor="text1"/>
        </w:rPr>
        <w:t xml:space="preserve"> pathogens and resistance mechanisms in an AMR prevalent environment. In total, this included 10 strains of each of the following: Group B </w:t>
      </w:r>
      <w:r w:rsidR="00DC610D">
        <w:rPr>
          <w:color w:val="000000" w:themeColor="text1"/>
        </w:rPr>
        <w:t>s</w:t>
      </w:r>
      <w:r w:rsidR="00DC610D" w:rsidRPr="00F533B4">
        <w:rPr>
          <w:color w:val="000000" w:themeColor="text1"/>
        </w:rPr>
        <w:t>treptococci</w:t>
      </w:r>
      <w:r w:rsidRPr="00F533B4">
        <w:rPr>
          <w:color w:val="000000" w:themeColor="text1"/>
        </w:rPr>
        <w:t xml:space="preserve">, methicillin resistant </w:t>
      </w:r>
      <w:r w:rsidRPr="00F533B4">
        <w:rPr>
          <w:i/>
          <w:color w:val="000000" w:themeColor="text1"/>
        </w:rPr>
        <w:t xml:space="preserve">Staphylococcus aureus </w:t>
      </w:r>
      <w:r w:rsidRPr="00F533B4">
        <w:rPr>
          <w:color w:val="000000" w:themeColor="text1"/>
        </w:rPr>
        <w:t xml:space="preserve">(MRSA), </w:t>
      </w:r>
      <w:r w:rsidRPr="00F533B4">
        <w:rPr>
          <w:i/>
          <w:color w:val="000000" w:themeColor="text1"/>
        </w:rPr>
        <w:t xml:space="preserve">Escherichia </w:t>
      </w:r>
      <w:r w:rsidRPr="00F533B4">
        <w:rPr>
          <w:i/>
          <w:color w:val="000000" w:themeColor="text1"/>
        </w:rPr>
        <w:lastRenderedPageBreak/>
        <w:t xml:space="preserve">coli, </w:t>
      </w:r>
      <w:r w:rsidRPr="00D80327">
        <w:rPr>
          <w:iCs/>
          <w:color w:val="000000" w:themeColor="text1"/>
        </w:rPr>
        <w:t>and</w:t>
      </w:r>
      <w:r w:rsidRPr="00F533B4">
        <w:rPr>
          <w:i/>
          <w:color w:val="000000" w:themeColor="text1"/>
        </w:rPr>
        <w:t xml:space="preserve"> Klebsiella pneumoniae</w:t>
      </w:r>
      <w:r w:rsidRPr="00F533B4">
        <w:rPr>
          <w:color w:val="000000" w:themeColor="text1"/>
        </w:rPr>
        <w:t xml:space="preserve">. All of the </w:t>
      </w:r>
      <w:r w:rsidR="00D80327">
        <w:rPr>
          <w:color w:val="000000" w:themeColor="text1"/>
        </w:rPr>
        <w:t>G</w:t>
      </w:r>
      <w:r w:rsidR="00D80327" w:rsidRPr="00F533B4">
        <w:rPr>
          <w:color w:val="000000" w:themeColor="text1"/>
        </w:rPr>
        <w:t>ram</w:t>
      </w:r>
      <w:r w:rsidRPr="00F533B4">
        <w:rPr>
          <w:color w:val="000000" w:themeColor="text1"/>
        </w:rPr>
        <w:t xml:space="preserve">-negative </w:t>
      </w:r>
      <w:r w:rsidR="00D80327">
        <w:rPr>
          <w:color w:val="000000" w:themeColor="text1"/>
        </w:rPr>
        <w:t>bacteria</w:t>
      </w:r>
      <w:r w:rsidR="00D80327" w:rsidRPr="00F533B4">
        <w:rPr>
          <w:color w:val="000000" w:themeColor="text1"/>
        </w:rPr>
        <w:t xml:space="preserve"> </w:t>
      </w:r>
      <w:r w:rsidRPr="00F533B4">
        <w:rPr>
          <w:color w:val="000000" w:themeColor="text1"/>
        </w:rPr>
        <w:t xml:space="preserve">were extended spectrum </w:t>
      </w:r>
      <w:r w:rsidRPr="00F533B4">
        <w:rPr>
          <w:color w:val="000000" w:themeColor="text1"/>
        </w:rPr>
        <w:sym w:font="Symbol" w:char="F062"/>
      </w:r>
      <w:r w:rsidRPr="00F533B4">
        <w:rPr>
          <w:color w:val="000000" w:themeColor="text1"/>
        </w:rPr>
        <w:t>-lactamase (ESBL)</w:t>
      </w:r>
      <w:r w:rsidR="00D80327">
        <w:rPr>
          <w:color w:val="000000" w:themeColor="text1"/>
        </w:rPr>
        <w:t xml:space="preserve"> (nine </w:t>
      </w:r>
      <w:r w:rsidR="00D80327">
        <w:rPr>
          <w:i/>
          <w:iCs/>
          <w:color w:val="000000" w:themeColor="text1"/>
        </w:rPr>
        <w:t xml:space="preserve">E. coli </w:t>
      </w:r>
      <w:r w:rsidR="00D80327">
        <w:rPr>
          <w:color w:val="000000" w:themeColor="text1"/>
        </w:rPr>
        <w:t xml:space="preserve">and nine </w:t>
      </w:r>
      <w:r w:rsidR="00D80327">
        <w:rPr>
          <w:i/>
          <w:iCs/>
          <w:color w:val="000000" w:themeColor="text1"/>
        </w:rPr>
        <w:t>K. pneumoniae</w:t>
      </w:r>
      <w:r w:rsidR="00D80327">
        <w:rPr>
          <w:color w:val="000000" w:themeColor="text1"/>
        </w:rPr>
        <w:t xml:space="preserve"> strains</w:t>
      </w:r>
      <w:r w:rsidR="00D80327">
        <w:rPr>
          <w:i/>
          <w:iCs/>
          <w:color w:val="000000" w:themeColor="text1"/>
        </w:rPr>
        <w:t>)</w:t>
      </w:r>
      <w:r w:rsidRPr="00F533B4">
        <w:rPr>
          <w:color w:val="000000" w:themeColor="text1"/>
        </w:rPr>
        <w:t xml:space="preserve"> or carbapenemase producers</w:t>
      </w:r>
      <w:r w:rsidR="00D80327">
        <w:rPr>
          <w:color w:val="000000" w:themeColor="text1"/>
        </w:rPr>
        <w:t xml:space="preserve"> (one </w:t>
      </w:r>
      <w:r w:rsidR="00D80327">
        <w:rPr>
          <w:i/>
          <w:iCs/>
          <w:color w:val="000000" w:themeColor="text1"/>
        </w:rPr>
        <w:t xml:space="preserve">E. coli </w:t>
      </w:r>
      <w:r w:rsidR="00D80327">
        <w:rPr>
          <w:color w:val="000000" w:themeColor="text1"/>
        </w:rPr>
        <w:t xml:space="preserve">and one </w:t>
      </w:r>
      <w:r w:rsidR="00D80327">
        <w:rPr>
          <w:i/>
          <w:iCs/>
          <w:color w:val="000000" w:themeColor="text1"/>
        </w:rPr>
        <w:t>K. pneumoniae strain)</w:t>
      </w:r>
      <w:r w:rsidRPr="00F533B4">
        <w:rPr>
          <w:color w:val="000000" w:themeColor="text1"/>
        </w:rPr>
        <w:t>. Some of these strains were used in the HFIM based on their MICs</w:t>
      </w:r>
      <w:r w:rsidR="00011EA2">
        <w:rPr>
          <w:color w:val="000000" w:themeColor="text1"/>
        </w:rPr>
        <w:t xml:space="preserve">, </w:t>
      </w:r>
      <w:r w:rsidR="00011EA2" w:rsidRPr="00F533B4">
        <w:rPr>
          <w:color w:val="000000" w:themeColor="text1"/>
        </w:rPr>
        <w:t xml:space="preserve">including a further two </w:t>
      </w:r>
      <w:r w:rsidR="00011EA2">
        <w:rPr>
          <w:i/>
          <w:color w:val="000000" w:themeColor="text1"/>
        </w:rPr>
        <w:t>K. pneumoniae</w:t>
      </w:r>
      <w:r w:rsidR="00011EA2" w:rsidRPr="00F533B4">
        <w:rPr>
          <w:color w:val="000000" w:themeColor="text1"/>
        </w:rPr>
        <w:t xml:space="preserve"> and one </w:t>
      </w:r>
      <w:r w:rsidR="00011EA2">
        <w:rPr>
          <w:i/>
          <w:color w:val="000000" w:themeColor="text1"/>
        </w:rPr>
        <w:t>E. coli</w:t>
      </w:r>
      <w:r w:rsidR="00011EA2" w:rsidRPr="00F533B4">
        <w:rPr>
          <w:i/>
          <w:color w:val="000000" w:themeColor="text1"/>
        </w:rPr>
        <w:t xml:space="preserve"> </w:t>
      </w:r>
      <w:r w:rsidR="00011EA2" w:rsidRPr="00F533B4">
        <w:rPr>
          <w:color w:val="000000" w:themeColor="text1"/>
        </w:rPr>
        <w:t>(ESBL producers)</w:t>
      </w:r>
      <w:r w:rsidR="00011EA2">
        <w:rPr>
          <w:color w:val="000000" w:themeColor="text1"/>
        </w:rPr>
        <w:t xml:space="preserve"> not included in the original 40 strain panel</w:t>
      </w:r>
      <w:r w:rsidRPr="00F533B4">
        <w:rPr>
          <w:color w:val="000000" w:themeColor="text1"/>
        </w:rPr>
        <w:t xml:space="preserve"> </w:t>
      </w:r>
      <w:r w:rsidR="004768BB" w:rsidRPr="00F533B4">
        <w:rPr>
          <w:color w:val="000000" w:themeColor="text1"/>
        </w:rPr>
        <w:t>(</w:t>
      </w:r>
      <w:r w:rsidR="00B50761">
        <w:rPr>
          <w:color w:val="000000" w:themeColor="text1"/>
        </w:rPr>
        <w:t>f</w:t>
      </w:r>
      <w:r w:rsidRPr="00F533B4">
        <w:rPr>
          <w:color w:val="000000" w:themeColor="text1"/>
        </w:rPr>
        <w:t xml:space="preserve">ull details of the isolates are detailed in </w:t>
      </w:r>
      <w:r w:rsidR="004768BB" w:rsidRPr="00F533B4">
        <w:rPr>
          <w:color w:val="000000" w:themeColor="text1"/>
        </w:rPr>
        <w:t>Table</w:t>
      </w:r>
      <w:r w:rsidR="00230C28">
        <w:rPr>
          <w:color w:val="000000" w:themeColor="text1"/>
        </w:rPr>
        <w:t xml:space="preserve"> </w:t>
      </w:r>
      <w:r w:rsidR="00B50761">
        <w:rPr>
          <w:color w:val="000000" w:themeColor="text1"/>
        </w:rPr>
        <w:t>S</w:t>
      </w:r>
      <w:r w:rsidR="00230C28">
        <w:rPr>
          <w:color w:val="000000" w:themeColor="text1"/>
        </w:rPr>
        <w:t>1</w:t>
      </w:r>
      <w:r w:rsidR="000735F8" w:rsidRPr="00F533B4">
        <w:rPr>
          <w:color w:val="000000" w:themeColor="text1"/>
        </w:rPr>
        <w:t>).</w:t>
      </w:r>
      <w:r w:rsidRPr="00F533B4">
        <w:rPr>
          <w:color w:val="000000" w:themeColor="text1"/>
        </w:rPr>
        <w:t xml:space="preserve"> All isolates were stored in glycerol at -80</w:t>
      </w:r>
      <w:r w:rsidRPr="00F533B4">
        <w:rPr>
          <w:color w:val="000000" w:themeColor="text1"/>
          <w:vertAlign w:val="superscript"/>
        </w:rPr>
        <w:t>o</w:t>
      </w:r>
      <w:r w:rsidRPr="00F533B4">
        <w:rPr>
          <w:color w:val="000000" w:themeColor="text1"/>
        </w:rPr>
        <w:t xml:space="preserve">C and sub-cultured onto two </w:t>
      </w:r>
      <w:r w:rsidR="00C52B76">
        <w:rPr>
          <w:color w:val="000000" w:themeColor="text1"/>
        </w:rPr>
        <w:t>MHA</w:t>
      </w:r>
      <w:r w:rsidRPr="00F533B4">
        <w:rPr>
          <w:color w:val="000000" w:themeColor="text1"/>
        </w:rPr>
        <w:t xml:space="preserve"> plates for 18-24h at 37</w:t>
      </w:r>
      <w:r w:rsidRPr="00F533B4">
        <w:rPr>
          <w:color w:val="000000" w:themeColor="text1"/>
          <w:vertAlign w:val="superscript"/>
        </w:rPr>
        <w:t>o</w:t>
      </w:r>
      <w:r w:rsidRPr="00F533B4">
        <w:rPr>
          <w:color w:val="000000" w:themeColor="text1"/>
        </w:rPr>
        <w:t xml:space="preserve">C prior to each experiment. In each </w:t>
      </w:r>
      <w:r w:rsidR="00011EA2">
        <w:rPr>
          <w:color w:val="000000" w:themeColor="text1"/>
        </w:rPr>
        <w:t xml:space="preserve">non-HFIM </w:t>
      </w:r>
      <w:r w:rsidRPr="00F533B4">
        <w:rPr>
          <w:color w:val="000000" w:themeColor="text1"/>
        </w:rPr>
        <w:t xml:space="preserve">experiment, colonies were </w:t>
      </w:r>
      <w:r w:rsidR="000E486C" w:rsidRPr="00F533B4">
        <w:rPr>
          <w:color w:val="000000" w:themeColor="text1"/>
        </w:rPr>
        <w:t>suspend</w:t>
      </w:r>
      <w:r w:rsidR="000E486C">
        <w:rPr>
          <w:color w:val="000000" w:themeColor="text1"/>
        </w:rPr>
        <w:t>ed</w:t>
      </w:r>
      <w:r w:rsidR="000E486C" w:rsidRPr="00F533B4">
        <w:rPr>
          <w:color w:val="000000" w:themeColor="text1"/>
        </w:rPr>
        <w:t xml:space="preserve"> </w:t>
      </w:r>
      <w:r w:rsidRPr="00F533B4">
        <w:rPr>
          <w:color w:val="000000" w:themeColor="text1"/>
        </w:rPr>
        <w:t>in PBS to MacFarland standard 0.5 (1x10</w:t>
      </w:r>
      <w:r w:rsidRPr="00F533B4">
        <w:rPr>
          <w:color w:val="000000" w:themeColor="text1"/>
          <w:vertAlign w:val="superscript"/>
        </w:rPr>
        <w:t>8</w:t>
      </w:r>
      <w:r w:rsidRPr="00F533B4">
        <w:rPr>
          <w:color w:val="000000" w:themeColor="text1"/>
        </w:rPr>
        <w:t xml:space="preserve"> CFU/</w:t>
      </w:r>
      <w:r w:rsidR="00DC610D" w:rsidRPr="00F533B4">
        <w:rPr>
          <w:color w:val="000000" w:themeColor="text1"/>
        </w:rPr>
        <w:t>m</w:t>
      </w:r>
      <w:r w:rsidR="00DC610D">
        <w:rPr>
          <w:color w:val="000000" w:themeColor="text1"/>
        </w:rPr>
        <w:t>L</w:t>
      </w:r>
      <w:r w:rsidRPr="00F533B4">
        <w:rPr>
          <w:color w:val="000000" w:themeColor="text1"/>
        </w:rPr>
        <w:t>) and diluted to the target concentration.</w:t>
      </w:r>
      <w:r w:rsidR="00011EA2">
        <w:rPr>
          <w:color w:val="000000" w:themeColor="text1"/>
        </w:rPr>
        <w:t xml:space="preserve"> For HFIM experiments, bacteria </w:t>
      </w:r>
      <w:proofErr w:type="gramStart"/>
      <w:r w:rsidR="00011EA2">
        <w:rPr>
          <w:color w:val="000000" w:themeColor="text1"/>
        </w:rPr>
        <w:t>was</w:t>
      </w:r>
      <w:proofErr w:type="gramEnd"/>
      <w:r w:rsidR="00011EA2">
        <w:rPr>
          <w:color w:val="000000" w:themeColor="text1"/>
        </w:rPr>
        <w:t xml:space="preserve"> incubated in MHB until the bacteria</w:t>
      </w:r>
      <w:r w:rsidR="004940B6">
        <w:rPr>
          <w:color w:val="000000" w:themeColor="text1"/>
        </w:rPr>
        <w:t xml:space="preserve"> entered exponential growth, and quantified by optical density (600nm) according to a strain specific standard growth curve.</w:t>
      </w:r>
    </w:p>
    <w:p w14:paraId="3306D4A0" w14:textId="67ED43F2" w:rsidR="00897CD9" w:rsidRPr="00F533B4" w:rsidRDefault="00897CD9" w:rsidP="00E72EBF">
      <w:pPr>
        <w:spacing w:before="120" w:line="480" w:lineRule="auto"/>
        <w:rPr>
          <w:color w:val="000000" w:themeColor="text1"/>
        </w:rPr>
      </w:pPr>
      <w:r w:rsidRPr="00F533B4">
        <w:rPr>
          <w:b/>
          <w:i/>
          <w:color w:val="000000" w:themeColor="text1"/>
        </w:rPr>
        <w:t>Antimicrobial susceptibility testing</w:t>
      </w:r>
      <w:r w:rsidRPr="00F533B4">
        <w:rPr>
          <w:b/>
          <w:color w:val="000000" w:themeColor="text1"/>
        </w:rPr>
        <w:t xml:space="preserve">. </w:t>
      </w:r>
      <w:r w:rsidRPr="00F533B4">
        <w:rPr>
          <w:color w:val="000000" w:themeColor="text1"/>
        </w:rPr>
        <w:t xml:space="preserve">Fosfomycin and amikacin minimum inhibitory concentrations (MICs) </w:t>
      </w:r>
      <w:r w:rsidR="00D80327">
        <w:rPr>
          <w:color w:val="000000" w:themeColor="text1"/>
        </w:rPr>
        <w:t xml:space="preserve">for </w:t>
      </w:r>
      <w:r w:rsidR="004940B6">
        <w:rPr>
          <w:color w:val="000000" w:themeColor="text1"/>
        </w:rPr>
        <w:t>the</w:t>
      </w:r>
      <w:r w:rsidRPr="00F533B4">
        <w:rPr>
          <w:color w:val="000000" w:themeColor="text1"/>
        </w:rPr>
        <w:t xml:space="preserve"> panel of representative neonatal sepsis bacterial pathogens were determined using the EUCAST broth microdilution method</w:t>
      </w:r>
      <w:r w:rsidR="00DC610D">
        <w:rPr>
          <w:color w:val="000000" w:themeColor="text1"/>
        </w:rPr>
        <w:t>ology</w:t>
      </w:r>
      <w:r w:rsidRPr="00F533B4">
        <w:rPr>
          <w:color w:val="000000" w:themeColor="text1"/>
        </w:rPr>
        <w:t xml:space="preserve"> </w:t>
      </w:r>
      <w:r w:rsidRPr="00F533B4">
        <w:rPr>
          <w:color w:val="000000" w:themeColor="text1"/>
        </w:rPr>
        <w:fldChar w:fldCharType="begin" w:fldLock="1"/>
      </w:r>
      <w:r w:rsidR="005578B0">
        <w:rPr>
          <w:color w:val="000000" w:themeColor="text1"/>
        </w:rPr>
        <w:instrText>ADDIN CSL_CITATION {"citationItems":[{"id":"ITEM-1","itemData":{"DOI":"10.1046/j.1469-0691.2003.00790.x","ISSN":"1198743X","abstract":"203","container-title":"Clinical Microbiology and Infection","id":"ITEM-1","issue":"8","issued":{"date-parts":[["2003","8","1"]]},"page":"ix-xv","publisher":"Elsevier BV","title":"Determination of minimum inhibitory concentrations (MICs) of antibacterial agents by broth dilution","type":"article-journal","volume":"9"},"uris":["http://www.mendeley.com/documents/?uuid=4cc13047-c650-3f67-9442-4f04370cdfdd"]}],"mendeley":{"formattedCitation":"(43)","plainTextFormattedCitation":"(43)","previouslyFormattedCitation":"(43)"},"properties":{"noteIndex":0},"schema":"https://github.com/citation-style-language/schema/raw/master/csl-citation.json"}</w:instrText>
      </w:r>
      <w:r w:rsidRPr="00F533B4">
        <w:rPr>
          <w:color w:val="000000" w:themeColor="text1"/>
        </w:rPr>
        <w:fldChar w:fldCharType="separate"/>
      </w:r>
      <w:r w:rsidR="005578B0" w:rsidRPr="005578B0">
        <w:rPr>
          <w:noProof/>
          <w:color w:val="000000" w:themeColor="text1"/>
        </w:rPr>
        <w:t>(43)</w:t>
      </w:r>
      <w:r w:rsidRPr="00F533B4">
        <w:rPr>
          <w:color w:val="000000" w:themeColor="text1"/>
        </w:rPr>
        <w:fldChar w:fldCharType="end"/>
      </w:r>
      <w:r w:rsidRPr="00F533B4">
        <w:rPr>
          <w:color w:val="000000" w:themeColor="text1"/>
        </w:rPr>
        <w:t xml:space="preserve">. </w:t>
      </w:r>
      <w:r w:rsidR="00DC610D" w:rsidRPr="00FF2BCC">
        <w:rPr>
          <w:i/>
          <w:iCs/>
          <w:color w:val="000000" w:themeColor="text1"/>
        </w:rPr>
        <w:t>E. coli</w:t>
      </w:r>
      <w:r w:rsidR="00DC610D">
        <w:rPr>
          <w:color w:val="000000" w:themeColor="text1"/>
        </w:rPr>
        <w:t xml:space="preserve"> </w:t>
      </w:r>
      <w:r w:rsidRPr="00F533B4">
        <w:rPr>
          <w:color w:val="000000" w:themeColor="text1"/>
        </w:rPr>
        <w:t xml:space="preserve">ATCC 25922 or </w:t>
      </w:r>
      <w:r w:rsidR="00FF2BCC">
        <w:rPr>
          <w:i/>
          <w:iCs/>
          <w:color w:val="000000" w:themeColor="text1"/>
        </w:rPr>
        <w:t xml:space="preserve">S. aureus </w:t>
      </w:r>
      <w:r w:rsidR="00FF2BCC">
        <w:rPr>
          <w:color w:val="000000" w:themeColor="text1"/>
        </w:rPr>
        <w:t xml:space="preserve">ATCC </w:t>
      </w:r>
      <w:r w:rsidRPr="00F533B4">
        <w:rPr>
          <w:color w:val="000000" w:themeColor="text1"/>
        </w:rPr>
        <w:t xml:space="preserve">29213 were used as controls in all experiments. The </w:t>
      </w:r>
      <w:r w:rsidR="00CF4DB9">
        <w:rPr>
          <w:color w:val="000000" w:themeColor="text1"/>
        </w:rPr>
        <w:t>antibiotic gradient strip assay</w:t>
      </w:r>
      <w:r w:rsidR="00CF4DB9" w:rsidRPr="00F533B4">
        <w:rPr>
          <w:color w:val="000000" w:themeColor="text1"/>
        </w:rPr>
        <w:t xml:space="preserve"> </w:t>
      </w:r>
      <w:r w:rsidRPr="00F533B4">
        <w:rPr>
          <w:color w:val="000000" w:themeColor="text1"/>
        </w:rPr>
        <w:t xml:space="preserve">method was used for isolates from the hollow </w:t>
      </w:r>
      <w:proofErr w:type="spellStart"/>
      <w:r w:rsidR="003414D1">
        <w:rPr>
          <w:color w:val="000000" w:themeColor="text1"/>
        </w:rPr>
        <w:t>fiber</w:t>
      </w:r>
      <w:proofErr w:type="spellEnd"/>
      <w:r w:rsidRPr="00F533B4">
        <w:rPr>
          <w:color w:val="000000" w:themeColor="text1"/>
        </w:rPr>
        <w:t xml:space="preserve"> experiment. Briefly, an inoculum of the isolate was made using </w:t>
      </w:r>
      <w:r w:rsidR="00DC610D">
        <w:rPr>
          <w:color w:val="000000" w:themeColor="text1"/>
        </w:rPr>
        <w:t xml:space="preserve">a </w:t>
      </w:r>
      <w:r w:rsidRPr="00F533B4">
        <w:rPr>
          <w:color w:val="000000" w:themeColor="text1"/>
        </w:rPr>
        <w:t xml:space="preserve">suspension of </w:t>
      </w:r>
      <w:r w:rsidR="00DC610D">
        <w:rPr>
          <w:color w:val="000000" w:themeColor="text1"/>
        </w:rPr>
        <w:t xml:space="preserve">a sweep of </w:t>
      </w:r>
      <w:r w:rsidRPr="00F533B4">
        <w:rPr>
          <w:color w:val="000000" w:themeColor="text1"/>
        </w:rPr>
        <w:t xml:space="preserve">colonies into PBS to a McFarland standard of 0.5. A lawn of the </w:t>
      </w:r>
      <w:r w:rsidR="000735F8" w:rsidRPr="00F533B4">
        <w:rPr>
          <w:color w:val="000000" w:themeColor="text1"/>
        </w:rPr>
        <w:t>inoculum</w:t>
      </w:r>
      <w:r w:rsidRPr="00F533B4">
        <w:rPr>
          <w:color w:val="000000" w:themeColor="text1"/>
        </w:rPr>
        <w:t xml:space="preserve"> was plated onto </w:t>
      </w:r>
      <w:proofErr w:type="gramStart"/>
      <w:r w:rsidRPr="00F533B4">
        <w:rPr>
          <w:color w:val="000000" w:themeColor="text1"/>
        </w:rPr>
        <w:t>a</w:t>
      </w:r>
      <w:proofErr w:type="gramEnd"/>
      <w:r w:rsidRPr="00F533B4">
        <w:rPr>
          <w:color w:val="000000" w:themeColor="text1"/>
        </w:rPr>
        <w:t xml:space="preserve"> </w:t>
      </w:r>
      <w:r w:rsidR="00C52B76">
        <w:rPr>
          <w:color w:val="000000" w:themeColor="text1"/>
        </w:rPr>
        <w:t>MHA</w:t>
      </w:r>
      <w:r w:rsidRPr="00F533B4">
        <w:rPr>
          <w:color w:val="000000" w:themeColor="text1"/>
        </w:rPr>
        <w:t xml:space="preserve"> plate and an</w:t>
      </w:r>
      <w:r w:rsidR="00CF4DB9">
        <w:rPr>
          <w:color w:val="000000" w:themeColor="text1"/>
        </w:rPr>
        <w:t xml:space="preserve"> antibiotic gradient</w:t>
      </w:r>
      <w:r w:rsidRPr="00F533B4">
        <w:rPr>
          <w:color w:val="000000" w:themeColor="text1"/>
        </w:rPr>
        <w:t xml:space="preserve"> strip (</w:t>
      </w:r>
      <w:r w:rsidR="00CF4DB9">
        <w:rPr>
          <w:color w:val="000000" w:themeColor="text1"/>
        </w:rPr>
        <w:t xml:space="preserve">Etest, </w:t>
      </w:r>
      <w:r w:rsidR="00CF4DB9" w:rsidRPr="00F533B4">
        <w:rPr>
          <w:color w:val="000000" w:themeColor="text1"/>
        </w:rPr>
        <w:t>Biomerieux</w:t>
      </w:r>
      <w:r w:rsidR="00CF4DB9">
        <w:rPr>
          <w:color w:val="000000" w:themeColor="text1"/>
        </w:rPr>
        <w:t>, Marcy-</w:t>
      </w:r>
      <w:proofErr w:type="spellStart"/>
      <w:r w:rsidR="00CF4DB9">
        <w:rPr>
          <w:color w:val="000000" w:themeColor="text1"/>
        </w:rPr>
        <w:t>l’Étoile</w:t>
      </w:r>
      <w:proofErr w:type="spellEnd"/>
      <w:r w:rsidR="00CF4DB9">
        <w:rPr>
          <w:color w:val="000000" w:themeColor="text1"/>
        </w:rPr>
        <w:t>, France</w:t>
      </w:r>
      <w:r w:rsidRPr="00F533B4">
        <w:rPr>
          <w:color w:val="000000" w:themeColor="text1"/>
        </w:rPr>
        <w:t>) placed on the plate, which is subsequently incubated for 18-24h at 37</w:t>
      </w:r>
      <w:r w:rsidRPr="00F533B4">
        <w:rPr>
          <w:color w:val="000000" w:themeColor="text1"/>
          <w:vertAlign w:val="superscript"/>
        </w:rPr>
        <w:t>o</w:t>
      </w:r>
      <w:r w:rsidRPr="00F533B4">
        <w:rPr>
          <w:color w:val="000000" w:themeColor="text1"/>
        </w:rPr>
        <w:t xml:space="preserve">C before reading. Interpretation of susceptibility was determined using </w:t>
      </w:r>
      <w:r w:rsidR="00DC610D">
        <w:rPr>
          <w:color w:val="000000" w:themeColor="text1"/>
        </w:rPr>
        <w:t xml:space="preserve"> </w:t>
      </w:r>
      <w:r w:rsidR="00FF2BCC">
        <w:rPr>
          <w:color w:val="000000" w:themeColor="text1"/>
        </w:rPr>
        <w:t xml:space="preserve">2020 </w:t>
      </w:r>
      <w:r w:rsidRPr="00F533B4">
        <w:rPr>
          <w:color w:val="000000" w:themeColor="text1"/>
        </w:rPr>
        <w:t xml:space="preserve">EUCAST breakpoints </w:t>
      </w:r>
      <w:r w:rsidRPr="00F533B4">
        <w:rPr>
          <w:color w:val="000000" w:themeColor="text1"/>
        </w:rPr>
        <w:fldChar w:fldCharType="begin" w:fldLock="1"/>
      </w:r>
      <w:r w:rsidR="005578B0">
        <w:rPr>
          <w:color w:val="000000" w:themeColor="text1"/>
        </w:rPr>
        <w:instrText>ADDIN CSL_CITATION {"citationItems":[{"id":"ITEM-1","itemData":{"author":[{"dropping-particle":"","family":"EUCAST","given":"","non-dropping-particle":"","parse-names":false,"suffix":""}],"id":"ITEM-1","issued":{"date-parts":[["2020"]]},"title":"The European Committee on Antimicrobial Susceptibility Testing. Breakpoint tables for interpretation of MICs and zone diameters Version 10.0","type":"report"},"uris":["http://www.mendeley.com/documents/?uuid=c169dfc5-32cb-419e-bb9e-ebee53a8ab1b"]}],"mendeley":{"formattedCitation":"(28)","plainTextFormattedCitation":"(28)","previouslyFormattedCitation":"(28)"},"properties":{"noteIndex":0},"schema":"https://github.com/citation-style-language/schema/raw/master/csl-citation.json"}</w:instrText>
      </w:r>
      <w:r w:rsidRPr="00F533B4">
        <w:rPr>
          <w:color w:val="000000" w:themeColor="text1"/>
        </w:rPr>
        <w:fldChar w:fldCharType="separate"/>
      </w:r>
      <w:r w:rsidR="005578B0" w:rsidRPr="005578B0">
        <w:rPr>
          <w:noProof/>
          <w:color w:val="000000" w:themeColor="text1"/>
        </w:rPr>
        <w:t>(28)</w:t>
      </w:r>
      <w:r w:rsidRPr="00F533B4">
        <w:rPr>
          <w:color w:val="000000" w:themeColor="text1"/>
        </w:rPr>
        <w:fldChar w:fldCharType="end"/>
      </w:r>
      <w:r w:rsidRPr="00F533B4">
        <w:rPr>
          <w:color w:val="000000" w:themeColor="text1"/>
        </w:rPr>
        <w:t xml:space="preserve">. </w:t>
      </w:r>
      <w:r w:rsidR="00CC2359">
        <w:rPr>
          <w:color w:val="000000" w:themeColor="text1"/>
        </w:rPr>
        <w:t>The breakpoint for IV fosfomycin was used for fosfomycin MIC interpretation.</w:t>
      </w:r>
    </w:p>
    <w:p w14:paraId="23F74434" w14:textId="42C0E834" w:rsidR="002802CD" w:rsidRPr="00F533B4" w:rsidRDefault="002802CD" w:rsidP="00E72EBF">
      <w:pPr>
        <w:spacing w:before="120" w:line="480" w:lineRule="auto"/>
        <w:rPr>
          <w:color w:val="000000" w:themeColor="text1"/>
        </w:rPr>
      </w:pPr>
      <w:r w:rsidRPr="00F533B4">
        <w:rPr>
          <w:b/>
          <w:i/>
          <w:color w:val="000000" w:themeColor="text1"/>
        </w:rPr>
        <w:t>In vitro pharmacodynamic assays</w:t>
      </w:r>
      <w:r w:rsidRPr="00F533B4">
        <w:rPr>
          <w:b/>
          <w:color w:val="000000" w:themeColor="text1"/>
        </w:rPr>
        <w:t xml:space="preserve">. </w:t>
      </w:r>
      <w:r w:rsidRPr="00F533B4">
        <w:rPr>
          <w:color w:val="000000" w:themeColor="text1"/>
        </w:rPr>
        <w:t xml:space="preserve">Checkerboard assays were used on selected strains to </w:t>
      </w:r>
      <w:r w:rsidR="004C5613" w:rsidRPr="00F533B4">
        <w:rPr>
          <w:color w:val="000000" w:themeColor="text1"/>
        </w:rPr>
        <w:t>assess the pharmacodynamic interaction of the fosfomycin/amikacin combination</w:t>
      </w:r>
      <w:r w:rsidRPr="00F533B4">
        <w:rPr>
          <w:color w:val="000000" w:themeColor="text1"/>
        </w:rPr>
        <w:t xml:space="preserve">. Strains were </w:t>
      </w:r>
      <w:r w:rsidRPr="00F533B4">
        <w:rPr>
          <w:color w:val="000000" w:themeColor="text1"/>
        </w:rPr>
        <w:lastRenderedPageBreak/>
        <w:t xml:space="preserve">selected based on having MICs </w:t>
      </w:r>
      <w:r w:rsidRPr="00F533B4">
        <w:rPr>
          <w:color w:val="000000" w:themeColor="text1"/>
        </w:rPr>
        <w:sym w:font="Symbol" w:char="F0A3"/>
      </w:r>
      <w:r w:rsidRPr="00F533B4">
        <w:rPr>
          <w:color w:val="000000" w:themeColor="text1"/>
        </w:rPr>
        <w:t>32mg/L and &gt;0.0625</w:t>
      </w:r>
      <w:r w:rsidR="00DC610D">
        <w:rPr>
          <w:color w:val="000000" w:themeColor="text1"/>
        </w:rPr>
        <w:t xml:space="preserve"> </w:t>
      </w:r>
      <w:r w:rsidRPr="00F533B4">
        <w:rPr>
          <w:color w:val="000000" w:themeColor="text1"/>
        </w:rPr>
        <w:t>mg/</w:t>
      </w:r>
      <w:r w:rsidR="00DC610D">
        <w:rPr>
          <w:color w:val="000000" w:themeColor="text1"/>
        </w:rPr>
        <w:t>L</w:t>
      </w:r>
      <w:r w:rsidRPr="00F533B4">
        <w:rPr>
          <w:color w:val="000000" w:themeColor="text1"/>
        </w:rPr>
        <w:t xml:space="preserve"> to </w:t>
      </w:r>
      <w:r w:rsidR="004C5613" w:rsidRPr="00F533B4">
        <w:rPr>
          <w:color w:val="000000" w:themeColor="text1"/>
        </w:rPr>
        <w:t xml:space="preserve">both </w:t>
      </w:r>
      <w:r w:rsidRPr="00F533B4">
        <w:rPr>
          <w:color w:val="000000" w:themeColor="text1"/>
        </w:rPr>
        <w:t xml:space="preserve">fosfomycin and amikacin. </w:t>
      </w:r>
      <w:r w:rsidR="00DC610D">
        <w:rPr>
          <w:color w:val="000000" w:themeColor="text1"/>
        </w:rPr>
        <w:t xml:space="preserve"> </w:t>
      </w:r>
      <w:r w:rsidRPr="00F533B4">
        <w:rPr>
          <w:color w:val="000000" w:themeColor="text1"/>
        </w:rPr>
        <w:t>100</w:t>
      </w:r>
      <w:r w:rsidR="00DC610D">
        <w:rPr>
          <w:color w:val="000000" w:themeColor="text1"/>
        </w:rPr>
        <w:t xml:space="preserve"> </w:t>
      </w:r>
      <w:r w:rsidRPr="00F533B4">
        <w:rPr>
          <w:color w:val="000000" w:themeColor="text1"/>
        </w:rPr>
        <w:sym w:font="Symbol" w:char="F06D"/>
      </w:r>
      <w:r w:rsidR="00DC610D">
        <w:rPr>
          <w:color w:val="000000" w:themeColor="text1"/>
        </w:rPr>
        <w:t>L</w:t>
      </w:r>
      <w:r w:rsidRPr="00F533B4">
        <w:rPr>
          <w:color w:val="000000" w:themeColor="text1"/>
        </w:rPr>
        <w:t xml:space="preserve"> of antimicrobials in sterile distilled water were added to </w:t>
      </w:r>
      <w:proofErr w:type="gramStart"/>
      <w:r w:rsidRPr="00F533B4">
        <w:rPr>
          <w:color w:val="000000" w:themeColor="text1"/>
        </w:rPr>
        <w:t>the an</w:t>
      </w:r>
      <w:proofErr w:type="gramEnd"/>
      <w:r w:rsidRPr="00F533B4">
        <w:rPr>
          <w:color w:val="000000" w:themeColor="text1"/>
        </w:rPr>
        <w:t xml:space="preserve"> 8x8 grid on a 96 well plate, with concentration gradients created </w:t>
      </w:r>
      <w:r w:rsidR="0091745D" w:rsidRPr="00F533B4">
        <w:rPr>
          <w:color w:val="000000" w:themeColor="text1"/>
        </w:rPr>
        <w:t>with 1</w:t>
      </w:r>
      <w:r w:rsidRPr="00F533B4">
        <w:rPr>
          <w:color w:val="000000" w:themeColor="text1"/>
        </w:rPr>
        <w:t>:2 serial dilutions along each axis, with the final row/column having 0</w:t>
      </w:r>
      <w:r w:rsidR="00F0239B">
        <w:rPr>
          <w:color w:val="000000" w:themeColor="text1"/>
        </w:rPr>
        <w:t xml:space="preserve"> </w:t>
      </w:r>
      <w:r w:rsidRPr="00F533B4">
        <w:rPr>
          <w:color w:val="000000" w:themeColor="text1"/>
        </w:rPr>
        <w:t>mg/</w:t>
      </w:r>
      <w:r w:rsidR="00F0239B">
        <w:rPr>
          <w:color w:val="000000" w:themeColor="text1"/>
        </w:rPr>
        <w:t>L</w:t>
      </w:r>
      <w:r w:rsidRPr="00F533B4">
        <w:rPr>
          <w:color w:val="000000" w:themeColor="text1"/>
        </w:rPr>
        <w:t xml:space="preserve"> of the appropriate drug. </w:t>
      </w:r>
      <w:r w:rsidR="00E67581">
        <w:rPr>
          <w:color w:val="000000" w:themeColor="text1"/>
        </w:rPr>
        <w:t>The drug concentration range used on e</w:t>
      </w:r>
      <w:r w:rsidRPr="00F533B4">
        <w:rPr>
          <w:color w:val="000000" w:themeColor="text1"/>
        </w:rPr>
        <w:t xml:space="preserve">ach plate was </w:t>
      </w:r>
      <w:r w:rsidR="00E67581">
        <w:rPr>
          <w:color w:val="000000" w:themeColor="text1"/>
        </w:rPr>
        <w:t>chosen</w:t>
      </w:r>
      <w:r w:rsidRPr="00F533B4">
        <w:rPr>
          <w:color w:val="000000" w:themeColor="text1"/>
        </w:rPr>
        <w:t xml:space="preserve"> </w:t>
      </w:r>
      <w:r w:rsidR="00E67581">
        <w:rPr>
          <w:color w:val="000000" w:themeColor="text1"/>
        </w:rPr>
        <w:t>according</w:t>
      </w:r>
      <w:r w:rsidR="00E67581" w:rsidRPr="00F533B4">
        <w:rPr>
          <w:color w:val="000000" w:themeColor="text1"/>
        </w:rPr>
        <w:t xml:space="preserve"> </w:t>
      </w:r>
      <w:r w:rsidRPr="00F533B4">
        <w:rPr>
          <w:color w:val="000000" w:themeColor="text1"/>
        </w:rPr>
        <w:t>to</w:t>
      </w:r>
      <w:r w:rsidR="00E67581">
        <w:rPr>
          <w:color w:val="000000" w:themeColor="text1"/>
        </w:rPr>
        <w:t xml:space="preserve"> the drug MICs of</w:t>
      </w:r>
      <w:r w:rsidRPr="00F533B4">
        <w:rPr>
          <w:color w:val="000000" w:themeColor="text1"/>
        </w:rPr>
        <w:t xml:space="preserve"> each strain, with the maximum concentration of </w:t>
      </w:r>
      <w:r w:rsidR="00E67581">
        <w:rPr>
          <w:color w:val="000000" w:themeColor="text1"/>
        </w:rPr>
        <w:t xml:space="preserve">each </w:t>
      </w:r>
      <w:r w:rsidRPr="00F533B4">
        <w:rPr>
          <w:color w:val="000000" w:themeColor="text1"/>
        </w:rPr>
        <w:t xml:space="preserve">antimicrobial being </w:t>
      </w:r>
      <w:r w:rsidR="00F0239B">
        <w:rPr>
          <w:color w:val="000000" w:themeColor="text1"/>
        </w:rPr>
        <w:t>4x</w:t>
      </w:r>
      <w:r w:rsidRPr="00F533B4">
        <w:rPr>
          <w:color w:val="000000" w:themeColor="text1"/>
        </w:rPr>
        <w:t xml:space="preserve"> MIC for that strain. </w:t>
      </w:r>
      <w:r w:rsidR="00F0239B">
        <w:rPr>
          <w:color w:val="000000" w:themeColor="text1"/>
        </w:rPr>
        <w:t>The i</w:t>
      </w:r>
      <w:r w:rsidR="00F0239B" w:rsidRPr="00F533B4">
        <w:rPr>
          <w:color w:val="000000" w:themeColor="text1"/>
        </w:rPr>
        <w:t xml:space="preserve">noculum </w:t>
      </w:r>
      <w:r w:rsidRPr="00F533B4">
        <w:rPr>
          <w:color w:val="000000" w:themeColor="text1"/>
        </w:rPr>
        <w:t>was made up to 1x10</w:t>
      </w:r>
      <w:r w:rsidRPr="00F533B4">
        <w:rPr>
          <w:color w:val="000000" w:themeColor="text1"/>
          <w:vertAlign w:val="superscript"/>
        </w:rPr>
        <w:t>6</w:t>
      </w:r>
      <w:r w:rsidRPr="00F533B4">
        <w:rPr>
          <w:color w:val="000000" w:themeColor="text1"/>
        </w:rPr>
        <w:t xml:space="preserve"> CFU/m</w:t>
      </w:r>
      <w:r w:rsidR="00F0239B">
        <w:rPr>
          <w:color w:val="000000" w:themeColor="text1"/>
        </w:rPr>
        <w:t>L</w:t>
      </w:r>
      <w:r w:rsidRPr="00F533B4">
        <w:rPr>
          <w:color w:val="000000" w:themeColor="text1"/>
        </w:rPr>
        <w:t xml:space="preserve"> in MHB and quantified using 1:10 serial dilution onto </w:t>
      </w:r>
      <w:r w:rsidR="00C52B76">
        <w:rPr>
          <w:color w:val="000000" w:themeColor="text1"/>
        </w:rPr>
        <w:t>MHA</w:t>
      </w:r>
      <w:r w:rsidRPr="00F533B4">
        <w:rPr>
          <w:color w:val="000000" w:themeColor="text1"/>
        </w:rPr>
        <w:t xml:space="preserve"> plates. 100</w:t>
      </w:r>
      <w:r w:rsidRPr="00F533B4">
        <w:rPr>
          <w:color w:val="000000" w:themeColor="text1"/>
        </w:rPr>
        <w:sym w:font="Symbol" w:char="F06D"/>
      </w:r>
      <w:r w:rsidRPr="00F533B4">
        <w:rPr>
          <w:color w:val="000000" w:themeColor="text1"/>
        </w:rPr>
        <w:t>l of the inoculum was added to each well of the prepared checkerboard. The well containing 0</w:t>
      </w:r>
      <w:r w:rsidR="00F0239B">
        <w:rPr>
          <w:color w:val="000000" w:themeColor="text1"/>
        </w:rPr>
        <w:t xml:space="preserve"> </w:t>
      </w:r>
      <w:r w:rsidRPr="00F533B4">
        <w:rPr>
          <w:color w:val="000000" w:themeColor="text1"/>
        </w:rPr>
        <w:t>mg/</w:t>
      </w:r>
      <w:r w:rsidR="00F0239B" w:rsidRPr="00F533B4">
        <w:rPr>
          <w:color w:val="000000" w:themeColor="text1"/>
        </w:rPr>
        <w:t>m</w:t>
      </w:r>
      <w:r w:rsidR="00F0239B">
        <w:rPr>
          <w:color w:val="000000" w:themeColor="text1"/>
        </w:rPr>
        <w:t>L</w:t>
      </w:r>
      <w:r w:rsidR="00F0239B" w:rsidRPr="00F533B4">
        <w:rPr>
          <w:color w:val="000000" w:themeColor="text1"/>
        </w:rPr>
        <w:t xml:space="preserve"> </w:t>
      </w:r>
      <w:r w:rsidRPr="00F533B4">
        <w:rPr>
          <w:color w:val="000000" w:themeColor="text1"/>
        </w:rPr>
        <w:t>of each drug acted as the positive control; an additional row of blank MHB on the plate acted as negative control. Plates were incubated 18-24h at 37</w:t>
      </w:r>
      <w:r w:rsidRPr="00F533B4">
        <w:rPr>
          <w:color w:val="000000" w:themeColor="text1"/>
          <w:vertAlign w:val="superscript"/>
        </w:rPr>
        <w:t>o</w:t>
      </w:r>
      <w:r w:rsidRPr="00F533B4">
        <w:rPr>
          <w:color w:val="000000" w:themeColor="text1"/>
        </w:rPr>
        <w:t>C before being read by optical densitometer (</w:t>
      </w:r>
      <w:proofErr w:type="spellStart"/>
      <w:r w:rsidRPr="00F533B4">
        <w:rPr>
          <w:color w:val="000000" w:themeColor="text1"/>
        </w:rPr>
        <w:t>Varioskan</w:t>
      </w:r>
      <w:proofErr w:type="spellEnd"/>
      <w:r w:rsidRPr="00F533B4">
        <w:rPr>
          <w:color w:val="000000" w:themeColor="text1"/>
        </w:rPr>
        <w:t>, Thermo Fisher) at 600nm. Plates were considered valid if the MIC on the monotherapy rows of the checkerboard were within 1 dilution of previously determined MICs, the negative controls had no growth, and the prepared inoculum was within 6-14</w:t>
      </w:r>
      <w:r w:rsidR="00F0239B">
        <w:rPr>
          <w:color w:val="000000" w:themeColor="text1"/>
        </w:rPr>
        <w:t xml:space="preserve"> </w:t>
      </w:r>
      <w:r w:rsidRPr="00F533B4">
        <w:rPr>
          <w:color w:val="000000" w:themeColor="text1"/>
        </w:rPr>
        <w:t>x</w:t>
      </w:r>
      <w:r w:rsidR="00F0239B">
        <w:rPr>
          <w:color w:val="000000" w:themeColor="text1"/>
        </w:rPr>
        <w:t xml:space="preserve"> </w:t>
      </w:r>
      <w:r w:rsidRPr="00F533B4">
        <w:rPr>
          <w:color w:val="000000" w:themeColor="text1"/>
        </w:rPr>
        <w:t>10</w:t>
      </w:r>
      <w:r w:rsidRPr="00F533B4">
        <w:rPr>
          <w:color w:val="000000" w:themeColor="text1"/>
          <w:vertAlign w:val="superscript"/>
        </w:rPr>
        <w:t>5</w:t>
      </w:r>
      <w:r w:rsidRPr="00F533B4">
        <w:rPr>
          <w:color w:val="000000" w:themeColor="text1"/>
        </w:rPr>
        <w:t xml:space="preserve"> CFU/</w:t>
      </w:r>
      <w:proofErr w:type="spellStart"/>
      <w:r w:rsidRPr="00F533B4">
        <w:rPr>
          <w:color w:val="000000" w:themeColor="text1"/>
        </w:rPr>
        <w:t>m</w:t>
      </w:r>
      <w:r w:rsidR="00F0239B">
        <w:rPr>
          <w:color w:val="000000" w:themeColor="text1"/>
        </w:rPr>
        <w:t>L</w:t>
      </w:r>
      <w:r w:rsidRPr="00F533B4">
        <w:rPr>
          <w:color w:val="000000" w:themeColor="text1"/>
        </w:rPr>
        <w:t>.</w:t>
      </w:r>
      <w:proofErr w:type="spellEnd"/>
    </w:p>
    <w:p w14:paraId="30189E18" w14:textId="64F23BE9" w:rsidR="002802CD" w:rsidRPr="00F533B4" w:rsidRDefault="002802CD" w:rsidP="00E72EBF">
      <w:pPr>
        <w:spacing w:before="120" w:line="480" w:lineRule="auto"/>
        <w:rPr>
          <w:color w:val="000000" w:themeColor="text1"/>
        </w:rPr>
      </w:pPr>
      <w:r w:rsidRPr="00F533B4">
        <w:rPr>
          <w:color w:val="000000" w:themeColor="text1"/>
        </w:rPr>
        <w:t xml:space="preserve">Raw optical densitometer (OD) readings were normalised to that of the positive control. The readouts were then modelled using Greco’s model of drug synergy </w:t>
      </w:r>
      <w:r w:rsidRPr="00F533B4">
        <w:rPr>
          <w:color w:val="000000" w:themeColor="text1"/>
        </w:rPr>
        <w:fldChar w:fldCharType="begin" w:fldLock="1"/>
      </w:r>
      <w:r w:rsidR="00EC6CE2">
        <w:rPr>
          <w:color w:val="000000" w:themeColor="text1"/>
        </w:rPr>
        <w:instrText>ADDIN CSL_CITATION {"citationItems":[{"id":"ITEM-1","itemData":{"ISBN":"0008-5472 (Print)\\r0008-5472 (Linking)","ISSN":"00085472","PMID":"2386940","abstract":"This report describes the application of a new approach, the universal response surface approach, to the quantitative assessment of drug inter action, i.e., the determination of synergism, antagonism, additivity, po- tentiation, inhibition, and coalitive action. The specific drug combination and experimental growth system for this introductory application was that of I-/3-r&gt;arabinofuranosylcytosine (ara-C) and cisplatin with simul taneous drug exposure (1, 3, 6, 12, or 48 h) against I.I21(1 leukemia in vitro. To quantitate the type and degree of drug interaction, a model was fitted using nonlinear regression to the data from each separate experi ment, and parameters were estimated (K. C. Syracuse and W. R. Greco, Proc. Biopharm. Sect. Am. Stat. Assoc., 127-132,1986). The parameters included the maximum cell density over background in absence of drug, the background cell density in presence of infinite drug, the 50% inhibi tory concentrations and concentration-effect slopes for each drug, and a synergism-antagonism parameter, a. A positive a indicates synergism, a negative a, antagonism, and a zero a, additivity. Maximal synergy was found with a 3-h exposure of ara-C + cisplatin, with a = 3.08 Â±0.96 (SE) and 2.44 Â± 0.70 in two separate experiments. Four different graphic representations of the raw data and fitted curves provide visual indications of goodness of fit of the estimated dose-response surface to the data and visual indications of the intensity of drug interaction. The universal response surface approach is mathematically consistent with the tradi tional isobologram approach but is more objective, is more quantitative, and is more easily automated. Although specifically developed for in vitro cancer chemotherapy applications, the universal response surface approach should prove to be useful in the fields of pharmacology, toxicology, epidemiology, and biomedicai science in general.","author":[{"dropping-particle":"","family":"Greco","given":"William R","non-dropping-particle":"","parse-names":false,"suffix":""},{"dropping-particle":"","family":"Park","given":"Hyoung Sook","non-dropping-particle":"","parse-names":false,"suffix":""},{"dropping-particle":"","family":"Rustum","given":"Youcef M","non-dropping-particle":"","parse-names":false,"suffix":""}],"container-title":"Cancer Research","id":"ITEM-1","issued":{"date-parts":[["1990"]]},"page":"5318-5327","title":"Application of a New Approach for the Quantitation of Drug Synergism to the Combination of cis -Diamminedichloroplatinum and 1- β -d-Arabinofuranosylcytosine Application of a New Approach for the Quantitation of Drug Synergism to the Combination of m-Diam","type":"article-journal","volume":"50"},"uris":["http://www.mendeley.com/documents/?uuid=6608a118-4b39-4589-92a7-9d021bcaff64"]}],"mendeley":{"formattedCitation":"(15)","plainTextFormattedCitation":"(15)","previouslyFormattedCitation":"(15)"},"properties":{"noteIndex":0},"schema":"https://github.com/citation-style-language/schema/raw/master/csl-citation.json"}</w:instrText>
      </w:r>
      <w:r w:rsidRPr="00F533B4">
        <w:rPr>
          <w:color w:val="000000" w:themeColor="text1"/>
        </w:rPr>
        <w:fldChar w:fldCharType="separate"/>
      </w:r>
      <w:r w:rsidR="00EC6CE2" w:rsidRPr="00EC6CE2">
        <w:rPr>
          <w:noProof/>
          <w:color w:val="000000" w:themeColor="text1"/>
        </w:rPr>
        <w:t>(15)</w:t>
      </w:r>
      <w:r w:rsidRPr="00F533B4">
        <w:rPr>
          <w:color w:val="000000" w:themeColor="text1"/>
        </w:rPr>
        <w:fldChar w:fldCharType="end"/>
      </w:r>
      <w:r w:rsidRPr="00F533B4">
        <w:rPr>
          <w:color w:val="000000" w:themeColor="text1"/>
        </w:rPr>
        <w:t xml:space="preserve"> using ADAPT </w:t>
      </w:r>
      <w:r w:rsidR="00F0239B">
        <w:rPr>
          <w:color w:val="000000" w:themeColor="text1"/>
        </w:rPr>
        <w:t xml:space="preserve">5 </w:t>
      </w:r>
      <w:r w:rsidRPr="00F533B4">
        <w:rPr>
          <w:color w:val="000000" w:themeColor="text1"/>
        </w:rPr>
        <w:fldChar w:fldCharType="begin" w:fldLock="1"/>
      </w:r>
      <w:r w:rsidR="005578B0">
        <w:rPr>
          <w:color w:val="000000" w:themeColor="text1"/>
        </w:rPr>
        <w:instrText>ADDIN CSL_CITATION {"citationItems":[{"id":"ITEM-1","itemData":{"author":[{"dropping-particle":"","family":"D’Argenio","given":"D.Z.","non-dropping-particle":"","parse-names":false,"suffix":""},{"dropping-particle":"","family":"Schumitzky","given":"A.","non-dropping-particle":"","parse-names":false,"suffix":""},{"dropping-particle":"","family":"Wang","given":"X","non-dropping-particle":"","parse-names":false,"suffix":""}],"container-title":"Biomedical Simulations Resource","id":"ITEM-1","issued":{"date-parts":[["2009"]]},"title":"ADAPT 5 User’s Guide: Pharmacokinetic/Pharmacodynamic Systems Analysis Software","type":"article-journal"},"uris":["http://www.mendeley.com/documents/?uuid=564b3479-748b-4ffe-af7d-224a63fcbee6"]}],"mendeley":{"formattedCitation":"(44)","plainTextFormattedCitation":"(44)","previouslyFormattedCitation":"(44)"},"properties":{"noteIndex":0},"schema":"https://github.com/citation-style-language/schema/raw/master/csl-citation.json"}</w:instrText>
      </w:r>
      <w:r w:rsidRPr="00F533B4">
        <w:rPr>
          <w:color w:val="000000" w:themeColor="text1"/>
        </w:rPr>
        <w:fldChar w:fldCharType="separate"/>
      </w:r>
      <w:r w:rsidR="005578B0" w:rsidRPr="005578B0">
        <w:rPr>
          <w:noProof/>
          <w:color w:val="000000" w:themeColor="text1"/>
        </w:rPr>
        <w:t>(44)</w:t>
      </w:r>
      <w:r w:rsidRPr="00F533B4">
        <w:rPr>
          <w:color w:val="000000" w:themeColor="text1"/>
        </w:rPr>
        <w:fldChar w:fldCharType="end"/>
      </w:r>
      <w:r w:rsidR="00304C76">
        <w:rPr>
          <w:color w:val="000000" w:themeColor="text1"/>
        </w:rPr>
        <w:t xml:space="preserve">, with determination of </w:t>
      </w:r>
      <w:r w:rsidR="00304C76">
        <w:rPr>
          <w:color w:val="000000" w:themeColor="text1"/>
        </w:rPr>
        <w:sym w:font="Symbol" w:char="F061"/>
      </w:r>
      <w:r w:rsidR="00304C76">
        <w:rPr>
          <w:color w:val="000000" w:themeColor="text1"/>
        </w:rPr>
        <w:t>, with confidence intervals calculated using standard error of the model outputs</w:t>
      </w:r>
      <w:r w:rsidR="00654EFC" w:rsidRPr="00F533B4">
        <w:rPr>
          <w:color w:val="000000" w:themeColor="text1"/>
        </w:rPr>
        <w:t>.</w:t>
      </w:r>
      <w:r w:rsidR="00980906">
        <w:rPr>
          <w:color w:val="000000" w:themeColor="text1"/>
        </w:rPr>
        <w:t xml:space="preserve"> </w:t>
      </w:r>
      <w:r w:rsidR="0082240B">
        <w:rPr>
          <w:color w:val="000000" w:themeColor="text1"/>
        </w:rPr>
        <w:t>Meta-analysis was performed on the output of the combination using the R package ‘</w:t>
      </w:r>
      <w:proofErr w:type="spellStart"/>
      <w:r w:rsidR="0082240B">
        <w:rPr>
          <w:color w:val="000000" w:themeColor="text1"/>
        </w:rPr>
        <w:t>Metafor</w:t>
      </w:r>
      <w:proofErr w:type="spellEnd"/>
      <w:r w:rsidR="0082240B">
        <w:rPr>
          <w:color w:val="000000" w:themeColor="text1"/>
        </w:rPr>
        <w:t xml:space="preserve">’ </w:t>
      </w:r>
      <w:r w:rsidR="0082240B">
        <w:rPr>
          <w:color w:val="000000" w:themeColor="text1"/>
        </w:rPr>
        <w:fldChar w:fldCharType="begin" w:fldLock="1"/>
      </w:r>
      <w:r w:rsidR="005578B0">
        <w:rPr>
          <w:color w:val="000000" w:themeColor="text1"/>
        </w:rPr>
        <w:instrText>ADDIN CSL_CITATION {"citationItems":[{"id":"ITEM-1","itemData":{"DOI":"10.18637/jss.v036.i03","ISSN":"15487660","abstract":"The metafor package provides functions for conducting meta-analyses in R. The package includes functions for fitting the meta-analytic fixed- and random-effects models and allows for the inclusion of moderators variables (study-level covariates) in these models. Meta-regression analyses with continuous and categorical moderators can be conducted in this way. Functions for the Mantel-Haenszel and Peto's one-step method for metaanalyses of 2 × 2 table data are also available. Finally, the package provides various plot functions (for example, for forest, funnel, and radial plots) and functions for assessing the model fit, for obtaining case diagnostics, and for tests of publication bias.","author":[{"dropping-particle":"","family":"Viechtbauer","given":"Wolfgang","non-dropping-particle":"","parse-names":false,"suffix":""}],"container-title":"Journal of Statistical Software","id":"ITEM-1","issue":"3","issued":{"date-parts":[["2010","8","5"]]},"page":"1-48","title":"Conducting meta-analyses in R with the metafor","type":"article-journal","volume":"36"},"uris":["http://www.mendeley.com/documents/?uuid=491a751e-8230-3845-a4f9-6ab96fa251f7"]}],"mendeley":{"formattedCitation":"(45)","plainTextFormattedCitation":"(45)","previouslyFormattedCitation":"(45)"},"properties":{"noteIndex":0},"schema":"https://github.com/citation-style-language/schema/raw/master/csl-citation.json"}</w:instrText>
      </w:r>
      <w:r w:rsidR="0082240B">
        <w:rPr>
          <w:color w:val="000000" w:themeColor="text1"/>
        </w:rPr>
        <w:fldChar w:fldCharType="separate"/>
      </w:r>
      <w:r w:rsidR="005578B0" w:rsidRPr="005578B0">
        <w:rPr>
          <w:noProof/>
          <w:color w:val="000000" w:themeColor="text1"/>
        </w:rPr>
        <w:t>(45)</w:t>
      </w:r>
      <w:r w:rsidR="0082240B">
        <w:rPr>
          <w:color w:val="000000" w:themeColor="text1"/>
        </w:rPr>
        <w:fldChar w:fldCharType="end"/>
      </w:r>
      <w:r w:rsidR="0082240B">
        <w:rPr>
          <w:color w:val="000000" w:themeColor="text1"/>
        </w:rPr>
        <w:t>.</w:t>
      </w:r>
    </w:p>
    <w:p w14:paraId="4A2F0098" w14:textId="7D98DD5E" w:rsidR="002802CD" w:rsidRPr="00F533B4" w:rsidRDefault="002802CD" w:rsidP="00E72EBF">
      <w:pPr>
        <w:spacing w:before="120" w:line="480" w:lineRule="auto"/>
        <w:rPr>
          <w:color w:val="000000" w:themeColor="text1"/>
        </w:rPr>
      </w:pPr>
      <w:r w:rsidRPr="00F533B4">
        <w:rPr>
          <w:b/>
          <w:color w:val="000000" w:themeColor="text1"/>
        </w:rPr>
        <w:t xml:space="preserve">Hollow </w:t>
      </w:r>
      <w:proofErr w:type="spellStart"/>
      <w:r w:rsidR="003414D1">
        <w:rPr>
          <w:b/>
          <w:color w:val="000000" w:themeColor="text1"/>
        </w:rPr>
        <w:t>Fiber</w:t>
      </w:r>
      <w:proofErr w:type="spellEnd"/>
      <w:r w:rsidRPr="00F533B4">
        <w:rPr>
          <w:b/>
          <w:color w:val="000000" w:themeColor="text1"/>
        </w:rPr>
        <w:t xml:space="preserve"> Infection Model</w:t>
      </w:r>
      <w:r w:rsidRPr="00F533B4">
        <w:rPr>
          <w:b/>
          <w:i/>
          <w:color w:val="000000" w:themeColor="text1"/>
        </w:rPr>
        <w:t xml:space="preserve">. </w:t>
      </w:r>
      <w:r w:rsidRPr="00F533B4">
        <w:rPr>
          <w:color w:val="000000" w:themeColor="text1"/>
        </w:rPr>
        <w:t xml:space="preserve">The hollow </w:t>
      </w:r>
      <w:proofErr w:type="spellStart"/>
      <w:r w:rsidR="003414D1">
        <w:rPr>
          <w:color w:val="000000" w:themeColor="text1"/>
        </w:rPr>
        <w:t>fiber</w:t>
      </w:r>
      <w:proofErr w:type="spellEnd"/>
      <w:r w:rsidRPr="00F533B4">
        <w:rPr>
          <w:color w:val="000000" w:themeColor="text1"/>
        </w:rPr>
        <w:t xml:space="preserve"> infection model (HFIM) is a well-established dynamic model stimulating the pharmacodynamic effect of antimicrobials with physiological dynamic concentrations  </w:t>
      </w:r>
      <w:r w:rsidRPr="00F533B4">
        <w:rPr>
          <w:color w:val="000000" w:themeColor="text1"/>
        </w:rPr>
        <w:fldChar w:fldCharType="begin" w:fldLock="1"/>
      </w:r>
      <w:r w:rsidR="005578B0">
        <w:rPr>
          <w:color w:val="000000" w:themeColor="text1"/>
        </w:rPr>
        <w:instrText>ADDIN CSL_CITATION {"citationItems":[{"id":"ITEM-1","itemData":{"DOI":"10.4172/2167-1052.S1-007","ISBN":"2167-1052","ISSN":"21671052","abstract":"The recent introduction of hollow fiber bioreactor cartridges represents an important advancement in the field of in vitro toxicology. Many toxicologists believe in vitro testing methods are a useful, time and cost effective tool for drug discovery but it is generally accepted that many of the available tests are not effective for examining both time and concentration, and do not closely mimic human kinetics. This is because they do not properly take into account pharmacodynamic actions (what a drug does to the body) and pharmacokinetic actions (what a body does to the drug). Recently, with the use of hollow fiber bioreactor cartridges, this has changed. The hollow fiber infection model is a useful addition to standard in vitro toxicology methods as it mimics changes in drug concentration over time, as they would occur in humans. An overview of historic pk/pd models is presented and the utility of the hollow fiber infection model as it relates to antibiotics and other drugs are discussed.","author":[{"dropping-particle":"","family":"J.S. Cadwell","given":"John","non-dropping-particle":"","parse-names":false,"suffix":""}],"container-title":"Advances in Pharmacoepidemiology &amp; Drug Safety","id":"ITEM-1","issue":"S1","issued":{"date-parts":[["2012"]]},"page":"1-5","title":"The Hollow Fiber Infection Model for Antimicrobial Pharmacodynamics and Pharmacokinetics","type":"article-journal","volume":"01"},"uris":["http://www.mendeley.com/documents/?uuid=55b7d414-75a5-46bb-97bd-4b0a30ab5c4f"]}],"mendeley":{"formattedCitation":"(46)","plainTextFormattedCitation":"(46)","previouslyFormattedCitation":"(46)"},"properties":{"noteIndex":0},"schema":"https://github.com/citation-style-language/schema/raw/master/csl-citation.json"}</w:instrText>
      </w:r>
      <w:r w:rsidRPr="00F533B4">
        <w:rPr>
          <w:color w:val="000000" w:themeColor="text1"/>
        </w:rPr>
        <w:fldChar w:fldCharType="separate"/>
      </w:r>
      <w:r w:rsidR="005578B0" w:rsidRPr="005578B0">
        <w:rPr>
          <w:noProof/>
          <w:color w:val="000000" w:themeColor="text1"/>
        </w:rPr>
        <w:t>(46)</w:t>
      </w:r>
      <w:r w:rsidRPr="00F533B4">
        <w:rPr>
          <w:color w:val="000000" w:themeColor="text1"/>
        </w:rPr>
        <w:fldChar w:fldCharType="end"/>
      </w:r>
      <w:r w:rsidRPr="00F533B4">
        <w:rPr>
          <w:color w:val="000000" w:themeColor="text1"/>
        </w:rPr>
        <w:t xml:space="preserve">. The HFIM method was used largely as described previously </w:t>
      </w:r>
      <w:r w:rsidRPr="00F533B4">
        <w:rPr>
          <w:color w:val="000000" w:themeColor="text1"/>
        </w:rPr>
        <w:fldChar w:fldCharType="begin" w:fldLock="1"/>
      </w:r>
      <w:r w:rsidR="005578B0">
        <w:rPr>
          <w:color w:val="000000" w:themeColor="text1"/>
        </w:rPr>
        <w:instrText>ADDIN CSL_CITATION {"citationItems":[{"id":"ITEM-1","itemData":{"DOI":"10.1093/jac/dkv451","ISBN":"1517945941","ISSN":"14602091","PMID":"26755499","abstract":"OBJECTIVES: CoNS are the most common cause of neonatal late-onset sepsis. Information on the vancomycin pharmacokinetics/pharmacodynamics against CoNS is limited. The aim of this study was to characterize vancomycin pharmacokinetic/pharmacodynamic relationships for CoNS and investigate neonatal optimal dosage regimens.\\n\\nMETHODS: A hollow fibre and a novel rabbit model of neonatal central line-associated bloodstream CoNS infections were developed. The results were then bridged to neonates by use of population pharmacokinetic techniques and Monte Carlo simulations.\\n\\nRESULTS: There was a dose-dependent reduction in the total bacterial population and C-reactive protein levels. The AUC/MIC and Cmax/MIC ratios were strongly linked with total and mutant resistant cell kill. Maximal amplification of resistance was observed in vitro at an fAUC/MIC of 200 mg · h/L. Simulations predicted that neonates &lt;29 weeks post-menstrual age are underdosed with standard regimens with respect to older age groups.\\n\\nCONCLUSIONS: The AUC/MIC and Cmax/MIC ratios are the pharmacodynamic indices that best explain total and resistant cell kill in CoNS infection. This suggests that less-fractionated regimens are appropriate for clinical use and continuous infusions may be associated with increased risk of emergence of antimicrobial resistance. This study has provided the pharmacodynamic evidence to inform an optimized neonatal dosage regimen to take into a randomized controlled trial.","author":[{"dropping-particle":"","family":"Ramos-Martín","given":"V.","non-dropping-particle":"","parse-names":false,"suffix":""},{"dropping-particle":"","family":"Johnson","given":"A.","non-dropping-particle":"","parse-names":false,"suffix":""},{"dropping-particle":"","family":"Livermore","given":"J.","non-dropping-particle":"","parse-names":false,"suffix":""},{"dropping-particle":"","family":"McEntee","given":"L.","non-dropping-particle":"","parse-names":false,"suffix":""},{"dropping-particle":"","family":"Goodwin","given":"J.","non-dropping-particle":"","parse-names":false,"suffix":""},{"dropping-particle":"","family":"Whalley","given":"S.","non-dropping-particle":"","parse-names":false,"suffix":""},{"dropping-particle":"","family":"Docobo-Pérez","given":"F.","non-dropping-particle":"","parse-names":false,"suffix":""},{"dropping-particle":"","family":"Felton","given":"T. W.","non-dropping-particle":"","parse-names":false,"suffix":""},{"dropping-particle":"","family":"Zhao","given":"W.","non-dropping-particle":"","parse-names":false,"suffix":""},{"dropping-particle":"","family":"Jacqz-Aigrain","given":"E.","non-dropping-particle":"","parse-names":false,"suffix":""},{"dropping-particle":"","family":"Sharland","given":"M.","non-dropping-particle":"","parse-names":false,"suffix":""},{"dropping-particle":"","family":"Turner","given":"M. A.","non-dropping-particle":"","parse-names":false,"suffix":""},{"dropping-particle":"","family":"Hope","given":"W. W.","non-dropping-particle":"","parse-names":false,"suffix":""}],"container-title":"Journal of Antimicrobial Chemotherapy","id":"ITEM-1","issue":"4","issued":{"date-parts":[["2016"]]},"page":"992-1002","title":"Pharmacodynamics of vancomycin for CoNS infection: Experimental basis for optimal use of vancomycin in neonates","type":"article-journal","volume":"71"},"uris":["http://www.mendeley.com/documents/?uuid=8fb8e111-fac3-4345-a61c-814ad4d652b6"]}],"mendeley":{"formattedCitation":"(33)","plainTextFormattedCitation":"(33)","previouslyFormattedCitation":"(33)"},"properties":{"noteIndex":0},"schema":"https://github.com/citation-style-language/schema/raw/master/csl-citation.json"}</w:instrText>
      </w:r>
      <w:r w:rsidRPr="00F533B4">
        <w:rPr>
          <w:color w:val="000000" w:themeColor="text1"/>
        </w:rPr>
        <w:fldChar w:fldCharType="separate"/>
      </w:r>
      <w:r w:rsidR="005578B0" w:rsidRPr="005578B0">
        <w:rPr>
          <w:noProof/>
          <w:color w:val="000000" w:themeColor="text1"/>
        </w:rPr>
        <w:t>(33)</w:t>
      </w:r>
      <w:r w:rsidRPr="00F533B4">
        <w:rPr>
          <w:color w:val="000000" w:themeColor="text1"/>
        </w:rPr>
        <w:fldChar w:fldCharType="end"/>
      </w:r>
      <w:r w:rsidRPr="00F533B4">
        <w:rPr>
          <w:color w:val="000000" w:themeColor="text1"/>
        </w:rPr>
        <w:t xml:space="preserve">. </w:t>
      </w:r>
      <w:r w:rsidRPr="00F533B4">
        <w:rPr>
          <w:color w:val="000000" w:themeColor="text1"/>
        </w:rPr>
        <w:lastRenderedPageBreak/>
        <w:t xml:space="preserve">Briefly, each arm in the HFIM is set up as demonstrated in </w:t>
      </w:r>
      <w:r w:rsidR="009E311F">
        <w:rPr>
          <w:color w:val="000000" w:themeColor="text1"/>
        </w:rPr>
        <w:t>Fig.</w:t>
      </w:r>
      <w:r w:rsidR="00F0239B" w:rsidRPr="00F533B4">
        <w:rPr>
          <w:color w:val="000000" w:themeColor="text1"/>
        </w:rPr>
        <w:t xml:space="preserve"> </w:t>
      </w:r>
      <w:r w:rsidR="004C3EF5">
        <w:rPr>
          <w:color w:val="000000" w:themeColor="text1"/>
        </w:rPr>
        <w:t>S1</w:t>
      </w:r>
      <w:r w:rsidRPr="00F533B4">
        <w:rPr>
          <w:color w:val="000000" w:themeColor="text1"/>
        </w:rPr>
        <w:t>; monotherapy arms omit the supplementary compartments. MHB is pumped into the central compartment at a rate set to simulate a physiological clearance rate for the drug, with all media in the central compartment above 300</w:t>
      </w:r>
      <w:r w:rsidR="00F0239B">
        <w:rPr>
          <w:color w:val="000000" w:themeColor="text1"/>
        </w:rPr>
        <w:t xml:space="preserve"> </w:t>
      </w:r>
      <w:r w:rsidR="00F0239B" w:rsidRPr="00F533B4">
        <w:rPr>
          <w:color w:val="000000" w:themeColor="text1"/>
        </w:rPr>
        <w:t>m</w:t>
      </w:r>
      <w:r w:rsidR="00F0239B">
        <w:rPr>
          <w:color w:val="000000" w:themeColor="text1"/>
        </w:rPr>
        <w:t>L</w:t>
      </w:r>
      <w:r w:rsidR="00F0239B" w:rsidRPr="00F533B4">
        <w:rPr>
          <w:color w:val="000000" w:themeColor="text1"/>
        </w:rPr>
        <w:t xml:space="preserve"> </w:t>
      </w:r>
      <w:r w:rsidRPr="00F533B4">
        <w:rPr>
          <w:color w:val="000000" w:themeColor="text1"/>
        </w:rPr>
        <w:t xml:space="preserve">removed via an elimination pump. The target simulated half-lives for fosfomycin and amikacin were 5.1 and 7 hours respectively. The neonatal half-life of fosfomycin was determined from then unpublished data from the </w:t>
      </w:r>
      <w:proofErr w:type="spellStart"/>
      <w:r w:rsidRPr="00F533B4">
        <w:rPr>
          <w:color w:val="000000" w:themeColor="text1"/>
        </w:rPr>
        <w:t>NeoFosfo</w:t>
      </w:r>
      <w:proofErr w:type="spellEnd"/>
      <w:r w:rsidRPr="00F533B4">
        <w:rPr>
          <w:color w:val="000000" w:themeColor="text1"/>
        </w:rPr>
        <w:t xml:space="preserve"> trial </w:t>
      </w:r>
      <w:r w:rsidRPr="00F533B4">
        <w:rPr>
          <w:color w:val="000000" w:themeColor="text1"/>
        </w:rPr>
        <w:fldChar w:fldCharType="begin" w:fldLock="1"/>
      </w:r>
      <w:r w:rsidR="005578B0">
        <w:rPr>
          <w:color w:val="000000" w:themeColor="text1"/>
        </w:rPr>
        <w:instrText>ADDIN CSL_CITATION {"citationItems":[{"id":"ITEM-1","itemData":{"URL":"https://clinicaltrials.gov/ct2/show/NCT03453177","container-title":"Clinicaltrials.gov","id":"ITEM-1","issued":{"date-parts":[["2019"]]},"title":"Intravenous and Oral Fosfomycin in Hospitalised Neonates With Clinical Sepsis (NeoFosfo) - NCT03453177","type":"webpage"},"uris":["http://www.mendeley.com/documents/?uuid=35483161-7169-44ac-b3a2-c332e5f45336"]}],"mendeley":{"formattedCitation":"(23)","plainTextFormattedCitation":"(23)","previouslyFormattedCitation":"(23)"},"properties":{"noteIndex":0},"schema":"https://github.com/citation-style-language/schema/raw/master/csl-citation.json"}</w:instrText>
      </w:r>
      <w:r w:rsidRPr="00F533B4">
        <w:rPr>
          <w:color w:val="000000" w:themeColor="text1"/>
        </w:rPr>
        <w:fldChar w:fldCharType="separate"/>
      </w:r>
      <w:r w:rsidR="005578B0" w:rsidRPr="005578B0">
        <w:rPr>
          <w:noProof/>
          <w:color w:val="000000" w:themeColor="text1"/>
        </w:rPr>
        <w:t>(23)</w:t>
      </w:r>
      <w:r w:rsidRPr="00F533B4">
        <w:rPr>
          <w:color w:val="000000" w:themeColor="text1"/>
        </w:rPr>
        <w:fldChar w:fldCharType="end"/>
      </w:r>
      <w:r w:rsidRPr="00F533B4">
        <w:rPr>
          <w:color w:val="000000" w:themeColor="text1"/>
        </w:rPr>
        <w:t xml:space="preserve">. The neonatal half-life of amikacin was sourced from the SPC </w:t>
      </w:r>
      <w:r w:rsidRPr="00F533B4">
        <w:rPr>
          <w:color w:val="000000" w:themeColor="text1"/>
        </w:rPr>
        <w:fldChar w:fldCharType="begin" w:fldLock="1"/>
      </w:r>
      <w:r w:rsidR="005578B0">
        <w:rPr>
          <w:color w:val="000000" w:themeColor="text1"/>
        </w:rPr>
        <w:instrText>ADDIN CSL_CITATION {"citationItems":[{"id":"ITEM-1","itemData":{"URL":"https://www.medicines.org.uk/emc/product/3784","accessed":{"date-parts":[["2019","9","10"]]},"author":[{"dropping-particle":"","family":"Hospira","given":"","non-dropping-particle":"","parse-names":false,"suffix":""}],"container-title":"medicines.org.uk","id":"ITEM-1","issued":{"date-parts":[["2015"]]},"title":"Amikacin 250 mg/ml Injection SPC","type":"webpage"},"uris":["http://www.mendeley.com/documents/?uuid=816a66df-d036-482d-bb14-f44ef15b979e"]}],"mendeley":{"formattedCitation":"(47)","plainTextFormattedCitation":"(47)","previouslyFormattedCitation":"(47)"},"properties":{"noteIndex":0},"schema":"https://github.com/citation-style-language/schema/raw/master/csl-citation.json"}</w:instrText>
      </w:r>
      <w:r w:rsidRPr="00F533B4">
        <w:rPr>
          <w:color w:val="000000" w:themeColor="text1"/>
        </w:rPr>
        <w:fldChar w:fldCharType="separate"/>
      </w:r>
      <w:r w:rsidR="005578B0" w:rsidRPr="005578B0">
        <w:rPr>
          <w:noProof/>
          <w:color w:val="000000" w:themeColor="text1"/>
        </w:rPr>
        <w:t>(47)</w:t>
      </w:r>
      <w:r w:rsidRPr="00F533B4">
        <w:rPr>
          <w:color w:val="000000" w:themeColor="text1"/>
        </w:rPr>
        <w:fldChar w:fldCharType="end"/>
      </w:r>
      <w:r w:rsidRPr="00F533B4">
        <w:rPr>
          <w:color w:val="000000" w:themeColor="text1"/>
        </w:rPr>
        <w:t xml:space="preserve"> and confirmed with other published neonatal clinical PK data </w:t>
      </w:r>
      <w:r w:rsidRPr="00F533B4">
        <w:rPr>
          <w:color w:val="000000" w:themeColor="text1"/>
        </w:rPr>
        <w:fldChar w:fldCharType="begin" w:fldLock="1"/>
      </w:r>
      <w:r w:rsidR="005578B0">
        <w:rPr>
          <w:color w:val="000000" w:themeColor="text1"/>
        </w:rPr>
        <w:instrText>ADDIN CSL_CITATION {"citationItems":[{"id":"ITEM-1","itemData":{"DOI":"10.1111/j.1365-2710.2009.01152.x","ISBN":"1365-2710 (Electronic)\\r0269-4727 (Linking)","ISSN":"02694727","PMID":"21198719","abstract":"WHAT IS KNOWN AND OBJECTIVE: Neonatal sepsis is one of the most common reasons for admission to neonatal units in developing countries. Aminoglycosides widely used in its treatment are usually administered two or three times a day. Less frequent doing may be more convenient and as effective. We aim to compare the efficacy and safety (nephrotoxicity) of once daily vs. twice daily dosing of amikacin in neonates with suspected or proven sepsis and report on the drug's pharmacokinetics in these subjects. METHODS: Thirty neonates of gestational age ≥ 36 weeks and body weight ≥ 2500 g with suspected or proven sepsis were randomized to receive amikacin either at a dose of 15 mg/kg once per day; group I (n = 15), or a dose of 7.5 mg/kg twice per day, group II (n = 15). All neonates received classical treatment of sepsis including antibiotics, hemodynamic support, inotropic support based on blood pressure levels and size of the heart in chest X-ray, if needed. Amikacin was infused over 1 h. Peak and trough serum samples for amikacin were measured for all infants at steady state. Nephrotoxicity was assessed by serum creatinine and urinary N-acetyl β-D-glucosaminidase before and 7 days after therapy. Clinical efficacy was compared using both observation of clinical status and normalization of laboratory tests. RESULTS: All the patients in group I had achieved a trough level &lt; 10 μg/mL and two patients had trough concentration &gt; 10 μg/mL in group II. No significant difference between group I and group II in either baseline or day 7 serum creatinine was demonstrated (P &gt;0.05). No significant difference was found between the two groups in clinical efficacy or renal toxicity. The calculated pharmacokinetic parameters were in group I and II, respectively: clearance = 63.8 ± 15.9 mL/kg/h and 73.5 ± 18.1 mL/kg/h; volume of distribution = 0.54 ± 0.09 L/kg and 0.61 ± 0.13 L/kg, half-life =6.1 ± 1.0 h and 5.95 ± 1.1 h. WHAT IS NEW AND CONCLUSION: As expected, amikacin given once every 24 h to septic neonates of ≥ 36 weeks of gestation achieved higher peak levels and lower trough concentrations than the twice daily regimen. Treatment with once daily regimen did not lead to more nephrotoxicity than with a twice-daily regimen, and showed comparable efficacy.","author":[{"dropping-particle":"","family":"Abdel-Hady","given":"E.","non-dropping-particle":"","parse-names":false,"suffix":""},{"dropping-particle":"","family":"Hamamsy","given":"M.","non-dropping-particle":"El","parse-names":false,"suffix":""},{"dropping-particle":"","family":"Hedaya","given":"M.","non-dropping-particle":"","parse-names":false,"suffix":""},{"dropping-particle":"","family":"Awad","given":"H.","non-dropping-particle":"","parse-names":false,"suffix":""}],"container-title":"Journal of Clinical Pharmacy and Therapeutics","id":"ITEM-1","issue":"1","issued":{"date-parts":[["2011"]]},"page":"45-52","title":"The efficacy and toxicity of two dosing-regimens of amikacin in neonates with sepsis","type":"article-journal","volume":"36"},"uris":["http://www.mendeley.com/documents/?uuid=dfe62781-4d35-462d-b5e4-7e438f33b55e"]},{"id":"ITEM-2","itemData":{"DOI":"10.1111/j.1365-2125.2005.02530.x","ISBN":"0306-5251; 0306-5251","ISSN":"03065251","PMID":"16390350","abstract":"AIM: Identify and quantify factors describing variability of amikacin clearance in preterm neonates at birth. METHODS: Population pharmacokinetics of amikacin were estimated in a cohort of 205 extreme preterm neonates [post conception age (PCA) 27.8, SD 1.8, range 24-30 weeks; weight 1.07, SD 0.34, range 0.45-1.98 kg, postnatal age &lt; 72 h]. Covariate analysis included weight, PCA, Apgar score, prophylactic administration of a nonsteroidal anti-inflammatory drug (NSAID) to the neonate, maternal indomethacin and betamethasone administration, and chorioamnionitis. RESULTS: A one-compartment linear disposition model with zero order input (0.3 h i.v. infusion) and first-order elimination was used. The population parameter estimate for volume of distribution (V) was 40.2 l per 70 kg. Clearance (CL) increased from 0.486 l h(-1) per 70 kg at 24 weeks PCA to 0.940 l h(-1) per 70 kg by 30 weeks PCA. The population parameter variability (PPV) for CL and V was 0.336 and 0.451. The use of a NSAID (either aspirin or ibuprofen) in the first day of life reduced amikacin clearance by 22%. Overall 65% of the variability of CL was predictable. Weight explained 48%, PCA 15% and NSAIDs 2%. CONCLUSIONS: Size and post-conception age are the major contributors to clearance variability in extreme premature neonates (&lt;31 weeks PCA). The large (35% of total) unexplained variability in clearance reinforces the need for target concentration intervention to reduce variability in exposure to a safe and effective range.","author":[{"dropping-particle":"","family":"Allegaert","given":"Karel","non-dropping-particle":"","parse-names":false,"suffix":""},{"dropping-particle":"","family":"Anderson","given":"Brian J.","non-dropping-particle":"","parse-names":false,"suffix":""},{"dropping-particle":"","family":"Cossey","given":"Veerle","non-dropping-particle":"","parse-names":false,"suffix":""},{"dropping-particle":"","family":"Holford","given":"Nicholas H G","non-dropping-particle":"","parse-names":false,"suffix":""}],"container-title":"British Journal of Clinical Pharmacology","id":"ITEM-2","issue":"1","issued":{"date-parts":[["2006"]]},"page":"39-48","title":"Limited predictability of amikacin clearance in extreme premature neonates at birth","type":"article-journal","volume":"61"},"uris":["http://www.mendeley.com/documents/?uuid=353e8f2a-e919-47a9-ba85-f28c4ea592e7"]},{"id":"ITEM-3","itemData":{"DOI":"10.583/1551-6776-22.1.33","ISSN":"2331348X","abstract":"OBJECTIVES The primary aim was to compare attainment of goal serum amikacin concentrations using two dosage regimens in patients admitted to a neonatal intensive care unit. Secondary objectives included comparison of percentages of supratherapeutic trough concentrations, and subtherapeutic and supratherapeutic peak concentrations. METHODS This was an Institutional Review Board–approved, retrospective study of neonates receiving amikacin during January-December 2013 (group 1) and January-December 2014 (group 2). Group 1 received amikacin dosage consistent with published recommendations, whereas group 2 was dosed using a modified protocol that was based on postmenstrual and postnatal age. Goal serum amikacin peak concentration was defined as 20 to 35 mg/L; hence, subtherapeutic and supratherapeutic peak concentrations were defined as &lt;20 mg/L and &gt;35 mg/L, respectively. Supratherapeutic trough concentrations were &gt;8 mg/L. Between-group analysis was performed using Wilcoxon-Mann-Whitney test, Student t-test or χ 2 , or Fisher exact analysis as appropriate with a p value &lt;0.05. RESULTS A total of 278 neonates were included (group 1: n = 144; group 2: n = 134). Most patients were male (60%) and were admitted for prematurity or respiratory distress (77%). The median gestational age in group 1 was 34.4 weeks (range, 30.0-37.9 weeks) versus group 2 at 36.9 weeks (range, 31.4-38.9 weeks), whereas the postnatal age was similar between both groups at 4 days. There was a significant increase in attaining goal peak amikacin concentrations between groups 1 and 2, 34% versus 84%, p &lt; 0.001, and decrease in supratherapeutic peak concentrations, 65% versus 12%, p &lt; 0.001. There was no significant difference in subtherapeutic peak or supratherapeutic trough concentrations. CONCLUSIONS A modified neonatal amikacin dosage protocol resulted in increased peak amikacin serum concentration compared with published dosage recommendations. Future research should focus on determination of the optimal dosage regimen in neonates.","author":[{"dropping-particle":"","family":"Hughes","given":"K. M.","non-dropping-particle":"","parse-names":false,"suffix":""},{"dropping-particle":"","family":"Johnson","given":"P. N.","non-dropping-particle":"","parse-names":false,"suffix":""},{"dropping-particle":"","family":"Anderson","given":"M. P.","non-dropping-particle":"","parse-names":false,"suffix":""}],"container-title":"The Journal of Pediatric Pharmacology and Therapeutics","id":"ITEM-3","issue":"1","issued":{"date-parts":[["2017"]]},"page":"33-40","title":"Comparison of Amikacin Pharmacokinetics in Neonates Following Implementation of a New Dosage Protocol","type":"article-journal","volume":"22"},"uris":["http://www.mendeley.com/documents/?uuid=6524a260-893f-4bbc-b9f9-f035c148235f"]},{"id":"ITEM-4","itemData":{"DOI":"10.1128/AAC.10.2.205","ISSN":"00664804","PMID":"984762","abstract":"The pharmacokinetic properties of amikacin (BBK8) were similar to those of kanamycin in newborn infants. Peak serum concentrations of both drugs were in the range of 15 to 25 mug/ml with the exception of kanamycin in babies weighing greater than 2,000 g at birth where peak levels were 12.5 to 15 mug/ml. Volumes of distribution, plasma clearances, and serum half-life values were comparable for the two drugs. The clinical and bacteriological responses to amikacin therapy were assessed in 45 neonates with bacterial diseases. A case fatality rate of 26% was observed in infants with septicemia and/or meningitis, whereas no deaths occurred among 22 infants with urinary tract and mucocutaneous infections. Cultures from infected sites were sterile within 72 h of initiating amikacin therapy in 47% of the infants, continued positive for greater than 72 h in 31%, and were not reevaluated during therapy in 22%. The clinical response was judged to be satisfactory in 92% of the surviving infants. The efficacy of amikacin was comparable to that of kanamycin or gentamicin in neonatal bacterial diseases.","author":[{"dropping-particle":"","family":"Howard","given":"J. B.","non-dropping-particle":"","parse-names":false,"suffix":""},{"dropping-particle":"","family":"McCracken","given":"G. H.","non-dropping-particle":"","parse-names":false,"suffix":""},{"dropping-particle":"","family":"Trujillo","given":"H.","non-dropping-particle":"","parse-names":false,"suffix":""},{"dropping-particle":"","family":"Mohs","given":"H. E.","non-dropping-particle":"","parse-names":false,"suffix":""}],"container-title":"Antimicrobial Agents and Chemotherapy","id":"ITEM-4","issue":"2","issued":{"date-parts":[["1976"]]},"page":"205-210","title":"Amikacin in newborn infants: comparative pharmacology with kanamycin and clinical efficacy in 45 neonates with bacterial diseases","type":"article-journal","volume":"10"},"uris":["http://www.mendeley.com/documents/?uuid=ea96af44-101a-4c6f-9771-d9027d5f4bf0"]},{"id":"ITEM-5","itemData":{"DOI":"10.1128/AAC.34.2.265","ISSN":"00664804","PMID":"2327775","abstract":"The pharmacokinetics of amikacin administered intravenously at currently recommended doses (7.5 mg/kg every 12 h for infants with less than 7 days of life; 7.5 mg/kg every 8 h for infants with greater than 7 days of life) were studied in 28 preterm infants weighing less than 2,500 g (mean +/- standard deviation, 1.38 +/- 0.47 kg; postconceptional age, 30.50 +/- 2.86 weeks). The medication was infused over 45 min. Trough and peak serum samples as well as two additional samples were taken at steady state. The results showed a statistically significant inverse relationship between half-life (8.42 +/- 2.55 h) and postconceptional age (P = 0.002) and a direct correlation between total body clearance (0.84 +/- 0.28 ml/min per kg) and postconceptional age (P = 0.02). These pharmacokinetic data were used to calculate a new dosage schedule for preterm infants. The derived intravenous dosage of amikacin for infants of less than 30 weeks of postconceptional age was 9 mg/kg every 18 h. For infants of greater than 30 weeks of postconceptional age, the dosage was 9 mg/kg every 12 h. Peak and trough levels of amikacin in serum that fell within the therapeutic range were compared by using the currently recommended dosage schedule and the dosage schedule derived from our pharmacokinetic data. There was a reduction in the number of peak and trough levels that fell outside the accepted therapeutic range which was not statistically significant. Extension of the dosing interval and a further increase in the dosage may result in further improvement. Based on these data, the current recommendations are inadequate for the preterm infant. Our derived dosage schedule improved but did not eliminate high trough and low peak levels of amikacin in all infants. The current recommendations should be adjusted for the preterm infant. Ongoing therapeutic drug monitoring is essential to tailor the amikacin dosage to the individual patient.","author":[{"dropping-particle":"","family":"Kenyon","given":"C. F.","non-dropping-particle":"","parse-names":false,"suffix":""},{"dropping-particle":"","family":"Knoppert","given":"D. C.","non-dropping-particle":"","parse-names":false,"suffix":""},{"dropping-particle":"","family":"Lee","given":"S. K.","non-dropping-particle":"","parse-names":false,"suffix":""},{"dropping-particle":"","family":"Vandenberghe","given":"H. M.","non-dropping-particle":"","parse-names":false,"suffix":""},{"dropping-particle":"","family":"Chance","given":"G. W.","non-dropping-particle":"","parse-names":false,"suffix":""}],"container-title":"Antimicrobial Agents and Chemotherapy","id":"ITEM-5","issue":"2","issued":{"date-parts":[["1990"]]},"page":"265-268","title":"Amikacin pharmacokinetics and suggested dosage modifications for the preterm infant","type":"article-journal","volume":"34"},"uris":["http://www.mendeley.com/documents/?uuid=9c337300-4889-46bc-906e-5e853700b5e4"]}],"mendeley":{"formattedCitation":"(48–52)","plainTextFormattedCitation":"(48–52)","previouslyFormattedCitation":"(48–52)"},"properties":{"noteIndex":0},"schema":"https://github.com/citation-style-language/schema/raw/master/csl-citation.json"}</w:instrText>
      </w:r>
      <w:r w:rsidRPr="00F533B4">
        <w:rPr>
          <w:color w:val="000000" w:themeColor="text1"/>
        </w:rPr>
        <w:fldChar w:fldCharType="separate"/>
      </w:r>
      <w:r w:rsidR="005578B0" w:rsidRPr="005578B0">
        <w:rPr>
          <w:noProof/>
          <w:color w:val="000000" w:themeColor="text1"/>
        </w:rPr>
        <w:t>(48–52)</w:t>
      </w:r>
      <w:r w:rsidRPr="00F533B4">
        <w:rPr>
          <w:color w:val="000000" w:themeColor="text1"/>
        </w:rPr>
        <w:fldChar w:fldCharType="end"/>
      </w:r>
      <w:r w:rsidRPr="00F533B4">
        <w:rPr>
          <w:color w:val="000000" w:themeColor="text1"/>
        </w:rPr>
        <w:t xml:space="preserve">  To account for the difference in clearance between fosfomycin and amikacin, supplementary compartments were set up according the principles laid out by Blaser </w:t>
      </w:r>
      <w:r w:rsidRPr="00F533B4">
        <w:rPr>
          <w:color w:val="000000" w:themeColor="text1"/>
        </w:rPr>
        <w:fldChar w:fldCharType="begin" w:fldLock="1"/>
      </w:r>
      <w:r w:rsidR="005578B0">
        <w:rPr>
          <w:color w:val="000000" w:themeColor="text1"/>
        </w:rPr>
        <w:instrText>ADDIN CSL_CITATION {"citationItems":[{"id":"ITEM-1","itemData":{"DOI":"10.1093/jac/15.suppl_a.125","ISSN":"0305-7453","abstract":"Simultaneous administration of two drugs is frequently practised in clinical chemotherapy because of the synergistic potential of drug combinations. During in-vitro testing of the effect of such drug combinations, differences in the pharmacokinetic properties of the two drugs should be considered. This paper presents the mathematical background and the technical components of an in-vitro model that allows the simultaneous simulation of first order elimination kinetics of two drugs with different half-lives. The model allows simulations of multiple dose regimens of either bolus injections or continuous infusions of each drug.","author":[{"dropping-particle":"","family":"Blaser","given":"J.","non-dropping-particle":"","parse-names":false,"suffix":""}],"container-title":"Journal of Antimicrobial Chemotherapy","id":"ITEM-1","issue":"suppl A","issued":{"date-parts":[["1985"]]},"page":"125-130","title":"In-vitro model for simultaneous simulation of the serum kinetics of two drugs with different half-lives","type":"article-journal","volume":"15"},"uris":["http://www.mendeley.com/documents/?uuid=f97fe14f-1a80-41b5-a010-d7222ca8ce30"]}],"mendeley":{"formattedCitation":"(53)","plainTextFormattedCitation":"(53)","previouslyFormattedCitation":"(53)"},"properties":{"noteIndex":0},"schema":"https://github.com/citation-style-language/schema/raw/master/csl-citation.json"}</w:instrText>
      </w:r>
      <w:r w:rsidRPr="00F533B4">
        <w:rPr>
          <w:color w:val="000000" w:themeColor="text1"/>
        </w:rPr>
        <w:fldChar w:fldCharType="separate"/>
      </w:r>
      <w:r w:rsidR="005578B0" w:rsidRPr="005578B0">
        <w:rPr>
          <w:noProof/>
          <w:color w:val="000000" w:themeColor="text1"/>
        </w:rPr>
        <w:t>(53)</w:t>
      </w:r>
      <w:r w:rsidRPr="00F533B4">
        <w:rPr>
          <w:color w:val="000000" w:themeColor="text1"/>
        </w:rPr>
        <w:fldChar w:fldCharType="end"/>
      </w:r>
      <w:r w:rsidRPr="00F533B4">
        <w:rPr>
          <w:color w:val="000000" w:themeColor="text1"/>
        </w:rPr>
        <w:t>.</w:t>
      </w:r>
    </w:p>
    <w:p w14:paraId="350D97B7" w14:textId="79C7C01B" w:rsidR="002802CD" w:rsidRPr="00F533B4" w:rsidRDefault="002802CD" w:rsidP="00E72EBF">
      <w:pPr>
        <w:spacing w:before="120" w:line="480" w:lineRule="auto"/>
        <w:rPr>
          <w:color w:val="000000" w:themeColor="text1"/>
        </w:rPr>
      </w:pPr>
      <w:r w:rsidRPr="00F533B4">
        <w:rPr>
          <w:color w:val="000000" w:themeColor="text1"/>
        </w:rPr>
        <w:t>Throughout the HFIM experiments, inoculum concentrations w</w:t>
      </w:r>
      <w:r w:rsidR="00654EFC" w:rsidRPr="00F533B4">
        <w:rPr>
          <w:color w:val="000000" w:themeColor="text1"/>
        </w:rPr>
        <w:t>ere</w:t>
      </w:r>
      <w:r w:rsidRPr="00F533B4">
        <w:rPr>
          <w:color w:val="000000" w:themeColor="text1"/>
        </w:rPr>
        <w:t xml:space="preserve"> determined by serial dilution 1:10. </w:t>
      </w:r>
      <w:r w:rsidR="00F0239B">
        <w:rPr>
          <w:color w:val="000000" w:themeColor="text1"/>
        </w:rPr>
        <w:t xml:space="preserve">A total of </w:t>
      </w:r>
      <w:r w:rsidRPr="00F533B4">
        <w:rPr>
          <w:color w:val="000000" w:themeColor="text1"/>
        </w:rPr>
        <w:t>10</w:t>
      </w:r>
      <w:r w:rsidRPr="00F533B4">
        <w:rPr>
          <w:color w:val="000000" w:themeColor="text1"/>
        </w:rPr>
        <w:sym w:font="Symbol" w:char="F06D"/>
      </w:r>
      <w:r w:rsidR="00F0239B">
        <w:rPr>
          <w:color w:val="000000" w:themeColor="text1"/>
        </w:rPr>
        <w:t>L</w:t>
      </w:r>
      <w:r w:rsidRPr="00F533B4">
        <w:rPr>
          <w:color w:val="000000" w:themeColor="text1"/>
        </w:rPr>
        <w:t xml:space="preserve"> of each dilution was pipetted onto </w:t>
      </w:r>
      <w:r w:rsidR="00C52B76">
        <w:rPr>
          <w:color w:val="000000" w:themeColor="text1"/>
        </w:rPr>
        <w:t>MHA</w:t>
      </w:r>
      <w:r w:rsidRPr="00F533B4">
        <w:rPr>
          <w:color w:val="000000" w:themeColor="text1"/>
        </w:rPr>
        <w:t xml:space="preserve"> plates; one drug</w:t>
      </w:r>
      <w:r w:rsidR="002D15D8">
        <w:rPr>
          <w:color w:val="000000" w:themeColor="text1"/>
        </w:rPr>
        <w:t>-</w:t>
      </w:r>
      <w:r w:rsidRPr="00F533B4">
        <w:rPr>
          <w:color w:val="000000" w:themeColor="text1"/>
        </w:rPr>
        <w:t>free and two containing</w:t>
      </w:r>
      <w:r w:rsidR="002D15D8">
        <w:rPr>
          <w:color w:val="000000" w:themeColor="text1"/>
        </w:rPr>
        <w:t xml:space="preserve"> either</w:t>
      </w:r>
      <w:r w:rsidRPr="00F533B4">
        <w:rPr>
          <w:color w:val="000000" w:themeColor="text1"/>
        </w:rPr>
        <w:t xml:space="preserve"> fosfomycin </w:t>
      </w:r>
      <w:r w:rsidR="002D15D8">
        <w:rPr>
          <w:color w:val="000000" w:themeColor="text1"/>
        </w:rPr>
        <w:t xml:space="preserve">or </w:t>
      </w:r>
      <w:r w:rsidRPr="00F533B4">
        <w:rPr>
          <w:color w:val="000000" w:themeColor="text1"/>
        </w:rPr>
        <w:t>amikacin. An additional 100</w:t>
      </w:r>
      <w:r w:rsidRPr="00F533B4">
        <w:rPr>
          <w:color w:val="000000" w:themeColor="text1"/>
        </w:rPr>
        <w:sym w:font="Symbol" w:char="F06D"/>
      </w:r>
      <w:r w:rsidR="00F0239B">
        <w:rPr>
          <w:color w:val="000000" w:themeColor="text1"/>
        </w:rPr>
        <w:t>L</w:t>
      </w:r>
      <w:r w:rsidR="00F0239B" w:rsidRPr="00F533B4">
        <w:rPr>
          <w:color w:val="000000" w:themeColor="text1"/>
        </w:rPr>
        <w:t xml:space="preserve"> </w:t>
      </w:r>
      <w:r w:rsidRPr="00F533B4">
        <w:rPr>
          <w:color w:val="000000" w:themeColor="text1"/>
        </w:rPr>
        <w:t xml:space="preserve">of the original inoculum was plated onto a </w:t>
      </w:r>
      <w:r w:rsidR="00CC2359">
        <w:rPr>
          <w:color w:val="000000" w:themeColor="text1"/>
        </w:rPr>
        <w:t>drug-free MHA plate</w:t>
      </w:r>
      <w:r w:rsidRPr="00F533B4">
        <w:rPr>
          <w:color w:val="000000" w:themeColor="text1"/>
        </w:rPr>
        <w:t xml:space="preserve"> to lower the limit of detection for</w:t>
      </w:r>
      <w:r w:rsidR="00CC2359">
        <w:rPr>
          <w:color w:val="000000" w:themeColor="text1"/>
        </w:rPr>
        <w:t xml:space="preserve"> total bacterial quantification (</w:t>
      </w:r>
      <w:proofErr w:type="gramStart"/>
      <w:r w:rsidR="00CC2359">
        <w:rPr>
          <w:color w:val="000000" w:themeColor="text1"/>
        </w:rPr>
        <w:t>i.e.</w:t>
      </w:r>
      <w:proofErr w:type="gramEnd"/>
      <w:r w:rsidR="00CC2359">
        <w:rPr>
          <w:color w:val="000000" w:themeColor="text1"/>
        </w:rPr>
        <w:t xml:space="preserve"> to 10 CFU/mL)</w:t>
      </w:r>
      <w:r w:rsidRPr="00F533B4">
        <w:rPr>
          <w:color w:val="000000" w:themeColor="text1"/>
        </w:rPr>
        <w:t>. Plates were then incubated at 37</w:t>
      </w:r>
      <w:r w:rsidRPr="00F533B4">
        <w:rPr>
          <w:color w:val="000000" w:themeColor="text1"/>
          <w:vertAlign w:val="superscript"/>
        </w:rPr>
        <w:t>o</w:t>
      </w:r>
      <w:r w:rsidRPr="00F533B4">
        <w:rPr>
          <w:color w:val="000000" w:themeColor="text1"/>
        </w:rPr>
        <w:t>C for 18-24</w:t>
      </w:r>
      <w:r w:rsidR="00F0239B">
        <w:rPr>
          <w:color w:val="000000" w:themeColor="text1"/>
        </w:rPr>
        <w:t xml:space="preserve"> </w:t>
      </w:r>
      <w:r w:rsidRPr="00F533B4">
        <w:rPr>
          <w:color w:val="000000" w:themeColor="text1"/>
        </w:rPr>
        <w:t>h</w:t>
      </w:r>
      <w:r w:rsidR="003B1B17">
        <w:rPr>
          <w:color w:val="000000" w:themeColor="text1"/>
        </w:rPr>
        <w:t>r</w:t>
      </w:r>
      <w:r w:rsidRPr="00F533B4">
        <w:rPr>
          <w:color w:val="000000" w:themeColor="text1"/>
        </w:rPr>
        <w:t xml:space="preserve"> for drug free plates, and 42-</w:t>
      </w:r>
      <w:r w:rsidR="00BB4220" w:rsidRPr="00F533B4">
        <w:rPr>
          <w:color w:val="000000" w:themeColor="text1"/>
        </w:rPr>
        <w:t>48</w:t>
      </w:r>
      <w:r w:rsidR="00BB4220">
        <w:rPr>
          <w:color w:val="000000" w:themeColor="text1"/>
        </w:rPr>
        <w:t xml:space="preserve"> h</w:t>
      </w:r>
      <w:r w:rsidR="003B1B17">
        <w:rPr>
          <w:color w:val="000000" w:themeColor="text1"/>
        </w:rPr>
        <w:t>r</w:t>
      </w:r>
      <w:r w:rsidRPr="00F533B4">
        <w:rPr>
          <w:color w:val="000000" w:themeColor="text1"/>
        </w:rPr>
        <w:t xml:space="preserve"> for drug-containing plates. After incubation, colonies were counted for at least two dilutions and the CFU/</w:t>
      </w:r>
      <w:r w:rsidR="00F0239B" w:rsidRPr="00F533B4">
        <w:rPr>
          <w:color w:val="000000" w:themeColor="text1"/>
        </w:rPr>
        <w:t>m</w:t>
      </w:r>
      <w:r w:rsidR="00F0239B">
        <w:rPr>
          <w:color w:val="000000" w:themeColor="text1"/>
        </w:rPr>
        <w:t>L</w:t>
      </w:r>
      <w:r w:rsidR="00F0239B" w:rsidRPr="00F533B4">
        <w:rPr>
          <w:color w:val="000000" w:themeColor="text1"/>
        </w:rPr>
        <w:t xml:space="preserve"> </w:t>
      </w:r>
      <w:r w:rsidRPr="00F533B4">
        <w:rPr>
          <w:color w:val="000000" w:themeColor="text1"/>
        </w:rPr>
        <w:t xml:space="preserve">of the original inoculum </w:t>
      </w:r>
      <w:r w:rsidR="00F0239B">
        <w:rPr>
          <w:color w:val="000000" w:themeColor="text1"/>
        </w:rPr>
        <w:t xml:space="preserve">was </w:t>
      </w:r>
      <w:r w:rsidRPr="00F533B4">
        <w:rPr>
          <w:color w:val="000000" w:themeColor="text1"/>
        </w:rPr>
        <w:t>calculated.</w:t>
      </w:r>
    </w:p>
    <w:p w14:paraId="08369C7E" w14:textId="4DC9A37C" w:rsidR="002802CD" w:rsidRPr="00F533B4" w:rsidRDefault="002802CD" w:rsidP="00E72EBF">
      <w:pPr>
        <w:spacing w:before="120" w:line="480" w:lineRule="auto"/>
        <w:rPr>
          <w:color w:val="000000" w:themeColor="text1"/>
        </w:rPr>
      </w:pPr>
      <w:r w:rsidRPr="00F533B4">
        <w:rPr>
          <w:color w:val="000000" w:themeColor="text1"/>
        </w:rPr>
        <w:t>Preliminary monotherapy experiments were performed with the ESBL</w:t>
      </w:r>
      <w:r w:rsidR="00F0239B">
        <w:rPr>
          <w:color w:val="000000" w:themeColor="text1"/>
        </w:rPr>
        <w:t>-</w:t>
      </w:r>
      <w:r w:rsidRPr="00F533B4">
        <w:rPr>
          <w:color w:val="000000" w:themeColor="text1"/>
        </w:rPr>
        <w:t xml:space="preserve">producing ST195 </w:t>
      </w:r>
      <w:r w:rsidR="007A2C79" w:rsidRPr="00F533B4">
        <w:rPr>
          <w:i/>
          <w:color w:val="000000" w:themeColor="text1"/>
        </w:rPr>
        <w:t>E</w:t>
      </w:r>
      <w:r w:rsidR="007A2C79">
        <w:rPr>
          <w:i/>
          <w:color w:val="000000" w:themeColor="text1"/>
        </w:rPr>
        <w:t>.</w:t>
      </w:r>
      <w:r w:rsidR="007A2C79" w:rsidRPr="00F533B4">
        <w:rPr>
          <w:i/>
          <w:color w:val="000000" w:themeColor="text1"/>
        </w:rPr>
        <w:t xml:space="preserve"> coli</w:t>
      </w:r>
      <w:r w:rsidR="007A2C79" w:rsidRPr="00F533B4">
        <w:rPr>
          <w:color w:val="000000" w:themeColor="text1"/>
        </w:rPr>
        <w:t xml:space="preserve"> </w:t>
      </w:r>
      <w:r w:rsidR="007A2C79">
        <w:rPr>
          <w:color w:val="000000" w:themeColor="text1"/>
        </w:rPr>
        <w:t xml:space="preserve">strain </w:t>
      </w:r>
      <w:r w:rsidRPr="00F533B4">
        <w:rPr>
          <w:color w:val="000000" w:themeColor="text1"/>
        </w:rPr>
        <w:t>(</w:t>
      </w:r>
      <w:r w:rsidR="00F0239B">
        <w:rPr>
          <w:color w:val="000000" w:themeColor="text1"/>
        </w:rPr>
        <w:t>f</w:t>
      </w:r>
      <w:r w:rsidR="00F0239B" w:rsidRPr="00F533B4">
        <w:rPr>
          <w:color w:val="000000" w:themeColor="text1"/>
        </w:rPr>
        <w:t xml:space="preserve">osfomycin </w:t>
      </w:r>
      <w:r w:rsidRPr="00F533B4">
        <w:rPr>
          <w:color w:val="000000" w:themeColor="text1"/>
        </w:rPr>
        <w:t>MIC 1mg/</w:t>
      </w:r>
      <w:r w:rsidR="00F0239B">
        <w:rPr>
          <w:color w:val="000000" w:themeColor="text1"/>
        </w:rPr>
        <w:t>L</w:t>
      </w:r>
      <w:r w:rsidRPr="00F533B4">
        <w:rPr>
          <w:color w:val="000000" w:themeColor="text1"/>
        </w:rPr>
        <w:t xml:space="preserve">, </w:t>
      </w:r>
      <w:r w:rsidR="00F0239B">
        <w:rPr>
          <w:color w:val="000000" w:themeColor="text1"/>
        </w:rPr>
        <w:t>a</w:t>
      </w:r>
      <w:r w:rsidR="00F0239B" w:rsidRPr="00F533B4">
        <w:rPr>
          <w:color w:val="000000" w:themeColor="text1"/>
        </w:rPr>
        <w:t xml:space="preserve">mikacin </w:t>
      </w:r>
      <w:r w:rsidRPr="00F533B4">
        <w:rPr>
          <w:color w:val="000000" w:themeColor="text1"/>
        </w:rPr>
        <w:t>MIC 4 mg/</w:t>
      </w:r>
      <w:r w:rsidR="00F0239B">
        <w:rPr>
          <w:color w:val="000000" w:themeColor="text1"/>
        </w:rPr>
        <w:t>L;</w:t>
      </w:r>
      <w:r w:rsidRPr="00F533B4">
        <w:rPr>
          <w:color w:val="000000" w:themeColor="text1"/>
        </w:rPr>
        <w:t xml:space="preserve"> </w:t>
      </w:r>
      <w:r w:rsidR="007A2C79">
        <w:rPr>
          <w:color w:val="000000" w:themeColor="text1"/>
        </w:rPr>
        <w:t xml:space="preserve">supplied by the </w:t>
      </w:r>
      <w:r w:rsidRPr="00F533B4">
        <w:rPr>
          <w:color w:val="000000" w:themeColor="text1"/>
        </w:rPr>
        <w:t>University of Birmingham)</w:t>
      </w:r>
      <w:r w:rsidR="00A152FD">
        <w:rPr>
          <w:color w:val="000000" w:themeColor="text1"/>
        </w:rPr>
        <w:t xml:space="preserve"> </w:t>
      </w:r>
      <w:r w:rsidR="00A152FD">
        <w:rPr>
          <w:color w:val="000000" w:themeColor="text1"/>
        </w:rPr>
        <w:fldChar w:fldCharType="begin" w:fldLock="1"/>
      </w:r>
      <w:r w:rsidR="005578B0">
        <w:rPr>
          <w:color w:val="000000" w:themeColor="text1"/>
        </w:rPr>
        <w:instrText>ADDIN CSL_CITATION {"citationItems":[{"id":"ITEM-1","itemData":{"DOI":"10.1101/827915","abstract":"Background Antimicrobial resistance (AMR) is highly prevalent in low- and middle-income countries (LMIC). International travel contributes substantially to the global spread of intestinal multidrug-resistant gram-negative (MDR-GN) bacteria. Of the 100 million annual visitors to LMIC, 30-70% become colonized by MDR-GN bacteria. The phenomenon has been well documented, but since sampling has only been conducted after travelers' return home, data on the actual colonization process are scarce. We aimed to characterize colonization dynamics by exploring stool samples abroad on a daily basis while visiting LMIC. Methods A group of 20 European volunteers visiting Lao People's Democratic Republic for three weeks provided daily stool samples and filled in daily questionnaires. Acquisition of extended-spectrum beta-lactamase-producing gram-negative bacteria (ESBL-GN) was examined by selective stool cultures followed by whole-genome sequencing (WGS) of isolates. Results While colonization rates were 70% at the end of the study, daily sampling revealed that all participants had acquired ESBL-GN at some time point during their overseas stay, the colonization status varying day by day. WGS analysis ascribed the transient pattern of colonization to sequential acquisition of new strains, resulting in a loss of detectable colonization by the initial MDR-GN strains. All but one participant acquired multiple strains (n=2-7). Of the total of 83 unique strains identified (53 E. coli, 10 Klebsiella, 20 other ESBL-GN species), some were shared by as many as four subjects. Conclusions This is the first study to characterize in real time the dynamics of acquiring MDR-GN during travel. Our data show multiple transient colonization events indicative of constant microbial competition.","author":[{"dropping-particle":"","family":"Anu","given":"Kantele","non-dropping-particle":"","parse-names":false,"suffix":""},{"dropping-particle":"","family":"Esther","given":"Kuenzli","non-dropping-particle":"","parse-names":false,"suffix":""},{"dropping-particle":"","family":"Dunn Steven","given":"J.","non-dropping-particle":"","parse-names":false,"suffix":""},{"dropping-particle":"","family":"Dance David","given":"A. B.","non-dropping-particle":"","parse-names":false,"suffix":""},{"dropping-particle":"","family":"Newton Paul","given":"N.","non-dropping-particle":"","parse-names":false,"suffix":""},{"dropping-particle":"","family":"Davong","given":"V.","non-dropping-particle":"","parse-names":false,"suffix":""},{"dropping-particle":"","family":"Sointu","given":"Mero","non-dropping-particle":"","parse-names":false,"suffix":""},{"dropping-particle":"","family":"Pakkanen Sari","given":"H.","non-dropping-particle":"","parse-names":false,"suffix":""},{"dropping-particle":"","family":"Andreas","given":"Neumayr","non-dropping-particle":"","parse-names":false,"suffix":""},{"dropping-particle":"","family":"Cristoph","given":"Hatz","non-dropping-particle":"","parse-names":false,"suffix":""},{"dropping-particle":"","family":"Ann","given":"Snaith","non-dropping-particle":"","parse-names":false,"suffix":""},{"dropping-particle":"","family":"Teemu","given":"Kallonen","non-dropping-particle":"","parse-names":false,"suffix":""},{"dropping-particle":"","family":"Jukka","given":"Corander","non-dropping-particle":"","parse-names":false,"suffix":""},{"dropping-particle":"","family":"Alan","given":"McNally","non-dropping-particle":"","parse-names":false,"suffix":""}],"container-title":"bioRxiv","id":"ITEM-1","issued":{"date-parts":[["2019","11","7"]]},"page":"827915","publisher":"bioRxiv","title":"Real-time sampling of travelers shows intestinal colonization by multidrug-resistant bacteria to be a dynamic process with multiple transient acquisitions","type":"article"},"uris":["http://www.mendeley.com/documents/?uuid=f0d28faf-e5db-3cfe-8f83-0372b555ed92"]}],"mendeley":{"formattedCitation":"(19)","plainTextFormattedCitation":"(19)","previouslyFormattedCitation":"(19)"},"properties":{"noteIndex":0},"schema":"https://github.com/citation-style-language/schema/raw/master/csl-citation.json"}</w:instrText>
      </w:r>
      <w:r w:rsidR="00A152FD">
        <w:rPr>
          <w:color w:val="000000" w:themeColor="text1"/>
        </w:rPr>
        <w:fldChar w:fldCharType="separate"/>
      </w:r>
      <w:r w:rsidR="005578B0" w:rsidRPr="005578B0">
        <w:rPr>
          <w:noProof/>
          <w:color w:val="000000" w:themeColor="text1"/>
        </w:rPr>
        <w:t>(19)</w:t>
      </w:r>
      <w:r w:rsidR="00A152FD">
        <w:rPr>
          <w:color w:val="000000" w:themeColor="text1"/>
        </w:rPr>
        <w:fldChar w:fldCharType="end"/>
      </w:r>
      <w:r w:rsidR="000E486C">
        <w:rPr>
          <w:color w:val="000000" w:themeColor="text1"/>
        </w:rPr>
        <w:t xml:space="preserve">. PK and PD outputs of these experiments were modelled using Pmetrics </w:t>
      </w:r>
      <w:r w:rsidR="000E486C">
        <w:rPr>
          <w:color w:val="000000" w:themeColor="text1"/>
        </w:rPr>
        <w:fldChar w:fldCharType="begin" w:fldLock="1"/>
      </w:r>
      <w:r w:rsidR="005578B0">
        <w:rPr>
          <w:color w:val="000000" w:themeColor="text1"/>
        </w:rPr>
        <w:instrText>ADDIN CSL_CITATION {"citationItems":[{"id":"ITEM-1","itemData":{"DOI":"10.1097/FTD.0b013e31825c4ba6","ISSN":"01634356","abstract":"INTRODUCTION: Nonparametric population modeling algorithms have a theoretical superiority over parametric methods to detect pharmacokinetic and pharmacodynamic subgroups and outliers within a study population. METHODS: The authors created \"Pmetrics,\" a new Windows and Unix R software package that updates the older MM-USCPACK software for nonparametric and parametric population modeling and simulation of pharmacokinetic and pharmacodynamic systems. The parametric iterative 2-stage Bayesian and the nonparametric adaptive grid (NPAG) approaches in Pmetrics were used to fit a simulated population with bimodal elimination (Kel) and unimodal volume of distribution (Vd), plus an extreme outlier, for a 1-compartment model of an intravenous drug. RESULTS: The true means (SD) for Kel and Vd in the population sample were 0.19 (0.17) and 102 (22.3), respectively. Those found by NPAG were 0.19 (0.16) and 104 (22.6). The iterative 2-stage Bayesian estimated them to be 0.18 (0.16) and 104 (24.4). However, given the bimodality of Kel, no subject had a value near the mean for the population. Only NPAG was able to accurately detect the bimodal distribution for Kel and to find the outlier in both the population model and in the Bayesian posterior parameter estimates. CONCLUSIONS: Built on over 3 decades of work, Pmetrics adopts a robust, reliable, and mature nonparametric approach to population modeling, which was better than the parametric method at discovering true pharmacokinetic subgroups and an outlier. Copyright © 2012 by Lippincott Williams &amp; Wilkins.","author":[{"dropping-particle":"","family":"Neely","given":"Michael N.","non-dropping-particle":"","parse-names":false,"suffix":""},{"dropping-particle":"","family":"Guilder","given":"Michael G.","non-dropping-particle":"Van","parse-names":false,"suffix":""},{"dropping-particle":"","family":"Yamada","given":"Walter M.","non-dropping-particle":"","parse-names":false,"suffix":""},{"dropping-particle":"","family":"Schumitzky","given":"Alan","non-dropping-particle":"","parse-names":false,"suffix":""},{"dropping-particle":"","family":"Jelliffe","given":"Roger W.","non-dropping-particle":"","parse-names":false,"suffix":""}],"container-title":"Therapeutic Drug Monitoring","id":"ITEM-1","issue":"4","issued":{"date-parts":[["2012"]]},"page":"467-76","title":"Accurate detection of outliers and subpopulations with pmetrics, a nonparametric and parametric pharmacometric modeling and simulation package for R","type":"article-journal","volume":"34"},"uris":["http://www.mendeley.com/documents/?uuid=1c16a258-8ba6-3e68-935a-1b31e1ad4b93"]}],"mendeley":{"formattedCitation":"(54)","plainTextFormattedCitation":"(54)","previouslyFormattedCitation":"(54)"},"properties":{"noteIndex":0},"schema":"https://github.com/citation-style-language/schema/raw/master/csl-citation.json"}</w:instrText>
      </w:r>
      <w:r w:rsidR="000E486C">
        <w:rPr>
          <w:color w:val="000000" w:themeColor="text1"/>
        </w:rPr>
        <w:fldChar w:fldCharType="separate"/>
      </w:r>
      <w:r w:rsidR="005578B0" w:rsidRPr="005578B0">
        <w:rPr>
          <w:noProof/>
          <w:color w:val="000000" w:themeColor="text1"/>
        </w:rPr>
        <w:t>(54)</w:t>
      </w:r>
      <w:r w:rsidR="000E486C">
        <w:rPr>
          <w:color w:val="000000" w:themeColor="text1"/>
        </w:rPr>
        <w:fldChar w:fldCharType="end"/>
      </w:r>
      <w:r w:rsidR="000E486C">
        <w:rPr>
          <w:color w:val="000000" w:themeColor="text1"/>
        </w:rPr>
        <w:t xml:space="preserve"> and parameters simulated using ADAPT </w:t>
      </w:r>
      <w:r w:rsidR="000E486C">
        <w:rPr>
          <w:color w:val="000000" w:themeColor="text1"/>
        </w:rPr>
        <w:fldChar w:fldCharType="begin" w:fldLock="1"/>
      </w:r>
      <w:r w:rsidR="005578B0">
        <w:rPr>
          <w:color w:val="000000" w:themeColor="text1"/>
        </w:rPr>
        <w:instrText>ADDIN CSL_CITATION {"citationItems":[{"id":"ITEM-1","itemData":{"author":[{"dropping-particle":"","family":"D’Argenio","given":"D.Z.","non-dropping-particle":"","parse-names":false,"suffix":""},{"dropping-particle":"","family":"Schumitzky","given":"A.","non-dropping-particle":"","parse-names":false,"suffix":""},{"dropping-particle":"","family":"Wang","given":"X","non-dropping-particle":"","parse-names":false,"suffix":""}],"container-title":"Biomedical Simulations Resource","id":"ITEM-1","issued":{"date-parts":[["2009"]]},"title":"ADAPT 5 User’s Guide: Pharmacokinetic/Pharmacodynamic Systems Analysis Software","type":"article-journal"},"uris":["http://www.mendeley.com/documents/?uuid=564b3479-748b-4ffe-af7d-224a63fcbee6"]}],"mendeley":{"formattedCitation":"(44)","plainTextFormattedCitation":"(44)","previouslyFormattedCitation":"(44)"},"properties":{"noteIndex":0},"schema":"https://github.com/citation-style-language/schema/raw/master/csl-citation.json"}</w:instrText>
      </w:r>
      <w:r w:rsidR="000E486C">
        <w:rPr>
          <w:color w:val="000000" w:themeColor="text1"/>
        </w:rPr>
        <w:fldChar w:fldCharType="separate"/>
      </w:r>
      <w:r w:rsidR="005578B0" w:rsidRPr="005578B0">
        <w:rPr>
          <w:noProof/>
          <w:color w:val="000000" w:themeColor="text1"/>
        </w:rPr>
        <w:t>(44)</w:t>
      </w:r>
      <w:r w:rsidR="000E486C">
        <w:rPr>
          <w:color w:val="000000" w:themeColor="text1"/>
        </w:rPr>
        <w:fldChar w:fldCharType="end"/>
      </w:r>
      <w:r w:rsidRPr="00F533B4">
        <w:rPr>
          <w:color w:val="000000" w:themeColor="text1"/>
        </w:rPr>
        <w:t xml:space="preserve"> to determine the fosfomycin and amikacin doses required to achieve EC</w:t>
      </w:r>
      <w:r w:rsidRPr="003B1B17">
        <w:rPr>
          <w:color w:val="000000" w:themeColor="text1"/>
          <w:vertAlign w:val="subscript"/>
        </w:rPr>
        <w:t>20</w:t>
      </w:r>
      <w:r w:rsidRPr="00F533B4">
        <w:rPr>
          <w:color w:val="000000" w:themeColor="text1"/>
        </w:rPr>
        <w:t>, EC</w:t>
      </w:r>
      <w:r w:rsidRPr="003B1B17">
        <w:rPr>
          <w:color w:val="000000" w:themeColor="text1"/>
          <w:vertAlign w:val="subscript"/>
        </w:rPr>
        <w:t>50</w:t>
      </w:r>
      <w:r w:rsidRPr="00F533B4">
        <w:rPr>
          <w:color w:val="000000" w:themeColor="text1"/>
        </w:rPr>
        <w:t xml:space="preserve"> and EC</w:t>
      </w:r>
      <w:r w:rsidRPr="003B1B17">
        <w:rPr>
          <w:color w:val="000000" w:themeColor="text1"/>
          <w:vertAlign w:val="subscript"/>
        </w:rPr>
        <w:t>80</w:t>
      </w:r>
      <w:r w:rsidRPr="00F533B4">
        <w:rPr>
          <w:color w:val="000000" w:themeColor="text1"/>
        </w:rPr>
        <w:t xml:space="preserve"> in terms of </w:t>
      </w:r>
      <w:r w:rsidR="000E486C">
        <w:rPr>
          <w:color w:val="000000" w:themeColor="text1"/>
        </w:rPr>
        <w:t>bactericidal effect</w:t>
      </w:r>
      <w:r w:rsidRPr="00F533B4">
        <w:rPr>
          <w:color w:val="000000" w:themeColor="text1"/>
        </w:rPr>
        <w:t xml:space="preserve"> within the HFIM. A </w:t>
      </w:r>
      <w:r w:rsidR="000E486C" w:rsidRPr="00F533B4">
        <w:rPr>
          <w:color w:val="000000" w:themeColor="text1"/>
        </w:rPr>
        <w:t>16</w:t>
      </w:r>
      <w:r w:rsidR="000E486C">
        <w:rPr>
          <w:color w:val="000000" w:themeColor="text1"/>
        </w:rPr>
        <w:t>-</w:t>
      </w:r>
      <w:r w:rsidRPr="00F533B4">
        <w:rPr>
          <w:color w:val="000000" w:themeColor="text1"/>
        </w:rPr>
        <w:t xml:space="preserve">arm HFIM experiment was performed </w:t>
      </w:r>
      <w:r w:rsidR="00233EC0" w:rsidRPr="00F533B4">
        <w:rPr>
          <w:color w:val="000000" w:themeColor="text1"/>
        </w:rPr>
        <w:t xml:space="preserve">using a 4x4 dosing matrix using these three doses and no </w:t>
      </w:r>
      <w:r w:rsidR="00233EC0" w:rsidRPr="00F533B4">
        <w:rPr>
          <w:color w:val="000000" w:themeColor="text1"/>
        </w:rPr>
        <w:lastRenderedPageBreak/>
        <w:t>dose for both antibiotics in combination</w:t>
      </w:r>
      <w:r w:rsidRPr="00F533B4">
        <w:rPr>
          <w:color w:val="000000" w:themeColor="text1"/>
        </w:rPr>
        <w:t>. The experiment was run over 96 hours, with a target initial inoculum of 1x10</w:t>
      </w:r>
      <w:r w:rsidRPr="00F533B4">
        <w:rPr>
          <w:color w:val="000000" w:themeColor="text1"/>
          <w:vertAlign w:val="superscript"/>
        </w:rPr>
        <w:t>6</w:t>
      </w:r>
      <w:r w:rsidRPr="00F533B4">
        <w:rPr>
          <w:color w:val="000000" w:themeColor="text1"/>
        </w:rPr>
        <w:t xml:space="preserve"> CFU/</w:t>
      </w:r>
      <w:r w:rsidR="002D15D8" w:rsidRPr="00F533B4">
        <w:rPr>
          <w:color w:val="000000" w:themeColor="text1"/>
        </w:rPr>
        <w:t>m</w:t>
      </w:r>
      <w:r w:rsidR="002D15D8">
        <w:rPr>
          <w:color w:val="000000" w:themeColor="text1"/>
        </w:rPr>
        <w:t>L</w:t>
      </w:r>
      <w:r w:rsidR="002D15D8" w:rsidRPr="00F533B4">
        <w:rPr>
          <w:color w:val="000000" w:themeColor="text1"/>
        </w:rPr>
        <w:t xml:space="preserve"> </w:t>
      </w:r>
      <w:r w:rsidRPr="00F533B4">
        <w:rPr>
          <w:color w:val="000000" w:themeColor="text1"/>
        </w:rPr>
        <w:t xml:space="preserve">of ST195 inoculated into the hollow </w:t>
      </w:r>
      <w:proofErr w:type="spellStart"/>
      <w:r w:rsidR="003414D1">
        <w:rPr>
          <w:color w:val="000000" w:themeColor="text1"/>
        </w:rPr>
        <w:t>fiber</w:t>
      </w:r>
      <w:proofErr w:type="spellEnd"/>
      <w:r w:rsidRPr="00F533B4">
        <w:rPr>
          <w:color w:val="000000" w:themeColor="text1"/>
        </w:rPr>
        <w:t xml:space="preserve"> cartridges. A dose of fosfomycin</w:t>
      </w:r>
      <w:r w:rsidR="00792432">
        <w:rPr>
          <w:color w:val="000000" w:themeColor="text1"/>
        </w:rPr>
        <w:t xml:space="preserve"> corresponding to the </w:t>
      </w:r>
      <w:r w:rsidR="00792432" w:rsidRPr="00F533B4">
        <w:rPr>
          <w:color w:val="000000" w:themeColor="text1"/>
        </w:rPr>
        <w:t>EC</w:t>
      </w:r>
      <w:r w:rsidR="00792432" w:rsidRPr="003B1B17">
        <w:rPr>
          <w:color w:val="000000" w:themeColor="text1"/>
          <w:vertAlign w:val="subscript"/>
        </w:rPr>
        <w:t>20</w:t>
      </w:r>
      <w:r w:rsidR="00792432" w:rsidRPr="00F533B4">
        <w:rPr>
          <w:color w:val="000000" w:themeColor="text1"/>
        </w:rPr>
        <w:t>, EC</w:t>
      </w:r>
      <w:r w:rsidR="00792432" w:rsidRPr="003B1B17">
        <w:rPr>
          <w:color w:val="000000" w:themeColor="text1"/>
          <w:vertAlign w:val="subscript"/>
        </w:rPr>
        <w:t>50</w:t>
      </w:r>
      <w:r w:rsidR="00792432" w:rsidRPr="00F533B4">
        <w:rPr>
          <w:color w:val="000000" w:themeColor="text1"/>
        </w:rPr>
        <w:t xml:space="preserve"> and EC</w:t>
      </w:r>
      <w:r w:rsidR="00792432" w:rsidRPr="003B1B17">
        <w:rPr>
          <w:color w:val="000000" w:themeColor="text1"/>
          <w:vertAlign w:val="subscript"/>
        </w:rPr>
        <w:t>80</w:t>
      </w:r>
      <w:r w:rsidR="00792432">
        <w:rPr>
          <w:color w:val="000000" w:themeColor="text1"/>
          <w:vertAlign w:val="subscript"/>
        </w:rPr>
        <w:t xml:space="preserve"> </w:t>
      </w:r>
      <w:r w:rsidRPr="00F533B4">
        <w:rPr>
          <w:color w:val="000000" w:themeColor="text1"/>
        </w:rPr>
        <w:t>was administered every 12 hours to the primary central compartment only; a</w:t>
      </w:r>
      <w:r w:rsidR="00792432">
        <w:rPr>
          <w:color w:val="000000" w:themeColor="text1"/>
        </w:rPr>
        <w:t>n</w:t>
      </w:r>
      <w:r w:rsidRPr="00F533B4">
        <w:rPr>
          <w:color w:val="000000" w:themeColor="text1"/>
        </w:rPr>
        <w:t xml:space="preserve"> amikacin dose</w:t>
      </w:r>
      <w:r w:rsidR="00792432">
        <w:rPr>
          <w:color w:val="000000" w:themeColor="text1"/>
        </w:rPr>
        <w:t xml:space="preserve"> achieving the </w:t>
      </w:r>
      <w:r w:rsidR="00792432" w:rsidRPr="00F533B4">
        <w:rPr>
          <w:color w:val="000000" w:themeColor="text1"/>
        </w:rPr>
        <w:t>EC</w:t>
      </w:r>
      <w:r w:rsidR="00792432" w:rsidRPr="003B1B17">
        <w:rPr>
          <w:color w:val="000000" w:themeColor="text1"/>
          <w:vertAlign w:val="subscript"/>
        </w:rPr>
        <w:t>20</w:t>
      </w:r>
      <w:r w:rsidR="00792432" w:rsidRPr="00F533B4">
        <w:rPr>
          <w:color w:val="000000" w:themeColor="text1"/>
        </w:rPr>
        <w:t>, EC</w:t>
      </w:r>
      <w:r w:rsidR="00792432" w:rsidRPr="003B1B17">
        <w:rPr>
          <w:color w:val="000000" w:themeColor="text1"/>
          <w:vertAlign w:val="subscript"/>
        </w:rPr>
        <w:t>50</w:t>
      </w:r>
      <w:r w:rsidR="00792432" w:rsidRPr="00F533B4">
        <w:rPr>
          <w:color w:val="000000" w:themeColor="text1"/>
        </w:rPr>
        <w:t xml:space="preserve"> and EC</w:t>
      </w:r>
      <w:r w:rsidR="00792432" w:rsidRPr="003B1B17">
        <w:rPr>
          <w:color w:val="000000" w:themeColor="text1"/>
          <w:vertAlign w:val="subscript"/>
        </w:rPr>
        <w:t>80</w:t>
      </w:r>
      <w:r w:rsidR="00792432">
        <w:rPr>
          <w:color w:val="000000" w:themeColor="text1"/>
          <w:vertAlign w:val="subscript"/>
        </w:rPr>
        <w:t xml:space="preserve"> </w:t>
      </w:r>
      <w:r w:rsidRPr="00F533B4">
        <w:rPr>
          <w:color w:val="000000" w:themeColor="text1"/>
        </w:rPr>
        <w:t>was administered to the primary and supplementary central compartments every 24 hours.</w:t>
      </w:r>
    </w:p>
    <w:p w14:paraId="321E3603" w14:textId="46E95591" w:rsidR="002802CD" w:rsidRPr="00F533B4" w:rsidRDefault="00F10681" w:rsidP="00E72EBF">
      <w:pPr>
        <w:spacing w:before="120" w:line="480" w:lineRule="auto"/>
        <w:rPr>
          <w:color w:val="000000" w:themeColor="text1"/>
        </w:rPr>
      </w:pPr>
      <w:r w:rsidRPr="00F533B4">
        <w:rPr>
          <w:color w:val="000000" w:themeColor="text1"/>
        </w:rPr>
        <w:t xml:space="preserve">PK </w:t>
      </w:r>
      <w:r w:rsidR="002802CD" w:rsidRPr="00F533B4">
        <w:rPr>
          <w:color w:val="000000" w:themeColor="text1"/>
        </w:rPr>
        <w:t xml:space="preserve">samples were taken for </w:t>
      </w:r>
      <w:r w:rsidR="000E486C">
        <w:rPr>
          <w:color w:val="000000" w:themeColor="text1"/>
        </w:rPr>
        <w:t>bioanalysis</w:t>
      </w:r>
      <w:r w:rsidR="00F0239B" w:rsidRPr="00F533B4">
        <w:rPr>
          <w:color w:val="000000" w:themeColor="text1"/>
        </w:rPr>
        <w:t xml:space="preserve"> </w:t>
      </w:r>
      <w:r w:rsidR="002802CD" w:rsidRPr="00F533B4">
        <w:rPr>
          <w:color w:val="000000" w:themeColor="text1"/>
        </w:rPr>
        <w:t xml:space="preserve">at four timepoints in dosing windows in days 1 and 3 of the experiment. Samples of inoculum were taken from each hollow </w:t>
      </w:r>
      <w:proofErr w:type="spellStart"/>
      <w:r w:rsidR="003414D1">
        <w:rPr>
          <w:color w:val="000000" w:themeColor="text1"/>
        </w:rPr>
        <w:t>fiber</w:t>
      </w:r>
      <w:proofErr w:type="spellEnd"/>
      <w:r w:rsidR="002802CD" w:rsidRPr="00F533B4">
        <w:rPr>
          <w:color w:val="000000" w:themeColor="text1"/>
        </w:rPr>
        <w:t xml:space="preserve"> cartridge at 4 timepoints during the first 24h, then once daily before administration of dose until the 96h timepoint. Each sample was prepared and plated onto drug-free square agar plates and fosfomycin- and amikacin- containing plates, as described above. MICs from any viable colonies from each arm on the final timepoint were determined via </w:t>
      </w:r>
      <w:r w:rsidR="00045442">
        <w:rPr>
          <w:color w:val="000000" w:themeColor="text1"/>
        </w:rPr>
        <w:t>a</w:t>
      </w:r>
      <w:r w:rsidR="00CF4DB9">
        <w:rPr>
          <w:color w:val="000000" w:themeColor="text1"/>
        </w:rPr>
        <w:t>ntibiotic gradient strip assay</w:t>
      </w:r>
      <w:r w:rsidR="00EC08B9">
        <w:rPr>
          <w:color w:val="000000" w:themeColor="text1"/>
        </w:rPr>
        <w:t xml:space="preserve"> </w:t>
      </w:r>
      <w:r w:rsidR="002802CD" w:rsidRPr="00F533B4">
        <w:rPr>
          <w:color w:val="000000" w:themeColor="text1"/>
        </w:rPr>
        <w:t>.</w:t>
      </w:r>
    </w:p>
    <w:p w14:paraId="34F1ADC0" w14:textId="2B9069E2" w:rsidR="00360518" w:rsidRPr="00F533B4" w:rsidRDefault="002802CD" w:rsidP="00E72EBF">
      <w:pPr>
        <w:spacing w:before="120" w:line="480" w:lineRule="auto"/>
        <w:rPr>
          <w:color w:val="000000" w:themeColor="text1"/>
        </w:rPr>
      </w:pPr>
      <w:r w:rsidRPr="00F533B4">
        <w:rPr>
          <w:color w:val="000000" w:themeColor="text1"/>
        </w:rPr>
        <w:t xml:space="preserve">Further HFIM experiments were performed assessing the effect of </w:t>
      </w:r>
      <w:r w:rsidR="00F10681" w:rsidRPr="00F533B4">
        <w:rPr>
          <w:color w:val="000000" w:themeColor="text1"/>
        </w:rPr>
        <w:t xml:space="preserve">clinically relevant </w:t>
      </w:r>
      <w:r w:rsidRPr="00F533B4">
        <w:rPr>
          <w:color w:val="000000" w:themeColor="text1"/>
        </w:rPr>
        <w:t xml:space="preserve">fosfomycin and amikacin </w:t>
      </w:r>
      <w:r w:rsidR="00F10681" w:rsidRPr="00F533B4">
        <w:rPr>
          <w:color w:val="000000" w:themeColor="text1"/>
        </w:rPr>
        <w:t xml:space="preserve">doses leading to </w:t>
      </w:r>
      <w:r w:rsidRPr="00F533B4">
        <w:rPr>
          <w:color w:val="000000" w:themeColor="text1"/>
        </w:rPr>
        <w:t>neonatal</w:t>
      </w:r>
      <w:r w:rsidR="00F10681" w:rsidRPr="00F533B4">
        <w:rPr>
          <w:color w:val="000000" w:themeColor="text1"/>
        </w:rPr>
        <w:t>-like</w:t>
      </w:r>
      <w:r w:rsidRPr="00F533B4">
        <w:rPr>
          <w:color w:val="000000" w:themeColor="text1"/>
        </w:rPr>
        <w:t xml:space="preserve"> pharmacokinetic profile alone and in combination </w:t>
      </w:r>
      <w:r w:rsidR="00F10681" w:rsidRPr="00F533B4">
        <w:rPr>
          <w:color w:val="000000" w:themeColor="text1"/>
        </w:rPr>
        <w:t>against a</w:t>
      </w:r>
      <w:r w:rsidRPr="00F533B4">
        <w:rPr>
          <w:color w:val="000000" w:themeColor="text1"/>
        </w:rPr>
        <w:t xml:space="preserve"> variety of bacteria with different fosfomycin and amikacin MICs. PK profiles of fosfomycin and amikacin were designed to have half-lives of 5.1 and 7 hours, with Cmax values of 250mg/</w:t>
      </w:r>
      <w:r w:rsidR="002D15D8">
        <w:rPr>
          <w:color w:val="000000" w:themeColor="text1"/>
        </w:rPr>
        <w:t>L</w:t>
      </w:r>
      <w:r w:rsidR="002D15D8" w:rsidRPr="00F533B4">
        <w:rPr>
          <w:color w:val="000000" w:themeColor="text1"/>
        </w:rPr>
        <w:t xml:space="preserve"> </w:t>
      </w:r>
      <w:r w:rsidRPr="00F533B4">
        <w:rPr>
          <w:color w:val="000000" w:themeColor="text1"/>
        </w:rPr>
        <w:t>and 40mg/</w:t>
      </w:r>
      <w:r w:rsidR="002D15D8">
        <w:rPr>
          <w:color w:val="000000" w:themeColor="text1"/>
        </w:rPr>
        <w:t>L</w:t>
      </w:r>
      <w:r w:rsidRPr="00F533B4">
        <w:rPr>
          <w:color w:val="000000" w:themeColor="text1"/>
        </w:rPr>
        <w:t xml:space="preserve"> respectively. These were determined from the sources used to determine the half-life, as described earlier. </w:t>
      </w:r>
      <w:r w:rsidR="00A77AEC" w:rsidRPr="00F533B4">
        <w:rPr>
          <w:color w:val="000000" w:themeColor="text1"/>
        </w:rPr>
        <w:t xml:space="preserve">Nine parallel experiments were performed using nine </w:t>
      </w:r>
      <w:r w:rsidR="00233EC0" w:rsidRPr="00F533B4">
        <w:rPr>
          <w:color w:val="000000" w:themeColor="text1"/>
        </w:rPr>
        <w:t>G</w:t>
      </w:r>
      <w:r w:rsidR="00A77AEC" w:rsidRPr="00F533B4">
        <w:rPr>
          <w:color w:val="000000" w:themeColor="text1"/>
        </w:rPr>
        <w:t>ram</w:t>
      </w:r>
      <w:r w:rsidR="00233EC0" w:rsidRPr="00F533B4">
        <w:rPr>
          <w:color w:val="000000" w:themeColor="text1"/>
        </w:rPr>
        <w:t>-</w:t>
      </w:r>
      <w:r w:rsidR="00A77AEC" w:rsidRPr="00F533B4">
        <w:rPr>
          <w:color w:val="000000" w:themeColor="text1"/>
        </w:rPr>
        <w:t>negative strains with a wide distribution of fosfomycin and amikacin MICs (</w:t>
      </w:r>
      <w:r w:rsidR="00875BD4">
        <w:rPr>
          <w:color w:val="000000" w:themeColor="text1"/>
        </w:rPr>
        <w:t>T</w:t>
      </w:r>
      <w:r w:rsidR="00A77AEC" w:rsidRPr="00F533B4">
        <w:rPr>
          <w:color w:val="000000" w:themeColor="text1"/>
        </w:rPr>
        <w:t xml:space="preserve">able </w:t>
      </w:r>
      <w:r w:rsidR="00E70504">
        <w:rPr>
          <w:color w:val="000000" w:themeColor="text1"/>
        </w:rPr>
        <w:t>2</w:t>
      </w:r>
      <w:r w:rsidR="00A77AEC" w:rsidRPr="00F533B4">
        <w:rPr>
          <w:color w:val="000000" w:themeColor="text1"/>
        </w:rPr>
        <w:t>)</w:t>
      </w:r>
      <w:r w:rsidRPr="00F533B4">
        <w:rPr>
          <w:color w:val="000000" w:themeColor="text1"/>
        </w:rPr>
        <w:t>.</w:t>
      </w:r>
      <w:r w:rsidR="00A77AEC" w:rsidRPr="00F533B4">
        <w:rPr>
          <w:color w:val="000000" w:themeColor="text1"/>
        </w:rPr>
        <w:t xml:space="preserve"> Each individual experiment consisted of 4 </w:t>
      </w:r>
      <w:proofErr w:type="gramStart"/>
      <w:r w:rsidR="00A77AEC" w:rsidRPr="00F533B4">
        <w:rPr>
          <w:color w:val="000000" w:themeColor="text1"/>
        </w:rPr>
        <w:t>arms</w:t>
      </w:r>
      <w:r w:rsidR="00FB2AB4" w:rsidRPr="00F533B4">
        <w:rPr>
          <w:color w:val="000000" w:themeColor="text1"/>
        </w:rPr>
        <w:t>;</w:t>
      </w:r>
      <w:proofErr w:type="gramEnd"/>
      <w:r w:rsidR="00FB2AB4" w:rsidRPr="00F533B4">
        <w:rPr>
          <w:color w:val="000000" w:themeColor="text1"/>
        </w:rPr>
        <w:t xml:space="preserve"> </w:t>
      </w:r>
      <w:r w:rsidR="00A77AEC" w:rsidRPr="00F533B4">
        <w:rPr>
          <w:color w:val="000000" w:themeColor="text1"/>
        </w:rPr>
        <w:t>monotherapy</w:t>
      </w:r>
      <w:r w:rsidR="00FB2AB4" w:rsidRPr="00F533B4">
        <w:rPr>
          <w:color w:val="000000" w:themeColor="text1"/>
        </w:rPr>
        <w:t xml:space="preserve"> arms for both fosfomycin and amikacin</w:t>
      </w:r>
      <w:r w:rsidR="00A77AEC" w:rsidRPr="00F533B4">
        <w:rPr>
          <w:color w:val="000000" w:themeColor="text1"/>
        </w:rPr>
        <w:t>,</w:t>
      </w:r>
      <w:r w:rsidR="00FB2AB4" w:rsidRPr="00F533B4">
        <w:rPr>
          <w:color w:val="000000" w:themeColor="text1"/>
        </w:rPr>
        <w:t xml:space="preserve"> a combination therapy arm, and an untreated control.</w:t>
      </w:r>
      <w:r w:rsidRPr="00F533B4">
        <w:rPr>
          <w:color w:val="000000" w:themeColor="text1"/>
        </w:rPr>
        <w:t xml:space="preserve"> </w:t>
      </w:r>
      <w:r w:rsidR="00BB68FC">
        <w:rPr>
          <w:color w:val="000000" w:themeColor="text1"/>
        </w:rPr>
        <w:t>As this experiment aimed to replicate clinically relevant drug exposures in neonates, e</w:t>
      </w:r>
      <w:r w:rsidRPr="00F533B4">
        <w:rPr>
          <w:color w:val="000000" w:themeColor="text1"/>
        </w:rPr>
        <w:t xml:space="preserve">ach experiment lasted 7 days to reflect the typical treatment course of neonatal sepsis. Four PK samples were taken in each of </w:t>
      </w:r>
      <w:r w:rsidRPr="00F533B4">
        <w:rPr>
          <w:color w:val="000000" w:themeColor="text1"/>
        </w:rPr>
        <w:lastRenderedPageBreak/>
        <w:t xml:space="preserve">three dose intervals distributed evenly throughout the experiment. Four inoculum samples were taken on day 1, and once every 24h thereafter. These samples were quantified on drug-free, fosfomycin-, and amikacin-containing square </w:t>
      </w:r>
      <w:r w:rsidR="00C52B76">
        <w:rPr>
          <w:color w:val="000000" w:themeColor="text1"/>
        </w:rPr>
        <w:t>MHA</w:t>
      </w:r>
      <w:r w:rsidRPr="00F533B4">
        <w:rPr>
          <w:color w:val="000000" w:themeColor="text1"/>
        </w:rPr>
        <w:t xml:space="preserve"> plates. MICs from any viable colonies from each arm on the final timepoint were determined via </w:t>
      </w:r>
      <w:r w:rsidR="00045442">
        <w:rPr>
          <w:color w:val="000000" w:themeColor="text1"/>
        </w:rPr>
        <w:t>a</w:t>
      </w:r>
      <w:r w:rsidR="00CF4DB9">
        <w:rPr>
          <w:color w:val="000000" w:themeColor="text1"/>
        </w:rPr>
        <w:t>ntibiotic gradient strip assay</w:t>
      </w:r>
      <w:r w:rsidRPr="00F533B4">
        <w:rPr>
          <w:color w:val="000000" w:themeColor="text1"/>
        </w:rPr>
        <w:t>.</w:t>
      </w:r>
    </w:p>
    <w:p w14:paraId="378EE83A" w14:textId="7AC1ECA4" w:rsidR="00F65E1C" w:rsidRPr="00F533B4" w:rsidRDefault="00CF0B3C" w:rsidP="00E72EBF">
      <w:pPr>
        <w:spacing w:before="120" w:line="480" w:lineRule="auto"/>
        <w:rPr>
          <w:color w:val="000000" w:themeColor="text1"/>
        </w:rPr>
      </w:pPr>
      <w:r w:rsidRPr="00CF0B3C">
        <w:rPr>
          <w:b/>
          <w:bCs/>
          <w:color w:val="000000" w:themeColor="text1"/>
        </w:rPr>
        <w:t xml:space="preserve">Amikacin </w:t>
      </w:r>
      <w:r w:rsidR="00F65E1C" w:rsidRPr="00CF0B3C">
        <w:rPr>
          <w:b/>
          <w:bCs/>
          <w:color w:val="000000" w:themeColor="text1"/>
        </w:rPr>
        <w:t>Bioanaly</w:t>
      </w:r>
      <w:r w:rsidRPr="00CF0B3C">
        <w:rPr>
          <w:b/>
          <w:bCs/>
          <w:color w:val="000000" w:themeColor="text1"/>
        </w:rPr>
        <w:t xml:space="preserve">sis. </w:t>
      </w:r>
      <w:r w:rsidR="00F65E1C" w:rsidRPr="00F533B4">
        <w:rPr>
          <w:color w:val="000000" w:themeColor="text1"/>
        </w:rPr>
        <w:t>The internal standard, [</w:t>
      </w:r>
      <w:r w:rsidR="00F65E1C" w:rsidRPr="00F533B4">
        <w:rPr>
          <w:color w:val="000000" w:themeColor="text1"/>
          <w:vertAlign w:val="superscript"/>
        </w:rPr>
        <w:t>2</w:t>
      </w:r>
      <w:r w:rsidR="00F65E1C" w:rsidRPr="00F533B4">
        <w:rPr>
          <w:color w:val="000000" w:themeColor="text1"/>
        </w:rPr>
        <w:t>H</w:t>
      </w:r>
      <w:r w:rsidR="00F65E1C" w:rsidRPr="00F533B4">
        <w:rPr>
          <w:color w:val="000000" w:themeColor="text1"/>
          <w:vertAlign w:val="subscript"/>
        </w:rPr>
        <w:t>5</w:t>
      </w:r>
      <w:r w:rsidR="00F65E1C" w:rsidRPr="00F533B4">
        <w:rPr>
          <w:color w:val="000000" w:themeColor="text1"/>
        </w:rPr>
        <w:t>] amikacin (</w:t>
      </w:r>
      <w:proofErr w:type="spellStart"/>
      <w:r w:rsidR="00F65E1C" w:rsidRPr="00F533B4">
        <w:rPr>
          <w:color w:val="000000" w:themeColor="text1"/>
        </w:rPr>
        <w:t>Alsachim</w:t>
      </w:r>
      <w:proofErr w:type="spellEnd"/>
      <w:r w:rsidR="00F65E1C" w:rsidRPr="00F533B4">
        <w:rPr>
          <w:color w:val="000000" w:themeColor="text1"/>
        </w:rPr>
        <w:t xml:space="preserve">, </w:t>
      </w:r>
      <w:proofErr w:type="spellStart"/>
      <w:r w:rsidR="003B1B17">
        <w:rPr>
          <w:color w:val="000000" w:themeColor="text1"/>
        </w:rPr>
        <w:t>Illkirch-Graffenstaden</w:t>
      </w:r>
      <w:proofErr w:type="spellEnd"/>
      <w:r w:rsidR="003B1B17">
        <w:rPr>
          <w:color w:val="000000" w:themeColor="text1"/>
        </w:rPr>
        <w:t xml:space="preserve">, </w:t>
      </w:r>
      <w:r w:rsidR="00F65E1C" w:rsidRPr="00F533B4">
        <w:rPr>
          <w:color w:val="000000" w:themeColor="text1"/>
        </w:rPr>
        <w:t>France) was prepared in acetonitrile plus 5% trichloroacetic acid (TCA) (25 mg/L, Fisher Scientific</w:t>
      </w:r>
      <w:r w:rsidR="00F0239B">
        <w:rPr>
          <w:color w:val="000000" w:themeColor="text1"/>
        </w:rPr>
        <w:t>,</w:t>
      </w:r>
      <w:r w:rsidR="00F65E1C" w:rsidRPr="00F533B4">
        <w:rPr>
          <w:color w:val="000000" w:themeColor="text1"/>
        </w:rPr>
        <w:t xml:space="preserve"> UK) and 150 </w:t>
      </w:r>
      <w:r w:rsidR="00F65E1C" w:rsidRPr="00F533B4">
        <w:rPr>
          <w:color w:val="000000" w:themeColor="text1"/>
        </w:rPr>
        <w:sym w:font="Symbol" w:char="F06D"/>
      </w:r>
      <w:r w:rsidR="00F65E1C" w:rsidRPr="00F533B4">
        <w:rPr>
          <w:color w:val="000000" w:themeColor="text1"/>
        </w:rPr>
        <w:t xml:space="preserve">L was added to a 96-well protein precipitation plate </w:t>
      </w:r>
      <w:r w:rsidR="00460480">
        <w:rPr>
          <w:color w:val="000000" w:themeColor="text1"/>
        </w:rPr>
        <w:t>(</w:t>
      </w:r>
      <w:r w:rsidR="00F65E1C" w:rsidRPr="00F533B4">
        <w:rPr>
          <w:color w:val="000000" w:themeColor="text1"/>
        </w:rPr>
        <w:t>Phenomenex, Cheshire, UK</w:t>
      </w:r>
      <w:r w:rsidR="00460480">
        <w:rPr>
          <w:color w:val="000000" w:themeColor="text1"/>
        </w:rPr>
        <w:t>)</w:t>
      </w:r>
      <w:r w:rsidR="00F65E1C" w:rsidRPr="00F533B4">
        <w:rPr>
          <w:color w:val="000000" w:themeColor="text1"/>
        </w:rPr>
        <w:t xml:space="preserve">.  Fifty </w:t>
      </w:r>
      <w:r w:rsidR="00F65E1C" w:rsidRPr="00F533B4">
        <w:rPr>
          <w:color w:val="000000" w:themeColor="text1"/>
        </w:rPr>
        <w:sym w:font="Symbol" w:char="F06D"/>
      </w:r>
      <w:r w:rsidR="00F65E1C" w:rsidRPr="00F533B4">
        <w:rPr>
          <w:color w:val="000000" w:themeColor="text1"/>
        </w:rPr>
        <w:t xml:space="preserve">L each of samples, blanks, calibrators in the range 0.5 – 50 mg/L and quality controls (0.75, 7.5 and 37.5 mg/L) </w:t>
      </w:r>
      <w:r w:rsidR="00F0239B" w:rsidRPr="00F533B4">
        <w:rPr>
          <w:color w:val="000000" w:themeColor="text1"/>
        </w:rPr>
        <w:t>w</w:t>
      </w:r>
      <w:r w:rsidR="00F0239B">
        <w:rPr>
          <w:color w:val="000000" w:themeColor="text1"/>
        </w:rPr>
        <w:t>ere</w:t>
      </w:r>
      <w:r w:rsidR="00F0239B" w:rsidRPr="00F533B4">
        <w:rPr>
          <w:color w:val="000000" w:themeColor="text1"/>
        </w:rPr>
        <w:t xml:space="preserve"> </w:t>
      </w:r>
      <w:r w:rsidR="00F65E1C" w:rsidRPr="00F533B4">
        <w:rPr>
          <w:color w:val="000000" w:themeColor="text1"/>
        </w:rPr>
        <w:t xml:space="preserve">mixed with the internal standard on an orbital shaker.  Liquid was drawn through the protein precipitation plate into a collection plate using a positive pressure manifold.  </w:t>
      </w:r>
      <w:r w:rsidR="00201D5E">
        <w:rPr>
          <w:color w:val="000000" w:themeColor="text1"/>
        </w:rPr>
        <w:t>S</w:t>
      </w:r>
      <w:r w:rsidR="00F65E1C" w:rsidRPr="00F533B4">
        <w:rPr>
          <w:color w:val="000000" w:themeColor="text1"/>
        </w:rPr>
        <w:t>amples were evaporated under nitrogen (40 L/min) followed by reconstitution in water (Fisher Scientific, UK) and 0.1% heptafluorobutyric acid [Sigma-Aldrich, UK]</w:t>
      </w:r>
      <w:r w:rsidR="00201D5E">
        <w:rPr>
          <w:color w:val="000000" w:themeColor="text1"/>
        </w:rPr>
        <w:t xml:space="preserve"> and mixed using an orbital shaker </w:t>
      </w:r>
      <w:r w:rsidR="00F65E1C" w:rsidRPr="00F533B4">
        <w:rPr>
          <w:color w:val="000000" w:themeColor="text1"/>
        </w:rPr>
        <w:t>prior to analysis by LC-MS-MS.</w:t>
      </w:r>
    </w:p>
    <w:p w14:paraId="5E53F6CC" w14:textId="227905B1" w:rsidR="00F65E1C" w:rsidRPr="00F533B4" w:rsidRDefault="00F65E1C" w:rsidP="00E72EBF">
      <w:pPr>
        <w:spacing w:before="120" w:line="480" w:lineRule="auto"/>
        <w:rPr>
          <w:color w:val="000000" w:themeColor="text1"/>
        </w:rPr>
      </w:pPr>
      <w:r w:rsidRPr="00F533B4">
        <w:rPr>
          <w:color w:val="000000" w:themeColor="text1"/>
        </w:rPr>
        <w:t xml:space="preserve">LC-MS-MS analysis was </w:t>
      </w:r>
      <w:r w:rsidR="00201D5E">
        <w:rPr>
          <w:color w:val="000000" w:themeColor="text1"/>
        </w:rPr>
        <w:t>performed</w:t>
      </w:r>
      <w:r w:rsidRPr="00F533B4">
        <w:rPr>
          <w:color w:val="000000" w:themeColor="text1"/>
        </w:rPr>
        <w:t xml:space="preserve"> using an Agilent 1290 Infinity HPLC coupled to an Agilent 6420 triple quadrupole mass spectrometer fitted with an electrospray source</w:t>
      </w:r>
      <w:r w:rsidR="00201D5E">
        <w:rPr>
          <w:color w:val="000000" w:themeColor="text1"/>
        </w:rPr>
        <w:t xml:space="preserve"> </w:t>
      </w:r>
      <w:r w:rsidRPr="00F533B4">
        <w:rPr>
          <w:color w:val="000000" w:themeColor="text1"/>
        </w:rPr>
        <w:t xml:space="preserve">controlled using Agilent </w:t>
      </w:r>
      <w:proofErr w:type="spellStart"/>
      <w:r w:rsidRPr="00F533B4">
        <w:rPr>
          <w:color w:val="000000" w:themeColor="text1"/>
        </w:rPr>
        <w:t>MassHunter</w:t>
      </w:r>
      <w:proofErr w:type="spellEnd"/>
      <w:r w:rsidRPr="00F533B4">
        <w:rPr>
          <w:color w:val="000000" w:themeColor="text1"/>
        </w:rPr>
        <w:t xml:space="preserve"> Data Acquisition software (Ver B.06.00).  Analytes were injected (5 </w:t>
      </w:r>
      <w:r w:rsidRPr="00F533B4">
        <w:rPr>
          <w:color w:val="000000" w:themeColor="text1"/>
        </w:rPr>
        <w:sym w:font="Symbol" w:char="F06D"/>
      </w:r>
      <w:r w:rsidRPr="00F533B4">
        <w:rPr>
          <w:color w:val="000000" w:themeColor="text1"/>
        </w:rPr>
        <w:t xml:space="preserve">L) onto a </w:t>
      </w:r>
      <w:r w:rsidRPr="00F533B4">
        <w:rPr>
          <w:bCs/>
          <w:color w:val="000000" w:themeColor="text1"/>
        </w:rPr>
        <w:t xml:space="preserve">Discovery® HS C18 HPLC Column </w:t>
      </w:r>
      <w:r w:rsidRPr="00F533B4">
        <w:rPr>
          <w:color w:val="000000" w:themeColor="text1"/>
        </w:rPr>
        <w:t xml:space="preserve">(2.1 mm x 50 mm, 3 µm, 50°C) and separated over a 3.5 min. gradient using a mixture of solvents A </w:t>
      </w:r>
      <w:r w:rsidR="00201D5E">
        <w:rPr>
          <w:color w:val="000000" w:themeColor="text1"/>
        </w:rPr>
        <w:t>(</w:t>
      </w:r>
      <w:r w:rsidR="00201D5E" w:rsidRPr="00F533B4">
        <w:rPr>
          <w:color w:val="000000" w:themeColor="text1"/>
        </w:rPr>
        <w:t>LC-MS grade water with 0.1% (v/v) heptafluorobutyric acid</w:t>
      </w:r>
      <w:r w:rsidR="00201D5E">
        <w:rPr>
          <w:color w:val="000000" w:themeColor="text1"/>
        </w:rPr>
        <w:t xml:space="preserve">) </w:t>
      </w:r>
      <w:r w:rsidRPr="00F533B4">
        <w:rPr>
          <w:color w:val="000000" w:themeColor="text1"/>
        </w:rPr>
        <w:t>and B</w:t>
      </w:r>
      <w:r w:rsidR="00201D5E">
        <w:rPr>
          <w:color w:val="000000" w:themeColor="text1"/>
        </w:rPr>
        <w:t xml:space="preserve"> (</w:t>
      </w:r>
      <w:r w:rsidR="00201D5E" w:rsidRPr="00F533B4">
        <w:rPr>
          <w:color w:val="000000" w:themeColor="text1"/>
        </w:rPr>
        <w:t>HPLC grade acetonitrile with 0.1% (v/v) heptafluorobutyric acid</w:t>
      </w:r>
      <w:r w:rsidR="00201D5E">
        <w:rPr>
          <w:color w:val="000000" w:themeColor="text1"/>
        </w:rPr>
        <w:t>)</w:t>
      </w:r>
      <w:r w:rsidRPr="00F533B4">
        <w:rPr>
          <w:color w:val="000000" w:themeColor="text1"/>
        </w:rPr>
        <w:t xml:space="preserve">. Separations were performed by applying a linear gradient of 2% to 98% solvent B over 3 mins at 0.5 mL/min followed by an equilibration step (0.5 mins at 2% solvent B). </w:t>
      </w:r>
    </w:p>
    <w:p w14:paraId="562FCDB2" w14:textId="1F0AA093" w:rsidR="00F65E1C" w:rsidRDefault="00F65E1C" w:rsidP="00E72EBF">
      <w:pPr>
        <w:spacing w:before="120" w:line="480" w:lineRule="auto"/>
        <w:rPr>
          <w:color w:val="000000" w:themeColor="text1"/>
        </w:rPr>
      </w:pPr>
      <w:r w:rsidRPr="00F533B4">
        <w:rPr>
          <w:color w:val="000000" w:themeColor="text1"/>
        </w:rPr>
        <w:lastRenderedPageBreak/>
        <w:t>The mass spectrometer was operated in positive ion mode using a Multiple Reaction Monitoring (MRM) method</w:t>
      </w:r>
      <w:r w:rsidR="005451A0">
        <w:rPr>
          <w:color w:val="000000" w:themeColor="text1"/>
        </w:rPr>
        <w:t xml:space="preserve"> with the </w:t>
      </w:r>
      <w:r w:rsidR="00E24CFE">
        <w:rPr>
          <w:color w:val="000000" w:themeColor="text1"/>
        </w:rPr>
        <w:t>specified</w:t>
      </w:r>
      <w:r w:rsidRPr="00F533B4">
        <w:rPr>
          <w:color w:val="000000" w:themeColor="text1"/>
        </w:rPr>
        <w:t xml:space="preserve"> mass transitions and collision energies</w:t>
      </w:r>
      <w:r w:rsidR="005A43FF">
        <w:rPr>
          <w:color w:val="000000" w:themeColor="text1"/>
        </w:rPr>
        <w:t xml:space="preserve">: </w:t>
      </w:r>
      <w:r w:rsidRPr="00F533B4">
        <w:rPr>
          <w:color w:val="000000" w:themeColor="text1"/>
        </w:rPr>
        <w:t>amikacin 586.4 &gt; 163.2 (Ce 30 ev) and [</w:t>
      </w:r>
      <w:r w:rsidRPr="00F533B4">
        <w:rPr>
          <w:color w:val="000000" w:themeColor="text1"/>
          <w:vertAlign w:val="superscript"/>
        </w:rPr>
        <w:t>2</w:t>
      </w:r>
      <w:r w:rsidRPr="00F533B4">
        <w:rPr>
          <w:color w:val="000000" w:themeColor="text1"/>
        </w:rPr>
        <w:t>H</w:t>
      </w:r>
      <w:r w:rsidRPr="00F533B4">
        <w:rPr>
          <w:color w:val="000000" w:themeColor="text1"/>
          <w:vertAlign w:val="subscript"/>
        </w:rPr>
        <w:t>5</w:t>
      </w:r>
      <w:r w:rsidRPr="00F533B4">
        <w:rPr>
          <w:color w:val="000000" w:themeColor="text1"/>
        </w:rPr>
        <w:t>] amikacin 591.3 &gt; 163.2 (Ce 30 ev)</w:t>
      </w:r>
      <w:r w:rsidR="005A43FF">
        <w:rPr>
          <w:color w:val="000000" w:themeColor="text1"/>
        </w:rPr>
        <w:t xml:space="preserve">. </w:t>
      </w:r>
      <w:r w:rsidR="005451A0">
        <w:rPr>
          <w:color w:val="000000" w:themeColor="text1"/>
        </w:rPr>
        <w:t>Mass spectrometry readouts</w:t>
      </w:r>
      <w:r w:rsidRPr="00F533B4">
        <w:rPr>
          <w:color w:val="000000" w:themeColor="text1"/>
        </w:rPr>
        <w:t xml:space="preserve"> were processed using Agilent Mass Hunter Quantitative Analysis (Ver B.05.02).</w:t>
      </w:r>
    </w:p>
    <w:p w14:paraId="328BC8E1" w14:textId="350E3F3A" w:rsidR="005A43FF" w:rsidRPr="00F533B4" w:rsidRDefault="005A43FF" w:rsidP="00E72EBF">
      <w:pPr>
        <w:spacing w:before="120" w:line="480" w:lineRule="auto"/>
        <w:rPr>
          <w:color w:val="000000" w:themeColor="text1"/>
        </w:rPr>
      </w:pPr>
      <w:r>
        <w:rPr>
          <w:color w:val="000000" w:themeColor="text1"/>
        </w:rPr>
        <w:t>Prior to sample analysis, the analytical method was validated to assess recovery and matrix effects, inter- and intra-day accuracy and precision, carryover, dilution integrity, stability in matrix (4 hours at room temperature and 3 freeze thaw cycles) and processed sample stability (reinjection of extracts after 24hrs).  The average recovery from matrix was 75.3%.  The limit of quantification (LLQ) was defined as 0.5 mg/L and the limit of detection (LOD) 0.25 mg/L.  The inter- and intra-day %CV on the three QC levels ranged from 2.5% – 5.7% and 2.9% – 6.41% respectively.  The analyte was found to be stable in all conditions described above.</w:t>
      </w:r>
    </w:p>
    <w:p w14:paraId="3CA88760" w14:textId="7656E2CB" w:rsidR="00F65E1C" w:rsidRPr="00F533B4" w:rsidRDefault="00E24CFE" w:rsidP="00E72EBF">
      <w:pPr>
        <w:spacing w:before="120" w:line="480" w:lineRule="auto"/>
        <w:rPr>
          <w:color w:val="000000" w:themeColor="text1"/>
        </w:rPr>
      </w:pPr>
      <w:r>
        <w:rPr>
          <w:b/>
          <w:bCs/>
          <w:color w:val="000000" w:themeColor="text1"/>
        </w:rPr>
        <w:t xml:space="preserve">Fosfomycin Bioanalysis. </w:t>
      </w:r>
      <w:r w:rsidR="00F65E1C" w:rsidRPr="00F533B4">
        <w:rPr>
          <w:color w:val="000000" w:themeColor="text1"/>
        </w:rPr>
        <w:t xml:space="preserve">The internal standard, Ethyl Phosphonic acid (Sigma Aldrich, UK) was prepared in acetonitrile (5 mg/L, Fisher Scientific UK) and 200 </w:t>
      </w:r>
      <w:r w:rsidR="00F65E1C" w:rsidRPr="00F533B4">
        <w:rPr>
          <w:color w:val="000000" w:themeColor="text1"/>
        </w:rPr>
        <w:sym w:font="Symbol" w:char="F06D"/>
      </w:r>
      <w:r w:rsidR="00F65E1C" w:rsidRPr="00F533B4">
        <w:rPr>
          <w:color w:val="000000" w:themeColor="text1"/>
        </w:rPr>
        <w:t xml:space="preserve">L was added to a 96-well protein precipitation plate </w:t>
      </w:r>
      <w:r>
        <w:rPr>
          <w:color w:val="000000" w:themeColor="text1"/>
        </w:rPr>
        <w:t>(</w:t>
      </w:r>
      <w:r w:rsidR="00F65E1C" w:rsidRPr="00F533B4">
        <w:rPr>
          <w:color w:val="000000" w:themeColor="text1"/>
        </w:rPr>
        <w:t>Phenomenex, Cheshire, UK</w:t>
      </w:r>
      <w:r>
        <w:rPr>
          <w:color w:val="000000" w:themeColor="text1"/>
        </w:rPr>
        <w:t>)</w:t>
      </w:r>
      <w:r w:rsidRPr="00F533B4">
        <w:rPr>
          <w:color w:val="000000" w:themeColor="text1"/>
        </w:rPr>
        <w:t xml:space="preserve">.  </w:t>
      </w:r>
      <w:r w:rsidR="00F65E1C" w:rsidRPr="00F533B4">
        <w:rPr>
          <w:color w:val="000000" w:themeColor="text1"/>
        </w:rPr>
        <w:t xml:space="preserve">Fifty </w:t>
      </w:r>
      <w:r w:rsidR="00F65E1C" w:rsidRPr="00F533B4">
        <w:rPr>
          <w:color w:val="000000" w:themeColor="text1"/>
        </w:rPr>
        <w:sym w:font="Symbol" w:char="F06D"/>
      </w:r>
      <w:r w:rsidR="00F65E1C" w:rsidRPr="00F533B4">
        <w:rPr>
          <w:color w:val="000000" w:themeColor="text1"/>
        </w:rPr>
        <w:t>L each of samples, blanks, calibrators in the range 1 – 500 mg/L and quality controls (3.5, 35 and 350 mg/L) w</w:t>
      </w:r>
      <w:r w:rsidR="00FB019C" w:rsidRPr="00F533B4">
        <w:rPr>
          <w:color w:val="000000" w:themeColor="text1"/>
        </w:rPr>
        <w:t>ere</w:t>
      </w:r>
      <w:r w:rsidR="00F65E1C" w:rsidRPr="00F533B4">
        <w:rPr>
          <w:color w:val="000000" w:themeColor="text1"/>
        </w:rPr>
        <w:t xml:space="preserve"> mixed with the internal standard on an orbital shaker.  Liquid was drawn through the protein precipitation plate into a collection plate using a positive pressure manifold</w:t>
      </w:r>
      <w:r>
        <w:rPr>
          <w:color w:val="000000" w:themeColor="text1"/>
        </w:rPr>
        <w:t xml:space="preserve"> with</w:t>
      </w:r>
      <w:r w:rsidR="00F65E1C" w:rsidRPr="00F533B4">
        <w:rPr>
          <w:color w:val="000000" w:themeColor="text1"/>
        </w:rPr>
        <w:t xml:space="preserve"> </w:t>
      </w:r>
      <w:r>
        <w:rPr>
          <w:color w:val="000000" w:themeColor="text1"/>
        </w:rPr>
        <w:t>w</w:t>
      </w:r>
      <w:r w:rsidR="00F65E1C" w:rsidRPr="00F533B4">
        <w:rPr>
          <w:color w:val="000000" w:themeColor="text1"/>
        </w:rPr>
        <w:t xml:space="preserve">ater </w:t>
      </w:r>
      <w:r>
        <w:rPr>
          <w:color w:val="000000" w:themeColor="text1"/>
        </w:rPr>
        <w:t>and</w:t>
      </w:r>
      <w:r w:rsidR="00F65E1C" w:rsidRPr="00F533B4">
        <w:rPr>
          <w:color w:val="000000" w:themeColor="text1"/>
        </w:rPr>
        <w:t xml:space="preserve"> 2mM Ammonium acetate (150 </w:t>
      </w:r>
      <w:r w:rsidR="00F65E1C" w:rsidRPr="00F533B4">
        <w:rPr>
          <w:color w:val="000000" w:themeColor="text1"/>
        </w:rPr>
        <w:sym w:font="Symbol" w:char="F06D"/>
      </w:r>
      <w:r w:rsidR="00F65E1C" w:rsidRPr="00F533B4">
        <w:rPr>
          <w:color w:val="000000" w:themeColor="text1"/>
        </w:rPr>
        <w:t>L) added to each well</w:t>
      </w:r>
      <w:r>
        <w:rPr>
          <w:color w:val="000000" w:themeColor="text1"/>
        </w:rPr>
        <w:t>, before sealing and mixing on an orbital shaker.</w:t>
      </w:r>
      <w:r w:rsidR="00F65E1C" w:rsidRPr="00F533B4">
        <w:rPr>
          <w:color w:val="000000" w:themeColor="text1"/>
        </w:rPr>
        <w:t xml:space="preserve"> </w:t>
      </w:r>
    </w:p>
    <w:p w14:paraId="4522BB72" w14:textId="713AF7E7" w:rsidR="00F65E1C" w:rsidRPr="00F533B4" w:rsidRDefault="00F65E1C" w:rsidP="00E72EBF">
      <w:pPr>
        <w:spacing w:before="120" w:line="480" w:lineRule="auto"/>
        <w:rPr>
          <w:color w:val="000000" w:themeColor="text1"/>
        </w:rPr>
      </w:pPr>
      <w:r w:rsidRPr="00F533B4">
        <w:rPr>
          <w:color w:val="000000" w:themeColor="text1"/>
        </w:rPr>
        <w:t xml:space="preserve">LC-MS-MS analysis was carried out </w:t>
      </w:r>
      <w:r w:rsidR="00E24CFE">
        <w:rPr>
          <w:color w:val="000000" w:themeColor="text1"/>
        </w:rPr>
        <w:t>using the same technical setup as described above.</w:t>
      </w:r>
      <w:r w:rsidRPr="00F533B4">
        <w:rPr>
          <w:color w:val="000000" w:themeColor="text1"/>
        </w:rPr>
        <w:t xml:space="preserve">  Analytes were injected (5 </w:t>
      </w:r>
      <w:r w:rsidRPr="00F533B4">
        <w:rPr>
          <w:color w:val="000000" w:themeColor="text1"/>
        </w:rPr>
        <w:sym w:font="Symbol" w:char="F06D"/>
      </w:r>
      <w:r w:rsidRPr="00F533B4">
        <w:rPr>
          <w:color w:val="000000" w:themeColor="text1"/>
        </w:rPr>
        <w:t xml:space="preserve">L) onto </w:t>
      </w:r>
      <w:r w:rsidR="000735F8" w:rsidRPr="00F533B4">
        <w:rPr>
          <w:color w:val="000000" w:themeColor="text1"/>
        </w:rPr>
        <w:t>an</w:t>
      </w:r>
      <w:r w:rsidRPr="00F533B4">
        <w:rPr>
          <w:color w:val="000000" w:themeColor="text1"/>
        </w:rPr>
        <w:t xml:space="preserve"> Agilent ZORBAX RRHD HILIC Plus 95Å</w:t>
      </w:r>
      <w:r w:rsidRPr="00F533B4">
        <w:rPr>
          <w:bCs/>
          <w:color w:val="000000" w:themeColor="text1"/>
        </w:rPr>
        <w:t xml:space="preserve"> Column </w:t>
      </w:r>
      <w:r w:rsidRPr="00F533B4">
        <w:rPr>
          <w:color w:val="000000" w:themeColor="text1"/>
        </w:rPr>
        <w:t xml:space="preserve">(2.1 mm x 50 mm, 1.8 µm, 40°C) and separated over a 3.5 min. gradient using a mixture of solvents A </w:t>
      </w:r>
      <w:r w:rsidR="00E24CFE">
        <w:rPr>
          <w:color w:val="000000" w:themeColor="text1"/>
        </w:rPr>
        <w:t>(</w:t>
      </w:r>
      <w:r w:rsidR="00E24CFE" w:rsidRPr="00F533B4">
        <w:rPr>
          <w:color w:val="000000" w:themeColor="text1"/>
        </w:rPr>
        <w:t>LC-</w:t>
      </w:r>
      <w:r w:rsidR="00E24CFE" w:rsidRPr="00F533B4">
        <w:rPr>
          <w:color w:val="000000" w:themeColor="text1"/>
        </w:rPr>
        <w:lastRenderedPageBreak/>
        <w:t>MS grade water with 2mM (v/v) ammonium acetate</w:t>
      </w:r>
      <w:r w:rsidR="00E24CFE">
        <w:rPr>
          <w:color w:val="000000" w:themeColor="text1"/>
        </w:rPr>
        <w:t xml:space="preserve">) </w:t>
      </w:r>
      <w:r w:rsidRPr="00F533B4">
        <w:rPr>
          <w:color w:val="000000" w:themeColor="text1"/>
        </w:rPr>
        <w:t>and B</w:t>
      </w:r>
      <w:r w:rsidR="00E24CFE">
        <w:rPr>
          <w:color w:val="000000" w:themeColor="text1"/>
        </w:rPr>
        <w:t xml:space="preserve"> (</w:t>
      </w:r>
      <w:r w:rsidR="00E24CFE" w:rsidRPr="00F533B4">
        <w:rPr>
          <w:color w:val="000000" w:themeColor="text1"/>
        </w:rPr>
        <w:t>HPLC grade acetonitrile</w:t>
      </w:r>
      <w:r w:rsidR="00E24CFE">
        <w:rPr>
          <w:color w:val="000000" w:themeColor="text1"/>
        </w:rPr>
        <w:t>)</w:t>
      </w:r>
      <w:r w:rsidRPr="00F533B4">
        <w:rPr>
          <w:color w:val="000000" w:themeColor="text1"/>
        </w:rPr>
        <w:t xml:space="preserve">. Separations were performed by applying a linear gradient of 100% to 0% solvent B over 2 mins at 0.4 mL/min followed by an equilibration step (1.5 mins at 100% solvent B). </w:t>
      </w:r>
    </w:p>
    <w:p w14:paraId="5579CFAB" w14:textId="23CF9FD0" w:rsidR="00F65E1C" w:rsidRDefault="00F65E1C" w:rsidP="00E72EBF">
      <w:pPr>
        <w:spacing w:before="120" w:line="480" w:lineRule="auto"/>
        <w:rPr>
          <w:color w:val="000000" w:themeColor="text1"/>
        </w:rPr>
      </w:pPr>
      <w:r w:rsidRPr="00F533B4">
        <w:rPr>
          <w:color w:val="000000" w:themeColor="text1"/>
        </w:rPr>
        <w:t>The mass spectrometer was operated in negative ion mode using a Multiple Reaction Monitoring (MRM) method</w:t>
      </w:r>
      <w:r w:rsidR="00E24CFE">
        <w:rPr>
          <w:color w:val="000000" w:themeColor="text1"/>
        </w:rPr>
        <w:t xml:space="preserve"> with the specified </w:t>
      </w:r>
      <w:r w:rsidRPr="00F533B4">
        <w:rPr>
          <w:color w:val="000000" w:themeColor="text1"/>
        </w:rPr>
        <w:t>mass transitions and collision energies</w:t>
      </w:r>
      <w:r w:rsidR="005A43FF">
        <w:rPr>
          <w:color w:val="000000" w:themeColor="text1"/>
        </w:rPr>
        <w:t>:</w:t>
      </w:r>
      <w:r w:rsidRPr="00F533B4">
        <w:rPr>
          <w:color w:val="000000" w:themeColor="text1"/>
        </w:rPr>
        <w:t xml:space="preserve"> fosfomycin 137.1 &gt; 79.0 (Ce 20 ev) and EPA 109.1 &gt; 79.0 (Ce 20 ev)</w:t>
      </w:r>
      <w:r w:rsidR="005A43FF">
        <w:rPr>
          <w:color w:val="000000" w:themeColor="text1"/>
        </w:rPr>
        <w:t>.</w:t>
      </w:r>
      <w:r w:rsidR="00E24CFE">
        <w:rPr>
          <w:color w:val="000000" w:themeColor="text1"/>
        </w:rPr>
        <w:t xml:space="preserve"> Mass spectrometry readouts were processed as described above.</w:t>
      </w:r>
    </w:p>
    <w:p w14:paraId="4E9DD896" w14:textId="2F830E76" w:rsidR="005A43FF" w:rsidRPr="00F533B4" w:rsidRDefault="005A43FF" w:rsidP="00E72EBF">
      <w:pPr>
        <w:spacing w:before="120" w:line="480" w:lineRule="auto"/>
        <w:rPr>
          <w:color w:val="000000" w:themeColor="text1"/>
        </w:rPr>
      </w:pPr>
      <w:r>
        <w:rPr>
          <w:color w:val="000000" w:themeColor="text1"/>
        </w:rPr>
        <w:t xml:space="preserve">This fosfomycin analytical method underwent the same validation process as the amikacin method described above. The average recovery from matrix was 80.9%.  The LLQ was defined as 1 mg/L and the LOD 0.5 mg/L.  The inter and </w:t>
      </w:r>
      <w:proofErr w:type="spellStart"/>
      <w:r>
        <w:rPr>
          <w:color w:val="000000" w:themeColor="text1"/>
        </w:rPr>
        <w:t>intra day</w:t>
      </w:r>
      <w:proofErr w:type="spellEnd"/>
      <w:r>
        <w:rPr>
          <w:color w:val="000000" w:themeColor="text1"/>
        </w:rPr>
        <w:t xml:space="preserve"> %CV on the three QC levels ranged from 6.5% – 8.1% and 4.7% – 6.9% respectively.  The analyte was found to be stable in all conditions described above.</w:t>
      </w:r>
    </w:p>
    <w:p w14:paraId="1D913D2B" w14:textId="3AF0908E" w:rsidR="00360518" w:rsidRPr="00F533B4" w:rsidRDefault="00360518" w:rsidP="00E72EBF">
      <w:pPr>
        <w:spacing w:before="120" w:line="480" w:lineRule="auto"/>
        <w:rPr>
          <w:color w:val="000000" w:themeColor="text1"/>
        </w:rPr>
      </w:pPr>
      <w:r w:rsidRPr="00F533B4">
        <w:rPr>
          <w:b/>
          <w:color w:val="000000" w:themeColor="text1"/>
        </w:rPr>
        <w:t>Modelling</w:t>
      </w:r>
      <w:r w:rsidRPr="00F533B4">
        <w:rPr>
          <w:color w:val="000000" w:themeColor="text1"/>
        </w:rPr>
        <w:t xml:space="preserve">. </w:t>
      </w:r>
      <w:r w:rsidR="00715360" w:rsidRPr="00F533B4">
        <w:rPr>
          <w:color w:val="000000" w:themeColor="text1"/>
        </w:rPr>
        <w:t xml:space="preserve">Population PK models were constructed using the </w:t>
      </w:r>
      <w:r w:rsidR="005B4C7B" w:rsidRPr="00F533B4">
        <w:rPr>
          <w:color w:val="000000" w:themeColor="text1"/>
        </w:rPr>
        <w:t>pharmacokinetic</w:t>
      </w:r>
      <w:r w:rsidR="00715360" w:rsidRPr="00F533B4">
        <w:rPr>
          <w:color w:val="000000" w:themeColor="text1"/>
        </w:rPr>
        <w:t xml:space="preserve"> </w:t>
      </w:r>
      <w:r w:rsidRPr="00F533B4">
        <w:rPr>
          <w:color w:val="000000" w:themeColor="text1"/>
        </w:rPr>
        <w:t xml:space="preserve">and pharmacodynamic outputs of the hollow </w:t>
      </w:r>
      <w:proofErr w:type="spellStart"/>
      <w:r w:rsidR="003414D1">
        <w:rPr>
          <w:color w:val="000000" w:themeColor="text1"/>
        </w:rPr>
        <w:t>fiber</w:t>
      </w:r>
      <w:proofErr w:type="spellEnd"/>
      <w:r w:rsidRPr="00F533B4">
        <w:rPr>
          <w:color w:val="000000" w:themeColor="text1"/>
        </w:rPr>
        <w:t xml:space="preserve"> experiment</w:t>
      </w:r>
      <w:r w:rsidR="005B4C7B" w:rsidRPr="00F533B4">
        <w:rPr>
          <w:color w:val="000000" w:themeColor="text1"/>
        </w:rPr>
        <w:t>s</w:t>
      </w:r>
      <w:r w:rsidRPr="00F533B4">
        <w:rPr>
          <w:color w:val="000000" w:themeColor="text1"/>
        </w:rPr>
        <w:t xml:space="preserve"> using </w:t>
      </w:r>
      <w:r w:rsidR="00F0239B">
        <w:rPr>
          <w:color w:val="000000" w:themeColor="text1"/>
        </w:rPr>
        <w:t xml:space="preserve">the population PK program </w:t>
      </w:r>
      <w:r w:rsidRPr="00F533B4">
        <w:rPr>
          <w:color w:val="000000" w:themeColor="text1"/>
        </w:rPr>
        <w:t>Pmetrics</w:t>
      </w:r>
      <w:r w:rsidR="008637A7">
        <w:rPr>
          <w:color w:val="000000" w:themeColor="text1"/>
        </w:rPr>
        <w:t xml:space="preserve"> using a nonparametric adaptive grid NPAG estimation routine</w:t>
      </w:r>
      <w:r w:rsidRPr="00F533B4">
        <w:rPr>
          <w:color w:val="000000" w:themeColor="text1"/>
        </w:rPr>
        <w:t xml:space="preserve"> </w:t>
      </w:r>
      <w:r w:rsidRPr="00F533B4">
        <w:rPr>
          <w:color w:val="000000" w:themeColor="text1"/>
        </w:rPr>
        <w:fldChar w:fldCharType="begin" w:fldLock="1"/>
      </w:r>
      <w:r w:rsidR="005578B0">
        <w:rPr>
          <w:color w:val="000000" w:themeColor="text1"/>
        </w:rPr>
        <w:instrText>ADDIN CSL_CITATION {"citationItems":[{"id":"ITEM-1","itemData":{"DOI":"10.1097/FTD.0b013e31825c4ba6","ISSN":"01634356","abstract":"INTRODUCTION: Nonparametric population modeling algorithms have a theoretical superiority over parametric methods to detect pharmacokinetic and pharmacodynamic subgroups and outliers within a study population. METHODS: The authors created \"Pmetrics,\" a new Windows and Unix R software package that updates the older MM-USCPACK software for nonparametric and parametric population modeling and simulation of pharmacokinetic and pharmacodynamic systems. The parametric iterative 2-stage Bayesian and the nonparametric adaptive grid (NPAG) approaches in Pmetrics were used to fit a simulated population with bimodal elimination (Kel) and unimodal volume of distribution (Vd), plus an extreme outlier, for a 1-compartment model of an intravenous drug. RESULTS: The true means (SD) for Kel and Vd in the population sample were 0.19 (0.17) and 102 (22.3), respectively. Those found by NPAG were 0.19 (0.16) and 104 (22.6). The iterative 2-stage Bayesian estimated them to be 0.18 (0.16) and 104 (24.4). However, given the bimodality of Kel, no subject had a value near the mean for the population. Only NPAG was able to accurately detect the bimodal distribution for Kel and to find the outlier in both the population model and in the Bayesian posterior parameter estimates. CONCLUSIONS: Built on over 3 decades of work, Pmetrics adopts a robust, reliable, and mature nonparametric approach to population modeling, which was better than the parametric method at discovering true pharmacokinetic subgroups and an outlier. Copyright © 2012 by Lippincott Williams &amp; Wilkins.","author":[{"dropping-particle":"","family":"Neely","given":"Michael N.","non-dropping-particle":"","parse-names":false,"suffix":""},{"dropping-particle":"","family":"Guilder","given":"Michael G.","non-dropping-particle":"Van","parse-names":false,"suffix":""},{"dropping-particle":"","family":"Yamada","given":"Walter M.","non-dropping-particle":"","parse-names":false,"suffix":""},{"dropping-particle":"","family":"Schumitzky","given":"Alan","non-dropping-particle":"","parse-names":false,"suffix":""},{"dropping-particle":"","family":"Jelliffe","given":"Roger W.","non-dropping-particle":"","parse-names":false,"suffix":""}],"container-title":"Therapeutic Drug Monitoring","id":"ITEM-1","issue":"4","issued":{"date-parts":[["2012"]]},"page":"467-76","title":"Accurate detection of outliers and subpopulations with pmetrics, a nonparametric and parametric pharmacometric modeling and simulation package for R","type":"article-journal","volume":"34"},"uris":["http://www.mendeley.com/documents/?uuid=1c16a258-8ba6-3e68-935a-1b31e1ad4b93"]}],"mendeley":{"formattedCitation":"(54)","plainTextFormattedCitation":"(54)","previouslyFormattedCitation":"(54)"},"properties":{"noteIndex":0},"schema":"https://github.com/citation-style-language/schema/raw/master/csl-citation.json"}</w:instrText>
      </w:r>
      <w:r w:rsidRPr="00F533B4">
        <w:rPr>
          <w:color w:val="000000" w:themeColor="text1"/>
        </w:rPr>
        <w:fldChar w:fldCharType="separate"/>
      </w:r>
      <w:r w:rsidR="005578B0" w:rsidRPr="005578B0">
        <w:rPr>
          <w:noProof/>
          <w:color w:val="000000" w:themeColor="text1"/>
        </w:rPr>
        <w:t>(54)</w:t>
      </w:r>
      <w:r w:rsidRPr="00F533B4">
        <w:rPr>
          <w:color w:val="000000" w:themeColor="text1"/>
        </w:rPr>
        <w:fldChar w:fldCharType="end"/>
      </w:r>
      <w:r w:rsidR="002D5F57" w:rsidRPr="00F533B4">
        <w:rPr>
          <w:color w:val="000000" w:themeColor="text1"/>
        </w:rPr>
        <w:t xml:space="preserve">. The structural model </w:t>
      </w:r>
      <w:r w:rsidR="00A77AEC" w:rsidRPr="00F533B4">
        <w:rPr>
          <w:color w:val="000000" w:themeColor="text1"/>
        </w:rPr>
        <w:t xml:space="preserve">was based on Greco’s models of pharmacological synergy </w:t>
      </w:r>
      <w:r w:rsidR="00A77AEC" w:rsidRPr="00F533B4">
        <w:rPr>
          <w:color w:val="000000" w:themeColor="text1"/>
        </w:rPr>
        <w:fldChar w:fldCharType="begin" w:fldLock="1"/>
      </w:r>
      <w:r w:rsidR="00EC6CE2">
        <w:rPr>
          <w:color w:val="000000" w:themeColor="text1"/>
        </w:rPr>
        <w:instrText>ADDIN CSL_CITATION {"citationItems":[{"id":"ITEM-1","itemData":{"ISBN":"0008-5472 (Print)\\r0008-5472 (Linking)","ISSN":"00085472","PMID":"2386940","abstract":"This report describes the application of a new approach, the universal response surface approach, to the quantitative assessment of drug inter action, i.e., the determination of synergism, antagonism, additivity, po- tentiation, inhibition, and coalitive action. The specific drug combination and experimental growth system for this introductory application was that of I-/3-r&gt;arabinofuranosylcytosine (ara-C) and cisplatin with simul taneous drug exposure (1, 3, 6, 12, or 48 h) against I.I21(1 leukemia in vitro. To quantitate the type and degree of drug interaction, a model was fitted using nonlinear regression to the data from each separate experi ment, and parameters were estimated (K. C. Syracuse and W. R. Greco, Proc. Biopharm. Sect. Am. Stat. Assoc., 127-132,1986). The parameters included the maximum cell density over background in absence of drug, the background cell density in presence of infinite drug, the 50% inhibi tory concentrations and concentration-effect slopes for each drug, and a synergism-antagonism parameter, a. A positive a indicates synergism, a negative a, antagonism, and a zero a, additivity. Maximal synergy was found with a 3-h exposure of ara-C + cisplatin, with a = 3.08 Â±0.96 (SE) and 2.44 Â± 0.70 in two separate experiments. Four different graphic representations of the raw data and fitted curves provide visual indications of goodness of fit of the estimated dose-response surface to the data and visual indications of the intensity of drug interaction. The universal response surface approach is mathematically consistent with the tradi tional isobologram approach but is more objective, is more quantitative, and is more easily automated. Although specifically developed for in vitro cancer chemotherapy applications, the universal response surface approach should prove to be useful in the fields of pharmacology, toxicology, epidemiology, and biomedicai science in general.","author":[{"dropping-particle":"","family":"Greco","given":"William R","non-dropping-particle":"","parse-names":false,"suffix":""},{"dropping-particle":"","family":"Park","given":"Hyoung Sook","non-dropping-particle":"","parse-names":false,"suffix":""},{"dropping-particle":"","family":"Rustum","given":"Youcef M","non-dropping-particle":"","parse-names":false,"suffix":""}],"container-title":"Cancer Research","id":"ITEM-1","issued":{"date-parts":[["1990"]]},"page":"5318-5327","title":"Application of a New Approach for the Quantitation of Drug Synergism to the Combination of cis -Diamminedichloroplatinum and 1- β -d-Arabinofuranosylcytosine Application of a New Approach for the Quantitation of Drug Synergism to the Combination of m-Diam","type":"article-journal","volume":"50"},"uris":["http://www.mendeley.com/documents/?uuid=6608a118-4b39-4589-92a7-9d021bcaff64"]}],"mendeley":{"formattedCitation":"(15)","plainTextFormattedCitation":"(15)","previouslyFormattedCitation":"(15)"},"properties":{"noteIndex":0},"schema":"https://github.com/citation-style-language/schema/raw/master/csl-citation.json"}</w:instrText>
      </w:r>
      <w:r w:rsidR="00A77AEC" w:rsidRPr="00F533B4">
        <w:rPr>
          <w:color w:val="000000" w:themeColor="text1"/>
        </w:rPr>
        <w:fldChar w:fldCharType="separate"/>
      </w:r>
      <w:r w:rsidR="00EC6CE2" w:rsidRPr="00EC6CE2">
        <w:rPr>
          <w:noProof/>
          <w:color w:val="000000" w:themeColor="text1"/>
        </w:rPr>
        <w:t>(15)</w:t>
      </w:r>
      <w:r w:rsidR="00A77AEC" w:rsidRPr="00F533B4">
        <w:rPr>
          <w:color w:val="000000" w:themeColor="text1"/>
        </w:rPr>
        <w:fldChar w:fldCharType="end"/>
      </w:r>
      <w:r w:rsidR="00BB3A3A">
        <w:rPr>
          <w:color w:val="000000" w:themeColor="text1"/>
        </w:rPr>
        <w:t xml:space="preserve"> (described in full in </w:t>
      </w:r>
      <w:r w:rsidR="005979BF">
        <w:rPr>
          <w:color w:val="000000" w:themeColor="text1"/>
        </w:rPr>
        <w:t>Text</w:t>
      </w:r>
      <w:r w:rsidR="00BB3A3A">
        <w:rPr>
          <w:color w:val="000000" w:themeColor="text1"/>
        </w:rPr>
        <w:t xml:space="preserve"> </w:t>
      </w:r>
      <w:r w:rsidR="005979BF">
        <w:rPr>
          <w:color w:val="000000" w:themeColor="text1"/>
        </w:rPr>
        <w:t>S</w:t>
      </w:r>
      <w:r w:rsidR="00BB3A3A">
        <w:rPr>
          <w:color w:val="000000" w:themeColor="text1"/>
        </w:rPr>
        <w:t>1</w:t>
      </w:r>
      <w:r w:rsidR="005979BF">
        <w:rPr>
          <w:color w:val="000000" w:themeColor="text1"/>
        </w:rPr>
        <w:t>, Supplementary Materials</w:t>
      </w:r>
      <w:r w:rsidR="00BB3A3A">
        <w:rPr>
          <w:color w:val="000000" w:themeColor="text1"/>
        </w:rPr>
        <w:t>).</w:t>
      </w:r>
    </w:p>
    <w:p w14:paraId="146E57B7" w14:textId="5CFB5DFE" w:rsidR="00CF0B3C" w:rsidRPr="002A686A" w:rsidRDefault="00CF0B3C" w:rsidP="00E72EBF">
      <w:pPr>
        <w:spacing w:before="120" w:line="480" w:lineRule="auto"/>
        <w:rPr>
          <w:rFonts w:eastAsiaTheme="minorEastAsia"/>
          <w:color w:val="000000" w:themeColor="text1"/>
        </w:rPr>
      </w:pPr>
      <w:proofErr w:type="spellStart"/>
      <w:r>
        <w:rPr>
          <w:rFonts w:eastAsiaTheme="minorEastAsia"/>
          <w:b/>
          <w:bCs/>
          <w:color w:val="000000" w:themeColor="text1"/>
        </w:rPr>
        <w:t>Mo</w:t>
      </w:r>
      <w:proofErr w:type="spellEnd"/>
      <w:r>
        <w:rPr>
          <w:rFonts w:eastAsiaTheme="minorEastAsia"/>
          <w:b/>
          <w:bCs/>
          <w:color w:val="000000" w:themeColor="text1"/>
        </w:rPr>
        <w:t>nte Carlo Simulation</w:t>
      </w:r>
      <w:r>
        <w:rPr>
          <w:rFonts w:eastAsiaTheme="minorEastAsia"/>
          <w:color w:val="000000" w:themeColor="text1"/>
        </w:rPr>
        <w:t>.</w:t>
      </w:r>
      <w:r w:rsidR="00530EEA">
        <w:rPr>
          <w:rFonts w:eastAsiaTheme="minorEastAsia"/>
          <w:color w:val="000000" w:themeColor="text1"/>
        </w:rPr>
        <w:t xml:space="preserve"> A neonatal model for fosfomycin developed from the </w:t>
      </w:r>
      <w:proofErr w:type="spellStart"/>
      <w:r w:rsidR="00530EEA">
        <w:rPr>
          <w:rFonts w:eastAsiaTheme="minorEastAsia"/>
          <w:color w:val="000000" w:themeColor="text1"/>
        </w:rPr>
        <w:t>Neofosfo</w:t>
      </w:r>
      <w:proofErr w:type="spellEnd"/>
      <w:r w:rsidR="00530EEA">
        <w:rPr>
          <w:rFonts w:eastAsiaTheme="minorEastAsia"/>
          <w:color w:val="000000" w:themeColor="text1"/>
        </w:rPr>
        <w:t xml:space="preserve"> trial </w:t>
      </w:r>
      <w:r w:rsidR="00530EEA">
        <w:rPr>
          <w:rFonts w:eastAsiaTheme="minorEastAsia"/>
          <w:color w:val="000000" w:themeColor="text1"/>
        </w:rPr>
        <w:fldChar w:fldCharType="begin" w:fldLock="1"/>
      </w:r>
      <w:r w:rsidR="005578B0">
        <w:rPr>
          <w:rFonts w:eastAsiaTheme="minorEastAsia"/>
          <w:color w:val="000000" w:themeColor="text1"/>
        </w:rPr>
        <w:instrText>ADDIN CSL_CITATION {"citationItems":[{"id":"ITEM-1","itemData":{"URL":"https://clinicaltrials.gov/ct2/show/NCT03453177","container-title":"Clinicaltrials.gov","id":"ITEM-1","issued":{"date-parts":[["2019"]]},"title":"Intravenous and Oral Fosfomycin in Hospitalised Neonates With Clinical Sepsis (NeoFosfo) - NCT03453177","type":"webpage"},"uris":["http://www.mendeley.com/documents/?uuid=35483161-7169-44ac-b3a2-c332e5f45336"]},{"id":"ITEM-2","itemData":{"author":[{"dropping-particle":"","family":"Kane","given":"Zoe","non-dropping-particle":"","parse-names":false,"suffix":""},{"dropping-particle":"","family":"Gastine","given":"Silke","non-dropping-particle":"","parse-names":false,"suffix":""},{"dropping-particle":"","family":"Williams","given":"Phoebe","non-dropping-particle":"","parse-names":false,"suffix":""},{"dropping-particle":"","family":"Berkley","given":"James A.","non-dropping-particle":"","parse-names":false,"suffix":""},{"dropping-particle":"","family":"Ellis","given":"Sally","non-dropping-particle":"","parse-names":false,"suffix":""},{"dropping-particle":"","family":"Correia","given":"Erika","non-dropping-particle":"","parse-names":false,"suffix":""},{"dropping-particle":"","family":"Darlow","given":"Christopher","non-dropping-particle":"","parse-names":false,"suffix":""},{"dropping-particle":"","family":"Hope","given":"William","non-dropping-particle":"","parse-names":false,"suffix":""},{"dropping-particle":"","family":"Sharland","given":"Mike","non-dropping-particle":"","parse-names":false,"suffix":""},{"dropping-particle":"","family":"Standing","given":"Joseph F.","non-dropping-particle":"","parse-names":false,"suffix":""}],"container-title":"ECCMID Abstract book 2020","id":"ITEM-2","issued":{"date-parts":[["2020"]]},"page":"2206","title":"Abtract 4568: PK/PD of intravenous and oral fosfomycin in neonates with presumed serious bacterial Infection","type":"article-journal"},"uris":["http://www.mendeley.com/documents/?uuid=70a0f89f-025b-46f7-8bee-dc8bd6c4975b"]}],"mendeley":{"formattedCitation":"(23, 55)","plainTextFormattedCitation":"(23, 55)","previouslyFormattedCitation":"(23, 55)"},"properties":{"noteIndex":0},"schema":"https://github.com/citation-style-language/schema/raw/master/csl-citation.json"}</w:instrText>
      </w:r>
      <w:r w:rsidR="00530EEA">
        <w:rPr>
          <w:rFonts w:eastAsiaTheme="minorEastAsia"/>
          <w:color w:val="000000" w:themeColor="text1"/>
        </w:rPr>
        <w:fldChar w:fldCharType="separate"/>
      </w:r>
      <w:r w:rsidR="005578B0" w:rsidRPr="005578B0">
        <w:rPr>
          <w:rFonts w:eastAsiaTheme="minorEastAsia"/>
          <w:noProof/>
          <w:color w:val="000000" w:themeColor="text1"/>
        </w:rPr>
        <w:t>(23, 55)</w:t>
      </w:r>
      <w:r w:rsidR="00530EEA">
        <w:rPr>
          <w:rFonts w:eastAsiaTheme="minorEastAsia"/>
          <w:color w:val="000000" w:themeColor="text1"/>
        </w:rPr>
        <w:fldChar w:fldCharType="end"/>
      </w:r>
      <w:r w:rsidR="00530EEA">
        <w:rPr>
          <w:rFonts w:eastAsiaTheme="minorEastAsia"/>
          <w:color w:val="000000" w:themeColor="text1"/>
        </w:rPr>
        <w:t xml:space="preserve"> and previously published neonatal amikacin </w:t>
      </w:r>
      <w:r w:rsidR="00530EEA">
        <w:rPr>
          <w:rFonts w:eastAsiaTheme="minorEastAsia"/>
          <w:color w:val="000000" w:themeColor="text1"/>
        </w:rPr>
        <w:fldChar w:fldCharType="begin" w:fldLock="1"/>
      </w:r>
      <w:r w:rsidR="005578B0">
        <w:rPr>
          <w:rFonts w:eastAsiaTheme="minorEastAsia"/>
          <w:color w:val="000000" w:themeColor="text1"/>
        </w:rPr>
        <w:instrText>ADDIN CSL_CITATION {"citationItems":[{"id":"ITEM-1","itemData":{"DOI":"10.1111/bcp.13016","ISSN":"13652125","PMID":"27198625","abstract":"AIMS: We aimed to compare the performance of renal function and age as predictors of inter-individual variability (IIV) in clearance of amikacin in neonates through parallel development of population pharmacokinetic (PK) models and their associated impact on optimal dosing regimens. METHODS: Amikacin concentrations were retrospectively collected for 149 neonates receiving amikacin (post-natal age (PNA) between 4-89 days). Two population PK models were developed in parallel, considering at least as predictors current body weight (WT), in combination with either creatinine clearance (CLcr ) or age descriptors. Using stochastic simulations for both renal function or age-based dosing, we identified optimal dosing strategies that were based on attainment of optimal peak- (PCC) and trough target concentration coverage (TCC) windows associated with efficacy and toxicity. RESULTS: The CLcr and age-based population PK models both included current body weight (WT) on CL, central distribution volume and intercompartmental clearance, in combination with either CLcr or PNA as predictors for IIV of clearance (CL). The WT-CLcr model explained 6.9% more IIV in CL compared with the WT-PNA model. Both models successfully described an external dataset (n = 53) of amikacin PK. The simulation analysis of optimal dose regimens suggested similar performance of either CLcr or PNA based dosing. CONCLUSION: CLcr predicted more IIV in CL, but did not translate into clinically relevant improvements of target concentrations. Our optimized dose regimens can be considered for further evaluation to optimize initial treatment with amikacin.","author":[{"dropping-particle":"","family":"Illamola","given":"Sílvia M.","non-dropping-particle":"","parse-names":false,"suffix":""},{"dropping-particle":"","family":"Colom","given":"Helena","non-dropping-particle":"","parse-names":false,"suffix":""},{"dropping-particle":"","family":"Hasselt","given":"J. G.Coen","non-dropping-particle":"van","parse-names":false,"suffix":""}],"container-title":"British Journal of Clinical Pharmacology","id":"ITEM-1","issued":{"date-parts":[["2016"]]},"page":"793-805","title":"Evaluating renal function and age as predictors of amikacin clearance in neonates: model-based analysis and optimal dosing strategies","type":"article-journal"},"uris":["http://www.mendeley.com/documents/?uuid=293c628c-e8ec-434f-9251-a5526f90c865"]}],"mendeley":{"formattedCitation":"(56)","plainTextFormattedCitation":"(56)","previouslyFormattedCitation":"(56)"},"properties":{"noteIndex":0},"schema":"https://github.com/citation-style-language/schema/raw/master/csl-citation.json"}</w:instrText>
      </w:r>
      <w:r w:rsidR="00530EEA">
        <w:rPr>
          <w:rFonts w:eastAsiaTheme="minorEastAsia"/>
          <w:color w:val="000000" w:themeColor="text1"/>
        </w:rPr>
        <w:fldChar w:fldCharType="separate"/>
      </w:r>
      <w:r w:rsidR="005578B0" w:rsidRPr="005578B0">
        <w:rPr>
          <w:rFonts w:eastAsiaTheme="minorEastAsia"/>
          <w:noProof/>
          <w:color w:val="000000" w:themeColor="text1"/>
        </w:rPr>
        <w:t>(56)</w:t>
      </w:r>
      <w:r w:rsidR="00530EEA">
        <w:rPr>
          <w:rFonts w:eastAsiaTheme="minorEastAsia"/>
          <w:color w:val="000000" w:themeColor="text1"/>
        </w:rPr>
        <w:fldChar w:fldCharType="end"/>
      </w:r>
      <w:r w:rsidR="00530EEA">
        <w:rPr>
          <w:rFonts w:eastAsiaTheme="minorEastAsia"/>
          <w:color w:val="000000" w:themeColor="text1"/>
        </w:rPr>
        <w:t xml:space="preserve"> was used to simulate fosfomycin/amikacin PK profiles</w:t>
      </w:r>
      <w:r>
        <w:rPr>
          <w:rFonts w:eastAsiaTheme="minorEastAsia"/>
          <w:color w:val="000000" w:themeColor="text1"/>
        </w:rPr>
        <w:t xml:space="preserve"> </w:t>
      </w:r>
      <w:r w:rsidR="00530EEA">
        <w:rPr>
          <w:rFonts w:eastAsiaTheme="minorEastAsia"/>
          <w:color w:val="000000" w:themeColor="text1"/>
        </w:rPr>
        <w:t xml:space="preserve">from </w:t>
      </w:r>
      <w:r>
        <w:rPr>
          <w:rFonts w:eastAsiaTheme="minorEastAsia"/>
          <w:color w:val="000000" w:themeColor="text1"/>
        </w:rPr>
        <w:t>10,000 neonates</w:t>
      </w:r>
      <w:r w:rsidR="00530EEA">
        <w:rPr>
          <w:rFonts w:eastAsiaTheme="minorEastAsia"/>
          <w:color w:val="000000" w:themeColor="text1"/>
        </w:rPr>
        <w:t xml:space="preserve"> </w:t>
      </w:r>
      <w:r w:rsidR="008637A7">
        <w:rPr>
          <w:rFonts w:eastAsiaTheme="minorEastAsia"/>
          <w:color w:val="000000" w:themeColor="text1"/>
        </w:rPr>
        <w:t xml:space="preserve">the </w:t>
      </w:r>
      <w:proofErr w:type="spellStart"/>
      <w:r w:rsidR="008637A7">
        <w:rPr>
          <w:rFonts w:eastAsiaTheme="minorEastAsia"/>
          <w:color w:val="000000" w:themeColor="text1"/>
        </w:rPr>
        <w:t>linPK</w:t>
      </w:r>
      <w:proofErr w:type="spellEnd"/>
      <w:r w:rsidR="008637A7">
        <w:rPr>
          <w:rFonts w:eastAsiaTheme="minorEastAsia"/>
          <w:color w:val="000000" w:themeColor="text1"/>
        </w:rPr>
        <w:t xml:space="preserve"> package in </w:t>
      </w:r>
      <w:r w:rsidR="004D287C">
        <w:rPr>
          <w:rFonts w:eastAsiaTheme="minorEastAsia"/>
          <w:color w:val="000000" w:themeColor="text1"/>
        </w:rPr>
        <w:t>R (</w:t>
      </w:r>
      <w:r w:rsidR="004D287C" w:rsidRPr="004D287C">
        <w:rPr>
          <w:rFonts w:eastAsiaTheme="minorEastAsia"/>
          <w:color w:val="000000" w:themeColor="text1"/>
        </w:rPr>
        <w:t>https://cran.r-project.org/web/packages/linpk/index.html</w:t>
      </w:r>
      <w:r w:rsidR="004D287C">
        <w:rPr>
          <w:rFonts w:eastAsiaTheme="minorEastAsia"/>
          <w:color w:val="000000" w:themeColor="text1"/>
        </w:rPr>
        <w:t>)</w:t>
      </w:r>
      <w:r w:rsidR="00530EEA">
        <w:rPr>
          <w:rFonts w:eastAsiaTheme="minorEastAsia"/>
          <w:color w:val="000000" w:themeColor="text1"/>
        </w:rPr>
        <w:t xml:space="preserve">. The simulated population was </w:t>
      </w:r>
      <w:r>
        <w:rPr>
          <w:rFonts w:eastAsiaTheme="minorEastAsia"/>
          <w:color w:val="000000" w:themeColor="text1"/>
        </w:rPr>
        <w:t xml:space="preserve">based on the </w:t>
      </w:r>
      <w:r w:rsidR="008637A7">
        <w:rPr>
          <w:rFonts w:eastAsiaTheme="minorEastAsia"/>
          <w:color w:val="000000" w:themeColor="text1"/>
        </w:rPr>
        <w:lastRenderedPageBreak/>
        <w:t xml:space="preserve">demographic </w:t>
      </w:r>
      <w:r>
        <w:rPr>
          <w:rFonts w:eastAsiaTheme="minorEastAsia"/>
          <w:color w:val="000000" w:themeColor="text1"/>
        </w:rPr>
        <w:t xml:space="preserve">distribution of neonates in the </w:t>
      </w:r>
      <w:proofErr w:type="spellStart"/>
      <w:r>
        <w:rPr>
          <w:rFonts w:eastAsiaTheme="minorEastAsia"/>
          <w:color w:val="000000" w:themeColor="text1"/>
        </w:rPr>
        <w:t>Neofosfo</w:t>
      </w:r>
      <w:proofErr w:type="spellEnd"/>
      <w:r>
        <w:rPr>
          <w:rFonts w:eastAsiaTheme="minorEastAsia"/>
          <w:color w:val="000000" w:themeColor="text1"/>
        </w:rPr>
        <w:t xml:space="preserve"> trial </w:t>
      </w:r>
      <w:r>
        <w:rPr>
          <w:rFonts w:eastAsiaTheme="minorEastAsia"/>
          <w:color w:val="000000" w:themeColor="text1"/>
        </w:rPr>
        <w:fldChar w:fldCharType="begin" w:fldLock="1"/>
      </w:r>
      <w:r w:rsidR="005578B0">
        <w:rPr>
          <w:rFonts w:eastAsiaTheme="minorEastAsia"/>
          <w:color w:val="000000" w:themeColor="text1"/>
        </w:rPr>
        <w:instrText>ADDIN CSL_CITATION {"citationItems":[{"id":"ITEM-1","itemData":{"URL":"https://clinicaltrials.gov/ct2/show/NCT03453177","container-title":"Clinicaltrials.gov","id":"ITEM-1","issued":{"date-parts":[["2019"]]},"title":"Intravenous and Oral Fosfomycin in Hospitalised Neonates With Clinical Sepsis (NeoFosfo) - NCT03453177","type":"webpage"},"uris":["http://www.mendeley.com/documents/?uuid=35483161-7169-44ac-b3a2-c332e5f45336"]}],"mendeley":{"formattedCitation":"(23)","plainTextFormattedCitation":"(23)","previouslyFormattedCitation":"(23)"},"properties":{"noteIndex":0},"schema":"https://github.com/citation-style-language/schema/raw/master/csl-citation.json"}</w:instrText>
      </w:r>
      <w:r>
        <w:rPr>
          <w:rFonts w:eastAsiaTheme="minorEastAsia"/>
          <w:color w:val="000000" w:themeColor="text1"/>
        </w:rPr>
        <w:fldChar w:fldCharType="separate"/>
      </w:r>
      <w:r w:rsidR="005578B0" w:rsidRPr="005578B0">
        <w:rPr>
          <w:rFonts w:eastAsiaTheme="minorEastAsia"/>
          <w:noProof/>
          <w:color w:val="000000" w:themeColor="text1"/>
        </w:rPr>
        <w:t>(23)</w:t>
      </w:r>
      <w:r>
        <w:rPr>
          <w:rFonts w:eastAsiaTheme="minorEastAsia"/>
          <w:color w:val="000000" w:themeColor="text1"/>
        </w:rPr>
        <w:fldChar w:fldCharType="end"/>
      </w:r>
      <w:r w:rsidR="008637A7">
        <w:rPr>
          <w:rFonts w:eastAsiaTheme="minorEastAsia"/>
          <w:color w:val="000000" w:themeColor="text1"/>
        </w:rPr>
        <w:t xml:space="preserve"> combined with data from an international multi-centre neonatal observational trial </w:t>
      </w:r>
      <w:r w:rsidR="008637A7">
        <w:rPr>
          <w:rFonts w:eastAsiaTheme="minorEastAsia"/>
          <w:color w:val="000000" w:themeColor="text1"/>
        </w:rPr>
        <w:fldChar w:fldCharType="begin" w:fldLock="1"/>
      </w:r>
      <w:r w:rsidR="005578B0">
        <w:rPr>
          <w:rFonts w:eastAsiaTheme="minorEastAsia"/>
          <w:color w:val="000000" w:themeColor="text1"/>
        </w:rPr>
        <w:instrText>ADDIN CSL_CITATION {"citationItems":[{"id":"ITEM-1","itemData":{"URL":"https://clinicaltrials.gov/ct2/show/NCT03721302","accessed":{"date-parts":[["2020","6","5"]]},"container-title":"ClinicalTrials.gov","id":"ITEM-1","issued":{"date-parts":[["2018"]]},"title":"NeoAMR Observational Study in Neonatal Sepsis - NCT03721302","type":"webpage"},"uris":["http://www.mendeley.com/documents/?uuid=928ff03f-c8d9-3530-a12a-5b504e45def0"]}],"mendeley":{"formattedCitation":"(24)","plainTextFormattedCitation":"(24)","previouslyFormattedCitation":"(24)"},"properties":{"noteIndex":0},"schema":"https://github.com/citation-style-language/schema/raw/master/csl-citation.json"}</w:instrText>
      </w:r>
      <w:r w:rsidR="008637A7">
        <w:rPr>
          <w:rFonts w:eastAsiaTheme="minorEastAsia"/>
          <w:color w:val="000000" w:themeColor="text1"/>
        </w:rPr>
        <w:fldChar w:fldCharType="separate"/>
      </w:r>
      <w:r w:rsidR="005578B0" w:rsidRPr="005578B0">
        <w:rPr>
          <w:rFonts w:eastAsiaTheme="minorEastAsia"/>
          <w:noProof/>
          <w:color w:val="000000" w:themeColor="text1"/>
        </w:rPr>
        <w:t>(24)</w:t>
      </w:r>
      <w:r w:rsidR="008637A7">
        <w:rPr>
          <w:rFonts w:eastAsiaTheme="minorEastAsia"/>
          <w:color w:val="000000" w:themeColor="text1"/>
        </w:rPr>
        <w:fldChar w:fldCharType="end"/>
      </w:r>
      <w:r w:rsidR="00530EEA">
        <w:rPr>
          <w:rFonts w:eastAsiaTheme="minorEastAsia"/>
          <w:color w:val="000000" w:themeColor="text1"/>
        </w:rPr>
        <w:t>.</w:t>
      </w:r>
      <w:r w:rsidR="008637A7">
        <w:rPr>
          <w:rFonts w:eastAsiaTheme="minorEastAsia"/>
          <w:color w:val="000000" w:themeColor="text1"/>
        </w:rPr>
        <w:t xml:space="preserve"> From the simulated PK profiles</w:t>
      </w:r>
      <w:r w:rsidR="00DD295E">
        <w:rPr>
          <w:rFonts w:eastAsiaTheme="minorEastAsia"/>
          <w:color w:val="000000" w:themeColor="text1"/>
        </w:rPr>
        <w:t>, individual</w:t>
      </w:r>
      <w:r w:rsidR="008637A7">
        <w:rPr>
          <w:rFonts w:eastAsiaTheme="minorEastAsia"/>
          <w:color w:val="000000" w:themeColor="text1"/>
        </w:rPr>
        <w:t xml:space="preserve"> </w:t>
      </w:r>
      <w:r w:rsidR="00DD295E">
        <w:rPr>
          <w:rFonts w:eastAsiaTheme="minorEastAsia"/>
          <w:i/>
          <w:iCs/>
          <w:color w:val="000000" w:themeColor="text1"/>
        </w:rPr>
        <w:t>f</w:t>
      </w:r>
      <w:r w:rsidR="008637A7">
        <w:rPr>
          <w:rFonts w:eastAsiaTheme="minorEastAsia"/>
          <w:color w:val="000000" w:themeColor="text1"/>
        </w:rPr>
        <w:t>AUC</w:t>
      </w:r>
      <w:r w:rsidR="008637A7">
        <w:rPr>
          <w:rFonts w:eastAsiaTheme="minorEastAsia"/>
          <w:color w:val="000000" w:themeColor="text1"/>
          <w:vertAlign w:val="subscript"/>
        </w:rPr>
        <w:t>0-24h</w:t>
      </w:r>
      <w:r w:rsidR="008637A7">
        <w:rPr>
          <w:rFonts w:eastAsiaTheme="minorEastAsia"/>
          <w:color w:val="000000" w:themeColor="text1"/>
        </w:rPr>
        <w:t xml:space="preserve"> </w:t>
      </w:r>
      <w:r w:rsidR="00DD295E">
        <w:rPr>
          <w:rFonts w:eastAsiaTheme="minorEastAsia"/>
          <w:color w:val="000000" w:themeColor="text1"/>
        </w:rPr>
        <w:t xml:space="preserve">values </w:t>
      </w:r>
      <w:r w:rsidR="00177338">
        <w:rPr>
          <w:rFonts w:eastAsiaTheme="minorEastAsia"/>
          <w:color w:val="000000" w:themeColor="text1"/>
        </w:rPr>
        <w:t>were</w:t>
      </w:r>
      <w:r w:rsidR="009D4016">
        <w:rPr>
          <w:rFonts w:eastAsiaTheme="minorEastAsia"/>
          <w:color w:val="000000" w:themeColor="text1"/>
        </w:rPr>
        <w:t xml:space="preserve"> calculated</w:t>
      </w:r>
      <w:r w:rsidR="00177338">
        <w:rPr>
          <w:rFonts w:eastAsiaTheme="minorEastAsia"/>
          <w:color w:val="000000" w:themeColor="text1"/>
        </w:rPr>
        <w:t xml:space="preserve"> from the first 24h</w:t>
      </w:r>
      <w:r w:rsidR="008637A7">
        <w:rPr>
          <w:rFonts w:eastAsiaTheme="minorEastAsia"/>
          <w:color w:val="000000" w:themeColor="text1"/>
        </w:rPr>
        <w:t>.</w:t>
      </w:r>
    </w:p>
    <w:p w14:paraId="2723B7D8" w14:textId="5E025D0A" w:rsidR="00A0410B" w:rsidRDefault="00C7785F" w:rsidP="00C97D35">
      <w:pPr>
        <w:spacing w:before="120" w:line="480" w:lineRule="auto"/>
        <w:rPr>
          <w:color w:val="000000" w:themeColor="text1"/>
        </w:rPr>
      </w:pPr>
      <w:r>
        <w:rPr>
          <w:b/>
          <w:bCs/>
          <w:color w:val="000000" w:themeColor="text1"/>
        </w:rPr>
        <w:t>Data availability:</w:t>
      </w:r>
      <w:r>
        <w:rPr>
          <w:color w:val="000000" w:themeColor="text1"/>
        </w:rPr>
        <w:t xml:space="preserve"> </w:t>
      </w:r>
      <w:r w:rsidR="00A0410B">
        <w:rPr>
          <w:color w:val="000000" w:themeColor="text1"/>
        </w:rPr>
        <w:t xml:space="preserve">The programs ADAPT and Pmetrics are </w:t>
      </w:r>
      <w:proofErr w:type="spellStart"/>
      <w:r w:rsidR="00A0410B">
        <w:rPr>
          <w:color w:val="000000" w:themeColor="text1"/>
        </w:rPr>
        <w:t>pubically</w:t>
      </w:r>
      <w:proofErr w:type="spellEnd"/>
      <w:r w:rsidR="00A0410B">
        <w:rPr>
          <w:color w:val="000000" w:themeColor="text1"/>
        </w:rPr>
        <w:t xml:space="preserve"> available, with instructions, at </w:t>
      </w:r>
      <w:hyperlink r:id="rId9" w:history="1">
        <w:r w:rsidR="00A0410B" w:rsidRPr="00654CC0">
          <w:rPr>
            <w:rStyle w:val="Hyperlink"/>
          </w:rPr>
          <w:t>https://bmsr.usc.edu/software/adapt/</w:t>
        </w:r>
      </w:hyperlink>
      <w:r w:rsidR="00A0410B">
        <w:rPr>
          <w:color w:val="000000" w:themeColor="text1"/>
        </w:rPr>
        <w:t xml:space="preserve"> and </w:t>
      </w:r>
      <w:hyperlink r:id="rId10" w:history="1">
        <w:r w:rsidR="00A0410B" w:rsidRPr="00654CC0">
          <w:rPr>
            <w:rStyle w:val="Hyperlink"/>
          </w:rPr>
          <w:t>http://www.lapk.org/pmetrics.php</w:t>
        </w:r>
      </w:hyperlink>
      <w:r w:rsidR="00A0410B">
        <w:rPr>
          <w:color w:val="000000" w:themeColor="text1"/>
        </w:rPr>
        <w:t xml:space="preserve"> respectively.</w:t>
      </w:r>
      <w:r w:rsidR="00A0410B">
        <w:rPr>
          <w:color w:val="000000" w:themeColor="text1"/>
        </w:rPr>
        <w:br w:type="page"/>
      </w:r>
    </w:p>
    <w:p w14:paraId="1C99EEBC" w14:textId="012CDDD2" w:rsidR="00F004B7" w:rsidRDefault="0054228E" w:rsidP="00E72EBF">
      <w:pPr>
        <w:spacing w:line="480" w:lineRule="auto"/>
        <w:rPr>
          <w:color w:val="000000" w:themeColor="text1"/>
        </w:rPr>
      </w:pPr>
      <w:r w:rsidRPr="00F533B4">
        <w:rPr>
          <w:b/>
          <w:color w:val="000000" w:themeColor="text1"/>
        </w:rPr>
        <w:lastRenderedPageBreak/>
        <w:t xml:space="preserve">Acknowledgements: </w:t>
      </w:r>
      <w:r w:rsidRPr="00F533B4">
        <w:rPr>
          <w:color w:val="000000" w:themeColor="text1"/>
        </w:rPr>
        <w:t>This work was funded the Global Antibiotic Research and Development Partnership (GARDP).</w:t>
      </w:r>
      <w:r w:rsidR="00D80327">
        <w:rPr>
          <w:color w:val="000000" w:themeColor="text1"/>
        </w:rPr>
        <w:t xml:space="preserve"> </w:t>
      </w:r>
      <w:r w:rsidR="00D80327" w:rsidRPr="6F2AF37F">
        <w:rPr>
          <w:color w:val="000000" w:themeColor="text1"/>
        </w:rPr>
        <w:t xml:space="preserve">GARDP was </w:t>
      </w:r>
      <w:bookmarkStart w:id="0" w:name="_Hlk61596377"/>
      <w:r w:rsidR="00D80327" w:rsidRPr="001A4CFD">
        <w:rPr>
          <w:color w:val="000000" w:themeColor="text1"/>
        </w:rPr>
        <w:t>fund</w:t>
      </w:r>
      <w:r w:rsidR="00D80327" w:rsidRPr="6F2AF37F">
        <w:rPr>
          <w:color w:val="000000" w:themeColor="text1"/>
        </w:rPr>
        <w:t>ed by the</w:t>
      </w:r>
      <w:r w:rsidR="00D80327" w:rsidRPr="001A4CFD">
        <w:rPr>
          <w:color w:val="000000" w:themeColor="text1"/>
        </w:rPr>
        <w:t xml:space="preserve"> </w:t>
      </w:r>
      <w:r w:rsidR="00D80327" w:rsidRPr="00E33CAC">
        <w:rPr>
          <w:color w:val="000000" w:themeColor="text1"/>
        </w:rPr>
        <w:t xml:space="preserve">German Federal Ministry of Education and Research, German Federal Ministry of Health, Médecins Sans </w:t>
      </w:r>
      <w:proofErr w:type="spellStart"/>
      <w:r w:rsidR="00D80327" w:rsidRPr="00E33CAC">
        <w:rPr>
          <w:color w:val="000000" w:themeColor="text1"/>
        </w:rPr>
        <w:t>Frontières</w:t>
      </w:r>
      <w:proofErr w:type="spellEnd"/>
      <w:r w:rsidR="00D80327" w:rsidRPr="00E33CAC">
        <w:rPr>
          <w:color w:val="000000" w:themeColor="text1"/>
        </w:rPr>
        <w:t>, Netherlands Ministry of Health, Welfare and Sport, United Kingdom Department for International Development,</w:t>
      </w:r>
      <w:r w:rsidR="00D80327">
        <w:rPr>
          <w:color w:val="000000" w:themeColor="text1"/>
        </w:rPr>
        <w:t xml:space="preserve"> and the</w:t>
      </w:r>
      <w:r w:rsidR="00D80327" w:rsidRPr="00E33CAC">
        <w:rPr>
          <w:color w:val="000000" w:themeColor="text1"/>
        </w:rPr>
        <w:t xml:space="preserve"> United Kingdom National Institute of Health Research</w:t>
      </w:r>
      <w:bookmarkEnd w:id="0"/>
      <w:r w:rsidR="00D80327" w:rsidRPr="6F2AF37F">
        <w:rPr>
          <w:color w:val="000000" w:themeColor="text1"/>
        </w:rPr>
        <w:t>.</w:t>
      </w:r>
      <w:r w:rsidRPr="00F533B4">
        <w:rPr>
          <w:color w:val="000000" w:themeColor="text1"/>
        </w:rPr>
        <w:t xml:space="preserve"> CD is</w:t>
      </w:r>
      <w:r w:rsidR="00F004B7">
        <w:rPr>
          <w:color w:val="000000" w:themeColor="text1"/>
        </w:rPr>
        <w:t xml:space="preserve"> also</w:t>
      </w:r>
      <w:r w:rsidRPr="00F533B4">
        <w:rPr>
          <w:color w:val="000000" w:themeColor="text1"/>
        </w:rPr>
        <w:t xml:space="preserve"> funded by the UK Medical Research Council</w:t>
      </w:r>
      <w:r w:rsidR="00F004B7">
        <w:rPr>
          <w:color w:val="000000" w:themeColor="text1"/>
        </w:rPr>
        <w:t xml:space="preserve"> (</w:t>
      </w:r>
      <w:r w:rsidR="00F004B7" w:rsidRPr="009704C8">
        <w:t>MR/N025989/1</w:t>
      </w:r>
      <w:r w:rsidR="00F004B7">
        <w:t>)</w:t>
      </w:r>
      <w:r w:rsidRPr="00F533B4">
        <w:rPr>
          <w:color w:val="000000" w:themeColor="text1"/>
        </w:rPr>
        <w:t>.</w:t>
      </w:r>
      <w:r w:rsidR="00F0239B">
        <w:rPr>
          <w:color w:val="000000" w:themeColor="text1"/>
        </w:rPr>
        <w:t xml:space="preserve"> </w:t>
      </w:r>
      <w:r w:rsidR="00144425">
        <w:rPr>
          <w:color w:val="000000" w:themeColor="text1"/>
        </w:rPr>
        <w:t>The funders had no role in study design, data collection and interpretation, or the decision to submit the work for publication.</w:t>
      </w:r>
    </w:p>
    <w:p w14:paraId="5FD91CE3" w14:textId="4C511F9A" w:rsidR="00144425" w:rsidRDefault="00144425" w:rsidP="00E72EBF">
      <w:pPr>
        <w:spacing w:line="480" w:lineRule="auto"/>
        <w:rPr>
          <w:color w:val="000000" w:themeColor="text1"/>
        </w:rPr>
      </w:pPr>
      <w:r>
        <w:rPr>
          <w:bCs/>
          <w:color w:val="000000" w:themeColor="text1"/>
        </w:rPr>
        <w:t xml:space="preserve">The authors thank Sam </w:t>
      </w:r>
      <w:proofErr w:type="spellStart"/>
      <w:r>
        <w:rPr>
          <w:bCs/>
          <w:color w:val="000000" w:themeColor="text1"/>
        </w:rPr>
        <w:t>Lipworth</w:t>
      </w:r>
      <w:proofErr w:type="spellEnd"/>
      <w:r>
        <w:rPr>
          <w:bCs/>
          <w:color w:val="000000" w:themeColor="text1"/>
        </w:rPr>
        <w:t xml:space="preserve"> for identifying and supplying the strains from the University of Oxford, Jonathan </w:t>
      </w:r>
      <w:proofErr w:type="spellStart"/>
      <w:r>
        <w:rPr>
          <w:bCs/>
          <w:color w:val="000000" w:themeColor="text1"/>
        </w:rPr>
        <w:t>Folb</w:t>
      </w:r>
      <w:proofErr w:type="spellEnd"/>
      <w:r>
        <w:rPr>
          <w:bCs/>
          <w:color w:val="000000" w:themeColor="text1"/>
        </w:rPr>
        <w:t xml:space="preserve"> for supplying GBS strains from the Royal Liverpool Hospital, and JMI and IMHA for gifting their strains for this work.</w:t>
      </w:r>
    </w:p>
    <w:p w14:paraId="52E2122F" w14:textId="62B981BA" w:rsidR="00412663" w:rsidRDefault="00F004B7" w:rsidP="00E72EBF">
      <w:pPr>
        <w:spacing w:line="480" w:lineRule="auto"/>
        <w:rPr>
          <w:color w:val="000000" w:themeColor="text1"/>
        </w:rPr>
      </w:pPr>
      <w:r>
        <w:rPr>
          <w:b/>
          <w:bCs/>
          <w:color w:val="000000" w:themeColor="text1"/>
        </w:rPr>
        <w:t xml:space="preserve">Declared Interest: </w:t>
      </w:r>
      <w:r w:rsidR="002A0261">
        <w:rPr>
          <w:color w:val="000000" w:themeColor="text1"/>
        </w:rPr>
        <w:t>None</w:t>
      </w:r>
      <w:r w:rsidR="00412663">
        <w:rPr>
          <w:color w:val="000000" w:themeColor="text1"/>
        </w:rPr>
        <w:br w:type="page"/>
      </w:r>
    </w:p>
    <w:p w14:paraId="234875D9" w14:textId="77777777" w:rsidR="001B782D" w:rsidRPr="00F533B4" w:rsidRDefault="001B782D" w:rsidP="00E72EBF">
      <w:pPr>
        <w:spacing w:before="120" w:line="480" w:lineRule="auto"/>
        <w:rPr>
          <w:b/>
          <w:color w:val="000000" w:themeColor="text1"/>
        </w:rPr>
      </w:pPr>
      <w:r w:rsidRPr="00F533B4">
        <w:rPr>
          <w:b/>
          <w:color w:val="000000" w:themeColor="text1"/>
        </w:rPr>
        <w:lastRenderedPageBreak/>
        <w:t>References</w:t>
      </w:r>
    </w:p>
    <w:p w14:paraId="20F3F053" w14:textId="43F7411B" w:rsidR="00EC6CE2" w:rsidRPr="00EC6CE2" w:rsidRDefault="001B782D" w:rsidP="00EC6CE2">
      <w:pPr>
        <w:widowControl w:val="0"/>
        <w:autoSpaceDE w:val="0"/>
        <w:autoSpaceDN w:val="0"/>
        <w:adjustRightInd w:val="0"/>
        <w:spacing w:before="120" w:line="480" w:lineRule="auto"/>
        <w:ind w:left="640" w:hanging="640"/>
        <w:rPr>
          <w:rFonts w:ascii="Calibri" w:hAnsi="Calibri" w:cs="Calibri"/>
          <w:noProof/>
        </w:rPr>
      </w:pPr>
      <w:r w:rsidRPr="00F533B4">
        <w:rPr>
          <w:b/>
          <w:color w:val="000000" w:themeColor="text1"/>
        </w:rPr>
        <w:fldChar w:fldCharType="begin" w:fldLock="1"/>
      </w:r>
      <w:r w:rsidRPr="00F533B4">
        <w:rPr>
          <w:b/>
          <w:color w:val="000000" w:themeColor="text1"/>
        </w:rPr>
        <w:instrText xml:space="preserve">ADDIN Mendeley Bibliography CSL_BIBLIOGRAPHY </w:instrText>
      </w:r>
      <w:r w:rsidRPr="00F533B4">
        <w:rPr>
          <w:b/>
          <w:color w:val="000000" w:themeColor="text1"/>
        </w:rPr>
        <w:fldChar w:fldCharType="separate"/>
      </w:r>
      <w:r w:rsidR="00EC6CE2" w:rsidRPr="00EC6CE2">
        <w:rPr>
          <w:rFonts w:ascii="Calibri" w:hAnsi="Calibri" w:cs="Calibri"/>
          <w:noProof/>
        </w:rPr>
        <w:t xml:space="preserve">1. </w:t>
      </w:r>
      <w:r w:rsidR="00EC6CE2" w:rsidRPr="00EC6CE2">
        <w:rPr>
          <w:rFonts w:ascii="Calibri" w:hAnsi="Calibri" w:cs="Calibri"/>
          <w:noProof/>
        </w:rPr>
        <w:tab/>
        <w:t>Shane AL, Sánchez PJ, Stoll BJ. 2017. Neonatal sepsis. Lancet (London, England) 390:1770–1780.</w:t>
      </w:r>
    </w:p>
    <w:p w14:paraId="49575AF9"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2. </w:t>
      </w:r>
      <w:r w:rsidRPr="00EC6CE2">
        <w:rPr>
          <w:rFonts w:ascii="Calibri" w:hAnsi="Calibri" w:cs="Calibri"/>
          <w:noProof/>
        </w:rPr>
        <w:tab/>
        <w:t>Oza S, Lawn JE, Hogan DR, Mathers C, Cousens SN. 2015. Neonatal cause-of-death estimates for the early and late neonatal periods for 194 countries: 2000-2013. Bull World Health Organ 93:19–28.</w:t>
      </w:r>
    </w:p>
    <w:p w14:paraId="3749CC7D"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3. </w:t>
      </w:r>
      <w:r w:rsidRPr="00EC6CE2">
        <w:rPr>
          <w:rFonts w:ascii="Calibri" w:hAnsi="Calibri" w:cs="Calibri"/>
          <w:noProof/>
        </w:rPr>
        <w:tab/>
        <w:t>Seale AC, Blencowe H, Manu AA, Nair H, Bahl R, Qazi SA, Zaidi AK, Berkley JA, Cousens SN, Lawn JE, Agustian D, Althabe F, Azziz-Baumgartner E, Baqui AH, Bausch DG, Belizan JM, Qar Bhutta Z, Black RE, Broor S, Bruce N, Buekens P, Campbell H, Carlo WA, Chomba E, Costello A, Derman RJ, Dherani M, El-Arifeen S, Engmann C, Esamai F, Ganatra H, Garcés A, Gessner BD, Gill C, Goldenberg RL, Goudar SS, Hambidge KM, Hamer DH, Hansen NI, Hibberd PL, Khanal S, Kirkwood B, Kosgei P, Koso-Thomas M, Liechty EA, McClure EM, Mitra D, Mturi N, Mullany LC, Newton CR, Nosten F, Parveen S, Patel A, Romero C, Saville N, Semrau K, Simões EAF, Soofi S, Stoll BJ, Sunder S, Syed S, Tielsch JM, Tinoco YO, Turner C, Vergnano S. 2014. Estimates of possible severe bacterial infection in neonates in sub-Saharan Africa, south Asia, and Latin America for 2012: A systematic review and meta-analysis. Lancet Infect Dis 14:731–741.</w:t>
      </w:r>
    </w:p>
    <w:p w14:paraId="25369C92"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4. </w:t>
      </w:r>
      <w:r w:rsidRPr="00EC6CE2">
        <w:rPr>
          <w:rFonts w:ascii="Calibri" w:hAnsi="Calibri" w:cs="Calibri"/>
          <w:noProof/>
        </w:rPr>
        <w:tab/>
        <w:t>Fuchs A, Bielicki J, Mathur S, Sharland M, Van JN, Anker D. 2016. Antibiotic Use for Sepsis in Neonates and Children: 2016 Evidence Update. WHO-Reviews 7.</w:t>
      </w:r>
    </w:p>
    <w:p w14:paraId="3B21599E"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5. </w:t>
      </w:r>
      <w:r w:rsidRPr="00EC6CE2">
        <w:rPr>
          <w:rFonts w:ascii="Calibri" w:hAnsi="Calibri" w:cs="Calibri"/>
          <w:noProof/>
        </w:rPr>
        <w:tab/>
        <w:t>World Health Organization. 2013. Pocket book of hospital care for childrenSecond Edi. World Health Organisation, Geneva.</w:t>
      </w:r>
    </w:p>
    <w:p w14:paraId="0977CE4E"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lastRenderedPageBreak/>
        <w:t xml:space="preserve">6. </w:t>
      </w:r>
      <w:r w:rsidRPr="00EC6CE2">
        <w:rPr>
          <w:rFonts w:ascii="Calibri" w:hAnsi="Calibri" w:cs="Calibri"/>
          <w:noProof/>
        </w:rPr>
        <w:tab/>
        <w:t>DeNIS collaboration. 2016. Characterisation and antimicrobial resistance of sepsis pathogens in neonates born in tertiary care centres in Delhi, India: a cohort study. Lancet Glob Heal 4:e752–e760.</w:t>
      </w:r>
    </w:p>
    <w:p w14:paraId="543239E3"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7. </w:t>
      </w:r>
      <w:r w:rsidRPr="00EC6CE2">
        <w:rPr>
          <w:rFonts w:ascii="Calibri" w:hAnsi="Calibri" w:cs="Calibri"/>
          <w:noProof/>
        </w:rPr>
        <w:tab/>
        <w:t>Labi AK, Obeng-Nkrumah N, Bjerrum S, Enweronu-Laryea C, Newman MJ. 2016. Neonatal bloodstream infections in a Ghanaian Tertiary Hospital: Are the current antibiotic recommendations adequate? BMC Infect Dis 16.</w:t>
      </w:r>
    </w:p>
    <w:p w14:paraId="25E3921B"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8. </w:t>
      </w:r>
      <w:r w:rsidRPr="00EC6CE2">
        <w:rPr>
          <w:rFonts w:ascii="Calibri" w:hAnsi="Calibri" w:cs="Calibri"/>
          <w:noProof/>
        </w:rPr>
        <w:tab/>
        <w:t>Bandyopadhyay T, Kumar A, Saili A, Randhawa VS. 2018. Distribution, antimicrobial resistance and predictors of mortality in neonatal sepsis. J Neonatal Perinatal Med 11:145–153.</w:t>
      </w:r>
    </w:p>
    <w:p w14:paraId="2668EB14"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9. </w:t>
      </w:r>
      <w:r w:rsidRPr="00EC6CE2">
        <w:rPr>
          <w:rFonts w:ascii="Calibri" w:hAnsi="Calibri" w:cs="Calibri"/>
          <w:noProof/>
        </w:rPr>
        <w:tab/>
        <w:t>Jajoo M, Manchanda V, Chaurasia S, Jeeva Sankar M, Gautam H, Agarwal R, Yadav CP, Aggarwal KC, Chellani H, Ramji S, Deb M, Gaind R, Kumar S, Arya S, Sreenivas V, Kapil A, Mathur P, Rasaily R, Deorari AK, Paul VK. 2018. Alarming rates of antimicrobial resistance and fungal sepsis in outborn neonates in North India. PLoS One 13:1–16.</w:t>
      </w:r>
    </w:p>
    <w:p w14:paraId="220F2CDE"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10. </w:t>
      </w:r>
      <w:r w:rsidRPr="00EC6CE2">
        <w:rPr>
          <w:rFonts w:ascii="Calibri" w:hAnsi="Calibri" w:cs="Calibri"/>
          <w:noProof/>
        </w:rPr>
        <w:tab/>
        <w:t>Yadav NS, Sharma S, Chaudhary DK, Panthi P, Pokhrel P, Shrestha A, Mandal PK. 2018. Bacteriological profile of neonatal sepsis and antibiotic susceptibility pattern of isolates admitted at Kanti Children’s Hospital, Kathmandu, Nepal. BMC Res Notes 11:1–6.</w:t>
      </w:r>
    </w:p>
    <w:p w14:paraId="3B3908E1"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11. </w:t>
      </w:r>
      <w:r w:rsidRPr="00EC6CE2">
        <w:rPr>
          <w:rFonts w:ascii="Calibri" w:hAnsi="Calibri" w:cs="Calibri"/>
          <w:noProof/>
        </w:rPr>
        <w:tab/>
        <w:t>Pokhrel B, Koirala T, Shah G, Joshi S, Baral P. 2018. Bacteriological profile and antibiotic susceptibility of neonatal sepsis in neonatal intensive care unit of a tertiary hospital in Nepal. BMC Pediatr 18:1–8.</w:t>
      </w:r>
    </w:p>
    <w:p w14:paraId="16167D7A"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12. </w:t>
      </w:r>
      <w:r w:rsidRPr="00EC6CE2">
        <w:rPr>
          <w:rFonts w:ascii="Calibri" w:hAnsi="Calibri" w:cs="Calibri"/>
          <w:noProof/>
        </w:rPr>
        <w:tab/>
        <w:t xml:space="preserve">Chaurasia S, Sivanandan S, Agarwal R, Ellis S, Sharland M, Sankar MJ. 2019. Neonatal sepsis in South Asia: Huge burden and spiralling antimicrobial resistance. BMJ. BMJ </w:t>
      </w:r>
      <w:r w:rsidRPr="00EC6CE2">
        <w:rPr>
          <w:rFonts w:ascii="Calibri" w:hAnsi="Calibri" w:cs="Calibri"/>
          <w:noProof/>
        </w:rPr>
        <w:lastRenderedPageBreak/>
        <w:t>Publishing Group.</w:t>
      </w:r>
    </w:p>
    <w:p w14:paraId="77D86DB6"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13. </w:t>
      </w:r>
      <w:r w:rsidRPr="00EC6CE2">
        <w:rPr>
          <w:rFonts w:ascii="Calibri" w:hAnsi="Calibri" w:cs="Calibri"/>
          <w:noProof/>
        </w:rPr>
        <w:tab/>
        <w:t>Doern CD. 2014. When Does 2 Plus 2 Equal 5? A Review of Antimicrobial Synergy Testing Downloaded from. 4124 jcm.asm.org J Clin Microbiol 52:4124–4128.</w:t>
      </w:r>
    </w:p>
    <w:p w14:paraId="44F5C864"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14. </w:t>
      </w:r>
      <w:r w:rsidRPr="00EC6CE2">
        <w:rPr>
          <w:rFonts w:ascii="Calibri" w:hAnsi="Calibri" w:cs="Calibri"/>
          <w:noProof/>
        </w:rPr>
        <w:tab/>
        <w:t>Greco WR, Bravo G, Parsons JC. 1995. The search for synergy: A critical review from a response surface perspective. Pharmacol Rev. Pharmacol Rev.</w:t>
      </w:r>
    </w:p>
    <w:p w14:paraId="2415861D"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15. </w:t>
      </w:r>
      <w:r w:rsidRPr="00EC6CE2">
        <w:rPr>
          <w:rFonts w:ascii="Calibri" w:hAnsi="Calibri" w:cs="Calibri"/>
          <w:noProof/>
        </w:rPr>
        <w:tab/>
        <w:t>Greco WR, Park HS, Rustum YM. 1990. Application of a New Approach for the Quantitation of Drug Synergism to the Combination of cis -Diamminedichloroplatinum and 1- β -d-Arabinofuranosylcytosine Application of a New Approach for the Quantitation of Drug Synergism to the Combination of m-Diam. Cancer Res 50:5318–5327.</w:t>
      </w:r>
    </w:p>
    <w:p w14:paraId="68C6BB95"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16. </w:t>
      </w:r>
      <w:r w:rsidRPr="00EC6CE2">
        <w:rPr>
          <w:rFonts w:ascii="Calibri" w:hAnsi="Calibri" w:cs="Calibri"/>
          <w:noProof/>
        </w:rPr>
        <w:tab/>
        <w:t>Iarikov D, Wassel R, Farley J, Nambiar S. 2015. Adverse Events Associated with Fosfomycin Use: Review of the Literature and Analyses of the FDA Adverse Event Reporting System Database. Infect Dis Ther 4:433–458.</w:t>
      </w:r>
    </w:p>
    <w:p w14:paraId="2B17340C"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17. </w:t>
      </w:r>
      <w:r w:rsidRPr="00EC6CE2">
        <w:rPr>
          <w:rFonts w:ascii="Calibri" w:hAnsi="Calibri" w:cs="Calibri"/>
          <w:noProof/>
        </w:rPr>
        <w:tab/>
        <w:t>Kent A, Turner MA, Sharland M, Heath PT. 2014. Aminoglycoside toxicity in neonates: something to worry about? Expert Rev Anti Infect Ther 12:319–331.</w:t>
      </w:r>
    </w:p>
    <w:p w14:paraId="34347FEF"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18. </w:t>
      </w:r>
      <w:r w:rsidRPr="00EC6CE2">
        <w:rPr>
          <w:rFonts w:ascii="Calibri" w:hAnsi="Calibri" w:cs="Calibri"/>
          <w:noProof/>
        </w:rPr>
        <w:tab/>
        <w:t xml:space="preserve">Ito R, Mustapha MM, Tomich AD, Callaghan JD, McElheny CL, Mettus RT, Shanks RMQ, Sluis-Cremer N, Doi Y. 2017. Widespread fosfomycin resistance in gram-negative bacteria attributable to the chromosomal </w:t>
      </w:r>
      <w:r w:rsidRPr="00EC6CE2">
        <w:rPr>
          <w:rFonts w:ascii="Calibri" w:hAnsi="Calibri" w:cs="Calibri"/>
          <w:i/>
          <w:iCs/>
          <w:noProof/>
        </w:rPr>
        <w:t>fosA</w:t>
      </w:r>
      <w:r w:rsidRPr="00EC6CE2">
        <w:rPr>
          <w:rFonts w:ascii="Calibri" w:hAnsi="Calibri" w:cs="Calibri"/>
          <w:noProof/>
        </w:rPr>
        <w:t xml:space="preserve"> gene. MBio 8:1–9.</w:t>
      </w:r>
    </w:p>
    <w:p w14:paraId="5D1CC9EA"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19. </w:t>
      </w:r>
      <w:r w:rsidRPr="00EC6CE2">
        <w:rPr>
          <w:rFonts w:ascii="Calibri" w:hAnsi="Calibri" w:cs="Calibri"/>
          <w:noProof/>
        </w:rPr>
        <w:tab/>
        <w:t>Anu K, Esther K, Dunn Steven J, Dance David AB, Newton Paul N, Davong V, Sointu M, Pakkanen Sari H, Andreas N, Cristoph H, Ann S, Teemu K, Jukka C, Alan M. 2019. Real-time sampling of travelers shows intestinal colonization by multidrug-resistant bacteria to be a dynamic process with multiple transient acquisitions. bioRxiv. bioRxiv.</w:t>
      </w:r>
    </w:p>
    <w:p w14:paraId="347B0AE6"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lastRenderedPageBreak/>
        <w:t xml:space="preserve">20. </w:t>
      </w:r>
      <w:r w:rsidRPr="00EC6CE2">
        <w:rPr>
          <w:rFonts w:ascii="Calibri" w:hAnsi="Calibri" w:cs="Calibri"/>
          <w:noProof/>
        </w:rPr>
        <w:tab/>
        <w:t>Tam VH, Louie A, Deziel MR, Liu W, Drusano GL. 2007. The relationship between quinolone exposures and resistance amplification is characterized by an inverted U: A new paradigm for optimizing pharmacodynamics to counterselect resistance. Antimicrob Agents Chemother 51:744–747.</w:t>
      </w:r>
    </w:p>
    <w:p w14:paraId="6F5DDAD1"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21. </w:t>
      </w:r>
      <w:r w:rsidRPr="00EC6CE2">
        <w:rPr>
          <w:rFonts w:ascii="Calibri" w:hAnsi="Calibri" w:cs="Calibri"/>
          <w:noProof/>
        </w:rPr>
        <w:tab/>
        <w:t>Joint Formulary Committee. British National Formulary (online). BMJ Gr ad Pharmacetucial Press.</w:t>
      </w:r>
    </w:p>
    <w:p w14:paraId="7EA065C7"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22. </w:t>
      </w:r>
      <w:r w:rsidRPr="00EC6CE2">
        <w:rPr>
          <w:rFonts w:ascii="Calibri" w:hAnsi="Calibri" w:cs="Calibri"/>
          <w:noProof/>
        </w:rPr>
        <w:tab/>
        <w:t>Howard JB, McCracken GH, Trujillo H, Mohs E. 1976. Amikacin in newborn infants: comparative pharmacology with kanamycin and clinical efficacy in 45 neonates with bacterial diseases. Antimicrob Agents Chemother 10:205–210.</w:t>
      </w:r>
    </w:p>
    <w:p w14:paraId="6A6D8C2F"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23. </w:t>
      </w:r>
      <w:r w:rsidRPr="00EC6CE2">
        <w:rPr>
          <w:rFonts w:ascii="Calibri" w:hAnsi="Calibri" w:cs="Calibri"/>
          <w:noProof/>
        </w:rPr>
        <w:tab/>
        <w:t xml:space="preserve"> 2019. Intravenous and Oral Fosfomycin in Hospitalised Neonates With Clinical Sepsis (NeoFosfo) - NCT03453177. Clinicaltrials.gov.</w:t>
      </w:r>
    </w:p>
    <w:p w14:paraId="07A7E1E3"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24. </w:t>
      </w:r>
      <w:r w:rsidRPr="00EC6CE2">
        <w:rPr>
          <w:rFonts w:ascii="Calibri" w:hAnsi="Calibri" w:cs="Calibri"/>
          <w:noProof/>
        </w:rPr>
        <w:tab/>
        <w:t xml:space="preserve"> 2018. NeoAMR Observational Study in Neonatal Sepsis - NCT03721302. ClinicalTrials.gov.</w:t>
      </w:r>
    </w:p>
    <w:p w14:paraId="4E9169C7"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25. </w:t>
      </w:r>
      <w:r w:rsidRPr="00EC6CE2">
        <w:rPr>
          <w:rFonts w:ascii="Calibri" w:hAnsi="Calibri" w:cs="Calibri"/>
          <w:noProof/>
        </w:rPr>
        <w:tab/>
        <w:t>Illamola SM, Sherwin CM, van Hasselt JGC. 2018. Clinical Pharmacokinetics of Amikacin in Pediatric Patients: A Comprehensive Review of Population Pharmacokinetic Analyses. Clin Pharmacokinet 57:1217–1228.</w:t>
      </w:r>
    </w:p>
    <w:p w14:paraId="3B93C67E"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26. </w:t>
      </w:r>
      <w:r w:rsidRPr="00EC6CE2">
        <w:rPr>
          <w:rFonts w:ascii="Calibri" w:hAnsi="Calibri" w:cs="Calibri"/>
          <w:noProof/>
        </w:rPr>
        <w:tab/>
        <w:t xml:space="preserve"> 2020. European Medicines Agency - EMEA/H/A-31/1476 - Article 31 referral assessment report of fosfomycin-containing medicinal products.</w:t>
      </w:r>
    </w:p>
    <w:p w14:paraId="2F32A964"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27. </w:t>
      </w:r>
      <w:r w:rsidRPr="00EC6CE2">
        <w:rPr>
          <w:rFonts w:ascii="Calibri" w:hAnsi="Calibri" w:cs="Calibri"/>
          <w:noProof/>
        </w:rPr>
        <w:tab/>
        <w:t>Brady M, Jackson M, Kimberlin D, Long S. 2018. Red book: 2018–2021 report of the committee on infectious diseases. 31st ed. American Academy of Pediatrics, Itasca.</w:t>
      </w:r>
    </w:p>
    <w:p w14:paraId="45991E18"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lastRenderedPageBreak/>
        <w:t xml:space="preserve">28. </w:t>
      </w:r>
      <w:r w:rsidRPr="00EC6CE2">
        <w:rPr>
          <w:rFonts w:ascii="Calibri" w:hAnsi="Calibri" w:cs="Calibri"/>
          <w:noProof/>
        </w:rPr>
        <w:tab/>
        <w:t>EUCAST. 2020. The European Committee on Antimicrobial Susceptibility Testing. Breakpoint tables for interpretation of MICs and zone diameters Version 10.0.</w:t>
      </w:r>
    </w:p>
    <w:p w14:paraId="1E246479"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29. </w:t>
      </w:r>
      <w:r w:rsidRPr="00EC6CE2">
        <w:rPr>
          <w:rFonts w:ascii="Calibri" w:hAnsi="Calibri" w:cs="Calibri"/>
          <w:noProof/>
        </w:rPr>
        <w:tab/>
        <w:t xml:space="preserve">Bulitta JB, Hope WW, Eakin AE, Guina T, Tam VH, Louie A, Drusano GL, Hoover JL. 2019. Generating Robust and Informative Nonclinical </w:t>
      </w:r>
      <w:r w:rsidRPr="00EC6CE2">
        <w:rPr>
          <w:rFonts w:ascii="Calibri" w:hAnsi="Calibri" w:cs="Calibri"/>
          <w:i/>
          <w:iCs/>
          <w:noProof/>
        </w:rPr>
        <w:t>In Vitro</w:t>
      </w:r>
      <w:r w:rsidRPr="00EC6CE2">
        <w:rPr>
          <w:rFonts w:ascii="Calibri" w:hAnsi="Calibri" w:cs="Calibri"/>
          <w:noProof/>
        </w:rPr>
        <w:t xml:space="preserve"> and </w:t>
      </w:r>
      <w:r w:rsidRPr="00EC6CE2">
        <w:rPr>
          <w:rFonts w:ascii="Calibri" w:hAnsi="Calibri" w:cs="Calibri"/>
          <w:i/>
          <w:iCs/>
          <w:noProof/>
        </w:rPr>
        <w:t>In Vivo</w:t>
      </w:r>
      <w:r w:rsidRPr="00EC6CE2">
        <w:rPr>
          <w:rFonts w:ascii="Calibri" w:hAnsi="Calibri" w:cs="Calibri"/>
          <w:noProof/>
        </w:rPr>
        <w:t xml:space="preserve"> Bacterial Infection Model Efficacy Data To Support Translation to Humans. Antimicrob Agents Chemother 63:1–25.</w:t>
      </w:r>
    </w:p>
    <w:p w14:paraId="752F430E"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30. </w:t>
      </w:r>
      <w:r w:rsidRPr="00EC6CE2">
        <w:rPr>
          <w:rFonts w:ascii="Calibri" w:hAnsi="Calibri" w:cs="Calibri"/>
          <w:noProof/>
        </w:rPr>
        <w:tab/>
        <w:t>Merino-Bohórquez V, Docobo-Pérez F, Sojo J, Morales I, Lupión C, Martín D, Cameán M, Hope W, Pascual, Rodríguez-Baño J. 2018. Population pharmacokinetics and pharmacodynamics of fosfomycin in non–critically ill patients with bacteremic urinary infection caused by multidrug-resistant</w:t>
      </w:r>
      <w:r w:rsidRPr="00EC6CE2">
        <w:rPr>
          <w:rFonts w:ascii="Calibri" w:hAnsi="Calibri" w:cs="Calibri"/>
          <w:i/>
          <w:iCs/>
          <w:noProof/>
        </w:rPr>
        <w:t xml:space="preserve"> Escherichia coli</w:t>
      </w:r>
      <w:r w:rsidRPr="00EC6CE2">
        <w:rPr>
          <w:rFonts w:ascii="Calibri" w:hAnsi="Calibri" w:cs="Calibri"/>
          <w:noProof/>
        </w:rPr>
        <w:t>. Clin Microbiol Infect 24:1177–1183.</w:t>
      </w:r>
    </w:p>
    <w:p w14:paraId="312C6CC5"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31. </w:t>
      </w:r>
      <w:r w:rsidRPr="00EC6CE2">
        <w:rPr>
          <w:rFonts w:ascii="Calibri" w:hAnsi="Calibri" w:cs="Calibri"/>
          <w:noProof/>
        </w:rPr>
        <w:tab/>
        <w:t>Docobo-Pérez F, Drusano GL, Johnson A, Goodwin J, Whalley S, Ramos-Martín V, Ballestero-Tellez M, Rodriguez-Martinez JM, Conejo MC, Van Guilder M, Rodríguez-Baño J, Pascual A, Hope WW. 2015. Pharmacodynamics of fosfomycin: Insights into clinical use for antimicrobial resistance. Antimicrob Agents Chemother 59:5602–5610.</w:t>
      </w:r>
    </w:p>
    <w:p w14:paraId="10557EA3"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32. </w:t>
      </w:r>
      <w:r w:rsidRPr="00EC6CE2">
        <w:rPr>
          <w:rFonts w:ascii="Calibri" w:hAnsi="Calibri" w:cs="Calibri"/>
          <w:noProof/>
        </w:rPr>
        <w:tab/>
        <w:t>VanScoy BD, McCauley J, Ellis-Grosse EJ, Okusanya OO, Bhavnani SM, Forrest A, Ambrose PG. 2015. Exploration of the pharmacokinetic-pharmacodynamic relationships for fosfomycin efficacy using an in Vitro infection model. Antimicrob Agents Chemother 59:7170–7177.</w:t>
      </w:r>
    </w:p>
    <w:p w14:paraId="3AE7E81D"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33. </w:t>
      </w:r>
      <w:r w:rsidRPr="00EC6CE2">
        <w:rPr>
          <w:rFonts w:ascii="Calibri" w:hAnsi="Calibri" w:cs="Calibri"/>
          <w:noProof/>
        </w:rPr>
        <w:tab/>
        <w:t xml:space="preserve">Ramos-Martín V, Johnson A, Livermore J, McEntee L, Goodwin J, Whalley S, Docobo-Pérez F, Felton TW, Zhao W, Jacqz-Aigrain E, Sharland M, Turner MA, Hope WW. 2016. </w:t>
      </w:r>
      <w:r w:rsidRPr="00EC6CE2">
        <w:rPr>
          <w:rFonts w:ascii="Calibri" w:hAnsi="Calibri" w:cs="Calibri"/>
          <w:noProof/>
        </w:rPr>
        <w:lastRenderedPageBreak/>
        <w:t>Pharmacodynamics of vancomycin for CoNS infection: Experimental basis for optimal use of vancomycin in neonates. J Antimicrob Chemother 71:992–1002.</w:t>
      </w:r>
    </w:p>
    <w:p w14:paraId="6DC08383"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34. </w:t>
      </w:r>
      <w:r w:rsidRPr="00EC6CE2">
        <w:rPr>
          <w:rFonts w:ascii="Calibri" w:hAnsi="Calibri" w:cs="Calibri"/>
          <w:noProof/>
        </w:rPr>
        <w:tab/>
        <w:t>Warn PA, Livermore J, Howard S, Felton TW, Sharp A, Gregson L, Goodwin J, Petraitiene R, Petraitis V, Cohen-Wolkowiez M, Walsh TJ, Benjamin DK, Hope WW. 2012. Anidulafungin for neonatal hematogenous Candida meningoencephalitis: Identification of candidate regimens for humans using a translational pharmacological approach. Antimicrob Agents Chemother 56:708–714.</w:t>
      </w:r>
    </w:p>
    <w:p w14:paraId="0D8236C6"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35. </w:t>
      </w:r>
      <w:r w:rsidRPr="00EC6CE2">
        <w:rPr>
          <w:rFonts w:ascii="Calibri" w:hAnsi="Calibri" w:cs="Calibri"/>
          <w:noProof/>
        </w:rPr>
        <w:tab/>
        <w:t>Ramos-Martín V, Johnson A, McEntee L, Farrington N, Padmore K, Cojutti P, Pea F, Neely MN, Hope WW. 2017. Pharmacodynamics of teicoplanin against MRSA. J Antimicrob Chemother 72:3382–3389.</w:t>
      </w:r>
    </w:p>
    <w:p w14:paraId="577BF8E9"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36. </w:t>
      </w:r>
      <w:r w:rsidRPr="00EC6CE2">
        <w:rPr>
          <w:rFonts w:ascii="Calibri" w:hAnsi="Calibri" w:cs="Calibri"/>
          <w:noProof/>
        </w:rPr>
        <w:tab/>
        <w:t>Kellogg JA, Ferrentino FL, Goodstein MH, Liss J, Shapiro SL, Bankert DA. 1997. Frequency of low level bacteremia in infants from birth to two months of age. Pediatr Infect Dis J 16:381–385.</w:t>
      </w:r>
    </w:p>
    <w:p w14:paraId="4A08D836"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37. </w:t>
      </w:r>
      <w:r w:rsidRPr="00EC6CE2">
        <w:rPr>
          <w:rFonts w:ascii="Calibri" w:hAnsi="Calibri" w:cs="Calibri"/>
          <w:noProof/>
        </w:rPr>
        <w:tab/>
        <w:t xml:space="preserve">Dietzman DE, Fischer GW, Schoenknecht FD. 1974. Neonatal </w:t>
      </w:r>
      <w:r w:rsidRPr="00EC6CE2">
        <w:rPr>
          <w:rFonts w:ascii="Calibri" w:hAnsi="Calibri" w:cs="Calibri"/>
          <w:i/>
          <w:iCs/>
          <w:noProof/>
        </w:rPr>
        <w:t>Escherichia coli</w:t>
      </w:r>
      <w:r w:rsidRPr="00EC6CE2">
        <w:rPr>
          <w:rFonts w:ascii="Calibri" w:hAnsi="Calibri" w:cs="Calibri"/>
          <w:noProof/>
        </w:rPr>
        <w:t xml:space="preserve"> septicemia-bacterial counts in blood. J Pediatr 85:128–130.</w:t>
      </w:r>
    </w:p>
    <w:p w14:paraId="505B7A17"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38. </w:t>
      </w:r>
      <w:r w:rsidRPr="00EC6CE2">
        <w:rPr>
          <w:rFonts w:ascii="Calibri" w:hAnsi="Calibri" w:cs="Calibri"/>
          <w:noProof/>
        </w:rPr>
        <w:tab/>
        <w:t>Allegaert K, Scheers I, Adams E, Brajanoski G, Cossey V, Anderson BJ. 2008. Cerebrospinal fluid compartmental pharmacokinetics of amikacin in neonates. Antimicrob Agents Chemother 52:1934–1939.</w:t>
      </w:r>
    </w:p>
    <w:p w14:paraId="6067A277"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39. </w:t>
      </w:r>
      <w:r w:rsidRPr="00EC6CE2">
        <w:rPr>
          <w:rFonts w:ascii="Calibri" w:hAnsi="Calibri" w:cs="Calibri"/>
          <w:noProof/>
        </w:rPr>
        <w:tab/>
        <w:t>Pfausler B. 2004. Concentrations of fosfomycin in the cerebrospinal fluid of neurointensive care patients with ventriculostomy-associated ventriculitis. J Antimicrob Chemother 53:848–852.</w:t>
      </w:r>
    </w:p>
    <w:p w14:paraId="02D08E78"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lastRenderedPageBreak/>
        <w:t xml:space="preserve">40. </w:t>
      </w:r>
      <w:r w:rsidRPr="00EC6CE2">
        <w:rPr>
          <w:rFonts w:ascii="Calibri" w:hAnsi="Calibri" w:cs="Calibri"/>
          <w:noProof/>
        </w:rPr>
        <w:tab/>
        <w:t xml:space="preserve"> Amikacin 250 mg/ml Injection - Summary of Product Characteristics (SmPC) - (emc).</w:t>
      </w:r>
    </w:p>
    <w:p w14:paraId="15F63FE7"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41. </w:t>
      </w:r>
      <w:r w:rsidRPr="00EC6CE2">
        <w:rPr>
          <w:rFonts w:ascii="Calibri" w:hAnsi="Calibri" w:cs="Calibri"/>
          <w:noProof/>
        </w:rPr>
        <w:tab/>
        <w:t xml:space="preserve"> Fomicyt 40 mg/ml powder for solution for infusion - Summary of Product Characteristics (SmPC) - (emc).</w:t>
      </w:r>
    </w:p>
    <w:p w14:paraId="22FE3E24"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42. </w:t>
      </w:r>
      <w:r w:rsidRPr="00EC6CE2">
        <w:rPr>
          <w:rFonts w:ascii="Calibri" w:hAnsi="Calibri" w:cs="Calibri"/>
          <w:noProof/>
        </w:rPr>
        <w:tab/>
        <w:t>Winkler HH. 1973. Distribution of an inducible hexose phosphate transport system among various bacteria. J Bacteriol 116:1079–1081.</w:t>
      </w:r>
    </w:p>
    <w:p w14:paraId="0EA29E8F"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43. </w:t>
      </w:r>
      <w:r w:rsidRPr="00EC6CE2">
        <w:rPr>
          <w:rFonts w:ascii="Calibri" w:hAnsi="Calibri" w:cs="Calibri"/>
          <w:noProof/>
        </w:rPr>
        <w:tab/>
        <w:t xml:space="preserve"> 2003. Determination of minimum inhibitory concentrations (MICs) of antibacterial agents by broth dilution. Clin Microbiol Infect 9:ix–xv.</w:t>
      </w:r>
    </w:p>
    <w:p w14:paraId="0FA97F43"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44. </w:t>
      </w:r>
      <w:r w:rsidRPr="00EC6CE2">
        <w:rPr>
          <w:rFonts w:ascii="Calibri" w:hAnsi="Calibri" w:cs="Calibri"/>
          <w:noProof/>
        </w:rPr>
        <w:tab/>
        <w:t>D’Argenio DZ, Schumitzky A, Wang X. 2009. ADAPT 5 User’s Guide: Pharmacokinetic/Pharmacodynamic Systems Analysis Software. Biomed Simulations Resour.</w:t>
      </w:r>
    </w:p>
    <w:p w14:paraId="7483E05D"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45. </w:t>
      </w:r>
      <w:r w:rsidRPr="00EC6CE2">
        <w:rPr>
          <w:rFonts w:ascii="Calibri" w:hAnsi="Calibri" w:cs="Calibri"/>
          <w:noProof/>
        </w:rPr>
        <w:tab/>
        <w:t>Viechtbauer W. 2010. Conducting meta-analyses in R with the metafor. J Stat Softw 36:1–48.</w:t>
      </w:r>
    </w:p>
    <w:p w14:paraId="02434461"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46. </w:t>
      </w:r>
      <w:r w:rsidRPr="00EC6CE2">
        <w:rPr>
          <w:rFonts w:ascii="Calibri" w:hAnsi="Calibri" w:cs="Calibri"/>
          <w:noProof/>
        </w:rPr>
        <w:tab/>
        <w:t>J.S. Cadwell J. 2012. The Hollow Fiber Infection Model for Antimicrobial Pharmacodynamics and Pharmacokinetics. Adv Pharmacoepidemiol Drug Saf 01:1–5.</w:t>
      </w:r>
    </w:p>
    <w:p w14:paraId="69A2E2A0"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47. </w:t>
      </w:r>
      <w:r w:rsidRPr="00EC6CE2">
        <w:rPr>
          <w:rFonts w:ascii="Calibri" w:hAnsi="Calibri" w:cs="Calibri"/>
          <w:noProof/>
        </w:rPr>
        <w:tab/>
        <w:t>Hospira. 2015. Amikacin 250 mg/ml Injection SPC. medicines.org.uk.</w:t>
      </w:r>
    </w:p>
    <w:p w14:paraId="28DD0678"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48. </w:t>
      </w:r>
      <w:r w:rsidRPr="00EC6CE2">
        <w:rPr>
          <w:rFonts w:ascii="Calibri" w:hAnsi="Calibri" w:cs="Calibri"/>
          <w:noProof/>
        </w:rPr>
        <w:tab/>
        <w:t>Abdel-Hady E, El Hamamsy M, Hedaya M, Awad H. 2011. The efficacy and toxicity of two dosing-regimens of amikacin in neonates with sepsis. J Clin Pharm Ther 36:45–52.</w:t>
      </w:r>
    </w:p>
    <w:p w14:paraId="424DFB1E"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49. </w:t>
      </w:r>
      <w:r w:rsidRPr="00EC6CE2">
        <w:rPr>
          <w:rFonts w:ascii="Calibri" w:hAnsi="Calibri" w:cs="Calibri"/>
          <w:noProof/>
        </w:rPr>
        <w:tab/>
        <w:t>Allegaert K, Anderson BJ, Cossey V, Holford NHG. 2006. Limited predictability of amikacin clearance in extreme premature neonates at birth. Br J Clin Pharmacol 61:39–48.</w:t>
      </w:r>
    </w:p>
    <w:p w14:paraId="44A7795A"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50. </w:t>
      </w:r>
      <w:r w:rsidRPr="00EC6CE2">
        <w:rPr>
          <w:rFonts w:ascii="Calibri" w:hAnsi="Calibri" w:cs="Calibri"/>
          <w:noProof/>
        </w:rPr>
        <w:tab/>
        <w:t xml:space="preserve">Hughes KM, Johnson PN, Anderson MP. 2017. Comparison of Amikacin Pharmacokinetics </w:t>
      </w:r>
      <w:r w:rsidRPr="00EC6CE2">
        <w:rPr>
          <w:rFonts w:ascii="Calibri" w:hAnsi="Calibri" w:cs="Calibri"/>
          <w:noProof/>
        </w:rPr>
        <w:lastRenderedPageBreak/>
        <w:t>in Neonates Following Implementation of a New Dosage Protocol. J Pediatr Pharmacol Ther 22:33–40.</w:t>
      </w:r>
    </w:p>
    <w:p w14:paraId="67E74829"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51. </w:t>
      </w:r>
      <w:r w:rsidRPr="00EC6CE2">
        <w:rPr>
          <w:rFonts w:ascii="Calibri" w:hAnsi="Calibri" w:cs="Calibri"/>
          <w:noProof/>
        </w:rPr>
        <w:tab/>
        <w:t>Howard JB, McCracken GH, Trujillo H, Mohs HE. 1976. Amikacin in newborn infants: comparative pharmacology with kanamycin and clinical efficacy in 45 neonates with bacterial diseases. Antimicrob Agents Chemother 10:205–210.</w:t>
      </w:r>
    </w:p>
    <w:p w14:paraId="2EC83E43"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52. </w:t>
      </w:r>
      <w:r w:rsidRPr="00EC6CE2">
        <w:rPr>
          <w:rFonts w:ascii="Calibri" w:hAnsi="Calibri" w:cs="Calibri"/>
          <w:noProof/>
        </w:rPr>
        <w:tab/>
        <w:t>Kenyon CF, Knoppert DC, Lee SK, Vandenberghe HM, Chance GW. 1990. Amikacin pharmacokinetics and suggested dosage modifications for the preterm infant. Antimicrob Agents Chemother 34:265–268.</w:t>
      </w:r>
    </w:p>
    <w:p w14:paraId="5309635C"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53. </w:t>
      </w:r>
      <w:r w:rsidRPr="00EC6CE2">
        <w:rPr>
          <w:rFonts w:ascii="Calibri" w:hAnsi="Calibri" w:cs="Calibri"/>
          <w:noProof/>
        </w:rPr>
        <w:tab/>
        <w:t>Blaser J. 1985. In-vitro model for simultaneous simulation of the serum kinetics of two drugs with different half-lives. J Antimicrob Chemother 15:125–130.</w:t>
      </w:r>
    </w:p>
    <w:p w14:paraId="2A35A427"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54. </w:t>
      </w:r>
      <w:r w:rsidRPr="00EC6CE2">
        <w:rPr>
          <w:rFonts w:ascii="Calibri" w:hAnsi="Calibri" w:cs="Calibri"/>
          <w:noProof/>
        </w:rPr>
        <w:tab/>
        <w:t>Neely MN, Van Guilder MG, Yamada WM, Schumitzky A, Jelliffe RW. 2012. Accurate detection of outliers and subpopulations with pmetrics, a nonparametric and parametric pharmacometric modeling and simulation package for R. Ther Drug Monit 34:467–76.</w:t>
      </w:r>
    </w:p>
    <w:p w14:paraId="66E73CF0"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55. </w:t>
      </w:r>
      <w:r w:rsidRPr="00EC6CE2">
        <w:rPr>
          <w:rFonts w:ascii="Calibri" w:hAnsi="Calibri" w:cs="Calibri"/>
          <w:noProof/>
        </w:rPr>
        <w:tab/>
        <w:t>Kane Z, Gastine S, Williams P, Berkley JA, Ellis S, Correia E, Darlow C, Hope W, Sharland M, Standing JF. 2020. Abtract 4568: PK/PD of intravenous and oral fosfomycin in neonates with presumed serious bacterial Infection. ECCMID Abstr B 2020 2206.</w:t>
      </w:r>
    </w:p>
    <w:p w14:paraId="5019BC0C" w14:textId="77777777" w:rsidR="00EC6CE2" w:rsidRPr="00EC6CE2" w:rsidRDefault="00EC6CE2" w:rsidP="00EC6CE2">
      <w:pPr>
        <w:widowControl w:val="0"/>
        <w:autoSpaceDE w:val="0"/>
        <w:autoSpaceDN w:val="0"/>
        <w:adjustRightInd w:val="0"/>
        <w:spacing w:before="120" w:line="480" w:lineRule="auto"/>
        <w:ind w:left="640" w:hanging="640"/>
        <w:rPr>
          <w:rFonts w:ascii="Calibri" w:hAnsi="Calibri" w:cs="Calibri"/>
          <w:noProof/>
        </w:rPr>
      </w:pPr>
      <w:r w:rsidRPr="00EC6CE2">
        <w:rPr>
          <w:rFonts w:ascii="Calibri" w:hAnsi="Calibri" w:cs="Calibri"/>
          <w:noProof/>
        </w:rPr>
        <w:t xml:space="preserve">56. </w:t>
      </w:r>
      <w:r w:rsidRPr="00EC6CE2">
        <w:rPr>
          <w:rFonts w:ascii="Calibri" w:hAnsi="Calibri" w:cs="Calibri"/>
          <w:noProof/>
        </w:rPr>
        <w:tab/>
        <w:t>Illamola SM, Colom H, van Hasselt JGC. 2016. Evaluating renal function and age as predictors of amikacin clearance in neonates: model-based analysis and optimal dosing strategies. Br J Clin Pharmacol 793–805.</w:t>
      </w:r>
    </w:p>
    <w:p w14:paraId="2416F29A" w14:textId="064FF1AE" w:rsidR="006E643E" w:rsidRPr="00F533B4" w:rsidRDefault="001B782D" w:rsidP="00EC6CE2">
      <w:pPr>
        <w:widowControl w:val="0"/>
        <w:autoSpaceDE w:val="0"/>
        <w:autoSpaceDN w:val="0"/>
        <w:adjustRightInd w:val="0"/>
        <w:spacing w:before="120" w:line="480" w:lineRule="auto"/>
        <w:ind w:left="640" w:hanging="640"/>
        <w:rPr>
          <w:color w:val="000000" w:themeColor="text1"/>
        </w:rPr>
      </w:pPr>
      <w:r w:rsidRPr="00F533B4">
        <w:rPr>
          <w:b/>
          <w:color w:val="000000" w:themeColor="text1"/>
        </w:rPr>
        <w:fldChar w:fldCharType="end"/>
      </w:r>
      <w:r w:rsidR="006E643E" w:rsidRPr="00F533B4">
        <w:rPr>
          <w:color w:val="000000" w:themeColor="text1"/>
        </w:rPr>
        <w:br w:type="page"/>
      </w:r>
    </w:p>
    <w:p w14:paraId="40EC7B05" w14:textId="41799837" w:rsidR="00897CD9" w:rsidRPr="00F533B4" w:rsidRDefault="00DD23BE" w:rsidP="00E72EBF">
      <w:pPr>
        <w:spacing w:before="120" w:line="480" w:lineRule="auto"/>
        <w:rPr>
          <w:rFonts w:cstheme="minorHAnsi"/>
          <w:b/>
          <w:color w:val="000000" w:themeColor="text1"/>
        </w:rPr>
      </w:pPr>
      <w:r w:rsidRPr="00F533B4">
        <w:rPr>
          <w:rFonts w:cstheme="minorHAnsi"/>
          <w:b/>
          <w:color w:val="000000" w:themeColor="text1"/>
        </w:rPr>
        <w:lastRenderedPageBreak/>
        <w:t>Tables</w:t>
      </w:r>
    </w:p>
    <w:p w14:paraId="1A757C80" w14:textId="77777777" w:rsidR="00CB0092" w:rsidRPr="00875BD4" w:rsidRDefault="00CB0092" w:rsidP="00D67625">
      <w:pPr>
        <w:rPr>
          <w:color w:val="000000" w:themeColor="text1"/>
        </w:rPr>
      </w:pPr>
    </w:p>
    <w:tbl>
      <w:tblPr>
        <w:tblStyle w:val="GridTable4"/>
        <w:tblW w:w="0" w:type="auto"/>
        <w:tblLook w:val="04A0" w:firstRow="1" w:lastRow="0" w:firstColumn="1" w:lastColumn="0" w:noHBand="0" w:noVBand="1"/>
      </w:tblPr>
      <w:tblGrid>
        <w:gridCol w:w="1959"/>
        <w:gridCol w:w="1959"/>
        <w:gridCol w:w="1959"/>
        <w:gridCol w:w="1959"/>
      </w:tblGrid>
      <w:tr w:rsidR="00177338" w:rsidRPr="00F533B4" w14:paraId="4173DB0E" w14:textId="289A35C6" w:rsidTr="00177338">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959" w:type="dxa"/>
          </w:tcPr>
          <w:p w14:paraId="781C7DCD" w14:textId="27ED2927" w:rsidR="00177338" w:rsidRPr="00F533B4" w:rsidRDefault="00E72EBF" w:rsidP="00E72EBF">
            <w:pPr>
              <w:spacing w:before="120" w:after="120"/>
              <w:rPr>
                <w:rFonts w:cstheme="minorHAnsi"/>
                <w:b w:val="0"/>
              </w:rPr>
            </w:pPr>
            <w:r>
              <w:rPr>
                <w:rFonts w:cstheme="minorHAnsi"/>
                <w:b w:val="0"/>
              </w:rPr>
              <w:t>Parameter</w:t>
            </w:r>
          </w:p>
        </w:tc>
        <w:tc>
          <w:tcPr>
            <w:tcW w:w="1959" w:type="dxa"/>
          </w:tcPr>
          <w:p w14:paraId="7813117D" w14:textId="6245A51C" w:rsidR="00177338" w:rsidRPr="00F533B4" w:rsidRDefault="00177338" w:rsidP="00E72EBF">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F533B4">
              <w:rPr>
                <w:rFonts w:cstheme="minorHAnsi"/>
                <w:b w:val="0"/>
              </w:rPr>
              <w:t xml:space="preserve">Mean </w:t>
            </w:r>
          </w:p>
        </w:tc>
        <w:tc>
          <w:tcPr>
            <w:tcW w:w="1959" w:type="dxa"/>
          </w:tcPr>
          <w:p w14:paraId="787C6A53" w14:textId="696D9FD3" w:rsidR="00177338" w:rsidRPr="00F533B4" w:rsidRDefault="00177338" w:rsidP="00E72EBF">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F533B4">
              <w:rPr>
                <w:rFonts w:cstheme="minorHAnsi"/>
                <w:b w:val="0"/>
              </w:rPr>
              <w:t>Median</w:t>
            </w:r>
          </w:p>
        </w:tc>
        <w:tc>
          <w:tcPr>
            <w:tcW w:w="1959" w:type="dxa"/>
          </w:tcPr>
          <w:p w14:paraId="3F0DA2CE" w14:textId="609968DA" w:rsidR="00177338" w:rsidRPr="00F533B4" w:rsidRDefault="00177338" w:rsidP="00E72EBF">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95% Credibility interval</w:t>
            </w:r>
          </w:p>
        </w:tc>
      </w:tr>
      <w:tr w:rsidR="00E83D20" w:rsidRPr="00F533B4" w14:paraId="2606C6FF" w14:textId="092B8351" w:rsidTr="00177338">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959" w:type="dxa"/>
          </w:tcPr>
          <w:p w14:paraId="14A76F45" w14:textId="215F48BF" w:rsidR="00E83D20" w:rsidRPr="00F533B4" w:rsidRDefault="00E83D20" w:rsidP="00E72EBF">
            <w:pPr>
              <w:spacing w:before="120" w:after="120"/>
              <w:rPr>
                <w:rFonts w:cstheme="minorHAnsi"/>
                <w:b w:val="0"/>
                <w:color w:val="000000" w:themeColor="text1"/>
              </w:rPr>
            </w:pPr>
            <w:r w:rsidRPr="00F533B4">
              <w:rPr>
                <w:color w:val="000000" w:themeColor="text1"/>
              </w:rPr>
              <w:t>V1</w:t>
            </w:r>
            <w:r>
              <w:rPr>
                <w:color w:val="000000" w:themeColor="text1"/>
              </w:rPr>
              <w:t xml:space="preserve"> (L)</w:t>
            </w:r>
          </w:p>
        </w:tc>
        <w:tc>
          <w:tcPr>
            <w:tcW w:w="1959" w:type="dxa"/>
          </w:tcPr>
          <w:p w14:paraId="766472F8" w14:textId="28F26CD5" w:rsidR="00E83D20" w:rsidRPr="00F533B4" w:rsidRDefault="00E83D20" w:rsidP="00E72EBF">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F533B4">
              <w:rPr>
                <w:color w:val="000000" w:themeColor="text1"/>
              </w:rPr>
              <w:t>0.459</w:t>
            </w:r>
          </w:p>
        </w:tc>
        <w:tc>
          <w:tcPr>
            <w:tcW w:w="1959" w:type="dxa"/>
          </w:tcPr>
          <w:p w14:paraId="107835B7" w14:textId="5FE7BCF3" w:rsidR="00E83D20" w:rsidRPr="00F533B4" w:rsidRDefault="00E83D20" w:rsidP="00E72EBF">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F533B4">
              <w:rPr>
                <w:color w:val="000000" w:themeColor="text1"/>
              </w:rPr>
              <w:t>0.469</w:t>
            </w:r>
          </w:p>
        </w:tc>
        <w:tc>
          <w:tcPr>
            <w:tcW w:w="1959" w:type="dxa"/>
          </w:tcPr>
          <w:p w14:paraId="65598308" w14:textId="652E91B2" w:rsidR="00E83D20" w:rsidRPr="00F533B4" w:rsidRDefault="00E83D20" w:rsidP="00E72EBF">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0.41</w:t>
            </w:r>
            <w:r w:rsidR="006554DA">
              <w:rPr>
                <w:color w:val="000000" w:themeColor="text1"/>
              </w:rPr>
              <w:t>6</w:t>
            </w:r>
            <w:r>
              <w:rPr>
                <w:color w:val="000000" w:themeColor="text1"/>
              </w:rPr>
              <w:t xml:space="preserve"> – 0.5</w:t>
            </w:r>
          </w:p>
        </w:tc>
      </w:tr>
      <w:tr w:rsidR="00E83D20" w:rsidRPr="00F533B4" w14:paraId="2998B93A" w14:textId="3604A41F" w:rsidTr="00177338">
        <w:trPr>
          <w:trHeight w:val="603"/>
        </w:trPr>
        <w:tc>
          <w:tcPr>
            <w:cnfStyle w:val="001000000000" w:firstRow="0" w:lastRow="0" w:firstColumn="1" w:lastColumn="0" w:oddVBand="0" w:evenVBand="0" w:oddHBand="0" w:evenHBand="0" w:firstRowFirstColumn="0" w:firstRowLastColumn="0" w:lastRowFirstColumn="0" w:lastRowLastColumn="0"/>
            <w:tcW w:w="1959" w:type="dxa"/>
          </w:tcPr>
          <w:p w14:paraId="6D0CEEE3" w14:textId="5AFCC91F" w:rsidR="00E83D20" w:rsidRPr="00F533B4" w:rsidRDefault="00E83D20" w:rsidP="00E72EBF">
            <w:pPr>
              <w:spacing w:before="120" w:after="120"/>
              <w:rPr>
                <w:rFonts w:cstheme="minorHAnsi"/>
                <w:b w:val="0"/>
                <w:color w:val="000000" w:themeColor="text1"/>
              </w:rPr>
            </w:pPr>
            <w:r w:rsidRPr="00F533B4">
              <w:rPr>
                <w:color w:val="000000" w:themeColor="text1"/>
              </w:rPr>
              <w:t>V2</w:t>
            </w:r>
            <w:r>
              <w:rPr>
                <w:color w:val="000000" w:themeColor="text1"/>
              </w:rPr>
              <w:t xml:space="preserve"> (L)</w:t>
            </w:r>
          </w:p>
        </w:tc>
        <w:tc>
          <w:tcPr>
            <w:tcW w:w="1959" w:type="dxa"/>
          </w:tcPr>
          <w:p w14:paraId="24357AE5" w14:textId="07E9C883" w:rsidR="00E83D20" w:rsidRPr="00F533B4" w:rsidRDefault="00E83D20" w:rsidP="00E72EBF">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sidRPr="00F533B4">
              <w:rPr>
                <w:color w:val="000000" w:themeColor="text1"/>
              </w:rPr>
              <w:t>0.359</w:t>
            </w:r>
          </w:p>
        </w:tc>
        <w:tc>
          <w:tcPr>
            <w:tcW w:w="1959" w:type="dxa"/>
          </w:tcPr>
          <w:p w14:paraId="01B367D2" w14:textId="4910B121" w:rsidR="00E83D20" w:rsidRPr="00F533B4" w:rsidRDefault="00E83D20" w:rsidP="00E72EBF">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sidRPr="00F533B4">
              <w:rPr>
                <w:color w:val="000000" w:themeColor="text1"/>
              </w:rPr>
              <w:t>0.312</w:t>
            </w:r>
          </w:p>
        </w:tc>
        <w:tc>
          <w:tcPr>
            <w:tcW w:w="1959" w:type="dxa"/>
          </w:tcPr>
          <w:p w14:paraId="6B190769" w14:textId="2B279992" w:rsidR="00E83D20" w:rsidRPr="00F533B4" w:rsidRDefault="00E83D20" w:rsidP="00E72EBF">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0.306 – 0.41</w:t>
            </w:r>
            <w:r w:rsidR="006554DA">
              <w:rPr>
                <w:color w:val="000000" w:themeColor="text1"/>
              </w:rPr>
              <w:t>7</w:t>
            </w:r>
          </w:p>
        </w:tc>
      </w:tr>
      <w:tr w:rsidR="00E83D20" w:rsidRPr="00F533B4" w14:paraId="798ECBBC" w14:textId="3A3E324B" w:rsidTr="00177338">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959" w:type="dxa"/>
          </w:tcPr>
          <w:p w14:paraId="6306A083" w14:textId="07A7F00A" w:rsidR="00E83D20" w:rsidRPr="00F533B4" w:rsidRDefault="00E83D20" w:rsidP="00E72EBF">
            <w:pPr>
              <w:spacing w:before="120" w:after="120"/>
              <w:rPr>
                <w:rFonts w:cstheme="minorHAnsi"/>
                <w:b w:val="0"/>
                <w:color w:val="000000" w:themeColor="text1"/>
              </w:rPr>
            </w:pPr>
            <w:r w:rsidRPr="00F533B4">
              <w:rPr>
                <w:color w:val="000000" w:themeColor="text1"/>
              </w:rPr>
              <w:t>Cl1</w:t>
            </w:r>
            <w:r>
              <w:rPr>
                <w:color w:val="000000" w:themeColor="text1"/>
              </w:rPr>
              <w:t xml:space="preserve"> (L/h)</w:t>
            </w:r>
          </w:p>
        </w:tc>
        <w:tc>
          <w:tcPr>
            <w:tcW w:w="1959" w:type="dxa"/>
          </w:tcPr>
          <w:p w14:paraId="1048B582" w14:textId="5FE0AD9F" w:rsidR="00E83D20" w:rsidRPr="00F533B4" w:rsidRDefault="00E83D20" w:rsidP="00E72EBF">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F533B4">
              <w:rPr>
                <w:color w:val="000000" w:themeColor="text1"/>
              </w:rPr>
              <w:t>0.082</w:t>
            </w:r>
          </w:p>
        </w:tc>
        <w:tc>
          <w:tcPr>
            <w:tcW w:w="1959" w:type="dxa"/>
          </w:tcPr>
          <w:p w14:paraId="198939EA" w14:textId="68D65FE3" w:rsidR="00E83D20" w:rsidRPr="00F533B4" w:rsidRDefault="00E83D20" w:rsidP="00E72EBF">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F533B4">
              <w:rPr>
                <w:color w:val="000000" w:themeColor="text1"/>
              </w:rPr>
              <w:t>0.077</w:t>
            </w:r>
          </w:p>
        </w:tc>
        <w:tc>
          <w:tcPr>
            <w:tcW w:w="1959" w:type="dxa"/>
          </w:tcPr>
          <w:p w14:paraId="7F1C377E" w14:textId="1E51B91D" w:rsidR="00E83D20" w:rsidRPr="00F533B4" w:rsidRDefault="00E83D20" w:rsidP="00E72EBF">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0.0755 – 0.0967</w:t>
            </w:r>
          </w:p>
        </w:tc>
      </w:tr>
      <w:tr w:rsidR="00E83D20" w:rsidRPr="00F533B4" w14:paraId="0DC1DD83" w14:textId="7889CB37" w:rsidTr="00177338">
        <w:trPr>
          <w:trHeight w:val="603"/>
        </w:trPr>
        <w:tc>
          <w:tcPr>
            <w:cnfStyle w:val="001000000000" w:firstRow="0" w:lastRow="0" w:firstColumn="1" w:lastColumn="0" w:oddVBand="0" w:evenVBand="0" w:oddHBand="0" w:evenHBand="0" w:firstRowFirstColumn="0" w:firstRowLastColumn="0" w:lastRowFirstColumn="0" w:lastRowLastColumn="0"/>
            <w:tcW w:w="1959" w:type="dxa"/>
          </w:tcPr>
          <w:p w14:paraId="762AF0AB" w14:textId="65223552" w:rsidR="00E83D20" w:rsidRPr="00F533B4" w:rsidRDefault="00E83D20" w:rsidP="00E72EBF">
            <w:pPr>
              <w:spacing w:before="120" w:after="120"/>
              <w:rPr>
                <w:rFonts w:cstheme="minorHAnsi"/>
                <w:b w:val="0"/>
                <w:color w:val="000000" w:themeColor="text1"/>
              </w:rPr>
            </w:pPr>
            <w:r w:rsidRPr="00F533B4">
              <w:rPr>
                <w:color w:val="000000" w:themeColor="text1"/>
              </w:rPr>
              <w:t>Cl2</w:t>
            </w:r>
            <w:r>
              <w:rPr>
                <w:color w:val="000000" w:themeColor="text1"/>
              </w:rPr>
              <w:t xml:space="preserve"> (L/h)</w:t>
            </w:r>
          </w:p>
        </w:tc>
        <w:tc>
          <w:tcPr>
            <w:tcW w:w="1959" w:type="dxa"/>
          </w:tcPr>
          <w:p w14:paraId="685FB63F" w14:textId="629BB2FC" w:rsidR="00E83D20" w:rsidRPr="00F533B4" w:rsidRDefault="00E83D20" w:rsidP="00E72EBF">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sidRPr="00F533B4">
              <w:rPr>
                <w:color w:val="000000" w:themeColor="text1"/>
              </w:rPr>
              <w:t>0.038</w:t>
            </w:r>
          </w:p>
        </w:tc>
        <w:tc>
          <w:tcPr>
            <w:tcW w:w="1959" w:type="dxa"/>
          </w:tcPr>
          <w:p w14:paraId="5FE65340" w14:textId="2BE86BF7" w:rsidR="00E83D20" w:rsidRPr="00F533B4" w:rsidRDefault="00E83D20" w:rsidP="00E72EBF">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sidRPr="00F533B4">
              <w:rPr>
                <w:color w:val="000000" w:themeColor="text1"/>
              </w:rPr>
              <w:t>0.031</w:t>
            </w:r>
          </w:p>
        </w:tc>
        <w:tc>
          <w:tcPr>
            <w:tcW w:w="1959" w:type="dxa"/>
          </w:tcPr>
          <w:p w14:paraId="5945F34B" w14:textId="40375D7C" w:rsidR="00E83D20" w:rsidRPr="00F533B4" w:rsidRDefault="00E83D20" w:rsidP="00E72EBF">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0.0308 – 0.0369</w:t>
            </w:r>
          </w:p>
        </w:tc>
      </w:tr>
      <w:tr w:rsidR="00E83D20" w:rsidRPr="00F533B4" w14:paraId="429E29FE" w14:textId="6B9356E4" w:rsidTr="00177338">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959" w:type="dxa"/>
          </w:tcPr>
          <w:p w14:paraId="615B9021" w14:textId="46E83177" w:rsidR="00E83D20" w:rsidRPr="00F533B4" w:rsidRDefault="00E83D20" w:rsidP="00E72EBF">
            <w:pPr>
              <w:spacing w:before="120" w:after="120"/>
              <w:rPr>
                <w:rFonts w:cstheme="minorHAnsi"/>
                <w:b w:val="0"/>
                <w:color w:val="000000" w:themeColor="text1"/>
              </w:rPr>
            </w:pPr>
            <w:r w:rsidRPr="00F533B4">
              <w:rPr>
                <w:color w:val="000000" w:themeColor="text1"/>
              </w:rPr>
              <w:t>Kgs</w:t>
            </w:r>
          </w:p>
        </w:tc>
        <w:tc>
          <w:tcPr>
            <w:tcW w:w="1959" w:type="dxa"/>
          </w:tcPr>
          <w:p w14:paraId="10B51BE8" w14:textId="4623F6DA" w:rsidR="00E83D20" w:rsidRPr="00F533B4" w:rsidRDefault="00E83D20" w:rsidP="00E72EBF">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F533B4">
              <w:rPr>
                <w:color w:val="000000" w:themeColor="text1"/>
              </w:rPr>
              <w:t>1.320</w:t>
            </w:r>
          </w:p>
        </w:tc>
        <w:tc>
          <w:tcPr>
            <w:tcW w:w="1959" w:type="dxa"/>
          </w:tcPr>
          <w:p w14:paraId="6D832A38" w14:textId="68E73C1B" w:rsidR="00E83D20" w:rsidRPr="00F533B4" w:rsidRDefault="00E83D20" w:rsidP="00E72EBF">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F533B4">
              <w:rPr>
                <w:color w:val="000000" w:themeColor="text1"/>
              </w:rPr>
              <w:t>1.124</w:t>
            </w:r>
          </w:p>
        </w:tc>
        <w:tc>
          <w:tcPr>
            <w:tcW w:w="1959" w:type="dxa"/>
          </w:tcPr>
          <w:p w14:paraId="0E795015" w14:textId="5E529783" w:rsidR="00E83D20" w:rsidRPr="00F533B4" w:rsidRDefault="00E83D20" w:rsidP="00E72EBF">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1.000 - 1.579</w:t>
            </w:r>
          </w:p>
        </w:tc>
      </w:tr>
      <w:tr w:rsidR="00E83D20" w:rsidRPr="00F533B4" w14:paraId="75D7BB8F" w14:textId="5F01F4CB" w:rsidTr="00177338">
        <w:trPr>
          <w:trHeight w:val="588"/>
        </w:trPr>
        <w:tc>
          <w:tcPr>
            <w:cnfStyle w:val="001000000000" w:firstRow="0" w:lastRow="0" w:firstColumn="1" w:lastColumn="0" w:oddVBand="0" w:evenVBand="0" w:oddHBand="0" w:evenHBand="0" w:firstRowFirstColumn="0" w:firstRowLastColumn="0" w:lastRowFirstColumn="0" w:lastRowLastColumn="0"/>
            <w:tcW w:w="1959" w:type="dxa"/>
          </w:tcPr>
          <w:p w14:paraId="48BDDEEC" w14:textId="4D82638F" w:rsidR="00E83D20" w:rsidRPr="00F533B4" w:rsidRDefault="00E83D20" w:rsidP="00E72EBF">
            <w:pPr>
              <w:spacing w:before="120" w:after="120"/>
              <w:rPr>
                <w:rFonts w:cstheme="minorHAnsi"/>
                <w:b w:val="0"/>
                <w:color w:val="000000" w:themeColor="text1"/>
              </w:rPr>
            </w:pPr>
            <w:proofErr w:type="spellStart"/>
            <w:r w:rsidRPr="00F533B4">
              <w:rPr>
                <w:color w:val="000000" w:themeColor="text1"/>
              </w:rPr>
              <w:t>Kks</w:t>
            </w:r>
            <w:proofErr w:type="spellEnd"/>
          </w:p>
        </w:tc>
        <w:tc>
          <w:tcPr>
            <w:tcW w:w="1959" w:type="dxa"/>
          </w:tcPr>
          <w:p w14:paraId="371DE1EC" w14:textId="5CD4E4D6" w:rsidR="00E83D20" w:rsidRPr="00F533B4" w:rsidRDefault="00E83D20" w:rsidP="00E72EBF">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sidRPr="00F533B4">
              <w:rPr>
                <w:color w:val="000000" w:themeColor="text1"/>
              </w:rPr>
              <w:t>2.698</w:t>
            </w:r>
          </w:p>
        </w:tc>
        <w:tc>
          <w:tcPr>
            <w:tcW w:w="1959" w:type="dxa"/>
          </w:tcPr>
          <w:p w14:paraId="682D241C" w14:textId="05F96235" w:rsidR="00E83D20" w:rsidRPr="00F533B4" w:rsidRDefault="00E83D20" w:rsidP="00E72EBF">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sidRPr="00F533B4">
              <w:rPr>
                <w:color w:val="000000" w:themeColor="text1"/>
              </w:rPr>
              <w:t>2.922</w:t>
            </w:r>
          </w:p>
        </w:tc>
        <w:tc>
          <w:tcPr>
            <w:tcW w:w="1959" w:type="dxa"/>
          </w:tcPr>
          <w:p w14:paraId="6918EE4E" w14:textId="263F5DDB" w:rsidR="00E83D20" w:rsidRPr="00F533B4" w:rsidRDefault="00E83D20" w:rsidP="00E72EBF">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w:t>
            </w:r>
            <w:r w:rsidR="006554DA">
              <w:rPr>
                <w:color w:val="000000" w:themeColor="text1"/>
              </w:rPr>
              <w:t xml:space="preserve">700 </w:t>
            </w:r>
            <w:r>
              <w:rPr>
                <w:color w:val="000000" w:themeColor="text1"/>
              </w:rPr>
              <w:t>-</w:t>
            </w:r>
            <w:r w:rsidR="006554DA">
              <w:rPr>
                <w:color w:val="000000" w:themeColor="text1"/>
              </w:rPr>
              <w:t xml:space="preserve"> 3.000</w:t>
            </w:r>
          </w:p>
        </w:tc>
      </w:tr>
      <w:tr w:rsidR="00E83D20" w:rsidRPr="00F533B4" w14:paraId="05503784" w14:textId="7C7B0903" w:rsidTr="00177338">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959" w:type="dxa"/>
          </w:tcPr>
          <w:p w14:paraId="70435D4C" w14:textId="55D29BD9" w:rsidR="00E83D20" w:rsidRPr="00F533B4" w:rsidRDefault="00E83D20" w:rsidP="00E72EBF">
            <w:pPr>
              <w:spacing w:before="120" w:after="120"/>
              <w:rPr>
                <w:rFonts w:cstheme="minorHAnsi"/>
                <w:b w:val="0"/>
                <w:color w:val="000000" w:themeColor="text1"/>
              </w:rPr>
            </w:pPr>
            <w:r w:rsidRPr="00F533B4">
              <w:rPr>
                <w:color w:val="000000" w:themeColor="text1"/>
              </w:rPr>
              <w:t>E50</w:t>
            </w:r>
            <w:r w:rsidRPr="00F533B4">
              <w:rPr>
                <w:color w:val="000000" w:themeColor="text1"/>
                <w:vertAlign w:val="subscript"/>
              </w:rPr>
              <w:t>1</w:t>
            </w:r>
            <w:r w:rsidRPr="00F533B4">
              <w:rPr>
                <w:color w:val="000000" w:themeColor="text1"/>
              </w:rPr>
              <w:t>s</w:t>
            </w:r>
            <w:r>
              <w:rPr>
                <w:color w:val="000000" w:themeColor="text1"/>
              </w:rPr>
              <w:t xml:space="preserve"> (mg/L)</w:t>
            </w:r>
          </w:p>
        </w:tc>
        <w:tc>
          <w:tcPr>
            <w:tcW w:w="1959" w:type="dxa"/>
          </w:tcPr>
          <w:p w14:paraId="635F32A7" w14:textId="7835975C" w:rsidR="00E83D20" w:rsidRPr="00F533B4" w:rsidRDefault="00E83D20" w:rsidP="00E72EBF">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F533B4">
              <w:rPr>
                <w:color w:val="000000" w:themeColor="text1"/>
              </w:rPr>
              <w:t>9.081</w:t>
            </w:r>
          </w:p>
        </w:tc>
        <w:tc>
          <w:tcPr>
            <w:tcW w:w="1959" w:type="dxa"/>
          </w:tcPr>
          <w:p w14:paraId="165D837F" w14:textId="05BB55EE" w:rsidR="00E83D20" w:rsidRPr="00F533B4" w:rsidRDefault="00E83D20" w:rsidP="00E72EBF">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F533B4">
              <w:rPr>
                <w:color w:val="000000" w:themeColor="text1"/>
              </w:rPr>
              <w:t>6.805</w:t>
            </w:r>
          </w:p>
        </w:tc>
        <w:tc>
          <w:tcPr>
            <w:tcW w:w="1959" w:type="dxa"/>
          </w:tcPr>
          <w:p w14:paraId="1715C0C3" w14:textId="63F1F9C7" w:rsidR="00E83D20" w:rsidRPr="00F533B4" w:rsidRDefault="00E83D20" w:rsidP="00E72EBF">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4.41</w:t>
            </w:r>
            <w:r w:rsidR="006554DA">
              <w:rPr>
                <w:color w:val="000000" w:themeColor="text1"/>
              </w:rPr>
              <w:t>7</w:t>
            </w:r>
            <w:r>
              <w:rPr>
                <w:color w:val="000000" w:themeColor="text1"/>
              </w:rPr>
              <w:t xml:space="preserve"> – 11.2</w:t>
            </w:r>
            <w:r w:rsidR="00FE0A18">
              <w:rPr>
                <w:color w:val="000000" w:themeColor="text1"/>
              </w:rPr>
              <w:t>60</w:t>
            </w:r>
          </w:p>
        </w:tc>
      </w:tr>
      <w:tr w:rsidR="00E83D20" w:rsidRPr="00F533B4" w14:paraId="0FC62FF0" w14:textId="3890B84E" w:rsidTr="00177338">
        <w:trPr>
          <w:trHeight w:val="588"/>
        </w:trPr>
        <w:tc>
          <w:tcPr>
            <w:cnfStyle w:val="001000000000" w:firstRow="0" w:lastRow="0" w:firstColumn="1" w:lastColumn="0" w:oddVBand="0" w:evenVBand="0" w:oddHBand="0" w:evenHBand="0" w:firstRowFirstColumn="0" w:firstRowLastColumn="0" w:lastRowFirstColumn="0" w:lastRowLastColumn="0"/>
            <w:tcW w:w="1959" w:type="dxa"/>
          </w:tcPr>
          <w:p w14:paraId="716E7A9F" w14:textId="3E4E83E5" w:rsidR="00E83D20" w:rsidRPr="00F533B4" w:rsidRDefault="00E83D20" w:rsidP="00E72EBF">
            <w:pPr>
              <w:spacing w:before="120" w:after="120"/>
              <w:rPr>
                <w:rFonts w:cstheme="minorHAnsi"/>
                <w:b w:val="0"/>
                <w:color w:val="000000" w:themeColor="text1"/>
              </w:rPr>
            </w:pPr>
            <w:r w:rsidRPr="00F533B4">
              <w:rPr>
                <w:color w:val="000000" w:themeColor="text1"/>
              </w:rPr>
              <w:t>E50</w:t>
            </w:r>
            <w:r w:rsidRPr="00F533B4">
              <w:rPr>
                <w:color w:val="000000" w:themeColor="text1"/>
                <w:vertAlign w:val="subscript"/>
              </w:rPr>
              <w:t>2</w:t>
            </w:r>
            <w:r w:rsidRPr="00F533B4">
              <w:rPr>
                <w:color w:val="000000" w:themeColor="text1"/>
              </w:rPr>
              <w:t>s</w:t>
            </w:r>
            <w:r>
              <w:rPr>
                <w:color w:val="000000" w:themeColor="text1"/>
              </w:rPr>
              <w:t xml:space="preserve"> (mg/L)</w:t>
            </w:r>
          </w:p>
        </w:tc>
        <w:tc>
          <w:tcPr>
            <w:tcW w:w="1959" w:type="dxa"/>
          </w:tcPr>
          <w:p w14:paraId="36632464" w14:textId="01AC86E8" w:rsidR="00E83D20" w:rsidRPr="00F533B4" w:rsidRDefault="00E83D20" w:rsidP="00E72EBF">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sidRPr="00F533B4">
              <w:rPr>
                <w:color w:val="000000" w:themeColor="text1"/>
              </w:rPr>
              <w:t>11.674</w:t>
            </w:r>
          </w:p>
        </w:tc>
        <w:tc>
          <w:tcPr>
            <w:tcW w:w="1959" w:type="dxa"/>
          </w:tcPr>
          <w:p w14:paraId="4953A402" w14:textId="5D5C9CB1" w:rsidR="00E83D20" w:rsidRPr="00F533B4" w:rsidRDefault="00E83D20" w:rsidP="00E72EBF">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sidRPr="00F533B4">
              <w:rPr>
                <w:color w:val="000000" w:themeColor="text1"/>
              </w:rPr>
              <w:t>6.768</w:t>
            </w:r>
          </w:p>
        </w:tc>
        <w:tc>
          <w:tcPr>
            <w:tcW w:w="1959" w:type="dxa"/>
          </w:tcPr>
          <w:p w14:paraId="22FB5C68" w14:textId="55083271" w:rsidR="00E83D20" w:rsidRPr="00F533B4" w:rsidRDefault="00E83D20" w:rsidP="00E72EBF">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4.041 – 17.540</w:t>
            </w:r>
          </w:p>
        </w:tc>
      </w:tr>
      <w:tr w:rsidR="00E83D20" w:rsidRPr="00F533B4" w14:paraId="53D47648" w14:textId="2014D3FB" w:rsidTr="00177338">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959" w:type="dxa"/>
          </w:tcPr>
          <w:p w14:paraId="4129D497" w14:textId="1D8A83C4" w:rsidR="00E83D20" w:rsidRPr="00F533B4" w:rsidRDefault="00E83D20" w:rsidP="00E72EBF">
            <w:pPr>
              <w:spacing w:before="120" w:after="120"/>
              <w:rPr>
                <w:rFonts w:cstheme="minorHAnsi"/>
                <w:b w:val="0"/>
                <w:color w:val="000000" w:themeColor="text1"/>
              </w:rPr>
            </w:pPr>
            <w:r w:rsidRPr="00F533B4">
              <w:rPr>
                <w:rFonts w:cstheme="minorHAnsi"/>
                <w:color w:val="000000" w:themeColor="text1"/>
              </w:rPr>
              <w:sym w:font="Symbol" w:char="F061"/>
            </w:r>
            <w:r w:rsidRPr="00F533B4">
              <w:rPr>
                <w:rFonts w:cstheme="minorHAnsi"/>
                <w:color w:val="000000" w:themeColor="text1"/>
                <w:vertAlign w:val="subscript"/>
              </w:rPr>
              <w:t>s</w:t>
            </w:r>
          </w:p>
        </w:tc>
        <w:tc>
          <w:tcPr>
            <w:tcW w:w="1959" w:type="dxa"/>
          </w:tcPr>
          <w:p w14:paraId="7CCD8CDA" w14:textId="7BC761C7" w:rsidR="00E83D20" w:rsidRPr="00F533B4" w:rsidRDefault="00E83D20" w:rsidP="00E72EBF">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F533B4">
              <w:rPr>
                <w:color w:val="000000" w:themeColor="text1"/>
              </w:rPr>
              <w:t xml:space="preserve">16.288 </w:t>
            </w:r>
          </w:p>
        </w:tc>
        <w:tc>
          <w:tcPr>
            <w:tcW w:w="1959" w:type="dxa"/>
          </w:tcPr>
          <w:p w14:paraId="645AA698" w14:textId="234B7C7F" w:rsidR="00E83D20" w:rsidRPr="00F533B4" w:rsidRDefault="00E83D20" w:rsidP="00E72EBF">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F533B4">
              <w:rPr>
                <w:color w:val="000000" w:themeColor="text1"/>
              </w:rPr>
              <w:t>13.046</w:t>
            </w:r>
          </w:p>
        </w:tc>
        <w:tc>
          <w:tcPr>
            <w:tcW w:w="1959" w:type="dxa"/>
          </w:tcPr>
          <w:p w14:paraId="5A1501A0" w14:textId="7D94374F" w:rsidR="00E83D20" w:rsidRPr="00F533B4" w:rsidRDefault="00E83D20" w:rsidP="00E72EBF">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3.439 – 29.997</w:t>
            </w:r>
          </w:p>
        </w:tc>
      </w:tr>
      <w:tr w:rsidR="00E83D20" w:rsidRPr="00F533B4" w14:paraId="65A86DDE" w14:textId="72EC2EDD" w:rsidTr="00177338">
        <w:trPr>
          <w:trHeight w:val="588"/>
        </w:trPr>
        <w:tc>
          <w:tcPr>
            <w:cnfStyle w:val="001000000000" w:firstRow="0" w:lastRow="0" w:firstColumn="1" w:lastColumn="0" w:oddVBand="0" w:evenVBand="0" w:oddHBand="0" w:evenHBand="0" w:firstRowFirstColumn="0" w:firstRowLastColumn="0" w:lastRowFirstColumn="0" w:lastRowLastColumn="0"/>
            <w:tcW w:w="1959" w:type="dxa"/>
          </w:tcPr>
          <w:p w14:paraId="18CA94F4" w14:textId="11DE2CC9" w:rsidR="00E83D20" w:rsidRPr="00F533B4" w:rsidRDefault="00E83D20" w:rsidP="00E72EBF">
            <w:pPr>
              <w:spacing w:before="120" w:after="120"/>
              <w:rPr>
                <w:rFonts w:cstheme="minorHAnsi"/>
                <w:b w:val="0"/>
                <w:color w:val="000000" w:themeColor="text1"/>
              </w:rPr>
            </w:pPr>
            <w:r w:rsidRPr="00F533B4">
              <w:rPr>
                <w:color w:val="000000" w:themeColor="text1"/>
              </w:rPr>
              <w:t>Kgr1</w:t>
            </w:r>
          </w:p>
        </w:tc>
        <w:tc>
          <w:tcPr>
            <w:tcW w:w="1959" w:type="dxa"/>
          </w:tcPr>
          <w:p w14:paraId="2EC12497" w14:textId="4FC9F269" w:rsidR="00E83D20" w:rsidRPr="00F533B4" w:rsidRDefault="00E83D20" w:rsidP="00E72EBF">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sidRPr="00F533B4">
              <w:rPr>
                <w:color w:val="000000" w:themeColor="text1"/>
              </w:rPr>
              <w:t>1.375</w:t>
            </w:r>
          </w:p>
        </w:tc>
        <w:tc>
          <w:tcPr>
            <w:tcW w:w="1959" w:type="dxa"/>
          </w:tcPr>
          <w:p w14:paraId="2FAFB169" w14:textId="56D5C713" w:rsidR="00E83D20" w:rsidRPr="00F533B4" w:rsidRDefault="00E83D20" w:rsidP="00E72EBF">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sidRPr="00F533B4">
              <w:rPr>
                <w:color w:val="000000" w:themeColor="text1"/>
              </w:rPr>
              <w:t>1.324</w:t>
            </w:r>
          </w:p>
        </w:tc>
        <w:tc>
          <w:tcPr>
            <w:tcW w:w="1959" w:type="dxa"/>
          </w:tcPr>
          <w:p w14:paraId="69CEC905" w14:textId="099CD8BE" w:rsidR="00E83D20" w:rsidRPr="00F533B4" w:rsidRDefault="00E83D20" w:rsidP="00E72EBF">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1.23</w:t>
            </w:r>
            <w:r w:rsidR="00FE0A18">
              <w:rPr>
                <w:color w:val="000000" w:themeColor="text1"/>
              </w:rPr>
              <w:t>9</w:t>
            </w:r>
            <w:r>
              <w:rPr>
                <w:color w:val="000000" w:themeColor="text1"/>
              </w:rPr>
              <w:t xml:space="preserve"> – 1.329</w:t>
            </w:r>
          </w:p>
        </w:tc>
      </w:tr>
      <w:tr w:rsidR="00E83D20" w:rsidRPr="00F533B4" w14:paraId="30B45683" w14:textId="3D02C505" w:rsidTr="00177338">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959" w:type="dxa"/>
          </w:tcPr>
          <w:p w14:paraId="098BC8A7" w14:textId="21E6E548" w:rsidR="00E83D20" w:rsidRPr="00F533B4" w:rsidRDefault="00E83D20" w:rsidP="00E72EBF">
            <w:pPr>
              <w:spacing w:before="120" w:after="120"/>
              <w:rPr>
                <w:rFonts w:cstheme="minorHAnsi"/>
                <w:b w:val="0"/>
                <w:color w:val="000000" w:themeColor="text1"/>
              </w:rPr>
            </w:pPr>
            <w:r w:rsidRPr="00F533B4">
              <w:rPr>
                <w:color w:val="000000" w:themeColor="text1"/>
              </w:rPr>
              <w:t>Kkr1</w:t>
            </w:r>
          </w:p>
        </w:tc>
        <w:tc>
          <w:tcPr>
            <w:tcW w:w="1959" w:type="dxa"/>
          </w:tcPr>
          <w:p w14:paraId="529D6178" w14:textId="561D676C" w:rsidR="00E83D20" w:rsidRPr="00F533B4" w:rsidRDefault="00E83D20" w:rsidP="00E72EBF">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F533B4">
              <w:rPr>
                <w:color w:val="000000" w:themeColor="text1"/>
              </w:rPr>
              <w:t>2.384</w:t>
            </w:r>
          </w:p>
        </w:tc>
        <w:tc>
          <w:tcPr>
            <w:tcW w:w="1959" w:type="dxa"/>
          </w:tcPr>
          <w:p w14:paraId="78C6BFA8" w14:textId="25F6AA57" w:rsidR="00E83D20" w:rsidRPr="00F533B4" w:rsidRDefault="00E83D20" w:rsidP="00E72EBF">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F533B4">
              <w:rPr>
                <w:color w:val="000000" w:themeColor="text1"/>
              </w:rPr>
              <w:t>2.221</w:t>
            </w:r>
          </w:p>
        </w:tc>
        <w:tc>
          <w:tcPr>
            <w:tcW w:w="1959" w:type="dxa"/>
          </w:tcPr>
          <w:p w14:paraId="2E4D227D" w14:textId="02747702" w:rsidR="00E83D20" w:rsidRPr="00F533B4" w:rsidRDefault="00E83D20" w:rsidP="00E72EBF">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1.93</w:t>
            </w:r>
            <w:r w:rsidR="00FE0A18">
              <w:rPr>
                <w:color w:val="000000" w:themeColor="text1"/>
              </w:rPr>
              <w:t>3</w:t>
            </w:r>
            <w:r>
              <w:rPr>
                <w:color w:val="000000" w:themeColor="text1"/>
              </w:rPr>
              <w:t xml:space="preserve"> – 2.902</w:t>
            </w:r>
          </w:p>
        </w:tc>
      </w:tr>
      <w:tr w:rsidR="00E83D20" w:rsidRPr="00F533B4" w14:paraId="4F7B9597" w14:textId="6030EECC" w:rsidTr="00177338">
        <w:trPr>
          <w:trHeight w:val="588"/>
        </w:trPr>
        <w:tc>
          <w:tcPr>
            <w:cnfStyle w:val="001000000000" w:firstRow="0" w:lastRow="0" w:firstColumn="1" w:lastColumn="0" w:oddVBand="0" w:evenVBand="0" w:oddHBand="0" w:evenHBand="0" w:firstRowFirstColumn="0" w:firstRowLastColumn="0" w:lastRowFirstColumn="0" w:lastRowLastColumn="0"/>
            <w:tcW w:w="1959" w:type="dxa"/>
          </w:tcPr>
          <w:p w14:paraId="1167A128" w14:textId="0E98B95A" w:rsidR="00E83D20" w:rsidRPr="00F533B4" w:rsidRDefault="00E83D20" w:rsidP="00E72EBF">
            <w:pPr>
              <w:spacing w:before="120" w:after="120"/>
              <w:rPr>
                <w:rFonts w:cstheme="minorHAnsi"/>
                <w:b w:val="0"/>
                <w:color w:val="000000" w:themeColor="text1"/>
              </w:rPr>
            </w:pPr>
            <w:r w:rsidRPr="00F533B4">
              <w:rPr>
                <w:color w:val="000000" w:themeColor="text1"/>
              </w:rPr>
              <w:t>E50</w:t>
            </w:r>
            <w:r w:rsidRPr="00F533B4">
              <w:rPr>
                <w:color w:val="000000" w:themeColor="text1"/>
                <w:vertAlign w:val="subscript"/>
              </w:rPr>
              <w:t>1</w:t>
            </w:r>
            <w:r w:rsidRPr="00F533B4">
              <w:rPr>
                <w:color w:val="000000" w:themeColor="text1"/>
              </w:rPr>
              <w:t>r1</w:t>
            </w:r>
            <w:r>
              <w:rPr>
                <w:color w:val="000000" w:themeColor="text1"/>
              </w:rPr>
              <w:t xml:space="preserve"> (mg/L)</w:t>
            </w:r>
          </w:p>
        </w:tc>
        <w:tc>
          <w:tcPr>
            <w:tcW w:w="1959" w:type="dxa"/>
          </w:tcPr>
          <w:p w14:paraId="4F9E2C89" w14:textId="3303F0B0" w:rsidR="00E83D20" w:rsidRPr="00F533B4" w:rsidRDefault="00E83D20" w:rsidP="00E72EBF">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sidRPr="00F533B4">
              <w:rPr>
                <w:color w:val="000000" w:themeColor="text1"/>
              </w:rPr>
              <w:t>34.554</w:t>
            </w:r>
          </w:p>
        </w:tc>
        <w:tc>
          <w:tcPr>
            <w:tcW w:w="1959" w:type="dxa"/>
          </w:tcPr>
          <w:p w14:paraId="7BE6D125" w14:textId="2849C92D" w:rsidR="00E83D20" w:rsidRPr="00F533B4" w:rsidRDefault="00E83D20" w:rsidP="00E72EBF">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sidRPr="00F533B4">
              <w:rPr>
                <w:color w:val="000000" w:themeColor="text1"/>
              </w:rPr>
              <w:t>28.833</w:t>
            </w:r>
          </w:p>
        </w:tc>
        <w:tc>
          <w:tcPr>
            <w:tcW w:w="1959" w:type="dxa"/>
          </w:tcPr>
          <w:p w14:paraId="5045FCB2" w14:textId="324933F3" w:rsidR="00E83D20" w:rsidRPr="00F533B4" w:rsidRDefault="00E83D20" w:rsidP="00E72EBF">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28.22</w:t>
            </w:r>
            <w:r w:rsidR="00FE0A18">
              <w:rPr>
                <w:color w:val="000000" w:themeColor="text1"/>
              </w:rPr>
              <w:t>8</w:t>
            </w:r>
            <w:r>
              <w:rPr>
                <w:color w:val="000000" w:themeColor="text1"/>
              </w:rPr>
              <w:t xml:space="preserve"> – 42.83</w:t>
            </w:r>
            <w:r w:rsidR="00FE0A18">
              <w:rPr>
                <w:color w:val="000000" w:themeColor="text1"/>
              </w:rPr>
              <w:t>3</w:t>
            </w:r>
          </w:p>
        </w:tc>
      </w:tr>
      <w:tr w:rsidR="00E83D20" w:rsidRPr="00F533B4" w14:paraId="6BA70F07" w14:textId="27FC2AC8" w:rsidTr="00177338">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959" w:type="dxa"/>
          </w:tcPr>
          <w:p w14:paraId="5326989F" w14:textId="265104AC" w:rsidR="00E83D20" w:rsidRPr="00F533B4" w:rsidRDefault="00E83D20" w:rsidP="00E72EBF">
            <w:pPr>
              <w:spacing w:before="120" w:after="120"/>
              <w:rPr>
                <w:rFonts w:cstheme="minorHAnsi"/>
                <w:b w:val="0"/>
                <w:color w:val="000000" w:themeColor="text1"/>
              </w:rPr>
            </w:pPr>
            <w:r w:rsidRPr="00F533B4">
              <w:rPr>
                <w:rFonts w:cstheme="minorHAnsi"/>
                <w:color w:val="000000" w:themeColor="text1"/>
              </w:rPr>
              <w:sym w:font="Symbol" w:char="F061"/>
            </w:r>
            <w:r w:rsidRPr="00F533B4">
              <w:rPr>
                <w:rFonts w:cstheme="minorHAnsi"/>
                <w:color w:val="000000" w:themeColor="text1"/>
                <w:vertAlign w:val="subscript"/>
              </w:rPr>
              <w:t>r1</w:t>
            </w:r>
          </w:p>
        </w:tc>
        <w:tc>
          <w:tcPr>
            <w:tcW w:w="1959" w:type="dxa"/>
          </w:tcPr>
          <w:p w14:paraId="0AB9F2A4" w14:textId="7715F9C1" w:rsidR="00E83D20" w:rsidRPr="00F533B4" w:rsidRDefault="00E83D20" w:rsidP="00E72EBF">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533B4">
              <w:rPr>
                <w:color w:val="000000" w:themeColor="text1"/>
              </w:rPr>
              <w:t>17.023</w:t>
            </w:r>
          </w:p>
        </w:tc>
        <w:tc>
          <w:tcPr>
            <w:tcW w:w="1959" w:type="dxa"/>
          </w:tcPr>
          <w:p w14:paraId="1F0C19A2" w14:textId="2364597F" w:rsidR="00E83D20" w:rsidRPr="00F533B4" w:rsidRDefault="00E83D20" w:rsidP="00E72EBF">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F533B4">
              <w:rPr>
                <w:color w:val="000000" w:themeColor="text1"/>
              </w:rPr>
              <w:t>20.520</w:t>
            </w:r>
          </w:p>
        </w:tc>
        <w:tc>
          <w:tcPr>
            <w:tcW w:w="1959" w:type="dxa"/>
          </w:tcPr>
          <w:p w14:paraId="100206A3" w14:textId="40B82265" w:rsidR="00E83D20" w:rsidRPr="00F533B4" w:rsidRDefault="00E83D20" w:rsidP="00E72EBF">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11.021 – 22.06</w:t>
            </w:r>
            <w:r w:rsidR="00FE0A18">
              <w:rPr>
                <w:color w:val="000000" w:themeColor="text1"/>
              </w:rPr>
              <w:t>8</w:t>
            </w:r>
          </w:p>
        </w:tc>
      </w:tr>
      <w:tr w:rsidR="00E83D20" w:rsidRPr="00F533B4" w14:paraId="2F0E35B5" w14:textId="38C555BC" w:rsidTr="00177338">
        <w:trPr>
          <w:trHeight w:val="588"/>
        </w:trPr>
        <w:tc>
          <w:tcPr>
            <w:cnfStyle w:val="001000000000" w:firstRow="0" w:lastRow="0" w:firstColumn="1" w:lastColumn="0" w:oddVBand="0" w:evenVBand="0" w:oddHBand="0" w:evenHBand="0" w:firstRowFirstColumn="0" w:firstRowLastColumn="0" w:lastRowFirstColumn="0" w:lastRowLastColumn="0"/>
            <w:tcW w:w="1959" w:type="dxa"/>
          </w:tcPr>
          <w:p w14:paraId="02F87B8E" w14:textId="5FE4A678" w:rsidR="00E83D20" w:rsidRPr="00F533B4" w:rsidRDefault="00E83D20" w:rsidP="00E72EBF">
            <w:pPr>
              <w:spacing w:before="120" w:after="120"/>
              <w:rPr>
                <w:rFonts w:cstheme="minorHAnsi"/>
                <w:b w:val="0"/>
                <w:color w:val="000000" w:themeColor="text1"/>
              </w:rPr>
            </w:pPr>
            <w:r w:rsidRPr="00F533B4">
              <w:rPr>
                <w:color w:val="000000" w:themeColor="text1"/>
              </w:rPr>
              <w:t>Kgr2</w:t>
            </w:r>
          </w:p>
        </w:tc>
        <w:tc>
          <w:tcPr>
            <w:tcW w:w="1959" w:type="dxa"/>
          </w:tcPr>
          <w:p w14:paraId="11A89B61" w14:textId="1BD5664A" w:rsidR="00E83D20" w:rsidRPr="00F533B4" w:rsidRDefault="00E83D20" w:rsidP="00E72EBF">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sidRPr="00F533B4">
              <w:rPr>
                <w:color w:val="000000" w:themeColor="text1"/>
              </w:rPr>
              <w:t>1.361</w:t>
            </w:r>
          </w:p>
        </w:tc>
        <w:tc>
          <w:tcPr>
            <w:tcW w:w="1959" w:type="dxa"/>
          </w:tcPr>
          <w:p w14:paraId="5CBFADF2" w14:textId="561B91AA" w:rsidR="00E83D20" w:rsidRPr="00F533B4" w:rsidRDefault="00E83D20" w:rsidP="00E72EBF">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sidRPr="00F533B4">
              <w:rPr>
                <w:color w:val="000000" w:themeColor="text1"/>
              </w:rPr>
              <w:t>1.367</w:t>
            </w:r>
          </w:p>
        </w:tc>
        <w:tc>
          <w:tcPr>
            <w:tcW w:w="1959" w:type="dxa"/>
          </w:tcPr>
          <w:p w14:paraId="0576E1D2" w14:textId="1B3B1D4B" w:rsidR="00E83D20" w:rsidRPr="00F533B4" w:rsidRDefault="00E83D20" w:rsidP="00E72EBF">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1.29</w:t>
            </w:r>
            <w:r w:rsidR="00FE0A18">
              <w:rPr>
                <w:color w:val="000000" w:themeColor="text1"/>
              </w:rPr>
              <w:t>9</w:t>
            </w:r>
            <w:r>
              <w:rPr>
                <w:color w:val="000000" w:themeColor="text1"/>
              </w:rPr>
              <w:t xml:space="preserve"> – 1.37</w:t>
            </w:r>
            <w:r w:rsidR="00FE0A18">
              <w:rPr>
                <w:color w:val="000000" w:themeColor="text1"/>
              </w:rPr>
              <w:t>5</w:t>
            </w:r>
          </w:p>
        </w:tc>
      </w:tr>
      <w:tr w:rsidR="00E83D20" w:rsidRPr="00F533B4" w14:paraId="78FEF342" w14:textId="3CC1E492" w:rsidTr="00177338">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959" w:type="dxa"/>
          </w:tcPr>
          <w:p w14:paraId="4F2F3845" w14:textId="6483BDAD" w:rsidR="00E83D20" w:rsidRPr="00F533B4" w:rsidRDefault="00E83D20" w:rsidP="00E72EBF">
            <w:pPr>
              <w:spacing w:before="120" w:after="120"/>
              <w:rPr>
                <w:rFonts w:cstheme="minorHAnsi"/>
                <w:b w:val="0"/>
                <w:color w:val="000000" w:themeColor="text1"/>
              </w:rPr>
            </w:pPr>
            <w:r w:rsidRPr="00F533B4">
              <w:rPr>
                <w:color w:val="000000" w:themeColor="text1"/>
              </w:rPr>
              <w:t>Kkr2</w:t>
            </w:r>
          </w:p>
        </w:tc>
        <w:tc>
          <w:tcPr>
            <w:tcW w:w="1959" w:type="dxa"/>
          </w:tcPr>
          <w:p w14:paraId="618E8EE6" w14:textId="31009298" w:rsidR="00E83D20" w:rsidRPr="00F533B4" w:rsidRDefault="00E83D20" w:rsidP="00E72EBF">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F533B4">
              <w:rPr>
                <w:color w:val="000000" w:themeColor="text1"/>
              </w:rPr>
              <w:t>2.325</w:t>
            </w:r>
          </w:p>
        </w:tc>
        <w:tc>
          <w:tcPr>
            <w:tcW w:w="1959" w:type="dxa"/>
          </w:tcPr>
          <w:p w14:paraId="020AB9A1" w14:textId="04C73570" w:rsidR="00E83D20" w:rsidRPr="00F533B4" w:rsidRDefault="00E83D20" w:rsidP="00E72EBF">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F533B4">
              <w:rPr>
                <w:color w:val="000000" w:themeColor="text1"/>
              </w:rPr>
              <w:t>2.070</w:t>
            </w:r>
          </w:p>
        </w:tc>
        <w:tc>
          <w:tcPr>
            <w:tcW w:w="1959" w:type="dxa"/>
          </w:tcPr>
          <w:p w14:paraId="756A801D" w14:textId="45DF967F" w:rsidR="00E83D20" w:rsidRPr="00F533B4" w:rsidRDefault="00E83D20" w:rsidP="00E72EBF">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1.972 – 2.872</w:t>
            </w:r>
          </w:p>
        </w:tc>
      </w:tr>
      <w:tr w:rsidR="00E83D20" w:rsidRPr="00F533B4" w14:paraId="0F9980A3" w14:textId="11C1D8E4" w:rsidTr="00177338">
        <w:trPr>
          <w:trHeight w:val="603"/>
        </w:trPr>
        <w:tc>
          <w:tcPr>
            <w:cnfStyle w:val="001000000000" w:firstRow="0" w:lastRow="0" w:firstColumn="1" w:lastColumn="0" w:oddVBand="0" w:evenVBand="0" w:oddHBand="0" w:evenHBand="0" w:firstRowFirstColumn="0" w:firstRowLastColumn="0" w:lastRowFirstColumn="0" w:lastRowLastColumn="0"/>
            <w:tcW w:w="1959" w:type="dxa"/>
          </w:tcPr>
          <w:p w14:paraId="67C72149" w14:textId="57DC0655" w:rsidR="00E83D20" w:rsidRPr="00F533B4" w:rsidRDefault="00E83D20" w:rsidP="00E72EBF">
            <w:pPr>
              <w:spacing w:before="120" w:after="120"/>
              <w:rPr>
                <w:rFonts w:cstheme="minorHAnsi"/>
                <w:b w:val="0"/>
                <w:color w:val="000000" w:themeColor="text1"/>
              </w:rPr>
            </w:pPr>
            <w:r w:rsidRPr="00F533B4">
              <w:rPr>
                <w:color w:val="000000" w:themeColor="text1"/>
              </w:rPr>
              <w:t>E50</w:t>
            </w:r>
            <w:r w:rsidRPr="00F533B4">
              <w:rPr>
                <w:color w:val="000000" w:themeColor="text1"/>
                <w:vertAlign w:val="subscript"/>
              </w:rPr>
              <w:t>2</w:t>
            </w:r>
            <w:r w:rsidRPr="00F533B4">
              <w:rPr>
                <w:color w:val="000000" w:themeColor="text1"/>
              </w:rPr>
              <w:t>r2</w:t>
            </w:r>
            <w:r>
              <w:rPr>
                <w:color w:val="000000" w:themeColor="text1"/>
              </w:rPr>
              <w:t xml:space="preserve"> (mg/L)</w:t>
            </w:r>
          </w:p>
        </w:tc>
        <w:tc>
          <w:tcPr>
            <w:tcW w:w="1959" w:type="dxa"/>
          </w:tcPr>
          <w:p w14:paraId="5D54E687" w14:textId="38E2F26D" w:rsidR="00E83D20" w:rsidRPr="00F533B4" w:rsidRDefault="00E83D20" w:rsidP="00E72EBF">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sidRPr="00F533B4">
              <w:rPr>
                <w:color w:val="000000" w:themeColor="text1"/>
              </w:rPr>
              <w:t>37.795</w:t>
            </w:r>
          </w:p>
        </w:tc>
        <w:tc>
          <w:tcPr>
            <w:tcW w:w="1959" w:type="dxa"/>
          </w:tcPr>
          <w:p w14:paraId="6D9F0E4F" w14:textId="1981EDA0" w:rsidR="00E83D20" w:rsidRPr="00F533B4" w:rsidRDefault="00E83D20" w:rsidP="00E72EBF">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sidRPr="00F533B4">
              <w:rPr>
                <w:color w:val="000000" w:themeColor="text1"/>
              </w:rPr>
              <w:t>39.150</w:t>
            </w:r>
          </w:p>
        </w:tc>
        <w:tc>
          <w:tcPr>
            <w:tcW w:w="1959" w:type="dxa"/>
          </w:tcPr>
          <w:p w14:paraId="54AA5C26" w14:textId="59C976C6" w:rsidR="00E83D20" w:rsidRPr="00F533B4" w:rsidRDefault="00E83D20" w:rsidP="00E72EBF">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28.81</w:t>
            </w:r>
            <w:r w:rsidR="00FE0A18">
              <w:rPr>
                <w:color w:val="000000" w:themeColor="text1"/>
              </w:rPr>
              <w:t>9</w:t>
            </w:r>
            <w:r>
              <w:rPr>
                <w:color w:val="000000" w:themeColor="text1"/>
              </w:rPr>
              <w:t xml:space="preserve"> – 43.8</w:t>
            </w:r>
            <w:r w:rsidR="00FE0A18">
              <w:rPr>
                <w:color w:val="000000" w:themeColor="text1"/>
              </w:rPr>
              <w:t>60</w:t>
            </w:r>
          </w:p>
        </w:tc>
      </w:tr>
      <w:tr w:rsidR="00E83D20" w:rsidRPr="00F533B4" w14:paraId="2D20630A" w14:textId="269DF5EC" w:rsidTr="00177338">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959" w:type="dxa"/>
          </w:tcPr>
          <w:p w14:paraId="0EE8ABB5" w14:textId="7222004F" w:rsidR="00E83D20" w:rsidRPr="00F533B4" w:rsidRDefault="00E83D20" w:rsidP="00E72EBF">
            <w:pPr>
              <w:spacing w:before="120" w:after="120"/>
              <w:rPr>
                <w:rFonts w:cstheme="minorHAnsi"/>
                <w:b w:val="0"/>
                <w:color w:val="000000" w:themeColor="text1"/>
              </w:rPr>
            </w:pPr>
            <w:r w:rsidRPr="00F533B4">
              <w:rPr>
                <w:rFonts w:cstheme="minorHAnsi"/>
                <w:color w:val="000000" w:themeColor="text1"/>
              </w:rPr>
              <w:sym w:font="Symbol" w:char="F061"/>
            </w:r>
            <w:r w:rsidRPr="00F533B4">
              <w:rPr>
                <w:rFonts w:cstheme="minorHAnsi"/>
                <w:color w:val="000000" w:themeColor="text1"/>
                <w:vertAlign w:val="subscript"/>
              </w:rPr>
              <w:t>r2</w:t>
            </w:r>
          </w:p>
        </w:tc>
        <w:tc>
          <w:tcPr>
            <w:tcW w:w="1959" w:type="dxa"/>
          </w:tcPr>
          <w:p w14:paraId="0F1004F7" w14:textId="2D7721B6" w:rsidR="00E83D20" w:rsidRPr="00F533B4" w:rsidRDefault="00E83D20" w:rsidP="00E72EBF">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F533B4">
              <w:rPr>
                <w:color w:val="000000" w:themeColor="text1"/>
              </w:rPr>
              <w:t>19.815</w:t>
            </w:r>
          </w:p>
        </w:tc>
        <w:tc>
          <w:tcPr>
            <w:tcW w:w="1959" w:type="dxa"/>
          </w:tcPr>
          <w:p w14:paraId="3CC3FFFD" w14:textId="03C38B4D" w:rsidR="00E83D20" w:rsidRPr="00F533B4" w:rsidRDefault="00E83D20" w:rsidP="00E72EBF">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F533B4">
              <w:rPr>
                <w:color w:val="000000" w:themeColor="text1"/>
              </w:rPr>
              <w:t>25.227</w:t>
            </w:r>
          </w:p>
        </w:tc>
        <w:tc>
          <w:tcPr>
            <w:tcW w:w="1959" w:type="dxa"/>
          </w:tcPr>
          <w:p w14:paraId="14F02997" w14:textId="0C9DDB82" w:rsidR="00E83D20" w:rsidRPr="00F533B4" w:rsidRDefault="00E83D20" w:rsidP="00E72EBF">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7.25</w:t>
            </w:r>
            <w:r w:rsidR="00FE0A18">
              <w:rPr>
                <w:color w:val="000000" w:themeColor="text1"/>
              </w:rPr>
              <w:t>9</w:t>
            </w:r>
            <w:r>
              <w:rPr>
                <w:color w:val="000000" w:themeColor="text1"/>
              </w:rPr>
              <w:t xml:space="preserve"> – 29.67</w:t>
            </w:r>
            <w:r w:rsidR="00FE0A18">
              <w:rPr>
                <w:color w:val="000000" w:themeColor="text1"/>
              </w:rPr>
              <w:t>5</w:t>
            </w:r>
          </w:p>
        </w:tc>
      </w:tr>
      <w:tr w:rsidR="00E83D20" w:rsidRPr="00F533B4" w14:paraId="5F3497B5" w14:textId="5C784AF0" w:rsidTr="00177338">
        <w:trPr>
          <w:trHeight w:val="603"/>
        </w:trPr>
        <w:tc>
          <w:tcPr>
            <w:cnfStyle w:val="001000000000" w:firstRow="0" w:lastRow="0" w:firstColumn="1" w:lastColumn="0" w:oddVBand="0" w:evenVBand="0" w:oddHBand="0" w:evenHBand="0" w:firstRowFirstColumn="0" w:firstRowLastColumn="0" w:lastRowFirstColumn="0" w:lastRowLastColumn="0"/>
            <w:tcW w:w="1959" w:type="dxa"/>
          </w:tcPr>
          <w:p w14:paraId="4E8440A9" w14:textId="1312FA19" w:rsidR="00E83D20" w:rsidRPr="00F533B4" w:rsidRDefault="00E83D20" w:rsidP="00E72EBF">
            <w:pPr>
              <w:spacing w:before="120" w:after="120"/>
              <w:rPr>
                <w:rFonts w:cstheme="minorHAnsi"/>
                <w:b w:val="0"/>
                <w:color w:val="000000" w:themeColor="text1"/>
              </w:rPr>
            </w:pPr>
            <w:r w:rsidRPr="00F533B4">
              <w:rPr>
                <w:color w:val="000000" w:themeColor="text1"/>
              </w:rPr>
              <w:t>H1s</w:t>
            </w:r>
          </w:p>
        </w:tc>
        <w:tc>
          <w:tcPr>
            <w:tcW w:w="1959" w:type="dxa"/>
          </w:tcPr>
          <w:p w14:paraId="42B17EEB" w14:textId="17B4322C" w:rsidR="00E83D20" w:rsidRPr="00F533B4" w:rsidRDefault="00E83D20" w:rsidP="00E72EBF">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sidRPr="00F533B4">
              <w:rPr>
                <w:color w:val="000000" w:themeColor="text1"/>
              </w:rPr>
              <w:t>3.794</w:t>
            </w:r>
          </w:p>
        </w:tc>
        <w:tc>
          <w:tcPr>
            <w:tcW w:w="1959" w:type="dxa"/>
          </w:tcPr>
          <w:p w14:paraId="77E82BC3" w14:textId="5A05F612" w:rsidR="00E83D20" w:rsidRPr="00F533B4" w:rsidRDefault="00E83D20" w:rsidP="00E72EBF">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sidRPr="00F533B4">
              <w:rPr>
                <w:color w:val="000000" w:themeColor="text1"/>
              </w:rPr>
              <w:t>4.801</w:t>
            </w:r>
          </w:p>
        </w:tc>
        <w:tc>
          <w:tcPr>
            <w:tcW w:w="1959" w:type="dxa"/>
          </w:tcPr>
          <w:p w14:paraId="0DDFC52A" w14:textId="18740E92" w:rsidR="00E83D20" w:rsidRPr="00F533B4" w:rsidRDefault="00E83D20" w:rsidP="00E72EBF">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2.72</w:t>
            </w:r>
            <w:r w:rsidR="00FE0A18">
              <w:rPr>
                <w:color w:val="000000" w:themeColor="text1"/>
              </w:rPr>
              <w:t>6</w:t>
            </w:r>
            <w:r>
              <w:rPr>
                <w:color w:val="000000" w:themeColor="text1"/>
              </w:rPr>
              <w:t xml:space="preserve"> – 4.996</w:t>
            </w:r>
          </w:p>
        </w:tc>
      </w:tr>
      <w:tr w:rsidR="00E83D20" w:rsidRPr="00F533B4" w14:paraId="371EAF8D" w14:textId="5C9B85EB" w:rsidTr="00177338">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959" w:type="dxa"/>
          </w:tcPr>
          <w:p w14:paraId="7FACD0EB" w14:textId="2B0DC838" w:rsidR="00E83D20" w:rsidRPr="00F533B4" w:rsidRDefault="00E83D20" w:rsidP="00E72EBF">
            <w:pPr>
              <w:spacing w:before="120" w:after="120"/>
              <w:rPr>
                <w:rFonts w:cstheme="minorHAnsi"/>
                <w:b w:val="0"/>
                <w:color w:val="000000" w:themeColor="text1"/>
              </w:rPr>
            </w:pPr>
            <w:r w:rsidRPr="00F533B4">
              <w:rPr>
                <w:color w:val="000000" w:themeColor="text1"/>
              </w:rPr>
              <w:lastRenderedPageBreak/>
              <w:t>H2s</w:t>
            </w:r>
          </w:p>
        </w:tc>
        <w:tc>
          <w:tcPr>
            <w:tcW w:w="1959" w:type="dxa"/>
          </w:tcPr>
          <w:p w14:paraId="23D7C33B" w14:textId="4BBF37AA" w:rsidR="00E83D20" w:rsidRPr="00F533B4" w:rsidRDefault="00E83D20" w:rsidP="00E72EBF">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F533B4">
              <w:rPr>
                <w:color w:val="000000" w:themeColor="text1"/>
              </w:rPr>
              <w:t>3.347</w:t>
            </w:r>
          </w:p>
        </w:tc>
        <w:tc>
          <w:tcPr>
            <w:tcW w:w="1959" w:type="dxa"/>
          </w:tcPr>
          <w:p w14:paraId="3B85E783" w14:textId="4EE4ACC1" w:rsidR="00E83D20" w:rsidRPr="00F533B4" w:rsidRDefault="00E83D20" w:rsidP="00E72EBF">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F533B4">
              <w:rPr>
                <w:color w:val="000000" w:themeColor="text1"/>
              </w:rPr>
              <w:t>3.923</w:t>
            </w:r>
          </w:p>
        </w:tc>
        <w:tc>
          <w:tcPr>
            <w:tcW w:w="1959" w:type="dxa"/>
          </w:tcPr>
          <w:p w14:paraId="556D61E9" w14:textId="01A63A83" w:rsidR="00E83D20" w:rsidRPr="00F533B4" w:rsidRDefault="00E83D20" w:rsidP="00E72EBF">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0.73</w:t>
            </w:r>
            <w:r w:rsidR="00FE0A18">
              <w:rPr>
                <w:color w:val="000000" w:themeColor="text1"/>
              </w:rPr>
              <w:t>5</w:t>
            </w:r>
            <w:r>
              <w:rPr>
                <w:color w:val="000000" w:themeColor="text1"/>
              </w:rPr>
              <w:t xml:space="preserve"> – 4.967</w:t>
            </w:r>
          </w:p>
        </w:tc>
      </w:tr>
      <w:tr w:rsidR="00E83D20" w:rsidRPr="00F533B4" w14:paraId="35167EB2" w14:textId="605203CE" w:rsidTr="00177338">
        <w:trPr>
          <w:trHeight w:val="67"/>
        </w:trPr>
        <w:tc>
          <w:tcPr>
            <w:cnfStyle w:val="001000000000" w:firstRow="0" w:lastRow="0" w:firstColumn="1" w:lastColumn="0" w:oddVBand="0" w:evenVBand="0" w:oddHBand="0" w:evenHBand="0" w:firstRowFirstColumn="0" w:firstRowLastColumn="0" w:lastRowFirstColumn="0" w:lastRowLastColumn="0"/>
            <w:tcW w:w="1959" w:type="dxa"/>
          </w:tcPr>
          <w:p w14:paraId="2F417C15" w14:textId="5ABCD261" w:rsidR="00E83D20" w:rsidRPr="00F533B4" w:rsidRDefault="00E83D20" w:rsidP="00E72EBF">
            <w:pPr>
              <w:spacing w:before="120" w:after="120"/>
              <w:rPr>
                <w:rFonts w:cstheme="minorHAnsi"/>
                <w:b w:val="0"/>
                <w:color w:val="000000" w:themeColor="text1"/>
              </w:rPr>
            </w:pPr>
            <w:r w:rsidRPr="00F533B4">
              <w:rPr>
                <w:color w:val="000000" w:themeColor="text1"/>
              </w:rPr>
              <w:t>H1r1</w:t>
            </w:r>
          </w:p>
        </w:tc>
        <w:tc>
          <w:tcPr>
            <w:tcW w:w="1959" w:type="dxa"/>
          </w:tcPr>
          <w:p w14:paraId="7E41EC85" w14:textId="661DB2ED" w:rsidR="00E83D20" w:rsidRPr="00F533B4" w:rsidRDefault="00E83D20" w:rsidP="00E72EBF">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sidRPr="00F533B4">
              <w:rPr>
                <w:color w:val="000000" w:themeColor="text1"/>
              </w:rPr>
              <w:t>2.160</w:t>
            </w:r>
          </w:p>
        </w:tc>
        <w:tc>
          <w:tcPr>
            <w:tcW w:w="1959" w:type="dxa"/>
          </w:tcPr>
          <w:p w14:paraId="6EA7EA29" w14:textId="3409E453" w:rsidR="00E83D20" w:rsidRPr="00F533B4" w:rsidRDefault="00E83D20" w:rsidP="00E72EBF">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sidRPr="00F533B4">
              <w:rPr>
                <w:color w:val="000000" w:themeColor="text1"/>
              </w:rPr>
              <w:t>2.488</w:t>
            </w:r>
          </w:p>
        </w:tc>
        <w:tc>
          <w:tcPr>
            <w:tcW w:w="1959" w:type="dxa"/>
          </w:tcPr>
          <w:p w14:paraId="4568DFB6" w14:textId="3CB54AE2" w:rsidR="00E83D20" w:rsidRPr="00F533B4" w:rsidRDefault="00E83D20" w:rsidP="00E72EBF">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1.20</w:t>
            </w:r>
            <w:r w:rsidR="00FE0A18">
              <w:rPr>
                <w:color w:val="000000" w:themeColor="text1"/>
              </w:rPr>
              <w:t>5</w:t>
            </w:r>
            <w:r>
              <w:rPr>
                <w:color w:val="000000" w:themeColor="text1"/>
              </w:rPr>
              <w:t xml:space="preserve"> – 2.83</w:t>
            </w:r>
            <w:r w:rsidR="00FE0A18">
              <w:rPr>
                <w:color w:val="000000" w:themeColor="text1"/>
              </w:rPr>
              <w:t>1</w:t>
            </w:r>
          </w:p>
        </w:tc>
      </w:tr>
      <w:tr w:rsidR="00E83D20" w:rsidRPr="00F533B4" w14:paraId="79123397" w14:textId="635B15D8" w:rsidTr="00177338">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959" w:type="dxa"/>
          </w:tcPr>
          <w:p w14:paraId="3B072FA8" w14:textId="0BE4D8C0" w:rsidR="00E83D20" w:rsidRPr="00F533B4" w:rsidRDefault="00E83D20" w:rsidP="00E72EBF">
            <w:pPr>
              <w:spacing w:before="120" w:after="120"/>
              <w:rPr>
                <w:rFonts w:cstheme="minorHAnsi"/>
                <w:b w:val="0"/>
                <w:color w:val="000000" w:themeColor="text1"/>
              </w:rPr>
            </w:pPr>
            <w:r w:rsidRPr="00F533B4">
              <w:rPr>
                <w:color w:val="000000" w:themeColor="text1"/>
              </w:rPr>
              <w:t>H2r2</w:t>
            </w:r>
          </w:p>
        </w:tc>
        <w:tc>
          <w:tcPr>
            <w:tcW w:w="1959" w:type="dxa"/>
          </w:tcPr>
          <w:p w14:paraId="1DBC1454" w14:textId="73158421" w:rsidR="00E83D20" w:rsidRPr="00F533B4" w:rsidRDefault="00E83D20" w:rsidP="00E72EBF">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F533B4">
              <w:rPr>
                <w:color w:val="000000" w:themeColor="text1"/>
              </w:rPr>
              <w:t>2.776</w:t>
            </w:r>
          </w:p>
        </w:tc>
        <w:tc>
          <w:tcPr>
            <w:tcW w:w="1959" w:type="dxa"/>
          </w:tcPr>
          <w:p w14:paraId="3E2FE573" w14:textId="025109E2" w:rsidR="00E83D20" w:rsidRPr="00F533B4" w:rsidRDefault="00E83D20" w:rsidP="00E72EBF">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F533B4">
              <w:rPr>
                <w:color w:val="000000" w:themeColor="text1"/>
              </w:rPr>
              <w:t>2.913</w:t>
            </w:r>
          </w:p>
        </w:tc>
        <w:tc>
          <w:tcPr>
            <w:tcW w:w="1959" w:type="dxa"/>
          </w:tcPr>
          <w:p w14:paraId="3861D94F" w14:textId="54BAA057" w:rsidR="00E83D20" w:rsidRPr="00F533B4" w:rsidRDefault="00E83D20" w:rsidP="00E72EBF">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0.88</w:t>
            </w:r>
            <w:r w:rsidR="00FE0A18">
              <w:rPr>
                <w:color w:val="000000" w:themeColor="text1"/>
              </w:rPr>
              <w:t>3</w:t>
            </w:r>
            <w:r>
              <w:rPr>
                <w:color w:val="000000" w:themeColor="text1"/>
              </w:rPr>
              <w:t xml:space="preserve"> – 3.94</w:t>
            </w:r>
            <w:r w:rsidR="00FE0A18">
              <w:rPr>
                <w:color w:val="000000" w:themeColor="text1"/>
              </w:rPr>
              <w:t>2</w:t>
            </w:r>
          </w:p>
        </w:tc>
      </w:tr>
    </w:tbl>
    <w:p w14:paraId="2ACB201F" w14:textId="465D48F0" w:rsidR="00875BD4" w:rsidRDefault="002D5F57" w:rsidP="00E72EBF">
      <w:pPr>
        <w:spacing w:before="120" w:line="480" w:lineRule="auto"/>
        <w:rPr>
          <w:color w:val="000000" w:themeColor="text1"/>
        </w:rPr>
      </w:pPr>
      <w:r w:rsidRPr="00546C44">
        <w:rPr>
          <w:color w:val="000000" w:themeColor="text1"/>
        </w:rPr>
        <w:t xml:space="preserve">Table </w:t>
      </w:r>
      <w:r w:rsidR="00E70504">
        <w:rPr>
          <w:color w:val="000000" w:themeColor="text1"/>
        </w:rPr>
        <w:t>1</w:t>
      </w:r>
      <w:r w:rsidR="008F78B4" w:rsidRPr="00546C44">
        <w:rPr>
          <w:color w:val="000000" w:themeColor="text1"/>
        </w:rPr>
        <w:t>:</w:t>
      </w:r>
      <w:r w:rsidRPr="00546C44">
        <w:rPr>
          <w:color w:val="000000" w:themeColor="text1"/>
        </w:rPr>
        <w:t xml:space="preserve"> Parameter values</w:t>
      </w:r>
      <w:r w:rsidR="00FC1A0E" w:rsidRPr="00546C44">
        <w:rPr>
          <w:color w:val="000000" w:themeColor="text1"/>
        </w:rPr>
        <w:t xml:space="preserve"> estimates</w:t>
      </w:r>
      <w:r w:rsidR="00E36FD4">
        <w:rPr>
          <w:color w:val="000000" w:themeColor="text1"/>
        </w:rPr>
        <w:t xml:space="preserve"> with 95% credibility interval</w:t>
      </w:r>
      <w:r w:rsidR="00FC1A0E" w:rsidRPr="00546C44">
        <w:rPr>
          <w:color w:val="000000" w:themeColor="text1"/>
        </w:rPr>
        <w:t xml:space="preserve"> from HFIM</w:t>
      </w:r>
      <w:r w:rsidRPr="00546C44">
        <w:rPr>
          <w:color w:val="000000" w:themeColor="text1"/>
        </w:rPr>
        <w:t xml:space="preserve"> PKPD model. V = Volume of distribution; C = clearance, Kg = </w:t>
      </w:r>
      <w:r w:rsidR="00FD1669" w:rsidRPr="00546C44">
        <w:rPr>
          <w:color w:val="000000" w:themeColor="text1"/>
        </w:rPr>
        <w:t xml:space="preserve">bacterial growth constant; Kk = bacterial kill constant; E50 = Concentration of drug achieving 50% of efficacy; </w:t>
      </w:r>
      <w:r w:rsidR="0014046A" w:rsidRPr="00546C44">
        <w:rPr>
          <w:color w:val="000000" w:themeColor="text1"/>
        </w:rPr>
        <w:sym w:font="Symbol" w:char="F061"/>
      </w:r>
      <w:r w:rsidR="0014046A" w:rsidRPr="00546C44">
        <w:rPr>
          <w:color w:val="000000" w:themeColor="text1"/>
        </w:rPr>
        <w:t xml:space="preserve"> = interaction parameter; H = Hill constant. Parameter suffices are defined as follows; 1 = relating to fosfomycin; 2 = relating to amikacin; s = relating to wildtype bacterial population; r1 = relating to ‘fosfomycin resistant’ bacterial population; r2 = relating to ‘amikacin resistant’ bacterial population</w:t>
      </w:r>
      <w:r w:rsidR="00412663">
        <w:rPr>
          <w:color w:val="000000" w:themeColor="text1"/>
        </w:rPr>
        <w:t>.</w:t>
      </w:r>
      <w:r w:rsidR="0014046A" w:rsidRPr="00546C44">
        <w:rPr>
          <w:color w:val="000000" w:themeColor="text1"/>
        </w:rPr>
        <w:t xml:space="preserve"> </w:t>
      </w:r>
    </w:p>
    <w:p w14:paraId="75CD035F" w14:textId="77777777" w:rsidR="00875BD4" w:rsidRDefault="00875BD4">
      <w:pPr>
        <w:rPr>
          <w:color w:val="000000" w:themeColor="text1"/>
        </w:rPr>
      </w:pPr>
      <w:r>
        <w:rPr>
          <w:color w:val="000000" w:themeColor="text1"/>
        </w:rPr>
        <w:br w:type="page"/>
      </w:r>
    </w:p>
    <w:tbl>
      <w:tblPr>
        <w:tblStyle w:val="GridTable4"/>
        <w:tblpPr w:leftFromText="180" w:rightFromText="180" w:vertAnchor="text" w:horzAnchor="margin" w:tblpY="233"/>
        <w:tblW w:w="8875" w:type="dxa"/>
        <w:tblLook w:val="0420" w:firstRow="1" w:lastRow="0" w:firstColumn="0" w:lastColumn="0" w:noHBand="0" w:noVBand="1"/>
      </w:tblPr>
      <w:tblGrid>
        <w:gridCol w:w="1634"/>
        <w:gridCol w:w="1651"/>
        <w:gridCol w:w="2524"/>
        <w:gridCol w:w="1243"/>
        <w:gridCol w:w="1823"/>
      </w:tblGrid>
      <w:tr w:rsidR="00875BD4" w:rsidRPr="00F533B4" w14:paraId="48849A67" w14:textId="77777777" w:rsidTr="002131A4">
        <w:trPr>
          <w:cnfStyle w:val="100000000000" w:firstRow="1" w:lastRow="0" w:firstColumn="0" w:lastColumn="0" w:oddVBand="0" w:evenVBand="0" w:oddHBand="0" w:evenHBand="0" w:firstRowFirstColumn="0" w:firstRowLastColumn="0" w:lastRowFirstColumn="0" w:lastRowLastColumn="0"/>
          <w:trHeight w:val="296"/>
        </w:trPr>
        <w:tc>
          <w:tcPr>
            <w:tcW w:w="1634" w:type="dxa"/>
            <w:hideMark/>
          </w:tcPr>
          <w:p w14:paraId="219660FF" w14:textId="77777777" w:rsidR="00875BD4" w:rsidRPr="00F533B4" w:rsidRDefault="00875BD4" w:rsidP="002131A4">
            <w:pPr>
              <w:spacing w:before="120" w:after="120"/>
              <w:jc w:val="center"/>
              <w:rPr>
                <w:rFonts w:cstheme="minorHAnsi"/>
                <w:sz w:val="24"/>
                <w:szCs w:val="24"/>
              </w:rPr>
            </w:pPr>
            <w:r w:rsidRPr="00F533B4">
              <w:rPr>
                <w:rFonts w:cstheme="minorHAnsi"/>
                <w:sz w:val="24"/>
                <w:szCs w:val="24"/>
              </w:rPr>
              <w:lastRenderedPageBreak/>
              <w:t>Strain Number</w:t>
            </w:r>
          </w:p>
        </w:tc>
        <w:tc>
          <w:tcPr>
            <w:tcW w:w="1651" w:type="dxa"/>
            <w:hideMark/>
          </w:tcPr>
          <w:p w14:paraId="2113D4AE" w14:textId="77777777" w:rsidR="00875BD4" w:rsidRPr="00F533B4" w:rsidRDefault="00875BD4" w:rsidP="002131A4">
            <w:pPr>
              <w:spacing w:before="120" w:after="120"/>
              <w:jc w:val="center"/>
              <w:rPr>
                <w:rFonts w:cstheme="minorHAnsi"/>
                <w:sz w:val="24"/>
                <w:szCs w:val="24"/>
              </w:rPr>
            </w:pPr>
            <w:r w:rsidRPr="00F533B4">
              <w:rPr>
                <w:rFonts w:cstheme="minorHAnsi"/>
                <w:sz w:val="24"/>
                <w:szCs w:val="24"/>
              </w:rPr>
              <w:t>Species</w:t>
            </w:r>
          </w:p>
        </w:tc>
        <w:tc>
          <w:tcPr>
            <w:tcW w:w="2524" w:type="dxa"/>
            <w:hideMark/>
          </w:tcPr>
          <w:p w14:paraId="10D2D9FA" w14:textId="77777777" w:rsidR="00875BD4" w:rsidRPr="00F533B4" w:rsidRDefault="00875BD4" w:rsidP="002131A4">
            <w:pPr>
              <w:spacing w:before="120" w:after="120"/>
              <w:jc w:val="center"/>
              <w:rPr>
                <w:rFonts w:cstheme="minorHAnsi"/>
                <w:sz w:val="24"/>
                <w:szCs w:val="24"/>
              </w:rPr>
            </w:pPr>
            <w:r w:rsidRPr="00F533B4">
              <w:rPr>
                <w:rFonts w:cstheme="minorHAnsi"/>
                <w:sz w:val="24"/>
                <w:szCs w:val="24"/>
              </w:rPr>
              <w:t>Resistance mechanisms</w:t>
            </w:r>
          </w:p>
        </w:tc>
        <w:tc>
          <w:tcPr>
            <w:tcW w:w="1243" w:type="dxa"/>
            <w:hideMark/>
          </w:tcPr>
          <w:p w14:paraId="0400F93B" w14:textId="77777777" w:rsidR="00875BD4" w:rsidRPr="00F533B4" w:rsidRDefault="00875BD4" w:rsidP="002131A4">
            <w:pPr>
              <w:spacing w:before="120" w:after="120"/>
              <w:jc w:val="center"/>
              <w:rPr>
                <w:rFonts w:cstheme="minorHAnsi"/>
                <w:sz w:val="24"/>
                <w:szCs w:val="24"/>
              </w:rPr>
            </w:pPr>
            <w:r w:rsidRPr="00F533B4">
              <w:rPr>
                <w:rFonts w:cstheme="minorHAnsi"/>
                <w:sz w:val="24"/>
                <w:szCs w:val="24"/>
              </w:rPr>
              <w:t>Amikacin MIC</w:t>
            </w:r>
          </w:p>
        </w:tc>
        <w:tc>
          <w:tcPr>
            <w:tcW w:w="1823" w:type="dxa"/>
            <w:hideMark/>
          </w:tcPr>
          <w:p w14:paraId="346602C2" w14:textId="77777777" w:rsidR="00875BD4" w:rsidRPr="00F533B4" w:rsidRDefault="00875BD4" w:rsidP="002131A4">
            <w:pPr>
              <w:spacing w:before="120" w:after="120"/>
              <w:jc w:val="center"/>
              <w:rPr>
                <w:rFonts w:cstheme="minorHAnsi"/>
                <w:sz w:val="24"/>
                <w:szCs w:val="24"/>
              </w:rPr>
            </w:pPr>
            <w:r w:rsidRPr="00F533B4">
              <w:rPr>
                <w:rFonts w:cstheme="minorHAnsi"/>
                <w:sz w:val="24"/>
                <w:szCs w:val="24"/>
              </w:rPr>
              <w:t>Fosfomycin MIC</w:t>
            </w:r>
          </w:p>
        </w:tc>
      </w:tr>
      <w:tr w:rsidR="00875BD4" w:rsidRPr="00F533B4" w14:paraId="0A1ABD9A" w14:textId="77777777" w:rsidTr="002131A4">
        <w:trPr>
          <w:cnfStyle w:val="000000100000" w:firstRow="0" w:lastRow="0" w:firstColumn="0" w:lastColumn="0" w:oddVBand="0" w:evenVBand="0" w:oddHBand="1" w:evenHBand="0" w:firstRowFirstColumn="0" w:firstRowLastColumn="0" w:lastRowFirstColumn="0" w:lastRowLastColumn="0"/>
          <w:trHeight w:val="285"/>
        </w:trPr>
        <w:tc>
          <w:tcPr>
            <w:tcW w:w="1634" w:type="dxa"/>
            <w:vAlign w:val="center"/>
          </w:tcPr>
          <w:p w14:paraId="222437AA" w14:textId="77777777" w:rsidR="00875BD4" w:rsidRPr="00F533B4" w:rsidRDefault="00875BD4" w:rsidP="002131A4">
            <w:pPr>
              <w:spacing w:before="120" w:after="120"/>
              <w:jc w:val="center"/>
              <w:rPr>
                <w:rFonts w:cstheme="minorHAnsi"/>
                <w:color w:val="000000" w:themeColor="text1"/>
              </w:rPr>
            </w:pPr>
            <w:r w:rsidRPr="00F533B4">
              <w:rPr>
                <w:rFonts w:cstheme="minorHAnsi"/>
                <w:color w:val="000000" w:themeColor="text1"/>
              </w:rPr>
              <w:t>ST195</w:t>
            </w:r>
          </w:p>
        </w:tc>
        <w:tc>
          <w:tcPr>
            <w:tcW w:w="1651" w:type="dxa"/>
            <w:vAlign w:val="center"/>
          </w:tcPr>
          <w:p w14:paraId="62782ADB" w14:textId="77777777" w:rsidR="00875BD4" w:rsidRPr="00F533B4" w:rsidRDefault="00875BD4" w:rsidP="002131A4">
            <w:pPr>
              <w:spacing w:before="120" w:after="120"/>
              <w:jc w:val="center"/>
              <w:rPr>
                <w:rFonts w:cstheme="minorHAnsi"/>
                <w:i/>
                <w:iCs/>
                <w:color w:val="000000" w:themeColor="text1"/>
              </w:rPr>
            </w:pPr>
            <w:r w:rsidRPr="00F533B4">
              <w:rPr>
                <w:rFonts w:cstheme="minorHAnsi"/>
                <w:i/>
                <w:iCs/>
                <w:color w:val="000000" w:themeColor="text1"/>
              </w:rPr>
              <w:t>E. coli</w:t>
            </w:r>
          </w:p>
        </w:tc>
        <w:tc>
          <w:tcPr>
            <w:tcW w:w="2524" w:type="dxa"/>
            <w:vAlign w:val="center"/>
          </w:tcPr>
          <w:p w14:paraId="3710F2F1" w14:textId="77777777" w:rsidR="00875BD4" w:rsidRPr="00F533B4" w:rsidRDefault="00875BD4" w:rsidP="002131A4">
            <w:pPr>
              <w:spacing w:before="120" w:after="120"/>
              <w:jc w:val="center"/>
              <w:rPr>
                <w:rFonts w:cstheme="minorHAnsi"/>
                <w:color w:val="000000" w:themeColor="text1"/>
              </w:rPr>
            </w:pPr>
            <w:r w:rsidRPr="00F533B4">
              <w:rPr>
                <w:rFonts w:cstheme="minorHAnsi"/>
                <w:color w:val="000000" w:themeColor="text1"/>
              </w:rPr>
              <w:t>CT</w:t>
            </w:r>
            <w:r>
              <w:rPr>
                <w:rFonts w:cstheme="minorHAnsi"/>
                <w:color w:val="000000" w:themeColor="text1"/>
              </w:rPr>
              <w:t>X</w:t>
            </w:r>
            <w:r w:rsidRPr="00F533B4">
              <w:rPr>
                <w:rFonts w:cstheme="minorHAnsi"/>
                <w:color w:val="000000" w:themeColor="text1"/>
              </w:rPr>
              <w:t>-M-14</w:t>
            </w:r>
          </w:p>
        </w:tc>
        <w:tc>
          <w:tcPr>
            <w:tcW w:w="1243" w:type="dxa"/>
            <w:vAlign w:val="center"/>
          </w:tcPr>
          <w:p w14:paraId="2044EA29" w14:textId="77777777" w:rsidR="00875BD4" w:rsidRPr="00F533B4" w:rsidRDefault="00875BD4" w:rsidP="002131A4">
            <w:pPr>
              <w:spacing w:before="120" w:after="120"/>
              <w:jc w:val="center"/>
              <w:rPr>
                <w:rFonts w:cstheme="minorHAnsi"/>
                <w:color w:val="000000" w:themeColor="text1"/>
              </w:rPr>
            </w:pPr>
            <w:r w:rsidRPr="00F533B4">
              <w:rPr>
                <w:rFonts w:cstheme="minorHAnsi"/>
                <w:color w:val="000000" w:themeColor="text1"/>
              </w:rPr>
              <w:t>4</w:t>
            </w:r>
          </w:p>
        </w:tc>
        <w:tc>
          <w:tcPr>
            <w:tcW w:w="1823" w:type="dxa"/>
            <w:vAlign w:val="center"/>
          </w:tcPr>
          <w:p w14:paraId="0ED7DBDF" w14:textId="77777777" w:rsidR="00875BD4" w:rsidRPr="00F533B4" w:rsidRDefault="00875BD4" w:rsidP="002131A4">
            <w:pPr>
              <w:spacing w:before="120" w:after="120"/>
              <w:jc w:val="center"/>
              <w:rPr>
                <w:rFonts w:cstheme="minorHAnsi"/>
                <w:color w:val="000000" w:themeColor="text1"/>
              </w:rPr>
            </w:pPr>
            <w:r w:rsidRPr="00F533B4">
              <w:rPr>
                <w:rFonts w:cstheme="minorHAnsi"/>
                <w:color w:val="000000" w:themeColor="text1"/>
              </w:rPr>
              <w:t>1</w:t>
            </w:r>
          </w:p>
        </w:tc>
      </w:tr>
      <w:tr w:rsidR="00875BD4" w:rsidRPr="00F533B4" w14:paraId="600B346C" w14:textId="77777777" w:rsidTr="002131A4">
        <w:trPr>
          <w:trHeight w:val="285"/>
        </w:trPr>
        <w:tc>
          <w:tcPr>
            <w:tcW w:w="1634" w:type="dxa"/>
            <w:vAlign w:val="center"/>
            <w:hideMark/>
          </w:tcPr>
          <w:p w14:paraId="3EE86A47" w14:textId="77777777" w:rsidR="00875BD4" w:rsidRPr="00F533B4" w:rsidRDefault="00875BD4" w:rsidP="002131A4">
            <w:pPr>
              <w:spacing w:before="120" w:after="120"/>
              <w:jc w:val="center"/>
              <w:rPr>
                <w:rFonts w:cstheme="minorHAnsi"/>
                <w:color w:val="000000" w:themeColor="text1"/>
                <w:sz w:val="24"/>
                <w:szCs w:val="24"/>
              </w:rPr>
            </w:pPr>
            <w:r w:rsidRPr="00F533B4">
              <w:rPr>
                <w:rFonts w:cstheme="minorHAnsi"/>
                <w:color w:val="000000" w:themeColor="text1"/>
                <w:sz w:val="24"/>
                <w:szCs w:val="24"/>
              </w:rPr>
              <w:t>I1057</w:t>
            </w:r>
          </w:p>
        </w:tc>
        <w:tc>
          <w:tcPr>
            <w:tcW w:w="1651" w:type="dxa"/>
            <w:vAlign w:val="center"/>
            <w:hideMark/>
          </w:tcPr>
          <w:p w14:paraId="7541FB82" w14:textId="77777777" w:rsidR="00875BD4" w:rsidRPr="00F533B4" w:rsidRDefault="00875BD4" w:rsidP="002131A4">
            <w:pPr>
              <w:spacing w:before="120" w:after="120"/>
              <w:jc w:val="center"/>
              <w:rPr>
                <w:rFonts w:cstheme="minorHAnsi"/>
                <w:color w:val="000000" w:themeColor="text1"/>
                <w:sz w:val="24"/>
                <w:szCs w:val="24"/>
              </w:rPr>
            </w:pPr>
            <w:r w:rsidRPr="00F533B4">
              <w:rPr>
                <w:rFonts w:cstheme="minorHAnsi"/>
                <w:i/>
                <w:iCs/>
                <w:color w:val="000000" w:themeColor="text1"/>
                <w:sz w:val="24"/>
                <w:szCs w:val="24"/>
              </w:rPr>
              <w:t>E. coli</w:t>
            </w:r>
          </w:p>
        </w:tc>
        <w:tc>
          <w:tcPr>
            <w:tcW w:w="2524" w:type="dxa"/>
            <w:vAlign w:val="center"/>
            <w:hideMark/>
          </w:tcPr>
          <w:p w14:paraId="7F5AA2A2" w14:textId="77777777" w:rsidR="00875BD4" w:rsidRPr="00F533B4" w:rsidRDefault="00875BD4" w:rsidP="002131A4">
            <w:pPr>
              <w:spacing w:before="120" w:after="120"/>
              <w:jc w:val="center"/>
              <w:rPr>
                <w:rFonts w:cstheme="minorHAnsi"/>
                <w:color w:val="000000" w:themeColor="text1"/>
                <w:sz w:val="24"/>
                <w:szCs w:val="24"/>
              </w:rPr>
            </w:pPr>
            <w:r w:rsidRPr="00F533B4">
              <w:rPr>
                <w:rFonts w:cstheme="minorHAnsi"/>
                <w:color w:val="000000" w:themeColor="text1"/>
                <w:sz w:val="24"/>
                <w:szCs w:val="24"/>
              </w:rPr>
              <w:t>CTX-M-15, CMY-23, FQ-resistant</w:t>
            </w:r>
          </w:p>
        </w:tc>
        <w:tc>
          <w:tcPr>
            <w:tcW w:w="1243" w:type="dxa"/>
            <w:vAlign w:val="center"/>
            <w:hideMark/>
          </w:tcPr>
          <w:p w14:paraId="531E1D28" w14:textId="77777777" w:rsidR="00875BD4" w:rsidRPr="00F533B4" w:rsidRDefault="00875BD4" w:rsidP="002131A4">
            <w:pPr>
              <w:spacing w:before="120" w:after="120"/>
              <w:jc w:val="center"/>
              <w:rPr>
                <w:rFonts w:cstheme="minorHAnsi"/>
                <w:color w:val="000000" w:themeColor="text1"/>
                <w:sz w:val="24"/>
                <w:szCs w:val="24"/>
              </w:rPr>
            </w:pPr>
            <w:r w:rsidRPr="00F533B4">
              <w:rPr>
                <w:rFonts w:cstheme="minorHAnsi"/>
                <w:color w:val="000000" w:themeColor="text1"/>
                <w:sz w:val="24"/>
                <w:szCs w:val="24"/>
              </w:rPr>
              <w:t>32</w:t>
            </w:r>
          </w:p>
        </w:tc>
        <w:tc>
          <w:tcPr>
            <w:tcW w:w="1823" w:type="dxa"/>
            <w:vAlign w:val="center"/>
            <w:hideMark/>
          </w:tcPr>
          <w:p w14:paraId="45516E8F" w14:textId="77777777" w:rsidR="00875BD4" w:rsidRPr="00F533B4" w:rsidRDefault="00875BD4" w:rsidP="002131A4">
            <w:pPr>
              <w:spacing w:before="120" w:after="120"/>
              <w:jc w:val="center"/>
              <w:rPr>
                <w:rFonts w:cstheme="minorHAnsi"/>
                <w:color w:val="000000" w:themeColor="text1"/>
                <w:sz w:val="24"/>
                <w:szCs w:val="24"/>
              </w:rPr>
            </w:pPr>
            <w:r w:rsidRPr="00F533B4">
              <w:rPr>
                <w:rFonts w:cstheme="minorHAnsi"/>
                <w:color w:val="000000" w:themeColor="text1"/>
                <w:sz w:val="24"/>
                <w:szCs w:val="24"/>
              </w:rPr>
              <w:t>2</w:t>
            </w:r>
          </w:p>
        </w:tc>
      </w:tr>
      <w:tr w:rsidR="00875BD4" w:rsidRPr="00F533B4" w14:paraId="27F05DAB" w14:textId="77777777" w:rsidTr="002131A4">
        <w:trPr>
          <w:cnfStyle w:val="000000100000" w:firstRow="0" w:lastRow="0" w:firstColumn="0" w:lastColumn="0" w:oddVBand="0" w:evenVBand="0" w:oddHBand="1" w:evenHBand="0" w:firstRowFirstColumn="0" w:firstRowLastColumn="0" w:lastRowFirstColumn="0" w:lastRowLastColumn="0"/>
          <w:trHeight w:val="285"/>
        </w:trPr>
        <w:tc>
          <w:tcPr>
            <w:tcW w:w="1634" w:type="dxa"/>
            <w:vAlign w:val="center"/>
          </w:tcPr>
          <w:p w14:paraId="28E6F039" w14:textId="77777777" w:rsidR="00875BD4" w:rsidRPr="00F533B4" w:rsidRDefault="00875BD4" w:rsidP="002131A4">
            <w:pPr>
              <w:spacing w:before="120" w:after="120"/>
              <w:jc w:val="center"/>
              <w:rPr>
                <w:rFonts w:cstheme="minorHAnsi"/>
                <w:iCs/>
                <w:color w:val="000000" w:themeColor="text1"/>
              </w:rPr>
            </w:pPr>
            <w:r w:rsidRPr="00F533B4">
              <w:rPr>
                <w:rFonts w:cstheme="minorHAnsi"/>
                <w:color w:val="000000" w:themeColor="text1"/>
                <w:sz w:val="24"/>
                <w:szCs w:val="24"/>
              </w:rPr>
              <w:t>NCTC 13451</w:t>
            </w:r>
          </w:p>
        </w:tc>
        <w:tc>
          <w:tcPr>
            <w:tcW w:w="1651" w:type="dxa"/>
            <w:vAlign w:val="center"/>
          </w:tcPr>
          <w:p w14:paraId="3E9A7E25" w14:textId="77777777" w:rsidR="00875BD4" w:rsidRPr="00F533B4" w:rsidRDefault="00875BD4" w:rsidP="002131A4">
            <w:pPr>
              <w:spacing w:before="120" w:after="120"/>
              <w:jc w:val="center"/>
              <w:rPr>
                <w:rFonts w:cstheme="minorHAnsi"/>
                <w:i/>
                <w:iCs/>
                <w:color w:val="000000" w:themeColor="text1"/>
              </w:rPr>
            </w:pPr>
            <w:r w:rsidRPr="00F533B4">
              <w:rPr>
                <w:rFonts w:cstheme="minorHAnsi"/>
                <w:i/>
                <w:iCs/>
                <w:color w:val="000000" w:themeColor="text1"/>
                <w:sz w:val="24"/>
                <w:szCs w:val="24"/>
              </w:rPr>
              <w:t>E. coli</w:t>
            </w:r>
          </w:p>
        </w:tc>
        <w:tc>
          <w:tcPr>
            <w:tcW w:w="2524" w:type="dxa"/>
            <w:vAlign w:val="center"/>
          </w:tcPr>
          <w:p w14:paraId="47E61733" w14:textId="77777777" w:rsidR="00875BD4" w:rsidRPr="00F533B4" w:rsidRDefault="00875BD4" w:rsidP="002131A4">
            <w:pPr>
              <w:spacing w:before="120" w:after="120"/>
              <w:jc w:val="center"/>
              <w:rPr>
                <w:rFonts w:cstheme="minorHAnsi"/>
                <w:iCs/>
                <w:color w:val="000000" w:themeColor="text1"/>
              </w:rPr>
            </w:pPr>
            <w:r w:rsidRPr="00F533B4">
              <w:rPr>
                <w:rFonts w:cstheme="minorHAnsi"/>
                <w:color w:val="000000" w:themeColor="text1"/>
                <w:sz w:val="24"/>
                <w:szCs w:val="24"/>
              </w:rPr>
              <w:t xml:space="preserve">CTX-M-15, OXA-1, TEM-1, aac6'-lb-cr, mph(A), catB4, </w:t>
            </w:r>
            <w:proofErr w:type="spellStart"/>
            <w:r w:rsidRPr="00F533B4">
              <w:rPr>
                <w:rFonts w:cstheme="minorHAnsi"/>
                <w:color w:val="000000" w:themeColor="text1"/>
                <w:sz w:val="24"/>
                <w:szCs w:val="24"/>
              </w:rPr>
              <w:t>tet</w:t>
            </w:r>
            <w:proofErr w:type="spellEnd"/>
            <w:r w:rsidRPr="00F533B4">
              <w:rPr>
                <w:rFonts w:cstheme="minorHAnsi"/>
                <w:color w:val="000000" w:themeColor="text1"/>
                <w:sz w:val="24"/>
                <w:szCs w:val="24"/>
              </w:rPr>
              <w:t xml:space="preserve">(A), dfrA7, aadA5, </w:t>
            </w:r>
            <w:proofErr w:type="spellStart"/>
            <w:r w:rsidRPr="00F533B4">
              <w:rPr>
                <w:rFonts w:cstheme="minorHAnsi"/>
                <w:color w:val="000000" w:themeColor="text1"/>
                <w:sz w:val="24"/>
                <w:szCs w:val="24"/>
              </w:rPr>
              <w:t>sulI</w:t>
            </w:r>
            <w:proofErr w:type="spellEnd"/>
          </w:p>
        </w:tc>
        <w:tc>
          <w:tcPr>
            <w:tcW w:w="1243" w:type="dxa"/>
            <w:vAlign w:val="center"/>
          </w:tcPr>
          <w:p w14:paraId="6114DD7C" w14:textId="77777777" w:rsidR="00875BD4" w:rsidRPr="00F533B4" w:rsidRDefault="00875BD4" w:rsidP="002131A4">
            <w:pPr>
              <w:spacing w:before="120" w:after="120"/>
              <w:jc w:val="center"/>
              <w:rPr>
                <w:rFonts w:cstheme="minorHAnsi"/>
                <w:iCs/>
                <w:color w:val="000000" w:themeColor="text1"/>
              </w:rPr>
            </w:pPr>
            <w:r w:rsidRPr="00F533B4">
              <w:rPr>
                <w:rFonts w:cstheme="minorHAnsi"/>
                <w:color w:val="000000" w:themeColor="text1"/>
                <w:sz w:val="24"/>
                <w:szCs w:val="24"/>
              </w:rPr>
              <w:t>16</w:t>
            </w:r>
          </w:p>
        </w:tc>
        <w:tc>
          <w:tcPr>
            <w:tcW w:w="1823" w:type="dxa"/>
            <w:vAlign w:val="center"/>
          </w:tcPr>
          <w:p w14:paraId="7881D5B4" w14:textId="77777777" w:rsidR="00875BD4" w:rsidRPr="00F533B4" w:rsidRDefault="00875BD4" w:rsidP="002131A4">
            <w:pPr>
              <w:spacing w:before="120" w:after="120"/>
              <w:jc w:val="center"/>
              <w:rPr>
                <w:rFonts w:cstheme="minorHAnsi"/>
                <w:iCs/>
                <w:color w:val="000000" w:themeColor="text1"/>
              </w:rPr>
            </w:pPr>
            <w:r w:rsidRPr="00F533B4">
              <w:rPr>
                <w:rFonts w:cstheme="minorHAnsi"/>
                <w:color w:val="000000" w:themeColor="text1"/>
                <w:sz w:val="24"/>
                <w:szCs w:val="24"/>
              </w:rPr>
              <w:t>4</w:t>
            </w:r>
          </w:p>
        </w:tc>
      </w:tr>
      <w:tr w:rsidR="00875BD4" w:rsidRPr="00F533B4" w14:paraId="4332276C" w14:textId="77777777" w:rsidTr="002131A4">
        <w:trPr>
          <w:trHeight w:val="285"/>
        </w:trPr>
        <w:tc>
          <w:tcPr>
            <w:tcW w:w="1634" w:type="dxa"/>
            <w:vAlign w:val="center"/>
          </w:tcPr>
          <w:p w14:paraId="4B462596" w14:textId="77777777" w:rsidR="00875BD4" w:rsidRPr="00F533B4" w:rsidRDefault="00875BD4" w:rsidP="002131A4">
            <w:pPr>
              <w:spacing w:before="120" w:after="120"/>
              <w:jc w:val="center"/>
              <w:rPr>
                <w:rFonts w:cstheme="minorHAnsi"/>
                <w:color w:val="000000" w:themeColor="text1"/>
              </w:rPr>
            </w:pPr>
            <w:r w:rsidRPr="00F533B4">
              <w:rPr>
                <w:rFonts w:cstheme="minorHAnsi"/>
                <w:iCs/>
                <w:color w:val="000000" w:themeColor="text1"/>
                <w:sz w:val="24"/>
                <w:szCs w:val="24"/>
              </w:rPr>
              <w:t>BAA2523</w:t>
            </w:r>
          </w:p>
        </w:tc>
        <w:tc>
          <w:tcPr>
            <w:tcW w:w="1651" w:type="dxa"/>
            <w:vAlign w:val="center"/>
          </w:tcPr>
          <w:p w14:paraId="5D1CDBBC" w14:textId="77777777" w:rsidR="00875BD4" w:rsidRPr="00F533B4" w:rsidRDefault="00875BD4" w:rsidP="002131A4">
            <w:pPr>
              <w:spacing w:before="120" w:after="120"/>
              <w:jc w:val="center"/>
              <w:rPr>
                <w:rFonts w:cstheme="minorHAnsi"/>
                <w:i/>
                <w:iCs/>
                <w:color w:val="000000" w:themeColor="text1"/>
              </w:rPr>
            </w:pPr>
            <w:r w:rsidRPr="00F533B4">
              <w:rPr>
                <w:rFonts w:cstheme="minorHAnsi"/>
                <w:i/>
                <w:iCs/>
                <w:color w:val="000000" w:themeColor="text1"/>
                <w:sz w:val="24"/>
                <w:szCs w:val="24"/>
              </w:rPr>
              <w:t>E. coli</w:t>
            </w:r>
          </w:p>
        </w:tc>
        <w:tc>
          <w:tcPr>
            <w:tcW w:w="2524" w:type="dxa"/>
            <w:vAlign w:val="center"/>
          </w:tcPr>
          <w:p w14:paraId="372698E2" w14:textId="77777777" w:rsidR="00875BD4" w:rsidRPr="00F533B4" w:rsidRDefault="00875BD4" w:rsidP="002131A4">
            <w:pPr>
              <w:spacing w:before="120" w:after="120"/>
              <w:jc w:val="center"/>
              <w:rPr>
                <w:rFonts w:cstheme="minorHAnsi"/>
                <w:color w:val="000000" w:themeColor="text1"/>
              </w:rPr>
            </w:pPr>
            <w:r w:rsidRPr="00F533B4">
              <w:rPr>
                <w:rFonts w:cstheme="minorHAnsi"/>
                <w:iCs/>
                <w:color w:val="000000" w:themeColor="text1"/>
                <w:sz w:val="24"/>
                <w:szCs w:val="24"/>
              </w:rPr>
              <w:t>OXA-48</w:t>
            </w:r>
          </w:p>
        </w:tc>
        <w:tc>
          <w:tcPr>
            <w:tcW w:w="1243" w:type="dxa"/>
            <w:vAlign w:val="center"/>
          </w:tcPr>
          <w:p w14:paraId="5EC3EAEB" w14:textId="77777777" w:rsidR="00875BD4" w:rsidRPr="00F533B4" w:rsidRDefault="00875BD4" w:rsidP="002131A4">
            <w:pPr>
              <w:spacing w:before="120" w:after="120"/>
              <w:jc w:val="center"/>
              <w:rPr>
                <w:rFonts w:cstheme="minorHAnsi"/>
                <w:color w:val="000000" w:themeColor="text1"/>
              </w:rPr>
            </w:pPr>
            <w:r w:rsidRPr="00F533B4">
              <w:rPr>
                <w:rFonts w:cstheme="minorHAnsi"/>
                <w:iCs/>
                <w:color w:val="000000" w:themeColor="text1"/>
                <w:sz w:val="24"/>
                <w:szCs w:val="24"/>
              </w:rPr>
              <w:t>4</w:t>
            </w:r>
          </w:p>
        </w:tc>
        <w:tc>
          <w:tcPr>
            <w:tcW w:w="1823" w:type="dxa"/>
            <w:vAlign w:val="center"/>
          </w:tcPr>
          <w:p w14:paraId="1D182AE4" w14:textId="77777777" w:rsidR="00875BD4" w:rsidRPr="00F533B4" w:rsidRDefault="00875BD4" w:rsidP="002131A4">
            <w:pPr>
              <w:spacing w:before="120" w:after="120"/>
              <w:jc w:val="center"/>
              <w:rPr>
                <w:rFonts w:cstheme="minorHAnsi"/>
                <w:color w:val="000000" w:themeColor="text1"/>
              </w:rPr>
            </w:pPr>
            <w:r w:rsidRPr="00F533B4">
              <w:rPr>
                <w:rFonts w:cstheme="minorHAnsi"/>
                <w:iCs/>
                <w:color w:val="000000" w:themeColor="text1"/>
                <w:sz w:val="24"/>
                <w:szCs w:val="24"/>
              </w:rPr>
              <w:t>8</w:t>
            </w:r>
          </w:p>
        </w:tc>
      </w:tr>
      <w:tr w:rsidR="00875BD4" w:rsidRPr="00F533B4" w14:paraId="1330DE8A" w14:textId="77777777" w:rsidTr="002131A4">
        <w:trPr>
          <w:cnfStyle w:val="000000100000" w:firstRow="0" w:lastRow="0" w:firstColumn="0" w:lastColumn="0" w:oddVBand="0" w:evenVBand="0" w:oddHBand="1" w:evenHBand="0" w:firstRowFirstColumn="0" w:firstRowLastColumn="0" w:lastRowFirstColumn="0" w:lastRowLastColumn="0"/>
          <w:trHeight w:val="285"/>
        </w:trPr>
        <w:tc>
          <w:tcPr>
            <w:tcW w:w="1634" w:type="dxa"/>
            <w:vAlign w:val="center"/>
          </w:tcPr>
          <w:p w14:paraId="761F35B8" w14:textId="77777777" w:rsidR="00875BD4" w:rsidRPr="00F533B4" w:rsidRDefault="00875BD4" w:rsidP="002131A4">
            <w:pPr>
              <w:spacing w:before="120" w:after="120"/>
              <w:jc w:val="center"/>
              <w:rPr>
                <w:rFonts w:cstheme="minorHAnsi"/>
                <w:color w:val="000000" w:themeColor="text1"/>
              </w:rPr>
            </w:pPr>
            <w:r w:rsidRPr="00F533B4">
              <w:rPr>
                <w:rFonts w:cstheme="minorHAnsi"/>
                <w:iCs/>
                <w:color w:val="000000" w:themeColor="text1"/>
                <w:sz w:val="24"/>
                <w:szCs w:val="24"/>
              </w:rPr>
              <w:t>L75546</w:t>
            </w:r>
          </w:p>
        </w:tc>
        <w:tc>
          <w:tcPr>
            <w:tcW w:w="1651" w:type="dxa"/>
            <w:vAlign w:val="center"/>
          </w:tcPr>
          <w:p w14:paraId="265CCBBB" w14:textId="77777777" w:rsidR="00875BD4" w:rsidRPr="00F533B4" w:rsidRDefault="00875BD4" w:rsidP="002131A4">
            <w:pPr>
              <w:spacing w:before="120" w:after="120"/>
              <w:jc w:val="center"/>
              <w:rPr>
                <w:rFonts w:cstheme="minorHAnsi"/>
                <w:i/>
                <w:iCs/>
                <w:color w:val="000000" w:themeColor="text1"/>
              </w:rPr>
            </w:pPr>
            <w:r w:rsidRPr="00F533B4">
              <w:rPr>
                <w:rFonts w:cstheme="minorHAnsi"/>
                <w:i/>
                <w:iCs/>
                <w:color w:val="000000" w:themeColor="text1"/>
                <w:sz w:val="24"/>
                <w:szCs w:val="24"/>
              </w:rPr>
              <w:t>K. pneumoniae</w:t>
            </w:r>
          </w:p>
        </w:tc>
        <w:tc>
          <w:tcPr>
            <w:tcW w:w="2524" w:type="dxa"/>
            <w:vAlign w:val="center"/>
          </w:tcPr>
          <w:p w14:paraId="51009063" w14:textId="77777777" w:rsidR="00875BD4" w:rsidRPr="00F533B4" w:rsidRDefault="00875BD4" w:rsidP="002131A4">
            <w:pPr>
              <w:spacing w:before="120" w:after="120"/>
              <w:jc w:val="center"/>
              <w:rPr>
                <w:rFonts w:cstheme="minorHAnsi"/>
                <w:color w:val="000000" w:themeColor="text1"/>
              </w:rPr>
            </w:pPr>
            <w:r w:rsidRPr="002A686A">
              <w:rPr>
                <w:rFonts w:cstheme="minorHAnsi"/>
                <w:iCs/>
                <w:color w:val="000000" w:themeColor="text1"/>
                <w:sz w:val="24"/>
                <w:szCs w:val="24"/>
              </w:rPr>
              <w:t>NS</w:t>
            </w:r>
          </w:p>
        </w:tc>
        <w:tc>
          <w:tcPr>
            <w:tcW w:w="1243" w:type="dxa"/>
            <w:vAlign w:val="center"/>
          </w:tcPr>
          <w:p w14:paraId="1DAFFC6F" w14:textId="77777777" w:rsidR="00875BD4" w:rsidRPr="00F533B4" w:rsidRDefault="00875BD4" w:rsidP="002131A4">
            <w:pPr>
              <w:spacing w:before="120" w:after="120"/>
              <w:jc w:val="center"/>
              <w:rPr>
                <w:rFonts w:cstheme="minorHAnsi"/>
                <w:color w:val="000000" w:themeColor="text1"/>
              </w:rPr>
            </w:pPr>
            <w:r w:rsidRPr="00F533B4">
              <w:rPr>
                <w:rFonts w:cstheme="minorHAnsi"/>
                <w:iCs/>
                <w:color w:val="000000" w:themeColor="text1"/>
                <w:sz w:val="24"/>
                <w:szCs w:val="24"/>
              </w:rPr>
              <w:t>64</w:t>
            </w:r>
          </w:p>
        </w:tc>
        <w:tc>
          <w:tcPr>
            <w:tcW w:w="1823" w:type="dxa"/>
            <w:vAlign w:val="center"/>
          </w:tcPr>
          <w:p w14:paraId="0373F955" w14:textId="77777777" w:rsidR="00875BD4" w:rsidRPr="00F533B4" w:rsidRDefault="00875BD4" w:rsidP="002131A4">
            <w:pPr>
              <w:spacing w:before="120" w:after="120"/>
              <w:jc w:val="center"/>
              <w:rPr>
                <w:rFonts w:cstheme="minorHAnsi"/>
                <w:color w:val="000000" w:themeColor="text1"/>
              </w:rPr>
            </w:pPr>
            <w:r w:rsidRPr="00F533B4">
              <w:rPr>
                <w:rFonts w:cstheme="minorHAnsi"/>
                <w:iCs/>
                <w:color w:val="000000" w:themeColor="text1"/>
                <w:sz w:val="24"/>
                <w:szCs w:val="24"/>
              </w:rPr>
              <w:t>4</w:t>
            </w:r>
          </w:p>
        </w:tc>
      </w:tr>
      <w:tr w:rsidR="00875BD4" w:rsidRPr="00F533B4" w14:paraId="31DA1027" w14:textId="77777777" w:rsidTr="002131A4">
        <w:trPr>
          <w:trHeight w:val="285"/>
        </w:trPr>
        <w:tc>
          <w:tcPr>
            <w:tcW w:w="1634" w:type="dxa"/>
            <w:vAlign w:val="center"/>
            <w:hideMark/>
          </w:tcPr>
          <w:p w14:paraId="54D61180" w14:textId="77777777" w:rsidR="00875BD4" w:rsidRPr="00F533B4" w:rsidRDefault="00875BD4" w:rsidP="002131A4">
            <w:pPr>
              <w:spacing w:before="120" w:after="120"/>
              <w:jc w:val="center"/>
              <w:rPr>
                <w:rFonts w:cstheme="minorHAnsi"/>
                <w:color w:val="000000" w:themeColor="text1"/>
                <w:sz w:val="24"/>
                <w:szCs w:val="24"/>
              </w:rPr>
            </w:pPr>
            <w:r w:rsidRPr="00F533B4">
              <w:rPr>
                <w:rFonts w:cstheme="minorHAnsi"/>
                <w:color w:val="000000" w:themeColor="text1"/>
                <w:sz w:val="24"/>
                <w:szCs w:val="24"/>
              </w:rPr>
              <w:t>1237221</w:t>
            </w:r>
          </w:p>
        </w:tc>
        <w:tc>
          <w:tcPr>
            <w:tcW w:w="1651" w:type="dxa"/>
            <w:vAlign w:val="center"/>
            <w:hideMark/>
          </w:tcPr>
          <w:p w14:paraId="336A2C46" w14:textId="77777777" w:rsidR="00875BD4" w:rsidRPr="00F533B4" w:rsidRDefault="00875BD4" w:rsidP="002131A4">
            <w:pPr>
              <w:spacing w:before="120" w:after="120"/>
              <w:jc w:val="center"/>
              <w:rPr>
                <w:rFonts w:cstheme="minorHAnsi"/>
                <w:color w:val="000000" w:themeColor="text1"/>
                <w:sz w:val="24"/>
                <w:szCs w:val="24"/>
              </w:rPr>
            </w:pPr>
            <w:r w:rsidRPr="00F533B4">
              <w:rPr>
                <w:rFonts w:cstheme="minorHAnsi"/>
                <w:i/>
                <w:iCs/>
                <w:color w:val="000000" w:themeColor="text1"/>
                <w:sz w:val="24"/>
                <w:szCs w:val="24"/>
              </w:rPr>
              <w:t>K. pneumoniae</w:t>
            </w:r>
          </w:p>
        </w:tc>
        <w:tc>
          <w:tcPr>
            <w:tcW w:w="2524" w:type="dxa"/>
            <w:vAlign w:val="center"/>
            <w:hideMark/>
          </w:tcPr>
          <w:p w14:paraId="0B314BEE" w14:textId="77777777" w:rsidR="00875BD4" w:rsidRPr="00F533B4" w:rsidRDefault="00875BD4" w:rsidP="002131A4">
            <w:pPr>
              <w:spacing w:before="120" w:after="120"/>
              <w:jc w:val="center"/>
              <w:rPr>
                <w:rFonts w:cstheme="minorHAnsi"/>
                <w:color w:val="000000" w:themeColor="text1"/>
                <w:sz w:val="24"/>
                <w:szCs w:val="24"/>
              </w:rPr>
            </w:pPr>
            <w:r w:rsidRPr="00F533B4">
              <w:rPr>
                <w:rFonts w:cstheme="minorHAnsi"/>
                <w:color w:val="000000" w:themeColor="text1"/>
                <w:sz w:val="24"/>
                <w:szCs w:val="24"/>
              </w:rPr>
              <w:t>SHV-OSBL, CTX-M-15</w:t>
            </w:r>
          </w:p>
        </w:tc>
        <w:tc>
          <w:tcPr>
            <w:tcW w:w="1243" w:type="dxa"/>
            <w:vAlign w:val="center"/>
            <w:hideMark/>
          </w:tcPr>
          <w:p w14:paraId="7D3A9C69" w14:textId="77777777" w:rsidR="00875BD4" w:rsidRPr="00F533B4" w:rsidRDefault="00875BD4" w:rsidP="002131A4">
            <w:pPr>
              <w:spacing w:before="120" w:after="120"/>
              <w:jc w:val="center"/>
              <w:rPr>
                <w:rFonts w:cstheme="minorHAnsi"/>
                <w:color w:val="000000" w:themeColor="text1"/>
                <w:sz w:val="24"/>
                <w:szCs w:val="24"/>
              </w:rPr>
            </w:pPr>
            <w:r w:rsidRPr="00F533B4">
              <w:rPr>
                <w:rFonts w:cstheme="minorHAnsi"/>
                <w:color w:val="000000" w:themeColor="text1"/>
                <w:sz w:val="24"/>
                <w:szCs w:val="24"/>
              </w:rPr>
              <w:t>8</w:t>
            </w:r>
          </w:p>
        </w:tc>
        <w:tc>
          <w:tcPr>
            <w:tcW w:w="1823" w:type="dxa"/>
            <w:vAlign w:val="center"/>
            <w:hideMark/>
          </w:tcPr>
          <w:p w14:paraId="4C8F55C4" w14:textId="77777777" w:rsidR="00875BD4" w:rsidRPr="00F533B4" w:rsidRDefault="00875BD4" w:rsidP="002131A4">
            <w:pPr>
              <w:spacing w:before="120" w:after="120"/>
              <w:jc w:val="center"/>
              <w:rPr>
                <w:rFonts w:cstheme="minorHAnsi"/>
                <w:color w:val="000000" w:themeColor="text1"/>
                <w:sz w:val="24"/>
                <w:szCs w:val="24"/>
              </w:rPr>
            </w:pPr>
            <w:r w:rsidRPr="00F533B4">
              <w:rPr>
                <w:rFonts w:cstheme="minorHAnsi"/>
                <w:color w:val="000000" w:themeColor="text1"/>
                <w:sz w:val="24"/>
                <w:szCs w:val="24"/>
              </w:rPr>
              <w:t>32</w:t>
            </w:r>
          </w:p>
        </w:tc>
      </w:tr>
      <w:tr w:rsidR="00875BD4" w:rsidRPr="00F533B4" w14:paraId="144F4EE1" w14:textId="77777777" w:rsidTr="002131A4">
        <w:trPr>
          <w:cnfStyle w:val="000000100000" w:firstRow="0" w:lastRow="0" w:firstColumn="0" w:lastColumn="0" w:oddVBand="0" w:evenVBand="0" w:oddHBand="1" w:evenHBand="0" w:firstRowFirstColumn="0" w:firstRowLastColumn="0" w:lastRowFirstColumn="0" w:lastRowLastColumn="0"/>
          <w:trHeight w:val="285"/>
        </w:trPr>
        <w:tc>
          <w:tcPr>
            <w:tcW w:w="1634" w:type="dxa"/>
            <w:vAlign w:val="center"/>
          </w:tcPr>
          <w:p w14:paraId="15AA7ABE" w14:textId="77777777" w:rsidR="00875BD4" w:rsidRPr="00F533B4" w:rsidRDefault="00875BD4" w:rsidP="002131A4">
            <w:pPr>
              <w:spacing w:before="120" w:after="120"/>
              <w:jc w:val="center"/>
              <w:rPr>
                <w:rFonts w:cstheme="minorHAnsi"/>
                <w:color w:val="000000" w:themeColor="text1"/>
                <w:sz w:val="24"/>
                <w:szCs w:val="24"/>
              </w:rPr>
            </w:pPr>
            <w:r w:rsidRPr="00F533B4">
              <w:rPr>
                <w:rFonts w:cstheme="minorHAnsi"/>
                <w:color w:val="000000" w:themeColor="text1"/>
                <w:sz w:val="24"/>
                <w:szCs w:val="24"/>
              </w:rPr>
              <w:t>1216477</w:t>
            </w:r>
          </w:p>
        </w:tc>
        <w:tc>
          <w:tcPr>
            <w:tcW w:w="1651" w:type="dxa"/>
            <w:vAlign w:val="center"/>
          </w:tcPr>
          <w:p w14:paraId="483384F1" w14:textId="77777777" w:rsidR="00875BD4" w:rsidRPr="00F533B4" w:rsidRDefault="00875BD4" w:rsidP="002131A4">
            <w:pPr>
              <w:spacing w:before="120" w:after="120"/>
              <w:jc w:val="center"/>
              <w:rPr>
                <w:rFonts w:cstheme="minorHAnsi"/>
                <w:color w:val="000000" w:themeColor="text1"/>
                <w:sz w:val="24"/>
                <w:szCs w:val="24"/>
              </w:rPr>
            </w:pPr>
            <w:r w:rsidRPr="00F533B4">
              <w:rPr>
                <w:rFonts w:cstheme="minorHAnsi"/>
                <w:i/>
                <w:iCs/>
                <w:color w:val="000000" w:themeColor="text1"/>
                <w:sz w:val="24"/>
                <w:szCs w:val="24"/>
              </w:rPr>
              <w:t>K. pneumoniae</w:t>
            </w:r>
          </w:p>
        </w:tc>
        <w:tc>
          <w:tcPr>
            <w:tcW w:w="2524" w:type="dxa"/>
            <w:vAlign w:val="center"/>
          </w:tcPr>
          <w:p w14:paraId="7B7FFB0C" w14:textId="77777777" w:rsidR="00875BD4" w:rsidRPr="00F533B4" w:rsidRDefault="00875BD4" w:rsidP="002131A4">
            <w:pPr>
              <w:spacing w:before="120" w:after="120"/>
              <w:jc w:val="center"/>
              <w:rPr>
                <w:rFonts w:cstheme="minorHAnsi"/>
                <w:color w:val="000000" w:themeColor="text1"/>
                <w:sz w:val="24"/>
                <w:szCs w:val="24"/>
              </w:rPr>
            </w:pPr>
            <w:r w:rsidRPr="00F533B4">
              <w:rPr>
                <w:rFonts w:cstheme="minorHAnsi"/>
                <w:color w:val="000000" w:themeColor="text1"/>
                <w:sz w:val="24"/>
                <w:szCs w:val="24"/>
              </w:rPr>
              <w:t>SHV-OSBL, TEM-OSBL, CTX-M-15</w:t>
            </w:r>
          </w:p>
        </w:tc>
        <w:tc>
          <w:tcPr>
            <w:tcW w:w="1243" w:type="dxa"/>
            <w:vAlign w:val="center"/>
          </w:tcPr>
          <w:p w14:paraId="77CEF1F8" w14:textId="77777777" w:rsidR="00875BD4" w:rsidRPr="00F533B4" w:rsidRDefault="00875BD4" w:rsidP="002131A4">
            <w:pPr>
              <w:spacing w:before="120" w:after="120"/>
              <w:jc w:val="center"/>
              <w:rPr>
                <w:rFonts w:cstheme="minorHAnsi"/>
                <w:color w:val="000000" w:themeColor="text1"/>
                <w:sz w:val="24"/>
                <w:szCs w:val="24"/>
              </w:rPr>
            </w:pPr>
            <w:r w:rsidRPr="00F533B4">
              <w:rPr>
                <w:rFonts w:cstheme="minorHAnsi"/>
                <w:color w:val="000000" w:themeColor="text1"/>
                <w:sz w:val="24"/>
                <w:szCs w:val="24"/>
              </w:rPr>
              <w:t>8</w:t>
            </w:r>
          </w:p>
        </w:tc>
        <w:tc>
          <w:tcPr>
            <w:tcW w:w="1823" w:type="dxa"/>
            <w:vAlign w:val="center"/>
          </w:tcPr>
          <w:p w14:paraId="5925A59D" w14:textId="77777777" w:rsidR="00875BD4" w:rsidRPr="00F533B4" w:rsidRDefault="00875BD4" w:rsidP="002131A4">
            <w:pPr>
              <w:spacing w:before="120" w:after="120"/>
              <w:jc w:val="center"/>
              <w:rPr>
                <w:rFonts w:cstheme="minorHAnsi"/>
                <w:color w:val="000000" w:themeColor="text1"/>
                <w:sz w:val="24"/>
                <w:szCs w:val="24"/>
              </w:rPr>
            </w:pPr>
            <w:r w:rsidRPr="00F533B4">
              <w:rPr>
                <w:rFonts w:cstheme="minorHAnsi"/>
                <w:color w:val="000000" w:themeColor="text1"/>
                <w:sz w:val="24"/>
                <w:szCs w:val="24"/>
              </w:rPr>
              <w:t>32</w:t>
            </w:r>
          </w:p>
        </w:tc>
      </w:tr>
      <w:tr w:rsidR="00875BD4" w:rsidRPr="00F533B4" w14:paraId="683A00F1" w14:textId="77777777" w:rsidTr="002131A4">
        <w:trPr>
          <w:trHeight w:val="285"/>
        </w:trPr>
        <w:tc>
          <w:tcPr>
            <w:tcW w:w="1634" w:type="dxa"/>
            <w:vAlign w:val="center"/>
          </w:tcPr>
          <w:p w14:paraId="4191D538" w14:textId="77777777" w:rsidR="00875BD4" w:rsidRPr="00F533B4" w:rsidRDefault="00875BD4" w:rsidP="002131A4">
            <w:pPr>
              <w:spacing w:before="120" w:after="120"/>
              <w:jc w:val="center"/>
              <w:rPr>
                <w:rFonts w:cstheme="minorHAnsi"/>
                <w:color w:val="000000" w:themeColor="text1"/>
              </w:rPr>
            </w:pPr>
            <w:r w:rsidRPr="00F533B4">
              <w:rPr>
                <w:rFonts w:cstheme="minorHAnsi"/>
                <w:color w:val="000000" w:themeColor="text1"/>
                <w:sz w:val="24"/>
                <w:szCs w:val="24"/>
              </w:rPr>
              <w:t>NCTC 13438</w:t>
            </w:r>
          </w:p>
        </w:tc>
        <w:tc>
          <w:tcPr>
            <w:tcW w:w="1651" w:type="dxa"/>
            <w:vAlign w:val="center"/>
          </w:tcPr>
          <w:p w14:paraId="12ADAA20" w14:textId="77777777" w:rsidR="00875BD4" w:rsidRPr="00F533B4" w:rsidRDefault="00875BD4" w:rsidP="002131A4">
            <w:pPr>
              <w:spacing w:before="120" w:after="120"/>
              <w:jc w:val="center"/>
              <w:rPr>
                <w:rFonts w:cstheme="minorHAnsi"/>
                <w:i/>
                <w:iCs/>
                <w:color w:val="000000" w:themeColor="text1"/>
              </w:rPr>
            </w:pPr>
            <w:r w:rsidRPr="00F533B4">
              <w:rPr>
                <w:rFonts w:cstheme="minorHAnsi"/>
                <w:i/>
                <w:iCs/>
                <w:color w:val="000000" w:themeColor="text1"/>
                <w:sz w:val="24"/>
                <w:szCs w:val="24"/>
              </w:rPr>
              <w:t>K. pneumoniae</w:t>
            </w:r>
          </w:p>
        </w:tc>
        <w:tc>
          <w:tcPr>
            <w:tcW w:w="2524" w:type="dxa"/>
            <w:vAlign w:val="center"/>
          </w:tcPr>
          <w:p w14:paraId="2B644CDE" w14:textId="77777777" w:rsidR="00875BD4" w:rsidRPr="00F533B4" w:rsidRDefault="00875BD4" w:rsidP="002131A4">
            <w:pPr>
              <w:spacing w:before="120" w:after="120"/>
              <w:jc w:val="center"/>
              <w:rPr>
                <w:rFonts w:cstheme="minorHAnsi"/>
                <w:color w:val="000000" w:themeColor="text1"/>
              </w:rPr>
            </w:pPr>
            <w:r w:rsidRPr="00F533B4">
              <w:rPr>
                <w:rFonts w:cstheme="minorHAnsi"/>
                <w:color w:val="000000" w:themeColor="text1"/>
                <w:sz w:val="24"/>
                <w:szCs w:val="24"/>
              </w:rPr>
              <w:t>KPC3</w:t>
            </w:r>
          </w:p>
        </w:tc>
        <w:tc>
          <w:tcPr>
            <w:tcW w:w="1243" w:type="dxa"/>
            <w:vAlign w:val="center"/>
          </w:tcPr>
          <w:p w14:paraId="41E59FD0" w14:textId="77777777" w:rsidR="00875BD4" w:rsidRPr="00F533B4" w:rsidRDefault="00875BD4" w:rsidP="002131A4">
            <w:pPr>
              <w:spacing w:before="120" w:after="120"/>
              <w:jc w:val="center"/>
              <w:rPr>
                <w:rFonts w:cstheme="minorHAnsi"/>
                <w:color w:val="000000" w:themeColor="text1"/>
              </w:rPr>
            </w:pPr>
            <w:r w:rsidRPr="00F533B4">
              <w:rPr>
                <w:rFonts w:cstheme="minorHAnsi"/>
                <w:color w:val="000000" w:themeColor="text1"/>
                <w:sz w:val="24"/>
                <w:szCs w:val="24"/>
              </w:rPr>
              <w:t>32</w:t>
            </w:r>
          </w:p>
        </w:tc>
        <w:tc>
          <w:tcPr>
            <w:tcW w:w="1823" w:type="dxa"/>
            <w:vAlign w:val="center"/>
          </w:tcPr>
          <w:p w14:paraId="2130CD20" w14:textId="77777777" w:rsidR="00875BD4" w:rsidRPr="00F533B4" w:rsidRDefault="00875BD4" w:rsidP="002131A4">
            <w:pPr>
              <w:spacing w:before="120" w:after="120"/>
              <w:jc w:val="center"/>
              <w:rPr>
                <w:rFonts w:cstheme="minorHAnsi"/>
                <w:color w:val="000000" w:themeColor="text1"/>
              </w:rPr>
            </w:pPr>
            <w:r w:rsidRPr="00F533B4">
              <w:rPr>
                <w:rFonts w:cstheme="minorHAnsi"/>
                <w:color w:val="000000" w:themeColor="text1"/>
                <w:sz w:val="24"/>
                <w:szCs w:val="24"/>
              </w:rPr>
              <w:t>32</w:t>
            </w:r>
          </w:p>
        </w:tc>
      </w:tr>
      <w:tr w:rsidR="00875BD4" w:rsidRPr="00F533B4" w14:paraId="4C23F503" w14:textId="77777777" w:rsidTr="002131A4">
        <w:trPr>
          <w:cnfStyle w:val="000000100000" w:firstRow="0" w:lastRow="0" w:firstColumn="0" w:lastColumn="0" w:oddVBand="0" w:evenVBand="0" w:oddHBand="1" w:evenHBand="0" w:firstRowFirstColumn="0" w:firstRowLastColumn="0" w:lastRowFirstColumn="0" w:lastRowLastColumn="0"/>
          <w:trHeight w:val="285"/>
        </w:trPr>
        <w:tc>
          <w:tcPr>
            <w:tcW w:w="1634" w:type="dxa"/>
            <w:vAlign w:val="center"/>
            <w:hideMark/>
          </w:tcPr>
          <w:p w14:paraId="1442FFDC" w14:textId="77777777" w:rsidR="00875BD4" w:rsidRPr="00F533B4" w:rsidRDefault="00875BD4" w:rsidP="002131A4">
            <w:pPr>
              <w:spacing w:before="120" w:after="120"/>
              <w:jc w:val="center"/>
              <w:rPr>
                <w:rFonts w:cstheme="minorHAnsi"/>
                <w:color w:val="000000" w:themeColor="text1"/>
                <w:sz w:val="24"/>
                <w:szCs w:val="24"/>
              </w:rPr>
            </w:pPr>
            <w:r w:rsidRPr="00F533B4">
              <w:rPr>
                <w:rFonts w:cstheme="minorHAnsi"/>
                <w:color w:val="000000" w:themeColor="text1"/>
                <w:sz w:val="24"/>
                <w:szCs w:val="24"/>
              </w:rPr>
              <w:t>1256506</w:t>
            </w:r>
          </w:p>
        </w:tc>
        <w:tc>
          <w:tcPr>
            <w:tcW w:w="1651" w:type="dxa"/>
            <w:vAlign w:val="center"/>
            <w:hideMark/>
          </w:tcPr>
          <w:p w14:paraId="695E5A62" w14:textId="77777777" w:rsidR="00875BD4" w:rsidRPr="00F533B4" w:rsidRDefault="00875BD4" w:rsidP="002131A4">
            <w:pPr>
              <w:spacing w:before="120" w:after="120"/>
              <w:jc w:val="center"/>
              <w:rPr>
                <w:rFonts w:cstheme="minorHAnsi"/>
                <w:color w:val="000000" w:themeColor="text1"/>
                <w:sz w:val="24"/>
                <w:szCs w:val="24"/>
              </w:rPr>
            </w:pPr>
            <w:r w:rsidRPr="00F533B4">
              <w:rPr>
                <w:rFonts w:cstheme="minorHAnsi"/>
                <w:i/>
                <w:iCs/>
                <w:color w:val="000000" w:themeColor="text1"/>
                <w:sz w:val="24"/>
                <w:szCs w:val="24"/>
              </w:rPr>
              <w:t>K. pneumoniae</w:t>
            </w:r>
          </w:p>
        </w:tc>
        <w:tc>
          <w:tcPr>
            <w:tcW w:w="2524" w:type="dxa"/>
            <w:vAlign w:val="center"/>
            <w:hideMark/>
          </w:tcPr>
          <w:p w14:paraId="63BE5C08" w14:textId="77777777" w:rsidR="00875BD4" w:rsidRPr="00F533B4" w:rsidRDefault="00875BD4" w:rsidP="002131A4">
            <w:pPr>
              <w:spacing w:before="120" w:after="120"/>
              <w:jc w:val="center"/>
              <w:rPr>
                <w:rFonts w:cstheme="minorHAnsi"/>
                <w:color w:val="000000" w:themeColor="text1"/>
                <w:sz w:val="24"/>
                <w:szCs w:val="24"/>
              </w:rPr>
            </w:pPr>
            <w:r w:rsidRPr="00F533B4">
              <w:rPr>
                <w:rFonts w:cstheme="minorHAnsi"/>
                <w:color w:val="000000" w:themeColor="text1"/>
                <w:sz w:val="24"/>
                <w:szCs w:val="24"/>
              </w:rPr>
              <w:t>SHV-OSBL; TEM-OSBL; CTX-M-2; CMY-2</w:t>
            </w:r>
          </w:p>
        </w:tc>
        <w:tc>
          <w:tcPr>
            <w:tcW w:w="1243" w:type="dxa"/>
            <w:vAlign w:val="center"/>
            <w:hideMark/>
          </w:tcPr>
          <w:p w14:paraId="18DD9778" w14:textId="77777777" w:rsidR="00875BD4" w:rsidRPr="00F533B4" w:rsidRDefault="00875BD4" w:rsidP="002131A4">
            <w:pPr>
              <w:spacing w:before="120" w:after="120"/>
              <w:jc w:val="center"/>
              <w:rPr>
                <w:rFonts w:cstheme="minorHAnsi"/>
                <w:color w:val="000000" w:themeColor="text1"/>
                <w:sz w:val="24"/>
                <w:szCs w:val="24"/>
              </w:rPr>
            </w:pPr>
            <w:r w:rsidRPr="00F533B4">
              <w:rPr>
                <w:rFonts w:cstheme="minorHAnsi"/>
                <w:color w:val="000000" w:themeColor="text1"/>
                <w:sz w:val="24"/>
                <w:szCs w:val="24"/>
              </w:rPr>
              <w:t>2</w:t>
            </w:r>
          </w:p>
        </w:tc>
        <w:tc>
          <w:tcPr>
            <w:tcW w:w="1823" w:type="dxa"/>
            <w:vAlign w:val="center"/>
            <w:hideMark/>
          </w:tcPr>
          <w:p w14:paraId="0808940A" w14:textId="77777777" w:rsidR="00875BD4" w:rsidRPr="00F533B4" w:rsidRDefault="00875BD4" w:rsidP="002131A4">
            <w:pPr>
              <w:spacing w:before="120" w:after="120"/>
              <w:jc w:val="center"/>
              <w:rPr>
                <w:rFonts w:cstheme="minorHAnsi"/>
                <w:color w:val="000000" w:themeColor="text1"/>
                <w:sz w:val="24"/>
                <w:szCs w:val="24"/>
              </w:rPr>
            </w:pPr>
            <w:r w:rsidRPr="00F533B4">
              <w:rPr>
                <w:rFonts w:cstheme="minorHAnsi"/>
                <w:color w:val="000000" w:themeColor="text1"/>
                <w:sz w:val="24"/>
                <w:szCs w:val="24"/>
              </w:rPr>
              <w:t>128</w:t>
            </w:r>
          </w:p>
        </w:tc>
      </w:tr>
      <w:tr w:rsidR="00875BD4" w:rsidRPr="00F533B4" w14:paraId="0F63E5A9" w14:textId="77777777" w:rsidTr="002131A4">
        <w:trPr>
          <w:trHeight w:val="285"/>
        </w:trPr>
        <w:tc>
          <w:tcPr>
            <w:tcW w:w="1634" w:type="dxa"/>
            <w:vAlign w:val="center"/>
          </w:tcPr>
          <w:p w14:paraId="1A7B4278" w14:textId="77777777" w:rsidR="00875BD4" w:rsidRPr="00F533B4" w:rsidRDefault="00875BD4" w:rsidP="002131A4">
            <w:pPr>
              <w:spacing w:before="120" w:after="120"/>
              <w:jc w:val="center"/>
              <w:rPr>
                <w:rFonts w:cstheme="minorHAnsi"/>
                <w:color w:val="000000" w:themeColor="text1"/>
                <w:sz w:val="24"/>
                <w:szCs w:val="24"/>
              </w:rPr>
            </w:pPr>
            <w:r w:rsidRPr="00F533B4">
              <w:rPr>
                <w:rFonts w:cstheme="minorHAnsi"/>
                <w:iCs/>
                <w:color w:val="000000" w:themeColor="text1"/>
                <w:sz w:val="24"/>
                <w:szCs w:val="24"/>
              </w:rPr>
              <w:t>L41464</w:t>
            </w:r>
          </w:p>
        </w:tc>
        <w:tc>
          <w:tcPr>
            <w:tcW w:w="1651" w:type="dxa"/>
            <w:vAlign w:val="center"/>
          </w:tcPr>
          <w:p w14:paraId="05B1A8EC" w14:textId="77777777" w:rsidR="00875BD4" w:rsidRPr="00F533B4" w:rsidRDefault="00875BD4" w:rsidP="002131A4">
            <w:pPr>
              <w:spacing w:before="120" w:after="120"/>
              <w:jc w:val="center"/>
              <w:rPr>
                <w:rFonts w:cstheme="minorHAnsi"/>
                <w:i/>
                <w:iCs/>
                <w:color w:val="000000" w:themeColor="text1"/>
                <w:sz w:val="24"/>
                <w:szCs w:val="24"/>
              </w:rPr>
            </w:pPr>
            <w:r w:rsidRPr="00F533B4">
              <w:rPr>
                <w:rFonts w:cstheme="minorHAnsi"/>
                <w:i/>
                <w:iCs/>
                <w:color w:val="000000" w:themeColor="text1"/>
                <w:sz w:val="24"/>
                <w:szCs w:val="24"/>
              </w:rPr>
              <w:t>K. pneumoniae</w:t>
            </w:r>
          </w:p>
        </w:tc>
        <w:tc>
          <w:tcPr>
            <w:tcW w:w="2524" w:type="dxa"/>
            <w:vAlign w:val="center"/>
          </w:tcPr>
          <w:p w14:paraId="0BAA2979" w14:textId="77777777" w:rsidR="00875BD4" w:rsidRPr="002A686A" w:rsidRDefault="00875BD4" w:rsidP="002131A4">
            <w:pPr>
              <w:spacing w:before="120" w:after="120"/>
              <w:jc w:val="center"/>
              <w:rPr>
                <w:rFonts w:cstheme="minorHAnsi"/>
                <w:color w:val="000000" w:themeColor="text1"/>
                <w:sz w:val="24"/>
                <w:szCs w:val="24"/>
              </w:rPr>
            </w:pPr>
            <w:r w:rsidRPr="002A686A">
              <w:rPr>
                <w:rFonts w:cstheme="minorHAnsi"/>
                <w:iCs/>
                <w:color w:val="000000" w:themeColor="text1"/>
                <w:sz w:val="24"/>
                <w:szCs w:val="24"/>
              </w:rPr>
              <w:t>NS</w:t>
            </w:r>
          </w:p>
        </w:tc>
        <w:tc>
          <w:tcPr>
            <w:tcW w:w="1243" w:type="dxa"/>
            <w:vAlign w:val="center"/>
          </w:tcPr>
          <w:p w14:paraId="1A05C23A" w14:textId="77777777" w:rsidR="00875BD4" w:rsidRPr="00F533B4" w:rsidRDefault="00875BD4" w:rsidP="002131A4">
            <w:pPr>
              <w:spacing w:before="120" w:after="120"/>
              <w:jc w:val="center"/>
              <w:rPr>
                <w:rFonts w:cstheme="minorHAnsi"/>
                <w:color w:val="000000" w:themeColor="text1"/>
                <w:sz w:val="24"/>
                <w:szCs w:val="24"/>
              </w:rPr>
            </w:pPr>
            <w:r w:rsidRPr="00F533B4">
              <w:rPr>
                <w:rFonts w:cstheme="minorHAnsi"/>
                <w:iCs/>
                <w:color w:val="000000" w:themeColor="text1"/>
                <w:sz w:val="24"/>
                <w:szCs w:val="24"/>
              </w:rPr>
              <w:t>16</w:t>
            </w:r>
          </w:p>
        </w:tc>
        <w:tc>
          <w:tcPr>
            <w:tcW w:w="1823" w:type="dxa"/>
            <w:vAlign w:val="center"/>
          </w:tcPr>
          <w:p w14:paraId="69F8F88B" w14:textId="77777777" w:rsidR="00875BD4" w:rsidRPr="00F533B4" w:rsidRDefault="00875BD4" w:rsidP="002131A4">
            <w:pPr>
              <w:spacing w:before="120" w:after="120"/>
              <w:jc w:val="center"/>
              <w:rPr>
                <w:rFonts w:cstheme="minorHAnsi"/>
                <w:color w:val="000000" w:themeColor="text1"/>
                <w:sz w:val="24"/>
                <w:szCs w:val="24"/>
              </w:rPr>
            </w:pPr>
            <w:r w:rsidRPr="00F533B4">
              <w:rPr>
                <w:rFonts w:cstheme="minorHAnsi"/>
                <w:iCs/>
                <w:color w:val="000000" w:themeColor="text1"/>
                <w:sz w:val="24"/>
                <w:szCs w:val="24"/>
              </w:rPr>
              <w:t>128</w:t>
            </w:r>
          </w:p>
        </w:tc>
      </w:tr>
    </w:tbl>
    <w:p w14:paraId="066E2CDC" w14:textId="77777777" w:rsidR="00875BD4" w:rsidRPr="00F533B4" w:rsidRDefault="00875BD4" w:rsidP="00875BD4">
      <w:pPr>
        <w:spacing w:line="480" w:lineRule="auto"/>
        <w:rPr>
          <w:color w:val="000000" w:themeColor="text1"/>
        </w:rPr>
      </w:pPr>
    </w:p>
    <w:p w14:paraId="46895037" w14:textId="03C3FDAD" w:rsidR="00D26B1D" w:rsidRPr="00412663" w:rsidRDefault="00875BD4" w:rsidP="00875BD4">
      <w:pPr>
        <w:spacing w:before="120" w:line="480" w:lineRule="auto"/>
        <w:rPr>
          <w:color w:val="000000" w:themeColor="text1"/>
        </w:rPr>
      </w:pPr>
      <w:r w:rsidRPr="00546C44">
        <w:rPr>
          <w:color w:val="000000" w:themeColor="text1"/>
        </w:rPr>
        <w:t xml:space="preserve">Table </w:t>
      </w:r>
      <w:r w:rsidR="00E70504">
        <w:rPr>
          <w:color w:val="000000" w:themeColor="text1"/>
        </w:rPr>
        <w:t>2</w:t>
      </w:r>
      <w:r w:rsidRPr="00546C44">
        <w:rPr>
          <w:color w:val="000000" w:themeColor="text1"/>
        </w:rPr>
        <w:t>: Details of strains used in HFIM testing physiological pharmacokinetics of fosfomycin/amikacin. NS = not sequenced, at time of writing.</w:t>
      </w:r>
      <w:r w:rsidR="002D5F57" w:rsidRPr="00F533B4">
        <w:rPr>
          <w:rFonts w:cstheme="minorHAnsi"/>
          <w:b/>
          <w:color w:val="000000" w:themeColor="text1"/>
        </w:rPr>
        <w:br w:type="page"/>
      </w:r>
    </w:p>
    <w:tbl>
      <w:tblPr>
        <w:tblStyle w:val="TableGrid"/>
        <w:tblW w:w="0" w:type="auto"/>
        <w:tblLook w:val="04A0" w:firstRow="1" w:lastRow="0" w:firstColumn="1" w:lastColumn="0" w:noHBand="0" w:noVBand="1"/>
      </w:tblPr>
      <w:tblGrid>
        <w:gridCol w:w="498"/>
        <w:gridCol w:w="565"/>
        <w:gridCol w:w="917"/>
        <w:gridCol w:w="917"/>
        <w:gridCol w:w="917"/>
        <w:gridCol w:w="917"/>
        <w:gridCol w:w="917"/>
        <w:gridCol w:w="917"/>
        <w:gridCol w:w="815"/>
        <w:gridCol w:w="815"/>
        <w:gridCol w:w="815"/>
      </w:tblGrid>
      <w:tr w:rsidR="00CD47DD" w14:paraId="5ED21C3E" w14:textId="77777777" w:rsidTr="00CD47DD">
        <w:tc>
          <w:tcPr>
            <w:tcW w:w="1063" w:type="dxa"/>
            <w:gridSpan w:val="2"/>
            <w:vMerge w:val="restart"/>
            <w:tcBorders>
              <w:top w:val="nil"/>
              <w:left w:val="nil"/>
            </w:tcBorders>
          </w:tcPr>
          <w:p w14:paraId="5F588CFB" w14:textId="77777777" w:rsidR="00CD47DD" w:rsidRDefault="00CD47DD" w:rsidP="00E72EBF">
            <w:pPr>
              <w:rPr>
                <w:rFonts w:cstheme="minorHAnsi"/>
                <w:b/>
                <w:color w:val="000000" w:themeColor="text1"/>
              </w:rPr>
            </w:pPr>
          </w:p>
        </w:tc>
        <w:tc>
          <w:tcPr>
            <w:tcW w:w="7947" w:type="dxa"/>
            <w:gridSpan w:val="9"/>
          </w:tcPr>
          <w:p w14:paraId="007D37CB" w14:textId="149007C3" w:rsidR="00CD47DD" w:rsidRDefault="00CD47DD" w:rsidP="00E72EBF">
            <w:pPr>
              <w:jc w:val="center"/>
              <w:rPr>
                <w:rFonts w:cstheme="minorHAnsi"/>
                <w:b/>
                <w:color w:val="000000" w:themeColor="text1"/>
              </w:rPr>
            </w:pPr>
            <w:r w:rsidRPr="00CD47DD">
              <w:rPr>
                <w:rFonts w:cstheme="minorHAnsi"/>
                <w:b/>
                <w:color w:val="000000" w:themeColor="text1"/>
                <w:sz w:val="22"/>
                <w:szCs w:val="22"/>
              </w:rPr>
              <w:t>Amikacin MIC (mg/L)</w:t>
            </w:r>
          </w:p>
        </w:tc>
      </w:tr>
      <w:tr w:rsidR="00CD47DD" w14:paraId="1CA4C303" w14:textId="77777777" w:rsidTr="00CD47DD">
        <w:tc>
          <w:tcPr>
            <w:tcW w:w="1063" w:type="dxa"/>
            <w:gridSpan w:val="2"/>
            <w:vMerge/>
            <w:tcBorders>
              <w:left w:val="nil"/>
            </w:tcBorders>
          </w:tcPr>
          <w:p w14:paraId="351B6F24" w14:textId="77777777" w:rsidR="00CD47DD" w:rsidRDefault="00CD47DD" w:rsidP="00E72EBF">
            <w:pPr>
              <w:rPr>
                <w:rFonts w:cstheme="minorHAnsi"/>
                <w:b/>
                <w:color w:val="000000" w:themeColor="text1"/>
              </w:rPr>
            </w:pPr>
          </w:p>
        </w:tc>
        <w:tc>
          <w:tcPr>
            <w:tcW w:w="917" w:type="dxa"/>
          </w:tcPr>
          <w:p w14:paraId="78838866" w14:textId="0E0BA26F" w:rsidR="00CD47DD" w:rsidRPr="00CD47DD" w:rsidRDefault="00CD47DD" w:rsidP="00E72EBF">
            <w:pPr>
              <w:rPr>
                <w:rFonts w:cstheme="minorHAnsi"/>
                <w:b/>
                <w:color w:val="000000" w:themeColor="text1"/>
                <w:sz w:val="21"/>
                <w:szCs w:val="21"/>
              </w:rPr>
            </w:pPr>
            <w:r w:rsidRPr="00CD47DD">
              <w:rPr>
                <w:rFonts w:cstheme="minorHAnsi"/>
                <w:b/>
                <w:color w:val="000000" w:themeColor="text1"/>
                <w:sz w:val="21"/>
                <w:szCs w:val="21"/>
              </w:rPr>
              <w:t>1</w:t>
            </w:r>
          </w:p>
        </w:tc>
        <w:tc>
          <w:tcPr>
            <w:tcW w:w="917" w:type="dxa"/>
          </w:tcPr>
          <w:p w14:paraId="6914A677" w14:textId="6F632FB9" w:rsidR="00CD47DD" w:rsidRPr="00CD47DD" w:rsidRDefault="00CD47DD" w:rsidP="00E72EBF">
            <w:pPr>
              <w:rPr>
                <w:rFonts w:cstheme="minorHAnsi"/>
                <w:b/>
                <w:color w:val="000000" w:themeColor="text1"/>
                <w:sz w:val="21"/>
                <w:szCs w:val="21"/>
              </w:rPr>
            </w:pPr>
            <w:r w:rsidRPr="00CD47DD">
              <w:rPr>
                <w:rFonts w:cstheme="minorHAnsi"/>
                <w:b/>
                <w:color w:val="000000" w:themeColor="text1"/>
                <w:sz w:val="21"/>
                <w:szCs w:val="21"/>
              </w:rPr>
              <w:t>2</w:t>
            </w:r>
          </w:p>
        </w:tc>
        <w:tc>
          <w:tcPr>
            <w:tcW w:w="917" w:type="dxa"/>
          </w:tcPr>
          <w:p w14:paraId="58431558" w14:textId="4B2ABD46" w:rsidR="00CD47DD" w:rsidRPr="00CD47DD" w:rsidRDefault="00CD47DD" w:rsidP="00E72EBF">
            <w:pPr>
              <w:rPr>
                <w:rFonts w:cstheme="minorHAnsi"/>
                <w:b/>
                <w:color w:val="000000" w:themeColor="text1"/>
                <w:sz w:val="21"/>
                <w:szCs w:val="21"/>
              </w:rPr>
            </w:pPr>
            <w:r w:rsidRPr="00CD47DD">
              <w:rPr>
                <w:rFonts w:cstheme="minorHAnsi"/>
                <w:b/>
                <w:color w:val="000000" w:themeColor="text1"/>
                <w:sz w:val="21"/>
                <w:szCs w:val="21"/>
              </w:rPr>
              <w:t>4</w:t>
            </w:r>
          </w:p>
        </w:tc>
        <w:tc>
          <w:tcPr>
            <w:tcW w:w="917" w:type="dxa"/>
          </w:tcPr>
          <w:p w14:paraId="2096C350" w14:textId="784F6294" w:rsidR="00CD47DD" w:rsidRPr="00CD47DD" w:rsidRDefault="00CD47DD" w:rsidP="00E72EBF">
            <w:pPr>
              <w:rPr>
                <w:rFonts w:cstheme="minorHAnsi"/>
                <w:b/>
                <w:color w:val="000000" w:themeColor="text1"/>
                <w:sz w:val="21"/>
                <w:szCs w:val="21"/>
              </w:rPr>
            </w:pPr>
            <w:r w:rsidRPr="00CD47DD">
              <w:rPr>
                <w:rFonts w:cstheme="minorHAnsi"/>
                <w:b/>
                <w:color w:val="000000" w:themeColor="text1"/>
                <w:sz w:val="21"/>
                <w:szCs w:val="21"/>
              </w:rPr>
              <w:t>8</w:t>
            </w:r>
          </w:p>
        </w:tc>
        <w:tc>
          <w:tcPr>
            <w:tcW w:w="917" w:type="dxa"/>
          </w:tcPr>
          <w:p w14:paraId="52CF8E95" w14:textId="60693A6C" w:rsidR="00CD47DD" w:rsidRPr="00CD47DD" w:rsidRDefault="00CD47DD" w:rsidP="00E72EBF">
            <w:pPr>
              <w:rPr>
                <w:rFonts w:cstheme="minorHAnsi"/>
                <w:b/>
                <w:color w:val="000000" w:themeColor="text1"/>
                <w:sz w:val="21"/>
                <w:szCs w:val="21"/>
              </w:rPr>
            </w:pPr>
            <w:r w:rsidRPr="00CD47DD">
              <w:rPr>
                <w:rFonts w:cstheme="minorHAnsi"/>
                <w:b/>
                <w:color w:val="000000" w:themeColor="text1"/>
                <w:sz w:val="21"/>
                <w:szCs w:val="21"/>
              </w:rPr>
              <w:t>16</w:t>
            </w:r>
          </w:p>
        </w:tc>
        <w:tc>
          <w:tcPr>
            <w:tcW w:w="917" w:type="dxa"/>
          </w:tcPr>
          <w:p w14:paraId="7F9DBEA5" w14:textId="715060CC" w:rsidR="00CD47DD" w:rsidRPr="00CD47DD" w:rsidRDefault="00CD47DD" w:rsidP="00E72EBF">
            <w:pPr>
              <w:rPr>
                <w:rFonts w:cstheme="minorHAnsi"/>
                <w:b/>
                <w:color w:val="000000" w:themeColor="text1"/>
                <w:sz w:val="21"/>
                <w:szCs w:val="21"/>
              </w:rPr>
            </w:pPr>
            <w:r w:rsidRPr="00CD47DD">
              <w:rPr>
                <w:rFonts w:cstheme="minorHAnsi"/>
                <w:b/>
                <w:color w:val="000000" w:themeColor="text1"/>
                <w:sz w:val="21"/>
                <w:szCs w:val="21"/>
              </w:rPr>
              <w:t>32</w:t>
            </w:r>
          </w:p>
        </w:tc>
        <w:tc>
          <w:tcPr>
            <w:tcW w:w="815" w:type="dxa"/>
          </w:tcPr>
          <w:p w14:paraId="61A7BBF2" w14:textId="7A94B585" w:rsidR="00CD47DD" w:rsidRPr="00CD47DD" w:rsidRDefault="00CD47DD" w:rsidP="00E72EBF">
            <w:pPr>
              <w:rPr>
                <w:rFonts w:cstheme="minorHAnsi"/>
                <w:b/>
                <w:color w:val="000000" w:themeColor="text1"/>
                <w:sz w:val="21"/>
                <w:szCs w:val="21"/>
              </w:rPr>
            </w:pPr>
            <w:r w:rsidRPr="00CD47DD">
              <w:rPr>
                <w:rFonts w:cstheme="minorHAnsi"/>
                <w:b/>
                <w:color w:val="000000" w:themeColor="text1"/>
                <w:sz w:val="21"/>
                <w:szCs w:val="21"/>
              </w:rPr>
              <w:t>64</w:t>
            </w:r>
          </w:p>
        </w:tc>
        <w:tc>
          <w:tcPr>
            <w:tcW w:w="815" w:type="dxa"/>
          </w:tcPr>
          <w:p w14:paraId="7AE2246D" w14:textId="42AFE49F" w:rsidR="00CD47DD" w:rsidRPr="00CD47DD" w:rsidRDefault="00CD47DD" w:rsidP="00E72EBF">
            <w:pPr>
              <w:rPr>
                <w:rFonts w:cstheme="minorHAnsi"/>
                <w:b/>
                <w:color w:val="000000" w:themeColor="text1"/>
                <w:sz w:val="21"/>
                <w:szCs w:val="21"/>
              </w:rPr>
            </w:pPr>
            <w:r w:rsidRPr="00CD47DD">
              <w:rPr>
                <w:rFonts w:cstheme="minorHAnsi"/>
                <w:b/>
                <w:color w:val="000000" w:themeColor="text1"/>
                <w:sz w:val="21"/>
                <w:szCs w:val="21"/>
              </w:rPr>
              <w:t>128</w:t>
            </w:r>
          </w:p>
        </w:tc>
        <w:tc>
          <w:tcPr>
            <w:tcW w:w="815" w:type="dxa"/>
          </w:tcPr>
          <w:p w14:paraId="509C70EB" w14:textId="3C192861" w:rsidR="00CD47DD" w:rsidRPr="00CD47DD" w:rsidRDefault="00CD47DD" w:rsidP="00E72EBF">
            <w:pPr>
              <w:rPr>
                <w:rFonts w:cstheme="minorHAnsi"/>
                <w:b/>
                <w:color w:val="000000" w:themeColor="text1"/>
                <w:sz w:val="21"/>
                <w:szCs w:val="21"/>
              </w:rPr>
            </w:pPr>
            <w:r w:rsidRPr="00CD47DD">
              <w:rPr>
                <w:rFonts w:cstheme="minorHAnsi"/>
                <w:b/>
                <w:color w:val="000000" w:themeColor="text1"/>
                <w:sz w:val="21"/>
                <w:szCs w:val="21"/>
              </w:rPr>
              <w:t>256</w:t>
            </w:r>
          </w:p>
        </w:tc>
      </w:tr>
      <w:tr w:rsidR="00AB6590" w14:paraId="5158EAF8" w14:textId="77777777" w:rsidTr="006B27E1">
        <w:tc>
          <w:tcPr>
            <w:tcW w:w="498" w:type="dxa"/>
            <w:vMerge w:val="restart"/>
            <w:textDirection w:val="btLr"/>
          </w:tcPr>
          <w:p w14:paraId="77DA032F" w14:textId="5499CDFC" w:rsidR="00AB6590" w:rsidRPr="00CD47DD" w:rsidRDefault="00AB6590" w:rsidP="00E72EBF">
            <w:pPr>
              <w:ind w:left="113" w:right="113"/>
              <w:rPr>
                <w:rFonts w:cstheme="minorHAnsi"/>
                <w:b/>
                <w:color w:val="000000" w:themeColor="text1"/>
                <w:sz w:val="22"/>
                <w:szCs w:val="22"/>
              </w:rPr>
            </w:pPr>
            <w:r w:rsidRPr="00CD47DD">
              <w:rPr>
                <w:rFonts w:cstheme="minorHAnsi"/>
                <w:b/>
                <w:color w:val="000000" w:themeColor="text1"/>
                <w:sz w:val="22"/>
                <w:szCs w:val="22"/>
              </w:rPr>
              <w:t>Fosfomycin MIC (mg/L)</w:t>
            </w:r>
          </w:p>
        </w:tc>
        <w:tc>
          <w:tcPr>
            <w:tcW w:w="565" w:type="dxa"/>
          </w:tcPr>
          <w:p w14:paraId="01B90BA7" w14:textId="783D62B5" w:rsidR="00AB6590" w:rsidRPr="00CD47DD" w:rsidRDefault="00AB6590" w:rsidP="00E72EBF">
            <w:pPr>
              <w:rPr>
                <w:rFonts w:cstheme="minorHAnsi"/>
                <w:b/>
                <w:color w:val="000000" w:themeColor="text1"/>
                <w:sz w:val="21"/>
                <w:szCs w:val="21"/>
              </w:rPr>
            </w:pPr>
            <w:r w:rsidRPr="00CD47DD">
              <w:rPr>
                <w:rFonts w:cstheme="minorHAnsi"/>
                <w:b/>
                <w:color w:val="000000" w:themeColor="text1"/>
                <w:sz w:val="21"/>
                <w:szCs w:val="21"/>
              </w:rPr>
              <w:t>256</w:t>
            </w:r>
          </w:p>
        </w:tc>
        <w:tc>
          <w:tcPr>
            <w:tcW w:w="917" w:type="dxa"/>
            <w:shd w:val="clear" w:color="auto" w:fill="D9D9D9" w:themeFill="background1" w:themeFillShade="D9"/>
            <w:vAlign w:val="bottom"/>
          </w:tcPr>
          <w:p w14:paraId="3300B699" w14:textId="4C9298DD"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91.33%</w:t>
            </w:r>
          </w:p>
        </w:tc>
        <w:tc>
          <w:tcPr>
            <w:tcW w:w="917" w:type="dxa"/>
            <w:shd w:val="clear" w:color="auto" w:fill="D9D9D9" w:themeFill="background1" w:themeFillShade="D9"/>
            <w:vAlign w:val="bottom"/>
          </w:tcPr>
          <w:p w14:paraId="3D69D683" w14:textId="1010FFDA"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51.81%</w:t>
            </w:r>
          </w:p>
        </w:tc>
        <w:tc>
          <w:tcPr>
            <w:tcW w:w="917" w:type="dxa"/>
            <w:shd w:val="clear" w:color="auto" w:fill="D9D9D9" w:themeFill="background1" w:themeFillShade="D9"/>
            <w:vAlign w:val="bottom"/>
          </w:tcPr>
          <w:p w14:paraId="205742A6" w14:textId="2022C151"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3.43%</w:t>
            </w:r>
          </w:p>
        </w:tc>
        <w:tc>
          <w:tcPr>
            <w:tcW w:w="917" w:type="dxa"/>
            <w:shd w:val="clear" w:color="auto" w:fill="D9D9D9" w:themeFill="background1" w:themeFillShade="D9"/>
            <w:vAlign w:val="bottom"/>
          </w:tcPr>
          <w:p w14:paraId="4EA492BA" w14:textId="063E30E7"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0.00%</w:t>
            </w:r>
          </w:p>
        </w:tc>
        <w:tc>
          <w:tcPr>
            <w:tcW w:w="917" w:type="dxa"/>
            <w:shd w:val="clear" w:color="auto" w:fill="D9D9D9" w:themeFill="background1" w:themeFillShade="D9"/>
            <w:vAlign w:val="bottom"/>
          </w:tcPr>
          <w:p w14:paraId="1A9DBACC" w14:textId="231CFFC7"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0.00%</w:t>
            </w:r>
          </w:p>
        </w:tc>
        <w:tc>
          <w:tcPr>
            <w:tcW w:w="917" w:type="dxa"/>
            <w:shd w:val="clear" w:color="auto" w:fill="D9D9D9" w:themeFill="background1" w:themeFillShade="D9"/>
            <w:vAlign w:val="bottom"/>
          </w:tcPr>
          <w:p w14:paraId="3013D3B1" w14:textId="068F8627"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0.00%</w:t>
            </w:r>
          </w:p>
        </w:tc>
        <w:tc>
          <w:tcPr>
            <w:tcW w:w="815" w:type="dxa"/>
            <w:shd w:val="clear" w:color="auto" w:fill="D9D9D9" w:themeFill="background1" w:themeFillShade="D9"/>
            <w:vAlign w:val="bottom"/>
          </w:tcPr>
          <w:p w14:paraId="03ACEDE5" w14:textId="48FCB6C9"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0.00%</w:t>
            </w:r>
          </w:p>
        </w:tc>
        <w:tc>
          <w:tcPr>
            <w:tcW w:w="815" w:type="dxa"/>
            <w:shd w:val="clear" w:color="auto" w:fill="D9D9D9" w:themeFill="background1" w:themeFillShade="D9"/>
            <w:vAlign w:val="bottom"/>
          </w:tcPr>
          <w:p w14:paraId="1C2F0D56" w14:textId="0460133D"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0.00%</w:t>
            </w:r>
          </w:p>
        </w:tc>
        <w:tc>
          <w:tcPr>
            <w:tcW w:w="815" w:type="dxa"/>
            <w:shd w:val="clear" w:color="auto" w:fill="D9D9D9" w:themeFill="background1" w:themeFillShade="D9"/>
            <w:vAlign w:val="bottom"/>
          </w:tcPr>
          <w:p w14:paraId="541F56FC" w14:textId="387A5BA6"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0.00%</w:t>
            </w:r>
          </w:p>
        </w:tc>
      </w:tr>
      <w:tr w:rsidR="00AB6590" w14:paraId="4CF9532E" w14:textId="77777777" w:rsidTr="006B27E1">
        <w:tc>
          <w:tcPr>
            <w:tcW w:w="498" w:type="dxa"/>
            <w:vMerge/>
          </w:tcPr>
          <w:p w14:paraId="5B3B1BBC" w14:textId="77777777" w:rsidR="00AB6590" w:rsidRDefault="00AB6590" w:rsidP="00E72EBF">
            <w:pPr>
              <w:rPr>
                <w:rFonts w:cstheme="minorHAnsi"/>
                <w:b/>
                <w:color w:val="000000" w:themeColor="text1"/>
              </w:rPr>
            </w:pPr>
          </w:p>
        </w:tc>
        <w:tc>
          <w:tcPr>
            <w:tcW w:w="565" w:type="dxa"/>
          </w:tcPr>
          <w:p w14:paraId="05A3EDDE" w14:textId="797B6CD9" w:rsidR="00AB6590" w:rsidRPr="00CD47DD" w:rsidRDefault="00AB6590" w:rsidP="00E72EBF">
            <w:pPr>
              <w:rPr>
                <w:rFonts w:cstheme="minorHAnsi"/>
                <w:b/>
                <w:color w:val="000000" w:themeColor="text1"/>
                <w:sz w:val="21"/>
                <w:szCs w:val="21"/>
              </w:rPr>
            </w:pPr>
            <w:r w:rsidRPr="00CD47DD">
              <w:rPr>
                <w:rFonts w:cstheme="minorHAnsi"/>
                <w:b/>
                <w:color w:val="000000" w:themeColor="text1"/>
                <w:sz w:val="21"/>
                <w:szCs w:val="21"/>
              </w:rPr>
              <w:t>128</w:t>
            </w:r>
          </w:p>
        </w:tc>
        <w:tc>
          <w:tcPr>
            <w:tcW w:w="917" w:type="dxa"/>
            <w:vAlign w:val="bottom"/>
          </w:tcPr>
          <w:p w14:paraId="7CE906B5" w14:textId="230DE8D7"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99.42%</w:t>
            </w:r>
          </w:p>
        </w:tc>
        <w:tc>
          <w:tcPr>
            <w:tcW w:w="917" w:type="dxa"/>
            <w:shd w:val="clear" w:color="auto" w:fill="D9D9D9" w:themeFill="background1" w:themeFillShade="D9"/>
            <w:vAlign w:val="bottom"/>
          </w:tcPr>
          <w:p w14:paraId="12B33C47" w14:textId="0AD6C6C8"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91.33%</w:t>
            </w:r>
          </w:p>
        </w:tc>
        <w:tc>
          <w:tcPr>
            <w:tcW w:w="917" w:type="dxa"/>
            <w:shd w:val="clear" w:color="auto" w:fill="D9D9D9" w:themeFill="background1" w:themeFillShade="D9"/>
            <w:vAlign w:val="bottom"/>
          </w:tcPr>
          <w:p w14:paraId="011C2047" w14:textId="1E3FC120"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51.81%</w:t>
            </w:r>
          </w:p>
        </w:tc>
        <w:tc>
          <w:tcPr>
            <w:tcW w:w="917" w:type="dxa"/>
            <w:shd w:val="clear" w:color="auto" w:fill="D9D9D9" w:themeFill="background1" w:themeFillShade="D9"/>
            <w:vAlign w:val="bottom"/>
          </w:tcPr>
          <w:p w14:paraId="2F0EE4EA" w14:textId="5D8BB82E"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3.43%</w:t>
            </w:r>
          </w:p>
        </w:tc>
        <w:tc>
          <w:tcPr>
            <w:tcW w:w="917" w:type="dxa"/>
            <w:shd w:val="clear" w:color="auto" w:fill="D9D9D9" w:themeFill="background1" w:themeFillShade="D9"/>
            <w:vAlign w:val="bottom"/>
          </w:tcPr>
          <w:p w14:paraId="6970A36C" w14:textId="42EA9B6D"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0.00%</w:t>
            </w:r>
          </w:p>
        </w:tc>
        <w:tc>
          <w:tcPr>
            <w:tcW w:w="917" w:type="dxa"/>
            <w:shd w:val="clear" w:color="auto" w:fill="D9D9D9" w:themeFill="background1" w:themeFillShade="D9"/>
            <w:vAlign w:val="bottom"/>
          </w:tcPr>
          <w:p w14:paraId="213A5757" w14:textId="2E3A5604"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0.00%</w:t>
            </w:r>
          </w:p>
        </w:tc>
        <w:tc>
          <w:tcPr>
            <w:tcW w:w="815" w:type="dxa"/>
            <w:shd w:val="clear" w:color="auto" w:fill="D9D9D9" w:themeFill="background1" w:themeFillShade="D9"/>
            <w:vAlign w:val="bottom"/>
          </w:tcPr>
          <w:p w14:paraId="56357261" w14:textId="71DD4402"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0.00%</w:t>
            </w:r>
          </w:p>
        </w:tc>
        <w:tc>
          <w:tcPr>
            <w:tcW w:w="815" w:type="dxa"/>
            <w:shd w:val="clear" w:color="auto" w:fill="D9D9D9" w:themeFill="background1" w:themeFillShade="D9"/>
            <w:vAlign w:val="bottom"/>
          </w:tcPr>
          <w:p w14:paraId="5B71E1E8" w14:textId="62252B48"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0.00%</w:t>
            </w:r>
          </w:p>
        </w:tc>
        <w:tc>
          <w:tcPr>
            <w:tcW w:w="815" w:type="dxa"/>
            <w:shd w:val="clear" w:color="auto" w:fill="D9D9D9" w:themeFill="background1" w:themeFillShade="D9"/>
            <w:vAlign w:val="bottom"/>
          </w:tcPr>
          <w:p w14:paraId="3AF465FC" w14:textId="0B789056"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0.00%</w:t>
            </w:r>
          </w:p>
        </w:tc>
      </w:tr>
      <w:tr w:rsidR="00AB6590" w14:paraId="21D04D8C" w14:textId="77777777" w:rsidTr="006B27E1">
        <w:tc>
          <w:tcPr>
            <w:tcW w:w="498" w:type="dxa"/>
            <w:vMerge/>
          </w:tcPr>
          <w:p w14:paraId="13F8F55D" w14:textId="77777777" w:rsidR="00AB6590" w:rsidRDefault="00AB6590" w:rsidP="00E72EBF">
            <w:pPr>
              <w:rPr>
                <w:rFonts w:cstheme="minorHAnsi"/>
                <w:b/>
                <w:color w:val="000000" w:themeColor="text1"/>
              </w:rPr>
            </w:pPr>
          </w:p>
        </w:tc>
        <w:tc>
          <w:tcPr>
            <w:tcW w:w="565" w:type="dxa"/>
          </w:tcPr>
          <w:p w14:paraId="50E9A89B" w14:textId="3A06E1D9" w:rsidR="00AB6590" w:rsidRPr="00CD47DD" w:rsidRDefault="00AB6590" w:rsidP="00E72EBF">
            <w:pPr>
              <w:rPr>
                <w:rFonts w:cstheme="minorHAnsi"/>
                <w:b/>
                <w:color w:val="000000" w:themeColor="text1"/>
                <w:sz w:val="21"/>
                <w:szCs w:val="21"/>
              </w:rPr>
            </w:pPr>
            <w:r w:rsidRPr="00CD47DD">
              <w:rPr>
                <w:rFonts w:cstheme="minorHAnsi"/>
                <w:b/>
                <w:color w:val="000000" w:themeColor="text1"/>
                <w:sz w:val="21"/>
                <w:szCs w:val="21"/>
              </w:rPr>
              <w:t>64</w:t>
            </w:r>
          </w:p>
        </w:tc>
        <w:tc>
          <w:tcPr>
            <w:tcW w:w="917" w:type="dxa"/>
            <w:vAlign w:val="bottom"/>
          </w:tcPr>
          <w:p w14:paraId="2EF62883" w14:textId="34044EC4"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99.97%</w:t>
            </w:r>
          </w:p>
        </w:tc>
        <w:tc>
          <w:tcPr>
            <w:tcW w:w="917" w:type="dxa"/>
            <w:vAlign w:val="bottom"/>
          </w:tcPr>
          <w:p w14:paraId="347CFA24" w14:textId="74179312"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99.42%</w:t>
            </w:r>
          </w:p>
        </w:tc>
        <w:tc>
          <w:tcPr>
            <w:tcW w:w="917" w:type="dxa"/>
            <w:shd w:val="clear" w:color="auto" w:fill="D9D9D9" w:themeFill="background1" w:themeFillShade="D9"/>
            <w:vAlign w:val="bottom"/>
          </w:tcPr>
          <w:p w14:paraId="3994F4AB" w14:textId="7F2741A2"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91.33%</w:t>
            </w:r>
          </w:p>
        </w:tc>
        <w:tc>
          <w:tcPr>
            <w:tcW w:w="917" w:type="dxa"/>
            <w:shd w:val="clear" w:color="auto" w:fill="D9D9D9" w:themeFill="background1" w:themeFillShade="D9"/>
            <w:vAlign w:val="bottom"/>
          </w:tcPr>
          <w:p w14:paraId="227B29CD" w14:textId="4DA5796B"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51.81%</w:t>
            </w:r>
          </w:p>
        </w:tc>
        <w:tc>
          <w:tcPr>
            <w:tcW w:w="917" w:type="dxa"/>
            <w:shd w:val="clear" w:color="auto" w:fill="D9D9D9" w:themeFill="background1" w:themeFillShade="D9"/>
            <w:vAlign w:val="bottom"/>
          </w:tcPr>
          <w:p w14:paraId="69FF639A" w14:textId="28983A17"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3.43%</w:t>
            </w:r>
          </w:p>
        </w:tc>
        <w:tc>
          <w:tcPr>
            <w:tcW w:w="917" w:type="dxa"/>
            <w:shd w:val="clear" w:color="auto" w:fill="D9D9D9" w:themeFill="background1" w:themeFillShade="D9"/>
            <w:vAlign w:val="bottom"/>
          </w:tcPr>
          <w:p w14:paraId="059D0BC0" w14:textId="609478E2"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0.00%</w:t>
            </w:r>
          </w:p>
        </w:tc>
        <w:tc>
          <w:tcPr>
            <w:tcW w:w="815" w:type="dxa"/>
            <w:shd w:val="clear" w:color="auto" w:fill="D9D9D9" w:themeFill="background1" w:themeFillShade="D9"/>
            <w:vAlign w:val="bottom"/>
          </w:tcPr>
          <w:p w14:paraId="74D88170" w14:textId="64131B7F"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0.00%</w:t>
            </w:r>
          </w:p>
        </w:tc>
        <w:tc>
          <w:tcPr>
            <w:tcW w:w="815" w:type="dxa"/>
            <w:shd w:val="clear" w:color="auto" w:fill="D9D9D9" w:themeFill="background1" w:themeFillShade="D9"/>
            <w:vAlign w:val="bottom"/>
          </w:tcPr>
          <w:p w14:paraId="30EAAAD6" w14:textId="066C5DDB"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0.00%</w:t>
            </w:r>
          </w:p>
        </w:tc>
        <w:tc>
          <w:tcPr>
            <w:tcW w:w="815" w:type="dxa"/>
            <w:shd w:val="clear" w:color="auto" w:fill="D9D9D9" w:themeFill="background1" w:themeFillShade="D9"/>
            <w:vAlign w:val="bottom"/>
          </w:tcPr>
          <w:p w14:paraId="35A8A50A" w14:textId="2A448A41"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0.00%</w:t>
            </w:r>
          </w:p>
        </w:tc>
      </w:tr>
      <w:tr w:rsidR="00AB6590" w14:paraId="46CCE328" w14:textId="77777777" w:rsidTr="006B27E1">
        <w:tc>
          <w:tcPr>
            <w:tcW w:w="498" w:type="dxa"/>
            <w:vMerge/>
          </w:tcPr>
          <w:p w14:paraId="4F3BB053" w14:textId="77777777" w:rsidR="00AB6590" w:rsidRDefault="00AB6590" w:rsidP="00E72EBF">
            <w:pPr>
              <w:rPr>
                <w:rFonts w:cstheme="minorHAnsi"/>
                <w:b/>
                <w:color w:val="000000" w:themeColor="text1"/>
              </w:rPr>
            </w:pPr>
          </w:p>
        </w:tc>
        <w:tc>
          <w:tcPr>
            <w:tcW w:w="565" w:type="dxa"/>
          </w:tcPr>
          <w:p w14:paraId="3FE85065" w14:textId="7E862F12" w:rsidR="00AB6590" w:rsidRPr="00CD47DD" w:rsidRDefault="00AB6590" w:rsidP="00E72EBF">
            <w:pPr>
              <w:rPr>
                <w:rFonts w:cstheme="minorHAnsi"/>
                <w:b/>
                <w:color w:val="000000" w:themeColor="text1"/>
                <w:sz w:val="21"/>
                <w:szCs w:val="21"/>
              </w:rPr>
            </w:pPr>
            <w:r w:rsidRPr="00CD47DD">
              <w:rPr>
                <w:rFonts w:cstheme="minorHAnsi"/>
                <w:b/>
                <w:color w:val="000000" w:themeColor="text1"/>
                <w:sz w:val="21"/>
                <w:szCs w:val="21"/>
              </w:rPr>
              <w:t>32</w:t>
            </w:r>
          </w:p>
        </w:tc>
        <w:tc>
          <w:tcPr>
            <w:tcW w:w="917" w:type="dxa"/>
            <w:vAlign w:val="bottom"/>
          </w:tcPr>
          <w:p w14:paraId="4E611047" w14:textId="0AD73B2E"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100.00%</w:t>
            </w:r>
          </w:p>
        </w:tc>
        <w:tc>
          <w:tcPr>
            <w:tcW w:w="917" w:type="dxa"/>
            <w:vAlign w:val="bottom"/>
          </w:tcPr>
          <w:p w14:paraId="7CBA489C" w14:textId="49B2FE13"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99.97%</w:t>
            </w:r>
          </w:p>
        </w:tc>
        <w:tc>
          <w:tcPr>
            <w:tcW w:w="917" w:type="dxa"/>
            <w:vAlign w:val="bottom"/>
          </w:tcPr>
          <w:p w14:paraId="11807A31" w14:textId="4775786C"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99.42%</w:t>
            </w:r>
          </w:p>
        </w:tc>
        <w:tc>
          <w:tcPr>
            <w:tcW w:w="917" w:type="dxa"/>
            <w:shd w:val="clear" w:color="auto" w:fill="D9D9D9" w:themeFill="background1" w:themeFillShade="D9"/>
            <w:vAlign w:val="bottom"/>
          </w:tcPr>
          <w:p w14:paraId="08DC6479" w14:textId="20FEA4FD"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91.33%</w:t>
            </w:r>
          </w:p>
        </w:tc>
        <w:tc>
          <w:tcPr>
            <w:tcW w:w="917" w:type="dxa"/>
            <w:shd w:val="clear" w:color="auto" w:fill="D9D9D9" w:themeFill="background1" w:themeFillShade="D9"/>
            <w:vAlign w:val="bottom"/>
          </w:tcPr>
          <w:p w14:paraId="0A07320E" w14:textId="47A38887"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51.81%</w:t>
            </w:r>
          </w:p>
        </w:tc>
        <w:tc>
          <w:tcPr>
            <w:tcW w:w="917" w:type="dxa"/>
            <w:shd w:val="clear" w:color="auto" w:fill="D9D9D9" w:themeFill="background1" w:themeFillShade="D9"/>
            <w:vAlign w:val="bottom"/>
          </w:tcPr>
          <w:p w14:paraId="5117EA1F" w14:textId="52FE5001"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3.43%</w:t>
            </w:r>
          </w:p>
        </w:tc>
        <w:tc>
          <w:tcPr>
            <w:tcW w:w="815" w:type="dxa"/>
            <w:shd w:val="clear" w:color="auto" w:fill="D9D9D9" w:themeFill="background1" w:themeFillShade="D9"/>
            <w:vAlign w:val="bottom"/>
          </w:tcPr>
          <w:p w14:paraId="1D7D9974" w14:textId="78C3BE76"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0.00%</w:t>
            </w:r>
          </w:p>
        </w:tc>
        <w:tc>
          <w:tcPr>
            <w:tcW w:w="815" w:type="dxa"/>
            <w:shd w:val="clear" w:color="auto" w:fill="D9D9D9" w:themeFill="background1" w:themeFillShade="D9"/>
            <w:vAlign w:val="bottom"/>
          </w:tcPr>
          <w:p w14:paraId="7674CA15" w14:textId="1BC05E42"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0.00%</w:t>
            </w:r>
          </w:p>
        </w:tc>
        <w:tc>
          <w:tcPr>
            <w:tcW w:w="815" w:type="dxa"/>
            <w:shd w:val="clear" w:color="auto" w:fill="D9D9D9" w:themeFill="background1" w:themeFillShade="D9"/>
            <w:vAlign w:val="bottom"/>
          </w:tcPr>
          <w:p w14:paraId="79798AC0" w14:textId="419F551C"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0.00%</w:t>
            </w:r>
          </w:p>
        </w:tc>
      </w:tr>
      <w:tr w:rsidR="00AB6590" w14:paraId="5BF917CE" w14:textId="77777777" w:rsidTr="006B27E1">
        <w:tc>
          <w:tcPr>
            <w:tcW w:w="498" w:type="dxa"/>
            <w:vMerge/>
          </w:tcPr>
          <w:p w14:paraId="3D3355AA" w14:textId="77777777" w:rsidR="00AB6590" w:rsidRDefault="00AB6590" w:rsidP="00E72EBF">
            <w:pPr>
              <w:rPr>
                <w:rFonts w:cstheme="minorHAnsi"/>
                <w:b/>
                <w:color w:val="000000" w:themeColor="text1"/>
              </w:rPr>
            </w:pPr>
          </w:p>
        </w:tc>
        <w:tc>
          <w:tcPr>
            <w:tcW w:w="565" w:type="dxa"/>
          </w:tcPr>
          <w:p w14:paraId="756A3651" w14:textId="45395172" w:rsidR="00AB6590" w:rsidRPr="00CD47DD" w:rsidRDefault="00AB6590" w:rsidP="00E72EBF">
            <w:pPr>
              <w:rPr>
                <w:rFonts w:cstheme="minorHAnsi"/>
                <w:b/>
                <w:color w:val="000000" w:themeColor="text1"/>
                <w:sz w:val="21"/>
                <w:szCs w:val="21"/>
              </w:rPr>
            </w:pPr>
            <w:r w:rsidRPr="00CD47DD">
              <w:rPr>
                <w:rFonts w:cstheme="minorHAnsi"/>
                <w:b/>
                <w:color w:val="000000" w:themeColor="text1"/>
                <w:sz w:val="21"/>
                <w:szCs w:val="21"/>
              </w:rPr>
              <w:t>16</w:t>
            </w:r>
          </w:p>
        </w:tc>
        <w:tc>
          <w:tcPr>
            <w:tcW w:w="917" w:type="dxa"/>
            <w:vAlign w:val="bottom"/>
          </w:tcPr>
          <w:p w14:paraId="06B2C049" w14:textId="0AEFBD1E"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100.00%</w:t>
            </w:r>
          </w:p>
        </w:tc>
        <w:tc>
          <w:tcPr>
            <w:tcW w:w="917" w:type="dxa"/>
            <w:vAlign w:val="bottom"/>
          </w:tcPr>
          <w:p w14:paraId="12875191" w14:textId="1822C5AD"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100.00%</w:t>
            </w:r>
          </w:p>
        </w:tc>
        <w:tc>
          <w:tcPr>
            <w:tcW w:w="917" w:type="dxa"/>
            <w:vAlign w:val="bottom"/>
          </w:tcPr>
          <w:p w14:paraId="6C50DF1F" w14:textId="4E9EE350"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99.97%</w:t>
            </w:r>
          </w:p>
        </w:tc>
        <w:tc>
          <w:tcPr>
            <w:tcW w:w="917" w:type="dxa"/>
            <w:vAlign w:val="bottom"/>
          </w:tcPr>
          <w:p w14:paraId="758C91FC" w14:textId="0AC5EC45"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99.42%</w:t>
            </w:r>
          </w:p>
        </w:tc>
        <w:tc>
          <w:tcPr>
            <w:tcW w:w="917" w:type="dxa"/>
            <w:shd w:val="clear" w:color="auto" w:fill="D9D9D9" w:themeFill="background1" w:themeFillShade="D9"/>
            <w:vAlign w:val="bottom"/>
          </w:tcPr>
          <w:p w14:paraId="2CC955C7" w14:textId="0947D585"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91.33%</w:t>
            </w:r>
          </w:p>
        </w:tc>
        <w:tc>
          <w:tcPr>
            <w:tcW w:w="917" w:type="dxa"/>
            <w:shd w:val="clear" w:color="auto" w:fill="D9D9D9" w:themeFill="background1" w:themeFillShade="D9"/>
            <w:vAlign w:val="bottom"/>
          </w:tcPr>
          <w:p w14:paraId="42EC760E" w14:textId="0D9DF460"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51.81%</w:t>
            </w:r>
          </w:p>
        </w:tc>
        <w:tc>
          <w:tcPr>
            <w:tcW w:w="815" w:type="dxa"/>
            <w:shd w:val="clear" w:color="auto" w:fill="D9D9D9" w:themeFill="background1" w:themeFillShade="D9"/>
            <w:vAlign w:val="bottom"/>
          </w:tcPr>
          <w:p w14:paraId="0479CADC" w14:textId="52A8C884"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3.43%</w:t>
            </w:r>
          </w:p>
        </w:tc>
        <w:tc>
          <w:tcPr>
            <w:tcW w:w="815" w:type="dxa"/>
            <w:shd w:val="clear" w:color="auto" w:fill="D9D9D9" w:themeFill="background1" w:themeFillShade="D9"/>
            <w:vAlign w:val="bottom"/>
          </w:tcPr>
          <w:p w14:paraId="4F68103F" w14:textId="06B45275"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0.00%</w:t>
            </w:r>
          </w:p>
        </w:tc>
        <w:tc>
          <w:tcPr>
            <w:tcW w:w="815" w:type="dxa"/>
            <w:shd w:val="clear" w:color="auto" w:fill="D9D9D9" w:themeFill="background1" w:themeFillShade="D9"/>
            <w:vAlign w:val="bottom"/>
          </w:tcPr>
          <w:p w14:paraId="66440ECF" w14:textId="05D46B6D"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0.00%</w:t>
            </w:r>
          </w:p>
        </w:tc>
      </w:tr>
      <w:tr w:rsidR="00AB6590" w14:paraId="62496D4A" w14:textId="77777777" w:rsidTr="006B27E1">
        <w:tc>
          <w:tcPr>
            <w:tcW w:w="498" w:type="dxa"/>
            <w:vMerge/>
          </w:tcPr>
          <w:p w14:paraId="7E13164B" w14:textId="77777777" w:rsidR="00AB6590" w:rsidRDefault="00AB6590" w:rsidP="00E72EBF">
            <w:pPr>
              <w:rPr>
                <w:rFonts w:cstheme="minorHAnsi"/>
                <w:b/>
                <w:color w:val="000000" w:themeColor="text1"/>
              </w:rPr>
            </w:pPr>
          </w:p>
        </w:tc>
        <w:tc>
          <w:tcPr>
            <w:tcW w:w="565" w:type="dxa"/>
          </w:tcPr>
          <w:p w14:paraId="3D4B40FE" w14:textId="31729BEF" w:rsidR="00AB6590" w:rsidRPr="00CD47DD" w:rsidRDefault="00AB6590" w:rsidP="00E72EBF">
            <w:pPr>
              <w:rPr>
                <w:rFonts w:cstheme="minorHAnsi"/>
                <w:b/>
                <w:color w:val="000000" w:themeColor="text1"/>
                <w:sz w:val="21"/>
                <w:szCs w:val="21"/>
              </w:rPr>
            </w:pPr>
            <w:r w:rsidRPr="00CD47DD">
              <w:rPr>
                <w:rFonts w:cstheme="minorHAnsi"/>
                <w:b/>
                <w:color w:val="000000" w:themeColor="text1"/>
                <w:sz w:val="21"/>
                <w:szCs w:val="21"/>
              </w:rPr>
              <w:t>8</w:t>
            </w:r>
          </w:p>
        </w:tc>
        <w:tc>
          <w:tcPr>
            <w:tcW w:w="917" w:type="dxa"/>
            <w:vAlign w:val="bottom"/>
          </w:tcPr>
          <w:p w14:paraId="0B0932F5" w14:textId="7FCFF189"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100.00%</w:t>
            </w:r>
          </w:p>
        </w:tc>
        <w:tc>
          <w:tcPr>
            <w:tcW w:w="917" w:type="dxa"/>
            <w:vAlign w:val="bottom"/>
          </w:tcPr>
          <w:p w14:paraId="7AF49CF1" w14:textId="1F591DAC"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100.00%</w:t>
            </w:r>
          </w:p>
        </w:tc>
        <w:tc>
          <w:tcPr>
            <w:tcW w:w="917" w:type="dxa"/>
            <w:vAlign w:val="bottom"/>
          </w:tcPr>
          <w:p w14:paraId="1535D5BF" w14:textId="38F843BD"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100.00%</w:t>
            </w:r>
          </w:p>
        </w:tc>
        <w:tc>
          <w:tcPr>
            <w:tcW w:w="917" w:type="dxa"/>
            <w:vAlign w:val="bottom"/>
          </w:tcPr>
          <w:p w14:paraId="4D55AE2B" w14:textId="149C52B9"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99.97%</w:t>
            </w:r>
          </w:p>
        </w:tc>
        <w:tc>
          <w:tcPr>
            <w:tcW w:w="917" w:type="dxa"/>
            <w:vAlign w:val="bottom"/>
          </w:tcPr>
          <w:p w14:paraId="6B0780C9" w14:textId="3D6411E9"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99.42%</w:t>
            </w:r>
          </w:p>
        </w:tc>
        <w:tc>
          <w:tcPr>
            <w:tcW w:w="917" w:type="dxa"/>
            <w:shd w:val="clear" w:color="auto" w:fill="D9D9D9" w:themeFill="background1" w:themeFillShade="D9"/>
            <w:vAlign w:val="bottom"/>
          </w:tcPr>
          <w:p w14:paraId="19E47EB5" w14:textId="56C1076F"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91.33%</w:t>
            </w:r>
          </w:p>
        </w:tc>
        <w:tc>
          <w:tcPr>
            <w:tcW w:w="815" w:type="dxa"/>
            <w:shd w:val="clear" w:color="auto" w:fill="D9D9D9" w:themeFill="background1" w:themeFillShade="D9"/>
            <w:vAlign w:val="bottom"/>
          </w:tcPr>
          <w:p w14:paraId="6DDD9794" w14:textId="2CAB9649"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51.81%</w:t>
            </w:r>
          </w:p>
        </w:tc>
        <w:tc>
          <w:tcPr>
            <w:tcW w:w="815" w:type="dxa"/>
            <w:shd w:val="clear" w:color="auto" w:fill="D9D9D9" w:themeFill="background1" w:themeFillShade="D9"/>
            <w:vAlign w:val="bottom"/>
          </w:tcPr>
          <w:p w14:paraId="690D00F3" w14:textId="24B068EA"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3.43%</w:t>
            </w:r>
          </w:p>
        </w:tc>
        <w:tc>
          <w:tcPr>
            <w:tcW w:w="815" w:type="dxa"/>
            <w:shd w:val="clear" w:color="auto" w:fill="D9D9D9" w:themeFill="background1" w:themeFillShade="D9"/>
            <w:vAlign w:val="bottom"/>
          </w:tcPr>
          <w:p w14:paraId="32EA519B" w14:textId="3A956C46"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0.00%</w:t>
            </w:r>
          </w:p>
        </w:tc>
      </w:tr>
      <w:tr w:rsidR="00AB6590" w14:paraId="64E7FF79" w14:textId="77777777" w:rsidTr="006B27E1">
        <w:tc>
          <w:tcPr>
            <w:tcW w:w="498" w:type="dxa"/>
            <w:vMerge/>
          </w:tcPr>
          <w:p w14:paraId="35F2A2C0" w14:textId="77777777" w:rsidR="00AB6590" w:rsidRDefault="00AB6590" w:rsidP="00E72EBF">
            <w:pPr>
              <w:rPr>
                <w:rFonts w:cstheme="minorHAnsi"/>
                <w:b/>
                <w:color w:val="000000" w:themeColor="text1"/>
              </w:rPr>
            </w:pPr>
          </w:p>
        </w:tc>
        <w:tc>
          <w:tcPr>
            <w:tcW w:w="565" w:type="dxa"/>
          </w:tcPr>
          <w:p w14:paraId="385A64AF" w14:textId="10CD5CED" w:rsidR="00AB6590" w:rsidRPr="00CD47DD" w:rsidRDefault="00AB6590" w:rsidP="00E72EBF">
            <w:pPr>
              <w:rPr>
                <w:rFonts w:cstheme="minorHAnsi"/>
                <w:b/>
                <w:color w:val="000000" w:themeColor="text1"/>
                <w:sz w:val="21"/>
                <w:szCs w:val="21"/>
              </w:rPr>
            </w:pPr>
            <w:r w:rsidRPr="00CD47DD">
              <w:rPr>
                <w:rFonts w:cstheme="minorHAnsi"/>
                <w:b/>
                <w:color w:val="000000" w:themeColor="text1"/>
                <w:sz w:val="21"/>
                <w:szCs w:val="21"/>
              </w:rPr>
              <w:t>4</w:t>
            </w:r>
          </w:p>
        </w:tc>
        <w:tc>
          <w:tcPr>
            <w:tcW w:w="917" w:type="dxa"/>
            <w:vAlign w:val="bottom"/>
          </w:tcPr>
          <w:p w14:paraId="7ED56B9B" w14:textId="4C2DBF63"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100.00%</w:t>
            </w:r>
          </w:p>
        </w:tc>
        <w:tc>
          <w:tcPr>
            <w:tcW w:w="917" w:type="dxa"/>
            <w:vAlign w:val="bottom"/>
          </w:tcPr>
          <w:p w14:paraId="5C8E17F0" w14:textId="270E1B6A"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100.00%</w:t>
            </w:r>
          </w:p>
        </w:tc>
        <w:tc>
          <w:tcPr>
            <w:tcW w:w="917" w:type="dxa"/>
            <w:vAlign w:val="bottom"/>
          </w:tcPr>
          <w:p w14:paraId="52392B20" w14:textId="6FF65834"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100.00%</w:t>
            </w:r>
          </w:p>
        </w:tc>
        <w:tc>
          <w:tcPr>
            <w:tcW w:w="917" w:type="dxa"/>
            <w:vAlign w:val="bottom"/>
          </w:tcPr>
          <w:p w14:paraId="76385BC4" w14:textId="72F8D15E"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100.00%</w:t>
            </w:r>
          </w:p>
        </w:tc>
        <w:tc>
          <w:tcPr>
            <w:tcW w:w="917" w:type="dxa"/>
            <w:vAlign w:val="bottom"/>
          </w:tcPr>
          <w:p w14:paraId="6B2552AE" w14:textId="5EF58FFE"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99.97%</w:t>
            </w:r>
          </w:p>
        </w:tc>
        <w:tc>
          <w:tcPr>
            <w:tcW w:w="917" w:type="dxa"/>
            <w:vAlign w:val="bottom"/>
          </w:tcPr>
          <w:p w14:paraId="11E1CD62" w14:textId="15FA0FB8"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99.42%</w:t>
            </w:r>
          </w:p>
        </w:tc>
        <w:tc>
          <w:tcPr>
            <w:tcW w:w="815" w:type="dxa"/>
            <w:shd w:val="clear" w:color="auto" w:fill="D9D9D9" w:themeFill="background1" w:themeFillShade="D9"/>
            <w:vAlign w:val="bottom"/>
          </w:tcPr>
          <w:p w14:paraId="1E90D8EF" w14:textId="0308AAA5"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91.33%</w:t>
            </w:r>
          </w:p>
        </w:tc>
        <w:tc>
          <w:tcPr>
            <w:tcW w:w="815" w:type="dxa"/>
            <w:shd w:val="clear" w:color="auto" w:fill="D9D9D9" w:themeFill="background1" w:themeFillShade="D9"/>
            <w:vAlign w:val="bottom"/>
          </w:tcPr>
          <w:p w14:paraId="35DF025F" w14:textId="24160355"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51.81%</w:t>
            </w:r>
          </w:p>
        </w:tc>
        <w:tc>
          <w:tcPr>
            <w:tcW w:w="815" w:type="dxa"/>
            <w:shd w:val="clear" w:color="auto" w:fill="D9D9D9" w:themeFill="background1" w:themeFillShade="D9"/>
            <w:vAlign w:val="bottom"/>
          </w:tcPr>
          <w:p w14:paraId="476ABD2B" w14:textId="0D0CF902"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3.43%</w:t>
            </w:r>
          </w:p>
        </w:tc>
      </w:tr>
      <w:tr w:rsidR="00AB6590" w14:paraId="1D1D0E07" w14:textId="77777777" w:rsidTr="006B27E1">
        <w:tc>
          <w:tcPr>
            <w:tcW w:w="498" w:type="dxa"/>
            <w:vMerge/>
          </w:tcPr>
          <w:p w14:paraId="3340B187" w14:textId="77777777" w:rsidR="00AB6590" w:rsidRDefault="00AB6590" w:rsidP="00E72EBF">
            <w:pPr>
              <w:rPr>
                <w:rFonts w:cstheme="minorHAnsi"/>
                <w:b/>
                <w:color w:val="000000" w:themeColor="text1"/>
              </w:rPr>
            </w:pPr>
          </w:p>
        </w:tc>
        <w:tc>
          <w:tcPr>
            <w:tcW w:w="565" w:type="dxa"/>
          </w:tcPr>
          <w:p w14:paraId="53E76973" w14:textId="478E82B8" w:rsidR="00AB6590" w:rsidRPr="00CD47DD" w:rsidRDefault="00AB6590" w:rsidP="00E72EBF">
            <w:pPr>
              <w:rPr>
                <w:rFonts w:cstheme="minorHAnsi"/>
                <w:b/>
                <w:color w:val="000000" w:themeColor="text1"/>
                <w:sz w:val="21"/>
                <w:szCs w:val="21"/>
              </w:rPr>
            </w:pPr>
            <w:r w:rsidRPr="00CD47DD">
              <w:rPr>
                <w:rFonts w:cstheme="minorHAnsi"/>
                <w:b/>
                <w:color w:val="000000" w:themeColor="text1"/>
                <w:sz w:val="21"/>
                <w:szCs w:val="21"/>
              </w:rPr>
              <w:t>2</w:t>
            </w:r>
          </w:p>
        </w:tc>
        <w:tc>
          <w:tcPr>
            <w:tcW w:w="917" w:type="dxa"/>
            <w:vAlign w:val="bottom"/>
          </w:tcPr>
          <w:p w14:paraId="6FC53FB5" w14:textId="792802A9"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100.00%</w:t>
            </w:r>
          </w:p>
        </w:tc>
        <w:tc>
          <w:tcPr>
            <w:tcW w:w="917" w:type="dxa"/>
            <w:vAlign w:val="bottom"/>
          </w:tcPr>
          <w:p w14:paraId="7D2A0846" w14:textId="4E3A4FDE"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100.00%</w:t>
            </w:r>
          </w:p>
        </w:tc>
        <w:tc>
          <w:tcPr>
            <w:tcW w:w="917" w:type="dxa"/>
            <w:vAlign w:val="bottom"/>
          </w:tcPr>
          <w:p w14:paraId="508C59A5" w14:textId="3AD46C94"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100.00%</w:t>
            </w:r>
          </w:p>
        </w:tc>
        <w:tc>
          <w:tcPr>
            <w:tcW w:w="917" w:type="dxa"/>
            <w:vAlign w:val="bottom"/>
          </w:tcPr>
          <w:p w14:paraId="3357DE4B" w14:textId="3EAF2E0C"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100.00%</w:t>
            </w:r>
          </w:p>
        </w:tc>
        <w:tc>
          <w:tcPr>
            <w:tcW w:w="917" w:type="dxa"/>
            <w:vAlign w:val="bottom"/>
          </w:tcPr>
          <w:p w14:paraId="4CF7A46F" w14:textId="792A691B"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100.00%</w:t>
            </w:r>
          </w:p>
        </w:tc>
        <w:tc>
          <w:tcPr>
            <w:tcW w:w="917" w:type="dxa"/>
            <w:vAlign w:val="bottom"/>
          </w:tcPr>
          <w:p w14:paraId="536C1136" w14:textId="40A4542A"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99.97%</w:t>
            </w:r>
          </w:p>
        </w:tc>
        <w:tc>
          <w:tcPr>
            <w:tcW w:w="815" w:type="dxa"/>
            <w:vAlign w:val="bottom"/>
          </w:tcPr>
          <w:p w14:paraId="73DD2B1E" w14:textId="08282EC6"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99.42%</w:t>
            </w:r>
          </w:p>
        </w:tc>
        <w:tc>
          <w:tcPr>
            <w:tcW w:w="815" w:type="dxa"/>
            <w:shd w:val="clear" w:color="auto" w:fill="D9D9D9" w:themeFill="background1" w:themeFillShade="D9"/>
            <w:vAlign w:val="bottom"/>
          </w:tcPr>
          <w:p w14:paraId="06CC0A53" w14:textId="2830FC0A"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91.33%</w:t>
            </w:r>
          </w:p>
        </w:tc>
        <w:tc>
          <w:tcPr>
            <w:tcW w:w="815" w:type="dxa"/>
            <w:shd w:val="clear" w:color="auto" w:fill="D9D9D9" w:themeFill="background1" w:themeFillShade="D9"/>
            <w:vAlign w:val="bottom"/>
          </w:tcPr>
          <w:p w14:paraId="5CB4BF55" w14:textId="4B2FFA19"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51.81%</w:t>
            </w:r>
          </w:p>
        </w:tc>
      </w:tr>
      <w:tr w:rsidR="00AB6590" w14:paraId="6F3192D2" w14:textId="77777777" w:rsidTr="006B27E1">
        <w:tc>
          <w:tcPr>
            <w:tcW w:w="498" w:type="dxa"/>
            <w:vMerge/>
          </w:tcPr>
          <w:p w14:paraId="7EAFD677" w14:textId="77777777" w:rsidR="00AB6590" w:rsidRDefault="00AB6590" w:rsidP="00E72EBF">
            <w:pPr>
              <w:rPr>
                <w:rFonts w:cstheme="minorHAnsi"/>
                <w:b/>
                <w:color w:val="000000" w:themeColor="text1"/>
              </w:rPr>
            </w:pPr>
          </w:p>
        </w:tc>
        <w:tc>
          <w:tcPr>
            <w:tcW w:w="565" w:type="dxa"/>
          </w:tcPr>
          <w:p w14:paraId="3AC38EB7" w14:textId="748679EF" w:rsidR="00AB6590" w:rsidRPr="00CD47DD" w:rsidRDefault="00AB6590" w:rsidP="00E72EBF">
            <w:pPr>
              <w:rPr>
                <w:rFonts w:cstheme="minorHAnsi"/>
                <w:b/>
                <w:color w:val="000000" w:themeColor="text1"/>
                <w:sz w:val="21"/>
                <w:szCs w:val="21"/>
              </w:rPr>
            </w:pPr>
            <w:r w:rsidRPr="00CD47DD">
              <w:rPr>
                <w:rFonts w:cstheme="minorHAnsi"/>
                <w:b/>
                <w:color w:val="000000" w:themeColor="text1"/>
                <w:sz w:val="21"/>
                <w:szCs w:val="21"/>
              </w:rPr>
              <w:t>1</w:t>
            </w:r>
          </w:p>
        </w:tc>
        <w:tc>
          <w:tcPr>
            <w:tcW w:w="917" w:type="dxa"/>
            <w:vAlign w:val="bottom"/>
          </w:tcPr>
          <w:p w14:paraId="7B46C324" w14:textId="5FFC3D4D"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100.00%</w:t>
            </w:r>
          </w:p>
        </w:tc>
        <w:tc>
          <w:tcPr>
            <w:tcW w:w="917" w:type="dxa"/>
            <w:vAlign w:val="bottom"/>
          </w:tcPr>
          <w:p w14:paraId="64B932EA" w14:textId="2FD0DF8E"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100.00%</w:t>
            </w:r>
          </w:p>
        </w:tc>
        <w:tc>
          <w:tcPr>
            <w:tcW w:w="917" w:type="dxa"/>
            <w:vAlign w:val="bottom"/>
          </w:tcPr>
          <w:p w14:paraId="2FE31825" w14:textId="287E3619"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100.00%</w:t>
            </w:r>
          </w:p>
        </w:tc>
        <w:tc>
          <w:tcPr>
            <w:tcW w:w="917" w:type="dxa"/>
            <w:vAlign w:val="bottom"/>
          </w:tcPr>
          <w:p w14:paraId="362214D1" w14:textId="27FD6195"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100.00%</w:t>
            </w:r>
          </w:p>
        </w:tc>
        <w:tc>
          <w:tcPr>
            <w:tcW w:w="917" w:type="dxa"/>
            <w:vAlign w:val="bottom"/>
          </w:tcPr>
          <w:p w14:paraId="54855371" w14:textId="03BFCE95"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100.00%</w:t>
            </w:r>
          </w:p>
        </w:tc>
        <w:tc>
          <w:tcPr>
            <w:tcW w:w="917" w:type="dxa"/>
            <w:vAlign w:val="bottom"/>
          </w:tcPr>
          <w:p w14:paraId="19DEF4C3" w14:textId="68515815"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100.00%</w:t>
            </w:r>
          </w:p>
        </w:tc>
        <w:tc>
          <w:tcPr>
            <w:tcW w:w="815" w:type="dxa"/>
            <w:vAlign w:val="bottom"/>
          </w:tcPr>
          <w:p w14:paraId="1960A719" w14:textId="70E5E280"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99.97%</w:t>
            </w:r>
          </w:p>
        </w:tc>
        <w:tc>
          <w:tcPr>
            <w:tcW w:w="815" w:type="dxa"/>
            <w:vAlign w:val="bottom"/>
          </w:tcPr>
          <w:p w14:paraId="2BF71DC9" w14:textId="34D74C3A"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99.42%</w:t>
            </w:r>
          </w:p>
        </w:tc>
        <w:tc>
          <w:tcPr>
            <w:tcW w:w="815" w:type="dxa"/>
            <w:shd w:val="clear" w:color="auto" w:fill="D9D9D9" w:themeFill="background1" w:themeFillShade="D9"/>
            <w:vAlign w:val="bottom"/>
          </w:tcPr>
          <w:p w14:paraId="423E683C" w14:textId="48B3E9AB" w:rsidR="00AB6590" w:rsidRPr="00AB6590" w:rsidRDefault="00AB6590" w:rsidP="00E72EBF">
            <w:pPr>
              <w:rPr>
                <w:rFonts w:cstheme="minorHAnsi"/>
                <w:b/>
                <w:color w:val="000000" w:themeColor="text1"/>
                <w:sz w:val="20"/>
                <w:szCs w:val="20"/>
              </w:rPr>
            </w:pPr>
            <w:r w:rsidRPr="00AB6590">
              <w:rPr>
                <w:rFonts w:ascii="Calibri" w:hAnsi="Calibri" w:cs="Calibri"/>
                <w:color w:val="000000"/>
                <w:sz w:val="20"/>
                <w:szCs w:val="20"/>
              </w:rPr>
              <w:t>91.33%</w:t>
            </w:r>
          </w:p>
        </w:tc>
      </w:tr>
    </w:tbl>
    <w:p w14:paraId="737A95A1" w14:textId="10E78B33" w:rsidR="00D26B1D" w:rsidRDefault="00CD47DD" w:rsidP="00E72EBF">
      <w:pPr>
        <w:spacing w:before="120" w:line="480" w:lineRule="auto"/>
        <w:rPr>
          <w:rFonts w:cstheme="minorHAnsi"/>
          <w:b/>
          <w:color w:val="000000" w:themeColor="text1"/>
        </w:rPr>
      </w:pPr>
      <w:r w:rsidRPr="00546C44">
        <w:rPr>
          <w:color w:val="000000" w:themeColor="text1"/>
        </w:rPr>
        <w:t xml:space="preserve">Table </w:t>
      </w:r>
      <w:r w:rsidR="00E70504">
        <w:rPr>
          <w:color w:val="000000" w:themeColor="text1"/>
        </w:rPr>
        <w:t>3</w:t>
      </w:r>
      <w:r w:rsidRPr="00546C44">
        <w:rPr>
          <w:color w:val="000000" w:themeColor="text1"/>
        </w:rPr>
        <w:t xml:space="preserve">: Probability of attainment </w:t>
      </w:r>
      <w:r w:rsidR="002924C4">
        <w:rPr>
          <w:color w:val="000000" w:themeColor="text1"/>
        </w:rPr>
        <w:t xml:space="preserve">of the target </w:t>
      </w:r>
      <m:oMath>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fAUC</m:t>
            </m:r>
          </m:e>
          <m:sub>
            <m:r>
              <w:rPr>
                <w:rFonts w:ascii="Cambria Math" w:eastAsiaTheme="minorEastAsia" w:hAnsi="Cambria Math"/>
                <w:color w:val="000000" w:themeColor="text1"/>
              </w:rPr>
              <m:t>F</m:t>
            </m:r>
          </m:sub>
        </m:sSub>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MIC</m:t>
            </m:r>
          </m:e>
          <m:sub>
            <m:r>
              <w:rPr>
                <w:rFonts w:ascii="Cambria Math" w:eastAsiaTheme="minorEastAsia" w:hAnsi="Cambria Math"/>
                <w:color w:val="000000" w:themeColor="text1"/>
              </w:rPr>
              <m:t>F</m:t>
            </m:r>
          </m:sub>
        </m:sSub>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fAUC</m:t>
            </m:r>
          </m:e>
          <m:sub>
            <m:r>
              <w:rPr>
                <w:rFonts w:ascii="Cambria Math" w:eastAsiaTheme="minorEastAsia" w:hAnsi="Cambria Math"/>
                <w:color w:val="000000" w:themeColor="text1"/>
              </w:rPr>
              <m:t>A</m:t>
            </m:r>
          </m:sub>
        </m:sSub>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MIC</m:t>
            </m:r>
          </m:e>
          <m:sub>
            <m:r>
              <w:rPr>
                <w:rFonts w:ascii="Cambria Math" w:eastAsiaTheme="minorEastAsia" w:hAnsi="Cambria Math"/>
                <w:color w:val="000000" w:themeColor="text1"/>
              </w:rPr>
              <m:t>A</m:t>
            </m:r>
          </m:sub>
        </m:sSub>
        <m:r>
          <w:rPr>
            <w:rFonts w:ascii="Cambria Math" w:eastAsiaTheme="minorEastAsia" w:hAnsi="Cambria Math"/>
            <w:color w:val="000000" w:themeColor="text1"/>
          </w:rPr>
          <m:t>) &gt;2709.5</m:t>
        </m:r>
      </m:oMath>
      <w:r w:rsidRPr="00546C44">
        <w:rPr>
          <w:color w:val="000000" w:themeColor="text1"/>
        </w:rPr>
        <w:t xml:space="preserve"> </w:t>
      </w:r>
      <w:r w:rsidR="002924C4">
        <w:rPr>
          <w:color w:val="000000" w:themeColor="text1"/>
        </w:rPr>
        <w:t>across a range of</w:t>
      </w:r>
      <w:r w:rsidRPr="00546C44">
        <w:rPr>
          <w:color w:val="000000" w:themeColor="text1"/>
        </w:rPr>
        <w:t xml:space="preserve"> amikacin and fosfomycin MICs using 10,000 Monte Carlo simulated neonatal amikacin and fosfomycin </w:t>
      </w:r>
      <w:proofErr w:type="spellStart"/>
      <w:r w:rsidR="001F6C88" w:rsidRPr="00546C44">
        <w:rPr>
          <w:i/>
          <w:iCs/>
          <w:color w:val="000000" w:themeColor="text1"/>
        </w:rPr>
        <w:t>f</w:t>
      </w:r>
      <w:r w:rsidRPr="00546C44">
        <w:rPr>
          <w:color w:val="000000" w:themeColor="text1"/>
        </w:rPr>
        <w:t>AUCs</w:t>
      </w:r>
      <w:proofErr w:type="spellEnd"/>
      <w:r w:rsidR="006B27E1">
        <w:rPr>
          <w:color w:val="000000" w:themeColor="text1"/>
        </w:rPr>
        <w:t>. Grey shading denotes MIC combinations with probability of target attainment &lt; 95%</w:t>
      </w:r>
      <w:r w:rsidR="00412663">
        <w:rPr>
          <w:color w:val="000000" w:themeColor="text1"/>
        </w:rPr>
        <w:t>.</w:t>
      </w:r>
      <w:r w:rsidR="00D26B1D">
        <w:rPr>
          <w:rFonts w:cstheme="minorHAnsi"/>
          <w:b/>
          <w:color w:val="000000" w:themeColor="text1"/>
        </w:rPr>
        <w:br w:type="page"/>
      </w:r>
    </w:p>
    <w:p w14:paraId="0ED807B3" w14:textId="2BF2D8C8" w:rsidR="00F10C2B" w:rsidRPr="00F533B4" w:rsidRDefault="006E643E" w:rsidP="00E72EBF">
      <w:pPr>
        <w:spacing w:before="120" w:line="480" w:lineRule="auto"/>
        <w:rPr>
          <w:color w:val="000000" w:themeColor="text1"/>
        </w:rPr>
      </w:pPr>
      <w:r w:rsidRPr="00F533B4">
        <w:rPr>
          <w:rFonts w:cstheme="minorHAnsi"/>
          <w:b/>
          <w:color w:val="000000" w:themeColor="text1"/>
        </w:rPr>
        <w:lastRenderedPageBreak/>
        <w:t xml:space="preserve">Figures </w:t>
      </w:r>
    </w:p>
    <w:p w14:paraId="29385B32" w14:textId="6D068AB1" w:rsidR="00F10C2B" w:rsidRPr="00F533B4" w:rsidRDefault="00903475" w:rsidP="00E72EBF">
      <w:pPr>
        <w:spacing w:before="120" w:line="480" w:lineRule="auto"/>
        <w:rPr>
          <w:i/>
          <w:iCs/>
          <w:color w:val="000000" w:themeColor="text1"/>
        </w:rPr>
      </w:pPr>
      <w:r w:rsidRPr="00F533B4">
        <w:rPr>
          <w:i/>
          <w:iCs/>
          <w:noProof/>
          <w:color w:val="000000" w:themeColor="text1"/>
        </w:rPr>
        <w:drawing>
          <wp:inline distT="0" distB="0" distL="0" distR="0" wp14:anchorId="2F038DE8" wp14:editId="04669E20">
            <wp:extent cx="2795795" cy="386461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5795" cy="3864610"/>
                    </a:xfrm>
                    <a:prstGeom prst="rect">
                      <a:avLst/>
                    </a:prstGeom>
                  </pic:spPr>
                </pic:pic>
              </a:graphicData>
            </a:graphic>
          </wp:inline>
        </w:drawing>
      </w:r>
    </w:p>
    <w:p w14:paraId="6A0D1A74" w14:textId="17739AA6" w:rsidR="009A6BA3" w:rsidRPr="00F533B4" w:rsidRDefault="009267A6" w:rsidP="00E72EBF">
      <w:pPr>
        <w:pStyle w:val="Caption"/>
        <w:spacing w:line="480" w:lineRule="auto"/>
        <w:rPr>
          <w:color w:val="000000" w:themeColor="text1"/>
        </w:rPr>
      </w:pPr>
      <w:r w:rsidRPr="00546C44">
        <w:rPr>
          <w:i w:val="0"/>
          <w:iCs w:val="0"/>
          <w:color w:val="000000" w:themeColor="text1"/>
          <w:sz w:val="24"/>
          <w:szCs w:val="24"/>
        </w:rPr>
        <w:t xml:space="preserve">Figure </w:t>
      </w:r>
      <w:r w:rsidR="00BD6618" w:rsidRPr="00546C44">
        <w:rPr>
          <w:i w:val="0"/>
          <w:iCs w:val="0"/>
          <w:color w:val="000000" w:themeColor="text1"/>
          <w:sz w:val="24"/>
          <w:szCs w:val="24"/>
        </w:rPr>
        <w:fldChar w:fldCharType="begin"/>
      </w:r>
      <w:r w:rsidR="00BD6618" w:rsidRPr="00546C44">
        <w:rPr>
          <w:i w:val="0"/>
          <w:iCs w:val="0"/>
          <w:color w:val="000000" w:themeColor="text1"/>
          <w:sz w:val="24"/>
          <w:szCs w:val="24"/>
        </w:rPr>
        <w:instrText xml:space="preserve"> SEQ Figure \* ARABIC </w:instrText>
      </w:r>
      <w:r w:rsidR="00BD6618" w:rsidRPr="00546C44">
        <w:rPr>
          <w:i w:val="0"/>
          <w:iCs w:val="0"/>
          <w:color w:val="000000" w:themeColor="text1"/>
          <w:sz w:val="24"/>
          <w:szCs w:val="24"/>
        </w:rPr>
        <w:fldChar w:fldCharType="separate"/>
      </w:r>
      <w:r w:rsidR="009526A6">
        <w:rPr>
          <w:i w:val="0"/>
          <w:iCs w:val="0"/>
          <w:noProof/>
          <w:color w:val="000000" w:themeColor="text1"/>
          <w:sz w:val="24"/>
          <w:szCs w:val="24"/>
        </w:rPr>
        <w:t>1</w:t>
      </w:r>
      <w:r w:rsidR="00BD6618" w:rsidRPr="00546C44">
        <w:rPr>
          <w:i w:val="0"/>
          <w:iCs w:val="0"/>
          <w:color w:val="000000" w:themeColor="text1"/>
          <w:sz w:val="24"/>
          <w:szCs w:val="24"/>
        </w:rPr>
        <w:fldChar w:fldCharType="end"/>
      </w:r>
      <w:r w:rsidRPr="00546C44">
        <w:rPr>
          <w:i w:val="0"/>
          <w:iCs w:val="0"/>
          <w:color w:val="000000" w:themeColor="text1"/>
          <w:sz w:val="24"/>
          <w:szCs w:val="24"/>
        </w:rPr>
        <w:t xml:space="preserve">– </w:t>
      </w:r>
      <w:r w:rsidR="00135EF0" w:rsidRPr="00546C44">
        <w:rPr>
          <w:i w:val="0"/>
          <w:iCs w:val="0"/>
          <w:color w:val="000000" w:themeColor="text1"/>
          <w:sz w:val="24"/>
          <w:szCs w:val="24"/>
        </w:rPr>
        <w:t>Modelled output for checkerboard assays to three antimicrobial combinations against 16 isolates, with a combined total statistic for each combination.</w:t>
      </w:r>
      <w:r w:rsidR="00F10C2B" w:rsidRPr="00546C44">
        <w:rPr>
          <w:i w:val="0"/>
          <w:iCs w:val="0"/>
          <w:color w:val="000000" w:themeColor="text1"/>
          <w:sz w:val="24"/>
          <w:szCs w:val="24"/>
        </w:rPr>
        <w:t xml:space="preserve"> </w:t>
      </w:r>
      <w:r w:rsidR="00135EF0" w:rsidRPr="00546C44">
        <w:rPr>
          <w:i w:val="0"/>
          <w:iCs w:val="0"/>
          <w:color w:val="000000" w:themeColor="text1"/>
          <w:sz w:val="24"/>
          <w:szCs w:val="24"/>
        </w:rPr>
        <w:sym w:font="Symbol" w:char="F061"/>
      </w:r>
      <w:r w:rsidR="00135EF0" w:rsidRPr="00546C44">
        <w:rPr>
          <w:i w:val="0"/>
          <w:iCs w:val="0"/>
          <w:color w:val="000000" w:themeColor="text1"/>
          <w:sz w:val="24"/>
          <w:szCs w:val="24"/>
        </w:rPr>
        <w:t xml:space="preserve"> is </w:t>
      </w:r>
      <w:r w:rsidR="007815E6" w:rsidRPr="00546C44">
        <w:rPr>
          <w:i w:val="0"/>
          <w:iCs w:val="0"/>
          <w:color w:val="000000" w:themeColor="text1"/>
          <w:sz w:val="24"/>
          <w:szCs w:val="24"/>
        </w:rPr>
        <w:t>the interaction parameter</w:t>
      </w:r>
      <w:r w:rsidR="00135EF0" w:rsidRPr="00546C44">
        <w:rPr>
          <w:i w:val="0"/>
          <w:iCs w:val="0"/>
          <w:color w:val="000000" w:themeColor="text1"/>
          <w:sz w:val="24"/>
          <w:szCs w:val="24"/>
        </w:rPr>
        <w:t xml:space="preserve"> in the Greco model indicating </w:t>
      </w:r>
      <w:r w:rsidR="00DD23BE" w:rsidRPr="00546C44">
        <w:rPr>
          <w:i w:val="0"/>
          <w:iCs w:val="0"/>
          <w:color w:val="000000" w:themeColor="text1"/>
          <w:sz w:val="24"/>
          <w:szCs w:val="24"/>
        </w:rPr>
        <w:t xml:space="preserve">the </w:t>
      </w:r>
      <w:r w:rsidR="00135EF0" w:rsidRPr="00546C44">
        <w:rPr>
          <w:i w:val="0"/>
          <w:iCs w:val="0"/>
          <w:color w:val="000000" w:themeColor="text1"/>
          <w:sz w:val="24"/>
          <w:szCs w:val="24"/>
        </w:rPr>
        <w:t xml:space="preserve">level of </w:t>
      </w:r>
      <w:proofErr w:type="gramStart"/>
      <w:r w:rsidR="00135EF0" w:rsidRPr="00546C44">
        <w:rPr>
          <w:i w:val="0"/>
          <w:iCs w:val="0"/>
          <w:color w:val="000000" w:themeColor="text1"/>
          <w:sz w:val="24"/>
          <w:szCs w:val="24"/>
        </w:rPr>
        <w:t>synergy.</w:t>
      </w:r>
      <w:proofErr w:type="gramEnd"/>
      <w:r w:rsidR="00135EF0" w:rsidRPr="00546C44">
        <w:rPr>
          <w:i w:val="0"/>
          <w:iCs w:val="0"/>
          <w:color w:val="000000" w:themeColor="text1"/>
          <w:sz w:val="24"/>
          <w:szCs w:val="24"/>
        </w:rPr>
        <w:t xml:space="preserve"> A confidence interval (CI) &gt;0 indicates presence of synergy; CI &lt;0 indicates antagonism; a CI c</w:t>
      </w:r>
      <w:r w:rsidR="002B1D02">
        <w:rPr>
          <w:i w:val="0"/>
          <w:iCs w:val="0"/>
          <w:color w:val="000000" w:themeColor="text1"/>
          <w:sz w:val="24"/>
          <w:szCs w:val="24"/>
        </w:rPr>
        <w:t>ontaining</w:t>
      </w:r>
      <w:r w:rsidR="00135EF0" w:rsidRPr="00546C44">
        <w:rPr>
          <w:i w:val="0"/>
          <w:iCs w:val="0"/>
          <w:color w:val="000000" w:themeColor="text1"/>
          <w:sz w:val="24"/>
          <w:szCs w:val="24"/>
        </w:rPr>
        <w:t xml:space="preserve"> 0 indicates no interaction with additive effects only. </w:t>
      </w:r>
      <w:r w:rsidR="00135EF0" w:rsidRPr="00546C44">
        <w:rPr>
          <w:i w:val="0"/>
          <w:iCs w:val="0"/>
          <w:color w:val="000000" w:themeColor="text1"/>
          <w:sz w:val="24"/>
          <w:szCs w:val="24"/>
        </w:rPr>
        <w:sym w:font="Symbol" w:char="F061"/>
      </w:r>
      <w:r w:rsidR="00135EF0" w:rsidRPr="00546C44">
        <w:rPr>
          <w:i w:val="0"/>
          <w:iCs w:val="0"/>
          <w:color w:val="000000" w:themeColor="text1"/>
          <w:sz w:val="24"/>
          <w:szCs w:val="24"/>
        </w:rPr>
        <w:t xml:space="preserve"> and p </w:t>
      </w:r>
      <w:r w:rsidR="0082240B">
        <w:rPr>
          <w:i w:val="0"/>
          <w:iCs w:val="0"/>
          <w:color w:val="000000" w:themeColor="text1"/>
          <w:sz w:val="24"/>
          <w:szCs w:val="24"/>
        </w:rPr>
        <w:t>v</w:t>
      </w:r>
      <w:r w:rsidR="0082240B" w:rsidRPr="00546C44">
        <w:rPr>
          <w:i w:val="0"/>
          <w:iCs w:val="0"/>
          <w:color w:val="000000" w:themeColor="text1"/>
          <w:sz w:val="24"/>
          <w:szCs w:val="24"/>
        </w:rPr>
        <w:t xml:space="preserve">alues </w:t>
      </w:r>
      <w:r w:rsidR="00135EF0" w:rsidRPr="00546C44">
        <w:rPr>
          <w:i w:val="0"/>
          <w:iCs w:val="0"/>
          <w:color w:val="000000" w:themeColor="text1"/>
          <w:sz w:val="24"/>
          <w:szCs w:val="24"/>
        </w:rPr>
        <w:t xml:space="preserve">for combined statistic </w:t>
      </w:r>
      <w:r w:rsidR="0082240B">
        <w:rPr>
          <w:i w:val="0"/>
          <w:iCs w:val="0"/>
          <w:color w:val="000000" w:themeColor="text1"/>
          <w:sz w:val="24"/>
          <w:szCs w:val="24"/>
        </w:rPr>
        <w:t>are given below the figures</w:t>
      </w:r>
      <w:r w:rsidR="00135EF0" w:rsidRPr="00546C44">
        <w:rPr>
          <w:i w:val="0"/>
          <w:iCs w:val="0"/>
          <w:color w:val="000000" w:themeColor="text1"/>
          <w:sz w:val="24"/>
          <w:szCs w:val="24"/>
        </w:rPr>
        <w:t>.</w:t>
      </w:r>
      <w:r w:rsidR="00DD23BE" w:rsidRPr="00546C44">
        <w:rPr>
          <w:i w:val="0"/>
          <w:iCs w:val="0"/>
          <w:color w:val="000000" w:themeColor="text1"/>
          <w:sz w:val="24"/>
          <w:szCs w:val="24"/>
        </w:rPr>
        <w:t xml:space="preserve"> </w:t>
      </w:r>
      <w:r w:rsidR="006A11DC" w:rsidRPr="00546C44">
        <w:rPr>
          <w:i w:val="0"/>
          <w:iCs w:val="0"/>
          <w:color w:val="000000" w:themeColor="text1"/>
          <w:sz w:val="24"/>
          <w:szCs w:val="24"/>
        </w:rPr>
        <w:t>I</w:t>
      </w:r>
      <w:r w:rsidR="006A11DC" w:rsidRPr="00546C44">
        <w:rPr>
          <w:i w:val="0"/>
          <w:iCs w:val="0"/>
          <w:color w:val="000000" w:themeColor="text1"/>
          <w:sz w:val="24"/>
          <w:szCs w:val="24"/>
          <w:vertAlign w:val="superscript"/>
        </w:rPr>
        <w:t>2</w:t>
      </w:r>
      <w:r w:rsidR="006A11DC" w:rsidRPr="00546C44">
        <w:rPr>
          <w:i w:val="0"/>
          <w:iCs w:val="0"/>
          <w:color w:val="000000" w:themeColor="text1"/>
          <w:sz w:val="24"/>
          <w:szCs w:val="24"/>
        </w:rPr>
        <w:t xml:space="preserve"> represents the heterogeneity in effect between individual strains. </w:t>
      </w:r>
      <w:r w:rsidR="009A6BA3" w:rsidRPr="00F533B4">
        <w:rPr>
          <w:color w:val="000000" w:themeColor="text1"/>
        </w:rPr>
        <w:br w:type="page"/>
      </w:r>
    </w:p>
    <w:p w14:paraId="5D4B965C" w14:textId="670D9DD6" w:rsidR="00F10C2B" w:rsidRPr="00F533B4" w:rsidRDefault="00F10C2B" w:rsidP="00C97D35">
      <w:pPr>
        <w:pStyle w:val="Caption"/>
        <w:spacing w:line="480" w:lineRule="auto"/>
        <w:rPr>
          <w:color w:val="000000" w:themeColor="text1"/>
        </w:rPr>
      </w:pPr>
    </w:p>
    <w:p w14:paraId="1AA11BC5" w14:textId="400ADB52" w:rsidR="00F10C2B" w:rsidRPr="00F533B4" w:rsidRDefault="00A25EC2" w:rsidP="00E72EBF">
      <w:pPr>
        <w:spacing w:line="480" w:lineRule="auto"/>
        <w:rPr>
          <w:color w:val="000000" w:themeColor="text1"/>
        </w:rPr>
      </w:pPr>
      <w:r>
        <w:rPr>
          <w:noProof/>
          <w:color w:val="000000" w:themeColor="text1"/>
        </w:rPr>
        <w:drawing>
          <wp:inline distT="0" distB="0" distL="0" distR="0" wp14:anchorId="7B8CBEEA" wp14:editId="2B87263C">
            <wp:extent cx="5727700" cy="4211955"/>
            <wp:effectExtent l="0" t="0" r="0" b="4445"/>
            <wp:docPr id="4" name="Picture 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engineering draw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4211955"/>
                    </a:xfrm>
                    <a:prstGeom prst="rect">
                      <a:avLst/>
                    </a:prstGeom>
                  </pic:spPr>
                </pic:pic>
              </a:graphicData>
            </a:graphic>
          </wp:inline>
        </w:drawing>
      </w:r>
    </w:p>
    <w:p w14:paraId="3D914533" w14:textId="0D1DC963" w:rsidR="00D40529" w:rsidRPr="00F533B4" w:rsidRDefault="00D40529" w:rsidP="00E72EBF">
      <w:pPr>
        <w:spacing w:line="480" w:lineRule="auto"/>
        <w:rPr>
          <w:color w:val="000000" w:themeColor="text1"/>
        </w:rPr>
      </w:pPr>
    </w:p>
    <w:p w14:paraId="189B8A2C" w14:textId="106D110F" w:rsidR="00F10C2B" w:rsidRPr="00F533B4" w:rsidRDefault="00135EF0" w:rsidP="00C97D35">
      <w:pPr>
        <w:pStyle w:val="Caption"/>
        <w:spacing w:line="480" w:lineRule="auto"/>
        <w:rPr>
          <w:color w:val="000000" w:themeColor="text1"/>
        </w:rPr>
      </w:pPr>
      <w:r w:rsidRPr="00546C44">
        <w:rPr>
          <w:i w:val="0"/>
          <w:iCs w:val="0"/>
          <w:color w:val="000000" w:themeColor="text1"/>
          <w:sz w:val="24"/>
          <w:szCs w:val="24"/>
        </w:rPr>
        <w:t xml:space="preserve">Figure </w:t>
      </w:r>
      <w:r w:rsidR="004C3EF5">
        <w:rPr>
          <w:i w:val="0"/>
          <w:iCs w:val="0"/>
          <w:color w:val="000000" w:themeColor="text1"/>
          <w:sz w:val="24"/>
          <w:szCs w:val="24"/>
        </w:rPr>
        <w:t>2</w:t>
      </w:r>
      <w:r w:rsidR="009A6BA3" w:rsidRPr="00546C44">
        <w:rPr>
          <w:i w:val="0"/>
          <w:iCs w:val="0"/>
          <w:color w:val="000000" w:themeColor="text1"/>
          <w:sz w:val="24"/>
          <w:szCs w:val="24"/>
        </w:rPr>
        <w:t xml:space="preserve"> </w:t>
      </w:r>
      <w:r w:rsidRPr="00546C44">
        <w:rPr>
          <w:i w:val="0"/>
          <w:iCs w:val="0"/>
          <w:color w:val="000000" w:themeColor="text1"/>
          <w:sz w:val="24"/>
          <w:szCs w:val="24"/>
        </w:rPr>
        <w:t xml:space="preserve">– </w:t>
      </w:r>
      <w:r w:rsidR="00E870B4" w:rsidRPr="00546C44">
        <w:rPr>
          <w:i w:val="0"/>
          <w:iCs w:val="0"/>
          <w:color w:val="000000" w:themeColor="text1"/>
          <w:sz w:val="24"/>
          <w:szCs w:val="24"/>
        </w:rPr>
        <w:t>P</w:t>
      </w:r>
      <w:r w:rsidR="00715360" w:rsidRPr="00546C44">
        <w:rPr>
          <w:i w:val="0"/>
          <w:iCs w:val="0"/>
          <w:color w:val="000000" w:themeColor="text1"/>
          <w:sz w:val="24"/>
          <w:szCs w:val="24"/>
        </w:rPr>
        <w:t>harmacodynamic</w:t>
      </w:r>
      <w:r w:rsidR="00E870B4" w:rsidRPr="00546C44">
        <w:rPr>
          <w:i w:val="0"/>
          <w:iCs w:val="0"/>
          <w:color w:val="000000" w:themeColor="text1"/>
          <w:sz w:val="24"/>
          <w:szCs w:val="24"/>
        </w:rPr>
        <w:t xml:space="preserve"> output of 16-arm fosfomycin/amikacin combination HFIM experiment</w:t>
      </w:r>
      <w:r w:rsidR="00A25EC2" w:rsidRPr="00546C44">
        <w:rPr>
          <w:i w:val="0"/>
          <w:iCs w:val="0"/>
          <w:color w:val="000000" w:themeColor="text1"/>
          <w:sz w:val="24"/>
          <w:szCs w:val="24"/>
        </w:rPr>
        <w:t xml:space="preserve">, with labelled </w:t>
      </w:r>
      <w:r w:rsidR="002A686A" w:rsidRPr="00546C44">
        <w:rPr>
          <w:color w:val="000000" w:themeColor="text1"/>
          <w:sz w:val="24"/>
          <w:szCs w:val="24"/>
        </w:rPr>
        <w:t>f</w:t>
      </w:r>
      <w:r w:rsidR="00A25EC2" w:rsidRPr="00546C44">
        <w:rPr>
          <w:i w:val="0"/>
          <w:iCs w:val="0"/>
          <w:color w:val="000000" w:themeColor="text1"/>
          <w:sz w:val="24"/>
          <w:szCs w:val="24"/>
        </w:rPr>
        <w:t>AUC</w:t>
      </w:r>
      <w:r w:rsidR="00A25EC2" w:rsidRPr="00546C44">
        <w:rPr>
          <w:i w:val="0"/>
          <w:iCs w:val="0"/>
          <w:color w:val="000000" w:themeColor="text1"/>
          <w:sz w:val="24"/>
          <w:szCs w:val="24"/>
          <w:vertAlign w:val="subscript"/>
        </w:rPr>
        <w:t>0-24</w:t>
      </w:r>
      <w:r w:rsidR="00A25EC2" w:rsidRPr="00546C44">
        <w:rPr>
          <w:i w:val="0"/>
          <w:iCs w:val="0"/>
          <w:color w:val="000000" w:themeColor="text1"/>
          <w:sz w:val="24"/>
          <w:szCs w:val="24"/>
        </w:rPr>
        <w:t xml:space="preserve"> for each arm</w:t>
      </w:r>
      <w:r w:rsidR="00E870B4" w:rsidRPr="00546C44">
        <w:rPr>
          <w:i w:val="0"/>
          <w:iCs w:val="0"/>
          <w:color w:val="000000" w:themeColor="text1"/>
          <w:sz w:val="24"/>
          <w:szCs w:val="24"/>
        </w:rPr>
        <w:t xml:space="preserve">. </w:t>
      </w:r>
      <w:r w:rsidR="00E823AF" w:rsidRPr="00546C44">
        <w:rPr>
          <w:i w:val="0"/>
          <w:iCs w:val="0"/>
          <w:color w:val="000000" w:themeColor="text1"/>
          <w:sz w:val="24"/>
          <w:szCs w:val="24"/>
        </w:rPr>
        <w:t xml:space="preserve">Grey cross in arm 15 </w:t>
      </w:r>
      <w:r w:rsidR="007815E6" w:rsidRPr="00546C44">
        <w:rPr>
          <w:i w:val="0"/>
          <w:iCs w:val="0"/>
          <w:color w:val="000000" w:themeColor="text1"/>
          <w:sz w:val="24"/>
          <w:szCs w:val="24"/>
        </w:rPr>
        <w:t>was a real data</w:t>
      </w:r>
      <w:r w:rsidR="003400EF" w:rsidRPr="00546C44">
        <w:rPr>
          <w:i w:val="0"/>
          <w:iCs w:val="0"/>
          <w:color w:val="000000" w:themeColor="text1"/>
          <w:sz w:val="24"/>
          <w:szCs w:val="24"/>
        </w:rPr>
        <w:t>-</w:t>
      </w:r>
      <w:r w:rsidR="007815E6" w:rsidRPr="00546C44">
        <w:rPr>
          <w:i w:val="0"/>
          <w:iCs w:val="0"/>
          <w:color w:val="000000" w:themeColor="text1"/>
          <w:sz w:val="24"/>
          <w:szCs w:val="24"/>
        </w:rPr>
        <w:t xml:space="preserve">point in the initial </w:t>
      </w:r>
      <w:r w:rsidR="003400EF" w:rsidRPr="00546C44">
        <w:rPr>
          <w:i w:val="0"/>
          <w:iCs w:val="0"/>
          <w:color w:val="000000" w:themeColor="text1"/>
          <w:sz w:val="24"/>
          <w:szCs w:val="24"/>
        </w:rPr>
        <w:t>experiment but</w:t>
      </w:r>
      <w:r w:rsidR="007815E6" w:rsidRPr="00546C44">
        <w:rPr>
          <w:i w:val="0"/>
          <w:iCs w:val="0"/>
          <w:color w:val="000000" w:themeColor="text1"/>
          <w:sz w:val="24"/>
          <w:szCs w:val="24"/>
        </w:rPr>
        <w:t xml:space="preserve"> was not reproducible in repeat experiments. It is demonstrated here </w:t>
      </w:r>
      <w:r w:rsidR="00E823AF" w:rsidRPr="00546C44">
        <w:rPr>
          <w:i w:val="0"/>
          <w:iCs w:val="0"/>
          <w:color w:val="000000" w:themeColor="text1"/>
          <w:sz w:val="24"/>
          <w:szCs w:val="24"/>
        </w:rPr>
        <w:t xml:space="preserve">for </w:t>
      </w:r>
      <w:r w:rsidR="003400EF" w:rsidRPr="00546C44">
        <w:rPr>
          <w:i w:val="0"/>
          <w:iCs w:val="0"/>
          <w:color w:val="000000" w:themeColor="text1"/>
          <w:sz w:val="24"/>
          <w:szCs w:val="24"/>
        </w:rPr>
        <w:t>completeness but</w:t>
      </w:r>
      <w:r w:rsidR="007815E6" w:rsidRPr="00546C44">
        <w:rPr>
          <w:i w:val="0"/>
          <w:iCs w:val="0"/>
          <w:color w:val="000000" w:themeColor="text1"/>
          <w:sz w:val="24"/>
          <w:szCs w:val="24"/>
        </w:rPr>
        <w:t xml:space="preserve"> was not included in the modelling.</w:t>
      </w:r>
      <w:r w:rsidR="003400EF" w:rsidRPr="00546C44">
        <w:rPr>
          <w:i w:val="0"/>
          <w:iCs w:val="0"/>
          <w:color w:val="000000" w:themeColor="text1"/>
          <w:sz w:val="24"/>
          <w:szCs w:val="24"/>
        </w:rPr>
        <w:t xml:space="preserve"> </w:t>
      </w:r>
      <w:r w:rsidR="00F10C2B" w:rsidRPr="00F533B4">
        <w:rPr>
          <w:color w:val="000000" w:themeColor="text1"/>
        </w:rPr>
        <w:br w:type="page"/>
      </w:r>
    </w:p>
    <w:p w14:paraId="61008873" w14:textId="15F1F914" w:rsidR="0094672A" w:rsidRPr="00F533B4" w:rsidRDefault="00CD2528" w:rsidP="00E72EBF">
      <w:pPr>
        <w:spacing w:line="480" w:lineRule="auto"/>
        <w:rPr>
          <w:color w:val="000000" w:themeColor="text1"/>
        </w:rPr>
      </w:pPr>
      <w:r w:rsidRPr="00F533B4">
        <w:rPr>
          <w:noProof/>
          <w:color w:val="000000" w:themeColor="text1"/>
        </w:rPr>
        <w:lastRenderedPageBreak/>
        <w:drawing>
          <wp:inline distT="0" distB="0" distL="0" distR="0" wp14:anchorId="7EED3F6A" wp14:editId="4E54152D">
            <wp:extent cx="4586080" cy="7300670"/>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86080" cy="7300670"/>
                    </a:xfrm>
                    <a:prstGeom prst="rect">
                      <a:avLst/>
                    </a:prstGeom>
                  </pic:spPr>
                </pic:pic>
              </a:graphicData>
            </a:graphic>
          </wp:inline>
        </w:drawing>
      </w:r>
    </w:p>
    <w:p w14:paraId="589F6B28" w14:textId="425A9187" w:rsidR="00E72EBF" w:rsidRPr="00DC75E6" w:rsidRDefault="004F06C8" w:rsidP="00DC75E6">
      <w:pPr>
        <w:pStyle w:val="Caption"/>
        <w:spacing w:line="480" w:lineRule="auto"/>
        <w:rPr>
          <w:i w:val="0"/>
          <w:iCs w:val="0"/>
          <w:color w:val="000000" w:themeColor="text1"/>
          <w:sz w:val="24"/>
          <w:szCs w:val="24"/>
        </w:rPr>
      </w:pPr>
      <w:r w:rsidRPr="00546C44">
        <w:rPr>
          <w:i w:val="0"/>
          <w:iCs w:val="0"/>
          <w:color w:val="000000" w:themeColor="text1"/>
          <w:sz w:val="24"/>
          <w:szCs w:val="24"/>
        </w:rPr>
        <w:t xml:space="preserve">Figure </w:t>
      </w:r>
      <w:r w:rsidR="004C3EF5">
        <w:rPr>
          <w:i w:val="0"/>
          <w:iCs w:val="0"/>
          <w:color w:val="000000" w:themeColor="text1"/>
          <w:sz w:val="24"/>
          <w:szCs w:val="24"/>
        </w:rPr>
        <w:t xml:space="preserve">3 </w:t>
      </w:r>
      <w:r w:rsidR="00480803" w:rsidRPr="00546C44">
        <w:rPr>
          <w:i w:val="0"/>
          <w:iCs w:val="0"/>
          <w:color w:val="000000" w:themeColor="text1"/>
          <w:sz w:val="24"/>
          <w:szCs w:val="24"/>
        </w:rPr>
        <w:t xml:space="preserve">– Pharmacodynamic relationships of emergence of resistance in relation to modelled </w:t>
      </w:r>
      <w:proofErr w:type="spellStart"/>
      <w:r w:rsidR="001F6C88" w:rsidRPr="00546C44">
        <w:rPr>
          <w:color w:val="000000" w:themeColor="text1"/>
          <w:sz w:val="24"/>
          <w:szCs w:val="24"/>
        </w:rPr>
        <w:t>f</w:t>
      </w:r>
      <w:r w:rsidR="00480803" w:rsidRPr="00546C44">
        <w:rPr>
          <w:i w:val="0"/>
          <w:iCs w:val="0"/>
          <w:color w:val="000000" w:themeColor="text1"/>
          <w:sz w:val="24"/>
          <w:szCs w:val="24"/>
        </w:rPr>
        <w:t>AUC:MIC</w:t>
      </w:r>
      <w:proofErr w:type="spellEnd"/>
      <w:r w:rsidR="00480803" w:rsidRPr="00546C44">
        <w:rPr>
          <w:i w:val="0"/>
          <w:iCs w:val="0"/>
          <w:color w:val="000000" w:themeColor="text1"/>
          <w:sz w:val="24"/>
          <w:szCs w:val="24"/>
        </w:rPr>
        <w:t xml:space="preserve"> ratios for each agent. </w:t>
      </w:r>
      <w:r w:rsidR="006B27E1">
        <w:rPr>
          <w:i w:val="0"/>
          <w:iCs w:val="0"/>
          <w:color w:val="000000" w:themeColor="text1"/>
          <w:sz w:val="24"/>
          <w:szCs w:val="24"/>
        </w:rPr>
        <w:t>(A)</w:t>
      </w:r>
      <w:r w:rsidR="00480803" w:rsidRPr="00546C44">
        <w:rPr>
          <w:i w:val="0"/>
          <w:iCs w:val="0"/>
          <w:color w:val="000000" w:themeColor="text1"/>
          <w:sz w:val="24"/>
          <w:szCs w:val="24"/>
        </w:rPr>
        <w:t xml:space="preserve"> </w:t>
      </w:r>
      <w:r w:rsidR="006B27E1">
        <w:rPr>
          <w:i w:val="0"/>
          <w:iCs w:val="0"/>
          <w:color w:val="000000" w:themeColor="text1"/>
          <w:sz w:val="24"/>
          <w:szCs w:val="24"/>
        </w:rPr>
        <w:t>I</w:t>
      </w:r>
      <w:r w:rsidR="00480803" w:rsidRPr="00546C44">
        <w:rPr>
          <w:i w:val="0"/>
          <w:iCs w:val="0"/>
          <w:color w:val="000000" w:themeColor="text1"/>
          <w:sz w:val="24"/>
          <w:szCs w:val="24"/>
        </w:rPr>
        <w:t xml:space="preserve">ncreasing fosfomycin </w:t>
      </w:r>
      <w:proofErr w:type="spellStart"/>
      <w:r w:rsidR="001F6C88" w:rsidRPr="00546C44">
        <w:rPr>
          <w:color w:val="000000" w:themeColor="text1"/>
          <w:sz w:val="24"/>
          <w:szCs w:val="24"/>
        </w:rPr>
        <w:t>f</w:t>
      </w:r>
      <w:r w:rsidR="00480803" w:rsidRPr="00546C44">
        <w:rPr>
          <w:i w:val="0"/>
          <w:iCs w:val="0"/>
          <w:color w:val="000000" w:themeColor="text1"/>
          <w:sz w:val="24"/>
          <w:szCs w:val="24"/>
        </w:rPr>
        <w:t>AUC:MIC</w:t>
      </w:r>
      <w:proofErr w:type="spellEnd"/>
      <w:r w:rsidR="00480803" w:rsidRPr="00546C44">
        <w:rPr>
          <w:i w:val="0"/>
          <w:iCs w:val="0"/>
          <w:color w:val="000000" w:themeColor="text1"/>
          <w:sz w:val="24"/>
          <w:szCs w:val="24"/>
        </w:rPr>
        <w:t xml:space="preserve"> on a background of fixed </w:t>
      </w:r>
      <w:r w:rsidR="00480803" w:rsidRPr="00546C44">
        <w:rPr>
          <w:i w:val="0"/>
          <w:iCs w:val="0"/>
          <w:color w:val="000000" w:themeColor="text1"/>
          <w:sz w:val="24"/>
          <w:szCs w:val="24"/>
        </w:rPr>
        <w:lastRenderedPageBreak/>
        <w:t xml:space="preserve">Amikacin </w:t>
      </w:r>
      <w:proofErr w:type="spellStart"/>
      <w:r w:rsidR="001F6C88" w:rsidRPr="00546C44">
        <w:rPr>
          <w:color w:val="000000" w:themeColor="text1"/>
          <w:sz w:val="24"/>
          <w:szCs w:val="24"/>
        </w:rPr>
        <w:t>f</w:t>
      </w:r>
      <w:r w:rsidR="00480803" w:rsidRPr="00546C44">
        <w:rPr>
          <w:i w:val="0"/>
          <w:iCs w:val="0"/>
          <w:color w:val="000000" w:themeColor="text1"/>
          <w:sz w:val="24"/>
          <w:szCs w:val="24"/>
        </w:rPr>
        <w:t>AUC:MIC</w:t>
      </w:r>
      <w:proofErr w:type="spellEnd"/>
      <w:r w:rsidR="00480803" w:rsidRPr="00546C44">
        <w:rPr>
          <w:i w:val="0"/>
          <w:iCs w:val="0"/>
          <w:color w:val="000000" w:themeColor="text1"/>
          <w:sz w:val="24"/>
          <w:szCs w:val="24"/>
        </w:rPr>
        <w:t xml:space="preserve">; </w:t>
      </w:r>
      <w:r w:rsidR="006B27E1">
        <w:rPr>
          <w:i w:val="0"/>
          <w:iCs w:val="0"/>
          <w:color w:val="000000" w:themeColor="text1"/>
          <w:sz w:val="24"/>
          <w:szCs w:val="24"/>
        </w:rPr>
        <w:t>(B)</w:t>
      </w:r>
      <w:r w:rsidR="00480803" w:rsidRPr="00546C44">
        <w:rPr>
          <w:i w:val="0"/>
          <w:iCs w:val="0"/>
          <w:color w:val="000000" w:themeColor="text1"/>
          <w:sz w:val="24"/>
          <w:szCs w:val="24"/>
        </w:rPr>
        <w:t xml:space="preserve"> </w:t>
      </w:r>
      <w:r w:rsidR="006B27E1">
        <w:rPr>
          <w:i w:val="0"/>
          <w:iCs w:val="0"/>
          <w:color w:val="000000" w:themeColor="text1"/>
          <w:sz w:val="24"/>
          <w:szCs w:val="24"/>
        </w:rPr>
        <w:t>I</w:t>
      </w:r>
      <w:r w:rsidR="00480803" w:rsidRPr="00546C44">
        <w:rPr>
          <w:i w:val="0"/>
          <w:iCs w:val="0"/>
          <w:color w:val="000000" w:themeColor="text1"/>
          <w:sz w:val="24"/>
          <w:szCs w:val="24"/>
        </w:rPr>
        <w:t xml:space="preserve">ncreasing amikacin </w:t>
      </w:r>
      <w:proofErr w:type="spellStart"/>
      <w:r w:rsidR="001F6C88" w:rsidRPr="00546C44">
        <w:rPr>
          <w:color w:val="000000" w:themeColor="text1"/>
          <w:sz w:val="24"/>
          <w:szCs w:val="24"/>
        </w:rPr>
        <w:t>f</w:t>
      </w:r>
      <w:r w:rsidR="00480803" w:rsidRPr="00546C44">
        <w:rPr>
          <w:i w:val="0"/>
          <w:iCs w:val="0"/>
          <w:color w:val="000000" w:themeColor="text1"/>
          <w:sz w:val="24"/>
          <w:szCs w:val="24"/>
        </w:rPr>
        <w:t>AUC:MIC</w:t>
      </w:r>
      <w:proofErr w:type="spellEnd"/>
      <w:r w:rsidR="00480803" w:rsidRPr="00546C44">
        <w:rPr>
          <w:i w:val="0"/>
          <w:iCs w:val="0"/>
          <w:color w:val="000000" w:themeColor="text1"/>
          <w:sz w:val="24"/>
          <w:szCs w:val="24"/>
        </w:rPr>
        <w:t xml:space="preserve"> on a background of fixed fosfomycin </w:t>
      </w:r>
      <w:proofErr w:type="spellStart"/>
      <w:r w:rsidR="001F6C88" w:rsidRPr="00546C44">
        <w:rPr>
          <w:color w:val="000000" w:themeColor="text1"/>
          <w:sz w:val="24"/>
          <w:szCs w:val="24"/>
        </w:rPr>
        <w:t>f</w:t>
      </w:r>
      <w:r w:rsidR="00480803" w:rsidRPr="00546C44">
        <w:rPr>
          <w:i w:val="0"/>
          <w:iCs w:val="0"/>
          <w:color w:val="000000" w:themeColor="text1"/>
          <w:sz w:val="24"/>
          <w:szCs w:val="24"/>
        </w:rPr>
        <w:t>AUC:MIC</w:t>
      </w:r>
      <w:proofErr w:type="spellEnd"/>
      <w:r w:rsidR="00480803" w:rsidRPr="00546C44">
        <w:rPr>
          <w:i w:val="0"/>
          <w:iCs w:val="0"/>
          <w:color w:val="000000" w:themeColor="text1"/>
          <w:sz w:val="24"/>
          <w:szCs w:val="24"/>
        </w:rPr>
        <w:t>.</w:t>
      </w:r>
      <w:r w:rsidR="00E72EBF">
        <w:rPr>
          <w:i w:val="0"/>
          <w:iCs w:val="0"/>
          <w:color w:val="000000" w:themeColor="text1"/>
          <w:sz w:val="24"/>
          <w:szCs w:val="24"/>
        </w:rPr>
        <w:br w:type="page"/>
      </w:r>
    </w:p>
    <w:p w14:paraId="68AB7CD1" w14:textId="77777777" w:rsidR="00F10C2B" w:rsidRPr="00F533B4" w:rsidRDefault="00F10C2B" w:rsidP="00E72EBF">
      <w:pPr>
        <w:pStyle w:val="Caption"/>
        <w:spacing w:line="480" w:lineRule="auto"/>
        <w:rPr>
          <w:color w:val="000000" w:themeColor="text1"/>
        </w:rPr>
      </w:pPr>
    </w:p>
    <w:p w14:paraId="03C0D264" w14:textId="31BA7B7D" w:rsidR="004F06C8" w:rsidRPr="00F533B4" w:rsidRDefault="002A07E0" w:rsidP="00E72EBF">
      <w:pPr>
        <w:spacing w:line="480" w:lineRule="auto"/>
        <w:rPr>
          <w:color w:val="000000" w:themeColor="text1"/>
        </w:rPr>
      </w:pPr>
      <w:r>
        <w:rPr>
          <w:noProof/>
          <w:color w:val="000000" w:themeColor="text1"/>
        </w:rPr>
        <w:drawing>
          <wp:inline distT="0" distB="0" distL="0" distR="0" wp14:anchorId="5A204346" wp14:editId="49998788">
            <wp:extent cx="5492902" cy="27686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0980" cy="2772672"/>
                    </a:xfrm>
                    <a:prstGeom prst="rect">
                      <a:avLst/>
                    </a:prstGeom>
                  </pic:spPr>
                </pic:pic>
              </a:graphicData>
            </a:graphic>
          </wp:inline>
        </w:drawing>
      </w:r>
    </w:p>
    <w:p w14:paraId="0603646A" w14:textId="278DC0D6" w:rsidR="00F46FDA" w:rsidRPr="004D287C" w:rsidRDefault="004F06C8" w:rsidP="00E72EBF">
      <w:pPr>
        <w:spacing w:line="480" w:lineRule="auto"/>
        <w:rPr>
          <w:color w:val="000000" w:themeColor="text1"/>
        </w:rPr>
      </w:pPr>
      <w:r w:rsidRPr="00F533B4">
        <w:rPr>
          <w:color w:val="000000" w:themeColor="text1"/>
        </w:rPr>
        <w:t xml:space="preserve">Figure </w:t>
      </w:r>
      <w:r w:rsidR="004C3EF5">
        <w:rPr>
          <w:color w:val="000000" w:themeColor="text1"/>
        </w:rPr>
        <w:t>4</w:t>
      </w:r>
      <w:r w:rsidR="004C3EF5" w:rsidRPr="00F533B4">
        <w:rPr>
          <w:color w:val="000000" w:themeColor="text1"/>
        </w:rPr>
        <w:t xml:space="preserve"> </w:t>
      </w:r>
      <w:r w:rsidRPr="00F533B4">
        <w:rPr>
          <w:color w:val="000000" w:themeColor="text1"/>
        </w:rPr>
        <w:t xml:space="preserve">– Summary of </w:t>
      </w:r>
      <w:r w:rsidR="00445372" w:rsidRPr="00F533B4">
        <w:rPr>
          <w:color w:val="000000" w:themeColor="text1"/>
        </w:rPr>
        <w:t>pharmacodynamic output</w:t>
      </w:r>
      <w:r w:rsidR="00A87A82" w:rsidRPr="00F533B4">
        <w:rPr>
          <w:color w:val="000000" w:themeColor="text1"/>
        </w:rPr>
        <w:t>s</w:t>
      </w:r>
      <w:r w:rsidRPr="00F533B4">
        <w:rPr>
          <w:color w:val="000000" w:themeColor="text1"/>
        </w:rPr>
        <w:t xml:space="preserve"> of fosfomycin/amikacin antimicrobial combination</w:t>
      </w:r>
      <w:r w:rsidR="001E331F" w:rsidRPr="00F533B4">
        <w:rPr>
          <w:color w:val="000000" w:themeColor="text1"/>
        </w:rPr>
        <w:t xml:space="preserve"> and monotherap</w:t>
      </w:r>
      <w:r w:rsidR="00A87A82" w:rsidRPr="00F533B4">
        <w:rPr>
          <w:color w:val="000000" w:themeColor="text1"/>
        </w:rPr>
        <w:t>y regimens</w:t>
      </w:r>
      <w:r w:rsidR="001E331F" w:rsidRPr="00F533B4">
        <w:rPr>
          <w:color w:val="000000" w:themeColor="text1"/>
        </w:rPr>
        <w:t xml:space="preserve"> </w:t>
      </w:r>
      <w:r w:rsidR="00A87A82" w:rsidRPr="00F533B4">
        <w:rPr>
          <w:color w:val="000000" w:themeColor="text1"/>
        </w:rPr>
        <w:t>in HFIM</w:t>
      </w:r>
      <w:r w:rsidR="00546C44">
        <w:rPr>
          <w:color w:val="000000" w:themeColor="text1"/>
        </w:rPr>
        <w:t xml:space="preserve"> shown by pathogen fosfomycin/amikacin MICs (</w:t>
      </w:r>
      <w:r w:rsidR="006B27E1">
        <w:rPr>
          <w:color w:val="000000" w:themeColor="text1"/>
        </w:rPr>
        <w:t>A</w:t>
      </w:r>
      <w:r w:rsidR="00546C44">
        <w:rPr>
          <w:color w:val="000000" w:themeColor="text1"/>
        </w:rPr>
        <w:t xml:space="preserve">) and fosfomycin/amikacin </w:t>
      </w:r>
      <w:proofErr w:type="spellStart"/>
      <w:r w:rsidR="00546C44">
        <w:rPr>
          <w:i/>
          <w:iCs/>
          <w:color w:val="000000" w:themeColor="text1"/>
        </w:rPr>
        <w:t>f</w:t>
      </w:r>
      <w:r w:rsidR="00546C44">
        <w:rPr>
          <w:color w:val="000000" w:themeColor="text1"/>
        </w:rPr>
        <w:t>AUC:MIC</w:t>
      </w:r>
      <w:proofErr w:type="spellEnd"/>
      <w:r w:rsidR="00546C44">
        <w:rPr>
          <w:color w:val="000000" w:themeColor="text1"/>
        </w:rPr>
        <w:t xml:space="preserve"> ratio (</w:t>
      </w:r>
      <w:r w:rsidR="006B27E1">
        <w:rPr>
          <w:color w:val="000000" w:themeColor="text1"/>
        </w:rPr>
        <w:t>B</w:t>
      </w:r>
      <w:r w:rsidR="00546C44">
        <w:rPr>
          <w:color w:val="000000" w:themeColor="text1"/>
        </w:rPr>
        <w:t>)</w:t>
      </w:r>
      <w:r w:rsidR="00A87A82" w:rsidRPr="00F533B4">
        <w:rPr>
          <w:color w:val="000000" w:themeColor="text1"/>
        </w:rPr>
        <w:t xml:space="preserve">. Success is </w:t>
      </w:r>
      <w:r w:rsidR="003B571E" w:rsidRPr="00F533B4">
        <w:rPr>
          <w:color w:val="000000" w:themeColor="text1"/>
        </w:rPr>
        <w:t>d</w:t>
      </w:r>
      <w:r w:rsidR="003B571E">
        <w:rPr>
          <w:color w:val="000000" w:themeColor="text1"/>
        </w:rPr>
        <w:t xml:space="preserve">efined </w:t>
      </w:r>
      <w:r w:rsidR="00A87A82" w:rsidRPr="00F533B4">
        <w:rPr>
          <w:color w:val="000000" w:themeColor="text1"/>
        </w:rPr>
        <w:t>by bacterial kill to sterility at the end of the experiment.</w:t>
      </w:r>
    </w:p>
    <w:sectPr w:rsidR="00F46FDA" w:rsidRPr="004D287C" w:rsidSect="00932FE0">
      <w:footerReference w:type="even" r:id="rId15"/>
      <w:footerReference w:type="default" r:id="rId16"/>
      <w:pgSz w:w="12240" w:h="15840"/>
      <w:pgMar w:top="1440" w:right="1440" w:bottom="1440" w:left="1440" w:header="708" w:footer="708"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6705EA" w14:textId="77777777" w:rsidR="00661097" w:rsidRDefault="00661097" w:rsidP="001B73B5">
      <w:r>
        <w:separator/>
      </w:r>
    </w:p>
  </w:endnote>
  <w:endnote w:type="continuationSeparator" w:id="0">
    <w:p w14:paraId="75C5A6EC" w14:textId="77777777" w:rsidR="00661097" w:rsidRDefault="00661097" w:rsidP="001B7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98718354"/>
      <w:docPartObj>
        <w:docPartGallery w:val="Page Numbers (Bottom of Page)"/>
        <w:docPartUnique/>
      </w:docPartObj>
    </w:sdtPr>
    <w:sdtEndPr>
      <w:rPr>
        <w:rStyle w:val="PageNumber"/>
      </w:rPr>
    </w:sdtEndPr>
    <w:sdtContent>
      <w:p w14:paraId="36E04853" w14:textId="15092B03" w:rsidR="009D547B" w:rsidRDefault="009D547B" w:rsidP="00CC5A3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0423DB" w14:textId="77777777" w:rsidR="009D547B" w:rsidRDefault="009D54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89374282"/>
      <w:docPartObj>
        <w:docPartGallery w:val="Page Numbers (Bottom of Page)"/>
        <w:docPartUnique/>
      </w:docPartObj>
    </w:sdtPr>
    <w:sdtEndPr>
      <w:rPr>
        <w:rStyle w:val="PageNumber"/>
      </w:rPr>
    </w:sdtEndPr>
    <w:sdtContent>
      <w:p w14:paraId="054CFE8E" w14:textId="567E2CDD" w:rsidR="009D547B" w:rsidRDefault="009D547B" w:rsidP="00CC5A3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7077CD6" w14:textId="77777777" w:rsidR="009D547B" w:rsidRDefault="009D54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8A991F" w14:textId="77777777" w:rsidR="00661097" w:rsidRDefault="00661097" w:rsidP="001B73B5">
      <w:r>
        <w:separator/>
      </w:r>
    </w:p>
  </w:footnote>
  <w:footnote w:type="continuationSeparator" w:id="0">
    <w:p w14:paraId="42D4003C" w14:textId="77777777" w:rsidR="00661097" w:rsidRDefault="00661097" w:rsidP="001B73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14C3D"/>
    <w:multiLevelType w:val="hybridMultilevel"/>
    <w:tmpl w:val="FF9CB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1A7132"/>
    <w:multiLevelType w:val="hybridMultilevel"/>
    <w:tmpl w:val="BD502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DD0007"/>
    <w:multiLevelType w:val="hybridMultilevel"/>
    <w:tmpl w:val="65FE2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EB64DCA"/>
    <w:multiLevelType w:val="hybridMultilevel"/>
    <w:tmpl w:val="0E38D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hideSpellingErrors/>
  <w:hideGrammaticalErrors/>
  <w:activeWritingStyle w:appName="MSWord" w:lang="en-GB" w:vendorID="64" w:dllVersion="409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8FC"/>
    <w:rsid w:val="000057B7"/>
    <w:rsid w:val="00011EA2"/>
    <w:rsid w:val="00014E8A"/>
    <w:rsid w:val="00015814"/>
    <w:rsid w:val="00017CAC"/>
    <w:rsid w:val="00020444"/>
    <w:rsid w:val="000252CC"/>
    <w:rsid w:val="00031CA6"/>
    <w:rsid w:val="00032159"/>
    <w:rsid w:val="000350C0"/>
    <w:rsid w:val="000429E4"/>
    <w:rsid w:val="00045442"/>
    <w:rsid w:val="0005091E"/>
    <w:rsid w:val="00051248"/>
    <w:rsid w:val="00052623"/>
    <w:rsid w:val="000558EC"/>
    <w:rsid w:val="00055E16"/>
    <w:rsid w:val="000562CC"/>
    <w:rsid w:val="00062670"/>
    <w:rsid w:val="00067B47"/>
    <w:rsid w:val="000735F8"/>
    <w:rsid w:val="00081FD0"/>
    <w:rsid w:val="0008338D"/>
    <w:rsid w:val="00093BD0"/>
    <w:rsid w:val="000B3FB2"/>
    <w:rsid w:val="000D20D5"/>
    <w:rsid w:val="000E154C"/>
    <w:rsid w:val="000E35B3"/>
    <w:rsid w:val="000E42C4"/>
    <w:rsid w:val="000E486C"/>
    <w:rsid w:val="000F0F8E"/>
    <w:rsid w:val="000F1D8F"/>
    <w:rsid w:val="000F3087"/>
    <w:rsid w:val="000F6385"/>
    <w:rsid w:val="0010279E"/>
    <w:rsid w:val="00103278"/>
    <w:rsid w:val="00105FB0"/>
    <w:rsid w:val="0011597C"/>
    <w:rsid w:val="00115BCB"/>
    <w:rsid w:val="0011638C"/>
    <w:rsid w:val="00122497"/>
    <w:rsid w:val="00135C33"/>
    <w:rsid w:val="00135EF0"/>
    <w:rsid w:val="0014026A"/>
    <w:rsid w:val="0014046A"/>
    <w:rsid w:val="00144425"/>
    <w:rsid w:val="00144FC9"/>
    <w:rsid w:val="00154463"/>
    <w:rsid w:val="00161B87"/>
    <w:rsid w:val="0016213A"/>
    <w:rsid w:val="001651DA"/>
    <w:rsid w:val="0016778E"/>
    <w:rsid w:val="00167B68"/>
    <w:rsid w:val="00167C78"/>
    <w:rsid w:val="00170D0C"/>
    <w:rsid w:val="001739BC"/>
    <w:rsid w:val="00174CDF"/>
    <w:rsid w:val="00177338"/>
    <w:rsid w:val="00187463"/>
    <w:rsid w:val="001926BB"/>
    <w:rsid w:val="00196019"/>
    <w:rsid w:val="001A133C"/>
    <w:rsid w:val="001A2C27"/>
    <w:rsid w:val="001B0C7E"/>
    <w:rsid w:val="001B3504"/>
    <w:rsid w:val="001B73B5"/>
    <w:rsid w:val="001B782D"/>
    <w:rsid w:val="001C3361"/>
    <w:rsid w:val="001C4004"/>
    <w:rsid w:val="001C506B"/>
    <w:rsid w:val="001C53E4"/>
    <w:rsid w:val="001D2ACF"/>
    <w:rsid w:val="001D581F"/>
    <w:rsid w:val="001D735B"/>
    <w:rsid w:val="001E0A68"/>
    <w:rsid w:val="001E24B5"/>
    <w:rsid w:val="001E331F"/>
    <w:rsid w:val="001F055C"/>
    <w:rsid w:val="001F6C88"/>
    <w:rsid w:val="001F6E8A"/>
    <w:rsid w:val="0020015B"/>
    <w:rsid w:val="00201D5E"/>
    <w:rsid w:val="0020633E"/>
    <w:rsid w:val="00211262"/>
    <w:rsid w:val="002131A4"/>
    <w:rsid w:val="00221D6C"/>
    <w:rsid w:val="00225016"/>
    <w:rsid w:val="0022646A"/>
    <w:rsid w:val="00230C28"/>
    <w:rsid w:val="00233EC0"/>
    <w:rsid w:val="00235743"/>
    <w:rsid w:val="00236244"/>
    <w:rsid w:val="0023649A"/>
    <w:rsid w:val="002469ED"/>
    <w:rsid w:val="0025296C"/>
    <w:rsid w:val="00254251"/>
    <w:rsid w:val="00254CE4"/>
    <w:rsid w:val="00254F2D"/>
    <w:rsid w:val="00256196"/>
    <w:rsid w:val="00260271"/>
    <w:rsid w:val="00266738"/>
    <w:rsid w:val="00267E65"/>
    <w:rsid w:val="002731E5"/>
    <w:rsid w:val="00275B15"/>
    <w:rsid w:val="002802CD"/>
    <w:rsid w:val="002843CA"/>
    <w:rsid w:val="002912BF"/>
    <w:rsid w:val="00292215"/>
    <w:rsid w:val="002924C4"/>
    <w:rsid w:val="0029789F"/>
    <w:rsid w:val="002A0261"/>
    <w:rsid w:val="002A07E0"/>
    <w:rsid w:val="002A686A"/>
    <w:rsid w:val="002A69DB"/>
    <w:rsid w:val="002B1D02"/>
    <w:rsid w:val="002B4130"/>
    <w:rsid w:val="002B7BD9"/>
    <w:rsid w:val="002C3A45"/>
    <w:rsid w:val="002C3CBE"/>
    <w:rsid w:val="002C54C4"/>
    <w:rsid w:val="002C6CAD"/>
    <w:rsid w:val="002D15D8"/>
    <w:rsid w:val="002D4357"/>
    <w:rsid w:val="002D5F57"/>
    <w:rsid w:val="002D610A"/>
    <w:rsid w:val="002E1840"/>
    <w:rsid w:val="002F2A7C"/>
    <w:rsid w:val="002F6513"/>
    <w:rsid w:val="00304C76"/>
    <w:rsid w:val="0030602F"/>
    <w:rsid w:val="003078FC"/>
    <w:rsid w:val="0031251E"/>
    <w:rsid w:val="00313760"/>
    <w:rsid w:val="0031419F"/>
    <w:rsid w:val="00316B6E"/>
    <w:rsid w:val="00316FA9"/>
    <w:rsid w:val="00325021"/>
    <w:rsid w:val="0032572F"/>
    <w:rsid w:val="00326154"/>
    <w:rsid w:val="00326CED"/>
    <w:rsid w:val="00337474"/>
    <w:rsid w:val="00340096"/>
    <w:rsid w:val="003400EF"/>
    <w:rsid w:val="003414D1"/>
    <w:rsid w:val="003421EE"/>
    <w:rsid w:val="00342B22"/>
    <w:rsid w:val="00351901"/>
    <w:rsid w:val="00353F49"/>
    <w:rsid w:val="00360518"/>
    <w:rsid w:val="00361122"/>
    <w:rsid w:val="00363BEB"/>
    <w:rsid w:val="00371D67"/>
    <w:rsid w:val="003723A4"/>
    <w:rsid w:val="0038248B"/>
    <w:rsid w:val="0038306B"/>
    <w:rsid w:val="003857CD"/>
    <w:rsid w:val="00386245"/>
    <w:rsid w:val="003876B6"/>
    <w:rsid w:val="003908DF"/>
    <w:rsid w:val="00393B76"/>
    <w:rsid w:val="00395472"/>
    <w:rsid w:val="003A1E5D"/>
    <w:rsid w:val="003B1B17"/>
    <w:rsid w:val="003B4276"/>
    <w:rsid w:val="003B571E"/>
    <w:rsid w:val="003B59C4"/>
    <w:rsid w:val="003D2935"/>
    <w:rsid w:val="003E50B3"/>
    <w:rsid w:val="003E608D"/>
    <w:rsid w:val="003E6B1E"/>
    <w:rsid w:val="00401B25"/>
    <w:rsid w:val="00403534"/>
    <w:rsid w:val="0040476A"/>
    <w:rsid w:val="004059C3"/>
    <w:rsid w:val="00407279"/>
    <w:rsid w:val="00412663"/>
    <w:rsid w:val="0041677E"/>
    <w:rsid w:val="00417F2E"/>
    <w:rsid w:val="00425FE7"/>
    <w:rsid w:val="00431B84"/>
    <w:rsid w:val="004331D2"/>
    <w:rsid w:val="00435479"/>
    <w:rsid w:val="0043736E"/>
    <w:rsid w:val="00445372"/>
    <w:rsid w:val="00460480"/>
    <w:rsid w:val="00466C98"/>
    <w:rsid w:val="004753E1"/>
    <w:rsid w:val="004768BB"/>
    <w:rsid w:val="00480803"/>
    <w:rsid w:val="00481FB8"/>
    <w:rsid w:val="00482EDC"/>
    <w:rsid w:val="0049130E"/>
    <w:rsid w:val="00491FE7"/>
    <w:rsid w:val="00493A4F"/>
    <w:rsid w:val="004940B6"/>
    <w:rsid w:val="00496ED4"/>
    <w:rsid w:val="00497975"/>
    <w:rsid w:val="004A1D73"/>
    <w:rsid w:val="004A2571"/>
    <w:rsid w:val="004A53C7"/>
    <w:rsid w:val="004A5D6C"/>
    <w:rsid w:val="004B36F3"/>
    <w:rsid w:val="004B4A82"/>
    <w:rsid w:val="004B4FAB"/>
    <w:rsid w:val="004B6468"/>
    <w:rsid w:val="004C13E7"/>
    <w:rsid w:val="004C3EF5"/>
    <w:rsid w:val="004C5613"/>
    <w:rsid w:val="004C5BC6"/>
    <w:rsid w:val="004C6022"/>
    <w:rsid w:val="004C67B4"/>
    <w:rsid w:val="004D0EDD"/>
    <w:rsid w:val="004D264A"/>
    <w:rsid w:val="004D287C"/>
    <w:rsid w:val="004E53BD"/>
    <w:rsid w:val="004F06C8"/>
    <w:rsid w:val="004F4A04"/>
    <w:rsid w:val="004F54A0"/>
    <w:rsid w:val="00501CB2"/>
    <w:rsid w:val="005035C6"/>
    <w:rsid w:val="00506DC8"/>
    <w:rsid w:val="005101BC"/>
    <w:rsid w:val="00511AC8"/>
    <w:rsid w:val="0051546E"/>
    <w:rsid w:val="00516413"/>
    <w:rsid w:val="00516732"/>
    <w:rsid w:val="005201FF"/>
    <w:rsid w:val="00522947"/>
    <w:rsid w:val="00525642"/>
    <w:rsid w:val="00527C9D"/>
    <w:rsid w:val="00530EEA"/>
    <w:rsid w:val="00531900"/>
    <w:rsid w:val="00532F48"/>
    <w:rsid w:val="005330D2"/>
    <w:rsid w:val="0053418B"/>
    <w:rsid w:val="00534961"/>
    <w:rsid w:val="00534BBA"/>
    <w:rsid w:val="0054228E"/>
    <w:rsid w:val="00543429"/>
    <w:rsid w:val="005451A0"/>
    <w:rsid w:val="00545969"/>
    <w:rsid w:val="00546C44"/>
    <w:rsid w:val="00546F71"/>
    <w:rsid w:val="005509BB"/>
    <w:rsid w:val="005532FF"/>
    <w:rsid w:val="0055571D"/>
    <w:rsid w:val="005578B0"/>
    <w:rsid w:val="00557C0B"/>
    <w:rsid w:val="00563A58"/>
    <w:rsid w:val="00565E1D"/>
    <w:rsid w:val="00565FDC"/>
    <w:rsid w:val="005802B2"/>
    <w:rsid w:val="0058279A"/>
    <w:rsid w:val="00593F6E"/>
    <w:rsid w:val="00597528"/>
    <w:rsid w:val="005979BF"/>
    <w:rsid w:val="00597EED"/>
    <w:rsid w:val="005A43FF"/>
    <w:rsid w:val="005A56BC"/>
    <w:rsid w:val="005A7688"/>
    <w:rsid w:val="005B1BC4"/>
    <w:rsid w:val="005B4C7B"/>
    <w:rsid w:val="005B59EB"/>
    <w:rsid w:val="005B5A43"/>
    <w:rsid w:val="005C07D6"/>
    <w:rsid w:val="005C1044"/>
    <w:rsid w:val="005C59DC"/>
    <w:rsid w:val="005C6CA3"/>
    <w:rsid w:val="005D2F28"/>
    <w:rsid w:val="005D3A64"/>
    <w:rsid w:val="005D46BD"/>
    <w:rsid w:val="005D7B4A"/>
    <w:rsid w:val="005F0CF1"/>
    <w:rsid w:val="005F2644"/>
    <w:rsid w:val="005F27DB"/>
    <w:rsid w:val="005F597E"/>
    <w:rsid w:val="006000CE"/>
    <w:rsid w:val="0060173F"/>
    <w:rsid w:val="00611BB1"/>
    <w:rsid w:val="00611CF5"/>
    <w:rsid w:val="0061683A"/>
    <w:rsid w:val="006310A4"/>
    <w:rsid w:val="006400BF"/>
    <w:rsid w:val="006428E1"/>
    <w:rsid w:val="006434A8"/>
    <w:rsid w:val="00646543"/>
    <w:rsid w:val="00650EAC"/>
    <w:rsid w:val="00652558"/>
    <w:rsid w:val="00654EFC"/>
    <w:rsid w:val="006554DA"/>
    <w:rsid w:val="00661097"/>
    <w:rsid w:val="00662EA0"/>
    <w:rsid w:val="006638E6"/>
    <w:rsid w:val="00665445"/>
    <w:rsid w:val="00667507"/>
    <w:rsid w:val="00670A6A"/>
    <w:rsid w:val="00676613"/>
    <w:rsid w:val="00676822"/>
    <w:rsid w:val="00681757"/>
    <w:rsid w:val="006826BE"/>
    <w:rsid w:val="00690385"/>
    <w:rsid w:val="00697644"/>
    <w:rsid w:val="006A11DC"/>
    <w:rsid w:val="006A1500"/>
    <w:rsid w:val="006B27E1"/>
    <w:rsid w:val="006B4C86"/>
    <w:rsid w:val="006B61EC"/>
    <w:rsid w:val="006C1BF1"/>
    <w:rsid w:val="006C2F3F"/>
    <w:rsid w:val="006C4BB7"/>
    <w:rsid w:val="006D0AA0"/>
    <w:rsid w:val="006D299C"/>
    <w:rsid w:val="006D5E68"/>
    <w:rsid w:val="006D66D0"/>
    <w:rsid w:val="006D6EA1"/>
    <w:rsid w:val="006E3085"/>
    <w:rsid w:val="006E430F"/>
    <w:rsid w:val="006E4666"/>
    <w:rsid w:val="006E490C"/>
    <w:rsid w:val="006E5DE3"/>
    <w:rsid w:val="006E643E"/>
    <w:rsid w:val="006F229E"/>
    <w:rsid w:val="006F55E3"/>
    <w:rsid w:val="006F75E2"/>
    <w:rsid w:val="007019F9"/>
    <w:rsid w:val="00706B0F"/>
    <w:rsid w:val="007104A3"/>
    <w:rsid w:val="007109B9"/>
    <w:rsid w:val="00712980"/>
    <w:rsid w:val="00713DEB"/>
    <w:rsid w:val="0071476A"/>
    <w:rsid w:val="00715360"/>
    <w:rsid w:val="0072047E"/>
    <w:rsid w:val="00721AF0"/>
    <w:rsid w:val="00723EF5"/>
    <w:rsid w:val="0072732A"/>
    <w:rsid w:val="00731125"/>
    <w:rsid w:val="00732A6D"/>
    <w:rsid w:val="007401D3"/>
    <w:rsid w:val="007413BE"/>
    <w:rsid w:val="00744038"/>
    <w:rsid w:val="007468B7"/>
    <w:rsid w:val="007500D9"/>
    <w:rsid w:val="00750CA7"/>
    <w:rsid w:val="0075265A"/>
    <w:rsid w:val="007569B5"/>
    <w:rsid w:val="00765E90"/>
    <w:rsid w:val="00772452"/>
    <w:rsid w:val="00774414"/>
    <w:rsid w:val="00780707"/>
    <w:rsid w:val="00781553"/>
    <w:rsid w:val="007815E6"/>
    <w:rsid w:val="007859AC"/>
    <w:rsid w:val="00790433"/>
    <w:rsid w:val="00791B69"/>
    <w:rsid w:val="00792432"/>
    <w:rsid w:val="00796877"/>
    <w:rsid w:val="00796D65"/>
    <w:rsid w:val="00797140"/>
    <w:rsid w:val="007A2C79"/>
    <w:rsid w:val="007B12A7"/>
    <w:rsid w:val="007B2F85"/>
    <w:rsid w:val="007B383A"/>
    <w:rsid w:val="007B6109"/>
    <w:rsid w:val="007B661F"/>
    <w:rsid w:val="007C0A5B"/>
    <w:rsid w:val="007D2A34"/>
    <w:rsid w:val="007D63DF"/>
    <w:rsid w:val="007E23CB"/>
    <w:rsid w:val="007E430D"/>
    <w:rsid w:val="007E5DEC"/>
    <w:rsid w:val="007F2854"/>
    <w:rsid w:val="007F33A5"/>
    <w:rsid w:val="007F520F"/>
    <w:rsid w:val="008069D9"/>
    <w:rsid w:val="008103FB"/>
    <w:rsid w:val="008210B1"/>
    <w:rsid w:val="0082240B"/>
    <w:rsid w:val="00827BCA"/>
    <w:rsid w:val="008303E5"/>
    <w:rsid w:val="0084186E"/>
    <w:rsid w:val="0084546C"/>
    <w:rsid w:val="0084609B"/>
    <w:rsid w:val="0085603A"/>
    <w:rsid w:val="008560C7"/>
    <w:rsid w:val="00856615"/>
    <w:rsid w:val="008578E7"/>
    <w:rsid w:val="008637A7"/>
    <w:rsid w:val="008706A0"/>
    <w:rsid w:val="0087102A"/>
    <w:rsid w:val="008713A1"/>
    <w:rsid w:val="00872AC0"/>
    <w:rsid w:val="00875BD4"/>
    <w:rsid w:val="008809B6"/>
    <w:rsid w:val="00882D53"/>
    <w:rsid w:val="00884537"/>
    <w:rsid w:val="0088715C"/>
    <w:rsid w:val="00897CD9"/>
    <w:rsid w:val="008B0768"/>
    <w:rsid w:val="008B1075"/>
    <w:rsid w:val="008D0D62"/>
    <w:rsid w:val="008D389A"/>
    <w:rsid w:val="008E186E"/>
    <w:rsid w:val="008E26C2"/>
    <w:rsid w:val="008E3A7F"/>
    <w:rsid w:val="008E638F"/>
    <w:rsid w:val="008F2455"/>
    <w:rsid w:val="008F5C19"/>
    <w:rsid w:val="008F6C45"/>
    <w:rsid w:val="008F78B4"/>
    <w:rsid w:val="00903475"/>
    <w:rsid w:val="009123E1"/>
    <w:rsid w:val="009156FF"/>
    <w:rsid w:val="009166F7"/>
    <w:rsid w:val="0091745D"/>
    <w:rsid w:val="0092041D"/>
    <w:rsid w:val="0092362E"/>
    <w:rsid w:val="00924633"/>
    <w:rsid w:val="009267A6"/>
    <w:rsid w:val="00932FE0"/>
    <w:rsid w:val="00933B8F"/>
    <w:rsid w:val="0094331D"/>
    <w:rsid w:val="0094672A"/>
    <w:rsid w:val="009526A6"/>
    <w:rsid w:val="0096582A"/>
    <w:rsid w:val="00967B53"/>
    <w:rsid w:val="00980906"/>
    <w:rsid w:val="009868FF"/>
    <w:rsid w:val="00991D71"/>
    <w:rsid w:val="00992B31"/>
    <w:rsid w:val="0099496C"/>
    <w:rsid w:val="009976B9"/>
    <w:rsid w:val="009A0AF9"/>
    <w:rsid w:val="009A4E73"/>
    <w:rsid w:val="009A6BA3"/>
    <w:rsid w:val="009B7287"/>
    <w:rsid w:val="009C00BF"/>
    <w:rsid w:val="009C1C11"/>
    <w:rsid w:val="009D0E70"/>
    <w:rsid w:val="009D219B"/>
    <w:rsid w:val="009D4016"/>
    <w:rsid w:val="009D4A51"/>
    <w:rsid w:val="009D547B"/>
    <w:rsid w:val="009D5F19"/>
    <w:rsid w:val="009E002E"/>
    <w:rsid w:val="009E1590"/>
    <w:rsid w:val="009E2757"/>
    <w:rsid w:val="009E311F"/>
    <w:rsid w:val="009F63A7"/>
    <w:rsid w:val="009F6407"/>
    <w:rsid w:val="00A030B9"/>
    <w:rsid w:val="00A03CA8"/>
    <w:rsid w:val="00A0410B"/>
    <w:rsid w:val="00A05A6E"/>
    <w:rsid w:val="00A128E1"/>
    <w:rsid w:val="00A12D7B"/>
    <w:rsid w:val="00A152FD"/>
    <w:rsid w:val="00A157D8"/>
    <w:rsid w:val="00A221BE"/>
    <w:rsid w:val="00A24F7A"/>
    <w:rsid w:val="00A25EC2"/>
    <w:rsid w:val="00A400B6"/>
    <w:rsid w:val="00A52316"/>
    <w:rsid w:val="00A57711"/>
    <w:rsid w:val="00A612E3"/>
    <w:rsid w:val="00A62A34"/>
    <w:rsid w:val="00A64C6B"/>
    <w:rsid w:val="00A661E1"/>
    <w:rsid w:val="00A675E2"/>
    <w:rsid w:val="00A711E5"/>
    <w:rsid w:val="00A71E49"/>
    <w:rsid w:val="00A77AEC"/>
    <w:rsid w:val="00A818EF"/>
    <w:rsid w:val="00A87A82"/>
    <w:rsid w:val="00A94A72"/>
    <w:rsid w:val="00A95030"/>
    <w:rsid w:val="00A9601E"/>
    <w:rsid w:val="00AA4D8D"/>
    <w:rsid w:val="00AB2FD2"/>
    <w:rsid w:val="00AB51A3"/>
    <w:rsid w:val="00AB6590"/>
    <w:rsid w:val="00AC2CF9"/>
    <w:rsid w:val="00AC4BD9"/>
    <w:rsid w:val="00AC56D6"/>
    <w:rsid w:val="00AE2B4C"/>
    <w:rsid w:val="00AE6741"/>
    <w:rsid w:val="00AF09D6"/>
    <w:rsid w:val="00B02601"/>
    <w:rsid w:val="00B0338A"/>
    <w:rsid w:val="00B07A10"/>
    <w:rsid w:val="00B103F7"/>
    <w:rsid w:val="00B12037"/>
    <w:rsid w:val="00B15B53"/>
    <w:rsid w:val="00B15F34"/>
    <w:rsid w:val="00B17027"/>
    <w:rsid w:val="00B173FC"/>
    <w:rsid w:val="00B22E6F"/>
    <w:rsid w:val="00B25B5B"/>
    <w:rsid w:val="00B31A74"/>
    <w:rsid w:val="00B35197"/>
    <w:rsid w:val="00B351A4"/>
    <w:rsid w:val="00B40819"/>
    <w:rsid w:val="00B41FB8"/>
    <w:rsid w:val="00B4369A"/>
    <w:rsid w:val="00B46BE9"/>
    <w:rsid w:val="00B50761"/>
    <w:rsid w:val="00B5154C"/>
    <w:rsid w:val="00B573FC"/>
    <w:rsid w:val="00B6108B"/>
    <w:rsid w:val="00B65A56"/>
    <w:rsid w:val="00B70FE1"/>
    <w:rsid w:val="00B75629"/>
    <w:rsid w:val="00B81BAB"/>
    <w:rsid w:val="00B850CB"/>
    <w:rsid w:val="00B86060"/>
    <w:rsid w:val="00B86D6C"/>
    <w:rsid w:val="00B871DD"/>
    <w:rsid w:val="00B917B0"/>
    <w:rsid w:val="00B97922"/>
    <w:rsid w:val="00BA15C6"/>
    <w:rsid w:val="00BA4DDE"/>
    <w:rsid w:val="00BB3A3A"/>
    <w:rsid w:val="00BB4220"/>
    <w:rsid w:val="00BB4685"/>
    <w:rsid w:val="00BB5BA0"/>
    <w:rsid w:val="00BB68FC"/>
    <w:rsid w:val="00BC0D50"/>
    <w:rsid w:val="00BC3075"/>
    <w:rsid w:val="00BC5FC6"/>
    <w:rsid w:val="00BC5FD8"/>
    <w:rsid w:val="00BC73B8"/>
    <w:rsid w:val="00BC78FC"/>
    <w:rsid w:val="00BD6618"/>
    <w:rsid w:val="00BE3A84"/>
    <w:rsid w:val="00BF403F"/>
    <w:rsid w:val="00BF6BC0"/>
    <w:rsid w:val="00C01315"/>
    <w:rsid w:val="00C0155F"/>
    <w:rsid w:val="00C077CD"/>
    <w:rsid w:val="00C105B2"/>
    <w:rsid w:val="00C107DD"/>
    <w:rsid w:val="00C11191"/>
    <w:rsid w:val="00C123EC"/>
    <w:rsid w:val="00C135DC"/>
    <w:rsid w:val="00C14B5A"/>
    <w:rsid w:val="00C17481"/>
    <w:rsid w:val="00C20E4C"/>
    <w:rsid w:val="00C23D2B"/>
    <w:rsid w:val="00C26FDA"/>
    <w:rsid w:val="00C27E8B"/>
    <w:rsid w:val="00C3731D"/>
    <w:rsid w:val="00C40E09"/>
    <w:rsid w:val="00C43F95"/>
    <w:rsid w:val="00C509C5"/>
    <w:rsid w:val="00C52B76"/>
    <w:rsid w:val="00C53F0E"/>
    <w:rsid w:val="00C561A8"/>
    <w:rsid w:val="00C66DEC"/>
    <w:rsid w:val="00C773C3"/>
    <w:rsid w:val="00C7785F"/>
    <w:rsid w:val="00C84E51"/>
    <w:rsid w:val="00C90EA7"/>
    <w:rsid w:val="00C91923"/>
    <w:rsid w:val="00C91C21"/>
    <w:rsid w:val="00C92D27"/>
    <w:rsid w:val="00C97D35"/>
    <w:rsid w:val="00CA100E"/>
    <w:rsid w:val="00CA147D"/>
    <w:rsid w:val="00CA15DD"/>
    <w:rsid w:val="00CA755D"/>
    <w:rsid w:val="00CB0092"/>
    <w:rsid w:val="00CB03CE"/>
    <w:rsid w:val="00CC0C8E"/>
    <w:rsid w:val="00CC2359"/>
    <w:rsid w:val="00CC28D4"/>
    <w:rsid w:val="00CC5A39"/>
    <w:rsid w:val="00CC5E49"/>
    <w:rsid w:val="00CD05B9"/>
    <w:rsid w:val="00CD156D"/>
    <w:rsid w:val="00CD2528"/>
    <w:rsid w:val="00CD47DD"/>
    <w:rsid w:val="00CF0B3C"/>
    <w:rsid w:val="00CF1DF2"/>
    <w:rsid w:val="00CF444F"/>
    <w:rsid w:val="00CF4DB9"/>
    <w:rsid w:val="00D10C1B"/>
    <w:rsid w:val="00D24092"/>
    <w:rsid w:val="00D249D3"/>
    <w:rsid w:val="00D262D0"/>
    <w:rsid w:val="00D26B1D"/>
    <w:rsid w:val="00D40529"/>
    <w:rsid w:val="00D54D7E"/>
    <w:rsid w:val="00D56E3F"/>
    <w:rsid w:val="00D56FE6"/>
    <w:rsid w:val="00D67625"/>
    <w:rsid w:val="00D76658"/>
    <w:rsid w:val="00D76D29"/>
    <w:rsid w:val="00D77DD0"/>
    <w:rsid w:val="00D80327"/>
    <w:rsid w:val="00D929DB"/>
    <w:rsid w:val="00D938DF"/>
    <w:rsid w:val="00D970ED"/>
    <w:rsid w:val="00D97769"/>
    <w:rsid w:val="00DA77D1"/>
    <w:rsid w:val="00DB0141"/>
    <w:rsid w:val="00DB4B0C"/>
    <w:rsid w:val="00DB6781"/>
    <w:rsid w:val="00DB68ED"/>
    <w:rsid w:val="00DC41C2"/>
    <w:rsid w:val="00DC5F36"/>
    <w:rsid w:val="00DC610D"/>
    <w:rsid w:val="00DC62A3"/>
    <w:rsid w:val="00DC69CF"/>
    <w:rsid w:val="00DC75E6"/>
    <w:rsid w:val="00DD1E32"/>
    <w:rsid w:val="00DD23BE"/>
    <w:rsid w:val="00DD295E"/>
    <w:rsid w:val="00DD300E"/>
    <w:rsid w:val="00DD4BAB"/>
    <w:rsid w:val="00DD4F84"/>
    <w:rsid w:val="00DE4FCF"/>
    <w:rsid w:val="00DE5042"/>
    <w:rsid w:val="00DF035E"/>
    <w:rsid w:val="00DF1949"/>
    <w:rsid w:val="00E0362C"/>
    <w:rsid w:val="00E0497F"/>
    <w:rsid w:val="00E11A69"/>
    <w:rsid w:val="00E15150"/>
    <w:rsid w:val="00E1597B"/>
    <w:rsid w:val="00E24CFE"/>
    <w:rsid w:val="00E320EB"/>
    <w:rsid w:val="00E36FD4"/>
    <w:rsid w:val="00E37697"/>
    <w:rsid w:val="00E41B07"/>
    <w:rsid w:val="00E45422"/>
    <w:rsid w:val="00E5113A"/>
    <w:rsid w:val="00E5203F"/>
    <w:rsid w:val="00E5228B"/>
    <w:rsid w:val="00E52CB1"/>
    <w:rsid w:val="00E5525E"/>
    <w:rsid w:val="00E55846"/>
    <w:rsid w:val="00E64D45"/>
    <w:rsid w:val="00E667A8"/>
    <w:rsid w:val="00E67581"/>
    <w:rsid w:val="00E67CB0"/>
    <w:rsid w:val="00E70504"/>
    <w:rsid w:val="00E72EBF"/>
    <w:rsid w:val="00E77B61"/>
    <w:rsid w:val="00E82284"/>
    <w:rsid w:val="00E823AF"/>
    <w:rsid w:val="00E834B4"/>
    <w:rsid w:val="00E83D20"/>
    <w:rsid w:val="00E84E17"/>
    <w:rsid w:val="00E870B4"/>
    <w:rsid w:val="00E93941"/>
    <w:rsid w:val="00E9563D"/>
    <w:rsid w:val="00EA0727"/>
    <w:rsid w:val="00EA326E"/>
    <w:rsid w:val="00EA3C3C"/>
    <w:rsid w:val="00EA54E0"/>
    <w:rsid w:val="00EB1E83"/>
    <w:rsid w:val="00EB6105"/>
    <w:rsid w:val="00EC08B9"/>
    <w:rsid w:val="00EC0BB7"/>
    <w:rsid w:val="00EC5F11"/>
    <w:rsid w:val="00EC6CE2"/>
    <w:rsid w:val="00ED19F1"/>
    <w:rsid w:val="00EE7B98"/>
    <w:rsid w:val="00EF111D"/>
    <w:rsid w:val="00EF6308"/>
    <w:rsid w:val="00F004B7"/>
    <w:rsid w:val="00F019C4"/>
    <w:rsid w:val="00F0239B"/>
    <w:rsid w:val="00F04FFB"/>
    <w:rsid w:val="00F0550E"/>
    <w:rsid w:val="00F057C6"/>
    <w:rsid w:val="00F05F28"/>
    <w:rsid w:val="00F06C14"/>
    <w:rsid w:val="00F10681"/>
    <w:rsid w:val="00F10C2B"/>
    <w:rsid w:val="00F11F16"/>
    <w:rsid w:val="00F1246E"/>
    <w:rsid w:val="00F12FE5"/>
    <w:rsid w:val="00F1689C"/>
    <w:rsid w:val="00F2103F"/>
    <w:rsid w:val="00F2406E"/>
    <w:rsid w:val="00F242D4"/>
    <w:rsid w:val="00F25D93"/>
    <w:rsid w:val="00F261DD"/>
    <w:rsid w:val="00F315D5"/>
    <w:rsid w:val="00F34A99"/>
    <w:rsid w:val="00F41EF3"/>
    <w:rsid w:val="00F46FDA"/>
    <w:rsid w:val="00F47355"/>
    <w:rsid w:val="00F512E7"/>
    <w:rsid w:val="00F51ADE"/>
    <w:rsid w:val="00F53315"/>
    <w:rsid w:val="00F533B4"/>
    <w:rsid w:val="00F55DD5"/>
    <w:rsid w:val="00F56818"/>
    <w:rsid w:val="00F56D83"/>
    <w:rsid w:val="00F6331B"/>
    <w:rsid w:val="00F65E1C"/>
    <w:rsid w:val="00F71E88"/>
    <w:rsid w:val="00F75269"/>
    <w:rsid w:val="00F80174"/>
    <w:rsid w:val="00F85CAB"/>
    <w:rsid w:val="00F906F6"/>
    <w:rsid w:val="00FA7BBF"/>
    <w:rsid w:val="00FB019C"/>
    <w:rsid w:val="00FB2AB4"/>
    <w:rsid w:val="00FB5F27"/>
    <w:rsid w:val="00FC1A0E"/>
    <w:rsid w:val="00FC4039"/>
    <w:rsid w:val="00FD1669"/>
    <w:rsid w:val="00FD5E21"/>
    <w:rsid w:val="00FE0291"/>
    <w:rsid w:val="00FE0A18"/>
    <w:rsid w:val="00FE24A1"/>
    <w:rsid w:val="00FE3457"/>
    <w:rsid w:val="00FE6780"/>
    <w:rsid w:val="00FF274D"/>
    <w:rsid w:val="00FF2B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B5BC5E"/>
  <w15:chartTrackingRefBased/>
  <w15:docId w15:val="{C4D285CE-CC1E-2D46-9987-829918366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643E"/>
    <w:pPr>
      <w:spacing w:after="120" w:line="360" w:lineRule="auto"/>
      <w:ind w:left="720"/>
      <w:contextualSpacing/>
    </w:pPr>
    <w:rPr>
      <w:sz w:val="22"/>
      <w:szCs w:val="22"/>
    </w:rPr>
  </w:style>
  <w:style w:type="table" w:styleId="GridTable4">
    <w:name w:val="Grid Table 4"/>
    <w:basedOn w:val="TableNormal"/>
    <w:uiPriority w:val="49"/>
    <w:rsid w:val="006E643E"/>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EB1E83"/>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FE24A1"/>
    <w:rPr>
      <w:sz w:val="16"/>
      <w:szCs w:val="16"/>
    </w:rPr>
  </w:style>
  <w:style w:type="paragraph" w:styleId="CommentText">
    <w:name w:val="annotation text"/>
    <w:basedOn w:val="Normal"/>
    <w:link w:val="CommentTextChar"/>
    <w:uiPriority w:val="99"/>
    <w:semiHidden/>
    <w:unhideWhenUsed/>
    <w:rsid w:val="00FE24A1"/>
    <w:rPr>
      <w:sz w:val="20"/>
      <w:szCs w:val="20"/>
    </w:rPr>
  </w:style>
  <w:style w:type="character" w:customStyle="1" w:styleId="CommentTextChar">
    <w:name w:val="Comment Text Char"/>
    <w:basedOn w:val="DefaultParagraphFont"/>
    <w:link w:val="CommentText"/>
    <w:uiPriority w:val="99"/>
    <w:semiHidden/>
    <w:rsid w:val="00FE24A1"/>
    <w:rPr>
      <w:sz w:val="20"/>
      <w:szCs w:val="20"/>
    </w:rPr>
  </w:style>
  <w:style w:type="paragraph" w:styleId="CommentSubject">
    <w:name w:val="annotation subject"/>
    <w:basedOn w:val="CommentText"/>
    <w:next w:val="CommentText"/>
    <w:link w:val="CommentSubjectChar"/>
    <w:uiPriority w:val="99"/>
    <w:semiHidden/>
    <w:unhideWhenUsed/>
    <w:rsid w:val="00FE24A1"/>
    <w:rPr>
      <w:b/>
      <w:bCs/>
    </w:rPr>
  </w:style>
  <w:style w:type="character" w:customStyle="1" w:styleId="CommentSubjectChar">
    <w:name w:val="Comment Subject Char"/>
    <w:basedOn w:val="CommentTextChar"/>
    <w:link w:val="CommentSubject"/>
    <w:uiPriority w:val="99"/>
    <w:semiHidden/>
    <w:rsid w:val="00FE24A1"/>
    <w:rPr>
      <w:b/>
      <w:bCs/>
      <w:sz w:val="20"/>
      <w:szCs w:val="20"/>
    </w:rPr>
  </w:style>
  <w:style w:type="paragraph" w:styleId="BalloonText">
    <w:name w:val="Balloon Text"/>
    <w:basedOn w:val="Normal"/>
    <w:link w:val="BalloonTextChar"/>
    <w:uiPriority w:val="99"/>
    <w:semiHidden/>
    <w:unhideWhenUsed/>
    <w:rsid w:val="00FE24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E24A1"/>
    <w:rPr>
      <w:rFonts w:ascii="Times New Roman" w:hAnsi="Times New Roman" w:cs="Times New Roman"/>
      <w:sz w:val="18"/>
      <w:szCs w:val="18"/>
    </w:rPr>
  </w:style>
  <w:style w:type="paragraph" w:styleId="NormalWeb">
    <w:name w:val="Normal (Web)"/>
    <w:basedOn w:val="Normal"/>
    <w:uiPriority w:val="99"/>
    <w:semiHidden/>
    <w:unhideWhenUsed/>
    <w:rsid w:val="0043736E"/>
    <w:pPr>
      <w:spacing w:before="100" w:beforeAutospacing="1" w:after="100" w:afterAutospacing="1"/>
    </w:pPr>
    <w:rPr>
      <w:rFonts w:ascii="Times New Roman" w:eastAsiaTheme="minorEastAsia" w:hAnsi="Times New Roman" w:cs="Times New Roman"/>
    </w:rPr>
  </w:style>
  <w:style w:type="table" w:styleId="GridTable5Dark-Accent3">
    <w:name w:val="Grid Table 5 Dark Accent 3"/>
    <w:basedOn w:val="TableNormal"/>
    <w:uiPriority w:val="50"/>
    <w:rsid w:val="00F315D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eGrid">
    <w:name w:val="Table Grid"/>
    <w:basedOn w:val="TableNormal"/>
    <w:uiPriority w:val="39"/>
    <w:rsid w:val="001B7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
    <w:name w:val="Grid Table 5 Dark"/>
    <w:basedOn w:val="TableNormal"/>
    <w:uiPriority w:val="50"/>
    <w:rsid w:val="001B73B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LineNumber">
    <w:name w:val="line number"/>
    <w:basedOn w:val="DefaultParagraphFont"/>
    <w:uiPriority w:val="99"/>
    <w:semiHidden/>
    <w:unhideWhenUsed/>
    <w:rsid w:val="00BB5BA0"/>
  </w:style>
  <w:style w:type="paragraph" w:styleId="Revision">
    <w:name w:val="Revision"/>
    <w:hidden/>
    <w:uiPriority w:val="99"/>
    <w:semiHidden/>
    <w:rsid w:val="00292215"/>
  </w:style>
  <w:style w:type="paragraph" w:styleId="Footer">
    <w:name w:val="footer"/>
    <w:basedOn w:val="Normal"/>
    <w:link w:val="FooterChar"/>
    <w:uiPriority w:val="99"/>
    <w:unhideWhenUsed/>
    <w:rsid w:val="008706A0"/>
    <w:pPr>
      <w:tabs>
        <w:tab w:val="center" w:pos="4680"/>
        <w:tab w:val="right" w:pos="9360"/>
      </w:tabs>
    </w:pPr>
  </w:style>
  <w:style w:type="character" w:customStyle="1" w:styleId="FooterChar">
    <w:name w:val="Footer Char"/>
    <w:basedOn w:val="DefaultParagraphFont"/>
    <w:link w:val="Footer"/>
    <w:uiPriority w:val="99"/>
    <w:rsid w:val="008706A0"/>
  </w:style>
  <w:style w:type="character" w:styleId="PageNumber">
    <w:name w:val="page number"/>
    <w:basedOn w:val="DefaultParagraphFont"/>
    <w:uiPriority w:val="99"/>
    <w:semiHidden/>
    <w:unhideWhenUsed/>
    <w:rsid w:val="008706A0"/>
  </w:style>
  <w:style w:type="character" w:styleId="PlaceholderText">
    <w:name w:val="Placeholder Text"/>
    <w:basedOn w:val="DefaultParagraphFont"/>
    <w:uiPriority w:val="99"/>
    <w:semiHidden/>
    <w:rsid w:val="00712980"/>
    <w:rPr>
      <w:color w:val="808080"/>
    </w:rPr>
  </w:style>
  <w:style w:type="table" w:styleId="GridTable7Colourful">
    <w:name w:val="Grid Table 7 Colorful"/>
    <w:basedOn w:val="TableNormal"/>
    <w:uiPriority w:val="52"/>
    <w:rsid w:val="00FC1A0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Accent3">
    <w:name w:val="Grid Table 4 Accent 3"/>
    <w:basedOn w:val="TableNormal"/>
    <w:uiPriority w:val="49"/>
    <w:rsid w:val="00FC1A0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A152FD"/>
    <w:rPr>
      <w:color w:val="0000FF"/>
      <w:u w:val="single"/>
    </w:rPr>
  </w:style>
  <w:style w:type="character" w:styleId="UnresolvedMention">
    <w:name w:val="Unresolved Mention"/>
    <w:basedOn w:val="DefaultParagraphFont"/>
    <w:uiPriority w:val="99"/>
    <w:semiHidden/>
    <w:unhideWhenUsed/>
    <w:rsid w:val="00A041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80682">
      <w:bodyDiv w:val="1"/>
      <w:marLeft w:val="0"/>
      <w:marRight w:val="0"/>
      <w:marTop w:val="0"/>
      <w:marBottom w:val="0"/>
      <w:divBdr>
        <w:top w:val="none" w:sz="0" w:space="0" w:color="auto"/>
        <w:left w:val="none" w:sz="0" w:space="0" w:color="auto"/>
        <w:bottom w:val="none" w:sz="0" w:space="0" w:color="auto"/>
        <w:right w:val="none" w:sz="0" w:space="0" w:color="auto"/>
      </w:divBdr>
    </w:div>
    <w:div w:id="77867222">
      <w:bodyDiv w:val="1"/>
      <w:marLeft w:val="0"/>
      <w:marRight w:val="0"/>
      <w:marTop w:val="0"/>
      <w:marBottom w:val="0"/>
      <w:divBdr>
        <w:top w:val="none" w:sz="0" w:space="0" w:color="auto"/>
        <w:left w:val="none" w:sz="0" w:space="0" w:color="auto"/>
        <w:bottom w:val="none" w:sz="0" w:space="0" w:color="auto"/>
        <w:right w:val="none" w:sz="0" w:space="0" w:color="auto"/>
      </w:divBdr>
    </w:div>
    <w:div w:id="112095671">
      <w:bodyDiv w:val="1"/>
      <w:marLeft w:val="0"/>
      <w:marRight w:val="0"/>
      <w:marTop w:val="0"/>
      <w:marBottom w:val="0"/>
      <w:divBdr>
        <w:top w:val="none" w:sz="0" w:space="0" w:color="auto"/>
        <w:left w:val="none" w:sz="0" w:space="0" w:color="auto"/>
        <w:bottom w:val="none" w:sz="0" w:space="0" w:color="auto"/>
        <w:right w:val="none" w:sz="0" w:space="0" w:color="auto"/>
      </w:divBdr>
    </w:div>
    <w:div w:id="206842397">
      <w:bodyDiv w:val="1"/>
      <w:marLeft w:val="0"/>
      <w:marRight w:val="0"/>
      <w:marTop w:val="0"/>
      <w:marBottom w:val="0"/>
      <w:divBdr>
        <w:top w:val="none" w:sz="0" w:space="0" w:color="auto"/>
        <w:left w:val="none" w:sz="0" w:space="0" w:color="auto"/>
        <w:bottom w:val="none" w:sz="0" w:space="0" w:color="auto"/>
        <w:right w:val="none" w:sz="0" w:space="0" w:color="auto"/>
      </w:divBdr>
    </w:div>
    <w:div w:id="280889896">
      <w:bodyDiv w:val="1"/>
      <w:marLeft w:val="0"/>
      <w:marRight w:val="0"/>
      <w:marTop w:val="0"/>
      <w:marBottom w:val="0"/>
      <w:divBdr>
        <w:top w:val="none" w:sz="0" w:space="0" w:color="auto"/>
        <w:left w:val="none" w:sz="0" w:space="0" w:color="auto"/>
        <w:bottom w:val="none" w:sz="0" w:space="0" w:color="auto"/>
        <w:right w:val="none" w:sz="0" w:space="0" w:color="auto"/>
      </w:divBdr>
    </w:div>
    <w:div w:id="336231859">
      <w:bodyDiv w:val="1"/>
      <w:marLeft w:val="0"/>
      <w:marRight w:val="0"/>
      <w:marTop w:val="0"/>
      <w:marBottom w:val="0"/>
      <w:divBdr>
        <w:top w:val="none" w:sz="0" w:space="0" w:color="auto"/>
        <w:left w:val="none" w:sz="0" w:space="0" w:color="auto"/>
        <w:bottom w:val="none" w:sz="0" w:space="0" w:color="auto"/>
        <w:right w:val="none" w:sz="0" w:space="0" w:color="auto"/>
      </w:divBdr>
    </w:div>
    <w:div w:id="494076740">
      <w:bodyDiv w:val="1"/>
      <w:marLeft w:val="0"/>
      <w:marRight w:val="0"/>
      <w:marTop w:val="0"/>
      <w:marBottom w:val="0"/>
      <w:divBdr>
        <w:top w:val="none" w:sz="0" w:space="0" w:color="auto"/>
        <w:left w:val="none" w:sz="0" w:space="0" w:color="auto"/>
        <w:bottom w:val="none" w:sz="0" w:space="0" w:color="auto"/>
        <w:right w:val="none" w:sz="0" w:space="0" w:color="auto"/>
      </w:divBdr>
    </w:div>
    <w:div w:id="527722118">
      <w:bodyDiv w:val="1"/>
      <w:marLeft w:val="0"/>
      <w:marRight w:val="0"/>
      <w:marTop w:val="0"/>
      <w:marBottom w:val="0"/>
      <w:divBdr>
        <w:top w:val="none" w:sz="0" w:space="0" w:color="auto"/>
        <w:left w:val="none" w:sz="0" w:space="0" w:color="auto"/>
        <w:bottom w:val="none" w:sz="0" w:space="0" w:color="auto"/>
        <w:right w:val="none" w:sz="0" w:space="0" w:color="auto"/>
      </w:divBdr>
    </w:div>
    <w:div w:id="598560630">
      <w:bodyDiv w:val="1"/>
      <w:marLeft w:val="0"/>
      <w:marRight w:val="0"/>
      <w:marTop w:val="0"/>
      <w:marBottom w:val="0"/>
      <w:divBdr>
        <w:top w:val="none" w:sz="0" w:space="0" w:color="auto"/>
        <w:left w:val="none" w:sz="0" w:space="0" w:color="auto"/>
        <w:bottom w:val="none" w:sz="0" w:space="0" w:color="auto"/>
        <w:right w:val="none" w:sz="0" w:space="0" w:color="auto"/>
      </w:divBdr>
    </w:div>
    <w:div w:id="691953193">
      <w:bodyDiv w:val="1"/>
      <w:marLeft w:val="0"/>
      <w:marRight w:val="0"/>
      <w:marTop w:val="0"/>
      <w:marBottom w:val="0"/>
      <w:divBdr>
        <w:top w:val="none" w:sz="0" w:space="0" w:color="auto"/>
        <w:left w:val="none" w:sz="0" w:space="0" w:color="auto"/>
        <w:bottom w:val="none" w:sz="0" w:space="0" w:color="auto"/>
        <w:right w:val="none" w:sz="0" w:space="0" w:color="auto"/>
      </w:divBdr>
    </w:div>
    <w:div w:id="749349804">
      <w:bodyDiv w:val="1"/>
      <w:marLeft w:val="0"/>
      <w:marRight w:val="0"/>
      <w:marTop w:val="0"/>
      <w:marBottom w:val="0"/>
      <w:divBdr>
        <w:top w:val="none" w:sz="0" w:space="0" w:color="auto"/>
        <w:left w:val="none" w:sz="0" w:space="0" w:color="auto"/>
        <w:bottom w:val="none" w:sz="0" w:space="0" w:color="auto"/>
        <w:right w:val="none" w:sz="0" w:space="0" w:color="auto"/>
      </w:divBdr>
    </w:div>
    <w:div w:id="898831455">
      <w:bodyDiv w:val="1"/>
      <w:marLeft w:val="0"/>
      <w:marRight w:val="0"/>
      <w:marTop w:val="0"/>
      <w:marBottom w:val="0"/>
      <w:divBdr>
        <w:top w:val="none" w:sz="0" w:space="0" w:color="auto"/>
        <w:left w:val="none" w:sz="0" w:space="0" w:color="auto"/>
        <w:bottom w:val="none" w:sz="0" w:space="0" w:color="auto"/>
        <w:right w:val="none" w:sz="0" w:space="0" w:color="auto"/>
      </w:divBdr>
    </w:div>
    <w:div w:id="949628322">
      <w:bodyDiv w:val="1"/>
      <w:marLeft w:val="0"/>
      <w:marRight w:val="0"/>
      <w:marTop w:val="0"/>
      <w:marBottom w:val="0"/>
      <w:divBdr>
        <w:top w:val="none" w:sz="0" w:space="0" w:color="auto"/>
        <w:left w:val="none" w:sz="0" w:space="0" w:color="auto"/>
        <w:bottom w:val="none" w:sz="0" w:space="0" w:color="auto"/>
        <w:right w:val="none" w:sz="0" w:space="0" w:color="auto"/>
      </w:divBdr>
    </w:div>
    <w:div w:id="1011369288">
      <w:bodyDiv w:val="1"/>
      <w:marLeft w:val="0"/>
      <w:marRight w:val="0"/>
      <w:marTop w:val="0"/>
      <w:marBottom w:val="0"/>
      <w:divBdr>
        <w:top w:val="none" w:sz="0" w:space="0" w:color="auto"/>
        <w:left w:val="none" w:sz="0" w:space="0" w:color="auto"/>
        <w:bottom w:val="none" w:sz="0" w:space="0" w:color="auto"/>
        <w:right w:val="none" w:sz="0" w:space="0" w:color="auto"/>
      </w:divBdr>
    </w:div>
    <w:div w:id="1089078543">
      <w:bodyDiv w:val="1"/>
      <w:marLeft w:val="0"/>
      <w:marRight w:val="0"/>
      <w:marTop w:val="0"/>
      <w:marBottom w:val="0"/>
      <w:divBdr>
        <w:top w:val="none" w:sz="0" w:space="0" w:color="auto"/>
        <w:left w:val="none" w:sz="0" w:space="0" w:color="auto"/>
        <w:bottom w:val="none" w:sz="0" w:space="0" w:color="auto"/>
        <w:right w:val="none" w:sz="0" w:space="0" w:color="auto"/>
      </w:divBdr>
    </w:div>
    <w:div w:id="1137144812">
      <w:bodyDiv w:val="1"/>
      <w:marLeft w:val="0"/>
      <w:marRight w:val="0"/>
      <w:marTop w:val="0"/>
      <w:marBottom w:val="0"/>
      <w:divBdr>
        <w:top w:val="none" w:sz="0" w:space="0" w:color="auto"/>
        <w:left w:val="none" w:sz="0" w:space="0" w:color="auto"/>
        <w:bottom w:val="none" w:sz="0" w:space="0" w:color="auto"/>
        <w:right w:val="none" w:sz="0" w:space="0" w:color="auto"/>
      </w:divBdr>
    </w:div>
    <w:div w:id="1141576816">
      <w:bodyDiv w:val="1"/>
      <w:marLeft w:val="0"/>
      <w:marRight w:val="0"/>
      <w:marTop w:val="0"/>
      <w:marBottom w:val="0"/>
      <w:divBdr>
        <w:top w:val="none" w:sz="0" w:space="0" w:color="auto"/>
        <w:left w:val="none" w:sz="0" w:space="0" w:color="auto"/>
        <w:bottom w:val="none" w:sz="0" w:space="0" w:color="auto"/>
        <w:right w:val="none" w:sz="0" w:space="0" w:color="auto"/>
      </w:divBdr>
    </w:div>
    <w:div w:id="1168640459">
      <w:bodyDiv w:val="1"/>
      <w:marLeft w:val="0"/>
      <w:marRight w:val="0"/>
      <w:marTop w:val="0"/>
      <w:marBottom w:val="0"/>
      <w:divBdr>
        <w:top w:val="none" w:sz="0" w:space="0" w:color="auto"/>
        <w:left w:val="none" w:sz="0" w:space="0" w:color="auto"/>
        <w:bottom w:val="none" w:sz="0" w:space="0" w:color="auto"/>
        <w:right w:val="none" w:sz="0" w:space="0" w:color="auto"/>
      </w:divBdr>
    </w:div>
    <w:div w:id="1236933942">
      <w:bodyDiv w:val="1"/>
      <w:marLeft w:val="0"/>
      <w:marRight w:val="0"/>
      <w:marTop w:val="0"/>
      <w:marBottom w:val="0"/>
      <w:divBdr>
        <w:top w:val="none" w:sz="0" w:space="0" w:color="auto"/>
        <w:left w:val="none" w:sz="0" w:space="0" w:color="auto"/>
        <w:bottom w:val="none" w:sz="0" w:space="0" w:color="auto"/>
        <w:right w:val="none" w:sz="0" w:space="0" w:color="auto"/>
      </w:divBdr>
    </w:div>
    <w:div w:id="1239443305">
      <w:bodyDiv w:val="1"/>
      <w:marLeft w:val="0"/>
      <w:marRight w:val="0"/>
      <w:marTop w:val="0"/>
      <w:marBottom w:val="0"/>
      <w:divBdr>
        <w:top w:val="none" w:sz="0" w:space="0" w:color="auto"/>
        <w:left w:val="none" w:sz="0" w:space="0" w:color="auto"/>
        <w:bottom w:val="none" w:sz="0" w:space="0" w:color="auto"/>
        <w:right w:val="none" w:sz="0" w:space="0" w:color="auto"/>
      </w:divBdr>
    </w:div>
    <w:div w:id="1325157678">
      <w:bodyDiv w:val="1"/>
      <w:marLeft w:val="0"/>
      <w:marRight w:val="0"/>
      <w:marTop w:val="0"/>
      <w:marBottom w:val="0"/>
      <w:divBdr>
        <w:top w:val="none" w:sz="0" w:space="0" w:color="auto"/>
        <w:left w:val="none" w:sz="0" w:space="0" w:color="auto"/>
        <w:bottom w:val="none" w:sz="0" w:space="0" w:color="auto"/>
        <w:right w:val="none" w:sz="0" w:space="0" w:color="auto"/>
      </w:divBdr>
    </w:div>
    <w:div w:id="1349218632">
      <w:bodyDiv w:val="1"/>
      <w:marLeft w:val="0"/>
      <w:marRight w:val="0"/>
      <w:marTop w:val="0"/>
      <w:marBottom w:val="0"/>
      <w:divBdr>
        <w:top w:val="none" w:sz="0" w:space="0" w:color="auto"/>
        <w:left w:val="none" w:sz="0" w:space="0" w:color="auto"/>
        <w:bottom w:val="none" w:sz="0" w:space="0" w:color="auto"/>
        <w:right w:val="none" w:sz="0" w:space="0" w:color="auto"/>
      </w:divBdr>
    </w:div>
    <w:div w:id="1367024836">
      <w:bodyDiv w:val="1"/>
      <w:marLeft w:val="0"/>
      <w:marRight w:val="0"/>
      <w:marTop w:val="0"/>
      <w:marBottom w:val="0"/>
      <w:divBdr>
        <w:top w:val="none" w:sz="0" w:space="0" w:color="auto"/>
        <w:left w:val="none" w:sz="0" w:space="0" w:color="auto"/>
        <w:bottom w:val="none" w:sz="0" w:space="0" w:color="auto"/>
        <w:right w:val="none" w:sz="0" w:space="0" w:color="auto"/>
      </w:divBdr>
    </w:div>
    <w:div w:id="1475836111">
      <w:bodyDiv w:val="1"/>
      <w:marLeft w:val="0"/>
      <w:marRight w:val="0"/>
      <w:marTop w:val="0"/>
      <w:marBottom w:val="0"/>
      <w:divBdr>
        <w:top w:val="none" w:sz="0" w:space="0" w:color="auto"/>
        <w:left w:val="none" w:sz="0" w:space="0" w:color="auto"/>
        <w:bottom w:val="none" w:sz="0" w:space="0" w:color="auto"/>
        <w:right w:val="none" w:sz="0" w:space="0" w:color="auto"/>
      </w:divBdr>
    </w:div>
    <w:div w:id="1531530450">
      <w:bodyDiv w:val="1"/>
      <w:marLeft w:val="0"/>
      <w:marRight w:val="0"/>
      <w:marTop w:val="0"/>
      <w:marBottom w:val="0"/>
      <w:divBdr>
        <w:top w:val="none" w:sz="0" w:space="0" w:color="auto"/>
        <w:left w:val="none" w:sz="0" w:space="0" w:color="auto"/>
        <w:bottom w:val="none" w:sz="0" w:space="0" w:color="auto"/>
        <w:right w:val="none" w:sz="0" w:space="0" w:color="auto"/>
      </w:divBdr>
    </w:div>
    <w:div w:id="1599559031">
      <w:bodyDiv w:val="1"/>
      <w:marLeft w:val="0"/>
      <w:marRight w:val="0"/>
      <w:marTop w:val="0"/>
      <w:marBottom w:val="0"/>
      <w:divBdr>
        <w:top w:val="none" w:sz="0" w:space="0" w:color="auto"/>
        <w:left w:val="none" w:sz="0" w:space="0" w:color="auto"/>
        <w:bottom w:val="none" w:sz="0" w:space="0" w:color="auto"/>
        <w:right w:val="none" w:sz="0" w:space="0" w:color="auto"/>
      </w:divBdr>
    </w:div>
    <w:div w:id="1602294805">
      <w:bodyDiv w:val="1"/>
      <w:marLeft w:val="0"/>
      <w:marRight w:val="0"/>
      <w:marTop w:val="0"/>
      <w:marBottom w:val="0"/>
      <w:divBdr>
        <w:top w:val="none" w:sz="0" w:space="0" w:color="auto"/>
        <w:left w:val="none" w:sz="0" w:space="0" w:color="auto"/>
        <w:bottom w:val="none" w:sz="0" w:space="0" w:color="auto"/>
        <w:right w:val="none" w:sz="0" w:space="0" w:color="auto"/>
      </w:divBdr>
    </w:div>
    <w:div w:id="1709988104">
      <w:bodyDiv w:val="1"/>
      <w:marLeft w:val="0"/>
      <w:marRight w:val="0"/>
      <w:marTop w:val="0"/>
      <w:marBottom w:val="0"/>
      <w:divBdr>
        <w:top w:val="none" w:sz="0" w:space="0" w:color="auto"/>
        <w:left w:val="none" w:sz="0" w:space="0" w:color="auto"/>
        <w:bottom w:val="none" w:sz="0" w:space="0" w:color="auto"/>
        <w:right w:val="none" w:sz="0" w:space="0" w:color="auto"/>
      </w:divBdr>
    </w:div>
    <w:div w:id="1773281283">
      <w:bodyDiv w:val="1"/>
      <w:marLeft w:val="0"/>
      <w:marRight w:val="0"/>
      <w:marTop w:val="0"/>
      <w:marBottom w:val="0"/>
      <w:divBdr>
        <w:top w:val="none" w:sz="0" w:space="0" w:color="auto"/>
        <w:left w:val="none" w:sz="0" w:space="0" w:color="auto"/>
        <w:bottom w:val="none" w:sz="0" w:space="0" w:color="auto"/>
        <w:right w:val="none" w:sz="0" w:space="0" w:color="auto"/>
      </w:divBdr>
    </w:div>
    <w:div w:id="1801995072">
      <w:bodyDiv w:val="1"/>
      <w:marLeft w:val="0"/>
      <w:marRight w:val="0"/>
      <w:marTop w:val="0"/>
      <w:marBottom w:val="0"/>
      <w:divBdr>
        <w:top w:val="none" w:sz="0" w:space="0" w:color="auto"/>
        <w:left w:val="none" w:sz="0" w:space="0" w:color="auto"/>
        <w:bottom w:val="none" w:sz="0" w:space="0" w:color="auto"/>
        <w:right w:val="none" w:sz="0" w:space="0" w:color="auto"/>
      </w:divBdr>
    </w:div>
    <w:div w:id="1846549742">
      <w:bodyDiv w:val="1"/>
      <w:marLeft w:val="0"/>
      <w:marRight w:val="0"/>
      <w:marTop w:val="0"/>
      <w:marBottom w:val="0"/>
      <w:divBdr>
        <w:top w:val="none" w:sz="0" w:space="0" w:color="auto"/>
        <w:left w:val="none" w:sz="0" w:space="0" w:color="auto"/>
        <w:bottom w:val="none" w:sz="0" w:space="0" w:color="auto"/>
        <w:right w:val="none" w:sz="0" w:space="0" w:color="auto"/>
      </w:divBdr>
    </w:div>
    <w:div w:id="2014141409">
      <w:bodyDiv w:val="1"/>
      <w:marLeft w:val="0"/>
      <w:marRight w:val="0"/>
      <w:marTop w:val="0"/>
      <w:marBottom w:val="0"/>
      <w:divBdr>
        <w:top w:val="none" w:sz="0" w:space="0" w:color="auto"/>
        <w:left w:val="none" w:sz="0" w:space="0" w:color="auto"/>
        <w:bottom w:val="none" w:sz="0" w:space="0" w:color="auto"/>
        <w:right w:val="none" w:sz="0" w:space="0" w:color="auto"/>
      </w:divBdr>
    </w:div>
    <w:div w:id="2089106674">
      <w:bodyDiv w:val="1"/>
      <w:marLeft w:val="0"/>
      <w:marRight w:val="0"/>
      <w:marTop w:val="0"/>
      <w:marBottom w:val="0"/>
      <w:divBdr>
        <w:top w:val="none" w:sz="0" w:space="0" w:color="auto"/>
        <w:left w:val="none" w:sz="0" w:space="0" w:color="auto"/>
        <w:bottom w:val="none" w:sz="0" w:space="0" w:color="auto"/>
        <w:right w:val="none" w:sz="0" w:space="0" w:color="auto"/>
      </w:divBdr>
    </w:div>
    <w:div w:id="2097898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darlow@liverpool.ac.uk" TargetMode="External"/><Relationship Id="rId13" Type="http://schemas.openxmlformats.org/officeDocument/2006/relationships/image" Target="media/image3.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lapk.org/pmetrics.php" TargetMode="External"/><Relationship Id="rId4" Type="http://schemas.openxmlformats.org/officeDocument/2006/relationships/settings" Target="settings.xml"/><Relationship Id="rId9" Type="http://schemas.openxmlformats.org/officeDocument/2006/relationships/hyperlink" Target="https://bmsr.usc.edu/software/adapt/" TargetMode="Externa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2C0ED-7FA0-D640-98E4-9E6EDB93F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37081</Words>
  <Characters>211363</Characters>
  <Application>Microsoft Office Word</Application>
  <DocSecurity>0</DocSecurity>
  <Lines>1761</Lines>
  <Paragraphs>495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Darlow, Christopher</dc:creator>
  <cp:keywords/>
  <dc:description/>
  <cp:lastModifiedBy>Darlow, Christopher</cp:lastModifiedBy>
  <cp:revision>2</cp:revision>
  <cp:lastPrinted>2021-02-19T14:46:00Z</cp:lastPrinted>
  <dcterms:created xsi:type="dcterms:W3CDTF">2021-04-30T08:23:00Z</dcterms:created>
  <dcterms:modified xsi:type="dcterms:W3CDTF">2021-04-30T08:23:00Z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http://www.zotero.org/styles/american-society-for-microbiology</vt:lpwstr>
  </property>
  <property fmtid="{D5CDD505-2E9C-101B-9397-08002B2CF9AE}" pid="5" name="Mendeley Recent Style Name 1_1">
    <vt:lpwstr>American Society for Microbiology</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http://www.zotero.org/styles/journal-of-antimicrobial-chemotherapy</vt:lpwstr>
  </property>
  <property fmtid="{D5CDD505-2E9C-101B-9397-08002B2CF9AE}" pid="15" name="Mendeley Recent Style Name 6_1">
    <vt:lpwstr>Journal of Antimicrobial Chemotherapy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50d4b2ca-1d8f-3775-ade6-d2047fd26fc1</vt:lpwstr>
  </property>
  <property fmtid="{D5CDD505-2E9C-101B-9397-08002B2CF9AE}" pid="24" name="Mendeley Citation Style_1">
    <vt:lpwstr>http://www.zotero.org/styles/american-society-for-microbiology</vt:lpwstr>
  </property>
</Properties>
</file>