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AF" w:rsidRDefault="006E4BAF" w:rsidP="006E4BAF">
      <w:pPr>
        <w:pStyle w:val="Heading3"/>
        <w:spacing w:line="480" w:lineRule="auto"/>
        <w:jc w:val="both"/>
        <w:rPr>
          <w:rFonts w:asciiTheme="minorHAnsi" w:hAnsiTheme="minorHAnsi" w:cstheme="minorHAnsi"/>
          <w:sz w:val="22"/>
          <w:szCs w:val="22"/>
        </w:rPr>
      </w:pPr>
      <w:r>
        <w:rPr>
          <w:rFonts w:asciiTheme="minorHAnsi" w:hAnsiTheme="minorHAnsi" w:cstheme="minorHAnsi"/>
          <w:sz w:val="22"/>
          <w:szCs w:val="22"/>
        </w:rPr>
        <w:t>Supplementary Text</w:t>
      </w:r>
    </w:p>
    <w:p w:rsidR="006E4BAF" w:rsidRPr="008203C6" w:rsidRDefault="006E4BAF" w:rsidP="006E4BAF">
      <w:pPr>
        <w:pStyle w:val="Heading3"/>
        <w:spacing w:line="480" w:lineRule="auto"/>
        <w:jc w:val="both"/>
        <w:rPr>
          <w:rFonts w:asciiTheme="minorHAnsi" w:hAnsiTheme="minorHAnsi" w:cstheme="minorHAnsi"/>
          <w:sz w:val="22"/>
          <w:szCs w:val="22"/>
        </w:rPr>
      </w:pPr>
      <w:r w:rsidRPr="008203C6">
        <w:rPr>
          <w:rFonts w:asciiTheme="minorHAnsi" w:hAnsiTheme="minorHAnsi" w:cstheme="minorHAnsi"/>
          <w:sz w:val="22"/>
          <w:szCs w:val="22"/>
        </w:rPr>
        <w:t>Lymphocyte Proliferation Assay and PBMC ELIspot</w:t>
      </w:r>
    </w:p>
    <w:p w:rsidR="006E4BAF" w:rsidRPr="00984C26" w:rsidRDefault="006E4BAF" w:rsidP="006E4BAF">
      <w:pPr>
        <w:spacing w:line="480" w:lineRule="auto"/>
        <w:jc w:val="both"/>
        <w:rPr>
          <w:rFonts w:cstheme="minorHAnsi"/>
        </w:rPr>
      </w:pPr>
      <w:r>
        <w:rPr>
          <w:rFonts w:cstheme="minorHAnsi"/>
        </w:rPr>
        <w:t>PBMC</w:t>
      </w:r>
      <w:r w:rsidRPr="008203C6">
        <w:rPr>
          <w:rFonts w:cstheme="minorHAnsi"/>
        </w:rPr>
        <w:t xml:space="preserve"> from study patients (1x10</w:t>
      </w:r>
      <w:r w:rsidRPr="008203C6">
        <w:rPr>
          <w:rFonts w:cstheme="minorHAnsi"/>
          <w:vertAlign w:val="superscript"/>
        </w:rPr>
        <w:t>5</w:t>
      </w:r>
      <w:r w:rsidRPr="008203C6">
        <w:rPr>
          <w:rFonts w:cstheme="minorHAnsi"/>
        </w:rPr>
        <w:t xml:space="preserve">/well) were incubated with </w:t>
      </w:r>
      <w:r w:rsidRPr="008203C6">
        <w:rPr>
          <w:rFonts w:cstheme="minorHAnsi"/>
          <w:iCs/>
        </w:rPr>
        <w:t>a</w:t>
      </w:r>
      <w:r w:rsidRPr="008203C6">
        <w:rPr>
          <w:rFonts w:cstheme="minorHAnsi"/>
          <w:lang w:val="en-US"/>
        </w:rPr>
        <w:t xml:space="preserve">tabecestat </w:t>
      </w:r>
      <w:r w:rsidRPr="008203C6">
        <w:rPr>
          <w:rFonts w:cstheme="minorHAnsi"/>
        </w:rPr>
        <w:t xml:space="preserve">and its metabolites; </w:t>
      </w:r>
      <w:r w:rsidRPr="008203C6">
        <w:rPr>
          <w:rFonts w:cstheme="minorHAnsi"/>
          <w:iCs/>
        </w:rPr>
        <w:t xml:space="preserve">[DIAT], </w:t>
      </w:r>
      <w:r w:rsidRPr="008203C6">
        <w:rPr>
          <w:rFonts w:cstheme="minorHAnsi"/>
          <w:i/>
          <w:iCs/>
        </w:rPr>
        <w:t>N</w:t>
      </w:r>
      <w:r w:rsidRPr="008203C6">
        <w:rPr>
          <w:rFonts w:cstheme="minorHAnsi"/>
          <w:iCs/>
        </w:rPr>
        <w:t>-acetyl-DIAT and a</w:t>
      </w:r>
      <w:r w:rsidRPr="008203C6">
        <w:rPr>
          <w:rFonts w:cstheme="minorHAnsi"/>
          <w:lang w:val="en-US"/>
        </w:rPr>
        <w:t xml:space="preserve">tabecestat </w:t>
      </w:r>
      <w:r w:rsidRPr="008203C6">
        <w:rPr>
          <w:rFonts w:cstheme="minorHAnsi"/>
          <w:iCs/>
        </w:rPr>
        <w:t>epoxide</w:t>
      </w:r>
      <w:r w:rsidRPr="008203C6">
        <w:rPr>
          <w:rFonts w:cstheme="minorHAnsi"/>
        </w:rPr>
        <w:t xml:space="preserve"> </w:t>
      </w:r>
      <w:r>
        <w:rPr>
          <w:rFonts w:cstheme="minorHAnsi"/>
        </w:rPr>
        <w:t xml:space="preserve">(12.5-100µM) </w:t>
      </w:r>
      <w:r w:rsidRPr="008203C6">
        <w:rPr>
          <w:rFonts w:cstheme="minorHAnsi"/>
        </w:rPr>
        <w:t>in cell culture medium for a period of 5 days.</w:t>
      </w:r>
      <w:r w:rsidRPr="006F2B7F">
        <w:t xml:space="preserve"> </w:t>
      </w:r>
      <w:r w:rsidRPr="004C14AC">
        <w:rPr>
          <w:rFonts w:cstheme="minorHAnsi"/>
        </w:rPr>
        <w:t>Cell culture medium for T-cell</w:t>
      </w:r>
      <w:r>
        <w:rPr>
          <w:rFonts w:cstheme="minorHAnsi"/>
        </w:rPr>
        <w:t xml:space="preserve"> experiments</w:t>
      </w:r>
      <w:r w:rsidRPr="004C14AC">
        <w:rPr>
          <w:rFonts w:cstheme="minorHAnsi"/>
        </w:rPr>
        <w:t xml:space="preserve"> was composed of Roswell Park Memorial Institute (RPMI) supplemented with 10% human AB serum, HEPES (25 mM), penicillin (1000 U/mL), streptomycin (0.1</w:t>
      </w:r>
      <w:r>
        <w:rPr>
          <w:rFonts w:cstheme="minorHAnsi"/>
        </w:rPr>
        <w:t xml:space="preserve"> </w:t>
      </w:r>
      <w:r w:rsidRPr="004C14AC">
        <w:rPr>
          <w:rFonts w:cstheme="minorHAnsi"/>
        </w:rPr>
        <w:t>mg/mL), L-glutamine (2</w:t>
      </w:r>
      <w:r>
        <w:rPr>
          <w:rFonts w:cstheme="minorHAnsi"/>
        </w:rPr>
        <w:t xml:space="preserve"> </w:t>
      </w:r>
      <w:r w:rsidRPr="004C14AC">
        <w:rPr>
          <w:rFonts w:cstheme="minorHAnsi"/>
        </w:rPr>
        <w:t>mM) and transferrin (25 µg/</w:t>
      </w:r>
      <w:r w:rsidRPr="00876144">
        <w:rPr>
          <w:rFonts w:cstheme="minorHAnsi"/>
        </w:rPr>
        <w:t xml:space="preserve">mL). </w:t>
      </w:r>
      <w:r w:rsidRPr="008203C6">
        <w:rPr>
          <w:rFonts w:cstheme="minorHAnsi"/>
        </w:rPr>
        <w:t>[</w:t>
      </w:r>
      <w:r w:rsidRPr="008203C6">
        <w:rPr>
          <w:rFonts w:cstheme="minorHAnsi"/>
          <w:vertAlign w:val="superscript"/>
        </w:rPr>
        <w:t>3</w:t>
      </w:r>
      <w:r w:rsidRPr="008203C6">
        <w:rPr>
          <w:rFonts w:cstheme="minorHAnsi"/>
        </w:rPr>
        <w:t>H] thymidine was added for an additional 16 hours and T-cell proliferation was measured using scintillation counting</w:t>
      </w:r>
      <w:r>
        <w:rPr>
          <w:rFonts w:cstheme="minorHAnsi"/>
        </w:rPr>
        <w:t xml:space="preserve"> (MicroBeta 2, Perkin Elmer)</w:t>
      </w:r>
      <w:r w:rsidRPr="008203C6">
        <w:rPr>
          <w:rFonts w:cstheme="minorHAnsi"/>
        </w:rPr>
        <w:t xml:space="preserve">. </w:t>
      </w:r>
      <w:r w:rsidRPr="006F2B7F">
        <w:t>PBMCs collected from 2 healthy volunteers, were subjected to the l</w:t>
      </w:r>
      <w:r>
        <w:t xml:space="preserve">ymphocyte proliferation assay </w:t>
      </w:r>
      <w:r w:rsidRPr="006F2B7F">
        <w:t>using the same compounds as comparators</w:t>
      </w:r>
      <w:r w:rsidRPr="00E32B2A">
        <w:t>. To ascertain appro</w:t>
      </w:r>
      <w:r>
        <w:t>pr</w:t>
      </w:r>
      <w:r w:rsidRPr="00E32B2A">
        <w:t>iate study compound concentrations for testing PBMC to</w:t>
      </w:r>
      <w:r w:rsidRPr="00E32B2A">
        <w:rPr>
          <w:rFonts w:cstheme="minorHAnsi"/>
        </w:rPr>
        <w:t xml:space="preserve">xicity was assessed </w:t>
      </w:r>
      <w:r>
        <w:rPr>
          <w:rFonts w:cstheme="minorHAnsi"/>
        </w:rPr>
        <w:t xml:space="preserve">using trypan blue dye exclusion. Subsequently the concentrations of the compounds that inhibited mitogen-driven PBMC proliferation was measured. Since concentrations of </w:t>
      </w:r>
      <w:r w:rsidRPr="00E32B2A">
        <w:rPr>
          <w:rFonts w:cstheme="minorHAnsi"/>
        </w:rPr>
        <w:t>100</w:t>
      </w:r>
      <w:r>
        <w:rPr>
          <w:rFonts w:cstheme="minorHAnsi"/>
        </w:rPr>
        <w:t xml:space="preserve"> µ</w:t>
      </w:r>
      <w:r w:rsidRPr="00E32B2A">
        <w:rPr>
          <w:rFonts w:cstheme="minorHAnsi"/>
        </w:rPr>
        <w:t xml:space="preserve">M </w:t>
      </w:r>
      <w:r>
        <w:rPr>
          <w:rFonts w:cstheme="minorHAnsi"/>
        </w:rPr>
        <w:t>did not inhibit proliferation</w:t>
      </w:r>
      <w:r w:rsidRPr="00E32B2A">
        <w:rPr>
          <w:rFonts w:cstheme="minorHAnsi"/>
        </w:rPr>
        <w:t xml:space="preserve"> in PBMC</w:t>
      </w:r>
      <w:r>
        <w:rPr>
          <w:rFonts w:cstheme="minorHAnsi"/>
        </w:rPr>
        <w:t xml:space="preserve"> all experiments were conducted</w:t>
      </w:r>
      <w:r w:rsidRPr="00E32B2A">
        <w:rPr>
          <w:rFonts w:cstheme="minorHAnsi"/>
        </w:rPr>
        <w:t xml:space="preserve"> at </w:t>
      </w:r>
      <w:r>
        <w:rPr>
          <w:rFonts w:cstheme="minorHAnsi"/>
        </w:rPr>
        <w:t xml:space="preserve">study compounds </w:t>
      </w:r>
      <w:r w:rsidRPr="00E32B2A">
        <w:rPr>
          <w:rFonts w:cstheme="minorHAnsi"/>
        </w:rPr>
        <w:t>concentrations of 100microM and below.</w:t>
      </w:r>
      <w:r w:rsidRPr="00E32B2A">
        <w:rPr>
          <w:rFonts w:cstheme="minorHAnsi"/>
          <w:b/>
        </w:rPr>
        <w:t xml:space="preserve"> </w:t>
      </w:r>
      <w:r w:rsidRPr="008203C6">
        <w:rPr>
          <w:rFonts w:cstheme="minorHAnsi"/>
        </w:rPr>
        <w:t xml:space="preserve">Secretion of IFN-γ and </w:t>
      </w:r>
      <w:r>
        <w:rPr>
          <w:rFonts w:cstheme="minorHAnsi"/>
        </w:rPr>
        <w:t>granzyme B</w:t>
      </w:r>
      <w:r w:rsidRPr="008203C6">
        <w:rPr>
          <w:rFonts w:cstheme="minorHAnsi"/>
        </w:rPr>
        <w:t xml:space="preserve"> </w:t>
      </w:r>
      <w:r>
        <w:rPr>
          <w:rFonts w:cstheme="minorHAnsi"/>
        </w:rPr>
        <w:t xml:space="preserve">from patient and healthy donor PBMC </w:t>
      </w:r>
      <w:r w:rsidRPr="008203C6">
        <w:rPr>
          <w:rFonts w:cstheme="minorHAnsi"/>
        </w:rPr>
        <w:t>was visualised using</w:t>
      </w:r>
      <w:r>
        <w:rPr>
          <w:rFonts w:cstheme="minorHAnsi"/>
        </w:rPr>
        <w:t xml:space="preserve"> the</w:t>
      </w:r>
      <w:r w:rsidRPr="008203C6">
        <w:rPr>
          <w:rFonts w:cstheme="minorHAnsi"/>
        </w:rPr>
        <w:t xml:space="preserve"> ELIspot</w:t>
      </w:r>
      <w:r>
        <w:rPr>
          <w:rFonts w:cstheme="minorHAnsi"/>
        </w:rPr>
        <w:t xml:space="preserve"> assay. </w:t>
      </w:r>
      <w:r w:rsidRPr="00431453">
        <w:t xml:space="preserve">ELIspot plates (Merck Millipore, Tullagreen, Cork, IRL) were activated with 15 µL of 35% </w:t>
      </w:r>
      <w:r>
        <w:t>ethanol</w:t>
      </w:r>
      <w:r w:rsidRPr="00431453">
        <w:t xml:space="preserve"> and washed </w:t>
      </w:r>
      <w:r>
        <w:t>5 times with d</w:t>
      </w:r>
      <w:r w:rsidRPr="006F2B7F">
        <w:t>H</w:t>
      </w:r>
      <w:r w:rsidRPr="006F2B7F">
        <w:rPr>
          <w:vertAlign w:val="subscript"/>
        </w:rPr>
        <w:t>2</w:t>
      </w:r>
      <w:r w:rsidRPr="006F2B7F">
        <w:t>O. The plates were then coated with 100 µL/well of IFN-γ and Granzyme B capture antibodies (15 µg/mL) and incubated overnight at 4</w:t>
      </w:r>
      <w:r w:rsidRPr="00992ED9">
        <w:t>°</w:t>
      </w:r>
      <w:r w:rsidRPr="00431453">
        <w:t>C. The following day,</w:t>
      </w:r>
      <w:r w:rsidRPr="006F2B7F">
        <w:t xml:space="preserve"> wells were washed and then blocked with medium at room temperature for a period of 30 minutes. Next, PBMCs (5x10</w:t>
      </w:r>
      <w:r w:rsidRPr="006F2B7F">
        <w:rPr>
          <w:vertAlign w:val="superscript"/>
        </w:rPr>
        <w:t>5</w:t>
      </w:r>
      <w:r w:rsidRPr="006F2B7F">
        <w:t xml:space="preserve">/100 µL) were incubated in the presence of </w:t>
      </w:r>
      <w:r w:rsidRPr="004C14AC">
        <w:rPr>
          <w:rFonts w:cstheme="minorHAnsi"/>
        </w:rPr>
        <w:t xml:space="preserve">atabecestat </w:t>
      </w:r>
      <w:r w:rsidRPr="006F2B7F">
        <w:t xml:space="preserve">and its metabolites (DIAT, </w:t>
      </w:r>
      <w:r w:rsidRPr="008203C6">
        <w:rPr>
          <w:rFonts w:cstheme="minorHAnsi"/>
          <w:i/>
          <w:iCs/>
        </w:rPr>
        <w:t>N</w:t>
      </w:r>
      <w:r w:rsidRPr="008203C6">
        <w:rPr>
          <w:rFonts w:cstheme="minorHAnsi"/>
          <w:iCs/>
        </w:rPr>
        <w:t>-acetyl-DIAT</w:t>
      </w:r>
      <w:r>
        <w:rPr>
          <w:rFonts w:cstheme="minorHAnsi"/>
          <w:iCs/>
        </w:rPr>
        <w:t xml:space="preserve"> and </w:t>
      </w:r>
      <w:r w:rsidRPr="004C14AC">
        <w:rPr>
          <w:rFonts w:cstheme="minorHAnsi"/>
        </w:rPr>
        <w:t xml:space="preserve">atabecestat </w:t>
      </w:r>
      <w:r>
        <w:rPr>
          <w:rFonts w:cstheme="minorHAnsi"/>
        </w:rPr>
        <w:t>e</w:t>
      </w:r>
      <w:r w:rsidRPr="006F2B7F">
        <w:t>poxide)</w:t>
      </w:r>
      <w:r>
        <w:t xml:space="preserve"> at concentrations of 0-50 µM</w:t>
      </w:r>
      <w:r w:rsidRPr="006F2B7F">
        <w:t xml:space="preserve">. Following incubation, the ELIspot plate was developed for IFN-γ and </w:t>
      </w:r>
      <w:r>
        <w:t>granzyme B</w:t>
      </w:r>
      <w:r w:rsidRPr="006F2B7F">
        <w:t xml:space="preserve"> according to the manufacturer’s </w:t>
      </w:r>
      <w:r w:rsidRPr="00984C26">
        <w:rPr>
          <w:rFonts w:cstheme="minorHAnsi"/>
        </w:rPr>
        <w:t xml:space="preserve">instructions and spots were counted using an AID ELIspot reader (Cadama Medical, Stourbridge, UK). </w:t>
      </w:r>
    </w:p>
    <w:p w:rsidR="006E4BAF" w:rsidRPr="005127E9" w:rsidRDefault="006E4BAF" w:rsidP="006E4BAF">
      <w:pPr>
        <w:pStyle w:val="Heading3"/>
        <w:spacing w:line="480" w:lineRule="auto"/>
        <w:jc w:val="both"/>
        <w:rPr>
          <w:rFonts w:asciiTheme="minorHAnsi" w:hAnsiTheme="minorHAnsi" w:cstheme="minorHAnsi"/>
          <w:sz w:val="22"/>
          <w:szCs w:val="22"/>
        </w:rPr>
      </w:pPr>
      <w:r w:rsidRPr="005127E9">
        <w:rPr>
          <w:rFonts w:asciiTheme="minorHAnsi" w:hAnsiTheme="minorHAnsi" w:cstheme="minorHAnsi"/>
          <w:sz w:val="22"/>
          <w:szCs w:val="22"/>
        </w:rPr>
        <w:t>Generation of study compound-specific T-cell clones</w:t>
      </w:r>
    </w:p>
    <w:p w:rsidR="006E4BAF" w:rsidRDefault="006E4BAF" w:rsidP="006E4BAF">
      <w:pPr>
        <w:pStyle w:val="BodyText12"/>
        <w:spacing w:line="480" w:lineRule="auto"/>
        <w:rPr>
          <w:rFonts w:asciiTheme="minorHAnsi" w:hAnsiTheme="minorHAnsi" w:cstheme="minorHAnsi"/>
          <w:sz w:val="22"/>
        </w:rPr>
      </w:pPr>
      <w:r w:rsidRPr="00876144">
        <w:rPr>
          <w:rFonts w:asciiTheme="minorHAnsi" w:hAnsiTheme="minorHAnsi" w:cstheme="minorHAnsi"/>
          <w:sz w:val="22"/>
        </w:rPr>
        <w:t xml:space="preserve">T-cell cloning was conducted to </w:t>
      </w:r>
      <w:r w:rsidRPr="004C14AC">
        <w:rPr>
          <w:rFonts w:asciiTheme="minorHAnsi" w:hAnsiTheme="minorHAnsi" w:cstheme="minorHAnsi"/>
          <w:sz w:val="22"/>
          <w:szCs w:val="22"/>
        </w:rPr>
        <w:t xml:space="preserve">atabecestat </w:t>
      </w:r>
      <w:r w:rsidRPr="00876144">
        <w:rPr>
          <w:rFonts w:asciiTheme="minorHAnsi" w:hAnsiTheme="minorHAnsi" w:cstheme="minorHAnsi"/>
          <w:sz w:val="22"/>
        </w:rPr>
        <w:t>and DIAT in patien</w:t>
      </w:r>
      <w:r>
        <w:rPr>
          <w:rFonts w:asciiTheme="minorHAnsi" w:hAnsiTheme="minorHAnsi" w:cstheme="minorHAnsi"/>
          <w:sz w:val="22"/>
        </w:rPr>
        <w:t xml:space="preserve">ts 1, 4, 5, 6, 7, 9, 12 and 13 and </w:t>
      </w:r>
      <w:r w:rsidRPr="00876144">
        <w:rPr>
          <w:rFonts w:asciiTheme="minorHAnsi" w:hAnsiTheme="minorHAnsi" w:cstheme="minorHAnsi"/>
          <w:sz w:val="22"/>
        </w:rPr>
        <w:t xml:space="preserve">to </w:t>
      </w:r>
      <w:r>
        <w:rPr>
          <w:rFonts w:asciiTheme="minorHAnsi" w:hAnsiTheme="minorHAnsi" w:cstheme="minorHAnsi"/>
          <w:sz w:val="22"/>
          <w:szCs w:val="22"/>
        </w:rPr>
        <w:t>atabecestat</w:t>
      </w:r>
      <w:r w:rsidRPr="00876144">
        <w:rPr>
          <w:rFonts w:asciiTheme="minorHAnsi" w:hAnsiTheme="minorHAnsi" w:cstheme="minorHAnsi"/>
          <w:sz w:val="22"/>
        </w:rPr>
        <w:t xml:space="preserve"> epoxide and </w:t>
      </w:r>
      <w:r>
        <w:rPr>
          <w:rFonts w:asciiTheme="minorHAnsi" w:hAnsiTheme="minorHAnsi" w:cstheme="minorHAnsi"/>
          <w:i/>
          <w:sz w:val="22"/>
        </w:rPr>
        <w:t>N-</w:t>
      </w:r>
      <w:r>
        <w:rPr>
          <w:rFonts w:asciiTheme="minorHAnsi" w:hAnsiTheme="minorHAnsi" w:cstheme="minorHAnsi"/>
          <w:sz w:val="22"/>
        </w:rPr>
        <w:t>acetyl DIAT</w:t>
      </w:r>
      <w:r w:rsidRPr="00876144">
        <w:rPr>
          <w:rFonts w:asciiTheme="minorHAnsi" w:hAnsiTheme="minorHAnsi" w:cstheme="minorHAnsi"/>
          <w:sz w:val="22"/>
        </w:rPr>
        <w:t xml:space="preserve"> in patients 4, 6 and 12. Drug-responsive T-cell lines were </w:t>
      </w:r>
      <w:r w:rsidRPr="00876144">
        <w:rPr>
          <w:rFonts w:asciiTheme="minorHAnsi" w:hAnsiTheme="minorHAnsi" w:cstheme="minorHAnsi"/>
          <w:sz w:val="22"/>
        </w:rPr>
        <w:lastRenderedPageBreak/>
        <w:t xml:space="preserve">generated </w:t>
      </w:r>
      <w:r>
        <w:rPr>
          <w:rFonts w:asciiTheme="minorHAnsi" w:hAnsiTheme="minorHAnsi" w:cstheme="minorHAnsi"/>
          <w:sz w:val="22"/>
        </w:rPr>
        <w:t>via the culture of subject PBMC</w:t>
      </w:r>
      <w:r w:rsidRPr="00876144">
        <w:rPr>
          <w:rFonts w:asciiTheme="minorHAnsi" w:hAnsiTheme="minorHAnsi" w:cstheme="minorHAnsi"/>
          <w:sz w:val="22"/>
        </w:rPr>
        <w:t xml:space="preserve"> in the presence of the </w:t>
      </w:r>
      <w:r>
        <w:rPr>
          <w:rFonts w:asciiTheme="minorHAnsi" w:hAnsiTheme="minorHAnsi" w:cstheme="minorHAnsi"/>
          <w:sz w:val="22"/>
        </w:rPr>
        <w:t>study compounds</w:t>
      </w:r>
      <w:r w:rsidRPr="00876144">
        <w:rPr>
          <w:rFonts w:asciiTheme="minorHAnsi" w:hAnsiTheme="minorHAnsi" w:cstheme="minorHAnsi"/>
          <w:sz w:val="22"/>
        </w:rPr>
        <w:t xml:space="preserve"> for a period of 14 days</w:t>
      </w:r>
      <w:r>
        <w:rPr>
          <w:rFonts w:asciiTheme="minorHAnsi" w:hAnsiTheme="minorHAnsi" w:cstheme="minorHAnsi"/>
          <w:sz w:val="22"/>
        </w:rPr>
        <w:t>.</w:t>
      </w:r>
      <w:r w:rsidRPr="00876144">
        <w:rPr>
          <w:rFonts w:asciiTheme="minorHAnsi" w:hAnsiTheme="minorHAnsi" w:cstheme="minorHAnsi"/>
          <w:sz w:val="22"/>
        </w:rPr>
        <w:t xml:space="preserve"> IL</w:t>
      </w:r>
      <w:r w:rsidRPr="00876144">
        <w:rPr>
          <w:rFonts w:asciiTheme="minorHAnsi" w:hAnsiTheme="minorHAnsi" w:cstheme="minorHAnsi"/>
          <w:sz w:val="22"/>
        </w:rPr>
        <w:noBreakHyphen/>
        <w:t xml:space="preserve">2 (100 U/mL) was </w:t>
      </w:r>
      <w:r w:rsidRPr="00876144">
        <w:rPr>
          <w:rFonts w:asciiTheme="minorHAnsi" w:hAnsiTheme="minorHAnsi" w:cstheme="minorHAnsi"/>
          <w:sz w:val="22"/>
          <w:lang w:val="en-GB"/>
        </w:rPr>
        <w:t>added</w:t>
      </w:r>
      <w:r w:rsidRPr="00876144">
        <w:rPr>
          <w:rFonts w:asciiTheme="minorHAnsi" w:hAnsiTheme="minorHAnsi" w:cstheme="minorHAnsi"/>
          <w:sz w:val="22"/>
        </w:rPr>
        <w:t xml:space="preserve"> on days 6 and 9 to maintain cellular proliferation. On day 14, T</w:t>
      </w:r>
      <w:r w:rsidRPr="00876144">
        <w:rPr>
          <w:rFonts w:asciiTheme="minorHAnsi" w:hAnsiTheme="minorHAnsi" w:cstheme="minorHAnsi"/>
          <w:sz w:val="22"/>
        </w:rPr>
        <w:noBreakHyphen/>
        <w:t>cells were cloned via means of serial dilution over a course of 4-8 weeks.</w:t>
      </w:r>
      <w:r w:rsidRPr="001470F5">
        <w:rPr>
          <w:rFonts w:asciiTheme="minorHAnsi" w:hAnsiTheme="minorHAnsi" w:cstheme="minorHAnsi"/>
          <w:sz w:val="22"/>
          <w:szCs w:val="22"/>
        </w:rPr>
        <w:t xml:space="preserve"> Briefly, </w:t>
      </w:r>
      <w:r w:rsidRPr="001470F5">
        <w:rPr>
          <w:rFonts w:asciiTheme="minorHAnsi" w:hAnsiTheme="minorHAnsi" w:cstheme="minorHAnsi"/>
          <w:sz w:val="22"/>
          <w:szCs w:val="22"/>
          <w:shd w:val="clear" w:color="auto" w:fill="FFFFFF"/>
        </w:rPr>
        <w:t xml:space="preserve"> cells from each individual </w:t>
      </w:r>
      <w:r>
        <w:rPr>
          <w:rFonts w:asciiTheme="minorHAnsi" w:hAnsiTheme="minorHAnsi" w:cstheme="minorHAnsi"/>
          <w:sz w:val="22"/>
          <w:szCs w:val="22"/>
          <w:shd w:val="clear" w:color="auto" w:fill="FFFFFF"/>
        </w:rPr>
        <w:t>T-cell line</w:t>
      </w:r>
      <w:r w:rsidRPr="001470F5">
        <w:rPr>
          <w:rFonts w:asciiTheme="minorHAnsi" w:hAnsiTheme="minorHAnsi" w:cstheme="minorHAnsi"/>
          <w:sz w:val="22"/>
          <w:szCs w:val="22"/>
          <w:shd w:val="clear" w:color="auto" w:fill="FFFFFF"/>
        </w:rPr>
        <w:t xml:space="preserve"> were seeded at </w:t>
      </w:r>
      <w:r>
        <w:rPr>
          <w:rFonts w:asciiTheme="minorHAnsi" w:hAnsiTheme="minorHAnsi" w:cstheme="minorHAnsi"/>
          <w:sz w:val="22"/>
          <w:szCs w:val="22"/>
          <w:shd w:val="clear" w:color="auto" w:fill="FFFFFF"/>
        </w:rPr>
        <w:t>0.3–3</w:t>
      </w:r>
      <w:r w:rsidRPr="001470F5">
        <w:rPr>
          <w:rFonts w:asciiTheme="minorHAnsi" w:hAnsiTheme="minorHAnsi" w:cstheme="minorHAnsi"/>
          <w:sz w:val="22"/>
          <w:szCs w:val="22"/>
          <w:shd w:val="clear" w:color="auto" w:fill="FFFFFF"/>
        </w:rPr>
        <w:t xml:space="preserve"> cells</w:t>
      </w:r>
      <w:r>
        <w:rPr>
          <w:rFonts w:asciiTheme="minorHAnsi" w:hAnsiTheme="minorHAnsi" w:cstheme="minorHAnsi"/>
          <w:sz w:val="22"/>
          <w:szCs w:val="22"/>
          <w:shd w:val="clear" w:color="auto" w:fill="FFFFFF"/>
        </w:rPr>
        <w:t>/well into 96-well round-bottomed</w:t>
      </w:r>
      <w:r w:rsidRPr="001470F5">
        <w:rPr>
          <w:rFonts w:asciiTheme="minorHAnsi" w:hAnsiTheme="minorHAnsi" w:cstheme="minorHAnsi"/>
          <w:sz w:val="22"/>
          <w:szCs w:val="22"/>
          <w:shd w:val="clear" w:color="auto" w:fill="FFFFFF"/>
        </w:rPr>
        <w:t xml:space="preserve"> plates and restimulated with 2</w:t>
      </w:r>
      <w:r>
        <w:rPr>
          <w:rFonts w:asciiTheme="minorHAnsi" w:hAnsiTheme="minorHAnsi" w:cstheme="minorHAnsi"/>
          <w:sz w:val="22"/>
          <w:szCs w:val="22"/>
          <w:shd w:val="clear" w:color="auto" w:fill="FFFFFF"/>
        </w:rPr>
        <w:t>.5×</w:t>
      </w:r>
      <w:r w:rsidRPr="001470F5">
        <w:rPr>
          <w:rFonts w:asciiTheme="minorHAnsi" w:hAnsiTheme="minorHAnsi" w:cstheme="minorHAnsi"/>
          <w:sz w:val="22"/>
          <w:szCs w:val="22"/>
          <w:shd w:val="clear" w:color="auto" w:fill="FFFFFF"/>
        </w:rPr>
        <w:t>10</w:t>
      </w:r>
      <w:r w:rsidRPr="001470F5">
        <w:rPr>
          <w:rFonts w:asciiTheme="minorHAnsi" w:hAnsiTheme="minorHAnsi" w:cstheme="minorHAnsi"/>
          <w:sz w:val="22"/>
          <w:szCs w:val="22"/>
          <w:bdr w:val="none" w:sz="0" w:space="0" w:color="auto" w:frame="1"/>
          <w:shd w:val="clear" w:color="auto" w:fill="FFFFFF"/>
          <w:vertAlign w:val="superscript"/>
        </w:rPr>
        <w:t>4</w:t>
      </w:r>
      <w:r w:rsidRPr="001470F5">
        <w:rPr>
          <w:rFonts w:asciiTheme="minorHAnsi" w:hAnsiTheme="minorHAnsi" w:cstheme="minorHAnsi"/>
          <w:sz w:val="22"/>
          <w:szCs w:val="22"/>
          <w:shd w:val="clear" w:color="auto" w:fill="FFFFFF"/>
        </w:rPr>
        <w:t xml:space="preserve"> allogeneic irradiated PBMC and PHA (1 μg/ml). </w:t>
      </w:r>
      <w:r>
        <w:rPr>
          <w:rFonts w:asciiTheme="minorHAnsi" w:hAnsiTheme="minorHAnsi" w:cstheme="minorHAnsi"/>
          <w:sz w:val="22"/>
          <w:szCs w:val="22"/>
          <w:shd w:val="clear" w:color="auto" w:fill="FFFFFF"/>
        </w:rPr>
        <w:t>Clones were maintained in IL-2 containing medium and t</w:t>
      </w:r>
      <w:r w:rsidRPr="001470F5">
        <w:rPr>
          <w:rFonts w:asciiTheme="minorHAnsi" w:hAnsiTheme="minorHAnsi" w:cstheme="minorHAnsi"/>
          <w:sz w:val="22"/>
          <w:szCs w:val="22"/>
          <w:shd w:val="clear" w:color="auto" w:fill="FFFFFF"/>
        </w:rPr>
        <w:t xml:space="preserve">wo weeks later, well-growing </w:t>
      </w:r>
      <w:r>
        <w:rPr>
          <w:rFonts w:asciiTheme="minorHAnsi" w:hAnsiTheme="minorHAnsi" w:cstheme="minorHAnsi"/>
          <w:sz w:val="22"/>
          <w:szCs w:val="22"/>
          <w:shd w:val="clear" w:color="auto" w:fill="FFFFFF"/>
        </w:rPr>
        <w:t>clones</w:t>
      </w:r>
      <w:r w:rsidRPr="001470F5">
        <w:rPr>
          <w:rFonts w:asciiTheme="minorHAnsi" w:hAnsiTheme="minorHAnsi" w:cstheme="minorHAnsi"/>
          <w:sz w:val="22"/>
          <w:szCs w:val="22"/>
          <w:shd w:val="clear" w:color="auto" w:fill="FFFFFF"/>
        </w:rPr>
        <w:t xml:space="preserve"> were harvested, propagated, and tested for </w:t>
      </w:r>
      <w:r>
        <w:rPr>
          <w:rFonts w:asciiTheme="minorHAnsi" w:hAnsiTheme="minorHAnsi" w:cstheme="minorHAnsi"/>
          <w:sz w:val="22"/>
          <w:szCs w:val="22"/>
          <w:shd w:val="clear" w:color="auto" w:fill="FFFFFF"/>
        </w:rPr>
        <w:t>atabecestat (metabolite) responses</w:t>
      </w:r>
      <w:r w:rsidRPr="001470F5">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876144">
        <w:rPr>
          <w:rFonts w:asciiTheme="minorHAnsi" w:hAnsiTheme="minorHAnsi" w:cstheme="minorHAnsi"/>
          <w:sz w:val="22"/>
        </w:rPr>
        <w:t>The specificity of T-cell clones was assessed by culturing T-cell clones (5x10</w:t>
      </w:r>
      <w:r w:rsidRPr="00876144">
        <w:rPr>
          <w:rFonts w:asciiTheme="minorHAnsi" w:hAnsiTheme="minorHAnsi" w:cstheme="minorHAnsi"/>
          <w:sz w:val="22"/>
          <w:vertAlign w:val="superscript"/>
        </w:rPr>
        <w:t>4</w:t>
      </w:r>
      <w:r w:rsidRPr="00876144">
        <w:rPr>
          <w:rFonts w:asciiTheme="minorHAnsi" w:hAnsiTheme="minorHAnsi" w:cstheme="minorHAnsi"/>
          <w:sz w:val="22"/>
        </w:rPr>
        <w:t xml:space="preserve">/50 µL) with autologous </w:t>
      </w:r>
      <w:r>
        <w:rPr>
          <w:rFonts w:asciiTheme="minorHAnsi" w:hAnsiTheme="minorHAnsi" w:cstheme="minorHAnsi"/>
          <w:sz w:val="22"/>
          <w:szCs w:val="22"/>
          <w:lang w:val="en-GB"/>
        </w:rPr>
        <w:t>e</w:t>
      </w:r>
      <w:r w:rsidRPr="00984C26">
        <w:rPr>
          <w:rFonts w:asciiTheme="minorHAnsi" w:hAnsiTheme="minorHAnsi" w:cstheme="minorHAnsi"/>
          <w:sz w:val="22"/>
          <w:szCs w:val="22"/>
          <w:lang w:val="en-GB"/>
        </w:rPr>
        <w:t>pstein-Bar</w:t>
      </w:r>
      <w:r>
        <w:rPr>
          <w:rFonts w:asciiTheme="minorHAnsi" w:hAnsiTheme="minorHAnsi" w:cstheme="minorHAnsi"/>
          <w:sz w:val="22"/>
          <w:szCs w:val="22"/>
          <w:lang w:val="en-GB"/>
        </w:rPr>
        <w:t>r virus (EBV)-</w:t>
      </w:r>
      <w:r w:rsidRPr="00876144">
        <w:rPr>
          <w:rFonts w:asciiTheme="minorHAnsi" w:hAnsiTheme="minorHAnsi" w:cstheme="minorHAnsi"/>
          <w:sz w:val="22"/>
        </w:rPr>
        <w:t>transformed B-cells (1x10</w:t>
      </w:r>
      <w:r w:rsidRPr="00876144">
        <w:rPr>
          <w:rFonts w:asciiTheme="minorHAnsi" w:hAnsiTheme="minorHAnsi" w:cstheme="minorHAnsi"/>
          <w:sz w:val="22"/>
          <w:vertAlign w:val="superscript"/>
        </w:rPr>
        <w:t>4</w:t>
      </w:r>
      <w:r w:rsidRPr="00876144">
        <w:rPr>
          <w:rFonts w:asciiTheme="minorHAnsi" w:hAnsiTheme="minorHAnsi" w:cstheme="minorHAnsi"/>
          <w:sz w:val="22"/>
        </w:rPr>
        <w:t xml:space="preserve">/50 µL) in the presence and absence of the </w:t>
      </w:r>
      <w:r>
        <w:rPr>
          <w:rFonts w:asciiTheme="minorHAnsi" w:hAnsiTheme="minorHAnsi" w:cstheme="minorHAnsi"/>
          <w:sz w:val="22"/>
        </w:rPr>
        <w:t>study compounds</w:t>
      </w:r>
      <w:r w:rsidRPr="00876144">
        <w:rPr>
          <w:rFonts w:asciiTheme="minorHAnsi" w:hAnsiTheme="minorHAnsi" w:cstheme="minorHAnsi"/>
          <w:sz w:val="22"/>
        </w:rPr>
        <w:t xml:space="preserve"> for a period of 48 hours </w:t>
      </w:r>
      <w:r w:rsidRPr="00876144">
        <w:rPr>
          <w:rFonts w:asciiTheme="minorHAnsi" w:hAnsiTheme="minorHAnsi" w:cstheme="minorHAnsi"/>
          <w:sz w:val="22"/>
          <w:lang w:val="en-GB"/>
        </w:rPr>
        <w:t>(37</w:t>
      </w:r>
      <w:r w:rsidRPr="00876144">
        <w:rPr>
          <w:rFonts w:asciiTheme="minorHAnsi" w:hAnsiTheme="minorHAnsi" w:cstheme="minorHAnsi"/>
          <w:sz w:val="22"/>
          <w:vertAlign w:val="superscript"/>
          <w:lang w:val="en-GB"/>
        </w:rPr>
        <w:t>°</w:t>
      </w:r>
      <w:r w:rsidRPr="00876144">
        <w:rPr>
          <w:rFonts w:asciiTheme="minorHAnsi" w:hAnsiTheme="minorHAnsi" w:cstheme="minorHAnsi"/>
          <w:sz w:val="22"/>
          <w:lang w:val="en-GB"/>
        </w:rPr>
        <w:t>C; 5% CO</w:t>
      </w:r>
      <w:r w:rsidRPr="00876144">
        <w:rPr>
          <w:rFonts w:asciiTheme="minorHAnsi" w:hAnsiTheme="minorHAnsi" w:cstheme="minorHAnsi"/>
          <w:sz w:val="22"/>
          <w:vertAlign w:val="subscript"/>
          <w:lang w:val="en-GB"/>
        </w:rPr>
        <w:t>2</w:t>
      </w:r>
      <w:r w:rsidRPr="00876144">
        <w:rPr>
          <w:rFonts w:asciiTheme="minorHAnsi" w:hAnsiTheme="minorHAnsi" w:cstheme="minorHAnsi"/>
          <w:sz w:val="22"/>
          <w:lang w:val="en-GB"/>
        </w:rPr>
        <w:t xml:space="preserve">). </w:t>
      </w:r>
      <w:r w:rsidRPr="00984C26">
        <w:rPr>
          <w:rFonts w:asciiTheme="minorHAnsi" w:hAnsiTheme="minorHAnsi" w:cstheme="minorHAnsi"/>
          <w:sz w:val="22"/>
          <w:szCs w:val="22"/>
          <w:lang w:val="en-GB"/>
        </w:rPr>
        <w:t>EBV</w:t>
      </w:r>
      <w:r>
        <w:rPr>
          <w:rFonts w:asciiTheme="minorHAnsi" w:hAnsiTheme="minorHAnsi" w:cstheme="minorHAnsi"/>
          <w:sz w:val="22"/>
          <w:szCs w:val="22"/>
          <w:lang w:val="en-GB"/>
        </w:rPr>
        <w:t>-</w:t>
      </w:r>
      <w:r w:rsidRPr="00984C26">
        <w:rPr>
          <w:rFonts w:asciiTheme="minorHAnsi" w:hAnsiTheme="minorHAnsi" w:cstheme="minorHAnsi"/>
          <w:sz w:val="22"/>
          <w:szCs w:val="22"/>
          <w:lang w:val="en-GB"/>
        </w:rPr>
        <w:t xml:space="preserve">transformed B-cell lines were produced </w:t>
      </w:r>
      <w:r>
        <w:rPr>
          <w:rFonts w:asciiTheme="minorHAnsi" w:hAnsiTheme="minorHAnsi" w:cstheme="minorHAnsi"/>
          <w:sz w:val="22"/>
          <w:szCs w:val="22"/>
          <w:lang w:val="en-GB"/>
        </w:rPr>
        <w:t>with supernatant from virus</w:t>
      </w:r>
      <w:r w:rsidRPr="00984C26">
        <w:rPr>
          <w:rFonts w:asciiTheme="minorHAnsi" w:hAnsiTheme="minorHAnsi" w:cstheme="minorHAnsi"/>
          <w:sz w:val="22"/>
          <w:szCs w:val="22"/>
          <w:lang w:val="en-GB"/>
        </w:rPr>
        <w:t xml:space="preserve"> producing B95.8 cells</w:t>
      </w:r>
      <w:r>
        <w:rPr>
          <w:rFonts w:asciiTheme="minorHAnsi" w:hAnsiTheme="minorHAnsi" w:cstheme="minorHAnsi"/>
          <w:sz w:val="22"/>
          <w:szCs w:val="22"/>
          <w:lang w:val="en-GB"/>
        </w:rPr>
        <w:t xml:space="preserve">. </w:t>
      </w:r>
      <w:r w:rsidRPr="00876144">
        <w:rPr>
          <w:rFonts w:asciiTheme="minorHAnsi" w:hAnsiTheme="minorHAnsi" w:cstheme="minorHAnsi"/>
          <w:sz w:val="22"/>
        </w:rPr>
        <w:t xml:space="preserve">Following incubation, </w:t>
      </w:r>
      <w:r>
        <w:rPr>
          <w:rFonts w:asciiTheme="minorHAnsi" w:hAnsiTheme="minorHAnsi" w:cstheme="minorHAnsi"/>
          <w:sz w:val="22"/>
        </w:rPr>
        <w:t>[</w:t>
      </w:r>
      <w:r>
        <w:rPr>
          <w:rFonts w:asciiTheme="minorHAnsi" w:hAnsiTheme="minorHAnsi" w:cstheme="minorHAnsi"/>
          <w:sz w:val="22"/>
          <w:vertAlign w:val="superscript"/>
        </w:rPr>
        <w:t>3</w:t>
      </w:r>
      <w:r>
        <w:rPr>
          <w:rFonts w:asciiTheme="minorHAnsi" w:hAnsiTheme="minorHAnsi" w:cstheme="minorHAnsi"/>
          <w:sz w:val="22"/>
        </w:rPr>
        <w:t>H]</w:t>
      </w:r>
      <w:r w:rsidRPr="00876144">
        <w:rPr>
          <w:rFonts w:asciiTheme="minorHAnsi" w:hAnsiTheme="minorHAnsi" w:cstheme="minorHAnsi"/>
          <w:sz w:val="22"/>
        </w:rPr>
        <w:t xml:space="preserve"> thymidine (0.5 µCi) was added for a further 16 hours and cellular proliferation was measured via scintillation counting. Clones which yielded a </w:t>
      </w:r>
      <w:r>
        <w:rPr>
          <w:rFonts w:asciiTheme="minorHAnsi" w:hAnsiTheme="minorHAnsi" w:cstheme="minorHAnsi"/>
          <w:sz w:val="22"/>
        </w:rPr>
        <w:t>stimulation</w:t>
      </w:r>
      <w:r w:rsidRPr="00876144">
        <w:rPr>
          <w:rFonts w:asciiTheme="minorHAnsi" w:hAnsiTheme="minorHAnsi" w:cstheme="minorHAnsi"/>
          <w:sz w:val="22"/>
        </w:rPr>
        <w:t xml:space="preserve"> index of 1.5 or greater were subjected to mitogen expansion </w:t>
      </w:r>
      <w:r>
        <w:rPr>
          <w:rFonts w:asciiTheme="minorHAnsi" w:hAnsiTheme="minorHAnsi" w:cstheme="minorHAnsi"/>
          <w:sz w:val="22"/>
        </w:rPr>
        <w:t xml:space="preserve">as described above </w:t>
      </w:r>
      <w:r w:rsidRPr="00876144">
        <w:rPr>
          <w:rFonts w:asciiTheme="minorHAnsi" w:hAnsiTheme="minorHAnsi" w:cstheme="minorHAnsi"/>
          <w:sz w:val="22"/>
        </w:rPr>
        <w:t>in the presence of IL-2 for a period of 14 days prior to assays to determine phenotype and functionality.</w:t>
      </w:r>
      <w:r>
        <w:rPr>
          <w:rFonts w:asciiTheme="minorHAnsi" w:hAnsiTheme="minorHAnsi" w:cstheme="minorHAnsi"/>
          <w:sz w:val="22"/>
        </w:rPr>
        <w:t xml:space="preserve"> All phenotyping analyses were conducted in the first 4 weeks after clone generation.</w:t>
      </w:r>
      <w:r w:rsidRPr="00876144">
        <w:rPr>
          <w:rFonts w:asciiTheme="minorHAnsi" w:hAnsiTheme="minorHAnsi" w:cstheme="minorHAnsi"/>
          <w:sz w:val="22"/>
        </w:rPr>
        <w:t xml:space="preserve"> </w:t>
      </w:r>
    </w:p>
    <w:p w:rsidR="006E4BAF" w:rsidRPr="00984C26" w:rsidRDefault="006E4BAF" w:rsidP="006E4BAF">
      <w:pPr>
        <w:pStyle w:val="BodyText12"/>
        <w:spacing w:line="480" w:lineRule="auto"/>
        <w:rPr>
          <w:rFonts w:asciiTheme="minorHAnsi" w:hAnsiTheme="minorHAnsi" w:cstheme="minorHAnsi"/>
          <w:b/>
          <w:sz w:val="22"/>
        </w:rPr>
      </w:pPr>
      <w:r w:rsidRPr="00984C26">
        <w:rPr>
          <w:rFonts w:asciiTheme="minorHAnsi" w:hAnsiTheme="minorHAnsi" w:cstheme="minorHAnsi"/>
          <w:b/>
          <w:sz w:val="22"/>
        </w:rPr>
        <w:t>Phenotype and function of study compound-responsive T-cell clones</w:t>
      </w:r>
    </w:p>
    <w:p w:rsidR="006E4BAF" w:rsidRPr="00984C26" w:rsidRDefault="006E4BAF" w:rsidP="006E4BAF">
      <w:pPr>
        <w:pStyle w:val="BodyText12"/>
        <w:spacing w:line="480" w:lineRule="auto"/>
        <w:rPr>
          <w:rFonts w:asciiTheme="minorHAnsi" w:hAnsiTheme="minorHAnsi" w:cstheme="minorHAnsi"/>
          <w:sz w:val="22"/>
        </w:rPr>
      </w:pPr>
      <w:r w:rsidRPr="00984C26">
        <w:rPr>
          <w:rFonts w:asciiTheme="minorHAnsi" w:hAnsiTheme="minorHAnsi" w:cstheme="minorHAnsi"/>
          <w:sz w:val="22"/>
        </w:rPr>
        <w:t>Flow cytometry was used to characterize the phenotype of the T-cell clones. T-cell clones (5x10</w:t>
      </w:r>
      <w:r w:rsidRPr="00984C26">
        <w:rPr>
          <w:rFonts w:asciiTheme="minorHAnsi" w:hAnsiTheme="minorHAnsi" w:cstheme="minorHAnsi"/>
          <w:sz w:val="22"/>
          <w:vertAlign w:val="superscript"/>
        </w:rPr>
        <w:t>4</w:t>
      </w:r>
      <w:r w:rsidRPr="00984C26">
        <w:rPr>
          <w:rFonts w:asciiTheme="minorHAnsi" w:hAnsiTheme="minorHAnsi" w:cstheme="minorHAnsi"/>
          <w:sz w:val="22"/>
        </w:rPr>
        <w:t xml:space="preserve">/50 µL) were </w:t>
      </w:r>
      <w:r>
        <w:rPr>
          <w:rFonts w:asciiTheme="minorHAnsi" w:hAnsiTheme="minorHAnsi" w:cstheme="minorHAnsi"/>
          <w:sz w:val="22"/>
        </w:rPr>
        <w:t>initially stained with CD4-</w:t>
      </w:r>
      <w:r w:rsidRPr="00984C26">
        <w:rPr>
          <w:rFonts w:asciiTheme="minorHAnsi" w:hAnsiTheme="minorHAnsi" w:cstheme="minorHAnsi"/>
          <w:sz w:val="22"/>
        </w:rPr>
        <w:t xml:space="preserve">Fluorescein isothiocyanate/ Allophycocyanin (FITC/APC) (3 µL) and CD8-Phycoerythrin (PE) (3 µL) and incubated at 4°C for 20 minutes prior to being analyzed. The expression of T-cell receptor (TCR)-Vβ was analyzed in T-cell clones by staining using an 8 tube panel, containing a total of 24 monoclonal antibodies, known to bind specific TCR-Vβ subtypes (IO Test Beta Mark TCR Vβ Repertoire Kit) (Beckman </w:t>
      </w:r>
      <w:r w:rsidRPr="00D52EC6">
        <w:rPr>
          <w:rFonts w:asciiTheme="minorHAnsi" w:hAnsiTheme="minorHAnsi" w:cstheme="minorHAnsi"/>
          <w:sz w:val="22"/>
          <w:szCs w:val="22"/>
        </w:rPr>
        <w:t>Coulter, Brea, CA, USA). Chemokine cell surface markers were analyzed using the following antibodies; CCR2-PE, CCR1-PE, CCR4-PE, CCR8-PE CXCR6-PE, E-cad-PE, CXCR3-APC, CXCR1-APC, CCR9</w:t>
      </w:r>
      <w:r w:rsidRPr="00D52EC6">
        <w:rPr>
          <w:rFonts w:asciiTheme="minorHAnsi" w:hAnsiTheme="minorHAnsi" w:cstheme="minorHAnsi"/>
          <w:sz w:val="22"/>
          <w:szCs w:val="22"/>
        </w:rPr>
        <w:noBreakHyphen/>
        <w:t>APC, CCR6-APC, CCR3-FITC, CLA-FITC, CD69-FITC (</w:t>
      </w:r>
      <w:r w:rsidRPr="00D52EC6">
        <w:rPr>
          <w:rFonts w:asciiTheme="minorHAnsi" w:hAnsiTheme="minorHAnsi" w:cstheme="minorHAnsi"/>
          <w:bCs/>
          <w:sz w:val="22"/>
          <w:szCs w:val="22"/>
        </w:rPr>
        <w:t>BD Biosciences (Oxford, UK).</w:t>
      </w:r>
      <w:r w:rsidRPr="00D52EC6">
        <w:rPr>
          <w:rFonts w:asciiTheme="minorHAnsi" w:hAnsiTheme="minorHAnsi" w:cstheme="minorHAnsi"/>
          <w:sz w:val="22"/>
          <w:szCs w:val="22"/>
        </w:rPr>
        <w:t xml:space="preserve"> Approximately 5x10</w:t>
      </w:r>
      <w:r w:rsidRPr="00D52EC6">
        <w:rPr>
          <w:rFonts w:asciiTheme="minorHAnsi" w:hAnsiTheme="minorHAnsi" w:cstheme="minorHAnsi"/>
          <w:sz w:val="22"/>
          <w:szCs w:val="22"/>
          <w:vertAlign w:val="superscript"/>
        </w:rPr>
        <w:t>4</w:t>
      </w:r>
      <w:r w:rsidRPr="00D52EC6">
        <w:rPr>
          <w:rFonts w:asciiTheme="minorHAnsi" w:hAnsiTheme="minorHAnsi" w:cstheme="minorHAnsi"/>
          <w:sz w:val="22"/>
          <w:szCs w:val="22"/>
        </w:rPr>
        <w:t xml:space="preserve"> T-cell clones were</w:t>
      </w:r>
      <w:r w:rsidRPr="00984C26">
        <w:rPr>
          <w:rFonts w:asciiTheme="minorHAnsi" w:hAnsiTheme="minorHAnsi" w:cstheme="minorHAnsi"/>
          <w:sz w:val="22"/>
        </w:rPr>
        <w:t xml:space="preserve"> stained for the cell surface markers using the </w:t>
      </w:r>
      <w:r w:rsidRPr="00984C26">
        <w:rPr>
          <w:rFonts w:asciiTheme="minorHAnsi" w:hAnsiTheme="minorHAnsi" w:cstheme="minorHAnsi"/>
          <w:sz w:val="22"/>
        </w:rPr>
        <w:lastRenderedPageBreak/>
        <w:t xml:space="preserve">directly conjugated antibodies listed above (maximum of three/tube), with cells on ice for 20 minutes. Expression of </w:t>
      </w:r>
      <w:r>
        <w:rPr>
          <w:rFonts w:asciiTheme="minorHAnsi" w:hAnsiTheme="minorHAnsi" w:cstheme="minorHAnsi"/>
          <w:sz w:val="22"/>
        </w:rPr>
        <w:t>all cell surface receptors</w:t>
      </w:r>
      <w:r w:rsidRPr="00984C26">
        <w:rPr>
          <w:rFonts w:asciiTheme="minorHAnsi" w:hAnsiTheme="minorHAnsi" w:cstheme="minorHAnsi"/>
          <w:sz w:val="22"/>
        </w:rPr>
        <w:t xml:space="preserve"> w</w:t>
      </w:r>
      <w:r>
        <w:rPr>
          <w:rFonts w:asciiTheme="minorHAnsi" w:hAnsiTheme="minorHAnsi" w:cstheme="minorHAnsi"/>
          <w:sz w:val="22"/>
        </w:rPr>
        <w:t>as analyzed</w:t>
      </w:r>
      <w:r w:rsidRPr="00984C26">
        <w:rPr>
          <w:rFonts w:asciiTheme="minorHAnsi" w:hAnsiTheme="minorHAnsi" w:cstheme="minorHAnsi"/>
          <w:sz w:val="22"/>
        </w:rPr>
        <w:t xml:space="preserve"> using a FACSCanto II flow cytometer.</w:t>
      </w:r>
      <w:r>
        <w:rPr>
          <w:rFonts w:asciiTheme="minorHAnsi" w:hAnsiTheme="minorHAnsi" w:cstheme="minorHAnsi"/>
          <w:sz w:val="22"/>
        </w:rPr>
        <w:t xml:space="preserve"> </w:t>
      </w:r>
      <w:r w:rsidRPr="00984C26">
        <w:rPr>
          <w:rFonts w:asciiTheme="minorHAnsi" w:hAnsiTheme="minorHAnsi" w:cstheme="minorHAnsi"/>
          <w:sz w:val="22"/>
        </w:rPr>
        <w:t>A total of 10,000 events were acquired for each sample.</w:t>
      </w:r>
    </w:p>
    <w:p w:rsidR="006E4BAF" w:rsidRPr="00984C26" w:rsidRDefault="006E4BAF" w:rsidP="006E4BAF">
      <w:pPr>
        <w:pStyle w:val="BodyText12"/>
        <w:spacing w:line="480" w:lineRule="auto"/>
        <w:rPr>
          <w:rFonts w:asciiTheme="minorHAnsi" w:hAnsiTheme="minorHAnsi" w:cstheme="minorHAnsi"/>
          <w:sz w:val="22"/>
        </w:rPr>
      </w:pPr>
      <w:r>
        <w:rPr>
          <w:rFonts w:asciiTheme="minorHAnsi" w:hAnsiTheme="minorHAnsi" w:cstheme="minorHAnsi"/>
          <w:sz w:val="22"/>
        </w:rPr>
        <w:t>Dose-dependent proliferative responses and cross-reactivity with other study compounds</w:t>
      </w:r>
      <w:r w:rsidRPr="00984C26">
        <w:rPr>
          <w:rFonts w:asciiTheme="minorHAnsi" w:hAnsiTheme="minorHAnsi" w:cstheme="minorHAnsi"/>
          <w:sz w:val="22"/>
        </w:rPr>
        <w:t xml:space="preserve"> w</w:t>
      </w:r>
      <w:r>
        <w:rPr>
          <w:rFonts w:asciiTheme="minorHAnsi" w:hAnsiTheme="minorHAnsi" w:cstheme="minorHAnsi"/>
          <w:sz w:val="22"/>
        </w:rPr>
        <w:t>as assessed by culturing T-cell clones</w:t>
      </w:r>
      <w:r w:rsidRPr="00984C26">
        <w:rPr>
          <w:rFonts w:asciiTheme="minorHAnsi" w:hAnsiTheme="minorHAnsi" w:cstheme="minorHAnsi"/>
          <w:sz w:val="22"/>
        </w:rPr>
        <w:t xml:space="preserve"> (5x10</w:t>
      </w:r>
      <w:r w:rsidRPr="00984C26">
        <w:rPr>
          <w:rFonts w:asciiTheme="minorHAnsi" w:hAnsiTheme="minorHAnsi" w:cstheme="minorHAnsi"/>
          <w:sz w:val="22"/>
          <w:vertAlign w:val="superscript"/>
        </w:rPr>
        <w:t>4</w:t>
      </w:r>
      <w:r>
        <w:rPr>
          <w:rFonts w:asciiTheme="minorHAnsi" w:hAnsiTheme="minorHAnsi" w:cstheme="minorHAnsi"/>
          <w:sz w:val="22"/>
        </w:rPr>
        <w:t>/50 µL) with autologous EBV-</w:t>
      </w:r>
      <w:r w:rsidRPr="00984C26">
        <w:rPr>
          <w:rFonts w:asciiTheme="minorHAnsi" w:hAnsiTheme="minorHAnsi" w:cstheme="minorHAnsi"/>
          <w:sz w:val="22"/>
        </w:rPr>
        <w:t>transformed B-cells (1x10</w:t>
      </w:r>
      <w:r w:rsidRPr="00984C26">
        <w:rPr>
          <w:rFonts w:asciiTheme="minorHAnsi" w:hAnsiTheme="minorHAnsi" w:cstheme="minorHAnsi"/>
          <w:sz w:val="22"/>
          <w:vertAlign w:val="superscript"/>
        </w:rPr>
        <w:t>4</w:t>
      </w:r>
      <w:r w:rsidRPr="00984C26">
        <w:rPr>
          <w:rFonts w:asciiTheme="minorHAnsi" w:hAnsiTheme="minorHAnsi" w:cstheme="minorHAnsi"/>
          <w:sz w:val="22"/>
        </w:rPr>
        <w:t xml:space="preserve">/50 µL) in a U-bottomed 96 well plate in the presence and absence of </w:t>
      </w:r>
      <w:r>
        <w:rPr>
          <w:rFonts w:asciiTheme="minorHAnsi" w:hAnsiTheme="minorHAnsi" w:cstheme="minorHAnsi"/>
          <w:sz w:val="22"/>
          <w:szCs w:val="22"/>
        </w:rPr>
        <w:t>atabecestat</w:t>
      </w:r>
      <w:r>
        <w:rPr>
          <w:rFonts w:asciiTheme="minorHAnsi" w:hAnsiTheme="minorHAnsi" w:cstheme="minorHAnsi"/>
          <w:sz w:val="22"/>
        </w:rPr>
        <w:t xml:space="preserve">, </w:t>
      </w:r>
      <w:r>
        <w:rPr>
          <w:rFonts w:asciiTheme="minorHAnsi" w:hAnsiTheme="minorHAnsi" w:cstheme="minorHAnsi"/>
          <w:sz w:val="22"/>
          <w:szCs w:val="22"/>
        </w:rPr>
        <w:t>atabecestat</w:t>
      </w:r>
      <w:r w:rsidRPr="00876144">
        <w:rPr>
          <w:rFonts w:asciiTheme="minorHAnsi" w:hAnsiTheme="minorHAnsi" w:cstheme="minorHAnsi"/>
          <w:sz w:val="22"/>
        </w:rPr>
        <w:t xml:space="preserve"> epoxide</w:t>
      </w:r>
      <w:r>
        <w:rPr>
          <w:rFonts w:asciiTheme="minorHAnsi" w:hAnsiTheme="minorHAnsi" w:cstheme="minorHAnsi"/>
          <w:sz w:val="22"/>
        </w:rPr>
        <w:t xml:space="preserve">, DIAT </w:t>
      </w:r>
      <w:r w:rsidRPr="00876144">
        <w:rPr>
          <w:rFonts w:asciiTheme="minorHAnsi" w:hAnsiTheme="minorHAnsi" w:cstheme="minorHAnsi"/>
          <w:sz w:val="22"/>
        </w:rPr>
        <w:t xml:space="preserve">and </w:t>
      </w:r>
      <w:r>
        <w:rPr>
          <w:rFonts w:asciiTheme="minorHAnsi" w:hAnsiTheme="minorHAnsi" w:cstheme="minorHAnsi"/>
          <w:i/>
          <w:sz w:val="22"/>
        </w:rPr>
        <w:t>N-</w:t>
      </w:r>
      <w:r>
        <w:rPr>
          <w:rFonts w:asciiTheme="minorHAnsi" w:hAnsiTheme="minorHAnsi" w:cstheme="minorHAnsi"/>
          <w:sz w:val="22"/>
        </w:rPr>
        <w:t>acetyl DIAT</w:t>
      </w:r>
      <w:r w:rsidRPr="00876144">
        <w:rPr>
          <w:rFonts w:asciiTheme="minorHAnsi" w:hAnsiTheme="minorHAnsi" w:cstheme="minorHAnsi"/>
          <w:sz w:val="22"/>
        </w:rPr>
        <w:t xml:space="preserve"> </w:t>
      </w:r>
      <w:r>
        <w:rPr>
          <w:rFonts w:asciiTheme="minorHAnsi" w:hAnsiTheme="minorHAnsi" w:cstheme="minorHAnsi"/>
          <w:sz w:val="22"/>
        </w:rPr>
        <w:t>(0-10</w:t>
      </w:r>
      <w:r w:rsidRPr="00984C26">
        <w:rPr>
          <w:rFonts w:asciiTheme="minorHAnsi" w:hAnsiTheme="minorHAnsi" w:cstheme="minorHAnsi"/>
          <w:sz w:val="22"/>
        </w:rPr>
        <w:t>0 µM). The plates were incubated (37°C, 5% CO</w:t>
      </w:r>
      <w:r w:rsidRPr="00984C26">
        <w:rPr>
          <w:rFonts w:asciiTheme="minorHAnsi" w:hAnsiTheme="minorHAnsi" w:cstheme="minorHAnsi"/>
          <w:sz w:val="22"/>
          <w:vertAlign w:val="subscript"/>
        </w:rPr>
        <w:t>2</w:t>
      </w:r>
      <w:r w:rsidRPr="00984C26">
        <w:rPr>
          <w:rFonts w:asciiTheme="minorHAnsi" w:hAnsiTheme="minorHAnsi" w:cstheme="minorHAnsi"/>
          <w:sz w:val="22"/>
        </w:rPr>
        <w:t>) for 48 hours, with [</w:t>
      </w:r>
      <w:r w:rsidRPr="00984C26">
        <w:rPr>
          <w:rFonts w:asciiTheme="minorHAnsi" w:hAnsiTheme="minorHAnsi" w:cstheme="minorHAnsi"/>
          <w:sz w:val="22"/>
          <w:vertAlign w:val="superscript"/>
        </w:rPr>
        <w:t>3</w:t>
      </w:r>
      <w:r w:rsidRPr="00984C26">
        <w:rPr>
          <w:rFonts w:asciiTheme="minorHAnsi" w:hAnsiTheme="minorHAnsi" w:cstheme="minorHAnsi"/>
          <w:sz w:val="22"/>
        </w:rPr>
        <w:t xml:space="preserve">H] thymidine added for an additional 16 hours. Cellular proliferation was measured via scintillation counting. In the case of some T-cell clones secretion of IFN-γ was used as a readout via the ELIspot assay.  </w:t>
      </w:r>
    </w:p>
    <w:p w:rsidR="006E4BAF" w:rsidRDefault="006E4BAF" w:rsidP="006E4BAF">
      <w:pPr>
        <w:pStyle w:val="BodyText12"/>
        <w:spacing w:line="480" w:lineRule="auto"/>
        <w:rPr>
          <w:rFonts w:asciiTheme="minorHAnsi" w:hAnsiTheme="minorHAnsi" w:cstheme="minorHAnsi"/>
          <w:sz w:val="22"/>
          <w:szCs w:val="22"/>
        </w:rPr>
      </w:pPr>
      <w:r w:rsidRPr="00984C26">
        <w:rPr>
          <w:rFonts w:asciiTheme="minorHAnsi" w:hAnsiTheme="minorHAnsi" w:cstheme="minorHAnsi"/>
          <w:sz w:val="22"/>
        </w:rPr>
        <w:t xml:space="preserve">The cytokine secretion by T-cell clones was assessed </w:t>
      </w:r>
      <w:r>
        <w:rPr>
          <w:rFonts w:asciiTheme="minorHAnsi" w:hAnsiTheme="minorHAnsi" w:cstheme="minorHAnsi"/>
          <w:sz w:val="22"/>
        </w:rPr>
        <w:t>using</w:t>
      </w:r>
      <w:r w:rsidRPr="00984C26">
        <w:rPr>
          <w:rFonts w:asciiTheme="minorHAnsi" w:hAnsiTheme="minorHAnsi" w:cstheme="minorHAnsi"/>
          <w:sz w:val="22"/>
        </w:rPr>
        <w:t xml:space="preserve"> ELIspot plates coated </w:t>
      </w:r>
      <w:r>
        <w:rPr>
          <w:rFonts w:asciiTheme="minorHAnsi" w:hAnsiTheme="minorHAnsi" w:cstheme="minorHAnsi"/>
          <w:sz w:val="22"/>
        </w:rPr>
        <w:t xml:space="preserve">with antibodies specific </w:t>
      </w:r>
      <w:r w:rsidRPr="00984C26">
        <w:rPr>
          <w:rFonts w:asciiTheme="minorHAnsi" w:hAnsiTheme="minorHAnsi" w:cstheme="minorHAnsi"/>
          <w:sz w:val="22"/>
        </w:rPr>
        <w:t xml:space="preserve">for </w:t>
      </w:r>
      <w:r>
        <w:rPr>
          <w:rFonts w:asciiTheme="minorHAnsi" w:hAnsiTheme="minorHAnsi" w:cstheme="minorHAnsi"/>
          <w:sz w:val="22"/>
        </w:rPr>
        <w:t xml:space="preserve">the following </w:t>
      </w:r>
      <w:r w:rsidRPr="00984C26">
        <w:rPr>
          <w:rFonts w:asciiTheme="minorHAnsi" w:hAnsiTheme="minorHAnsi" w:cstheme="minorHAnsi"/>
          <w:sz w:val="22"/>
        </w:rPr>
        <w:t xml:space="preserve">cytokines; IFN-γ, </w:t>
      </w:r>
      <w:r>
        <w:rPr>
          <w:rFonts w:asciiTheme="minorHAnsi" w:hAnsiTheme="minorHAnsi" w:cstheme="minorHAnsi"/>
          <w:sz w:val="22"/>
        </w:rPr>
        <w:t>granzyme B</w:t>
      </w:r>
      <w:r w:rsidRPr="00984C26">
        <w:rPr>
          <w:rFonts w:asciiTheme="minorHAnsi" w:hAnsiTheme="minorHAnsi" w:cstheme="minorHAnsi"/>
          <w:sz w:val="22"/>
        </w:rPr>
        <w:t>, IL-13, IL-5, IL-17, IL-22, IL-10 and perforin. Following overnight incubation, the ELIspot plate was blocked and T-cell clones were c</w:t>
      </w:r>
      <w:r>
        <w:rPr>
          <w:rFonts w:asciiTheme="minorHAnsi" w:hAnsiTheme="minorHAnsi" w:cstheme="minorHAnsi"/>
          <w:sz w:val="22"/>
        </w:rPr>
        <w:t>o-incubated with autologous EBV-</w:t>
      </w:r>
      <w:r w:rsidRPr="00984C26">
        <w:rPr>
          <w:rFonts w:asciiTheme="minorHAnsi" w:hAnsiTheme="minorHAnsi" w:cstheme="minorHAnsi"/>
          <w:sz w:val="22"/>
        </w:rPr>
        <w:t xml:space="preserve">transformed B-cells in the presence and absence of the </w:t>
      </w:r>
      <w:r>
        <w:rPr>
          <w:rFonts w:asciiTheme="minorHAnsi" w:hAnsiTheme="minorHAnsi" w:cstheme="minorHAnsi"/>
          <w:sz w:val="22"/>
        </w:rPr>
        <w:t>study compounds</w:t>
      </w:r>
      <w:r w:rsidRPr="00984C26">
        <w:rPr>
          <w:rFonts w:asciiTheme="minorHAnsi" w:hAnsiTheme="minorHAnsi" w:cstheme="minorHAnsi"/>
          <w:sz w:val="22"/>
        </w:rPr>
        <w:t xml:space="preserve"> (37°C, 5% CO</w:t>
      </w:r>
      <w:r w:rsidRPr="00984C26">
        <w:rPr>
          <w:rFonts w:asciiTheme="minorHAnsi" w:hAnsiTheme="minorHAnsi" w:cstheme="minorHAnsi"/>
          <w:sz w:val="22"/>
          <w:vertAlign w:val="subscript"/>
        </w:rPr>
        <w:t>2</w:t>
      </w:r>
      <w:r w:rsidRPr="00984C26">
        <w:rPr>
          <w:rFonts w:asciiTheme="minorHAnsi" w:hAnsiTheme="minorHAnsi" w:cstheme="minorHAnsi"/>
          <w:sz w:val="22"/>
        </w:rPr>
        <w:t xml:space="preserve">). Following 48-hour incubation, the ELIspot plate was developed </w:t>
      </w:r>
      <w:r>
        <w:rPr>
          <w:rFonts w:asciiTheme="minorHAnsi" w:hAnsiTheme="minorHAnsi" w:cstheme="minorHAnsi"/>
          <w:sz w:val="22"/>
        </w:rPr>
        <w:t>as described above.</w:t>
      </w:r>
    </w:p>
    <w:p w:rsidR="006E4BAF" w:rsidRPr="00B9583D" w:rsidRDefault="006E4BAF" w:rsidP="006E4BAF">
      <w:pPr>
        <w:spacing w:line="480" w:lineRule="auto"/>
        <w:jc w:val="both"/>
        <w:rPr>
          <w:rFonts w:cstheme="minorHAnsi"/>
        </w:rPr>
      </w:pPr>
      <w:r>
        <w:rPr>
          <w:rFonts w:cstheme="minorHAnsi"/>
          <w:shd w:val="clear" w:color="auto" w:fill="FFFFFF"/>
        </w:rPr>
        <w:t>I</w:t>
      </w:r>
      <w:r w:rsidRPr="00B9583D">
        <w:rPr>
          <w:rFonts w:cstheme="minorHAnsi"/>
          <w:shd w:val="clear" w:color="auto" w:fill="FFFFFF"/>
        </w:rPr>
        <w:t xml:space="preserve">mmune-mediated </w:t>
      </w:r>
      <w:r>
        <w:rPr>
          <w:rFonts w:cstheme="minorHAnsi"/>
          <w:shd w:val="clear" w:color="auto" w:fill="FFFFFF"/>
        </w:rPr>
        <w:t xml:space="preserve">T-cell </w:t>
      </w:r>
      <w:r w:rsidRPr="00B9583D">
        <w:rPr>
          <w:rFonts w:cstheme="minorHAnsi"/>
          <w:shd w:val="clear" w:color="auto" w:fill="FFFFFF"/>
        </w:rPr>
        <w:t xml:space="preserve">killing </w:t>
      </w:r>
      <w:r>
        <w:rPr>
          <w:rFonts w:cstheme="minorHAnsi"/>
          <w:shd w:val="clear" w:color="auto" w:fill="FFFFFF"/>
        </w:rPr>
        <w:t xml:space="preserve">of autologous antigen presenting cells was assessed </w:t>
      </w:r>
      <w:r w:rsidRPr="00B9583D">
        <w:rPr>
          <w:rFonts w:cstheme="minorHAnsi"/>
          <w:shd w:val="clear" w:color="auto" w:fill="FFFFFF"/>
        </w:rPr>
        <w:t>through the use of a [</w:t>
      </w:r>
      <w:r w:rsidRPr="00B9583D">
        <w:rPr>
          <w:rFonts w:cstheme="minorHAnsi"/>
          <w:shd w:val="clear" w:color="auto" w:fill="FFFFFF"/>
          <w:vertAlign w:val="superscript"/>
        </w:rPr>
        <w:t>51</w:t>
      </w:r>
      <w:r w:rsidRPr="00B9583D">
        <w:rPr>
          <w:rFonts w:cstheme="minorHAnsi"/>
          <w:shd w:val="clear" w:color="auto" w:fill="FFFFFF"/>
        </w:rPr>
        <w:t>Cr] release assay. Briefly, [</w:t>
      </w:r>
      <w:r w:rsidRPr="00B9583D">
        <w:rPr>
          <w:rFonts w:cstheme="minorHAnsi"/>
          <w:shd w:val="clear" w:color="auto" w:fill="FFFFFF"/>
          <w:vertAlign w:val="superscript"/>
        </w:rPr>
        <w:t>51</w:t>
      </w:r>
      <w:r w:rsidRPr="00B9583D">
        <w:rPr>
          <w:rFonts w:cstheme="minorHAnsi"/>
          <w:shd w:val="clear" w:color="auto" w:fill="FFFFFF"/>
        </w:rPr>
        <w:t xml:space="preserve">Cr] loaded </w:t>
      </w:r>
      <w:r>
        <w:rPr>
          <w:rFonts w:cstheme="minorHAnsi"/>
          <w:shd w:val="clear" w:color="auto" w:fill="FFFFFF"/>
        </w:rPr>
        <w:t xml:space="preserve">antigen presenting cells </w:t>
      </w:r>
      <w:r w:rsidRPr="00B9583D">
        <w:rPr>
          <w:rFonts w:cstheme="minorHAnsi"/>
          <w:shd w:val="clear" w:color="auto" w:fill="FFFFFF"/>
        </w:rPr>
        <w:t xml:space="preserve">were incubated with </w:t>
      </w:r>
      <w:r>
        <w:rPr>
          <w:rFonts w:cstheme="minorHAnsi"/>
          <w:shd w:val="clear" w:color="auto" w:fill="FFFFFF"/>
        </w:rPr>
        <w:t>clones</w:t>
      </w:r>
      <w:r w:rsidRPr="00B9583D">
        <w:rPr>
          <w:rFonts w:cstheme="minorHAnsi"/>
          <w:shd w:val="clear" w:color="auto" w:fill="FFFFFF"/>
        </w:rPr>
        <w:t xml:space="preserve"> in the presence or absence of </w:t>
      </w:r>
      <w:r>
        <w:rPr>
          <w:rFonts w:cstheme="minorHAnsi"/>
          <w:shd w:val="clear" w:color="auto" w:fill="FFFFFF"/>
        </w:rPr>
        <w:t>study compounds</w:t>
      </w:r>
      <w:r w:rsidRPr="00B9583D">
        <w:rPr>
          <w:rFonts w:cstheme="minorHAnsi"/>
          <w:shd w:val="clear" w:color="auto" w:fill="FFFFFF"/>
        </w:rPr>
        <w:t xml:space="preserve"> (</w:t>
      </w:r>
      <w:r>
        <w:rPr>
          <w:rFonts w:cstheme="minorHAnsi"/>
          <w:shd w:val="clear" w:color="auto" w:fill="FFFFFF"/>
        </w:rPr>
        <w:t>atabecestat or DIAT</w:t>
      </w:r>
      <w:r w:rsidRPr="00B9583D">
        <w:rPr>
          <w:rFonts w:cstheme="minorHAnsi"/>
          <w:shd w:val="clear" w:color="auto" w:fill="FFFFFF"/>
        </w:rPr>
        <w:t>)</w:t>
      </w:r>
      <w:r>
        <w:rPr>
          <w:rFonts w:cstheme="minorHAnsi"/>
          <w:shd w:val="clear" w:color="auto" w:fill="FFFFFF"/>
        </w:rPr>
        <w:t xml:space="preserve"> for 4 h</w:t>
      </w:r>
      <w:r w:rsidRPr="00B9583D">
        <w:rPr>
          <w:rFonts w:cstheme="minorHAnsi"/>
          <w:shd w:val="clear" w:color="auto" w:fill="FFFFFF"/>
        </w:rPr>
        <w:t>. Specific lysis was calculated as 100 × (experimental release − spontaneous release)/(maximal release − spontaneous release).</w:t>
      </w:r>
    </w:p>
    <w:p w:rsidR="006E4BAF" w:rsidRPr="00565506" w:rsidRDefault="006E4BAF" w:rsidP="006E4BAF">
      <w:pPr>
        <w:keepNext/>
        <w:keepLines/>
        <w:numPr>
          <w:ilvl w:val="3"/>
          <w:numId w:val="0"/>
        </w:numPr>
        <w:tabs>
          <w:tab w:val="num" w:pos="1397"/>
        </w:tabs>
        <w:spacing w:before="240" w:after="120" w:line="480" w:lineRule="auto"/>
        <w:ind w:left="1397" w:hanging="1397"/>
        <w:jc w:val="both"/>
        <w:outlineLvl w:val="2"/>
        <w:rPr>
          <w:rFonts w:eastAsia="Times New Roman" w:cstheme="minorHAnsi"/>
          <w:b/>
        </w:rPr>
      </w:pPr>
      <w:bookmarkStart w:id="0" w:name="_Toc36651262"/>
      <w:r w:rsidRPr="00565506">
        <w:rPr>
          <w:rFonts w:eastAsia="Times New Roman" w:cstheme="minorHAnsi"/>
          <w:b/>
        </w:rPr>
        <w:t>TCR sequencing</w:t>
      </w:r>
      <w:bookmarkEnd w:id="0"/>
    </w:p>
    <w:p w:rsidR="006E4BAF" w:rsidRPr="00565506" w:rsidRDefault="006E4BAF" w:rsidP="006E4BAF">
      <w:pPr>
        <w:spacing w:after="240" w:line="480" w:lineRule="auto"/>
        <w:jc w:val="both"/>
        <w:rPr>
          <w:rFonts w:eastAsia="Times New Roman" w:cstheme="minorHAnsi"/>
        </w:rPr>
      </w:pPr>
      <w:r w:rsidRPr="00565506">
        <w:rPr>
          <w:rFonts w:eastAsia="Times New Roman" w:cstheme="minorHAnsi"/>
        </w:rPr>
        <w:t>Total RNA was extracted from the T-cell clone lysates with the Qiagen RNeasy mini kit according to manufacturer’s recommendation and 1 ng (or up to 3 µl elution volume) of total RNA was used as input material for a 384-well plate based single cell TCR sequencing platform which is based on the workflow as described in Han et al., 2014</w:t>
      </w:r>
      <w:r>
        <w:rPr>
          <w:rFonts w:eastAsia="Times New Roman" w:cstheme="minorHAnsi"/>
        </w:rPr>
        <w:t xml:space="preserve"> (1)</w:t>
      </w:r>
      <w:r w:rsidRPr="00565506">
        <w:rPr>
          <w:rFonts w:eastAsia="Times New Roman" w:cstheme="minorHAnsi"/>
        </w:rPr>
        <w:t>. Briefly, TCR</w:t>
      </w:r>
      <w:r w:rsidRPr="00565506">
        <w:rPr>
          <w:rFonts w:eastAsia="Times New Roman" w:cstheme="minorHAnsi"/>
        </w:rPr>
        <w:sym w:font="Symbol" w:char="F061"/>
      </w:r>
      <w:r w:rsidRPr="00565506">
        <w:rPr>
          <w:rFonts w:eastAsia="Times New Roman" w:cstheme="minorHAnsi"/>
        </w:rPr>
        <w:t xml:space="preserve"> and TCR</w:t>
      </w:r>
      <w:r w:rsidRPr="00565506">
        <w:rPr>
          <w:rFonts w:eastAsia="Times New Roman" w:cstheme="minorHAnsi"/>
        </w:rPr>
        <w:sym w:font="Symbol" w:char="F062"/>
      </w:r>
      <w:r w:rsidRPr="00565506">
        <w:rPr>
          <w:rFonts w:eastAsia="Times New Roman" w:cstheme="minorHAnsi"/>
        </w:rPr>
        <w:t xml:space="preserve"> transcripts are reverse </w:t>
      </w:r>
      <w:r w:rsidRPr="00565506">
        <w:rPr>
          <w:rFonts w:eastAsia="Times New Roman" w:cstheme="minorHAnsi"/>
        </w:rPr>
        <w:lastRenderedPageBreak/>
        <w:t>transcribed and cDNA is amplified in 3 consecutive PCR reactions using various TCR</w:t>
      </w:r>
      <w:r w:rsidRPr="00565506">
        <w:rPr>
          <w:rFonts w:eastAsia="Times New Roman" w:cstheme="minorHAnsi"/>
        </w:rPr>
        <w:sym w:font="Symbol" w:char="F061"/>
      </w:r>
      <w:r w:rsidRPr="00565506">
        <w:rPr>
          <w:rFonts w:eastAsia="Times New Roman" w:cstheme="minorHAnsi"/>
        </w:rPr>
        <w:t xml:space="preserve"> and TCR</w:t>
      </w:r>
      <w:r w:rsidRPr="00565506">
        <w:rPr>
          <w:rFonts w:eastAsia="Times New Roman" w:cstheme="minorHAnsi"/>
        </w:rPr>
        <w:sym w:font="Symbol" w:char="F062"/>
      </w:r>
      <w:r w:rsidRPr="00565506">
        <w:rPr>
          <w:rFonts w:eastAsia="Times New Roman" w:cstheme="minorHAnsi"/>
        </w:rPr>
        <w:t xml:space="preserve"> specific primers located in the variable and constant region of the receptor sequence. Individual wells are barcoded during the last PCR step, PCR products are pooled and purified using gel purification on a Pippin instrument and subsequenct Ampure bead purification steps. Next, TCR</w:t>
      </w:r>
      <w:r w:rsidRPr="00565506">
        <w:rPr>
          <w:rFonts w:eastAsia="Times New Roman" w:cstheme="minorHAnsi"/>
        </w:rPr>
        <w:sym w:font="Symbol" w:char="F061"/>
      </w:r>
      <w:r w:rsidRPr="00565506">
        <w:rPr>
          <w:rFonts w:eastAsia="Times New Roman" w:cstheme="minorHAnsi"/>
        </w:rPr>
        <w:t xml:space="preserve"> and TCR</w:t>
      </w:r>
      <w:r w:rsidRPr="00565506">
        <w:rPr>
          <w:rFonts w:eastAsia="Times New Roman" w:cstheme="minorHAnsi"/>
        </w:rPr>
        <w:sym w:font="Symbol" w:char="F062"/>
      </w:r>
      <w:r w:rsidRPr="00565506">
        <w:rPr>
          <w:rFonts w:eastAsia="Times New Roman" w:cstheme="minorHAnsi"/>
        </w:rPr>
        <w:t xml:space="preserve"> amplicons are sequenced on an Illumina MiSeq instrument with 2 x 300bp V3 chemistry. Output fastQ files are used as input for a custom TCR preprocessing pipeline that after several QC steps aligns the QC passing reads to the IMGT database to annotate the V(D)J-regions and finally outputs the detected TCR information. For this analysis, all TCR</w:t>
      </w:r>
      <w:r w:rsidRPr="00565506">
        <w:rPr>
          <w:rFonts w:eastAsia="Times New Roman" w:cstheme="minorHAnsi"/>
        </w:rPr>
        <w:sym w:font="Symbol" w:char="F061"/>
      </w:r>
      <w:r w:rsidRPr="00565506">
        <w:rPr>
          <w:rFonts w:eastAsia="Times New Roman" w:cstheme="minorHAnsi"/>
        </w:rPr>
        <w:t xml:space="preserve"> and TCR</w:t>
      </w:r>
      <w:r w:rsidRPr="00565506">
        <w:rPr>
          <w:rFonts w:eastAsia="Times New Roman" w:cstheme="minorHAnsi"/>
        </w:rPr>
        <w:sym w:font="Symbol" w:char="F062"/>
      </w:r>
      <w:r w:rsidRPr="00565506">
        <w:rPr>
          <w:rFonts w:eastAsia="Times New Roman" w:cstheme="minorHAnsi"/>
        </w:rPr>
        <w:t xml:space="preserve"> sequences with fraction &gt; 0.05 of total reads were retrieved (minimal total sequence reads &gt; 500).</w:t>
      </w:r>
    </w:p>
    <w:p w:rsidR="006E4BAF" w:rsidRPr="008F3656" w:rsidRDefault="006E4BAF" w:rsidP="006E4BAF">
      <w:pPr>
        <w:pStyle w:val="Heading2"/>
        <w:spacing w:line="480" w:lineRule="auto"/>
        <w:rPr>
          <w:rFonts w:asciiTheme="minorHAnsi" w:hAnsiTheme="minorHAnsi" w:cstheme="minorHAnsi"/>
          <w:sz w:val="22"/>
          <w:szCs w:val="22"/>
        </w:rPr>
      </w:pPr>
      <w:r w:rsidRPr="008F3656">
        <w:rPr>
          <w:rFonts w:asciiTheme="minorHAnsi" w:hAnsiTheme="minorHAnsi" w:cstheme="minorHAnsi"/>
          <w:sz w:val="22"/>
          <w:szCs w:val="22"/>
        </w:rPr>
        <w:t>Pathway</w:t>
      </w:r>
      <w:r>
        <w:rPr>
          <w:rFonts w:asciiTheme="minorHAnsi" w:hAnsiTheme="minorHAnsi" w:cstheme="minorHAnsi"/>
          <w:sz w:val="22"/>
          <w:szCs w:val="22"/>
        </w:rPr>
        <w:t>s</w:t>
      </w:r>
      <w:r w:rsidRPr="008F3656">
        <w:rPr>
          <w:rFonts w:asciiTheme="minorHAnsi" w:hAnsiTheme="minorHAnsi" w:cstheme="minorHAnsi"/>
          <w:sz w:val="22"/>
          <w:szCs w:val="22"/>
        </w:rPr>
        <w:t xml:space="preserve"> of activation </w:t>
      </w:r>
      <w:r>
        <w:rPr>
          <w:rFonts w:asciiTheme="minorHAnsi" w:hAnsiTheme="minorHAnsi" w:cstheme="minorHAnsi"/>
          <w:sz w:val="22"/>
          <w:szCs w:val="22"/>
        </w:rPr>
        <w:t xml:space="preserve">of T-cell clones and the </w:t>
      </w:r>
      <w:r w:rsidRPr="008F3656">
        <w:rPr>
          <w:rFonts w:asciiTheme="minorHAnsi" w:hAnsiTheme="minorHAnsi" w:cstheme="minorHAnsi"/>
          <w:sz w:val="22"/>
          <w:szCs w:val="22"/>
        </w:rPr>
        <w:t xml:space="preserve">involvement </w:t>
      </w:r>
      <w:r>
        <w:rPr>
          <w:rFonts w:asciiTheme="minorHAnsi" w:hAnsiTheme="minorHAnsi" w:cstheme="minorHAnsi"/>
          <w:sz w:val="22"/>
          <w:szCs w:val="22"/>
        </w:rPr>
        <w:t>of antigen presenting cells in the study compound-specific T-cell response</w:t>
      </w:r>
    </w:p>
    <w:p w:rsidR="006E4BAF" w:rsidRDefault="006E4BAF" w:rsidP="006E4BAF">
      <w:pPr>
        <w:spacing w:line="480" w:lineRule="auto"/>
        <w:jc w:val="both"/>
        <w:rPr>
          <w:rFonts w:cstheme="minorHAnsi"/>
        </w:rPr>
      </w:pPr>
      <w:r>
        <w:rPr>
          <w:rFonts w:cstheme="minorHAnsi"/>
        </w:rPr>
        <w:t>In initial experiments the autologous EBV-</w:t>
      </w:r>
      <w:r w:rsidRPr="008F3656">
        <w:rPr>
          <w:rFonts w:cstheme="minorHAnsi"/>
        </w:rPr>
        <w:t xml:space="preserve">transformed B-cells </w:t>
      </w:r>
      <w:r>
        <w:rPr>
          <w:rFonts w:cstheme="minorHAnsi"/>
        </w:rPr>
        <w:t>were omitted from the T-cell proliferation assays. Subsequently, EBV-</w:t>
      </w:r>
      <w:r w:rsidRPr="008F3656">
        <w:rPr>
          <w:rFonts w:cstheme="minorHAnsi"/>
        </w:rPr>
        <w:t xml:space="preserve">transformed B-cells were pulsed for periods of 1 or 16 hours with </w:t>
      </w:r>
      <w:r>
        <w:rPr>
          <w:rFonts w:cstheme="minorHAnsi"/>
        </w:rPr>
        <w:t>atabecestat</w:t>
      </w:r>
      <w:r w:rsidRPr="008F3656">
        <w:rPr>
          <w:rFonts w:cstheme="minorHAnsi"/>
        </w:rPr>
        <w:t xml:space="preserve"> (12.5 µM) or DIAT (100 µM), prior to washing 3 times to r</w:t>
      </w:r>
      <w:r>
        <w:rPr>
          <w:rFonts w:cstheme="minorHAnsi"/>
        </w:rPr>
        <w:t>emove the unbound drug. The EBV-</w:t>
      </w:r>
      <w:r w:rsidRPr="008F3656">
        <w:rPr>
          <w:rFonts w:cstheme="minorHAnsi"/>
        </w:rPr>
        <w:t>transformed B-cells were then irradiated and co-incubated (1x10</w:t>
      </w:r>
      <w:r w:rsidRPr="008F3656">
        <w:rPr>
          <w:rFonts w:cstheme="minorHAnsi"/>
          <w:vertAlign w:val="superscript"/>
        </w:rPr>
        <w:t>4</w:t>
      </w:r>
      <w:r w:rsidRPr="008F3656">
        <w:rPr>
          <w:rFonts w:cstheme="minorHAnsi"/>
        </w:rPr>
        <w:t>/50 µL) with T-cell clones (5x10</w:t>
      </w:r>
      <w:r w:rsidRPr="008F3656">
        <w:rPr>
          <w:rFonts w:cstheme="minorHAnsi"/>
          <w:vertAlign w:val="superscript"/>
        </w:rPr>
        <w:t>4</w:t>
      </w:r>
      <w:r w:rsidRPr="008F3656">
        <w:rPr>
          <w:rFonts w:cstheme="minorHAnsi"/>
        </w:rPr>
        <w:t>/50 µL) in the absence of soluble drug for a period of 48 hours, (37°C, 5% CO</w:t>
      </w:r>
      <w:r w:rsidRPr="008F3656">
        <w:rPr>
          <w:rFonts w:cstheme="minorHAnsi"/>
          <w:vertAlign w:val="subscript"/>
        </w:rPr>
        <w:t>2</w:t>
      </w:r>
      <w:r w:rsidRPr="008F3656">
        <w:rPr>
          <w:rFonts w:cstheme="minorHAnsi"/>
        </w:rPr>
        <w:t>). T-cell activation was quantified via proliferation measured using [</w:t>
      </w:r>
      <w:r w:rsidRPr="008F3656">
        <w:rPr>
          <w:rFonts w:cstheme="minorHAnsi"/>
          <w:vertAlign w:val="superscript"/>
        </w:rPr>
        <w:t>3</w:t>
      </w:r>
      <w:r w:rsidRPr="008F3656">
        <w:rPr>
          <w:rFonts w:cstheme="minorHAnsi"/>
        </w:rPr>
        <w:t>H] thymidine incorporation. T-cell clones incubat</w:t>
      </w:r>
      <w:r>
        <w:rPr>
          <w:rFonts w:cstheme="minorHAnsi"/>
        </w:rPr>
        <w:t>ed with unpulsed autologous EBV-</w:t>
      </w:r>
      <w:r w:rsidRPr="008F3656">
        <w:rPr>
          <w:rFonts w:cstheme="minorHAnsi"/>
        </w:rPr>
        <w:t>transformed B</w:t>
      </w:r>
      <w:r w:rsidRPr="008F3656">
        <w:rPr>
          <w:rFonts w:cstheme="minorHAnsi"/>
        </w:rPr>
        <w:noBreakHyphen/>
        <w:t xml:space="preserve">cells in the presence and absence </w:t>
      </w:r>
      <w:r>
        <w:rPr>
          <w:rFonts w:cstheme="minorHAnsi"/>
        </w:rPr>
        <w:t xml:space="preserve">of the free drug were used as </w:t>
      </w:r>
      <w:r w:rsidRPr="008F3656">
        <w:rPr>
          <w:rFonts w:cstheme="minorHAnsi"/>
        </w:rPr>
        <w:t>control</w:t>
      </w:r>
      <w:r>
        <w:rPr>
          <w:rFonts w:cstheme="minorHAnsi"/>
        </w:rPr>
        <w:t>s. EBV-</w:t>
      </w:r>
      <w:r w:rsidRPr="008F3656">
        <w:rPr>
          <w:rFonts w:cstheme="minorHAnsi"/>
        </w:rPr>
        <w:t xml:space="preserve">transformed B-cells were </w:t>
      </w:r>
      <w:r>
        <w:rPr>
          <w:rFonts w:cstheme="minorHAnsi"/>
        </w:rPr>
        <w:t xml:space="preserve">also </w:t>
      </w:r>
      <w:r w:rsidRPr="008F3656">
        <w:rPr>
          <w:rFonts w:cstheme="minorHAnsi"/>
        </w:rPr>
        <w:t>fixed with glutaraldehyde, prior to quenching with glycine and 3 washing steps to prevent antigen processing. T-cell clone</w:t>
      </w:r>
      <w:r>
        <w:rPr>
          <w:rFonts w:cstheme="minorHAnsi"/>
        </w:rPr>
        <w:t>s were incubated with fixed EBV-</w:t>
      </w:r>
      <w:r w:rsidRPr="008F3656">
        <w:rPr>
          <w:rFonts w:cstheme="minorHAnsi"/>
        </w:rPr>
        <w:t xml:space="preserve">transformed B-cells in the presence and absence of the </w:t>
      </w:r>
      <w:r>
        <w:rPr>
          <w:rFonts w:cstheme="minorHAnsi"/>
        </w:rPr>
        <w:t>study compounds</w:t>
      </w:r>
      <w:r w:rsidRPr="008F3656">
        <w:rPr>
          <w:rFonts w:cstheme="minorHAnsi"/>
        </w:rPr>
        <w:t xml:space="preserve"> for a period of 48 hours (37°C, 5% CO</w:t>
      </w:r>
      <w:r w:rsidRPr="008F3656">
        <w:rPr>
          <w:rFonts w:cstheme="minorHAnsi"/>
          <w:vertAlign w:val="subscript"/>
        </w:rPr>
        <w:t>2</w:t>
      </w:r>
      <w:r w:rsidRPr="008F3656">
        <w:rPr>
          <w:rFonts w:cstheme="minorHAnsi"/>
        </w:rPr>
        <w:t>). T-cell activation was quantified via proliferation measured using [</w:t>
      </w:r>
      <w:r w:rsidRPr="008F3656">
        <w:rPr>
          <w:rFonts w:cstheme="minorHAnsi"/>
          <w:vertAlign w:val="superscript"/>
        </w:rPr>
        <w:t>3</w:t>
      </w:r>
      <w:r w:rsidRPr="008F3656">
        <w:rPr>
          <w:rFonts w:cstheme="minorHAnsi"/>
        </w:rPr>
        <w:t>H] thymidine incorporation.</w:t>
      </w:r>
      <w:r>
        <w:rPr>
          <w:rFonts w:cstheme="minorHAnsi"/>
        </w:rPr>
        <w:t xml:space="preserve"> </w:t>
      </w:r>
      <w:r w:rsidRPr="008F3656">
        <w:rPr>
          <w:rFonts w:cstheme="minorHAnsi"/>
        </w:rPr>
        <w:t>MHC restriction of T-cell responses was assessed by c</w:t>
      </w:r>
      <w:r>
        <w:rPr>
          <w:rFonts w:cstheme="minorHAnsi"/>
        </w:rPr>
        <w:t>ulturing the T-cell clones, EBV-</w:t>
      </w:r>
      <w:r w:rsidRPr="008F3656">
        <w:rPr>
          <w:rFonts w:cstheme="minorHAnsi"/>
        </w:rPr>
        <w:t xml:space="preserve">transformed B-cells and the </w:t>
      </w:r>
      <w:r>
        <w:rPr>
          <w:rFonts w:cstheme="minorHAnsi"/>
        </w:rPr>
        <w:t>study compounds</w:t>
      </w:r>
      <w:r w:rsidRPr="008F3656">
        <w:rPr>
          <w:rFonts w:cstheme="minorHAnsi"/>
        </w:rPr>
        <w:t xml:space="preserve"> in the presence of anti-human MHC class I (Human Leukocyte antigen [HLA]</w:t>
      </w:r>
      <w:r w:rsidRPr="008F3656">
        <w:rPr>
          <w:rFonts w:cstheme="minorHAnsi"/>
        </w:rPr>
        <w:noBreakHyphen/>
        <w:t xml:space="preserve">A, B and C), MHC class II (HLA-DP, DQ and DR) or isotype control class I and </w:t>
      </w:r>
      <w:r w:rsidRPr="008F3656">
        <w:rPr>
          <w:rFonts w:cstheme="minorHAnsi"/>
        </w:rPr>
        <w:lastRenderedPageBreak/>
        <w:t>II antibodies (BD Pharmingen, San Jose). T-cell proliferative responses were measured using [</w:t>
      </w:r>
      <w:r w:rsidRPr="008F3656">
        <w:rPr>
          <w:rFonts w:cstheme="minorHAnsi"/>
          <w:vertAlign w:val="superscript"/>
        </w:rPr>
        <w:t>3</w:t>
      </w:r>
      <w:r w:rsidRPr="008F3656">
        <w:rPr>
          <w:rFonts w:cstheme="minorHAnsi"/>
        </w:rPr>
        <w:t xml:space="preserve">H] thymidine incorporation and IFN-γ </w:t>
      </w:r>
      <w:r>
        <w:rPr>
          <w:rFonts w:cstheme="minorHAnsi"/>
        </w:rPr>
        <w:t>ELIspot</w:t>
      </w:r>
      <w:r w:rsidRPr="008F3656">
        <w:rPr>
          <w:rFonts w:cstheme="minorHAnsi"/>
        </w:rPr>
        <w:t>. Where available, individual MHC class II allele blocking (HLA-DP, DQ and DR) was conducted using the method described above.</w:t>
      </w:r>
    </w:p>
    <w:p w:rsidR="006E4BAF" w:rsidRPr="00565506" w:rsidRDefault="006E4BAF" w:rsidP="006E4BAF">
      <w:pPr>
        <w:spacing w:after="0" w:line="480" w:lineRule="auto"/>
        <w:jc w:val="both"/>
        <w:rPr>
          <w:rFonts w:cstheme="minorHAnsi"/>
          <w:b/>
        </w:rPr>
      </w:pPr>
      <w:r w:rsidRPr="00565506">
        <w:rPr>
          <w:rFonts w:cstheme="minorHAnsi"/>
          <w:b/>
        </w:rPr>
        <w:t>Reference</w:t>
      </w:r>
    </w:p>
    <w:p w:rsidR="006E4BAF" w:rsidRPr="00565506" w:rsidRDefault="006E4BAF" w:rsidP="006E4BAF">
      <w:pPr>
        <w:spacing w:line="480" w:lineRule="auto"/>
        <w:jc w:val="both"/>
        <w:rPr>
          <w:rFonts w:cstheme="minorHAnsi"/>
        </w:rPr>
      </w:pPr>
      <w:r>
        <w:rPr>
          <w:rStyle w:val="docsum-authors"/>
          <w:rFonts w:cstheme="minorHAnsi"/>
        </w:rPr>
        <w:t xml:space="preserve">1. </w:t>
      </w:r>
      <w:r w:rsidRPr="00565506">
        <w:rPr>
          <w:rStyle w:val="docsum-authors"/>
          <w:rFonts w:cstheme="minorHAnsi"/>
        </w:rPr>
        <w:t xml:space="preserve">Han A, Glanville J, Hansmann L, Davis MM. </w:t>
      </w:r>
      <w:r w:rsidRPr="00565506">
        <w:rPr>
          <w:rFonts w:cstheme="minorHAnsi"/>
          <w:shd w:val="clear" w:color="auto" w:fill="FFFFFF"/>
        </w:rPr>
        <w:t>Linking T-cell receptor </w:t>
      </w:r>
      <w:r w:rsidRPr="00565506">
        <w:rPr>
          <w:rFonts w:cstheme="minorHAnsi"/>
          <w:bCs/>
          <w:shd w:val="clear" w:color="auto" w:fill="FFFFFF"/>
        </w:rPr>
        <w:t>sequence</w:t>
      </w:r>
      <w:r w:rsidRPr="00565506">
        <w:rPr>
          <w:rFonts w:cstheme="minorHAnsi"/>
          <w:shd w:val="clear" w:color="auto" w:fill="FFFFFF"/>
        </w:rPr>
        <w:t xml:space="preserve"> to functional phenotype at the single-cell level. </w:t>
      </w:r>
      <w:r w:rsidRPr="00565506">
        <w:rPr>
          <w:rStyle w:val="docsum-journal-citation"/>
          <w:rFonts w:cstheme="minorHAnsi"/>
        </w:rPr>
        <w:t>Nat Biotechnol. 2014;32(7):684-92. </w:t>
      </w:r>
    </w:p>
    <w:p w:rsidR="006E4BAF" w:rsidRDefault="006E4BAF" w:rsidP="006E4BAF">
      <w:pPr>
        <w:spacing w:line="480" w:lineRule="auto"/>
        <w:jc w:val="both"/>
        <w:rPr>
          <w:rFonts w:cstheme="minorHAnsi"/>
        </w:rPr>
      </w:pPr>
    </w:p>
    <w:p w:rsidR="006E4BAF" w:rsidRDefault="006E4BAF" w:rsidP="006E4BAF">
      <w:pPr>
        <w:spacing w:after="0" w:line="480" w:lineRule="auto"/>
        <w:jc w:val="both"/>
        <w:rPr>
          <w:rFonts w:cstheme="minorHAnsi"/>
          <w:b/>
        </w:rPr>
        <w:sectPr w:rsidR="006E4BAF">
          <w:pgSz w:w="11906" w:h="16838"/>
          <w:pgMar w:top="1440" w:right="1440" w:bottom="1440" w:left="1440" w:header="708" w:footer="708" w:gutter="0"/>
          <w:cols w:space="708"/>
          <w:docGrid w:linePitch="360"/>
        </w:sectPr>
      </w:pPr>
      <w:bookmarkStart w:id="1" w:name="_GoBack"/>
      <w:bookmarkEnd w:id="1"/>
    </w:p>
    <w:p w:rsidR="006E4BAF" w:rsidRPr="00997C64" w:rsidRDefault="006E4BAF" w:rsidP="006E4BAF">
      <w:pPr>
        <w:spacing w:after="0" w:line="480" w:lineRule="auto"/>
        <w:jc w:val="both"/>
        <w:rPr>
          <w:rFonts w:cstheme="minorHAnsi"/>
          <w:b/>
        </w:rPr>
      </w:pPr>
      <w:r w:rsidRPr="00997C64">
        <w:rPr>
          <w:rFonts w:cstheme="minorHAnsi"/>
          <w:b/>
        </w:rPr>
        <w:lastRenderedPageBreak/>
        <w:t xml:space="preserve">Supplementary Table 1. </w:t>
      </w:r>
      <w:r w:rsidRPr="00997C64">
        <w:rPr>
          <w:rFonts w:cstheme="minorHAnsi"/>
          <w:b/>
          <w:bCs/>
        </w:rPr>
        <w:t>HLA typing of hypersensitive patients</w:t>
      </w:r>
    </w:p>
    <w:tbl>
      <w:tblPr>
        <w:tblStyle w:val="PlainTable2"/>
        <w:tblW w:w="11907" w:type="dxa"/>
        <w:tblLayout w:type="fixed"/>
        <w:tblLook w:val="04A0" w:firstRow="1" w:lastRow="0" w:firstColumn="1" w:lastColumn="0" w:noHBand="0" w:noVBand="1"/>
      </w:tblPr>
      <w:tblGrid>
        <w:gridCol w:w="1276"/>
        <w:gridCol w:w="1063"/>
        <w:gridCol w:w="1063"/>
        <w:gridCol w:w="1063"/>
        <w:gridCol w:w="1063"/>
        <w:gridCol w:w="1063"/>
        <w:gridCol w:w="1063"/>
        <w:gridCol w:w="1063"/>
        <w:gridCol w:w="1063"/>
        <w:gridCol w:w="1063"/>
        <w:gridCol w:w="1064"/>
      </w:tblGrid>
      <w:tr w:rsidR="006E4BAF" w:rsidRPr="00997C64" w:rsidTr="003E6A6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bottom w:val="single" w:sz="6" w:space="0" w:color="auto"/>
            </w:tcBorders>
            <w:noWrap/>
            <w:vAlign w:val="center"/>
            <w:hideMark/>
          </w:tcPr>
          <w:p w:rsidR="006E4BAF" w:rsidRPr="00997C64" w:rsidRDefault="006E4BAF" w:rsidP="003E6A61">
            <w:pPr>
              <w:jc w:val="center"/>
              <w:rPr>
                <w:rFonts w:eastAsia="Times New Roman" w:cstheme="minorHAnsi"/>
                <w:color w:val="000000"/>
              </w:rPr>
            </w:pPr>
          </w:p>
        </w:tc>
        <w:tc>
          <w:tcPr>
            <w:tcW w:w="2126" w:type="dxa"/>
            <w:gridSpan w:val="2"/>
            <w:tcBorders>
              <w:top w:val="single" w:sz="12" w:space="0" w:color="auto"/>
              <w:bottom w:val="single" w:sz="6" w:space="0" w:color="auto"/>
            </w:tcBorders>
            <w:noWrap/>
            <w:vAlign w:val="center"/>
            <w:hideMark/>
          </w:tcPr>
          <w:p w:rsidR="006E4BAF" w:rsidRPr="00997C64" w:rsidRDefault="006E4BAF" w:rsidP="003E6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vertAlign w:val="superscript"/>
              </w:rPr>
            </w:pPr>
            <w:r w:rsidRPr="00997C64">
              <w:rPr>
                <w:rFonts w:eastAsia="Times New Roman" w:cstheme="minorHAnsi"/>
                <w:color w:val="000000"/>
              </w:rPr>
              <w:t>HLA-A</w:t>
            </w:r>
            <w:r w:rsidRPr="00997C64">
              <w:rPr>
                <w:rFonts w:eastAsia="Times New Roman" w:cstheme="minorHAnsi"/>
                <w:color w:val="000000"/>
                <w:vertAlign w:val="superscript"/>
              </w:rPr>
              <w:t>1</w:t>
            </w:r>
          </w:p>
        </w:tc>
        <w:tc>
          <w:tcPr>
            <w:tcW w:w="2126" w:type="dxa"/>
            <w:gridSpan w:val="2"/>
            <w:tcBorders>
              <w:top w:val="single" w:sz="12" w:space="0" w:color="auto"/>
            </w:tcBorders>
            <w:noWrap/>
            <w:vAlign w:val="center"/>
            <w:hideMark/>
          </w:tcPr>
          <w:p w:rsidR="006E4BAF" w:rsidRPr="00997C64" w:rsidRDefault="006E4BAF" w:rsidP="003E6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97C64">
              <w:rPr>
                <w:rFonts w:eastAsia="Times New Roman" w:cstheme="minorHAnsi"/>
                <w:color w:val="000000"/>
              </w:rPr>
              <w:t>HLA-B</w:t>
            </w:r>
          </w:p>
        </w:tc>
        <w:tc>
          <w:tcPr>
            <w:tcW w:w="2126" w:type="dxa"/>
            <w:gridSpan w:val="2"/>
            <w:tcBorders>
              <w:top w:val="single" w:sz="12" w:space="0" w:color="auto"/>
              <w:bottom w:val="single" w:sz="6" w:space="0" w:color="auto"/>
            </w:tcBorders>
            <w:noWrap/>
            <w:vAlign w:val="center"/>
          </w:tcPr>
          <w:p w:rsidR="006E4BAF" w:rsidRPr="00997C64" w:rsidRDefault="006E4BAF" w:rsidP="003E6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97C64">
              <w:rPr>
                <w:rFonts w:eastAsia="Times New Roman" w:cstheme="minorHAnsi"/>
                <w:color w:val="000000"/>
              </w:rPr>
              <w:t>HLA-C</w:t>
            </w:r>
          </w:p>
        </w:tc>
        <w:tc>
          <w:tcPr>
            <w:tcW w:w="2126" w:type="dxa"/>
            <w:gridSpan w:val="2"/>
            <w:tcBorders>
              <w:top w:val="single" w:sz="12" w:space="0" w:color="auto"/>
              <w:bottom w:val="single" w:sz="6" w:space="0" w:color="auto"/>
            </w:tcBorders>
            <w:noWrap/>
            <w:vAlign w:val="center"/>
          </w:tcPr>
          <w:p w:rsidR="006E4BAF" w:rsidRPr="00997C64" w:rsidRDefault="006E4BAF" w:rsidP="003E6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97C64">
              <w:rPr>
                <w:rFonts w:eastAsia="Times New Roman" w:cstheme="minorHAnsi"/>
                <w:color w:val="000000"/>
              </w:rPr>
              <w:t>HLA-DQB1</w:t>
            </w:r>
          </w:p>
        </w:tc>
        <w:tc>
          <w:tcPr>
            <w:tcW w:w="2127" w:type="dxa"/>
            <w:gridSpan w:val="2"/>
            <w:tcBorders>
              <w:top w:val="single" w:sz="12" w:space="0" w:color="auto"/>
            </w:tcBorders>
            <w:noWrap/>
            <w:vAlign w:val="center"/>
            <w:hideMark/>
          </w:tcPr>
          <w:p w:rsidR="006E4BAF" w:rsidRPr="00997C64" w:rsidRDefault="006E4BAF" w:rsidP="003E6A6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997C64">
              <w:rPr>
                <w:rFonts w:eastAsia="Times New Roman" w:cstheme="minorHAnsi"/>
                <w:color w:val="000000"/>
              </w:rPr>
              <w:t>HLA-DRB1</w:t>
            </w:r>
          </w:p>
        </w:tc>
      </w:tr>
      <w:tr w:rsidR="006E4BAF" w:rsidRPr="00997C64" w:rsidTr="003E6A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vAlign w:val="center"/>
          </w:tcPr>
          <w:p w:rsidR="006E4BAF" w:rsidRPr="00997C64" w:rsidRDefault="006E4BAF" w:rsidP="003E6A61">
            <w:pPr>
              <w:jc w:val="center"/>
              <w:rPr>
                <w:rFonts w:eastAsia="Times New Roman" w:cstheme="minorHAnsi"/>
                <w:color w:val="000000"/>
              </w:rPr>
            </w:pPr>
            <w:r w:rsidRPr="00997C64">
              <w:rPr>
                <w:rFonts w:eastAsia="Times New Roman" w:cstheme="minorHAnsi"/>
                <w:color w:val="000000"/>
              </w:rPr>
              <w:t>Patient 5</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01:01:01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02:01:01</w:t>
            </w:r>
          </w:p>
        </w:tc>
        <w:tc>
          <w:tcPr>
            <w:tcW w:w="1063" w:type="dxa"/>
            <w:tcBorders>
              <w:top w:val="nil"/>
              <w:bottom w:val="nil"/>
            </w:tcBorders>
            <w:noWrap/>
            <w:vAlign w:val="center"/>
          </w:tcPr>
          <w:p w:rsidR="006E4BAF" w:rsidRPr="0045060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50609">
              <w:rPr>
                <w:rFonts w:eastAsia="Times New Roman" w:cstheme="minorHAnsi"/>
              </w:rPr>
              <w:t>07:02:01</w:t>
            </w:r>
          </w:p>
        </w:tc>
        <w:tc>
          <w:tcPr>
            <w:tcW w:w="1063" w:type="dxa"/>
            <w:tcBorders>
              <w:top w:val="nil"/>
              <w:bottom w:val="nil"/>
            </w:tcBorders>
            <w:noWrap/>
            <w:vAlign w:val="center"/>
          </w:tcPr>
          <w:p w:rsidR="006E4BAF" w:rsidRPr="0045060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50609">
              <w:rPr>
                <w:rFonts w:eastAsia="Times New Roman" w:cstheme="minorHAnsi"/>
              </w:rPr>
              <w:t>51:01:01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01:02:01</w:t>
            </w:r>
          </w:p>
        </w:tc>
        <w:tc>
          <w:tcPr>
            <w:tcW w:w="1063" w:type="dxa"/>
            <w:tcBorders>
              <w:top w:val="nil"/>
              <w:bottom w:val="nil"/>
              <w:right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07:02:01</w:t>
            </w:r>
          </w:p>
        </w:tc>
        <w:tc>
          <w:tcPr>
            <w:tcW w:w="1063" w:type="dxa"/>
            <w:tcBorders>
              <w:top w:val="nil"/>
              <w:left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03:02:01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06:02:01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04:01:01</w:t>
            </w:r>
          </w:p>
        </w:tc>
        <w:tc>
          <w:tcPr>
            <w:tcW w:w="1064"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15:01:01</w:t>
            </w:r>
          </w:p>
        </w:tc>
      </w:tr>
      <w:tr w:rsidR="006E4BAF" w:rsidRPr="00997C64" w:rsidTr="003E6A61">
        <w:trPr>
          <w:trHeight w:val="45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vAlign w:val="center"/>
          </w:tcPr>
          <w:p w:rsidR="006E4BAF" w:rsidRPr="00997C64" w:rsidRDefault="006E4BAF" w:rsidP="003E6A61">
            <w:pPr>
              <w:jc w:val="center"/>
              <w:rPr>
                <w:rFonts w:eastAsia="Times New Roman" w:cstheme="minorHAnsi"/>
                <w:color w:val="000000"/>
              </w:rPr>
            </w:pPr>
            <w:r w:rsidRPr="00997C64">
              <w:rPr>
                <w:rFonts w:eastAsia="Times New Roman" w:cstheme="minorHAnsi"/>
                <w:color w:val="000000"/>
              </w:rPr>
              <w:t>Patient 6</w:t>
            </w:r>
          </w:p>
        </w:tc>
        <w:tc>
          <w:tcPr>
            <w:tcW w:w="1063"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02:01:01</w:t>
            </w:r>
          </w:p>
        </w:tc>
        <w:tc>
          <w:tcPr>
            <w:tcW w:w="1063"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03:01:01</w:t>
            </w:r>
          </w:p>
        </w:tc>
        <w:tc>
          <w:tcPr>
            <w:tcW w:w="1063" w:type="dxa"/>
            <w:tcBorders>
              <w:top w:val="nil"/>
              <w:bottom w:val="nil"/>
            </w:tcBorders>
            <w:noWrap/>
            <w:vAlign w:val="center"/>
          </w:tcPr>
          <w:p w:rsidR="006E4BAF" w:rsidRPr="0045060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50609">
              <w:rPr>
                <w:rFonts w:eastAsia="Times New Roman" w:cstheme="minorHAnsi"/>
              </w:rPr>
              <w:t>14:02:01</w:t>
            </w:r>
          </w:p>
        </w:tc>
        <w:tc>
          <w:tcPr>
            <w:tcW w:w="1063" w:type="dxa"/>
            <w:tcBorders>
              <w:top w:val="nil"/>
              <w:bottom w:val="nil"/>
            </w:tcBorders>
            <w:noWrap/>
            <w:vAlign w:val="center"/>
          </w:tcPr>
          <w:p w:rsidR="006E4BAF" w:rsidRPr="0045060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50609">
              <w:rPr>
                <w:rFonts w:eastAsia="Times New Roman" w:cstheme="minorHAnsi"/>
              </w:rPr>
              <w:t>44:02:01</w:t>
            </w:r>
          </w:p>
        </w:tc>
        <w:tc>
          <w:tcPr>
            <w:tcW w:w="1063"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05:01:01</w:t>
            </w:r>
          </w:p>
        </w:tc>
        <w:tc>
          <w:tcPr>
            <w:tcW w:w="1063" w:type="dxa"/>
            <w:tcBorders>
              <w:top w:val="nil"/>
              <w:bottom w:val="nil"/>
              <w:right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08:02:01</w:t>
            </w:r>
          </w:p>
        </w:tc>
        <w:tc>
          <w:tcPr>
            <w:tcW w:w="1063" w:type="dxa"/>
            <w:tcBorders>
              <w:top w:val="nil"/>
              <w:left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03:01:01</w:t>
            </w:r>
          </w:p>
        </w:tc>
        <w:tc>
          <w:tcPr>
            <w:tcW w:w="1063"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06:09:01</w:t>
            </w:r>
          </w:p>
        </w:tc>
        <w:tc>
          <w:tcPr>
            <w:tcW w:w="1063"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12:01:01</w:t>
            </w:r>
          </w:p>
        </w:tc>
        <w:tc>
          <w:tcPr>
            <w:tcW w:w="1064" w:type="dxa"/>
            <w:tcBorders>
              <w:top w:val="nil"/>
              <w:bottom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13:02:01</w:t>
            </w:r>
          </w:p>
        </w:tc>
      </w:tr>
      <w:tr w:rsidR="006E4BAF" w:rsidRPr="00997C64" w:rsidTr="003E6A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vAlign w:val="center"/>
          </w:tcPr>
          <w:p w:rsidR="006E4BAF" w:rsidRPr="00997C64" w:rsidRDefault="006E4BAF" w:rsidP="003E6A61">
            <w:pPr>
              <w:jc w:val="center"/>
              <w:rPr>
                <w:rFonts w:eastAsia="Times New Roman" w:cstheme="minorHAnsi"/>
                <w:color w:val="000000"/>
              </w:rPr>
            </w:pPr>
            <w:r w:rsidRPr="00997C64">
              <w:rPr>
                <w:rFonts w:eastAsia="Times New Roman" w:cstheme="minorHAnsi"/>
                <w:color w:val="000000"/>
              </w:rPr>
              <w:t>Patient 7</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02:01:01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68:01:01</w:t>
            </w:r>
          </w:p>
        </w:tc>
        <w:tc>
          <w:tcPr>
            <w:tcW w:w="1063" w:type="dxa"/>
            <w:tcBorders>
              <w:top w:val="nil"/>
              <w:bottom w:val="nil"/>
            </w:tcBorders>
            <w:noWrap/>
            <w:vAlign w:val="center"/>
          </w:tcPr>
          <w:p w:rsidR="006E4BAF" w:rsidRPr="0045060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50609">
              <w:rPr>
                <w:rFonts w:eastAsia="Times New Roman" w:cstheme="minorHAnsi"/>
              </w:rPr>
              <w:t>07:02:01</w:t>
            </w:r>
          </w:p>
        </w:tc>
        <w:tc>
          <w:tcPr>
            <w:tcW w:w="1063" w:type="dxa"/>
            <w:tcBorders>
              <w:top w:val="nil"/>
              <w:bottom w:val="nil"/>
            </w:tcBorders>
            <w:noWrap/>
            <w:vAlign w:val="center"/>
          </w:tcPr>
          <w:p w:rsidR="006E4BAF" w:rsidRPr="0045060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50609">
              <w:rPr>
                <w:rFonts w:eastAsia="Times New Roman" w:cstheme="minorHAnsi"/>
              </w:rPr>
              <w:t>35:01:01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04:01:01</w:t>
            </w:r>
          </w:p>
        </w:tc>
        <w:tc>
          <w:tcPr>
            <w:tcW w:w="1063" w:type="dxa"/>
            <w:tcBorders>
              <w:top w:val="nil"/>
              <w:bottom w:val="nil"/>
              <w:right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07:02:01</w:t>
            </w:r>
          </w:p>
        </w:tc>
        <w:tc>
          <w:tcPr>
            <w:tcW w:w="1063" w:type="dxa"/>
            <w:tcBorders>
              <w:top w:val="nil"/>
              <w:left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03:02:01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06:02:01</w:t>
            </w:r>
          </w:p>
        </w:tc>
        <w:tc>
          <w:tcPr>
            <w:tcW w:w="1063"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04:04:01</w:t>
            </w:r>
          </w:p>
        </w:tc>
        <w:tc>
          <w:tcPr>
            <w:tcW w:w="1064" w:type="dxa"/>
            <w:tcBorders>
              <w:top w:val="nil"/>
              <w:bottom w:val="nil"/>
            </w:tcBorders>
            <w:noWrap/>
            <w:vAlign w:val="center"/>
          </w:tcPr>
          <w:p w:rsidR="006E4BAF" w:rsidRPr="005127E9" w:rsidRDefault="006E4BAF" w:rsidP="003E6A6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127E9">
              <w:rPr>
                <w:rFonts w:eastAsia="Times New Roman" w:cstheme="minorHAnsi"/>
              </w:rPr>
              <w:t>15:01:01</w:t>
            </w:r>
          </w:p>
        </w:tc>
      </w:tr>
      <w:tr w:rsidR="006E4BAF" w:rsidRPr="00997C64" w:rsidTr="003E6A61">
        <w:trPr>
          <w:trHeight w:val="45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12" w:space="0" w:color="auto"/>
            </w:tcBorders>
            <w:noWrap/>
            <w:vAlign w:val="center"/>
          </w:tcPr>
          <w:p w:rsidR="006E4BAF" w:rsidRPr="00997C64" w:rsidRDefault="006E4BAF" w:rsidP="003E6A61">
            <w:pPr>
              <w:jc w:val="center"/>
              <w:rPr>
                <w:rFonts w:eastAsia="Times New Roman" w:cstheme="minorHAnsi"/>
                <w:color w:val="000000"/>
              </w:rPr>
            </w:pPr>
            <w:r w:rsidRPr="00997C64">
              <w:rPr>
                <w:rFonts w:eastAsia="Times New Roman" w:cstheme="minorHAnsi"/>
                <w:color w:val="000000"/>
              </w:rPr>
              <w:t>Patient 9</w:t>
            </w:r>
          </w:p>
        </w:tc>
        <w:tc>
          <w:tcPr>
            <w:tcW w:w="1063"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01:01:01</w:t>
            </w:r>
          </w:p>
        </w:tc>
        <w:tc>
          <w:tcPr>
            <w:tcW w:w="1063"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32:01:01</w:t>
            </w:r>
          </w:p>
        </w:tc>
        <w:tc>
          <w:tcPr>
            <w:tcW w:w="1063" w:type="dxa"/>
            <w:tcBorders>
              <w:top w:val="nil"/>
              <w:bottom w:val="single" w:sz="12" w:space="0" w:color="auto"/>
            </w:tcBorders>
            <w:noWrap/>
            <w:vAlign w:val="center"/>
          </w:tcPr>
          <w:p w:rsidR="006E4BAF" w:rsidRPr="0045060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50609">
              <w:rPr>
                <w:rFonts w:eastAsia="Times New Roman" w:cstheme="minorHAnsi"/>
              </w:rPr>
              <w:t>08:01:01</w:t>
            </w:r>
          </w:p>
        </w:tc>
        <w:tc>
          <w:tcPr>
            <w:tcW w:w="1063" w:type="dxa"/>
            <w:tcBorders>
              <w:top w:val="nil"/>
              <w:bottom w:val="single" w:sz="12" w:space="0" w:color="auto"/>
            </w:tcBorders>
            <w:noWrap/>
            <w:vAlign w:val="center"/>
          </w:tcPr>
          <w:p w:rsidR="006E4BAF" w:rsidRPr="0045060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50609">
              <w:rPr>
                <w:rFonts w:eastAsia="Times New Roman" w:cstheme="minorHAnsi"/>
              </w:rPr>
              <w:t>14:01:01</w:t>
            </w:r>
          </w:p>
        </w:tc>
        <w:tc>
          <w:tcPr>
            <w:tcW w:w="1063"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07:01:01</w:t>
            </w:r>
          </w:p>
        </w:tc>
        <w:tc>
          <w:tcPr>
            <w:tcW w:w="1063" w:type="dxa"/>
            <w:tcBorders>
              <w:top w:val="nil"/>
              <w:bottom w:val="single" w:sz="12" w:space="0" w:color="auto"/>
              <w:right w:val="nil"/>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08:02:01</w:t>
            </w:r>
          </w:p>
        </w:tc>
        <w:tc>
          <w:tcPr>
            <w:tcW w:w="1063" w:type="dxa"/>
            <w:tcBorders>
              <w:top w:val="nil"/>
              <w:left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03:02:01</w:t>
            </w:r>
          </w:p>
        </w:tc>
        <w:tc>
          <w:tcPr>
            <w:tcW w:w="1063"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06:02:01</w:t>
            </w:r>
          </w:p>
        </w:tc>
        <w:tc>
          <w:tcPr>
            <w:tcW w:w="1063"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04:04:01</w:t>
            </w:r>
          </w:p>
        </w:tc>
        <w:tc>
          <w:tcPr>
            <w:tcW w:w="1064" w:type="dxa"/>
            <w:tcBorders>
              <w:top w:val="nil"/>
              <w:bottom w:val="single" w:sz="12" w:space="0" w:color="auto"/>
            </w:tcBorders>
            <w:noWrap/>
            <w:vAlign w:val="center"/>
          </w:tcPr>
          <w:p w:rsidR="006E4BAF" w:rsidRPr="005127E9" w:rsidRDefault="006E4BAF" w:rsidP="003E6A6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127E9">
              <w:rPr>
                <w:rFonts w:eastAsia="Times New Roman" w:cstheme="minorHAnsi"/>
              </w:rPr>
              <w:t>15:01:01</w:t>
            </w:r>
          </w:p>
        </w:tc>
      </w:tr>
    </w:tbl>
    <w:p w:rsidR="006E4BAF" w:rsidRDefault="006E4BAF" w:rsidP="006E4BAF">
      <w:pPr>
        <w:rPr>
          <w:rFonts w:cstheme="minorHAnsi"/>
          <w:b/>
        </w:rPr>
      </w:pPr>
    </w:p>
    <w:p w:rsidR="006E4BAF" w:rsidRDefault="006E4BAF" w:rsidP="006E4BAF">
      <w:pPr>
        <w:rPr>
          <w:rFonts w:cstheme="minorHAnsi"/>
          <w:b/>
        </w:rPr>
      </w:pPr>
      <w:r>
        <w:rPr>
          <w:rFonts w:cstheme="minorHAnsi"/>
          <w:b/>
        </w:rPr>
        <w:br w:type="page"/>
      </w:r>
    </w:p>
    <w:p w:rsidR="006E4BAF" w:rsidRDefault="006E4BAF" w:rsidP="006E4BAF">
      <w:pPr>
        <w:rPr>
          <w:b/>
          <w:bCs/>
        </w:rPr>
      </w:pPr>
      <w:r>
        <w:rPr>
          <w:b/>
          <w:bCs/>
        </w:rPr>
        <w:lastRenderedPageBreak/>
        <w:t xml:space="preserve">Supplementary </w:t>
      </w:r>
      <w:r w:rsidRPr="00593F37">
        <w:rPr>
          <w:b/>
          <w:bCs/>
        </w:rPr>
        <w:t xml:space="preserve">Table 2. Summary of </w:t>
      </w:r>
      <w:r>
        <w:rPr>
          <w:b/>
          <w:bCs/>
        </w:rPr>
        <w:t>the number of study compound-responsive T-cell clones generated from PBMC of the</w:t>
      </w:r>
      <w:r w:rsidRPr="00593F37">
        <w:rPr>
          <w:b/>
          <w:bCs/>
        </w:rPr>
        <w:t xml:space="preserve"> atabecestat DILI patients.  </w:t>
      </w:r>
    </w:p>
    <w:p w:rsidR="006E4BAF" w:rsidRPr="00593F37" w:rsidRDefault="006E4BAF" w:rsidP="006E4BAF"/>
    <w:tbl>
      <w:tblPr>
        <w:tblW w:w="14742" w:type="dxa"/>
        <w:tblCellMar>
          <w:left w:w="0" w:type="dxa"/>
          <w:right w:w="0" w:type="dxa"/>
        </w:tblCellMar>
        <w:tblLook w:val="0600" w:firstRow="0" w:lastRow="0" w:firstColumn="0" w:lastColumn="0" w:noHBand="1" w:noVBand="1"/>
      </w:tblPr>
      <w:tblGrid>
        <w:gridCol w:w="1276"/>
        <w:gridCol w:w="1683"/>
        <w:gridCol w:w="1683"/>
        <w:gridCol w:w="1683"/>
        <w:gridCol w:w="1755"/>
        <w:gridCol w:w="1612"/>
        <w:gridCol w:w="1683"/>
        <w:gridCol w:w="1683"/>
        <w:gridCol w:w="1684"/>
      </w:tblGrid>
      <w:tr w:rsidR="006E4BAF" w:rsidRPr="001E1764" w:rsidTr="003E6A61">
        <w:trPr>
          <w:trHeight w:val="289"/>
        </w:trPr>
        <w:tc>
          <w:tcPr>
            <w:tcW w:w="1276" w:type="dxa"/>
            <w:tcBorders>
              <w:top w:val="single" w:sz="12"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p>
        </w:tc>
        <w:tc>
          <w:tcPr>
            <w:tcW w:w="6804" w:type="dxa"/>
            <w:gridSpan w:val="4"/>
            <w:tcBorders>
              <w:top w:val="single" w:sz="12" w:space="0" w:color="auto"/>
            </w:tcBorders>
          </w:tcPr>
          <w:p w:rsidR="006E4BAF" w:rsidRPr="001E1764" w:rsidRDefault="006E4BAF" w:rsidP="003E6A61">
            <w:pPr>
              <w:spacing w:after="0" w:line="240" w:lineRule="auto"/>
              <w:jc w:val="center"/>
              <w:rPr>
                <w:rFonts w:cstheme="minorHAnsi"/>
                <w:i/>
              </w:rPr>
            </w:pPr>
            <w:r w:rsidRPr="001E1764">
              <w:rPr>
                <w:rFonts w:cstheme="minorHAnsi"/>
                <w:b/>
                <w:bCs/>
                <w:i/>
              </w:rPr>
              <w:t>T-cell cloning to atabecestat</w:t>
            </w:r>
          </w:p>
        </w:tc>
        <w:tc>
          <w:tcPr>
            <w:tcW w:w="6662" w:type="dxa"/>
            <w:gridSpan w:val="4"/>
            <w:tcBorders>
              <w:top w:val="single" w:sz="12" w:space="0" w:color="auto"/>
            </w:tcBorders>
          </w:tcPr>
          <w:p w:rsidR="006E4BAF" w:rsidRPr="001E1764" w:rsidRDefault="006E4BAF" w:rsidP="003E6A61">
            <w:pPr>
              <w:spacing w:after="0" w:line="240" w:lineRule="auto"/>
              <w:jc w:val="center"/>
              <w:rPr>
                <w:rFonts w:cstheme="minorHAnsi"/>
                <w:i/>
              </w:rPr>
            </w:pPr>
            <w:r w:rsidRPr="001E1764">
              <w:rPr>
                <w:rFonts w:cstheme="minorHAnsi"/>
                <w:b/>
                <w:bCs/>
                <w:i/>
              </w:rPr>
              <w:t>T-cell cloning to DIAT</w:t>
            </w:r>
          </w:p>
        </w:tc>
      </w:tr>
      <w:tr w:rsidR="006E4BAF" w:rsidRPr="001E1764" w:rsidTr="003E6A61">
        <w:trPr>
          <w:trHeight w:val="289"/>
        </w:trPr>
        <w:tc>
          <w:tcPr>
            <w:tcW w:w="1276"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
                <w:bCs/>
              </w:rPr>
              <w:t>Patient ID</w:t>
            </w:r>
          </w:p>
        </w:tc>
        <w:tc>
          <w:tcPr>
            <w:tcW w:w="1683"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Tested number of  clones</w:t>
            </w:r>
          </w:p>
        </w:tc>
        <w:tc>
          <w:tcPr>
            <w:tcW w:w="1683" w:type="dxa"/>
            <w:tcBorders>
              <w:bottom w:val="single" w:sz="6" w:space="0" w:color="auto"/>
            </w:tcBorders>
          </w:tcPr>
          <w:p w:rsidR="006E4BAF" w:rsidRPr="001E1764" w:rsidRDefault="006E4BAF" w:rsidP="003E6A61">
            <w:pPr>
              <w:spacing w:after="0" w:line="240" w:lineRule="auto"/>
              <w:jc w:val="center"/>
              <w:rPr>
                <w:rFonts w:cstheme="minorHAnsi"/>
                <w:b/>
                <w:bCs/>
              </w:rPr>
            </w:pPr>
            <w:r w:rsidRPr="001E1764">
              <w:rPr>
                <w:rFonts w:cstheme="minorHAnsi"/>
                <w:b/>
                <w:bCs/>
              </w:rPr>
              <w:t>Number of drug-</w:t>
            </w:r>
            <w:r>
              <w:rPr>
                <w:rFonts w:cstheme="minorHAnsi"/>
                <w:b/>
                <w:bCs/>
              </w:rPr>
              <w:t>responsive</w:t>
            </w:r>
            <w:r w:rsidRPr="001E1764">
              <w:rPr>
                <w:rFonts w:cstheme="minorHAnsi"/>
                <w:b/>
                <w:bCs/>
              </w:rPr>
              <w:t xml:space="preserve"> clones</w:t>
            </w:r>
            <w:r>
              <w:rPr>
                <w:rFonts w:cstheme="minorHAnsi"/>
                <w:b/>
                <w:bCs/>
              </w:rPr>
              <w:t xml:space="preserve"> (test one)</w:t>
            </w:r>
          </w:p>
        </w:tc>
        <w:tc>
          <w:tcPr>
            <w:tcW w:w="1683"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Number of drug-specific clones</w:t>
            </w:r>
            <w:r>
              <w:rPr>
                <w:rFonts w:cstheme="minorHAnsi"/>
                <w:b/>
                <w:bCs/>
              </w:rPr>
              <w:t xml:space="preserve"> (repeat testing)</w:t>
            </w:r>
          </w:p>
        </w:tc>
        <w:tc>
          <w:tcPr>
            <w:tcW w:w="1755"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Percentage of responding clones (%)</w:t>
            </w:r>
          </w:p>
        </w:tc>
        <w:tc>
          <w:tcPr>
            <w:tcW w:w="1612"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Tested number of  clones</w:t>
            </w:r>
          </w:p>
        </w:tc>
        <w:tc>
          <w:tcPr>
            <w:tcW w:w="1683" w:type="dxa"/>
            <w:tcBorders>
              <w:bottom w:val="single" w:sz="6" w:space="0" w:color="auto"/>
            </w:tcBorders>
          </w:tcPr>
          <w:p w:rsidR="006E4BAF" w:rsidRPr="001E1764" w:rsidRDefault="006E4BAF" w:rsidP="003E6A61">
            <w:pPr>
              <w:spacing w:after="0" w:line="240" w:lineRule="auto"/>
              <w:jc w:val="center"/>
              <w:rPr>
                <w:rFonts w:cstheme="minorHAnsi"/>
                <w:b/>
                <w:bCs/>
              </w:rPr>
            </w:pPr>
            <w:r w:rsidRPr="001E1764">
              <w:rPr>
                <w:rFonts w:cstheme="minorHAnsi"/>
                <w:b/>
                <w:bCs/>
              </w:rPr>
              <w:t>Number of drug-</w:t>
            </w:r>
            <w:r>
              <w:rPr>
                <w:rFonts w:cstheme="minorHAnsi"/>
                <w:b/>
                <w:bCs/>
              </w:rPr>
              <w:t>responsive</w:t>
            </w:r>
            <w:r w:rsidRPr="001E1764">
              <w:rPr>
                <w:rFonts w:cstheme="minorHAnsi"/>
                <w:b/>
                <w:bCs/>
              </w:rPr>
              <w:t xml:space="preserve"> clones</w:t>
            </w:r>
            <w:r>
              <w:rPr>
                <w:rFonts w:cstheme="minorHAnsi"/>
                <w:b/>
                <w:bCs/>
              </w:rPr>
              <w:t xml:space="preserve"> (test one)</w:t>
            </w:r>
          </w:p>
        </w:tc>
        <w:tc>
          <w:tcPr>
            <w:tcW w:w="1683"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Number of drug-specific clones</w:t>
            </w:r>
            <w:r>
              <w:rPr>
                <w:rFonts w:cstheme="minorHAnsi"/>
                <w:b/>
                <w:bCs/>
              </w:rPr>
              <w:t xml:space="preserve"> (repeat testing)</w:t>
            </w:r>
          </w:p>
        </w:tc>
        <w:tc>
          <w:tcPr>
            <w:tcW w:w="1684" w:type="dxa"/>
            <w:tcBorders>
              <w:bottom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rPr>
            </w:pPr>
            <w:r w:rsidRPr="001E1764">
              <w:rPr>
                <w:rFonts w:cstheme="minorHAnsi"/>
                <w:b/>
                <w:bCs/>
              </w:rPr>
              <w:t>Percentage of responding clones (%)</w:t>
            </w:r>
          </w:p>
        </w:tc>
      </w:tr>
      <w:tr w:rsidR="006E4BAF" w:rsidRPr="001E1764" w:rsidTr="003E6A61">
        <w:trPr>
          <w:trHeight w:val="275"/>
        </w:trPr>
        <w:tc>
          <w:tcPr>
            <w:tcW w:w="1276"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1</w:t>
            </w:r>
          </w:p>
        </w:tc>
        <w:tc>
          <w:tcPr>
            <w:tcW w:w="1683"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183</w:t>
            </w:r>
          </w:p>
        </w:tc>
        <w:tc>
          <w:tcPr>
            <w:tcW w:w="1683" w:type="dxa"/>
            <w:tcBorders>
              <w:top w:val="single" w:sz="6" w:space="0" w:color="auto"/>
            </w:tcBorders>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12"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500</w:t>
            </w:r>
          </w:p>
        </w:tc>
        <w:tc>
          <w:tcPr>
            <w:tcW w:w="1683" w:type="dxa"/>
            <w:tcBorders>
              <w:top w:val="single" w:sz="6" w:space="0" w:color="auto"/>
            </w:tcBorders>
          </w:tcPr>
          <w:p w:rsidR="006E4BAF" w:rsidRPr="001E1764" w:rsidRDefault="006E4BAF" w:rsidP="003E6A61">
            <w:pPr>
              <w:spacing w:after="0" w:line="240" w:lineRule="auto"/>
              <w:jc w:val="center"/>
              <w:rPr>
                <w:rFonts w:cstheme="minorHAnsi"/>
                <w:sz w:val="20"/>
                <w:szCs w:val="20"/>
              </w:rPr>
            </w:pPr>
            <w:r>
              <w:rPr>
                <w:rFonts w:cstheme="minorHAnsi"/>
                <w:sz w:val="20"/>
                <w:szCs w:val="20"/>
              </w:rPr>
              <w:t>16</w:t>
            </w:r>
          </w:p>
        </w:tc>
        <w:tc>
          <w:tcPr>
            <w:tcW w:w="1683"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3</w:t>
            </w:r>
          </w:p>
        </w:tc>
        <w:tc>
          <w:tcPr>
            <w:tcW w:w="1684" w:type="dxa"/>
            <w:tcBorders>
              <w:top w:val="single" w:sz="6" w:space="0" w:color="auto"/>
            </w:tcBorders>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0.6</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4</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37</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1</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36</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3</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5</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48</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2</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2</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4.</w:t>
            </w:r>
            <w:r>
              <w:rPr>
                <w:rFonts w:cstheme="minorHAnsi"/>
                <w:sz w:val="20"/>
                <w:szCs w:val="20"/>
              </w:rPr>
              <w:t>17</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58</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4</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1.72</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6</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99</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5</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2</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2.02</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189</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19</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4</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2.12</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7</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38</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19</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9</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57</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56</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2</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1.79</w:t>
            </w:r>
          </w:p>
        </w:tc>
      </w:tr>
      <w:tr w:rsidR="006E4BAF" w:rsidRPr="001E1764" w:rsidTr="003E6A61">
        <w:trPr>
          <w:trHeight w:val="275"/>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12</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46</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22</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1</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Pr>
                <w:rFonts w:cstheme="minorHAnsi"/>
                <w:sz w:val="20"/>
                <w:szCs w:val="20"/>
              </w:rPr>
              <w:t>4.54</w:t>
            </w:r>
          </w:p>
        </w:tc>
      </w:tr>
      <w:tr w:rsidR="006E4BAF" w:rsidRPr="001E1764" w:rsidTr="003E6A61">
        <w:trPr>
          <w:trHeight w:val="289"/>
        </w:trPr>
        <w:tc>
          <w:tcPr>
            <w:tcW w:w="1276"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rPr>
                <w:rFonts w:cstheme="minorHAnsi"/>
              </w:rPr>
            </w:pPr>
            <w:r w:rsidRPr="001E1764">
              <w:rPr>
                <w:rFonts w:cstheme="minorHAnsi"/>
                <w:bCs/>
              </w:rPr>
              <w:t>Patient 13</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16</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755"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12"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11</w:t>
            </w: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c>
          <w:tcPr>
            <w:tcW w:w="1684" w:type="dxa"/>
            <w:shd w:val="clear" w:color="auto" w:fill="auto"/>
            <w:tcMar>
              <w:top w:w="14" w:type="dxa"/>
              <w:left w:w="14" w:type="dxa"/>
              <w:bottom w:w="0" w:type="dxa"/>
              <w:right w:w="14" w:type="dxa"/>
            </w:tcMar>
            <w:vAlign w:val="bottom"/>
            <w:hideMark/>
          </w:tcPr>
          <w:p w:rsidR="006E4BAF" w:rsidRPr="001E1764" w:rsidRDefault="006E4BAF" w:rsidP="003E6A61">
            <w:pPr>
              <w:spacing w:after="0" w:line="240" w:lineRule="auto"/>
              <w:jc w:val="center"/>
              <w:rPr>
                <w:rFonts w:cstheme="minorHAnsi"/>
                <w:sz w:val="20"/>
                <w:szCs w:val="20"/>
              </w:rPr>
            </w:pPr>
            <w:r w:rsidRPr="001E1764">
              <w:rPr>
                <w:rFonts w:cstheme="minorHAnsi"/>
                <w:sz w:val="20"/>
                <w:szCs w:val="20"/>
              </w:rPr>
              <w:t>0</w:t>
            </w:r>
          </w:p>
        </w:tc>
      </w:tr>
      <w:tr w:rsidR="006E4BAF" w:rsidRPr="001E1764" w:rsidTr="003E6A61">
        <w:trPr>
          <w:trHeight w:val="289"/>
        </w:trPr>
        <w:tc>
          <w:tcPr>
            <w:tcW w:w="1276"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c>
          <w:tcPr>
            <w:tcW w:w="1755"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c>
          <w:tcPr>
            <w:tcW w:w="1612"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c>
          <w:tcPr>
            <w:tcW w:w="1683" w:type="dxa"/>
            <w:shd w:val="clear" w:color="auto" w:fill="auto"/>
          </w:tcPr>
          <w:p w:rsidR="006E4BAF" w:rsidRPr="001E1764" w:rsidRDefault="006E4BAF" w:rsidP="003E6A61">
            <w:pPr>
              <w:spacing w:after="0" w:line="240" w:lineRule="auto"/>
              <w:jc w:val="center"/>
              <w:rPr>
                <w:rFonts w:cstheme="minorHAnsi"/>
                <w:sz w:val="20"/>
                <w:szCs w:val="20"/>
              </w:rPr>
            </w:pP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c>
          <w:tcPr>
            <w:tcW w:w="1684"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p>
        </w:tc>
      </w:tr>
      <w:tr w:rsidR="006E4BAF" w:rsidRPr="001E1764" w:rsidTr="003E6A61">
        <w:trPr>
          <w:trHeight w:val="289"/>
        </w:trPr>
        <w:tc>
          <w:tcPr>
            <w:tcW w:w="1276"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p>
        </w:tc>
        <w:tc>
          <w:tcPr>
            <w:tcW w:w="6804" w:type="dxa"/>
            <w:gridSpan w:val="4"/>
            <w:shd w:val="clear" w:color="auto" w:fill="auto"/>
          </w:tcPr>
          <w:p w:rsidR="006E4BAF" w:rsidRPr="001E1764" w:rsidRDefault="006E4BAF" w:rsidP="003E6A61">
            <w:pPr>
              <w:spacing w:after="0" w:line="240" w:lineRule="auto"/>
              <w:jc w:val="center"/>
              <w:rPr>
                <w:rFonts w:cstheme="minorHAnsi"/>
                <w:sz w:val="20"/>
                <w:szCs w:val="20"/>
              </w:rPr>
            </w:pPr>
            <w:r w:rsidRPr="001E1764">
              <w:rPr>
                <w:rFonts w:cstheme="minorHAnsi"/>
                <w:b/>
                <w:bCs/>
                <w:i/>
              </w:rPr>
              <w:t xml:space="preserve">T-cell cloning to </w:t>
            </w:r>
            <w:r>
              <w:rPr>
                <w:rFonts w:cstheme="minorHAnsi"/>
                <w:b/>
                <w:bCs/>
                <w:i/>
              </w:rPr>
              <w:t xml:space="preserve">acetyl </w:t>
            </w:r>
            <w:r w:rsidRPr="001E1764">
              <w:rPr>
                <w:rFonts w:cstheme="minorHAnsi"/>
                <w:b/>
                <w:bCs/>
                <w:i/>
              </w:rPr>
              <w:t>DIAT</w:t>
            </w:r>
          </w:p>
        </w:tc>
        <w:tc>
          <w:tcPr>
            <w:tcW w:w="6662" w:type="dxa"/>
            <w:gridSpan w:val="4"/>
            <w:shd w:val="clear" w:color="auto" w:fill="auto"/>
          </w:tcPr>
          <w:p w:rsidR="006E4BAF" w:rsidRPr="001E1764" w:rsidRDefault="006E4BAF" w:rsidP="003E6A61">
            <w:pPr>
              <w:spacing w:after="0" w:line="240" w:lineRule="auto"/>
              <w:jc w:val="center"/>
              <w:rPr>
                <w:rFonts w:cstheme="minorHAnsi"/>
                <w:sz w:val="20"/>
                <w:szCs w:val="20"/>
              </w:rPr>
            </w:pPr>
            <w:r w:rsidRPr="001E1764">
              <w:rPr>
                <w:rFonts w:cstheme="minorHAnsi"/>
                <w:b/>
                <w:bCs/>
                <w:i/>
              </w:rPr>
              <w:t>T-cell cloning to atabecestat</w:t>
            </w:r>
            <w:r>
              <w:rPr>
                <w:rFonts w:cstheme="minorHAnsi"/>
                <w:b/>
                <w:bCs/>
                <w:i/>
              </w:rPr>
              <w:t xml:space="preserve"> epoxide</w:t>
            </w:r>
          </w:p>
        </w:tc>
      </w:tr>
      <w:tr w:rsidR="006E4BAF" w:rsidRPr="001E1764" w:rsidTr="003E6A61">
        <w:trPr>
          <w:trHeight w:val="289"/>
        </w:trPr>
        <w:tc>
          <w:tcPr>
            <w:tcW w:w="1276"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r w:rsidRPr="001E1764">
              <w:rPr>
                <w:rFonts w:ascii="Calibri" w:hAnsi="Calibri" w:cs="Calibri"/>
                <w:b/>
                <w:bCs/>
                <w:color w:val="000000"/>
                <w:kern w:val="24"/>
                <w:szCs w:val="20"/>
              </w:rPr>
              <w:t>Patient ID</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Cs w:val="20"/>
              </w:rPr>
            </w:pPr>
            <w:r w:rsidRPr="001E1764">
              <w:rPr>
                <w:rFonts w:ascii="Calibri" w:hAnsi="Calibri" w:cs="Calibri"/>
                <w:b/>
                <w:bCs/>
                <w:color w:val="000000"/>
                <w:kern w:val="24"/>
                <w:szCs w:val="20"/>
              </w:rPr>
              <w:t>Tested number of  clones</w:t>
            </w:r>
          </w:p>
        </w:tc>
        <w:tc>
          <w:tcPr>
            <w:tcW w:w="1683" w:type="dxa"/>
            <w:shd w:val="clear" w:color="auto" w:fill="auto"/>
          </w:tcPr>
          <w:p w:rsidR="006E4BAF" w:rsidRPr="001E1764" w:rsidRDefault="006E4BAF" w:rsidP="003E6A61">
            <w:pPr>
              <w:spacing w:after="0" w:line="240" w:lineRule="auto"/>
              <w:jc w:val="center"/>
              <w:rPr>
                <w:rFonts w:ascii="Calibri" w:hAnsi="Calibri" w:cs="Calibri"/>
                <w:b/>
                <w:bCs/>
                <w:color w:val="000000"/>
                <w:kern w:val="24"/>
                <w:szCs w:val="20"/>
              </w:rPr>
            </w:pP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Cs w:val="20"/>
              </w:rPr>
            </w:pPr>
            <w:r w:rsidRPr="001E1764">
              <w:rPr>
                <w:rFonts w:ascii="Calibri" w:hAnsi="Calibri" w:cs="Calibri"/>
                <w:b/>
                <w:bCs/>
                <w:color w:val="000000"/>
                <w:kern w:val="24"/>
                <w:szCs w:val="20"/>
              </w:rPr>
              <w:t>Number of drug-specific clones</w:t>
            </w:r>
          </w:p>
        </w:tc>
        <w:tc>
          <w:tcPr>
            <w:tcW w:w="1755"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Cs w:val="20"/>
              </w:rPr>
            </w:pPr>
            <w:r w:rsidRPr="001E1764">
              <w:rPr>
                <w:rFonts w:ascii="Calibri" w:hAnsi="Calibri" w:cs="Calibri"/>
                <w:b/>
                <w:bCs/>
                <w:color w:val="000000"/>
                <w:kern w:val="24"/>
                <w:szCs w:val="20"/>
              </w:rPr>
              <w:t>Percentage of responding clones (%)</w:t>
            </w:r>
          </w:p>
        </w:tc>
        <w:tc>
          <w:tcPr>
            <w:tcW w:w="1612"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sidRPr="001E1764">
              <w:rPr>
                <w:rFonts w:ascii="Calibri" w:hAnsi="Calibri" w:cs="Calibri"/>
                <w:b/>
                <w:bCs/>
                <w:color w:val="000000"/>
                <w:kern w:val="24"/>
                <w:szCs w:val="20"/>
              </w:rPr>
              <w:t>Tested number of  clones</w:t>
            </w:r>
          </w:p>
        </w:tc>
        <w:tc>
          <w:tcPr>
            <w:tcW w:w="1683" w:type="dxa"/>
            <w:shd w:val="clear" w:color="auto" w:fill="auto"/>
          </w:tcPr>
          <w:p w:rsidR="006E4BAF" w:rsidRPr="001E1764" w:rsidRDefault="006E4BAF" w:rsidP="003E6A61">
            <w:pPr>
              <w:spacing w:after="0" w:line="240" w:lineRule="auto"/>
              <w:jc w:val="center"/>
              <w:rPr>
                <w:rFonts w:ascii="Calibri" w:hAnsi="Calibri" w:cs="Calibri"/>
                <w:b/>
                <w:bCs/>
                <w:color w:val="000000"/>
                <w:kern w:val="24"/>
                <w:szCs w:val="20"/>
              </w:rPr>
            </w:pP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sidRPr="001E1764">
              <w:rPr>
                <w:rFonts w:ascii="Calibri" w:hAnsi="Calibri" w:cs="Calibri"/>
                <w:b/>
                <w:bCs/>
                <w:color w:val="000000"/>
                <w:kern w:val="24"/>
                <w:szCs w:val="20"/>
              </w:rPr>
              <w:t>Number of drug-specific clones</w:t>
            </w:r>
          </w:p>
        </w:tc>
        <w:tc>
          <w:tcPr>
            <w:tcW w:w="1684"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sidRPr="001E1764">
              <w:rPr>
                <w:rFonts w:ascii="Calibri" w:hAnsi="Calibri" w:cs="Calibri"/>
                <w:b/>
                <w:bCs/>
                <w:color w:val="000000"/>
                <w:kern w:val="24"/>
                <w:szCs w:val="20"/>
              </w:rPr>
              <w:t>Percentage of responding clones (%)</w:t>
            </w:r>
          </w:p>
        </w:tc>
      </w:tr>
      <w:tr w:rsidR="006E4BAF" w:rsidRPr="001E1764" w:rsidTr="003E6A61">
        <w:trPr>
          <w:trHeight w:val="289"/>
        </w:trPr>
        <w:tc>
          <w:tcPr>
            <w:tcW w:w="1276"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r>
              <w:rPr>
                <w:rFonts w:cstheme="minorHAnsi"/>
                <w:bCs/>
              </w:rPr>
              <w:t>Patient 4</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29</w:t>
            </w:r>
          </w:p>
        </w:tc>
        <w:tc>
          <w:tcPr>
            <w:tcW w:w="1683" w:type="dxa"/>
            <w:shd w:val="clear" w:color="auto" w:fill="auto"/>
          </w:tcPr>
          <w:p w:rsidR="006E4BAF" w:rsidRDefault="006E4BAF" w:rsidP="003E6A61">
            <w:pPr>
              <w:spacing w:after="0" w:line="240" w:lineRule="auto"/>
              <w:jc w:val="center"/>
              <w:rPr>
                <w:rFonts w:cstheme="minorHAnsi"/>
                <w:sz w:val="20"/>
                <w:szCs w:val="20"/>
              </w:rPr>
            </w:pPr>
            <w:r>
              <w:rPr>
                <w:rFonts w:cstheme="minorHAnsi"/>
                <w:sz w:val="20"/>
                <w:szCs w:val="20"/>
              </w:rPr>
              <w:t>0</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755"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12"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20</w:t>
            </w:r>
          </w:p>
        </w:tc>
        <w:tc>
          <w:tcPr>
            <w:tcW w:w="1683" w:type="dxa"/>
            <w:shd w:val="clear" w:color="auto" w:fill="auto"/>
          </w:tcPr>
          <w:p w:rsidR="006E4BAF" w:rsidRDefault="006E4BAF" w:rsidP="003E6A61">
            <w:pPr>
              <w:spacing w:after="0" w:line="240" w:lineRule="auto"/>
              <w:jc w:val="center"/>
              <w:rPr>
                <w:rFonts w:cstheme="minorHAnsi"/>
                <w:sz w:val="20"/>
                <w:szCs w:val="20"/>
              </w:rPr>
            </w:pPr>
            <w:r>
              <w:rPr>
                <w:rFonts w:cstheme="minorHAnsi"/>
                <w:sz w:val="20"/>
                <w:szCs w:val="20"/>
              </w:rPr>
              <w:t>1</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4"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r>
      <w:tr w:rsidR="006E4BAF" w:rsidRPr="001E1764" w:rsidTr="003E6A61">
        <w:trPr>
          <w:trHeight w:val="289"/>
        </w:trPr>
        <w:tc>
          <w:tcPr>
            <w:tcW w:w="1276"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r>
              <w:rPr>
                <w:rFonts w:cstheme="minorHAnsi"/>
                <w:bCs/>
              </w:rPr>
              <w:t>Patient 6</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132</w:t>
            </w:r>
          </w:p>
        </w:tc>
        <w:tc>
          <w:tcPr>
            <w:tcW w:w="1683" w:type="dxa"/>
          </w:tcPr>
          <w:p w:rsidR="006E4BAF" w:rsidRDefault="006E4BAF" w:rsidP="003E6A61">
            <w:pPr>
              <w:spacing w:after="0" w:line="240" w:lineRule="auto"/>
              <w:jc w:val="center"/>
              <w:rPr>
                <w:rFonts w:cstheme="minorHAnsi"/>
                <w:sz w:val="20"/>
                <w:szCs w:val="20"/>
              </w:rPr>
            </w:pPr>
            <w:r>
              <w:rPr>
                <w:rFonts w:cstheme="minorHAnsi"/>
                <w:sz w:val="20"/>
                <w:szCs w:val="20"/>
              </w:rPr>
              <w:t>9</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3</w:t>
            </w:r>
          </w:p>
        </w:tc>
        <w:tc>
          <w:tcPr>
            <w:tcW w:w="1755"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2.27</w:t>
            </w:r>
          </w:p>
        </w:tc>
        <w:tc>
          <w:tcPr>
            <w:tcW w:w="1612"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111</w:t>
            </w:r>
          </w:p>
        </w:tc>
        <w:tc>
          <w:tcPr>
            <w:tcW w:w="1683" w:type="dxa"/>
          </w:tcPr>
          <w:p w:rsidR="006E4BAF" w:rsidRDefault="006E4BAF" w:rsidP="003E6A61">
            <w:pPr>
              <w:spacing w:after="0" w:line="240" w:lineRule="auto"/>
              <w:jc w:val="center"/>
              <w:rPr>
                <w:rFonts w:cstheme="minorHAnsi"/>
                <w:sz w:val="20"/>
                <w:szCs w:val="20"/>
              </w:rPr>
            </w:pPr>
            <w:r>
              <w:rPr>
                <w:rFonts w:cstheme="minorHAnsi"/>
                <w:sz w:val="20"/>
                <w:szCs w:val="20"/>
              </w:rPr>
              <w:t>3</w:t>
            </w:r>
          </w:p>
        </w:tc>
        <w:tc>
          <w:tcPr>
            <w:tcW w:w="1683"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4" w:type="dxa"/>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r>
      <w:tr w:rsidR="006E4BAF" w:rsidRPr="001E1764" w:rsidTr="003E6A61">
        <w:trPr>
          <w:trHeight w:val="289"/>
        </w:trPr>
        <w:tc>
          <w:tcPr>
            <w:tcW w:w="1276"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rPr>
                <w:rFonts w:cstheme="minorHAnsi"/>
                <w:bCs/>
              </w:rPr>
            </w:pPr>
            <w:r>
              <w:rPr>
                <w:rFonts w:cstheme="minorHAnsi"/>
                <w:bCs/>
              </w:rPr>
              <w:t>Patient 12</w:t>
            </w:r>
          </w:p>
        </w:tc>
        <w:tc>
          <w:tcPr>
            <w:tcW w:w="1683"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20</w:t>
            </w:r>
          </w:p>
        </w:tc>
        <w:tc>
          <w:tcPr>
            <w:tcW w:w="1683" w:type="dxa"/>
            <w:tcBorders>
              <w:bottom w:val="single" w:sz="12" w:space="0" w:color="auto"/>
            </w:tcBorders>
          </w:tcPr>
          <w:p w:rsidR="006E4BAF" w:rsidRDefault="006E4BAF" w:rsidP="003E6A61">
            <w:pPr>
              <w:spacing w:after="0" w:line="240" w:lineRule="auto"/>
              <w:jc w:val="center"/>
              <w:rPr>
                <w:rFonts w:cstheme="minorHAnsi"/>
                <w:sz w:val="20"/>
                <w:szCs w:val="20"/>
              </w:rPr>
            </w:pPr>
            <w:r>
              <w:rPr>
                <w:rFonts w:cstheme="minorHAnsi"/>
                <w:sz w:val="20"/>
                <w:szCs w:val="20"/>
              </w:rPr>
              <w:t>0</w:t>
            </w:r>
          </w:p>
        </w:tc>
        <w:tc>
          <w:tcPr>
            <w:tcW w:w="1683"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755"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12"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23</w:t>
            </w:r>
          </w:p>
        </w:tc>
        <w:tc>
          <w:tcPr>
            <w:tcW w:w="1683" w:type="dxa"/>
            <w:tcBorders>
              <w:bottom w:val="single" w:sz="12" w:space="0" w:color="auto"/>
            </w:tcBorders>
          </w:tcPr>
          <w:p w:rsidR="006E4BAF" w:rsidRDefault="006E4BAF" w:rsidP="003E6A61">
            <w:pPr>
              <w:spacing w:after="0" w:line="240" w:lineRule="auto"/>
              <w:jc w:val="center"/>
              <w:rPr>
                <w:rFonts w:cstheme="minorHAnsi"/>
                <w:sz w:val="20"/>
                <w:szCs w:val="20"/>
              </w:rPr>
            </w:pPr>
            <w:r>
              <w:rPr>
                <w:rFonts w:cstheme="minorHAnsi"/>
                <w:sz w:val="20"/>
                <w:szCs w:val="20"/>
              </w:rPr>
              <w:t>5</w:t>
            </w:r>
          </w:p>
        </w:tc>
        <w:tc>
          <w:tcPr>
            <w:tcW w:w="1683"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c>
          <w:tcPr>
            <w:tcW w:w="1684" w:type="dxa"/>
            <w:tcBorders>
              <w:bottom w:val="single" w:sz="12" w:space="0" w:color="auto"/>
            </w:tcBorders>
            <w:shd w:val="clear" w:color="auto" w:fill="auto"/>
            <w:tcMar>
              <w:top w:w="14" w:type="dxa"/>
              <w:left w:w="14" w:type="dxa"/>
              <w:bottom w:w="0" w:type="dxa"/>
              <w:right w:w="14" w:type="dxa"/>
            </w:tcMar>
            <w:vAlign w:val="bottom"/>
          </w:tcPr>
          <w:p w:rsidR="006E4BAF" w:rsidRPr="001E1764" w:rsidRDefault="006E4BAF" w:rsidP="003E6A61">
            <w:pPr>
              <w:spacing w:after="0" w:line="240" w:lineRule="auto"/>
              <w:jc w:val="center"/>
              <w:rPr>
                <w:rFonts w:cstheme="minorHAnsi"/>
                <w:sz w:val="20"/>
                <w:szCs w:val="20"/>
              </w:rPr>
            </w:pPr>
            <w:r>
              <w:rPr>
                <w:rFonts w:cstheme="minorHAnsi"/>
                <w:sz w:val="20"/>
                <w:szCs w:val="20"/>
              </w:rPr>
              <w:t>0</w:t>
            </w:r>
          </w:p>
        </w:tc>
      </w:tr>
    </w:tbl>
    <w:p w:rsidR="006E4BAF" w:rsidRDefault="006E4BAF" w:rsidP="006E4BAF">
      <w:pPr>
        <w:rPr>
          <w:rFonts w:cstheme="minorHAnsi"/>
          <w:b/>
        </w:rPr>
      </w:pPr>
      <w:r w:rsidRPr="001E1764">
        <w:t xml:space="preserve"> </w:t>
      </w:r>
      <w:r>
        <w:rPr>
          <w:rFonts w:cstheme="minorHAnsi"/>
          <w:b/>
        </w:rPr>
        <w:br w:type="page"/>
      </w:r>
    </w:p>
    <w:p w:rsidR="006E4BAF" w:rsidRDefault="006E4BAF" w:rsidP="006E4BAF">
      <w:pPr>
        <w:spacing w:after="0" w:line="480" w:lineRule="auto"/>
        <w:jc w:val="both"/>
        <w:rPr>
          <w:rFonts w:cstheme="minorHAnsi"/>
          <w:b/>
        </w:rPr>
      </w:pPr>
      <w:r w:rsidRPr="00997C64">
        <w:rPr>
          <w:rFonts w:cstheme="minorHAnsi"/>
          <w:b/>
        </w:rPr>
        <w:lastRenderedPageBreak/>
        <w:t xml:space="preserve">Supplementary Table </w:t>
      </w:r>
      <w:r>
        <w:rPr>
          <w:rFonts w:cstheme="minorHAnsi"/>
          <w:b/>
        </w:rPr>
        <w:t>3</w:t>
      </w:r>
      <w:r w:rsidRPr="00997C64">
        <w:rPr>
          <w:rFonts w:cstheme="minorHAnsi"/>
          <w:b/>
        </w:rPr>
        <w:t xml:space="preserve">. </w:t>
      </w:r>
      <w:r w:rsidRPr="00997C64">
        <w:rPr>
          <w:rFonts w:cstheme="minorHAnsi"/>
          <w:b/>
          <w:bCs/>
        </w:rPr>
        <w:t>HLA typing of hypersensitive patients</w:t>
      </w:r>
    </w:p>
    <w:tbl>
      <w:tblPr>
        <w:tblW w:w="5000" w:type="pct"/>
        <w:tblLayout w:type="fixed"/>
        <w:tblCellMar>
          <w:left w:w="70" w:type="dxa"/>
          <w:right w:w="70" w:type="dxa"/>
        </w:tblCellMar>
        <w:tblLook w:val="04A0" w:firstRow="1" w:lastRow="0" w:firstColumn="1" w:lastColumn="0" w:noHBand="0" w:noVBand="1"/>
      </w:tblPr>
      <w:tblGrid>
        <w:gridCol w:w="2141"/>
        <w:gridCol w:w="1967"/>
        <w:gridCol w:w="1970"/>
        <w:gridCol w:w="1970"/>
        <w:gridCol w:w="1970"/>
        <w:gridCol w:w="1970"/>
        <w:gridCol w:w="1970"/>
      </w:tblGrid>
      <w:tr w:rsidR="006E4BAF" w:rsidRPr="00F23EF5" w:rsidTr="006E4BAF">
        <w:trPr>
          <w:trHeight w:hRule="exact" w:val="284"/>
        </w:trPr>
        <w:tc>
          <w:tcPr>
            <w:tcW w:w="1438" w:type="dxa"/>
            <w:tcBorders>
              <w:top w:val="single" w:sz="12" w:space="0" w:color="auto"/>
            </w:tcBorders>
            <w:shd w:val="clear" w:color="auto" w:fill="auto"/>
            <w:noWrap/>
            <w:vAlign w:val="center"/>
            <w:hideMark/>
          </w:tcPr>
          <w:p w:rsidR="006E4BAF" w:rsidRPr="008477B8" w:rsidRDefault="006E4BAF" w:rsidP="006E4BAF">
            <w:pPr>
              <w:spacing w:after="0" w:line="240" w:lineRule="auto"/>
              <w:jc w:val="center"/>
              <w:rPr>
                <w:rFonts w:eastAsia="Times New Roman" w:cstheme="minorHAnsi"/>
                <w:b/>
                <w:color w:val="000000"/>
                <w:sz w:val="20"/>
                <w:szCs w:val="20"/>
                <w:lang w:val="nl-BE" w:eastAsia="nl-BE"/>
              </w:rPr>
            </w:pPr>
            <w:r w:rsidRPr="008477B8">
              <w:rPr>
                <w:rFonts w:eastAsia="Times New Roman" w:cstheme="minorHAnsi"/>
                <w:b/>
                <w:color w:val="000000"/>
                <w:sz w:val="20"/>
                <w:szCs w:val="20"/>
                <w:lang w:val="nl-BE" w:eastAsia="nl-BE"/>
              </w:rPr>
              <w:t>Patient ID</w:t>
            </w:r>
          </w:p>
        </w:tc>
        <w:tc>
          <w:tcPr>
            <w:tcW w:w="1321" w:type="dxa"/>
            <w:tcBorders>
              <w:top w:val="single" w:sz="12"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6</w:t>
            </w:r>
          </w:p>
        </w:tc>
        <w:tc>
          <w:tcPr>
            <w:tcW w:w="1322" w:type="dxa"/>
            <w:tcBorders>
              <w:top w:val="single" w:sz="12"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6</w:t>
            </w:r>
          </w:p>
        </w:tc>
        <w:tc>
          <w:tcPr>
            <w:tcW w:w="1322" w:type="dxa"/>
            <w:tcBorders>
              <w:top w:val="single" w:sz="12"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5</w:t>
            </w:r>
          </w:p>
        </w:tc>
        <w:tc>
          <w:tcPr>
            <w:tcW w:w="1322" w:type="dxa"/>
            <w:tcBorders>
              <w:top w:val="single" w:sz="12"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6</w:t>
            </w:r>
          </w:p>
        </w:tc>
        <w:tc>
          <w:tcPr>
            <w:tcW w:w="1322" w:type="dxa"/>
            <w:tcBorders>
              <w:top w:val="single" w:sz="12"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5</w:t>
            </w:r>
          </w:p>
        </w:tc>
        <w:tc>
          <w:tcPr>
            <w:tcW w:w="1322" w:type="dxa"/>
            <w:tcBorders>
              <w:top w:val="single" w:sz="12"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Patient 5</w:t>
            </w:r>
          </w:p>
        </w:tc>
      </w:tr>
      <w:tr w:rsidR="006E4BAF" w:rsidRPr="00F23EF5" w:rsidTr="006E4BAF">
        <w:trPr>
          <w:trHeight w:hRule="exact" w:val="284"/>
        </w:trPr>
        <w:tc>
          <w:tcPr>
            <w:tcW w:w="1438" w:type="dxa"/>
            <w:tcBorders>
              <w:bottom w:val="single" w:sz="6" w:space="0" w:color="auto"/>
            </w:tcBorders>
            <w:shd w:val="clear" w:color="auto" w:fill="auto"/>
            <w:noWrap/>
            <w:vAlign w:val="center"/>
            <w:hideMark/>
          </w:tcPr>
          <w:p w:rsidR="006E4BAF" w:rsidRPr="008477B8" w:rsidRDefault="006E4BAF" w:rsidP="006E4BAF">
            <w:pPr>
              <w:spacing w:after="0" w:line="240" w:lineRule="auto"/>
              <w:jc w:val="center"/>
              <w:rPr>
                <w:rFonts w:eastAsia="Times New Roman" w:cstheme="minorHAnsi"/>
                <w:b/>
                <w:color w:val="000000"/>
                <w:sz w:val="20"/>
                <w:szCs w:val="20"/>
                <w:lang w:val="nl-BE" w:eastAsia="nl-BE"/>
              </w:rPr>
            </w:pPr>
            <w:r w:rsidRPr="008477B8">
              <w:rPr>
                <w:rFonts w:eastAsia="Times New Roman" w:cstheme="minorHAnsi"/>
                <w:b/>
                <w:color w:val="000000"/>
                <w:sz w:val="20"/>
                <w:szCs w:val="20"/>
                <w:lang w:val="nl-BE" w:eastAsia="nl-BE"/>
              </w:rPr>
              <w:t>Sample ID</w:t>
            </w:r>
          </w:p>
        </w:tc>
        <w:tc>
          <w:tcPr>
            <w:tcW w:w="1321" w:type="dxa"/>
            <w:tcBorders>
              <w:bottom w:val="single" w:sz="6"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DIAT TCC 1</w:t>
            </w:r>
          </w:p>
        </w:tc>
        <w:tc>
          <w:tcPr>
            <w:tcW w:w="1322" w:type="dxa"/>
            <w:tcBorders>
              <w:bottom w:val="single" w:sz="6"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DIAT TCC 2</w:t>
            </w:r>
          </w:p>
        </w:tc>
        <w:tc>
          <w:tcPr>
            <w:tcW w:w="1322" w:type="dxa"/>
            <w:tcBorders>
              <w:bottom w:val="single" w:sz="6"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DIAT TCC 3</w:t>
            </w:r>
          </w:p>
        </w:tc>
        <w:tc>
          <w:tcPr>
            <w:tcW w:w="1322" w:type="dxa"/>
            <w:tcBorders>
              <w:bottom w:val="single" w:sz="6" w:space="0" w:color="auto"/>
            </w:tcBorders>
            <w:shd w:val="clear" w:color="auto" w:fill="auto"/>
            <w:noWrap/>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Atabecestat TCC 1</w:t>
            </w:r>
          </w:p>
        </w:tc>
        <w:tc>
          <w:tcPr>
            <w:tcW w:w="1322" w:type="dxa"/>
            <w:tcBorders>
              <w:bottom w:val="single" w:sz="6"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Atabecestat TCC 2</w:t>
            </w:r>
          </w:p>
        </w:tc>
        <w:tc>
          <w:tcPr>
            <w:tcW w:w="1322" w:type="dxa"/>
            <w:tcBorders>
              <w:bottom w:val="single" w:sz="6" w:space="0" w:color="auto"/>
            </w:tcBorders>
            <w:vAlign w:val="center"/>
          </w:tcPr>
          <w:p w:rsidR="006E4BAF" w:rsidRPr="00F23EF5" w:rsidRDefault="006E4BAF" w:rsidP="006E4BAF">
            <w:pPr>
              <w:spacing w:after="0" w:line="240" w:lineRule="auto"/>
              <w:jc w:val="center"/>
              <w:rPr>
                <w:rFonts w:eastAsia="Times New Roman" w:cstheme="minorHAnsi"/>
                <w:b/>
                <w:bCs/>
                <w:color w:val="000000"/>
                <w:sz w:val="20"/>
                <w:szCs w:val="20"/>
                <w:lang w:val="nl-BE" w:eastAsia="nl-BE"/>
              </w:rPr>
            </w:pPr>
            <w:r w:rsidRPr="00F23EF5">
              <w:rPr>
                <w:rFonts w:eastAsia="Times New Roman" w:cstheme="minorHAnsi"/>
                <w:b/>
                <w:bCs/>
                <w:color w:val="000000"/>
                <w:sz w:val="20"/>
                <w:szCs w:val="20"/>
                <w:lang w:val="nl-BE" w:eastAsia="nl-BE"/>
              </w:rPr>
              <w:t>Atabecestat TCC 3</w:t>
            </w:r>
          </w:p>
        </w:tc>
      </w:tr>
      <w:tr w:rsidR="006E4BAF" w:rsidRPr="00F23EF5" w:rsidTr="006E4BAF">
        <w:trPr>
          <w:trHeight w:val="488"/>
        </w:trPr>
        <w:tc>
          <w:tcPr>
            <w:tcW w:w="1438" w:type="dxa"/>
            <w:tcBorders>
              <w:top w:val="single" w:sz="6"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i/>
                <w:color w:val="000000"/>
                <w:sz w:val="18"/>
                <w:szCs w:val="18"/>
                <w:lang w:val="nl-BE" w:eastAsia="nl-BE"/>
              </w:rPr>
            </w:pPr>
            <w:r w:rsidRPr="00050BD7">
              <w:rPr>
                <w:rFonts w:eastAsia="Times New Roman" w:cstheme="minorHAnsi"/>
                <w:i/>
                <w:color w:val="000000"/>
                <w:sz w:val="18"/>
                <w:szCs w:val="18"/>
                <w:lang w:val="nl-BE" w:eastAsia="nl-BE"/>
              </w:rPr>
              <w:t>TCR</w:t>
            </w:r>
            <w:r w:rsidRPr="00050BD7">
              <w:rPr>
                <w:rFonts w:eastAsia="Times New Roman" w:cstheme="minorHAnsi"/>
                <w:i/>
                <w:color w:val="000000"/>
                <w:sz w:val="18"/>
                <w:szCs w:val="18"/>
                <w:lang w:val="nl-BE" w:eastAsia="nl-BE"/>
              </w:rPr>
              <w:sym w:font="Symbol" w:char="F061"/>
            </w:r>
            <w:r w:rsidRPr="00050BD7">
              <w:rPr>
                <w:rFonts w:eastAsia="Times New Roman" w:cstheme="minorHAnsi"/>
                <w:i/>
                <w:color w:val="000000"/>
                <w:sz w:val="18"/>
                <w:szCs w:val="18"/>
                <w:lang w:val="nl-BE" w:eastAsia="nl-BE"/>
              </w:rPr>
              <w:t xml:space="preserve"> clonotype</w:t>
            </w:r>
          </w:p>
        </w:tc>
        <w:tc>
          <w:tcPr>
            <w:tcW w:w="1321" w:type="dxa"/>
            <w:tcBorders>
              <w:top w:val="single" w:sz="6"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tcBorders>
              <w:top w:val="single" w:sz="6"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tcBorders>
              <w:top w:val="single" w:sz="6" w:space="0" w:color="auto"/>
            </w:tcBorders>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tcBorders>
              <w:top w:val="single" w:sz="6"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tcBorders>
              <w:top w:val="single" w:sz="6" w:space="0" w:color="auto"/>
            </w:tcBorders>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tcBorders>
              <w:top w:val="single" w:sz="6" w:space="0" w:color="auto"/>
            </w:tcBorders>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r>
      <w:tr w:rsidR="006E4BAF" w:rsidRPr="00F23EF5" w:rsidTr="006E4BAF">
        <w:trPr>
          <w:trHeight w:val="488"/>
        </w:trPr>
        <w:tc>
          <w:tcPr>
            <w:tcW w:w="1438" w:type="dxa"/>
            <w:shd w:val="clear" w:color="auto" w:fill="auto"/>
            <w:noWrap/>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TRACDR3aa_1</w:t>
            </w:r>
          </w:p>
        </w:tc>
        <w:tc>
          <w:tcPr>
            <w:tcW w:w="1321"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CADVRA_SEKLVF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CAVRPEYNQGGKLIF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CAMRDDTGGFKTIF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CAMREGRSGGTSYGKLTF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CAMRGATGGFKTIF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CIVRVVSSGSARQLTF</w:t>
            </w:r>
          </w:p>
        </w:tc>
      </w:tr>
      <w:tr w:rsidR="006E4BAF" w:rsidRPr="00F23EF5" w:rsidTr="006E4BAF">
        <w:trPr>
          <w:trHeight w:val="488"/>
        </w:trPr>
        <w:tc>
          <w:tcPr>
            <w:tcW w:w="1438" w:type="dxa"/>
            <w:shd w:val="clear" w:color="auto" w:fill="auto"/>
            <w:noWrap/>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TRACDR3aa_2</w:t>
            </w:r>
          </w:p>
        </w:tc>
        <w:tc>
          <w:tcPr>
            <w:tcW w:w="1321"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CAAGSSNTGKLIF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NA</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CAGRGQGGSEKLVF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CAVEDQGGGNKLTF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CVVSGPASGGSYIPTF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sz w:val="18"/>
                <w:szCs w:val="18"/>
                <w:lang w:val="nl-BE" w:eastAsia="nl-BE"/>
              </w:rPr>
              <w:t>NA</w:t>
            </w:r>
          </w:p>
        </w:tc>
      </w:tr>
      <w:tr w:rsidR="006E4BAF" w:rsidRPr="00F23EF5" w:rsidTr="006E4BAF">
        <w:trPr>
          <w:trHeight w:val="488"/>
        </w:trPr>
        <w:tc>
          <w:tcPr>
            <w:tcW w:w="1438" w:type="dxa"/>
            <w:shd w:val="clear" w:color="auto" w:fill="auto"/>
            <w:noWrap/>
            <w:vAlign w:val="center"/>
          </w:tcPr>
          <w:p w:rsidR="006E4BAF" w:rsidRPr="00050BD7" w:rsidRDefault="006E4BAF" w:rsidP="006E4BAF">
            <w:pPr>
              <w:spacing w:after="0" w:line="240" w:lineRule="auto"/>
              <w:jc w:val="center"/>
              <w:rPr>
                <w:rFonts w:eastAsia="Times New Roman" w:cstheme="minorHAnsi"/>
                <w:i/>
                <w:color w:val="000000"/>
                <w:sz w:val="18"/>
                <w:szCs w:val="18"/>
                <w:lang w:val="nl-BE" w:eastAsia="nl-BE"/>
              </w:rPr>
            </w:pPr>
            <w:r w:rsidRPr="00050BD7">
              <w:rPr>
                <w:rFonts w:eastAsia="Times New Roman" w:cstheme="minorHAnsi"/>
                <w:i/>
                <w:color w:val="000000"/>
                <w:sz w:val="18"/>
                <w:szCs w:val="18"/>
                <w:lang w:val="nl-BE" w:eastAsia="nl-BE"/>
              </w:rPr>
              <w:t>TCR</w:t>
            </w:r>
            <w:r w:rsidRPr="00050BD7">
              <w:rPr>
                <w:rFonts w:eastAsia="Times New Roman" w:cstheme="minorHAnsi"/>
                <w:i/>
                <w:color w:val="000000"/>
                <w:sz w:val="18"/>
                <w:szCs w:val="18"/>
                <w:lang w:val="nl-BE" w:eastAsia="nl-BE"/>
              </w:rPr>
              <w:sym w:font="Symbol" w:char="F062"/>
            </w:r>
            <w:r w:rsidRPr="00050BD7">
              <w:rPr>
                <w:rFonts w:eastAsia="Times New Roman" w:cstheme="minorHAnsi"/>
                <w:i/>
                <w:color w:val="000000"/>
                <w:sz w:val="18"/>
                <w:szCs w:val="18"/>
                <w:lang w:val="nl-BE" w:eastAsia="nl-BE"/>
              </w:rPr>
              <w:t xml:space="preserve"> clonotype</w:t>
            </w:r>
          </w:p>
        </w:tc>
        <w:tc>
          <w:tcPr>
            <w:tcW w:w="1321"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p>
        </w:tc>
      </w:tr>
      <w:tr w:rsidR="006E4BAF" w:rsidRPr="00F23EF5" w:rsidTr="006E4BAF">
        <w:trPr>
          <w:trHeight w:val="488"/>
        </w:trPr>
        <w:tc>
          <w:tcPr>
            <w:tcW w:w="1438" w:type="dxa"/>
            <w:shd w:val="clear" w:color="auto" w:fill="auto"/>
            <w:noWrap/>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TRBCDR3aa_1</w:t>
            </w:r>
          </w:p>
        </w:tc>
        <w:tc>
          <w:tcPr>
            <w:tcW w:w="1321"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CASSPQGVPEQFF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CASSRETGMNTEAFF</w:t>
            </w:r>
          </w:p>
        </w:tc>
        <w:tc>
          <w:tcPr>
            <w:tcW w:w="1322" w:type="dxa"/>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CASSLDLGTYADTQYF</w:t>
            </w:r>
          </w:p>
        </w:tc>
        <w:tc>
          <w:tcPr>
            <w:tcW w:w="1322" w:type="dxa"/>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CAWTTGTGNGYTF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CSASGDSYEQYF</w:t>
            </w:r>
          </w:p>
        </w:tc>
        <w:tc>
          <w:tcPr>
            <w:tcW w:w="1322" w:type="dxa"/>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CASSLTGQGHMRGYTF</w:t>
            </w:r>
          </w:p>
        </w:tc>
      </w:tr>
      <w:tr w:rsidR="006E4BAF" w:rsidRPr="00F23EF5" w:rsidTr="006E4BAF">
        <w:trPr>
          <w:trHeight w:val="489"/>
        </w:trPr>
        <w:tc>
          <w:tcPr>
            <w:tcW w:w="1438" w:type="dxa"/>
            <w:tcBorders>
              <w:bottom w:val="single" w:sz="12"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TRBCDR3aa_2</w:t>
            </w:r>
          </w:p>
        </w:tc>
        <w:tc>
          <w:tcPr>
            <w:tcW w:w="1321" w:type="dxa"/>
            <w:tcBorders>
              <w:bottom w:val="single" w:sz="12"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NA</w:t>
            </w:r>
          </w:p>
        </w:tc>
        <w:tc>
          <w:tcPr>
            <w:tcW w:w="1322" w:type="dxa"/>
            <w:tcBorders>
              <w:bottom w:val="single" w:sz="12"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NA</w:t>
            </w:r>
          </w:p>
        </w:tc>
        <w:tc>
          <w:tcPr>
            <w:tcW w:w="1322" w:type="dxa"/>
            <w:tcBorders>
              <w:bottom w:val="single" w:sz="12" w:space="0" w:color="auto"/>
            </w:tcBorders>
            <w:vAlign w:val="center"/>
          </w:tcPr>
          <w:p w:rsidR="006E4BAF" w:rsidRPr="00050BD7" w:rsidRDefault="006E4BAF" w:rsidP="006E4BAF">
            <w:pPr>
              <w:spacing w:after="0" w:line="240" w:lineRule="auto"/>
              <w:jc w:val="center"/>
              <w:rPr>
                <w:rFonts w:eastAsia="Times New Roman" w:cstheme="minorHAnsi"/>
                <w:color w:val="000000"/>
                <w:sz w:val="18"/>
                <w:szCs w:val="18"/>
                <w:lang w:val="nl-BE" w:eastAsia="nl-BE"/>
              </w:rPr>
            </w:pPr>
            <w:r w:rsidRPr="00050BD7">
              <w:rPr>
                <w:rFonts w:eastAsia="Times New Roman" w:cstheme="minorHAnsi"/>
                <w:color w:val="000000"/>
                <w:sz w:val="18"/>
                <w:szCs w:val="18"/>
                <w:lang w:val="nl-BE" w:eastAsia="nl-BE"/>
              </w:rPr>
              <w:t>NA</w:t>
            </w:r>
          </w:p>
        </w:tc>
        <w:tc>
          <w:tcPr>
            <w:tcW w:w="1322" w:type="dxa"/>
            <w:tcBorders>
              <w:bottom w:val="single" w:sz="12" w:space="0" w:color="auto"/>
            </w:tcBorders>
            <w:shd w:val="clear" w:color="auto" w:fill="auto"/>
            <w:noWrap/>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CASSLGGGAIGYTF</w:t>
            </w:r>
          </w:p>
        </w:tc>
        <w:tc>
          <w:tcPr>
            <w:tcW w:w="1322" w:type="dxa"/>
            <w:tcBorders>
              <w:bottom w:val="single" w:sz="12" w:space="0" w:color="auto"/>
            </w:tcBorders>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NA</w:t>
            </w:r>
          </w:p>
        </w:tc>
        <w:tc>
          <w:tcPr>
            <w:tcW w:w="1322" w:type="dxa"/>
            <w:tcBorders>
              <w:bottom w:val="single" w:sz="12" w:space="0" w:color="auto"/>
            </w:tcBorders>
            <w:vAlign w:val="center"/>
          </w:tcPr>
          <w:p w:rsidR="006E4BAF" w:rsidRPr="00050BD7" w:rsidRDefault="006E4BAF" w:rsidP="006E4BAF">
            <w:pPr>
              <w:spacing w:after="0" w:line="240" w:lineRule="auto"/>
              <w:jc w:val="center"/>
              <w:rPr>
                <w:rFonts w:eastAsia="Times New Roman" w:cstheme="minorHAnsi"/>
                <w:sz w:val="18"/>
                <w:szCs w:val="18"/>
                <w:lang w:val="nl-BE" w:eastAsia="nl-BE"/>
              </w:rPr>
            </w:pPr>
            <w:r w:rsidRPr="00050BD7">
              <w:rPr>
                <w:rFonts w:eastAsia="Times New Roman" w:cstheme="minorHAnsi"/>
                <w:color w:val="000000"/>
                <w:sz w:val="18"/>
                <w:szCs w:val="18"/>
                <w:lang w:val="nl-BE" w:eastAsia="nl-BE"/>
              </w:rPr>
              <w:t>CASSEKDTDTQYF</w:t>
            </w:r>
          </w:p>
        </w:tc>
      </w:tr>
    </w:tbl>
    <w:p w:rsidR="006E4BAF" w:rsidRPr="009736EC" w:rsidRDefault="006E4BAF" w:rsidP="006E4BAF">
      <w:pPr>
        <w:rPr>
          <w:rFonts w:cstheme="minorHAnsi"/>
          <w:b/>
        </w:rPr>
      </w:pPr>
    </w:p>
    <w:p w:rsidR="006E4BAF" w:rsidRDefault="006E4BAF" w:rsidP="006E4BAF">
      <w:pPr>
        <w:spacing w:line="480" w:lineRule="auto"/>
        <w:jc w:val="both"/>
        <w:rPr>
          <w:rFonts w:cstheme="minorHAnsi"/>
        </w:rPr>
      </w:pPr>
    </w:p>
    <w:p w:rsidR="006E4BAF" w:rsidRDefault="006E4BAF" w:rsidP="006E4BAF">
      <w:pPr>
        <w:spacing w:line="480" w:lineRule="auto"/>
        <w:jc w:val="both"/>
        <w:rPr>
          <w:rFonts w:cstheme="minorHAnsi"/>
        </w:rPr>
      </w:pPr>
    </w:p>
    <w:p w:rsidR="005149E0" w:rsidRPr="006E4BAF" w:rsidRDefault="005149E0">
      <w:pPr>
        <w:rPr>
          <w:rFonts w:cstheme="minorHAnsi"/>
        </w:rPr>
      </w:pPr>
    </w:p>
    <w:sectPr w:rsidR="005149E0" w:rsidRPr="006E4BAF" w:rsidSect="006E4B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AF"/>
    <w:rsid w:val="005149E0"/>
    <w:rsid w:val="006E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0DC8"/>
  <w15:chartTrackingRefBased/>
  <w15:docId w15:val="{E5F2EE1F-1EB3-4369-A380-41F23060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AF"/>
  </w:style>
  <w:style w:type="paragraph" w:styleId="Heading2">
    <w:name w:val="heading 2"/>
    <w:basedOn w:val="Normal"/>
    <w:next w:val="Normal"/>
    <w:link w:val="Heading2Char"/>
    <w:uiPriority w:val="9"/>
    <w:unhideWhenUsed/>
    <w:qFormat/>
    <w:rsid w:val="006E4BAF"/>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6E4BAF"/>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BAF"/>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6E4BAF"/>
    <w:rPr>
      <w:rFonts w:asciiTheme="majorHAnsi" w:eastAsiaTheme="majorEastAsia" w:hAnsiTheme="majorHAnsi" w:cstheme="majorBidi"/>
      <w:b/>
      <w:color w:val="000000" w:themeColor="text1"/>
      <w:sz w:val="24"/>
      <w:szCs w:val="24"/>
    </w:rPr>
  </w:style>
  <w:style w:type="paragraph" w:customStyle="1" w:styleId="BodyText12">
    <w:name w:val="Body Text 12"/>
    <w:link w:val="BodyText12Char"/>
    <w:qFormat/>
    <w:rsid w:val="006E4BAF"/>
    <w:pPr>
      <w:spacing w:after="240" w:line="264" w:lineRule="auto"/>
      <w:jc w:val="both"/>
    </w:pPr>
    <w:rPr>
      <w:rFonts w:ascii="Times New Roman" w:eastAsia="Times New Roman" w:hAnsi="Times New Roman" w:cs="Times New Roman"/>
      <w:sz w:val="24"/>
      <w:szCs w:val="20"/>
      <w:lang w:val="en-US"/>
    </w:rPr>
  </w:style>
  <w:style w:type="table" w:styleId="PlainTable2">
    <w:name w:val="Plain Table 2"/>
    <w:basedOn w:val="TableNormal"/>
    <w:uiPriority w:val="42"/>
    <w:rsid w:val="006E4BAF"/>
    <w:pPr>
      <w:spacing w:after="0" w:line="240" w:lineRule="auto"/>
    </w:pPr>
    <w:rPr>
      <w:rFonts w:eastAsiaTheme="minorEastAs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Text12Char">
    <w:name w:val="Body Text 12 Char"/>
    <w:basedOn w:val="DefaultParagraphFont"/>
    <w:link w:val="BodyText12"/>
    <w:rsid w:val="006E4BAF"/>
    <w:rPr>
      <w:rFonts w:ascii="Times New Roman" w:eastAsia="Times New Roman" w:hAnsi="Times New Roman" w:cs="Times New Roman"/>
      <w:sz w:val="24"/>
      <w:szCs w:val="20"/>
      <w:lang w:val="en-US"/>
    </w:rPr>
  </w:style>
  <w:style w:type="character" w:customStyle="1" w:styleId="docsum-authors">
    <w:name w:val="docsum-authors"/>
    <w:basedOn w:val="DefaultParagraphFont"/>
    <w:rsid w:val="006E4BAF"/>
  </w:style>
  <w:style w:type="character" w:customStyle="1" w:styleId="docsum-journal-citation">
    <w:name w:val="docsum-journal-citation"/>
    <w:basedOn w:val="DefaultParagraphFont"/>
    <w:rsid w:val="006E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Naisbitt, Dean</dc:creator>
  <cp:keywords/>
  <dc:description/>
  <cp:lastModifiedBy>Naisbitt, Dean</cp:lastModifiedBy>
  <cp:revision>1</cp:revision>
  <dcterms:created xsi:type="dcterms:W3CDTF">2020-10-30T15:33:00Z</dcterms:created>
  <dcterms:modified xsi:type="dcterms:W3CDTF">2020-10-30T15:36:00Z</dcterms:modified>
</cp:coreProperties>
</file>