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34179E" w14:textId="767D0CEA" w:rsidR="00CC2B8B" w:rsidRPr="00280CB8" w:rsidRDefault="00CC2B8B" w:rsidP="00881173">
      <w:pPr>
        <w:spacing w:before="100" w:beforeAutospacing="1" w:after="100" w:afterAutospacing="1" w:line="360" w:lineRule="auto"/>
        <w:outlineLvl w:val="0"/>
        <w:rPr>
          <w:rFonts w:ascii="Calibri" w:hAnsi="Calibri" w:cs="Calibri"/>
          <w:b/>
          <w:bCs/>
          <w:color w:val="000000" w:themeColor="text1"/>
          <w:kern w:val="36"/>
        </w:rPr>
      </w:pPr>
      <w:bookmarkStart w:id="0" w:name="_GoBack"/>
      <w:bookmarkEnd w:id="0"/>
      <w:r w:rsidRPr="00280CB8">
        <w:rPr>
          <w:rFonts w:ascii="Calibri" w:hAnsi="Calibri" w:cs="Calibri"/>
          <w:b/>
          <w:bCs/>
          <w:color w:val="000000" w:themeColor="text1"/>
          <w:kern w:val="36"/>
        </w:rPr>
        <w:t>NEUROLOGICAL MANIFESTATIONS OF COVID-19 INFECTION IN UK HO</w:t>
      </w:r>
      <w:r w:rsidR="00EF60DC">
        <w:rPr>
          <w:rFonts w:ascii="Calibri" w:hAnsi="Calibri" w:cs="Calibri"/>
          <w:b/>
          <w:bCs/>
          <w:color w:val="000000" w:themeColor="text1"/>
          <w:kern w:val="36"/>
        </w:rPr>
        <w:t>S</w:t>
      </w:r>
      <w:r w:rsidRPr="00280CB8">
        <w:rPr>
          <w:rFonts w:ascii="Calibri" w:hAnsi="Calibri" w:cs="Calibri"/>
          <w:b/>
          <w:bCs/>
          <w:color w:val="000000" w:themeColor="text1"/>
          <w:kern w:val="36"/>
        </w:rPr>
        <w:t>P</w:t>
      </w:r>
      <w:r w:rsidR="00EF60DC">
        <w:rPr>
          <w:rFonts w:ascii="Calibri" w:hAnsi="Calibri" w:cs="Calibri"/>
          <w:b/>
          <w:bCs/>
          <w:color w:val="000000" w:themeColor="text1"/>
          <w:kern w:val="36"/>
        </w:rPr>
        <w:t>I</w:t>
      </w:r>
      <w:r w:rsidRPr="00280CB8">
        <w:rPr>
          <w:rFonts w:ascii="Calibri" w:hAnsi="Calibri" w:cs="Calibri"/>
          <w:b/>
          <w:bCs/>
          <w:color w:val="000000" w:themeColor="text1"/>
          <w:kern w:val="36"/>
        </w:rPr>
        <w:t>TALISED CHILDREN AND ADOLESCENTS:  A PROSPECTIVE NATIONAL COHORT STUDY</w:t>
      </w:r>
    </w:p>
    <w:p w14:paraId="0C637C95" w14:textId="2150A79E" w:rsidR="00CC2B8B" w:rsidRPr="001E6113" w:rsidRDefault="003F09DE" w:rsidP="00881173">
      <w:pPr>
        <w:spacing w:before="100" w:beforeAutospacing="1" w:after="100" w:afterAutospacing="1" w:line="360" w:lineRule="auto"/>
        <w:rPr>
          <w:rFonts w:ascii="Calibri" w:hAnsi="Calibri" w:cs="Calibri"/>
          <w:color w:val="000000" w:themeColor="text1"/>
        </w:rPr>
      </w:pPr>
      <w:r w:rsidRPr="00280CB8">
        <w:rPr>
          <w:rFonts w:ascii="Calibri" w:hAnsi="Calibri" w:cs="Calibri"/>
          <w:color w:val="000000" w:themeColor="text1"/>
        </w:rPr>
        <w:t>S.TJ. Ray</w:t>
      </w:r>
      <w:r>
        <w:rPr>
          <w:rFonts w:ascii="Calibri" w:hAnsi="Calibri" w:cs="Calibri"/>
          <w:color w:val="000000" w:themeColor="text1"/>
        </w:rPr>
        <w:t xml:space="preserve"> M.Phil </w:t>
      </w:r>
      <w:r w:rsidRPr="00280CB8">
        <w:rPr>
          <w:rFonts w:ascii="Calibri" w:hAnsi="Calibri" w:cs="Calibri"/>
          <w:color w:val="000000" w:themeColor="text1"/>
          <w:vertAlign w:val="superscript"/>
        </w:rPr>
        <w:t>1,2</w:t>
      </w:r>
      <w:r w:rsidRPr="00280CB8">
        <w:rPr>
          <w:rFonts w:ascii="Calibri" w:hAnsi="Calibri" w:cs="Calibri"/>
          <w:color w:val="000000" w:themeColor="text1"/>
        </w:rPr>
        <w:t>, O. Abdel-Mannan</w:t>
      </w:r>
      <w:r>
        <w:rPr>
          <w:rFonts w:ascii="Calibri" w:hAnsi="Calibri" w:cs="Calibri"/>
          <w:color w:val="000000" w:themeColor="text1"/>
        </w:rPr>
        <w:t xml:space="preserve"> BMBCh </w:t>
      </w:r>
      <w:r w:rsidRPr="00280CB8">
        <w:rPr>
          <w:rFonts w:ascii="Calibri" w:hAnsi="Calibri" w:cs="Calibri"/>
          <w:color w:val="000000" w:themeColor="text1"/>
          <w:vertAlign w:val="superscript"/>
        </w:rPr>
        <w:t>3,4</w:t>
      </w:r>
      <w:r w:rsidRPr="00280CB8">
        <w:rPr>
          <w:rFonts w:ascii="Calibri" w:hAnsi="Calibri" w:cs="Calibri"/>
          <w:color w:val="000000" w:themeColor="text1"/>
        </w:rPr>
        <w:t>, M. Sa</w:t>
      </w:r>
      <w:r>
        <w:rPr>
          <w:rFonts w:ascii="Calibri" w:hAnsi="Calibri" w:cs="Calibri"/>
          <w:color w:val="000000" w:themeColor="text1"/>
        </w:rPr>
        <w:t xml:space="preserve"> MD </w:t>
      </w:r>
      <w:r w:rsidRPr="00280CB8">
        <w:rPr>
          <w:rFonts w:ascii="Calibri" w:hAnsi="Calibri" w:cs="Calibri"/>
          <w:color w:val="000000" w:themeColor="text1"/>
          <w:vertAlign w:val="superscript"/>
        </w:rPr>
        <w:t>5</w:t>
      </w:r>
      <w:r w:rsidRPr="00280CB8">
        <w:rPr>
          <w:rFonts w:ascii="Calibri" w:hAnsi="Calibri" w:cs="Calibri"/>
          <w:color w:val="000000" w:themeColor="text1"/>
        </w:rPr>
        <w:t>, C. Fuller</w:t>
      </w:r>
      <w:r>
        <w:rPr>
          <w:rFonts w:ascii="Calibri" w:hAnsi="Calibri" w:cs="Calibri"/>
          <w:color w:val="000000" w:themeColor="text1"/>
        </w:rPr>
        <w:t xml:space="preserve"> MBChB </w:t>
      </w:r>
      <w:r w:rsidRPr="00280CB8">
        <w:rPr>
          <w:rFonts w:ascii="Calibri" w:hAnsi="Calibri" w:cs="Calibri"/>
          <w:color w:val="000000" w:themeColor="text1"/>
          <w:vertAlign w:val="superscript"/>
        </w:rPr>
        <w:t>6</w:t>
      </w:r>
      <w:r w:rsidRPr="00280CB8">
        <w:rPr>
          <w:rFonts w:ascii="Calibri" w:hAnsi="Calibri" w:cs="Calibri"/>
          <w:color w:val="000000" w:themeColor="text1"/>
        </w:rPr>
        <w:t>, H. McCullagh</w:t>
      </w:r>
      <w:r w:rsidRPr="00280CB8">
        <w:rPr>
          <w:rFonts w:ascii="Calibri" w:hAnsi="Calibri" w:cs="Calibri"/>
          <w:color w:val="000000" w:themeColor="text1"/>
          <w:vertAlign w:val="superscript"/>
        </w:rPr>
        <w:t>6</w:t>
      </w:r>
      <w:r w:rsidRPr="00280CB8">
        <w:rPr>
          <w:rFonts w:ascii="Calibri" w:hAnsi="Calibri" w:cs="Calibri"/>
          <w:color w:val="000000" w:themeColor="text1"/>
        </w:rPr>
        <w:t>, E. Wassmer</w:t>
      </w:r>
      <w:r>
        <w:rPr>
          <w:rFonts w:ascii="Calibri" w:hAnsi="Calibri" w:cs="Calibri"/>
          <w:color w:val="000000" w:themeColor="text1"/>
        </w:rPr>
        <w:t xml:space="preserve"> PhD</w:t>
      </w:r>
      <w:r w:rsidRPr="00280CB8">
        <w:rPr>
          <w:rFonts w:ascii="Calibri" w:hAnsi="Calibri" w:cs="Calibri"/>
          <w:color w:val="000000" w:themeColor="text1"/>
          <w:vertAlign w:val="superscript"/>
        </w:rPr>
        <w:t xml:space="preserve"> 7</w:t>
      </w:r>
      <w:r w:rsidRPr="00280CB8">
        <w:rPr>
          <w:rFonts w:ascii="Calibri" w:hAnsi="Calibri" w:cs="Calibri"/>
          <w:color w:val="000000" w:themeColor="text1"/>
        </w:rPr>
        <w:t>, D. Ram</w:t>
      </w:r>
      <w:r>
        <w:rPr>
          <w:rFonts w:ascii="Calibri" w:hAnsi="Calibri" w:cs="Calibri"/>
          <w:color w:val="000000" w:themeColor="text1"/>
        </w:rPr>
        <w:t xml:space="preserve"> MBBS </w:t>
      </w:r>
      <w:r w:rsidRPr="00280CB8">
        <w:rPr>
          <w:rFonts w:ascii="Calibri" w:hAnsi="Calibri" w:cs="Calibri"/>
          <w:color w:val="000000" w:themeColor="text1"/>
          <w:vertAlign w:val="superscript"/>
        </w:rPr>
        <w:t>8</w:t>
      </w:r>
      <w:r w:rsidRPr="00280CB8">
        <w:rPr>
          <w:rFonts w:ascii="Calibri" w:hAnsi="Calibri" w:cs="Calibri"/>
          <w:color w:val="000000" w:themeColor="text1"/>
        </w:rPr>
        <w:t>,</w:t>
      </w:r>
      <w:r>
        <w:rPr>
          <w:rFonts w:ascii="Calibri" w:hAnsi="Calibri" w:cs="Calibri"/>
          <w:color w:val="000000" w:themeColor="text1"/>
        </w:rPr>
        <w:t xml:space="preserve"> </w:t>
      </w:r>
      <w:r w:rsidRPr="00280CB8">
        <w:rPr>
          <w:rFonts w:ascii="Calibri" w:hAnsi="Calibri" w:cs="Calibri"/>
          <w:color w:val="000000" w:themeColor="text1"/>
        </w:rPr>
        <w:t>S. Avula</w:t>
      </w:r>
      <w:r>
        <w:rPr>
          <w:rFonts w:ascii="Calibri" w:hAnsi="Calibri" w:cs="Calibri"/>
          <w:color w:val="000000" w:themeColor="text1"/>
        </w:rPr>
        <w:t xml:space="preserve"> FRCR </w:t>
      </w:r>
      <w:r w:rsidRPr="00280CB8">
        <w:rPr>
          <w:rFonts w:ascii="Calibri" w:hAnsi="Calibri" w:cs="Calibri"/>
          <w:color w:val="000000" w:themeColor="text1"/>
          <w:vertAlign w:val="superscript"/>
        </w:rPr>
        <w:t>9</w:t>
      </w:r>
      <w:r w:rsidRPr="00280CB8">
        <w:rPr>
          <w:rFonts w:ascii="Calibri" w:hAnsi="Calibri" w:cs="Calibri"/>
          <w:color w:val="000000" w:themeColor="text1"/>
        </w:rPr>
        <w:t>, N. Enright</w:t>
      </w:r>
      <w:r>
        <w:rPr>
          <w:rFonts w:ascii="Calibri" w:hAnsi="Calibri" w:cs="Calibri"/>
          <w:color w:val="000000" w:themeColor="text1"/>
        </w:rPr>
        <w:t xml:space="preserve"> </w:t>
      </w:r>
      <w:r w:rsidRPr="00280CB8">
        <w:rPr>
          <w:rFonts w:ascii="Calibri" w:hAnsi="Calibri" w:cs="Calibri"/>
          <w:color w:val="000000" w:themeColor="text1"/>
          <w:vertAlign w:val="superscript"/>
        </w:rPr>
        <w:t>3</w:t>
      </w:r>
      <w:r w:rsidRPr="00280CB8">
        <w:rPr>
          <w:rFonts w:ascii="Calibri" w:hAnsi="Calibri" w:cs="Calibri"/>
          <w:color w:val="000000" w:themeColor="text1"/>
        </w:rPr>
        <w:t>, J. Hassell</w:t>
      </w:r>
      <w:r>
        <w:rPr>
          <w:rFonts w:ascii="Calibri" w:hAnsi="Calibri" w:cs="Calibri"/>
          <w:color w:val="000000" w:themeColor="text1"/>
        </w:rPr>
        <w:t xml:space="preserve"> </w:t>
      </w:r>
      <w:r w:rsidRPr="00280CB8">
        <w:rPr>
          <w:rFonts w:ascii="Calibri" w:hAnsi="Calibri" w:cs="Calibri"/>
          <w:color w:val="000000" w:themeColor="text1"/>
          <w:vertAlign w:val="superscript"/>
        </w:rPr>
        <w:t>3</w:t>
      </w:r>
      <w:r w:rsidRPr="00280CB8">
        <w:rPr>
          <w:rFonts w:ascii="Calibri" w:hAnsi="Calibri" w:cs="Calibri"/>
          <w:color w:val="000000" w:themeColor="text1"/>
        </w:rPr>
        <w:t>, A.L. Ross Russell</w:t>
      </w:r>
      <w:r>
        <w:rPr>
          <w:rFonts w:ascii="Calibri" w:hAnsi="Calibri" w:cs="Calibri"/>
          <w:color w:val="000000" w:themeColor="text1"/>
        </w:rPr>
        <w:t xml:space="preserve"> BMBCh</w:t>
      </w:r>
      <w:r w:rsidRPr="00280CB8">
        <w:rPr>
          <w:rFonts w:ascii="Calibri" w:hAnsi="Calibri" w:cs="Calibri"/>
          <w:color w:val="000000" w:themeColor="text1"/>
          <w:vertAlign w:val="superscript"/>
        </w:rPr>
        <w:t xml:space="preserve"> 10,11</w:t>
      </w:r>
      <w:r w:rsidRPr="00280CB8">
        <w:rPr>
          <w:rFonts w:ascii="Calibri" w:hAnsi="Calibri" w:cs="Calibri"/>
          <w:color w:val="000000" w:themeColor="text1"/>
        </w:rPr>
        <w:t>, S. Pett</w:t>
      </w:r>
      <w:r>
        <w:rPr>
          <w:rFonts w:ascii="Calibri" w:hAnsi="Calibri" w:cs="Calibri"/>
          <w:color w:val="000000" w:themeColor="text1"/>
        </w:rPr>
        <w:t xml:space="preserve"> PhD </w:t>
      </w:r>
      <w:r w:rsidRPr="00280CB8">
        <w:rPr>
          <w:rFonts w:ascii="Calibri" w:hAnsi="Calibri" w:cs="Calibri"/>
          <w:color w:val="000000" w:themeColor="text1"/>
          <w:vertAlign w:val="superscript"/>
        </w:rPr>
        <w:t>12</w:t>
      </w:r>
      <w:r w:rsidRPr="00280CB8">
        <w:rPr>
          <w:rFonts w:ascii="Calibri" w:hAnsi="Calibri" w:cs="Calibri"/>
          <w:color w:val="000000" w:themeColor="text1"/>
        </w:rPr>
        <w:t>, I. Galea</w:t>
      </w:r>
      <w:r>
        <w:rPr>
          <w:rFonts w:ascii="Calibri" w:hAnsi="Calibri" w:cs="Calibri"/>
          <w:color w:val="000000" w:themeColor="text1"/>
        </w:rPr>
        <w:t xml:space="preserve"> PhD</w:t>
      </w:r>
      <w:r w:rsidRPr="00280CB8">
        <w:rPr>
          <w:rFonts w:ascii="Calibri" w:hAnsi="Calibri" w:cs="Calibri"/>
          <w:color w:val="000000" w:themeColor="text1"/>
          <w:vertAlign w:val="superscript"/>
        </w:rPr>
        <w:t xml:space="preserve"> 11,13</w:t>
      </w:r>
      <w:r w:rsidRPr="00280CB8">
        <w:rPr>
          <w:rFonts w:ascii="Calibri" w:hAnsi="Calibri" w:cs="Calibri"/>
          <w:color w:val="000000" w:themeColor="text1"/>
        </w:rPr>
        <w:t>, R. Thomas</w:t>
      </w:r>
      <w:r>
        <w:rPr>
          <w:rFonts w:ascii="Calibri" w:hAnsi="Calibri" w:cs="Calibri"/>
          <w:color w:val="000000" w:themeColor="text1"/>
        </w:rPr>
        <w:t xml:space="preserve"> PhD</w:t>
      </w:r>
      <w:r w:rsidRPr="00280CB8">
        <w:rPr>
          <w:rFonts w:ascii="Calibri" w:hAnsi="Calibri" w:cs="Calibri"/>
          <w:color w:val="000000" w:themeColor="text1"/>
          <w:vertAlign w:val="superscript"/>
        </w:rPr>
        <w:t xml:space="preserve"> 14,15 </w:t>
      </w:r>
      <w:r w:rsidRPr="00280CB8">
        <w:rPr>
          <w:rFonts w:ascii="Calibri" w:hAnsi="Calibri" w:cs="Calibri"/>
          <w:color w:val="000000" w:themeColor="text1"/>
        </w:rPr>
        <w:t>M. Lim</w:t>
      </w:r>
      <w:r>
        <w:rPr>
          <w:rFonts w:ascii="Calibri" w:hAnsi="Calibri" w:cs="Calibri"/>
          <w:color w:val="000000" w:themeColor="text1"/>
        </w:rPr>
        <w:t xml:space="preserve"> PhD</w:t>
      </w:r>
      <w:r w:rsidRPr="00280CB8">
        <w:rPr>
          <w:rFonts w:ascii="Calibri" w:hAnsi="Calibri" w:cs="Calibri"/>
          <w:color w:val="000000" w:themeColor="text1"/>
          <w:vertAlign w:val="superscript"/>
        </w:rPr>
        <w:t xml:space="preserve"> 5</w:t>
      </w:r>
      <w:r w:rsidRPr="00280CB8">
        <w:rPr>
          <w:rFonts w:ascii="Calibri" w:hAnsi="Calibri" w:cs="Calibri"/>
          <w:color w:val="000000" w:themeColor="text1"/>
        </w:rPr>
        <w:t>,</w:t>
      </w:r>
      <w:r>
        <w:rPr>
          <w:rFonts w:ascii="Calibri" w:hAnsi="Calibri" w:cs="Calibri"/>
          <w:color w:val="000000" w:themeColor="text1"/>
        </w:rPr>
        <w:t xml:space="preserve"> </w:t>
      </w:r>
      <w:r w:rsidRPr="00280CB8">
        <w:rPr>
          <w:rFonts w:ascii="Calibri" w:hAnsi="Calibri" w:cs="Calibri"/>
          <w:color w:val="000000" w:themeColor="text1"/>
        </w:rPr>
        <w:t xml:space="preserve"> Y. Hacohen</w:t>
      </w:r>
      <w:r>
        <w:rPr>
          <w:rFonts w:ascii="Calibri" w:hAnsi="Calibri" w:cs="Calibri"/>
          <w:color w:val="000000" w:themeColor="text1"/>
        </w:rPr>
        <w:t xml:space="preserve"> D.Phil </w:t>
      </w:r>
      <w:r w:rsidRPr="00280CB8">
        <w:rPr>
          <w:rFonts w:ascii="Calibri" w:hAnsi="Calibri" w:cs="Calibri"/>
          <w:color w:val="000000" w:themeColor="text1"/>
          <w:vertAlign w:val="superscript"/>
        </w:rPr>
        <w:t>3,4</w:t>
      </w:r>
      <w:r w:rsidRPr="00280CB8">
        <w:rPr>
          <w:rFonts w:ascii="Calibri" w:hAnsi="Calibri" w:cs="Calibri"/>
          <w:color w:val="000000" w:themeColor="text1"/>
        </w:rPr>
        <w:t>, T. Solomon</w:t>
      </w:r>
      <w:r>
        <w:rPr>
          <w:rFonts w:ascii="Calibri" w:hAnsi="Calibri" w:cs="Calibri"/>
          <w:color w:val="000000" w:themeColor="text1"/>
        </w:rPr>
        <w:t xml:space="preserve"> PhD</w:t>
      </w:r>
      <w:r w:rsidRPr="00280CB8">
        <w:rPr>
          <w:rFonts w:ascii="Calibri" w:hAnsi="Calibri" w:cs="Calibri"/>
          <w:color w:val="000000" w:themeColor="text1"/>
          <w:vertAlign w:val="superscript"/>
        </w:rPr>
        <w:t xml:space="preserve"> 1,2,16* </w:t>
      </w:r>
      <w:r w:rsidRPr="00280CB8">
        <w:rPr>
          <w:rFonts w:ascii="Calibri" w:hAnsi="Calibri" w:cs="Calibri"/>
          <w:color w:val="000000" w:themeColor="text1"/>
        </w:rPr>
        <w:t xml:space="preserve">, M.J. Griffiths </w:t>
      </w:r>
      <w:r>
        <w:rPr>
          <w:rFonts w:ascii="Calibri" w:hAnsi="Calibri" w:cs="Calibri"/>
          <w:color w:val="000000" w:themeColor="text1"/>
        </w:rPr>
        <w:t>D.Phil</w:t>
      </w:r>
      <w:r w:rsidRPr="00280CB8">
        <w:rPr>
          <w:rFonts w:ascii="Calibri" w:hAnsi="Calibri" w:cs="Calibri"/>
          <w:color w:val="000000" w:themeColor="text1"/>
          <w:vertAlign w:val="superscript"/>
        </w:rPr>
        <w:t xml:space="preserve"> 1,2, 17*</w:t>
      </w:r>
      <w:r w:rsidRPr="00280CB8">
        <w:rPr>
          <w:rFonts w:ascii="Calibri" w:hAnsi="Calibri" w:cs="Calibri"/>
          <w:color w:val="000000" w:themeColor="text1"/>
        </w:rPr>
        <w:t>, B.D. Michael</w:t>
      </w:r>
      <w:r>
        <w:rPr>
          <w:rFonts w:ascii="Calibri" w:hAnsi="Calibri" w:cs="Calibri"/>
          <w:color w:val="000000" w:themeColor="text1"/>
        </w:rPr>
        <w:t xml:space="preserve"> PhD</w:t>
      </w:r>
      <w:r w:rsidRPr="00280CB8">
        <w:rPr>
          <w:rFonts w:ascii="Calibri" w:hAnsi="Calibri" w:cs="Calibri"/>
          <w:color w:val="000000" w:themeColor="text1"/>
          <w:vertAlign w:val="superscript"/>
        </w:rPr>
        <w:t xml:space="preserve"> 1,2,16*</w:t>
      </w:r>
      <w:r w:rsidRPr="00280CB8">
        <w:rPr>
          <w:rFonts w:ascii="Calibri" w:hAnsi="Calibri" w:cs="Calibri"/>
          <w:color w:val="000000" w:themeColor="text1"/>
        </w:rPr>
        <w:t>, R. Kneen</w:t>
      </w:r>
      <w:r>
        <w:rPr>
          <w:rFonts w:ascii="Calibri" w:hAnsi="Calibri" w:cs="Calibri"/>
          <w:color w:val="000000" w:themeColor="text1"/>
        </w:rPr>
        <w:t xml:space="preserve"> BMBS </w:t>
      </w:r>
      <w:r w:rsidRPr="00280CB8">
        <w:rPr>
          <w:rFonts w:ascii="Calibri" w:hAnsi="Calibri" w:cs="Calibri"/>
          <w:color w:val="000000" w:themeColor="text1"/>
          <w:vertAlign w:val="superscript"/>
        </w:rPr>
        <w:t>1,17*</w:t>
      </w:r>
      <w:r w:rsidRPr="00280CB8">
        <w:rPr>
          <w:rFonts w:ascii="Calibri" w:hAnsi="Calibri" w:cs="Calibri"/>
          <w:color w:val="000000" w:themeColor="text1"/>
        </w:rPr>
        <w:t xml:space="preserve"> on behalf of the </w:t>
      </w:r>
      <w:r w:rsidRPr="00280CB8">
        <w:rPr>
          <w:rFonts w:ascii="Calibri" w:hAnsi="Calibri" w:cs="Calibri"/>
          <w:i/>
          <w:iCs/>
          <w:color w:val="000000" w:themeColor="text1"/>
        </w:rPr>
        <w:t>Coro</w:t>
      </w:r>
      <w:r w:rsidRPr="00280CB8">
        <w:rPr>
          <w:rFonts w:ascii="Calibri" w:hAnsi="Calibri" w:cs="Calibri"/>
          <w:color w:val="000000" w:themeColor="text1"/>
        </w:rPr>
        <w:t xml:space="preserve">Nerve Studies Group </w:t>
      </w:r>
      <w:r w:rsidR="00CC2B8B" w:rsidRPr="00280CB8">
        <w:rPr>
          <w:rFonts w:ascii="Calibri" w:hAnsi="Calibri" w:cs="Calibri"/>
          <w:color w:val="000000" w:themeColor="text1"/>
          <w:vertAlign w:val="superscript"/>
        </w:rPr>
        <w:t>* Joint last authors</w:t>
      </w:r>
    </w:p>
    <w:p w14:paraId="224E083F" w14:textId="45EE8292" w:rsidR="00CC2B8B" w:rsidRPr="00280CB8" w:rsidRDefault="00CC2B8B" w:rsidP="00881173">
      <w:pPr>
        <w:spacing w:before="100" w:beforeAutospacing="1" w:after="100" w:afterAutospacing="1" w:line="360" w:lineRule="auto"/>
        <w:ind w:left="720"/>
        <w:rPr>
          <w:rFonts w:ascii="Calibri" w:hAnsi="Calibri" w:cs="Calibri"/>
          <w:color w:val="000000" w:themeColor="text1"/>
        </w:rPr>
      </w:pPr>
      <w:r w:rsidRPr="00280CB8">
        <w:rPr>
          <w:rFonts w:ascii="Calibri" w:hAnsi="Calibri" w:cs="Calibri"/>
          <w:color w:val="000000" w:themeColor="text1"/>
          <w:vertAlign w:val="superscript"/>
        </w:rPr>
        <w:t>1</w:t>
      </w:r>
      <w:r w:rsidRPr="00280CB8">
        <w:rPr>
          <w:rFonts w:ascii="Calibri" w:hAnsi="Calibri" w:cs="Calibri"/>
          <w:color w:val="000000" w:themeColor="text1"/>
        </w:rPr>
        <w:t>University of Liverpool, Institute of Infection, Veterinary, and Ecological Sciences, Liverpool, UK</w:t>
      </w:r>
      <w:r w:rsidRPr="00280CB8">
        <w:rPr>
          <w:rFonts w:ascii="Calibri" w:hAnsi="Calibri" w:cs="Calibri"/>
          <w:color w:val="000000" w:themeColor="text1"/>
        </w:rPr>
        <w:tab/>
        <w:t xml:space="preserve"> </w:t>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t xml:space="preserve">                 </w:t>
      </w:r>
      <w:r w:rsidRPr="00280CB8">
        <w:rPr>
          <w:rFonts w:ascii="Calibri" w:hAnsi="Calibri" w:cs="Calibri"/>
          <w:color w:val="000000" w:themeColor="text1"/>
          <w:vertAlign w:val="superscript"/>
        </w:rPr>
        <w:t>2</w:t>
      </w:r>
      <w:r w:rsidRPr="00280CB8">
        <w:rPr>
          <w:rFonts w:ascii="Calibri" w:hAnsi="Calibri" w:cs="Calibri"/>
        </w:rPr>
        <w:t>National Institute for Health Research Health Protection Research Unit on Emerging and Zoonotic Infections, Institute of Infection, Veterinary &amp; Ecological Sciences, University of Liverpool, Liverpool, UK</w:t>
      </w:r>
      <w:r w:rsidRPr="00280CB8">
        <w:rPr>
          <w:rFonts w:ascii="Calibri" w:hAnsi="Calibri" w:cs="Calibri"/>
          <w:color w:val="000000" w:themeColor="text1"/>
          <w:vertAlign w:val="superscript"/>
        </w:rPr>
        <w:tab/>
      </w:r>
      <w:r w:rsidRPr="00280CB8">
        <w:rPr>
          <w:rFonts w:ascii="Calibri" w:hAnsi="Calibri" w:cs="Calibri"/>
          <w:color w:val="000000" w:themeColor="text1"/>
          <w:vertAlign w:val="superscript"/>
        </w:rPr>
        <w:tab/>
      </w:r>
      <w:r w:rsidRPr="00280CB8">
        <w:rPr>
          <w:rFonts w:ascii="Calibri" w:hAnsi="Calibri" w:cs="Calibri"/>
          <w:color w:val="000000" w:themeColor="text1"/>
          <w:vertAlign w:val="superscript"/>
        </w:rPr>
        <w:tab/>
      </w:r>
      <w:r w:rsidRPr="00280CB8">
        <w:rPr>
          <w:rFonts w:ascii="Calibri" w:hAnsi="Calibri" w:cs="Calibri"/>
          <w:color w:val="000000" w:themeColor="text1"/>
          <w:vertAlign w:val="superscript"/>
        </w:rPr>
        <w:tab/>
      </w:r>
      <w:r w:rsidRPr="00280CB8">
        <w:rPr>
          <w:rFonts w:ascii="Calibri" w:hAnsi="Calibri" w:cs="Calibri"/>
          <w:color w:val="000000" w:themeColor="text1"/>
          <w:vertAlign w:val="superscript"/>
        </w:rPr>
        <w:tab/>
        <w:t xml:space="preserve">             3</w:t>
      </w:r>
      <w:r w:rsidRPr="00280CB8">
        <w:rPr>
          <w:rFonts w:ascii="Calibri" w:hAnsi="Calibri" w:cs="Calibri"/>
          <w:color w:val="000000" w:themeColor="text1"/>
        </w:rPr>
        <w:t>Great Ormond Street Hospital for Children, London, UK, Department of Neurology, London, UK</w:t>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t xml:space="preserve">      </w:t>
      </w:r>
      <w:r w:rsidRPr="00280CB8">
        <w:rPr>
          <w:rFonts w:ascii="Calibri" w:hAnsi="Calibri" w:cs="Calibri"/>
          <w:color w:val="000000" w:themeColor="text1"/>
          <w:vertAlign w:val="superscript"/>
        </w:rPr>
        <w:t>4</w:t>
      </w:r>
      <w:r w:rsidRPr="00280CB8">
        <w:rPr>
          <w:rFonts w:ascii="Calibri" w:hAnsi="Calibri" w:cs="Calibri"/>
          <w:color w:val="000000" w:themeColor="text1"/>
        </w:rPr>
        <w:t>Queen Square MS centre, UCL Queen Square Institute of Neurology, Faculty of Brain Sciences, University College London, London, United Kingdom</w:t>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t xml:space="preserve">      </w:t>
      </w:r>
      <w:r w:rsidRPr="00280CB8">
        <w:rPr>
          <w:rFonts w:ascii="Calibri" w:hAnsi="Calibri" w:cs="Calibri"/>
          <w:color w:val="000000" w:themeColor="text1"/>
          <w:vertAlign w:val="superscript"/>
        </w:rPr>
        <w:t>5</w:t>
      </w:r>
      <w:r w:rsidRPr="00280CB8">
        <w:rPr>
          <w:rFonts w:ascii="Calibri" w:hAnsi="Calibri" w:cs="Calibri"/>
          <w:color w:val="000000" w:themeColor="text1"/>
        </w:rPr>
        <w:t>Evelina Children’s Hospital, London, UK</w:t>
      </w:r>
      <w:r w:rsidRPr="00280CB8">
        <w:rPr>
          <w:rFonts w:ascii="Calibri" w:hAnsi="Calibri" w:cs="Calibri"/>
          <w:color w:val="000000" w:themeColor="text1"/>
        </w:rPr>
        <w:tab/>
        <w:t xml:space="preserve"> </w:t>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t xml:space="preserve">          </w:t>
      </w:r>
      <w:r w:rsidRPr="00280CB8">
        <w:rPr>
          <w:rFonts w:ascii="Calibri" w:hAnsi="Calibri" w:cs="Calibri"/>
          <w:color w:val="000000" w:themeColor="text1"/>
          <w:vertAlign w:val="superscript"/>
        </w:rPr>
        <w:t>6</w:t>
      </w:r>
      <w:r w:rsidRPr="00280CB8">
        <w:rPr>
          <w:rFonts w:ascii="Calibri" w:hAnsi="Calibri" w:cs="Calibri"/>
          <w:color w:val="000000" w:themeColor="text1"/>
        </w:rPr>
        <w:t xml:space="preserve">Leeds Teaching Hospitals NHS Trust, Leeds, UK, Children’s Neurosciences, Leeds, UK   </w:t>
      </w:r>
      <w:r w:rsidRPr="00280CB8">
        <w:rPr>
          <w:rFonts w:ascii="Calibri" w:hAnsi="Calibri" w:cs="Calibri"/>
          <w:color w:val="000000" w:themeColor="text1"/>
          <w:vertAlign w:val="superscript"/>
        </w:rPr>
        <w:t>7</w:t>
      </w:r>
      <w:r w:rsidRPr="00280CB8">
        <w:rPr>
          <w:rFonts w:ascii="Calibri" w:hAnsi="Calibri" w:cs="Calibri"/>
          <w:color w:val="000000" w:themeColor="text1"/>
        </w:rPr>
        <w:t xml:space="preserve">Birmingham Children’s Hospital, Department of Neurology, Birmingham, UK.   </w:t>
      </w:r>
      <w:r w:rsidRPr="00280CB8">
        <w:rPr>
          <w:rFonts w:ascii="Calibri" w:hAnsi="Calibri" w:cs="Calibri"/>
          <w:color w:val="000000" w:themeColor="text1"/>
          <w:vertAlign w:val="superscript"/>
        </w:rPr>
        <w:t>8</w:t>
      </w:r>
      <w:r w:rsidRPr="00280CB8">
        <w:rPr>
          <w:rFonts w:ascii="Calibri" w:hAnsi="Calibri" w:cs="Calibri"/>
          <w:color w:val="000000" w:themeColor="text1"/>
        </w:rPr>
        <w:t xml:space="preserve">Royal Manchester Children’s Hospital, Department of Neurology, Manchester, UK. </w:t>
      </w:r>
      <w:r w:rsidRPr="00280CB8">
        <w:rPr>
          <w:rFonts w:ascii="Calibri" w:hAnsi="Calibri" w:cs="Calibri"/>
          <w:color w:val="000000" w:themeColor="text1"/>
          <w:vertAlign w:val="superscript"/>
        </w:rPr>
        <w:t>9</w:t>
      </w:r>
      <w:r w:rsidRPr="00280CB8">
        <w:rPr>
          <w:rFonts w:ascii="Calibri" w:hAnsi="Calibri" w:cs="Calibri"/>
          <w:color w:val="000000" w:themeColor="text1"/>
        </w:rPr>
        <w:t xml:space="preserve">Department of Radiology, Alder Hey Children’s NHS Foundation Trust, Liverpool, UK </w:t>
      </w:r>
      <w:r w:rsidRPr="00280CB8">
        <w:rPr>
          <w:rFonts w:ascii="Calibri" w:hAnsi="Calibri" w:cs="Calibri"/>
          <w:color w:val="000000" w:themeColor="text1"/>
          <w:vertAlign w:val="superscript"/>
        </w:rPr>
        <w:t>10</w:t>
      </w:r>
      <w:r w:rsidRPr="00280CB8">
        <w:rPr>
          <w:rFonts w:ascii="Calibri" w:hAnsi="Calibri" w:cs="Calibri"/>
          <w:color w:val="222222"/>
          <w:shd w:val="clear" w:color="auto" w:fill="FFFFFF"/>
        </w:rPr>
        <w:t>NIHR Clinical Research Facility and Biomedical Research Centre, University Hospital Southampton NHS Foundation Trust, UK</w:t>
      </w:r>
      <w:r w:rsidRPr="00280CB8">
        <w:rPr>
          <w:rFonts w:ascii="Calibri" w:hAnsi="Calibri" w:cs="Calibri"/>
          <w:color w:val="222222"/>
          <w:shd w:val="clear" w:color="auto" w:fill="FFFFFF"/>
        </w:rPr>
        <w:tab/>
      </w:r>
      <w:r w:rsidRPr="00280CB8">
        <w:rPr>
          <w:rFonts w:ascii="Calibri" w:hAnsi="Calibri" w:cs="Calibri"/>
          <w:color w:val="222222"/>
          <w:shd w:val="clear" w:color="auto" w:fill="FFFFFF"/>
        </w:rPr>
        <w:tab/>
      </w:r>
      <w:r w:rsidRPr="00280CB8">
        <w:rPr>
          <w:rFonts w:ascii="Calibri" w:hAnsi="Calibri" w:cs="Calibri"/>
          <w:color w:val="222222"/>
          <w:shd w:val="clear" w:color="auto" w:fill="FFFFFF"/>
        </w:rPr>
        <w:tab/>
      </w:r>
      <w:r w:rsidRPr="00280CB8">
        <w:rPr>
          <w:rFonts w:ascii="Calibri" w:hAnsi="Calibri" w:cs="Calibri"/>
          <w:color w:val="222222"/>
          <w:shd w:val="clear" w:color="auto" w:fill="FFFFFF"/>
        </w:rPr>
        <w:tab/>
      </w:r>
      <w:r w:rsidRPr="00280CB8">
        <w:rPr>
          <w:rFonts w:ascii="Calibri" w:hAnsi="Calibri" w:cs="Calibri"/>
          <w:color w:val="222222"/>
          <w:shd w:val="clear" w:color="auto" w:fill="FFFFFF"/>
        </w:rPr>
        <w:tab/>
      </w:r>
      <w:r w:rsidRPr="00280CB8">
        <w:rPr>
          <w:rFonts w:ascii="Calibri" w:hAnsi="Calibri" w:cs="Calibri"/>
          <w:color w:val="222222"/>
          <w:shd w:val="clear" w:color="auto" w:fill="FFFFFF"/>
        </w:rPr>
        <w:tab/>
        <w:t xml:space="preserve"> </w:t>
      </w:r>
      <w:r w:rsidRPr="00280CB8">
        <w:rPr>
          <w:rFonts w:ascii="Calibri" w:hAnsi="Calibri" w:cs="Calibri"/>
          <w:color w:val="000000" w:themeColor="text1"/>
          <w:vertAlign w:val="superscript"/>
        </w:rPr>
        <w:t>11</w:t>
      </w:r>
      <w:r w:rsidRPr="00280CB8">
        <w:rPr>
          <w:rFonts w:ascii="Calibri" w:hAnsi="Calibri" w:cs="Calibri"/>
          <w:color w:val="000000" w:themeColor="text1"/>
        </w:rPr>
        <w:t>Department of Neurology, Wessex Neurological Centre, University Hospital Southampton NHS Foundation Trust, UK</w:t>
      </w:r>
      <w:r w:rsidRPr="00280CB8">
        <w:rPr>
          <w:rFonts w:ascii="Calibri" w:hAnsi="Calibri" w:cs="Calibri"/>
          <w:color w:val="000000" w:themeColor="text1"/>
        </w:rPr>
        <w:tab/>
      </w:r>
      <w:r w:rsidRPr="00280CB8">
        <w:rPr>
          <w:rFonts w:ascii="Calibri" w:hAnsi="Calibri" w:cs="Calibri"/>
          <w:color w:val="222222"/>
          <w:shd w:val="clear" w:color="auto" w:fill="FFFFFF"/>
        </w:rPr>
        <w:tab/>
      </w:r>
      <w:r w:rsidRPr="00280CB8">
        <w:rPr>
          <w:rFonts w:ascii="Calibri" w:hAnsi="Calibri" w:cs="Calibri"/>
          <w:color w:val="222222"/>
          <w:shd w:val="clear" w:color="auto" w:fill="FFFFFF"/>
        </w:rPr>
        <w:tab/>
      </w:r>
      <w:r w:rsidRPr="00280CB8">
        <w:rPr>
          <w:rFonts w:ascii="Calibri" w:hAnsi="Calibri" w:cs="Calibri"/>
          <w:color w:val="222222"/>
          <w:shd w:val="clear" w:color="auto" w:fill="FFFFFF"/>
        </w:rPr>
        <w:tab/>
        <w:t xml:space="preserve">             </w:t>
      </w:r>
      <w:r w:rsidRPr="00280CB8">
        <w:rPr>
          <w:rFonts w:ascii="Calibri" w:hAnsi="Calibri" w:cs="Calibri"/>
          <w:color w:val="000000" w:themeColor="text1"/>
          <w:vertAlign w:val="superscript"/>
        </w:rPr>
        <w:t>12</w:t>
      </w:r>
      <w:r w:rsidRPr="00280CB8">
        <w:rPr>
          <w:rFonts w:ascii="Calibri" w:hAnsi="Calibri" w:cs="Calibri"/>
          <w:color w:val="000000" w:themeColor="text1"/>
        </w:rPr>
        <w:t xml:space="preserve">University College London, Institute for Global Health, University College, London, UK </w:t>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t xml:space="preserve">     </w:t>
      </w:r>
      <w:r w:rsidRPr="00280CB8">
        <w:rPr>
          <w:rFonts w:ascii="Calibri" w:hAnsi="Calibri" w:cs="Calibri"/>
          <w:color w:val="000000" w:themeColor="text1"/>
          <w:vertAlign w:val="superscript"/>
        </w:rPr>
        <w:t>13</w:t>
      </w:r>
      <w:r w:rsidRPr="00280CB8">
        <w:rPr>
          <w:rFonts w:ascii="Calibri" w:hAnsi="Calibri" w:cs="Calibri"/>
          <w:color w:val="000000" w:themeColor="text1"/>
        </w:rPr>
        <w:t xml:space="preserve">Faculty of Medicine, University of Southampton, UK, Clinical Neurosciences, Clinical and Experimental Sciences, Southampton, UK         </w:t>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t xml:space="preserve"> </w:t>
      </w:r>
      <w:r w:rsidRPr="00280CB8">
        <w:rPr>
          <w:rFonts w:ascii="Calibri" w:hAnsi="Calibri" w:cs="Calibri"/>
          <w:color w:val="000000" w:themeColor="text1"/>
          <w:vertAlign w:val="superscript"/>
        </w:rPr>
        <w:t>14</w:t>
      </w:r>
      <w:r w:rsidRPr="00280CB8">
        <w:rPr>
          <w:rFonts w:ascii="Calibri" w:hAnsi="Calibri" w:cs="Calibri"/>
          <w:color w:val="000000" w:themeColor="text1"/>
        </w:rPr>
        <w:t xml:space="preserve">University of Newcastle, Newcastle, UK, Translational and Clinical Research </w:t>
      </w:r>
      <w:r w:rsidRPr="00280CB8">
        <w:rPr>
          <w:rFonts w:ascii="Calibri" w:hAnsi="Calibri" w:cs="Calibri"/>
          <w:color w:val="000000" w:themeColor="text1"/>
        </w:rPr>
        <w:lastRenderedPageBreak/>
        <w:t>Institute, Newcastle, UK</w:t>
      </w:r>
      <w:r w:rsidRPr="00280CB8">
        <w:rPr>
          <w:rFonts w:ascii="Calibri" w:hAnsi="Calibri" w:cs="Calibri"/>
          <w:color w:val="000000" w:themeColor="text1"/>
          <w:vertAlign w:val="superscript"/>
        </w:rPr>
        <w:t xml:space="preserve"> </w:t>
      </w:r>
      <w:r w:rsidRPr="00280CB8">
        <w:rPr>
          <w:rFonts w:ascii="Calibri" w:hAnsi="Calibri" w:cs="Calibri"/>
          <w:color w:val="000000" w:themeColor="text1"/>
          <w:vertAlign w:val="superscript"/>
        </w:rPr>
        <w:tab/>
      </w:r>
      <w:r w:rsidRPr="00280CB8">
        <w:rPr>
          <w:rFonts w:ascii="Calibri" w:hAnsi="Calibri" w:cs="Calibri"/>
          <w:color w:val="000000" w:themeColor="text1"/>
          <w:vertAlign w:val="superscript"/>
        </w:rPr>
        <w:tab/>
      </w:r>
      <w:r w:rsidRPr="00280CB8">
        <w:rPr>
          <w:rFonts w:ascii="Calibri" w:hAnsi="Calibri" w:cs="Calibri"/>
          <w:color w:val="000000" w:themeColor="text1"/>
          <w:vertAlign w:val="superscript"/>
        </w:rPr>
        <w:tab/>
      </w:r>
      <w:r w:rsidRPr="00280CB8">
        <w:rPr>
          <w:rFonts w:ascii="Calibri" w:hAnsi="Calibri" w:cs="Calibri"/>
          <w:color w:val="000000" w:themeColor="text1"/>
          <w:vertAlign w:val="superscript"/>
        </w:rPr>
        <w:tab/>
      </w:r>
      <w:r w:rsidRPr="00280CB8">
        <w:rPr>
          <w:rFonts w:ascii="Calibri" w:hAnsi="Calibri" w:cs="Calibri"/>
          <w:color w:val="000000" w:themeColor="text1"/>
          <w:vertAlign w:val="superscript"/>
        </w:rPr>
        <w:tab/>
      </w:r>
      <w:r w:rsidRPr="00280CB8">
        <w:rPr>
          <w:rFonts w:ascii="Calibri" w:hAnsi="Calibri" w:cs="Calibri"/>
          <w:color w:val="000000" w:themeColor="text1"/>
          <w:vertAlign w:val="superscript"/>
        </w:rPr>
        <w:tab/>
      </w:r>
      <w:r w:rsidRPr="00280CB8">
        <w:rPr>
          <w:rFonts w:ascii="Calibri" w:hAnsi="Calibri" w:cs="Calibri"/>
          <w:color w:val="000000" w:themeColor="text1"/>
          <w:vertAlign w:val="superscript"/>
        </w:rPr>
        <w:tab/>
        <w:t xml:space="preserve">            15</w:t>
      </w:r>
      <w:r w:rsidRPr="00280CB8">
        <w:rPr>
          <w:rFonts w:ascii="Calibri" w:hAnsi="Calibri" w:cs="Calibri"/>
          <w:color w:val="000000" w:themeColor="text1"/>
        </w:rPr>
        <w:t>Royal Victoria Infirmary, Newcastle, UK, Department of Neurology, Newcastle, UK</w:t>
      </w:r>
      <w:r w:rsidRPr="00280CB8">
        <w:rPr>
          <w:rFonts w:ascii="Calibri" w:hAnsi="Calibri" w:cs="Calibri"/>
          <w:color w:val="000000" w:themeColor="text1"/>
          <w:vertAlign w:val="superscript"/>
        </w:rPr>
        <w:t xml:space="preserve">            16</w:t>
      </w:r>
      <w:r w:rsidRPr="00280CB8">
        <w:rPr>
          <w:rFonts w:ascii="Calibri" w:hAnsi="Calibri" w:cs="Calibri"/>
          <w:color w:val="000000" w:themeColor="text1"/>
        </w:rPr>
        <w:t>The Walton Centre NHS Foundation Trust, Liverpool, UK</w:t>
      </w:r>
      <w:r w:rsidRPr="00280CB8">
        <w:rPr>
          <w:rFonts w:ascii="Calibri" w:hAnsi="Calibri" w:cs="Calibri"/>
          <w:color w:val="000000" w:themeColor="text1"/>
        </w:rPr>
        <w:tab/>
      </w:r>
      <w:r w:rsidRPr="00280CB8">
        <w:rPr>
          <w:rFonts w:ascii="Calibri" w:hAnsi="Calibri" w:cs="Calibri"/>
          <w:color w:val="000000" w:themeColor="text1"/>
        </w:rPr>
        <w:tab/>
      </w:r>
      <w:r w:rsidRPr="00280CB8">
        <w:rPr>
          <w:rFonts w:ascii="Calibri" w:hAnsi="Calibri" w:cs="Calibri"/>
          <w:color w:val="000000" w:themeColor="text1"/>
        </w:rPr>
        <w:tab/>
        <w:t xml:space="preserve">         </w:t>
      </w:r>
      <w:r w:rsidRPr="00280CB8">
        <w:rPr>
          <w:rFonts w:ascii="Calibri" w:hAnsi="Calibri" w:cs="Calibri"/>
          <w:color w:val="000000" w:themeColor="text1"/>
          <w:vertAlign w:val="superscript"/>
        </w:rPr>
        <w:t>17</w:t>
      </w:r>
      <w:r w:rsidRPr="00280CB8">
        <w:rPr>
          <w:rFonts w:ascii="Calibri" w:hAnsi="Calibri" w:cs="Calibri"/>
          <w:color w:val="000000"/>
        </w:rPr>
        <w:t>Alder Hey Children’s NHS Foundation Trust, Liverpool, UK</w:t>
      </w:r>
      <w:r w:rsidRPr="00280CB8">
        <w:rPr>
          <w:rFonts w:ascii="Calibri" w:hAnsi="Calibri" w:cs="Calibri"/>
          <w:color w:val="000000"/>
        </w:rPr>
        <w:tab/>
      </w:r>
      <w:r w:rsidRPr="00280CB8">
        <w:rPr>
          <w:rFonts w:ascii="Calibri" w:hAnsi="Calibri" w:cs="Calibri"/>
          <w:color w:val="000000"/>
        </w:rPr>
        <w:tab/>
      </w:r>
      <w:r w:rsidRPr="00280CB8">
        <w:rPr>
          <w:rFonts w:ascii="Calibri" w:hAnsi="Calibri" w:cs="Calibri"/>
          <w:color w:val="000000"/>
        </w:rPr>
        <w:tab/>
      </w:r>
    </w:p>
    <w:p w14:paraId="52F5A611" w14:textId="2A53A6CF" w:rsidR="00EA2729" w:rsidRPr="00280CB8" w:rsidRDefault="00EA2729" w:rsidP="00881173">
      <w:pPr>
        <w:spacing w:line="360" w:lineRule="auto"/>
        <w:rPr>
          <w:rFonts w:ascii="Calibri" w:hAnsi="Calibri" w:cs="Calibri"/>
        </w:rPr>
      </w:pPr>
      <w:r w:rsidRPr="00280CB8">
        <w:rPr>
          <w:rFonts w:ascii="Calibri" w:hAnsi="Calibri" w:cs="Calibri"/>
        </w:rPr>
        <w:t xml:space="preserve">Abstract </w:t>
      </w:r>
    </w:p>
    <w:p w14:paraId="34F0CC4B" w14:textId="77777777" w:rsidR="00EA2729" w:rsidRPr="00280CB8" w:rsidRDefault="00EA2729" w:rsidP="00881173">
      <w:pPr>
        <w:spacing w:line="360" w:lineRule="auto"/>
        <w:rPr>
          <w:rFonts w:ascii="Calibri" w:hAnsi="Calibri" w:cs="Calibri"/>
          <w:u w:val="single"/>
        </w:rPr>
      </w:pPr>
      <w:r w:rsidRPr="00280CB8">
        <w:rPr>
          <w:rFonts w:ascii="Calibri" w:hAnsi="Calibri" w:cs="Calibri"/>
          <w:u w:val="single"/>
        </w:rPr>
        <w:t>Background</w:t>
      </w:r>
    </w:p>
    <w:p w14:paraId="17F17148" w14:textId="77777777" w:rsidR="00462514" w:rsidRDefault="00EA2729" w:rsidP="00462514">
      <w:pPr>
        <w:spacing w:line="360" w:lineRule="auto"/>
        <w:rPr>
          <w:rFonts w:ascii="Calibri" w:hAnsi="Calibri" w:cs="Calibri"/>
        </w:rPr>
      </w:pPr>
      <w:r w:rsidRPr="00280CB8">
        <w:rPr>
          <w:rFonts w:ascii="Calibri" w:hAnsi="Calibri" w:cs="Calibri"/>
        </w:rPr>
        <w:t>The spectrum of neurological and psychiatric complications associated with COVID-19 is poorly understood in children.</w:t>
      </w:r>
      <w:r w:rsidR="00462514">
        <w:rPr>
          <w:rFonts w:ascii="Calibri" w:hAnsi="Calibri" w:cs="Calibri"/>
        </w:rPr>
        <w:t xml:space="preserve"> </w:t>
      </w:r>
      <w:r w:rsidR="00462514">
        <w:rPr>
          <w:rFonts w:ascii="Calibri" w:hAnsi="Calibri" w:cs="Calibri"/>
          <w:color w:val="000000"/>
        </w:rPr>
        <w:t>We aimed to describe the size and spectrum of these complications in UK hospitalised children.</w:t>
      </w:r>
    </w:p>
    <w:p w14:paraId="14DA253A" w14:textId="24939C04" w:rsidR="00EA2729" w:rsidRPr="00280CB8" w:rsidRDefault="00EA2729" w:rsidP="00881173">
      <w:pPr>
        <w:spacing w:line="360" w:lineRule="auto"/>
        <w:rPr>
          <w:rFonts w:ascii="Calibri" w:hAnsi="Calibri" w:cs="Calibri"/>
        </w:rPr>
      </w:pPr>
    </w:p>
    <w:p w14:paraId="0FD2DC98" w14:textId="77777777" w:rsidR="00EA2729" w:rsidRPr="00280CB8" w:rsidRDefault="00EA2729" w:rsidP="00881173">
      <w:pPr>
        <w:spacing w:line="360" w:lineRule="auto"/>
        <w:rPr>
          <w:rFonts w:ascii="Calibri" w:hAnsi="Calibri" w:cs="Calibri"/>
        </w:rPr>
      </w:pPr>
      <w:r w:rsidRPr="00280CB8">
        <w:rPr>
          <w:rFonts w:ascii="Calibri" w:hAnsi="Calibri" w:cs="Calibri"/>
        </w:rPr>
        <w:t xml:space="preserve"> </w:t>
      </w:r>
    </w:p>
    <w:p w14:paraId="27656160" w14:textId="77777777" w:rsidR="00EA2729" w:rsidRPr="00280CB8" w:rsidRDefault="00EA2729" w:rsidP="00881173">
      <w:pPr>
        <w:spacing w:line="360" w:lineRule="auto"/>
        <w:rPr>
          <w:rFonts w:ascii="Calibri" w:hAnsi="Calibri" w:cs="Calibri"/>
          <w:u w:val="single"/>
        </w:rPr>
      </w:pPr>
      <w:r w:rsidRPr="00280CB8">
        <w:rPr>
          <w:rFonts w:ascii="Calibri" w:hAnsi="Calibri" w:cs="Calibri"/>
          <w:u w:val="single"/>
        </w:rPr>
        <w:t>Methods</w:t>
      </w:r>
    </w:p>
    <w:p w14:paraId="77557584" w14:textId="6D91318D" w:rsidR="00EA2729" w:rsidRPr="00280CB8" w:rsidRDefault="00EA2729" w:rsidP="00881173">
      <w:pPr>
        <w:spacing w:line="360" w:lineRule="auto"/>
        <w:rPr>
          <w:rFonts w:ascii="Calibri" w:hAnsi="Calibri" w:cs="Calibri"/>
        </w:rPr>
      </w:pPr>
      <w:r w:rsidRPr="00280CB8">
        <w:rPr>
          <w:rFonts w:ascii="Calibri" w:hAnsi="Calibri" w:cs="Calibri"/>
        </w:rPr>
        <w:t xml:space="preserve">For ten months from April 2020, children and adolescents (&lt;18 years) with neurological or psychiatric disorders were included if paediatric neurologists considered SARS-CoV-2 infection to be relevant to the presentation. Cases were classified as having either a primary </w:t>
      </w:r>
      <w:r w:rsidR="00B10A6B">
        <w:rPr>
          <w:rFonts w:ascii="Calibri" w:hAnsi="Calibri" w:cs="Calibri"/>
          <w:color w:val="000000"/>
        </w:rPr>
        <w:t xml:space="preserve">neurological disorder associated with </w:t>
      </w:r>
      <w:r w:rsidRPr="00280CB8">
        <w:rPr>
          <w:rFonts w:ascii="Calibri" w:hAnsi="Calibri" w:cs="Calibri"/>
        </w:rPr>
        <w:t>COVID-19</w:t>
      </w:r>
      <w:r w:rsidR="00EC562E">
        <w:rPr>
          <w:rFonts w:ascii="Calibri" w:hAnsi="Calibri" w:cs="Calibri"/>
        </w:rPr>
        <w:t xml:space="preserve"> (COVID</w:t>
      </w:r>
      <w:r w:rsidR="00825001">
        <w:rPr>
          <w:rFonts w:ascii="Calibri" w:hAnsi="Calibri" w:cs="Calibri"/>
        </w:rPr>
        <w:t>-19</w:t>
      </w:r>
      <w:r w:rsidR="00EC562E">
        <w:rPr>
          <w:rFonts w:ascii="Calibri" w:hAnsi="Calibri" w:cs="Calibri"/>
        </w:rPr>
        <w:t xml:space="preserve"> neurology group)</w:t>
      </w:r>
      <w:r w:rsidRPr="00280CB8">
        <w:rPr>
          <w:rFonts w:ascii="Calibri" w:hAnsi="Calibri" w:cs="Calibri"/>
        </w:rPr>
        <w:t xml:space="preserve"> or Paediatric Inflammatory Multisystem Syndrome Temporally associated with SARS-CoV-2 (PIMS-TS)</w:t>
      </w:r>
      <w:r w:rsidR="00B10A6B">
        <w:rPr>
          <w:rFonts w:ascii="Calibri" w:hAnsi="Calibri" w:cs="Calibri"/>
        </w:rPr>
        <w:t xml:space="preserve"> </w:t>
      </w:r>
      <w:r w:rsidR="00B10A6B">
        <w:rPr>
          <w:rFonts w:ascii="Calibri" w:hAnsi="Calibri" w:cs="Calibri"/>
          <w:color w:val="000000"/>
        </w:rPr>
        <w:t>with neurological features</w:t>
      </w:r>
      <w:r w:rsidR="00EF60DC">
        <w:rPr>
          <w:rFonts w:ascii="Calibri" w:hAnsi="Calibri" w:cs="Calibri"/>
          <w:color w:val="000000"/>
        </w:rPr>
        <w:t xml:space="preserve"> (PIMS-TS neurology group)</w:t>
      </w:r>
      <w:r w:rsidRPr="00280CB8">
        <w:rPr>
          <w:rFonts w:ascii="Calibri" w:hAnsi="Calibri" w:cs="Calibri"/>
        </w:rPr>
        <w:t>. The denominator of all hospitalised children with COVID-19 was collated from National Health Service England data.</w:t>
      </w:r>
    </w:p>
    <w:p w14:paraId="248A3A66" w14:textId="77777777" w:rsidR="00EA2729" w:rsidRPr="00280CB8" w:rsidRDefault="00EA2729" w:rsidP="00881173">
      <w:pPr>
        <w:spacing w:line="360" w:lineRule="auto"/>
        <w:rPr>
          <w:rFonts w:ascii="Calibri" w:hAnsi="Calibri" w:cs="Calibri"/>
        </w:rPr>
      </w:pPr>
      <w:r w:rsidRPr="00280CB8">
        <w:rPr>
          <w:rFonts w:ascii="Calibri" w:hAnsi="Calibri" w:cs="Calibri"/>
        </w:rPr>
        <w:t xml:space="preserve"> </w:t>
      </w:r>
    </w:p>
    <w:p w14:paraId="65EF0ED4" w14:textId="77777777" w:rsidR="00EA2729" w:rsidRPr="00280CB8" w:rsidRDefault="00EA2729" w:rsidP="00881173">
      <w:pPr>
        <w:spacing w:line="360" w:lineRule="auto"/>
        <w:rPr>
          <w:rFonts w:ascii="Calibri" w:hAnsi="Calibri" w:cs="Calibri"/>
          <w:u w:val="single"/>
        </w:rPr>
      </w:pPr>
      <w:r w:rsidRPr="00280CB8">
        <w:rPr>
          <w:rFonts w:ascii="Calibri" w:hAnsi="Calibri" w:cs="Calibri"/>
          <w:u w:val="single"/>
        </w:rPr>
        <w:t xml:space="preserve">Findings                                                                                                                                              </w:t>
      </w:r>
    </w:p>
    <w:p w14:paraId="1F18C890" w14:textId="70BB6912" w:rsidR="00EA2729" w:rsidRPr="00280CB8" w:rsidRDefault="00EA2729" w:rsidP="00881173">
      <w:pPr>
        <w:spacing w:line="360" w:lineRule="auto"/>
        <w:rPr>
          <w:rFonts w:ascii="Calibri" w:hAnsi="Calibri" w:cs="Calibri"/>
        </w:rPr>
      </w:pPr>
      <w:r w:rsidRPr="00280CB8">
        <w:rPr>
          <w:rFonts w:ascii="Calibri" w:hAnsi="Calibri" w:cs="Calibri"/>
        </w:rPr>
        <w:t xml:space="preserve">Fifty-two cases were identified, among 1334 children hospitalised with COVID-19 giving an estimated </w:t>
      </w:r>
      <w:r w:rsidR="004340C3">
        <w:rPr>
          <w:rFonts w:ascii="Calibri" w:hAnsi="Calibri" w:cs="Calibri"/>
        </w:rPr>
        <w:t>prevalence</w:t>
      </w:r>
      <w:r w:rsidRPr="00280CB8">
        <w:rPr>
          <w:rFonts w:ascii="Calibri" w:hAnsi="Calibri" w:cs="Calibri"/>
        </w:rPr>
        <w:t xml:space="preserve"> of 3.8 per 100 children. Twenty-seven (52%) </w:t>
      </w:r>
      <w:r w:rsidR="00B10A6B">
        <w:rPr>
          <w:rFonts w:ascii="Calibri" w:hAnsi="Calibri" w:cs="Calibri"/>
        </w:rPr>
        <w:t xml:space="preserve">were classified with a </w:t>
      </w:r>
      <w:r w:rsidRPr="00280CB8">
        <w:rPr>
          <w:rFonts w:ascii="Calibri" w:hAnsi="Calibri" w:cs="Calibri"/>
        </w:rPr>
        <w:t xml:space="preserve">primary neurological or psychiatric disorder, 25 (48%) had features associated with PIMS-TS. The median (range) age was 9 (1-17) years. Thirty-six (69%) were from Black or Asian backgrounds. In the </w:t>
      </w:r>
      <w:r w:rsidR="00EC562E">
        <w:rPr>
          <w:rFonts w:ascii="Calibri" w:hAnsi="Calibri" w:cs="Calibri"/>
        </w:rPr>
        <w:t>COVID</w:t>
      </w:r>
      <w:r w:rsidR="00825001">
        <w:rPr>
          <w:rFonts w:ascii="Calibri" w:hAnsi="Calibri" w:cs="Calibri"/>
        </w:rPr>
        <w:t>-19</w:t>
      </w:r>
      <w:r w:rsidR="00EC562E">
        <w:rPr>
          <w:rFonts w:ascii="Calibri" w:hAnsi="Calibri" w:cs="Calibri"/>
        </w:rPr>
        <w:t xml:space="preserve"> neurology</w:t>
      </w:r>
      <w:r w:rsidR="00B10A6B">
        <w:rPr>
          <w:rFonts w:ascii="Calibri" w:hAnsi="Calibri" w:cs="Calibri"/>
        </w:rPr>
        <w:t xml:space="preserve"> </w:t>
      </w:r>
      <w:r w:rsidRPr="00280CB8">
        <w:rPr>
          <w:rFonts w:ascii="Calibri" w:hAnsi="Calibri" w:cs="Calibri"/>
        </w:rPr>
        <w:t xml:space="preserve">group, diagnoses included seven with status epilepticus, five encephalitis, five Guillain-Barré syndrome, three acute demyelinating syndromes, two chorea, two psychosis, two encephalopathy, one transient ischaemic attack. The PIMS-TS neurology group more often had multiple features, which included encephalopathy (22, 88%), peripheral nervous system involvement (10, 40%), behavioural change (9, 36%), hallucinations (6, 24%). A recognised neuro-immune disorder was more </w:t>
      </w:r>
      <w:r w:rsidRPr="00280CB8">
        <w:rPr>
          <w:rFonts w:ascii="Calibri" w:hAnsi="Calibri" w:cs="Calibri"/>
        </w:rPr>
        <w:lastRenderedPageBreak/>
        <w:t xml:space="preserve">common in the </w:t>
      </w:r>
      <w:r w:rsidR="00EC562E">
        <w:rPr>
          <w:rFonts w:ascii="Calibri" w:hAnsi="Calibri" w:cs="Calibri"/>
        </w:rPr>
        <w:t>COVID</w:t>
      </w:r>
      <w:r w:rsidR="00825001">
        <w:rPr>
          <w:rFonts w:ascii="Calibri" w:hAnsi="Calibri" w:cs="Calibri"/>
        </w:rPr>
        <w:t>-19</w:t>
      </w:r>
      <w:r w:rsidR="00EC562E" w:rsidRPr="00280CB8">
        <w:rPr>
          <w:rFonts w:ascii="Calibri" w:hAnsi="Calibri" w:cs="Calibri"/>
        </w:rPr>
        <w:t xml:space="preserve"> </w:t>
      </w:r>
      <w:r w:rsidRPr="00280CB8">
        <w:rPr>
          <w:rFonts w:ascii="Calibri" w:hAnsi="Calibri" w:cs="Calibri"/>
        </w:rPr>
        <w:t xml:space="preserve">neurology than the PIMS-TS neurology group (13/27 [48%] vs 1/25 [0.04%], p=0.0003). More patients in the PIMS-TS neurology group were admitted to intensive care (20/25 [80%] vs 6/27 [22%], p=0.0001) and received immunomodulatory treatment (22/25 [88%] vs 12/27 [44%]), p=0.045). Seventeen (33%) were discharged with disability; one PIMS-TS child with stroke died. </w:t>
      </w:r>
    </w:p>
    <w:p w14:paraId="14D30538" w14:textId="77777777" w:rsidR="00EA2729" w:rsidRPr="00280CB8" w:rsidRDefault="00EA2729" w:rsidP="00881173">
      <w:pPr>
        <w:spacing w:line="360" w:lineRule="auto"/>
        <w:rPr>
          <w:rFonts w:ascii="Calibri" w:hAnsi="Calibri" w:cs="Calibri"/>
        </w:rPr>
      </w:pPr>
      <w:r w:rsidRPr="00280CB8">
        <w:rPr>
          <w:rFonts w:ascii="Calibri" w:hAnsi="Calibri" w:cs="Calibri"/>
        </w:rPr>
        <w:t xml:space="preserve"> </w:t>
      </w:r>
    </w:p>
    <w:p w14:paraId="7E7C0510" w14:textId="77777777" w:rsidR="00EA2729" w:rsidRPr="00280CB8" w:rsidRDefault="00EA2729" w:rsidP="00881173">
      <w:pPr>
        <w:spacing w:line="360" w:lineRule="auto"/>
        <w:rPr>
          <w:rFonts w:ascii="Calibri" w:hAnsi="Calibri" w:cs="Calibri"/>
          <w:u w:val="single"/>
        </w:rPr>
      </w:pPr>
      <w:r w:rsidRPr="00280CB8">
        <w:rPr>
          <w:rFonts w:ascii="Calibri" w:hAnsi="Calibri" w:cs="Calibri"/>
          <w:u w:val="single"/>
        </w:rPr>
        <w:t xml:space="preserve">Interpretation                                                                                                                         </w:t>
      </w:r>
    </w:p>
    <w:p w14:paraId="76DB4134" w14:textId="77777777" w:rsidR="00EA2729" w:rsidRPr="00280CB8" w:rsidRDefault="00EA2729" w:rsidP="00881173">
      <w:pPr>
        <w:spacing w:line="360" w:lineRule="auto"/>
        <w:rPr>
          <w:rFonts w:ascii="Calibri" w:hAnsi="Calibri" w:cs="Calibri"/>
        </w:rPr>
      </w:pPr>
      <w:r w:rsidRPr="00280CB8">
        <w:rPr>
          <w:rFonts w:ascii="Calibri" w:hAnsi="Calibri" w:cs="Calibri"/>
        </w:rPr>
        <w:t>This first nation-wide study of the neurological and psychiatric manifestations of COVID-19 in children identified key differences between those with a primary disorder versus those with PIMS-TS. More PIMS-TS children needed intensive care, but outcomes were similar overall. Further studies must investigate underlying mechanisms and longer-term outcomes.</w:t>
      </w:r>
    </w:p>
    <w:p w14:paraId="5461549C" w14:textId="77777777" w:rsidR="00EA2729" w:rsidRPr="00280CB8" w:rsidRDefault="00EA2729" w:rsidP="00881173">
      <w:pPr>
        <w:spacing w:line="360" w:lineRule="auto"/>
        <w:rPr>
          <w:rFonts w:ascii="Calibri" w:hAnsi="Calibri" w:cs="Calibri"/>
        </w:rPr>
      </w:pPr>
    </w:p>
    <w:p w14:paraId="562C32D4" w14:textId="60BAD365" w:rsidR="00394972" w:rsidRPr="00582692" w:rsidRDefault="00394972" w:rsidP="00394972">
      <w:pPr>
        <w:spacing w:line="360" w:lineRule="auto"/>
        <w:rPr>
          <w:rFonts w:ascii="Calibri" w:eastAsia="Arial" w:hAnsi="Calibri" w:cs="Calibri"/>
        </w:rPr>
      </w:pPr>
      <w:r w:rsidRPr="00582692">
        <w:rPr>
          <w:rFonts w:ascii="Calibri" w:eastAsia="Arial" w:hAnsi="Calibri" w:cs="Calibri"/>
        </w:rPr>
        <w:t>Word count: 3</w:t>
      </w:r>
      <w:r w:rsidR="00EF60DC">
        <w:rPr>
          <w:rFonts w:ascii="Calibri" w:eastAsia="Arial" w:hAnsi="Calibri" w:cs="Calibri"/>
        </w:rPr>
        <w:t>26</w:t>
      </w:r>
    </w:p>
    <w:p w14:paraId="34F7D417" w14:textId="77777777" w:rsidR="00EA2729" w:rsidRPr="00280CB8" w:rsidRDefault="00EA2729" w:rsidP="00881173">
      <w:pPr>
        <w:spacing w:line="360" w:lineRule="auto"/>
        <w:rPr>
          <w:rFonts w:ascii="Calibri" w:hAnsi="Calibri" w:cs="Calibri"/>
        </w:rPr>
      </w:pPr>
    </w:p>
    <w:p w14:paraId="22905405" w14:textId="77777777" w:rsidR="00EA2729" w:rsidRPr="00280CB8" w:rsidRDefault="00EA2729" w:rsidP="00881173">
      <w:pPr>
        <w:spacing w:line="360" w:lineRule="auto"/>
        <w:rPr>
          <w:rFonts w:ascii="Calibri" w:hAnsi="Calibri" w:cs="Calibri"/>
        </w:rPr>
      </w:pPr>
    </w:p>
    <w:p w14:paraId="15F3F93E" w14:textId="77777777" w:rsidR="00EA2729" w:rsidRPr="00280CB8" w:rsidRDefault="00EA2729" w:rsidP="00881173">
      <w:pPr>
        <w:spacing w:line="360" w:lineRule="auto"/>
        <w:rPr>
          <w:rFonts w:ascii="Calibri" w:hAnsi="Calibri" w:cs="Calibri"/>
        </w:rPr>
      </w:pPr>
    </w:p>
    <w:p w14:paraId="4BAD868E" w14:textId="77777777" w:rsidR="00EA2729" w:rsidRPr="00280CB8" w:rsidRDefault="00EA2729" w:rsidP="00881173">
      <w:pPr>
        <w:spacing w:line="360" w:lineRule="auto"/>
        <w:rPr>
          <w:rFonts w:ascii="Calibri" w:hAnsi="Calibri" w:cs="Calibri"/>
        </w:rPr>
      </w:pPr>
    </w:p>
    <w:p w14:paraId="5B0FD6EB" w14:textId="77777777" w:rsidR="00EA2729" w:rsidRPr="00280CB8" w:rsidRDefault="00EA2729" w:rsidP="00881173">
      <w:pPr>
        <w:spacing w:line="360" w:lineRule="auto"/>
        <w:rPr>
          <w:rFonts w:ascii="Calibri" w:hAnsi="Calibri" w:cs="Calibri"/>
        </w:rPr>
      </w:pPr>
    </w:p>
    <w:p w14:paraId="09B4CD57" w14:textId="77777777" w:rsidR="00EA2729" w:rsidRPr="00280CB8" w:rsidRDefault="00EA2729" w:rsidP="00881173">
      <w:pPr>
        <w:spacing w:line="360" w:lineRule="auto"/>
        <w:rPr>
          <w:rFonts w:ascii="Calibri" w:hAnsi="Calibri" w:cs="Calibri"/>
        </w:rPr>
      </w:pPr>
    </w:p>
    <w:p w14:paraId="78363F85" w14:textId="77777777" w:rsidR="00EA2729" w:rsidRPr="00280CB8" w:rsidRDefault="00EA2729" w:rsidP="00881173">
      <w:pPr>
        <w:spacing w:line="360" w:lineRule="auto"/>
        <w:rPr>
          <w:rFonts w:ascii="Calibri" w:hAnsi="Calibri" w:cs="Calibri"/>
        </w:rPr>
      </w:pPr>
    </w:p>
    <w:p w14:paraId="542FC501" w14:textId="77777777" w:rsidR="00EA2729" w:rsidRPr="00280CB8" w:rsidRDefault="00EA2729" w:rsidP="00881173">
      <w:pPr>
        <w:spacing w:line="360" w:lineRule="auto"/>
        <w:rPr>
          <w:rFonts w:ascii="Calibri" w:hAnsi="Calibri" w:cs="Calibri"/>
        </w:rPr>
      </w:pPr>
    </w:p>
    <w:p w14:paraId="47A5A296" w14:textId="77777777" w:rsidR="00EA2729" w:rsidRPr="00280CB8" w:rsidRDefault="00EA2729" w:rsidP="00881173">
      <w:pPr>
        <w:spacing w:line="360" w:lineRule="auto"/>
        <w:rPr>
          <w:rFonts w:ascii="Calibri" w:hAnsi="Calibri" w:cs="Calibri"/>
        </w:rPr>
      </w:pPr>
    </w:p>
    <w:p w14:paraId="385B2B8F" w14:textId="77777777" w:rsidR="00EA2729" w:rsidRPr="00280CB8" w:rsidRDefault="00EA2729" w:rsidP="00881173">
      <w:pPr>
        <w:spacing w:line="360" w:lineRule="auto"/>
        <w:rPr>
          <w:rFonts w:ascii="Calibri" w:hAnsi="Calibri" w:cs="Calibri"/>
        </w:rPr>
      </w:pPr>
    </w:p>
    <w:p w14:paraId="1CA2E957" w14:textId="77777777" w:rsidR="00EA2729" w:rsidRPr="00280CB8" w:rsidRDefault="00EA2729" w:rsidP="00881173">
      <w:pPr>
        <w:spacing w:line="360" w:lineRule="auto"/>
        <w:rPr>
          <w:rFonts w:ascii="Calibri" w:hAnsi="Calibri" w:cs="Calibri"/>
        </w:rPr>
      </w:pPr>
    </w:p>
    <w:p w14:paraId="30DE60A9" w14:textId="77777777" w:rsidR="00EA2729" w:rsidRPr="00280CB8" w:rsidRDefault="00EA2729" w:rsidP="00881173">
      <w:pPr>
        <w:spacing w:line="360" w:lineRule="auto"/>
        <w:rPr>
          <w:rFonts w:ascii="Calibri" w:hAnsi="Calibri" w:cs="Calibri"/>
        </w:rPr>
      </w:pPr>
    </w:p>
    <w:p w14:paraId="5E2EF3C2" w14:textId="77777777" w:rsidR="00EA2729" w:rsidRPr="00280CB8" w:rsidRDefault="00EA2729" w:rsidP="00881173">
      <w:pPr>
        <w:spacing w:line="360" w:lineRule="auto"/>
        <w:rPr>
          <w:rFonts w:ascii="Calibri" w:hAnsi="Calibri" w:cs="Calibri"/>
        </w:rPr>
      </w:pPr>
    </w:p>
    <w:p w14:paraId="4A4A3470" w14:textId="77777777" w:rsidR="00EA2729" w:rsidRPr="00280CB8" w:rsidRDefault="00EA2729" w:rsidP="00881173">
      <w:pPr>
        <w:spacing w:line="360" w:lineRule="auto"/>
        <w:rPr>
          <w:rFonts w:ascii="Calibri" w:hAnsi="Calibri" w:cs="Calibri"/>
        </w:rPr>
      </w:pPr>
    </w:p>
    <w:p w14:paraId="1BCA9A29" w14:textId="77777777" w:rsidR="00EA2729" w:rsidRPr="00280CB8" w:rsidRDefault="00EA2729" w:rsidP="00881173">
      <w:pPr>
        <w:spacing w:line="360" w:lineRule="auto"/>
        <w:rPr>
          <w:rFonts w:ascii="Calibri" w:hAnsi="Calibri" w:cs="Calibri"/>
        </w:rPr>
      </w:pPr>
    </w:p>
    <w:p w14:paraId="4688D8D5" w14:textId="77777777" w:rsidR="00EA2729" w:rsidRPr="00280CB8" w:rsidRDefault="00EA2729" w:rsidP="00881173">
      <w:pPr>
        <w:spacing w:line="360" w:lineRule="auto"/>
        <w:rPr>
          <w:rFonts w:ascii="Calibri" w:hAnsi="Calibri" w:cs="Calibri"/>
        </w:rPr>
      </w:pPr>
    </w:p>
    <w:p w14:paraId="0AF3373A" w14:textId="77777777" w:rsidR="00EA2729" w:rsidRPr="00280CB8" w:rsidRDefault="00EA2729" w:rsidP="00881173">
      <w:pPr>
        <w:spacing w:line="360" w:lineRule="auto"/>
        <w:rPr>
          <w:rFonts w:ascii="Calibri" w:hAnsi="Calibri" w:cs="Calibri"/>
        </w:rPr>
      </w:pPr>
    </w:p>
    <w:p w14:paraId="2F9A695D" w14:textId="77777777" w:rsidR="00EA2729" w:rsidRPr="00280CB8" w:rsidRDefault="00EA2729" w:rsidP="00881173">
      <w:pPr>
        <w:spacing w:line="360" w:lineRule="auto"/>
        <w:rPr>
          <w:rFonts w:ascii="Calibri" w:hAnsi="Calibri" w:cs="Calibri"/>
        </w:rPr>
      </w:pPr>
    </w:p>
    <w:p w14:paraId="51C8DE97" w14:textId="77777777" w:rsidR="00EA2729" w:rsidRPr="00280CB8" w:rsidRDefault="00EA2729" w:rsidP="00881173">
      <w:pPr>
        <w:spacing w:line="360" w:lineRule="auto"/>
        <w:rPr>
          <w:rFonts w:ascii="Calibri" w:hAnsi="Calibri" w:cs="Calibri"/>
        </w:rPr>
      </w:pPr>
    </w:p>
    <w:p w14:paraId="230AA4FA" w14:textId="48B44D06" w:rsidR="00EA2729" w:rsidRPr="00280CB8" w:rsidRDefault="00EA2729" w:rsidP="00881173">
      <w:pPr>
        <w:spacing w:line="360" w:lineRule="auto"/>
        <w:rPr>
          <w:rFonts w:ascii="Calibri" w:hAnsi="Calibri" w:cs="Calibri"/>
          <w:b/>
          <w:bCs/>
        </w:rPr>
      </w:pPr>
      <w:r w:rsidRPr="00280CB8">
        <w:rPr>
          <w:rFonts w:ascii="Calibri" w:hAnsi="Calibri" w:cs="Calibri"/>
          <w:b/>
          <w:bCs/>
        </w:rPr>
        <w:t xml:space="preserve">Introduction </w:t>
      </w:r>
    </w:p>
    <w:p w14:paraId="6A67C569" w14:textId="47889402" w:rsidR="00EA2729" w:rsidRPr="00280CB8" w:rsidRDefault="00EA2729" w:rsidP="00881173">
      <w:pPr>
        <w:spacing w:line="360" w:lineRule="auto"/>
        <w:rPr>
          <w:rFonts w:ascii="Calibri" w:hAnsi="Calibri" w:cs="Calibri"/>
        </w:rPr>
      </w:pPr>
      <w:r w:rsidRPr="00280CB8">
        <w:rPr>
          <w:rFonts w:ascii="Calibri" w:hAnsi="Calibri" w:cs="Calibri"/>
        </w:rPr>
        <w:t xml:space="preserve">Neurological and psychiatric complications of infection with the novel severe acute respiratory syndrome coronavirus 2 (SARS-CoV-2) have been recognised as part of coronavirus disease 2019 (COVID-19) in adults (1-5). In children and adolescents, single case series have identified neurological complications associated with Paediatric Inflammatory Multisystem Syndrome Temporally associated with SARS-CoV-2 (PIMS-TS), a rare, newly described severe secondary inflammatory syndrome which occurs weeks after SARS-CoV-2 infection (6-8). Nine children with neurological complications of PIMS-TS, have been described from a single UK centre (8). To date, one international series has described the neuroimaging findings in 38 children (9) and a cohort of 1695 hospitalised children and young people (up to 21 years of age) has described transient neurological involvement in 365 and life threatening neurological conditions in 43 cases (10).  However, the </w:t>
      </w:r>
      <w:r w:rsidR="004340C3">
        <w:rPr>
          <w:rFonts w:ascii="Calibri" w:hAnsi="Calibri" w:cs="Calibri"/>
        </w:rPr>
        <w:t>prevalence</w:t>
      </w:r>
      <w:r w:rsidRPr="00280CB8">
        <w:rPr>
          <w:rFonts w:ascii="Calibri" w:hAnsi="Calibri" w:cs="Calibri"/>
        </w:rPr>
        <w:t xml:space="preserve"> of these complications is not known. We therefore undertook the first nation-wide prospective cohort study in the UK to calculate the size and spectrum of neurological and psychiatric manifestations of COVID-19 in hospitalised children and adolescents. </w:t>
      </w:r>
    </w:p>
    <w:p w14:paraId="01C90F39" w14:textId="77777777" w:rsidR="00881173" w:rsidRPr="00280CB8" w:rsidRDefault="00881173" w:rsidP="00881173">
      <w:pPr>
        <w:spacing w:line="360" w:lineRule="auto"/>
        <w:rPr>
          <w:rFonts w:ascii="Calibri" w:hAnsi="Calibri" w:cs="Calibri"/>
          <w:b/>
          <w:bCs/>
        </w:rPr>
      </w:pPr>
    </w:p>
    <w:p w14:paraId="5B9C5E28" w14:textId="1010312A" w:rsidR="00EA2729" w:rsidRPr="00280CB8" w:rsidRDefault="00EA2729" w:rsidP="00881173">
      <w:pPr>
        <w:spacing w:line="360" w:lineRule="auto"/>
        <w:rPr>
          <w:rFonts w:ascii="Calibri" w:hAnsi="Calibri" w:cs="Calibri"/>
          <w:b/>
          <w:bCs/>
        </w:rPr>
      </w:pPr>
      <w:r w:rsidRPr="00280CB8">
        <w:rPr>
          <w:rFonts w:ascii="Calibri" w:hAnsi="Calibri" w:cs="Calibri"/>
          <w:b/>
          <w:bCs/>
        </w:rPr>
        <w:t>Methods</w:t>
      </w:r>
    </w:p>
    <w:p w14:paraId="18D5165A" w14:textId="5698C577" w:rsidR="00EA2729" w:rsidRPr="00280CB8" w:rsidRDefault="00EA2729" w:rsidP="00881173">
      <w:pPr>
        <w:spacing w:line="360" w:lineRule="auto"/>
        <w:rPr>
          <w:rFonts w:ascii="Calibri" w:hAnsi="Calibri" w:cs="Calibri"/>
          <w:b/>
          <w:bCs/>
        </w:rPr>
      </w:pPr>
      <w:r w:rsidRPr="00280CB8">
        <w:rPr>
          <w:rFonts w:ascii="Calibri" w:hAnsi="Calibri" w:cs="Calibri"/>
          <w:b/>
          <w:bCs/>
        </w:rPr>
        <w:t>Study design</w:t>
      </w:r>
      <w:r w:rsidR="00B0518D">
        <w:rPr>
          <w:rFonts w:ascii="Calibri" w:hAnsi="Calibri" w:cs="Calibri"/>
          <w:b/>
          <w:bCs/>
        </w:rPr>
        <w:t xml:space="preserve"> and participants</w:t>
      </w:r>
    </w:p>
    <w:p w14:paraId="1ED93A63" w14:textId="17B9E4DE" w:rsidR="00881173" w:rsidRDefault="00EA2729" w:rsidP="00881173">
      <w:pPr>
        <w:spacing w:line="360" w:lineRule="auto"/>
        <w:rPr>
          <w:rFonts w:ascii="Calibri" w:hAnsi="Calibri" w:cs="Calibri"/>
        </w:rPr>
      </w:pPr>
      <w:r w:rsidRPr="00280CB8">
        <w:rPr>
          <w:rFonts w:ascii="Calibri" w:hAnsi="Calibri" w:cs="Calibri"/>
        </w:rPr>
        <w:t xml:space="preserve">During the first exponential phase of the pandemic, the </w:t>
      </w:r>
      <w:r w:rsidRPr="00E84C38">
        <w:rPr>
          <w:rFonts w:ascii="Calibri" w:hAnsi="Calibri" w:cs="Calibri"/>
          <w:i/>
          <w:iCs/>
        </w:rPr>
        <w:t>Coro</w:t>
      </w:r>
      <w:r w:rsidRPr="00280CB8">
        <w:rPr>
          <w:rFonts w:ascii="Calibri" w:hAnsi="Calibri" w:cs="Calibri"/>
        </w:rPr>
        <w:t xml:space="preserve">Nerve Study Group (www.coronerve.com) was established to set up an online network of secure rapid-response notification portals via the major UK neuroscience &amp; psychiatry bodies, including the British Paediatric Neurology Association (BPNA). An estimate of the </w:t>
      </w:r>
      <w:r w:rsidR="004340C3">
        <w:rPr>
          <w:rFonts w:ascii="Calibri" w:hAnsi="Calibri" w:cs="Calibri"/>
        </w:rPr>
        <w:t>prevalence</w:t>
      </w:r>
      <w:r w:rsidRPr="00280CB8">
        <w:rPr>
          <w:rFonts w:ascii="Calibri" w:hAnsi="Calibri" w:cs="Calibri"/>
        </w:rPr>
        <w:t xml:space="preserve"> of cases in England was calculated using hospital admission data in England from the same study dates for children (11).  As admission data was only available for England, cases from Scotland, Wales and Northern Ireland were not included in the </w:t>
      </w:r>
      <w:r w:rsidR="004340C3">
        <w:rPr>
          <w:rFonts w:ascii="Calibri" w:hAnsi="Calibri" w:cs="Calibri"/>
        </w:rPr>
        <w:t>prevalence</w:t>
      </w:r>
      <w:r w:rsidRPr="00280CB8">
        <w:rPr>
          <w:rFonts w:ascii="Calibri" w:hAnsi="Calibri" w:cs="Calibri"/>
        </w:rPr>
        <w:t xml:space="preserve"> calculation. Cases were prospectively recorded using a standardised online Case Report Form (CRF) including demographics, evidence of SARS-CoV-2 infection, clinical characteristics, comorbidities, disease course, requirement for intensive care, laboratory, imaging and neurophysiology results and recovery. </w:t>
      </w:r>
      <w:r w:rsidR="00E31EEA">
        <w:rPr>
          <w:rFonts w:ascii="Calibri" w:eastAsia="Arial" w:hAnsi="Calibri" w:cs="Calibri"/>
        </w:rPr>
        <w:t>The modified Rankin scale</w:t>
      </w:r>
      <w:r w:rsidR="00E31EEA" w:rsidRPr="00CB4060">
        <w:rPr>
          <w:rFonts w:ascii="Calibri" w:eastAsia="Arial" w:hAnsi="Calibri" w:cs="Calibri"/>
        </w:rPr>
        <w:t xml:space="preserve"> (mRS) was assessed </w:t>
      </w:r>
      <w:r w:rsidR="00E31EEA">
        <w:rPr>
          <w:rFonts w:ascii="Calibri" w:eastAsia="Arial" w:hAnsi="Calibri" w:cs="Calibri"/>
        </w:rPr>
        <w:t>at</w:t>
      </w:r>
      <w:r w:rsidR="00E31EEA" w:rsidRPr="00CB4060">
        <w:rPr>
          <w:rFonts w:ascii="Calibri" w:eastAsia="Arial" w:hAnsi="Calibri" w:cs="Calibri"/>
        </w:rPr>
        <w:t xml:space="preserve"> discharge</w:t>
      </w:r>
      <w:r w:rsidR="002D79D7">
        <w:rPr>
          <w:rFonts w:ascii="Calibri" w:eastAsia="Arial" w:hAnsi="Calibri" w:cs="Calibri"/>
        </w:rPr>
        <w:t xml:space="preserve"> from hospital, or </w:t>
      </w:r>
      <w:r w:rsidR="002D79D7" w:rsidRPr="00E84C38">
        <w:rPr>
          <w:rFonts w:ascii="Calibri" w:eastAsia="Arial" w:hAnsi="Calibri" w:cs="Calibri"/>
          <w:bCs/>
        </w:rPr>
        <w:t>at the most recent clinical assessment,</w:t>
      </w:r>
      <w:r w:rsidR="00E31EEA" w:rsidRPr="00B10A6B">
        <w:rPr>
          <w:rFonts w:ascii="Calibri" w:eastAsia="Arial" w:hAnsi="Calibri" w:cs="Calibri"/>
          <w:bCs/>
        </w:rPr>
        <w:t xml:space="preserve"> by a neurologist either </w:t>
      </w:r>
      <w:r w:rsidR="00765CB7">
        <w:rPr>
          <w:rFonts w:ascii="Calibri" w:eastAsia="Arial" w:hAnsi="Calibri" w:cs="Calibri"/>
          <w:bCs/>
        </w:rPr>
        <w:t>assessing directly</w:t>
      </w:r>
      <w:r w:rsidR="00E31EEA" w:rsidRPr="00B10A6B">
        <w:rPr>
          <w:rFonts w:ascii="Calibri" w:eastAsia="Arial" w:hAnsi="Calibri" w:cs="Calibri"/>
          <w:bCs/>
        </w:rPr>
        <w:t xml:space="preserve"> or </w:t>
      </w:r>
      <w:r w:rsidR="00765CB7">
        <w:rPr>
          <w:rFonts w:ascii="Calibri" w:eastAsia="Arial" w:hAnsi="Calibri" w:cs="Calibri"/>
          <w:bCs/>
        </w:rPr>
        <w:t xml:space="preserve">by </w:t>
      </w:r>
      <w:r w:rsidR="00E31EEA" w:rsidRPr="00E84C38">
        <w:rPr>
          <w:rFonts w:ascii="Calibri" w:eastAsia="Arial" w:hAnsi="Calibri" w:cs="Calibri"/>
          <w:bCs/>
        </w:rPr>
        <w:t>using information from the case records</w:t>
      </w:r>
      <w:r w:rsidR="00FC2BD2">
        <w:rPr>
          <w:rFonts w:ascii="Calibri" w:eastAsia="Arial" w:hAnsi="Calibri" w:cs="Calibri"/>
          <w:bCs/>
        </w:rPr>
        <w:t xml:space="preserve"> </w:t>
      </w:r>
      <w:r w:rsidRPr="00280CB8">
        <w:rPr>
          <w:rFonts w:ascii="Calibri" w:hAnsi="Calibri" w:cs="Calibri"/>
        </w:rPr>
        <w:t>(12).</w:t>
      </w:r>
    </w:p>
    <w:p w14:paraId="18F16B52" w14:textId="068FE7DE" w:rsidR="00B7582D" w:rsidRDefault="00B7582D" w:rsidP="00881173">
      <w:pPr>
        <w:spacing w:line="360" w:lineRule="auto"/>
        <w:rPr>
          <w:rFonts w:ascii="Calibri" w:hAnsi="Calibri" w:cs="Calibri"/>
        </w:rPr>
      </w:pPr>
    </w:p>
    <w:p w14:paraId="52828BCE" w14:textId="77777777" w:rsidR="00B7582D" w:rsidRPr="00280CB8" w:rsidRDefault="00B7582D" w:rsidP="00B7582D">
      <w:pPr>
        <w:spacing w:line="360" w:lineRule="auto"/>
        <w:rPr>
          <w:rFonts w:ascii="Calibri" w:hAnsi="Calibri" w:cs="Calibri"/>
          <w:b/>
          <w:bCs/>
        </w:rPr>
      </w:pPr>
      <w:r w:rsidRPr="00280CB8">
        <w:rPr>
          <w:rFonts w:ascii="Calibri" w:hAnsi="Calibri" w:cs="Calibri"/>
          <w:b/>
          <w:bCs/>
        </w:rPr>
        <w:t>Ethics</w:t>
      </w:r>
    </w:p>
    <w:p w14:paraId="753A478F" w14:textId="77777777" w:rsidR="00B7582D" w:rsidRPr="00280CB8" w:rsidRDefault="00B7582D" w:rsidP="00B7582D">
      <w:pPr>
        <w:spacing w:line="360" w:lineRule="auto"/>
        <w:rPr>
          <w:rFonts w:ascii="Calibri" w:hAnsi="Calibri" w:cs="Calibri"/>
        </w:rPr>
      </w:pPr>
      <w:r w:rsidRPr="00280CB8">
        <w:rPr>
          <w:rFonts w:ascii="Calibri" w:hAnsi="Calibri" w:cs="Calibri"/>
        </w:rPr>
        <w:t>The study was approved by the University of Liverpool Institute of Infection Veterinary and Ecological Sciences Ethics Committee (UoL #7725/2020) and the University of Southampton Faculty of Medicine Ethics Committee (ERGO #56504). The electronic CRF was hosted on ALEA (</w:t>
      </w:r>
      <w:r w:rsidRPr="00280CB8">
        <w:rPr>
          <w:rFonts w:ascii="Calibri" w:hAnsi="Calibri" w:cs="Calibri"/>
          <w:u w:val="single"/>
        </w:rPr>
        <w:t>www.aleaclinical.eu</w:t>
      </w:r>
      <w:r w:rsidRPr="00280CB8">
        <w:rPr>
          <w:rFonts w:ascii="Calibri" w:hAnsi="Calibri" w:cs="Calibri"/>
        </w:rPr>
        <w:t xml:space="preserve">) and managed by the Clinical Information Research Unit. </w:t>
      </w:r>
    </w:p>
    <w:p w14:paraId="20B23187" w14:textId="77777777" w:rsidR="00B7582D" w:rsidRDefault="00B7582D" w:rsidP="00881173">
      <w:pPr>
        <w:spacing w:line="360" w:lineRule="auto"/>
        <w:ind w:right="618"/>
        <w:rPr>
          <w:rFonts w:ascii="Calibri" w:hAnsi="Calibri" w:cs="Calibri"/>
        </w:rPr>
      </w:pPr>
    </w:p>
    <w:p w14:paraId="18BBA15E" w14:textId="5C48EE82" w:rsidR="00B7582D" w:rsidRPr="00280CB8" w:rsidRDefault="00B7582D" w:rsidP="00881173">
      <w:pPr>
        <w:spacing w:line="360" w:lineRule="auto"/>
        <w:rPr>
          <w:rFonts w:ascii="Calibri" w:hAnsi="Calibri" w:cs="Calibri"/>
        </w:rPr>
      </w:pPr>
      <w:r>
        <w:rPr>
          <w:rFonts w:ascii="Calibri" w:hAnsi="Calibri" w:cs="Calibri"/>
        </w:rPr>
        <w:t>Procedures</w:t>
      </w:r>
    </w:p>
    <w:p w14:paraId="33D6D987" w14:textId="77777777" w:rsidR="00280CB8" w:rsidRDefault="00280CB8" w:rsidP="00881173">
      <w:pPr>
        <w:spacing w:line="360" w:lineRule="auto"/>
        <w:ind w:right="618"/>
        <w:rPr>
          <w:rFonts w:ascii="Calibri" w:hAnsi="Calibri" w:cs="Calibri"/>
          <w:b/>
          <w:bCs/>
        </w:rPr>
      </w:pPr>
    </w:p>
    <w:p w14:paraId="74C1AC57" w14:textId="53BDCFB9" w:rsidR="00EA2729" w:rsidRPr="00280CB8" w:rsidRDefault="00881173" w:rsidP="00881173">
      <w:pPr>
        <w:spacing w:line="360" w:lineRule="auto"/>
        <w:ind w:right="618"/>
        <w:rPr>
          <w:rFonts w:ascii="Calibri" w:hAnsi="Calibri" w:cs="Calibri"/>
        </w:rPr>
      </w:pPr>
      <w:r w:rsidRPr="00280CB8">
        <w:rPr>
          <w:rFonts w:ascii="Calibri" w:hAnsi="Calibri" w:cs="Calibri"/>
          <w:b/>
          <w:bCs/>
        </w:rPr>
        <w:t>I</w:t>
      </w:r>
      <w:r w:rsidR="00EA2729" w:rsidRPr="00280CB8">
        <w:rPr>
          <w:rFonts w:ascii="Calibri" w:hAnsi="Calibri" w:cs="Calibri"/>
          <w:b/>
          <w:bCs/>
        </w:rPr>
        <w:t>nclusion Criteria</w:t>
      </w:r>
    </w:p>
    <w:p w14:paraId="5F2E7C61" w14:textId="1AF62072" w:rsidR="00881173" w:rsidRDefault="00EA2729" w:rsidP="00881173">
      <w:pPr>
        <w:spacing w:line="360" w:lineRule="auto"/>
        <w:rPr>
          <w:rFonts w:ascii="Calibri" w:hAnsi="Calibri" w:cs="Calibri"/>
        </w:rPr>
      </w:pPr>
      <w:r w:rsidRPr="00280CB8">
        <w:rPr>
          <w:rFonts w:ascii="Calibri" w:hAnsi="Calibri" w:cs="Calibri"/>
        </w:rPr>
        <w:t>From April 2020, members of the BPNA were invited by the British Paediatric Neurology Surveillance Unit (www.bpnsu.co.uk) to notify any hospitalised children or adolescents (aged &lt;18 years) they considered to have neurological or psychiatric complications associated with COVID-19 (</w:t>
      </w:r>
      <w:r w:rsidR="00B94B7A">
        <w:rPr>
          <w:rFonts w:ascii="Calibri" w:hAnsi="Calibri" w:cs="Calibri"/>
        </w:rPr>
        <w:t>table</w:t>
      </w:r>
      <w:r w:rsidRPr="00280CB8">
        <w:rPr>
          <w:rFonts w:ascii="Calibri" w:hAnsi="Calibri" w:cs="Calibri"/>
        </w:rPr>
        <w:t xml:space="preserve"> 1 and 2). Cases were still included if they had a pre-existing neurological disorder. Data lock was the 1st of February 2021. </w:t>
      </w:r>
    </w:p>
    <w:p w14:paraId="2C3EEAF9" w14:textId="379268D4" w:rsidR="00E06532" w:rsidRDefault="00E06532" w:rsidP="00881173">
      <w:pPr>
        <w:spacing w:line="360" w:lineRule="auto"/>
        <w:rPr>
          <w:rFonts w:ascii="Calibri" w:hAnsi="Calibri" w:cs="Calibri"/>
        </w:rPr>
      </w:pPr>
      <w:r>
        <w:rPr>
          <w:rFonts w:ascii="Calibri" w:eastAsia="Arial" w:hAnsi="Calibri" w:cs="Calibri"/>
          <w:bCs/>
          <w:noProof/>
          <w:color w:val="000000" w:themeColor="text1"/>
          <w:bdr w:val="nil"/>
          <w:lang w:eastAsia="en-GB"/>
        </w:rPr>
        <mc:AlternateContent>
          <mc:Choice Requires="wps">
            <w:drawing>
              <wp:anchor distT="0" distB="0" distL="114300" distR="114300" simplePos="0" relativeHeight="251671552" behindDoc="0" locked="0" layoutInCell="1" allowOverlap="1" wp14:anchorId="6206F135" wp14:editId="74F98DE9">
                <wp:simplePos x="0" y="0"/>
                <wp:positionH relativeFrom="column">
                  <wp:posOffset>-276447</wp:posOffset>
                </wp:positionH>
                <wp:positionV relativeFrom="paragraph">
                  <wp:posOffset>13762</wp:posOffset>
                </wp:positionV>
                <wp:extent cx="6576695" cy="4805917"/>
                <wp:effectExtent l="0" t="0" r="0" b="0"/>
                <wp:wrapNone/>
                <wp:docPr id="9" name="Text Box 9"/>
                <wp:cNvGraphicFramePr/>
                <a:graphic xmlns:a="http://schemas.openxmlformats.org/drawingml/2006/main">
                  <a:graphicData uri="http://schemas.microsoft.com/office/word/2010/wordprocessingShape">
                    <wps:wsp>
                      <wps:cNvSpPr txBox="1"/>
                      <wps:spPr>
                        <a:xfrm>
                          <a:off x="0" y="0"/>
                          <a:ext cx="6576695" cy="4805917"/>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0FB0656" w14:textId="3618BAAE" w:rsidR="00E06532" w:rsidRPr="00E84C38" w:rsidRDefault="00765CB7" w:rsidP="009A0D14">
                            <w:pPr>
                              <w:shd w:val="clear" w:color="auto" w:fill="FBE4D5" w:themeFill="accent2" w:themeFillTint="33"/>
                              <w:rPr>
                                <w:rFonts w:eastAsia="Times New Roman"/>
                                <w:b/>
                                <w:bCs/>
                              </w:rPr>
                            </w:pPr>
                            <w:r w:rsidRPr="00E84C38">
                              <w:rPr>
                                <w:rFonts w:eastAsia="Times New Roman"/>
                                <w:b/>
                                <w:bCs/>
                              </w:rPr>
                              <w:t xml:space="preserve">Table 1: </w:t>
                            </w:r>
                            <w:r w:rsidR="00E06532" w:rsidRPr="00E84C38">
                              <w:rPr>
                                <w:rFonts w:eastAsia="Times New Roman"/>
                                <w:b/>
                                <w:bCs/>
                              </w:rPr>
                              <w:t xml:space="preserve">Inclusion criteria for the British Paediatric Neurology Surveillance Unit study of paediatric </w:t>
                            </w:r>
                            <w:r w:rsidR="0097262A" w:rsidRPr="00E84C38">
                              <w:rPr>
                                <w:rFonts w:eastAsia="Times New Roman"/>
                                <w:b/>
                                <w:bCs/>
                              </w:rPr>
                              <w:t xml:space="preserve">neurological </w:t>
                            </w:r>
                            <w:r w:rsidR="00E06532" w:rsidRPr="00E84C38">
                              <w:rPr>
                                <w:rFonts w:eastAsia="Times New Roman"/>
                                <w:b/>
                                <w:bCs/>
                              </w:rPr>
                              <w:t>COVID-19’</w:t>
                            </w:r>
                          </w:p>
                          <w:p w14:paraId="16F5CE22" w14:textId="77777777" w:rsidR="00E06532" w:rsidRPr="00E84C38" w:rsidRDefault="00E06532" w:rsidP="009A0D14">
                            <w:pPr>
                              <w:shd w:val="clear" w:color="auto" w:fill="FBE4D5" w:themeFill="accent2" w:themeFillTint="33"/>
                              <w:rPr>
                                <w:b/>
                                <w:bCs/>
                              </w:rPr>
                            </w:pPr>
                          </w:p>
                          <w:p w14:paraId="40D2E1CB" w14:textId="77777777" w:rsidR="00E06532" w:rsidRPr="00E06532" w:rsidRDefault="00E06532" w:rsidP="009A0D14">
                            <w:pPr>
                              <w:shd w:val="clear" w:color="auto" w:fill="FBE4D5" w:themeFill="accent2" w:themeFillTint="33"/>
                            </w:pPr>
                            <w:r w:rsidRPr="00E06532">
                              <w:t>• Children or adolescents age &lt;18 years.</w:t>
                            </w:r>
                          </w:p>
                          <w:p w14:paraId="752CEE5A" w14:textId="77777777" w:rsidR="00E06532" w:rsidRPr="00E06532" w:rsidRDefault="00E06532" w:rsidP="009A0D14">
                            <w:pPr>
                              <w:shd w:val="clear" w:color="auto" w:fill="FBE4D5" w:themeFill="accent2" w:themeFillTint="33"/>
                            </w:pPr>
                            <w:r w:rsidRPr="00E06532">
                              <w:t>• History of laboratory-confirmed of COVID-19 infection, or suspected infection, irrespective of clinical signs and symptoms</w:t>
                            </w:r>
                          </w:p>
                          <w:p w14:paraId="57C0E915" w14:textId="77777777" w:rsidR="00E06532" w:rsidRPr="00E84C38" w:rsidRDefault="00E06532" w:rsidP="009A0D14">
                            <w:pPr>
                              <w:shd w:val="clear" w:color="auto" w:fill="FBE4D5" w:themeFill="accent2" w:themeFillTint="33"/>
                            </w:pPr>
                            <w:r w:rsidRPr="00E84C38">
                              <w:t>• New-onset neurological or psychiatric disorder or complication of existing neurological or psychiatric disorder occurring contemporaneously or following shortly after COVID-19 infection.</w:t>
                            </w:r>
                          </w:p>
                          <w:p w14:paraId="1EBAA42C" w14:textId="1336D4B9" w:rsidR="00E06532" w:rsidRDefault="00E06532" w:rsidP="009A0D14">
                            <w:pPr>
                              <w:shd w:val="clear" w:color="auto" w:fill="FBE4D5" w:themeFill="accent2" w:themeFillTint="33"/>
                            </w:pPr>
                            <w:r w:rsidRPr="00E84C38">
                              <w:t>• COVID-19 infection implicated as a possible cause of neurological or psychiatric disorder by a paediatric neurologist.</w:t>
                            </w:r>
                          </w:p>
                          <w:p w14:paraId="398B68D1" w14:textId="3440E8D4" w:rsidR="00E06532" w:rsidRDefault="00E06532" w:rsidP="009A0D14">
                            <w:pPr>
                              <w:shd w:val="clear" w:color="auto" w:fill="FBE4D5" w:themeFill="accent2" w:themeFillTint="33"/>
                            </w:pPr>
                          </w:p>
                          <w:p w14:paraId="06C27D5E" w14:textId="77777777" w:rsidR="00E06532" w:rsidRDefault="00E06532" w:rsidP="009A0D14">
                            <w:pPr>
                              <w:pStyle w:val="Default"/>
                              <w:shd w:val="clear" w:color="auto" w:fill="FBE4D5" w:themeFill="accent2" w:themeFillTint="33"/>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618"/>
                              <w:rPr>
                                <w:rFonts w:ascii="Calibri" w:hAnsi="Calibri" w:cs="Calibri"/>
                                <w:b/>
                                <w:bCs/>
                                <w:color w:val="000000" w:themeColor="text1"/>
                                <w:sz w:val="24"/>
                                <w:szCs w:val="24"/>
                                <w:u w:val="single"/>
                              </w:rPr>
                            </w:pPr>
                          </w:p>
                          <w:p w14:paraId="5E3459D7" w14:textId="6E7E8508" w:rsidR="00E06532" w:rsidRPr="00E73E45" w:rsidRDefault="00E06532" w:rsidP="009A0D14">
                            <w:pPr>
                              <w:pStyle w:val="Default"/>
                              <w:shd w:val="clear" w:color="auto" w:fill="FBE4D5" w:themeFill="accent2" w:themeFillTint="33"/>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618"/>
                              <w:rPr>
                                <w:rFonts w:ascii="Calibri" w:hAnsi="Calibri" w:cs="Calibri"/>
                                <w:color w:val="000000" w:themeColor="text1"/>
                                <w:sz w:val="24"/>
                                <w:szCs w:val="24"/>
                              </w:rPr>
                            </w:pPr>
                            <w:r>
                              <w:rPr>
                                <w:rFonts w:ascii="Calibri" w:hAnsi="Calibri" w:cs="Calibri"/>
                                <w:b/>
                                <w:bCs/>
                                <w:color w:val="000000" w:themeColor="text1"/>
                                <w:sz w:val="24"/>
                                <w:szCs w:val="24"/>
                                <w:u w:val="single"/>
                              </w:rPr>
                              <w:t>Table</w:t>
                            </w:r>
                            <w:r w:rsidRPr="00E73E45">
                              <w:rPr>
                                <w:rFonts w:ascii="Calibri" w:hAnsi="Calibri" w:cs="Calibri"/>
                                <w:b/>
                                <w:bCs/>
                                <w:color w:val="000000" w:themeColor="text1"/>
                                <w:sz w:val="24"/>
                                <w:szCs w:val="24"/>
                                <w:u w:val="single"/>
                              </w:rPr>
                              <w:t xml:space="preserve"> 2: CoroNerve study clinical neurological or neuropsychiatric disorder definitions</w:t>
                            </w:r>
                          </w:p>
                          <w:p w14:paraId="1967691F" w14:textId="77777777" w:rsidR="00E06532" w:rsidRPr="00E73E45" w:rsidRDefault="00E06532" w:rsidP="009A0D14">
                            <w:pPr>
                              <w:pStyle w:val="Pa5"/>
                              <w:shd w:val="clear" w:color="auto" w:fill="FBE4D5" w:themeFill="accent2" w:themeFillTint="33"/>
                              <w:jc w:val="both"/>
                              <w:rPr>
                                <w:rFonts w:ascii="Calibri" w:hAnsi="Calibri" w:cs="Calibri"/>
                                <w:color w:val="000000" w:themeColor="text1"/>
                              </w:rPr>
                            </w:pPr>
                          </w:p>
                          <w:p w14:paraId="2F387FD6" w14:textId="77777777" w:rsidR="00E06532" w:rsidRPr="00E73E45" w:rsidRDefault="00E06532" w:rsidP="009A0D14">
                            <w:pPr>
                              <w:pStyle w:val="Pa5"/>
                              <w:shd w:val="clear" w:color="auto" w:fill="FBE4D5" w:themeFill="accent2" w:themeFillTint="33"/>
                              <w:jc w:val="both"/>
                            </w:pPr>
                            <w:r w:rsidRPr="00E73E45">
                              <w:rPr>
                                <w:rFonts w:ascii="Calibri" w:hAnsi="Calibri" w:cs="Calibri"/>
                                <w:color w:val="000000" w:themeColor="text1"/>
                              </w:rPr>
                              <w:t xml:space="preserve">Clinical neurological or psychiatric disorders were classified and data were collected as follows: cerebrovascular event (ischaemic stroke, intracerebral or subarachnoid haemorrhage, cerebral venous sinus thrombosis, or cerebral vasculitis); altered mental status (encephalopathy, encephalitis— defined as encephalopathy with evidence of inflammation in the CNS (CSF white cell count &gt;5 cells per μL, protein &gt;0·45 g/dL, or MRI consistent with inflammation), seizures (clinical or electroencephalographic evidence), and psychiatric syndromes diagnosed by an attending psychiatrist (psychosis, neurocognitive dementia-like syndrome, personality change, catatonia, mania, anxiety or depression, chronic fatigue syndrome, and post-traumatic stress disorder); and peripheral neurology (Guillain-Barré syndrome, Miller Fisher syndrome, brachial neuritis, myasthenia gravis, peripheral neuropathy, myopathy, myositis—defined as myopathy with evidence of inflammation (e.g., by MRI or biopsy of muscle with elevated plasma creatine kinase levels), and critical illness neuromyopathy). Further details are available at </w:t>
                            </w:r>
                            <w:hyperlink r:id="rId7" w:history="1">
                              <w:r w:rsidRPr="00E73E45">
                                <w:rPr>
                                  <w:rStyle w:val="Hyperlink"/>
                                  <w:rFonts w:ascii="Calibri" w:hAnsi="Calibri" w:cs="Calibri"/>
                                </w:rPr>
                                <w:t>www.bpnsu.co.uk</w:t>
                              </w:r>
                            </w:hyperlink>
                            <w:r w:rsidRPr="00E73E45">
                              <w:rPr>
                                <w:rFonts w:ascii="Calibri" w:hAnsi="Calibri" w:cs="Calibri"/>
                                <w:color w:val="000000" w:themeColor="text1"/>
                              </w:rPr>
                              <w:t xml:space="preserve">. </w:t>
                            </w:r>
                          </w:p>
                          <w:p w14:paraId="52E960D3" w14:textId="77777777" w:rsidR="00E06532" w:rsidRPr="00E06532" w:rsidRDefault="00E06532" w:rsidP="00E84C38">
                            <w:pPr>
                              <w:shd w:val="clear" w:color="auto" w:fill="F7CAAC" w:themeFill="accent2" w:themeFillTint="66"/>
                            </w:pPr>
                          </w:p>
                          <w:p w14:paraId="7938E1C8" w14:textId="77777777" w:rsidR="00E06532" w:rsidRPr="00E06532" w:rsidRDefault="00E06532" w:rsidP="00E84C38">
                            <w:pPr>
                              <w:shd w:val="clear" w:color="auto" w:fill="F7CAAC" w:themeFill="accent2" w:themeFillTint="66"/>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06F135" id="_x0000_t202" coordsize="21600,21600" o:spt="202" path="m,l,21600r21600,l21600,xe">
                <v:stroke joinstyle="miter"/>
                <v:path gradientshapeok="t" o:connecttype="rect"/>
              </v:shapetype>
              <v:shape id="Text Box 9" o:spid="_x0000_s1026" type="#_x0000_t202" style="position:absolute;margin-left:-21.75pt;margin-top:1.1pt;width:517.85pt;height:37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" filled="f" stroked="f" strokeweight="1pt">
                <v:stroke miterlimit="4"/>
                <v:textbox inset="4pt,4pt,4pt,4pt">
                  <w:txbxContent>
                    <w:p w14:paraId="60FB0656" w14:textId="3618BAAE" w:rsidR="00E06532" w:rsidRPr="00E84C38" w:rsidRDefault="00765CB7" w:rsidP="009A0D14">
                      <w:pPr>
                        <w:shd w:val="clear" w:color="auto" w:fill="FBE4D5" w:themeFill="accent2" w:themeFillTint="33"/>
                        <w:rPr>
                          <w:rFonts w:eastAsia="Times New Roman"/>
                          <w:b/>
                          <w:bCs/>
                        </w:rPr>
                      </w:pPr>
                      <w:r w:rsidRPr="00E84C38">
                        <w:rPr>
                          <w:rFonts w:eastAsia="Times New Roman"/>
                          <w:b/>
                          <w:bCs/>
                        </w:rPr>
                        <w:t xml:space="preserve">Table 1: </w:t>
                      </w:r>
                      <w:r w:rsidR="00E06532" w:rsidRPr="00E84C38">
                        <w:rPr>
                          <w:rFonts w:eastAsia="Times New Roman"/>
                          <w:b/>
                          <w:bCs/>
                        </w:rPr>
                        <w:t xml:space="preserve">Inclusion criteria for the British Paediatric Neurology Surveillance Unit study of paediatric </w:t>
                      </w:r>
                      <w:r w:rsidR="0097262A" w:rsidRPr="00E84C38">
                        <w:rPr>
                          <w:rFonts w:eastAsia="Times New Roman"/>
                          <w:b/>
                          <w:bCs/>
                        </w:rPr>
                        <w:t xml:space="preserve">neurological </w:t>
                      </w:r>
                      <w:r w:rsidR="00E06532" w:rsidRPr="00E84C38">
                        <w:rPr>
                          <w:rFonts w:eastAsia="Times New Roman"/>
                          <w:b/>
                          <w:bCs/>
                        </w:rPr>
                        <w:t>COVID-19’</w:t>
                      </w:r>
                    </w:p>
                    <w:p w14:paraId="16F5CE22" w14:textId="77777777" w:rsidR="00E06532" w:rsidRPr="00E84C38" w:rsidRDefault="00E06532" w:rsidP="009A0D14">
                      <w:pPr>
                        <w:shd w:val="clear" w:color="auto" w:fill="FBE4D5" w:themeFill="accent2" w:themeFillTint="33"/>
                        <w:rPr>
                          <w:b/>
                          <w:bCs/>
                        </w:rPr>
                      </w:pPr>
                    </w:p>
                    <w:p w14:paraId="40D2E1CB" w14:textId="77777777" w:rsidR="00E06532" w:rsidRPr="00E06532" w:rsidRDefault="00E06532" w:rsidP="009A0D14">
                      <w:pPr>
                        <w:shd w:val="clear" w:color="auto" w:fill="FBE4D5" w:themeFill="accent2" w:themeFillTint="33"/>
                      </w:pPr>
                      <w:r w:rsidRPr="00E06532">
                        <w:t>• Children or adolescents age &lt;18 years.</w:t>
                      </w:r>
                    </w:p>
                    <w:p w14:paraId="752CEE5A" w14:textId="77777777" w:rsidR="00E06532" w:rsidRPr="00E06532" w:rsidRDefault="00E06532" w:rsidP="009A0D14">
                      <w:pPr>
                        <w:shd w:val="clear" w:color="auto" w:fill="FBE4D5" w:themeFill="accent2" w:themeFillTint="33"/>
                      </w:pPr>
                      <w:r w:rsidRPr="00E06532">
                        <w:t>• History of laboratory-confirmed of COVID-19 infection, or suspected infection, irrespective of clinical signs and symptoms</w:t>
                      </w:r>
                    </w:p>
                    <w:p w14:paraId="57C0E915" w14:textId="77777777" w:rsidR="00E06532" w:rsidRPr="00E84C38" w:rsidRDefault="00E06532" w:rsidP="009A0D14">
                      <w:pPr>
                        <w:shd w:val="clear" w:color="auto" w:fill="FBE4D5" w:themeFill="accent2" w:themeFillTint="33"/>
                      </w:pPr>
                      <w:r w:rsidRPr="00E84C38">
                        <w:t>• New-onset neurological or psychiatric disorder or complication of existing neurological or psychiatric disorder occurring contemporaneously or following shortly after COVID-19 infection.</w:t>
                      </w:r>
                    </w:p>
                    <w:p w14:paraId="1EBAA42C" w14:textId="1336D4B9" w:rsidR="00E06532" w:rsidRDefault="00E06532" w:rsidP="009A0D14">
                      <w:pPr>
                        <w:shd w:val="clear" w:color="auto" w:fill="FBE4D5" w:themeFill="accent2" w:themeFillTint="33"/>
                      </w:pPr>
                      <w:r w:rsidRPr="00E84C38">
                        <w:t>• COVID-19 infection implicated as a possible cause of neurological or psychiatric disorder by a paediatric neurologist.</w:t>
                      </w:r>
                    </w:p>
                    <w:p w14:paraId="398B68D1" w14:textId="3440E8D4" w:rsidR="00E06532" w:rsidRDefault="00E06532" w:rsidP="009A0D14">
                      <w:pPr>
                        <w:shd w:val="clear" w:color="auto" w:fill="FBE4D5" w:themeFill="accent2" w:themeFillTint="33"/>
                      </w:pPr>
                    </w:p>
                    <w:p w14:paraId="06C27D5E" w14:textId="77777777" w:rsidR="00E06532" w:rsidRDefault="00E06532" w:rsidP="009A0D14">
                      <w:pPr>
                        <w:pStyle w:val="Default"/>
                        <w:shd w:val="clear" w:color="auto" w:fill="FBE4D5" w:themeFill="accent2" w:themeFillTint="33"/>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618"/>
                        <w:rPr>
                          <w:rFonts w:ascii="Calibri" w:hAnsi="Calibri" w:cs="Calibri"/>
                          <w:b/>
                          <w:bCs/>
                          <w:color w:val="000000" w:themeColor="text1"/>
                          <w:sz w:val="24"/>
                          <w:szCs w:val="24"/>
                          <w:u w:val="single"/>
                        </w:rPr>
                      </w:pPr>
                    </w:p>
                    <w:p w14:paraId="5E3459D7" w14:textId="6E7E8508" w:rsidR="00E06532" w:rsidRPr="00E73E45" w:rsidRDefault="00E06532" w:rsidP="009A0D14">
                      <w:pPr>
                        <w:pStyle w:val="Default"/>
                        <w:shd w:val="clear" w:color="auto" w:fill="FBE4D5" w:themeFill="accent2" w:themeFillTint="33"/>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618"/>
                        <w:rPr>
                          <w:rFonts w:ascii="Calibri" w:hAnsi="Calibri" w:cs="Calibri"/>
                          <w:color w:val="000000" w:themeColor="text1"/>
                          <w:sz w:val="24"/>
                          <w:szCs w:val="24"/>
                        </w:rPr>
                      </w:pPr>
                      <w:r>
                        <w:rPr>
                          <w:rFonts w:ascii="Calibri" w:hAnsi="Calibri" w:cs="Calibri"/>
                          <w:b/>
                          <w:bCs/>
                          <w:color w:val="000000" w:themeColor="text1"/>
                          <w:sz w:val="24"/>
                          <w:szCs w:val="24"/>
                          <w:u w:val="single"/>
                        </w:rPr>
                        <w:t>Table</w:t>
                      </w:r>
                      <w:r w:rsidRPr="00E73E45">
                        <w:rPr>
                          <w:rFonts w:ascii="Calibri" w:hAnsi="Calibri" w:cs="Calibri"/>
                          <w:b/>
                          <w:bCs/>
                          <w:color w:val="000000" w:themeColor="text1"/>
                          <w:sz w:val="24"/>
                          <w:szCs w:val="24"/>
                          <w:u w:val="single"/>
                        </w:rPr>
                        <w:t xml:space="preserve"> 2: CoroNerve study clinical neurological or neuropsychiatric disorder definitions</w:t>
                      </w:r>
                    </w:p>
                    <w:p w14:paraId="1967691F" w14:textId="77777777" w:rsidR="00E06532" w:rsidRPr="00E73E45" w:rsidRDefault="00E06532" w:rsidP="009A0D14">
                      <w:pPr>
                        <w:pStyle w:val="Pa5"/>
                        <w:shd w:val="clear" w:color="auto" w:fill="FBE4D5" w:themeFill="accent2" w:themeFillTint="33"/>
                        <w:jc w:val="both"/>
                        <w:rPr>
                          <w:rFonts w:ascii="Calibri" w:hAnsi="Calibri" w:cs="Calibri"/>
                          <w:color w:val="000000" w:themeColor="text1"/>
                        </w:rPr>
                      </w:pPr>
                    </w:p>
                    <w:p w14:paraId="2F387FD6" w14:textId="77777777" w:rsidR="00E06532" w:rsidRPr="00E73E45" w:rsidRDefault="00E06532" w:rsidP="009A0D14">
                      <w:pPr>
                        <w:pStyle w:val="Pa5"/>
                        <w:shd w:val="clear" w:color="auto" w:fill="FBE4D5" w:themeFill="accent2" w:themeFillTint="33"/>
                        <w:jc w:val="both"/>
                      </w:pPr>
                      <w:r w:rsidRPr="00E73E45">
                        <w:rPr>
                          <w:rFonts w:ascii="Calibri" w:hAnsi="Calibri" w:cs="Calibri"/>
                          <w:color w:val="000000" w:themeColor="text1"/>
                        </w:rPr>
                        <w:t xml:space="preserve">Clinical neurological or psychiatric disorders were classified and data were collected as follows: cerebrovascular event (ischaemic stroke, intracerebral or subarachnoid haemorrhage, cerebral venous sinus thrombosis, or cerebral vasculitis); altered mental status (encephalopathy, encephalitis— defined as encephalopathy with evidence of inflammation in the CNS (CSF white cell count &gt;5 cells per μL, protein &gt;0·45 g/dL, or MRI consistent with inflammation), seizures (clinical or electroencephalographic evidence), and psychiatric syndromes diagnosed by an attending psychiatrist (psychosis, neurocognitive dementia-like syndrome, personality change, catatonia, mania, anxiety or depression, chronic fatigue syndrome, and post-traumatic stress disorder); and peripheral neurology (Guillain-Barré syndrome, Miller Fisher syndrome, brachial neuritis, myasthenia gravis, peripheral neuropathy, myopathy, myositis—defined as myopathy with evidence of inflammation (e.g., by MRI or biopsy of muscle with elevated plasma creatine kinase levels), and critical illness neuromyopathy). Further details are available at </w:t>
                      </w:r>
                      <w:hyperlink r:id="rId8" w:history="1">
                        <w:r w:rsidRPr="00E73E45">
                          <w:rPr>
                            <w:rStyle w:val="Hyperlink"/>
                            <w:rFonts w:ascii="Calibri" w:hAnsi="Calibri" w:cs="Calibri"/>
                          </w:rPr>
                          <w:t>www.bpnsu.co.uk</w:t>
                        </w:r>
                      </w:hyperlink>
                      <w:r w:rsidRPr="00E73E45">
                        <w:rPr>
                          <w:rFonts w:ascii="Calibri" w:hAnsi="Calibri" w:cs="Calibri"/>
                          <w:color w:val="000000" w:themeColor="text1"/>
                        </w:rPr>
                        <w:t xml:space="preserve">. </w:t>
                      </w:r>
                    </w:p>
                    <w:p w14:paraId="52E960D3" w14:textId="77777777" w:rsidR="00E06532" w:rsidRPr="00E06532" w:rsidRDefault="00E06532" w:rsidP="00E84C38">
                      <w:pPr>
                        <w:shd w:val="clear" w:color="auto" w:fill="F7CAAC" w:themeFill="accent2" w:themeFillTint="66"/>
                      </w:pPr>
                    </w:p>
                    <w:p w14:paraId="7938E1C8" w14:textId="77777777" w:rsidR="00E06532" w:rsidRPr="00E06532" w:rsidRDefault="00E06532" w:rsidP="00E84C38">
                      <w:pPr>
                        <w:shd w:val="clear" w:color="auto" w:fill="F7CAAC" w:themeFill="accent2" w:themeFillTint="66"/>
                      </w:pPr>
                    </w:p>
                  </w:txbxContent>
                </v:textbox>
              </v:shape>
            </w:pict>
          </mc:Fallback>
        </mc:AlternateContent>
      </w:r>
    </w:p>
    <w:p w14:paraId="335F20AC" w14:textId="3EC8C74B" w:rsidR="00E06532" w:rsidRDefault="00E06532" w:rsidP="00881173">
      <w:pPr>
        <w:spacing w:line="360" w:lineRule="auto"/>
        <w:rPr>
          <w:rFonts w:ascii="Calibri" w:hAnsi="Calibri" w:cs="Calibri"/>
        </w:rPr>
      </w:pPr>
    </w:p>
    <w:p w14:paraId="22E130F5" w14:textId="341FEFD6" w:rsidR="00E06532" w:rsidRDefault="00E06532" w:rsidP="00881173">
      <w:pPr>
        <w:spacing w:line="360" w:lineRule="auto"/>
        <w:rPr>
          <w:rFonts w:ascii="Calibri" w:hAnsi="Calibri" w:cs="Calibri"/>
        </w:rPr>
      </w:pPr>
    </w:p>
    <w:p w14:paraId="4840AD7F" w14:textId="77777777" w:rsidR="00E06532" w:rsidRDefault="00E06532" w:rsidP="00881173">
      <w:pPr>
        <w:spacing w:line="360" w:lineRule="auto"/>
        <w:rPr>
          <w:rFonts w:ascii="Calibri" w:hAnsi="Calibri" w:cs="Calibri"/>
        </w:rPr>
      </w:pPr>
    </w:p>
    <w:p w14:paraId="32733F94" w14:textId="0A5AF04E" w:rsidR="00E06532" w:rsidRDefault="00E06532" w:rsidP="00881173">
      <w:pPr>
        <w:spacing w:line="360" w:lineRule="auto"/>
        <w:rPr>
          <w:rFonts w:ascii="Calibri" w:hAnsi="Calibri" w:cs="Calibri"/>
        </w:rPr>
      </w:pPr>
    </w:p>
    <w:p w14:paraId="5DC18426" w14:textId="77777777" w:rsidR="00E06532" w:rsidRDefault="00E06532" w:rsidP="00881173">
      <w:pPr>
        <w:spacing w:line="360" w:lineRule="auto"/>
        <w:rPr>
          <w:rFonts w:ascii="Calibri" w:hAnsi="Calibri" w:cs="Calibri"/>
        </w:rPr>
      </w:pPr>
    </w:p>
    <w:p w14:paraId="478A09A2" w14:textId="15A053EF" w:rsidR="00E06532" w:rsidRDefault="00E06532" w:rsidP="00881173">
      <w:pPr>
        <w:spacing w:line="360" w:lineRule="auto"/>
        <w:rPr>
          <w:rFonts w:ascii="Calibri" w:hAnsi="Calibri" w:cs="Calibri"/>
        </w:rPr>
      </w:pPr>
    </w:p>
    <w:p w14:paraId="42C0C79F" w14:textId="78B709C2" w:rsidR="00E06532" w:rsidRDefault="00E06532" w:rsidP="00881173">
      <w:pPr>
        <w:spacing w:line="360" w:lineRule="auto"/>
        <w:rPr>
          <w:rFonts w:ascii="Calibri" w:hAnsi="Calibri" w:cs="Calibri"/>
        </w:rPr>
      </w:pPr>
    </w:p>
    <w:p w14:paraId="20FE4001" w14:textId="77777777" w:rsidR="00E06532" w:rsidRPr="00280CB8" w:rsidRDefault="00E06532" w:rsidP="00881173">
      <w:pPr>
        <w:spacing w:line="360" w:lineRule="auto"/>
        <w:rPr>
          <w:rFonts w:ascii="Calibri" w:hAnsi="Calibri" w:cs="Calibri"/>
        </w:rPr>
      </w:pPr>
    </w:p>
    <w:p w14:paraId="2EBA6435" w14:textId="77777777" w:rsidR="00E06532" w:rsidRDefault="00E06532" w:rsidP="00881173">
      <w:pPr>
        <w:spacing w:line="360" w:lineRule="auto"/>
        <w:rPr>
          <w:rFonts w:ascii="Calibri" w:hAnsi="Calibri" w:cs="Calibri"/>
          <w:b/>
          <w:bCs/>
        </w:rPr>
      </w:pPr>
    </w:p>
    <w:p w14:paraId="6FC18F54" w14:textId="77777777" w:rsidR="00E06532" w:rsidRDefault="00E06532" w:rsidP="00881173">
      <w:pPr>
        <w:spacing w:line="360" w:lineRule="auto"/>
        <w:rPr>
          <w:rFonts w:ascii="Calibri" w:hAnsi="Calibri" w:cs="Calibri"/>
          <w:b/>
          <w:bCs/>
        </w:rPr>
      </w:pPr>
    </w:p>
    <w:p w14:paraId="13F6E42E" w14:textId="77777777" w:rsidR="00E06532" w:rsidRDefault="00E06532" w:rsidP="00881173">
      <w:pPr>
        <w:spacing w:line="360" w:lineRule="auto"/>
        <w:rPr>
          <w:rFonts w:ascii="Calibri" w:hAnsi="Calibri" w:cs="Calibri"/>
          <w:b/>
          <w:bCs/>
        </w:rPr>
      </w:pPr>
    </w:p>
    <w:p w14:paraId="6B172647" w14:textId="77777777" w:rsidR="00E06532" w:rsidRDefault="00E06532" w:rsidP="00881173">
      <w:pPr>
        <w:spacing w:line="360" w:lineRule="auto"/>
        <w:rPr>
          <w:rFonts w:ascii="Calibri" w:hAnsi="Calibri" w:cs="Calibri"/>
          <w:b/>
          <w:bCs/>
        </w:rPr>
      </w:pPr>
    </w:p>
    <w:p w14:paraId="778D0B14" w14:textId="77777777" w:rsidR="00E06532" w:rsidRDefault="00E06532" w:rsidP="00881173">
      <w:pPr>
        <w:spacing w:line="360" w:lineRule="auto"/>
        <w:rPr>
          <w:rFonts w:ascii="Calibri" w:hAnsi="Calibri" w:cs="Calibri"/>
          <w:b/>
          <w:bCs/>
        </w:rPr>
      </w:pPr>
    </w:p>
    <w:p w14:paraId="0496887B" w14:textId="77777777" w:rsidR="00E06532" w:rsidRDefault="00E06532" w:rsidP="00881173">
      <w:pPr>
        <w:spacing w:line="360" w:lineRule="auto"/>
        <w:rPr>
          <w:rFonts w:ascii="Calibri" w:hAnsi="Calibri" w:cs="Calibri"/>
          <w:b/>
          <w:bCs/>
        </w:rPr>
      </w:pPr>
    </w:p>
    <w:p w14:paraId="49E18EBD" w14:textId="77777777" w:rsidR="00E06532" w:rsidRDefault="00E06532" w:rsidP="00881173">
      <w:pPr>
        <w:spacing w:line="360" w:lineRule="auto"/>
        <w:rPr>
          <w:rFonts w:ascii="Calibri" w:hAnsi="Calibri" w:cs="Calibri"/>
          <w:b/>
          <w:bCs/>
        </w:rPr>
      </w:pPr>
    </w:p>
    <w:p w14:paraId="0E88C5D1" w14:textId="77777777" w:rsidR="00E06532" w:rsidRDefault="00E06532" w:rsidP="00881173">
      <w:pPr>
        <w:spacing w:line="360" w:lineRule="auto"/>
        <w:rPr>
          <w:rFonts w:ascii="Calibri" w:hAnsi="Calibri" w:cs="Calibri"/>
          <w:b/>
          <w:bCs/>
        </w:rPr>
      </w:pPr>
    </w:p>
    <w:p w14:paraId="5EB1D5DA" w14:textId="77777777" w:rsidR="00E06532" w:rsidRDefault="00E06532" w:rsidP="00881173">
      <w:pPr>
        <w:spacing w:line="360" w:lineRule="auto"/>
        <w:rPr>
          <w:rFonts w:ascii="Calibri" w:hAnsi="Calibri" w:cs="Calibri"/>
          <w:b/>
          <w:bCs/>
        </w:rPr>
      </w:pPr>
    </w:p>
    <w:p w14:paraId="4A9B7FED" w14:textId="77777777" w:rsidR="00E06532" w:rsidRDefault="00E06532" w:rsidP="00881173">
      <w:pPr>
        <w:spacing w:line="360" w:lineRule="auto"/>
        <w:rPr>
          <w:rFonts w:ascii="Calibri" w:hAnsi="Calibri" w:cs="Calibri"/>
          <w:b/>
          <w:bCs/>
        </w:rPr>
      </w:pPr>
    </w:p>
    <w:p w14:paraId="5C9B20D2" w14:textId="41C54D1F" w:rsidR="00EA2729" w:rsidRPr="00280CB8" w:rsidRDefault="00EA2729" w:rsidP="00881173">
      <w:pPr>
        <w:spacing w:line="360" w:lineRule="auto"/>
        <w:rPr>
          <w:rFonts w:ascii="Calibri" w:hAnsi="Calibri" w:cs="Calibri"/>
          <w:b/>
          <w:bCs/>
        </w:rPr>
      </w:pPr>
      <w:r w:rsidRPr="00280CB8">
        <w:rPr>
          <w:rFonts w:ascii="Calibri" w:hAnsi="Calibri" w:cs="Calibri"/>
          <w:b/>
          <w:bCs/>
        </w:rPr>
        <w:t>Exclusion criteria</w:t>
      </w:r>
    </w:p>
    <w:p w14:paraId="4646ED7C" w14:textId="77777777" w:rsidR="00EA2729" w:rsidRPr="00280CB8" w:rsidRDefault="00EA2729" w:rsidP="00881173">
      <w:pPr>
        <w:spacing w:line="360" w:lineRule="auto"/>
        <w:rPr>
          <w:rFonts w:ascii="Calibri" w:hAnsi="Calibri" w:cs="Calibri"/>
        </w:rPr>
      </w:pPr>
      <w:r w:rsidRPr="00280CB8">
        <w:rPr>
          <w:rFonts w:ascii="Calibri" w:hAnsi="Calibri" w:cs="Calibri"/>
        </w:rPr>
        <w:t>Cases were excluded if they did not have a neurological consultation and/or investigations and/or did not meet the definition for confirmed SARS-CoV-2 infection.</w:t>
      </w:r>
    </w:p>
    <w:p w14:paraId="2A1175AE" w14:textId="77777777" w:rsidR="00EA2729" w:rsidRPr="00280CB8" w:rsidRDefault="00EA2729" w:rsidP="00881173">
      <w:pPr>
        <w:spacing w:line="360" w:lineRule="auto"/>
        <w:rPr>
          <w:rFonts w:ascii="Calibri" w:hAnsi="Calibri" w:cs="Calibri"/>
        </w:rPr>
      </w:pPr>
    </w:p>
    <w:p w14:paraId="7189E52B" w14:textId="77777777" w:rsidR="00EA2729" w:rsidRPr="00280CB8" w:rsidRDefault="00EA2729" w:rsidP="00881173">
      <w:pPr>
        <w:spacing w:line="360" w:lineRule="auto"/>
        <w:rPr>
          <w:rFonts w:ascii="Calibri" w:hAnsi="Calibri" w:cs="Calibri"/>
          <w:b/>
          <w:bCs/>
        </w:rPr>
      </w:pPr>
      <w:r w:rsidRPr="00280CB8">
        <w:rPr>
          <w:rFonts w:ascii="Calibri" w:hAnsi="Calibri" w:cs="Calibri"/>
          <w:b/>
          <w:bCs/>
        </w:rPr>
        <w:t>Additional data collection</w:t>
      </w:r>
    </w:p>
    <w:p w14:paraId="5229A78B" w14:textId="77777777" w:rsidR="00EA2729" w:rsidRPr="00280CB8" w:rsidRDefault="00EA2729" w:rsidP="00881173">
      <w:pPr>
        <w:spacing w:line="360" w:lineRule="auto"/>
        <w:rPr>
          <w:rFonts w:ascii="Calibri" w:hAnsi="Calibri" w:cs="Calibri"/>
        </w:rPr>
      </w:pPr>
      <w:r w:rsidRPr="00280CB8">
        <w:rPr>
          <w:rFonts w:ascii="Calibri" w:hAnsi="Calibri" w:cs="Calibri"/>
        </w:rPr>
        <w:t xml:space="preserve">By requesting reporting physicians to submit their contact details at time of notification, we established confirmation of the veracity of the data in all cases and, where required, additional data to confirm the specific clinical details were obtained from the treating clinical team. </w:t>
      </w:r>
    </w:p>
    <w:p w14:paraId="230D6254" w14:textId="77777777" w:rsidR="00EA2729" w:rsidRPr="00280CB8" w:rsidRDefault="00EA2729" w:rsidP="00881173">
      <w:pPr>
        <w:spacing w:line="360" w:lineRule="auto"/>
        <w:rPr>
          <w:rFonts w:ascii="Calibri" w:hAnsi="Calibri" w:cs="Calibri"/>
        </w:rPr>
      </w:pPr>
    </w:p>
    <w:p w14:paraId="5381FA65" w14:textId="77777777" w:rsidR="00EA2729" w:rsidRPr="00280CB8" w:rsidRDefault="00EA2729" w:rsidP="00881173">
      <w:pPr>
        <w:spacing w:line="360" w:lineRule="auto"/>
        <w:rPr>
          <w:rFonts w:ascii="Calibri" w:hAnsi="Calibri" w:cs="Calibri"/>
          <w:b/>
          <w:bCs/>
        </w:rPr>
      </w:pPr>
      <w:r w:rsidRPr="00280CB8">
        <w:rPr>
          <w:rFonts w:ascii="Calibri" w:hAnsi="Calibri" w:cs="Calibri"/>
          <w:b/>
          <w:bCs/>
        </w:rPr>
        <w:t>Evidence of COVID-19</w:t>
      </w:r>
    </w:p>
    <w:p w14:paraId="18DCA364" w14:textId="15666F3B" w:rsidR="00881173" w:rsidRPr="00280CB8" w:rsidRDefault="00EA2729" w:rsidP="00881173">
      <w:pPr>
        <w:spacing w:line="360" w:lineRule="auto"/>
        <w:rPr>
          <w:rFonts w:ascii="Calibri" w:hAnsi="Calibri" w:cs="Calibri"/>
        </w:rPr>
      </w:pPr>
      <w:r w:rsidRPr="00280CB8">
        <w:rPr>
          <w:rFonts w:ascii="Calibri" w:hAnsi="Calibri" w:cs="Calibri"/>
        </w:rPr>
        <w:t xml:space="preserve">Cases were included for analysis if they had confirmed SARS-CoV-2 infection according to WHO criteria: cases had either a positive PCR of respiratory or spinal fluid samples and/or serology for anti-SARS-CoV-2 IgG (1) or they met Royal College of Paediatrics and Child Health criteria for PIMS-TS and had neurological or psychiatric manifestations (7).  </w:t>
      </w:r>
    </w:p>
    <w:p w14:paraId="5EC6E506" w14:textId="77777777" w:rsidR="00280CB8" w:rsidRPr="00280CB8" w:rsidRDefault="00280CB8" w:rsidP="00881173">
      <w:pPr>
        <w:spacing w:line="360" w:lineRule="auto"/>
        <w:rPr>
          <w:rFonts w:ascii="Calibri" w:hAnsi="Calibri" w:cs="Calibri"/>
          <w:b/>
          <w:bCs/>
        </w:rPr>
      </w:pPr>
    </w:p>
    <w:p w14:paraId="1E50CC31" w14:textId="5D77FA37" w:rsidR="00EA2729" w:rsidRPr="00280CB8" w:rsidRDefault="00EA2729" w:rsidP="00881173">
      <w:pPr>
        <w:spacing w:line="360" w:lineRule="auto"/>
        <w:rPr>
          <w:rFonts w:ascii="Calibri" w:hAnsi="Calibri" w:cs="Calibri"/>
          <w:b/>
          <w:bCs/>
        </w:rPr>
      </w:pPr>
      <w:r w:rsidRPr="00280CB8">
        <w:rPr>
          <w:rFonts w:ascii="Calibri" w:hAnsi="Calibri" w:cs="Calibri"/>
          <w:b/>
          <w:bCs/>
        </w:rPr>
        <w:t>Case review and categorisation</w:t>
      </w:r>
    </w:p>
    <w:p w14:paraId="1CB62E66" w14:textId="448704D8" w:rsidR="00EA2729" w:rsidRPr="00280CB8" w:rsidRDefault="00EA2729" w:rsidP="00881173">
      <w:pPr>
        <w:spacing w:line="360" w:lineRule="auto"/>
        <w:rPr>
          <w:rFonts w:ascii="Calibri" w:hAnsi="Calibri" w:cs="Calibri"/>
        </w:rPr>
      </w:pPr>
      <w:r w:rsidRPr="00280CB8">
        <w:rPr>
          <w:rFonts w:ascii="Calibri" w:hAnsi="Calibri" w:cs="Calibri"/>
        </w:rPr>
        <w:t xml:space="preserve">Those reviewed and diagnosed with a primary neurological or psychiatric disorder </w:t>
      </w:r>
      <w:r w:rsidR="001E0CE9">
        <w:rPr>
          <w:rFonts w:ascii="Calibri" w:hAnsi="Calibri" w:cs="Calibri"/>
          <w:color w:val="000000"/>
        </w:rPr>
        <w:t xml:space="preserve">associated with </w:t>
      </w:r>
      <w:r w:rsidR="001E0CE9" w:rsidRPr="00280CB8">
        <w:rPr>
          <w:rFonts w:ascii="Calibri" w:hAnsi="Calibri" w:cs="Calibri"/>
        </w:rPr>
        <w:t>COVID-19</w:t>
      </w:r>
      <w:r w:rsidR="001E0CE9">
        <w:rPr>
          <w:rFonts w:ascii="Calibri" w:hAnsi="Calibri" w:cs="Calibri"/>
        </w:rPr>
        <w:t xml:space="preserve">, </w:t>
      </w:r>
      <w:r w:rsidR="00EC562E">
        <w:rPr>
          <w:rFonts w:ascii="Calibri" w:hAnsi="Calibri" w:cs="Calibri"/>
        </w:rPr>
        <w:t xml:space="preserve">either </w:t>
      </w:r>
      <w:r w:rsidR="001E0CE9">
        <w:rPr>
          <w:rFonts w:ascii="Calibri" w:hAnsi="Calibri" w:cs="Calibri"/>
        </w:rPr>
        <w:t xml:space="preserve">secondary to acute </w:t>
      </w:r>
      <w:r w:rsidR="001471C1">
        <w:rPr>
          <w:rFonts w:ascii="Calibri" w:hAnsi="Calibri" w:cs="Calibri"/>
        </w:rPr>
        <w:t>infection</w:t>
      </w:r>
      <w:r w:rsidR="001E0CE9">
        <w:rPr>
          <w:rFonts w:ascii="Calibri" w:hAnsi="Calibri" w:cs="Calibri"/>
        </w:rPr>
        <w:t xml:space="preserve"> e.g. status epilepticus, or a recognised para/post infectious neuro-immune syndrome e.g. GBS</w:t>
      </w:r>
      <w:r w:rsidR="001471C1">
        <w:rPr>
          <w:rFonts w:ascii="Calibri" w:hAnsi="Calibri" w:cs="Calibri"/>
        </w:rPr>
        <w:t xml:space="preserve">, </w:t>
      </w:r>
      <w:r w:rsidRPr="00280CB8">
        <w:rPr>
          <w:rFonts w:ascii="Calibri" w:hAnsi="Calibri" w:cs="Calibri"/>
        </w:rPr>
        <w:t>were classified as the ‘COVID</w:t>
      </w:r>
      <w:r w:rsidR="00825001">
        <w:rPr>
          <w:rFonts w:ascii="Calibri" w:hAnsi="Calibri" w:cs="Calibri"/>
        </w:rPr>
        <w:t>-19</w:t>
      </w:r>
      <w:r w:rsidR="00EC562E">
        <w:rPr>
          <w:rFonts w:ascii="Calibri" w:hAnsi="Calibri" w:cs="Calibri"/>
        </w:rPr>
        <w:t xml:space="preserve"> </w:t>
      </w:r>
      <w:r w:rsidRPr="00280CB8">
        <w:rPr>
          <w:rFonts w:ascii="Calibri" w:hAnsi="Calibri" w:cs="Calibri"/>
        </w:rPr>
        <w:t>neurology group’</w:t>
      </w:r>
      <w:r w:rsidR="001E0CE9">
        <w:rPr>
          <w:rFonts w:ascii="Calibri" w:hAnsi="Calibri" w:cs="Calibri"/>
        </w:rPr>
        <w:t>. T</w:t>
      </w:r>
      <w:r w:rsidRPr="00280CB8">
        <w:rPr>
          <w:rFonts w:ascii="Calibri" w:hAnsi="Calibri" w:cs="Calibri"/>
        </w:rPr>
        <w:t>hose with neurological features in the context of PIMS-TS were classified as the ‘PIMS-TS neurology group</w:t>
      </w:r>
      <w:r w:rsidR="00B92008">
        <w:rPr>
          <w:rFonts w:ascii="Calibri" w:hAnsi="Calibri" w:cs="Calibri"/>
        </w:rPr>
        <w:t>’</w:t>
      </w:r>
      <w:r w:rsidRPr="00280CB8">
        <w:rPr>
          <w:rFonts w:ascii="Calibri" w:hAnsi="Calibri" w:cs="Calibri"/>
        </w:rPr>
        <w:t>. The diagnosis of PIMS-TS was made in tertiary paediatric units by the multi-disciplinary teams responsible for the patient’s care. All cases were reviewed by a panel of paediatric neurologists, infectious diseases clinicians and a neuroradiologist. When children fulfilled multiple clinical case definitions, the primary diagnosis was adjudicated by the panel. Children with Guillain-Barré syndrome (GBS), Acute Disseminated Encephalomyelitis (ADEM), other Acute Demyelinating Syndromes (ADS), and autoimmune encephalitis (13-17), which are recognised para or post-infectious immune mediated neurological disorders, were defined as having “neuro-immune disorders”. Combined acute phase reactants were defined as lactate dehydrogenase (LDH), ferritin, and D-dimers. Ethnicity was defined by National Health Service (NHS) coding criteria (18).</w:t>
      </w:r>
    </w:p>
    <w:p w14:paraId="141EB42F" w14:textId="77777777" w:rsidR="00EA2729" w:rsidRPr="00280CB8" w:rsidRDefault="00EA2729" w:rsidP="00881173">
      <w:pPr>
        <w:spacing w:line="360" w:lineRule="auto"/>
        <w:rPr>
          <w:rFonts w:ascii="Calibri" w:hAnsi="Calibri" w:cs="Calibri"/>
        </w:rPr>
      </w:pPr>
      <w:r w:rsidRPr="00280CB8">
        <w:rPr>
          <w:rFonts w:ascii="Calibri" w:hAnsi="Calibri" w:cs="Calibri"/>
        </w:rPr>
        <w:t xml:space="preserve"> </w:t>
      </w:r>
    </w:p>
    <w:p w14:paraId="78F31A3B" w14:textId="77777777" w:rsidR="00EA2729" w:rsidRPr="00280CB8" w:rsidRDefault="00EA2729" w:rsidP="00881173">
      <w:pPr>
        <w:spacing w:line="360" w:lineRule="auto"/>
        <w:rPr>
          <w:rFonts w:ascii="Calibri" w:hAnsi="Calibri" w:cs="Calibri"/>
        </w:rPr>
      </w:pPr>
      <w:r w:rsidRPr="00280CB8">
        <w:rPr>
          <w:rFonts w:ascii="Calibri" w:hAnsi="Calibri" w:cs="Calibri"/>
        </w:rPr>
        <w:t xml:space="preserve">A good recovery was defined as a Modified Rankin Scale (mRS) 0-1, reflecting no significant disability or no ongoing symptoms or back to baseline for those with a pre-existing neurological disorder; those with a mRS scale of 2-5 were defined as some degree of disability (12). The neurological features or imaging findings of 15 cases (supplementary table 1) have been published previously (8, 9, 19, 20). These cases were included to reflect the full spectrum of neurological complications of paediatric COVID-19 in the UK. </w:t>
      </w:r>
    </w:p>
    <w:p w14:paraId="21423B40" w14:textId="77777777" w:rsidR="00EA2729" w:rsidRPr="00280CB8" w:rsidRDefault="00EA2729" w:rsidP="00881173">
      <w:pPr>
        <w:spacing w:line="360" w:lineRule="auto"/>
        <w:rPr>
          <w:rFonts w:ascii="Calibri" w:hAnsi="Calibri" w:cs="Calibri"/>
        </w:rPr>
      </w:pPr>
    </w:p>
    <w:p w14:paraId="50B06110" w14:textId="755E7B50" w:rsidR="00B7582D" w:rsidRDefault="00EA2729" w:rsidP="00881173">
      <w:pPr>
        <w:spacing w:line="360" w:lineRule="auto"/>
        <w:rPr>
          <w:rFonts w:ascii="Calibri" w:hAnsi="Calibri" w:cs="Calibri"/>
          <w:b/>
          <w:bCs/>
        </w:rPr>
      </w:pPr>
      <w:r w:rsidRPr="00280CB8">
        <w:rPr>
          <w:rFonts w:ascii="Calibri" w:hAnsi="Calibri" w:cs="Calibri"/>
          <w:b/>
          <w:bCs/>
        </w:rPr>
        <w:t xml:space="preserve">Data </w:t>
      </w:r>
      <w:r w:rsidR="00E31EEA">
        <w:rPr>
          <w:rFonts w:ascii="Calibri" w:hAnsi="Calibri" w:cs="Calibri"/>
          <w:b/>
          <w:bCs/>
        </w:rPr>
        <w:t>management</w:t>
      </w:r>
    </w:p>
    <w:p w14:paraId="27D5456F" w14:textId="77777777" w:rsidR="00B7582D" w:rsidRDefault="00EA2729" w:rsidP="00881173">
      <w:pPr>
        <w:spacing w:line="360" w:lineRule="auto"/>
        <w:rPr>
          <w:rFonts w:ascii="Calibri" w:hAnsi="Calibri" w:cs="Calibri"/>
        </w:rPr>
      </w:pPr>
      <w:r w:rsidRPr="00280CB8">
        <w:rPr>
          <w:rFonts w:ascii="Calibri" w:hAnsi="Calibri" w:cs="Calibri"/>
        </w:rPr>
        <w:t xml:space="preserve">Data were transferred from the online platform to spreadsheet format (Excel 2016, Windows) using a custom Python script (21). Free text fields describing rationale and context for selections in dropdown lists were manually converted into coded data. </w:t>
      </w:r>
    </w:p>
    <w:p w14:paraId="23C116BF" w14:textId="77777777" w:rsidR="00B7582D" w:rsidRDefault="00B7582D" w:rsidP="00881173">
      <w:pPr>
        <w:spacing w:line="360" w:lineRule="auto"/>
        <w:rPr>
          <w:rFonts w:ascii="Calibri" w:hAnsi="Calibri" w:cs="Calibri"/>
        </w:rPr>
      </w:pPr>
    </w:p>
    <w:p w14:paraId="1EE2EB88" w14:textId="77777777" w:rsidR="00B7582D" w:rsidRPr="00280CB8" w:rsidRDefault="00B7582D" w:rsidP="00B7582D">
      <w:pPr>
        <w:spacing w:line="360" w:lineRule="auto"/>
        <w:rPr>
          <w:rFonts w:ascii="Calibri" w:hAnsi="Calibri" w:cs="Calibri"/>
          <w:b/>
          <w:bCs/>
        </w:rPr>
      </w:pPr>
      <w:r>
        <w:rPr>
          <w:rFonts w:ascii="Calibri" w:hAnsi="Calibri" w:cs="Calibri"/>
          <w:b/>
          <w:bCs/>
        </w:rPr>
        <w:t>S</w:t>
      </w:r>
      <w:r w:rsidRPr="00280CB8">
        <w:rPr>
          <w:rFonts w:ascii="Calibri" w:hAnsi="Calibri" w:cs="Calibri"/>
          <w:b/>
          <w:bCs/>
        </w:rPr>
        <w:t>tatistic</w:t>
      </w:r>
      <w:r>
        <w:rPr>
          <w:rFonts w:ascii="Calibri" w:hAnsi="Calibri" w:cs="Calibri"/>
          <w:b/>
          <w:bCs/>
        </w:rPr>
        <w:t>al analysis</w:t>
      </w:r>
    </w:p>
    <w:p w14:paraId="574E1661" w14:textId="27AC7A00" w:rsidR="00B7582D" w:rsidRPr="005C3AF9" w:rsidRDefault="00EA2729" w:rsidP="00B7582D">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right="618"/>
        <w:rPr>
          <w:rFonts w:ascii="Calibri" w:hAnsi="Calibri" w:cs="Calibri"/>
          <w:sz w:val="24"/>
          <w:szCs w:val="24"/>
        </w:rPr>
      </w:pPr>
      <w:r w:rsidRPr="00E84C38">
        <w:rPr>
          <w:rFonts w:ascii="Calibri" w:hAnsi="Calibri" w:cs="Calibri"/>
          <w:sz w:val="24"/>
          <w:szCs w:val="24"/>
        </w:rPr>
        <w:t>Statistical analysis was performed with Stata (version 15.1; StataCorp LLC, 2017) and GraphPad Prism v9.0.0 (GraphPad Software, LLC). Normality of distribution was assessed using D’Agostino-Pearson Omnibus normality tests. Data were analysed using descriptive statistics (median, range, percentages) and group comparison tests with student’s t tests or Mann Whitney U tests for continuous variables and chi-squared for categorical variable</w:t>
      </w:r>
      <w:r w:rsidR="00B7582D" w:rsidRPr="00E84C38">
        <w:rPr>
          <w:rFonts w:ascii="Calibri" w:hAnsi="Calibri" w:cs="Calibri"/>
          <w:sz w:val="24"/>
          <w:szCs w:val="24"/>
        </w:rPr>
        <w:t xml:space="preserve">s, </w:t>
      </w:r>
      <w:r w:rsidRPr="00E84C38">
        <w:rPr>
          <w:rFonts w:ascii="Calibri" w:hAnsi="Calibri" w:cs="Calibri"/>
          <w:sz w:val="24"/>
          <w:szCs w:val="24"/>
        </w:rPr>
        <w:t xml:space="preserve">with two-sided p values &lt;0.05 considered statistically significant. </w:t>
      </w:r>
      <w:r w:rsidR="00B7582D" w:rsidRPr="00E84C38">
        <w:rPr>
          <w:rFonts w:ascii="Calibri" w:hAnsi="Calibri" w:cs="Calibri"/>
          <w:sz w:val="24"/>
          <w:szCs w:val="24"/>
        </w:rPr>
        <w:t xml:space="preserve">The Kruskal-Wallis test </w:t>
      </w:r>
      <w:r w:rsidR="00E31EEA" w:rsidRPr="00E84C38">
        <w:rPr>
          <w:rFonts w:ascii="Calibri" w:hAnsi="Calibri" w:cs="Calibri"/>
          <w:sz w:val="24"/>
          <w:szCs w:val="24"/>
        </w:rPr>
        <w:t xml:space="preserve">with </w:t>
      </w:r>
      <w:r w:rsidR="00ED16D9" w:rsidRPr="00E84C38">
        <w:rPr>
          <w:rFonts w:ascii="Calibri" w:hAnsi="Calibri" w:cs="Calibri"/>
          <w:sz w:val="24"/>
          <w:szCs w:val="24"/>
        </w:rPr>
        <w:t xml:space="preserve">Dunn’s multiple group comparison test </w:t>
      </w:r>
      <w:r w:rsidR="00B7582D" w:rsidRPr="00E84C38">
        <w:rPr>
          <w:rFonts w:ascii="Calibri" w:hAnsi="Calibri" w:cs="Calibri"/>
          <w:sz w:val="24"/>
          <w:szCs w:val="24"/>
        </w:rPr>
        <w:t>w</w:t>
      </w:r>
      <w:r w:rsidR="00ED16D9" w:rsidRPr="00E84C38">
        <w:rPr>
          <w:rFonts w:ascii="Calibri" w:hAnsi="Calibri" w:cs="Calibri"/>
          <w:sz w:val="24"/>
          <w:szCs w:val="24"/>
        </w:rPr>
        <w:t>ere</w:t>
      </w:r>
      <w:r w:rsidR="00B7582D" w:rsidRPr="00E84C38">
        <w:rPr>
          <w:rFonts w:ascii="Calibri" w:hAnsi="Calibri" w:cs="Calibri"/>
          <w:sz w:val="24"/>
          <w:szCs w:val="24"/>
        </w:rPr>
        <w:t xml:space="preserve"> used to determine any significant difference </w:t>
      </w:r>
      <w:r w:rsidR="00ED16D9" w:rsidRPr="00E84C38">
        <w:rPr>
          <w:rFonts w:ascii="Calibri" w:hAnsi="Calibri" w:cs="Calibri"/>
          <w:sz w:val="24"/>
          <w:szCs w:val="24"/>
        </w:rPr>
        <w:t xml:space="preserve">in </w:t>
      </w:r>
      <w:r w:rsidR="00B7582D" w:rsidRPr="00E84C38">
        <w:rPr>
          <w:rFonts w:ascii="Calibri" w:hAnsi="Calibri" w:cs="Calibri"/>
          <w:sz w:val="24"/>
          <w:szCs w:val="24"/>
        </w:rPr>
        <w:t xml:space="preserve">temporality </w:t>
      </w:r>
      <w:r w:rsidR="00ED16D9" w:rsidRPr="00E84C38">
        <w:rPr>
          <w:rFonts w:ascii="Calibri" w:hAnsi="Calibri" w:cs="Calibri"/>
          <w:sz w:val="24"/>
          <w:szCs w:val="24"/>
        </w:rPr>
        <w:t xml:space="preserve">of initial COVID-19 related symptoms to onset of neurological symptoms between groups. </w:t>
      </w:r>
    </w:p>
    <w:p w14:paraId="106346BF" w14:textId="69BD6FFC" w:rsidR="00EA2729" w:rsidRDefault="00EA2729" w:rsidP="00881173">
      <w:pPr>
        <w:spacing w:line="360" w:lineRule="auto"/>
        <w:rPr>
          <w:rFonts w:ascii="Calibri" w:hAnsi="Calibri" w:cs="Calibri"/>
        </w:rPr>
      </w:pPr>
    </w:p>
    <w:p w14:paraId="7C08944C" w14:textId="702E0F15" w:rsidR="00086077" w:rsidRPr="00086077" w:rsidRDefault="00086077" w:rsidP="00881173">
      <w:pPr>
        <w:spacing w:line="360" w:lineRule="auto"/>
        <w:rPr>
          <w:rFonts w:cstheme="minorHAnsi"/>
        </w:rPr>
      </w:pPr>
    </w:p>
    <w:p w14:paraId="4B8A22A7" w14:textId="77777777" w:rsidR="00086077" w:rsidRPr="00086077" w:rsidRDefault="00086077" w:rsidP="00086077">
      <w:pPr>
        <w:spacing w:line="360" w:lineRule="auto"/>
        <w:rPr>
          <w:rFonts w:eastAsia="Arial" w:cstheme="minorHAnsi"/>
          <w:b/>
          <w:color w:val="000000" w:themeColor="text1"/>
        </w:rPr>
      </w:pPr>
      <w:r w:rsidRPr="00086077">
        <w:rPr>
          <w:rFonts w:eastAsia="Arial" w:cstheme="minorHAnsi"/>
          <w:b/>
          <w:color w:val="000000" w:themeColor="text1"/>
        </w:rPr>
        <w:t>Role of the funding source</w:t>
      </w:r>
    </w:p>
    <w:p w14:paraId="0D603D0F" w14:textId="1ED12639" w:rsidR="00086077" w:rsidRPr="00086077" w:rsidRDefault="00086077" w:rsidP="00086077">
      <w:pPr>
        <w:spacing w:line="360" w:lineRule="auto"/>
        <w:rPr>
          <w:rFonts w:eastAsia="Arial" w:cstheme="minorHAnsi"/>
          <w:color w:val="000000" w:themeColor="text1"/>
        </w:rPr>
      </w:pPr>
      <w:r w:rsidRPr="00086077">
        <w:rPr>
          <w:rFonts w:eastAsia="Arial" w:cstheme="minorHAnsi"/>
          <w:color w:val="000000" w:themeColor="text1"/>
        </w:rPr>
        <w:t xml:space="preserve">The funders of the study had no role in study design, data collection, data analyses, data interpretation, or writing of the article. The corresponding authors had full access to all the </w:t>
      </w:r>
      <w:r w:rsidR="005C3AF9" w:rsidRPr="00086077">
        <w:rPr>
          <w:rFonts w:eastAsia="Arial" w:cstheme="minorHAnsi"/>
          <w:color w:val="000000" w:themeColor="text1"/>
        </w:rPr>
        <w:t>data and</w:t>
      </w:r>
      <w:r w:rsidRPr="00086077">
        <w:rPr>
          <w:rFonts w:eastAsia="Arial" w:cstheme="minorHAnsi"/>
          <w:color w:val="000000" w:themeColor="text1"/>
        </w:rPr>
        <w:t xml:space="preserve"> had final responsibility for the decision to submit for publication.</w:t>
      </w:r>
    </w:p>
    <w:p w14:paraId="4B9DCB21" w14:textId="77777777" w:rsidR="00EA2729" w:rsidRPr="00280CB8" w:rsidRDefault="00EA2729" w:rsidP="00881173">
      <w:pPr>
        <w:spacing w:line="360" w:lineRule="auto"/>
        <w:rPr>
          <w:rFonts w:ascii="Calibri" w:hAnsi="Calibri" w:cs="Calibri"/>
        </w:rPr>
      </w:pPr>
    </w:p>
    <w:p w14:paraId="7F867E3C" w14:textId="77777777" w:rsidR="00EA2729" w:rsidRPr="00280CB8" w:rsidRDefault="00EA2729" w:rsidP="00881173">
      <w:pPr>
        <w:spacing w:line="360" w:lineRule="auto"/>
        <w:rPr>
          <w:rFonts w:ascii="Calibri" w:hAnsi="Calibri" w:cs="Calibri"/>
          <w:b/>
          <w:bCs/>
          <w:sz w:val="36"/>
          <w:szCs w:val="36"/>
        </w:rPr>
      </w:pPr>
      <w:r w:rsidRPr="00280CB8">
        <w:rPr>
          <w:rFonts w:ascii="Calibri" w:hAnsi="Calibri" w:cs="Calibri"/>
          <w:b/>
          <w:bCs/>
          <w:sz w:val="36"/>
          <w:szCs w:val="36"/>
        </w:rPr>
        <w:t>Results</w:t>
      </w:r>
    </w:p>
    <w:p w14:paraId="65A5CE6A" w14:textId="77777777" w:rsidR="00EA2729" w:rsidRPr="00280CB8" w:rsidRDefault="00EA2729" w:rsidP="00881173">
      <w:pPr>
        <w:spacing w:line="360" w:lineRule="auto"/>
        <w:rPr>
          <w:rFonts w:ascii="Calibri" w:hAnsi="Calibri" w:cs="Calibri"/>
        </w:rPr>
      </w:pPr>
      <w:r w:rsidRPr="00280CB8">
        <w:rPr>
          <w:rFonts w:ascii="Calibri" w:hAnsi="Calibri" w:cs="Calibri"/>
        </w:rPr>
        <w:t xml:space="preserve">From 2nd April 2020 to 1st February 2021, the </w:t>
      </w:r>
      <w:r w:rsidRPr="00E84C38">
        <w:rPr>
          <w:rFonts w:ascii="Calibri" w:hAnsi="Calibri" w:cs="Calibri"/>
          <w:i/>
          <w:iCs/>
        </w:rPr>
        <w:t>Coro</w:t>
      </w:r>
      <w:r w:rsidRPr="00280CB8">
        <w:rPr>
          <w:rFonts w:ascii="Calibri" w:hAnsi="Calibri" w:cs="Calibri"/>
        </w:rPr>
        <w:t xml:space="preserve">Nerve Study received notification of 63 paediatric cases that were geographically dispersed across the UK (Figure 1). Six cases were excluded as they did not have a neurological consultation and/or investigations; </w:t>
      </w:r>
    </w:p>
    <w:p w14:paraId="24EC93D9" w14:textId="77777777" w:rsidR="00EA2729" w:rsidRPr="00280CB8" w:rsidRDefault="00EA2729" w:rsidP="00881173">
      <w:pPr>
        <w:spacing w:line="360" w:lineRule="auto"/>
        <w:rPr>
          <w:rFonts w:ascii="Calibri" w:hAnsi="Calibri" w:cs="Calibri"/>
        </w:rPr>
      </w:pPr>
      <w:r w:rsidRPr="00280CB8">
        <w:rPr>
          <w:rFonts w:ascii="Calibri" w:hAnsi="Calibri" w:cs="Calibri"/>
        </w:rPr>
        <w:t xml:space="preserve">four of whom had PIMS-TS, one had congenital heart disease and brief encephalopathy and one had a pre-existing psychiatric disorder with worsening of symptoms (appendix 3). A further five cases were excluded due to insufficient evidence of SARS-CoV-2 infection (appendix 4). </w:t>
      </w:r>
    </w:p>
    <w:p w14:paraId="22F0AF6B" w14:textId="77777777" w:rsidR="00EA2729" w:rsidRPr="00280CB8" w:rsidRDefault="00EA2729" w:rsidP="00881173">
      <w:pPr>
        <w:spacing w:line="360" w:lineRule="auto"/>
        <w:rPr>
          <w:rFonts w:ascii="Calibri" w:hAnsi="Calibri" w:cs="Calibri"/>
        </w:rPr>
      </w:pPr>
    </w:p>
    <w:p w14:paraId="06866F92" w14:textId="04FC1CE6" w:rsidR="00EA2729" w:rsidRPr="00280CB8" w:rsidRDefault="00EA2729" w:rsidP="00881173">
      <w:pPr>
        <w:spacing w:line="360" w:lineRule="auto"/>
        <w:rPr>
          <w:rFonts w:ascii="Calibri" w:hAnsi="Calibri" w:cs="Calibri"/>
          <w:b/>
          <w:bCs/>
        </w:rPr>
      </w:pPr>
      <w:r w:rsidRPr="00280CB8">
        <w:rPr>
          <w:rFonts w:ascii="Calibri" w:hAnsi="Calibri" w:cs="Calibri"/>
          <w:b/>
          <w:bCs/>
        </w:rPr>
        <w:t xml:space="preserve">Demographics and </w:t>
      </w:r>
      <w:r w:rsidR="004340C3">
        <w:rPr>
          <w:rFonts w:ascii="Calibri" w:hAnsi="Calibri" w:cs="Calibri"/>
          <w:b/>
          <w:bCs/>
        </w:rPr>
        <w:t>prevalence</w:t>
      </w:r>
      <w:r w:rsidRPr="00280CB8">
        <w:rPr>
          <w:rFonts w:ascii="Calibri" w:hAnsi="Calibri" w:cs="Calibri"/>
          <w:b/>
          <w:bCs/>
        </w:rPr>
        <w:t xml:space="preserve"> </w:t>
      </w:r>
    </w:p>
    <w:p w14:paraId="6E72E364" w14:textId="21FF7E73" w:rsidR="00EA2729" w:rsidRPr="00280CB8" w:rsidRDefault="00EA2729" w:rsidP="00881173">
      <w:pPr>
        <w:spacing w:line="360" w:lineRule="auto"/>
        <w:rPr>
          <w:rFonts w:ascii="Calibri" w:hAnsi="Calibri" w:cs="Calibri"/>
        </w:rPr>
      </w:pPr>
      <w:r w:rsidRPr="00280CB8">
        <w:rPr>
          <w:rFonts w:ascii="Calibri" w:hAnsi="Calibri" w:cs="Calibri"/>
        </w:rPr>
        <w:t xml:space="preserve">For the 52 remaining cases, the median (range) age was nine (1-17) years; 30 (58%) were male. Thirty-six (69%) were from Black (20 [38%]) or Asian (16 [31%]) backgrounds and 16 (31%) were of </w:t>
      </w:r>
      <w:r w:rsidR="00AB2139">
        <w:rPr>
          <w:rFonts w:ascii="Calibri" w:hAnsi="Calibri" w:cs="Calibri"/>
        </w:rPr>
        <w:t>W</w:t>
      </w:r>
      <w:r w:rsidRPr="00280CB8">
        <w:rPr>
          <w:rFonts w:ascii="Calibri" w:hAnsi="Calibri" w:cs="Calibri"/>
        </w:rPr>
        <w:t xml:space="preserve">hite ethnicity. Ten (19%) had a pre-existing neurological or developmental condition. Four (8%) had other pre-existing conditions (table </w:t>
      </w:r>
      <w:r w:rsidR="00B94B7A">
        <w:rPr>
          <w:rFonts w:ascii="Calibri" w:hAnsi="Calibri" w:cs="Calibri"/>
        </w:rPr>
        <w:t>3</w:t>
      </w:r>
      <w:r w:rsidRPr="00280CB8">
        <w:rPr>
          <w:rFonts w:ascii="Calibri" w:hAnsi="Calibri" w:cs="Calibri"/>
        </w:rPr>
        <w:t>; supplementary table 1). Respiratory symptoms were present in 12 (23%) at admission. Eight (15%) had isolated neurological or psychiatric features (PCR for respiratory secretions were positive for SARS-CoV-2). Twenty-seven (52%) were class</w:t>
      </w:r>
      <w:r w:rsidR="00A52AB7">
        <w:rPr>
          <w:rFonts w:ascii="Calibri" w:hAnsi="Calibri" w:cs="Calibri"/>
        </w:rPr>
        <w:t>ified</w:t>
      </w:r>
      <w:r w:rsidRPr="00280CB8">
        <w:rPr>
          <w:rFonts w:ascii="Calibri" w:hAnsi="Calibri" w:cs="Calibri"/>
        </w:rPr>
        <w:t xml:space="preserve"> as being in the COVID</w:t>
      </w:r>
      <w:r w:rsidR="00825001">
        <w:rPr>
          <w:rFonts w:ascii="Calibri" w:hAnsi="Calibri" w:cs="Calibri"/>
        </w:rPr>
        <w:t>-19</w:t>
      </w:r>
      <w:r w:rsidR="00964671">
        <w:rPr>
          <w:rFonts w:ascii="Calibri" w:hAnsi="Calibri" w:cs="Calibri"/>
        </w:rPr>
        <w:t xml:space="preserve"> </w:t>
      </w:r>
      <w:r w:rsidRPr="00280CB8">
        <w:rPr>
          <w:rFonts w:ascii="Calibri" w:hAnsi="Calibri" w:cs="Calibri"/>
        </w:rPr>
        <w:t>neurology group and 25 (48%) the PIMS-TS neurology group.  PIMS-TS cases were more likely to be of Asian or Black ethnicity than those in the COVID</w:t>
      </w:r>
      <w:r w:rsidR="00825001">
        <w:rPr>
          <w:rFonts w:ascii="Calibri" w:hAnsi="Calibri" w:cs="Calibri"/>
        </w:rPr>
        <w:t>-19</w:t>
      </w:r>
      <w:r w:rsidR="00964671">
        <w:rPr>
          <w:rFonts w:ascii="Calibri" w:hAnsi="Calibri" w:cs="Calibri"/>
        </w:rPr>
        <w:t xml:space="preserve"> </w:t>
      </w:r>
      <w:r w:rsidRPr="00280CB8">
        <w:rPr>
          <w:rFonts w:ascii="Calibri" w:hAnsi="Calibri" w:cs="Calibri"/>
        </w:rPr>
        <w:t xml:space="preserve">neurology group 22/25 (88%) vs 14/25 (56%), p=0.048). During the same period 1,334 children were admitted to English hospitals with COVID-19. Excluding a case from Scotland, the minimum estimated </w:t>
      </w:r>
      <w:r w:rsidR="004340C3">
        <w:rPr>
          <w:rFonts w:ascii="Calibri" w:hAnsi="Calibri" w:cs="Calibri"/>
        </w:rPr>
        <w:t>prevalence</w:t>
      </w:r>
      <w:r w:rsidRPr="00280CB8">
        <w:rPr>
          <w:rFonts w:ascii="Calibri" w:hAnsi="Calibri" w:cs="Calibri"/>
        </w:rPr>
        <w:t xml:space="preserve"> of neurological and psychiatric complications in hospitalised children with COVID-19 in England was 51/1,334 = 0.038 (C.I 0.029-0.050, SE 0.99) i.e. 3.8 per 100 paediatric cases admitted. The </w:t>
      </w:r>
      <w:r w:rsidR="004340C3">
        <w:rPr>
          <w:rFonts w:ascii="Calibri" w:hAnsi="Calibri" w:cs="Calibri"/>
        </w:rPr>
        <w:t>prevalence</w:t>
      </w:r>
      <w:r w:rsidRPr="00280CB8">
        <w:rPr>
          <w:rFonts w:ascii="Calibri" w:hAnsi="Calibri" w:cs="Calibri"/>
        </w:rPr>
        <w:t xml:space="preserve"> ranged from 1.8-8.1 cases per 100 depending on the region of referral; the highest </w:t>
      </w:r>
      <w:r w:rsidR="004340C3">
        <w:rPr>
          <w:rFonts w:ascii="Calibri" w:hAnsi="Calibri" w:cs="Calibri"/>
        </w:rPr>
        <w:t>prevalence</w:t>
      </w:r>
      <w:r w:rsidRPr="00280CB8">
        <w:rPr>
          <w:rFonts w:ascii="Calibri" w:hAnsi="Calibri" w:cs="Calibri"/>
        </w:rPr>
        <w:t xml:space="preserve"> was in London.</w:t>
      </w:r>
    </w:p>
    <w:p w14:paraId="488A6BBD" w14:textId="77777777" w:rsidR="00EA2729" w:rsidRPr="00280CB8" w:rsidRDefault="00EA2729" w:rsidP="00881173">
      <w:pPr>
        <w:spacing w:line="360" w:lineRule="auto"/>
        <w:rPr>
          <w:rFonts w:ascii="Calibri" w:hAnsi="Calibri" w:cs="Calibri"/>
        </w:rPr>
      </w:pPr>
    </w:p>
    <w:p w14:paraId="0154079B" w14:textId="77777777" w:rsidR="00EA2729" w:rsidRPr="00280CB8" w:rsidRDefault="00EA2729" w:rsidP="00881173">
      <w:pPr>
        <w:spacing w:line="360" w:lineRule="auto"/>
        <w:rPr>
          <w:rFonts w:ascii="Calibri" w:hAnsi="Calibri" w:cs="Calibri"/>
          <w:b/>
          <w:bCs/>
        </w:rPr>
      </w:pPr>
      <w:r w:rsidRPr="00280CB8">
        <w:rPr>
          <w:rFonts w:ascii="Calibri" w:hAnsi="Calibri" w:cs="Calibri"/>
          <w:b/>
          <w:bCs/>
        </w:rPr>
        <w:t xml:space="preserve">Clinical features </w:t>
      </w:r>
    </w:p>
    <w:p w14:paraId="0FB485E6" w14:textId="77777777" w:rsidR="00EA2729" w:rsidRPr="00280CB8" w:rsidRDefault="00EA2729" w:rsidP="00881173">
      <w:pPr>
        <w:spacing w:line="360" w:lineRule="auto"/>
        <w:rPr>
          <w:rFonts w:ascii="Calibri" w:hAnsi="Calibri" w:cs="Calibri"/>
        </w:rPr>
      </w:pPr>
      <w:r w:rsidRPr="00280CB8">
        <w:rPr>
          <w:rFonts w:ascii="Calibri" w:hAnsi="Calibri" w:cs="Calibri"/>
        </w:rPr>
        <w:t xml:space="preserve">Systemic features (fever, rash, hypotension, shock) were present in 40 (77%); with 10 (19%) having cardiovascular shock (nine of whom had PIMS-TS). Systemic features were more common in the PIMS-TS neurology group: 25 out of 25 versus 15 out of 27 (p=0.0234).  Other features included respiratory symptoms in 12 (23%), seizures in 12 (23%), 9 (17%) with status epilepticus and cardiovascular shock in 10 (19%), nine of whom had PIMS-TS. </w:t>
      </w:r>
    </w:p>
    <w:p w14:paraId="1B819210" w14:textId="77777777" w:rsidR="00EA2729" w:rsidRPr="00280CB8" w:rsidRDefault="00EA2729" w:rsidP="00881173">
      <w:pPr>
        <w:spacing w:line="360" w:lineRule="auto"/>
        <w:rPr>
          <w:rFonts w:ascii="Calibri" w:hAnsi="Calibri" w:cs="Calibri"/>
        </w:rPr>
      </w:pPr>
    </w:p>
    <w:p w14:paraId="54CD360F" w14:textId="2D7DB4A9" w:rsidR="00EA2729" w:rsidRPr="00280CB8" w:rsidRDefault="00EA2729" w:rsidP="00881173">
      <w:pPr>
        <w:spacing w:line="360" w:lineRule="auto"/>
        <w:rPr>
          <w:rFonts w:ascii="Calibri" w:hAnsi="Calibri" w:cs="Calibri"/>
        </w:rPr>
      </w:pPr>
      <w:r w:rsidRPr="00280CB8">
        <w:rPr>
          <w:rFonts w:ascii="Calibri" w:hAnsi="Calibri" w:cs="Calibri"/>
        </w:rPr>
        <w:t>In the COVID</w:t>
      </w:r>
      <w:r w:rsidR="00825001">
        <w:rPr>
          <w:rFonts w:ascii="Calibri" w:hAnsi="Calibri" w:cs="Calibri"/>
        </w:rPr>
        <w:t>-19</w:t>
      </w:r>
      <w:r w:rsidR="00964671">
        <w:rPr>
          <w:rFonts w:ascii="Calibri" w:hAnsi="Calibri" w:cs="Calibri"/>
        </w:rPr>
        <w:t xml:space="preserve"> </w:t>
      </w:r>
      <w:r w:rsidRPr="00280CB8">
        <w:rPr>
          <w:rFonts w:ascii="Calibri" w:hAnsi="Calibri" w:cs="Calibri"/>
        </w:rPr>
        <w:t>neurology group (n=27), 14 (52%) children had encephalopathy compared with 22 (88%) in the PIMS-TS neurology group (p=0.0048). Of these 14, seven developed an encephalopathy associated with status epilepticus; three of whom did not have pre-existing epilepsy, five had encephalitis, two had an isolated encephalopathy. Thirteen (48%) presented with a recognised neuro-immune disorder (five GBS, four ADEM three of whom had myelin oligodendrocyte (MOG) antibodies, three other ADS, one autoimmune [limbic] encephalitis) compared with only one (4%) in the PIMS-TS neurology group (ADEM with MOG antibod</w:t>
      </w:r>
      <w:r w:rsidR="00A52AB7">
        <w:rPr>
          <w:rFonts w:ascii="Calibri" w:hAnsi="Calibri" w:cs="Calibri"/>
        </w:rPr>
        <w:t>ies</w:t>
      </w:r>
      <w:r w:rsidRPr="00280CB8">
        <w:rPr>
          <w:rFonts w:ascii="Calibri" w:hAnsi="Calibri" w:cs="Calibri"/>
        </w:rPr>
        <w:t xml:space="preserve">), p=0.0003. Two (7%) presented with acute psychosis and two (7%) with chorea. One child with a previous basal ganglia stroke was diagnosed with a transient ischaemic attack. </w:t>
      </w:r>
    </w:p>
    <w:p w14:paraId="5F9FAF28" w14:textId="77777777" w:rsidR="00EA2729" w:rsidRPr="00280CB8" w:rsidRDefault="00EA2729" w:rsidP="00881173">
      <w:pPr>
        <w:spacing w:line="360" w:lineRule="auto"/>
        <w:rPr>
          <w:rFonts w:ascii="Calibri" w:hAnsi="Calibri" w:cs="Calibri"/>
        </w:rPr>
      </w:pPr>
    </w:p>
    <w:p w14:paraId="0C0F81A1" w14:textId="77777777" w:rsidR="00EA2729" w:rsidRPr="00280CB8" w:rsidRDefault="00EA2729" w:rsidP="00881173">
      <w:pPr>
        <w:spacing w:line="360" w:lineRule="auto"/>
        <w:rPr>
          <w:rFonts w:ascii="Calibri" w:hAnsi="Calibri" w:cs="Calibri"/>
        </w:rPr>
      </w:pPr>
      <w:r w:rsidRPr="00280CB8">
        <w:rPr>
          <w:rFonts w:ascii="Calibri" w:hAnsi="Calibri" w:cs="Calibri"/>
        </w:rPr>
        <w:t xml:space="preserve">Ten (40%) PIMS-TS neurology cases had features of peripheral nervous system involvement. Other common features in the PIMS-TS neurology group included nine (36%) with behavioural changes including six (24%) with hallucinations (at presentation) and ten (40%) with headache or meningism. Six (24%) had focal neurological signs (three ataxia, one hemiplegia associated with haemorrhagic stroke, one brainstem signs associated with ischaemic stroke, one left hemiplegia associated with ADEM. Four (16%) had seizures: three focal (status epilepticus in one) and one subtle motor seizures associated with on-going subclinical ictal activity. </w:t>
      </w:r>
    </w:p>
    <w:p w14:paraId="49ECA6C6" w14:textId="77777777" w:rsidR="00EA2729" w:rsidRPr="00280CB8" w:rsidRDefault="00EA2729" w:rsidP="00881173">
      <w:pPr>
        <w:spacing w:line="360" w:lineRule="auto"/>
        <w:rPr>
          <w:rFonts w:ascii="Calibri" w:hAnsi="Calibri" w:cs="Calibri"/>
        </w:rPr>
      </w:pPr>
    </w:p>
    <w:p w14:paraId="16C6D6FE" w14:textId="701C6BCD" w:rsidR="00EA2729" w:rsidRPr="00280CB8" w:rsidRDefault="00EA2729" w:rsidP="00881173">
      <w:pPr>
        <w:spacing w:line="360" w:lineRule="auto"/>
        <w:rPr>
          <w:rFonts w:ascii="Calibri" w:hAnsi="Calibri" w:cs="Calibri"/>
        </w:rPr>
      </w:pPr>
      <w:r w:rsidRPr="00280CB8">
        <w:rPr>
          <w:rFonts w:ascii="Calibri" w:hAnsi="Calibri" w:cs="Calibri"/>
        </w:rPr>
        <w:t>In the COVID</w:t>
      </w:r>
      <w:r w:rsidR="00825001">
        <w:rPr>
          <w:rFonts w:ascii="Calibri" w:hAnsi="Calibri" w:cs="Calibri"/>
        </w:rPr>
        <w:t>-19</w:t>
      </w:r>
      <w:r w:rsidR="00964671">
        <w:rPr>
          <w:rFonts w:ascii="Calibri" w:hAnsi="Calibri" w:cs="Calibri"/>
        </w:rPr>
        <w:t xml:space="preserve"> </w:t>
      </w:r>
      <w:r w:rsidRPr="00280CB8">
        <w:rPr>
          <w:rFonts w:ascii="Calibri" w:hAnsi="Calibri" w:cs="Calibri"/>
        </w:rPr>
        <w:t xml:space="preserve">neurology group, peripheral nervous system involvement occurred independently as a separate disorder: GBS in all 5 cases. In the PIMS-TS </w:t>
      </w:r>
      <w:r w:rsidR="00A229EF">
        <w:rPr>
          <w:rFonts w:ascii="Calibri" w:hAnsi="Calibri" w:cs="Calibri"/>
        </w:rPr>
        <w:t xml:space="preserve">neurology </w:t>
      </w:r>
      <w:r w:rsidRPr="00280CB8">
        <w:rPr>
          <w:rFonts w:ascii="Calibri" w:hAnsi="Calibri" w:cs="Calibri"/>
        </w:rPr>
        <w:t>group, the PNS involvement was part of the multisystem presentation (</w:t>
      </w:r>
      <w:r w:rsidR="00E36B56">
        <w:rPr>
          <w:rFonts w:ascii="Calibri" w:hAnsi="Calibri" w:cs="Calibri"/>
        </w:rPr>
        <w:t xml:space="preserve">appendix 2, </w:t>
      </w:r>
      <w:r w:rsidRPr="00280CB8">
        <w:rPr>
          <w:rFonts w:ascii="Calibri" w:hAnsi="Calibri" w:cs="Calibri"/>
        </w:rPr>
        <w:t xml:space="preserve">figure </w:t>
      </w:r>
      <w:r w:rsidR="00E36B56">
        <w:rPr>
          <w:rFonts w:ascii="Calibri" w:hAnsi="Calibri" w:cs="Calibri"/>
        </w:rPr>
        <w:t>1</w:t>
      </w:r>
      <w:r w:rsidRPr="00280CB8">
        <w:rPr>
          <w:rFonts w:ascii="Calibri" w:hAnsi="Calibri" w:cs="Calibri"/>
        </w:rPr>
        <w:t xml:space="preserve">). </w:t>
      </w:r>
    </w:p>
    <w:p w14:paraId="653298AD" w14:textId="77777777" w:rsidR="00EA2729" w:rsidRPr="00280CB8" w:rsidRDefault="00EA2729" w:rsidP="00881173">
      <w:pPr>
        <w:spacing w:line="360" w:lineRule="auto"/>
        <w:rPr>
          <w:rFonts w:ascii="Calibri" w:hAnsi="Calibri" w:cs="Calibri"/>
        </w:rPr>
      </w:pPr>
    </w:p>
    <w:p w14:paraId="61180CD9" w14:textId="0C2D38D8" w:rsidR="00EA2729" w:rsidRPr="00280CB8" w:rsidRDefault="00B10A6B" w:rsidP="00881173">
      <w:pPr>
        <w:spacing w:line="360" w:lineRule="auto"/>
        <w:rPr>
          <w:rFonts w:ascii="Calibri" w:hAnsi="Calibri" w:cs="Calibri"/>
        </w:rPr>
      </w:pPr>
      <w:r>
        <w:rPr>
          <w:rFonts w:ascii="Calibri" w:hAnsi="Calibri" w:cs="Calibri"/>
        </w:rPr>
        <w:t>The cases</w:t>
      </w:r>
      <w:r w:rsidR="00EA2729" w:rsidRPr="00280CB8">
        <w:rPr>
          <w:rFonts w:ascii="Calibri" w:hAnsi="Calibri" w:cs="Calibri"/>
        </w:rPr>
        <w:t xml:space="preserve"> </w:t>
      </w:r>
      <w:r>
        <w:rPr>
          <w:rFonts w:ascii="Calibri" w:hAnsi="Calibri" w:cs="Calibri"/>
        </w:rPr>
        <w:t xml:space="preserve">presenting </w:t>
      </w:r>
      <w:r w:rsidR="00EA2729" w:rsidRPr="00280CB8">
        <w:rPr>
          <w:rFonts w:ascii="Calibri" w:hAnsi="Calibri" w:cs="Calibri"/>
        </w:rPr>
        <w:t>with a recognised neuro-immune disorder in the COVID</w:t>
      </w:r>
      <w:r w:rsidR="00825001">
        <w:rPr>
          <w:rFonts w:ascii="Calibri" w:hAnsi="Calibri" w:cs="Calibri"/>
        </w:rPr>
        <w:t>-19</w:t>
      </w:r>
      <w:r w:rsidR="00964671">
        <w:rPr>
          <w:rFonts w:ascii="Calibri" w:hAnsi="Calibri" w:cs="Calibri"/>
        </w:rPr>
        <w:t xml:space="preserve"> </w:t>
      </w:r>
      <w:r w:rsidR="00EA2729" w:rsidRPr="00280CB8">
        <w:rPr>
          <w:rFonts w:ascii="Calibri" w:hAnsi="Calibri" w:cs="Calibri"/>
        </w:rPr>
        <w:t xml:space="preserve">neurology group </w:t>
      </w:r>
      <w:r>
        <w:rPr>
          <w:rFonts w:ascii="Calibri" w:hAnsi="Calibri" w:cs="Calibri"/>
        </w:rPr>
        <w:t xml:space="preserve">(table 4 subgroup a) </w:t>
      </w:r>
      <w:r w:rsidR="00EA2729" w:rsidRPr="00280CB8">
        <w:rPr>
          <w:rFonts w:ascii="Calibri" w:hAnsi="Calibri" w:cs="Calibri"/>
        </w:rPr>
        <w:t xml:space="preserve">and those in the PIMS-TS neurology group </w:t>
      </w:r>
      <w:r>
        <w:rPr>
          <w:rFonts w:ascii="Calibri" w:hAnsi="Calibri" w:cs="Calibri"/>
        </w:rPr>
        <w:t>(</w:t>
      </w:r>
      <w:r w:rsidR="00DB3966">
        <w:rPr>
          <w:rFonts w:ascii="Calibri" w:hAnsi="Calibri" w:cs="Calibri"/>
        </w:rPr>
        <w:t>t</w:t>
      </w:r>
      <w:r>
        <w:rPr>
          <w:rFonts w:ascii="Calibri" w:hAnsi="Calibri" w:cs="Calibri"/>
        </w:rPr>
        <w:t xml:space="preserve">able 3) </w:t>
      </w:r>
      <w:r w:rsidR="00EA2729" w:rsidRPr="00280CB8">
        <w:rPr>
          <w:rFonts w:ascii="Calibri" w:hAnsi="Calibri" w:cs="Calibri"/>
        </w:rPr>
        <w:t>were more likely to present later than those in the COVID</w:t>
      </w:r>
      <w:r w:rsidR="00825001">
        <w:rPr>
          <w:rFonts w:ascii="Calibri" w:hAnsi="Calibri" w:cs="Calibri"/>
        </w:rPr>
        <w:t>-19</w:t>
      </w:r>
      <w:r w:rsidR="00EA2729" w:rsidRPr="00280CB8">
        <w:rPr>
          <w:rFonts w:ascii="Calibri" w:hAnsi="Calibri" w:cs="Calibri"/>
        </w:rPr>
        <w:t xml:space="preserve"> neurology group </w:t>
      </w:r>
      <w:r>
        <w:rPr>
          <w:rFonts w:ascii="Calibri" w:hAnsi="Calibri" w:cs="Calibri"/>
        </w:rPr>
        <w:t>(</w:t>
      </w:r>
      <w:r w:rsidR="00DB3966">
        <w:rPr>
          <w:rFonts w:ascii="Calibri" w:hAnsi="Calibri" w:cs="Calibri"/>
        </w:rPr>
        <w:t>t</w:t>
      </w:r>
      <w:r>
        <w:rPr>
          <w:rFonts w:ascii="Calibri" w:hAnsi="Calibri" w:cs="Calibri"/>
        </w:rPr>
        <w:t xml:space="preserve">able 4 subgroup b) </w:t>
      </w:r>
      <w:r w:rsidR="00EA2729" w:rsidRPr="00280CB8">
        <w:rPr>
          <w:rFonts w:ascii="Calibri" w:hAnsi="Calibri" w:cs="Calibri"/>
        </w:rPr>
        <w:t xml:space="preserve">who did not have a </w:t>
      </w:r>
      <w:r>
        <w:rPr>
          <w:rFonts w:ascii="Calibri" w:hAnsi="Calibri" w:cs="Calibri"/>
        </w:rPr>
        <w:t xml:space="preserve">recognised </w:t>
      </w:r>
      <w:r w:rsidR="00EA2729" w:rsidRPr="00280CB8">
        <w:rPr>
          <w:rFonts w:ascii="Calibri" w:hAnsi="Calibri" w:cs="Calibri"/>
        </w:rPr>
        <w:t>neuro-immune disorder (p=0.027 and p=0.035 respectively).</w:t>
      </w:r>
    </w:p>
    <w:p w14:paraId="72B1BF2A" w14:textId="77777777" w:rsidR="00EA2729" w:rsidRPr="00280CB8" w:rsidRDefault="00EA2729" w:rsidP="00881173">
      <w:pPr>
        <w:spacing w:line="360" w:lineRule="auto"/>
        <w:rPr>
          <w:rFonts w:ascii="Calibri" w:hAnsi="Calibri" w:cs="Calibri"/>
        </w:rPr>
      </w:pPr>
    </w:p>
    <w:p w14:paraId="27FFA266" w14:textId="77777777" w:rsidR="00EA2729" w:rsidRPr="00280CB8" w:rsidRDefault="00EA2729" w:rsidP="00881173">
      <w:pPr>
        <w:spacing w:line="360" w:lineRule="auto"/>
        <w:rPr>
          <w:rFonts w:ascii="Calibri" w:hAnsi="Calibri" w:cs="Calibri"/>
          <w:b/>
          <w:bCs/>
        </w:rPr>
      </w:pPr>
      <w:r w:rsidRPr="00280CB8">
        <w:rPr>
          <w:rFonts w:ascii="Calibri" w:hAnsi="Calibri" w:cs="Calibri"/>
          <w:b/>
          <w:bCs/>
        </w:rPr>
        <w:t xml:space="preserve">Laboratory investigations </w:t>
      </w:r>
    </w:p>
    <w:p w14:paraId="1505EB83" w14:textId="163AA8B4" w:rsidR="00EA2729" w:rsidRPr="00280CB8" w:rsidRDefault="00EA2729" w:rsidP="00881173">
      <w:pPr>
        <w:spacing w:line="360" w:lineRule="auto"/>
        <w:rPr>
          <w:rFonts w:ascii="Calibri" w:hAnsi="Calibri" w:cs="Calibri"/>
        </w:rPr>
      </w:pPr>
      <w:r w:rsidRPr="00280CB8">
        <w:rPr>
          <w:rFonts w:ascii="Calibri" w:hAnsi="Calibri" w:cs="Calibri"/>
        </w:rPr>
        <w:t>SARS-CoV-2 PCR was detected by PCR of nasal secretions in 32 (62%) children; 21 (78%) in the COVID</w:t>
      </w:r>
      <w:r w:rsidR="00825001">
        <w:rPr>
          <w:rFonts w:ascii="Calibri" w:hAnsi="Calibri" w:cs="Calibri"/>
        </w:rPr>
        <w:t>-19</w:t>
      </w:r>
      <w:r w:rsidRPr="00280CB8">
        <w:rPr>
          <w:rFonts w:ascii="Calibri" w:hAnsi="Calibri" w:cs="Calibri"/>
        </w:rPr>
        <w:t xml:space="preserve"> neurology and 11 (44 %) in the PIMS-TS groups respectively (p=0.01). SARS-CoV-2 IgG antibody was detected in 12 (44 %) in the COVID</w:t>
      </w:r>
      <w:r w:rsidR="00E36B56">
        <w:rPr>
          <w:rFonts w:ascii="Calibri" w:hAnsi="Calibri" w:cs="Calibri"/>
        </w:rPr>
        <w:t>-19</w:t>
      </w:r>
      <w:r w:rsidR="00964671">
        <w:rPr>
          <w:rFonts w:ascii="Calibri" w:hAnsi="Calibri" w:cs="Calibri"/>
        </w:rPr>
        <w:t xml:space="preserve"> </w:t>
      </w:r>
      <w:r w:rsidR="00EC562E">
        <w:rPr>
          <w:rFonts w:ascii="Calibri" w:hAnsi="Calibri" w:cs="Calibri"/>
        </w:rPr>
        <w:t>neurology</w:t>
      </w:r>
      <w:r w:rsidRPr="00280CB8">
        <w:rPr>
          <w:rFonts w:ascii="Calibri" w:hAnsi="Calibri" w:cs="Calibri"/>
        </w:rPr>
        <w:t xml:space="preserve"> and 19 (76%) in the PIMS-TS neurology groups respectively (p=0.02). </w:t>
      </w:r>
    </w:p>
    <w:p w14:paraId="1F28CCDF" w14:textId="77777777" w:rsidR="00EA2729" w:rsidRPr="00280CB8" w:rsidRDefault="00EA2729" w:rsidP="00881173">
      <w:pPr>
        <w:spacing w:line="360" w:lineRule="auto"/>
        <w:rPr>
          <w:rFonts w:ascii="Calibri" w:hAnsi="Calibri" w:cs="Calibri"/>
        </w:rPr>
      </w:pPr>
    </w:p>
    <w:p w14:paraId="7B48370A" w14:textId="6366BE28" w:rsidR="00EA2729" w:rsidRPr="00280CB8" w:rsidRDefault="00EA2729" w:rsidP="00881173">
      <w:pPr>
        <w:spacing w:line="360" w:lineRule="auto"/>
        <w:rPr>
          <w:rFonts w:ascii="Calibri" w:hAnsi="Calibri" w:cs="Calibri"/>
        </w:rPr>
      </w:pPr>
      <w:r w:rsidRPr="00280CB8">
        <w:rPr>
          <w:rFonts w:ascii="Calibri" w:hAnsi="Calibri" w:cs="Calibri"/>
        </w:rPr>
        <w:t>The median (range) CRP was higher in the PIMS-TS neurology group; 290 (80-556) versus 1 (0-161), respectively p&lt;0.0001. Combined acute phase reactants were elevated in all in the PIMS-neurology groups (p&lt;0.0001). Serum MOG antibodies were positive in 5/8 (62.5%) cases with an ADS [</w:t>
      </w:r>
      <w:r w:rsidR="00394972">
        <w:rPr>
          <w:rFonts w:ascii="Calibri" w:hAnsi="Calibri" w:cs="Calibri"/>
        </w:rPr>
        <w:t>four</w:t>
      </w:r>
      <w:r w:rsidRPr="00280CB8">
        <w:rPr>
          <w:rFonts w:ascii="Calibri" w:hAnsi="Calibri" w:cs="Calibri"/>
        </w:rPr>
        <w:t xml:space="preserve"> ADEM (one with PIMS-TS), one optic neuritis]. Thirty one (59.6%) underwent a lumbar puncture; 11 (35%) had a cerebrospinal fluid (CSF) pleocytosis, with a median (range) of 11 (6-6075) white cell count/mm3. Of these six had encephalitis; five ADEM, one limbic. The diagnoses in the five remaining patients with a pleocytosis were meningitis (PIMS-TS), other acute demyelinating syndrome, PIMS-TS and encephalopathy, psychosis and GBS. Eight (15.3%) had an elevated CSF protein with a median (range) of 1.8 (0.43-2.63) mg/L: of these, five had GBS, one had ischaemic encephalopathy associated with PIMS-TS, one had ADEM, one had transverse myelitis (TM).  Oligoclonal bands (OCB) were positive in the CSF in two of eleven analysed (18%); one child had ADEM and one had encephalopathy associated with PIMS-TS. Glucose analysis of the CSF was undertaken in 26 of 31 (83%) samples and was normal (&gt;2.5 mmol/l) in all. A clinically-indicated viral and bacterial molecular screen of CSF was negative in all 31 CSF samples. In addition, SARS-CoV-2 RNA PCR was negative in six cases when specifically requested (three ADEM and three PIM-TS with encephalopathy). For one child with ADEM, the admission respiratory secretion PCR was positive for SARS-CoV-2 and adenovirus, although only the COVID-19 PCR remained positive on subsequent serial swabs (3). Details of the laboratory investigations are given in table </w:t>
      </w:r>
      <w:r w:rsidR="00B94B7A">
        <w:rPr>
          <w:rFonts w:ascii="Calibri" w:hAnsi="Calibri" w:cs="Calibri"/>
        </w:rPr>
        <w:t>3</w:t>
      </w:r>
      <w:r w:rsidRPr="00280CB8">
        <w:rPr>
          <w:rFonts w:ascii="Calibri" w:hAnsi="Calibri" w:cs="Calibri"/>
        </w:rPr>
        <w:t xml:space="preserve"> and supplementary table 1. </w:t>
      </w:r>
    </w:p>
    <w:p w14:paraId="1C746509" w14:textId="77777777" w:rsidR="00EA2729" w:rsidRPr="00280CB8" w:rsidRDefault="00EA2729" w:rsidP="00881173">
      <w:pPr>
        <w:spacing w:line="360" w:lineRule="auto"/>
        <w:rPr>
          <w:rFonts w:ascii="Calibri" w:hAnsi="Calibri" w:cs="Calibri"/>
        </w:rPr>
      </w:pPr>
    </w:p>
    <w:p w14:paraId="734CA8B5" w14:textId="77777777" w:rsidR="00086077" w:rsidRDefault="00086077" w:rsidP="00881173">
      <w:pPr>
        <w:spacing w:line="360" w:lineRule="auto"/>
        <w:rPr>
          <w:rFonts w:ascii="Calibri" w:hAnsi="Calibri" w:cs="Calibri"/>
          <w:b/>
          <w:bCs/>
        </w:rPr>
      </w:pPr>
    </w:p>
    <w:p w14:paraId="06855EFA" w14:textId="77777777" w:rsidR="00086077" w:rsidRDefault="00086077" w:rsidP="00881173">
      <w:pPr>
        <w:spacing w:line="360" w:lineRule="auto"/>
        <w:rPr>
          <w:rFonts w:ascii="Calibri" w:hAnsi="Calibri" w:cs="Calibri"/>
          <w:b/>
          <w:bCs/>
        </w:rPr>
      </w:pPr>
    </w:p>
    <w:p w14:paraId="3854BB0C" w14:textId="4C75EF73" w:rsidR="00EA2729" w:rsidRDefault="00EA2729" w:rsidP="00881173">
      <w:pPr>
        <w:spacing w:line="360" w:lineRule="auto"/>
        <w:rPr>
          <w:rFonts w:ascii="Calibri" w:hAnsi="Calibri" w:cs="Calibri"/>
          <w:b/>
          <w:bCs/>
        </w:rPr>
      </w:pPr>
      <w:r w:rsidRPr="00280CB8">
        <w:rPr>
          <w:rFonts w:ascii="Calibri" w:hAnsi="Calibri" w:cs="Calibri"/>
          <w:b/>
          <w:bCs/>
        </w:rPr>
        <w:t>Neurophysiology investigations</w:t>
      </w:r>
    </w:p>
    <w:p w14:paraId="636FF4C1" w14:textId="77777777" w:rsidR="00086077" w:rsidRPr="00280CB8" w:rsidRDefault="00086077" w:rsidP="00881173">
      <w:pPr>
        <w:spacing w:line="360" w:lineRule="auto"/>
        <w:rPr>
          <w:rFonts w:ascii="Calibri" w:hAnsi="Calibri" w:cs="Calibri"/>
          <w:b/>
          <w:bCs/>
        </w:rPr>
      </w:pPr>
    </w:p>
    <w:p w14:paraId="05C3E109" w14:textId="6CCB348A" w:rsidR="00EA2729" w:rsidRPr="00280CB8" w:rsidRDefault="00EA2729" w:rsidP="00881173">
      <w:pPr>
        <w:spacing w:line="360" w:lineRule="auto"/>
        <w:rPr>
          <w:rFonts w:ascii="Calibri" w:hAnsi="Calibri" w:cs="Calibri"/>
        </w:rPr>
      </w:pPr>
      <w:r w:rsidRPr="00280CB8">
        <w:rPr>
          <w:rFonts w:ascii="Calibri" w:hAnsi="Calibri" w:cs="Calibri"/>
        </w:rPr>
        <w:t>Electroencephalography (EEG) was undertaken in 33 (63%) children: 20 (61%) were</w:t>
      </w:r>
      <w:r w:rsidR="00280CB8" w:rsidRPr="00280CB8">
        <w:rPr>
          <w:rFonts w:ascii="Calibri" w:hAnsi="Calibri" w:cs="Calibri"/>
        </w:rPr>
        <w:t xml:space="preserve"> </w:t>
      </w:r>
      <w:r w:rsidRPr="00280CB8">
        <w:rPr>
          <w:rFonts w:ascii="Calibri" w:hAnsi="Calibri" w:cs="Calibri"/>
        </w:rPr>
        <w:t>abnormal; 18 recorded non-specific focal or generalised background slowing (13 in the PIMS-TS neurology group) and two recorded epileptic discharges: Bilateral Periodic Lateralising Epileptiform Discharges in a PIMS-TS case with ischaemic encephalopathy and left posterior quadrant discharges in a COVID</w:t>
      </w:r>
      <w:r w:rsidR="00825001">
        <w:rPr>
          <w:rFonts w:ascii="Calibri" w:hAnsi="Calibri" w:cs="Calibri"/>
        </w:rPr>
        <w:t>-19</w:t>
      </w:r>
      <w:r w:rsidR="005444B6">
        <w:rPr>
          <w:rFonts w:ascii="Calibri" w:hAnsi="Calibri" w:cs="Calibri"/>
        </w:rPr>
        <w:t xml:space="preserve"> </w:t>
      </w:r>
      <w:r w:rsidRPr="00280CB8">
        <w:rPr>
          <w:rFonts w:ascii="Calibri" w:hAnsi="Calibri" w:cs="Calibri"/>
        </w:rPr>
        <w:t>neurology case with status epilepticus.</w:t>
      </w:r>
      <w:r w:rsidR="00AF798E">
        <w:rPr>
          <w:rFonts w:ascii="Calibri" w:hAnsi="Calibri" w:cs="Calibri"/>
        </w:rPr>
        <w:t xml:space="preserve"> </w:t>
      </w:r>
      <w:r w:rsidRPr="00280CB8">
        <w:rPr>
          <w:rFonts w:ascii="Calibri" w:hAnsi="Calibri" w:cs="Calibri"/>
        </w:rPr>
        <w:t>Seventeen cases had clinical features of PNS involvement: 7 in the COVID</w:t>
      </w:r>
      <w:r w:rsidR="00825001">
        <w:rPr>
          <w:rFonts w:ascii="Calibri" w:hAnsi="Calibri" w:cs="Calibri"/>
        </w:rPr>
        <w:t>-19</w:t>
      </w:r>
      <w:r w:rsidR="00964671">
        <w:rPr>
          <w:rFonts w:ascii="Calibri" w:hAnsi="Calibri" w:cs="Calibri"/>
        </w:rPr>
        <w:t xml:space="preserve"> neurology </w:t>
      </w:r>
      <w:r w:rsidRPr="00280CB8">
        <w:rPr>
          <w:rFonts w:ascii="Calibri" w:hAnsi="Calibri" w:cs="Calibri"/>
        </w:rPr>
        <w:t xml:space="preserve">and 10 in the PIMS-TS neurology groups respectively. Nerve conduction studies and/or electromyography was performed in 15 (28.8%); 12 (80%) were abnormal. Five with PIMS-TS had diffuse myopathic and/or neuropathic changes, four of the five children with GBS tested had evidence of a primary demyelinating polyneuropathy, two with PIMS-TS had focal changes (one right peroneal and tibial neuropathy and one proximal myopathy and bilateral tibial neuropathies) and one with ADEM had evidence of a unilateral right sided facial nerve injury secondary to brainstem involvement. Details of the individual neurophysiology findings are given in supplementary table 1. </w:t>
      </w:r>
    </w:p>
    <w:p w14:paraId="469CC759" w14:textId="77777777" w:rsidR="00EA2729" w:rsidRPr="00280CB8" w:rsidRDefault="00EA2729" w:rsidP="00881173">
      <w:pPr>
        <w:spacing w:line="360" w:lineRule="auto"/>
        <w:rPr>
          <w:rFonts w:ascii="Calibri" w:hAnsi="Calibri" w:cs="Calibri"/>
          <w:b/>
          <w:bCs/>
        </w:rPr>
      </w:pPr>
    </w:p>
    <w:p w14:paraId="07987A33" w14:textId="77777777" w:rsidR="00EA2729" w:rsidRPr="00280CB8" w:rsidRDefault="00EA2729" w:rsidP="00881173">
      <w:pPr>
        <w:spacing w:line="360" w:lineRule="auto"/>
        <w:rPr>
          <w:rFonts w:ascii="Calibri" w:hAnsi="Calibri" w:cs="Calibri"/>
          <w:b/>
          <w:bCs/>
        </w:rPr>
      </w:pPr>
      <w:r w:rsidRPr="00280CB8">
        <w:rPr>
          <w:rFonts w:ascii="Calibri" w:hAnsi="Calibri" w:cs="Calibri"/>
          <w:b/>
          <w:bCs/>
        </w:rPr>
        <w:t>Brain imaging</w:t>
      </w:r>
    </w:p>
    <w:p w14:paraId="7F94BA55" w14:textId="2A9E7B91" w:rsidR="00EA2729" w:rsidRPr="00280CB8" w:rsidRDefault="00EA2729" w:rsidP="00881173">
      <w:pPr>
        <w:spacing w:line="360" w:lineRule="auto"/>
        <w:rPr>
          <w:rFonts w:ascii="Calibri" w:hAnsi="Calibri" w:cs="Calibri"/>
        </w:rPr>
      </w:pPr>
      <w:r w:rsidRPr="00280CB8">
        <w:rPr>
          <w:rFonts w:ascii="Calibri" w:hAnsi="Calibri" w:cs="Calibri"/>
        </w:rPr>
        <w:t>Cerebral and/or spinal imaging was performed in 48 (92%):  46 MRI and 11 CT, of which 28 (58%) were abnormal. In the COVID</w:t>
      </w:r>
      <w:r w:rsidR="00825001">
        <w:rPr>
          <w:rFonts w:ascii="Calibri" w:hAnsi="Calibri" w:cs="Calibri"/>
        </w:rPr>
        <w:t>-19</w:t>
      </w:r>
      <w:r w:rsidR="00964671">
        <w:rPr>
          <w:rFonts w:ascii="Calibri" w:hAnsi="Calibri" w:cs="Calibri"/>
        </w:rPr>
        <w:t xml:space="preserve"> </w:t>
      </w:r>
      <w:r w:rsidRPr="00280CB8">
        <w:rPr>
          <w:rFonts w:ascii="Calibri" w:hAnsi="Calibri" w:cs="Calibri"/>
        </w:rPr>
        <w:t xml:space="preserve">neurology group, 11/25 (44%) were abnormal. Of these, four MRI brain scans had diffuse T2 or FLAIR signal abnormalities of the cerebral white matter or deep grey matter consistent with ADEM, one had abnormal T2 signal involving the hippocampi and cortical diffusion restriction due to limbic encephalitis, one had abnormal T2 signal in the periventricular and infratentorial regions consistent with demyelination in a child with an ADS (Clinically Isolated Syndrome), and one with signal change in the intra-orbital segment of the right optic nerve consistent with optic neuritis. Two had thickening and enhancement of the cauda equina nerve roots supportive of GBS, one had signal changes in the splenium of the corpus collosum consistent with Mild Encephalopathy with Reversible Splenial lesion (MERS), and one, a child with a pre-existing diagnosis of adrenal neuroblastoma, had extensive intramedullary whole spinal cord abnormal T2 signal change supportive of the clinical diagnosis of myelitis. </w:t>
      </w:r>
    </w:p>
    <w:p w14:paraId="07BD5DD9" w14:textId="77777777" w:rsidR="00EA2729" w:rsidRPr="00280CB8" w:rsidRDefault="00EA2729" w:rsidP="00881173">
      <w:pPr>
        <w:spacing w:line="360" w:lineRule="auto"/>
        <w:rPr>
          <w:rFonts w:ascii="Calibri" w:hAnsi="Calibri" w:cs="Calibri"/>
        </w:rPr>
      </w:pPr>
    </w:p>
    <w:p w14:paraId="06C5F0D4" w14:textId="36C7A1FD" w:rsidR="00EA2729" w:rsidRDefault="00EA2729" w:rsidP="00881173">
      <w:pPr>
        <w:spacing w:line="360" w:lineRule="auto"/>
        <w:rPr>
          <w:rFonts w:ascii="Calibri" w:hAnsi="Calibri" w:cs="Calibri"/>
        </w:rPr>
      </w:pPr>
      <w:r w:rsidRPr="00280CB8">
        <w:rPr>
          <w:rFonts w:ascii="Calibri" w:hAnsi="Calibri" w:cs="Calibri"/>
        </w:rPr>
        <w:t xml:space="preserve">Within the PIMS-TS neurology group (n=25), 17 (72%) had abnormal neuroimaging. Most notably, seven (28%) had signal changes in the splenium of the corpus callosum consistent with MERS, two had findings consistent with an acute stroke (one ischaemic involving the anterior and middle right cerebral artery, one intraparenchmal haemorrhage in the right frontal lobe) and one had bilateral hyperintensities within the claustra due to ADEM. The imaging findings for three cases, described as clinical vignettes in the supplementary data, are in figure </w:t>
      </w:r>
      <w:r w:rsidR="00220927">
        <w:rPr>
          <w:rFonts w:ascii="Calibri" w:hAnsi="Calibri" w:cs="Calibri"/>
        </w:rPr>
        <w:t>2</w:t>
      </w:r>
      <w:r w:rsidRPr="00280CB8">
        <w:rPr>
          <w:rFonts w:ascii="Calibri" w:hAnsi="Calibri" w:cs="Calibri"/>
        </w:rPr>
        <w:t>.</w:t>
      </w:r>
    </w:p>
    <w:p w14:paraId="1807C5A9" w14:textId="77777777" w:rsidR="00086077" w:rsidRPr="00280CB8" w:rsidRDefault="00086077" w:rsidP="00881173">
      <w:pPr>
        <w:spacing w:line="360" w:lineRule="auto"/>
        <w:rPr>
          <w:rFonts w:ascii="Calibri" w:hAnsi="Calibri" w:cs="Calibri"/>
        </w:rPr>
      </w:pPr>
    </w:p>
    <w:p w14:paraId="16B0E6F5" w14:textId="77777777" w:rsidR="00EA2729" w:rsidRPr="00280CB8" w:rsidRDefault="00EA2729" w:rsidP="00881173">
      <w:pPr>
        <w:spacing w:line="360" w:lineRule="auto"/>
        <w:rPr>
          <w:rFonts w:ascii="Calibri" w:hAnsi="Calibri" w:cs="Calibri"/>
          <w:b/>
          <w:bCs/>
        </w:rPr>
      </w:pPr>
      <w:r w:rsidRPr="00280CB8">
        <w:rPr>
          <w:rFonts w:ascii="Calibri" w:hAnsi="Calibri" w:cs="Calibri"/>
          <w:b/>
          <w:bCs/>
        </w:rPr>
        <w:t>Management</w:t>
      </w:r>
    </w:p>
    <w:p w14:paraId="1B990D9D" w14:textId="547E7548" w:rsidR="00EA2729" w:rsidRPr="00280CB8" w:rsidRDefault="00EA2729" w:rsidP="00881173">
      <w:pPr>
        <w:spacing w:line="360" w:lineRule="auto"/>
        <w:rPr>
          <w:rFonts w:ascii="Calibri" w:hAnsi="Calibri" w:cs="Calibri"/>
        </w:rPr>
      </w:pPr>
      <w:r w:rsidRPr="00280CB8">
        <w:rPr>
          <w:rFonts w:ascii="Calibri" w:hAnsi="Calibri" w:cs="Calibri"/>
        </w:rPr>
        <w:t>Twenty-six (50%) children, 20 (80%) in the PIMS-TS neurology group and six (22%) in the COVID</w:t>
      </w:r>
      <w:r w:rsidR="00825001">
        <w:rPr>
          <w:rFonts w:ascii="Calibri" w:hAnsi="Calibri" w:cs="Calibri"/>
        </w:rPr>
        <w:t>-19</w:t>
      </w:r>
      <w:r w:rsidR="00964671">
        <w:rPr>
          <w:rFonts w:ascii="Calibri" w:hAnsi="Calibri" w:cs="Calibri"/>
        </w:rPr>
        <w:t xml:space="preserve"> </w:t>
      </w:r>
      <w:r w:rsidRPr="00280CB8">
        <w:rPr>
          <w:rFonts w:ascii="Calibri" w:hAnsi="Calibri" w:cs="Calibri"/>
        </w:rPr>
        <w:t>neurology group, required paediatric intensive care unit (PICU) support, for a median (range) of 1 (1 -100) days, p=&lt;00001. Thirty-four children (65%); 22 in the PIMS-TS neurology group and 12 in the COVID</w:t>
      </w:r>
      <w:r w:rsidR="00825001">
        <w:rPr>
          <w:rFonts w:ascii="Calibri" w:hAnsi="Calibri" w:cs="Calibri"/>
        </w:rPr>
        <w:t>-19</w:t>
      </w:r>
      <w:r w:rsidR="00964671">
        <w:rPr>
          <w:rFonts w:ascii="Calibri" w:hAnsi="Calibri" w:cs="Calibri"/>
        </w:rPr>
        <w:t xml:space="preserve"> </w:t>
      </w:r>
      <w:r w:rsidRPr="00280CB8">
        <w:rPr>
          <w:rFonts w:ascii="Calibri" w:hAnsi="Calibri" w:cs="Calibri"/>
        </w:rPr>
        <w:t xml:space="preserve">neurology group were treated with immunomodulatory medications, p=0.001. Twenty-seven received intravenous immunoglobulin (IVIG), 25 intravenous methylprednisolone (IVMP) for 3-5 days, three high dose oral corticosteroids, two Anakinra, two Tocilizumab, one Infliximab and one five single volume total plasma exchange (PLEX). Twenty-one (40%) received more than one type of treatment. Thirteen children (22%), all PIMS-TS, required inotropic support, p&lt;0.0001. In addition, 16 treated with IVMP were given an oral prednisolone steroid taper over 4-6 weeks. </w:t>
      </w:r>
    </w:p>
    <w:p w14:paraId="59ABF3E2" w14:textId="77777777" w:rsidR="00EA2729" w:rsidRPr="00280CB8" w:rsidRDefault="00EA2729" w:rsidP="00881173">
      <w:pPr>
        <w:spacing w:line="360" w:lineRule="auto"/>
        <w:rPr>
          <w:rFonts w:ascii="Calibri" w:hAnsi="Calibri" w:cs="Calibri"/>
        </w:rPr>
      </w:pPr>
    </w:p>
    <w:p w14:paraId="34B8199E" w14:textId="77777777" w:rsidR="00EA2729" w:rsidRPr="00280CB8" w:rsidRDefault="00EA2729" w:rsidP="00881173">
      <w:pPr>
        <w:spacing w:line="360" w:lineRule="auto"/>
        <w:rPr>
          <w:rFonts w:ascii="Calibri" w:hAnsi="Calibri" w:cs="Calibri"/>
          <w:b/>
          <w:bCs/>
        </w:rPr>
      </w:pPr>
      <w:r w:rsidRPr="00280CB8">
        <w:rPr>
          <w:rFonts w:ascii="Calibri" w:hAnsi="Calibri" w:cs="Calibri"/>
          <w:b/>
          <w:bCs/>
        </w:rPr>
        <w:t>Outcomes</w:t>
      </w:r>
    </w:p>
    <w:p w14:paraId="15BB872F" w14:textId="77777777" w:rsidR="00EA2729" w:rsidRPr="00280CB8" w:rsidRDefault="00EA2729" w:rsidP="00881173">
      <w:pPr>
        <w:spacing w:line="360" w:lineRule="auto"/>
        <w:rPr>
          <w:rFonts w:ascii="Calibri" w:hAnsi="Calibri" w:cs="Calibri"/>
        </w:rPr>
      </w:pPr>
      <w:r w:rsidRPr="00280CB8">
        <w:rPr>
          <w:rFonts w:ascii="Calibri" w:hAnsi="Calibri" w:cs="Calibri"/>
        </w:rPr>
        <w:t xml:space="preserve">In the short term follow up of this cohort so far, 34 (65%) children have an apparent good recovery (mRS of 0-1), 17 (33%) children have some degree of disability (mRS 2-5) and one child, with PIMS-TS and an ischaemic stroke (2%), died (mRS 6). </w:t>
      </w:r>
    </w:p>
    <w:p w14:paraId="563DE62C" w14:textId="77777777" w:rsidR="00EA2729" w:rsidRPr="00280CB8" w:rsidRDefault="00EA2729" w:rsidP="00881173">
      <w:pPr>
        <w:spacing w:line="360" w:lineRule="auto"/>
        <w:rPr>
          <w:rFonts w:ascii="Calibri" w:hAnsi="Calibri" w:cs="Calibri"/>
        </w:rPr>
      </w:pPr>
    </w:p>
    <w:p w14:paraId="1FB4067F" w14:textId="7229221C" w:rsidR="00EA2729" w:rsidRPr="00280CB8" w:rsidRDefault="00EA2729" w:rsidP="00881173">
      <w:pPr>
        <w:spacing w:line="360" w:lineRule="auto"/>
        <w:rPr>
          <w:rFonts w:ascii="Calibri" w:hAnsi="Calibri" w:cs="Calibri"/>
          <w:b/>
          <w:bCs/>
          <w:sz w:val="36"/>
          <w:szCs w:val="36"/>
        </w:rPr>
      </w:pPr>
      <w:r w:rsidRPr="00280CB8">
        <w:rPr>
          <w:rFonts w:ascii="Calibri" w:hAnsi="Calibri" w:cs="Calibri"/>
          <w:b/>
          <w:bCs/>
          <w:sz w:val="36"/>
          <w:szCs w:val="36"/>
        </w:rPr>
        <w:t xml:space="preserve">Discussion  </w:t>
      </w:r>
    </w:p>
    <w:p w14:paraId="5869E7D0" w14:textId="12661F74" w:rsidR="00EA2729" w:rsidRPr="00280CB8" w:rsidRDefault="00EA2729" w:rsidP="00881173">
      <w:pPr>
        <w:spacing w:line="360" w:lineRule="auto"/>
        <w:rPr>
          <w:rFonts w:ascii="Calibri" w:hAnsi="Calibri" w:cs="Calibri"/>
        </w:rPr>
      </w:pPr>
      <w:r w:rsidRPr="00280CB8">
        <w:rPr>
          <w:rFonts w:ascii="Calibri" w:hAnsi="Calibri" w:cs="Calibri"/>
        </w:rPr>
        <w:t xml:space="preserve">This first nation-wide </w:t>
      </w:r>
      <w:r w:rsidR="005C3AF9">
        <w:rPr>
          <w:rFonts w:ascii="Calibri" w:hAnsi="Calibri" w:cs="Calibri"/>
        </w:rPr>
        <w:t>cohort</w:t>
      </w:r>
      <w:r w:rsidR="005C3AF9" w:rsidRPr="00280CB8">
        <w:rPr>
          <w:rFonts w:ascii="Calibri" w:hAnsi="Calibri" w:cs="Calibri"/>
        </w:rPr>
        <w:t xml:space="preserve"> </w:t>
      </w:r>
      <w:r w:rsidRPr="00280CB8">
        <w:rPr>
          <w:rFonts w:ascii="Calibri" w:hAnsi="Calibri" w:cs="Calibri"/>
        </w:rPr>
        <w:t xml:space="preserve">of children and adolescents with neurological and psychiatric manifestations of COVID-19 in the UK, over the first 9 months of the pandemic has identified a wide spectrum of disorders and features. Whilst COVID-19 requiring hospital treatment is very rare in children and young people overall, we found that among these children neurological or psychiatric manifestations are more common (3.8 per 100). Moreover, ethnicity is a risk factor: overall, 36 (69%) cases were Black or Asian compared to 13% of the UK population; a similar percentage has been reported in all children and young people admitted with COVID-19 in the UK (22). Most children presented once their acute COVID-19 illness had resolved; only 12 (23%) had respiratory symptoms on admission. However, eight (15%) presenting with neurological/psychiatric symptoms only, did have SARS-CoV-2 detected by PCR, underscoring the importance of screening all children with acute neurological disorders for the virus. </w:t>
      </w:r>
    </w:p>
    <w:p w14:paraId="71EF00CF" w14:textId="77777777" w:rsidR="00EA2729" w:rsidRPr="00280CB8" w:rsidRDefault="00EA2729" w:rsidP="00881173">
      <w:pPr>
        <w:spacing w:line="360" w:lineRule="auto"/>
        <w:rPr>
          <w:rFonts w:ascii="Calibri" w:hAnsi="Calibri" w:cs="Calibri"/>
        </w:rPr>
      </w:pPr>
    </w:p>
    <w:p w14:paraId="78FEF4C4" w14:textId="72D165E0" w:rsidR="00EA2729" w:rsidRDefault="00EA2729" w:rsidP="00881173">
      <w:pPr>
        <w:spacing w:line="360" w:lineRule="auto"/>
        <w:rPr>
          <w:rFonts w:ascii="Calibri" w:hAnsi="Calibri" w:cs="Calibri"/>
        </w:rPr>
      </w:pPr>
      <w:r w:rsidRPr="00280CB8">
        <w:rPr>
          <w:rFonts w:ascii="Calibri" w:hAnsi="Calibri" w:cs="Calibri"/>
        </w:rPr>
        <w:t>All 27 children in the COVID</w:t>
      </w:r>
      <w:r w:rsidR="00825001">
        <w:rPr>
          <w:rFonts w:ascii="Calibri" w:hAnsi="Calibri" w:cs="Calibri"/>
        </w:rPr>
        <w:t>-19</w:t>
      </w:r>
      <w:r w:rsidR="00964671">
        <w:rPr>
          <w:rFonts w:ascii="Calibri" w:hAnsi="Calibri" w:cs="Calibri"/>
        </w:rPr>
        <w:t xml:space="preserve"> </w:t>
      </w:r>
      <w:r w:rsidRPr="00280CB8">
        <w:rPr>
          <w:rFonts w:ascii="Calibri" w:hAnsi="Calibri" w:cs="Calibri"/>
        </w:rPr>
        <w:t>neurology group had discrete neurological or psychiatric disorders; 20 affecting the CNS, five the PNS and two with psychosis. In almost half of these, this was a recognised para- or post-infectious immune mediated (neuro-immune) disorder, e.g. ADEM, other acute demyelinating syndromes or GBS</w:t>
      </w:r>
      <w:r w:rsidR="00A52AB7">
        <w:rPr>
          <w:rFonts w:ascii="Calibri" w:hAnsi="Calibri" w:cs="Calibri"/>
        </w:rPr>
        <w:t xml:space="preserve">, with </w:t>
      </w:r>
      <w:r w:rsidRPr="00280CB8">
        <w:rPr>
          <w:rFonts w:ascii="Calibri" w:hAnsi="Calibri" w:cs="Calibri"/>
        </w:rPr>
        <w:t xml:space="preserve">MOG antibodies in over half of those presenting with an acute demyelinating syndrome. </w:t>
      </w:r>
      <w:r w:rsidR="00A52AB7" w:rsidRPr="00280CB8">
        <w:rPr>
          <w:rFonts w:ascii="Calibri" w:hAnsi="Calibri" w:cs="Calibri"/>
        </w:rPr>
        <w:t>One case with ADEM was atypical: at presentation there were over 6000 white cells in the CSF; the initial brain imaging was normal with changes consistent with ADEM only noted during recovery on day 44.</w:t>
      </w:r>
      <w:r w:rsidR="00A52AB7">
        <w:rPr>
          <w:rFonts w:ascii="Calibri" w:hAnsi="Calibri" w:cs="Calibri"/>
        </w:rPr>
        <w:t xml:space="preserve"> </w:t>
      </w:r>
      <w:r w:rsidRPr="00280CB8">
        <w:rPr>
          <w:rFonts w:ascii="Calibri" w:hAnsi="Calibri" w:cs="Calibri"/>
        </w:rPr>
        <w:t xml:space="preserve">These recognised neuro-immune disorders are reported in association with a variety of preceding infections (13-17), but whether SARS-CoV-2 infection causes an increase in the incidence of neuro-immune disorders is not clear. </w:t>
      </w:r>
    </w:p>
    <w:p w14:paraId="1D9AC371" w14:textId="77777777" w:rsidR="00A52AB7" w:rsidRPr="00280CB8" w:rsidRDefault="00A52AB7" w:rsidP="00881173">
      <w:pPr>
        <w:spacing w:line="360" w:lineRule="auto"/>
        <w:rPr>
          <w:rFonts w:ascii="Calibri" w:hAnsi="Calibri" w:cs="Calibri"/>
        </w:rPr>
      </w:pPr>
    </w:p>
    <w:p w14:paraId="6800EEDF" w14:textId="77777777" w:rsidR="00EA2729" w:rsidRPr="00280CB8" w:rsidRDefault="00EA2729" w:rsidP="00881173">
      <w:pPr>
        <w:spacing w:line="360" w:lineRule="auto"/>
        <w:rPr>
          <w:rFonts w:ascii="Calibri" w:hAnsi="Calibri" w:cs="Calibri"/>
        </w:rPr>
      </w:pPr>
      <w:r w:rsidRPr="00280CB8">
        <w:rPr>
          <w:rFonts w:ascii="Calibri" w:hAnsi="Calibri" w:cs="Calibri"/>
        </w:rPr>
        <w:t xml:space="preserve">By comparison only one child in the PIMS-TS group had a recognised neuro-immune disorder (ADEM), suggesting that different immune mechanisms are the cause of neurological manifestations in this newly described inflammatory syndrome. Immune mediated mechanisms would also be supported by the finding that patients with recognised neuro-immune disorders and neurological manifestations associated with PIMS-TS presented later than those with other neurological or psychiatric manifestations. </w:t>
      </w:r>
    </w:p>
    <w:p w14:paraId="06D8E1F8" w14:textId="77777777" w:rsidR="00EA2729" w:rsidRPr="00280CB8" w:rsidRDefault="00EA2729" w:rsidP="00881173">
      <w:pPr>
        <w:spacing w:line="360" w:lineRule="auto"/>
        <w:rPr>
          <w:rFonts w:ascii="Calibri" w:hAnsi="Calibri" w:cs="Calibri"/>
        </w:rPr>
      </w:pPr>
    </w:p>
    <w:p w14:paraId="40ACC6ED" w14:textId="77777777" w:rsidR="00086077" w:rsidRDefault="00EA2729" w:rsidP="00881173">
      <w:pPr>
        <w:spacing w:line="360" w:lineRule="auto"/>
        <w:rPr>
          <w:rFonts w:ascii="Calibri" w:hAnsi="Calibri" w:cs="Calibri"/>
        </w:rPr>
      </w:pPr>
      <w:r w:rsidRPr="00280CB8">
        <w:rPr>
          <w:rFonts w:ascii="Calibri" w:hAnsi="Calibri" w:cs="Calibri"/>
        </w:rPr>
        <w:t xml:space="preserve">Those presenting with PIMS-TS had the most uniform features with encephalopathy being present in 88% (22/25) cases. Two thirds of these cases had abnormal brain imaging with the most common finding in over 40% being a reversible splenial lesion in the corpus callosum consistent with MERS. MERS has been reported previously in PIMS-TS (8, 19), other viral infections (23) and Kawasaki disease (24). </w:t>
      </w:r>
    </w:p>
    <w:p w14:paraId="49618B5C" w14:textId="46AEF2FE" w:rsidR="00EA2729" w:rsidRPr="00280CB8" w:rsidRDefault="00EA2729" w:rsidP="00881173">
      <w:pPr>
        <w:spacing w:line="360" w:lineRule="auto"/>
        <w:rPr>
          <w:rFonts w:ascii="Calibri" w:hAnsi="Calibri" w:cs="Calibri"/>
        </w:rPr>
      </w:pPr>
      <w:r w:rsidRPr="00280CB8">
        <w:rPr>
          <w:rFonts w:ascii="Calibri" w:hAnsi="Calibri" w:cs="Calibri"/>
        </w:rPr>
        <w:t>The lesions in MERS are postulated to represent intramyelinic oedema in the corpus callosum as a result of cytokine-mediated glutamate release caused by inflammation (25). Whether the same mechanism is responsible for these imaging findings in PIMS-TS remains to be seen. Ten (40%) with PIMS-TS additionally had peripheral nerve involvement; eight had clinical and/or neurophysiological features consistent with critical illness neuromyopathy in this group which was more likely to require intensive care support. However, two had focal PNS features suggesting another mechanism, perhaps similar to haemophagocytic lymphohistiocytosis, a genetic or acquired disorder characterised by a cytokine storm which can similarly have acute CNS and PNS involvement (19). Focal peripheral nerve imaging findings have also been reported in children with COVID-19 previously (9). Other features in this group included behavioural change in nine (36%) including six with hallucinations. Comparing those with and without PIMS-TS has therefore identified differences which will help with future neurology consults. Whilst our sample size is small, the differences may infer differing immunopathogenesis.</w:t>
      </w:r>
    </w:p>
    <w:p w14:paraId="3E2C1EF7" w14:textId="77777777" w:rsidR="00EA2729" w:rsidRPr="00280CB8" w:rsidRDefault="00EA2729" w:rsidP="00881173">
      <w:pPr>
        <w:spacing w:line="360" w:lineRule="auto"/>
        <w:rPr>
          <w:rFonts w:ascii="Calibri" w:hAnsi="Calibri" w:cs="Calibri"/>
        </w:rPr>
      </w:pPr>
    </w:p>
    <w:p w14:paraId="3DACBBB4" w14:textId="77777777" w:rsidR="00EA2729" w:rsidRPr="00280CB8" w:rsidRDefault="00EA2729" w:rsidP="00881173">
      <w:pPr>
        <w:spacing w:line="360" w:lineRule="auto"/>
        <w:rPr>
          <w:rFonts w:ascii="Calibri" w:hAnsi="Calibri" w:cs="Calibri"/>
        </w:rPr>
      </w:pPr>
      <w:r w:rsidRPr="00280CB8">
        <w:rPr>
          <w:rFonts w:ascii="Calibri" w:hAnsi="Calibri" w:cs="Calibri"/>
        </w:rPr>
        <w:t xml:space="preserve">Our findings are consistent with two other recent paediatric series. Both the international neuro-radiological cohort (9) and multi-centre US cohort (10) also described recognised neuro-immune disorders and PIMS-TS with life threatening neurological features including MERS findings on brain imaging. However, those series, which were not across a whole nation, reported more strokes and deaths than our cohort, perhaps suggesting they were not representative of the larger patient group. </w:t>
      </w:r>
    </w:p>
    <w:p w14:paraId="26A9B74B" w14:textId="77777777" w:rsidR="00EA2729" w:rsidRPr="00280CB8" w:rsidRDefault="00EA2729" w:rsidP="00881173">
      <w:pPr>
        <w:spacing w:line="360" w:lineRule="auto"/>
        <w:rPr>
          <w:rFonts w:ascii="Calibri" w:hAnsi="Calibri" w:cs="Calibri"/>
        </w:rPr>
      </w:pPr>
    </w:p>
    <w:p w14:paraId="57E975FC" w14:textId="3316BFDA" w:rsidR="00EA2729" w:rsidRPr="00280CB8" w:rsidRDefault="00EA2729" w:rsidP="00881173">
      <w:pPr>
        <w:spacing w:line="360" w:lineRule="auto"/>
        <w:rPr>
          <w:rFonts w:ascii="Calibri" w:hAnsi="Calibri" w:cs="Calibri"/>
        </w:rPr>
      </w:pPr>
      <w:r w:rsidRPr="00280CB8">
        <w:rPr>
          <w:rFonts w:ascii="Calibri" w:hAnsi="Calibri" w:cs="Calibri"/>
        </w:rPr>
        <w:t xml:space="preserve">The neurological and psychiatric manifestations of COVID-19 have been reported in several adult studies (3-5). Similarities between our study and the adult </w:t>
      </w:r>
      <w:r w:rsidRPr="00E84C38">
        <w:rPr>
          <w:rFonts w:ascii="Calibri" w:hAnsi="Calibri" w:cs="Calibri"/>
          <w:i/>
          <w:iCs/>
        </w:rPr>
        <w:t>Coro</w:t>
      </w:r>
      <w:r w:rsidRPr="00280CB8">
        <w:rPr>
          <w:rFonts w:ascii="Calibri" w:hAnsi="Calibri" w:cs="Calibri"/>
        </w:rPr>
        <w:t xml:space="preserve">Nerve cohort (26) include the range of disorders identified; although stroke was much higher in adults being present in almost half of the cases. Adults were also more likely to have multiple neurological diagnoses (13% of adult cases) perhaps suggesting multiple mechanisms linked to underlying risk factors and co-morbidities. Differences include a higher </w:t>
      </w:r>
      <w:r w:rsidR="004340C3">
        <w:rPr>
          <w:rFonts w:ascii="Calibri" w:hAnsi="Calibri" w:cs="Calibri"/>
        </w:rPr>
        <w:t>prevalence</w:t>
      </w:r>
      <w:r w:rsidRPr="00280CB8">
        <w:rPr>
          <w:rFonts w:ascii="Calibri" w:hAnsi="Calibri" w:cs="Calibri"/>
        </w:rPr>
        <w:t xml:space="preserve"> of neuro-immune disorders in the paediatric cohort. The case fatality rate was also higher with almost a quarter dying of their neurological disorder. Over the same time period of the adult </w:t>
      </w:r>
      <w:r w:rsidRPr="00E84C38">
        <w:rPr>
          <w:rFonts w:ascii="Calibri" w:hAnsi="Calibri" w:cs="Calibri"/>
          <w:i/>
          <w:iCs/>
        </w:rPr>
        <w:t>Coro</w:t>
      </w:r>
      <w:r w:rsidRPr="00280CB8">
        <w:rPr>
          <w:rFonts w:ascii="Calibri" w:hAnsi="Calibri" w:cs="Calibri"/>
        </w:rPr>
        <w:t xml:space="preserve">Nerve study, 30 197 adults were admitted with COVID-19. Using this data, we estimate an </w:t>
      </w:r>
      <w:r w:rsidR="004340C3">
        <w:rPr>
          <w:rFonts w:ascii="Calibri" w:hAnsi="Calibri" w:cs="Calibri"/>
        </w:rPr>
        <w:t>prevalence</w:t>
      </w:r>
      <w:r w:rsidRPr="00280CB8">
        <w:rPr>
          <w:rFonts w:ascii="Calibri" w:hAnsi="Calibri" w:cs="Calibri"/>
        </w:rPr>
        <w:t xml:space="preserve"> of neurological and psychiatric manifestations in adults of 0.9 per 100. Therefore overall, neurological and psychiatric manifestations appear to be four times more common in UK hospitalised children and young people than in adults with COVID-19 requiring admission to hospital: this is likely to represent respiratory and cardiovascular co-morbidities in adults. </w:t>
      </w:r>
    </w:p>
    <w:p w14:paraId="3260382A" w14:textId="77777777" w:rsidR="00EA2729" w:rsidRPr="00280CB8" w:rsidRDefault="00EA2729" w:rsidP="00881173">
      <w:pPr>
        <w:spacing w:line="360" w:lineRule="auto"/>
        <w:rPr>
          <w:rFonts w:ascii="Calibri" w:hAnsi="Calibri" w:cs="Calibri"/>
        </w:rPr>
      </w:pPr>
    </w:p>
    <w:p w14:paraId="30576126" w14:textId="7D30FDA6" w:rsidR="00EA2729" w:rsidRPr="00280CB8" w:rsidRDefault="00EA2729" w:rsidP="00881173">
      <w:pPr>
        <w:spacing w:line="360" w:lineRule="auto"/>
        <w:rPr>
          <w:rFonts w:ascii="Calibri" w:hAnsi="Calibri" w:cs="Calibri"/>
        </w:rPr>
      </w:pPr>
      <w:r w:rsidRPr="00280CB8">
        <w:rPr>
          <w:rFonts w:ascii="Calibri" w:hAnsi="Calibri" w:cs="Calibri"/>
        </w:rPr>
        <w:t>In the absence of detailed immunological studies investigating cell mediated and adaptive immune responses to SARS-CoV-2 in children, the underlying pathogenesis of neurological disease of COVID-19 is unclear. There is limited evidence demonstrating direct SARS-CoV-2 neurotropism in adults (27, 28), with some evidence emerging of viral invasion of endothelial cells rather than neurons (28, 29). In our cohort, none of the children had features suggesting viral encephalitis caused by direct invasion of brain parenchyma, although SARS-CoV-2 was only tested in the CSF of six of our patients. Postulated neurological mechanisms of SARS-CoV-2 include cytokine driven neuroinflammation (30) or secondary CNS injury from systemic hyperinflammation (27). Both mechanisms would fit the features within our PIMS-TS neurology group. They had significantly higher peripheral inflammatory markers and were more likely to require intensive care and immunomodulatory treatment than the COVID</w:t>
      </w:r>
      <w:r w:rsidR="00825001">
        <w:rPr>
          <w:rFonts w:ascii="Calibri" w:hAnsi="Calibri" w:cs="Calibri"/>
        </w:rPr>
        <w:t>-19</w:t>
      </w:r>
      <w:r w:rsidR="00964671">
        <w:rPr>
          <w:rFonts w:ascii="Calibri" w:hAnsi="Calibri" w:cs="Calibri"/>
        </w:rPr>
        <w:t xml:space="preserve"> </w:t>
      </w:r>
      <w:r w:rsidRPr="00280CB8">
        <w:rPr>
          <w:rFonts w:ascii="Calibri" w:hAnsi="Calibri" w:cs="Calibri"/>
        </w:rPr>
        <w:t>neurology group. Alternatively, adaptive immune mediated disease that we postulate underlies the recognised para- or post-infectious immune mediated disorders within the COVID</w:t>
      </w:r>
      <w:r w:rsidR="00825001">
        <w:rPr>
          <w:rFonts w:ascii="Calibri" w:hAnsi="Calibri" w:cs="Calibri"/>
        </w:rPr>
        <w:t>-19</w:t>
      </w:r>
      <w:r w:rsidR="00964671">
        <w:rPr>
          <w:rFonts w:ascii="Calibri" w:hAnsi="Calibri" w:cs="Calibri"/>
        </w:rPr>
        <w:t xml:space="preserve"> </w:t>
      </w:r>
      <w:r w:rsidRPr="00280CB8">
        <w:rPr>
          <w:rFonts w:ascii="Calibri" w:hAnsi="Calibri" w:cs="Calibri"/>
        </w:rPr>
        <w:t xml:space="preserve">neurology group, may also mediate the PIMS-TS neuropathogenesis, suggested by the majority being SARS-CoV-2 IgG antibody positive at presentation. </w:t>
      </w:r>
    </w:p>
    <w:p w14:paraId="2336C9FF" w14:textId="77777777" w:rsidR="00EA2729" w:rsidRPr="00280CB8" w:rsidRDefault="00EA2729" w:rsidP="00881173">
      <w:pPr>
        <w:spacing w:line="360" w:lineRule="auto"/>
        <w:rPr>
          <w:rFonts w:ascii="Calibri" w:hAnsi="Calibri" w:cs="Calibri"/>
        </w:rPr>
      </w:pPr>
    </w:p>
    <w:p w14:paraId="07EFF14A" w14:textId="77777777" w:rsidR="00EA2729" w:rsidRPr="00280CB8" w:rsidRDefault="00EA2729" w:rsidP="00881173">
      <w:pPr>
        <w:spacing w:line="360" w:lineRule="auto"/>
        <w:rPr>
          <w:rFonts w:ascii="Calibri" w:hAnsi="Calibri" w:cs="Calibri"/>
        </w:rPr>
      </w:pPr>
      <w:r w:rsidRPr="00280CB8">
        <w:rPr>
          <w:rFonts w:ascii="Calibri" w:hAnsi="Calibri" w:cs="Calibri"/>
        </w:rPr>
        <w:t xml:space="preserve">The short-term outcome of this cohort has identified almost two thirds (65%) having an apparent good recovery, a third (33%) had some degree of disability and only one (2%), with PIMS-TS and an ischaemic stroke, died. </w:t>
      </w:r>
    </w:p>
    <w:p w14:paraId="1B085976" w14:textId="77777777" w:rsidR="00EA2729" w:rsidRPr="00280CB8" w:rsidRDefault="00EA2729" w:rsidP="00881173">
      <w:pPr>
        <w:spacing w:line="360" w:lineRule="auto"/>
        <w:rPr>
          <w:rFonts w:ascii="Calibri" w:hAnsi="Calibri" w:cs="Calibri"/>
        </w:rPr>
      </w:pPr>
    </w:p>
    <w:p w14:paraId="2A5CB279" w14:textId="77777777" w:rsidR="00EA2729" w:rsidRPr="00280CB8" w:rsidRDefault="00EA2729" w:rsidP="00881173">
      <w:pPr>
        <w:spacing w:line="360" w:lineRule="auto"/>
        <w:rPr>
          <w:rFonts w:ascii="Calibri" w:hAnsi="Calibri" w:cs="Calibri"/>
        </w:rPr>
      </w:pPr>
      <w:r w:rsidRPr="00280CB8">
        <w:rPr>
          <w:rFonts w:ascii="Calibri" w:hAnsi="Calibri" w:cs="Calibri"/>
        </w:rPr>
        <w:t>This study has several strengths; the reporting of cases is facilitated by widespread publicity of the BPNSU studies via the BPNA weekly newsletters, by all patients being managed in the national health care system and by close networks within the paediatric neurology community.</w:t>
      </w:r>
    </w:p>
    <w:p w14:paraId="4137A50C" w14:textId="77777777" w:rsidR="00EA2729" w:rsidRPr="00280CB8" w:rsidRDefault="00EA2729" w:rsidP="00881173">
      <w:pPr>
        <w:spacing w:line="360" w:lineRule="auto"/>
        <w:rPr>
          <w:rFonts w:ascii="Calibri" w:hAnsi="Calibri" w:cs="Calibri"/>
        </w:rPr>
      </w:pPr>
    </w:p>
    <w:p w14:paraId="4DF0BC43" w14:textId="533A10CF" w:rsidR="00807D38" w:rsidRDefault="00EA2729" w:rsidP="00881173">
      <w:pPr>
        <w:spacing w:line="360" w:lineRule="auto"/>
        <w:rPr>
          <w:rFonts w:ascii="Calibri" w:hAnsi="Calibri" w:cs="Calibri"/>
        </w:rPr>
      </w:pPr>
      <w:r w:rsidRPr="00280CB8">
        <w:rPr>
          <w:rFonts w:ascii="Calibri" w:hAnsi="Calibri" w:cs="Calibri"/>
        </w:rPr>
        <w:t xml:space="preserve">This study has several limitations. The reporting system relies on paediatric neurologists reporting cases they have been consulted about; cases may not have been reported due to the unprecedented workload in the pandemic. Cases may also have been missed as testing for IgG was less available at the beginning of the pandemic; the first case was reported in June 2020. Less severe or cases with transient symptoms were not reported as children and young people are admitted under general paediatricians in the UK; severe cases may have died before a referral was made. As investigations were not standardised, some complications may be underestimated. </w:t>
      </w:r>
    </w:p>
    <w:p w14:paraId="75A3BB79" w14:textId="77777777" w:rsidR="00086077" w:rsidRDefault="00086077" w:rsidP="00881173">
      <w:pPr>
        <w:spacing w:line="360" w:lineRule="auto"/>
        <w:rPr>
          <w:rFonts w:ascii="Calibri" w:hAnsi="Calibri" w:cs="Calibri"/>
        </w:rPr>
      </w:pPr>
    </w:p>
    <w:p w14:paraId="00613325" w14:textId="6A07F28B" w:rsidR="00EA2729" w:rsidRPr="00280CB8" w:rsidRDefault="00EA2729" w:rsidP="00881173">
      <w:pPr>
        <w:spacing w:line="360" w:lineRule="auto"/>
        <w:rPr>
          <w:rFonts w:ascii="Calibri" w:hAnsi="Calibri" w:cs="Calibri"/>
        </w:rPr>
      </w:pPr>
      <w:r w:rsidRPr="00280CB8">
        <w:rPr>
          <w:rFonts w:ascii="Calibri" w:hAnsi="Calibri" w:cs="Calibri"/>
        </w:rPr>
        <w:t xml:space="preserve">The only cases included with psychiatric features are those referred to neurologists, therefore this group is likely to be under reported. The reporting of the outcome of children and adolescents in this study is functional with the mRS scale being a crude tool. The scale being made by chart extraction in some cases is also a limitation. While short-term outcome is apparently good in two thirds of this cohort, it seems likely that we will have underestimated significant evolving cognitive and behavioural problems. </w:t>
      </w:r>
    </w:p>
    <w:p w14:paraId="2BF3B68F" w14:textId="77777777" w:rsidR="00EA2729" w:rsidRPr="00280CB8" w:rsidRDefault="00EA2729" w:rsidP="00881173">
      <w:pPr>
        <w:spacing w:line="360" w:lineRule="auto"/>
        <w:rPr>
          <w:rFonts w:ascii="Calibri" w:hAnsi="Calibri" w:cs="Calibri"/>
        </w:rPr>
      </w:pPr>
    </w:p>
    <w:p w14:paraId="3FAF548E" w14:textId="2848B3B0" w:rsidR="00EA2729" w:rsidRPr="00280CB8" w:rsidRDefault="00EA2729" w:rsidP="00881173">
      <w:pPr>
        <w:spacing w:line="360" w:lineRule="auto"/>
        <w:rPr>
          <w:rFonts w:ascii="Calibri" w:hAnsi="Calibri" w:cs="Calibri"/>
        </w:rPr>
      </w:pPr>
      <w:r w:rsidRPr="00280CB8">
        <w:rPr>
          <w:rFonts w:ascii="Calibri" w:hAnsi="Calibri" w:cs="Calibri"/>
        </w:rPr>
        <w:t xml:space="preserve">Now that we have defined the </w:t>
      </w:r>
      <w:r w:rsidR="004340C3">
        <w:rPr>
          <w:rFonts w:ascii="Calibri" w:hAnsi="Calibri" w:cs="Calibri"/>
        </w:rPr>
        <w:t>prevalence</w:t>
      </w:r>
      <w:r w:rsidRPr="00280CB8">
        <w:rPr>
          <w:rFonts w:ascii="Calibri" w:hAnsi="Calibri" w:cs="Calibri"/>
        </w:rPr>
        <w:t xml:space="preserve">, those that appear to be at higher risk, the spectrum of complications and the importance of testing all children and adolescents with neurological disease for SARS-CoV-2, studies are required to define the underlying neuro-immune mechanisms, especially in the novel PIMS-TS neurology group, and the cognitive, psychiatric, and neurological outcomes to better determine the rehabilitation needs of these patients. </w:t>
      </w:r>
    </w:p>
    <w:p w14:paraId="444BB430" w14:textId="77777777" w:rsidR="00EA2729" w:rsidRPr="00280CB8" w:rsidRDefault="00EA2729" w:rsidP="00881173">
      <w:pPr>
        <w:spacing w:line="360" w:lineRule="auto"/>
        <w:rPr>
          <w:rFonts w:ascii="Calibri" w:hAnsi="Calibri" w:cs="Calibri"/>
        </w:rPr>
      </w:pPr>
    </w:p>
    <w:p w14:paraId="274C5ECB" w14:textId="77777777" w:rsidR="00EA2729" w:rsidRPr="00807D38" w:rsidRDefault="00EA2729" w:rsidP="00881173">
      <w:pPr>
        <w:spacing w:line="360" w:lineRule="auto"/>
        <w:rPr>
          <w:rFonts w:ascii="Calibri" w:hAnsi="Calibri" w:cs="Calibri"/>
          <w:b/>
          <w:bCs/>
        </w:rPr>
      </w:pPr>
      <w:r w:rsidRPr="00807D38">
        <w:rPr>
          <w:rFonts w:ascii="Calibri" w:hAnsi="Calibri" w:cs="Calibri"/>
          <w:b/>
          <w:bCs/>
        </w:rPr>
        <w:t>Conclusions</w:t>
      </w:r>
    </w:p>
    <w:p w14:paraId="078AF362" w14:textId="5B7FBA72" w:rsidR="00EA2729" w:rsidRDefault="00EA2729" w:rsidP="00881173">
      <w:pPr>
        <w:spacing w:line="360" w:lineRule="auto"/>
        <w:rPr>
          <w:rFonts w:ascii="Calibri" w:hAnsi="Calibri" w:cs="Calibri"/>
        </w:rPr>
      </w:pPr>
      <w:r w:rsidRPr="00280CB8">
        <w:rPr>
          <w:rFonts w:ascii="Calibri" w:hAnsi="Calibri" w:cs="Calibri"/>
        </w:rPr>
        <w:t>This first nation-wide study of the neurological and psychiatric manifestations of COVID</w:t>
      </w:r>
      <w:r w:rsidR="00964671">
        <w:rPr>
          <w:rFonts w:ascii="Calibri" w:hAnsi="Calibri" w:cs="Calibri"/>
        </w:rPr>
        <w:t xml:space="preserve"> </w:t>
      </w:r>
      <w:r w:rsidRPr="00280CB8">
        <w:rPr>
          <w:rFonts w:ascii="Calibri" w:hAnsi="Calibri" w:cs="Calibri"/>
        </w:rPr>
        <w:t xml:space="preserve">in children and adolescents has identified differences between those presenting with a primary neurological or psychiatric disorder versus those with features associated with PIMS-TS. Recognised neuro-immune conditions were common in those with a primary disorder. Those with PIMS-TS had more heterogeneous but overlapping features with encephalopathy, neuromyopathy, behavioural change and hallucinations being common. More PIMS-TS children needed intensive care, but outcomes were similar overall. The estimated </w:t>
      </w:r>
      <w:r w:rsidR="004340C3">
        <w:rPr>
          <w:rFonts w:ascii="Calibri" w:hAnsi="Calibri" w:cs="Calibri"/>
        </w:rPr>
        <w:t>prevalence</w:t>
      </w:r>
      <w:r w:rsidRPr="00280CB8">
        <w:rPr>
          <w:rFonts w:ascii="Calibri" w:hAnsi="Calibri" w:cs="Calibri"/>
        </w:rPr>
        <w:t xml:space="preserve"> of neurological or psychiatric manifestations is 4 times more common than in adults admitted with COVID-19. </w:t>
      </w:r>
    </w:p>
    <w:p w14:paraId="3337E2B7" w14:textId="77777777" w:rsidR="00807D38" w:rsidRPr="00807D38" w:rsidRDefault="00807D38" w:rsidP="00881173">
      <w:pPr>
        <w:spacing w:line="360" w:lineRule="auto"/>
        <w:rPr>
          <w:rFonts w:ascii="Calibri" w:hAnsi="Calibri" w:cs="Calibri"/>
          <w:b/>
          <w:bCs/>
        </w:rPr>
      </w:pPr>
    </w:p>
    <w:p w14:paraId="5B373EC8" w14:textId="11AE67DD" w:rsidR="00807D38" w:rsidRDefault="00EA2729" w:rsidP="00881173">
      <w:pPr>
        <w:spacing w:line="360" w:lineRule="auto"/>
        <w:rPr>
          <w:rFonts w:ascii="Calibri" w:hAnsi="Calibri" w:cs="Calibri"/>
          <w:b/>
          <w:bCs/>
        </w:rPr>
      </w:pPr>
      <w:r w:rsidRPr="00807D38">
        <w:rPr>
          <w:rFonts w:ascii="Calibri" w:hAnsi="Calibri" w:cs="Calibri"/>
          <w:b/>
          <w:bCs/>
        </w:rPr>
        <w:t>Contributors</w:t>
      </w:r>
    </w:p>
    <w:p w14:paraId="39A079C0" w14:textId="77777777" w:rsidR="00531080" w:rsidRDefault="00531080" w:rsidP="00531080">
      <w:pPr>
        <w:pStyle w:val="NormalWeb"/>
        <w:spacing w:line="360" w:lineRule="auto"/>
        <w:rPr>
          <w:rFonts w:ascii="Calibri" w:hAnsi="Calibri" w:cs="Calibri"/>
        </w:rPr>
      </w:pPr>
      <w:r w:rsidRPr="00F12E04">
        <w:rPr>
          <w:rFonts w:ascii="Calibri" w:hAnsi="Calibri" w:cs="Calibri"/>
        </w:rPr>
        <w:t>S</w:t>
      </w:r>
      <w:r>
        <w:rPr>
          <w:rFonts w:ascii="Calibri" w:hAnsi="Calibri" w:cs="Calibri"/>
        </w:rPr>
        <w:t>TJR</w:t>
      </w:r>
      <w:r w:rsidRPr="00F12E04">
        <w:rPr>
          <w:rFonts w:ascii="Calibri" w:hAnsi="Calibri" w:cs="Calibri"/>
        </w:rPr>
        <w:t>, TS, M</w:t>
      </w:r>
      <w:r>
        <w:rPr>
          <w:rFonts w:ascii="Calibri" w:hAnsi="Calibri" w:cs="Calibri"/>
        </w:rPr>
        <w:t>J</w:t>
      </w:r>
      <w:r w:rsidRPr="00F12E04">
        <w:rPr>
          <w:rFonts w:ascii="Calibri" w:hAnsi="Calibri" w:cs="Calibri"/>
        </w:rPr>
        <w:t>G, B</w:t>
      </w:r>
      <w:r>
        <w:rPr>
          <w:rFonts w:ascii="Calibri" w:hAnsi="Calibri" w:cs="Calibri"/>
        </w:rPr>
        <w:t>D</w:t>
      </w:r>
      <w:r w:rsidRPr="00F12E04">
        <w:rPr>
          <w:rFonts w:ascii="Calibri" w:hAnsi="Calibri" w:cs="Calibri"/>
        </w:rPr>
        <w:t>M and RK drafted the first version of the manuscript. The manuscript was revised b</w:t>
      </w:r>
      <w:r>
        <w:rPr>
          <w:rFonts w:ascii="Calibri" w:hAnsi="Calibri" w:cs="Calibri"/>
        </w:rPr>
        <w:t xml:space="preserve">y all the authors. STJR, OA-M, YH, SA, MJG, ALRR, TS and </w:t>
      </w:r>
      <w:r w:rsidRPr="00F12E04">
        <w:rPr>
          <w:rFonts w:ascii="Calibri" w:hAnsi="Calibri" w:cs="Calibri"/>
        </w:rPr>
        <w:t>RK analysed data; S</w:t>
      </w:r>
      <w:r>
        <w:rPr>
          <w:rFonts w:ascii="Calibri" w:hAnsi="Calibri" w:cs="Calibri"/>
        </w:rPr>
        <w:t>TJ</w:t>
      </w:r>
      <w:r w:rsidRPr="00F12E04">
        <w:rPr>
          <w:rFonts w:ascii="Calibri" w:hAnsi="Calibri" w:cs="Calibri"/>
        </w:rPr>
        <w:t>R, RK, YH, OA-M, SA adjudicated case assignment;</w:t>
      </w:r>
      <w:r>
        <w:rPr>
          <w:rFonts w:ascii="Calibri" w:hAnsi="Calibri" w:cs="Calibri"/>
        </w:rPr>
        <w:t xml:space="preserve"> STJR, OA-M, MS, CF, HM, EW, DR, NE, JH, RK, SA, ML, YH contributed data; YH, </w:t>
      </w:r>
      <w:r w:rsidRPr="00F12E04">
        <w:rPr>
          <w:rFonts w:ascii="Calibri" w:hAnsi="Calibri" w:cs="Calibri"/>
        </w:rPr>
        <w:t xml:space="preserve"> RK, IG, SP, R</w:t>
      </w:r>
      <w:r>
        <w:rPr>
          <w:rFonts w:ascii="Calibri" w:hAnsi="Calibri" w:cs="Calibri"/>
        </w:rPr>
        <w:t>H</w:t>
      </w:r>
      <w:r w:rsidRPr="00F12E04">
        <w:rPr>
          <w:rFonts w:ascii="Calibri" w:hAnsi="Calibri" w:cs="Calibri"/>
        </w:rPr>
        <w:t xml:space="preserve">T, BM, TS, NT formed the </w:t>
      </w:r>
      <w:r w:rsidRPr="00F12E04">
        <w:rPr>
          <w:rFonts w:ascii="Calibri" w:hAnsi="Calibri" w:cs="Calibri"/>
          <w:i/>
        </w:rPr>
        <w:t>Coro</w:t>
      </w:r>
      <w:r w:rsidRPr="00F12E04">
        <w:rPr>
          <w:rFonts w:ascii="Calibri" w:hAnsi="Calibri" w:cs="Calibri"/>
        </w:rPr>
        <w:t xml:space="preserve">Nerve Studies Group Steering Committee; </w:t>
      </w:r>
      <w:r>
        <w:rPr>
          <w:rFonts w:ascii="Calibri" w:hAnsi="Calibri" w:cs="Calibri"/>
        </w:rPr>
        <w:t xml:space="preserve">IG, BDM, SP, RHT and RK lead the </w:t>
      </w:r>
      <w:r w:rsidRPr="00F12E04">
        <w:rPr>
          <w:rFonts w:ascii="Calibri" w:hAnsi="Calibri" w:cs="Calibri"/>
          <w:i/>
        </w:rPr>
        <w:t>Coro</w:t>
      </w:r>
      <w:r w:rsidRPr="00F12E04">
        <w:rPr>
          <w:rFonts w:ascii="Calibri" w:hAnsi="Calibri" w:cs="Calibri"/>
        </w:rPr>
        <w:t>Nerve Studies</w:t>
      </w:r>
      <w:r>
        <w:rPr>
          <w:rFonts w:ascii="Calibri" w:hAnsi="Calibri" w:cs="Calibri"/>
        </w:rPr>
        <w:t xml:space="preserve"> Management Group (</w:t>
      </w:r>
      <w:hyperlink r:id="rId9" w:history="1">
        <w:r w:rsidRPr="00934692">
          <w:rPr>
            <w:rStyle w:val="Hyperlink"/>
            <w:rFonts w:ascii="Calibri" w:hAnsi="Calibri" w:cs="Calibri"/>
          </w:rPr>
          <w:t>www.coronerve.com</w:t>
        </w:r>
      </w:hyperlink>
      <w:r>
        <w:rPr>
          <w:rFonts w:ascii="Calibri" w:hAnsi="Calibri" w:cs="Calibri"/>
        </w:rPr>
        <w:t xml:space="preserve">). Additional members of the </w:t>
      </w:r>
      <w:r w:rsidRPr="00582692">
        <w:rPr>
          <w:rFonts w:ascii="Calibri" w:hAnsi="Calibri" w:cs="Calibri"/>
          <w:i/>
        </w:rPr>
        <w:t>Coro</w:t>
      </w:r>
      <w:r>
        <w:rPr>
          <w:rFonts w:ascii="Calibri" w:hAnsi="Calibri" w:cs="Calibri"/>
        </w:rPr>
        <w:t xml:space="preserve">Nerve study group and their contributions are given in the Supplementary data. </w:t>
      </w:r>
    </w:p>
    <w:p w14:paraId="4F5A9CD5" w14:textId="5CA6F288" w:rsidR="00531080" w:rsidRDefault="00531080" w:rsidP="00881173">
      <w:pPr>
        <w:spacing w:line="360" w:lineRule="auto"/>
        <w:rPr>
          <w:rFonts w:ascii="Calibri" w:hAnsi="Calibri" w:cs="Calibri"/>
        </w:rPr>
      </w:pPr>
    </w:p>
    <w:p w14:paraId="72D6B17D" w14:textId="77777777" w:rsidR="00531080" w:rsidRDefault="00531080" w:rsidP="00531080">
      <w:pPr>
        <w:spacing w:before="100" w:beforeAutospacing="1" w:after="100" w:afterAutospacing="1" w:line="360" w:lineRule="auto"/>
        <w:rPr>
          <w:rFonts w:ascii="Calibri" w:hAnsi="Calibri" w:cs="Calibri"/>
          <w:b/>
        </w:rPr>
      </w:pPr>
      <w:r w:rsidRPr="00582692">
        <w:rPr>
          <w:rFonts w:ascii="Calibri" w:hAnsi="Calibri" w:cs="Calibri"/>
          <w:b/>
        </w:rPr>
        <w:t>Data Sharing</w:t>
      </w:r>
    </w:p>
    <w:p w14:paraId="0BB32673" w14:textId="3163EC97" w:rsidR="00531080" w:rsidRPr="00280CB8" w:rsidRDefault="00531080" w:rsidP="00531080">
      <w:pPr>
        <w:spacing w:line="360" w:lineRule="auto"/>
        <w:rPr>
          <w:rFonts w:ascii="Calibri" w:hAnsi="Calibri" w:cs="Calibri"/>
        </w:rPr>
      </w:pPr>
      <w:r>
        <w:rPr>
          <w:rFonts w:ascii="Calibri" w:hAnsi="Calibri" w:cs="Calibri"/>
          <w:color w:val="222222"/>
        </w:rPr>
        <w:t xml:space="preserve">Any reasonable request to share data will be considered by the </w:t>
      </w:r>
      <w:r w:rsidRPr="00E84C38">
        <w:rPr>
          <w:rFonts w:ascii="Calibri" w:hAnsi="Calibri" w:cs="Calibri"/>
          <w:i/>
          <w:iCs/>
          <w:color w:val="222222"/>
        </w:rPr>
        <w:t>Coro</w:t>
      </w:r>
      <w:r>
        <w:rPr>
          <w:rFonts w:ascii="Calibri" w:hAnsi="Calibri" w:cs="Calibri"/>
          <w:color w:val="222222"/>
        </w:rPr>
        <w:t>Nerve Studies Group Steering Committee subject to institutional agreements and ethical approvals.</w:t>
      </w:r>
    </w:p>
    <w:p w14:paraId="2629B17E" w14:textId="77777777" w:rsidR="00A50096" w:rsidRDefault="00A50096" w:rsidP="00881173">
      <w:pPr>
        <w:spacing w:line="360" w:lineRule="auto"/>
        <w:rPr>
          <w:rFonts w:ascii="Calibri" w:hAnsi="Calibri" w:cs="Calibri"/>
          <w:sz w:val="36"/>
          <w:szCs w:val="36"/>
        </w:rPr>
      </w:pPr>
    </w:p>
    <w:p w14:paraId="0284BA2A" w14:textId="7C6E1507" w:rsidR="00EA2729" w:rsidRPr="00A50096" w:rsidRDefault="00EA2729" w:rsidP="00881173">
      <w:pPr>
        <w:spacing w:line="360" w:lineRule="auto"/>
        <w:rPr>
          <w:rFonts w:ascii="Calibri" w:hAnsi="Calibri" w:cs="Calibri"/>
          <w:b/>
          <w:bCs/>
        </w:rPr>
      </w:pPr>
      <w:r w:rsidRPr="00A50096">
        <w:rPr>
          <w:rFonts w:ascii="Calibri" w:hAnsi="Calibri" w:cs="Calibri"/>
          <w:b/>
          <w:bCs/>
        </w:rPr>
        <w:t xml:space="preserve">Acknowledgements </w:t>
      </w:r>
    </w:p>
    <w:p w14:paraId="38E68558" w14:textId="4E208C0B" w:rsidR="00EA2729" w:rsidRPr="00280CB8" w:rsidRDefault="00EA2729" w:rsidP="00881173">
      <w:pPr>
        <w:spacing w:line="360" w:lineRule="auto"/>
        <w:rPr>
          <w:rFonts w:ascii="Calibri" w:hAnsi="Calibri" w:cs="Calibri"/>
        </w:rPr>
      </w:pPr>
      <w:r w:rsidRPr="00280CB8">
        <w:rPr>
          <w:rFonts w:ascii="Calibri" w:hAnsi="Calibri" w:cs="Calibri"/>
        </w:rPr>
        <w:t xml:space="preserve">All authors are indebted to the British Paediatric Neurology Association (BPNA) who run the British Paediatric Neurology Surveillance unit; in particular </w:t>
      </w:r>
      <w:r w:rsidR="00E36B56">
        <w:rPr>
          <w:rFonts w:ascii="Calibri" w:hAnsi="Calibri" w:cs="Calibri"/>
        </w:rPr>
        <w:t xml:space="preserve">Prof </w:t>
      </w:r>
      <w:r w:rsidRPr="00280CB8">
        <w:rPr>
          <w:rFonts w:ascii="Calibri" w:hAnsi="Calibri" w:cs="Calibri"/>
        </w:rPr>
        <w:t xml:space="preserve">Richard Chin and Aidan Laverty. They are also grateful to the members of the BPNA, particularly those in the UK Childhood Neurology Inflammatory Disorders specialist interest group, and their junior medical staff who reported cases and completed case report forms. The authors would also like to thank all NHS staff including paediatric speciality and rehabilitation teams who managed these complex patients who often had multi-system involvement; particularly those in paediatric intensive care units. They would also like to thank Dr Aravinthan Varatharaj for support with setting up the CRF forms, Athavan Jeyanantham for managing and coding the ALEA paediatric CRF data and Rosie Solomon for proof reading. </w:t>
      </w:r>
    </w:p>
    <w:p w14:paraId="7E9661A0" w14:textId="77777777" w:rsidR="00EA2729" w:rsidRPr="00280CB8" w:rsidRDefault="00EA2729" w:rsidP="00881173">
      <w:pPr>
        <w:spacing w:line="360" w:lineRule="auto"/>
        <w:rPr>
          <w:rFonts w:ascii="Calibri" w:hAnsi="Calibri" w:cs="Calibri"/>
        </w:rPr>
      </w:pPr>
    </w:p>
    <w:p w14:paraId="6A2C341A" w14:textId="77777777" w:rsidR="00EA2729" w:rsidRPr="00A50096" w:rsidRDefault="00EA2729" w:rsidP="00881173">
      <w:pPr>
        <w:spacing w:line="360" w:lineRule="auto"/>
        <w:rPr>
          <w:rFonts w:ascii="Calibri" w:hAnsi="Calibri" w:cs="Calibri"/>
          <w:b/>
          <w:bCs/>
        </w:rPr>
      </w:pPr>
      <w:r w:rsidRPr="00A50096">
        <w:rPr>
          <w:rFonts w:ascii="Calibri" w:hAnsi="Calibri" w:cs="Calibri"/>
          <w:b/>
          <w:bCs/>
        </w:rPr>
        <w:t>Funding</w:t>
      </w:r>
    </w:p>
    <w:p w14:paraId="3CD7C8C0" w14:textId="77777777" w:rsidR="00EA2729" w:rsidRPr="00280CB8" w:rsidRDefault="00EA2729" w:rsidP="00881173">
      <w:pPr>
        <w:spacing w:line="360" w:lineRule="auto"/>
        <w:rPr>
          <w:rFonts w:ascii="Calibri" w:hAnsi="Calibri" w:cs="Calibri"/>
        </w:rPr>
      </w:pPr>
      <w:r w:rsidRPr="00280CB8">
        <w:rPr>
          <w:rFonts w:ascii="Calibri" w:hAnsi="Calibri" w:cs="Calibri"/>
        </w:rPr>
        <w:t xml:space="preserve">BDM and GB are supported to conduct COVID-19 neuroscience research by the UKRI/MRC (MR/V03605X/1); for additional neurological inflammation research due to viral infection BDM is also supported by grants from the MRC/UKRI (MR/V007181//1), MRC (MR/T028750/1) and Wellcome (ISSF201902/3). SR is also supported by Wellcome to conduct paediatric neuroinfectious research (203919/Z/16/Z). IG is supported by NIHR. TS is supported by the National Institute for Health Research (NIHR) Health Protection Research Unit in Emerging and Zoonotic Infections (Grant Nos. IS-HPU-1112-10117 and NIHR200907), NIHR Global Health Research Group on Brain Infections (No. 17/63/110), the UK Medical Research Council’s Global Effort on COVID-19 Programme (MR/V033441/1), and the European Union's Horizon 2020 research and innovation program ZikaPLAN (Preparedness Latin America Network), grant agreement No. 734584. MG is supported to conduct neuroscience and infection research internationally by MRC Newton Fund (MR/S019960/1), MRC DPFS (MR/R015406/1) and NIHR (153195 17/60/67, 126156 17/63/11 and 200907). </w:t>
      </w:r>
    </w:p>
    <w:p w14:paraId="3D3D3887" w14:textId="77777777" w:rsidR="00EA2729" w:rsidRPr="00280CB8" w:rsidRDefault="00EA2729" w:rsidP="00881173">
      <w:pPr>
        <w:spacing w:line="360" w:lineRule="auto"/>
        <w:rPr>
          <w:rFonts w:ascii="Calibri" w:hAnsi="Calibri" w:cs="Calibri"/>
        </w:rPr>
      </w:pPr>
    </w:p>
    <w:p w14:paraId="7818893D" w14:textId="77777777" w:rsidR="00A50096" w:rsidRDefault="00A50096" w:rsidP="00881173">
      <w:pPr>
        <w:spacing w:line="360" w:lineRule="auto"/>
        <w:rPr>
          <w:rFonts w:ascii="Calibri" w:hAnsi="Calibri" w:cs="Calibri"/>
        </w:rPr>
      </w:pPr>
    </w:p>
    <w:p w14:paraId="66D7A0CB" w14:textId="288B03AB" w:rsidR="00EA2729" w:rsidRPr="00A50096" w:rsidRDefault="00EA2729" w:rsidP="00881173">
      <w:pPr>
        <w:spacing w:line="360" w:lineRule="auto"/>
        <w:rPr>
          <w:rFonts w:ascii="Calibri" w:hAnsi="Calibri" w:cs="Calibri"/>
          <w:b/>
          <w:bCs/>
        </w:rPr>
      </w:pPr>
      <w:r w:rsidRPr="00A50096">
        <w:rPr>
          <w:rFonts w:ascii="Calibri" w:hAnsi="Calibri" w:cs="Calibri"/>
          <w:b/>
          <w:bCs/>
        </w:rPr>
        <w:t>Conflicts of Interest</w:t>
      </w:r>
    </w:p>
    <w:p w14:paraId="794068E1" w14:textId="448F6F93" w:rsidR="00EA2729" w:rsidRDefault="00EA2729" w:rsidP="00881173">
      <w:pPr>
        <w:spacing w:line="360" w:lineRule="auto"/>
        <w:rPr>
          <w:rFonts w:ascii="Calibri" w:hAnsi="Calibri" w:cs="Calibri"/>
        </w:rPr>
      </w:pPr>
      <w:r w:rsidRPr="00280CB8">
        <w:rPr>
          <w:rFonts w:ascii="Calibri" w:hAnsi="Calibri" w:cs="Calibri"/>
        </w:rPr>
        <w:t xml:space="preserve">None </w:t>
      </w:r>
      <w:r w:rsidR="00F72692">
        <w:rPr>
          <w:rFonts w:ascii="Calibri" w:hAnsi="Calibri" w:cs="Calibri"/>
        </w:rPr>
        <w:t>for any of the authors</w:t>
      </w:r>
    </w:p>
    <w:p w14:paraId="4DB84673" w14:textId="0CED2E9C" w:rsidR="00745C06" w:rsidRDefault="00745C06" w:rsidP="00881173">
      <w:pPr>
        <w:spacing w:line="360" w:lineRule="auto"/>
        <w:rPr>
          <w:rFonts w:ascii="Calibri" w:hAnsi="Calibri" w:cs="Calibri"/>
        </w:rPr>
      </w:pPr>
    </w:p>
    <w:p w14:paraId="0221DD8F" w14:textId="1D9F5337" w:rsidR="00745C06" w:rsidRDefault="00745C06" w:rsidP="00881173">
      <w:pPr>
        <w:spacing w:line="360" w:lineRule="auto"/>
        <w:rPr>
          <w:rFonts w:ascii="Calibri" w:hAnsi="Calibri" w:cs="Calibri"/>
        </w:rPr>
      </w:pPr>
    </w:p>
    <w:p w14:paraId="72A82DB3" w14:textId="6CD80D10" w:rsidR="00745C06" w:rsidRDefault="00745C06" w:rsidP="00881173">
      <w:pPr>
        <w:spacing w:line="360" w:lineRule="auto"/>
        <w:rPr>
          <w:rFonts w:ascii="Calibri" w:hAnsi="Calibri" w:cs="Calibri"/>
        </w:rPr>
      </w:pPr>
    </w:p>
    <w:p w14:paraId="377A1367" w14:textId="193033E2" w:rsidR="00745C06" w:rsidRDefault="00745C06" w:rsidP="00881173">
      <w:pPr>
        <w:spacing w:line="360" w:lineRule="auto"/>
        <w:rPr>
          <w:rFonts w:ascii="Calibri" w:hAnsi="Calibri" w:cs="Calibri"/>
        </w:rPr>
      </w:pPr>
    </w:p>
    <w:p w14:paraId="69432FCE" w14:textId="375D6C38" w:rsidR="00745C06" w:rsidRDefault="00745C06" w:rsidP="00881173">
      <w:pPr>
        <w:spacing w:line="360" w:lineRule="auto"/>
        <w:rPr>
          <w:rFonts w:ascii="Calibri" w:hAnsi="Calibri" w:cs="Calibri"/>
        </w:rPr>
      </w:pPr>
    </w:p>
    <w:p w14:paraId="160D6C2D" w14:textId="4CACCA07" w:rsidR="00745C06" w:rsidRDefault="00745C06" w:rsidP="00881173">
      <w:pPr>
        <w:spacing w:line="360" w:lineRule="auto"/>
        <w:rPr>
          <w:rFonts w:ascii="Calibri" w:hAnsi="Calibri" w:cs="Calibri"/>
        </w:rPr>
      </w:pPr>
    </w:p>
    <w:p w14:paraId="1BCF4384" w14:textId="4085EFDA" w:rsidR="00745C06" w:rsidRDefault="00745C06" w:rsidP="00881173">
      <w:pPr>
        <w:spacing w:line="360" w:lineRule="auto"/>
        <w:rPr>
          <w:rFonts w:ascii="Calibri" w:hAnsi="Calibri" w:cs="Calibri"/>
        </w:rPr>
      </w:pPr>
    </w:p>
    <w:p w14:paraId="6D4F5350" w14:textId="51D952B1" w:rsidR="00745C06" w:rsidRDefault="00745C06" w:rsidP="00881173">
      <w:pPr>
        <w:spacing w:line="360" w:lineRule="auto"/>
        <w:rPr>
          <w:rFonts w:ascii="Calibri" w:hAnsi="Calibri" w:cs="Calibri"/>
        </w:rPr>
      </w:pPr>
    </w:p>
    <w:p w14:paraId="1946420B" w14:textId="1979D71C" w:rsidR="00745C06" w:rsidRDefault="00745C06" w:rsidP="00881173">
      <w:pPr>
        <w:spacing w:line="360" w:lineRule="auto"/>
        <w:rPr>
          <w:rFonts w:ascii="Calibri" w:hAnsi="Calibri" w:cs="Calibri"/>
        </w:rPr>
      </w:pPr>
    </w:p>
    <w:p w14:paraId="723E18B2" w14:textId="2E4EA147" w:rsidR="00745C06" w:rsidRDefault="00745C06" w:rsidP="00881173">
      <w:pPr>
        <w:spacing w:line="360" w:lineRule="auto"/>
        <w:rPr>
          <w:rFonts w:ascii="Calibri" w:hAnsi="Calibri" w:cs="Calibri"/>
        </w:rPr>
      </w:pPr>
    </w:p>
    <w:p w14:paraId="198DF624" w14:textId="7EED68FF" w:rsidR="00745C06" w:rsidRDefault="00745C06" w:rsidP="00881173">
      <w:pPr>
        <w:spacing w:line="360" w:lineRule="auto"/>
        <w:rPr>
          <w:rFonts w:ascii="Calibri" w:hAnsi="Calibri" w:cs="Calibri"/>
        </w:rPr>
      </w:pPr>
    </w:p>
    <w:p w14:paraId="74E20AAD" w14:textId="347C4E12" w:rsidR="00745C06" w:rsidRDefault="00745C06" w:rsidP="00881173">
      <w:pPr>
        <w:spacing w:line="360" w:lineRule="auto"/>
        <w:rPr>
          <w:rFonts w:ascii="Calibri" w:hAnsi="Calibri" w:cs="Calibri"/>
        </w:rPr>
      </w:pPr>
    </w:p>
    <w:p w14:paraId="1FCBEAB3" w14:textId="2355AEC1" w:rsidR="00745C06" w:rsidRDefault="00745C06" w:rsidP="00881173">
      <w:pPr>
        <w:spacing w:line="360" w:lineRule="auto"/>
        <w:rPr>
          <w:rFonts w:ascii="Calibri" w:hAnsi="Calibri" w:cs="Calibri"/>
        </w:rPr>
      </w:pPr>
    </w:p>
    <w:p w14:paraId="291DF908" w14:textId="28AA3D75" w:rsidR="00745C06" w:rsidRDefault="00745C06" w:rsidP="00881173">
      <w:pPr>
        <w:spacing w:line="360" w:lineRule="auto"/>
        <w:rPr>
          <w:rFonts w:ascii="Calibri" w:hAnsi="Calibri" w:cs="Calibri"/>
        </w:rPr>
      </w:pPr>
    </w:p>
    <w:p w14:paraId="26047B29" w14:textId="3EB2027A" w:rsidR="00745C06" w:rsidRDefault="00745C06" w:rsidP="00881173">
      <w:pPr>
        <w:spacing w:line="360" w:lineRule="auto"/>
        <w:rPr>
          <w:rFonts w:ascii="Calibri" w:hAnsi="Calibri" w:cs="Calibri"/>
        </w:rPr>
      </w:pPr>
    </w:p>
    <w:p w14:paraId="4E15DC3C" w14:textId="17389868" w:rsidR="00745C06" w:rsidRDefault="00745C06" w:rsidP="00881173">
      <w:pPr>
        <w:spacing w:line="360" w:lineRule="auto"/>
        <w:rPr>
          <w:rFonts w:ascii="Calibri" w:hAnsi="Calibri" w:cs="Calibri"/>
        </w:rPr>
      </w:pPr>
    </w:p>
    <w:p w14:paraId="713B90B1" w14:textId="5DA4E782" w:rsidR="00745C06" w:rsidRDefault="00745C06" w:rsidP="00881173">
      <w:pPr>
        <w:spacing w:line="360" w:lineRule="auto"/>
        <w:rPr>
          <w:rFonts w:ascii="Calibri" w:hAnsi="Calibri" w:cs="Calibri"/>
        </w:rPr>
      </w:pPr>
    </w:p>
    <w:p w14:paraId="1A524BFB" w14:textId="58A1728A" w:rsidR="00745C06" w:rsidRDefault="00745C06" w:rsidP="00881173">
      <w:pPr>
        <w:spacing w:line="360" w:lineRule="auto"/>
        <w:rPr>
          <w:rFonts w:ascii="Calibri" w:hAnsi="Calibri" w:cs="Calibri"/>
        </w:rPr>
      </w:pPr>
    </w:p>
    <w:p w14:paraId="44B3F485" w14:textId="111E7ED1" w:rsidR="00745C06" w:rsidRDefault="00745C06" w:rsidP="00881173">
      <w:pPr>
        <w:spacing w:line="360" w:lineRule="auto"/>
        <w:rPr>
          <w:rFonts w:ascii="Calibri" w:hAnsi="Calibri" w:cs="Calibri"/>
        </w:rPr>
      </w:pPr>
    </w:p>
    <w:p w14:paraId="3A775875" w14:textId="5ED6847E" w:rsidR="00745C06" w:rsidRDefault="00745C06" w:rsidP="00881173">
      <w:pPr>
        <w:spacing w:line="360" w:lineRule="auto"/>
        <w:rPr>
          <w:rFonts w:ascii="Calibri" w:hAnsi="Calibri" w:cs="Calibri"/>
        </w:rPr>
      </w:pPr>
    </w:p>
    <w:tbl>
      <w:tblPr>
        <w:tblW w:w="10095" w:type="dxa"/>
        <w:tblLayout w:type="fixed"/>
        <w:tblLook w:val="04A0" w:firstRow="1" w:lastRow="0" w:firstColumn="1" w:lastColumn="0" w:noHBand="0" w:noVBand="1"/>
      </w:tblPr>
      <w:tblGrid>
        <w:gridCol w:w="4663"/>
        <w:gridCol w:w="1902"/>
        <w:gridCol w:w="2067"/>
        <w:gridCol w:w="207"/>
        <w:gridCol w:w="927"/>
        <w:gridCol w:w="236"/>
        <w:gridCol w:w="93"/>
      </w:tblGrid>
      <w:tr w:rsidR="00745C06" w:rsidRPr="00A122D2" w14:paraId="3DFA1B47" w14:textId="77777777" w:rsidTr="00582692">
        <w:trPr>
          <w:gridAfter w:val="2"/>
          <w:wAfter w:w="329" w:type="dxa"/>
          <w:trHeight w:val="369"/>
        </w:trPr>
        <w:tc>
          <w:tcPr>
            <w:tcW w:w="4663" w:type="dxa"/>
            <w:tcBorders>
              <w:top w:val="single" w:sz="12" w:space="0" w:color="auto"/>
              <w:left w:val="single" w:sz="12" w:space="0" w:color="auto"/>
              <w:bottom w:val="nil"/>
              <w:right w:val="single" w:sz="12" w:space="0" w:color="auto"/>
            </w:tcBorders>
            <w:shd w:val="clear" w:color="000000" w:fill="FCE4D6"/>
            <w:vAlign w:val="center"/>
            <w:hideMark/>
          </w:tcPr>
          <w:p w14:paraId="0CB59136"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 </w:t>
            </w:r>
          </w:p>
        </w:tc>
        <w:tc>
          <w:tcPr>
            <w:tcW w:w="5103" w:type="dxa"/>
            <w:gridSpan w:val="4"/>
            <w:vMerge w:val="restart"/>
            <w:tcBorders>
              <w:top w:val="single" w:sz="12" w:space="0" w:color="auto"/>
              <w:left w:val="single" w:sz="12" w:space="0" w:color="auto"/>
              <w:bottom w:val="dotDash" w:sz="8" w:space="0" w:color="000000"/>
              <w:right w:val="single" w:sz="12" w:space="0" w:color="auto"/>
            </w:tcBorders>
            <w:shd w:val="clear" w:color="000000" w:fill="FCE4D6"/>
            <w:noWrap/>
            <w:vAlign w:val="bottom"/>
            <w:hideMark/>
          </w:tcPr>
          <w:p w14:paraId="2C907C37"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All cases (n=52)</w:t>
            </w:r>
          </w:p>
        </w:tc>
      </w:tr>
      <w:tr w:rsidR="00745C06" w:rsidRPr="00A122D2" w14:paraId="5E264796" w14:textId="77777777" w:rsidTr="00582692">
        <w:trPr>
          <w:gridAfter w:val="2"/>
          <w:wAfter w:w="329" w:type="dxa"/>
          <w:trHeight w:val="347"/>
        </w:trPr>
        <w:tc>
          <w:tcPr>
            <w:tcW w:w="4663" w:type="dxa"/>
            <w:tcBorders>
              <w:top w:val="nil"/>
              <w:left w:val="single" w:sz="12" w:space="0" w:color="auto"/>
              <w:bottom w:val="nil"/>
              <w:right w:val="single" w:sz="12" w:space="0" w:color="auto"/>
            </w:tcBorders>
            <w:shd w:val="clear" w:color="000000" w:fill="FCE4D6"/>
            <w:vAlign w:val="center"/>
            <w:hideMark/>
          </w:tcPr>
          <w:p w14:paraId="3EF54FB4"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5103" w:type="dxa"/>
            <w:gridSpan w:val="4"/>
            <w:vMerge/>
            <w:tcBorders>
              <w:top w:val="dotDash" w:sz="8" w:space="0" w:color="000000"/>
              <w:left w:val="single" w:sz="12" w:space="0" w:color="auto"/>
              <w:bottom w:val="single" w:sz="12" w:space="0" w:color="000000"/>
              <w:right w:val="single" w:sz="12" w:space="0" w:color="auto"/>
            </w:tcBorders>
            <w:vAlign w:val="center"/>
            <w:hideMark/>
          </w:tcPr>
          <w:p w14:paraId="63FF8F38" w14:textId="77777777" w:rsidR="00745C06" w:rsidRPr="00A122D2" w:rsidRDefault="00745C06" w:rsidP="00582692">
            <w:pPr>
              <w:rPr>
                <w:rFonts w:ascii="Calibri" w:hAnsi="Calibri" w:cs="Calibri"/>
                <w:b/>
                <w:bCs/>
                <w:color w:val="000000"/>
                <w:sz w:val="20"/>
                <w:szCs w:val="20"/>
              </w:rPr>
            </w:pPr>
          </w:p>
        </w:tc>
      </w:tr>
      <w:tr w:rsidR="00745C06" w:rsidRPr="00A122D2" w14:paraId="7F38268A" w14:textId="77777777" w:rsidTr="00582692">
        <w:trPr>
          <w:gridAfter w:val="2"/>
          <w:wAfter w:w="329" w:type="dxa"/>
          <w:trHeight w:val="676"/>
        </w:trPr>
        <w:tc>
          <w:tcPr>
            <w:tcW w:w="4663" w:type="dxa"/>
            <w:tcBorders>
              <w:top w:val="nil"/>
              <w:left w:val="single" w:sz="12" w:space="0" w:color="auto"/>
              <w:bottom w:val="nil"/>
              <w:right w:val="single" w:sz="12" w:space="0" w:color="auto"/>
            </w:tcBorders>
            <w:shd w:val="clear" w:color="000000" w:fill="FCE4D6"/>
            <w:vAlign w:val="center"/>
            <w:hideMark/>
          </w:tcPr>
          <w:p w14:paraId="7D952313"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902" w:type="dxa"/>
            <w:tcBorders>
              <w:top w:val="single" w:sz="12" w:space="0" w:color="000000"/>
              <w:left w:val="single" w:sz="12" w:space="0" w:color="auto"/>
              <w:bottom w:val="nil"/>
              <w:right w:val="single" w:sz="12" w:space="0" w:color="auto"/>
            </w:tcBorders>
            <w:shd w:val="clear" w:color="000000" w:fill="FCE4D6"/>
            <w:vAlign w:val="center"/>
            <w:hideMark/>
          </w:tcPr>
          <w:p w14:paraId="5D6F8B15" w14:textId="1A06E55F"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COVID</w:t>
            </w:r>
            <w:r w:rsidR="00FC78DA">
              <w:rPr>
                <w:rFonts w:ascii="Calibri" w:hAnsi="Calibri" w:cs="Calibri"/>
                <w:b/>
                <w:bCs/>
                <w:color w:val="000000"/>
                <w:sz w:val="20"/>
                <w:szCs w:val="20"/>
              </w:rPr>
              <w:t>-19</w:t>
            </w:r>
            <w:r w:rsidRPr="00A122D2">
              <w:rPr>
                <w:rFonts w:ascii="Calibri" w:hAnsi="Calibri" w:cs="Calibri"/>
                <w:b/>
                <w:bCs/>
                <w:color w:val="000000"/>
                <w:sz w:val="20"/>
                <w:szCs w:val="20"/>
              </w:rPr>
              <w:t xml:space="preserve"> Neurology Group </w:t>
            </w:r>
          </w:p>
        </w:tc>
        <w:tc>
          <w:tcPr>
            <w:tcW w:w="2067" w:type="dxa"/>
            <w:tcBorders>
              <w:top w:val="single" w:sz="12" w:space="0" w:color="000000"/>
              <w:left w:val="single" w:sz="12" w:space="0" w:color="auto"/>
              <w:bottom w:val="nil"/>
              <w:right w:val="single" w:sz="12" w:space="0" w:color="auto"/>
            </w:tcBorders>
            <w:shd w:val="clear" w:color="000000" w:fill="FCE4D6"/>
            <w:vAlign w:val="center"/>
            <w:hideMark/>
          </w:tcPr>
          <w:p w14:paraId="1B379626" w14:textId="219CBA7B"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PIMS-TS</w:t>
            </w:r>
            <w:r w:rsidR="00FC78DA">
              <w:rPr>
                <w:rFonts w:ascii="Calibri" w:hAnsi="Calibri" w:cs="Calibri"/>
                <w:b/>
                <w:bCs/>
                <w:color w:val="000000"/>
                <w:sz w:val="20"/>
                <w:szCs w:val="20"/>
              </w:rPr>
              <w:t xml:space="preserve"> Neurology Group</w:t>
            </w:r>
            <w:r w:rsidRPr="00A122D2">
              <w:rPr>
                <w:rFonts w:ascii="Calibri" w:hAnsi="Calibri" w:cs="Calibri"/>
                <w:b/>
                <w:bCs/>
                <w:color w:val="000000"/>
                <w:sz w:val="20"/>
                <w:szCs w:val="20"/>
              </w:rPr>
              <w:t xml:space="preserve"> </w:t>
            </w:r>
          </w:p>
        </w:tc>
        <w:tc>
          <w:tcPr>
            <w:tcW w:w="1134" w:type="dxa"/>
            <w:gridSpan w:val="2"/>
            <w:tcBorders>
              <w:top w:val="single" w:sz="12" w:space="0" w:color="000000"/>
              <w:left w:val="single" w:sz="12" w:space="0" w:color="auto"/>
              <w:bottom w:val="nil"/>
              <w:right w:val="single" w:sz="12" w:space="0" w:color="auto"/>
            </w:tcBorders>
            <w:shd w:val="clear" w:color="000000" w:fill="FCE4D6"/>
            <w:noWrap/>
            <w:vAlign w:val="bottom"/>
            <w:hideMark/>
          </w:tcPr>
          <w:p w14:paraId="3E87EA66"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xml:space="preserve">p value† </w:t>
            </w:r>
          </w:p>
        </w:tc>
      </w:tr>
      <w:tr w:rsidR="00745C06" w:rsidRPr="00A122D2" w14:paraId="50DE08F3" w14:textId="77777777" w:rsidTr="00582692">
        <w:trPr>
          <w:gridAfter w:val="2"/>
          <w:wAfter w:w="329" w:type="dxa"/>
          <w:trHeight w:val="369"/>
        </w:trPr>
        <w:tc>
          <w:tcPr>
            <w:tcW w:w="4663" w:type="dxa"/>
            <w:tcBorders>
              <w:top w:val="nil"/>
              <w:left w:val="single" w:sz="12" w:space="0" w:color="auto"/>
              <w:bottom w:val="single" w:sz="12" w:space="0" w:color="auto"/>
              <w:right w:val="single" w:sz="12" w:space="0" w:color="auto"/>
            </w:tcBorders>
            <w:shd w:val="clear" w:color="000000" w:fill="FCE4D6"/>
            <w:vAlign w:val="center"/>
            <w:hideMark/>
          </w:tcPr>
          <w:p w14:paraId="282B7405"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902" w:type="dxa"/>
            <w:tcBorders>
              <w:top w:val="nil"/>
              <w:left w:val="single" w:sz="12" w:space="0" w:color="auto"/>
              <w:bottom w:val="single" w:sz="12" w:space="0" w:color="auto"/>
              <w:right w:val="single" w:sz="12" w:space="0" w:color="auto"/>
            </w:tcBorders>
            <w:shd w:val="clear" w:color="000000" w:fill="FCE4D6"/>
            <w:vAlign w:val="center"/>
            <w:hideMark/>
          </w:tcPr>
          <w:p w14:paraId="260EAF45"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(n=27)</w:t>
            </w:r>
          </w:p>
        </w:tc>
        <w:tc>
          <w:tcPr>
            <w:tcW w:w="2067" w:type="dxa"/>
            <w:tcBorders>
              <w:top w:val="nil"/>
              <w:left w:val="single" w:sz="12" w:space="0" w:color="auto"/>
              <w:bottom w:val="single" w:sz="12" w:space="0" w:color="auto"/>
              <w:right w:val="single" w:sz="12" w:space="0" w:color="auto"/>
            </w:tcBorders>
            <w:shd w:val="clear" w:color="000000" w:fill="FCE4D6"/>
            <w:vAlign w:val="center"/>
            <w:hideMark/>
          </w:tcPr>
          <w:p w14:paraId="1C66C089"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(n=25)</w:t>
            </w:r>
          </w:p>
        </w:tc>
        <w:tc>
          <w:tcPr>
            <w:tcW w:w="1134" w:type="dxa"/>
            <w:gridSpan w:val="2"/>
            <w:tcBorders>
              <w:top w:val="nil"/>
              <w:left w:val="single" w:sz="12" w:space="0" w:color="auto"/>
              <w:bottom w:val="single" w:sz="12" w:space="0" w:color="auto"/>
              <w:right w:val="single" w:sz="12" w:space="0" w:color="auto"/>
            </w:tcBorders>
            <w:shd w:val="clear" w:color="000000" w:fill="FCE4D6"/>
            <w:noWrap/>
            <w:vAlign w:val="bottom"/>
            <w:hideMark/>
          </w:tcPr>
          <w:p w14:paraId="2CF512C6"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r>
      <w:tr w:rsidR="00745C06" w:rsidRPr="00A122D2" w14:paraId="2B9E45D5" w14:textId="77777777" w:rsidTr="00582692">
        <w:trPr>
          <w:gridAfter w:val="2"/>
          <w:wAfter w:w="329" w:type="dxa"/>
          <w:trHeight w:val="369"/>
        </w:trPr>
        <w:tc>
          <w:tcPr>
            <w:tcW w:w="4663" w:type="dxa"/>
            <w:tcBorders>
              <w:top w:val="single" w:sz="12" w:space="0" w:color="auto"/>
              <w:left w:val="single" w:sz="12" w:space="0" w:color="auto"/>
              <w:bottom w:val="nil"/>
              <w:right w:val="nil"/>
            </w:tcBorders>
            <w:shd w:val="clear" w:color="000000" w:fill="FCE4D6"/>
            <w:vAlign w:val="center"/>
            <w:hideMark/>
          </w:tcPr>
          <w:p w14:paraId="710A3601" w14:textId="77777777" w:rsidR="00745C06" w:rsidRPr="00A122D2" w:rsidRDefault="00745C06" w:rsidP="00582692">
            <w:pPr>
              <w:rPr>
                <w:rFonts w:ascii="Calibri" w:hAnsi="Calibri" w:cs="Calibri"/>
                <w:b/>
                <w:bCs/>
                <w:color w:val="000000"/>
                <w:sz w:val="20"/>
                <w:szCs w:val="20"/>
              </w:rPr>
            </w:pPr>
            <w:r w:rsidRPr="00A122D2">
              <w:rPr>
                <w:rFonts w:ascii="Calibri" w:hAnsi="Calibri" w:cs="Calibri"/>
                <w:b/>
                <w:bCs/>
                <w:color w:val="000000"/>
                <w:sz w:val="20"/>
                <w:szCs w:val="20"/>
              </w:rPr>
              <w:t>Demographics</w:t>
            </w:r>
          </w:p>
        </w:tc>
        <w:tc>
          <w:tcPr>
            <w:tcW w:w="1902" w:type="dxa"/>
            <w:tcBorders>
              <w:top w:val="single" w:sz="12" w:space="0" w:color="auto"/>
              <w:left w:val="nil"/>
              <w:bottom w:val="nil"/>
              <w:right w:val="nil"/>
            </w:tcBorders>
            <w:shd w:val="clear" w:color="000000" w:fill="FCE4D6"/>
            <w:vAlign w:val="center"/>
            <w:hideMark/>
          </w:tcPr>
          <w:p w14:paraId="2FC6BB80" w14:textId="77777777" w:rsidR="00745C06" w:rsidRPr="00A122D2" w:rsidRDefault="00745C06" w:rsidP="00582692">
            <w:pPr>
              <w:jc w:val="center"/>
              <w:rPr>
                <w:rFonts w:ascii="Calibri" w:hAnsi="Calibri" w:cs="Calibri"/>
                <w:color w:val="000000"/>
                <w:sz w:val="20"/>
                <w:szCs w:val="20"/>
              </w:rPr>
            </w:pPr>
          </w:p>
        </w:tc>
        <w:tc>
          <w:tcPr>
            <w:tcW w:w="2067" w:type="dxa"/>
            <w:tcBorders>
              <w:top w:val="single" w:sz="12" w:space="0" w:color="auto"/>
              <w:left w:val="nil"/>
              <w:bottom w:val="nil"/>
              <w:right w:val="nil"/>
            </w:tcBorders>
            <w:shd w:val="clear" w:color="000000" w:fill="FCE4D6"/>
            <w:vAlign w:val="center"/>
            <w:hideMark/>
          </w:tcPr>
          <w:p w14:paraId="7613F025" w14:textId="77777777" w:rsidR="00745C06" w:rsidRPr="00A122D2" w:rsidRDefault="00745C06" w:rsidP="00582692">
            <w:pPr>
              <w:jc w:val="center"/>
              <w:rPr>
                <w:rFonts w:ascii="Calibri" w:hAnsi="Calibri" w:cs="Calibri"/>
                <w:b/>
                <w:bCs/>
                <w:color w:val="000000"/>
                <w:sz w:val="20"/>
                <w:szCs w:val="20"/>
              </w:rPr>
            </w:pPr>
          </w:p>
        </w:tc>
        <w:tc>
          <w:tcPr>
            <w:tcW w:w="1134" w:type="dxa"/>
            <w:gridSpan w:val="2"/>
            <w:tcBorders>
              <w:top w:val="single" w:sz="12" w:space="0" w:color="auto"/>
              <w:left w:val="nil"/>
              <w:bottom w:val="nil"/>
              <w:right w:val="single" w:sz="12" w:space="0" w:color="auto"/>
            </w:tcBorders>
            <w:shd w:val="clear" w:color="000000" w:fill="FCE4D6"/>
            <w:noWrap/>
            <w:vAlign w:val="bottom"/>
            <w:hideMark/>
          </w:tcPr>
          <w:p w14:paraId="75F0A2B1" w14:textId="77777777" w:rsidR="00745C06" w:rsidRPr="00A122D2" w:rsidRDefault="00745C06" w:rsidP="00582692">
            <w:pPr>
              <w:jc w:val="center"/>
              <w:rPr>
                <w:rFonts w:ascii="Calibri" w:hAnsi="Calibri" w:cs="Calibri"/>
                <w:color w:val="000000"/>
                <w:sz w:val="20"/>
                <w:szCs w:val="20"/>
              </w:rPr>
            </w:pPr>
          </w:p>
        </w:tc>
      </w:tr>
      <w:tr w:rsidR="00745C06" w:rsidRPr="00A122D2" w14:paraId="1B80A8E4" w14:textId="77777777" w:rsidTr="00582692">
        <w:trPr>
          <w:gridAfter w:val="2"/>
          <w:wAfter w:w="329" w:type="dxa"/>
          <w:trHeight w:val="369"/>
        </w:trPr>
        <w:tc>
          <w:tcPr>
            <w:tcW w:w="4663" w:type="dxa"/>
            <w:tcBorders>
              <w:top w:val="single" w:sz="8" w:space="0" w:color="auto"/>
              <w:left w:val="single" w:sz="12" w:space="0" w:color="auto"/>
              <w:bottom w:val="single" w:sz="4" w:space="0" w:color="auto"/>
              <w:right w:val="single" w:sz="4" w:space="0" w:color="auto"/>
            </w:tcBorders>
            <w:shd w:val="clear" w:color="auto" w:fill="auto"/>
            <w:vAlign w:val="center"/>
            <w:hideMark/>
          </w:tcPr>
          <w:p w14:paraId="71E9B4A6"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Age [years] (range)</w:t>
            </w:r>
          </w:p>
        </w:tc>
        <w:tc>
          <w:tcPr>
            <w:tcW w:w="1902"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DC42DF4"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9 (1-16)</w:t>
            </w:r>
          </w:p>
        </w:tc>
        <w:tc>
          <w:tcPr>
            <w:tcW w:w="2067"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A23C7F9"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10 (1-17)</w:t>
            </w:r>
          </w:p>
        </w:tc>
        <w:tc>
          <w:tcPr>
            <w:tcW w:w="1134" w:type="dxa"/>
            <w:gridSpan w:val="2"/>
            <w:tcBorders>
              <w:top w:val="single" w:sz="8" w:space="0" w:color="auto"/>
              <w:left w:val="single" w:sz="4" w:space="0" w:color="auto"/>
              <w:bottom w:val="single" w:sz="4" w:space="0" w:color="auto"/>
              <w:right w:val="single" w:sz="12" w:space="0" w:color="auto"/>
            </w:tcBorders>
            <w:shd w:val="clear" w:color="auto" w:fill="auto"/>
            <w:noWrap/>
            <w:vAlign w:val="bottom"/>
            <w:hideMark/>
          </w:tcPr>
          <w:p w14:paraId="29BB8F99"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0.26</w:t>
            </w:r>
          </w:p>
        </w:tc>
      </w:tr>
      <w:tr w:rsidR="00745C06" w:rsidRPr="00A122D2" w14:paraId="505EB2E2" w14:textId="77777777" w:rsidTr="00582692">
        <w:trPr>
          <w:gridAfter w:val="2"/>
          <w:wAfter w:w="329" w:type="dxa"/>
          <w:trHeight w:val="329"/>
        </w:trPr>
        <w:tc>
          <w:tcPr>
            <w:tcW w:w="4663" w:type="dxa"/>
            <w:tcBorders>
              <w:top w:val="single" w:sz="4" w:space="0" w:color="auto"/>
              <w:left w:val="single" w:sz="12" w:space="0" w:color="auto"/>
              <w:bottom w:val="single" w:sz="8" w:space="0" w:color="auto"/>
              <w:right w:val="single" w:sz="4" w:space="0" w:color="auto"/>
            </w:tcBorders>
            <w:shd w:val="clear" w:color="auto" w:fill="auto"/>
            <w:vAlign w:val="center"/>
            <w:hideMark/>
          </w:tcPr>
          <w:p w14:paraId="31DBF12B"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Gender Male:Female</w:t>
            </w:r>
          </w:p>
        </w:tc>
        <w:tc>
          <w:tcPr>
            <w:tcW w:w="1902"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5DBFDD41"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17 (63):10 (37)</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7F044"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13 (52):12 (48)</w:t>
            </w:r>
          </w:p>
        </w:tc>
        <w:tc>
          <w:tcPr>
            <w:tcW w:w="1134" w:type="dxa"/>
            <w:gridSpan w:val="2"/>
            <w:tcBorders>
              <w:top w:val="single" w:sz="4" w:space="0" w:color="auto"/>
              <w:left w:val="single" w:sz="4" w:space="0" w:color="auto"/>
              <w:bottom w:val="single" w:sz="8" w:space="0" w:color="auto"/>
              <w:right w:val="single" w:sz="12" w:space="0" w:color="auto"/>
            </w:tcBorders>
            <w:shd w:val="clear" w:color="auto" w:fill="auto"/>
            <w:noWrap/>
            <w:vAlign w:val="bottom"/>
            <w:hideMark/>
          </w:tcPr>
          <w:p w14:paraId="73E91886"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0.42</w:t>
            </w:r>
          </w:p>
        </w:tc>
      </w:tr>
      <w:tr w:rsidR="00745C06" w:rsidRPr="00A122D2" w14:paraId="3FD634B8" w14:textId="77777777" w:rsidTr="00582692">
        <w:trPr>
          <w:gridAfter w:val="2"/>
          <w:wAfter w:w="329" w:type="dxa"/>
          <w:trHeight w:val="297"/>
        </w:trPr>
        <w:tc>
          <w:tcPr>
            <w:tcW w:w="4663" w:type="dxa"/>
            <w:tcBorders>
              <w:top w:val="nil"/>
              <w:left w:val="single" w:sz="12" w:space="0" w:color="auto"/>
              <w:bottom w:val="single" w:sz="8" w:space="0" w:color="auto"/>
              <w:right w:val="single" w:sz="4" w:space="0" w:color="auto"/>
            </w:tcBorders>
            <w:shd w:val="clear" w:color="auto" w:fill="auto"/>
            <w:vAlign w:val="center"/>
            <w:hideMark/>
          </w:tcPr>
          <w:p w14:paraId="5C0158A6"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Ethnicity (White:Black:Asian)</w:t>
            </w:r>
          </w:p>
        </w:tc>
        <w:tc>
          <w:tcPr>
            <w:tcW w:w="1902" w:type="dxa"/>
            <w:tcBorders>
              <w:top w:val="nil"/>
              <w:left w:val="single" w:sz="4" w:space="0" w:color="auto"/>
              <w:bottom w:val="single" w:sz="8" w:space="0" w:color="auto"/>
              <w:right w:val="single" w:sz="4" w:space="0" w:color="auto"/>
            </w:tcBorders>
            <w:shd w:val="clear" w:color="auto" w:fill="auto"/>
            <w:vAlign w:val="center"/>
            <w:hideMark/>
          </w:tcPr>
          <w:p w14:paraId="3AB2BC42"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13:08:06</w:t>
            </w:r>
          </w:p>
        </w:tc>
        <w:tc>
          <w:tcPr>
            <w:tcW w:w="2067"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75ED15A7"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03:14:08</w:t>
            </w:r>
          </w:p>
        </w:tc>
        <w:tc>
          <w:tcPr>
            <w:tcW w:w="1134" w:type="dxa"/>
            <w:gridSpan w:val="2"/>
            <w:tcBorders>
              <w:top w:val="nil"/>
              <w:left w:val="single" w:sz="4" w:space="0" w:color="auto"/>
              <w:bottom w:val="single" w:sz="8" w:space="0" w:color="auto"/>
              <w:right w:val="single" w:sz="12" w:space="0" w:color="auto"/>
            </w:tcBorders>
            <w:shd w:val="clear" w:color="auto" w:fill="auto"/>
            <w:noWrap/>
            <w:vAlign w:val="bottom"/>
            <w:hideMark/>
          </w:tcPr>
          <w:p w14:paraId="2364942B" w14:textId="77777777" w:rsidR="00745C06"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0.0048*††</w:t>
            </w:r>
          </w:p>
          <w:p w14:paraId="6494E9B2" w14:textId="77777777" w:rsidR="00745C06" w:rsidRPr="00A122D2" w:rsidRDefault="00745C06" w:rsidP="00582692">
            <w:pPr>
              <w:jc w:val="center"/>
              <w:rPr>
                <w:rFonts w:ascii="Calibri" w:hAnsi="Calibri" w:cs="Calibri"/>
                <w:color w:val="000000"/>
                <w:sz w:val="20"/>
                <w:szCs w:val="20"/>
              </w:rPr>
            </w:pPr>
          </w:p>
        </w:tc>
      </w:tr>
      <w:tr w:rsidR="00745C06" w:rsidRPr="00A122D2" w14:paraId="5A651CEC" w14:textId="77777777" w:rsidTr="00582692">
        <w:trPr>
          <w:gridAfter w:val="2"/>
          <w:wAfter w:w="329" w:type="dxa"/>
          <w:trHeight w:val="369"/>
        </w:trPr>
        <w:tc>
          <w:tcPr>
            <w:tcW w:w="4663" w:type="dxa"/>
            <w:tcBorders>
              <w:top w:val="nil"/>
              <w:left w:val="single" w:sz="12" w:space="0" w:color="auto"/>
              <w:bottom w:val="single" w:sz="8" w:space="0" w:color="auto"/>
            </w:tcBorders>
            <w:shd w:val="clear" w:color="000000" w:fill="FCE4D6"/>
            <w:vAlign w:val="center"/>
            <w:hideMark/>
          </w:tcPr>
          <w:p w14:paraId="17B155A1" w14:textId="77777777" w:rsidR="00745C06" w:rsidRPr="00A122D2" w:rsidRDefault="00745C06" w:rsidP="00582692">
            <w:pPr>
              <w:rPr>
                <w:rFonts w:ascii="Calibri" w:hAnsi="Calibri" w:cs="Calibri"/>
                <w:b/>
                <w:bCs/>
                <w:color w:val="000000"/>
                <w:sz w:val="20"/>
                <w:szCs w:val="20"/>
              </w:rPr>
            </w:pPr>
            <w:r w:rsidRPr="00A122D2">
              <w:rPr>
                <w:rFonts w:ascii="Calibri" w:hAnsi="Calibri" w:cs="Calibri"/>
                <w:b/>
                <w:bCs/>
                <w:color w:val="000000"/>
                <w:sz w:val="20"/>
                <w:szCs w:val="20"/>
              </w:rPr>
              <w:t>Underlying comorbidity</w:t>
            </w:r>
          </w:p>
        </w:tc>
        <w:tc>
          <w:tcPr>
            <w:tcW w:w="1902" w:type="dxa"/>
            <w:tcBorders>
              <w:top w:val="nil"/>
              <w:left w:val="nil"/>
              <w:bottom w:val="single" w:sz="8" w:space="0" w:color="auto"/>
            </w:tcBorders>
            <w:shd w:val="clear" w:color="000000" w:fill="FCE4D6"/>
            <w:vAlign w:val="center"/>
            <w:hideMark/>
          </w:tcPr>
          <w:p w14:paraId="092ED2B7"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2067" w:type="dxa"/>
            <w:tcBorders>
              <w:top w:val="nil"/>
              <w:left w:val="nil"/>
              <w:bottom w:val="single" w:sz="8" w:space="0" w:color="auto"/>
            </w:tcBorders>
            <w:shd w:val="clear" w:color="000000" w:fill="FCE4D6"/>
            <w:vAlign w:val="center"/>
            <w:hideMark/>
          </w:tcPr>
          <w:p w14:paraId="6456660F"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134" w:type="dxa"/>
            <w:gridSpan w:val="2"/>
            <w:tcBorders>
              <w:top w:val="nil"/>
              <w:left w:val="nil"/>
              <w:bottom w:val="single" w:sz="8" w:space="0" w:color="auto"/>
              <w:right w:val="single" w:sz="12" w:space="0" w:color="auto"/>
            </w:tcBorders>
            <w:shd w:val="clear" w:color="000000" w:fill="FCE4D6"/>
            <w:noWrap/>
            <w:vAlign w:val="bottom"/>
            <w:hideMark/>
          </w:tcPr>
          <w:p w14:paraId="61963466"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r>
      <w:tr w:rsidR="00745C06" w:rsidRPr="00A122D2" w14:paraId="2650C365" w14:textId="77777777" w:rsidTr="00582692">
        <w:trPr>
          <w:gridAfter w:val="2"/>
          <w:wAfter w:w="329" w:type="dxa"/>
          <w:trHeight w:val="369"/>
        </w:trPr>
        <w:tc>
          <w:tcPr>
            <w:tcW w:w="4663" w:type="dxa"/>
            <w:tcBorders>
              <w:top w:val="nil"/>
              <w:left w:val="single" w:sz="12" w:space="0" w:color="auto"/>
              <w:bottom w:val="single" w:sz="4" w:space="0" w:color="auto"/>
              <w:right w:val="single" w:sz="4" w:space="0" w:color="auto"/>
            </w:tcBorders>
            <w:shd w:val="clear" w:color="auto" w:fill="auto"/>
            <w:vAlign w:val="center"/>
            <w:hideMark/>
          </w:tcPr>
          <w:p w14:paraId="74136AD7"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Neurological comorbidities</w:t>
            </w:r>
          </w:p>
        </w:tc>
        <w:tc>
          <w:tcPr>
            <w:tcW w:w="1902" w:type="dxa"/>
            <w:tcBorders>
              <w:top w:val="nil"/>
              <w:left w:val="single" w:sz="4" w:space="0" w:color="auto"/>
              <w:bottom w:val="single" w:sz="4" w:space="0" w:color="auto"/>
              <w:right w:val="single" w:sz="4" w:space="0" w:color="auto"/>
            </w:tcBorders>
            <w:shd w:val="clear" w:color="auto" w:fill="auto"/>
            <w:noWrap/>
            <w:vAlign w:val="bottom"/>
            <w:hideMark/>
          </w:tcPr>
          <w:p w14:paraId="27F6A388"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8 (29)</w:t>
            </w:r>
          </w:p>
        </w:tc>
        <w:tc>
          <w:tcPr>
            <w:tcW w:w="2067" w:type="dxa"/>
            <w:tcBorders>
              <w:top w:val="nil"/>
              <w:left w:val="single" w:sz="4" w:space="0" w:color="auto"/>
              <w:bottom w:val="single" w:sz="4" w:space="0" w:color="auto"/>
              <w:right w:val="single" w:sz="4" w:space="0" w:color="auto"/>
            </w:tcBorders>
            <w:shd w:val="clear" w:color="auto" w:fill="auto"/>
            <w:vAlign w:val="center"/>
            <w:hideMark/>
          </w:tcPr>
          <w:p w14:paraId="3BEC61C3"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2 (8)</w:t>
            </w:r>
          </w:p>
        </w:tc>
        <w:tc>
          <w:tcPr>
            <w:tcW w:w="1134" w:type="dxa"/>
            <w:gridSpan w:val="2"/>
            <w:tcBorders>
              <w:top w:val="nil"/>
              <w:left w:val="single" w:sz="4" w:space="0" w:color="auto"/>
              <w:bottom w:val="single" w:sz="4" w:space="0" w:color="auto"/>
              <w:right w:val="single" w:sz="12" w:space="0" w:color="auto"/>
            </w:tcBorders>
            <w:shd w:val="clear" w:color="auto" w:fill="auto"/>
            <w:noWrap/>
            <w:vAlign w:val="bottom"/>
            <w:hideMark/>
          </w:tcPr>
          <w:p w14:paraId="766F4902"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0.048*</w:t>
            </w:r>
          </w:p>
        </w:tc>
      </w:tr>
      <w:tr w:rsidR="00745C06" w:rsidRPr="00A122D2" w14:paraId="773F39DB" w14:textId="77777777" w:rsidTr="00582692">
        <w:trPr>
          <w:gridAfter w:val="2"/>
          <w:wAfter w:w="329" w:type="dxa"/>
          <w:trHeight w:val="369"/>
        </w:trPr>
        <w:tc>
          <w:tcPr>
            <w:tcW w:w="4663" w:type="dxa"/>
            <w:tcBorders>
              <w:top w:val="single" w:sz="4" w:space="0" w:color="auto"/>
              <w:left w:val="single" w:sz="12" w:space="0" w:color="auto"/>
              <w:bottom w:val="single" w:sz="8" w:space="0" w:color="auto"/>
              <w:right w:val="single" w:sz="4" w:space="0" w:color="auto"/>
            </w:tcBorders>
            <w:shd w:val="clear" w:color="auto" w:fill="auto"/>
            <w:vAlign w:val="center"/>
            <w:hideMark/>
          </w:tcPr>
          <w:p w14:paraId="0364C24D"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Other comorbidities</w:t>
            </w:r>
          </w:p>
        </w:tc>
        <w:tc>
          <w:tcPr>
            <w:tcW w:w="1902"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4B7EB7D3"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(4)</w:t>
            </w:r>
          </w:p>
        </w:tc>
        <w:tc>
          <w:tcPr>
            <w:tcW w:w="2067"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575EE7CD"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3 (12)</w:t>
            </w:r>
          </w:p>
        </w:tc>
        <w:tc>
          <w:tcPr>
            <w:tcW w:w="1134" w:type="dxa"/>
            <w:gridSpan w:val="2"/>
            <w:tcBorders>
              <w:top w:val="single" w:sz="4" w:space="0" w:color="auto"/>
              <w:left w:val="single" w:sz="4" w:space="0" w:color="auto"/>
              <w:bottom w:val="single" w:sz="8" w:space="0" w:color="auto"/>
              <w:right w:val="single" w:sz="12" w:space="0" w:color="auto"/>
            </w:tcBorders>
            <w:shd w:val="clear" w:color="auto" w:fill="auto"/>
            <w:vAlign w:val="center"/>
            <w:hideMark/>
          </w:tcPr>
          <w:p w14:paraId="6EEF8E9E"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0.262</w:t>
            </w:r>
          </w:p>
        </w:tc>
      </w:tr>
      <w:tr w:rsidR="00745C06" w:rsidRPr="00A122D2" w14:paraId="0B3DD050" w14:textId="77777777" w:rsidTr="00582692">
        <w:trPr>
          <w:gridAfter w:val="2"/>
          <w:wAfter w:w="329" w:type="dxa"/>
          <w:trHeight w:val="369"/>
        </w:trPr>
        <w:tc>
          <w:tcPr>
            <w:tcW w:w="4663" w:type="dxa"/>
            <w:tcBorders>
              <w:top w:val="nil"/>
              <w:left w:val="single" w:sz="12" w:space="0" w:color="auto"/>
              <w:bottom w:val="single" w:sz="8" w:space="0" w:color="auto"/>
            </w:tcBorders>
            <w:shd w:val="clear" w:color="000000" w:fill="FCE4D6"/>
            <w:vAlign w:val="center"/>
            <w:hideMark/>
          </w:tcPr>
          <w:p w14:paraId="4F9B8D81" w14:textId="77777777" w:rsidR="00745C06" w:rsidRPr="00A122D2" w:rsidRDefault="00745C06" w:rsidP="00582692">
            <w:pPr>
              <w:rPr>
                <w:rFonts w:ascii="Calibri" w:hAnsi="Calibri" w:cs="Calibri"/>
                <w:b/>
                <w:bCs/>
                <w:color w:val="000000"/>
                <w:sz w:val="20"/>
                <w:szCs w:val="20"/>
              </w:rPr>
            </w:pPr>
            <w:r w:rsidRPr="00A122D2">
              <w:rPr>
                <w:rFonts w:ascii="Calibri" w:hAnsi="Calibri" w:cs="Calibri"/>
                <w:b/>
                <w:bCs/>
                <w:color w:val="000000"/>
                <w:sz w:val="20"/>
                <w:szCs w:val="20"/>
              </w:rPr>
              <w:t xml:space="preserve">Clinical features </w:t>
            </w:r>
          </w:p>
        </w:tc>
        <w:tc>
          <w:tcPr>
            <w:tcW w:w="1902" w:type="dxa"/>
            <w:tcBorders>
              <w:top w:val="nil"/>
              <w:left w:val="nil"/>
              <w:bottom w:val="single" w:sz="8" w:space="0" w:color="auto"/>
            </w:tcBorders>
            <w:shd w:val="clear" w:color="000000" w:fill="FCE4D6"/>
            <w:vAlign w:val="center"/>
            <w:hideMark/>
          </w:tcPr>
          <w:p w14:paraId="1D906CF3"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2067" w:type="dxa"/>
            <w:tcBorders>
              <w:top w:val="nil"/>
              <w:left w:val="nil"/>
              <w:bottom w:val="single" w:sz="8" w:space="0" w:color="auto"/>
            </w:tcBorders>
            <w:shd w:val="clear" w:color="000000" w:fill="FCE4D6"/>
            <w:vAlign w:val="center"/>
            <w:hideMark/>
          </w:tcPr>
          <w:p w14:paraId="48B06D02"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134" w:type="dxa"/>
            <w:gridSpan w:val="2"/>
            <w:tcBorders>
              <w:top w:val="nil"/>
              <w:left w:val="nil"/>
              <w:bottom w:val="single" w:sz="8" w:space="0" w:color="auto"/>
              <w:right w:val="single" w:sz="12" w:space="0" w:color="auto"/>
            </w:tcBorders>
            <w:shd w:val="clear" w:color="000000" w:fill="FCE4D6"/>
            <w:noWrap/>
            <w:vAlign w:val="bottom"/>
            <w:hideMark/>
          </w:tcPr>
          <w:p w14:paraId="3352D18D"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r>
      <w:tr w:rsidR="00745C06" w:rsidRPr="00A122D2" w14:paraId="6056B279" w14:textId="77777777" w:rsidTr="00582692">
        <w:trPr>
          <w:gridAfter w:val="2"/>
          <w:wAfter w:w="329" w:type="dxa"/>
          <w:trHeight w:val="299"/>
        </w:trPr>
        <w:tc>
          <w:tcPr>
            <w:tcW w:w="4663" w:type="dxa"/>
            <w:tcBorders>
              <w:top w:val="nil"/>
              <w:left w:val="single" w:sz="12" w:space="0" w:color="auto"/>
              <w:bottom w:val="single" w:sz="8" w:space="0" w:color="auto"/>
              <w:right w:val="single" w:sz="4" w:space="0" w:color="auto"/>
            </w:tcBorders>
            <w:shd w:val="clear" w:color="auto" w:fill="auto"/>
            <w:vAlign w:val="center"/>
            <w:hideMark/>
          </w:tcPr>
          <w:p w14:paraId="5D6D487B"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Systemic features (fever, shock, hypotension, rash)</w:t>
            </w:r>
          </w:p>
        </w:tc>
        <w:tc>
          <w:tcPr>
            <w:tcW w:w="1902" w:type="dxa"/>
            <w:tcBorders>
              <w:top w:val="nil"/>
              <w:left w:val="single" w:sz="4" w:space="0" w:color="auto"/>
              <w:bottom w:val="single" w:sz="8" w:space="0" w:color="auto"/>
              <w:right w:val="single" w:sz="4" w:space="0" w:color="auto"/>
            </w:tcBorders>
            <w:shd w:val="clear" w:color="auto" w:fill="auto"/>
            <w:vAlign w:val="center"/>
            <w:hideMark/>
          </w:tcPr>
          <w:p w14:paraId="44827219"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15 (56)</w:t>
            </w:r>
          </w:p>
        </w:tc>
        <w:tc>
          <w:tcPr>
            <w:tcW w:w="2067" w:type="dxa"/>
            <w:tcBorders>
              <w:top w:val="nil"/>
              <w:left w:val="single" w:sz="4" w:space="0" w:color="auto"/>
              <w:bottom w:val="single" w:sz="8" w:space="0" w:color="auto"/>
              <w:right w:val="single" w:sz="8" w:space="0" w:color="auto"/>
            </w:tcBorders>
            <w:shd w:val="clear" w:color="auto" w:fill="auto"/>
            <w:vAlign w:val="center"/>
            <w:hideMark/>
          </w:tcPr>
          <w:p w14:paraId="5B5FF3A2"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25 (100)</w:t>
            </w:r>
          </w:p>
        </w:tc>
        <w:tc>
          <w:tcPr>
            <w:tcW w:w="1134" w:type="dxa"/>
            <w:gridSpan w:val="2"/>
            <w:tcBorders>
              <w:top w:val="nil"/>
              <w:left w:val="nil"/>
              <w:bottom w:val="single" w:sz="8" w:space="0" w:color="auto"/>
              <w:right w:val="single" w:sz="12" w:space="0" w:color="auto"/>
            </w:tcBorders>
            <w:shd w:val="clear" w:color="auto" w:fill="auto"/>
            <w:noWrap/>
            <w:vAlign w:val="bottom"/>
            <w:hideMark/>
          </w:tcPr>
          <w:p w14:paraId="0B1283CB"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xml:space="preserve">0.0001* </w:t>
            </w:r>
          </w:p>
        </w:tc>
      </w:tr>
      <w:tr w:rsidR="00745C06" w:rsidRPr="00A122D2" w14:paraId="597FDC57" w14:textId="77777777" w:rsidTr="00582692">
        <w:trPr>
          <w:gridAfter w:val="2"/>
          <w:wAfter w:w="329" w:type="dxa"/>
          <w:trHeight w:val="323"/>
        </w:trPr>
        <w:tc>
          <w:tcPr>
            <w:tcW w:w="4663" w:type="dxa"/>
            <w:tcBorders>
              <w:top w:val="nil"/>
              <w:left w:val="single" w:sz="12" w:space="0" w:color="auto"/>
              <w:bottom w:val="single" w:sz="8" w:space="0" w:color="auto"/>
              <w:right w:val="single" w:sz="4" w:space="0" w:color="auto"/>
            </w:tcBorders>
            <w:shd w:val="clear" w:color="auto" w:fill="auto"/>
            <w:vAlign w:val="center"/>
            <w:hideMark/>
          </w:tcPr>
          <w:p w14:paraId="7909C0D8"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Respiratory involvement at presentation</w:t>
            </w:r>
          </w:p>
        </w:tc>
        <w:tc>
          <w:tcPr>
            <w:tcW w:w="1902" w:type="dxa"/>
            <w:tcBorders>
              <w:top w:val="nil"/>
              <w:left w:val="single" w:sz="4" w:space="0" w:color="auto"/>
              <w:bottom w:val="single" w:sz="8" w:space="0" w:color="auto"/>
              <w:right w:val="single" w:sz="4" w:space="0" w:color="auto"/>
            </w:tcBorders>
            <w:shd w:val="clear" w:color="auto" w:fill="auto"/>
            <w:vAlign w:val="center"/>
            <w:hideMark/>
          </w:tcPr>
          <w:p w14:paraId="06380619"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6 (22)</w:t>
            </w:r>
          </w:p>
        </w:tc>
        <w:tc>
          <w:tcPr>
            <w:tcW w:w="2067" w:type="dxa"/>
            <w:tcBorders>
              <w:top w:val="nil"/>
              <w:left w:val="single" w:sz="4" w:space="0" w:color="auto"/>
              <w:bottom w:val="single" w:sz="8" w:space="0" w:color="auto"/>
              <w:right w:val="single" w:sz="8" w:space="0" w:color="auto"/>
            </w:tcBorders>
            <w:shd w:val="clear" w:color="auto" w:fill="auto"/>
            <w:vAlign w:val="center"/>
            <w:hideMark/>
          </w:tcPr>
          <w:p w14:paraId="2E4EA8A7"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6 (28)</w:t>
            </w:r>
          </w:p>
        </w:tc>
        <w:tc>
          <w:tcPr>
            <w:tcW w:w="1134" w:type="dxa"/>
            <w:gridSpan w:val="2"/>
            <w:tcBorders>
              <w:top w:val="nil"/>
              <w:left w:val="nil"/>
              <w:bottom w:val="single" w:sz="8" w:space="0" w:color="auto"/>
              <w:right w:val="single" w:sz="12" w:space="0" w:color="auto"/>
            </w:tcBorders>
            <w:shd w:val="clear" w:color="auto" w:fill="auto"/>
            <w:noWrap/>
            <w:vAlign w:val="bottom"/>
            <w:hideMark/>
          </w:tcPr>
          <w:p w14:paraId="1AA8D1A8"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&gt;0.99</w:t>
            </w:r>
          </w:p>
        </w:tc>
      </w:tr>
      <w:tr w:rsidR="00745C06" w:rsidRPr="00A122D2" w14:paraId="430C6DE8" w14:textId="77777777" w:rsidTr="00582692">
        <w:trPr>
          <w:gridAfter w:val="2"/>
          <w:wAfter w:w="329" w:type="dxa"/>
          <w:trHeight w:val="369"/>
        </w:trPr>
        <w:tc>
          <w:tcPr>
            <w:tcW w:w="4663" w:type="dxa"/>
            <w:tcBorders>
              <w:top w:val="nil"/>
              <w:left w:val="single" w:sz="12" w:space="0" w:color="auto"/>
              <w:bottom w:val="single" w:sz="8" w:space="0" w:color="auto"/>
              <w:right w:val="single" w:sz="4" w:space="0" w:color="auto"/>
            </w:tcBorders>
            <w:shd w:val="clear" w:color="auto" w:fill="auto"/>
            <w:vAlign w:val="center"/>
            <w:hideMark/>
          </w:tcPr>
          <w:p w14:paraId="1934EC4B"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Encephalopathy</w:t>
            </w:r>
          </w:p>
        </w:tc>
        <w:tc>
          <w:tcPr>
            <w:tcW w:w="1902" w:type="dxa"/>
            <w:tcBorders>
              <w:top w:val="nil"/>
              <w:left w:val="single" w:sz="4" w:space="0" w:color="auto"/>
              <w:bottom w:val="single" w:sz="8" w:space="0" w:color="auto"/>
              <w:right w:val="single" w:sz="4" w:space="0" w:color="auto"/>
            </w:tcBorders>
            <w:shd w:val="clear" w:color="auto" w:fill="auto"/>
            <w:vAlign w:val="center"/>
            <w:hideMark/>
          </w:tcPr>
          <w:p w14:paraId="1E59C84C"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14 (52)</w:t>
            </w:r>
          </w:p>
        </w:tc>
        <w:tc>
          <w:tcPr>
            <w:tcW w:w="2067" w:type="dxa"/>
            <w:tcBorders>
              <w:top w:val="nil"/>
              <w:left w:val="single" w:sz="4" w:space="0" w:color="auto"/>
              <w:bottom w:val="single" w:sz="8" w:space="0" w:color="auto"/>
              <w:right w:val="single" w:sz="8" w:space="0" w:color="auto"/>
            </w:tcBorders>
            <w:shd w:val="clear" w:color="auto" w:fill="auto"/>
            <w:vAlign w:val="center"/>
            <w:hideMark/>
          </w:tcPr>
          <w:p w14:paraId="7565D749"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22 (84)</w:t>
            </w:r>
          </w:p>
        </w:tc>
        <w:tc>
          <w:tcPr>
            <w:tcW w:w="1134" w:type="dxa"/>
            <w:gridSpan w:val="2"/>
            <w:tcBorders>
              <w:top w:val="nil"/>
              <w:left w:val="nil"/>
              <w:bottom w:val="single" w:sz="8" w:space="0" w:color="auto"/>
              <w:right w:val="single" w:sz="12" w:space="0" w:color="auto"/>
            </w:tcBorders>
            <w:shd w:val="clear" w:color="auto" w:fill="auto"/>
            <w:noWrap/>
            <w:vAlign w:val="bottom"/>
            <w:hideMark/>
          </w:tcPr>
          <w:p w14:paraId="5F00F6E4"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0.0048*</w:t>
            </w:r>
          </w:p>
        </w:tc>
      </w:tr>
      <w:tr w:rsidR="00745C06" w:rsidRPr="00A122D2" w14:paraId="6F6E1547" w14:textId="77777777" w:rsidTr="00582692">
        <w:trPr>
          <w:gridAfter w:val="2"/>
          <w:wAfter w:w="329" w:type="dxa"/>
          <w:trHeight w:val="369"/>
        </w:trPr>
        <w:tc>
          <w:tcPr>
            <w:tcW w:w="4663" w:type="dxa"/>
            <w:tcBorders>
              <w:top w:val="nil"/>
              <w:left w:val="single" w:sz="12" w:space="0" w:color="auto"/>
              <w:bottom w:val="single" w:sz="8" w:space="0" w:color="auto"/>
              <w:right w:val="single" w:sz="4" w:space="0" w:color="auto"/>
            </w:tcBorders>
            <w:shd w:val="clear" w:color="auto" w:fill="auto"/>
            <w:vAlign w:val="center"/>
            <w:hideMark/>
          </w:tcPr>
          <w:p w14:paraId="4EE13865"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Seizures</w:t>
            </w:r>
          </w:p>
        </w:tc>
        <w:tc>
          <w:tcPr>
            <w:tcW w:w="1902" w:type="dxa"/>
            <w:tcBorders>
              <w:top w:val="nil"/>
              <w:left w:val="single" w:sz="4" w:space="0" w:color="auto"/>
              <w:bottom w:val="single" w:sz="8" w:space="0" w:color="auto"/>
              <w:right w:val="single" w:sz="4" w:space="0" w:color="auto"/>
            </w:tcBorders>
            <w:shd w:val="clear" w:color="auto" w:fill="auto"/>
            <w:vAlign w:val="center"/>
            <w:hideMark/>
          </w:tcPr>
          <w:p w14:paraId="313D4FBC"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8 (30)</w:t>
            </w:r>
          </w:p>
        </w:tc>
        <w:tc>
          <w:tcPr>
            <w:tcW w:w="2067" w:type="dxa"/>
            <w:tcBorders>
              <w:top w:val="nil"/>
              <w:left w:val="single" w:sz="4" w:space="0" w:color="auto"/>
              <w:bottom w:val="single" w:sz="8" w:space="0" w:color="auto"/>
              <w:right w:val="single" w:sz="8" w:space="0" w:color="auto"/>
            </w:tcBorders>
            <w:shd w:val="clear" w:color="auto" w:fill="auto"/>
            <w:vAlign w:val="center"/>
            <w:hideMark/>
          </w:tcPr>
          <w:p w14:paraId="1828BF5C"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4 (16)</w:t>
            </w:r>
          </w:p>
        </w:tc>
        <w:tc>
          <w:tcPr>
            <w:tcW w:w="1134" w:type="dxa"/>
            <w:gridSpan w:val="2"/>
            <w:tcBorders>
              <w:top w:val="nil"/>
              <w:left w:val="nil"/>
              <w:bottom w:val="single" w:sz="8" w:space="0" w:color="auto"/>
              <w:right w:val="single" w:sz="12" w:space="0" w:color="auto"/>
            </w:tcBorders>
            <w:shd w:val="clear" w:color="auto" w:fill="auto"/>
            <w:noWrap/>
            <w:vAlign w:val="bottom"/>
            <w:hideMark/>
          </w:tcPr>
          <w:p w14:paraId="6E41DAA6"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0.24</w:t>
            </w:r>
          </w:p>
        </w:tc>
      </w:tr>
      <w:tr w:rsidR="00745C06" w:rsidRPr="00A122D2" w14:paraId="5A90F4FD" w14:textId="77777777" w:rsidTr="00582692">
        <w:trPr>
          <w:gridAfter w:val="2"/>
          <w:wAfter w:w="329" w:type="dxa"/>
          <w:trHeight w:val="369"/>
        </w:trPr>
        <w:tc>
          <w:tcPr>
            <w:tcW w:w="4663" w:type="dxa"/>
            <w:tcBorders>
              <w:top w:val="nil"/>
              <w:left w:val="single" w:sz="12" w:space="0" w:color="auto"/>
              <w:bottom w:val="single" w:sz="8" w:space="0" w:color="auto"/>
              <w:right w:val="single" w:sz="4" w:space="0" w:color="auto"/>
            </w:tcBorders>
            <w:shd w:val="clear" w:color="auto" w:fill="auto"/>
            <w:vAlign w:val="center"/>
            <w:hideMark/>
          </w:tcPr>
          <w:p w14:paraId="6D33321C"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Headache/</w:t>
            </w:r>
            <w:r>
              <w:rPr>
                <w:rFonts w:ascii="Calibri" w:hAnsi="Calibri" w:cs="Calibri"/>
                <w:color w:val="000000"/>
                <w:sz w:val="20"/>
                <w:szCs w:val="20"/>
              </w:rPr>
              <w:t xml:space="preserve"> </w:t>
            </w:r>
            <w:r w:rsidRPr="00A122D2">
              <w:rPr>
                <w:rFonts w:ascii="Calibri" w:hAnsi="Calibri" w:cs="Calibri"/>
                <w:color w:val="000000"/>
                <w:sz w:val="20"/>
                <w:szCs w:val="20"/>
              </w:rPr>
              <w:t>meningism</w:t>
            </w:r>
          </w:p>
        </w:tc>
        <w:tc>
          <w:tcPr>
            <w:tcW w:w="1902" w:type="dxa"/>
            <w:tcBorders>
              <w:top w:val="nil"/>
              <w:left w:val="single" w:sz="4" w:space="0" w:color="auto"/>
              <w:bottom w:val="single" w:sz="8" w:space="0" w:color="auto"/>
              <w:right w:val="single" w:sz="4" w:space="0" w:color="auto"/>
            </w:tcBorders>
            <w:shd w:val="clear" w:color="auto" w:fill="auto"/>
            <w:vAlign w:val="center"/>
            <w:hideMark/>
          </w:tcPr>
          <w:p w14:paraId="60165CF9"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4 (15)</w:t>
            </w:r>
          </w:p>
        </w:tc>
        <w:tc>
          <w:tcPr>
            <w:tcW w:w="2067" w:type="dxa"/>
            <w:tcBorders>
              <w:top w:val="nil"/>
              <w:left w:val="single" w:sz="4" w:space="0" w:color="auto"/>
              <w:bottom w:val="single" w:sz="8" w:space="0" w:color="auto"/>
              <w:right w:val="single" w:sz="8" w:space="0" w:color="auto"/>
            </w:tcBorders>
            <w:shd w:val="clear" w:color="auto" w:fill="auto"/>
            <w:vAlign w:val="center"/>
            <w:hideMark/>
          </w:tcPr>
          <w:p w14:paraId="54F99F96"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10 (40)</w:t>
            </w:r>
          </w:p>
        </w:tc>
        <w:tc>
          <w:tcPr>
            <w:tcW w:w="1134" w:type="dxa"/>
            <w:gridSpan w:val="2"/>
            <w:tcBorders>
              <w:top w:val="nil"/>
              <w:left w:val="nil"/>
              <w:bottom w:val="single" w:sz="8" w:space="0" w:color="auto"/>
              <w:right w:val="single" w:sz="12" w:space="0" w:color="auto"/>
            </w:tcBorders>
            <w:shd w:val="clear" w:color="auto" w:fill="auto"/>
            <w:noWrap/>
            <w:vAlign w:val="bottom"/>
            <w:hideMark/>
          </w:tcPr>
          <w:p w14:paraId="076C2340"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0.04*</w:t>
            </w:r>
          </w:p>
        </w:tc>
      </w:tr>
      <w:tr w:rsidR="00745C06" w:rsidRPr="00A122D2" w14:paraId="0562B81C" w14:textId="77777777" w:rsidTr="00582692">
        <w:trPr>
          <w:gridAfter w:val="2"/>
          <w:wAfter w:w="329" w:type="dxa"/>
          <w:trHeight w:val="369"/>
        </w:trPr>
        <w:tc>
          <w:tcPr>
            <w:tcW w:w="4663" w:type="dxa"/>
            <w:tcBorders>
              <w:top w:val="nil"/>
              <w:left w:val="single" w:sz="12" w:space="0" w:color="auto"/>
              <w:bottom w:val="single" w:sz="8" w:space="0" w:color="auto"/>
              <w:right w:val="single" w:sz="4" w:space="0" w:color="auto"/>
            </w:tcBorders>
            <w:shd w:val="clear" w:color="auto" w:fill="auto"/>
            <w:vAlign w:val="center"/>
            <w:hideMark/>
          </w:tcPr>
          <w:p w14:paraId="0613643B"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PNS involvement</w:t>
            </w:r>
          </w:p>
        </w:tc>
        <w:tc>
          <w:tcPr>
            <w:tcW w:w="1902" w:type="dxa"/>
            <w:tcBorders>
              <w:top w:val="nil"/>
              <w:left w:val="single" w:sz="4" w:space="0" w:color="auto"/>
              <w:bottom w:val="single" w:sz="8" w:space="0" w:color="auto"/>
              <w:right w:val="single" w:sz="4" w:space="0" w:color="auto"/>
            </w:tcBorders>
            <w:shd w:val="clear" w:color="auto" w:fill="auto"/>
            <w:vAlign w:val="center"/>
            <w:hideMark/>
          </w:tcPr>
          <w:p w14:paraId="30F8E880"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7 (26)</w:t>
            </w:r>
          </w:p>
        </w:tc>
        <w:tc>
          <w:tcPr>
            <w:tcW w:w="2067" w:type="dxa"/>
            <w:tcBorders>
              <w:top w:val="nil"/>
              <w:left w:val="single" w:sz="4" w:space="0" w:color="auto"/>
              <w:bottom w:val="single" w:sz="8" w:space="0" w:color="auto"/>
              <w:right w:val="single" w:sz="8" w:space="0" w:color="auto"/>
            </w:tcBorders>
            <w:shd w:val="clear" w:color="auto" w:fill="auto"/>
            <w:vAlign w:val="center"/>
            <w:hideMark/>
          </w:tcPr>
          <w:p w14:paraId="57FC51C3"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10 (40)</w:t>
            </w:r>
          </w:p>
        </w:tc>
        <w:tc>
          <w:tcPr>
            <w:tcW w:w="1134" w:type="dxa"/>
            <w:gridSpan w:val="2"/>
            <w:tcBorders>
              <w:top w:val="nil"/>
              <w:left w:val="nil"/>
              <w:bottom w:val="single" w:sz="8" w:space="0" w:color="auto"/>
              <w:right w:val="single" w:sz="12" w:space="0" w:color="auto"/>
            </w:tcBorders>
            <w:shd w:val="clear" w:color="auto" w:fill="auto"/>
            <w:noWrap/>
            <w:vAlign w:val="bottom"/>
            <w:hideMark/>
          </w:tcPr>
          <w:p w14:paraId="05D988D3"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0.4</w:t>
            </w:r>
          </w:p>
        </w:tc>
      </w:tr>
      <w:tr w:rsidR="00745C06" w:rsidRPr="00A122D2" w14:paraId="1B177316" w14:textId="77777777" w:rsidTr="00582692">
        <w:trPr>
          <w:gridAfter w:val="2"/>
          <w:wAfter w:w="329" w:type="dxa"/>
          <w:trHeight w:val="369"/>
        </w:trPr>
        <w:tc>
          <w:tcPr>
            <w:tcW w:w="4663" w:type="dxa"/>
            <w:tcBorders>
              <w:top w:val="nil"/>
              <w:left w:val="single" w:sz="12" w:space="0" w:color="auto"/>
              <w:bottom w:val="single" w:sz="8" w:space="0" w:color="auto"/>
              <w:right w:val="single" w:sz="4" w:space="0" w:color="auto"/>
            </w:tcBorders>
            <w:shd w:val="clear" w:color="auto" w:fill="auto"/>
            <w:vAlign w:val="center"/>
            <w:hideMark/>
          </w:tcPr>
          <w:p w14:paraId="373DB927"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Focal CNS involvement</w:t>
            </w:r>
          </w:p>
        </w:tc>
        <w:tc>
          <w:tcPr>
            <w:tcW w:w="1902" w:type="dxa"/>
            <w:tcBorders>
              <w:top w:val="nil"/>
              <w:left w:val="single" w:sz="4" w:space="0" w:color="auto"/>
              <w:bottom w:val="single" w:sz="8" w:space="0" w:color="auto"/>
              <w:right w:val="single" w:sz="4" w:space="0" w:color="auto"/>
            </w:tcBorders>
            <w:shd w:val="clear" w:color="auto" w:fill="auto"/>
            <w:vAlign w:val="center"/>
            <w:hideMark/>
          </w:tcPr>
          <w:p w14:paraId="55F4E2BC"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4 (15)</w:t>
            </w:r>
          </w:p>
        </w:tc>
        <w:tc>
          <w:tcPr>
            <w:tcW w:w="2067" w:type="dxa"/>
            <w:tcBorders>
              <w:top w:val="nil"/>
              <w:left w:val="single" w:sz="4" w:space="0" w:color="auto"/>
              <w:bottom w:val="single" w:sz="8" w:space="0" w:color="auto"/>
              <w:right w:val="single" w:sz="8" w:space="0" w:color="auto"/>
            </w:tcBorders>
            <w:shd w:val="clear" w:color="auto" w:fill="auto"/>
            <w:vAlign w:val="center"/>
            <w:hideMark/>
          </w:tcPr>
          <w:p w14:paraId="2EAB30C5"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6  (24)</w:t>
            </w:r>
          </w:p>
        </w:tc>
        <w:tc>
          <w:tcPr>
            <w:tcW w:w="1134" w:type="dxa"/>
            <w:gridSpan w:val="2"/>
            <w:tcBorders>
              <w:top w:val="nil"/>
              <w:left w:val="nil"/>
              <w:bottom w:val="single" w:sz="8" w:space="0" w:color="auto"/>
              <w:right w:val="single" w:sz="12" w:space="0" w:color="auto"/>
            </w:tcBorders>
            <w:shd w:val="clear" w:color="auto" w:fill="auto"/>
            <w:noWrap/>
            <w:vAlign w:val="bottom"/>
            <w:hideMark/>
          </w:tcPr>
          <w:p w14:paraId="787AD3AC"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0.84</w:t>
            </w:r>
          </w:p>
        </w:tc>
      </w:tr>
      <w:tr w:rsidR="00745C06" w:rsidRPr="00A122D2" w14:paraId="242A3D5C" w14:textId="77777777" w:rsidTr="00582692">
        <w:trPr>
          <w:gridAfter w:val="2"/>
          <w:wAfter w:w="329" w:type="dxa"/>
          <w:trHeight w:val="369"/>
        </w:trPr>
        <w:tc>
          <w:tcPr>
            <w:tcW w:w="4663" w:type="dxa"/>
            <w:tcBorders>
              <w:top w:val="nil"/>
              <w:left w:val="single" w:sz="12" w:space="0" w:color="auto"/>
              <w:bottom w:val="single" w:sz="8" w:space="0" w:color="auto"/>
              <w:right w:val="single" w:sz="4" w:space="0" w:color="auto"/>
            </w:tcBorders>
            <w:shd w:val="clear" w:color="auto" w:fill="auto"/>
            <w:vAlign w:val="center"/>
            <w:hideMark/>
          </w:tcPr>
          <w:p w14:paraId="6DA6C15F"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Behavioural change</w:t>
            </w:r>
          </w:p>
        </w:tc>
        <w:tc>
          <w:tcPr>
            <w:tcW w:w="1902" w:type="dxa"/>
            <w:tcBorders>
              <w:top w:val="nil"/>
              <w:left w:val="single" w:sz="4" w:space="0" w:color="auto"/>
              <w:bottom w:val="single" w:sz="8" w:space="0" w:color="auto"/>
              <w:right w:val="single" w:sz="4" w:space="0" w:color="auto"/>
            </w:tcBorders>
            <w:shd w:val="clear" w:color="auto" w:fill="auto"/>
            <w:vAlign w:val="center"/>
            <w:hideMark/>
          </w:tcPr>
          <w:p w14:paraId="31554410"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3 (11)</w:t>
            </w:r>
          </w:p>
        </w:tc>
        <w:tc>
          <w:tcPr>
            <w:tcW w:w="2067" w:type="dxa"/>
            <w:tcBorders>
              <w:top w:val="nil"/>
              <w:left w:val="single" w:sz="4" w:space="0" w:color="auto"/>
              <w:bottom w:val="single" w:sz="8" w:space="0" w:color="auto"/>
              <w:right w:val="single" w:sz="8" w:space="0" w:color="auto"/>
            </w:tcBorders>
            <w:shd w:val="clear" w:color="auto" w:fill="auto"/>
            <w:vAlign w:val="center"/>
            <w:hideMark/>
          </w:tcPr>
          <w:p w14:paraId="2F20D8AE"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9 (36)</w:t>
            </w:r>
          </w:p>
        </w:tc>
        <w:tc>
          <w:tcPr>
            <w:tcW w:w="1134" w:type="dxa"/>
            <w:gridSpan w:val="2"/>
            <w:tcBorders>
              <w:top w:val="nil"/>
              <w:left w:val="nil"/>
              <w:bottom w:val="single" w:sz="8" w:space="0" w:color="auto"/>
              <w:right w:val="single" w:sz="12" w:space="0" w:color="auto"/>
            </w:tcBorders>
            <w:shd w:val="clear" w:color="auto" w:fill="auto"/>
            <w:noWrap/>
            <w:vAlign w:val="bottom"/>
            <w:hideMark/>
          </w:tcPr>
          <w:p w14:paraId="1A254DE6"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0.08</w:t>
            </w:r>
          </w:p>
        </w:tc>
      </w:tr>
      <w:tr w:rsidR="00745C06" w:rsidRPr="00A122D2" w14:paraId="674F4687" w14:textId="77777777" w:rsidTr="00582692">
        <w:trPr>
          <w:gridAfter w:val="2"/>
          <w:wAfter w:w="329" w:type="dxa"/>
          <w:trHeight w:val="369"/>
        </w:trPr>
        <w:tc>
          <w:tcPr>
            <w:tcW w:w="4663" w:type="dxa"/>
            <w:tcBorders>
              <w:top w:val="nil"/>
              <w:left w:val="single" w:sz="12" w:space="0" w:color="auto"/>
              <w:bottom w:val="single" w:sz="8" w:space="0" w:color="auto"/>
              <w:right w:val="single" w:sz="4" w:space="0" w:color="auto"/>
            </w:tcBorders>
            <w:shd w:val="clear" w:color="auto" w:fill="auto"/>
            <w:vAlign w:val="center"/>
            <w:hideMark/>
          </w:tcPr>
          <w:p w14:paraId="0380ACDF"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 xml:space="preserve">Hallucinations </w:t>
            </w:r>
          </w:p>
        </w:tc>
        <w:tc>
          <w:tcPr>
            <w:tcW w:w="1902" w:type="dxa"/>
            <w:tcBorders>
              <w:top w:val="nil"/>
              <w:left w:val="single" w:sz="4" w:space="0" w:color="auto"/>
              <w:bottom w:val="single" w:sz="8" w:space="0" w:color="auto"/>
              <w:right w:val="single" w:sz="4" w:space="0" w:color="auto"/>
            </w:tcBorders>
            <w:shd w:val="clear" w:color="auto" w:fill="auto"/>
            <w:vAlign w:val="center"/>
            <w:hideMark/>
          </w:tcPr>
          <w:p w14:paraId="7A748E32"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(3.7)</w:t>
            </w:r>
          </w:p>
        </w:tc>
        <w:tc>
          <w:tcPr>
            <w:tcW w:w="2067" w:type="dxa"/>
            <w:tcBorders>
              <w:top w:val="nil"/>
              <w:left w:val="single" w:sz="4" w:space="0" w:color="auto"/>
              <w:bottom w:val="single" w:sz="8" w:space="0" w:color="auto"/>
              <w:right w:val="single" w:sz="8" w:space="0" w:color="auto"/>
            </w:tcBorders>
            <w:shd w:val="clear" w:color="auto" w:fill="auto"/>
            <w:vAlign w:val="center"/>
            <w:hideMark/>
          </w:tcPr>
          <w:p w14:paraId="6480144A"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6  (24)</w:t>
            </w:r>
          </w:p>
        </w:tc>
        <w:tc>
          <w:tcPr>
            <w:tcW w:w="1134" w:type="dxa"/>
            <w:gridSpan w:val="2"/>
            <w:tcBorders>
              <w:top w:val="nil"/>
              <w:left w:val="nil"/>
              <w:bottom w:val="single" w:sz="8" w:space="0" w:color="auto"/>
              <w:right w:val="single" w:sz="12" w:space="0" w:color="auto"/>
            </w:tcBorders>
            <w:shd w:val="clear" w:color="auto" w:fill="auto"/>
            <w:noWrap/>
            <w:vAlign w:val="bottom"/>
            <w:hideMark/>
          </w:tcPr>
          <w:p w14:paraId="20974C1A"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0.032*</w:t>
            </w:r>
          </w:p>
        </w:tc>
      </w:tr>
      <w:tr w:rsidR="00745C06" w:rsidRPr="00A122D2" w14:paraId="06D4AEA8" w14:textId="77777777" w:rsidTr="00582692">
        <w:trPr>
          <w:gridAfter w:val="2"/>
          <w:wAfter w:w="329" w:type="dxa"/>
          <w:trHeight w:val="238"/>
        </w:trPr>
        <w:tc>
          <w:tcPr>
            <w:tcW w:w="4663" w:type="dxa"/>
            <w:tcBorders>
              <w:top w:val="nil"/>
              <w:left w:val="single" w:sz="12" w:space="0" w:color="auto"/>
              <w:bottom w:val="single" w:sz="8" w:space="0" w:color="auto"/>
              <w:right w:val="single" w:sz="4" w:space="0" w:color="auto"/>
            </w:tcBorders>
            <w:shd w:val="clear" w:color="auto" w:fill="auto"/>
            <w:vAlign w:val="center"/>
            <w:hideMark/>
          </w:tcPr>
          <w:p w14:paraId="67519503"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 xml:space="preserve">Recognised para/post infectious neurological disease </w:t>
            </w:r>
          </w:p>
        </w:tc>
        <w:tc>
          <w:tcPr>
            <w:tcW w:w="1902" w:type="dxa"/>
            <w:tcBorders>
              <w:top w:val="nil"/>
              <w:left w:val="single" w:sz="4" w:space="0" w:color="auto"/>
              <w:bottom w:val="single" w:sz="8" w:space="0" w:color="auto"/>
              <w:right w:val="single" w:sz="4" w:space="0" w:color="auto"/>
            </w:tcBorders>
            <w:shd w:val="clear" w:color="auto" w:fill="auto"/>
            <w:vAlign w:val="center"/>
            <w:hideMark/>
          </w:tcPr>
          <w:p w14:paraId="3FCE8A7A"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13 (48)</w:t>
            </w:r>
          </w:p>
        </w:tc>
        <w:tc>
          <w:tcPr>
            <w:tcW w:w="2067" w:type="dxa"/>
            <w:tcBorders>
              <w:top w:val="nil"/>
              <w:left w:val="single" w:sz="4" w:space="0" w:color="auto"/>
              <w:bottom w:val="single" w:sz="8" w:space="0" w:color="auto"/>
              <w:right w:val="single" w:sz="8" w:space="0" w:color="auto"/>
            </w:tcBorders>
            <w:shd w:val="clear" w:color="auto" w:fill="auto"/>
            <w:vAlign w:val="center"/>
            <w:hideMark/>
          </w:tcPr>
          <w:p w14:paraId="71A343DB"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(4)</w:t>
            </w:r>
          </w:p>
        </w:tc>
        <w:tc>
          <w:tcPr>
            <w:tcW w:w="1134" w:type="dxa"/>
            <w:gridSpan w:val="2"/>
            <w:tcBorders>
              <w:top w:val="nil"/>
              <w:left w:val="nil"/>
              <w:bottom w:val="single" w:sz="8" w:space="0" w:color="auto"/>
              <w:right w:val="single" w:sz="12" w:space="0" w:color="auto"/>
            </w:tcBorders>
            <w:shd w:val="clear" w:color="auto" w:fill="auto"/>
            <w:noWrap/>
            <w:vAlign w:val="bottom"/>
            <w:hideMark/>
          </w:tcPr>
          <w:p w14:paraId="1F6F2B16"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0.0003*</w:t>
            </w:r>
          </w:p>
        </w:tc>
      </w:tr>
      <w:tr w:rsidR="00745C06" w:rsidRPr="00A122D2" w14:paraId="186B3DE4" w14:textId="77777777" w:rsidTr="00582692">
        <w:trPr>
          <w:gridAfter w:val="2"/>
          <w:wAfter w:w="329" w:type="dxa"/>
          <w:trHeight w:val="369"/>
        </w:trPr>
        <w:tc>
          <w:tcPr>
            <w:tcW w:w="4663" w:type="dxa"/>
            <w:tcBorders>
              <w:top w:val="nil"/>
              <w:left w:val="single" w:sz="12" w:space="0" w:color="auto"/>
              <w:bottom w:val="nil"/>
              <w:right w:val="nil"/>
            </w:tcBorders>
            <w:shd w:val="clear" w:color="000000" w:fill="FCE4D6"/>
            <w:vAlign w:val="center"/>
            <w:hideMark/>
          </w:tcPr>
          <w:p w14:paraId="283D1755" w14:textId="77777777" w:rsidR="00745C06" w:rsidRPr="00A122D2" w:rsidRDefault="00745C06" w:rsidP="00582692">
            <w:pPr>
              <w:rPr>
                <w:rFonts w:ascii="Calibri" w:hAnsi="Calibri" w:cs="Calibri"/>
                <w:b/>
                <w:bCs/>
                <w:color w:val="000000"/>
                <w:sz w:val="20"/>
                <w:szCs w:val="20"/>
              </w:rPr>
            </w:pPr>
            <w:r w:rsidRPr="00A122D2">
              <w:rPr>
                <w:rFonts w:ascii="Calibri" w:hAnsi="Calibri" w:cs="Calibri"/>
                <w:b/>
                <w:bCs/>
                <w:color w:val="000000"/>
                <w:sz w:val="20"/>
                <w:szCs w:val="20"/>
              </w:rPr>
              <w:t>Investigations</w:t>
            </w:r>
          </w:p>
        </w:tc>
        <w:tc>
          <w:tcPr>
            <w:tcW w:w="1902" w:type="dxa"/>
            <w:tcBorders>
              <w:top w:val="nil"/>
              <w:left w:val="nil"/>
              <w:bottom w:val="nil"/>
              <w:right w:val="nil"/>
            </w:tcBorders>
            <w:shd w:val="clear" w:color="000000" w:fill="FCE4D6"/>
            <w:vAlign w:val="center"/>
            <w:hideMark/>
          </w:tcPr>
          <w:p w14:paraId="4AB4E97A"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2067" w:type="dxa"/>
            <w:tcBorders>
              <w:top w:val="nil"/>
              <w:left w:val="nil"/>
              <w:bottom w:val="nil"/>
              <w:right w:val="nil"/>
            </w:tcBorders>
            <w:shd w:val="clear" w:color="000000" w:fill="FCE4D6"/>
            <w:vAlign w:val="center"/>
            <w:hideMark/>
          </w:tcPr>
          <w:p w14:paraId="196DBFBE"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134" w:type="dxa"/>
            <w:gridSpan w:val="2"/>
            <w:tcBorders>
              <w:top w:val="nil"/>
              <w:left w:val="nil"/>
              <w:bottom w:val="nil"/>
              <w:right w:val="single" w:sz="12" w:space="0" w:color="auto"/>
            </w:tcBorders>
            <w:shd w:val="clear" w:color="000000" w:fill="FCE4D6"/>
            <w:noWrap/>
            <w:vAlign w:val="bottom"/>
            <w:hideMark/>
          </w:tcPr>
          <w:p w14:paraId="2261AE5F"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r>
      <w:tr w:rsidR="00745C06" w:rsidRPr="00A122D2" w14:paraId="6ED74B61" w14:textId="77777777" w:rsidTr="00582692">
        <w:trPr>
          <w:gridAfter w:val="2"/>
          <w:wAfter w:w="329" w:type="dxa"/>
          <w:trHeight w:val="369"/>
        </w:trPr>
        <w:tc>
          <w:tcPr>
            <w:tcW w:w="4663" w:type="dxa"/>
            <w:tcBorders>
              <w:top w:val="single" w:sz="8" w:space="0" w:color="auto"/>
              <w:left w:val="single" w:sz="12" w:space="0" w:color="000000"/>
              <w:bottom w:val="single" w:sz="8" w:space="0" w:color="auto"/>
              <w:right w:val="single" w:sz="4" w:space="0" w:color="auto"/>
            </w:tcBorders>
            <w:shd w:val="clear" w:color="auto" w:fill="auto"/>
            <w:vAlign w:val="center"/>
            <w:hideMark/>
          </w:tcPr>
          <w:p w14:paraId="65322353"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SARS-CoV-2 PCR positive (%)</w:t>
            </w:r>
          </w:p>
        </w:tc>
        <w:tc>
          <w:tcPr>
            <w:tcW w:w="1902"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F821CA4"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21 (78)</w:t>
            </w:r>
          </w:p>
        </w:tc>
        <w:tc>
          <w:tcPr>
            <w:tcW w:w="2067"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D919239"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11 (44)</w:t>
            </w:r>
          </w:p>
        </w:tc>
        <w:tc>
          <w:tcPr>
            <w:tcW w:w="1134" w:type="dxa"/>
            <w:gridSpan w:val="2"/>
            <w:tcBorders>
              <w:top w:val="single" w:sz="8" w:space="0" w:color="auto"/>
              <w:left w:val="single" w:sz="4" w:space="0" w:color="auto"/>
              <w:bottom w:val="single" w:sz="8" w:space="0" w:color="auto"/>
              <w:right w:val="single" w:sz="12" w:space="0" w:color="auto"/>
            </w:tcBorders>
            <w:shd w:val="clear" w:color="auto" w:fill="auto"/>
            <w:noWrap/>
            <w:vAlign w:val="bottom"/>
            <w:hideMark/>
          </w:tcPr>
          <w:p w14:paraId="64A37BF5"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xml:space="preserve">0.01 * </w:t>
            </w:r>
          </w:p>
        </w:tc>
      </w:tr>
      <w:tr w:rsidR="00745C06" w:rsidRPr="00A122D2" w14:paraId="57DEAF4E" w14:textId="77777777" w:rsidTr="00582692">
        <w:trPr>
          <w:gridAfter w:val="2"/>
          <w:wAfter w:w="329" w:type="dxa"/>
          <w:trHeight w:val="369"/>
        </w:trPr>
        <w:tc>
          <w:tcPr>
            <w:tcW w:w="4663" w:type="dxa"/>
            <w:tcBorders>
              <w:top w:val="nil"/>
              <w:left w:val="single" w:sz="12" w:space="0" w:color="000000"/>
              <w:bottom w:val="single" w:sz="4" w:space="0" w:color="auto"/>
              <w:right w:val="single" w:sz="4" w:space="0" w:color="auto"/>
            </w:tcBorders>
            <w:shd w:val="clear" w:color="auto" w:fill="auto"/>
            <w:vAlign w:val="center"/>
            <w:hideMark/>
          </w:tcPr>
          <w:p w14:paraId="5473BF39"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SARS-CoV2- IgG positive (%)</w:t>
            </w:r>
          </w:p>
        </w:tc>
        <w:tc>
          <w:tcPr>
            <w:tcW w:w="1902" w:type="dxa"/>
            <w:tcBorders>
              <w:top w:val="nil"/>
              <w:left w:val="single" w:sz="4" w:space="0" w:color="auto"/>
              <w:bottom w:val="single" w:sz="4" w:space="0" w:color="auto"/>
              <w:right w:val="single" w:sz="4" w:space="0" w:color="auto"/>
            </w:tcBorders>
            <w:shd w:val="clear" w:color="auto" w:fill="auto"/>
            <w:vAlign w:val="center"/>
            <w:hideMark/>
          </w:tcPr>
          <w:p w14:paraId="777BD8A0"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12 (44)</w:t>
            </w:r>
          </w:p>
        </w:tc>
        <w:tc>
          <w:tcPr>
            <w:tcW w:w="2067" w:type="dxa"/>
            <w:tcBorders>
              <w:top w:val="nil"/>
              <w:left w:val="single" w:sz="4" w:space="0" w:color="auto"/>
              <w:bottom w:val="single" w:sz="4" w:space="0" w:color="auto"/>
              <w:right w:val="single" w:sz="4" w:space="0" w:color="auto"/>
            </w:tcBorders>
            <w:shd w:val="clear" w:color="auto" w:fill="auto"/>
            <w:vAlign w:val="center"/>
            <w:hideMark/>
          </w:tcPr>
          <w:p w14:paraId="65327A0B"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19 (76)</w:t>
            </w:r>
          </w:p>
        </w:tc>
        <w:tc>
          <w:tcPr>
            <w:tcW w:w="1134" w:type="dxa"/>
            <w:gridSpan w:val="2"/>
            <w:tcBorders>
              <w:top w:val="nil"/>
              <w:left w:val="single" w:sz="4" w:space="0" w:color="auto"/>
              <w:bottom w:val="single" w:sz="4" w:space="0" w:color="auto"/>
              <w:right w:val="single" w:sz="12" w:space="0" w:color="auto"/>
            </w:tcBorders>
            <w:shd w:val="clear" w:color="auto" w:fill="auto"/>
            <w:noWrap/>
            <w:vAlign w:val="bottom"/>
            <w:hideMark/>
          </w:tcPr>
          <w:p w14:paraId="5C80E504"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0.02*</w:t>
            </w:r>
          </w:p>
        </w:tc>
      </w:tr>
      <w:tr w:rsidR="00745C06" w:rsidRPr="00A122D2" w14:paraId="7FD38DAE" w14:textId="77777777" w:rsidTr="00582692">
        <w:trPr>
          <w:gridAfter w:val="2"/>
          <w:wAfter w:w="329" w:type="dxa"/>
          <w:trHeight w:val="347"/>
        </w:trPr>
        <w:tc>
          <w:tcPr>
            <w:tcW w:w="4663" w:type="dxa"/>
            <w:vMerge w:val="restart"/>
            <w:tcBorders>
              <w:top w:val="single" w:sz="4" w:space="0" w:color="auto"/>
              <w:left w:val="single" w:sz="12" w:space="0" w:color="000000"/>
              <w:bottom w:val="single" w:sz="8" w:space="0" w:color="auto"/>
              <w:right w:val="single" w:sz="4" w:space="0" w:color="auto"/>
            </w:tcBorders>
            <w:shd w:val="clear" w:color="auto" w:fill="auto"/>
            <w:vAlign w:val="center"/>
            <w:hideMark/>
          </w:tcPr>
          <w:p w14:paraId="14F82FE9"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Median CRP (range)</w:t>
            </w:r>
          </w:p>
        </w:tc>
        <w:tc>
          <w:tcPr>
            <w:tcW w:w="1902" w:type="dxa"/>
            <w:vMerge w:val="restart"/>
            <w:tcBorders>
              <w:top w:val="single" w:sz="4" w:space="0" w:color="auto"/>
              <w:left w:val="single" w:sz="4" w:space="0" w:color="auto"/>
              <w:bottom w:val="single" w:sz="8" w:space="0" w:color="auto"/>
              <w:right w:val="single" w:sz="4" w:space="0" w:color="auto"/>
            </w:tcBorders>
            <w:shd w:val="clear" w:color="auto" w:fill="auto"/>
            <w:vAlign w:val="center"/>
            <w:hideMark/>
          </w:tcPr>
          <w:p w14:paraId="1052B8B1"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(1-161)</w:t>
            </w:r>
          </w:p>
        </w:tc>
        <w:tc>
          <w:tcPr>
            <w:tcW w:w="2067" w:type="dxa"/>
            <w:vMerge w:val="restart"/>
            <w:tcBorders>
              <w:top w:val="single" w:sz="4" w:space="0" w:color="auto"/>
              <w:left w:val="single" w:sz="4" w:space="0" w:color="auto"/>
              <w:bottom w:val="single" w:sz="8" w:space="0" w:color="auto"/>
              <w:right w:val="single" w:sz="4" w:space="0" w:color="auto"/>
            </w:tcBorders>
            <w:shd w:val="clear" w:color="auto" w:fill="auto"/>
            <w:vAlign w:val="center"/>
            <w:hideMark/>
          </w:tcPr>
          <w:p w14:paraId="508416DF"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290 (80-556)</w:t>
            </w:r>
          </w:p>
        </w:tc>
        <w:tc>
          <w:tcPr>
            <w:tcW w:w="1134" w:type="dxa"/>
            <w:gridSpan w:val="2"/>
            <w:vMerge w:val="restart"/>
            <w:tcBorders>
              <w:top w:val="single" w:sz="4" w:space="0" w:color="auto"/>
              <w:left w:val="single" w:sz="4" w:space="0" w:color="auto"/>
              <w:bottom w:val="single" w:sz="8" w:space="0" w:color="auto"/>
              <w:right w:val="single" w:sz="12" w:space="0" w:color="auto"/>
            </w:tcBorders>
            <w:shd w:val="clear" w:color="auto" w:fill="auto"/>
            <w:noWrap/>
            <w:vAlign w:val="bottom"/>
            <w:hideMark/>
          </w:tcPr>
          <w:p w14:paraId="766E482B"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xml:space="preserve">&lt;0.0001* </w:t>
            </w:r>
          </w:p>
        </w:tc>
      </w:tr>
      <w:tr w:rsidR="00745C06" w:rsidRPr="00A122D2" w14:paraId="12494F4F" w14:textId="77777777" w:rsidTr="00582692">
        <w:trPr>
          <w:trHeight w:val="59"/>
        </w:trPr>
        <w:tc>
          <w:tcPr>
            <w:tcW w:w="4663" w:type="dxa"/>
            <w:vMerge/>
            <w:tcBorders>
              <w:top w:val="nil"/>
              <w:left w:val="single" w:sz="12" w:space="0" w:color="000000"/>
              <w:bottom w:val="single" w:sz="4" w:space="0" w:color="auto"/>
              <w:right w:val="single" w:sz="4" w:space="0" w:color="auto"/>
            </w:tcBorders>
            <w:vAlign w:val="center"/>
            <w:hideMark/>
          </w:tcPr>
          <w:p w14:paraId="71EF5A59" w14:textId="77777777" w:rsidR="00745C06" w:rsidRPr="00A122D2" w:rsidRDefault="00745C06" w:rsidP="00582692">
            <w:pPr>
              <w:rPr>
                <w:rFonts w:ascii="Calibri" w:hAnsi="Calibri" w:cs="Calibri"/>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0669F834" w14:textId="77777777" w:rsidR="00745C06" w:rsidRPr="00A122D2" w:rsidRDefault="00745C06" w:rsidP="00582692">
            <w:pPr>
              <w:rPr>
                <w:rFonts w:ascii="Calibri" w:hAnsi="Calibri" w:cs="Calibri"/>
                <w:color w:val="000000"/>
                <w:sz w:val="20"/>
                <w:szCs w:val="20"/>
              </w:rPr>
            </w:pPr>
          </w:p>
        </w:tc>
        <w:tc>
          <w:tcPr>
            <w:tcW w:w="2067" w:type="dxa"/>
            <w:vMerge/>
            <w:tcBorders>
              <w:top w:val="nil"/>
              <w:left w:val="single" w:sz="4" w:space="0" w:color="auto"/>
              <w:bottom w:val="single" w:sz="4" w:space="0" w:color="auto"/>
              <w:right w:val="single" w:sz="4" w:space="0" w:color="auto"/>
            </w:tcBorders>
            <w:vAlign w:val="center"/>
            <w:hideMark/>
          </w:tcPr>
          <w:p w14:paraId="2A639DB6" w14:textId="77777777" w:rsidR="00745C06" w:rsidRPr="00A122D2" w:rsidRDefault="00745C06" w:rsidP="00582692">
            <w:pPr>
              <w:rPr>
                <w:rFonts w:ascii="Calibri" w:hAnsi="Calibri" w:cs="Calibri"/>
                <w:color w:val="000000"/>
                <w:sz w:val="20"/>
                <w:szCs w:val="20"/>
              </w:rPr>
            </w:pPr>
          </w:p>
        </w:tc>
        <w:tc>
          <w:tcPr>
            <w:tcW w:w="1134" w:type="dxa"/>
            <w:gridSpan w:val="2"/>
            <w:vMerge/>
            <w:tcBorders>
              <w:top w:val="nil"/>
              <w:left w:val="single" w:sz="4" w:space="0" w:color="auto"/>
              <w:bottom w:val="single" w:sz="4" w:space="0" w:color="auto"/>
              <w:right w:val="single" w:sz="12" w:space="0" w:color="auto"/>
            </w:tcBorders>
            <w:vAlign w:val="center"/>
            <w:hideMark/>
          </w:tcPr>
          <w:p w14:paraId="4AA61925" w14:textId="77777777" w:rsidR="00745C06" w:rsidRPr="00A122D2" w:rsidRDefault="00745C06" w:rsidP="00582692">
            <w:pPr>
              <w:rPr>
                <w:rFonts w:ascii="Calibri" w:hAnsi="Calibri" w:cs="Calibri"/>
                <w:color w:val="000000"/>
                <w:sz w:val="20"/>
                <w:szCs w:val="20"/>
              </w:rPr>
            </w:pPr>
          </w:p>
        </w:tc>
        <w:tc>
          <w:tcPr>
            <w:tcW w:w="329" w:type="dxa"/>
            <w:gridSpan w:val="2"/>
            <w:tcBorders>
              <w:top w:val="nil"/>
              <w:left w:val="single" w:sz="12" w:space="0" w:color="auto"/>
              <w:bottom w:val="nil"/>
              <w:right w:val="nil"/>
            </w:tcBorders>
            <w:shd w:val="clear" w:color="auto" w:fill="auto"/>
            <w:noWrap/>
            <w:vAlign w:val="bottom"/>
            <w:hideMark/>
          </w:tcPr>
          <w:p w14:paraId="611F8BF6" w14:textId="77777777" w:rsidR="00745C06" w:rsidRPr="00A122D2" w:rsidRDefault="00745C06" w:rsidP="00582692">
            <w:pPr>
              <w:jc w:val="center"/>
              <w:rPr>
                <w:rFonts w:ascii="Calibri" w:hAnsi="Calibri" w:cs="Calibri"/>
                <w:color w:val="000000"/>
                <w:sz w:val="20"/>
                <w:szCs w:val="20"/>
              </w:rPr>
            </w:pPr>
          </w:p>
        </w:tc>
      </w:tr>
      <w:tr w:rsidR="00745C06" w:rsidRPr="00A122D2" w14:paraId="66B4D72A" w14:textId="77777777" w:rsidTr="00582692">
        <w:trPr>
          <w:trHeight w:val="81"/>
        </w:trPr>
        <w:tc>
          <w:tcPr>
            <w:tcW w:w="4663" w:type="dxa"/>
            <w:tcBorders>
              <w:top w:val="single" w:sz="4" w:space="0" w:color="auto"/>
              <w:left w:val="single" w:sz="12" w:space="0" w:color="000000"/>
              <w:bottom w:val="single" w:sz="4" w:space="0" w:color="auto"/>
              <w:right w:val="single" w:sz="4" w:space="0" w:color="auto"/>
            </w:tcBorders>
            <w:shd w:val="clear" w:color="auto" w:fill="auto"/>
            <w:vAlign w:val="center"/>
            <w:hideMark/>
          </w:tcPr>
          <w:p w14:paraId="2174559B"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Elevated acute phase reactants (LDH, ferritin, D-Dimers)</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4CEDD"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4 (14.8)</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0A68F"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25 (100)</w:t>
            </w:r>
          </w:p>
        </w:tc>
        <w:tc>
          <w:tcPr>
            <w:tcW w:w="1134" w:type="dxa"/>
            <w:gridSpan w:val="2"/>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0882B796"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xml:space="preserve">&lt;0.0001* </w:t>
            </w:r>
          </w:p>
        </w:tc>
        <w:tc>
          <w:tcPr>
            <w:tcW w:w="329" w:type="dxa"/>
            <w:gridSpan w:val="2"/>
            <w:tcBorders>
              <w:left w:val="single" w:sz="12" w:space="0" w:color="auto"/>
            </w:tcBorders>
            <w:vAlign w:val="center"/>
            <w:hideMark/>
          </w:tcPr>
          <w:p w14:paraId="19C99DBB" w14:textId="77777777" w:rsidR="00745C06" w:rsidRPr="00A122D2" w:rsidRDefault="00745C06" w:rsidP="00582692">
            <w:pPr>
              <w:rPr>
                <w:sz w:val="20"/>
                <w:szCs w:val="20"/>
              </w:rPr>
            </w:pPr>
          </w:p>
        </w:tc>
      </w:tr>
      <w:tr w:rsidR="00745C06" w:rsidRPr="00A122D2" w14:paraId="6B703F48" w14:textId="77777777" w:rsidTr="00582692">
        <w:trPr>
          <w:trHeight w:val="369"/>
        </w:trPr>
        <w:tc>
          <w:tcPr>
            <w:tcW w:w="4663" w:type="dxa"/>
            <w:tcBorders>
              <w:top w:val="single" w:sz="4" w:space="0" w:color="auto"/>
              <w:left w:val="single" w:sz="12" w:space="0" w:color="000000"/>
              <w:bottom w:val="single" w:sz="4" w:space="0" w:color="auto"/>
              <w:right w:val="single" w:sz="4" w:space="0" w:color="auto"/>
            </w:tcBorders>
            <w:shd w:val="clear" w:color="auto" w:fill="auto"/>
            <w:vAlign w:val="center"/>
            <w:hideMark/>
          </w:tcPr>
          <w:p w14:paraId="42AF43FE"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WCC (range)</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04A07"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9.9 (4-27.3)</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4D7D1"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20 (3-44.4)</w:t>
            </w:r>
          </w:p>
        </w:tc>
        <w:tc>
          <w:tcPr>
            <w:tcW w:w="1134" w:type="dxa"/>
            <w:gridSpan w:val="2"/>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39C84EA2"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xml:space="preserve">&lt;0.0001* </w:t>
            </w:r>
          </w:p>
        </w:tc>
        <w:tc>
          <w:tcPr>
            <w:tcW w:w="329" w:type="dxa"/>
            <w:gridSpan w:val="2"/>
            <w:tcBorders>
              <w:left w:val="single" w:sz="12" w:space="0" w:color="auto"/>
            </w:tcBorders>
            <w:vAlign w:val="center"/>
            <w:hideMark/>
          </w:tcPr>
          <w:p w14:paraId="547D714B" w14:textId="77777777" w:rsidR="00745C06" w:rsidRPr="00A122D2" w:rsidRDefault="00745C06" w:rsidP="00582692">
            <w:pPr>
              <w:rPr>
                <w:sz w:val="20"/>
                <w:szCs w:val="20"/>
              </w:rPr>
            </w:pPr>
          </w:p>
        </w:tc>
      </w:tr>
      <w:tr w:rsidR="00745C06" w:rsidRPr="00A122D2" w14:paraId="1B969DB4" w14:textId="77777777" w:rsidTr="00582692">
        <w:trPr>
          <w:trHeight w:val="347"/>
        </w:trPr>
        <w:tc>
          <w:tcPr>
            <w:tcW w:w="4663" w:type="dxa"/>
            <w:vMerge w:val="restart"/>
            <w:tcBorders>
              <w:top w:val="single" w:sz="4" w:space="0" w:color="auto"/>
              <w:left w:val="single" w:sz="12" w:space="0" w:color="000000"/>
              <w:bottom w:val="single" w:sz="8" w:space="0" w:color="auto"/>
              <w:right w:val="single" w:sz="4" w:space="0" w:color="auto"/>
            </w:tcBorders>
            <w:shd w:val="clear" w:color="auto" w:fill="auto"/>
            <w:vAlign w:val="center"/>
            <w:hideMark/>
          </w:tcPr>
          <w:p w14:paraId="4C38A2B8"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CSF WCC &gt; 5 (%)</w:t>
            </w:r>
          </w:p>
        </w:tc>
        <w:tc>
          <w:tcPr>
            <w:tcW w:w="1902" w:type="dxa"/>
            <w:vMerge w:val="restart"/>
            <w:tcBorders>
              <w:top w:val="single" w:sz="4" w:space="0" w:color="auto"/>
              <w:left w:val="single" w:sz="4" w:space="0" w:color="auto"/>
              <w:bottom w:val="single" w:sz="8" w:space="0" w:color="auto"/>
              <w:right w:val="single" w:sz="4" w:space="0" w:color="auto"/>
            </w:tcBorders>
            <w:shd w:val="clear" w:color="auto" w:fill="auto"/>
            <w:vAlign w:val="center"/>
            <w:hideMark/>
          </w:tcPr>
          <w:p w14:paraId="33C74689"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8 (30)</w:t>
            </w:r>
          </w:p>
        </w:tc>
        <w:tc>
          <w:tcPr>
            <w:tcW w:w="2067" w:type="dxa"/>
            <w:vMerge w:val="restart"/>
            <w:tcBorders>
              <w:top w:val="single" w:sz="4" w:space="0" w:color="auto"/>
              <w:left w:val="single" w:sz="4" w:space="0" w:color="auto"/>
              <w:bottom w:val="single" w:sz="8" w:space="0" w:color="auto"/>
              <w:right w:val="single" w:sz="4" w:space="0" w:color="auto"/>
            </w:tcBorders>
            <w:shd w:val="clear" w:color="auto" w:fill="auto"/>
            <w:vAlign w:val="center"/>
            <w:hideMark/>
          </w:tcPr>
          <w:p w14:paraId="7EE9B980"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3 (8)</w:t>
            </w:r>
          </w:p>
        </w:tc>
        <w:tc>
          <w:tcPr>
            <w:tcW w:w="1134" w:type="dxa"/>
            <w:gridSpan w:val="2"/>
            <w:vMerge w:val="restart"/>
            <w:tcBorders>
              <w:top w:val="single" w:sz="4" w:space="0" w:color="auto"/>
              <w:left w:val="single" w:sz="4" w:space="0" w:color="auto"/>
              <w:bottom w:val="single" w:sz="8" w:space="0" w:color="auto"/>
              <w:right w:val="single" w:sz="12" w:space="0" w:color="auto"/>
            </w:tcBorders>
            <w:shd w:val="clear" w:color="auto" w:fill="auto"/>
            <w:noWrap/>
            <w:vAlign w:val="bottom"/>
            <w:hideMark/>
          </w:tcPr>
          <w:p w14:paraId="677E6B7E"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0.12</w:t>
            </w:r>
          </w:p>
        </w:tc>
        <w:tc>
          <w:tcPr>
            <w:tcW w:w="329" w:type="dxa"/>
            <w:gridSpan w:val="2"/>
            <w:tcBorders>
              <w:left w:val="single" w:sz="12" w:space="0" w:color="auto"/>
            </w:tcBorders>
            <w:vAlign w:val="center"/>
            <w:hideMark/>
          </w:tcPr>
          <w:p w14:paraId="77EEB4AF" w14:textId="77777777" w:rsidR="00745C06" w:rsidRPr="00A122D2" w:rsidRDefault="00745C06" w:rsidP="00582692">
            <w:pPr>
              <w:rPr>
                <w:sz w:val="20"/>
                <w:szCs w:val="20"/>
              </w:rPr>
            </w:pPr>
          </w:p>
        </w:tc>
      </w:tr>
      <w:tr w:rsidR="00745C06" w:rsidRPr="00A122D2" w14:paraId="666D86BE" w14:textId="77777777" w:rsidTr="00582692">
        <w:trPr>
          <w:trHeight w:val="59"/>
        </w:trPr>
        <w:tc>
          <w:tcPr>
            <w:tcW w:w="4663" w:type="dxa"/>
            <w:vMerge/>
            <w:tcBorders>
              <w:top w:val="nil"/>
              <w:left w:val="single" w:sz="12" w:space="0" w:color="000000"/>
              <w:bottom w:val="single" w:sz="4" w:space="0" w:color="auto"/>
              <w:right w:val="single" w:sz="4" w:space="0" w:color="auto"/>
            </w:tcBorders>
            <w:vAlign w:val="center"/>
            <w:hideMark/>
          </w:tcPr>
          <w:p w14:paraId="7C2CCD3E" w14:textId="77777777" w:rsidR="00745C06" w:rsidRPr="00A122D2" w:rsidRDefault="00745C06" w:rsidP="00582692">
            <w:pPr>
              <w:rPr>
                <w:rFonts w:ascii="Calibri" w:hAnsi="Calibri" w:cs="Calibri"/>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5DCAAEF8" w14:textId="77777777" w:rsidR="00745C06" w:rsidRPr="00A122D2" w:rsidRDefault="00745C06" w:rsidP="00582692">
            <w:pPr>
              <w:rPr>
                <w:rFonts w:ascii="Calibri" w:hAnsi="Calibri" w:cs="Calibri"/>
                <w:color w:val="000000"/>
                <w:sz w:val="20"/>
                <w:szCs w:val="20"/>
              </w:rPr>
            </w:pPr>
          </w:p>
        </w:tc>
        <w:tc>
          <w:tcPr>
            <w:tcW w:w="2067" w:type="dxa"/>
            <w:vMerge/>
            <w:tcBorders>
              <w:top w:val="nil"/>
              <w:left w:val="single" w:sz="4" w:space="0" w:color="auto"/>
              <w:bottom w:val="single" w:sz="4" w:space="0" w:color="auto"/>
              <w:right w:val="single" w:sz="4" w:space="0" w:color="auto"/>
            </w:tcBorders>
            <w:vAlign w:val="center"/>
            <w:hideMark/>
          </w:tcPr>
          <w:p w14:paraId="43A74C37" w14:textId="77777777" w:rsidR="00745C06" w:rsidRPr="00A122D2" w:rsidRDefault="00745C06" w:rsidP="00582692">
            <w:pPr>
              <w:rPr>
                <w:rFonts w:ascii="Calibri" w:hAnsi="Calibri" w:cs="Calibri"/>
                <w:color w:val="000000"/>
                <w:sz w:val="20"/>
                <w:szCs w:val="20"/>
              </w:rPr>
            </w:pPr>
          </w:p>
        </w:tc>
        <w:tc>
          <w:tcPr>
            <w:tcW w:w="1134" w:type="dxa"/>
            <w:gridSpan w:val="2"/>
            <w:vMerge/>
            <w:tcBorders>
              <w:top w:val="nil"/>
              <w:left w:val="single" w:sz="4" w:space="0" w:color="auto"/>
              <w:bottom w:val="single" w:sz="4" w:space="0" w:color="auto"/>
              <w:right w:val="single" w:sz="12" w:space="0" w:color="auto"/>
            </w:tcBorders>
            <w:vAlign w:val="center"/>
            <w:hideMark/>
          </w:tcPr>
          <w:p w14:paraId="0423B7F2" w14:textId="77777777" w:rsidR="00745C06" w:rsidRPr="00A122D2" w:rsidRDefault="00745C06" w:rsidP="00582692">
            <w:pPr>
              <w:rPr>
                <w:rFonts w:ascii="Calibri" w:hAnsi="Calibri" w:cs="Calibri"/>
                <w:color w:val="000000"/>
                <w:sz w:val="20"/>
                <w:szCs w:val="20"/>
              </w:rPr>
            </w:pPr>
          </w:p>
        </w:tc>
        <w:tc>
          <w:tcPr>
            <w:tcW w:w="329" w:type="dxa"/>
            <w:gridSpan w:val="2"/>
            <w:tcBorders>
              <w:top w:val="nil"/>
              <w:left w:val="single" w:sz="12" w:space="0" w:color="auto"/>
              <w:bottom w:val="nil"/>
              <w:right w:val="nil"/>
            </w:tcBorders>
            <w:shd w:val="clear" w:color="auto" w:fill="auto"/>
            <w:noWrap/>
            <w:vAlign w:val="bottom"/>
            <w:hideMark/>
          </w:tcPr>
          <w:p w14:paraId="695469D9" w14:textId="77777777" w:rsidR="00745C06" w:rsidRPr="00A122D2" w:rsidRDefault="00745C06" w:rsidP="00582692">
            <w:pPr>
              <w:jc w:val="center"/>
              <w:rPr>
                <w:rFonts w:ascii="Calibri" w:hAnsi="Calibri" w:cs="Calibri"/>
                <w:color w:val="000000"/>
                <w:sz w:val="20"/>
                <w:szCs w:val="20"/>
              </w:rPr>
            </w:pPr>
          </w:p>
        </w:tc>
      </w:tr>
      <w:tr w:rsidR="00745C06" w:rsidRPr="00A122D2" w14:paraId="562F8161" w14:textId="77777777" w:rsidTr="00582692">
        <w:trPr>
          <w:trHeight w:val="285"/>
        </w:trPr>
        <w:tc>
          <w:tcPr>
            <w:tcW w:w="4663" w:type="dxa"/>
            <w:tcBorders>
              <w:top w:val="single" w:sz="4" w:space="0" w:color="auto"/>
              <w:left w:val="single" w:sz="12" w:space="0" w:color="000000"/>
              <w:bottom w:val="single" w:sz="8" w:space="0" w:color="auto"/>
              <w:right w:val="single" w:sz="4" w:space="0" w:color="auto"/>
            </w:tcBorders>
            <w:shd w:val="clear" w:color="auto" w:fill="auto"/>
            <w:vAlign w:val="center"/>
            <w:hideMark/>
          </w:tcPr>
          <w:p w14:paraId="12D709DB"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Abnormal CNS imaging [CT and/or MRI] (%)</w:t>
            </w:r>
          </w:p>
        </w:tc>
        <w:tc>
          <w:tcPr>
            <w:tcW w:w="1902"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EA1E070"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11/25 (44%)</w:t>
            </w:r>
          </w:p>
        </w:tc>
        <w:tc>
          <w:tcPr>
            <w:tcW w:w="2067"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032C0647"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17/23 (73%)</w:t>
            </w:r>
          </w:p>
        </w:tc>
        <w:tc>
          <w:tcPr>
            <w:tcW w:w="1134" w:type="dxa"/>
            <w:gridSpan w:val="2"/>
            <w:tcBorders>
              <w:top w:val="single" w:sz="4" w:space="0" w:color="auto"/>
              <w:left w:val="single" w:sz="4" w:space="0" w:color="auto"/>
              <w:bottom w:val="single" w:sz="8" w:space="0" w:color="auto"/>
              <w:right w:val="single" w:sz="12" w:space="0" w:color="auto"/>
            </w:tcBorders>
            <w:shd w:val="clear" w:color="auto" w:fill="auto"/>
            <w:noWrap/>
            <w:vAlign w:val="bottom"/>
            <w:hideMark/>
          </w:tcPr>
          <w:p w14:paraId="4AF98040"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xml:space="preserve">0.036* </w:t>
            </w:r>
          </w:p>
        </w:tc>
        <w:tc>
          <w:tcPr>
            <w:tcW w:w="329" w:type="dxa"/>
            <w:gridSpan w:val="2"/>
            <w:tcBorders>
              <w:left w:val="single" w:sz="12" w:space="0" w:color="auto"/>
            </w:tcBorders>
            <w:vAlign w:val="center"/>
            <w:hideMark/>
          </w:tcPr>
          <w:p w14:paraId="60B9E267" w14:textId="77777777" w:rsidR="00745C06" w:rsidRPr="00A122D2" w:rsidRDefault="00745C06" w:rsidP="00582692">
            <w:pPr>
              <w:rPr>
                <w:sz w:val="20"/>
                <w:szCs w:val="20"/>
              </w:rPr>
            </w:pPr>
          </w:p>
        </w:tc>
      </w:tr>
      <w:tr w:rsidR="00745C06" w:rsidRPr="00A122D2" w14:paraId="0C6D4F29" w14:textId="77777777" w:rsidTr="00582692">
        <w:trPr>
          <w:trHeight w:val="369"/>
        </w:trPr>
        <w:tc>
          <w:tcPr>
            <w:tcW w:w="4663" w:type="dxa"/>
            <w:tcBorders>
              <w:top w:val="nil"/>
              <w:left w:val="single" w:sz="12" w:space="0" w:color="auto"/>
              <w:bottom w:val="nil"/>
              <w:right w:val="nil"/>
            </w:tcBorders>
            <w:shd w:val="clear" w:color="000000" w:fill="FCE4D6"/>
            <w:vAlign w:val="center"/>
            <w:hideMark/>
          </w:tcPr>
          <w:p w14:paraId="778338A8" w14:textId="77777777" w:rsidR="00745C06" w:rsidRPr="00A122D2" w:rsidRDefault="00745C06" w:rsidP="00582692">
            <w:pPr>
              <w:rPr>
                <w:rFonts w:ascii="Calibri" w:hAnsi="Calibri" w:cs="Calibri"/>
                <w:b/>
                <w:bCs/>
                <w:color w:val="000000"/>
                <w:sz w:val="20"/>
                <w:szCs w:val="20"/>
              </w:rPr>
            </w:pPr>
            <w:r w:rsidRPr="00A122D2">
              <w:rPr>
                <w:rFonts w:ascii="Calibri" w:hAnsi="Calibri" w:cs="Calibri"/>
                <w:b/>
                <w:bCs/>
                <w:color w:val="000000"/>
                <w:sz w:val="20"/>
                <w:szCs w:val="20"/>
              </w:rPr>
              <w:t>Treatment</w:t>
            </w:r>
          </w:p>
        </w:tc>
        <w:tc>
          <w:tcPr>
            <w:tcW w:w="1902" w:type="dxa"/>
            <w:tcBorders>
              <w:top w:val="nil"/>
              <w:left w:val="nil"/>
              <w:bottom w:val="nil"/>
              <w:right w:val="nil"/>
            </w:tcBorders>
            <w:shd w:val="clear" w:color="000000" w:fill="FCE4D6"/>
            <w:noWrap/>
            <w:vAlign w:val="bottom"/>
            <w:hideMark/>
          </w:tcPr>
          <w:p w14:paraId="00217DBF"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2067" w:type="dxa"/>
            <w:tcBorders>
              <w:top w:val="nil"/>
              <w:left w:val="nil"/>
              <w:bottom w:val="nil"/>
              <w:right w:val="nil"/>
            </w:tcBorders>
            <w:shd w:val="clear" w:color="000000" w:fill="FCE4D6"/>
            <w:vAlign w:val="center"/>
            <w:hideMark/>
          </w:tcPr>
          <w:p w14:paraId="1FE1AD7A"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134" w:type="dxa"/>
            <w:gridSpan w:val="2"/>
            <w:tcBorders>
              <w:top w:val="nil"/>
              <w:left w:val="nil"/>
              <w:bottom w:val="nil"/>
              <w:right w:val="single" w:sz="12" w:space="0" w:color="auto"/>
            </w:tcBorders>
            <w:shd w:val="clear" w:color="000000" w:fill="FCE4D6"/>
            <w:noWrap/>
            <w:vAlign w:val="bottom"/>
            <w:hideMark/>
          </w:tcPr>
          <w:p w14:paraId="2FC8F7CA"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329" w:type="dxa"/>
            <w:gridSpan w:val="2"/>
            <w:tcBorders>
              <w:left w:val="single" w:sz="12" w:space="0" w:color="auto"/>
            </w:tcBorders>
            <w:vAlign w:val="center"/>
            <w:hideMark/>
          </w:tcPr>
          <w:p w14:paraId="4BD6D9C6" w14:textId="77777777" w:rsidR="00745C06" w:rsidRPr="00A122D2" w:rsidRDefault="00745C06" w:rsidP="00582692">
            <w:pPr>
              <w:rPr>
                <w:sz w:val="20"/>
                <w:szCs w:val="20"/>
              </w:rPr>
            </w:pPr>
          </w:p>
        </w:tc>
      </w:tr>
      <w:tr w:rsidR="00745C06" w:rsidRPr="00A122D2" w14:paraId="5B099D9E" w14:textId="77777777" w:rsidTr="00582692">
        <w:trPr>
          <w:trHeight w:val="369"/>
        </w:trPr>
        <w:tc>
          <w:tcPr>
            <w:tcW w:w="4663" w:type="dxa"/>
            <w:tcBorders>
              <w:top w:val="single" w:sz="8" w:space="0" w:color="auto"/>
              <w:left w:val="single" w:sz="12" w:space="0" w:color="000000"/>
              <w:bottom w:val="single" w:sz="8" w:space="0" w:color="auto"/>
              <w:right w:val="single" w:sz="4" w:space="0" w:color="auto"/>
            </w:tcBorders>
            <w:shd w:val="clear" w:color="auto" w:fill="auto"/>
            <w:vAlign w:val="center"/>
            <w:hideMark/>
          </w:tcPr>
          <w:p w14:paraId="58827D48"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PICU admission</w:t>
            </w:r>
          </w:p>
        </w:tc>
        <w:tc>
          <w:tcPr>
            <w:tcW w:w="1902"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210D2580"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6 (22)</w:t>
            </w:r>
          </w:p>
        </w:tc>
        <w:tc>
          <w:tcPr>
            <w:tcW w:w="2067" w:type="dxa"/>
            <w:tcBorders>
              <w:top w:val="single" w:sz="8" w:space="0" w:color="auto"/>
              <w:left w:val="nil"/>
              <w:bottom w:val="single" w:sz="8" w:space="0" w:color="auto"/>
              <w:right w:val="single" w:sz="8" w:space="0" w:color="auto"/>
            </w:tcBorders>
            <w:shd w:val="clear" w:color="auto" w:fill="auto"/>
            <w:vAlign w:val="center"/>
            <w:hideMark/>
          </w:tcPr>
          <w:p w14:paraId="10645A06"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20 (80)</w:t>
            </w:r>
          </w:p>
        </w:tc>
        <w:tc>
          <w:tcPr>
            <w:tcW w:w="1134" w:type="dxa"/>
            <w:gridSpan w:val="2"/>
            <w:tcBorders>
              <w:top w:val="single" w:sz="8" w:space="0" w:color="auto"/>
              <w:left w:val="nil"/>
              <w:bottom w:val="single" w:sz="8" w:space="0" w:color="auto"/>
              <w:right w:val="single" w:sz="12" w:space="0" w:color="auto"/>
            </w:tcBorders>
            <w:shd w:val="clear" w:color="auto" w:fill="auto"/>
            <w:vAlign w:val="center"/>
            <w:hideMark/>
          </w:tcPr>
          <w:p w14:paraId="74DE4655"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xml:space="preserve">&lt;0.0001* </w:t>
            </w:r>
          </w:p>
        </w:tc>
        <w:tc>
          <w:tcPr>
            <w:tcW w:w="329" w:type="dxa"/>
            <w:gridSpan w:val="2"/>
            <w:tcBorders>
              <w:left w:val="single" w:sz="12" w:space="0" w:color="auto"/>
            </w:tcBorders>
            <w:vAlign w:val="center"/>
            <w:hideMark/>
          </w:tcPr>
          <w:p w14:paraId="0E3D26E3" w14:textId="77777777" w:rsidR="00745C06" w:rsidRPr="00A122D2" w:rsidRDefault="00745C06" w:rsidP="00582692">
            <w:pPr>
              <w:rPr>
                <w:sz w:val="20"/>
                <w:szCs w:val="20"/>
              </w:rPr>
            </w:pPr>
          </w:p>
        </w:tc>
      </w:tr>
      <w:tr w:rsidR="00745C06" w:rsidRPr="00A122D2" w14:paraId="5C671D96" w14:textId="77777777" w:rsidTr="00582692">
        <w:trPr>
          <w:trHeight w:val="369"/>
        </w:trPr>
        <w:tc>
          <w:tcPr>
            <w:tcW w:w="4663" w:type="dxa"/>
            <w:tcBorders>
              <w:top w:val="nil"/>
              <w:left w:val="single" w:sz="12" w:space="0" w:color="000000"/>
              <w:bottom w:val="single" w:sz="8" w:space="0" w:color="auto"/>
              <w:right w:val="single" w:sz="4" w:space="0" w:color="auto"/>
            </w:tcBorders>
            <w:shd w:val="clear" w:color="auto" w:fill="auto"/>
            <w:vAlign w:val="center"/>
            <w:hideMark/>
          </w:tcPr>
          <w:p w14:paraId="1AF0975C"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Inotropic support</w:t>
            </w:r>
          </w:p>
        </w:tc>
        <w:tc>
          <w:tcPr>
            <w:tcW w:w="1902" w:type="dxa"/>
            <w:tcBorders>
              <w:top w:val="nil"/>
              <w:left w:val="single" w:sz="4" w:space="0" w:color="auto"/>
              <w:bottom w:val="single" w:sz="8" w:space="0" w:color="auto"/>
              <w:right w:val="single" w:sz="8" w:space="0" w:color="auto"/>
            </w:tcBorders>
            <w:shd w:val="clear" w:color="auto" w:fill="auto"/>
            <w:vAlign w:val="center"/>
            <w:hideMark/>
          </w:tcPr>
          <w:p w14:paraId="1AEB598C"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2067" w:type="dxa"/>
            <w:tcBorders>
              <w:top w:val="nil"/>
              <w:left w:val="nil"/>
              <w:bottom w:val="single" w:sz="8" w:space="0" w:color="auto"/>
              <w:right w:val="single" w:sz="8" w:space="0" w:color="auto"/>
            </w:tcBorders>
            <w:shd w:val="clear" w:color="auto" w:fill="auto"/>
            <w:vAlign w:val="center"/>
            <w:hideMark/>
          </w:tcPr>
          <w:p w14:paraId="51D72161"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13 (52)</w:t>
            </w:r>
          </w:p>
        </w:tc>
        <w:tc>
          <w:tcPr>
            <w:tcW w:w="1134" w:type="dxa"/>
            <w:gridSpan w:val="2"/>
            <w:tcBorders>
              <w:top w:val="nil"/>
              <w:left w:val="nil"/>
              <w:bottom w:val="single" w:sz="8" w:space="0" w:color="auto"/>
              <w:right w:val="single" w:sz="12" w:space="0" w:color="auto"/>
            </w:tcBorders>
            <w:shd w:val="clear" w:color="auto" w:fill="auto"/>
            <w:vAlign w:val="center"/>
            <w:hideMark/>
          </w:tcPr>
          <w:p w14:paraId="4528780E"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xml:space="preserve">&lt;0.0001* </w:t>
            </w:r>
          </w:p>
        </w:tc>
        <w:tc>
          <w:tcPr>
            <w:tcW w:w="329" w:type="dxa"/>
            <w:gridSpan w:val="2"/>
            <w:tcBorders>
              <w:left w:val="single" w:sz="12" w:space="0" w:color="auto"/>
            </w:tcBorders>
            <w:vAlign w:val="center"/>
            <w:hideMark/>
          </w:tcPr>
          <w:p w14:paraId="3C92878E" w14:textId="77777777" w:rsidR="00745C06" w:rsidRPr="00A122D2" w:rsidRDefault="00745C06" w:rsidP="00582692">
            <w:pPr>
              <w:rPr>
                <w:sz w:val="20"/>
                <w:szCs w:val="20"/>
              </w:rPr>
            </w:pPr>
          </w:p>
        </w:tc>
      </w:tr>
      <w:tr w:rsidR="00745C06" w:rsidRPr="00A122D2" w14:paraId="4C37C0C1" w14:textId="77777777" w:rsidTr="00582692">
        <w:trPr>
          <w:trHeight w:val="369"/>
        </w:trPr>
        <w:tc>
          <w:tcPr>
            <w:tcW w:w="4663" w:type="dxa"/>
            <w:tcBorders>
              <w:top w:val="nil"/>
              <w:left w:val="single" w:sz="12" w:space="0" w:color="000000"/>
              <w:bottom w:val="single" w:sz="8" w:space="0" w:color="auto"/>
              <w:right w:val="single" w:sz="4" w:space="0" w:color="auto"/>
            </w:tcBorders>
            <w:shd w:val="clear" w:color="auto" w:fill="auto"/>
            <w:vAlign w:val="center"/>
            <w:hideMark/>
          </w:tcPr>
          <w:p w14:paraId="7AE6FCDF"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Immunomodulation</w:t>
            </w:r>
          </w:p>
        </w:tc>
        <w:tc>
          <w:tcPr>
            <w:tcW w:w="1902" w:type="dxa"/>
            <w:tcBorders>
              <w:top w:val="nil"/>
              <w:left w:val="single" w:sz="4" w:space="0" w:color="auto"/>
              <w:bottom w:val="single" w:sz="8" w:space="0" w:color="auto"/>
              <w:right w:val="single" w:sz="8" w:space="0" w:color="auto"/>
            </w:tcBorders>
            <w:shd w:val="clear" w:color="auto" w:fill="auto"/>
            <w:vAlign w:val="center"/>
            <w:hideMark/>
          </w:tcPr>
          <w:p w14:paraId="0A80011C"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12 (44)</w:t>
            </w:r>
          </w:p>
        </w:tc>
        <w:tc>
          <w:tcPr>
            <w:tcW w:w="2067" w:type="dxa"/>
            <w:tcBorders>
              <w:top w:val="nil"/>
              <w:left w:val="nil"/>
              <w:bottom w:val="single" w:sz="8" w:space="0" w:color="auto"/>
              <w:right w:val="single" w:sz="8" w:space="0" w:color="auto"/>
            </w:tcBorders>
            <w:shd w:val="clear" w:color="auto" w:fill="auto"/>
            <w:vAlign w:val="center"/>
            <w:hideMark/>
          </w:tcPr>
          <w:p w14:paraId="6BB739A7"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22 (88)</w:t>
            </w:r>
          </w:p>
        </w:tc>
        <w:tc>
          <w:tcPr>
            <w:tcW w:w="1134" w:type="dxa"/>
            <w:gridSpan w:val="2"/>
            <w:tcBorders>
              <w:top w:val="nil"/>
              <w:left w:val="nil"/>
              <w:bottom w:val="single" w:sz="8" w:space="0" w:color="auto"/>
              <w:right w:val="single" w:sz="12" w:space="0" w:color="auto"/>
            </w:tcBorders>
            <w:shd w:val="clear" w:color="auto" w:fill="auto"/>
            <w:noWrap/>
            <w:vAlign w:val="bottom"/>
            <w:hideMark/>
          </w:tcPr>
          <w:p w14:paraId="6F2BBB7E" w14:textId="77777777" w:rsidR="00745C06" w:rsidRDefault="00745C06" w:rsidP="00582692">
            <w:pPr>
              <w:jc w:val="center"/>
              <w:rPr>
                <w:rFonts w:ascii="Calibri" w:hAnsi="Calibri" w:cs="Calibri"/>
                <w:color w:val="000000"/>
                <w:sz w:val="20"/>
                <w:szCs w:val="20"/>
              </w:rPr>
            </w:pPr>
          </w:p>
          <w:p w14:paraId="7BC4CC7A" w14:textId="77777777" w:rsidR="00745C06"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0.001*</w:t>
            </w:r>
          </w:p>
          <w:p w14:paraId="47E56054" w14:textId="77777777" w:rsidR="00745C06" w:rsidRDefault="00745C06" w:rsidP="00582692">
            <w:pPr>
              <w:rPr>
                <w:rFonts w:ascii="Calibri" w:hAnsi="Calibri" w:cs="Calibri"/>
                <w:color w:val="000000"/>
                <w:sz w:val="20"/>
                <w:szCs w:val="20"/>
              </w:rPr>
            </w:pPr>
          </w:p>
          <w:p w14:paraId="45AD41AB" w14:textId="77777777" w:rsidR="00745C06" w:rsidRPr="00A122D2" w:rsidRDefault="00745C06" w:rsidP="00582692">
            <w:pPr>
              <w:jc w:val="center"/>
              <w:rPr>
                <w:rFonts w:ascii="Calibri" w:hAnsi="Calibri" w:cs="Calibri"/>
                <w:color w:val="000000"/>
                <w:sz w:val="20"/>
                <w:szCs w:val="20"/>
              </w:rPr>
            </w:pPr>
          </w:p>
        </w:tc>
        <w:tc>
          <w:tcPr>
            <w:tcW w:w="329" w:type="dxa"/>
            <w:gridSpan w:val="2"/>
            <w:tcBorders>
              <w:left w:val="single" w:sz="12" w:space="0" w:color="auto"/>
            </w:tcBorders>
            <w:vAlign w:val="center"/>
            <w:hideMark/>
          </w:tcPr>
          <w:p w14:paraId="22BD1E15" w14:textId="77777777" w:rsidR="00745C06" w:rsidRPr="00A122D2" w:rsidRDefault="00745C06" w:rsidP="00582692">
            <w:pPr>
              <w:rPr>
                <w:sz w:val="20"/>
                <w:szCs w:val="20"/>
              </w:rPr>
            </w:pPr>
          </w:p>
        </w:tc>
      </w:tr>
      <w:tr w:rsidR="00745C06" w:rsidRPr="00A122D2" w14:paraId="25E9D8EF" w14:textId="77777777" w:rsidTr="00582692">
        <w:trPr>
          <w:trHeight w:val="369"/>
        </w:trPr>
        <w:tc>
          <w:tcPr>
            <w:tcW w:w="4663" w:type="dxa"/>
            <w:tcBorders>
              <w:top w:val="nil"/>
              <w:left w:val="single" w:sz="12" w:space="0" w:color="auto"/>
              <w:bottom w:val="nil"/>
              <w:right w:val="nil"/>
            </w:tcBorders>
            <w:shd w:val="clear" w:color="000000" w:fill="FCE4D6"/>
            <w:vAlign w:val="center"/>
            <w:hideMark/>
          </w:tcPr>
          <w:p w14:paraId="11EA7DA3" w14:textId="77777777" w:rsidR="00745C06" w:rsidRPr="00A122D2" w:rsidRDefault="00745C06" w:rsidP="00582692">
            <w:pPr>
              <w:rPr>
                <w:rFonts w:ascii="Calibri" w:hAnsi="Calibri" w:cs="Calibri"/>
                <w:b/>
                <w:bCs/>
                <w:color w:val="000000"/>
                <w:sz w:val="20"/>
                <w:szCs w:val="20"/>
              </w:rPr>
            </w:pPr>
            <w:r w:rsidRPr="00A122D2">
              <w:rPr>
                <w:rFonts w:ascii="Calibri" w:hAnsi="Calibri" w:cs="Calibri"/>
                <w:b/>
                <w:bCs/>
                <w:color w:val="000000"/>
                <w:sz w:val="20"/>
                <w:szCs w:val="20"/>
              </w:rPr>
              <w:t>Outcome</w:t>
            </w:r>
          </w:p>
        </w:tc>
        <w:tc>
          <w:tcPr>
            <w:tcW w:w="1902" w:type="dxa"/>
            <w:tcBorders>
              <w:top w:val="nil"/>
              <w:left w:val="nil"/>
              <w:bottom w:val="nil"/>
              <w:right w:val="nil"/>
            </w:tcBorders>
            <w:shd w:val="clear" w:color="000000" w:fill="FCE4D6"/>
            <w:vAlign w:val="center"/>
            <w:hideMark/>
          </w:tcPr>
          <w:p w14:paraId="6BE2A1AA"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 </w:t>
            </w:r>
          </w:p>
        </w:tc>
        <w:tc>
          <w:tcPr>
            <w:tcW w:w="2067" w:type="dxa"/>
            <w:tcBorders>
              <w:top w:val="nil"/>
              <w:left w:val="nil"/>
              <w:bottom w:val="nil"/>
              <w:right w:val="nil"/>
            </w:tcBorders>
            <w:shd w:val="clear" w:color="000000" w:fill="FCE4D6"/>
            <w:vAlign w:val="center"/>
            <w:hideMark/>
          </w:tcPr>
          <w:p w14:paraId="7060F396"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 </w:t>
            </w:r>
          </w:p>
        </w:tc>
        <w:tc>
          <w:tcPr>
            <w:tcW w:w="1134" w:type="dxa"/>
            <w:gridSpan w:val="2"/>
            <w:tcBorders>
              <w:top w:val="nil"/>
              <w:left w:val="nil"/>
              <w:bottom w:val="nil"/>
              <w:right w:val="single" w:sz="12" w:space="0" w:color="auto"/>
            </w:tcBorders>
            <w:shd w:val="clear" w:color="000000" w:fill="FCE4D6"/>
            <w:noWrap/>
            <w:vAlign w:val="bottom"/>
            <w:hideMark/>
          </w:tcPr>
          <w:p w14:paraId="526DB302"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 </w:t>
            </w:r>
          </w:p>
        </w:tc>
        <w:tc>
          <w:tcPr>
            <w:tcW w:w="329" w:type="dxa"/>
            <w:gridSpan w:val="2"/>
            <w:vAlign w:val="center"/>
            <w:hideMark/>
          </w:tcPr>
          <w:p w14:paraId="557934C2" w14:textId="77777777" w:rsidR="00745C06" w:rsidRPr="00A122D2" w:rsidRDefault="00745C06" w:rsidP="00582692">
            <w:pPr>
              <w:rPr>
                <w:sz w:val="20"/>
                <w:szCs w:val="20"/>
              </w:rPr>
            </w:pPr>
          </w:p>
        </w:tc>
      </w:tr>
      <w:tr w:rsidR="00745C06" w:rsidRPr="00A122D2" w14:paraId="695181FE" w14:textId="77777777" w:rsidTr="00582692">
        <w:trPr>
          <w:trHeight w:val="369"/>
        </w:trPr>
        <w:tc>
          <w:tcPr>
            <w:tcW w:w="4663" w:type="dxa"/>
            <w:tcBorders>
              <w:top w:val="single" w:sz="8" w:space="0" w:color="auto"/>
              <w:left w:val="single" w:sz="12" w:space="0" w:color="auto"/>
              <w:bottom w:val="single" w:sz="8" w:space="0" w:color="auto"/>
              <w:right w:val="single" w:sz="8" w:space="0" w:color="auto"/>
            </w:tcBorders>
            <w:shd w:val="clear" w:color="auto" w:fill="auto"/>
            <w:vAlign w:val="center"/>
            <w:hideMark/>
          </w:tcPr>
          <w:p w14:paraId="1734163A"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Disability</w:t>
            </w:r>
          </w:p>
        </w:tc>
        <w:tc>
          <w:tcPr>
            <w:tcW w:w="1902" w:type="dxa"/>
            <w:tcBorders>
              <w:top w:val="single" w:sz="8" w:space="0" w:color="auto"/>
              <w:left w:val="nil"/>
              <w:bottom w:val="single" w:sz="8" w:space="0" w:color="auto"/>
              <w:right w:val="single" w:sz="8" w:space="0" w:color="auto"/>
            </w:tcBorders>
            <w:shd w:val="clear" w:color="auto" w:fill="auto"/>
            <w:vAlign w:val="center"/>
            <w:hideMark/>
          </w:tcPr>
          <w:p w14:paraId="44457AE6"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10 (37)</w:t>
            </w:r>
          </w:p>
        </w:tc>
        <w:tc>
          <w:tcPr>
            <w:tcW w:w="2067" w:type="dxa"/>
            <w:tcBorders>
              <w:top w:val="single" w:sz="8" w:space="0" w:color="auto"/>
              <w:left w:val="nil"/>
              <w:bottom w:val="single" w:sz="8" w:space="0" w:color="auto"/>
              <w:right w:val="single" w:sz="8" w:space="0" w:color="auto"/>
            </w:tcBorders>
            <w:shd w:val="clear" w:color="auto" w:fill="auto"/>
            <w:vAlign w:val="center"/>
            <w:hideMark/>
          </w:tcPr>
          <w:p w14:paraId="38889C80"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7 (28)</w:t>
            </w:r>
          </w:p>
        </w:tc>
        <w:tc>
          <w:tcPr>
            <w:tcW w:w="1134" w:type="dxa"/>
            <w:gridSpan w:val="2"/>
            <w:tcBorders>
              <w:top w:val="single" w:sz="8" w:space="0" w:color="auto"/>
              <w:left w:val="nil"/>
              <w:bottom w:val="single" w:sz="8" w:space="0" w:color="auto"/>
              <w:right w:val="single" w:sz="12" w:space="0" w:color="auto"/>
            </w:tcBorders>
            <w:shd w:val="clear" w:color="auto" w:fill="auto"/>
            <w:noWrap/>
            <w:vAlign w:val="bottom"/>
            <w:hideMark/>
          </w:tcPr>
          <w:p w14:paraId="6BE8B742"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0.48</w:t>
            </w:r>
          </w:p>
        </w:tc>
        <w:tc>
          <w:tcPr>
            <w:tcW w:w="329" w:type="dxa"/>
            <w:gridSpan w:val="2"/>
            <w:tcBorders>
              <w:left w:val="single" w:sz="12" w:space="0" w:color="auto"/>
            </w:tcBorders>
            <w:vAlign w:val="center"/>
            <w:hideMark/>
          </w:tcPr>
          <w:p w14:paraId="59CB5A3B" w14:textId="77777777" w:rsidR="00745C06" w:rsidRPr="00A122D2" w:rsidRDefault="00745C06" w:rsidP="00582692">
            <w:pPr>
              <w:rPr>
                <w:sz w:val="20"/>
                <w:szCs w:val="20"/>
              </w:rPr>
            </w:pPr>
          </w:p>
        </w:tc>
      </w:tr>
      <w:tr w:rsidR="00745C06" w:rsidRPr="00A122D2" w14:paraId="1354A99D" w14:textId="77777777" w:rsidTr="00582692">
        <w:trPr>
          <w:trHeight w:val="369"/>
        </w:trPr>
        <w:tc>
          <w:tcPr>
            <w:tcW w:w="4663" w:type="dxa"/>
            <w:tcBorders>
              <w:top w:val="nil"/>
              <w:left w:val="single" w:sz="12" w:space="0" w:color="auto"/>
              <w:bottom w:val="single" w:sz="8" w:space="0" w:color="auto"/>
              <w:right w:val="single" w:sz="8" w:space="0" w:color="auto"/>
            </w:tcBorders>
            <w:shd w:val="clear" w:color="auto" w:fill="auto"/>
            <w:vAlign w:val="center"/>
            <w:hideMark/>
          </w:tcPr>
          <w:p w14:paraId="76F4D113"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Death</w:t>
            </w:r>
          </w:p>
        </w:tc>
        <w:tc>
          <w:tcPr>
            <w:tcW w:w="1902" w:type="dxa"/>
            <w:tcBorders>
              <w:top w:val="nil"/>
              <w:left w:val="nil"/>
              <w:bottom w:val="single" w:sz="8" w:space="0" w:color="auto"/>
              <w:right w:val="single" w:sz="8" w:space="0" w:color="auto"/>
            </w:tcBorders>
            <w:shd w:val="clear" w:color="auto" w:fill="auto"/>
            <w:vAlign w:val="center"/>
            <w:hideMark/>
          </w:tcPr>
          <w:p w14:paraId="2905C402"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 (0)</w:t>
            </w:r>
          </w:p>
        </w:tc>
        <w:tc>
          <w:tcPr>
            <w:tcW w:w="2067" w:type="dxa"/>
            <w:tcBorders>
              <w:top w:val="nil"/>
              <w:left w:val="nil"/>
              <w:bottom w:val="single" w:sz="8" w:space="0" w:color="auto"/>
              <w:right w:val="single" w:sz="8" w:space="0" w:color="auto"/>
            </w:tcBorders>
            <w:shd w:val="clear" w:color="auto" w:fill="auto"/>
            <w:vAlign w:val="center"/>
            <w:hideMark/>
          </w:tcPr>
          <w:p w14:paraId="5D3D4F2D"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(4)</w:t>
            </w:r>
          </w:p>
        </w:tc>
        <w:tc>
          <w:tcPr>
            <w:tcW w:w="1134" w:type="dxa"/>
            <w:gridSpan w:val="2"/>
            <w:tcBorders>
              <w:top w:val="nil"/>
              <w:left w:val="nil"/>
              <w:bottom w:val="single" w:sz="8" w:space="0" w:color="auto"/>
              <w:right w:val="single" w:sz="12" w:space="0" w:color="auto"/>
            </w:tcBorders>
            <w:shd w:val="clear" w:color="auto" w:fill="auto"/>
            <w:vAlign w:val="center"/>
            <w:hideMark/>
          </w:tcPr>
          <w:p w14:paraId="14135202"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0.29</w:t>
            </w:r>
          </w:p>
        </w:tc>
        <w:tc>
          <w:tcPr>
            <w:tcW w:w="329" w:type="dxa"/>
            <w:gridSpan w:val="2"/>
            <w:tcBorders>
              <w:left w:val="single" w:sz="12" w:space="0" w:color="auto"/>
            </w:tcBorders>
            <w:vAlign w:val="center"/>
            <w:hideMark/>
          </w:tcPr>
          <w:p w14:paraId="443DD657" w14:textId="77777777" w:rsidR="00745C06" w:rsidRPr="00A122D2" w:rsidRDefault="00745C06" w:rsidP="00582692">
            <w:pPr>
              <w:rPr>
                <w:sz w:val="20"/>
                <w:szCs w:val="20"/>
              </w:rPr>
            </w:pPr>
          </w:p>
        </w:tc>
      </w:tr>
      <w:tr w:rsidR="00745C06" w:rsidRPr="00A122D2" w14:paraId="5F1CADFD" w14:textId="77777777" w:rsidTr="00582692">
        <w:trPr>
          <w:gridAfter w:val="1"/>
          <w:wAfter w:w="93" w:type="dxa"/>
          <w:trHeight w:val="902"/>
        </w:trPr>
        <w:tc>
          <w:tcPr>
            <w:tcW w:w="8839" w:type="dxa"/>
            <w:gridSpan w:val="4"/>
            <w:tcBorders>
              <w:top w:val="nil"/>
              <w:left w:val="single" w:sz="12" w:space="0" w:color="auto"/>
              <w:bottom w:val="single" w:sz="4" w:space="0" w:color="auto"/>
              <w:right w:val="nil"/>
            </w:tcBorders>
            <w:shd w:val="clear" w:color="000000" w:fill="FCE4D6"/>
            <w:vAlign w:val="center"/>
            <w:hideMark/>
          </w:tcPr>
          <w:p w14:paraId="31FBB5FE" w14:textId="704AF35D"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†p values comparing COVID</w:t>
            </w:r>
            <w:r w:rsidR="00FC78DA">
              <w:rPr>
                <w:rFonts w:ascii="Calibri" w:hAnsi="Calibri" w:cs="Calibri"/>
                <w:color w:val="000000"/>
                <w:sz w:val="20"/>
                <w:szCs w:val="20"/>
              </w:rPr>
              <w:t>-19</w:t>
            </w:r>
            <w:r w:rsidRPr="00A122D2">
              <w:rPr>
                <w:rFonts w:ascii="Calibri" w:hAnsi="Calibri" w:cs="Calibri"/>
                <w:color w:val="000000"/>
                <w:sz w:val="20"/>
                <w:szCs w:val="20"/>
              </w:rPr>
              <w:t xml:space="preserve"> </w:t>
            </w:r>
            <w:r w:rsidR="00FC78DA">
              <w:rPr>
                <w:rFonts w:ascii="Calibri" w:hAnsi="Calibri" w:cs="Calibri"/>
                <w:color w:val="000000"/>
                <w:sz w:val="20"/>
                <w:szCs w:val="20"/>
              </w:rPr>
              <w:t>N</w:t>
            </w:r>
            <w:r w:rsidRPr="00A122D2">
              <w:rPr>
                <w:rFonts w:ascii="Calibri" w:hAnsi="Calibri" w:cs="Calibri"/>
                <w:color w:val="000000"/>
                <w:sz w:val="20"/>
                <w:szCs w:val="20"/>
              </w:rPr>
              <w:t xml:space="preserve">eurology </w:t>
            </w:r>
            <w:r w:rsidR="00FC78DA">
              <w:rPr>
                <w:rFonts w:ascii="Calibri" w:hAnsi="Calibri" w:cs="Calibri"/>
                <w:color w:val="000000"/>
                <w:sz w:val="20"/>
                <w:szCs w:val="20"/>
              </w:rPr>
              <w:t>G</w:t>
            </w:r>
            <w:r w:rsidRPr="00A122D2">
              <w:rPr>
                <w:rFonts w:ascii="Calibri" w:hAnsi="Calibri" w:cs="Calibri"/>
                <w:color w:val="000000"/>
                <w:sz w:val="20"/>
                <w:szCs w:val="20"/>
              </w:rPr>
              <w:t xml:space="preserve">roup and PIMS-TS </w:t>
            </w:r>
            <w:r w:rsidR="00FC78DA">
              <w:rPr>
                <w:rFonts w:ascii="Calibri" w:hAnsi="Calibri" w:cs="Calibri"/>
                <w:color w:val="000000"/>
                <w:sz w:val="20"/>
                <w:szCs w:val="20"/>
              </w:rPr>
              <w:t>N</w:t>
            </w:r>
            <w:r>
              <w:rPr>
                <w:rFonts w:ascii="Calibri" w:hAnsi="Calibri" w:cs="Calibri"/>
                <w:color w:val="000000"/>
                <w:sz w:val="20"/>
                <w:szCs w:val="20"/>
              </w:rPr>
              <w:t xml:space="preserve">eurology </w:t>
            </w:r>
            <w:r w:rsidR="00FC78DA">
              <w:rPr>
                <w:rFonts w:ascii="Calibri" w:hAnsi="Calibri" w:cs="Calibri"/>
                <w:color w:val="000000"/>
                <w:sz w:val="20"/>
                <w:szCs w:val="20"/>
              </w:rPr>
              <w:t>G</w:t>
            </w:r>
            <w:r>
              <w:rPr>
                <w:rFonts w:ascii="Calibri" w:hAnsi="Calibri" w:cs="Calibri"/>
                <w:color w:val="000000"/>
                <w:sz w:val="20"/>
                <w:szCs w:val="20"/>
              </w:rPr>
              <w:t>roup</w:t>
            </w:r>
            <w:r w:rsidRPr="00A122D2">
              <w:rPr>
                <w:rFonts w:ascii="Calibri" w:hAnsi="Calibri" w:cs="Calibri"/>
                <w:color w:val="000000"/>
                <w:sz w:val="20"/>
                <w:szCs w:val="20"/>
              </w:rPr>
              <w:t xml:space="preserve">; †† proportion with </w:t>
            </w:r>
            <w:r>
              <w:rPr>
                <w:rFonts w:ascii="Calibri" w:hAnsi="Calibri" w:cs="Calibri"/>
                <w:color w:val="000000"/>
                <w:sz w:val="20"/>
                <w:szCs w:val="20"/>
              </w:rPr>
              <w:t xml:space="preserve">White </w:t>
            </w:r>
            <w:r w:rsidRPr="00A122D2">
              <w:rPr>
                <w:rFonts w:ascii="Calibri" w:hAnsi="Calibri" w:cs="Calibri"/>
                <w:color w:val="000000"/>
                <w:sz w:val="20"/>
                <w:szCs w:val="20"/>
              </w:rPr>
              <w:t>ethnicity; PIMS-TS=Paediatric multisystem Inflammatory syndrome temporally associated with COVID-19; CNS, central nervous system; PNS, peripheral nervous system</w:t>
            </w:r>
          </w:p>
        </w:tc>
        <w:tc>
          <w:tcPr>
            <w:tcW w:w="927" w:type="dxa"/>
            <w:tcBorders>
              <w:top w:val="nil"/>
              <w:left w:val="nil"/>
              <w:bottom w:val="single" w:sz="4" w:space="0" w:color="auto"/>
              <w:right w:val="single" w:sz="12" w:space="0" w:color="auto"/>
            </w:tcBorders>
            <w:shd w:val="clear" w:color="000000" w:fill="FCE4D6"/>
            <w:noWrap/>
            <w:vAlign w:val="bottom"/>
            <w:hideMark/>
          </w:tcPr>
          <w:p w14:paraId="20818F77"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 </w:t>
            </w:r>
          </w:p>
        </w:tc>
        <w:tc>
          <w:tcPr>
            <w:tcW w:w="236" w:type="dxa"/>
            <w:vAlign w:val="center"/>
            <w:hideMark/>
          </w:tcPr>
          <w:p w14:paraId="256998EE" w14:textId="77777777" w:rsidR="00745C06" w:rsidRPr="00A122D2" w:rsidRDefault="00745C06" w:rsidP="00582692">
            <w:pPr>
              <w:rPr>
                <w:sz w:val="20"/>
                <w:szCs w:val="20"/>
              </w:rPr>
            </w:pPr>
          </w:p>
        </w:tc>
      </w:tr>
      <w:tr w:rsidR="00745C06" w:rsidRPr="00A122D2" w14:paraId="4CAC5528" w14:textId="77777777" w:rsidTr="00582692">
        <w:trPr>
          <w:gridAfter w:val="1"/>
          <w:wAfter w:w="93" w:type="dxa"/>
          <w:trHeight w:val="347"/>
        </w:trPr>
        <w:tc>
          <w:tcPr>
            <w:tcW w:w="8839" w:type="dxa"/>
            <w:gridSpan w:val="4"/>
            <w:tcBorders>
              <w:top w:val="single" w:sz="4" w:space="0" w:color="auto"/>
              <w:left w:val="single" w:sz="12" w:space="0" w:color="auto"/>
              <w:bottom w:val="single" w:sz="12" w:space="0" w:color="000000"/>
              <w:right w:val="nil"/>
            </w:tcBorders>
            <w:shd w:val="clear" w:color="000000" w:fill="FCE4D6"/>
            <w:noWrap/>
            <w:vAlign w:val="bottom"/>
            <w:hideMark/>
          </w:tcPr>
          <w:p w14:paraId="6A4BA058" w14:textId="115D6B44" w:rsidR="00745C06" w:rsidRPr="00A122D2" w:rsidRDefault="00745C06" w:rsidP="00582692">
            <w:pPr>
              <w:rPr>
                <w:rFonts w:ascii="Calibri" w:hAnsi="Calibri" w:cs="Calibri"/>
                <w:b/>
                <w:bCs/>
                <w:color w:val="000000"/>
                <w:sz w:val="20"/>
                <w:szCs w:val="20"/>
              </w:rPr>
            </w:pPr>
            <w:r w:rsidRPr="00A122D2">
              <w:rPr>
                <w:rFonts w:ascii="Calibri" w:hAnsi="Calibri" w:cs="Calibri"/>
                <w:b/>
                <w:bCs/>
                <w:color w:val="000000"/>
                <w:sz w:val="20"/>
                <w:szCs w:val="20"/>
              </w:rPr>
              <w:t xml:space="preserve">Table </w:t>
            </w:r>
            <w:r>
              <w:rPr>
                <w:rFonts w:ascii="Calibri" w:hAnsi="Calibri" w:cs="Calibri"/>
                <w:b/>
                <w:bCs/>
                <w:color w:val="000000"/>
                <w:sz w:val="20"/>
                <w:szCs w:val="20"/>
              </w:rPr>
              <w:t>3</w:t>
            </w:r>
            <w:r w:rsidRPr="00A122D2">
              <w:rPr>
                <w:rFonts w:ascii="Calibri" w:hAnsi="Calibri" w:cs="Calibri"/>
                <w:b/>
                <w:bCs/>
                <w:color w:val="000000"/>
                <w:sz w:val="20"/>
                <w:szCs w:val="20"/>
              </w:rPr>
              <w:t xml:space="preserve">: Demographics, clinical features, investigations, management and outcome of study population grouped </w:t>
            </w:r>
            <w:r>
              <w:rPr>
                <w:rFonts w:ascii="Calibri" w:hAnsi="Calibri" w:cs="Calibri"/>
                <w:b/>
                <w:bCs/>
                <w:color w:val="000000"/>
                <w:sz w:val="20"/>
                <w:szCs w:val="20"/>
              </w:rPr>
              <w:t xml:space="preserve">by </w:t>
            </w:r>
            <w:r w:rsidRPr="00A122D2">
              <w:rPr>
                <w:rFonts w:ascii="Calibri" w:hAnsi="Calibri" w:cs="Calibri"/>
                <w:b/>
                <w:bCs/>
                <w:color w:val="000000"/>
                <w:sz w:val="20"/>
                <w:szCs w:val="20"/>
              </w:rPr>
              <w:t>COVID</w:t>
            </w:r>
            <w:r w:rsidR="00FC78DA">
              <w:rPr>
                <w:rFonts w:ascii="Calibri" w:hAnsi="Calibri" w:cs="Calibri"/>
                <w:b/>
                <w:bCs/>
                <w:color w:val="000000"/>
                <w:sz w:val="20"/>
                <w:szCs w:val="20"/>
              </w:rPr>
              <w:t>-19</w:t>
            </w:r>
            <w:r w:rsidRPr="00A122D2">
              <w:rPr>
                <w:rFonts w:ascii="Calibri" w:hAnsi="Calibri" w:cs="Calibri"/>
                <w:b/>
                <w:bCs/>
                <w:color w:val="000000"/>
                <w:sz w:val="20"/>
                <w:szCs w:val="20"/>
              </w:rPr>
              <w:t xml:space="preserve"> Neurology Group and PIMS-TS </w:t>
            </w:r>
            <w:r w:rsidR="00FC78DA">
              <w:rPr>
                <w:rFonts w:ascii="Calibri" w:hAnsi="Calibri" w:cs="Calibri"/>
                <w:b/>
                <w:bCs/>
                <w:color w:val="000000"/>
                <w:sz w:val="20"/>
                <w:szCs w:val="20"/>
              </w:rPr>
              <w:t xml:space="preserve">Neurology </w:t>
            </w:r>
            <w:r w:rsidRPr="00A122D2">
              <w:rPr>
                <w:rFonts w:ascii="Calibri" w:hAnsi="Calibri" w:cs="Calibri"/>
                <w:b/>
                <w:bCs/>
                <w:color w:val="000000"/>
                <w:sz w:val="20"/>
                <w:szCs w:val="20"/>
              </w:rPr>
              <w:t xml:space="preserve">Group   </w:t>
            </w:r>
          </w:p>
        </w:tc>
        <w:tc>
          <w:tcPr>
            <w:tcW w:w="927" w:type="dxa"/>
            <w:tcBorders>
              <w:top w:val="nil"/>
              <w:left w:val="nil"/>
              <w:bottom w:val="single" w:sz="12" w:space="0" w:color="000000"/>
              <w:right w:val="single" w:sz="12" w:space="0" w:color="auto"/>
            </w:tcBorders>
            <w:shd w:val="clear" w:color="000000" w:fill="FCE4D6"/>
            <w:noWrap/>
            <w:vAlign w:val="bottom"/>
            <w:hideMark/>
          </w:tcPr>
          <w:p w14:paraId="72533D36" w14:textId="77777777" w:rsidR="00745C06" w:rsidRPr="00A122D2" w:rsidRDefault="00745C06" w:rsidP="00582692">
            <w:pPr>
              <w:rPr>
                <w:rFonts w:ascii="Calibri" w:hAnsi="Calibri" w:cs="Calibri"/>
                <w:color w:val="FCE4D6"/>
                <w:sz w:val="20"/>
                <w:szCs w:val="20"/>
              </w:rPr>
            </w:pPr>
            <w:r w:rsidRPr="00A122D2">
              <w:rPr>
                <w:rFonts w:ascii="Calibri" w:hAnsi="Calibri" w:cs="Calibri"/>
                <w:color w:val="FCE4D6"/>
                <w:sz w:val="20"/>
                <w:szCs w:val="20"/>
              </w:rPr>
              <w:t> </w:t>
            </w:r>
          </w:p>
        </w:tc>
        <w:tc>
          <w:tcPr>
            <w:tcW w:w="236" w:type="dxa"/>
            <w:vAlign w:val="center"/>
            <w:hideMark/>
          </w:tcPr>
          <w:p w14:paraId="7E603A5F" w14:textId="77777777" w:rsidR="00745C06" w:rsidRPr="00A122D2" w:rsidRDefault="00745C06" w:rsidP="00582692">
            <w:pPr>
              <w:rPr>
                <w:sz w:val="20"/>
                <w:szCs w:val="20"/>
              </w:rPr>
            </w:pPr>
          </w:p>
        </w:tc>
      </w:tr>
    </w:tbl>
    <w:p w14:paraId="66A5B681" w14:textId="77777777" w:rsidR="00745C06" w:rsidRPr="00280CB8" w:rsidRDefault="00745C06" w:rsidP="00881173">
      <w:pPr>
        <w:spacing w:line="360" w:lineRule="auto"/>
        <w:rPr>
          <w:rFonts w:ascii="Calibri" w:hAnsi="Calibri" w:cs="Calibri"/>
        </w:rPr>
      </w:pPr>
    </w:p>
    <w:p w14:paraId="37047779" w14:textId="6055EC5C" w:rsidR="00EA2729" w:rsidRDefault="00EA2729" w:rsidP="00881173">
      <w:pPr>
        <w:spacing w:line="360" w:lineRule="auto"/>
        <w:rPr>
          <w:rFonts w:ascii="Calibri" w:hAnsi="Calibri" w:cs="Calibri"/>
        </w:rPr>
      </w:pPr>
    </w:p>
    <w:p w14:paraId="5B59615C" w14:textId="0EF8DB65" w:rsidR="00A50096" w:rsidRDefault="00A50096" w:rsidP="00881173">
      <w:pPr>
        <w:spacing w:line="360" w:lineRule="auto"/>
        <w:rPr>
          <w:rFonts w:ascii="Calibri" w:hAnsi="Calibri" w:cs="Calibri"/>
        </w:rPr>
      </w:pPr>
    </w:p>
    <w:p w14:paraId="7C05646A" w14:textId="34BAC325" w:rsidR="00A50096" w:rsidRDefault="00A50096" w:rsidP="00881173">
      <w:pPr>
        <w:spacing w:line="360" w:lineRule="auto"/>
        <w:rPr>
          <w:rFonts w:ascii="Calibri" w:hAnsi="Calibri" w:cs="Calibri"/>
        </w:rPr>
      </w:pPr>
    </w:p>
    <w:p w14:paraId="7BDD2C05" w14:textId="6EEEA3E4" w:rsidR="00A50096" w:rsidRDefault="00A50096" w:rsidP="00881173">
      <w:pPr>
        <w:spacing w:line="360" w:lineRule="auto"/>
        <w:rPr>
          <w:rFonts w:ascii="Calibri" w:hAnsi="Calibri" w:cs="Calibri"/>
        </w:rPr>
      </w:pPr>
    </w:p>
    <w:p w14:paraId="54124735" w14:textId="5C428CF3" w:rsidR="00A50096" w:rsidRDefault="00A50096" w:rsidP="00881173">
      <w:pPr>
        <w:spacing w:line="360" w:lineRule="auto"/>
        <w:rPr>
          <w:rFonts w:ascii="Calibri" w:hAnsi="Calibri" w:cs="Calibri"/>
        </w:rPr>
      </w:pPr>
    </w:p>
    <w:p w14:paraId="0026382C" w14:textId="5545A70E" w:rsidR="00A50096" w:rsidRDefault="00A50096" w:rsidP="00881173">
      <w:pPr>
        <w:spacing w:line="360" w:lineRule="auto"/>
        <w:rPr>
          <w:rFonts w:ascii="Calibri" w:hAnsi="Calibri" w:cs="Calibri"/>
        </w:rPr>
      </w:pPr>
    </w:p>
    <w:p w14:paraId="6C26B155" w14:textId="236DEBAA" w:rsidR="00A50096" w:rsidRDefault="00A50096" w:rsidP="00881173">
      <w:pPr>
        <w:spacing w:line="360" w:lineRule="auto"/>
        <w:rPr>
          <w:rFonts w:ascii="Calibri" w:hAnsi="Calibri" w:cs="Calibri"/>
        </w:rPr>
      </w:pPr>
    </w:p>
    <w:p w14:paraId="4AF68DE2" w14:textId="6FADE89F" w:rsidR="00A50096" w:rsidRDefault="00A50096" w:rsidP="00881173">
      <w:pPr>
        <w:spacing w:line="360" w:lineRule="auto"/>
        <w:rPr>
          <w:rFonts w:ascii="Calibri" w:hAnsi="Calibri" w:cs="Calibri"/>
        </w:rPr>
      </w:pPr>
    </w:p>
    <w:p w14:paraId="7DC20D93" w14:textId="188FBD4F" w:rsidR="00A50096" w:rsidRDefault="00A50096" w:rsidP="00881173">
      <w:pPr>
        <w:spacing w:line="360" w:lineRule="auto"/>
        <w:rPr>
          <w:rFonts w:ascii="Calibri" w:hAnsi="Calibri" w:cs="Calibri"/>
        </w:rPr>
      </w:pPr>
    </w:p>
    <w:p w14:paraId="5D5E51BF" w14:textId="0672E242" w:rsidR="00A50096" w:rsidRDefault="00A50096" w:rsidP="00881173">
      <w:pPr>
        <w:spacing w:line="360" w:lineRule="auto"/>
        <w:rPr>
          <w:rFonts w:ascii="Calibri" w:hAnsi="Calibri" w:cs="Calibri"/>
        </w:rPr>
      </w:pPr>
    </w:p>
    <w:p w14:paraId="005EB79A" w14:textId="4CB63635" w:rsidR="00A50096" w:rsidRDefault="00A50096" w:rsidP="00881173">
      <w:pPr>
        <w:spacing w:line="360" w:lineRule="auto"/>
        <w:rPr>
          <w:rFonts w:ascii="Calibri" w:hAnsi="Calibri" w:cs="Calibri"/>
        </w:rPr>
      </w:pPr>
    </w:p>
    <w:p w14:paraId="054A6FFE" w14:textId="13B711E2" w:rsidR="00A50096" w:rsidRDefault="00A50096" w:rsidP="00881173">
      <w:pPr>
        <w:spacing w:line="360" w:lineRule="auto"/>
        <w:rPr>
          <w:rFonts w:ascii="Calibri" w:hAnsi="Calibri" w:cs="Calibri"/>
        </w:rPr>
      </w:pPr>
    </w:p>
    <w:p w14:paraId="7135BDD3" w14:textId="35C046BB" w:rsidR="00A50096" w:rsidRDefault="00A50096" w:rsidP="00881173">
      <w:pPr>
        <w:spacing w:line="360" w:lineRule="auto"/>
        <w:rPr>
          <w:rFonts w:ascii="Calibri" w:hAnsi="Calibri" w:cs="Calibri"/>
        </w:rPr>
      </w:pPr>
    </w:p>
    <w:p w14:paraId="2C66502C" w14:textId="6C1E7276" w:rsidR="00A50096" w:rsidRDefault="00A50096" w:rsidP="00881173">
      <w:pPr>
        <w:spacing w:line="360" w:lineRule="auto"/>
        <w:rPr>
          <w:rFonts w:ascii="Calibri" w:hAnsi="Calibri" w:cs="Calibri"/>
        </w:rPr>
      </w:pPr>
    </w:p>
    <w:p w14:paraId="671A07D5" w14:textId="6CAB7707" w:rsidR="00A50096" w:rsidRDefault="00A50096" w:rsidP="00881173">
      <w:pPr>
        <w:spacing w:line="360" w:lineRule="auto"/>
        <w:rPr>
          <w:rFonts w:ascii="Calibri" w:hAnsi="Calibri" w:cs="Calibri"/>
        </w:rPr>
      </w:pPr>
    </w:p>
    <w:p w14:paraId="09024307" w14:textId="36D22435" w:rsidR="00A50096" w:rsidRDefault="00A50096" w:rsidP="00881173">
      <w:pPr>
        <w:spacing w:line="360" w:lineRule="auto"/>
        <w:rPr>
          <w:rFonts w:ascii="Calibri" w:hAnsi="Calibri" w:cs="Calibri"/>
        </w:rPr>
      </w:pPr>
    </w:p>
    <w:p w14:paraId="36C3D5BA" w14:textId="11EB1D8F" w:rsidR="00A50096" w:rsidRDefault="00A50096" w:rsidP="00881173">
      <w:pPr>
        <w:spacing w:line="360" w:lineRule="auto"/>
        <w:rPr>
          <w:rFonts w:ascii="Calibri" w:hAnsi="Calibri" w:cs="Calibri"/>
        </w:rPr>
      </w:pPr>
    </w:p>
    <w:p w14:paraId="39EB1DEA" w14:textId="0BE7652A" w:rsidR="00A50096" w:rsidRDefault="00A50096" w:rsidP="00881173">
      <w:pPr>
        <w:spacing w:line="360" w:lineRule="auto"/>
        <w:rPr>
          <w:rFonts w:ascii="Calibri" w:hAnsi="Calibri" w:cs="Calibri"/>
        </w:rPr>
      </w:pPr>
    </w:p>
    <w:p w14:paraId="4720B6DA" w14:textId="4D13A4AF" w:rsidR="00A50096" w:rsidRDefault="00A50096" w:rsidP="00881173">
      <w:pPr>
        <w:spacing w:line="360" w:lineRule="auto"/>
        <w:rPr>
          <w:rFonts w:ascii="Calibri" w:hAnsi="Calibri" w:cs="Calibri"/>
        </w:rPr>
      </w:pPr>
    </w:p>
    <w:p w14:paraId="762C4046" w14:textId="1AAAC786" w:rsidR="00A50096" w:rsidRDefault="00A50096" w:rsidP="00881173">
      <w:pPr>
        <w:spacing w:line="360" w:lineRule="auto"/>
        <w:rPr>
          <w:rFonts w:ascii="Calibri" w:hAnsi="Calibri" w:cs="Calibri"/>
        </w:rPr>
      </w:pPr>
    </w:p>
    <w:p w14:paraId="018094C5" w14:textId="77777777" w:rsidR="00A50096" w:rsidRDefault="00A50096" w:rsidP="00881173">
      <w:pPr>
        <w:spacing w:line="360" w:lineRule="auto"/>
        <w:rPr>
          <w:rFonts w:ascii="Calibri" w:hAnsi="Calibri" w:cs="Calibri"/>
        </w:rPr>
        <w:sectPr w:rsidR="00A50096" w:rsidSect="00E84C38">
          <w:footerReference w:type="even" r:id="rId10"/>
          <w:footerReference w:type="default" r:id="rId11"/>
          <w:pgSz w:w="11900" w:h="16840"/>
          <w:pgMar w:top="1440" w:right="1440" w:bottom="1440" w:left="1440" w:header="709" w:footer="709" w:gutter="0"/>
          <w:lnNumType w:countBy="1"/>
          <w:cols w:space="708"/>
          <w:docGrid w:linePitch="360"/>
        </w:sectPr>
      </w:pPr>
    </w:p>
    <w:tbl>
      <w:tblPr>
        <w:tblW w:w="15452" w:type="dxa"/>
        <w:tblInd w:w="-1008" w:type="dxa"/>
        <w:tblLayout w:type="fixed"/>
        <w:tblLook w:val="04A0" w:firstRow="1" w:lastRow="0" w:firstColumn="1" w:lastColumn="0" w:noHBand="0" w:noVBand="1"/>
      </w:tblPr>
      <w:tblGrid>
        <w:gridCol w:w="4537"/>
        <w:gridCol w:w="1559"/>
        <w:gridCol w:w="1560"/>
        <w:gridCol w:w="1559"/>
        <w:gridCol w:w="1843"/>
        <w:gridCol w:w="1559"/>
        <w:gridCol w:w="1417"/>
        <w:gridCol w:w="1418"/>
      </w:tblGrid>
      <w:tr w:rsidR="00745C06" w:rsidRPr="00A122D2" w14:paraId="6E7448BD" w14:textId="77777777" w:rsidTr="00582692">
        <w:trPr>
          <w:trHeight w:val="348"/>
        </w:trPr>
        <w:tc>
          <w:tcPr>
            <w:tcW w:w="4537" w:type="dxa"/>
            <w:tcBorders>
              <w:top w:val="single" w:sz="12" w:space="0" w:color="auto"/>
              <w:left w:val="single" w:sz="12" w:space="0" w:color="auto"/>
              <w:bottom w:val="nil"/>
              <w:right w:val="single" w:sz="12" w:space="0" w:color="000000"/>
            </w:tcBorders>
            <w:shd w:val="clear" w:color="000000" w:fill="FCE4D6"/>
            <w:vAlign w:val="center"/>
            <w:hideMark/>
          </w:tcPr>
          <w:p w14:paraId="249FA196"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 </w:t>
            </w:r>
          </w:p>
        </w:tc>
        <w:tc>
          <w:tcPr>
            <w:tcW w:w="10915" w:type="dxa"/>
            <w:gridSpan w:val="7"/>
            <w:tcBorders>
              <w:top w:val="single" w:sz="12" w:space="0" w:color="000000"/>
              <w:left w:val="single" w:sz="12" w:space="0" w:color="000000"/>
              <w:bottom w:val="single" w:sz="8" w:space="0" w:color="auto"/>
              <w:right w:val="single" w:sz="12" w:space="0" w:color="000000"/>
            </w:tcBorders>
            <w:shd w:val="clear" w:color="000000" w:fill="FCE4D6"/>
            <w:noWrap/>
            <w:vAlign w:val="bottom"/>
            <w:hideMark/>
          </w:tcPr>
          <w:p w14:paraId="1B06C9B1" w14:textId="47AC3A9E"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COVID</w:t>
            </w:r>
            <w:r w:rsidR="00FC78DA">
              <w:rPr>
                <w:rFonts w:ascii="Calibri" w:hAnsi="Calibri" w:cs="Calibri"/>
                <w:b/>
                <w:bCs/>
                <w:color w:val="000000"/>
                <w:sz w:val="20"/>
                <w:szCs w:val="20"/>
              </w:rPr>
              <w:t xml:space="preserve">-19 </w:t>
            </w:r>
            <w:r w:rsidRPr="00A122D2">
              <w:rPr>
                <w:rFonts w:ascii="Calibri" w:hAnsi="Calibri" w:cs="Calibri"/>
                <w:b/>
                <w:bCs/>
                <w:color w:val="000000"/>
                <w:sz w:val="20"/>
                <w:szCs w:val="20"/>
              </w:rPr>
              <w:t>Neurology Group divided into subgroups a) Recognised neuro-immune condition or b) other neurological disorder</w:t>
            </w:r>
          </w:p>
        </w:tc>
      </w:tr>
      <w:tr w:rsidR="00745C06" w:rsidRPr="00A122D2" w14:paraId="56B6CE00" w14:textId="77777777" w:rsidTr="00582692">
        <w:trPr>
          <w:trHeight w:val="328"/>
        </w:trPr>
        <w:tc>
          <w:tcPr>
            <w:tcW w:w="4537" w:type="dxa"/>
            <w:tcBorders>
              <w:top w:val="nil"/>
              <w:left w:val="single" w:sz="12" w:space="0" w:color="auto"/>
              <w:bottom w:val="nil"/>
              <w:right w:val="single" w:sz="12" w:space="0" w:color="000000"/>
            </w:tcBorders>
            <w:shd w:val="clear" w:color="000000" w:fill="FCE4D6"/>
            <w:vAlign w:val="center"/>
            <w:hideMark/>
          </w:tcPr>
          <w:p w14:paraId="7E1778C3"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4678" w:type="dxa"/>
            <w:gridSpan w:val="3"/>
            <w:tcBorders>
              <w:top w:val="single" w:sz="8" w:space="0" w:color="auto"/>
              <w:left w:val="single" w:sz="12" w:space="0" w:color="000000"/>
              <w:bottom w:val="single" w:sz="8" w:space="0" w:color="auto"/>
              <w:right w:val="single" w:sz="12" w:space="0" w:color="000000"/>
            </w:tcBorders>
            <w:shd w:val="clear" w:color="000000" w:fill="FCE4D6"/>
            <w:noWrap/>
            <w:vAlign w:val="bottom"/>
            <w:hideMark/>
          </w:tcPr>
          <w:p w14:paraId="6580C5A7" w14:textId="54B5796B"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a) Neuro-Immune COVID</w:t>
            </w:r>
            <w:r w:rsidR="00FC78DA">
              <w:rPr>
                <w:rFonts w:ascii="Calibri" w:hAnsi="Calibri" w:cs="Calibri"/>
                <w:b/>
                <w:bCs/>
                <w:color w:val="000000"/>
                <w:sz w:val="20"/>
                <w:szCs w:val="20"/>
              </w:rPr>
              <w:t xml:space="preserve">-19 </w:t>
            </w:r>
            <w:r w:rsidRPr="00A122D2">
              <w:rPr>
                <w:rFonts w:ascii="Calibri" w:hAnsi="Calibri" w:cs="Calibri"/>
                <w:b/>
                <w:bCs/>
                <w:color w:val="000000"/>
                <w:sz w:val="20"/>
                <w:szCs w:val="20"/>
              </w:rPr>
              <w:t>Neurology subgroup (n=13)</w:t>
            </w:r>
          </w:p>
        </w:tc>
        <w:tc>
          <w:tcPr>
            <w:tcW w:w="6237" w:type="dxa"/>
            <w:gridSpan w:val="4"/>
            <w:tcBorders>
              <w:top w:val="nil"/>
              <w:left w:val="single" w:sz="12" w:space="0" w:color="000000"/>
              <w:bottom w:val="single" w:sz="8" w:space="0" w:color="auto"/>
              <w:right w:val="single" w:sz="12" w:space="0" w:color="000000"/>
            </w:tcBorders>
            <w:shd w:val="clear" w:color="000000" w:fill="FCE4D6"/>
            <w:noWrap/>
            <w:vAlign w:val="bottom"/>
            <w:hideMark/>
          </w:tcPr>
          <w:p w14:paraId="182B7867" w14:textId="140F842E"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b) COVID</w:t>
            </w:r>
            <w:r w:rsidR="00FC78DA">
              <w:rPr>
                <w:rFonts w:ascii="Calibri" w:hAnsi="Calibri" w:cs="Calibri"/>
                <w:b/>
                <w:bCs/>
                <w:color w:val="000000"/>
                <w:sz w:val="20"/>
                <w:szCs w:val="20"/>
              </w:rPr>
              <w:t>-19</w:t>
            </w:r>
            <w:r w:rsidRPr="00A122D2">
              <w:rPr>
                <w:rFonts w:ascii="Calibri" w:hAnsi="Calibri" w:cs="Calibri"/>
                <w:b/>
                <w:bCs/>
                <w:color w:val="000000"/>
                <w:sz w:val="20"/>
                <w:szCs w:val="20"/>
              </w:rPr>
              <w:t xml:space="preserve"> Neurology other subgroup (n=14)</w:t>
            </w:r>
          </w:p>
        </w:tc>
      </w:tr>
      <w:tr w:rsidR="00745C06" w:rsidRPr="00A122D2" w14:paraId="6CD73BB8" w14:textId="77777777" w:rsidTr="00582692">
        <w:trPr>
          <w:trHeight w:val="638"/>
        </w:trPr>
        <w:tc>
          <w:tcPr>
            <w:tcW w:w="4537" w:type="dxa"/>
            <w:tcBorders>
              <w:top w:val="nil"/>
              <w:left w:val="single" w:sz="12" w:space="0" w:color="auto"/>
              <w:bottom w:val="nil"/>
              <w:right w:val="single" w:sz="12" w:space="0" w:color="000000"/>
            </w:tcBorders>
            <w:shd w:val="clear" w:color="000000" w:fill="FCE4D6"/>
            <w:vAlign w:val="center"/>
            <w:hideMark/>
          </w:tcPr>
          <w:p w14:paraId="3E09B3E3"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559" w:type="dxa"/>
            <w:tcBorders>
              <w:top w:val="nil"/>
              <w:left w:val="single" w:sz="12" w:space="0" w:color="000000"/>
              <w:bottom w:val="nil"/>
              <w:right w:val="nil"/>
            </w:tcBorders>
            <w:shd w:val="clear" w:color="000000" w:fill="FCE4D6"/>
            <w:vAlign w:val="center"/>
            <w:hideMark/>
          </w:tcPr>
          <w:p w14:paraId="1546D5CC"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 xml:space="preserve">ADS </w:t>
            </w:r>
          </w:p>
        </w:tc>
        <w:tc>
          <w:tcPr>
            <w:tcW w:w="1560" w:type="dxa"/>
            <w:tcBorders>
              <w:top w:val="nil"/>
              <w:left w:val="nil"/>
              <w:bottom w:val="nil"/>
              <w:right w:val="nil"/>
            </w:tcBorders>
            <w:shd w:val="clear" w:color="000000" w:fill="FCE4D6"/>
            <w:vAlign w:val="center"/>
            <w:hideMark/>
          </w:tcPr>
          <w:p w14:paraId="5984ADC7"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GBS</w:t>
            </w:r>
          </w:p>
        </w:tc>
        <w:tc>
          <w:tcPr>
            <w:tcW w:w="1559" w:type="dxa"/>
            <w:tcBorders>
              <w:top w:val="nil"/>
              <w:left w:val="nil"/>
              <w:bottom w:val="nil"/>
              <w:right w:val="single" w:sz="12" w:space="0" w:color="000000"/>
            </w:tcBorders>
            <w:shd w:val="clear" w:color="000000" w:fill="FCE4D6"/>
            <w:vAlign w:val="center"/>
            <w:hideMark/>
          </w:tcPr>
          <w:p w14:paraId="520B8DBF" w14:textId="77777777" w:rsidR="00745C06" w:rsidRPr="00A122D2" w:rsidRDefault="00745C06" w:rsidP="00582692">
            <w:pPr>
              <w:jc w:val="center"/>
              <w:rPr>
                <w:rFonts w:ascii="Calibri" w:hAnsi="Calibri" w:cs="Calibri"/>
                <w:b/>
                <w:bCs/>
                <w:color w:val="000000"/>
                <w:sz w:val="20"/>
                <w:szCs w:val="20"/>
              </w:rPr>
            </w:pPr>
            <w:r>
              <w:rPr>
                <w:rFonts w:ascii="Calibri" w:hAnsi="Calibri" w:cs="Calibri"/>
                <w:b/>
                <w:bCs/>
                <w:color w:val="000000"/>
                <w:sz w:val="20"/>
                <w:szCs w:val="20"/>
              </w:rPr>
              <w:t>Limbic</w:t>
            </w:r>
            <w:r w:rsidRPr="00A122D2">
              <w:rPr>
                <w:rFonts w:ascii="Calibri" w:hAnsi="Calibri" w:cs="Calibri"/>
                <w:b/>
                <w:bCs/>
                <w:color w:val="000000"/>
                <w:sz w:val="20"/>
                <w:szCs w:val="20"/>
              </w:rPr>
              <w:t xml:space="preserve"> encephalitis </w:t>
            </w:r>
          </w:p>
        </w:tc>
        <w:tc>
          <w:tcPr>
            <w:tcW w:w="1843" w:type="dxa"/>
            <w:tcBorders>
              <w:top w:val="nil"/>
              <w:left w:val="single" w:sz="12" w:space="0" w:color="000000"/>
              <w:bottom w:val="nil"/>
              <w:right w:val="nil"/>
            </w:tcBorders>
            <w:shd w:val="clear" w:color="000000" w:fill="FCE4D6"/>
            <w:vAlign w:val="center"/>
            <w:hideMark/>
          </w:tcPr>
          <w:p w14:paraId="2049CC27"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Severe Encephalopathy</w:t>
            </w:r>
          </w:p>
        </w:tc>
        <w:tc>
          <w:tcPr>
            <w:tcW w:w="1559" w:type="dxa"/>
            <w:tcBorders>
              <w:top w:val="nil"/>
              <w:left w:val="nil"/>
              <w:bottom w:val="nil"/>
              <w:right w:val="nil"/>
            </w:tcBorders>
            <w:shd w:val="clear" w:color="000000" w:fill="FCE4D6"/>
            <w:vAlign w:val="center"/>
            <w:hideMark/>
          </w:tcPr>
          <w:p w14:paraId="4A29BFFF"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Psychiatric</w:t>
            </w:r>
          </w:p>
        </w:tc>
        <w:tc>
          <w:tcPr>
            <w:tcW w:w="1417" w:type="dxa"/>
            <w:tcBorders>
              <w:top w:val="nil"/>
              <w:left w:val="nil"/>
              <w:bottom w:val="nil"/>
              <w:right w:val="nil"/>
            </w:tcBorders>
            <w:shd w:val="clear" w:color="000000" w:fill="FCE4D6"/>
            <w:vAlign w:val="center"/>
            <w:hideMark/>
          </w:tcPr>
          <w:p w14:paraId="3EB76C95"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 xml:space="preserve">Movement disorder </w:t>
            </w:r>
          </w:p>
        </w:tc>
        <w:tc>
          <w:tcPr>
            <w:tcW w:w="1418" w:type="dxa"/>
            <w:tcBorders>
              <w:top w:val="nil"/>
              <w:left w:val="nil"/>
              <w:bottom w:val="nil"/>
              <w:right w:val="single" w:sz="12" w:space="0" w:color="000000"/>
            </w:tcBorders>
            <w:shd w:val="clear" w:color="000000" w:fill="FCE4D6"/>
            <w:vAlign w:val="center"/>
            <w:hideMark/>
          </w:tcPr>
          <w:p w14:paraId="1DCD6CE4"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Cerebro-vascular</w:t>
            </w:r>
          </w:p>
        </w:tc>
      </w:tr>
      <w:tr w:rsidR="00745C06" w:rsidRPr="00A122D2" w14:paraId="3D8CB8CC" w14:textId="77777777" w:rsidTr="00582692">
        <w:trPr>
          <w:trHeight w:val="348"/>
        </w:trPr>
        <w:tc>
          <w:tcPr>
            <w:tcW w:w="4537" w:type="dxa"/>
            <w:tcBorders>
              <w:top w:val="nil"/>
              <w:left w:val="single" w:sz="12" w:space="0" w:color="auto"/>
              <w:bottom w:val="nil"/>
              <w:right w:val="single" w:sz="12" w:space="0" w:color="000000"/>
            </w:tcBorders>
            <w:shd w:val="clear" w:color="000000" w:fill="FCE4D6"/>
            <w:vAlign w:val="center"/>
            <w:hideMark/>
          </w:tcPr>
          <w:p w14:paraId="181AFA55"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559" w:type="dxa"/>
            <w:tcBorders>
              <w:top w:val="nil"/>
              <w:left w:val="single" w:sz="12" w:space="0" w:color="000000"/>
              <w:bottom w:val="single" w:sz="12" w:space="0" w:color="000000"/>
              <w:right w:val="nil"/>
            </w:tcBorders>
            <w:shd w:val="clear" w:color="000000" w:fill="FCE4D6"/>
            <w:vAlign w:val="center"/>
            <w:hideMark/>
          </w:tcPr>
          <w:p w14:paraId="5E02455A"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(n=7)</w:t>
            </w:r>
          </w:p>
        </w:tc>
        <w:tc>
          <w:tcPr>
            <w:tcW w:w="1560" w:type="dxa"/>
            <w:tcBorders>
              <w:top w:val="nil"/>
              <w:left w:val="nil"/>
              <w:bottom w:val="single" w:sz="12" w:space="0" w:color="000000"/>
              <w:right w:val="nil"/>
            </w:tcBorders>
            <w:shd w:val="clear" w:color="000000" w:fill="FCE4D6"/>
            <w:vAlign w:val="center"/>
            <w:hideMark/>
          </w:tcPr>
          <w:p w14:paraId="182B698F"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(n=5)</w:t>
            </w:r>
          </w:p>
        </w:tc>
        <w:tc>
          <w:tcPr>
            <w:tcW w:w="1559" w:type="dxa"/>
            <w:tcBorders>
              <w:top w:val="nil"/>
              <w:left w:val="nil"/>
              <w:bottom w:val="single" w:sz="12" w:space="0" w:color="000000"/>
              <w:right w:val="single" w:sz="12" w:space="0" w:color="000000"/>
            </w:tcBorders>
            <w:shd w:val="clear" w:color="000000" w:fill="FCE4D6"/>
            <w:vAlign w:val="center"/>
            <w:hideMark/>
          </w:tcPr>
          <w:p w14:paraId="547D60F3"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(n=1)</w:t>
            </w:r>
          </w:p>
        </w:tc>
        <w:tc>
          <w:tcPr>
            <w:tcW w:w="1843" w:type="dxa"/>
            <w:tcBorders>
              <w:top w:val="nil"/>
              <w:left w:val="single" w:sz="12" w:space="0" w:color="000000"/>
              <w:bottom w:val="single" w:sz="12" w:space="0" w:color="000000"/>
              <w:right w:val="nil"/>
            </w:tcBorders>
            <w:shd w:val="clear" w:color="000000" w:fill="FCE4D6"/>
            <w:vAlign w:val="center"/>
            <w:hideMark/>
          </w:tcPr>
          <w:p w14:paraId="68FD277C"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(n=9)</w:t>
            </w:r>
          </w:p>
        </w:tc>
        <w:tc>
          <w:tcPr>
            <w:tcW w:w="1559" w:type="dxa"/>
            <w:tcBorders>
              <w:top w:val="nil"/>
              <w:left w:val="nil"/>
              <w:bottom w:val="single" w:sz="12" w:space="0" w:color="000000"/>
              <w:right w:val="nil"/>
            </w:tcBorders>
            <w:shd w:val="clear" w:color="000000" w:fill="FCE4D6"/>
            <w:vAlign w:val="center"/>
            <w:hideMark/>
          </w:tcPr>
          <w:p w14:paraId="52E0BEC0"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(n=2)</w:t>
            </w:r>
          </w:p>
        </w:tc>
        <w:tc>
          <w:tcPr>
            <w:tcW w:w="1417" w:type="dxa"/>
            <w:tcBorders>
              <w:top w:val="nil"/>
              <w:left w:val="nil"/>
              <w:bottom w:val="single" w:sz="12" w:space="0" w:color="000000"/>
              <w:right w:val="nil"/>
            </w:tcBorders>
            <w:shd w:val="clear" w:color="000000" w:fill="FCE4D6"/>
            <w:vAlign w:val="center"/>
            <w:hideMark/>
          </w:tcPr>
          <w:p w14:paraId="1302AB83"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(n=2)</w:t>
            </w:r>
          </w:p>
        </w:tc>
        <w:tc>
          <w:tcPr>
            <w:tcW w:w="1418" w:type="dxa"/>
            <w:tcBorders>
              <w:top w:val="nil"/>
              <w:left w:val="nil"/>
              <w:bottom w:val="single" w:sz="12" w:space="0" w:color="000000"/>
              <w:right w:val="single" w:sz="12" w:space="0" w:color="000000"/>
            </w:tcBorders>
            <w:shd w:val="clear" w:color="000000" w:fill="FCE4D6"/>
            <w:vAlign w:val="center"/>
            <w:hideMark/>
          </w:tcPr>
          <w:p w14:paraId="687A794F"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(n=1)</w:t>
            </w:r>
          </w:p>
        </w:tc>
      </w:tr>
      <w:tr w:rsidR="00745C06" w:rsidRPr="00A122D2" w14:paraId="3C2E3F1C" w14:textId="77777777" w:rsidTr="00582692">
        <w:trPr>
          <w:trHeight w:val="348"/>
        </w:trPr>
        <w:tc>
          <w:tcPr>
            <w:tcW w:w="4537" w:type="dxa"/>
            <w:tcBorders>
              <w:top w:val="nil"/>
              <w:left w:val="single" w:sz="12" w:space="0" w:color="000000"/>
              <w:bottom w:val="nil"/>
              <w:right w:val="nil"/>
            </w:tcBorders>
            <w:shd w:val="clear" w:color="000000" w:fill="FCE4D6"/>
            <w:vAlign w:val="center"/>
            <w:hideMark/>
          </w:tcPr>
          <w:p w14:paraId="5A9A2F91" w14:textId="77777777" w:rsidR="00745C06" w:rsidRPr="00A122D2" w:rsidRDefault="00745C06" w:rsidP="00582692">
            <w:pPr>
              <w:rPr>
                <w:rFonts w:ascii="Calibri" w:hAnsi="Calibri" w:cs="Calibri"/>
                <w:b/>
                <w:bCs/>
                <w:color w:val="000000"/>
                <w:sz w:val="20"/>
                <w:szCs w:val="20"/>
              </w:rPr>
            </w:pPr>
            <w:r w:rsidRPr="00A122D2">
              <w:rPr>
                <w:rFonts w:ascii="Calibri" w:hAnsi="Calibri" w:cs="Calibri"/>
                <w:b/>
                <w:bCs/>
                <w:color w:val="000000"/>
                <w:sz w:val="20"/>
                <w:szCs w:val="20"/>
              </w:rPr>
              <w:t>Demographics</w:t>
            </w:r>
          </w:p>
        </w:tc>
        <w:tc>
          <w:tcPr>
            <w:tcW w:w="1559" w:type="dxa"/>
            <w:tcBorders>
              <w:top w:val="single" w:sz="12" w:space="0" w:color="000000"/>
              <w:left w:val="nil"/>
              <w:bottom w:val="nil"/>
              <w:right w:val="nil"/>
            </w:tcBorders>
            <w:shd w:val="clear" w:color="000000" w:fill="FCE4D6"/>
            <w:vAlign w:val="center"/>
            <w:hideMark/>
          </w:tcPr>
          <w:p w14:paraId="681FB620"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 </w:t>
            </w:r>
          </w:p>
        </w:tc>
        <w:tc>
          <w:tcPr>
            <w:tcW w:w="1560" w:type="dxa"/>
            <w:tcBorders>
              <w:top w:val="single" w:sz="12" w:space="0" w:color="000000"/>
              <w:left w:val="nil"/>
              <w:bottom w:val="nil"/>
              <w:right w:val="nil"/>
            </w:tcBorders>
            <w:shd w:val="clear" w:color="000000" w:fill="FCE4D6"/>
            <w:vAlign w:val="center"/>
            <w:hideMark/>
          </w:tcPr>
          <w:p w14:paraId="239ACB69"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 </w:t>
            </w:r>
          </w:p>
        </w:tc>
        <w:tc>
          <w:tcPr>
            <w:tcW w:w="1559" w:type="dxa"/>
            <w:tcBorders>
              <w:top w:val="single" w:sz="12" w:space="0" w:color="000000"/>
              <w:left w:val="nil"/>
              <w:bottom w:val="nil"/>
              <w:right w:val="nil"/>
            </w:tcBorders>
            <w:shd w:val="clear" w:color="000000" w:fill="FCE4D6"/>
            <w:vAlign w:val="center"/>
            <w:hideMark/>
          </w:tcPr>
          <w:p w14:paraId="047A3033"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 </w:t>
            </w:r>
          </w:p>
        </w:tc>
        <w:tc>
          <w:tcPr>
            <w:tcW w:w="1843" w:type="dxa"/>
            <w:tcBorders>
              <w:top w:val="single" w:sz="12" w:space="0" w:color="000000"/>
              <w:left w:val="nil"/>
              <w:bottom w:val="nil"/>
              <w:right w:val="nil"/>
            </w:tcBorders>
            <w:shd w:val="clear" w:color="000000" w:fill="FCE4D6"/>
            <w:vAlign w:val="center"/>
            <w:hideMark/>
          </w:tcPr>
          <w:p w14:paraId="5E97B8B7"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 </w:t>
            </w:r>
          </w:p>
        </w:tc>
        <w:tc>
          <w:tcPr>
            <w:tcW w:w="1559" w:type="dxa"/>
            <w:tcBorders>
              <w:top w:val="single" w:sz="12" w:space="0" w:color="000000"/>
              <w:left w:val="nil"/>
              <w:bottom w:val="nil"/>
              <w:right w:val="nil"/>
            </w:tcBorders>
            <w:shd w:val="clear" w:color="000000" w:fill="FCE4D6"/>
            <w:vAlign w:val="center"/>
            <w:hideMark/>
          </w:tcPr>
          <w:p w14:paraId="7D963A6A"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 </w:t>
            </w:r>
          </w:p>
        </w:tc>
        <w:tc>
          <w:tcPr>
            <w:tcW w:w="1417" w:type="dxa"/>
            <w:tcBorders>
              <w:top w:val="single" w:sz="12" w:space="0" w:color="000000"/>
              <w:left w:val="nil"/>
              <w:bottom w:val="nil"/>
              <w:right w:val="nil"/>
            </w:tcBorders>
            <w:shd w:val="clear" w:color="000000" w:fill="FCE4D6"/>
            <w:vAlign w:val="center"/>
            <w:hideMark/>
          </w:tcPr>
          <w:p w14:paraId="074BF0F8"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 </w:t>
            </w:r>
          </w:p>
        </w:tc>
        <w:tc>
          <w:tcPr>
            <w:tcW w:w="1418" w:type="dxa"/>
            <w:tcBorders>
              <w:top w:val="single" w:sz="12" w:space="0" w:color="000000"/>
              <w:left w:val="nil"/>
              <w:bottom w:val="nil"/>
              <w:right w:val="single" w:sz="12" w:space="0" w:color="000000"/>
            </w:tcBorders>
            <w:shd w:val="clear" w:color="000000" w:fill="FCE4D6"/>
            <w:vAlign w:val="center"/>
            <w:hideMark/>
          </w:tcPr>
          <w:p w14:paraId="07680256"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 </w:t>
            </w:r>
          </w:p>
        </w:tc>
      </w:tr>
      <w:tr w:rsidR="00745C06" w:rsidRPr="00A122D2" w14:paraId="5E3D473B" w14:textId="77777777" w:rsidTr="00582692">
        <w:trPr>
          <w:trHeight w:val="348"/>
        </w:trPr>
        <w:tc>
          <w:tcPr>
            <w:tcW w:w="4537" w:type="dxa"/>
            <w:tcBorders>
              <w:top w:val="single" w:sz="8" w:space="0" w:color="auto"/>
              <w:left w:val="single" w:sz="12" w:space="0" w:color="000000"/>
              <w:bottom w:val="single" w:sz="8" w:space="0" w:color="auto"/>
              <w:right w:val="single" w:sz="8" w:space="0" w:color="auto"/>
            </w:tcBorders>
            <w:shd w:val="clear" w:color="auto" w:fill="auto"/>
            <w:vAlign w:val="center"/>
            <w:hideMark/>
          </w:tcPr>
          <w:p w14:paraId="5537F2E8"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Age [years] (range)</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5E6E9109"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5 (1-10)</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52BEEF8B"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6 (1-14)</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01F88935"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4</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36B46456"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11 (2-16)</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417A05EB"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12 (10-14)</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0141EE94"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12 (9-14)</w:t>
            </w:r>
          </w:p>
        </w:tc>
        <w:tc>
          <w:tcPr>
            <w:tcW w:w="1418" w:type="dxa"/>
            <w:tcBorders>
              <w:top w:val="single" w:sz="8" w:space="0" w:color="auto"/>
              <w:left w:val="nil"/>
              <w:bottom w:val="single" w:sz="8" w:space="0" w:color="auto"/>
              <w:right w:val="single" w:sz="12" w:space="0" w:color="000000"/>
            </w:tcBorders>
            <w:shd w:val="clear" w:color="auto" w:fill="auto"/>
            <w:vAlign w:val="center"/>
            <w:hideMark/>
          </w:tcPr>
          <w:p w14:paraId="596A4DF3"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10</w:t>
            </w:r>
          </w:p>
        </w:tc>
      </w:tr>
      <w:tr w:rsidR="00745C06" w:rsidRPr="00A122D2" w14:paraId="269EC79A" w14:textId="77777777" w:rsidTr="00582692">
        <w:trPr>
          <w:trHeight w:val="355"/>
        </w:trPr>
        <w:tc>
          <w:tcPr>
            <w:tcW w:w="4537" w:type="dxa"/>
            <w:tcBorders>
              <w:top w:val="nil"/>
              <w:left w:val="single" w:sz="12" w:space="0" w:color="000000"/>
              <w:bottom w:val="single" w:sz="8" w:space="0" w:color="auto"/>
              <w:right w:val="single" w:sz="8" w:space="0" w:color="auto"/>
            </w:tcBorders>
            <w:shd w:val="clear" w:color="auto" w:fill="auto"/>
            <w:vAlign w:val="center"/>
            <w:hideMark/>
          </w:tcPr>
          <w:p w14:paraId="6FE29393"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Gender Male:Female</w:t>
            </w:r>
          </w:p>
        </w:tc>
        <w:tc>
          <w:tcPr>
            <w:tcW w:w="1559" w:type="dxa"/>
            <w:tcBorders>
              <w:top w:val="nil"/>
              <w:left w:val="nil"/>
              <w:bottom w:val="single" w:sz="8" w:space="0" w:color="auto"/>
              <w:right w:val="single" w:sz="8" w:space="0" w:color="auto"/>
            </w:tcBorders>
            <w:shd w:val="clear" w:color="auto" w:fill="auto"/>
            <w:vAlign w:val="center"/>
            <w:hideMark/>
          </w:tcPr>
          <w:p w14:paraId="624452E1"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4 (57):</w:t>
            </w:r>
            <w:r>
              <w:rPr>
                <w:rFonts w:ascii="Calibri" w:hAnsi="Calibri" w:cs="Calibri"/>
                <w:color w:val="000000"/>
                <w:sz w:val="20"/>
                <w:szCs w:val="20"/>
              </w:rPr>
              <w:t xml:space="preserve"> </w:t>
            </w:r>
            <w:r w:rsidRPr="00A122D2">
              <w:rPr>
                <w:rFonts w:ascii="Calibri" w:hAnsi="Calibri" w:cs="Calibri"/>
                <w:color w:val="000000"/>
                <w:sz w:val="20"/>
                <w:szCs w:val="20"/>
              </w:rPr>
              <w:t>3 (43)</w:t>
            </w:r>
          </w:p>
        </w:tc>
        <w:tc>
          <w:tcPr>
            <w:tcW w:w="1560" w:type="dxa"/>
            <w:tcBorders>
              <w:top w:val="nil"/>
              <w:left w:val="nil"/>
              <w:bottom w:val="single" w:sz="8" w:space="0" w:color="auto"/>
              <w:right w:val="single" w:sz="8" w:space="0" w:color="auto"/>
            </w:tcBorders>
            <w:shd w:val="clear" w:color="auto" w:fill="auto"/>
            <w:vAlign w:val="center"/>
            <w:hideMark/>
          </w:tcPr>
          <w:p w14:paraId="722C71E7"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3 (60):</w:t>
            </w:r>
            <w:r>
              <w:rPr>
                <w:rFonts w:ascii="Calibri" w:hAnsi="Calibri" w:cs="Calibri"/>
                <w:color w:val="000000"/>
                <w:sz w:val="20"/>
                <w:szCs w:val="20"/>
              </w:rPr>
              <w:t xml:space="preserve"> </w:t>
            </w:r>
            <w:r w:rsidRPr="00A122D2">
              <w:rPr>
                <w:rFonts w:ascii="Calibri" w:hAnsi="Calibri" w:cs="Calibri"/>
                <w:color w:val="000000"/>
                <w:sz w:val="20"/>
                <w:szCs w:val="20"/>
              </w:rPr>
              <w:t>2 (40)</w:t>
            </w:r>
          </w:p>
        </w:tc>
        <w:tc>
          <w:tcPr>
            <w:tcW w:w="1559" w:type="dxa"/>
            <w:tcBorders>
              <w:top w:val="nil"/>
              <w:left w:val="nil"/>
              <w:bottom w:val="single" w:sz="8" w:space="0" w:color="auto"/>
              <w:right w:val="single" w:sz="8" w:space="0" w:color="auto"/>
            </w:tcBorders>
            <w:shd w:val="clear" w:color="auto" w:fill="auto"/>
            <w:vAlign w:val="center"/>
            <w:hideMark/>
          </w:tcPr>
          <w:p w14:paraId="2E1AA7E6"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(100): 0</w:t>
            </w:r>
          </w:p>
        </w:tc>
        <w:tc>
          <w:tcPr>
            <w:tcW w:w="1843" w:type="dxa"/>
            <w:tcBorders>
              <w:top w:val="nil"/>
              <w:left w:val="nil"/>
              <w:bottom w:val="nil"/>
              <w:right w:val="nil"/>
            </w:tcBorders>
            <w:shd w:val="clear" w:color="auto" w:fill="auto"/>
            <w:vAlign w:val="center"/>
            <w:hideMark/>
          </w:tcPr>
          <w:p w14:paraId="4FA7FB7E"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6 (67): 3 (33)</w:t>
            </w:r>
          </w:p>
        </w:tc>
        <w:tc>
          <w:tcPr>
            <w:tcW w:w="1559" w:type="dxa"/>
            <w:tcBorders>
              <w:top w:val="nil"/>
              <w:left w:val="single" w:sz="8" w:space="0" w:color="auto"/>
              <w:bottom w:val="single" w:sz="8" w:space="0" w:color="auto"/>
              <w:right w:val="single" w:sz="8" w:space="0" w:color="auto"/>
            </w:tcBorders>
            <w:shd w:val="clear" w:color="auto" w:fill="auto"/>
            <w:vAlign w:val="center"/>
            <w:hideMark/>
          </w:tcPr>
          <w:p w14:paraId="7A6801E9"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(50):</w:t>
            </w:r>
            <w:r>
              <w:rPr>
                <w:rFonts w:ascii="Calibri" w:hAnsi="Calibri" w:cs="Calibri"/>
                <w:color w:val="000000"/>
                <w:sz w:val="20"/>
                <w:szCs w:val="20"/>
              </w:rPr>
              <w:t xml:space="preserve"> </w:t>
            </w:r>
            <w:r w:rsidRPr="00A122D2">
              <w:rPr>
                <w:rFonts w:ascii="Calibri" w:hAnsi="Calibri" w:cs="Calibri"/>
                <w:color w:val="000000"/>
                <w:sz w:val="20"/>
                <w:szCs w:val="20"/>
              </w:rPr>
              <w:t>1 (50)</w:t>
            </w:r>
          </w:p>
        </w:tc>
        <w:tc>
          <w:tcPr>
            <w:tcW w:w="1417" w:type="dxa"/>
            <w:tcBorders>
              <w:top w:val="nil"/>
              <w:left w:val="nil"/>
              <w:bottom w:val="single" w:sz="8" w:space="0" w:color="auto"/>
              <w:right w:val="single" w:sz="8" w:space="0" w:color="auto"/>
            </w:tcBorders>
            <w:shd w:val="clear" w:color="auto" w:fill="auto"/>
            <w:vAlign w:val="center"/>
            <w:hideMark/>
          </w:tcPr>
          <w:p w14:paraId="031E527E"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(50): 1 (50)</w:t>
            </w:r>
          </w:p>
        </w:tc>
        <w:tc>
          <w:tcPr>
            <w:tcW w:w="1418" w:type="dxa"/>
            <w:tcBorders>
              <w:top w:val="nil"/>
              <w:left w:val="nil"/>
              <w:bottom w:val="single" w:sz="8" w:space="0" w:color="auto"/>
              <w:right w:val="single" w:sz="12" w:space="0" w:color="000000"/>
            </w:tcBorders>
            <w:shd w:val="clear" w:color="auto" w:fill="auto"/>
            <w:vAlign w:val="center"/>
            <w:hideMark/>
          </w:tcPr>
          <w:p w14:paraId="3D4F4F37"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(100): 0</w:t>
            </w:r>
          </w:p>
        </w:tc>
      </w:tr>
      <w:tr w:rsidR="00745C06" w:rsidRPr="00A122D2" w14:paraId="1A1648B5" w14:textId="77777777" w:rsidTr="00582692">
        <w:trPr>
          <w:trHeight w:val="261"/>
        </w:trPr>
        <w:tc>
          <w:tcPr>
            <w:tcW w:w="4537" w:type="dxa"/>
            <w:tcBorders>
              <w:top w:val="nil"/>
              <w:left w:val="single" w:sz="12" w:space="0" w:color="000000"/>
              <w:bottom w:val="single" w:sz="8" w:space="0" w:color="auto"/>
              <w:right w:val="single" w:sz="8" w:space="0" w:color="auto"/>
            </w:tcBorders>
            <w:shd w:val="clear" w:color="auto" w:fill="auto"/>
            <w:vAlign w:val="center"/>
            <w:hideMark/>
          </w:tcPr>
          <w:p w14:paraId="345C2887"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Ethnicity (White:Black:Asian)</w:t>
            </w:r>
          </w:p>
        </w:tc>
        <w:tc>
          <w:tcPr>
            <w:tcW w:w="1559" w:type="dxa"/>
            <w:tcBorders>
              <w:top w:val="nil"/>
              <w:left w:val="nil"/>
              <w:bottom w:val="single" w:sz="8" w:space="0" w:color="auto"/>
              <w:right w:val="single" w:sz="8" w:space="0" w:color="auto"/>
            </w:tcBorders>
            <w:shd w:val="clear" w:color="auto" w:fill="auto"/>
            <w:vAlign w:val="center"/>
            <w:hideMark/>
          </w:tcPr>
          <w:p w14:paraId="4E8B84C1"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02:01:04</w:t>
            </w:r>
          </w:p>
        </w:tc>
        <w:tc>
          <w:tcPr>
            <w:tcW w:w="1560" w:type="dxa"/>
            <w:tcBorders>
              <w:top w:val="nil"/>
              <w:left w:val="nil"/>
              <w:bottom w:val="single" w:sz="8" w:space="0" w:color="auto"/>
              <w:right w:val="single" w:sz="8" w:space="0" w:color="auto"/>
            </w:tcBorders>
            <w:shd w:val="clear" w:color="auto" w:fill="auto"/>
            <w:vAlign w:val="center"/>
            <w:hideMark/>
          </w:tcPr>
          <w:p w14:paraId="5970C56A"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02:01:02</w:t>
            </w:r>
          </w:p>
        </w:tc>
        <w:tc>
          <w:tcPr>
            <w:tcW w:w="1559" w:type="dxa"/>
            <w:tcBorders>
              <w:top w:val="nil"/>
              <w:left w:val="nil"/>
              <w:bottom w:val="single" w:sz="4" w:space="0" w:color="000000"/>
              <w:right w:val="single" w:sz="8" w:space="0" w:color="auto"/>
            </w:tcBorders>
            <w:shd w:val="clear" w:color="auto" w:fill="auto"/>
            <w:vAlign w:val="center"/>
            <w:hideMark/>
          </w:tcPr>
          <w:p w14:paraId="56526386"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01:00:00</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31C0FAB9"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05:02:02</w:t>
            </w:r>
          </w:p>
        </w:tc>
        <w:tc>
          <w:tcPr>
            <w:tcW w:w="1559" w:type="dxa"/>
            <w:tcBorders>
              <w:top w:val="nil"/>
              <w:left w:val="nil"/>
              <w:bottom w:val="single" w:sz="8" w:space="0" w:color="auto"/>
              <w:right w:val="single" w:sz="8" w:space="0" w:color="auto"/>
            </w:tcBorders>
            <w:shd w:val="clear" w:color="auto" w:fill="auto"/>
            <w:vAlign w:val="center"/>
            <w:hideMark/>
          </w:tcPr>
          <w:p w14:paraId="535F6C63"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00:02:00</w:t>
            </w:r>
          </w:p>
        </w:tc>
        <w:tc>
          <w:tcPr>
            <w:tcW w:w="1417" w:type="dxa"/>
            <w:tcBorders>
              <w:top w:val="nil"/>
              <w:left w:val="nil"/>
              <w:bottom w:val="single" w:sz="8" w:space="0" w:color="auto"/>
              <w:right w:val="single" w:sz="8" w:space="0" w:color="auto"/>
            </w:tcBorders>
            <w:shd w:val="clear" w:color="auto" w:fill="auto"/>
            <w:vAlign w:val="center"/>
            <w:hideMark/>
          </w:tcPr>
          <w:p w14:paraId="0ECE025C"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02:00:00</w:t>
            </w:r>
          </w:p>
        </w:tc>
        <w:tc>
          <w:tcPr>
            <w:tcW w:w="1418" w:type="dxa"/>
            <w:tcBorders>
              <w:top w:val="nil"/>
              <w:left w:val="nil"/>
              <w:bottom w:val="single" w:sz="8" w:space="0" w:color="auto"/>
              <w:right w:val="single" w:sz="12" w:space="0" w:color="000000"/>
            </w:tcBorders>
            <w:shd w:val="clear" w:color="auto" w:fill="auto"/>
            <w:vAlign w:val="center"/>
            <w:hideMark/>
          </w:tcPr>
          <w:p w14:paraId="103D4895"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01:00:00</w:t>
            </w:r>
          </w:p>
        </w:tc>
      </w:tr>
      <w:tr w:rsidR="00745C06" w:rsidRPr="00A122D2" w14:paraId="5402DD5C" w14:textId="77777777" w:rsidTr="00582692">
        <w:trPr>
          <w:trHeight w:val="348"/>
        </w:trPr>
        <w:tc>
          <w:tcPr>
            <w:tcW w:w="4537" w:type="dxa"/>
            <w:tcBorders>
              <w:top w:val="nil"/>
              <w:left w:val="single" w:sz="12" w:space="0" w:color="000000"/>
              <w:bottom w:val="single" w:sz="8" w:space="0" w:color="auto"/>
            </w:tcBorders>
            <w:shd w:val="clear" w:color="000000" w:fill="FCE4D6"/>
            <w:vAlign w:val="center"/>
            <w:hideMark/>
          </w:tcPr>
          <w:p w14:paraId="63F013A8" w14:textId="77777777" w:rsidR="00745C06" w:rsidRPr="00A122D2" w:rsidRDefault="00745C06" w:rsidP="00582692">
            <w:pPr>
              <w:rPr>
                <w:rFonts w:ascii="Calibri" w:hAnsi="Calibri" w:cs="Calibri"/>
                <w:b/>
                <w:bCs/>
                <w:color w:val="000000"/>
                <w:sz w:val="20"/>
                <w:szCs w:val="20"/>
              </w:rPr>
            </w:pPr>
            <w:r w:rsidRPr="00A122D2">
              <w:rPr>
                <w:rFonts w:ascii="Calibri" w:hAnsi="Calibri" w:cs="Calibri"/>
                <w:b/>
                <w:bCs/>
                <w:color w:val="000000"/>
                <w:sz w:val="20"/>
                <w:szCs w:val="20"/>
              </w:rPr>
              <w:t>Underlying comorbidity</w:t>
            </w:r>
          </w:p>
        </w:tc>
        <w:tc>
          <w:tcPr>
            <w:tcW w:w="1559" w:type="dxa"/>
            <w:tcBorders>
              <w:top w:val="nil"/>
              <w:left w:val="nil"/>
              <w:bottom w:val="single" w:sz="8" w:space="0" w:color="auto"/>
            </w:tcBorders>
            <w:shd w:val="clear" w:color="000000" w:fill="FCE4D6"/>
            <w:vAlign w:val="center"/>
            <w:hideMark/>
          </w:tcPr>
          <w:p w14:paraId="0C2EEDF3"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560" w:type="dxa"/>
            <w:tcBorders>
              <w:top w:val="nil"/>
              <w:left w:val="nil"/>
              <w:bottom w:val="single" w:sz="8" w:space="0" w:color="auto"/>
            </w:tcBorders>
            <w:shd w:val="clear" w:color="000000" w:fill="FCE4D6"/>
            <w:vAlign w:val="center"/>
            <w:hideMark/>
          </w:tcPr>
          <w:p w14:paraId="7F6B358D"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559" w:type="dxa"/>
            <w:tcBorders>
              <w:top w:val="single" w:sz="4" w:space="0" w:color="000000"/>
              <w:left w:val="nil"/>
              <w:bottom w:val="single" w:sz="8" w:space="0" w:color="auto"/>
            </w:tcBorders>
            <w:shd w:val="clear" w:color="000000" w:fill="FCE4D6"/>
            <w:vAlign w:val="center"/>
            <w:hideMark/>
          </w:tcPr>
          <w:p w14:paraId="4EF25DDB"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843" w:type="dxa"/>
            <w:tcBorders>
              <w:top w:val="nil"/>
              <w:left w:val="nil"/>
              <w:bottom w:val="single" w:sz="8" w:space="0" w:color="auto"/>
            </w:tcBorders>
            <w:shd w:val="clear" w:color="000000" w:fill="FCE4D6"/>
            <w:vAlign w:val="center"/>
            <w:hideMark/>
          </w:tcPr>
          <w:p w14:paraId="4307694F"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559" w:type="dxa"/>
            <w:tcBorders>
              <w:top w:val="nil"/>
              <w:left w:val="nil"/>
              <w:bottom w:val="single" w:sz="8" w:space="0" w:color="auto"/>
            </w:tcBorders>
            <w:shd w:val="clear" w:color="000000" w:fill="FCE4D6"/>
            <w:vAlign w:val="center"/>
            <w:hideMark/>
          </w:tcPr>
          <w:p w14:paraId="0E5FD1DF"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417" w:type="dxa"/>
            <w:tcBorders>
              <w:top w:val="nil"/>
              <w:left w:val="nil"/>
              <w:bottom w:val="single" w:sz="8" w:space="0" w:color="auto"/>
            </w:tcBorders>
            <w:shd w:val="clear" w:color="000000" w:fill="FCE4D6"/>
            <w:vAlign w:val="center"/>
            <w:hideMark/>
          </w:tcPr>
          <w:p w14:paraId="0D030725"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418" w:type="dxa"/>
            <w:tcBorders>
              <w:top w:val="nil"/>
              <w:left w:val="nil"/>
              <w:bottom w:val="single" w:sz="8" w:space="0" w:color="auto"/>
              <w:right w:val="single" w:sz="12" w:space="0" w:color="000000"/>
            </w:tcBorders>
            <w:shd w:val="clear" w:color="000000" w:fill="FCE4D6"/>
            <w:vAlign w:val="center"/>
            <w:hideMark/>
          </w:tcPr>
          <w:p w14:paraId="4835D395"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r>
      <w:tr w:rsidR="00745C06" w:rsidRPr="00A122D2" w14:paraId="2AC50704" w14:textId="77777777" w:rsidTr="00582692">
        <w:trPr>
          <w:trHeight w:val="348"/>
        </w:trPr>
        <w:tc>
          <w:tcPr>
            <w:tcW w:w="4537" w:type="dxa"/>
            <w:tcBorders>
              <w:top w:val="nil"/>
              <w:left w:val="single" w:sz="12" w:space="0" w:color="000000"/>
              <w:bottom w:val="single" w:sz="8" w:space="0" w:color="auto"/>
              <w:right w:val="single" w:sz="8" w:space="0" w:color="auto"/>
            </w:tcBorders>
            <w:shd w:val="clear" w:color="auto" w:fill="auto"/>
            <w:vAlign w:val="center"/>
            <w:hideMark/>
          </w:tcPr>
          <w:p w14:paraId="0CF2F149"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Neurological comorbidities</w:t>
            </w:r>
          </w:p>
        </w:tc>
        <w:tc>
          <w:tcPr>
            <w:tcW w:w="1559" w:type="dxa"/>
            <w:tcBorders>
              <w:top w:val="nil"/>
              <w:left w:val="nil"/>
              <w:bottom w:val="single" w:sz="8" w:space="0" w:color="auto"/>
              <w:right w:val="single" w:sz="8" w:space="0" w:color="auto"/>
            </w:tcBorders>
            <w:shd w:val="clear" w:color="auto" w:fill="auto"/>
            <w:vAlign w:val="center"/>
            <w:hideMark/>
          </w:tcPr>
          <w:p w14:paraId="5F1F2F58"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(29)</w:t>
            </w:r>
          </w:p>
        </w:tc>
        <w:tc>
          <w:tcPr>
            <w:tcW w:w="1560" w:type="dxa"/>
            <w:tcBorders>
              <w:top w:val="nil"/>
              <w:left w:val="nil"/>
              <w:bottom w:val="single" w:sz="8" w:space="0" w:color="auto"/>
              <w:right w:val="single" w:sz="8" w:space="0" w:color="auto"/>
            </w:tcBorders>
            <w:shd w:val="clear" w:color="auto" w:fill="auto"/>
            <w:vAlign w:val="center"/>
            <w:hideMark/>
          </w:tcPr>
          <w:p w14:paraId="4A683B27"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2 (40)</w:t>
            </w:r>
          </w:p>
        </w:tc>
        <w:tc>
          <w:tcPr>
            <w:tcW w:w="1559" w:type="dxa"/>
            <w:tcBorders>
              <w:top w:val="nil"/>
              <w:left w:val="nil"/>
              <w:bottom w:val="single" w:sz="8" w:space="0" w:color="auto"/>
              <w:right w:val="single" w:sz="8" w:space="0" w:color="auto"/>
            </w:tcBorders>
            <w:shd w:val="clear" w:color="auto" w:fill="auto"/>
            <w:vAlign w:val="center"/>
            <w:hideMark/>
          </w:tcPr>
          <w:p w14:paraId="1BB22E7F"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843" w:type="dxa"/>
            <w:tcBorders>
              <w:top w:val="nil"/>
              <w:left w:val="nil"/>
              <w:bottom w:val="single" w:sz="8" w:space="0" w:color="auto"/>
              <w:right w:val="single" w:sz="8" w:space="0" w:color="auto"/>
            </w:tcBorders>
            <w:shd w:val="clear" w:color="auto" w:fill="auto"/>
            <w:vAlign w:val="center"/>
            <w:hideMark/>
          </w:tcPr>
          <w:p w14:paraId="1DAE841F"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4 (44)</w:t>
            </w:r>
          </w:p>
        </w:tc>
        <w:tc>
          <w:tcPr>
            <w:tcW w:w="1559" w:type="dxa"/>
            <w:tcBorders>
              <w:top w:val="nil"/>
              <w:left w:val="nil"/>
              <w:bottom w:val="single" w:sz="8" w:space="0" w:color="auto"/>
              <w:right w:val="single" w:sz="8" w:space="0" w:color="auto"/>
            </w:tcBorders>
            <w:shd w:val="clear" w:color="auto" w:fill="auto"/>
            <w:vAlign w:val="center"/>
            <w:hideMark/>
          </w:tcPr>
          <w:p w14:paraId="4B0F65C3"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7" w:type="dxa"/>
            <w:tcBorders>
              <w:top w:val="nil"/>
              <w:left w:val="nil"/>
              <w:bottom w:val="single" w:sz="8" w:space="0" w:color="auto"/>
              <w:right w:val="single" w:sz="8" w:space="0" w:color="auto"/>
            </w:tcBorders>
            <w:shd w:val="clear" w:color="auto" w:fill="auto"/>
            <w:vAlign w:val="center"/>
            <w:hideMark/>
          </w:tcPr>
          <w:p w14:paraId="28BFD524"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8" w:type="dxa"/>
            <w:tcBorders>
              <w:top w:val="nil"/>
              <w:left w:val="nil"/>
              <w:bottom w:val="single" w:sz="8" w:space="0" w:color="auto"/>
              <w:right w:val="single" w:sz="12" w:space="0" w:color="000000"/>
            </w:tcBorders>
            <w:shd w:val="clear" w:color="auto" w:fill="auto"/>
            <w:vAlign w:val="center"/>
            <w:hideMark/>
          </w:tcPr>
          <w:p w14:paraId="62607DC0"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(100)</w:t>
            </w:r>
          </w:p>
        </w:tc>
      </w:tr>
      <w:tr w:rsidR="00745C06" w:rsidRPr="00A122D2" w14:paraId="1864172A" w14:textId="77777777" w:rsidTr="00582692">
        <w:trPr>
          <w:trHeight w:val="348"/>
        </w:trPr>
        <w:tc>
          <w:tcPr>
            <w:tcW w:w="4537" w:type="dxa"/>
            <w:tcBorders>
              <w:top w:val="nil"/>
              <w:left w:val="single" w:sz="12" w:space="0" w:color="000000"/>
              <w:bottom w:val="single" w:sz="8" w:space="0" w:color="auto"/>
              <w:right w:val="single" w:sz="8" w:space="0" w:color="auto"/>
            </w:tcBorders>
            <w:shd w:val="clear" w:color="auto" w:fill="auto"/>
            <w:vAlign w:val="center"/>
            <w:hideMark/>
          </w:tcPr>
          <w:p w14:paraId="63AAFD3E"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Other comorbidities</w:t>
            </w:r>
          </w:p>
        </w:tc>
        <w:tc>
          <w:tcPr>
            <w:tcW w:w="1559" w:type="dxa"/>
            <w:tcBorders>
              <w:top w:val="nil"/>
              <w:left w:val="nil"/>
              <w:bottom w:val="single" w:sz="8" w:space="0" w:color="auto"/>
              <w:right w:val="single" w:sz="8" w:space="0" w:color="auto"/>
            </w:tcBorders>
            <w:shd w:val="clear" w:color="auto" w:fill="auto"/>
            <w:vAlign w:val="center"/>
            <w:hideMark/>
          </w:tcPr>
          <w:p w14:paraId="31C216BB"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(29)</w:t>
            </w:r>
          </w:p>
        </w:tc>
        <w:tc>
          <w:tcPr>
            <w:tcW w:w="1560" w:type="dxa"/>
            <w:tcBorders>
              <w:top w:val="nil"/>
              <w:left w:val="nil"/>
              <w:bottom w:val="single" w:sz="8" w:space="0" w:color="auto"/>
              <w:right w:val="single" w:sz="8" w:space="0" w:color="auto"/>
            </w:tcBorders>
            <w:shd w:val="clear" w:color="auto" w:fill="auto"/>
            <w:vAlign w:val="center"/>
            <w:hideMark/>
          </w:tcPr>
          <w:p w14:paraId="7DEECA4A"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14:paraId="4CD3683A"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843" w:type="dxa"/>
            <w:tcBorders>
              <w:top w:val="nil"/>
              <w:left w:val="nil"/>
              <w:bottom w:val="single" w:sz="8" w:space="0" w:color="auto"/>
              <w:right w:val="single" w:sz="8" w:space="0" w:color="auto"/>
            </w:tcBorders>
            <w:shd w:val="clear" w:color="auto" w:fill="auto"/>
            <w:vAlign w:val="center"/>
            <w:hideMark/>
          </w:tcPr>
          <w:p w14:paraId="65524FE9"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14:paraId="21D08B7E"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7" w:type="dxa"/>
            <w:tcBorders>
              <w:top w:val="nil"/>
              <w:left w:val="nil"/>
              <w:bottom w:val="single" w:sz="8" w:space="0" w:color="auto"/>
              <w:right w:val="single" w:sz="8" w:space="0" w:color="auto"/>
            </w:tcBorders>
            <w:shd w:val="clear" w:color="auto" w:fill="auto"/>
            <w:vAlign w:val="center"/>
            <w:hideMark/>
          </w:tcPr>
          <w:p w14:paraId="58841F30"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8" w:type="dxa"/>
            <w:tcBorders>
              <w:top w:val="nil"/>
              <w:left w:val="nil"/>
              <w:bottom w:val="single" w:sz="8" w:space="0" w:color="auto"/>
              <w:right w:val="single" w:sz="12" w:space="0" w:color="000000"/>
            </w:tcBorders>
            <w:shd w:val="clear" w:color="auto" w:fill="auto"/>
            <w:vAlign w:val="center"/>
            <w:hideMark/>
          </w:tcPr>
          <w:p w14:paraId="5FAD5A0A"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r>
      <w:tr w:rsidR="00745C06" w:rsidRPr="00A122D2" w14:paraId="61AB60EC" w14:textId="77777777" w:rsidTr="00582692">
        <w:trPr>
          <w:trHeight w:val="348"/>
        </w:trPr>
        <w:tc>
          <w:tcPr>
            <w:tcW w:w="4537" w:type="dxa"/>
            <w:tcBorders>
              <w:top w:val="nil"/>
              <w:left w:val="single" w:sz="12" w:space="0" w:color="000000"/>
              <w:bottom w:val="single" w:sz="8" w:space="0" w:color="auto"/>
            </w:tcBorders>
            <w:shd w:val="clear" w:color="000000" w:fill="FCE4D6"/>
            <w:vAlign w:val="center"/>
            <w:hideMark/>
          </w:tcPr>
          <w:p w14:paraId="52D95E74" w14:textId="77777777" w:rsidR="00745C06" w:rsidRPr="00A122D2" w:rsidRDefault="00745C06" w:rsidP="00582692">
            <w:pPr>
              <w:rPr>
                <w:rFonts w:ascii="Calibri" w:hAnsi="Calibri" w:cs="Calibri"/>
                <w:b/>
                <w:bCs/>
                <w:color w:val="000000"/>
                <w:sz w:val="20"/>
                <w:szCs w:val="20"/>
              </w:rPr>
            </w:pPr>
            <w:r w:rsidRPr="00A122D2">
              <w:rPr>
                <w:rFonts w:ascii="Calibri" w:hAnsi="Calibri" w:cs="Calibri"/>
                <w:b/>
                <w:bCs/>
                <w:color w:val="000000"/>
                <w:sz w:val="20"/>
                <w:szCs w:val="20"/>
              </w:rPr>
              <w:t xml:space="preserve">Clinical features </w:t>
            </w:r>
          </w:p>
        </w:tc>
        <w:tc>
          <w:tcPr>
            <w:tcW w:w="1559" w:type="dxa"/>
            <w:tcBorders>
              <w:top w:val="nil"/>
              <w:left w:val="nil"/>
              <w:bottom w:val="single" w:sz="8" w:space="0" w:color="auto"/>
            </w:tcBorders>
            <w:shd w:val="clear" w:color="000000" w:fill="FCE4D6"/>
            <w:vAlign w:val="center"/>
            <w:hideMark/>
          </w:tcPr>
          <w:p w14:paraId="78096AD1"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560" w:type="dxa"/>
            <w:tcBorders>
              <w:top w:val="nil"/>
              <w:left w:val="nil"/>
              <w:bottom w:val="single" w:sz="8" w:space="0" w:color="auto"/>
            </w:tcBorders>
            <w:shd w:val="clear" w:color="000000" w:fill="FCE4D6"/>
            <w:vAlign w:val="center"/>
            <w:hideMark/>
          </w:tcPr>
          <w:p w14:paraId="1C53DC99"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559" w:type="dxa"/>
            <w:tcBorders>
              <w:top w:val="nil"/>
              <w:left w:val="nil"/>
              <w:bottom w:val="single" w:sz="8" w:space="0" w:color="auto"/>
            </w:tcBorders>
            <w:shd w:val="clear" w:color="000000" w:fill="FCE4D6"/>
            <w:vAlign w:val="center"/>
            <w:hideMark/>
          </w:tcPr>
          <w:p w14:paraId="5842990C"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843" w:type="dxa"/>
            <w:tcBorders>
              <w:top w:val="nil"/>
              <w:left w:val="nil"/>
              <w:bottom w:val="single" w:sz="8" w:space="0" w:color="auto"/>
            </w:tcBorders>
            <w:shd w:val="clear" w:color="000000" w:fill="FCE4D6"/>
            <w:vAlign w:val="center"/>
            <w:hideMark/>
          </w:tcPr>
          <w:p w14:paraId="0DF6356F"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559" w:type="dxa"/>
            <w:tcBorders>
              <w:top w:val="nil"/>
              <w:left w:val="nil"/>
              <w:bottom w:val="single" w:sz="8" w:space="0" w:color="auto"/>
            </w:tcBorders>
            <w:shd w:val="clear" w:color="000000" w:fill="FCE4D6"/>
            <w:vAlign w:val="center"/>
            <w:hideMark/>
          </w:tcPr>
          <w:p w14:paraId="396C8F28"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417" w:type="dxa"/>
            <w:tcBorders>
              <w:top w:val="nil"/>
              <w:left w:val="nil"/>
              <w:bottom w:val="single" w:sz="8" w:space="0" w:color="auto"/>
            </w:tcBorders>
            <w:shd w:val="clear" w:color="000000" w:fill="FCE4D6"/>
            <w:vAlign w:val="center"/>
            <w:hideMark/>
          </w:tcPr>
          <w:p w14:paraId="14BCD557"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418" w:type="dxa"/>
            <w:tcBorders>
              <w:top w:val="nil"/>
              <w:left w:val="nil"/>
              <w:bottom w:val="single" w:sz="8" w:space="0" w:color="auto"/>
              <w:right w:val="single" w:sz="12" w:space="0" w:color="000000"/>
            </w:tcBorders>
            <w:shd w:val="clear" w:color="000000" w:fill="FCE4D6"/>
            <w:vAlign w:val="center"/>
            <w:hideMark/>
          </w:tcPr>
          <w:p w14:paraId="2B511BFC"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r>
      <w:tr w:rsidR="00745C06" w:rsidRPr="00A122D2" w14:paraId="7EB71741" w14:textId="77777777" w:rsidTr="00582692">
        <w:trPr>
          <w:trHeight w:val="343"/>
        </w:trPr>
        <w:tc>
          <w:tcPr>
            <w:tcW w:w="4537" w:type="dxa"/>
            <w:tcBorders>
              <w:top w:val="nil"/>
              <w:left w:val="single" w:sz="12" w:space="0" w:color="000000"/>
              <w:bottom w:val="single" w:sz="8" w:space="0" w:color="auto"/>
              <w:right w:val="single" w:sz="8" w:space="0" w:color="auto"/>
            </w:tcBorders>
            <w:shd w:val="clear" w:color="auto" w:fill="auto"/>
            <w:vAlign w:val="center"/>
            <w:hideMark/>
          </w:tcPr>
          <w:p w14:paraId="06B2176D"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Systemic features (fever, shock, hypotension, rash)</w:t>
            </w:r>
          </w:p>
        </w:tc>
        <w:tc>
          <w:tcPr>
            <w:tcW w:w="1559" w:type="dxa"/>
            <w:tcBorders>
              <w:top w:val="nil"/>
              <w:left w:val="nil"/>
              <w:bottom w:val="single" w:sz="8" w:space="0" w:color="auto"/>
              <w:right w:val="single" w:sz="8" w:space="0" w:color="auto"/>
            </w:tcBorders>
            <w:shd w:val="clear" w:color="auto" w:fill="auto"/>
            <w:vAlign w:val="center"/>
            <w:hideMark/>
          </w:tcPr>
          <w:p w14:paraId="79397454"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6 (86)</w:t>
            </w:r>
          </w:p>
        </w:tc>
        <w:tc>
          <w:tcPr>
            <w:tcW w:w="1560" w:type="dxa"/>
            <w:tcBorders>
              <w:top w:val="nil"/>
              <w:left w:val="nil"/>
              <w:bottom w:val="single" w:sz="8" w:space="0" w:color="auto"/>
              <w:right w:val="single" w:sz="8" w:space="0" w:color="auto"/>
            </w:tcBorders>
            <w:shd w:val="clear" w:color="auto" w:fill="auto"/>
            <w:vAlign w:val="center"/>
            <w:hideMark/>
          </w:tcPr>
          <w:p w14:paraId="2C30C283"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3 (60)</w:t>
            </w:r>
          </w:p>
        </w:tc>
        <w:tc>
          <w:tcPr>
            <w:tcW w:w="1559" w:type="dxa"/>
            <w:tcBorders>
              <w:top w:val="nil"/>
              <w:left w:val="nil"/>
              <w:bottom w:val="single" w:sz="8" w:space="0" w:color="auto"/>
              <w:right w:val="single" w:sz="8" w:space="0" w:color="auto"/>
            </w:tcBorders>
            <w:shd w:val="clear" w:color="auto" w:fill="auto"/>
            <w:vAlign w:val="center"/>
            <w:hideMark/>
          </w:tcPr>
          <w:p w14:paraId="65A2E923"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843" w:type="dxa"/>
            <w:tcBorders>
              <w:top w:val="nil"/>
              <w:left w:val="nil"/>
              <w:bottom w:val="single" w:sz="8" w:space="0" w:color="auto"/>
              <w:right w:val="single" w:sz="8" w:space="0" w:color="auto"/>
            </w:tcBorders>
            <w:shd w:val="clear" w:color="auto" w:fill="auto"/>
            <w:vAlign w:val="center"/>
            <w:hideMark/>
          </w:tcPr>
          <w:p w14:paraId="35D6E3D8"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6 (67)</w:t>
            </w:r>
          </w:p>
        </w:tc>
        <w:tc>
          <w:tcPr>
            <w:tcW w:w="1559" w:type="dxa"/>
            <w:tcBorders>
              <w:top w:val="nil"/>
              <w:left w:val="nil"/>
              <w:bottom w:val="single" w:sz="8" w:space="0" w:color="auto"/>
              <w:right w:val="single" w:sz="8" w:space="0" w:color="auto"/>
            </w:tcBorders>
            <w:shd w:val="clear" w:color="auto" w:fill="auto"/>
            <w:vAlign w:val="center"/>
            <w:hideMark/>
          </w:tcPr>
          <w:p w14:paraId="0FEFA02D"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7" w:type="dxa"/>
            <w:tcBorders>
              <w:top w:val="nil"/>
              <w:left w:val="nil"/>
              <w:bottom w:val="single" w:sz="8" w:space="0" w:color="auto"/>
              <w:right w:val="single" w:sz="8" w:space="0" w:color="auto"/>
            </w:tcBorders>
            <w:shd w:val="clear" w:color="auto" w:fill="auto"/>
            <w:vAlign w:val="center"/>
            <w:hideMark/>
          </w:tcPr>
          <w:p w14:paraId="76E0957E"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8" w:type="dxa"/>
            <w:tcBorders>
              <w:top w:val="nil"/>
              <w:left w:val="nil"/>
              <w:bottom w:val="single" w:sz="8" w:space="0" w:color="auto"/>
              <w:right w:val="single" w:sz="12" w:space="0" w:color="000000"/>
            </w:tcBorders>
            <w:shd w:val="clear" w:color="auto" w:fill="auto"/>
            <w:vAlign w:val="center"/>
            <w:hideMark/>
          </w:tcPr>
          <w:p w14:paraId="20D3F6FD"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r>
      <w:tr w:rsidR="00745C06" w:rsidRPr="00A122D2" w14:paraId="46BF56B7" w14:textId="77777777" w:rsidTr="00582692">
        <w:trPr>
          <w:trHeight w:val="419"/>
        </w:trPr>
        <w:tc>
          <w:tcPr>
            <w:tcW w:w="4537" w:type="dxa"/>
            <w:tcBorders>
              <w:top w:val="nil"/>
              <w:left w:val="single" w:sz="12" w:space="0" w:color="000000"/>
              <w:bottom w:val="single" w:sz="8" w:space="0" w:color="auto"/>
              <w:right w:val="single" w:sz="8" w:space="0" w:color="auto"/>
            </w:tcBorders>
            <w:shd w:val="clear" w:color="auto" w:fill="auto"/>
            <w:vAlign w:val="center"/>
            <w:hideMark/>
          </w:tcPr>
          <w:p w14:paraId="51042687"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Respiratory involvement at presentation</w:t>
            </w:r>
          </w:p>
        </w:tc>
        <w:tc>
          <w:tcPr>
            <w:tcW w:w="1559" w:type="dxa"/>
            <w:tcBorders>
              <w:top w:val="nil"/>
              <w:left w:val="nil"/>
              <w:bottom w:val="single" w:sz="8" w:space="0" w:color="auto"/>
              <w:right w:val="single" w:sz="8" w:space="0" w:color="auto"/>
            </w:tcBorders>
            <w:shd w:val="clear" w:color="auto" w:fill="auto"/>
            <w:vAlign w:val="center"/>
            <w:hideMark/>
          </w:tcPr>
          <w:p w14:paraId="2746E415"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2 (29)</w:t>
            </w:r>
          </w:p>
        </w:tc>
        <w:tc>
          <w:tcPr>
            <w:tcW w:w="1560" w:type="dxa"/>
            <w:tcBorders>
              <w:top w:val="nil"/>
              <w:left w:val="nil"/>
              <w:bottom w:val="single" w:sz="8" w:space="0" w:color="auto"/>
              <w:right w:val="single" w:sz="8" w:space="0" w:color="auto"/>
            </w:tcBorders>
            <w:shd w:val="clear" w:color="auto" w:fill="auto"/>
            <w:vAlign w:val="center"/>
            <w:hideMark/>
          </w:tcPr>
          <w:p w14:paraId="65A8C7B4"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2 (40)</w:t>
            </w:r>
          </w:p>
        </w:tc>
        <w:tc>
          <w:tcPr>
            <w:tcW w:w="1559" w:type="dxa"/>
            <w:tcBorders>
              <w:top w:val="nil"/>
              <w:left w:val="nil"/>
              <w:bottom w:val="single" w:sz="8" w:space="0" w:color="auto"/>
              <w:right w:val="single" w:sz="8" w:space="0" w:color="auto"/>
            </w:tcBorders>
            <w:shd w:val="clear" w:color="auto" w:fill="auto"/>
            <w:vAlign w:val="center"/>
            <w:hideMark/>
          </w:tcPr>
          <w:p w14:paraId="17022893"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843" w:type="dxa"/>
            <w:tcBorders>
              <w:top w:val="nil"/>
              <w:left w:val="nil"/>
              <w:bottom w:val="single" w:sz="8" w:space="0" w:color="auto"/>
              <w:right w:val="single" w:sz="8" w:space="0" w:color="auto"/>
            </w:tcBorders>
            <w:shd w:val="clear" w:color="auto" w:fill="auto"/>
            <w:vAlign w:val="center"/>
            <w:hideMark/>
          </w:tcPr>
          <w:p w14:paraId="48DB3D42"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(11)</w:t>
            </w:r>
          </w:p>
        </w:tc>
        <w:tc>
          <w:tcPr>
            <w:tcW w:w="1559" w:type="dxa"/>
            <w:tcBorders>
              <w:top w:val="nil"/>
              <w:left w:val="nil"/>
              <w:bottom w:val="single" w:sz="8" w:space="0" w:color="auto"/>
              <w:right w:val="single" w:sz="8" w:space="0" w:color="auto"/>
            </w:tcBorders>
            <w:shd w:val="clear" w:color="auto" w:fill="auto"/>
            <w:vAlign w:val="center"/>
            <w:hideMark/>
          </w:tcPr>
          <w:p w14:paraId="1DC9ED1D"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(50)</w:t>
            </w:r>
          </w:p>
        </w:tc>
        <w:tc>
          <w:tcPr>
            <w:tcW w:w="1417" w:type="dxa"/>
            <w:tcBorders>
              <w:top w:val="nil"/>
              <w:left w:val="nil"/>
              <w:bottom w:val="single" w:sz="8" w:space="0" w:color="auto"/>
              <w:right w:val="single" w:sz="8" w:space="0" w:color="auto"/>
            </w:tcBorders>
            <w:shd w:val="clear" w:color="auto" w:fill="auto"/>
            <w:vAlign w:val="center"/>
            <w:hideMark/>
          </w:tcPr>
          <w:p w14:paraId="669A26BB"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8" w:type="dxa"/>
            <w:tcBorders>
              <w:top w:val="nil"/>
              <w:left w:val="nil"/>
              <w:bottom w:val="single" w:sz="8" w:space="0" w:color="auto"/>
              <w:right w:val="single" w:sz="12" w:space="0" w:color="000000"/>
            </w:tcBorders>
            <w:shd w:val="clear" w:color="auto" w:fill="auto"/>
            <w:vAlign w:val="center"/>
            <w:hideMark/>
          </w:tcPr>
          <w:p w14:paraId="42CCD2CA"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r>
      <w:tr w:rsidR="00745C06" w:rsidRPr="00A122D2" w14:paraId="37365E82" w14:textId="77777777" w:rsidTr="00582692">
        <w:trPr>
          <w:trHeight w:val="348"/>
        </w:trPr>
        <w:tc>
          <w:tcPr>
            <w:tcW w:w="4537" w:type="dxa"/>
            <w:tcBorders>
              <w:top w:val="nil"/>
              <w:left w:val="single" w:sz="12" w:space="0" w:color="000000"/>
              <w:bottom w:val="single" w:sz="8" w:space="0" w:color="auto"/>
              <w:right w:val="single" w:sz="8" w:space="0" w:color="auto"/>
            </w:tcBorders>
            <w:shd w:val="clear" w:color="auto" w:fill="auto"/>
            <w:vAlign w:val="center"/>
            <w:hideMark/>
          </w:tcPr>
          <w:p w14:paraId="356E8153"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Encephalopathy</w:t>
            </w:r>
          </w:p>
        </w:tc>
        <w:tc>
          <w:tcPr>
            <w:tcW w:w="1559" w:type="dxa"/>
            <w:tcBorders>
              <w:top w:val="nil"/>
              <w:left w:val="nil"/>
              <w:bottom w:val="single" w:sz="8" w:space="0" w:color="auto"/>
              <w:right w:val="single" w:sz="8" w:space="0" w:color="auto"/>
            </w:tcBorders>
            <w:shd w:val="clear" w:color="auto" w:fill="auto"/>
            <w:vAlign w:val="center"/>
            <w:hideMark/>
          </w:tcPr>
          <w:p w14:paraId="6B6414A2"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4 (57)</w:t>
            </w:r>
          </w:p>
        </w:tc>
        <w:tc>
          <w:tcPr>
            <w:tcW w:w="1560" w:type="dxa"/>
            <w:tcBorders>
              <w:top w:val="nil"/>
              <w:left w:val="nil"/>
              <w:bottom w:val="single" w:sz="8" w:space="0" w:color="auto"/>
              <w:right w:val="single" w:sz="8" w:space="0" w:color="auto"/>
            </w:tcBorders>
            <w:shd w:val="clear" w:color="auto" w:fill="auto"/>
            <w:vAlign w:val="center"/>
            <w:hideMark/>
          </w:tcPr>
          <w:p w14:paraId="79786FA0"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14:paraId="1C5F592B"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1(100)</w:t>
            </w:r>
          </w:p>
        </w:tc>
        <w:tc>
          <w:tcPr>
            <w:tcW w:w="1843" w:type="dxa"/>
            <w:tcBorders>
              <w:top w:val="nil"/>
              <w:left w:val="nil"/>
              <w:bottom w:val="single" w:sz="8" w:space="0" w:color="auto"/>
              <w:right w:val="single" w:sz="8" w:space="0" w:color="auto"/>
            </w:tcBorders>
            <w:shd w:val="clear" w:color="auto" w:fill="auto"/>
            <w:vAlign w:val="center"/>
            <w:hideMark/>
          </w:tcPr>
          <w:p w14:paraId="10EC8CD5"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9 (100)</w:t>
            </w:r>
          </w:p>
        </w:tc>
        <w:tc>
          <w:tcPr>
            <w:tcW w:w="1559" w:type="dxa"/>
            <w:tcBorders>
              <w:top w:val="nil"/>
              <w:left w:val="nil"/>
              <w:bottom w:val="single" w:sz="8" w:space="0" w:color="auto"/>
              <w:right w:val="single" w:sz="8" w:space="0" w:color="auto"/>
            </w:tcBorders>
            <w:shd w:val="clear" w:color="auto" w:fill="auto"/>
            <w:vAlign w:val="center"/>
            <w:hideMark/>
          </w:tcPr>
          <w:p w14:paraId="5DE3826C"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7" w:type="dxa"/>
            <w:tcBorders>
              <w:top w:val="nil"/>
              <w:left w:val="nil"/>
              <w:bottom w:val="single" w:sz="8" w:space="0" w:color="auto"/>
              <w:right w:val="single" w:sz="8" w:space="0" w:color="auto"/>
            </w:tcBorders>
            <w:shd w:val="clear" w:color="auto" w:fill="auto"/>
            <w:vAlign w:val="center"/>
            <w:hideMark/>
          </w:tcPr>
          <w:p w14:paraId="7C0F482A"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8" w:type="dxa"/>
            <w:tcBorders>
              <w:top w:val="nil"/>
              <w:left w:val="nil"/>
              <w:bottom w:val="single" w:sz="8" w:space="0" w:color="auto"/>
              <w:right w:val="single" w:sz="12" w:space="0" w:color="000000"/>
            </w:tcBorders>
            <w:shd w:val="clear" w:color="auto" w:fill="auto"/>
            <w:vAlign w:val="center"/>
            <w:hideMark/>
          </w:tcPr>
          <w:p w14:paraId="715078C7"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r>
      <w:tr w:rsidR="00745C06" w:rsidRPr="00A122D2" w14:paraId="5EEA269F" w14:textId="77777777" w:rsidTr="00582692">
        <w:trPr>
          <w:trHeight w:val="348"/>
        </w:trPr>
        <w:tc>
          <w:tcPr>
            <w:tcW w:w="4537" w:type="dxa"/>
            <w:tcBorders>
              <w:top w:val="nil"/>
              <w:left w:val="single" w:sz="12" w:space="0" w:color="000000"/>
              <w:bottom w:val="single" w:sz="8" w:space="0" w:color="auto"/>
              <w:right w:val="single" w:sz="8" w:space="0" w:color="auto"/>
            </w:tcBorders>
            <w:shd w:val="clear" w:color="auto" w:fill="auto"/>
            <w:vAlign w:val="center"/>
            <w:hideMark/>
          </w:tcPr>
          <w:p w14:paraId="3BD47094"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Seizures</w:t>
            </w:r>
          </w:p>
        </w:tc>
        <w:tc>
          <w:tcPr>
            <w:tcW w:w="1559" w:type="dxa"/>
            <w:tcBorders>
              <w:top w:val="nil"/>
              <w:left w:val="nil"/>
              <w:bottom w:val="single" w:sz="8" w:space="0" w:color="auto"/>
              <w:right w:val="single" w:sz="8" w:space="0" w:color="auto"/>
            </w:tcBorders>
            <w:shd w:val="clear" w:color="auto" w:fill="auto"/>
            <w:vAlign w:val="center"/>
            <w:hideMark/>
          </w:tcPr>
          <w:p w14:paraId="5FEF9EF4"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560" w:type="dxa"/>
            <w:tcBorders>
              <w:top w:val="nil"/>
              <w:left w:val="nil"/>
              <w:bottom w:val="single" w:sz="8" w:space="0" w:color="auto"/>
              <w:right w:val="single" w:sz="8" w:space="0" w:color="auto"/>
            </w:tcBorders>
            <w:shd w:val="clear" w:color="auto" w:fill="auto"/>
            <w:vAlign w:val="center"/>
            <w:hideMark/>
          </w:tcPr>
          <w:p w14:paraId="06B1D188"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14:paraId="6EC00E8B"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1(100)</w:t>
            </w:r>
          </w:p>
        </w:tc>
        <w:tc>
          <w:tcPr>
            <w:tcW w:w="1843" w:type="dxa"/>
            <w:tcBorders>
              <w:top w:val="nil"/>
              <w:left w:val="nil"/>
              <w:bottom w:val="single" w:sz="8" w:space="0" w:color="auto"/>
              <w:right w:val="single" w:sz="8" w:space="0" w:color="auto"/>
            </w:tcBorders>
            <w:shd w:val="clear" w:color="auto" w:fill="auto"/>
            <w:vAlign w:val="center"/>
            <w:hideMark/>
          </w:tcPr>
          <w:p w14:paraId="58FAD6EB"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7 (78)</w:t>
            </w:r>
          </w:p>
        </w:tc>
        <w:tc>
          <w:tcPr>
            <w:tcW w:w="1559" w:type="dxa"/>
            <w:tcBorders>
              <w:top w:val="nil"/>
              <w:left w:val="nil"/>
              <w:bottom w:val="single" w:sz="8" w:space="0" w:color="auto"/>
              <w:right w:val="single" w:sz="8" w:space="0" w:color="auto"/>
            </w:tcBorders>
            <w:shd w:val="clear" w:color="auto" w:fill="auto"/>
            <w:vAlign w:val="center"/>
            <w:hideMark/>
          </w:tcPr>
          <w:p w14:paraId="2A13C8EB"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7" w:type="dxa"/>
            <w:tcBorders>
              <w:top w:val="nil"/>
              <w:left w:val="nil"/>
              <w:bottom w:val="single" w:sz="8" w:space="0" w:color="auto"/>
              <w:right w:val="single" w:sz="8" w:space="0" w:color="auto"/>
            </w:tcBorders>
            <w:shd w:val="clear" w:color="auto" w:fill="auto"/>
            <w:vAlign w:val="center"/>
            <w:hideMark/>
          </w:tcPr>
          <w:p w14:paraId="540FA727"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8" w:type="dxa"/>
            <w:tcBorders>
              <w:top w:val="nil"/>
              <w:left w:val="nil"/>
              <w:bottom w:val="single" w:sz="8" w:space="0" w:color="auto"/>
              <w:right w:val="single" w:sz="12" w:space="0" w:color="000000"/>
            </w:tcBorders>
            <w:shd w:val="clear" w:color="auto" w:fill="auto"/>
            <w:vAlign w:val="center"/>
            <w:hideMark/>
          </w:tcPr>
          <w:p w14:paraId="778C5D74"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r>
      <w:tr w:rsidR="00745C06" w:rsidRPr="00A122D2" w14:paraId="33E26CB2" w14:textId="77777777" w:rsidTr="00582692">
        <w:trPr>
          <w:trHeight w:val="348"/>
        </w:trPr>
        <w:tc>
          <w:tcPr>
            <w:tcW w:w="4537" w:type="dxa"/>
            <w:tcBorders>
              <w:top w:val="nil"/>
              <w:left w:val="single" w:sz="12" w:space="0" w:color="000000"/>
              <w:bottom w:val="single" w:sz="8" w:space="0" w:color="auto"/>
              <w:right w:val="single" w:sz="8" w:space="0" w:color="auto"/>
            </w:tcBorders>
            <w:shd w:val="clear" w:color="auto" w:fill="auto"/>
            <w:vAlign w:val="center"/>
            <w:hideMark/>
          </w:tcPr>
          <w:p w14:paraId="57D888C9"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Headache/</w:t>
            </w:r>
            <w:r>
              <w:rPr>
                <w:rFonts w:ascii="Calibri" w:hAnsi="Calibri" w:cs="Calibri"/>
                <w:color w:val="000000"/>
                <w:sz w:val="20"/>
                <w:szCs w:val="20"/>
              </w:rPr>
              <w:t xml:space="preserve"> </w:t>
            </w:r>
            <w:r w:rsidRPr="00A122D2">
              <w:rPr>
                <w:rFonts w:ascii="Calibri" w:hAnsi="Calibri" w:cs="Calibri"/>
                <w:color w:val="000000"/>
                <w:sz w:val="20"/>
                <w:szCs w:val="20"/>
              </w:rPr>
              <w:t>meningism</w:t>
            </w:r>
          </w:p>
        </w:tc>
        <w:tc>
          <w:tcPr>
            <w:tcW w:w="1559" w:type="dxa"/>
            <w:tcBorders>
              <w:top w:val="nil"/>
              <w:left w:val="nil"/>
              <w:bottom w:val="single" w:sz="8" w:space="0" w:color="auto"/>
              <w:right w:val="single" w:sz="8" w:space="0" w:color="auto"/>
            </w:tcBorders>
            <w:shd w:val="clear" w:color="auto" w:fill="auto"/>
            <w:vAlign w:val="center"/>
            <w:hideMark/>
          </w:tcPr>
          <w:p w14:paraId="29047DDC"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2 (29)</w:t>
            </w:r>
          </w:p>
        </w:tc>
        <w:tc>
          <w:tcPr>
            <w:tcW w:w="1560" w:type="dxa"/>
            <w:tcBorders>
              <w:top w:val="nil"/>
              <w:left w:val="nil"/>
              <w:bottom w:val="single" w:sz="8" w:space="0" w:color="auto"/>
              <w:right w:val="single" w:sz="8" w:space="0" w:color="auto"/>
            </w:tcBorders>
            <w:shd w:val="clear" w:color="auto" w:fill="auto"/>
            <w:vAlign w:val="center"/>
            <w:hideMark/>
          </w:tcPr>
          <w:p w14:paraId="2C5D178C"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(20)</w:t>
            </w:r>
          </w:p>
        </w:tc>
        <w:tc>
          <w:tcPr>
            <w:tcW w:w="1559" w:type="dxa"/>
            <w:tcBorders>
              <w:top w:val="nil"/>
              <w:left w:val="nil"/>
              <w:bottom w:val="single" w:sz="8" w:space="0" w:color="auto"/>
              <w:right w:val="single" w:sz="8" w:space="0" w:color="auto"/>
            </w:tcBorders>
            <w:shd w:val="clear" w:color="auto" w:fill="auto"/>
            <w:vAlign w:val="center"/>
            <w:hideMark/>
          </w:tcPr>
          <w:p w14:paraId="0A5D194C"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843" w:type="dxa"/>
            <w:tcBorders>
              <w:top w:val="nil"/>
              <w:left w:val="nil"/>
              <w:bottom w:val="single" w:sz="8" w:space="0" w:color="auto"/>
              <w:right w:val="single" w:sz="8" w:space="0" w:color="auto"/>
            </w:tcBorders>
            <w:shd w:val="clear" w:color="auto" w:fill="auto"/>
            <w:vAlign w:val="center"/>
            <w:hideMark/>
          </w:tcPr>
          <w:p w14:paraId="30A03E5E"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(11)</w:t>
            </w:r>
          </w:p>
        </w:tc>
        <w:tc>
          <w:tcPr>
            <w:tcW w:w="1559" w:type="dxa"/>
            <w:tcBorders>
              <w:top w:val="nil"/>
              <w:left w:val="nil"/>
              <w:bottom w:val="single" w:sz="8" w:space="0" w:color="auto"/>
              <w:right w:val="single" w:sz="8" w:space="0" w:color="auto"/>
            </w:tcBorders>
            <w:shd w:val="clear" w:color="auto" w:fill="auto"/>
            <w:vAlign w:val="center"/>
            <w:hideMark/>
          </w:tcPr>
          <w:p w14:paraId="0E857A1D"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7" w:type="dxa"/>
            <w:tcBorders>
              <w:top w:val="nil"/>
              <w:left w:val="nil"/>
              <w:bottom w:val="single" w:sz="8" w:space="0" w:color="auto"/>
              <w:right w:val="single" w:sz="8" w:space="0" w:color="auto"/>
            </w:tcBorders>
            <w:shd w:val="clear" w:color="auto" w:fill="auto"/>
            <w:vAlign w:val="center"/>
            <w:hideMark/>
          </w:tcPr>
          <w:p w14:paraId="31AA5578"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8" w:type="dxa"/>
            <w:tcBorders>
              <w:top w:val="nil"/>
              <w:left w:val="nil"/>
              <w:bottom w:val="single" w:sz="8" w:space="0" w:color="auto"/>
              <w:right w:val="single" w:sz="12" w:space="0" w:color="000000"/>
            </w:tcBorders>
            <w:shd w:val="clear" w:color="auto" w:fill="auto"/>
            <w:vAlign w:val="center"/>
            <w:hideMark/>
          </w:tcPr>
          <w:p w14:paraId="6E9DB981"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r>
      <w:tr w:rsidR="00745C06" w:rsidRPr="00A122D2" w14:paraId="79FCA269" w14:textId="77777777" w:rsidTr="00582692">
        <w:trPr>
          <w:trHeight w:val="348"/>
        </w:trPr>
        <w:tc>
          <w:tcPr>
            <w:tcW w:w="4537" w:type="dxa"/>
            <w:tcBorders>
              <w:top w:val="nil"/>
              <w:left w:val="single" w:sz="12" w:space="0" w:color="000000"/>
              <w:bottom w:val="single" w:sz="8" w:space="0" w:color="auto"/>
              <w:right w:val="single" w:sz="8" w:space="0" w:color="auto"/>
            </w:tcBorders>
            <w:shd w:val="clear" w:color="auto" w:fill="auto"/>
            <w:vAlign w:val="center"/>
            <w:hideMark/>
          </w:tcPr>
          <w:p w14:paraId="1070B29F"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PNS involvement</w:t>
            </w:r>
          </w:p>
        </w:tc>
        <w:tc>
          <w:tcPr>
            <w:tcW w:w="1559" w:type="dxa"/>
            <w:tcBorders>
              <w:top w:val="nil"/>
              <w:left w:val="nil"/>
              <w:bottom w:val="single" w:sz="8" w:space="0" w:color="auto"/>
              <w:right w:val="single" w:sz="8" w:space="0" w:color="auto"/>
            </w:tcBorders>
            <w:shd w:val="clear" w:color="auto" w:fill="auto"/>
            <w:vAlign w:val="center"/>
            <w:hideMark/>
          </w:tcPr>
          <w:p w14:paraId="4E813BF4"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560" w:type="dxa"/>
            <w:tcBorders>
              <w:top w:val="nil"/>
              <w:left w:val="nil"/>
              <w:bottom w:val="single" w:sz="8" w:space="0" w:color="auto"/>
              <w:right w:val="single" w:sz="8" w:space="0" w:color="auto"/>
            </w:tcBorders>
            <w:shd w:val="clear" w:color="auto" w:fill="auto"/>
            <w:vAlign w:val="center"/>
            <w:hideMark/>
          </w:tcPr>
          <w:p w14:paraId="4EE5D056"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5 (100)</w:t>
            </w:r>
          </w:p>
        </w:tc>
        <w:tc>
          <w:tcPr>
            <w:tcW w:w="1559" w:type="dxa"/>
            <w:tcBorders>
              <w:top w:val="nil"/>
              <w:left w:val="nil"/>
              <w:bottom w:val="single" w:sz="8" w:space="0" w:color="auto"/>
              <w:right w:val="single" w:sz="8" w:space="0" w:color="auto"/>
            </w:tcBorders>
            <w:shd w:val="clear" w:color="auto" w:fill="auto"/>
            <w:vAlign w:val="center"/>
            <w:hideMark/>
          </w:tcPr>
          <w:p w14:paraId="61766522"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843" w:type="dxa"/>
            <w:tcBorders>
              <w:top w:val="nil"/>
              <w:left w:val="nil"/>
              <w:bottom w:val="single" w:sz="8" w:space="0" w:color="auto"/>
              <w:right w:val="single" w:sz="8" w:space="0" w:color="auto"/>
            </w:tcBorders>
            <w:shd w:val="clear" w:color="auto" w:fill="auto"/>
            <w:vAlign w:val="center"/>
            <w:hideMark/>
          </w:tcPr>
          <w:p w14:paraId="1612A6CA"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14:paraId="64955A43"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7" w:type="dxa"/>
            <w:tcBorders>
              <w:top w:val="nil"/>
              <w:left w:val="nil"/>
              <w:bottom w:val="single" w:sz="8" w:space="0" w:color="auto"/>
              <w:right w:val="single" w:sz="8" w:space="0" w:color="auto"/>
            </w:tcBorders>
            <w:shd w:val="clear" w:color="auto" w:fill="auto"/>
            <w:vAlign w:val="center"/>
            <w:hideMark/>
          </w:tcPr>
          <w:p w14:paraId="50B4B619"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2 (100)</w:t>
            </w:r>
          </w:p>
        </w:tc>
        <w:tc>
          <w:tcPr>
            <w:tcW w:w="1418" w:type="dxa"/>
            <w:tcBorders>
              <w:top w:val="nil"/>
              <w:left w:val="nil"/>
              <w:bottom w:val="single" w:sz="8" w:space="0" w:color="auto"/>
              <w:right w:val="single" w:sz="12" w:space="0" w:color="000000"/>
            </w:tcBorders>
            <w:shd w:val="clear" w:color="auto" w:fill="auto"/>
            <w:vAlign w:val="center"/>
            <w:hideMark/>
          </w:tcPr>
          <w:p w14:paraId="3FBABD4A"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r>
      <w:tr w:rsidR="00745C06" w:rsidRPr="00A122D2" w14:paraId="2E7F8BC4" w14:textId="77777777" w:rsidTr="00582692">
        <w:trPr>
          <w:trHeight w:val="348"/>
        </w:trPr>
        <w:tc>
          <w:tcPr>
            <w:tcW w:w="4537" w:type="dxa"/>
            <w:tcBorders>
              <w:top w:val="nil"/>
              <w:left w:val="single" w:sz="12" w:space="0" w:color="000000"/>
              <w:bottom w:val="single" w:sz="8" w:space="0" w:color="auto"/>
              <w:right w:val="single" w:sz="8" w:space="0" w:color="auto"/>
            </w:tcBorders>
            <w:shd w:val="clear" w:color="auto" w:fill="auto"/>
            <w:vAlign w:val="center"/>
            <w:hideMark/>
          </w:tcPr>
          <w:p w14:paraId="6BEF90E0"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Focal CNS involvement</w:t>
            </w:r>
          </w:p>
        </w:tc>
        <w:tc>
          <w:tcPr>
            <w:tcW w:w="1559" w:type="dxa"/>
            <w:tcBorders>
              <w:top w:val="nil"/>
              <w:left w:val="nil"/>
              <w:bottom w:val="single" w:sz="8" w:space="0" w:color="auto"/>
              <w:right w:val="single" w:sz="8" w:space="0" w:color="auto"/>
            </w:tcBorders>
            <w:shd w:val="clear" w:color="auto" w:fill="auto"/>
            <w:vAlign w:val="center"/>
            <w:hideMark/>
          </w:tcPr>
          <w:p w14:paraId="6095CF98"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3 (43)</w:t>
            </w:r>
          </w:p>
        </w:tc>
        <w:tc>
          <w:tcPr>
            <w:tcW w:w="1560" w:type="dxa"/>
            <w:tcBorders>
              <w:top w:val="nil"/>
              <w:left w:val="nil"/>
              <w:bottom w:val="single" w:sz="8" w:space="0" w:color="auto"/>
              <w:right w:val="single" w:sz="8" w:space="0" w:color="auto"/>
            </w:tcBorders>
            <w:shd w:val="clear" w:color="auto" w:fill="auto"/>
            <w:vAlign w:val="center"/>
            <w:hideMark/>
          </w:tcPr>
          <w:p w14:paraId="6E49DB8C"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14:paraId="22788831"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843" w:type="dxa"/>
            <w:tcBorders>
              <w:top w:val="nil"/>
              <w:left w:val="nil"/>
              <w:bottom w:val="single" w:sz="8" w:space="0" w:color="auto"/>
              <w:right w:val="single" w:sz="8" w:space="0" w:color="auto"/>
            </w:tcBorders>
            <w:shd w:val="clear" w:color="auto" w:fill="auto"/>
            <w:vAlign w:val="center"/>
            <w:hideMark/>
          </w:tcPr>
          <w:p w14:paraId="050D7CDF"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14:paraId="717C2BE9"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7" w:type="dxa"/>
            <w:tcBorders>
              <w:top w:val="nil"/>
              <w:left w:val="nil"/>
              <w:bottom w:val="single" w:sz="8" w:space="0" w:color="auto"/>
              <w:right w:val="single" w:sz="8" w:space="0" w:color="auto"/>
            </w:tcBorders>
            <w:shd w:val="clear" w:color="auto" w:fill="auto"/>
            <w:vAlign w:val="center"/>
            <w:hideMark/>
          </w:tcPr>
          <w:p w14:paraId="43AD6CA0"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8" w:type="dxa"/>
            <w:tcBorders>
              <w:top w:val="nil"/>
              <w:left w:val="nil"/>
              <w:bottom w:val="single" w:sz="8" w:space="0" w:color="auto"/>
              <w:right w:val="single" w:sz="12" w:space="0" w:color="000000"/>
            </w:tcBorders>
            <w:shd w:val="clear" w:color="auto" w:fill="auto"/>
            <w:vAlign w:val="center"/>
            <w:hideMark/>
          </w:tcPr>
          <w:p w14:paraId="6F2D0E03"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(100)</w:t>
            </w:r>
          </w:p>
        </w:tc>
      </w:tr>
      <w:tr w:rsidR="00745C06" w:rsidRPr="00A122D2" w14:paraId="50227108" w14:textId="77777777" w:rsidTr="00582692">
        <w:trPr>
          <w:trHeight w:val="348"/>
        </w:trPr>
        <w:tc>
          <w:tcPr>
            <w:tcW w:w="4537" w:type="dxa"/>
            <w:tcBorders>
              <w:top w:val="nil"/>
              <w:left w:val="single" w:sz="12" w:space="0" w:color="000000"/>
              <w:bottom w:val="single" w:sz="8" w:space="0" w:color="auto"/>
              <w:right w:val="single" w:sz="8" w:space="0" w:color="auto"/>
            </w:tcBorders>
            <w:shd w:val="clear" w:color="auto" w:fill="auto"/>
            <w:vAlign w:val="center"/>
            <w:hideMark/>
          </w:tcPr>
          <w:p w14:paraId="6E21AFA6"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Behavioural change</w:t>
            </w:r>
          </w:p>
        </w:tc>
        <w:tc>
          <w:tcPr>
            <w:tcW w:w="1559" w:type="dxa"/>
            <w:tcBorders>
              <w:top w:val="nil"/>
              <w:left w:val="nil"/>
              <w:bottom w:val="single" w:sz="8" w:space="0" w:color="auto"/>
              <w:right w:val="single" w:sz="8" w:space="0" w:color="auto"/>
            </w:tcBorders>
            <w:shd w:val="clear" w:color="auto" w:fill="auto"/>
            <w:vAlign w:val="center"/>
            <w:hideMark/>
          </w:tcPr>
          <w:p w14:paraId="1D5C5E28"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560" w:type="dxa"/>
            <w:tcBorders>
              <w:top w:val="nil"/>
              <w:left w:val="nil"/>
              <w:bottom w:val="single" w:sz="8" w:space="0" w:color="auto"/>
              <w:right w:val="single" w:sz="8" w:space="0" w:color="auto"/>
            </w:tcBorders>
            <w:shd w:val="clear" w:color="auto" w:fill="auto"/>
            <w:vAlign w:val="center"/>
            <w:hideMark/>
          </w:tcPr>
          <w:p w14:paraId="7B94D8E7"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14:paraId="185214D9"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1(100)</w:t>
            </w:r>
          </w:p>
        </w:tc>
        <w:tc>
          <w:tcPr>
            <w:tcW w:w="1843" w:type="dxa"/>
            <w:tcBorders>
              <w:top w:val="nil"/>
              <w:left w:val="nil"/>
              <w:bottom w:val="single" w:sz="8" w:space="0" w:color="auto"/>
              <w:right w:val="single" w:sz="8" w:space="0" w:color="auto"/>
            </w:tcBorders>
            <w:shd w:val="clear" w:color="auto" w:fill="auto"/>
            <w:vAlign w:val="center"/>
            <w:hideMark/>
          </w:tcPr>
          <w:p w14:paraId="1FF69749"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14:paraId="521685D0"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2 (100)</w:t>
            </w:r>
          </w:p>
        </w:tc>
        <w:tc>
          <w:tcPr>
            <w:tcW w:w="1417" w:type="dxa"/>
            <w:tcBorders>
              <w:top w:val="nil"/>
              <w:left w:val="nil"/>
              <w:bottom w:val="single" w:sz="8" w:space="0" w:color="auto"/>
              <w:right w:val="single" w:sz="8" w:space="0" w:color="auto"/>
            </w:tcBorders>
            <w:shd w:val="clear" w:color="auto" w:fill="auto"/>
            <w:vAlign w:val="center"/>
            <w:hideMark/>
          </w:tcPr>
          <w:p w14:paraId="4518628A"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8" w:type="dxa"/>
            <w:tcBorders>
              <w:top w:val="nil"/>
              <w:left w:val="nil"/>
              <w:bottom w:val="single" w:sz="8" w:space="0" w:color="auto"/>
              <w:right w:val="single" w:sz="12" w:space="0" w:color="000000"/>
            </w:tcBorders>
            <w:shd w:val="clear" w:color="auto" w:fill="auto"/>
            <w:vAlign w:val="center"/>
            <w:hideMark/>
          </w:tcPr>
          <w:p w14:paraId="53892A23"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r>
      <w:tr w:rsidR="00745C06" w:rsidRPr="00A122D2" w14:paraId="26D67AA4" w14:textId="77777777" w:rsidTr="00582692">
        <w:trPr>
          <w:trHeight w:val="348"/>
        </w:trPr>
        <w:tc>
          <w:tcPr>
            <w:tcW w:w="4537" w:type="dxa"/>
            <w:tcBorders>
              <w:top w:val="nil"/>
              <w:left w:val="single" w:sz="12" w:space="0" w:color="000000"/>
              <w:bottom w:val="single" w:sz="8" w:space="0" w:color="auto"/>
              <w:right w:val="single" w:sz="8" w:space="0" w:color="auto"/>
            </w:tcBorders>
            <w:shd w:val="clear" w:color="auto" w:fill="auto"/>
            <w:vAlign w:val="center"/>
            <w:hideMark/>
          </w:tcPr>
          <w:p w14:paraId="54572476"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 xml:space="preserve">Hallucinations </w:t>
            </w:r>
          </w:p>
        </w:tc>
        <w:tc>
          <w:tcPr>
            <w:tcW w:w="1559" w:type="dxa"/>
            <w:tcBorders>
              <w:top w:val="nil"/>
              <w:left w:val="nil"/>
              <w:bottom w:val="single" w:sz="8" w:space="0" w:color="auto"/>
              <w:right w:val="single" w:sz="8" w:space="0" w:color="auto"/>
            </w:tcBorders>
            <w:shd w:val="clear" w:color="auto" w:fill="auto"/>
            <w:vAlign w:val="center"/>
            <w:hideMark/>
          </w:tcPr>
          <w:p w14:paraId="2E1E9391"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560" w:type="dxa"/>
            <w:tcBorders>
              <w:top w:val="nil"/>
              <w:left w:val="nil"/>
              <w:bottom w:val="single" w:sz="8" w:space="0" w:color="auto"/>
              <w:right w:val="single" w:sz="8" w:space="0" w:color="auto"/>
            </w:tcBorders>
            <w:shd w:val="clear" w:color="auto" w:fill="auto"/>
            <w:vAlign w:val="center"/>
            <w:hideMark/>
          </w:tcPr>
          <w:p w14:paraId="660FED34"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14:paraId="0C0BC154"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843" w:type="dxa"/>
            <w:tcBorders>
              <w:top w:val="nil"/>
              <w:left w:val="nil"/>
              <w:bottom w:val="single" w:sz="8" w:space="0" w:color="auto"/>
              <w:right w:val="single" w:sz="8" w:space="0" w:color="auto"/>
            </w:tcBorders>
            <w:shd w:val="clear" w:color="auto" w:fill="auto"/>
            <w:vAlign w:val="center"/>
            <w:hideMark/>
          </w:tcPr>
          <w:p w14:paraId="3A047A66"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14:paraId="58D86E73"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(50)</w:t>
            </w:r>
          </w:p>
        </w:tc>
        <w:tc>
          <w:tcPr>
            <w:tcW w:w="1417" w:type="dxa"/>
            <w:tcBorders>
              <w:top w:val="nil"/>
              <w:left w:val="nil"/>
              <w:bottom w:val="single" w:sz="8" w:space="0" w:color="auto"/>
              <w:right w:val="single" w:sz="8" w:space="0" w:color="auto"/>
            </w:tcBorders>
            <w:shd w:val="clear" w:color="auto" w:fill="auto"/>
            <w:vAlign w:val="center"/>
            <w:hideMark/>
          </w:tcPr>
          <w:p w14:paraId="021211FD"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8" w:type="dxa"/>
            <w:tcBorders>
              <w:top w:val="nil"/>
              <w:left w:val="nil"/>
              <w:bottom w:val="single" w:sz="8" w:space="0" w:color="auto"/>
              <w:right w:val="single" w:sz="12" w:space="0" w:color="000000"/>
            </w:tcBorders>
            <w:shd w:val="clear" w:color="auto" w:fill="auto"/>
            <w:vAlign w:val="center"/>
            <w:hideMark/>
          </w:tcPr>
          <w:p w14:paraId="0A48D315"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r>
      <w:tr w:rsidR="00745C06" w:rsidRPr="00A122D2" w14:paraId="150A21BB" w14:textId="77777777" w:rsidTr="00582692">
        <w:trPr>
          <w:trHeight w:val="677"/>
        </w:trPr>
        <w:tc>
          <w:tcPr>
            <w:tcW w:w="4537" w:type="dxa"/>
            <w:tcBorders>
              <w:top w:val="nil"/>
              <w:left w:val="single" w:sz="12" w:space="0" w:color="000000"/>
              <w:bottom w:val="single" w:sz="8" w:space="0" w:color="auto"/>
              <w:right w:val="single" w:sz="8" w:space="0" w:color="auto"/>
            </w:tcBorders>
            <w:shd w:val="clear" w:color="auto" w:fill="auto"/>
            <w:vAlign w:val="center"/>
            <w:hideMark/>
          </w:tcPr>
          <w:p w14:paraId="0D2B9DEB"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 xml:space="preserve">Recognised para/post infectious neurological disease </w:t>
            </w:r>
          </w:p>
        </w:tc>
        <w:tc>
          <w:tcPr>
            <w:tcW w:w="1559" w:type="dxa"/>
            <w:tcBorders>
              <w:top w:val="nil"/>
              <w:left w:val="nil"/>
              <w:bottom w:val="single" w:sz="8" w:space="0" w:color="auto"/>
              <w:right w:val="single" w:sz="8" w:space="0" w:color="auto"/>
            </w:tcBorders>
            <w:shd w:val="clear" w:color="auto" w:fill="auto"/>
            <w:vAlign w:val="center"/>
            <w:hideMark/>
          </w:tcPr>
          <w:p w14:paraId="5D55FB60"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7 (100)</w:t>
            </w:r>
          </w:p>
        </w:tc>
        <w:tc>
          <w:tcPr>
            <w:tcW w:w="1560" w:type="dxa"/>
            <w:tcBorders>
              <w:top w:val="nil"/>
              <w:left w:val="nil"/>
              <w:bottom w:val="single" w:sz="8" w:space="0" w:color="auto"/>
              <w:right w:val="single" w:sz="8" w:space="0" w:color="auto"/>
            </w:tcBorders>
            <w:shd w:val="clear" w:color="auto" w:fill="auto"/>
            <w:vAlign w:val="center"/>
            <w:hideMark/>
          </w:tcPr>
          <w:p w14:paraId="46998082"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5 (100)</w:t>
            </w:r>
          </w:p>
        </w:tc>
        <w:tc>
          <w:tcPr>
            <w:tcW w:w="1559" w:type="dxa"/>
            <w:tcBorders>
              <w:top w:val="nil"/>
              <w:left w:val="nil"/>
              <w:bottom w:val="single" w:sz="8" w:space="0" w:color="auto"/>
              <w:right w:val="single" w:sz="8" w:space="0" w:color="auto"/>
            </w:tcBorders>
            <w:shd w:val="clear" w:color="auto" w:fill="auto"/>
            <w:vAlign w:val="center"/>
            <w:hideMark/>
          </w:tcPr>
          <w:p w14:paraId="09E3C94E"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1(100)</w:t>
            </w:r>
          </w:p>
        </w:tc>
        <w:tc>
          <w:tcPr>
            <w:tcW w:w="1843" w:type="dxa"/>
            <w:tcBorders>
              <w:top w:val="nil"/>
              <w:left w:val="nil"/>
              <w:bottom w:val="single" w:sz="8" w:space="0" w:color="auto"/>
              <w:right w:val="single" w:sz="8" w:space="0" w:color="auto"/>
            </w:tcBorders>
            <w:shd w:val="clear" w:color="auto" w:fill="auto"/>
            <w:vAlign w:val="center"/>
            <w:hideMark/>
          </w:tcPr>
          <w:p w14:paraId="02AE7328"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14:paraId="79847362"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7" w:type="dxa"/>
            <w:tcBorders>
              <w:top w:val="nil"/>
              <w:left w:val="nil"/>
              <w:bottom w:val="single" w:sz="8" w:space="0" w:color="auto"/>
              <w:right w:val="single" w:sz="8" w:space="0" w:color="auto"/>
            </w:tcBorders>
            <w:shd w:val="clear" w:color="auto" w:fill="auto"/>
            <w:vAlign w:val="center"/>
            <w:hideMark/>
          </w:tcPr>
          <w:p w14:paraId="694B7D19"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8" w:type="dxa"/>
            <w:tcBorders>
              <w:top w:val="nil"/>
              <w:left w:val="nil"/>
              <w:bottom w:val="single" w:sz="8" w:space="0" w:color="auto"/>
              <w:right w:val="single" w:sz="12" w:space="0" w:color="000000"/>
            </w:tcBorders>
            <w:shd w:val="clear" w:color="auto" w:fill="auto"/>
            <w:vAlign w:val="center"/>
            <w:hideMark/>
          </w:tcPr>
          <w:p w14:paraId="100B1AA7"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r>
      <w:tr w:rsidR="00745C06" w:rsidRPr="00A122D2" w14:paraId="444AD4A9" w14:textId="77777777" w:rsidTr="00582692">
        <w:trPr>
          <w:trHeight w:val="348"/>
        </w:trPr>
        <w:tc>
          <w:tcPr>
            <w:tcW w:w="4537" w:type="dxa"/>
            <w:tcBorders>
              <w:top w:val="nil"/>
              <w:left w:val="single" w:sz="12" w:space="0" w:color="auto"/>
              <w:bottom w:val="nil"/>
              <w:right w:val="nil"/>
            </w:tcBorders>
            <w:shd w:val="clear" w:color="000000" w:fill="FCE4D6"/>
            <w:vAlign w:val="center"/>
            <w:hideMark/>
          </w:tcPr>
          <w:p w14:paraId="40BCCB17" w14:textId="77777777" w:rsidR="00745C06" w:rsidRPr="00A122D2" w:rsidRDefault="00745C06" w:rsidP="00582692">
            <w:pPr>
              <w:rPr>
                <w:rFonts w:ascii="Calibri" w:hAnsi="Calibri" w:cs="Calibri"/>
                <w:b/>
                <w:bCs/>
                <w:color w:val="000000"/>
                <w:sz w:val="20"/>
                <w:szCs w:val="20"/>
              </w:rPr>
            </w:pPr>
            <w:r w:rsidRPr="00A122D2">
              <w:rPr>
                <w:rFonts w:ascii="Calibri" w:hAnsi="Calibri" w:cs="Calibri"/>
                <w:b/>
                <w:bCs/>
                <w:color w:val="000000"/>
                <w:sz w:val="20"/>
                <w:szCs w:val="20"/>
              </w:rPr>
              <w:t>Investigations</w:t>
            </w:r>
          </w:p>
        </w:tc>
        <w:tc>
          <w:tcPr>
            <w:tcW w:w="1559" w:type="dxa"/>
            <w:tcBorders>
              <w:top w:val="nil"/>
              <w:left w:val="nil"/>
              <w:bottom w:val="nil"/>
              <w:right w:val="nil"/>
            </w:tcBorders>
            <w:shd w:val="clear" w:color="000000" w:fill="FCE4D6"/>
            <w:vAlign w:val="center"/>
            <w:hideMark/>
          </w:tcPr>
          <w:p w14:paraId="25C80820"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560" w:type="dxa"/>
            <w:tcBorders>
              <w:top w:val="nil"/>
              <w:left w:val="nil"/>
              <w:bottom w:val="nil"/>
              <w:right w:val="nil"/>
            </w:tcBorders>
            <w:shd w:val="clear" w:color="000000" w:fill="FCE4D6"/>
            <w:vAlign w:val="center"/>
            <w:hideMark/>
          </w:tcPr>
          <w:p w14:paraId="05EC7424"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559" w:type="dxa"/>
            <w:tcBorders>
              <w:top w:val="nil"/>
              <w:left w:val="nil"/>
              <w:bottom w:val="nil"/>
              <w:right w:val="nil"/>
            </w:tcBorders>
            <w:shd w:val="clear" w:color="000000" w:fill="FCE4D6"/>
            <w:vAlign w:val="center"/>
            <w:hideMark/>
          </w:tcPr>
          <w:p w14:paraId="5B304B9D"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843" w:type="dxa"/>
            <w:tcBorders>
              <w:top w:val="nil"/>
              <w:left w:val="nil"/>
              <w:bottom w:val="nil"/>
              <w:right w:val="nil"/>
            </w:tcBorders>
            <w:shd w:val="clear" w:color="000000" w:fill="FCE4D6"/>
            <w:vAlign w:val="center"/>
            <w:hideMark/>
          </w:tcPr>
          <w:p w14:paraId="66D1AB43"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559" w:type="dxa"/>
            <w:tcBorders>
              <w:top w:val="nil"/>
              <w:left w:val="nil"/>
              <w:bottom w:val="nil"/>
              <w:right w:val="nil"/>
            </w:tcBorders>
            <w:shd w:val="clear" w:color="000000" w:fill="FCE4D6"/>
            <w:vAlign w:val="center"/>
            <w:hideMark/>
          </w:tcPr>
          <w:p w14:paraId="14A41264"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417" w:type="dxa"/>
            <w:tcBorders>
              <w:top w:val="nil"/>
              <w:left w:val="nil"/>
              <w:bottom w:val="nil"/>
              <w:right w:val="nil"/>
            </w:tcBorders>
            <w:shd w:val="clear" w:color="000000" w:fill="FCE4D6"/>
            <w:vAlign w:val="center"/>
            <w:hideMark/>
          </w:tcPr>
          <w:p w14:paraId="75625320"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418" w:type="dxa"/>
            <w:tcBorders>
              <w:top w:val="nil"/>
              <w:left w:val="nil"/>
              <w:bottom w:val="nil"/>
              <w:right w:val="single" w:sz="12" w:space="0" w:color="000000"/>
            </w:tcBorders>
            <w:shd w:val="clear" w:color="000000" w:fill="FCE4D6"/>
            <w:vAlign w:val="center"/>
            <w:hideMark/>
          </w:tcPr>
          <w:p w14:paraId="581BF9CB"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r>
      <w:tr w:rsidR="00745C06" w:rsidRPr="00A122D2" w14:paraId="7F20755B" w14:textId="77777777" w:rsidTr="00582692">
        <w:trPr>
          <w:trHeight w:val="348"/>
        </w:trPr>
        <w:tc>
          <w:tcPr>
            <w:tcW w:w="4537" w:type="dxa"/>
            <w:tcBorders>
              <w:top w:val="single" w:sz="8" w:space="0" w:color="auto"/>
              <w:left w:val="single" w:sz="12" w:space="0" w:color="000000"/>
              <w:bottom w:val="single" w:sz="8" w:space="0" w:color="auto"/>
              <w:right w:val="single" w:sz="8" w:space="0" w:color="auto"/>
            </w:tcBorders>
            <w:shd w:val="clear" w:color="auto" w:fill="auto"/>
            <w:vAlign w:val="center"/>
            <w:hideMark/>
          </w:tcPr>
          <w:p w14:paraId="05CD312A"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SARS-CoV-2 PCR positive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2BE3BC99"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5 (71)</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5AC71717"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4 (80)</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22CDC192"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1(100)</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4A87CD50"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10 (100)</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56DC56A5"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(50)</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5DF4D6F3"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8" w:type="dxa"/>
            <w:tcBorders>
              <w:top w:val="single" w:sz="8" w:space="0" w:color="auto"/>
              <w:left w:val="nil"/>
              <w:bottom w:val="single" w:sz="8" w:space="0" w:color="auto"/>
              <w:right w:val="single" w:sz="12" w:space="0" w:color="000000"/>
            </w:tcBorders>
            <w:shd w:val="clear" w:color="auto" w:fill="auto"/>
            <w:vAlign w:val="center"/>
            <w:hideMark/>
          </w:tcPr>
          <w:p w14:paraId="14E70E68"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(50)</w:t>
            </w:r>
          </w:p>
        </w:tc>
      </w:tr>
      <w:tr w:rsidR="00745C06" w:rsidRPr="00A122D2" w14:paraId="522A5512" w14:textId="77777777" w:rsidTr="00582692">
        <w:trPr>
          <w:trHeight w:val="348"/>
        </w:trPr>
        <w:tc>
          <w:tcPr>
            <w:tcW w:w="4537" w:type="dxa"/>
            <w:tcBorders>
              <w:top w:val="nil"/>
              <w:left w:val="single" w:sz="12" w:space="0" w:color="000000"/>
              <w:bottom w:val="single" w:sz="8" w:space="0" w:color="auto"/>
              <w:right w:val="single" w:sz="8" w:space="0" w:color="auto"/>
            </w:tcBorders>
            <w:shd w:val="clear" w:color="auto" w:fill="auto"/>
            <w:vAlign w:val="center"/>
            <w:hideMark/>
          </w:tcPr>
          <w:p w14:paraId="1B433280"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SARS-CoV2- IgG positive (%)</w:t>
            </w:r>
          </w:p>
        </w:tc>
        <w:tc>
          <w:tcPr>
            <w:tcW w:w="1559" w:type="dxa"/>
            <w:tcBorders>
              <w:top w:val="nil"/>
              <w:left w:val="nil"/>
              <w:bottom w:val="single" w:sz="8" w:space="0" w:color="auto"/>
              <w:right w:val="single" w:sz="8" w:space="0" w:color="auto"/>
            </w:tcBorders>
            <w:shd w:val="clear" w:color="auto" w:fill="auto"/>
            <w:vAlign w:val="center"/>
            <w:hideMark/>
          </w:tcPr>
          <w:p w14:paraId="7BF51783"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3 (43)</w:t>
            </w:r>
          </w:p>
        </w:tc>
        <w:tc>
          <w:tcPr>
            <w:tcW w:w="1560" w:type="dxa"/>
            <w:tcBorders>
              <w:top w:val="nil"/>
              <w:left w:val="nil"/>
              <w:bottom w:val="single" w:sz="8" w:space="0" w:color="auto"/>
              <w:right w:val="single" w:sz="8" w:space="0" w:color="auto"/>
            </w:tcBorders>
            <w:shd w:val="clear" w:color="auto" w:fill="auto"/>
            <w:vAlign w:val="center"/>
            <w:hideMark/>
          </w:tcPr>
          <w:p w14:paraId="0493F394"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(50)</w:t>
            </w:r>
          </w:p>
        </w:tc>
        <w:tc>
          <w:tcPr>
            <w:tcW w:w="1559" w:type="dxa"/>
            <w:tcBorders>
              <w:top w:val="nil"/>
              <w:left w:val="nil"/>
              <w:bottom w:val="single" w:sz="8" w:space="0" w:color="auto"/>
              <w:right w:val="single" w:sz="8" w:space="0" w:color="auto"/>
            </w:tcBorders>
            <w:shd w:val="clear" w:color="auto" w:fill="auto"/>
            <w:vAlign w:val="center"/>
            <w:hideMark/>
          </w:tcPr>
          <w:p w14:paraId="3AF43953"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1(100)</w:t>
            </w:r>
          </w:p>
        </w:tc>
        <w:tc>
          <w:tcPr>
            <w:tcW w:w="1843" w:type="dxa"/>
            <w:tcBorders>
              <w:top w:val="nil"/>
              <w:left w:val="nil"/>
              <w:bottom w:val="single" w:sz="8" w:space="0" w:color="auto"/>
              <w:right w:val="single" w:sz="8" w:space="0" w:color="auto"/>
            </w:tcBorders>
            <w:shd w:val="clear" w:color="auto" w:fill="auto"/>
            <w:vAlign w:val="center"/>
            <w:hideMark/>
          </w:tcPr>
          <w:p w14:paraId="464806B5"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4 (40)</w:t>
            </w:r>
          </w:p>
        </w:tc>
        <w:tc>
          <w:tcPr>
            <w:tcW w:w="1559" w:type="dxa"/>
            <w:tcBorders>
              <w:top w:val="nil"/>
              <w:left w:val="nil"/>
              <w:bottom w:val="single" w:sz="8" w:space="0" w:color="auto"/>
              <w:right w:val="single" w:sz="8" w:space="0" w:color="auto"/>
            </w:tcBorders>
            <w:shd w:val="clear" w:color="auto" w:fill="auto"/>
            <w:vAlign w:val="center"/>
            <w:hideMark/>
          </w:tcPr>
          <w:p w14:paraId="54363AA0"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2 (100)</w:t>
            </w:r>
          </w:p>
        </w:tc>
        <w:tc>
          <w:tcPr>
            <w:tcW w:w="1417" w:type="dxa"/>
            <w:tcBorders>
              <w:top w:val="nil"/>
              <w:left w:val="nil"/>
              <w:bottom w:val="single" w:sz="8" w:space="0" w:color="auto"/>
              <w:right w:val="single" w:sz="8" w:space="0" w:color="auto"/>
            </w:tcBorders>
            <w:shd w:val="clear" w:color="auto" w:fill="auto"/>
            <w:vAlign w:val="center"/>
            <w:hideMark/>
          </w:tcPr>
          <w:p w14:paraId="3F73E30B"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2 (100)</w:t>
            </w:r>
          </w:p>
        </w:tc>
        <w:tc>
          <w:tcPr>
            <w:tcW w:w="1418" w:type="dxa"/>
            <w:tcBorders>
              <w:top w:val="nil"/>
              <w:left w:val="nil"/>
              <w:bottom w:val="single" w:sz="8" w:space="0" w:color="auto"/>
              <w:right w:val="single" w:sz="12" w:space="0" w:color="000000"/>
            </w:tcBorders>
            <w:shd w:val="clear" w:color="auto" w:fill="auto"/>
            <w:vAlign w:val="center"/>
            <w:hideMark/>
          </w:tcPr>
          <w:p w14:paraId="5BD9EB72"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NP</w:t>
            </w:r>
          </w:p>
        </w:tc>
      </w:tr>
      <w:tr w:rsidR="00745C06" w:rsidRPr="00A122D2" w14:paraId="67967E79" w14:textId="77777777" w:rsidTr="00582692">
        <w:trPr>
          <w:trHeight w:val="328"/>
        </w:trPr>
        <w:tc>
          <w:tcPr>
            <w:tcW w:w="4537" w:type="dxa"/>
            <w:vMerge w:val="restart"/>
            <w:tcBorders>
              <w:top w:val="nil"/>
              <w:left w:val="single" w:sz="12" w:space="0" w:color="000000"/>
              <w:bottom w:val="single" w:sz="8" w:space="0" w:color="auto"/>
              <w:right w:val="single" w:sz="8" w:space="0" w:color="auto"/>
            </w:tcBorders>
            <w:shd w:val="clear" w:color="auto" w:fill="auto"/>
            <w:vAlign w:val="center"/>
            <w:hideMark/>
          </w:tcPr>
          <w:p w14:paraId="3D0E7984"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Median CRP (range)</w:t>
            </w:r>
          </w:p>
        </w:tc>
        <w:tc>
          <w:tcPr>
            <w:tcW w:w="1559" w:type="dxa"/>
            <w:vMerge w:val="restart"/>
            <w:tcBorders>
              <w:top w:val="nil"/>
              <w:left w:val="single" w:sz="8" w:space="0" w:color="auto"/>
              <w:bottom w:val="single" w:sz="8" w:space="0" w:color="auto"/>
              <w:right w:val="single" w:sz="8" w:space="0" w:color="auto"/>
            </w:tcBorders>
            <w:shd w:val="clear" w:color="auto" w:fill="auto"/>
            <w:vAlign w:val="center"/>
            <w:hideMark/>
          </w:tcPr>
          <w:p w14:paraId="6F589EF5"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12 (0-42)</w:t>
            </w:r>
          </w:p>
        </w:tc>
        <w:tc>
          <w:tcPr>
            <w:tcW w:w="1560" w:type="dxa"/>
            <w:vMerge w:val="restart"/>
            <w:tcBorders>
              <w:top w:val="nil"/>
              <w:left w:val="single" w:sz="8" w:space="0" w:color="auto"/>
              <w:bottom w:val="single" w:sz="8" w:space="0" w:color="auto"/>
              <w:right w:val="single" w:sz="8" w:space="0" w:color="auto"/>
            </w:tcBorders>
            <w:shd w:val="clear" w:color="auto" w:fill="auto"/>
            <w:vAlign w:val="center"/>
            <w:hideMark/>
          </w:tcPr>
          <w:p w14:paraId="35D70D53"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(1-2)</w:t>
            </w:r>
          </w:p>
        </w:tc>
        <w:tc>
          <w:tcPr>
            <w:tcW w:w="1559" w:type="dxa"/>
            <w:vMerge w:val="restart"/>
            <w:tcBorders>
              <w:top w:val="nil"/>
              <w:left w:val="single" w:sz="8" w:space="0" w:color="auto"/>
              <w:bottom w:val="single" w:sz="8" w:space="0" w:color="auto"/>
              <w:right w:val="single" w:sz="8" w:space="0" w:color="auto"/>
            </w:tcBorders>
            <w:shd w:val="clear" w:color="auto" w:fill="auto"/>
            <w:vAlign w:val="center"/>
            <w:hideMark/>
          </w:tcPr>
          <w:p w14:paraId="1626E76C"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w:t>
            </w:r>
          </w:p>
        </w:tc>
        <w:tc>
          <w:tcPr>
            <w:tcW w:w="1843" w:type="dxa"/>
            <w:vMerge w:val="restart"/>
            <w:tcBorders>
              <w:top w:val="nil"/>
              <w:left w:val="single" w:sz="8" w:space="0" w:color="auto"/>
              <w:bottom w:val="single" w:sz="8" w:space="0" w:color="auto"/>
              <w:right w:val="single" w:sz="8" w:space="0" w:color="auto"/>
            </w:tcBorders>
            <w:shd w:val="clear" w:color="auto" w:fill="auto"/>
            <w:vAlign w:val="center"/>
            <w:hideMark/>
          </w:tcPr>
          <w:p w14:paraId="6D88CB89"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(0-158)</w:t>
            </w:r>
          </w:p>
        </w:tc>
        <w:tc>
          <w:tcPr>
            <w:tcW w:w="1559" w:type="dxa"/>
            <w:vMerge w:val="restart"/>
            <w:tcBorders>
              <w:top w:val="nil"/>
              <w:left w:val="single" w:sz="8" w:space="0" w:color="auto"/>
              <w:bottom w:val="single" w:sz="8" w:space="0" w:color="auto"/>
              <w:right w:val="single" w:sz="8" w:space="0" w:color="auto"/>
            </w:tcBorders>
            <w:shd w:val="clear" w:color="auto" w:fill="auto"/>
            <w:vAlign w:val="center"/>
            <w:hideMark/>
          </w:tcPr>
          <w:p w14:paraId="33F5348A"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8.5 (5-12)</w:t>
            </w:r>
          </w:p>
        </w:tc>
        <w:tc>
          <w:tcPr>
            <w:tcW w:w="1417" w:type="dxa"/>
            <w:vMerge w:val="restart"/>
            <w:tcBorders>
              <w:top w:val="nil"/>
              <w:left w:val="single" w:sz="8" w:space="0" w:color="auto"/>
              <w:bottom w:val="single" w:sz="8" w:space="0" w:color="auto"/>
              <w:right w:val="single" w:sz="8" w:space="0" w:color="auto"/>
            </w:tcBorders>
            <w:shd w:val="clear" w:color="auto" w:fill="auto"/>
            <w:vAlign w:val="center"/>
            <w:hideMark/>
          </w:tcPr>
          <w:p w14:paraId="60ED7004"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8" w:type="dxa"/>
            <w:vMerge w:val="restart"/>
            <w:tcBorders>
              <w:top w:val="nil"/>
              <w:left w:val="single" w:sz="8" w:space="0" w:color="auto"/>
              <w:bottom w:val="single" w:sz="8" w:space="0" w:color="auto"/>
              <w:right w:val="single" w:sz="12" w:space="0" w:color="000000"/>
            </w:tcBorders>
            <w:shd w:val="clear" w:color="auto" w:fill="auto"/>
            <w:vAlign w:val="center"/>
            <w:hideMark/>
          </w:tcPr>
          <w:p w14:paraId="0FEF3A26"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NP</w:t>
            </w:r>
          </w:p>
        </w:tc>
      </w:tr>
      <w:tr w:rsidR="00745C06" w:rsidRPr="00A122D2" w14:paraId="1CD046C1" w14:textId="77777777" w:rsidTr="00582692">
        <w:trPr>
          <w:trHeight w:val="293"/>
        </w:trPr>
        <w:tc>
          <w:tcPr>
            <w:tcW w:w="4537" w:type="dxa"/>
            <w:vMerge/>
            <w:tcBorders>
              <w:top w:val="nil"/>
              <w:left w:val="single" w:sz="12" w:space="0" w:color="000000"/>
              <w:bottom w:val="single" w:sz="8" w:space="0" w:color="auto"/>
              <w:right w:val="single" w:sz="8" w:space="0" w:color="auto"/>
            </w:tcBorders>
            <w:vAlign w:val="center"/>
            <w:hideMark/>
          </w:tcPr>
          <w:p w14:paraId="137ECA6A" w14:textId="77777777" w:rsidR="00745C06" w:rsidRPr="00A122D2" w:rsidRDefault="00745C06" w:rsidP="00582692">
            <w:pPr>
              <w:rPr>
                <w:rFonts w:ascii="Calibri" w:hAnsi="Calibri" w:cs="Calibri"/>
                <w:color w:val="000000"/>
                <w:sz w:val="20"/>
                <w:szCs w:val="20"/>
              </w:rPr>
            </w:pPr>
          </w:p>
        </w:tc>
        <w:tc>
          <w:tcPr>
            <w:tcW w:w="1559" w:type="dxa"/>
            <w:vMerge/>
            <w:tcBorders>
              <w:top w:val="nil"/>
              <w:left w:val="single" w:sz="8" w:space="0" w:color="auto"/>
              <w:bottom w:val="single" w:sz="8" w:space="0" w:color="auto"/>
              <w:right w:val="single" w:sz="8" w:space="0" w:color="auto"/>
            </w:tcBorders>
            <w:vAlign w:val="center"/>
            <w:hideMark/>
          </w:tcPr>
          <w:p w14:paraId="022811EA" w14:textId="77777777" w:rsidR="00745C06" w:rsidRPr="00A122D2" w:rsidRDefault="00745C06" w:rsidP="00582692">
            <w:pPr>
              <w:rPr>
                <w:rFonts w:ascii="Calibri" w:hAnsi="Calibri" w:cs="Calibri"/>
                <w:color w:val="000000"/>
                <w:sz w:val="20"/>
                <w:szCs w:val="20"/>
              </w:rPr>
            </w:pPr>
          </w:p>
        </w:tc>
        <w:tc>
          <w:tcPr>
            <w:tcW w:w="1560" w:type="dxa"/>
            <w:vMerge/>
            <w:tcBorders>
              <w:top w:val="nil"/>
              <w:left w:val="single" w:sz="8" w:space="0" w:color="auto"/>
              <w:bottom w:val="single" w:sz="8" w:space="0" w:color="auto"/>
              <w:right w:val="single" w:sz="8" w:space="0" w:color="auto"/>
            </w:tcBorders>
            <w:vAlign w:val="center"/>
            <w:hideMark/>
          </w:tcPr>
          <w:p w14:paraId="5643E379" w14:textId="77777777" w:rsidR="00745C06" w:rsidRPr="00A122D2" w:rsidRDefault="00745C06" w:rsidP="00582692">
            <w:pPr>
              <w:rPr>
                <w:rFonts w:ascii="Calibri" w:hAnsi="Calibri" w:cs="Calibri"/>
                <w:color w:val="000000"/>
                <w:sz w:val="20"/>
                <w:szCs w:val="20"/>
              </w:rPr>
            </w:pPr>
          </w:p>
        </w:tc>
        <w:tc>
          <w:tcPr>
            <w:tcW w:w="1559" w:type="dxa"/>
            <w:vMerge/>
            <w:tcBorders>
              <w:top w:val="nil"/>
              <w:left w:val="single" w:sz="8" w:space="0" w:color="auto"/>
              <w:bottom w:val="single" w:sz="8" w:space="0" w:color="auto"/>
              <w:right w:val="single" w:sz="8" w:space="0" w:color="auto"/>
            </w:tcBorders>
            <w:vAlign w:val="center"/>
            <w:hideMark/>
          </w:tcPr>
          <w:p w14:paraId="057A6BE9" w14:textId="77777777" w:rsidR="00745C06" w:rsidRPr="00A122D2" w:rsidRDefault="00745C06" w:rsidP="00582692">
            <w:pPr>
              <w:rPr>
                <w:rFonts w:ascii="Calibri" w:hAnsi="Calibri" w:cs="Calibri"/>
                <w:color w:val="000000"/>
                <w:sz w:val="20"/>
                <w:szCs w:val="20"/>
              </w:rPr>
            </w:pPr>
          </w:p>
        </w:tc>
        <w:tc>
          <w:tcPr>
            <w:tcW w:w="1843" w:type="dxa"/>
            <w:vMerge/>
            <w:tcBorders>
              <w:top w:val="nil"/>
              <w:left w:val="single" w:sz="8" w:space="0" w:color="auto"/>
              <w:bottom w:val="single" w:sz="8" w:space="0" w:color="auto"/>
              <w:right w:val="single" w:sz="8" w:space="0" w:color="auto"/>
            </w:tcBorders>
            <w:vAlign w:val="center"/>
            <w:hideMark/>
          </w:tcPr>
          <w:p w14:paraId="448A70AF" w14:textId="77777777" w:rsidR="00745C06" w:rsidRPr="00A122D2" w:rsidRDefault="00745C06" w:rsidP="00582692">
            <w:pPr>
              <w:rPr>
                <w:rFonts w:ascii="Calibri" w:hAnsi="Calibri" w:cs="Calibri"/>
                <w:color w:val="000000"/>
                <w:sz w:val="20"/>
                <w:szCs w:val="20"/>
              </w:rPr>
            </w:pPr>
          </w:p>
        </w:tc>
        <w:tc>
          <w:tcPr>
            <w:tcW w:w="1559" w:type="dxa"/>
            <w:vMerge/>
            <w:tcBorders>
              <w:top w:val="nil"/>
              <w:left w:val="single" w:sz="8" w:space="0" w:color="auto"/>
              <w:bottom w:val="single" w:sz="8" w:space="0" w:color="auto"/>
              <w:right w:val="single" w:sz="8" w:space="0" w:color="auto"/>
            </w:tcBorders>
            <w:vAlign w:val="center"/>
            <w:hideMark/>
          </w:tcPr>
          <w:p w14:paraId="0E11B568" w14:textId="77777777" w:rsidR="00745C06" w:rsidRPr="00A122D2" w:rsidRDefault="00745C06" w:rsidP="00582692">
            <w:pPr>
              <w:rPr>
                <w:rFonts w:ascii="Calibri" w:hAnsi="Calibri" w:cs="Calibri"/>
                <w:color w:val="000000"/>
                <w:sz w:val="20"/>
                <w:szCs w:val="20"/>
              </w:rPr>
            </w:pPr>
          </w:p>
        </w:tc>
        <w:tc>
          <w:tcPr>
            <w:tcW w:w="1417" w:type="dxa"/>
            <w:vMerge/>
            <w:tcBorders>
              <w:top w:val="nil"/>
              <w:left w:val="single" w:sz="8" w:space="0" w:color="auto"/>
              <w:bottom w:val="single" w:sz="8" w:space="0" w:color="auto"/>
              <w:right w:val="single" w:sz="8" w:space="0" w:color="auto"/>
            </w:tcBorders>
            <w:vAlign w:val="center"/>
            <w:hideMark/>
          </w:tcPr>
          <w:p w14:paraId="5869035D" w14:textId="77777777" w:rsidR="00745C06" w:rsidRPr="00A122D2" w:rsidRDefault="00745C06" w:rsidP="00582692">
            <w:pPr>
              <w:rPr>
                <w:rFonts w:ascii="Calibri" w:hAnsi="Calibri" w:cs="Calibri"/>
                <w:color w:val="000000"/>
                <w:sz w:val="20"/>
                <w:szCs w:val="20"/>
              </w:rPr>
            </w:pPr>
          </w:p>
        </w:tc>
        <w:tc>
          <w:tcPr>
            <w:tcW w:w="1418" w:type="dxa"/>
            <w:vMerge/>
            <w:tcBorders>
              <w:top w:val="nil"/>
              <w:left w:val="single" w:sz="8" w:space="0" w:color="auto"/>
              <w:bottom w:val="single" w:sz="8" w:space="0" w:color="auto"/>
              <w:right w:val="single" w:sz="12" w:space="0" w:color="000000"/>
            </w:tcBorders>
            <w:vAlign w:val="center"/>
            <w:hideMark/>
          </w:tcPr>
          <w:p w14:paraId="4FB2E38C" w14:textId="77777777" w:rsidR="00745C06" w:rsidRPr="00A122D2" w:rsidRDefault="00745C06" w:rsidP="00582692">
            <w:pPr>
              <w:rPr>
                <w:rFonts w:ascii="Calibri" w:hAnsi="Calibri" w:cs="Calibri"/>
                <w:color w:val="000000"/>
                <w:sz w:val="20"/>
                <w:szCs w:val="20"/>
              </w:rPr>
            </w:pPr>
          </w:p>
        </w:tc>
      </w:tr>
      <w:tr w:rsidR="00745C06" w:rsidRPr="00A122D2" w14:paraId="0B237BBB" w14:textId="77777777" w:rsidTr="00582692">
        <w:trPr>
          <w:trHeight w:val="555"/>
        </w:trPr>
        <w:tc>
          <w:tcPr>
            <w:tcW w:w="4537" w:type="dxa"/>
            <w:tcBorders>
              <w:top w:val="nil"/>
              <w:left w:val="single" w:sz="12" w:space="0" w:color="000000"/>
              <w:bottom w:val="single" w:sz="8" w:space="0" w:color="auto"/>
              <w:right w:val="single" w:sz="8" w:space="0" w:color="auto"/>
            </w:tcBorders>
            <w:shd w:val="clear" w:color="auto" w:fill="auto"/>
            <w:vAlign w:val="center"/>
            <w:hideMark/>
          </w:tcPr>
          <w:p w14:paraId="7D372C3B"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Elevated acute phase reactants (LDH, ferritin, D-Dimers)</w:t>
            </w:r>
          </w:p>
        </w:tc>
        <w:tc>
          <w:tcPr>
            <w:tcW w:w="1559" w:type="dxa"/>
            <w:tcBorders>
              <w:top w:val="nil"/>
              <w:left w:val="nil"/>
              <w:bottom w:val="single" w:sz="8" w:space="0" w:color="auto"/>
              <w:right w:val="single" w:sz="8" w:space="0" w:color="auto"/>
            </w:tcBorders>
            <w:shd w:val="clear" w:color="auto" w:fill="auto"/>
            <w:vAlign w:val="center"/>
            <w:hideMark/>
          </w:tcPr>
          <w:p w14:paraId="48A8D6A2"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2 (29)</w:t>
            </w:r>
          </w:p>
        </w:tc>
        <w:tc>
          <w:tcPr>
            <w:tcW w:w="1560" w:type="dxa"/>
            <w:tcBorders>
              <w:top w:val="nil"/>
              <w:left w:val="nil"/>
              <w:bottom w:val="single" w:sz="8" w:space="0" w:color="auto"/>
              <w:right w:val="single" w:sz="8" w:space="0" w:color="auto"/>
            </w:tcBorders>
            <w:shd w:val="clear" w:color="auto" w:fill="auto"/>
            <w:vAlign w:val="center"/>
            <w:hideMark/>
          </w:tcPr>
          <w:p w14:paraId="103EE0CB"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14:paraId="57427A5A"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843" w:type="dxa"/>
            <w:tcBorders>
              <w:top w:val="nil"/>
              <w:left w:val="nil"/>
              <w:bottom w:val="single" w:sz="8" w:space="0" w:color="auto"/>
              <w:right w:val="single" w:sz="8" w:space="0" w:color="auto"/>
            </w:tcBorders>
            <w:shd w:val="clear" w:color="auto" w:fill="auto"/>
            <w:vAlign w:val="center"/>
            <w:hideMark/>
          </w:tcPr>
          <w:p w14:paraId="2C5CA7C9"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(10)</w:t>
            </w:r>
          </w:p>
        </w:tc>
        <w:tc>
          <w:tcPr>
            <w:tcW w:w="1559" w:type="dxa"/>
            <w:tcBorders>
              <w:top w:val="nil"/>
              <w:left w:val="nil"/>
              <w:bottom w:val="single" w:sz="8" w:space="0" w:color="auto"/>
              <w:right w:val="single" w:sz="8" w:space="0" w:color="auto"/>
            </w:tcBorders>
            <w:shd w:val="clear" w:color="auto" w:fill="auto"/>
            <w:vAlign w:val="center"/>
            <w:hideMark/>
          </w:tcPr>
          <w:p w14:paraId="799DA2BB"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7" w:type="dxa"/>
            <w:tcBorders>
              <w:top w:val="nil"/>
              <w:left w:val="nil"/>
              <w:bottom w:val="single" w:sz="8" w:space="0" w:color="auto"/>
              <w:right w:val="single" w:sz="8" w:space="0" w:color="auto"/>
            </w:tcBorders>
            <w:shd w:val="clear" w:color="auto" w:fill="auto"/>
            <w:vAlign w:val="center"/>
            <w:hideMark/>
          </w:tcPr>
          <w:p w14:paraId="2F78E289"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8" w:type="dxa"/>
            <w:tcBorders>
              <w:top w:val="nil"/>
              <w:left w:val="nil"/>
              <w:bottom w:val="single" w:sz="8" w:space="0" w:color="auto"/>
              <w:right w:val="single" w:sz="12" w:space="0" w:color="000000"/>
            </w:tcBorders>
            <w:shd w:val="clear" w:color="auto" w:fill="auto"/>
            <w:vAlign w:val="center"/>
            <w:hideMark/>
          </w:tcPr>
          <w:p w14:paraId="4B976C53"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NP</w:t>
            </w:r>
          </w:p>
        </w:tc>
      </w:tr>
      <w:tr w:rsidR="00745C06" w:rsidRPr="00A122D2" w14:paraId="53CF2491" w14:textId="77777777" w:rsidTr="00582692">
        <w:trPr>
          <w:trHeight w:val="348"/>
        </w:trPr>
        <w:tc>
          <w:tcPr>
            <w:tcW w:w="4537" w:type="dxa"/>
            <w:tcBorders>
              <w:top w:val="nil"/>
              <w:left w:val="single" w:sz="12" w:space="0" w:color="000000"/>
              <w:bottom w:val="single" w:sz="8" w:space="0" w:color="auto"/>
              <w:right w:val="single" w:sz="8" w:space="0" w:color="auto"/>
            </w:tcBorders>
            <w:shd w:val="clear" w:color="auto" w:fill="auto"/>
            <w:vAlign w:val="center"/>
            <w:hideMark/>
          </w:tcPr>
          <w:p w14:paraId="6B4E64A9"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WCC (range)</w:t>
            </w:r>
          </w:p>
        </w:tc>
        <w:tc>
          <w:tcPr>
            <w:tcW w:w="1559" w:type="dxa"/>
            <w:tcBorders>
              <w:top w:val="nil"/>
              <w:left w:val="nil"/>
              <w:bottom w:val="single" w:sz="8" w:space="0" w:color="auto"/>
              <w:right w:val="single" w:sz="8" w:space="0" w:color="auto"/>
            </w:tcBorders>
            <w:shd w:val="clear" w:color="auto" w:fill="auto"/>
            <w:vAlign w:val="center"/>
            <w:hideMark/>
          </w:tcPr>
          <w:p w14:paraId="39789C49"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10 (4-27.3)</w:t>
            </w:r>
          </w:p>
        </w:tc>
        <w:tc>
          <w:tcPr>
            <w:tcW w:w="1560" w:type="dxa"/>
            <w:tcBorders>
              <w:top w:val="nil"/>
              <w:left w:val="nil"/>
              <w:bottom w:val="single" w:sz="8" w:space="0" w:color="auto"/>
              <w:right w:val="single" w:sz="8" w:space="0" w:color="auto"/>
            </w:tcBorders>
            <w:shd w:val="clear" w:color="auto" w:fill="auto"/>
            <w:vAlign w:val="center"/>
            <w:hideMark/>
          </w:tcPr>
          <w:p w14:paraId="63105DC8"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11 (7-18)</w:t>
            </w:r>
          </w:p>
        </w:tc>
        <w:tc>
          <w:tcPr>
            <w:tcW w:w="1559" w:type="dxa"/>
            <w:tcBorders>
              <w:top w:val="nil"/>
              <w:left w:val="nil"/>
              <w:bottom w:val="single" w:sz="8" w:space="0" w:color="auto"/>
              <w:right w:val="single" w:sz="8" w:space="0" w:color="auto"/>
            </w:tcBorders>
            <w:shd w:val="clear" w:color="auto" w:fill="auto"/>
            <w:vAlign w:val="center"/>
            <w:hideMark/>
          </w:tcPr>
          <w:p w14:paraId="05EAA384"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7.5</w:t>
            </w:r>
          </w:p>
        </w:tc>
        <w:tc>
          <w:tcPr>
            <w:tcW w:w="1843" w:type="dxa"/>
            <w:tcBorders>
              <w:top w:val="nil"/>
              <w:left w:val="nil"/>
              <w:bottom w:val="single" w:sz="8" w:space="0" w:color="auto"/>
              <w:right w:val="single" w:sz="8" w:space="0" w:color="auto"/>
            </w:tcBorders>
            <w:shd w:val="clear" w:color="auto" w:fill="auto"/>
            <w:vAlign w:val="center"/>
            <w:hideMark/>
          </w:tcPr>
          <w:p w14:paraId="158FBAF9"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9.4 (4-11.6)</w:t>
            </w:r>
          </w:p>
        </w:tc>
        <w:tc>
          <w:tcPr>
            <w:tcW w:w="1559" w:type="dxa"/>
            <w:tcBorders>
              <w:top w:val="nil"/>
              <w:left w:val="nil"/>
              <w:bottom w:val="single" w:sz="8" w:space="0" w:color="auto"/>
              <w:right w:val="single" w:sz="8" w:space="0" w:color="auto"/>
            </w:tcBorders>
            <w:shd w:val="clear" w:color="auto" w:fill="auto"/>
            <w:vAlign w:val="center"/>
            <w:hideMark/>
          </w:tcPr>
          <w:p w14:paraId="4604A8E4"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7.5 (4-10.5)</w:t>
            </w:r>
          </w:p>
        </w:tc>
        <w:tc>
          <w:tcPr>
            <w:tcW w:w="1417" w:type="dxa"/>
            <w:tcBorders>
              <w:top w:val="nil"/>
              <w:left w:val="nil"/>
              <w:bottom w:val="single" w:sz="8" w:space="0" w:color="auto"/>
              <w:right w:val="single" w:sz="8" w:space="0" w:color="auto"/>
            </w:tcBorders>
            <w:shd w:val="clear" w:color="auto" w:fill="auto"/>
            <w:vAlign w:val="center"/>
            <w:hideMark/>
          </w:tcPr>
          <w:p w14:paraId="3BD002C7"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6.3 (5.3-7.3)</w:t>
            </w:r>
          </w:p>
        </w:tc>
        <w:tc>
          <w:tcPr>
            <w:tcW w:w="1418" w:type="dxa"/>
            <w:tcBorders>
              <w:top w:val="nil"/>
              <w:left w:val="nil"/>
              <w:bottom w:val="single" w:sz="8" w:space="0" w:color="auto"/>
              <w:right w:val="single" w:sz="12" w:space="0" w:color="000000"/>
            </w:tcBorders>
            <w:shd w:val="clear" w:color="auto" w:fill="auto"/>
            <w:vAlign w:val="center"/>
            <w:hideMark/>
          </w:tcPr>
          <w:p w14:paraId="36075EDD"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NP</w:t>
            </w:r>
          </w:p>
        </w:tc>
      </w:tr>
      <w:tr w:rsidR="00745C06" w:rsidRPr="00A122D2" w14:paraId="11A02514" w14:textId="77777777" w:rsidTr="00582692">
        <w:trPr>
          <w:trHeight w:val="328"/>
        </w:trPr>
        <w:tc>
          <w:tcPr>
            <w:tcW w:w="4537" w:type="dxa"/>
            <w:vMerge w:val="restart"/>
            <w:tcBorders>
              <w:top w:val="nil"/>
              <w:left w:val="single" w:sz="12" w:space="0" w:color="000000"/>
              <w:bottom w:val="single" w:sz="8" w:space="0" w:color="auto"/>
              <w:right w:val="single" w:sz="8" w:space="0" w:color="auto"/>
            </w:tcBorders>
            <w:shd w:val="clear" w:color="auto" w:fill="auto"/>
            <w:vAlign w:val="center"/>
            <w:hideMark/>
          </w:tcPr>
          <w:p w14:paraId="4CBAB82D"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CSF WCC &gt; 5 (%)</w:t>
            </w:r>
          </w:p>
        </w:tc>
        <w:tc>
          <w:tcPr>
            <w:tcW w:w="1559" w:type="dxa"/>
            <w:vMerge w:val="restart"/>
            <w:tcBorders>
              <w:top w:val="nil"/>
              <w:left w:val="single" w:sz="8" w:space="0" w:color="auto"/>
              <w:bottom w:val="single" w:sz="8" w:space="0" w:color="auto"/>
              <w:right w:val="single" w:sz="8" w:space="0" w:color="auto"/>
            </w:tcBorders>
            <w:shd w:val="clear" w:color="auto" w:fill="auto"/>
            <w:vAlign w:val="center"/>
            <w:hideMark/>
          </w:tcPr>
          <w:p w14:paraId="32386699"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5 (71)</w:t>
            </w:r>
          </w:p>
        </w:tc>
        <w:tc>
          <w:tcPr>
            <w:tcW w:w="1560" w:type="dxa"/>
            <w:vMerge w:val="restart"/>
            <w:tcBorders>
              <w:top w:val="nil"/>
              <w:left w:val="single" w:sz="8" w:space="0" w:color="auto"/>
              <w:bottom w:val="single" w:sz="8" w:space="0" w:color="auto"/>
              <w:right w:val="single" w:sz="8" w:space="0" w:color="auto"/>
            </w:tcBorders>
            <w:shd w:val="clear" w:color="auto" w:fill="auto"/>
            <w:vAlign w:val="center"/>
            <w:hideMark/>
          </w:tcPr>
          <w:p w14:paraId="38C4C3AA"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(20)</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14:paraId="6F93208E"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1(100)</w:t>
            </w:r>
          </w:p>
        </w:tc>
        <w:tc>
          <w:tcPr>
            <w:tcW w:w="1843" w:type="dxa"/>
            <w:vMerge w:val="restart"/>
            <w:tcBorders>
              <w:top w:val="nil"/>
              <w:left w:val="single" w:sz="8" w:space="0" w:color="auto"/>
              <w:bottom w:val="single" w:sz="8" w:space="0" w:color="auto"/>
              <w:right w:val="single" w:sz="8" w:space="0" w:color="auto"/>
            </w:tcBorders>
            <w:shd w:val="clear" w:color="auto" w:fill="auto"/>
            <w:vAlign w:val="center"/>
            <w:hideMark/>
          </w:tcPr>
          <w:p w14:paraId="7A54D295"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(10)</w:t>
            </w:r>
          </w:p>
        </w:tc>
        <w:tc>
          <w:tcPr>
            <w:tcW w:w="1559" w:type="dxa"/>
            <w:vMerge w:val="restart"/>
            <w:tcBorders>
              <w:top w:val="nil"/>
              <w:left w:val="single" w:sz="8" w:space="0" w:color="auto"/>
              <w:bottom w:val="single" w:sz="8" w:space="0" w:color="auto"/>
              <w:right w:val="single" w:sz="8" w:space="0" w:color="auto"/>
            </w:tcBorders>
            <w:shd w:val="clear" w:color="auto" w:fill="auto"/>
            <w:vAlign w:val="center"/>
            <w:hideMark/>
          </w:tcPr>
          <w:p w14:paraId="231F86A8"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(50)</w:t>
            </w:r>
          </w:p>
        </w:tc>
        <w:tc>
          <w:tcPr>
            <w:tcW w:w="1417" w:type="dxa"/>
            <w:vMerge w:val="restart"/>
            <w:tcBorders>
              <w:top w:val="nil"/>
              <w:left w:val="single" w:sz="8" w:space="0" w:color="auto"/>
              <w:bottom w:val="single" w:sz="8" w:space="0" w:color="auto"/>
              <w:right w:val="single" w:sz="8" w:space="0" w:color="auto"/>
            </w:tcBorders>
            <w:shd w:val="clear" w:color="auto" w:fill="auto"/>
            <w:vAlign w:val="center"/>
            <w:hideMark/>
          </w:tcPr>
          <w:p w14:paraId="0B7D9D7F"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NP</w:t>
            </w:r>
          </w:p>
        </w:tc>
        <w:tc>
          <w:tcPr>
            <w:tcW w:w="1418" w:type="dxa"/>
            <w:vMerge w:val="restart"/>
            <w:tcBorders>
              <w:top w:val="nil"/>
              <w:left w:val="single" w:sz="8" w:space="0" w:color="auto"/>
              <w:bottom w:val="single" w:sz="8" w:space="0" w:color="auto"/>
              <w:right w:val="single" w:sz="12" w:space="0" w:color="000000"/>
            </w:tcBorders>
            <w:shd w:val="clear" w:color="auto" w:fill="auto"/>
            <w:vAlign w:val="center"/>
            <w:hideMark/>
          </w:tcPr>
          <w:p w14:paraId="6D0FC908"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NP</w:t>
            </w:r>
          </w:p>
        </w:tc>
      </w:tr>
      <w:tr w:rsidR="00745C06" w:rsidRPr="00A122D2" w14:paraId="718CA24C" w14:textId="77777777" w:rsidTr="00582692">
        <w:trPr>
          <w:trHeight w:val="293"/>
        </w:trPr>
        <w:tc>
          <w:tcPr>
            <w:tcW w:w="4537" w:type="dxa"/>
            <w:vMerge/>
            <w:tcBorders>
              <w:top w:val="nil"/>
              <w:left w:val="single" w:sz="12" w:space="0" w:color="000000"/>
              <w:bottom w:val="single" w:sz="8" w:space="0" w:color="auto"/>
              <w:right w:val="single" w:sz="8" w:space="0" w:color="auto"/>
            </w:tcBorders>
            <w:vAlign w:val="center"/>
            <w:hideMark/>
          </w:tcPr>
          <w:p w14:paraId="47BB3CC4" w14:textId="77777777" w:rsidR="00745C06" w:rsidRPr="00A122D2" w:rsidRDefault="00745C06" w:rsidP="00582692">
            <w:pPr>
              <w:rPr>
                <w:rFonts w:ascii="Calibri" w:hAnsi="Calibri" w:cs="Calibri"/>
                <w:color w:val="000000"/>
                <w:sz w:val="20"/>
                <w:szCs w:val="20"/>
              </w:rPr>
            </w:pPr>
          </w:p>
        </w:tc>
        <w:tc>
          <w:tcPr>
            <w:tcW w:w="1559" w:type="dxa"/>
            <w:vMerge/>
            <w:tcBorders>
              <w:top w:val="nil"/>
              <w:left w:val="single" w:sz="8" w:space="0" w:color="auto"/>
              <w:bottom w:val="single" w:sz="8" w:space="0" w:color="auto"/>
              <w:right w:val="single" w:sz="8" w:space="0" w:color="auto"/>
            </w:tcBorders>
            <w:vAlign w:val="center"/>
            <w:hideMark/>
          </w:tcPr>
          <w:p w14:paraId="7517167F" w14:textId="77777777" w:rsidR="00745C06" w:rsidRPr="00A122D2" w:rsidRDefault="00745C06" w:rsidP="00582692">
            <w:pPr>
              <w:rPr>
                <w:rFonts w:ascii="Calibri" w:hAnsi="Calibri" w:cs="Calibri"/>
                <w:color w:val="000000"/>
                <w:sz w:val="20"/>
                <w:szCs w:val="20"/>
              </w:rPr>
            </w:pPr>
          </w:p>
        </w:tc>
        <w:tc>
          <w:tcPr>
            <w:tcW w:w="1560" w:type="dxa"/>
            <w:vMerge/>
            <w:tcBorders>
              <w:top w:val="nil"/>
              <w:left w:val="single" w:sz="8" w:space="0" w:color="auto"/>
              <w:bottom w:val="single" w:sz="8" w:space="0" w:color="auto"/>
              <w:right w:val="single" w:sz="8" w:space="0" w:color="auto"/>
            </w:tcBorders>
            <w:vAlign w:val="center"/>
            <w:hideMark/>
          </w:tcPr>
          <w:p w14:paraId="11C70A8A" w14:textId="77777777" w:rsidR="00745C06" w:rsidRPr="00A122D2" w:rsidRDefault="00745C06" w:rsidP="00582692">
            <w:pPr>
              <w:rPr>
                <w:rFonts w:ascii="Calibri" w:hAnsi="Calibri" w:cs="Calibri"/>
                <w:color w:val="000000"/>
                <w:sz w:val="20"/>
                <w:szCs w:val="20"/>
              </w:rPr>
            </w:pPr>
          </w:p>
        </w:tc>
        <w:tc>
          <w:tcPr>
            <w:tcW w:w="1559" w:type="dxa"/>
            <w:vMerge/>
            <w:tcBorders>
              <w:top w:val="nil"/>
              <w:left w:val="single" w:sz="8" w:space="0" w:color="auto"/>
              <w:bottom w:val="single" w:sz="8" w:space="0" w:color="000000"/>
              <w:right w:val="single" w:sz="8" w:space="0" w:color="auto"/>
            </w:tcBorders>
            <w:vAlign w:val="center"/>
            <w:hideMark/>
          </w:tcPr>
          <w:p w14:paraId="1BEC021D" w14:textId="77777777" w:rsidR="00745C06" w:rsidRPr="00A122D2" w:rsidRDefault="00745C06" w:rsidP="00582692">
            <w:pPr>
              <w:rPr>
                <w:rFonts w:ascii="Calibri" w:hAnsi="Calibri" w:cs="Calibri"/>
                <w:color w:val="000000"/>
                <w:sz w:val="20"/>
                <w:szCs w:val="20"/>
              </w:rPr>
            </w:pPr>
          </w:p>
        </w:tc>
        <w:tc>
          <w:tcPr>
            <w:tcW w:w="1843" w:type="dxa"/>
            <w:vMerge/>
            <w:tcBorders>
              <w:top w:val="nil"/>
              <w:left w:val="single" w:sz="8" w:space="0" w:color="auto"/>
              <w:bottom w:val="single" w:sz="8" w:space="0" w:color="auto"/>
              <w:right w:val="single" w:sz="8" w:space="0" w:color="auto"/>
            </w:tcBorders>
            <w:vAlign w:val="center"/>
            <w:hideMark/>
          </w:tcPr>
          <w:p w14:paraId="4819CBEE" w14:textId="77777777" w:rsidR="00745C06" w:rsidRPr="00A122D2" w:rsidRDefault="00745C06" w:rsidP="00582692">
            <w:pPr>
              <w:rPr>
                <w:rFonts w:ascii="Calibri" w:hAnsi="Calibri" w:cs="Calibri"/>
                <w:color w:val="000000"/>
                <w:sz w:val="20"/>
                <w:szCs w:val="20"/>
              </w:rPr>
            </w:pPr>
          </w:p>
        </w:tc>
        <w:tc>
          <w:tcPr>
            <w:tcW w:w="1559" w:type="dxa"/>
            <w:vMerge/>
            <w:tcBorders>
              <w:top w:val="nil"/>
              <w:left w:val="single" w:sz="8" w:space="0" w:color="auto"/>
              <w:bottom w:val="single" w:sz="8" w:space="0" w:color="auto"/>
              <w:right w:val="single" w:sz="8" w:space="0" w:color="auto"/>
            </w:tcBorders>
            <w:vAlign w:val="center"/>
            <w:hideMark/>
          </w:tcPr>
          <w:p w14:paraId="20B1488C" w14:textId="77777777" w:rsidR="00745C06" w:rsidRPr="00A122D2" w:rsidRDefault="00745C06" w:rsidP="00582692">
            <w:pPr>
              <w:rPr>
                <w:rFonts w:ascii="Calibri" w:hAnsi="Calibri" w:cs="Calibri"/>
                <w:color w:val="000000"/>
                <w:sz w:val="20"/>
                <w:szCs w:val="20"/>
              </w:rPr>
            </w:pPr>
          </w:p>
        </w:tc>
        <w:tc>
          <w:tcPr>
            <w:tcW w:w="1417" w:type="dxa"/>
            <w:vMerge/>
            <w:tcBorders>
              <w:top w:val="nil"/>
              <w:left w:val="single" w:sz="8" w:space="0" w:color="auto"/>
              <w:bottom w:val="single" w:sz="8" w:space="0" w:color="auto"/>
              <w:right w:val="single" w:sz="8" w:space="0" w:color="auto"/>
            </w:tcBorders>
            <w:vAlign w:val="center"/>
            <w:hideMark/>
          </w:tcPr>
          <w:p w14:paraId="4C38E997" w14:textId="77777777" w:rsidR="00745C06" w:rsidRPr="00A122D2" w:rsidRDefault="00745C06" w:rsidP="00582692">
            <w:pPr>
              <w:rPr>
                <w:rFonts w:ascii="Calibri" w:hAnsi="Calibri" w:cs="Calibri"/>
                <w:color w:val="000000"/>
                <w:sz w:val="20"/>
                <w:szCs w:val="20"/>
              </w:rPr>
            </w:pPr>
          </w:p>
        </w:tc>
        <w:tc>
          <w:tcPr>
            <w:tcW w:w="1418" w:type="dxa"/>
            <w:vMerge/>
            <w:tcBorders>
              <w:top w:val="nil"/>
              <w:left w:val="single" w:sz="8" w:space="0" w:color="auto"/>
              <w:bottom w:val="single" w:sz="8" w:space="0" w:color="auto"/>
              <w:right w:val="single" w:sz="12" w:space="0" w:color="000000"/>
            </w:tcBorders>
            <w:vAlign w:val="center"/>
            <w:hideMark/>
          </w:tcPr>
          <w:p w14:paraId="3E6631AD" w14:textId="77777777" w:rsidR="00745C06" w:rsidRPr="00A122D2" w:rsidRDefault="00745C06" w:rsidP="00582692">
            <w:pPr>
              <w:rPr>
                <w:rFonts w:ascii="Calibri" w:hAnsi="Calibri" w:cs="Calibri"/>
                <w:color w:val="000000"/>
                <w:sz w:val="20"/>
                <w:szCs w:val="20"/>
              </w:rPr>
            </w:pPr>
          </w:p>
        </w:tc>
      </w:tr>
      <w:tr w:rsidR="00745C06" w:rsidRPr="00A122D2" w14:paraId="6DC5C921" w14:textId="77777777" w:rsidTr="00582692">
        <w:trPr>
          <w:trHeight w:val="406"/>
        </w:trPr>
        <w:tc>
          <w:tcPr>
            <w:tcW w:w="4537" w:type="dxa"/>
            <w:tcBorders>
              <w:top w:val="nil"/>
              <w:left w:val="single" w:sz="12" w:space="0" w:color="000000"/>
              <w:bottom w:val="single" w:sz="8" w:space="0" w:color="auto"/>
              <w:right w:val="single" w:sz="8" w:space="0" w:color="auto"/>
            </w:tcBorders>
            <w:shd w:val="clear" w:color="auto" w:fill="auto"/>
            <w:vAlign w:val="center"/>
            <w:hideMark/>
          </w:tcPr>
          <w:p w14:paraId="3B3B1F64"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Abnormal CNS imaging [CT and/or MRI] (%)</w:t>
            </w:r>
          </w:p>
        </w:tc>
        <w:tc>
          <w:tcPr>
            <w:tcW w:w="1559" w:type="dxa"/>
            <w:tcBorders>
              <w:top w:val="nil"/>
              <w:left w:val="nil"/>
              <w:bottom w:val="single" w:sz="8" w:space="0" w:color="auto"/>
              <w:right w:val="single" w:sz="8" w:space="0" w:color="auto"/>
            </w:tcBorders>
            <w:shd w:val="clear" w:color="auto" w:fill="auto"/>
            <w:vAlign w:val="center"/>
            <w:hideMark/>
          </w:tcPr>
          <w:p w14:paraId="66301AD0"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7 (100)</w:t>
            </w:r>
          </w:p>
        </w:tc>
        <w:tc>
          <w:tcPr>
            <w:tcW w:w="1560" w:type="dxa"/>
            <w:tcBorders>
              <w:top w:val="nil"/>
              <w:left w:val="nil"/>
              <w:bottom w:val="single" w:sz="8" w:space="0" w:color="auto"/>
              <w:right w:val="single" w:sz="8" w:space="0" w:color="auto"/>
            </w:tcBorders>
            <w:shd w:val="clear" w:color="auto" w:fill="auto"/>
            <w:vAlign w:val="center"/>
            <w:hideMark/>
          </w:tcPr>
          <w:p w14:paraId="5E819572"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2(40)</w:t>
            </w:r>
          </w:p>
        </w:tc>
        <w:tc>
          <w:tcPr>
            <w:tcW w:w="1559" w:type="dxa"/>
            <w:tcBorders>
              <w:top w:val="nil"/>
              <w:left w:val="nil"/>
              <w:bottom w:val="single" w:sz="8" w:space="0" w:color="auto"/>
              <w:right w:val="single" w:sz="8" w:space="0" w:color="auto"/>
            </w:tcBorders>
            <w:shd w:val="clear" w:color="auto" w:fill="auto"/>
            <w:vAlign w:val="center"/>
            <w:hideMark/>
          </w:tcPr>
          <w:p w14:paraId="2C4F283B"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1(100)</w:t>
            </w:r>
          </w:p>
        </w:tc>
        <w:tc>
          <w:tcPr>
            <w:tcW w:w="1843" w:type="dxa"/>
            <w:tcBorders>
              <w:top w:val="nil"/>
              <w:left w:val="nil"/>
              <w:bottom w:val="single" w:sz="8" w:space="0" w:color="auto"/>
              <w:right w:val="single" w:sz="8" w:space="0" w:color="auto"/>
            </w:tcBorders>
            <w:shd w:val="clear" w:color="auto" w:fill="auto"/>
            <w:vAlign w:val="center"/>
            <w:hideMark/>
          </w:tcPr>
          <w:p w14:paraId="73C735E6"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2/8 (25)</w:t>
            </w:r>
          </w:p>
        </w:tc>
        <w:tc>
          <w:tcPr>
            <w:tcW w:w="1559" w:type="dxa"/>
            <w:tcBorders>
              <w:top w:val="nil"/>
              <w:left w:val="nil"/>
              <w:bottom w:val="single" w:sz="8" w:space="0" w:color="auto"/>
              <w:right w:val="single" w:sz="8" w:space="0" w:color="auto"/>
            </w:tcBorders>
            <w:shd w:val="clear" w:color="auto" w:fill="auto"/>
            <w:vAlign w:val="center"/>
            <w:hideMark/>
          </w:tcPr>
          <w:p w14:paraId="3C6BA9EC"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7" w:type="dxa"/>
            <w:tcBorders>
              <w:top w:val="nil"/>
              <w:left w:val="nil"/>
              <w:bottom w:val="single" w:sz="8" w:space="0" w:color="auto"/>
              <w:right w:val="single" w:sz="8" w:space="0" w:color="auto"/>
            </w:tcBorders>
            <w:shd w:val="clear" w:color="auto" w:fill="auto"/>
            <w:vAlign w:val="center"/>
            <w:hideMark/>
          </w:tcPr>
          <w:p w14:paraId="096295D5"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8" w:type="dxa"/>
            <w:tcBorders>
              <w:top w:val="nil"/>
              <w:left w:val="nil"/>
              <w:bottom w:val="single" w:sz="8" w:space="0" w:color="auto"/>
              <w:right w:val="single" w:sz="12" w:space="0" w:color="000000"/>
            </w:tcBorders>
            <w:shd w:val="clear" w:color="auto" w:fill="auto"/>
            <w:vAlign w:val="center"/>
            <w:hideMark/>
          </w:tcPr>
          <w:p w14:paraId="261AD0B7"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r>
      <w:tr w:rsidR="00745C06" w:rsidRPr="00A122D2" w14:paraId="630170E3" w14:textId="77777777" w:rsidTr="00582692">
        <w:trPr>
          <w:trHeight w:val="348"/>
        </w:trPr>
        <w:tc>
          <w:tcPr>
            <w:tcW w:w="4537" w:type="dxa"/>
            <w:tcBorders>
              <w:top w:val="nil"/>
              <w:left w:val="single" w:sz="12" w:space="0" w:color="000000"/>
              <w:bottom w:val="nil"/>
              <w:right w:val="nil"/>
            </w:tcBorders>
            <w:shd w:val="clear" w:color="000000" w:fill="FCE4D6"/>
            <w:vAlign w:val="center"/>
            <w:hideMark/>
          </w:tcPr>
          <w:p w14:paraId="57C1F039" w14:textId="77777777" w:rsidR="00745C06" w:rsidRPr="00A122D2" w:rsidRDefault="00745C06" w:rsidP="00582692">
            <w:pPr>
              <w:rPr>
                <w:rFonts w:ascii="Calibri" w:hAnsi="Calibri" w:cs="Calibri"/>
                <w:b/>
                <w:bCs/>
                <w:color w:val="000000"/>
                <w:sz w:val="20"/>
                <w:szCs w:val="20"/>
              </w:rPr>
            </w:pPr>
            <w:r w:rsidRPr="00A122D2">
              <w:rPr>
                <w:rFonts w:ascii="Calibri" w:hAnsi="Calibri" w:cs="Calibri"/>
                <w:b/>
                <w:bCs/>
                <w:color w:val="000000"/>
                <w:sz w:val="20"/>
                <w:szCs w:val="20"/>
              </w:rPr>
              <w:t>Treatment</w:t>
            </w:r>
          </w:p>
        </w:tc>
        <w:tc>
          <w:tcPr>
            <w:tcW w:w="1559" w:type="dxa"/>
            <w:tcBorders>
              <w:top w:val="nil"/>
              <w:left w:val="nil"/>
              <w:bottom w:val="nil"/>
              <w:right w:val="nil"/>
            </w:tcBorders>
            <w:shd w:val="clear" w:color="000000" w:fill="FCE4D6"/>
            <w:vAlign w:val="center"/>
            <w:hideMark/>
          </w:tcPr>
          <w:p w14:paraId="462990A6"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560" w:type="dxa"/>
            <w:tcBorders>
              <w:top w:val="nil"/>
              <w:left w:val="nil"/>
              <w:bottom w:val="nil"/>
              <w:right w:val="nil"/>
            </w:tcBorders>
            <w:shd w:val="clear" w:color="000000" w:fill="FCE4D6"/>
            <w:vAlign w:val="center"/>
            <w:hideMark/>
          </w:tcPr>
          <w:p w14:paraId="439F1742"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559" w:type="dxa"/>
            <w:tcBorders>
              <w:top w:val="nil"/>
              <w:left w:val="nil"/>
              <w:bottom w:val="nil"/>
              <w:right w:val="nil"/>
            </w:tcBorders>
            <w:shd w:val="clear" w:color="000000" w:fill="FCE4D6"/>
            <w:vAlign w:val="center"/>
            <w:hideMark/>
          </w:tcPr>
          <w:p w14:paraId="494C087B"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843" w:type="dxa"/>
            <w:tcBorders>
              <w:top w:val="nil"/>
              <w:left w:val="nil"/>
              <w:bottom w:val="nil"/>
              <w:right w:val="nil"/>
            </w:tcBorders>
            <w:shd w:val="clear" w:color="000000" w:fill="FCE4D6"/>
            <w:vAlign w:val="center"/>
            <w:hideMark/>
          </w:tcPr>
          <w:p w14:paraId="04EE37CB"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559" w:type="dxa"/>
            <w:tcBorders>
              <w:top w:val="nil"/>
              <w:left w:val="nil"/>
              <w:bottom w:val="nil"/>
              <w:right w:val="nil"/>
            </w:tcBorders>
            <w:shd w:val="clear" w:color="000000" w:fill="FCE4D6"/>
            <w:vAlign w:val="center"/>
            <w:hideMark/>
          </w:tcPr>
          <w:p w14:paraId="41DF29CF"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417" w:type="dxa"/>
            <w:tcBorders>
              <w:top w:val="nil"/>
              <w:left w:val="nil"/>
              <w:bottom w:val="nil"/>
              <w:right w:val="nil"/>
            </w:tcBorders>
            <w:shd w:val="clear" w:color="000000" w:fill="FCE4D6"/>
            <w:vAlign w:val="center"/>
            <w:hideMark/>
          </w:tcPr>
          <w:p w14:paraId="2953B37B"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418" w:type="dxa"/>
            <w:tcBorders>
              <w:top w:val="nil"/>
              <w:left w:val="nil"/>
              <w:bottom w:val="nil"/>
              <w:right w:val="single" w:sz="12" w:space="0" w:color="000000"/>
            </w:tcBorders>
            <w:shd w:val="clear" w:color="000000" w:fill="FCE4D6"/>
            <w:vAlign w:val="center"/>
            <w:hideMark/>
          </w:tcPr>
          <w:p w14:paraId="0B1941E4"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r>
      <w:tr w:rsidR="00745C06" w:rsidRPr="00A122D2" w14:paraId="1392B38E" w14:textId="77777777" w:rsidTr="00582692">
        <w:trPr>
          <w:trHeight w:val="348"/>
        </w:trPr>
        <w:tc>
          <w:tcPr>
            <w:tcW w:w="4537" w:type="dxa"/>
            <w:tcBorders>
              <w:top w:val="single" w:sz="8" w:space="0" w:color="auto"/>
              <w:left w:val="single" w:sz="12" w:space="0" w:color="000000"/>
              <w:bottom w:val="single" w:sz="8" w:space="0" w:color="auto"/>
              <w:right w:val="single" w:sz="8" w:space="0" w:color="auto"/>
            </w:tcBorders>
            <w:shd w:val="clear" w:color="auto" w:fill="auto"/>
            <w:vAlign w:val="center"/>
            <w:hideMark/>
          </w:tcPr>
          <w:p w14:paraId="4954A2FC"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PICU admission</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4EFD7450"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2 (29)</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6C6407F0"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(20)</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54916B16"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69C61038"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5 (50)</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6E691D64"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5199787E"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8" w:type="dxa"/>
            <w:tcBorders>
              <w:top w:val="single" w:sz="8" w:space="0" w:color="auto"/>
              <w:left w:val="nil"/>
              <w:bottom w:val="single" w:sz="8" w:space="0" w:color="auto"/>
              <w:right w:val="single" w:sz="12" w:space="0" w:color="000000"/>
            </w:tcBorders>
            <w:shd w:val="clear" w:color="auto" w:fill="auto"/>
            <w:vAlign w:val="center"/>
            <w:hideMark/>
          </w:tcPr>
          <w:p w14:paraId="07B05AA9"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r>
      <w:tr w:rsidR="00745C06" w:rsidRPr="00A122D2" w14:paraId="1E92ABFE" w14:textId="77777777" w:rsidTr="00582692">
        <w:trPr>
          <w:trHeight w:val="348"/>
        </w:trPr>
        <w:tc>
          <w:tcPr>
            <w:tcW w:w="4537" w:type="dxa"/>
            <w:tcBorders>
              <w:top w:val="nil"/>
              <w:left w:val="single" w:sz="12" w:space="0" w:color="000000"/>
              <w:bottom w:val="single" w:sz="8" w:space="0" w:color="auto"/>
              <w:right w:val="single" w:sz="8" w:space="0" w:color="auto"/>
            </w:tcBorders>
            <w:shd w:val="clear" w:color="auto" w:fill="auto"/>
            <w:vAlign w:val="center"/>
            <w:hideMark/>
          </w:tcPr>
          <w:p w14:paraId="7DFEFDDD"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Inotropic support</w:t>
            </w:r>
          </w:p>
        </w:tc>
        <w:tc>
          <w:tcPr>
            <w:tcW w:w="1559" w:type="dxa"/>
            <w:tcBorders>
              <w:top w:val="nil"/>
              <w:left w:val="nil"/>
              <w:bottom w:val="single" w:sz="8" w:space="0" w:color="auto"/>
              <w:right w:val="single" w:sz="8" w:space="0" w:color="auto"/>
            </w:tcBorders>
            <w:shd w:val="clear" w:color="auto" w:fill="auto"/>
            <w:vAlign w:val="center"/>
            <w:hideMark/>
          </w:tcPr>
          <w:p w14:paraId="3A5DF8BA"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560" w:type="dxa"/>
            <w:tcBorders>
              <w:top w:val="nil"/>
              <w:left w:val="nil"/>
              <w:bottom w:val="single" w:sz="8" w:space="0" w:color="auto"/>
              <w:right w:val="single" w:sz="8" w:space="0" w:color="auto"/>
            </w:tcBorders>
            <w:shd w:val="clear" w:color="auto" w:fill="auto"/>
            <w:vAlign w:val="center"/>
            <w:hideMark/>
          </w:tcPr>
          <w:p w14:paraId="421BD1B6"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14:paraId="4048FA4D"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 </w:t>
            </w:r>
          </w:p>
        </w:tc>
        <w:tc>
          <w:tcPr>
            <w:tcW w:w="1843" w:type="dxa"/>
            <w:tcBorders>
              <w:top w:val="nil"/>
              <w:left w:val="nil"/>
              <w:bottom w:val="single" w:sz="8" w:space="0" w:color="auto"/>
              <w:right w:val="single" w:sz="8" w:space="0" w:color="auto"/>
            </w:tcBorders>
            <w:shd w:val="clear" w:color="auto" w:fill="auto"/>
            <w:vAlign w:val="center"/>
            <w:hideMark/>
          </w:tcPr>
          <w:p w14:paraId="4AB724E1"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14:paraId="6F0E9B76"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7" w:type="dxa"/>
            <w:tcBorders>
              <w:top w:val="nil"/>
              <w:left w:val="nil"/>
              <w:bottom w:val="single" w:sz="8" w:space="0" w:color="auto"/>
              <w:right w:val="single" w:sz="8" w:space="0" w:color="auto"/>
            </w:tcBorders>
            <w:shd w:val="clear" w:color="auto" w:fill="auto"/>
            <w:vAlign w:val="center"/>
            <w:hideMark/>
          </w:tcPr>
          <w:p w14:paraId="1E6EE1E6"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8" w:type="dxa"/>
            <w:tcBorders>
              <w:top w:val="nil"/>
              <w:left w:val="nil"/>
              <w:bottom w:val="single" w:sz="8" w:space="0" w:color="auto"/>
              <w:right w:val="single" w:sz="12" w:space="0" w:color="000000"/>
            </w:tcBorders>
            <w:shd w:val="clear" w:color="auto" w:fill="auto"/>
            <w:vAlign w:val="center"/>
            <w:hideMark/>
          </w:tcPr>
          <w:p w14:paraId="1EDCFAEA"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r>
      <w:tr w:rsidR="00745C06" w:rsidRPr="00A122D2" w14:paraId="560B5A67" w14:textId="77777777" w:rsidTr="00582692">
        <w:trPr>
          <w:trHeight w:val="348"/>
        </w:trPr>
        <w:tc>
          <w:tcPr>
            <w:tcW w:w="4537" w:type="dxa"/>
            <w:tcBorders>
              <w:top w:val="nil"/>
              <w:left w:val="single" w:sz="12" w:space="0" w:color="000000"/>
              <w:bottom w:val="single" w:sz="8" w:space="0" w:color="auto"/>
              <w:right w:val="single" w:sz="8" w:space="0" w:color="auto"/>
            </w:tcBorders>
            <w:shd w:val="clear" w:color="auto" w:fill="auto"/>
            <w:vAlign w:val="center"/>
            <w:hideMark/>
          </w:tcPr>
          <w:p w14:paraId="7BDCDF99"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Immunomodulation</w:t>
            </w:r>
          </w:p>
        </w:tc>
        <w:tc>
          <w:tcPr>
            <w:tcW w:w="1559" w:type="dxa"/>
            <w:tcBorders>
              <w:top w:val="nil"/>
              <w:left w:val="nil"/>
              <w:bottom w:val="single" w:sz="8" w:space="0" w:color="auto"/>
              <w:right w:val="single" w:sz="8" w:space="0" w:color="auto"/>
            </w:tcBorders>
            <w:shd w:val="clear" w:color="auto" w:fill="auto"/>
            <w:vAlign w:val="center"/>
            <w:hideMark/>
          </w:tcPr>
          <w:p w14:paraId="637AF6DA"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6 (86)*</w:t>
            </w:r>
          </w:p>
        </w:tc>
        <w:tc>
          <w:tcPr>
            <w:tcW w:w="1560" w:type="dxa"/>
            <w:tcBorders>
              <w:top w:val="nil"/>
              <w:left w:val="nil"/>
              <w:bottom w:val="single" w:sz="8" w:space="0" w:color="auto"/>
              <w:right w:val="single" w:sz="8" w:space="0" w:color="auto"/>
            </w:tcBorders>
            <w:shd w:val="clear" w:color="auto" w:fill="auto"/>
            <w:vAlign w:val="center"/>
            <w:hideMark/>
          </w:tcPr>
          <w:p w14:paraId="7F5CF636"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4 (80)</w:t>
            </w:r>
          </w:p>
        </w:tc>
        <w:tc>
          <w:tcPr>
            <w:tcW w:w="1559" w:type="dxa"/>
            <w:tcBorders>
              <w:top w:val="nil"/>
              <w:left w:val="nil"/>
              <w:bottom w:val="single" w:sz="8" w:space="0" w:color="auto"/>
              <w:right w:val="single" w:sz="8" w:space="0" w:color="auto"/>
            </w:tcBorders>
            <w:shd w:val="clear" w:color="auto" w:fill="auto"/>
            <w:vAlign w:val="center"/>
            <w:hideMark/>
          </w:tcPr>
          <w:p w14:paraId="2C5E80D6"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1(100)</w:t>
            </w:r>
          </w:p>
        </w:tc>
        <w:tc>
          <w:tcPr>
            <w:tcW w:w="1843" w:type="dxa"/>
            <w:tcBorders>
              <w:top w:val="nil"/>
              <w:left w:val="nil"/>
              <w:bottom w:val="single" w:sz="8" w:space="0" w:color="auto"/>
              <w:right w:val="single" w:sz="8" w:space="0" w:color="auto"/>
            </w:tcBorders>
            <w:shd w:val="clear" w:color="auto" w:fill="auto"/>
            <w:vAlign w:val="center"/>
            <w:hideMark/>
          </w:tcPr>
          <w:p w14:paraId="4081581A"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2 (20)</w:t>
            </w:r>
          </w:p>
        </w:tc>
        <w:tc>
          <w:tcPr>
            <w:tcW w:w="1559" w:type="dxa"/>
            <w:tcBorders>
              <w:top w:val="nil"/>
              <w:left w:val="nil"/>
              <w:bottom w:val="single" w:sz="8" w:space="0" w:color="auto"/>
              <w:right w:val="single" w:sz="8" w:space="0" w:color="auto"/>
            </w:tcBorders>
            <w:shd w:val="clear" w:color="auto" w:fill="auto"/>
            <w:vAlign w:val="center"/>
            <w:hideMark/>
          </w:tcPr>
          <w:p w14:paraId="3D1DA66D"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7" w:type="dxa"/>
            <w:tcBorders>
              <w:top w:val="nil"/>
              <w:left w:val="nil"/>
              <w:bottom w:val="single" w:sz="8" w:space="0" w:color="auto"/>
              <w:right w:val="single" w:sz="8" w:space="0" w:color="auto"/>
            </w:tcBorders>
            <w:shd w:val="clear" w:color="auto" w:fill="auto"/>
            <w:vAlign w:val="center"/>
            <w:hideMark/>
          </w:tcPr>
          <w:p w14:paraId="35867A4A"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8" w:type="dxa"/>
            <w:tcBorders>
              <w:top w:val="nil"/>
              <w:left w:val="nil"/>
              <w:bottom w:val="single" w:sz="8" w:space="0" w:color="auto"/>
              <w:right w:val="single" w:sz="12" w:space="0" w:color="000000"/>
            </w:tcBorders>
            <w:shd w:val="clear" w:color="auto" w:fill="auto"/>
            <w:vAlign w:val="center"/>
            <w:hideMark/>
          </w:tcPr>
          <w:p w14:paraId="030E48CC"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r>
      <w:tr w:rsidR="00745C06" w:rsidRPr="00A122D2" w14:paraId="6EB5CC9A" w14:textId="77777777" w:rsidTr="00582692">
        <w:trPr>
          <w:trHeight w:val="348"/>
        </w:trPr>
        <w:tc>
          <w:tcPr>
            <w:tcW w:w="4537" w:type="dxa"/>
            <w:tcBorders>
              <w:top w:val="nil"/>
              <w:left w:val="single" w:sz="12" w:space="0" w:color="000000"/>
              <w:bottom w:val="nil"/>
              <w:right w:val="nil"/>
            </w:tcBorders>
            <w:shd w:val="clear" w:color="000000" w:fill="FCE4D6"/>
            <w:vAlign w:val="center"/>
            <w:hideMark/>
          </w:tcPr>
          <w:p w14:paraId="0C980647" w14:textId="77777777" w:rsidR="00745C06" w:rsidRPr="00A122D2" w:rsidRDefault="00745C06" w:rsidP="00582692">
            <w:pPr>
              <w:rPr>
                <w:rFonts w:ascii="Calibri" w:hAnsi="Calibri" w:cs="Calibri"/>
                <w:b/>
                <w:bCs/>
                <w:color w:val="000000"/>
                <w:sz w:val="20"/>
                <w:szCs w:val="20"/>
              </w:rPr>
            </w:pPr>
            <w:r w:rsidRPr="00A122D2">
              <w:rPr>
                <w:rFonts w:ascii="Calibri" w:hAnsi="Calibri" w:cs="Calibri"/>
                <w:b/>
                <w:bCs/>
                <w:color w:val="000000"/>
                <w:sz w:val="20"/>
                <w:szCs w:val="20"/>
              </w:rPr>
              <w:t>Outcome</w:t>
            </w:r>
          </w:p>
        </w:tc>
        <w:tc>
          <w:tcPr>
            <w:tcW w:w="1559" w:type="dxa"/>
            <w:tcBorders>
              <w:top w:val="nil"/>
              <w:left w:val="nil"/>
              <w:bottom w:val="nil"/>
              <w:right w:val="nil"/>
            </w:tcBorders>
            <w:shd w:val="clear" w:color="000000" w:fill="FCE4D6"/>
            <w:vAlign w:val="center"/>
            <w:hideMark/>
          </w:tcPr>
          <w:p w14:paraId="3F3588A4"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 </w:t>
            </w:r>
          </w:p>
        </w:tc>
        <w:tc>
          <w:tcPr>
            <w:tcW w:w="1560" w:type="dxa"/>
            <w:tcBorders>
              <w:top w:val="nil"/>
              <w:left w:val="nil"/>
              <w:bottom w:val="nil"/>
              <w:right w:val="nil"/>
            </w:tcBorders>
            <w:shd w:val="clear" w:color="000000" w:fill="FCE4D6"/>
            <w:vAlign w:val="center"/>
            <w:hideMark/>
          </w:tcPr>
          <w:p w14:paraId="03C7D3EC"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 </w:t>
            </w:r>
          </w:p>
        </w:tc>
        <w:tc>
          <w:tcPr>
            <w:tcW w:w="1559" w:type="dxa"/>
            <w:tcBorders>
              <w:top w:val="nil"/>
              <w:left w:val="nil"/>
              <w:bottom w:val="nil"/>
              <w:right w:val="nil"/>
            </w:tcBorders>
            <w:shd w:val="clear" w:color="000000" w:fill="FCE4D6"/>
            <w:vAlign w:val="center"/>
            <w:hideMark/>
          </w:tcPr>
          <w:p w14:paraId="2419BE22"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 </w:t>
            </w:r>
          </w:p>
        </w:tc>
        <w:tc>
          <w:tcPr>
            <w:tcW w:w="1843" w:type="dxa"/>
            <w:tcBorders>
              <w:top w:val="nil"/>
              <w:left w:val="nil"/>
              <w:bottom w:val="nil"/>
              <w:right w:val="nil"/>
            </w:tcBorders>
            <w:shd w:val="clear" w:color="000000" w:fill="FCE4D6"/>
            <w:vAlign w:val="center"/>
            <w:hideMark/>
          </w:tcPr>
          <w:p w14:paraId="0A9FD713"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 </w:t>
            </w:r>
          </w:p>
        </w:tc>
        <w:tc>
          <w:tcPr>
            <w:tcW w:w="1559" w:type="dxa"/>
            <w:tcBorders>
              <w:top w:val="nil"/>
              <w:left w:val="nil"/>
              <w:bottom w:val="nil"/>
              <w:right w:val="nil"/>
            </w:tcBorders>
            <w:shd w:val="clear" w:color="000000" w:fill="FCE4D6"/>
            <w:vAlign w:val="center"/>
            <w:hideMark/>
          </w:tcPr>
          <w:p w14:paraId="310ABAA3"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 </w:t>
            </w:r>
          </w:p>
        </w:tc>
        <w:tc>
          <w:tcPr>
            <w:tcW w:w="1417" w:type="dxa"/>
            <w:tcBorders>
              <w:top w:val="nil"/>
              <w:left w:val="nil"/>
              <w:bottom w:val="nil"/>
              <w:right w:val="nil"/>
            </w:tcBorders>
            <w:shd w:val="clear" w:color="000000" w:fill="FCE4D6"/>
            <w:vAlign w:val="center"/>
            <w:hideMark/>
          </w:tcPr>
          <w:p w14:paraId="03A6C4AD"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 </w:t>
            </w:r>
          </w:p>
        </w:tc>
        <w:tc>
          <w:tcPr>
            <w:tcW w:w="1418" w:type="dxa"/>
            <w:tcBorders>
              <w:top w:val="nil"/>
              <w:left w:val="nil"/>
              <w:bottom w:val="nil"/>
              <w:right w:val="single" w:sz="12" w:space="0" w:color="000000"/>
            </w:tcBorders>
            <w:shd w:val="clear" w:color="000000" w:fill="FCE4D6"/>
            <w:vAlign w:val="center"/>
            <w:hideMark/>
          </w:tcPr>
          <w:p w14:paraId="2FD3E2F0" w14:textId="77777777" w:rsidR="00745C06" w:rsidRPr="00A122D2" w:rsidRDefault="00745C06" w:rsidP="00582692">
            <w:pPr>
              <w:jc w:val="center"/>
              <w:rPr>
                <w:rFonts w:ascii="Calibri" w:hAnsi="Calibri" w:cs="Calibri"/>
                <w:b/>
                <w:bCs/>
                <w:color w:val="000000"/>
                <w:sz w:val="20"/>
                <w:szCs w:val="20"/>
              </w:rPr>
            </w:pPr>
            <w:r w:rsidRPr="00A122D2">
              <w:rPr>
                <w:rFonts w:ascii="Calibri" w:hAnsi="Calibri" w:cs="Calibri"/>
                <w:b/>
                <w:bCs/>
                <w:color w:val="000000"/>
                <w:sz w:val="20"/>
                <w:szCs w:val="20"/>
              </w:rPr>
              <w:t> </w:t>
            </w:r>
          </w:p>
        </w:tc>
      </w:tr>
      <w:tr w:rsidR="00745C06" w:rsidRPr="00A122D2" w14:paraId="5615CD72" w14:textId="77777777" w:rsidTr="00582692">
        <w:trPr>
          <w:trHeight w:val="348"/>
        </w:trPr>
        <w:tc>
          <w:tcPr>
            <w:tcW w:w="4537" w:type="dxa"/>
            <w:tcBorders>
              <w:top w:val="single" w:sz="8" w:space="0" w:color="auto"/>
              <w:left w:val="single" w:sz="12" w:space="0" w:color="000000"/>
              <w:bottom w:val="single" w:sz="8" w:space="0" w:color="auto"/>
              <w:right w:val="single" w:sz="8" w:space="0" w:color="auto"/>
            </w:tcBorders>
            <w:shd w:val="clear" w:color="auto" w:fill="auto"/>
            <w:vAlign w:val="center"/>
            <w:hideMark/>
          </w:tcPr>
          <w:p w14:paraId="4F7731B8"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Disability</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2ABB50C3"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4 (57)</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6F161869"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2 (40)</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3DB3709A"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27F3928C"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(10)</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4649CD17"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(50)</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184DC918"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1 (50)</w:t>
            </w:r>
          </w:p>
        </w:tc>
        <w:tc>
          <w:tcPr>
            <w:tcW w:w="1418" w:type="dxa"/>
            <w:tcBorders>
              <w:top w:val="single" w:sz="8" w:space="0" w:color="auto"/>
              <w:left w:val="nil"/>
              <w:bottom w:val="single" w:sz="8" w:space="0" w:color="auto"/>
              <w:right w:val="single" w:sz="12" w:space="0" w:color="000000"/>
            </w:tcBorders>
            <w:shd w:val="clear" w:color="auto" w:fill="auto"/>
            <w:vAlign w:val="center"/>
            <w:hideMark/>
          </w:tcPr>
          <w:p w14:paraId="7B285A1C"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r>
      <w:tr w:rsidR="00745C06" w:rsidRPr="00A122D2" w14:paraId="6A2A5405" w14:textId="77777777" w:rsidTr="00582692">
        <w:trPr>
          <w:trHeight w:val="348"/>
        </w:trPr>
        <w:tc>
          <w:tcPr>
            <w:tcW w:w="4537" w:type="dxa"/>
            <w:tcBorders>
              <w:top w:val="nil"/>
              <w:left w:val="single" w:sz="12" w:space="0" w:color="000000"/>
              <w:bottom w:val="single" w:sz="8" w:space="0" w:color="auto"/>
              <w:right w:val="single" w:sz="8" w:space="0" w:color="auto"/>
            </w:tcBorders>
            <w:shd w:val="clear" w:color="auto" w:fill="auto"/>
            <w:vAlign w:val="center"/>
            <w:hideMark/>
          </w:tcPr>
          <w:p w14:paraId="1D777033"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Death</w:t>
            </w:r>
          </w:p>
        </w:tc>
        <w:tc>
          <w:tcPr>
            <w:tcW w:w="1559" w:type="dxa"/>
            <w:tcBorders>
              <w:top w:val="nil"/>
              <w:left w:val="nil"/>
              <w:bottom w:val="single" w:sz="8" w:space="0" w:color="auto"/>
              <w:right w:val="single" w:sz="8" w:space="0" w:color="auto"/>
            </w:tcBorders>
            <w:shd w:val="clear" w:color="auto" w:fill="auto"/>
            <w:vAlign w:val="center"/>
            <w:hideMark/>
          </w:tcPr>
          <w:p w14:paraId="0A180995"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560" w:type="dxa"/>
            <w:tcBorders>
              <w:top w:val="nil"/>
              <w:left w:val="nil"/>
              <w:bottom w:val="single" w:sz="8" w:space="0" w:color="auto"/>
              <w:right w:val="single" w:sz="8" w:space="0" w:color="auto"/>
            </w:tcBorders>
            <w:shd w:val="clear" w:color="auto" w:fill="auto"/>
            <w:vAlign w:val="center"/>
            <w:hideMark/>
          </w:tcPr>
          <w:p w14:paraId="57343D51"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14:paraId="0A21425E"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843" w:type="dxa"/>
            <w:tcBorders>
              <w:top w:val="nil"/>
              <w:left w:val="nil"/>
              <w:bottom w:val="single" w:sz="8" w:space="0" w:color="auto"/>
              <w:right w:val="single" w:sz="8" w:space="0" w:color="auto"/>
            </w:tcBorders>
            <w:shd w:val="clear" w:color="auto" w:fill="auto"/>
            <w:vAlign w:val="center"/>
            <w:hideMark/>
          </w:tcPr>
          <w:p w14:paraId="38FBBFE1"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14:paraId="2CFCE944"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7" w:type="dxa"/>
            <w:tcBorders>
              <w:top w:val="nil"/>
              <w:left w:val="nil"/>
              <w:bottom w:val="single" w:sz="8" w:space="0" w:color="auto"/>
              <w:right w:val="single" w:sz="8" w:space="0" w:color="auto"/>
            </w:tcBorders>
            <w:shd w:val="clear" w:color="auto" w:fill="auto"/>
            <w:vAlign w:val="center"/>
            <w:hideMark/>
          </w:tcPr>
          <w:p w14:paraId="7D8D96F6"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c>
          <w:tcPr>
            <w:tcW w:w="1418" w:type="dxa"/>
            <w:tcBorders>
              <w:top w:val="nil"/>
              <w:left w:val="nil"/>
              <w:bottom w:val="single" w:sz="8" w:space="0" w:color="auto"/>
              <w:right w:val="single" w:sz="12" w:space="0" w:color="000000"/>
            </w:tcBorders>
            <w:shd w:val="clear" w:color="auto" w:fill="auto"/>
            <w:vAlign w:val="center"/>
            <w:hideMark/>
          </w:tcPr>
          <w:p w14:paraId="3BE56396" w14:textId="77777777" w:rsidR="00745C06" w:rsidRPr="00A122D2" w:rsidRDefault="00745C06" w:rsidP="00582692">
            <w:pPr>
              <w:jc w:val="center"/>
              <w:rPr>
                <w:rFonts w:ascii="Calibri" w:hAnsi="Calibri" w:cs="Calibri"/>
                <w:color w:val="000000"/>
                <w:sz w:val="20"/>
                <w:szCs w:val="20"/>
              </w:rPr>
            </w:pPr>
            <w:r w:rsidRPr="00A122D2">
              <w:rPr>
                <w:rFonts w:ascii="Calibri" w:hAnsi="Calibri" w:cs="Calibri"/>
                <w:color w:val="000000"/>
                <w:sz w:val="20"/>
                <w:szCs w:val="20"/>
              </w:rPr>
              <w:t>0</w:t>
            </w:r>
          </w:p>
        </w:tc>
      </w:tr>
      <w:tr w:rsidR="00745C06" w:rsidRPr="00A122D2" w14:paraId="3FFA6EEE" w14:textId="77777777" w:rsidTr="00582692">
        <w:trPr>
          <w:trHeight w:val="652"/>
        </w:trPr>
        <w:tc>
          <w:tcPr>
            <w:tcW w:w="15452" w:type="dxa"/>
            <w:gridSpan w:val="8"/>
            <w:tcBorders>
              <w:top w:val="nil"/>
              <w:left w:val="single" w:sz="12" w:space="0" w:color="auto"/>
              <w:bottom w:val="single" w:sz="12" w:space="0" w:color="000000"/>
              <w:right w:val="single" w:sz="12" w:space="0" w:color="000000"/>
            </w:tcBorders>
            <w:shd w:val="clear" w:color="000000" w:fill="FCE4D6"/>
            <w:vAlign w:val="center"/>
            <w:hideMark/>
          </w:tcPr>
          <w:p w14:paraId="74E63E8C" w14:textId="77777777" w:rsidR="00745C06" w:rsidRPr="00A122D2" w:rsidRDefault="00745C06" w:rsidP="00582692">
            <w:pPr>
              <w:rPr>
                <w:rFonts w:ascii="Calibri" w:hAnsi="Calibri" w:cs="Calibri"/>
                <w:color w:val="000000"/>
                <w:sz w:val="20"/>
                <w:szCs w:val="20"/>
              </w:rPr>
            </w:pPr>
            <w:r w:rsidRPr="00A122D2">
              <w:rPr>
                <w:rFonts w:ascii="Calibri" w:hAnsi="Calibri" w:cs="Calibri"/>
                <w:color w:val="000000"/>
                <w:sz w:val="20"/>
                <w:szCs w:val="20"/>
              </w:rPr>
              <w:t>*one not immunomodulated due to underlying malignancy; ADS=Acute demyelinating syndrome; GBS=Guillain-Barré Syndrome; NP=Not performed; CNS, central nervous system; PNS, peripheral nervous</w:t>
            </w:r>
            <w:r>
              <w:rPr>
                <w:rFonts w:ascii="Calibri" w:hAnsi="Calibri" w:cs="Calibri"/>
                <w:color w:val="000000"/>
                <w:sz w:val="20"/>
                <w:szCs w:val="20"/>
              </w:rPr>
              <w:t xml:space="preserve"> s</w:t>
            </w:r>
            <w:r w:rsidRPr="00A122D2">
              <w:rPr>
                <w:rFonts w:ascii="Calibri" w:hAnsi="Calibri" w:cs="Calibri"/>
                <w:color w:val="000000"/>
                <w:sz w:val="20"/>
                <w:szCs w:val="20"/>
              </w:rPr>
              <w:t>ystem</w:t>
            </w:r>
          </w:p>
        </w:tc>
      </w:tr>
      <w:tr w:rsidR="00745C06" w:rsidRPr="00A122D2" w14:paraId="5F2F78C4" w14:textId="77777777" w:rsidTr="00582692">
        <w:trPr>
          <w:trHeight w:val="99"/>
        </w:trPr>
        <w:tc>
          <w:tcPr>
            <w:tcW w:w="15452" w:type="dxa"/>
            <w:gridSpan w:val="8"/>
            <w:tcBorders>
              <w:top w:val="single" w:sz="12" w:space="0" w:color="000000"/>
              <w:left w:val="single" w:sz="12" w:space="0" w:color="auto"/>
              <w:bottom w:val="single" w:sz="12" w:space="0" w:color="000000"/>
              <w:right w:val="single" w:sz="12" w:space="0" w:color="000000"/>
            </w:tcBorders>
            <w:shd w:val="clear" w:color="000000" w:fill="FCE4D6"/>
            <w:vAlign w:val="center"/>
          </w:tcPr>
          <w:p w14:paraId="057E73DC" w14:textId="2D26D31C" w:rsidR="00745C06" w:rsidRPr="00A122D2" w:rsidRDefault="00745C06" w:rsidP="00582692">
            <w:pPr>
              <w:rPr>
                <w:rFonts w:ascii="Calibri" w:hAnsi="Calibri" w:cs="Calibri"/>
                <w:color w:val="000000"/>
                <w:sz w:val="20"/>
                <w:szCs w:val="20"/>
              </w:rPr>
            </w:pPr>
            <w:r w:rsidRPr="00A122D2">
              <w:rPr>
                <w:rFonts w:ascii="Calibri" w:hAnsi="Calibri" w:cs="Calibri"/>
                <w:b/>
                <w:bCs/>
                <w:color w:val="000000"/>
                <w:sz w:val="20"/>
                <w:szCs w:val="20"/>
              </w:rPr>
              <w:t xml:space="preserve">Table </w:t>
            </w:r>
            <w:r>
              <w:rPr>
                <w:rFonts w:ascii="Calibri" w:hAnsi="Calibri" w:cs="Calibri"/>
                <w:b/>
                <w:bCs/>
                <w:color w:val="000000"/>
                <w:sz w:val="20"/>
                <w:szCs w:val="20"/>
              </w:rPr>
              <w:t>4</w:t>
            </w:r>
            <w:r w:rsidRPr="00A122D2">
              <w:rPr>
                <w:rFonts w:ascii="Calibri" w:hAnsi="Calibri" w:cs="Calibri"/>
                <w:b/>
                <w:bCs/>
                <w:color w:val="000000"/>
                <w:sz w:val="20"/>
                <w:szCs w:val="20"/>
              </w:rPr>
              <w:t xml:space="preserve">: Demographics, clinical features, investigations, management and outcome </w:t>
            </w:r>
            <w:r>
              <w:rPr>
                <w:rFonts w:ascii="Calibri" w:hAnsi="Calibri" w:cs="Calibri"/>
                <w:b/>
                <w:bCs/>
                <w:color w:val="000000"/>
                <w:sz w:val="20"/>
                <w:szCs w:val="20"/>
              </w:rPr>
              <w:t xml:space="preserve">of the following </w:t>
            </w:r>
            <w:r w:rsidRPr="00A122D2">
              <w:rPr>
                <w:rFonts w:ascii="Calibri" w:hAnsi="Calibri" w:cs="Calibri"/>
                <w:b/>
                <w:bCs/>
                <w:color w:val="000000"/>
                <w:sz w:val="20"/>
                <w:szCs w:val="20"/>
              </w:rPr>
              <w:t>COVID</w:t>
            </w:r>
            <w:r w:rsidR="00FC78DA">
              <w:rPr>
                <w:rFonts w:ascii="Calibri" w:hAnsi="Calibri" w:cs="Calibri"/>
                <w:b/>
                <w:bCs/>
                <w:color w:val="000000"/>
                <w:sz w:val="20"/>
                <w:szCs w:val="20"/>
              </w:rPr>
              <w:t>-19</w:t>
            </w:r>
            <w:r w:rsidRPr="00A122D2">
              <w:rPr>
                <w:rFonts w:ascii="Calibri" w:hAnsi="Calibri" w:cs="Calibri"/>
                <w:b/>
                <w:bCs/>
                <w:color w:val="000000"/>
                <w:sz w:val="20"/>
                <w:szCs w:val="20"/>
              </w:rPr>
              <w:t xml:space="preserve"> Neurology subgroups</w:t>
            </w:r>
            <w:r>
              <w:rPr>
                <w:rFonts w:ascii="Calibri" w:hAnsi="Calibri" w:cs="Calibri"/>
                <w:b/>
                <w:bCs/>
                <w:color w:val="000000"/>
                <w:sz w:val="20"/>
                <w:szCs w:val="20"/>
              </w:rPr>
              <w:t xml:space="preserve">: </w:t>
            </w:r>
            <w:r w:rsidRPr="00A122D2">
              <w:rPr>
                <w:rFonts w:ascii="Calibri" w:hAnsi="Calibri" w:cs="Calibri"/>
                <w:b/>
                <w:bCs/>
                <w:color w:val="000000"/>
                <w:sz w:val="20"/>
                <w:szCs w:val="20"/>
              </w:rPr>
              <w:t>a) Neuro-Immune COVID</w:t>
            </w:r>
            <w:r w:rsidR="00FC78DA">
              <w:rPr>
                <w:rFonts w:ascii="Calibri" w:hAnsi="Calibri" w:cs="Calibri"/>
                <w:b/>
                <w:bCs/>
                <w:color w:val="000000"/>
                <w:sz w:val="20"/>
                <w:szCs w:val="20"/>
              </w:rPr>
              <w:t>-19</w:t>
            </w:r>
            <w:r w:rsidRPr="00A122D2">
              <w:rPr>
                <w:rFonts w:ascii="Calibri" w:hAnsi="Calibri" w:cs="Calibri"/>
                <w:b/>
                <w:bCs/>
                <w:color w:val="000000"/>
                <w:sz w:val="20"/>
                <w:szCs w:val="20"/>
              </w:rPr>
              <w:t xml:space="preserve"> Neurology subgroup</w:t>
            </w:r>
            <w:r>
              <w:rPr>
                <w:rFonts w:ascii="Calibri" w:hAnsi="Calibri" w:cs="Calibri"/>
                <w:b/>
                <w:bCs/>
                <w:color w:val="000000"/>
                <w:sz w:val="20"/>
                <w:szCs w:val="20"/>
              </w:rPr>
              <w:t xml:space="preserve"> </w:t>
            </w:r>
            <w:r w:rsidRPr="00A122D2">
              <w:rPr>
                <w:rFonts w:ascii="Calibri" w:hAnsi="Calibri" w:cs="Calibri"/>
                <w:b/>
                <w:bCs/>
                <w:color w:val="000000"/>
                <w:sz w:val="20"/>
                <w:szCs w:val="20"/>
              </w:rPr>
              <w:t>b) COVID</w:t>
            </w:r>
            <w:r w:rsidR="00FC78DA">
              <w:rPr>
                <w:rFonts w:ascii="Calibri" w:hAnsi="Calibri" w:cs="Calibri"/>
                <w:b/>
                <w:bCs/>
                <w:color w:val="000000"/>
                <w:sz w:val="20"/>
                <w:szCs w:val="20"/>
              </w:rPr>
              <w:t xml:space="preserve">-19 </w:t>
            </w:r>
            <w:r w:rsidRPr="00A122D2">
              <w:rPr>
                <w:rFonts w:ascii="Calibri" w:hAnsi="Calibri" w:cs="Calibri"/>
                <w:b/>
                <w:bCs/>
                <w:color w:val="000000"/>
                <w:sz w:val="20"/>
                <w:szCs w:val="20"/>
              </w:rPr>
              <w:t xml:space="preserve">Neurology other subgroup </w:t>
            </w:r>
          </w:p>
        </w:tc>
      </w:tr>
    </w:tbl>
    <w:p w14:paraId="4ED46F00" w14:textId="77777777" w:rsidR="00A50096" w:rsidRDefault="00A50096" w:rsidP="00A50096">
      <w:pPr>
        <w:spacing w:line="360" w:lineRule="auto"/>
        <w:rPr>
          <w:rFonts w:ascii="Calibri" w:hAnsi="Calibri" w:cs="Calibri"/>
          <w:color w:val="000000"/>
          <w:u w:val="single"/>
          <w:shd w:val="clear" w:color="auto" w:fill="FFFFFF"/>
        </w:rPr>
      </w:pPr>
    </w:p>
    <w:p w14:paraId="004CE1BA" w14:textId="77777777" w:rsidR="00A50096" w:rsidRDefault="00A50096" w:rsidP="00A50096">
      <w:pPr>
        <w:spacing w:line="360" w:lineRule="auto"/>
        <w:rPr>
          <w:rFonts w:ascii="Calibri" w:hAnsi="Calibri" w:cs="Calibri"/>
          <w:color w:val="000000"/>
          <w:u w:val="single"/>
          <w:shd w:val="clear" w:color="auto" w:fill="FFFFFF"/>
        </w:rPr>
      </w:pPr>
    </w:p>
    <w:p w14:paraId="207C4A47" w14:textId="77777777" w:rsidR="00A50096" w:rsidRDefault="00A50096" w:rsidP="00A50096">
      <w:pPr>
        <w:spacing w:line="360" w:lineRule="auto"/>
        <w:rPr>
          <w:rFonts w:ascii="Calibri" w:hAnsi="Calibri" w:cs="Calibri"/>
          <w:color w:val="000000"/>
          <w:u w:val="single"/>
          <w:shd w:val="clear" w:color="auto" w:fill="FFFFFF"/>
        </w:rPr>
      </w:pPr>
      <w:r w:rsidRPr="001710A7">
        <w:rPr>
          <w:rFonts w:ascii="Calibri" w:hAnsi="Calibri" w:cs="Calibri"/>
          <w:noProof/>
          <w:color w:val="000000"/>
          <w:u w:val="single"/>
          <w:lang w:eastAsia="en-GB"/>
        </w:rPr>
        <w:drawing>
          <wp:inline distT="0" distB="0" distL="0" distR="0" wp14:anchorId="1BBB770F" wp14:editId="01D33054">
            <wp:extent cx="9251950" cy="5217160"/>
            <wp:effectExtent l="0" t="0" r="6350" b="254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stretch>
                      <a:fillRect/>
                    </a:stretch>
                  </pic:blipFill>
                  <pic:spPr>
                    <a:xfrm>
                      <a:off x="0" y="0"/>
                      <a:ext cx="9251950" cy="5217160"/>
                    </a:xfrm>
                    <a:prstGeom prst="rect">
                      <a:avLst/>
                    </a:prstGeom>
                  </pic:spPr>
                </pic:pic>
              </a:graphicData>
            </a:graphic>
          </wp:inline>
        </w:drawing>
      </w:r>
    </w:p>
    <w:p w14:paraId="5B3A57FD" w14:textId="77777777" w:rsidR="00A50096" w:rsidRDefault="00A50096" w:rsidP="00A50096">
      <w:pPr>
        <w:spacing w:line="360" w:lineRule="auto"/>
        <w:rPr>
          <w:rFonts w:ascii="Calibri" w:hAnsi="Calibri" w:cs="Calibri"/>
          <w:color w:val="000000"/>
          <w:u w:val="single"/>
          <w:shd w:val="clear" w:color="auto" w:fill="FFFFFF"/>
        </w:rPr>
      </w:pPr>
    </w:p>
    <w:p w14:paraId="07F52018" w14:textId="77777777" w:rsidR="00A50096" w:rsidRPr="0063456D" w:rsidRDefault="00A50096" w:rsidP="00A50096">
      <w:pPr>
        <w:spacing w:line="360" w:lineRule="auto"/>
        <w:rPr>
          <w:sz w:val="20"/>
          <w:szCs w:val="20"/>
          <w:u w:val="single"/>
        </w:rPr>
      </w:pPr>
      <w:r w:rsidRPr="00D25732">
        <w:rPr>
          <w:rFonts w:ascii="Calibri" w:hAnsi="Calibri" w:cs="Calibri"/>
          <w:color w:val="000000"/>
          <w:sz w:val="20"/>
          <w:szCs w:val="20"/>
          <w:u w:val="single"/>
          <w:shd w:val="clear" w:color="auto" w:fill="FFFFFF"/>
        </w:rPr>
        <w:t>Figure 1: </w:t>
      </w:r>
      <w:r w:rsidRPr="00D25732">
        <w:rPr>
          <w:rFonts w:ascii="Calibri" w:hAnsi="Calibri" w:cs="Calibri"/>
          <w:color w:val="000000"/>
          <w:sz w:val="20"/>
          <w:szCs w:val="20"/>
          <w:shd w:val="clear" w:color="auto" w:fill="FFFFFF"/>
        </w:rPr>
        <w:t>Recruitment flow diagram and classification of neurological diseases</w:t>
      </w:r>
    </w:p>
    <w:p w14:paraId="61DCE73F" w14:textId="291A8555" w:rsidR="00A50096" w:rsidRDefault="00A50096" w:rsidP="00A50096">
      <w:pPr>
        <w:shd w:val="clear" w:color="auto" w:fill="FFFFFF"/>
        <w:spacing w:line="360" w:lineRule="auto"/>
        <w:rPr>
          <w:rFonts w:ascii="Calibri" w:hAnsi="Calibri" w:cs="Calibri"/>
          <w:color w:val="000000"/>
          <w:u w:val="single"/>
        </w:rPr>
      </w:pPr>
    </w:p>
    <w:p w14:paraId="7979E4DE" w14:textId="544E146E" w:rsidR="00A50096" w:rsidRDefault="00A50096" w:rsidP="00A50096">
      <w:pPr>
        <w:shd w:val="clear" w:color="auto" w:fill="FFFFFF"/>
        <w:spacing w:line="360" w:lineRule="auto"/>
        <w:rPr>
          <w:rFonts w:ascii="Calibri" w:hAnsi="Calibri" w:cs="Calibri"/>
          <w:color w:val="000000"/>
          <w:u w:val="single"/>
        </w:rPr>
      </w:pPr>
    </w:p>
    <w:p w14:paraId="52729C7F" w14:textId="11EA9A7E" w:rsidR="00A50096" w:rsidRDefault="00A50096" w:rsidP="00A50096">
      <w:pPr>
        <w:shd w:val="clear" w:color="auto" w:fill="FFFFFF"/>
        <w:spacing w:line="360" w:lineRule="auto"/>
        <w:rPr>
          <w:rFonts w:ascii="Calibri" w:hAnsi="Calibri" w:cs="Calibri"/>
          <w:color w:val="000000"/>
          <w:u w:val="single"/>
        </w:rPr>
      </w:pPr>
    </w:p>
    <w:p w14:paraId="70358BE4" w14:textId="5144ABE7" w:rsidR="00A50096" w:rsidRDefault="00A50096" w:rsidP="00A50096">
      <w:pPr>
        <w:shd w:val="clear" w:color="auto" w:fill="FFFFFF"/>
        <w:spacing w:line="360" w:lineRule="auto"/>
        <w:rPr>
          <w:rFonts w:ascii="Calibri" w:hAnsi="Calibri" w:cs="Calibri"/>
          <w:color w:val="000000"/>
          <w:u w:val="single"/>
        </w:rPr>
      </w:pPr>
    </w:p>
    <w:p w14:paraId="5283A358" w14:textId="1F1E4C6D" w:rsidR="00A50096" w:rsidRDefault="00A50096" w:rsidP="00A50096">
      <w:pPr>
        <w:shd w:val="clear" w:color="auto" w:fill="FFFFFF"/>
        <w:spacing w:line="360" w:lineRule="auto"/>
        <w:rPr>
          <w:rFonts w:ascii="Calibri" w:hAnsi="Calibri" w:cs="Calibri"/>
          <w:color w:val="000000"/>
          <w:u w:val="single"/>
        </w:rPr>
      </w:pPr>
    </w:p>
    <w:p w14:paraId="6866A2D3" w14:textId="77777777" w:rsidR="00A50096" w:rsidRDefault="00A50096" w:rsidP="00A50096">
      <w:pPr>
        <w:shd w:val="clear" w:color="auto" w:fill="FFFFFF"/>
        <w:spacing w:line="360" w:lineRule="auto"/>
        <w:rPr>
          <w:rFonts w:ascii="Calibri" w:hAnsi="Calibri" w:cs="Calibri"/>
          <w:color w:val="000000"/>
          <w:u w:val="single"/>
        </w:rPr>
      </w:pPr>
    </w:p>
    <w:p w14:paraId="72A0545E" w14:textId="77777777" w:rsidR="00A50096" w:rsidRDefault="00A50096" w:rsidP="00A50096">
      <w:pPr>
        <w:shd w:val="clear" w:color="auto" w:fill="FFFFFF"/>
        <w:spacing w:line="360" w:lineRule="auto"/>
        <w:rPr>
          <w:rFonts w:ascii="Calibri" w:hAnsi="Calibri" w:cs="Calibri"/>
          <w:color w:val="000000"/>
          <w:u w:val="single"/>
        </w:rPr>
      </w:pPr>
      <w:r w:rsidRPr="00131F40">
        <w:rPr>
          <w:noProof/>
          <w:lang w:eastAsia="en-GB"/>
        </w:rPr>
        <w:drawing>
          <wp:inline distT="0" distB="0" distL="0" distR="0" wp14:anchorId="1DF1AAA2" wp14:editId="5B2BD175">
            <wp:extent cx="9251950" cy="47371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251950" cy="4737100"/>
                    </a:xfrm>
                    <a:prstGeom prst="rect">
                      <a:avLst/>
                    </a:prstGeom>
                  </pic:spPr>
                </pic:pic>
              </a:graphicData>
            </a:graphic>
          </wp:inline>
        </w:drawing>
      </w:r>
      <w:r w:rsidRPr="001A7E21">
        <w:rPr>
          <w:noProof/>
        </w:rPr>
        <w:t xml:space="preserve"> </w:t>
      </w:r>
    </w:p>
    <w:p w14:paraId="0BD19D5A" w14:textId="77777777" w:rsidR="00A50096" w:rsidRDefault="00A50096" w:rsidP="00A50096">
      <w:pPr>
        <w:shd w:val="clear" w:color="auto" w:fill="FFFFFF"/>
        <w:spacing w:line="360" w:lineRule="auto"/>
        <w:rPr>
          <w:rFonts w:ascii="Calibri" w:hAnsi="Calibri" w:cs="Calibri"/>
          <w:color w:val="000000"/>
          <w:u w:val="single"/>
        </w:rPr>
      </w:pPr>
    </w:p>
    <w:p w14:paraId="038E3B46" w14:textId="77777777" w:rsidR="00A50096" w:rsidRDefault="00A50096" w:rsidP="00A50096">
      <w:pPr>
        <w:shd w:val="clear" w:color="auto" w:fill="FFFFFF"/>
        <w:spacing w:line="360" w:lineRule="auto"/>
        <w:rPr>
          <w:rFonts w:ascii="Calibri" w:hAnsi="Calibri" w:cs="Calibri"/>
          <w:color w:val="000000"/>
          <w:sz w:val="20"/>
          <w:szCs w:val="20"/>
          <w:u w:val="single"/>
        </w:rPr>
      </w:pPr>
    </w:p>
    <w:p w14:paraId="02849B0A" w14:textId="77777777" w:rsidR="00A50096" w:rsidRDefault="00A50096" w:rsidP="00A50096">
      <w:pPr>
        <w:shd w:val="clear" w:color="auto" w:fill="FFFFFF"/>
        <w:spacing w:line="360" w:lineRule="auto"/>
        <w:rPr>
          <w:rFonts w:ascii="Calibri" w:hAnsi="Calibri" w:cs="Calibri"/>
          <w:color w:val="000000"/>
          <w:sz w:val="20"/>
          <w:szCs w:val="20"/>
          <w:u w:val="single"/>
        </w:rPr>
      </w:pPr>
    </w:p>
    <w:p w14:paraId="343C815C" w14:textId="77777777" w:rsidR="00A50096" w:rsidRPr="00B9357C" w:rsidRDefault="00A50096" w:rsidP="00A50096">
      <w:pPr>
        <w:shd w:val="clear" w:color="auto" w:fill="FFFFFF"/>
        <w:spacing w:line="360" w:lineRule="auto"/>
        <w:rPr>
          <w:rFonts w:ascii="Calibri" w:hAnsi="Calibri" w:cs="Calibri"/>
          <w:color w:val="000000"/>
          <w:sz w:val="20"/>
          <w:szCs w:val="20"/>
        </w:rPr>
      </w:pPr>
      <w:r w:rsidRPr="00B9357C">
        <w:rPr>
          <w:rFonts w:ascii="Calibri" w:hAnsi="Calibri" w:cs="Calibri"/>
          <w:color w:val="000000"/>
          <w:sz w:val="20"/>
          <w:szCs w:val="20"/>
          <w:u w:val="single"/>
        </w:rPr>
        <w:t>Figure 2</w:t>
      </w:r>
      <w:r w:rsidRPr="00B9357C">
        <w:rPr>
          <w:rFonts w:ascii="Calibri" w:hAnsi="Calibri" w:cs="Calibri"/>
          <w:color w:val="000000"/>
          <w:sz w:val="20"/>
          <w:szCs w:val="20"/>
        </w:rPr>
        <w:t xml:space="preserve">: Magnetic Resonance (MR) imaging demonstrating the range of neurological complications seen in this study </w:t>
      </w:r>
    </w:p>
    <w:p w14:paraId="103B7F24" w14:textId="77777777" w:rsidR="00A50096" w:rsidRPr="00B9357C" w:rsidRDefault="00A50096" w:rsidP="00A50096">
      <w:pPr>
        <w:shd w:val="clear" w:color="auto" w:fill="FFFFFF"/>
        <w:spacing w:line="360" w:lineRule="auto"/>
        <w:rPr>
          <w:rFonts w:ascii="Calibri" w:hAnsi="Calibri" w:cs="Calibri"/>
          <w:color w:val="000000"/>
          <w:sz w:val="20"/>
          <w:szCs w:val="20"/>
        </w:rPr>
      </w:pPr>
    </w:p>
    <w:p w14:paraId="558954F4" w14:textId="7CDA3558" w:rsidR="00A50096" w:rsidRPr="00B9357C" w:rsidRDefault="00A50096" w:rsidP="00A50096">
      <w:pPr>
        <w:pStyle w:val="ListParagraph"/>
        <w:numPr>
          <w:ilvl w:val="0"/>
          <w:numId w:val="1"/>
        </w:numPr>
        <w:spacing w:after="160" w:line="360" w:lineRule="auto"/>
        <w:rPr>
          <w:rFonts w:ascii="Calibri" w:hAnsi="Calibri"/>
          <w:sz w:val="20"/>
          <w:szCs w:val="20"/>
        </w:rPr>
      </w:pPr>
      <w:r>
        <w:rPr>
          <w:rFonts w:ascii="Calibri" w:hAnsi="Calibri"/>
          <w:sz w:val="20"/>
          <w:szCs w:val="20"/>
        </w:rPr>
        <w:t xml:space="preserve">MRI brain and spine of a </w:t>
      </w:r>
      <w:r w:rsidRPr="00B9357C">
        <w:rPr>
          <w:rFonts w:ascii="Calibri" w:hAnsi="Calibri"/>
          <w:sz w:val="20"/>
          <w:szCs w:val="20"/>
        </w:rPr>
        <w:t xml:space="preserve">2 year old </w:t>
      </w:r>
      <w:r>
        <w:rPr>
          <w:rFonts w:ascii="Calibri" w:hAnsi="Calibri"/>
          <w:sz w:val="20"/>
          <w:szCs w:val="20"/>
        </w:rPr>
        <w:t xml:space="preserve">White </w:t>
      </w:r>
      <w:r w:rsidRPr="00B9357C">
        <w:rPr>
          <w:rFonts w:ascii="Calibri" w:hAnsi="Calibri"/>
          <w:sz w:val="20"/>
          <w:szCs w:val="20"/>
        </w:rPr>
        <w:t>girl</w:t>
      </w:r>
      <w:r>
        <w:rPr>
          <w:rFonts w:ascii="Calibri" w:hAnsi="Calibri"/>
          <w:sz w:val="20"/>
          <w:szCs w:val="20"/>
        </w:rPr>
        <w:t xml:space="preserve"> with ADEM (case 4 supplementary table 1). Full history given in vignette a) supplementary appendix</w:t>
      </w:r>
      <w:r w:rsidR="00B94B7A">
        <w:rPr>
          <w:rFonts w:ascii="Calibri" w:hAnsi="Calibri"/>
          <w:sz w:val="20"/>
          <w:szCs w:val="20"/>
        </w:rPr>
        <w:t xml:space="preserve"> 1</w:t>
      </w:r>
      <w:r>
        <w:rPr>
          <w:rFonts w:ascii="Calibri" w:hAnsi="Calibri"/>
          <w:sz w:val="20"/>
          <w:szCs w:val="20"/>
        </w:rPr>
        <w:t>.</w:t>
      </w:r>
      <w:r w:rsidRPr="00B9357C">
        <w:rPr>
          <w:rFonts w:ascii="Calibri" w:hAnsi="Calibri"/>
          <w:sz w:val="20"/>
          <w:szCs w:val="20"/>
        </w:rPr>
        <w:t xml:space="preserve"> There are multiple hyperintense foci on the axial T2 weighted (A) and T2 FLAIR (B) images involving both cerebral hemispheres including the basal ganglia, thalami, subcortical and periventricular white matter (white </w:t>
      </w:r>
      <w:r>
        <w:rPr>
          <w:rFonts w:ascii="Calibri" w:hAnsi="Calibri"/>
          <w:sz w:val="20"/>
          <w:szCs w:val="20"/>
        </w:rPr>
        <w:t>a</w:t>
      </w:r>
      <w:r w:rsidRPr="00B9357C">
        <w:rPr>
          <w:rFonts w:ascii="Calibri" w:hAnsi="Calibri"/>
          <w:sz w:val="20"/>
          <w:szCs w:val="20"/>
        </w:rPr>
        <w:t>rrows). Sagittal T2 weighted image of the spine (C) demonstrates a focus of hyperintensity within the cord close to the conus (black arrow)</w:t>
      </w:r>
      <w:r>
        <w:rPr>
          <w:rFonts w:ascii="Calibri" w:hAnsi="Calibri"/>
          <w:sz w:val="20"/>
          <w:szCs w:val="20"/>
        </w:rPr>
        <w:t>.</w:t>
      </w:r>
    </w:p>
    <w:p w14:paraId="108CFC6B" w14:textId="6D6487C0" w:rsidR="00A50096" w:rsidRDefault="00A50096" w:rsidP="00A50096">
      <w:pPr>
        <w:pStyle w:val="ListParagraph"/>
        <w:numPr>
          <w:ilvl w:val="0"/>
          <w:numId w:val="1"/>
        </w:numPr>
        <w:spacing w:line="360" w:lineRule="auto"/>
        <w:rPr>
          <w:rFonts w:ascii="Calibri" w:hAnsi="Calibri"/>
          <w:sz w:val="20"/>
          <w:szCs w:val="20"/>
        </w:rPr>
      </w:pPr>
      <w:r>
        <w:rPr>
          <w:rFonts w:ascii="Calibri" w:hAnsi="Calibri"/>
          <w:sz w:val="20"/>
          <w:szCs w:val="20"/>
        </w:rPr>
        <w:t xml:space="preserve">MRI brain of an </w:t>
      </w:r>
      <w:r w:rsidRPr="00B9357C">
        <w:rPr>
          <w:rFonts w:ascii="Calibri" w:hAnsi="Calibri"/>
          <w:sz w:val="20"/>
          <w:szCs w:val="20"/>
        </w:rPr>
        <w:t>11 year old Asian boy presenting with PIMS-TS</w:t>
      </w:r>
      <w:r>
        <w:rPr>
          <w:rFonts w:ascii="Calibri" w:hAnsi="Calibri"/>
          <w:sz w:val="20"/>
          <w:szCs w:val="20"/>
        </w:rPr>
        <w:t xml:space="preserve">, encephalopathy and MERS (case 48 supplementary table 1). Full history given </w:t>
      </w:r>
      <w:r w:rsidRPr="00B9357C">
        <w:rPr>
          <w:rFonts w:ascii="Calibri" w:hAnsi="Calibri"/>
          <w:sz w:val="20"/>
          <w:szCs w:val="20"/>
        </w:rPr>
        <w:t>in</w:t>
      </w:r>
      <w:r>
        <w:rPr>
          <w:rFonts w:ascii="Calibri" w:hAnsi="Calibri"/>
          <w:sz w:val="20"/>
          <w:szCs w:val="20"/>
        </w:rPr>
        <w:t xml:space="preserve"> vignette b)</w:t>
      </w:r>
      <w:r w:rsidRPr="00B9357C">
        <w:rPr>
          <w:rFonts w:ascii="Calibri" w:hAnsi="Calibri"/>
          <w:sz w:val="20"/>
          <w:szCs w:val="20"/>
        </w:rPr>
        <w:t xml:space="preserve"> supplementary</w:t>
      </w:r>
      <w:r>
        <w:rPr>
          <w:rFonts w:ascii="Calibri" w:hAnsi="Calibri"/>
          <w:sz w:val="20"/>
          <w:szCs w:val="20"/>
        </w:rPr>
        <w:t xml:space="preserve"> appendix</w:t>
      </w:r>
      <w:r w:rsidR="00B94B7A">
        <w:rPr>
          <w:rFonts w:ascii="Calibri" w:hAnsi="Calibri"/>
          <w:sz w:val="20"/>
          <w:szCs w:val="20"/>
        </w:rPr>
        <w:t xml:space="preserve"> 1</w:t>
      </w:r>
      <w:r>
        <w:rPr>
          <w:rFonts w:ascii="Calibri" w:hAnsi="Calibri"/>
          <w:sz w:val="20"/>
          <w:szCs w:val="20"/>
        </w:rPr>
        <w:t xml:space="preserve">.  </w:t>
      </w:r>
      <w:r w:rsidRPr="00B9357C">
        <w:rPr>
          <w:rFonts w:ascii="Calibri" w:hAnsi="Calibri"/>
          <w:sz w:val="20"/>
          <w:szCs w:val="20"/>
        </w:rPr>
        <w:t>Axial T2 weighted image (A) demonstrates a focus of hyperintensity involving the splenium of the corpus callosum along the midline (white arrow). The b1000 (B) and the ADC maps (C) from the diffusion weighted imaging demonstrates subtle diffusion restriction involving the lesion</w:t>
      </w:r>
      <w:r>
        <w:rPr>
          <w:rFonts w:ascii="Calibri" w:hAnsi="Calibri"/>
          <w:sz w:val="20"/>
          <w:szCs w:val="20"/>
        </w:rPr>
        <w:t>.</w:t>
      </w:r>
    </w:p>
    <w:p w14:paraId="0BBC5E4E" w14:textId="3B1A4925" w:rsidR="00A50096" w:rsidRPr="00B9357C" w:rsidRDefault="00A50096" w:rsidP="00A50096">
      <w:pPr>
        <w:pStyle w:val="ListParagraph"/>
        <w:numPr>
          <w:ilvl w:val="0"/>
          <w:numId w:val="1"/>
        </w:numPr>
        <w:spacing w:after="160" w:line="360" w:lineRule="auto"/>
        <w:rPr>
          <w:rFonts w:ascii="Calibri" w:hAnsi="Calibri"/>
          <w:sz w:val="20"/>
          <w:szCs w:val="20"/>
        </w:rPr>
      </w:pPr>
      <w:r>
        <w:rPr>
          <w:rFonts w:ascii="Calibri" w:hAnsi="Calibri"/>
          <w:sz w:val="20"/>
          <w:szCs w:val="20"/>
        </w:rPr>
        <w:t xml:space="preserve">MRI spine of a </w:t>
      </w:r>
      <w:r w:rsidRPr="00B9357C">
        <w:rPr>
          <w:rFonts w:ascii="Calibri" w:hAnsi="Calibri"/>
          <w:sz w:val="20"/>
          <w:szCs w:val="20"/>
        </w:rPr>
        <w:t xml:space="preserve">16 month-old </w:t>
      </w:r>
      <w:r>
        <w:rPr>
          <w:rFonts w:ascii="Calibri" w:hAnsi="Calibri"/>
          <w:sz w:val="20"/>
          <w:szCs w:val="20"/>
        </w:rPr>
        <w:t xml:space="preserve">Asian boy presenting with </w:t>
      </w:r>
      <w:r w:rsidRPr="002B79A1">
        <w:rPr>
          <w:rFonts w:ascii="Calibri" w:hAnsi="Calibri" w:cs="Calibri"/>
          <w:color w:val="000000"/>
          <w:sz w:val="20"/>
          <w:szCs w:val="20"/>
        </w:rPr>
        <w:t>Guillain-Barré</w:t>
      </w:r>
      <w:r>
        <w:rPr>
          <w:rFonts w:ascii="Calibri" w:hAnsi="Calibri" w:cs="Calibri"/>
          <w:color w:val="000000"/>
        </w:rPr>
        <w:t xml:space="preserve"> </w:t>
      </w:r>
      <w:r w:rsidRPr="00B9357C">
        <w:rPr>
          <w:rFonts w:ascii="Calibri" w:hAnsi="Calibri"/>
          <w:sz w:val="20"/>
          <w:szCs w:val="20"/>
        </w:rPr>
        <w:t>syndrome (</w:t>
      </w:r>
      <w:r>
        <w:rPr>
          <w:rFonts w:ascii="Calibri" w:hAnsi="Calibri"/>
          <w:sz w:val="20"/>
          <w:szCs w:val="20"/>
        </w:rPr>
        <w:t xml:space="preserve">case 8 supplementary table 1). </w:t>
      </w:r>
      <w:r w:rsidRPr="00B9357C">
        <w:rPr>
          <w:rFonts w:ascii="Calibri" w:hAnsi="Calibri"/>
          <w:sz w:val="20"/>
          <w:szCs w:val="20"/>
        </w:rPr>
        <w:t xml:space="preserve">Full history </w:t>
      </w:r>
      <w:r>
        <w:rPr>
          <w:rFonts w:ascii="Calibri" w:hAnsi="Calibri"/>
          <w:sz w:val="20"/>
          <w:szCs w:val="20"/>
        </w:rPr>
        <w:t xml:space="preserve">given </w:t>
      </w:r>
      <w:r w:rsidRPr="00B9357C">
        <w:rPr>
          <w:rFonts w:ascii="Calibri" w:hAnsi="Calibri"/>
          <w:sz w:val="20"/>
          <w:szCs w:val="20"/>
        </w:rPr>
        <w:t>in</w:t>
      </w:r>
      <w:r>
        <w:rPr>
          <w:rFonts w:ascii="Calibri" w:hAnsi="Calibri"/>
          <w:sz w:val="20"/>
          <w:szCs w:val="20"/>
        </w:rPr>
        <w:t xml:space="preserve"> </w:t>
      </w:r>
      <w:r w:rsidRPr="00B9357C">
        <w:rPr>
          <w:rFonts w:ascii="Calibri" w:hAnsi="Calibri"/>
          <w:sz w:val="20"/>
          <w:szCs w:val="20"/>
        </w:rPr>
        <w:t>vignette</w:t>
      </w:r>
      <w:r>
        <w:rPr>
          <w:rFonts w:ascii="Calibri" w:hAnsi="Calibri"/>
          <w:sz w:val="20"/>
          <w:szCs w:val="20"/>
        </w:rPr>
        <w:t xml:space="preserve"> c</w:t>
      </w:r>
      <w:r w:rsidRPr="00B9357C">
        <w:rPr>
          <w:rFonts w:ascii="Calibri" w:hAnsi="Calibri"/>
          <w:sz w:val="20"/>
          <w:szCs w:val="20"/>
        </w:rPr>
        <w:t>)</w:t>
      </w:r>
      <w:r>
        <w:rPr>
          <w:rFonts w:ascii="Calibri" w:hAnsi="Calibri"/>
          <w:sz w:val="20"/>
          <w:szCs w:val="20"/>
        </w:rPr>
        <w:t xml:space="preserve"> supplementary appendix</w:t>
      </w:r>
      <w:r w:rsidR="00B94B7A">
        <w:rPr>
          <w:rFonts w:ascii="Calibri" w:hAnsi="Calibri"/>
          <w:sz w:val="20"/>
          <w:szCs w:val="20"/>
        </w:rPr>
        <w:t xml:space="preserve"> 1</w:t>
      </w:r>
      <w:r w:rsidRPr="00B9357C">
        <w:rPr>
          <w:rFonts w:ascii="Calibri" w:hAnsi="Calibri"/>
          <w:sz w:val="20"/>
          <w:szCs w:val="20"/>
        </w:rPr>
        <w:t>. Sagittal T1 weighted image prior to (A) and following contrast</w:t>
      </w:r>
      <w:r>
        <w:rPr>
          <w:rFonts w:ascii="Calibri" w:hAnsi="Calibri"/>
          <w:sz w:val="20"/>
          <w:szCs w:val="20"/>
        </w:rPr>
        <w:t xml:space="preserve"> </w:t>
      </w:r>
      <w:r w:rsidRPr="00B9357C">
        <w:rPr>
          <w:rFonts w:ascii="Calibri" w:hAnsi="Calibri"/>
          <w:sz w:val="20"/>
          <w:szCs w:val="20"/>
        </w:rPr>
        <w:t>(B) showing enhancement of the lumbosacral nerve roots (white arrows). The axial T1 weighted post contrast images (C &amp; D) depict bilateral enhancement of the nerve roots.</w:t>
      </w:r>
    </w:p>
    <w:p w14:paraId="547A8A1C" w14:textId="77777777" w:rsidR="00A50096" w:rsidRPr="00B9357C" w:rsidRDefault="00A50096" w:rsidP="00A50096">
      <w:pPr>
        <w:pStyle w:val="ListParagraph"/>
        <w:spacing w:line="360" w:lineRule="auto"/>
        <w:rPr>
          <w:rFonts w:ascii="Calibri" w:hAnsi="Calibri"/>
          <w:sz w:val="20"/>
          <w:szCs w:val="20"/>
        </w:rPr>
      </w:pPr>
    </w:p>
    <w:p w14:paraId="7C1141B7" w14:textId="77777777" w:rsidR="00A50096" w:rsidRPr="00B9357C" w:rsidRDefault="00A50096" w:rsidP="00A50096">
      <w:pPr>
        <w:spacing w:after="160" w:line="360" w:lineRule="auto"/>
        <w:ind w:left="360"/>
        <w:rPr>
          <w:rFonts w:ascii="Calibri" w:hAnsi="Calibri"/>
        </w:rPr>
      </w:pPr>
    </w:p>
    <w:p w14:paraId="3D12F8C0" w14:textId="77777777" w:rsidR="00A50096" w:rsidRDefault="00A50096" w:rsidP="00A50096">
      <w:pPr>
        <w:shd w:val="clear" w:color="auto" w:fill="FFFFFF"/>
        <w:spacing w:line="360" w:lineRule="auto"/>
        <w:rPr>
          <w:rFonts w:ascii="Calibri" w:hAnsi="Calibri" w:cs="Calibri"/>
          <w:color w:val="000000"/>
          <w:u w:val="single"/>
        </w:rPr>
      </w:pPr>
    </w:p>
    <w:p w14:paraId="320D1696" w14:textId="4A0B3953" w:rsidR="00A50096" w:rsidRDefault="00A50096" w:rsidP="00A50096">
      <w:pPr>
        <w:shd w:val="clear" w:color="auto" w:fill="FFFFFF"/>
        <w:spacing w:line="360" w:lineRule="auto"/>
        <w:rPr>
          <w:noProof/>
        </w:rPr>
      </w:pPr>
      <w:r>
        <w:rPr>
          <w:rFonts w:ascii="Calibri" w:hAnsi="Calibri" w:cs="Calibri"/>
          <w:noProof/>
          <w:color w:val="000000"/>
          <w:u w:val="single"/>
          <w:bdr w:val="nil"/>
          <w:lang w:eastAsia="en-GB"/>
        </w:rPr>
        <mc:AlternateContent>
          <mc:Choice Requires="wps">
            <w:drawing>
              <wp:anchor distT="0" distB="0" distL="114300" distR="114300" simplePos="0" relativeHeight="251663360" behindDoc="0" locked="0" layoutInCell="1" allowOverlap="1" wp14:anchorId="6BC6F8AA" wp14:editId="2BA2FDF2">
                <wp:simplePos x="0" y="0"/>
                <wp:positionH relativeFrom="column">
                  <wp:posOffset>4606925</wp:posOffset>
                </wp:positionH>
                <wp:positionV relativeFrom="paragraph">
                  <wp:posOffset>3039745</wp:posOffset>
                </wp:positionV>
                <wp:extent cx="243205" cy="34163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43205" cy="34163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E600458" w14:textId="77777777" w:rsidR="00A50096" w:rsidRPr="004B6DA2" w:rsidRDefault="00A50096" w:rsidP="00A50096">
                            <w:pPr>
                              <w:rPr>
                                <w:rFonts w:ascii="Calibri" w:hAnsi="Calibri" w:cs="Calibri"/>
                              </w:rPr>
                            </w:pPr>
                            <w:r>
                              <w:rPr>
                                <w:rFonts w:ascii="Calibri" w:hAnsi="Calibri" w:cs="Calibri"/>
                              </w:rPr>
                              <w:t>d)</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C6F8AA" id="Text Box 41" o:spid="_x0000_s1027" type="#_x0000_t202" style="position:absolute;margin-left:362.75pt;margin-top:239.35pt;width:19.15pt;height:2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" filled="f" stroked="f" strokeweight="1pt">
                <v:stroke miterlimit="4"/>
                <v:textbox inset="4pt,4pt,4pt,4pt">
                  <w:txbxContent>
                    <w:p w14:paraId="3E600458" w14:textId="77777777" w:rsidR="00A50096" w:rsidRPr="004B6DA2" w:rsidRDefault="00A50096" w:rsidP="00A50096">
                      <w:pPr>
                        <w:rPr>
                          <w:rFonts w:ascii="Calibri" w:hAnsi="Calibri" w:cs="Calibri"/>
                        </w:rPr>
                      </w:pPr>
                      <w:r>
                        <w:rPr>
                          <w:rFonts w:ascii="Calibri" w:hAnsi="Calibri" w:cs="Calibri"/>
                        </w:rPr>
                        <w:t>d)</w:t>
                      </w:r>
                    </w:p>
                  </w:txbxContent>
                </v:textbox>
              </v:shape>
            </w:pict>
          </mc:Fallback>
        </mc:AlternateContent>
      </w:r>
      <w:r>
        <w:rPr>
          <w:rFonts w:ascii="Calibri" w:hAnsi="Calibri" w:cs="Calibri"/>
          <w:noProof/>
          <w:color w:val="000000"/>
          <w:u w:val="single"/>
          <w:bdr w:val="nil"/>
          <w:lang w:eastAsia="en-GB"/>
        </w:rPr>
        <mc:AlternateContent>
          <mc:Choice Requires="wps">
            <w:drawing>
              <wp:anchor distT="0" distB="0" distL="114300" distR="114300" simplePos="0" relativeHeight="251662336" behindDoc="0" locked="0" layoutInCell="1" allowOverlap="1" wp14:anchorId="3ACE57FA" wp14:editId="1911E166">
                <wp:simplePos x="0" y="0"/>
                <wp:positionH relativeFrom="column">
                  <wp:posOffset>-14605</wp:posOffset>
                </wp:positionH>
                <wp:positionV relativeFrom="paragraph">
                  <wp:posOffset>3003475</wp:posOffset>
                </wp:positionV>
                <wp:extent cx="251460" cy="28956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51460" cy="28956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4936B01" w14:textId="77777777" w:rsidR="00A50096" w:rsidRPr="006A3724" w:rsidRDefault="00A50096" w:rsidP="00A50096">
                            <w:pPr>
                              <w:rPr>
                                <w:rFonts w:ascii="Calibri" w:hAnsi="Calibri" w:cs="Calibri"/>
                              </w:rPr>
                            </w:pPr>
                            <w:r>
                              <w:rPr>
                                <w:rFonts w:ascii="Calibri" w:hAnsi="Calibri" w:cs="Calibri"/>
                              </w:rPr>
                              <w:t>c</w:t>
                            </w:r>
                            <w:r w:rsidRPr="006A3724">
                              <w:rPr>
                                <w:rFonts w:ascii="Calibri" w:hAnsi="Calibri" w:cs="Calibri"/>
                              </w:rP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CE57FA" id="Text Box 40" o:spid="_x0000_s1028" type="#_x0000_t202" style="position:absolute;margin-left:-1.15pt;margin-top:236.5pt;width:19.8pt;height:2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" filled="f" stroked="f" strokeweight="1pt">
                <v:stroke miterlimit="4"/>
                <v:textbox inset="4pt,4pt,4pt,4pt">
                  <w:txbxContent>
                    <w:p w14:paraId="04936B01" w14:textId="77777777" w:rsidR="00A50096" w:rsidRPr="006A3724" w:rsidRDefault="00A50096" w:rsidP="00A50096">
                      <w:pPr>
                        <w:rPr>
                          <w:rFonts w:ascii="Calibri" w:hAnsi="Calibri" w:cs="Calibri"/>
                        </w:rPr>
                      </w:pPr>
                      <w:r>
                        <w:rPr>
                          <w:rFonts w:ascii="Calibri" w:hAnsi="Calibri" w:cs="Calibri"/>
                        </w:rPr>
                        <w:t>c</w:t>
                      </w:r>
                      <w:r w:rsidRPr="006A3724">
                        <w:rPr>
                          <w:rFonts w:ascii="Calibri" w:hAnsi="Calibri" w:cs="Calibri"/>
                        </w:rPr>
                        <w:t>)</w:t>
                      </w:r>
                    </w:p>
                  </w:txbxContent>
                </v:textbox>
              </v:shape>
            </w:pict>
          </mc:Fallback>
        </mc:AlternateContent>
      </w:r>
    </w:p>
    <w:p w14:paraId="1375A95E" w14:textId="77777777" w:rsidR="00A50096" w:rsidRDefault="00A50096" w:rsidP="00A50096">
      <w:pPr>
        <w:shd w:val="clear" w:color="auto" w:fill="FFFFFF"/>
        <w:spacing w:line="360" w:lineRule="auto"/>
        <w:rPr>
          <w:noProof/>
        </w:rPr>
      </w:pPr>
    </w:p>
    <w:p w14:paraId="299784E7" w14:textId="77777777" w:rsidR="00A50096" w:rsidRDefault="00A50096" w:rsidP="00A50096">
      <w:pPr>
        <w:shd w:val="clear" w:color="auto" w:fill="FFFFFF"/>
        <w:spacing w:line="360" w:lineRule="auto"/>
        <w:rPr>
          <w:noProof/>
        </w:rPr>
      </w:pPr>
    </w:p>
    <w:p w14:paraId="04FE9FDD" w14:textId="77777777" w:rsidR="00A50096" w:rsidRDefault="00A50096" w:rsidP="00A50096">
      <w:pPr>
        <w:shd w:val="clear" w:color="auto" w:fill="FFFFFF"/>
        <w:spacing w:line="360" w:lineRule="auto"/>
        <w:rPr>
          <w:noProof/>
        </w:rPr>
      </w:pPr>
    </w:p>
    <w:p w14:paraId="4F315960" w14:textId="77777777" w:rsidR="00A50096" w:rsidRDefault="00A50096" w:rsidP="00A50096">
      <w:pPr>
        <w:shd w:val="clear" w:color="auto" w:fill="FFFFFF"/>
        <w:spacing w:line="360" w:lineRule="auto"/>
        <w:rPr>
          <w:noProof/>
        </w:rPr>
      </w:pPr>
    </w:p>
    <w:p w14:paraId="027A2A61" w14:textId="77777777" w:rsidR="00A50096" w:rsidRDefault="00A50096" w:rsidP="00A50096">
      <w:pPr>
        <w:shd w:val="clear" w:color="auto" w:fill="FFFFFF"/>
        <w:spacing w:line="360" w:lineRule="auto"/>
        <w:rPr>
          <w:noProof/>
        </w:rPr>
      </w:pPr>
    </w:p>
    <w:p w14:paraId="79DBED64" w14:textId="77777777" w:rsidR="00A50096" w:rsidRDefault="00A50096" w:rsidP="00A50096">
      <w:pPr>
        <w:shd w:val="clear" w:color="auto" w:fill="FFFFFF"/>
        <w:spacing w:line="360" w:lineRule="auto"/>
        <w:rPr>
          <w:noProof/>
        </w:rPr>
      </w:pPr>
    </w:p>
    <w:p w14:paraId="0F826C55" w14:textId="650B38D9" w:rsidR="00A50096" w:rsidRDefault="00A50096" w:rsidP="00A50096">
      <w:pPr>
        <w:shd w:val="clear" w:color="auto" w:fill="FFFFFF"/>
        <w:spacing w:line="360" w:lineRule="auto"/>
        <w:rPr>
          <w:rStyle w:val="il"/>
          <w:rFonts w:ascii="Calibri" w:hAnsi="Calibri" w:cs="Calibri"/>
          <w:color w:val="000000"/>
          <w:u w:val="single"/>
        </w:rPr>
      </w:pPr>
    </w:p>
    <w:p w14:paraId="5A545CEF" w14:textId="7B882101" w:rsidR="00B0518D" w:rsidRDefault="00B0518D" w:rsidP="00881173">
      <w:pPr>
        <w:spacing w:line="360" w:lineRule="auto"/>
        <w:rPr>
          <w:rFonts w:ascii="Calibri" w:hAnsi="Calibri" w:cs="Calibri"/>
          <w:color w:val="000000"/>
          <w:sz w:val="20"/>
          <w:szCs w:val="20"/>
        </w:rPr>
      </w:pPr>
    </w:p>
    <w:p w14:paraId="1179B86B" w14:textId="77777777" w:rsidR="00B0518D" w:rsidRDefault="00B0518D" w:rsidP="00881173">
      <w:pPr>
        <w:spacing w:line="360" w:lineRule="auto"/>
        <w:rPr>
          <w:rFonts w:ascii="Calibri" w:hAnsi="Calibri" w:cs="Calibri"/>
          <w:color w:val="000000"/>
          <w:sz w:val="20"/>
          <w:szCs w:val="20"/>
        </w:rPr>
      </w:pPr>
    </w:p>
    <w:p w14:paraId="177419A4" w14:textId="77777777" w:rsidR="00B0518D" w:rsidRDefault="00B0518D" w:rsidP="00881173">
      <w:pPr>
        <w:spacing w:line="360" w:lineRule="auto"/>
        <w:rPr>
          <w:rFonts w:ascii="Calibri" w:hAnsi="Calibri" w:cs="Calibri"/>
          <w:color w:val="000000"/>
          <w:sz w:val="20"/>
          <w:szCs w:val="20"/>
        </w:rPr>
      </w:pPr>
    </w:p>
    <w:p w14:paraId="4BF92621" w14:textId="77777777" w:rsidR="00B0518D" w:rsidRDefault="00B0518D" w:rsidP="00881173">
      <w:pPr>
        <w:spacing w:line="360" w:lineRule="auto"/>
        <w:rPr>
          <w:rFonts w:ascii="Calibri" w:hAnsi="Calibri" w:cs="Calibri"/>
          <w:color w:val="000000"/>
          <w:sz w:val="20"/>
          <w:szCs w:val="20"/>
        </w:rPr>
      </w:pPr>
    </w:p>
    <w:p w14:paraId="09E1C41E" w14:textId="77777777" w:rsidR="00B0518D" w:rsidRDefault="00B0518D" w:rsidP="00881173">
      <w:pPr>
        <w:spacing w:line="360" w:lineRule="auto"/>
        <w:rPr>
          <w:rFonts w:ascii="Calibri" w:hAnsi="Calibri" w:cs="Calibri"/>
          <w:color w:val="000000"/>
          <w:sz w:val="20"/>
          <w:szCs w:val="20"/>
        </w:rPr>
      </w:pPr>
    </w:p>
    <w:p w14:paraId="2A69BACA" w14:textId="77777777" w:rsidR="00B0518D" w:rsidRDefault="00B0518D" w:rsidP="00881173">
      <w:pPr>
        <w:spacing w:line="360" w:lineRule="auto"/>
        <w:rPr>
          <w:rFonts w:ascii="Calibri" w:hAnsi="Calibri" w:cs="Calibri"/>
          <w:color w:val="000000"/>
          <w:sz w:val="20"/>
          <w:szCs w:val="20"/>
        </w:rPr>
      </w:pPr>
    </w:p>
    <w:p w14:paraId="7F0E07A3" w14:textId="77777777" w:rsidR="00B0518D" w:rsidRDefault="00B0518D" w:rsidP="00881173">
      <w:pPr>
        <w:spacing w:line="360" w:lineRule="auto"/>
        <w:rPr>
          <w:rFonts w:ascii="Calibri" w:hAnsi="Calibri" w:cs="Calibri"/>
          <w:color w:val="000000"/>
          <w:sz w:val="20"/>
          <w:szCs w:val="20"/>
        </w:rPr>
      </w:pPr>
    </w:p>
    <w:p w14:paraId="5CC9EA57" w14:textId="77777777" w:rsidR="00B0518D" w:rsidRDefault="00B0518D" w:rsidP="00881173">
      <w:pPr>
        <w:spacing w:line="360" w:lineRule="auto"/>
        <w:rPr>
          <w:rFonts w:ascii="Calibri" w:hAnsi="Calibri" w:cs="Calibri"/>
          <w:color w:val="000000"/>
          <w:sz w:val="20"/>
          <w:szCs w:val="20"/>
        </w:rPr>
      </w:pPr>
    </w:p>
    <w:p w14:paraId="4F34248F" w14:textId="77777777" w:rsidR="00B0518D" w:rsidRDefault="00B0518D" w:rsidP="00881173">
      <w:pPr>
        <w:spacing w:line="360" w:lineRule="auto"/>
        <w:rPr>
          <w:rFonts w:ascii="Calibri" w:hAnsi="Calibri" w:cs="Calibri"/>
          <w:color w:val="000000"/>
          <w:sz w:val="20"/>
          <w:szCs w:val="20"/>
        </w:rPr>
      </w:pPr>
    </w:p>
    <w:p w14:paraId="16571573" w14:textId="77777777" w:rsidR="00B0518D" w:rsidRDefault="00B0518D" w:rsidP="00881173">
      <w:pPr>
        <w:spacing w:line="360" w:lineRule="auto"/>
        <w:rPr>
          <w:rFonts w:ascii="Calibri" w:hAnsi="Calibri" w:cs="Calibri"/>
          <w:color w:val="000000"/>
          <w:sz w:val="20"/>
          <w:szCs w:val="20"/>
        </w:rPr>
      </w:pPr>
    </w:p>
    <w:p w14:paraId="65008E6A" w14:textId="77777777" w:rsidR="00B0518D" w:rsidRDefault="00B0518D" w:rsidP="00881173">
      <w:pPr>
        <w:spacing w:line="360" w:lineRule="auto"/>
        <w:rPr>
          <w:rFonts w:ascii="Calibri" w:hAnsi="Calibri" w:cs="Calibri"/>
          <w:color w:val="000000"/>
          <w:sz w:val="20"/>
          <w:szCs w:val="20"/>
        </w:rPr>
      </w:pPr>
    </w:p>
    <w:p w14:paraId="63EB2D25" w14:textId="77777777" w:rsidR="00B0518D" w:rsidRDefault="00B0518D" w:rsidP="00881173">
      <w:pPr>
        <w:spacing w:line="360" w:lineRule="auto"/>
        <w:rPr>
          <w:rFonts w:ascii="Calibri" w:hAnsi="Calibri" w:cs="Calibri"/>
          <w:color w:val="000000"/>
          <w:sz w:val="20"/>
          <w:szCs w:val="20"/>
        </w:rPr>
      </w:pPr>
    </w:p>
    <w:p w14:paraId="54C8A920" w14:textId="77777777" w:rsidR="00B0518D" w:rsidRDefault="00B0518D" w:rsidP="00881173">
      <w:pPr>
        <w:spacing w:line="360" w:lineRule="auto"/>
        <w:rPr>
          <w:rFonts w:ascii="Calibri" w:hAnsi="Calibri" w:cs="Calibri"/>
          <w:color w:val="000000"/>
          <w:sz w:val="20"/>
          <w:szCs w:val="20"/>
        </w:rPr>
      </w:pPr>
    </w:p>
    <w:p w14:paraId="5F0C09BC" w14:textId="77777777" w:rsidR="00B0518D" w:rsidRDefault="00B0518D" w:rsidP="00881173">
      <w:pPr>
        <w:spacing w:line="360" w:lineRule="auto"/>
        <w:rPr>
          <w:rFonts w:ascii="Calibri" w:hAnsi="Calibri" w:cs="Calibri"/>
          <w:color w:val="000000"/>
          <w:sz w:val="20"/>
          <w:szCs w:val="20"/>
        </w:rPr>
      </w:pPr>
    </w:p>
    <w:p w14:paraId="4A87E8CA" w14:textId="77777777" w:rsidR="00B0518D" w:rsidRDefault="00B0518D" w:rsidP="00881173">
      <w:pPr>
        <w:spacing w:line="360" w:lineRule="auto"/>
        <w:rPr>
          <w:rFonts w:ascii="Calibri" w:hAnsi="Calibri" w:cs="Calibri"/>
          <w:color w:val="000000"/>
          <w:sz w:val="20"/>
          <w:szCs w:val="20"/>
        </w:rPr>
      </w:pPr>
    </w:p>
    <w:p w14:paraId="5647E57F" w14:textId="77777777" w:rsidR="00B0518D" w:rsidRDefault="00B0518D" w:rsidP="00881173">
      <w:pPr>
        <w:spacing w:line="360" w:lineRule="auto"/>
        <w:rPr>
          <w:rFonts w:ascii="Calibri" w:hAnsi="Calibri" w:cs="Calibri"/>
          <w:color w:val="000000"/>
          <w:sz w:val="20"/>
          <w:szCs w:val="20"/>
        </w:rPr>
      </w:pPr>
    </w:p>
    <w:p w14:paraId="5DCADCD6" w14:textId="77777777" w:rsidR="00B0518D" w:rsidRDefault="00B0518D" w:rsidP="00881173">
      <w:pPr>
        <w:spacing w:line="360" w:lineRule="auto"/>
        <w:rPr>
          <w:rFonts w:ascii="Calibri" w:hAnsi="Calibri" w:cs="Calibri"/>
          <w:color w:val="000000"/>
          <w:sz w:val="20"/>
          <w:szCs w:val="20"/>
        </w:rPr>
      </w:pPr>
    </w:p>
    <w:p w14:paraId="3561DA43" w14:textId="77777777" w:rsidR="00B0518D" w:rsidRDefault="00B0518D" w:rsidP="00881173">
      <w:pPr>
        <w:spacing w:line="360" w:lineRule="auto"/>
        <w:rPr>
          <w:rFonts w:ascii="Calibri" w:hAnsi="Calibri" w:cs="Calibri"/>
          <w:color w:val="000000"/>
          <w:sz w:val="20"/>
          <w:szCs w:val="20"/>
        </w:rPr>
      </w:pPr>
    </w:p>
    <w:p w14:paraId="25E035F0" w14:textId="77777777" w:rsidR="00B0518D" w:rsidRDefault="00B0518D" w:rsidP="00881173">
      <w:pPr>
        <w:spacing w:line="360" w:lineRule="auto"/>
        <w:rPr>
          <w:rFonts w:ascii="Calibri" w:hAnsi="Calibri" w:cs="Calibri"/>
          <w:color w:val="000000"/>
          <w:sz w:val="20"/>
          <w:szCs w:val="20"/>
        </w:rPr>
      </w:pPr>
    </w:p>
    <w:p w14:paraId="58CA78FC" w14:textId="05FF1549" w:rsidR="00B0518D" w:rsidRDefault="00B0518D" w:rsidP="00881173">
      <w:pPr>
        <w:spacing w:line="360" w:lineRule="auto"/>
        <w:rPr>
          <w:rFonts w:ascii="Calibri" w:hAnsi="Calibri" w:cs="Calibri"/>
          <w:color w:val="000000"/>
          <w:sz w:val="20"/>
          <w:szCs w:val="20"/>
        </w:rPr>
        <w:sectPr w:rsidR="00B0518D" w:rsidSect="00A50096">
          <w:pgSz w:w="16840" w:h="11900" w:orient="landscape"/>
          <w:pgMar w:top="1440" w:right="1440" w:bottom="1440" w:left="1440" w:header="708" w:footer="708" w:gutter="0"/>
          <w:cols w:space="708"/>
          <w:docGrid w:linePitch="360"/>
        </w:sectPr>
      </w:pPr>
    </w:p>
    <w:p w14:paraId="3F142659" w14:textId="011315C5" w:rsidR="0055080D" w:rsidRDefault="0055080D" w:rsidP="0055080D">
      <w:pPr>
        <w:rPr>
          <w:rFonts w:ascii="Calibri" w:hAnsi="Calibri" w:cs="Calibri"/>
        </w:rPr>
      </w:pPr>
      <w:r w:rsidRPr="00280CB8">
        <w:rPr>
          <w:rFonts w:ascii="Calibri" w:hAnsi="Calibri" w:cs="Calibri"/>
        </w:rPr>
        <w:t xml:space="preserve">References </w:t>
      </w:r>
    </w:p>
    <w:p w14:paraId="030FE9CB" w14:textId="77777777" w:rsidR="0055080D" w:rsidRPr="00280CB8" w:rsidRDefault="0055080D" w:rsidP="0055080D">
      <w:pPr>
        <w:spacing w:line="360" w:lineRule="auto"/>
        <w:rPr>
          <w:rFonts w:ascii="Calibri" w:hAnsi="Calibri" w:cs="Calibri"/>
        </w:rPr>
      </w:pPr>
    </w:p>
    <w:p w14:paraId="1488D2D6" w14:textId="77777777" w:rsidR="0055080D" w:rsidRPr="00280CB8" w:rsidRDefault="0055080D" w:rsidP="0055080D">
      <w:pPr>
        <w:spacing w:line="360" w:lineRule="auto"/>
        <w:rPr>
          <w:rFonts w:ascii="Calibri" w:hAnsi="Calibri" w:cs="Calibri"/>
        </w:rPr>
      </w:pPr>
      <w:r w:rsidRPr="00280CB8">
        <w:rPr>
          <w:rFonts w:ascii="Calibri" w:hAnsi="Calibri" w:cs="Calibri"/>
        </w:rPr>
        <w:t>1.</w:t>
      </w:r>
      <w:r w:rsidRPr="00280CB8">
        <w:rPr>
          <w:rFonts w:ascii="Calibri" w:hAnsi="Calibri" w:cs="Calibri"/>
        </w:rPr>
        <w:tab/>
        <w:t>Ellul MA, Benjamin L, Singh B, Lant S, Michael BD, Easton A, et al. Neurological associations of COVID-19. Lancet Neurol. 2020;19(9):767-83.</w:t>
      </w:r>
    </w:p>
    <w:p w14:paraId="600D1729" w14:textId="77777777" w:rsidR="0055080D" w:rsidRPr="00280CB8" w:rsidRDefault="0055080D" w:rsidP="0055080D">
      <w:pPr>
        <w:spacing w:line="360" w:lineRule="auto"/>
        <w:rPr>
          <w:rFonts w:ascii="Calibri" w:hAnsi="Calibri" w:cs="Calibri"/>
        </w:rPr>
      </w:pPr>
      <w:r w:rsidRPr="00280CB8">
        <w:rPr>
          <w:rFonts w:ascii="Calibri" w:hAnsi="Calibri" w:cs="Calibri"/>
        </w:rPr>
        <w:t>2.</w:t>
      </w:r>
      <w:r w:rsidRPr="00280CB8">
        <w:rPr>
          <w:rFonts w:ascii="Calibri" w:hAnsi="Calibri" w:cs="Calibri"/>
        </w:rPr>
        <w:tab/>
        <w:t>Kushwaha S, Seth V, Bapat P, R K, Chaturvedi M, Gupta R, et al. Neurological Associations of COVID-19-Do We Know Enough: A Tertiary Care Hospital Based Study. Front Neurol. 2020;11:588879.</w:t>
      </w:r>
    </w:p>
    <w:p w14:paraId="713E724F" w14:textId="77777777" w:rsidR="0055080D" w:rsidRPr="00280CB8" w:rsidRDefault="0055080D" w:rsidP="0055080D">
      <w:pPr>
        <w:spacing w:line="360" w:lineRule="auto"/>
        <w:rPr>
          <w:rFonts w:ascii="Calibri" w:hAnsi="Calibri" w:cs="Calibri"/>
        </w:rPr>
      </w:pPr>
      <w:r w:rsidRPr="00280CB8">
        <w:rPr>
          <w:rFonts w:ascii="Calibri" w:hAnsi="Calibri" w:cs="Calibri"/>
        </w:rPr>
        <w:t>3.</w:t>
      </w:r>
      <w:r w:rsidRPr="00280CB8">
        <w:rPr>
          <w:rFonts w:ascii="Calibri" w:hAnsi="Calibri" w:cs="Calibri"/>
        </w:rPr>
        <w:tab/>
        <w:t>Mao L, Jin H, Wang M, Hu Y, Chen S, He Q, et al. Neurologic Manifestations of Hospitalized Patients With Coronavirus Disease 2019 in Wuhan, China. JAMA Neurol. 2020;77(6):683-90.</w:t>
      </w:r>
    </w:p>
    <w:p w14:paraId="03B4288E" w14:textId="77777777" w:rsidR="0055080D" w:rsidRPr="00280CB8" w:rsidRDefault="0055080D" w:rsidP="0055080D">
      <w:pPr>
        <w:spacing w:line="360" w:lineRule="auto"/>
        <w:rPr>
          <w:rFonts w:ascii="Calibri" w:hAnsi="Calibri" w:cs="Calibri"/>
        </w:rPr>
      </w:pPr>
      <w:r w:rsidRPr="00280CB8">
        <w:rPr>
          <w:rFonts w:ascii="Calibri" w:hAnsi="Calibri" w:cs="Calibri"/>
        </w:rPr>
        <w:t>4.</w:t>
      </w:r>
      <w:r w:rsidRPr="00280CB8">
        <w:rPr>
          <w:rFonts w:ascii="Calibri" w:hAnsi="Calibri" w:cs="Calibri"/>
        </w:rPr>
        <w:tab/>
        <w:t>Paterson RW, Brown RL, Benjamin L, Nortley R, Wiethoff S, Bharucha T, et al. The emerging spectrum of COVID-19 neurology: clinical, radiological and laboratory findings. Brain. 2020;143(10):3104-20.</w:t>
      </w:r>
    </w:p>
    <w:p w14:paraId="318479C6" w14:textId="77777777" w:rsidR="0055080D" w:rsidRPr="00280CB8" w:rsidRDefault="0055080D" w:rsidP="0055080D">
      <w:pPr>
        <w:spacing w:line="360" w:lineRule="auto"/>
        <w:rPr>
          <w:rFonts w:ascii="Calibri" w:hAnsi="Calibri" w:cs="Calibri"/>
        </w:rPr>
      </w:pPr>
      <w:r w:rsidRPr="00280CB8">
        <w:rPr>
          <w:rFonts w:ascii="Calibri" w:hAnsi="Calibri" w:cs="Calibri"/>
        </w:rPr>
        <w:t>5.</w:t>
      </w:r>
      <w:r w:rsidRPr="00280CB8">
        <w:rPr>
          <w:rFonts w:ascii="Calibri" w:hAnsi="Calibri" w:cs="Calibri"/>
        </w:rPr>
        <w:tab/>
        <w:t>Varatharaj A, Thomas N, Ellul MA, Davies NWS, Pollak TA, Tenorio EL, et al. Neurological and neuropsychiatric complications of COVID-19 in 153 patients: a UK-wide surveillance study. Lancet Psychiatry. 2020;7(10):875-82.</w:t>
      </w:r>
    </w:p>
    <w:p w14:paraId="42405E85" w14:textId="77777777" w:rsidR="0055080D" w:rsidRPr="00280CB8" w:rsidRDefault="0055080D" w:rsidP="0055080D">
      <w:pPr>
        <w:spacing w:line="360" w:lineRule="auto"/>
        <w:rPr>
          <w:rFonts w:ascii="Calibri" w:hAnsi="Calibri" w:cs="Calibri"/>
        </w:rPr>
      </w:pPr>
      <w:r w:rsidRPr="00280CB8">
        <w:rPr>
          <w:rFonts w:ascii="Calibri" w:hAnsi="Calibri" w:cs="Calibri"/>
        </w:rPr>
        <w:t>6.</w:t>
      </w:r>
      <w:r w:rsidRPr="00280CB8">
        <w:rPr>
          <w:rFonts w:ascii="Calibri" w:hAnsi="Calibri" w:cs="Calibri"/>
        </w:rPr>
        <w:tab/>
        <w:t>Jiang L, Tang K, Levin M, Irfan O, Morris SK, Wilson K, et al. COVID-19 and multisystem inflammatory syndrome in children and adolescents. Lancet Infect Dis. 2020;20(11):e276-e88.</w:t>
      </w:r>
    </w:p>
    <w:p w14:paraId="3A76F9FF" w14:textId="77777777" w:rsidR="0055080D" w:rsidRPr="00280CB8" w:rsidRDefault="0055080D" w:rsidP="0055080D">
      <w:pPr>
        <w:spacing w:line="360" w:lineRule="auto"/>
        <w:rPr>
          <w:rFonts w:ascii="Calibri" w:hAnsi="Calibri" w:cs="Calibri"/>
        </w:rPr>
      </w:pPr>
      <w:r w:rsidRPr="00280CB8">
        <w:rPr>
          <w:rFonts w:ascii="Calibri" w:hAnsi="Calibri" w:cs="Calibri"/>
        </w:rPr>
        <w:t>7.</w:t>
      </w:r>
      <w:r w:rsidRPr="00280CB8">
        <w:rPr>
          <w:rFonts w:ascii="Calibri" w:hAnsi="Calibri" w:cs="Calibri"/>
        </w:rPr>
        <w:tab/>
        <w:t>The Royal College of Paediatrics and Child Health. Guidance–paediatric multisystem inflammatory syndrome temporally associated with COVID-19 2020 [Available from: https://www.rcpch.ac.uk/resources/guidance-paediatric-multisysteminflammatory-syndrome-temporally-associated-covid-19-pims.</w:t>
      </w:r>
    </w:p>
    <w:p w14:paraId="016171C6" w14:textId="77777777" w:rsidR="0055080D" w:rsidRPr="00280CB8" w:rsidRDefault="0055080D" w:rsidP="0055080D">
      <w:pPr>
        <w:spacing w:line="360" w:lineRule="auto"/>
        <w:rPr>
          <w:rFonts w:ascii="Calibri" w:hAnsi="Calibri" w:cs="Calibri"/>
        </w:rPr>
      </w:pPr>
      <w:r w:rsidRPr="00280CB8">
        <w:rPr>
          <w:rFonts w:ascii="Calibri" w:hAnsi="Calibri" w:cs="Calibri"/>
        </w:rPr>
        <w:t>8.</w:t>
      </w:r>
      <w:r w:rsidRPr="00280CB8">
        <w:rPr>
          <w:rFonts w:ascii="Calibri" w:hAnsi="Calibri" w:cs="Calibri"/>
        </w:rPr>
        <w:tab/>
        <w:t>Sa M ML, Carter M et al. Systemic Inflammation Is Associated With Neurologic Involvement in Pediatric Inflammatory Multisystem Syndrome Associated With SARS-CoV-2. Neurology Neuroimmunology &amp; Neuroinflammation. 2021(8 (4)).</w:t>
      </w:r>
    </w:p>
    <w:p w14:paraId="12566D02" w14:textId="77777777" w:rsidR="0055080D" w:rsidRPr="00280CB8" w:rsidRDefault="0055080D" w:rsidP="0055080D">
      <w:pPr>
        <w:spacing w:line="360" w:lineRule="auto"/>
        <w:rPr>
          <w:rFonts w:ascii="Calibri" w:hAnsi="Calibri" w:cs="Calibri"/>
        </w:rPr>
      </w:pPr>
      <w:r w:rsidRPr="00280CB8">
        <w:rPr>
          <w:rFonts w:ascii="Calibri" w:hAnsi="Calibri" w:cs="Calibri"/>
        </w:rPr>
        <w:t>9.</w:t>
      </w:r>
      <w:r w:rsidRPr="00280CB8">
        <w:rPr>
          <w:rFonts w:ascii="Calibri" w:hAnsi="Calibri" w:cs="Calibri"/>
        </w:rPr>
        <w:tab/>
        <w:t>Lindan CE, Mankad K, Ram D, Kociolek LK, Silvera VM, Boddaert N, et al. Neuroimaging manifestations in children with SARS-CoV-2 infection: a multinational, multicentre collaborative study. Lancet Child Adolesc Health. 2021;5(3):167-77.</w:t>
      </w:r>
    </w:p>
    <w:p w14:paraId="18A0A26C" w14:textId="77777777" w:rsidR="0055080D" w:rsidRPr="00280CB8" w:rsidRDefault="0055080D" w:rsidP="0055080D">
      <w:pPr>
        <w:spacing w:line="360" w:lineRule="auto"/>
        <w:rPr>
          <w:rFonts w:ascii="Calibri" w:hAnsi="Calibri" w:cs="Calibri"/>
        </w:rPr>
      </w:pPr>
      <w:r w:rsidRPr="00280CB8">
        <w:rPr>
          <w:rFonts w:ascii="Calibri" w:hAnsi="Calibri" w:cs="Calibri"/>
        </w:rPr>
        <w:t>10.</w:t>
      </w:r>
      <w:r w:rsidRPr="00280CB8">
        <w:rPr>
          <w:rFonts w:ascii="Calibri" w:hAnsi="Calibri" w:cs="Calibri"/>
        </w:rPr>
        <w:tab/>
        <w:t>LaRovere KL, Riggs BJ, Poussaint TY, Young CC, Newhams MM, Maamari M, et al. Neurologic Involvement in Children and Adolescents Hospitalized in the United States for COVID-19 or Multisystem Inflammatory Syndrome. JAMA Neurol. 2021.</w:t>
      </w:r>
    </w:p>
    <w:p w14:paraId="6583CD28" w14:textId="77777777" w:rsidR="0055080D" w:rsidRPr="00280CB8" w:rsidRDefault="0055080D" w:rsidP="0055080D">
      <w:pPr>
        <w:spacing w:line="360" w:lineRule="auto"/>
        <w:rPr>
          <w:rFonts w:ascii="Calibri" w:hAnsi="Calibri" w:cs="Calibri"/>
        </w:rPr>
      </w:pPr>
      <w:r w:rsidRPr="00280CB8">
        <w:rPr>
          <w:rFonts w:ascii="Calibri" w:hAnsi="Calibri" w:cs="Calibri"/>
        </w:rPr>
        <w:t>11.</w:t>
      </w:r>
      <w:r w:rsidRPr="00280CB8">
        <w:rPr>
          <w:rFonts w:ascii="Calibri" w:hAnsi="Calibri" w:cs="Calibri"/>
        </w:rPr>
        <w:tab/>
        <w:t>England N. COVID-19 hospital activity 2021 [Available from: https://www.england.nhs.uk/statistics/statistical-work-areas/covid-19-hospital-activity/.</w:t>
      </w:r>
    </w:p>
    <w:p w14:paraId="0C625768" w14:textId="77777777" w:rsidR="0055080D" w:rsidRPr="00280CB8" w:rsidRDefault="0055080D" w:rsidP="0055080D">
      <w:pPr>
        <w:spacing w:line="360" w:lineRule="auto"/>
        <w:rPr>
          <w:rFonts w:ascii="Calibri" w:hAnsi="Calibri" w:cs="Calibri"/>
        </w:rPr>
      </w:pPr>
      <w:r w:rsidRPr="00280CB8">
        <w:rPr>
          <w:rFonts w:ascii="Calibri" w:hAnsi="Calibri" w:cs="Calibri"/>
        </w:rPr>
        <w:t>12.</w:t>
      </w:r>
      <w:r w:rsidRPr="00280CB8">
        <w:rPr>
          <w:rFonts w:ascii="Calibri" w:hAnsi="Calibri" w:cs="Calibri"/>
        </w:rPr>
        <w:tab/>
        <w:t>Bigi S, Fischer U, Wehrli E, Mattle HP, Boltshauser E, Burki S, et al. Acute ischemic stroke in children versus young adults. Ann Neurol. 2011;70(2):245-54.</w:t>
      </w:r>
    </w:p>
    <w:p w14:paraId="33BFE0BD" w14:textId="77777777" w:rsidR="0055080D" w:rsidRPr="00280CB8" w:rsidRDefault="0055080D" w:rsidP="0055080D">
      <w:pPr>
        <w:spacing w:line="360" w:lineRule="auto"/>
        <w:rPr>
          <w:rFonts w:ascii="Calibri" w:hAnsi="Calibri" w:cs="Calibri"/>
        </w:rPr>
      </w:pPr>
      <w:r w:rsidRPr="00280CB8">
        <w:rPr>
          <w:rFonts w:ascii="Calibri" w:hAnsi="Calibri" w:cs="Calibri"/>
        </w:rPr>
        <w:t>13.</w:t>
      </w:r>
      <w:r w:rsidRPr="00280CB8">
        <w:rPr>
          <w:rFonts w:ascii="Calibri" w:hAnsi="Calibri" w:cs="Calibri"/>
        </w:rPr>
        <w:tab/>
        <w:t>Krupp LB, Tardieu M, Amato MP, Banwell B, Chitnis T, Dale RC, et al. International Pediatric Multiple Sclerosis Study Group criteria for pediatric multiple sclerosis and immune-mediated central nervous system demyelinating disorders: revisions to the 2007 definitions. Mult Scler. 2013;19(10):1261-7.</w:t>
      </w:r>
    </w:p>
    <w:p w14:paraId="631D6FBA" w14:textId="77777777" w:rsidR="0055080D" w:rsidRPr="00280CB8" w:rsidRDefault="0055080D" w:rsidP="0055080D">
      <w:pPr>
        <w:spacing w:line="360" w:lineRule="auto"/>
        <w:rPr>
          <w:rFonts w:ascii="Calibri" w:hAnsi="Calibri" w:cs="Calibri"/>
        </w:rPr>
      </w:pPr>
      <w:r w:rsidRPr="00280CB8">
        <w:rPr>
          <w:rFonts w:ascii="Calibri" w:hAnsi="Calibri" w:cs="Calibri"/>
        </w:rPr>
        <w:t>14.</w:t>
      </w:r>
      <w:r w:rsidRPr="00280CB8">
        <w:rPr>
          <w:rFonts w:ascii="Calibri" w:hAnsi="Calibri" w:cs="Calibri"/>
        </w:rPr>
        <w:tab/>
        <w:t>Tania Cellucci HVM, Francesc Graus, Eyal Muscal, William Gallentine, Marisa S. Klein-Gitelman, Susanne M. Benseler, Jennifer Frankovich, Mark P. Gorman, Keith Van Haren, Josep Dalmau, Russell C. Dale. Clinical approach to the diagnosis of autoimmune encephalitis in the pediatric patient. Neurol Neuroimmunol Neuroinflamm. 2020;7(4).</w:t>
      </w:r>
    </w:p>
    <w:p w14:paraId="7B540DD4" w14:textId="77777777" w:rsidR="0055080D" w:rsidRPr="00280CB8" w:rsidRDefault="0055080D" w:rsidP="0055080D">
      <w:pPr>
        <w:spacing w:line="360" w:lineRule="auto"/>
        <w:rPr>
          <w:rFonts w:ascii="Calibri" w:hAnsi="Calibri" w:cs="Calibri"/>
        </w:rPr>
      </w:pPr>
      <w:r w:rsidRPr="00280CB8">
        <w:rPr>
          <w:rFonts w:ascii="Calibri" w:hAnsi="Calibri" w:cs="Calibri"/>
        </w:rPr>
        <w:t>15.</w:t>
      </w:r>
      <w:r w:rsidRPr="00280CB8">
        <w:rPr>
          <w:rFonts w:ascii="Calibri" w:hAnsi="Calibri" w:cs="Calibri"/>
        </w:rPr>
        <w:tab/>
        <w:t>Hacohen Y, Mankad K, Chong WK, Barkhof F, Vincent A, Lim M, et al. Diagnostic algorithm for relapsing acquired demyelinating syndromes in children. Neurology. 2017;89(3):269-78.</w:t>
      </w:r>
    </w:p>
    <w:p w14:paraId="62A3875B" w14:textId="77777777" w:rsidR="0055080D" w:rsidRPr="00280CB8" w:rsidRDefault="0055080D" w:rsidP="0055080D">
      <w:pPr>
        <w:spacing w:line="360" w:lineRule="auto"/>
        <w:rPr>
          <w:rFonts w:ascii="Calibri" w:hAnsi="Calibri" w:cs="Calibri"/>
        </w:rPr>
      </w:pPr>
      <w:r w:rsidRPr="00280CB8">
        <w:rPr>
          <w:rFonts w:ascii="Calibri" w:hAnsi="Calibri" w:cs="Calibri"/>
        </w:rPr>
        <w:t>16.</w:t>
      </w:r>
      <w:r w:rsidRPr="00280CB8">
        <w:rPr>
          <w:rFonts w:ascii="Calibri" w:hAnsi="Calibri" w:cs="Calibri"/>
        </w:rPr>
        <w:tab/>
        <w:t>Wells E, Hacohen Y, Waldman A, Tillema JM, Soldatos A, Ances B, et al. Neuroimmune disorders of the central nervous system in children in the molecular era. Nat Rev Neurol. 2018;14(7):433-45.</w:t>
      </w:r>
    </w:p>
    <w:p w14:paraId="368CAC50" w14:textId="77777777" w:rsidR="0055080D" w:rsidRPr="00280CB8" w:rsidRDefault="0055080D" w:rsidP="0055080D">
      <w:pPr>
        <w:spacing w:line="360" w:lineRule="auto"/>
        <w:rPr>
          <w:rFonts w:ascii="Calibri" w:hAnsi="Calibri" w:cs="Calibri"/>
        </w:rPr>
      </w:pPr>
      <w:r w:rsidRPr="00280CB8">
        <w:rPr>
          <w:rFonts w:ascii="Calibri" w:hAnsi="Calibri" w:cs="Calibri"/>
        </w:rPr>
        <w:t>17.</w:t>
      </w:r>
      <w:r w:rsidRPr="00280CB8">
        <w:rPr>
          <w:rFonts w:ascii="Calibri" w:hAnsi="Calibri" w:cs="Calibri"/>
        </w:rPr>
        <w:tab/>
        <w:t>Hoftberger R LH. Inflammatory demyelinating diseases of the central</w:t>
      </w:r>
    </w:p>
    <w:p w14:paraId="4DBB5560" w14:textId="77777777" w:rsidR="0055080D" w:rsidRPr="00280CB8" w:rsidRDefault="0055080D" w:rsidP="0055080D">
      <w:pPr>
        <w:spacing w:line="360" w:lineRule="auto"/>
        <w:rPr>
          <w:rFonts w:ascii="Calibri" w:hAnsi="Calibri" w:cs="Calibri"/>
        </w:rPr>
      </w:pPr>
      <w:r w:rsidRPr="00280CB8">
        <w:rPr>
          <w:rFonts w:ascii="Calibri" w:hAnsi="Calibri" w:cs="Calibri"/>
        </w:rPr>
        <w:t xml:space="preserve">nervous system. Neurology HoC, editor: Elsevier; 2018. </w:t>
      </w:r>
    </w:p>
    <w:p w14:paraId="26C71553" w14:textId="77777777" w:rsidR="0055080D" w:rsidRPr="00280CB8" w:rsidRDefault="0055080D" w:rsidP="0055080D">
      <w:pPr>
        <w:spacing w:line="360" w:lineRule="auto"/>
        <w:rPr>
          <w:rFonts w:ascii="Calibri" w:hAnsi="Calibri" w:cs="Calibri"/>
        </w:rPr>
      </w:pPr>
      <w:r w:rsidRPr="00280CB8">
        <w:rPr>
          <w:rFonts w:ascii="Calibri" w:hAnsi="Calibri" w:cs="Calibri"/>
        </w:rPr>
        <w:t>18.</w:t>
      </w:r>
      <w:r w:rsidRPr="00280CB8">
        <w:rPr>
          <w:rFonts w:ascii="Calibri" w:hAnsi="Calibri" w:cs="Calibri"/>
        </w:rPr>
        <w:tab/>
        <w:t>England N. Data dictionary 2021 [Available from: www.datadictionary.nhs.uk.</w:t>
      </w:r>
    </w:p>
    <w:p w14:paraId="3E89D5A3" w14:textId="77777777" w:rsidR="0055080D" w:rsidRPr="00280CB8" w:rsidRDefault="0055080D" w:rsidP="0055080D">
      <w:pPr>
        <w:spacing w:line="360" w:lineRule="auto"/>
        <w:rPr>
          <w:rFonts w:ascii="Calibri" w:hAnsi="Calibri" w:cs="Calibri"/>
        </w:rPr>
      </w:pPr>
      <w:r w:rsidRPr="00280CB8">
        <w:rPr>
          <w:rFonts w:ascii="Calibri" w:hAnsi="Calibri" w:cs="Calibri"/>
        </w:rPr>
        <w:t>19.</w:t>
      </w:r>
      <w:r w:rsidRPr="00280CB8">
        <w:rPr>
          <w:rFonts w:ascii="Calibri" w:hAnsi="Calibri" w:cs="Calibri"/>
        </w:rPr>
        <w:tab/>
        <w:t>Abdel-Mannan O, Eyre M, Lobel U, Bamford A, Eltze C, Hameed B, et al. Neurologic and Radiographic Findings Associated With COVID-19 Infection in Children. JAMA Neurol. 2020.</w:t>
      </w:r>
    </w:p>
    <w:p w14:paraId="48D5A8CE" w14:textId="77777777" w:rsidR="0055080D" w:rsidRPr="00280CB8" w:rsidRDefault="0055080D" w:rsidP="0055080D">
      <w:pPr>
        <w:spacing w:line="360" w:lineRule="auto"/>
        <w:rPr>
          <w:rFonts w:ascii="Calibri" w:hAnsi="Calibri" w:cs="Calibri"/>
        </w:rPr>
      </w:pPr>
      <w:r w:rsidRPr="00280CB8">
        <w:rPr>
          <w:rFonts w:ascii="Calibri" w:hAnsi="Calibri" w:cs="Calibri"/>
        </w:rPr>
        <w:t>20.</w:t>
      </w:r>
      <w:r w:rsidRPr="00280CB8">
        <w:rPr>
          <w:rFonts w:ascii="Calibri" w:hAnsi="Calibri" w:cs="Calibri"/>
        </w:rPr>
        <w:tab/>
        <w:t>Zombori L, Bacon M, Wood H, Chatterjee F, Venkateswaran R, Lampariello S, et al. Severe cortical damage associated with COVID-19 case report. Seizure. 2021;84:66-8.</w:t>
      </w:r>
    </w:p>
    <w:p w14:paraId="47B9B177" w14:textId="77777777" w:rsidR="0055080D" w:rsidRPr="00280CB8" w:rsidRDefault="0055080D" w:rsidP="0055080D">
      <w:pPr>
        <w:spacing w:line="360" w:lineRule="auto"/>
        <w:rPr>
          <w:rFonts w:ascii="Calibri" w:hAnsi="Calibri" w:cs="Calibri"/>
        </w:rPr>
      </w:pPr>
      <w:r w:rsidRPr="00280CB8">
        <w:rPr>
          <w:rFonts w:ascii="Calibri" w:hAnsi="Calibri" w:cs="Calibri"/>
        </w:rPr>
        <w:t>21.</w:t>
      </w:r>
      <w:r w:rsidRPr="00280CB8">
        <w:rPr>
          <w:rFonts w:ascii="Calibri" w:hAnsi="Calibri" w:cs="Calibri"/>
        </w:rPr>
        <w:tab/>
        <w:t>Python 2021 [Available from: https://www.python.org/.</w:t>
      </w:r>
    </w:p>
    <w:p w14:paraId="39D9F8C6" w14:textId="77777777" w:rsidR="0055080D" w:rsidRPr="00280CB8" w:rsidRDefault="0055080D" w:rsidP="0055080D">
      <w:pPr>
        <w:spacing w:line="360" w:lineRule="auto"/>
        <w:rPr>
          <w:rFonts w:ascii="Calibri" w:hAnsi="Calibri" w:cs="Calibri"/>
        </w:rPr>
      </w:pPr>
      <w:r w:rsidRPr="00280CB8">
        <w:rPr>
          <w:rFonts w:ascii="Calibri" w:hAnsi="Calibri" w:cs="Calibri"/>
        </w:rPr>
        <w:t>22.</w:t>
      </w:r>
      <w:r w:rsidRPr="00280CB8">
        <w:rPr>
          <w:rFonts w:ascii="Calibri" w:hAnsi="Calibri" w:cs="Calibri"/>
        </w:rPr>
        <w:tab/>
        <w:t>Swann OV, Holden KA, Turtle L, Pollock L, Fairfield CJ, Drake TM, et al. Clinical characteristics of children and young people admitted to hospital with covid-19 in United Kingdom: prospective multicentre observational cohort study. BMJ. 2020;370:m3249.</w:t>
      </w:r>
    </w:p>
    <w:p w14:paraId="7A2995E6" w14:textId="77777777" w:rsidR="0055080D" w:rsidRPr="00280CB8" w:rsidRDefault="0055080D" w:rsidP="0055080D">
      <w:pPr>
        <w:spacing w:line="360" w:lineRule="auto"/>
        <w:rPr>
          <w:rFonts w:ascii="Calibri" w:hAnsi="Calibri" w:cs="Calibri"/>
        </w:rPr>
      </w:pPr>
      <w:r w:rsidRPr="00280CB8">
        <w:rPr>
          <w:rFonts w:ascii="Calibri" w:hAnsi="Calibri" w:cs="Calibri"/>
        </w:rPr>
        <w:t>23.</w:t>
      </w:r>
      <w:r w:rsidRPr="00280CB8">
        <w:rPr>
          <w:rFonts w:ascii="Calibri" w:hAnsi="Calibri" w:cs="Calibri"/>
        </w:rPr>
        <w:tab/>
        <w:t>Tada H, Takanashi J, Barkovich AJ, Oba H, Maeda M, Tsukahara H, et al. Clinically mild encephalitis/encephalopathy with a reversible splenial lesion. Neurology. 2004;63(10):1854-8.</w:t>
      </w:r>
    </w:p>
    <w:p w14:paraId="28688DD2" w14:textId="77777777" w:rsidR="0055080D" w:rsidRPr="00280CB8" w:rsidRDefault="0055080D" w:rsidP="0055080D">
      <w:pPr>
        <w:spacing w:line="360" w:lineRule="auto"/>
        <w:rPr>
          <w:rFonts w:ascii="Calibri" w:hAnsi="Calibri" w:cs="Calibri"/>
        </w:rPr>
      </w:pPr>
      <w:r w:rsidRPr="00280CB8">
        <w:rPr>
          <w:rFonts w:ascii="Calibri" w:hAnsi="Calibri" w:cs="Calibri"/>
        </w:rPr>
        <w:t>24.</w:t>
      </w:r>
      <w:r w:rsidRPr="00280CB8">
        <w:rPr>
          <w:rFonts w:ascii="Calibri" w:hAnsi="Calibri" w:cs="Calibri"/>
        </w:rPr>
        <w:tab/>
        <w:t>Kontzialis M, Soares BP, Huisman T. Lesions in the Splenium of the Corpus Callosum on MRI in Children: A Review. J Neuroimaging. 2017;27(6):549-61.</w:t>
      </w:r>
    </w:p>
    <w:p w14:paraId="4E156F1B" w14:textId="77777777" w:rsidR="0055080D" w:rsidRPr="00280CB8" w:rsidRDefault="0055080D" w:rsidP="0055080D">
      <w:pPr>
        <w:spacing w:line="360" w:lineRule="auto"/>
        <w:rPr>
          <w:rFonts w:ascii="Calibri" w:hAnsi="Calibri" w:cs="Calibri"/>
        </w:rPr>
      </w:pPr>
      <w:r w:rsidRPr="00280CB8">
        <w:rPr>
          <w:rFonts w:ascii="Calibri" w:hAnsi="Calibri" w:cs="Calibri"/>
        </w:rPr>
        <w:t>25.</w:t>
      </w:r>
      <w:r w:rsidRPr="00280CB8">
        <w:rPr>
          <w:rFonts w:ascii="Calibri" w:hAnsi="Calibri" w:cs="Calibri"/>
        </w:rPr>
        <w:tab/>
        <w:t>Rasmussen C, Niculescu I, Patel S, Krishnan A. COVID-19 and Involvement of the Corpus Callosum: Potential Effect of the Cytokine Storm? AJNR Am J Neuroradiol. 2020;41(9):1625-8.</w:t>
      </w:r>
    </w:p>
    <w:p w14:paraId="27543308" w14:textId="42AA6E08" w:rsidR="0055080D" w:rsidRPr="00280CB8" w:rsidRDefault="0055080D" w:rsidP="0055080D">
      <w:pPr>
        <w:spacing w:line="360" w:lineRule="auto"/>
        <w:rPr>
          <w:rFonts w:ascii="Calibri" w:hAnsi="Calibri" w:cs="Calibri"/>
        </w:rPr>
      </w:pPr>
      <w:r w:rsidRPr="00280CB8">
        <w:rPr>
          <w:rFonts w:ascii="Calibri" w:hAnsi="Calibri" w:cs="Calibri"/>
        </w:rPr>
        <w:t>26.</w:t>
      </w:r>
      <w:r w:rsidRPr="00280CB8">
        <w:rPr>
          <w:rFonts w:ascii="Calibri" w:hAnsi="Calibri" w:cs="Calibri"/>
        </w:rPr>
        <w:tab/>
        <w:t>Ross Russell A</w:t>
      </w:r>
      <w:r w:rsidR="00415966">
        <w:rPr>
          <w:rFonts w:ascii="Calibri" w:hAnsi="Calibri" w:cs="Calibri"/>
        </w:rPr>
        <w:t>,</w:t>
      </w:r>
      <w:r w:rsidRPr="00280CB8">
        <w:rPr>
          <w:rFonts w:ascii="Calibri" w:hAnsi="Calibri" w:cs="Calibri"/>
        </w:rPr>
        <w:t xml:space="preserve"> H</w:t>
      </w:r>
      <w:r w:rsidR="00415966">
        <w:rPr>
          <w:rFonts w:ascii="Calibri" w:hAnsi="Calibri" w:cs="Calibri"/>
        </w:rPr>
        <w:t xml:space="preserve">ardwick </w:t>
      </w:r>
      <w:r w:rsidRPr="00280CB8">
        <w:rPr>
          <w:rFonts w:ascii="Calibri" w:hAnsi="Calibri" w:cs="Calibri"/>
        </w:rPr>
        <w:t>M, Jeyanantham A et al Spectrum, Risk Factors, and Outcomes of Neurological and Psychiatric Complications of COVID-19: A UK-Wide Cross-Sectional Surveillance Study. Available at SSRN: https://ssrn.com/abstract=3767901 or http://dx.doi.org/10.2139/ssrn.3767901. January 2021.</w:t>
      </w:r>
    </w:p>
    <w:p w14:paraId="643673AD" w14:textId="77777777" w:rsidR="0055080D" w:rsidRPr="00280CB8" w:rsidRDefault="0055080D" w:rsidP="0055080D">
      <w:pPr>
        <w:spacing w:line="360" w:lineRule="auto"/>
        <w:rPr>
          <w:rFonts w:ascii="Calibri" w:hAnsi="Calibri" w:cs="Calibri"/>
        </w:rPr>
      </w:pPr>
      <w:r w:rsidRPr="00280CB8">
        <w:rPr>
          <w:rFonts w:ascii="Calibri" w:hAnsi="Calibri" w:cs="Calibri"/>
        </w:rPr>
        <w:t>27.</w:t>
      </w:r>
      <w:r w:rsidRPr="00280CB8">
        <w:rPr>
          <w:rFonts w:ascii="Calibri" w:hAnsi="Calibri" w:cs="Calibri"/>
        </w:rPr>
        <w:tab/>
        <w:t>Iadecola C, Anrather J, Kamel H. Effects of COVID-19 on the Nervous System. Cell. 2020;183(1):16-27 e1.</w:t>
      </w:r>
    </w:p>
    <w:p w14:paraId="18008F6A" w14:textId="77777777" w:rsidR="0055080D" w:rsidRPr="00280CB8" w:rsidRDefault="0055080D" w:rsidP="0055080D">
      <w:pPr>
        <w:spacing w:line="360" w:lineRule="auto"/>
        <w:rPr>
          <w:rFonts w:ascii="Calibri" w:hAnsi="Calibri" w:cs="Calibri"/>
        </w:rPr>
      </w:pPr>
      <w:r w:rsidRPr="00280CB8">
        <w:rPr>
          <w:rFonts w:ascii="Calibri" w:hAnsi="Calibri" w:cs="Calibri"/>
        </w:rPr>
        <w:t>28.</w:t>
      </w:r>
      <w:r w:rsidRPr="00280CB8">
        <w:rPr>
          <w:rFonts w:ascii="Calibri" w:hAnsi="Calibri" w:cs="Calibri"/>
        </w:rPr>
        <w:tab/>
        <w:t>Paniz-Mondolfi A, Bryce C, Grimes Z, Gordon RE, Reidy J, Lednicky J, et al. Central nervous system involvement by severe acute respiratory syndrome coronavirus-2 (SARS-CoV-2). J Med Virol. 2020;92(7):699-702.</w:t>
      </w:r>
    </w:p>
    <w:p w14:paraId="688A87A2" w14:textId="77777777" w:rsidR="0055080D" w:rsidRPr="00280CB8" w:rsidRDefault="0055080D" w:rsidP="0055080D">
      <w:pPr>
        <w:spacing w:line="360" w:lineRule="auto"/>
        <w:rPr>
          <w:rFonts w:ascii="Calibri" w:hAnsi="Calibri" w:cs="Calibri"/>
        </w:rPr>
      </w:pPr>
      <w:r w:rsidRPr="00280CB8">
        <w:rPr>
          <w:rFonts w:ascii="Calibri" w:hAnsi="Calibri" w:cs="Calibri"/>
        </w:rPr>
        <w:t>29.</w:t>
      </w:r>
      <w:r w:rsidRPr="00280CB8">
        <w:rPr>
          <w:rFonts w:ascii="Calibri" w:hAnsi="Calibri" w:cs="Calibri"/>
        </w:rPr>
        <w:tab/>
        <w:t>Solomon T. Neurological infection with SARS-CoV-2 - the story so far. Nat Rev Neurol. 2021;17(2):65-6.</w:t>
      </w:r>
    </w:p>
    <w:p w14:paraId="25823F8C" w14:textId="77777777" w:rsidR="0055080D" w:rsidRPr="00280CB8" w:rsidRDefault="0055080D" w:rsidP="0055080D">
      <w:pPr>
        <w:spacing w:line="360" w:lineRule="auto"/>
        <w:rPr>
          <w:rFonts w:ascii="Calibri" w:hAnsi="Calibri" w:cs="Calibri"/>
        </w:rPr>
      </w:pPr>
      <w:r w:rsidRPr="00280CB8">
        <w:rPr>
          <w:rFonts w:ascii="Calibri" w:hAnsi="Calibri" w:cs="Calibri"/>
        </w:rPr>
        <w:t>30.</w:t>
      </w:r>
      <w:r w:rsidRPr="00280CB8">
        <w:rPr>
          <w:rFonts w:ascii="Calibri" w:hAnsi="Calibri" w:cs="Calibri"/>
        </w:rPr>
        <w:tab/>
        <w:t>Matschke J, Lutgehetmann M, Hagel C, Sperhake JP, Schroder AS, Edler C, et al. Neuropathology of patients with COVID-19 in Germany: a post-mortem case series. Lancet Neurol. 2020;19(11):919-29.</w:t>
      </w:r>
    </w:p>
    <w:p w14:paraId="061E25F8" w14:textId="77777777" w:rsidR="00761D0E" w:rsidRPr="00280CB8" w:rsidRDefault="00A46238" w:rsidP="00881173">
      <w:pPr>
        <w:spacing w:line="360" w:lineRule="auto"/>
        <w:rPr>
          <w:rFonts w:ascii="Calibri" w:hAnsi="Calibri" w:cs="Calibri"/>
        </w:rPr>
      </w:pPr>
    </w:p>
    <w:sectPr w:rsidR="00761D0E" w:rsidRPr="00280CB8" w:rsidSect="0055080D">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6CC9D1" w14:textId="77777777" w:rsidR="00A46238" w:rsidRDefault="00A46238" w:rsidP="00462514">
      <w:r>
        <w:separator/>
      </w:r>
    </w:p>
  </w:endnote>
  <w:endnote w:type="continuationSeparator" w:id="0">
    <w:p w14:paraId="0945FD64" w14:textId="77777777" w:rsidR="00A46238" w:rsidRDefault="00A46238" w:rsidP="00462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aker 2 Lancet">
    <w:altName w:val="Calibri"/>
    <w:panose1 w:val="00000000000000000000"/>
    <w:charset w:val="00"/>
    <w:family w:val="swiss"/>
    <w:notTrueType/>
    <w:pitch w:val="default"/>
    <w:sig w:usb0="00000003" w:usb1="00000000" w:usb2="00000000" w:usb3="00000000" w:csb0="00000001" w:csb1="00000000"/>
  </w:font>
  <w:font w:name="Helvetica Neue">
    <w:altName w:val="﷽﷽﷽﷽﷽﷽﷽﷽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calaLancet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28521463"/>
      <w:docPartObj>
        <w:docPartGallery w:val="Page Numbers (Bottom of Page)"/>
        <w:docPartUnique/>
      </w:docPartObj>
    </w:sdtPr>
    <w:sdtEndPr>
      <w:rPr>
        <w:rStyle w:val="PageNumber"/>
      </w:rPr>
    </w:sdtEndPr>
    <w:sdtContent>
      <w:p w14:paraId="09A32B36" w14:textId="245CAF3D" w:rsidR="00462514" w:rsidRDefault="00462514" w:rsidP="00D353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BACE3C" w14:textId="77777777" w:rsidR="00462514" w:rsidRDefault="00462514" w:rsidP="00E84C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68636443"/>
      <w:docPartObj>
        <w:docPartGallery w:val="Page Numbers (Bottom of Page)"/>
        <w:docPartUnique/>
      </w:docPartObj>
    </w:sdtPr>
    <w:sdtEndPr>
      <w:rPr>
        <w:rStyle w:val="PageNumber"/>
      </w:rPr>
    </w:sdtEndPr>
    <w:sdtContent>
      <w:p w14:paraId="30D5122D" w14:textId="4C7935F8" w:rsidR="00462514" w:rsidRDefault="00462514" w:rsidP="00D353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675E2">
          <w:rPr>
            <w:rStyle w:val="PageNumber"/>
            <w:noProof/>
          </w:rPr>
          <w:t>1</w:t>
        </w:r>
        <w:r>
          <w:rPr>
            <w:rStyle w:val="PageNumber"/>
          </w:rPr>
          <w:fldChar w:fldCharType="end"/>
        </w:r>
      </w:p>
    </w:sdtContent>
  </w:sdt>
  <w:p w14:paraId="6294775F" w14:textId="77777777" w:rsidR="00462514" w:rsidRDefault="00462514" w:rsidP="00E84C3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2F6AB" w14:textId="77777777" w:rsidR="00A46238" w:rsidRDefault="00A46238" w:rsidP="00462514">
      <w:r>
        <w:separator/>
      </w:r>
    </w:p>
  </w:footnote>
  <w:footnote w:type="continuationSeparator" w:id="0">
    <w:p w14:paraId="741BB01D" w14:textId="77777777" w:rsidR="00A46238" w:rsidRDefault="00A46238" w:rsidP="004625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53243F"/>
    <w:multiLevelType w:val="hybridMultilevel"/>
    <w:tmpl w:val="577E01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729"/>
    <w:rsid w:val="00033258"/>
    <w:rsid w:val="00086077"/>
    <w:rsid w:val="000A11D7"/>
    <w:rsid w:val="001471C1"/>
    <w:rsid w:val="0015569E"/>
    <w:rsid w:val="001675E2"/>
    <w:rsid w:val="001E00EB"/>
    <w:rsid w:val="001E0CE9"/>
    <w:rsid w:val="001E6113"/>
    <w:rsid w:val="00206A5A"/>
    <w:rsid w:val="00220927"/>
    <w:rsid w:val="00254762"/>
    <w:rsid w:val="00261CFD"/>
    <w:rsid w:val="00280CB8"/>
    <w:rsid w:val="002D7575"/>
    <w:rsid w:val="002D79D7"/>
    <w:rsid w:val="002E03F4"/>
    <w:rsid w:val="002E0F67"/>
    <w:rsid w:val="002F48C4"/>
    <w:rsid w:val="00392B8D"/>
    <w:rsid w:val="00394972"/>
    <w:rsid w:val="003F09DE"/>
    <w:rsid w:val="00415966"/>
    <w:rsid w:val="00420084"/>
    <w:rsid w:val="004340C3"/>
    <w:rsid w:val="00447603"/>
    <w:rsid w:val="00462514"/>
    <w:rsid w:val="00490274"/>
    <w:rsid w:val="004E762C"/>
    <w:rsid w:val="005309B8"/>
    <w:rsid w:val="00531080"/>
    <w:rsid w:val="005444B6"/>
    <w:rsid w:val="00546A48"/>
    <w:rsid w:val="0055080D"/>
    <w:rsid w:val="00553541"/>
    <w:rsid w:val="00567D99"/>
    <w:rsid w:val="005C3AF9"/>
    <w:rsid w:val="006344B7"/>
    <w:rsid w:val="006428F3"/>
    <w:rsid w:val="00681277"/>
    <w:rsid w:val="00696290"/>
    <w:rsid w:val="00700D6D"/>
    <w:rsid w:val="00734CC6"/>
    <w:rsid w:val="00734D0E"/>
    <w:rsid w:val="00745C06"/>
    <w:rsid w:val="00765CB7"/>
    <w:rsid w:val="00780CF7"/>
    <w:rsid w:val="00797EEB"/>
    <w:rsid w:val="007B5543"/>
    <w:rsid w:val="00803657"/>
    <w:rsid w:val="00807D38"/>
    <w:rsid w:val="00825001"/>
    <w:rsid w:val="008770C3"/>
    <w:rsid w:val="00881173"/>
    <w:rsid w:val="0088510C"/>
    <w:rsid w:val="008C6CA5"/>
    <w:rsid w:val="008D7D9D"/>
    <w:rsid w:val="0095721B"/>
    <w:rsid w:val="00964671"/>
    <w:rsid w:val="0097262A"/>
    <w:rsid w:val="00985A15"/>
    <w:rsid w:val="00992F9B"/>
    <w:rsid w:val="009A0D14"/>
    <w:rsid w:val="00A229EF"/>
    <w:rsid w:val="00A2500D"/>
    <w:rsid w:val="00A321FB"/>
    <w:rsid w:val="00A46238"/>
    <w:rsid w:val="00A50096"/>
    <w:rsid w:val="00A52AB7"/>
    <w:rsid w:val="00A5655D"/>
    <w:rsid w:val="00AB2139"/>
    <w:rsid w:val="00AC3F2F"/>
    <w:rsid w:val="00AF13F0"/>
    <w:rsid w:val="00AF798E"/>
    <w:rsid w:val="00B0518D"/>
    <w:rsid w:val="00B10A6B"/>
    <w:rsid w:val="00B2318F"/>
    <w:rsid w:val="00B33CF1"/>
    <w:rsid w:val="00B45DB4"/>
    <w:rsid w:val="00B61E89"/>
    <w:rsid w:val="00B7582D"/>
    <w:rsid w:val="00B92008"/>
    <w:rsid w:val="00B94B7A"/>
    <w:rsid w:val="00BD573A"/>
    <w:rsid w:val="00BE56D4"/>
    <w:rsid w:val="00C07FED"/>
    <w:rsid w:val="00C21EE7"/>
    <w:rsid w:val="00C67D22"/>
    <w:rsid w:val="00C67F0C"/>
    <w:rsid w:val="00C7207F"/>
    <w:rsid w:val="00CC2B8B"/>
    <w:rsid w:val="00CE25BD"/>
    <w:rsid w:val="00DB3966"/>
    <w:rsid w:val="00E06532"/>
    <w:rsid w:val="00E067E2"/>
    <w:rsid w:val="00E31EEA"/>
    <w:rsid w:val="00E36B56"/>
    <w:rsid w:val="00E84C38"/>
    <w:rsid w:val="00EA2729"/>
    <w:rsid w:val="00EA2B1E"/>
    <w:rsid w:val="00EB17A1"/>
    <w:rsid w:val="00EC562E"/>
    <w:rsid w:val="00ED16D9"/>
    <w:rsid w:val="00ED21D1"/>
    <w:rsid w:val="00EF60DC"/>
    <w:rsid w:val="00F44F7A"/>
    <w:rsid w:val="00F72692"/>
    <w:rsid w:val="00FC2BD2"/>
    <w:rsid w:val="00FC31A1"/>
    <w:rsid w:val="00FC78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F9CF2"/>
  <w15:chartTrackingRefBased/>
  <w15:docId w15:val="{ED680301-6499-4C45-938C-091BDCC1C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0096"/>
    <w:pPr>
      <w:ind w:left="720"/>
      <w:contextualSpacing/>
    </w:pPr>
    <w:rPr>
      <w:rFonts w:ascii="Times New Roman" w:eastAsia="Times New Roman" w:hAnsi="Times New Roman" w:cs="Times New Roman"/>
      <w:lang w:eastAsia="en-GB"/>
    </w:rPr>
  </w:style>
  <w:style w:type="character" w:customStyle="1" w:styleId="il">
    <w:name w:val="il"/>
    <w:basedOn w:val="DefaultParagraphFont"/>
    <w:rsid w:val="00A50096"/>
  </w:style>
  <w:style w:type="paragraph" w:customStyle="1" w:styleId="Pa12">
    <w:name w:val="Pa12"/>
    <w:basedOn w:val="Normal"/>
    <w:next w:val="Normal"/>
    <w:uiPriority w:val="99"/>
    <w:rsid w:val="00086077"/>
    <w:pPr>
      <w:autoSpaceDE w:val="0"/>
      <w:autoSpaceDN w:val="0"/>
      <w:adjustRightInd w:val="0"/>
      <w:spacing w:line="191" w:lineRule="atLeast"/>
    </w:pPr>
    <w:rPr>
      <w:rFonts w:ascii="Shaker 2 Lancet" w:hAnsi="Shaker 2 Lancet"/>
    </w:rPr>
  </w:style>
  <w:style w:type="character" w:styleId="Hyperlink">
    <w:name w:val="Hyperlink"/>
    <w:basedOn w:val="DefaultParagraphFont"/>
    <w:uiPriority w:val="99"/>
    <w:unhideWhenUsed/>
    <w:rsid w:val="00531080"/>
    <w:rPr>
      <w:color w:val="0563C1" w:themeColor="hyperlink"/>
      <w:u w:val="single"/>
    </w:rPr>
  </w:style>
  <w:style w:type="character" w:customStyle="1" w:styleId="UnresolvedMention">
    <w:name w:val="Unresolved Mention"/>
    <w:basedOn w:val="DefaultParagraphFont"/>
    <w:uiPriority w:val="99"/>
    <w:semiHidden/>
    <w:unhideWhenUsed/>
    <w:rsid w:val="00531080"/>
    <w:rPr>
      <w:color w:val="605E5C"/>
      <w:shd w:val="clear" w:color="auto" w:fill="E1DFDD"/>
    </w:rPr>
  </w:style>
  <w:style w:type="paragraph" w:styleId="NormalWeb">
    <w:name w:val="Normal (Web)"/>
    <w:basedOn w:val="Normal"/>
    <w:link w:val="NormalWebChar"/>
    <w:uiPriority w:val="99"/>
    <w:unhideWhenUsed/>
    <w:rsid w:val="00531080"/>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531080"/>
    <w:rPr>
      <w:sz w:val="16"/>
      <w:szCs w:val="16"/>
    </w:rPr>
  </w:style>
  <w:style w:type="paragraph" w:styleId="CommentText">
    <w:name w:val="annotation text"/>
    <w:basedOn w:val="Normal"/>
    <w:link w:val="CommentTextChar"/>
    <w:uiPriority w:val="99"/>
    <w:unhideWhenUsed/>
    <w:rsid w:val="0053108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531080"/>
    <w:rPr>
      <w:rFonts w:ascii="Times New Roman" w:eastAsia="Times New Roman" w:hAnsi="Times New Roman" w:cs="Times New Roman"/>
      <w:sz w:val="20"/>
      <w:szCs w:val="20"/>
      <w:lang w:eastAsia="en-GB"/>
    </w:rPr>
  </w:style>
  <w:style w:type="character" w:customStyle="1" w:styleId="NormalWebChar">
    <w:name w:val="Normal (Web) Char"/>
    <w:basedOn w:val="DefaultParagraphFont"/>
    <w:link w:val="NormalWeb"/>
    <w:uiPriority w:val="99"/>
    <w:rsid w:val="00531080"/>
    <w:rPr>
      <w:rFonts w:ascii="Times New Roman" w:eastAsia="Times New Roman" w:hAnsi="Times New Roman" w:cs="Times New Roman"/>
      <w:lang w:eastAsia="en-GB"/>
    </w:rPr>
  </w:style>
  <w:style w:type="paragraph" w:customStyle="1" w:styleId="Default">
    <w:name w:val="Default"/>
    <w:rsid w:val="00E06532"/>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GB"/>
    </w:rPr>
  </w:style>
  <w:style w:type="paragraph" w:customStyle="1" w:styleId="Pa5">
    <w:name w:val="Pa5"/>
    <w:basedOn w:val="Default"/>
    <w:next w:val="Default"/>
    <w:uiPriority w:val="99"/>
    <w:rsid w:val="00E065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180" w:lineRule="atLeast"/>
    </w:pPr>
    <w:rPr>
      <w:rFonts w:ascii="ScalaLancetPro" w:hAnsi="ScalaLancetPro" w:cs="Times New Roman"/>
      <w:color w:val="auto"/>
      <w:sz w:val="24"/>
      <w:szCs w:val="24"/>
    </w:rPr>
  </w:style>
  <w:style w:type="paragraph" w:styleId="Revision">
    <w:name w:val="Revision"/>
    <w:hidden/>
    <w:uiPriority w:val="99"/>
    <w:semiHidden/>
    <w:rsid w:val="00C67D22"/>
  </w:style>
  <w:style w:type="character" w:styleId="LineNumber">
    <w:name w:val="line number"/>
    <w:basedOn w:val="DefaultParagraphFont"/>
    <w:uiPriority w:val="99"/>
    <w:semiHidden/>
    <w:unhideWhenUsed/>
    <w:rsid w:val="00462514"/>
  </w:style>
  <w:style w:type="paragraph" w:styleId="Header">
    <w:name w:val="header"/>
    <w:basedOn w:val="Normal"/>
    <w:link w:val="HeaderChar"/>
    <w:uiPriority w:val="99"/>
    <w:unhideWhenUsed/>
    <w:rsid w:val="00462514"/>
    <w:pPr>
      <w:tabs>
        <w:tab w:val="center" w:pos="4513"/>
        <w:tab w:val="right" w:pos="9026"/>
      </w:tabs>
    </w:pPr>
  </w:style>
  <w:style w:type="character" w:customStyle="1" w:styleId="HeaderChar">
    <w:name w:val="Header Char"/>
    <w:basedOn w:val="DefaultParagraphFont"/>
    <w:link w:val="Header"/>
    <w:uiPriority w:val="99"/>
    <w:rsid w:val="00462514"/>
  </w:style>
  <w:style w:type="paragraph" w:styleId="Footer">
    <w:name w:val="footer"/>
    <w:basedOn w:val="Normal"/>
    <w:link w:val="FooterChar"/>
    <w:uiPriority w:val="99"/>
    <w:unhideWhenUsed/>
    <w:rsid w:val="00462514"/>
    <w:pPr>
      <w:tabs>
        <w:tab w:val="center" w:pos="4513"/>
        <w:tab w:val="right" w:pos="9026"/>
      </w:tabs>
    </w:pPr>
  </w:style>
  <w:style w:type="character" w:customStyle="1" w:styleId="FooterChar">
    <w:name w:val="Footer Char"/>
    <w:basedOn w:val="DefaultParagraphFont"/>
    <w:link w:val="Footer"/>
    <w:uiPriority w:val="99"/>
    <w:rsid w:val="00462514"/>
  </w:style>
  <w:style w:type="character" w:styleId="PageNumber">
    <w:name w:val="page number"/>
    <w:basedOn w:val="DefaultParagraphFont"/>
    <w:uiPriority w:val="99"/>
    <w:semiHidden/>
    <w:unhideWhenUsed/>
    <w:rsid w:val="004625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pnsu.co.uk" TargetMode="External"/><Relationship Id="rId13"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hyperlink" Target="http://www.bpnsu.co.uk" TargetMode="Externa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oronerve.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7108</Words>
  <Characters>40519</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ray</dc:creator>
  <cp:keywords/>
  <dc:description/>
  <cp:lastModifiedBy>Lyus, Rosemary</cp:lastModifiedBy>
  <cp:revision>2</cp:revision>
  <dcterms:created xsi:type="dcterms:W3CDTF">2021-07-08T13:43:00Z</dcterms:created>
  <dcterms:modified xsi:type="dcterms:W3CDTF">2021-07-08T13:43:00Z</dcterms:modified>
</cp:coreProperties>
</file>