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2B5A2" w14:textId="30C005B5" w:rsidR="00013055" w:rsidRPr="005C7C3A" w:rsidRDefault="00013055" w:rsidP="00135B8E">
      <w:pPr>
        <w:pStyle w:val="Articletitle"/>
        <w:spacing w:after="0"/>
        <w:rPr>
          <w:sz w:val="36"/>
          <w:szCs w:val="36"/>
        </w:rPr>
      </w:pPr>
      <w:r w:rsidRPr="005C7C3A">
        <w:rPr>
          <w:sz w:val="36"/>
          <w:szCs w:val="36"/>
        </w:rPr>
        <w:t>The</w:t>
      </w:r>
      <w:r w:rsidR="005B1F0E" w:rsidRPr="005C7C3A">
        <w:rPr>
          <w:sz w:val="36"/>
          <w:szCs w:val="36"/>
        </w:rPr>
        <w:t xml:space="preserve"> </w:t>
      </w:r>
      <w:r w:rsidRPr="005C7C3A">
        <w:rPr>
          <w:sz w:val="36"/>
          <w:szCs w:val="36"/>
        </w:rPr>
        <w:t>Birth Trauma Psychological Therapy Service:  A</w:t>
      </w:r>
      <w:r w:rsidR="009E36CD">
        <w:rPr>
          <w:sz w:val="36"/>
          <w:szCs w:val="36"/>
        </w:rPr>
        <w:t xml:space="preserve">n </w:t>
      </w:r>
      <w:r w:rsidR="00317A03">
        <w:rPr>
          <w:sz w:val="36"/>
          <w:szCs w:val="36"/>
        </w:rPr>
        <w:t xml:space="preserve">audit of outcomes </w:t>
      </w:r>
    </w:p>
    <w:p w14:paraId="1E0CECDF" w14:textId="77777777" w:rsidR="00013055" w:rsidRDefault="00013055" w:rsidP="00135B8E">
      <w:pPr>
        <w:pStyle w:val="Abstract"/>
        <w:spacing w:before="0" w:after="0"/>
        <w:ind w:right="0"/>
        <w:jc w:val="both"/>
        <w:rPr>
          <w:b/>
          <w:sz w:val="24"/>
        </w:rPr>
      </w:pPr>
    </w:p>
    <w:p w14:paraId="70E7EBCB" w14:textId="77777777" w:rsidR="00013055" w:rsidRDefault="00013055" w:rsidP="00135B8E">
      <w:pPr>
        <w:pStyle w:val="Abstract"/>
        <w:spacing w:before="0" w:after="0"/>
        <w:ind w:left="0" w:right="0"/>
        <w:jc w:val="both"/>
        <w:rPr>
          <w:b/>
          <w:sz w:val="24"/>
        </w:rPr>
      </w:pPr>
    </w:p>
    <w:p w14:paraId="0C4DC136" w14:textId="77777777" w:rsidR="00C71F1B" w:rsidRDefault="00BF1C19" w:rsidP="00135B8E">
      <w:pPr>
        <w:pStyle w:val="Abstract"/>
        <w:spacing w:before="0" w:after="0"/>
        <w:ind w:right="0"/>
        <w:jc w:val="both"/>
        <w:rPr>
          <w:b/>
          <w:sz w:val="24"/>
        </w:rPr>
      </w:pPr>
      <w:r>
        <w:rPr>
          <w:b/>
          <w:sz w:val="24"/>
        </w:rPr>
        <w:t>ABSTRACT</w:t>
      </w:r>
    </w:p>
    <w:p w14:paraId="1DF9EED7" w14:textId="77777777" w:rsidR="00C71F1B" w:rsidRDefault="00C71F1B" w:rsidP="00135B8E">
      <w:pPr>
        <w:pStyle w:val="Abstract"/>
        <w:spacing w:before="0" w:after="0"/>
        <w:ind w:right="0"/>
        <w:jc w:val="both"/>
        <w:rPr>
          <w:b/>
          <w:sz w:val="24"/>
        </w:rPr>
      </w:pPr>
    </w:p>
    <w:p w14:paraId="184C66C1" w14:textId="36414BEA" w:rsidR="00BF1C19" w:rsidRPr="00C71F1B" w:rsidRDefault="00BF1C19" w:rsidP="00135B8E">
      <w:pPr>
        <w:pStyle w:val="Abstract"/>
        <w:spacing w:before="0" w:after="0"/>
        <w:ind w:right="0"/>
        <w:jc w:val="both"/>
        <w:rPr>
          <w:b/>
          <w:sz w:val="24"/>
        </w:rPr>
      </w:pPr>
      <w:r w:rsidRPr="00BD3C48">
        <w:rPr>
          <w:b/>
          <w:szCs w:val="22"/>
        </w:rPr>
        <w:t xml:space="preserve">Objective:   </w:t>
      </w:r>
      <w:r w:rsidRPr="00BD3C48">
        <w:rPr>
          <w:szCs w:val="22"/>
        </w:rPr>
        <w:t xml:space="preserve">To </w:t>
      </w:r>
      <w:r w:rsidR="005B1F0E">
        <w:rPr>
          <w:szCs w:val="22"/>
        </w:rPr>
        <w:t xml:space="preserve">evaluate </w:t>
      </w:r>
      <w:r>
        <w:rPr>
          <w:szCs w:val="22"/>
        </w:rPr>
        <w:t>routinely collected service</w:t>
      </w:r>
      <w:r w:rsidRPr="00BD3C48">
        <w:rPr>
          <w:szCs w:val="22"/>
        </w:rPr>
        <w:t xml:space="preserve"> data </w:t>
      </w:r>
      <w:r>
        <w:rPr>
          <w:szCs w:val="22"/>
        </w:rPr>
        <w:t>from a</w:t>
      </w:r>
      <w:r w:rsidRPr="00BD3C48">
        <w:rPr>
          <w:szCs w:val="22"/>
        </w:rPr>
        <w:t xml:space="preserve"> ‘Birth Trauma’ psychology </w:t>
      </w:r>
      <w:r>
        <w:rPr>
          <w:szCs w:val="22"/>
        </w:rPr>
        <w:t>clinic</w:t>
      </w:r>
      <w:r w:rsidR="00992D43">
        <w:rPr>
          <w:szCs w:val="22"/>
        </w:rPr>
        <w:t xml:space="preserve"> integrated into maternity </w:t>
      </w:r>
      <w:r w:rsidR="00432DE6">
        <w:rPr>
          <w:szCs w:val="22"/>
        </w:rPr>
        <w:t>services</w:t>
      </w:r>
      <w:r>
        <w:rPr>
          <w:szCs w:val="22"/>
        </w:rPr>
        <w:t xml:space="preserve">, </w:t>
      </w:r>
      <w:r w:rsidR="005B1F0E">
        <w:rPr>
          <w:szCs w:val="22"/>
        </w:rPr>
        <w:t xml:space="preserve">in order to </w:t>
      </w:r>
      <w:r w:rsidR="00E4488A">
        <w:rPr>
          <w:szCs w:val="22"/>
        </w:rPr>
        <w:t xml:space="preserve">review </w:t>
      </w:r>
      <w:r w:rsidR="00E4488A" w:rsidRPr="00BD3C48">
        <w:rPr>
          <w:szCs w:val="22"/>
        </w:rPr>
        <w:t>effectiveness</w:t>
      </w:r>
      <w:r w:rsidRPr="00BD3C48">
        <w:rPr>
          <w:szCs w:val="22"/>
        </w:rPr>
        <w:t xml:space="preserve"> </w:t>
      </w:r>
      <w:r w:rsidR="005B1F0E">
        <w:rPr>
          <w:szCs w:val="22"/>
        </w:rPr>
        <w:t xml:space="preserve">for </w:t>
      </w:r>
      <w:r w:rsidRPr="00BD3C48">
        <w:rPr>
          <w:szCs w:val="22"/>
        </w:rPr>
        <w:t xml:space="preserve">women </w:t>
      </w:r>
      <w:r w:rsidR="005B1F0E">
        <w:rPr>
          <w:szCs w:val="22"/>
        </w:rPr>
        <w:t>with</w:t>
      </w:r>
      <w:r w:rsidRPr="00BD3C48">
        <w:rPr>
          <w:szCs w:val="22"/>
        </w:rPr>
        <w:t xml:space="preserve"> symptoms of post-traumatic stress disorder (PTSD</w:t>
      </w:r>
      <w:r w:rsidR="00E4488A" w:rsidRPr="00BD3C48">
        <w:rPr>
          <w:szCs w:val="22"/>
        </w:rPr>
        <w:t>)</w:t>
      </w:r>
      <w:r w:rsidR="00E4488A">
        <w:rPr>
          <w:szCs w:val="22"/>
        </w:rPr>
        <w:t xml:space="preserve"> following</w:t>
      </w:r>
      <w:r w:rsidR="005B1F0E">
        <w:rPr>
          <w:szCs w:val="22"/>
        </w:rPr>
        <w:t xml:space="preserve"> childbirth</w:t>
      </w:r>
      <w:r w:rsidRPr="00BD3C48">
        <w:rPr>
          <w:szCs w:val="22"/>
        </w:rPr>
        <w:t>.</w:t>
      </w:r>
    </w:p>
    <w:p w14:paraId="460EB9E1" w14:textId="77777777" w:rsidR="00BF1C19" w:rsidRPr="00BD3C48" w:rsidRDefault="00BF1C19" w:rsidP="00135B8E">
      <w:pPr>
        <w:pStyle w:val="Abstract"/>
        <w:spacing w:before="0" w:after="0"/>
        <w:ind w:right="0"/>
        <w:jc w:val="both"/>
        <w:rPr>
          <w:szCs w:val="22"/>
        </w:rPr>
      </w:pPr>
      <w:r w:rsidRPr="00BD3C48">
        <w:rPr>
          <w:szCs w:val="22"/>
        </w:rPr>
        <w:t xml:space="preserve">  </w:t>
      </w:r>
    </w:p>
    <w:p w14:paraId="3DFDB651" w14:textId="50CB5146" w:rsidR="00BF1C19" w:rsidRDefault="00BF1C19" w:rsidP="00135B8E">
      <w:pPr>
        <w:pStyle w:val="Keywords"/>
        <w:spacing w:before="0" w:after="0"/>
        <w:ind w:right="0"/>
        <w:jc w:val="both"/>
        <w:rPr>
          <w:szCs w:val="22"/>
        </w:rPr>
      </w:pPr>
      <w:r w:rsidRPr="00BD3C48">
        <w:rPr>
          <w:b/>
          <w:szCs w:val="22"/>
        </w:rPr>
        <w:t>Background:</w:t>
      </w:r>
      <w:r w:rsidRPr="00BD3C48">
        <w:rPr>
          <w:szCs w:val="22"/>
        </w:rPr>
        <w:t xml:space="preserve">  </w:t>
      </w:r>
      <w:r>
        <w:rPr>
          <w:szCs w:val="22"/>
        </w:rPr>
        <w:t xml:space="preserve">Prevalence of PTSD after childbirth has been estimated to </w:t>
      </w:r>
      <w:r w:rsidR="00C621D8">
        <w:rPr>
          <w:szCs w:val="22"/>
        </w:rPr>
        <w:t xml:space="preserve">be </w:t>
      </w:r>
      <w:r w:rsidR="00D942B8">
        <w:rPr>
          <w:szCs w:val="22"/>
        </w:rPr>
        <w:t>around 3</w:t>
      </w:r>
      <w:r>
        <w:rPr>
          <w:szCs w:val="22"/>
        </w:rPr>
        <w:t>% for women meeting full diagnostic criteria</w:t>
      </w:r>
      <w:r w:rsidRPr="00F11AA7">
        <w:rPr>
          <w:szCs w:val="22"/>
        </w:rPr>
        <w:t xml:space="preserve"> and </w:t>
      </w:r>
      <w:r w:rsidR="00D64207">
        <w:rPr>
          <w:szCs w:val="22"/>
        </w:rPr>
        <w:t>up to 9%</w:t>
      </w:r>
      <w:r w:rsidR="001D70F8">
        <w:rPr>
          <w:szCs w:val="22"/>
        </w:rPr>
        <w:t xml:space="preserve"> for subthreshold symptoms</w:t>
      </w:r>
      <w:r>
        <w:rPr>
          <w:szCs w:val="22"/>
        </w:rPr>
        <w:t xml:space="preserve">.  </w:t>
      </w:r>
      <w:r w:rsidRPr="00BD3C48">
        <w:rPr>
          <w:szCs w:val="22"/>
        </w:rPr>
        <w:t>This can occur even in response to deliveries considered to be medically straightforward</w:t>
      </w:r>
      <w:r>
        <w:rPr>
          <w:szCs w:val="22"/>
        </w:rPr>
        <w:t>.  NICE guidelines (2018</w:t>
      </w:r>
      <w:r w:rsidRPr="00BD3C48">
        <w:rPr>
          <w:szCs w:val="22"/>
        </w:rPr>
        <w:t xml:space="preserve">) </w:t>
      </w:r>
      <w:r>
        <w:rPr>
          <w:szCs w:val="22"/>
        </w:rPr>
        <w:t>recommend psychological therapy as a first line treatment for symptoms of PTSD.</w:t>
      </w:r>
    </w:p>
    <w:p w14:paraId="49482980" w14:textId="77777777" w:rsidR="00BF1C19" w:rsidRDefault="00BF1C19" w:rsidP="00135B8E">
      <w:pPr>
        <w:pStyle w:val="Keywords"/>
        <w:spacing w:before="0" w:after="0"/>
        <w:ind w:right="0"/>
        <w:jc w:val="both"/>
        <w:rPr>
          <w:szCs w:val="22"/>
        </w:rPr>
      </w:pPr>
    </w:p>
    <w:p w14:paraId="706CF8CD" w14:textId="0BEE1ABF" w:rsidR="00BF1C19" w:rsidRDefault="00BF1C19" w:rsidP="00135B8E">
      <w:pPr>
        <w:pStyle w:val="Paragraph"/>
        <w:spacing w:before="0" w:line="360" w:lineRule="auto"/>
        <w:ind w:left="709"/>
        <w:jc w:val="both"/>
        <w:rPr>
          <w:sz w:val="22"/>
          <w:szCs w:val="22"/>
        </w:rPr>
      </w:pPr>
      <w:r w:rsidRPr="00BD3C48">
        <w:rPr>
          <w:b/>
          <w:sz w:val="22"/>
          <w:szCs w:val="22"/>
        </w:rPr>
        <w:t>Methods:</w:t>
      </w:r>
      <w:r w:rsidRPr="00BD3C48">
        <w:rPr>
          <w:sz w:val="22"/>
          <w:szCs w:val="22"/>
        </w:rPr>
        <w:t xml:space="preserve">   The sample included </w:t>
      </w:r>
      <w:r w:rsidR="00DA6643">
        <w:rPr>
          <w:sz w:val="22"/>
          <w:szCs w:val="22"/>
        </w:rPr>
        <w:t>114</w:t>
      </w:r>
      <w:r>
        <w:rPr>
          <w:sz w:val="22"/>
          <w:szCs w:val="22"/>
        </w:rPr>
        <w:t xml:space="preserve"> women </w:t>
      </w:r>
      <w:r w:rsidR="00FB386C">
        <w:rPr>
          <w:sz w:val="22"/>
          <w:szCs w:val="22"/>
        </w:rPr>
        <w:t>referred</w:t>
      </w:r>
      <w:r w:rsidR="00DA6643">
        <w:rPr>
          <w:sz w:val="22"/>
          <w:szCs w:val="22"/>
        </w:rPr>
        <w:t xml:space="preserve"> </w:t>
      </w:r>
      <w:r>
        <w:rPr>
          <w:sz w:val="22"/>
          <w:szCs w:val="22"/>
        </w:rPr>
        <w:t xml:space="preserve">post-natally for psychological assessment and intervention following a traumatic birth experience. </w:t>
      </w:r>
      <w:r w:rsidRPr="00BD3C48">
        <w:rPr>
          <w:sz w:val="22"/>
          <w:szCs w:val="22"/>
        </w:rPr>
        <w:t xml:space="preserve">Measures </w:t>
      </w:r>
      <w:r>
        <w:rPr>
          <w:sz w:val="22"/>
          <w:szCs w:val="22"/>
        </w:rPr>
        <w:t xml:space="preserve">were routinely administered as part of </w:t>
      </w:r>
      <w:r w:rsidR="005B1F0E">
        <w:rPr>
          <w:sz w:val="22"/>
          <w:szCs w:val="22"/>
        </w:rPr>
        <w:t xml:space="preserve">initial </w:t>
      </w:r>
      <w:r>
        <w:rPr>
          <w:sz w:val="22"/>
          <w:szCs w:val="22"/>
        </w:rPr>
        <w:t>assessment (</w:t>
      </w:r>
      <w:r w:rsidR="005B1F0E">
        <w:rPr>
          <w:sz w:val="22"/>
          <w:szCs w:val="22"/>
        </w:rPr>
        <w:t>T1</w:t>
      </w:r>
      <w:r>
        <w:rPr>
          <w:sz w:val="22"/>
          <w:szCs w:val="22"/>
        </w:rPr>
        <w:t>) and at completion of intervention (</w:t>
      </w:r>
      <w:r w:rsidR="005B1F0E">
        <w:rPr>
          <w:sz w:val="22"/>
          <w:szCs w:val="22"/>
        </w:rPr>
        <w:t>T2</w:t>
      </w:r>
      <w:r>
        <w:rPr>
          <w:sz w:val="22"/>
          <w:szCs w:val="22"/>
        </w:rPr>
        <w:t xml:space="preserve">). </w:t>
      </w:r>
      <w:r w:rsidRPr="00BD3C48">
        <w:rPr>
          <w:sz w:val="22"/>
          <w:szCs w:val="22"/>
        </w:rPr>
        <w:t xml:space="preserve">Data from these measures were collated and analysed using a series of paired sample </w:t>
      </w:r>
      <w:r w:rsidRPr="00BD3C48">
        <w:rPr>
          <w:i/>
          <w:sz w:val="22"/>
          <w:szCs w:val="22"/>
        </w:rPr>
        <w:t xml:space="preserve">t </w:t>
      </w:r>
      <w:r w:rsidRPr="00BD3C48">
        <w:rPr>
          <w:sz w:val="22"/>
          <w:szCs w:val="22"/>
        </w:rPr>
        <w:t xml:space="preserve">tests. </w:t>
      </w:r>
      <w:r w:rsidR="00003DC5">
        <w:rPr>
          <w:sz w:val="22"/>
          <w:szCs w:val="22"/>
        </w:rPr>
        <w:t>Following assessment 101</w:t>
      </w:r>
      <w:r w:rsidR="003D37C9">
        <w:rPr>
          <w:sz w:val="22"/>
          <w:szCs w:val="22"/>
        </w:rPr>
        <w:t xml:space="preserve"> women </w:t>
      </w:r>
      <w:r w:rsidR="00003DC5">
        <w:rPr>
          <w:sz w:val="22"/>
          <w:szCs w:val="22"/>
        </w:rPr>
        <w:t>were taken on for psychological</w:t>
      </w:r>
      <w:r w:rsidR="003D37C9">
        <w:rPr>
          <w:sz w:val="22"/>
          <w:szCs w:val="22"/>
        </w:rPr>
        <w:t xml:space="preserve"> intervention and </w:t>
      </w:r>
      <w:r w:rsidR="009C3BBF">
        <w:rPr>
          <w:sz w:val="22"/>
          <w:szCs w:val="22"/>
        </w:rPr>
        <w:t xml:space="preserve">of these, </w:t>
      </w:r>
      <w:r w:rsidR="009D5ECF">
        <w:rPr>
          <w:sz w:val="22"/>
          <w:szCs w:val="22"/>
        </w:rPr>
        <w:t>74</w:t>
      </w:r>
      <w:r w:rsidR="00C621D8">
        <w:rPr>
          <w:sz w:val="22"/>
          <w:szCs w:val="22"/>
        </w:rPr>
        <w:t xml:space="preserve"> completed both T1 and T2 measures.</w:t>
      </w:r>
    </w:p>
    <w:p w14:paraId="1F91C07E" w14:textId="77777777" w:rsidR="00BF1C19" w:rsidRPr="00BF1C19" w:rsidRDefault="00BF1C19" w:rsidP="00135B8E">
      <w:pPr>
        <w:spacing w:line="360" w:lineRule="auto"/>
      </w:pPr>
    </w:p>
    <w:p w14:paraId="35926A88" w14:textId="7BE68E8B" w:rsidR="00BF1C19" w:rsidRDefault="00BF1C19" w:rsidP="00135B8E">
      <w:pPr>
        <w:pStyle w:val="Paragraph"/>
        <w:spacing w:before="0" w:line="360" w:lineRule="auto"/>
        <w:ind w:left="709"/>
        <w:jc w:val="both"/>
        <w:rPr>
          <w:sz w:val="22"/>
          <w:szCs w:val="22"/>
        </w:rPr>
      </w:pPr>
      <w:r w:rsidRPr="00BD3C48">
        <w:rPr>
          <w:b/>
          <w:sz w:val="22"/>
          <w:szCs w:val="22"/>
        </w:rPr>
        <w:t xml:space="preserve">Results:   </w:t>
      </w:r>
      <w:r w:rsidR="00B702DC">
        <w:rPr>
          <w:sz w:val="22"/>
          <w:szCs w:val="22"/>
        </w:rPr>
        <w:t>There were highly significant</w:t>
      </w:r>
      <w:r>
        <w:rPr>
          <w:sz w:val="22"/>
          <w:szCs w:val="22"/>
        </w:rPr>
        <w:t xml:space="preserve"> reduction</w:t>
      </w:r>
      <w:r w:rsidR="00B702DC">
        <w:rPr>
          <w:sz w:val="22"/>
          <w:szCs w:val="22"/>
        </w:rPr>
        <w:t>s</w:t>
      </w:r>
      <w:r>
        <w:rPr>
          <w:sz w:val="22"/>
          <w:szCs w:val="22"/>
        </w:rPr>
        <w:t xml:space="preserve"> </w:t>
      </w:r>
      <w:r w:rsidRPr="00BD3C48">
        <w:rPr>
          <w:sz w:val="22"/>
          <w:szCs w:val="22"/>
        </w:rPr>
        <w:t xml:space="preserve">across all measures </w:t>
      </w:r>
      <w:r>
        <w:rPr>
          <w:sz w:val="22"/>
          <w:szCs w:val="22"/>
        </w:rPr>
        <w:t>of PTSD, anxiety and</w:t>
      </w:r>
      <w:r w:rsidR="005B1F0E">
        <w:rPr>
          <w:sz w:val="22"/>
          <w:szCs w:val="22"/>
        </w:rPr>
        <w:t xml:space="preserve"> negative</w:t>
      </w:r>
      <w:r>
        <w:rPr>
          <w:sz w:val="22"/>
          <w:szCs w:val="22"/>
        </w:rPr>
        <w:t xml:space="preserve"> mood symptoms.</w:t>
      </w:r>
      <w:r w:rsidR="00432DE6">
        <w:rPr>
          <w:sz w:val="22"/>
          <w:szCs w:val="22"/>
        </w:rPr>
        <w:t xml:space="preserve"> </w:t>
      </w:r>
      <w:r w:rsidR="00B702DC">
        <w:rPr>
          <w:sz w:val="22"/>
          <w:szCs w:val="22"/>
        </w:rPr>
        <w:t xml:space="preserve">The </w:t>
      </w:r>
      <w:r w:rsidR="00C9184E">
        <w:rPr>
          <w:sz w:val="22"/>
          <w:szCs w:val="22"/>
        </w:rPr>
        <w:t xml:space="preserve">treatment </w:t>
      </w:r>
      <w:r w:rsidR="00B702DC">
        <w:rPr>
          <w:sz w:val="22"/>
          <w:szCs w:val="22"/>
        </w:rPr>
        <w:t>effect sizes were very large.</w:t>
      </w:r>
      <w:r>
        <w:rPr>
          <w:sz w:val="22"/>
          <w:szCs w:val="22"/>
        </w:rPr>
        <w:t xml:space="preserve"> </w:t>
      </w:r>
      <w:r w:rsidRPr="00BD3C48">
        <w:rPr>
          <w:sz w:val="22"/>
          <w:szCs w:val="22"/>
        </w:rPr>
        <w:t xml:space="preserve">Mean total score on </w:t>
      </w:r>
      <w:r w:rsidR="006967CA">
        <w:rPr>
          <w:sz w:val="22"/>
          <w:szCs w:val="22"/>
        </w:rPr>
        <w:t>a measure of PTSD symptomatology</w:t>
      </w:r>
      <w:r w:rsidRPr="00BD3C48">
        <w:rPr>
          <w:sz w:val="22"/>
          <w:szCs w:val="22"/>
        </w:rPr>
        <w:t xml:space="preserve"> </w:t>
      </w:r>
      <w:r w:rsidR="005B1F0E">
        <w:rPr>
          <w:sz w:val="22"/>
          <w:szCs w:val="22"/>
        </w:rPr>
        <w:t>was no longer clinically significant following interventions.</w:t>
      </w:r>
      <w:r w:rsidR="00C9184E">
        <w:rPr>
          <w:sz w:val="22"/>
          <w:szCs w:val="22"/>
        </w:rPr>
        <w:t xml:space="preserve"> </w:t>
      </w:r>
    </w:p>
    <w:p w14:paraId="4D0DA531" w14:textId="77777777" w:rsidR="00BF1C19" w:rsidRPr="00BF1C19" w:rsidRDefault="00BF1C19" w:rsidP="00135B8E">
      <w:pPr>
        <w:spacing w:line="360" w:lineRule="auto"/>
      </w:pPr>
    </w:p>
    <w:p w14:paraId="1F873513" w14:textId="22938A2D" w:rsidR="00132567" w:rsidRPr="00E4488A" w:rsidRDefault="00BF1C19" w:rsidP="00E4488A">
      <w:pPr>
        <w:spacing w:line="360" w:lineRule="auto"/>
        <w:ind w:left="709"/>
        <w:rPr>
          <w:sz w:val="22"/>
          <w:szCs w:val="22"/>
        </w:rPr>
      </w:pPr>
      <w:r w:rsidRPr="00BD3C48">
        <w:rPr>
          <w:b/>
          <w:sz w:val="22"/>
          <w:szCs w:val="22"/>
        </w:rPr>
        <w:t xml:space="preserve">Conclusion:   </w:t>
      </w:r>
      <w:r w:rsidRPr="00BD3C48">
        <w:rPr>
          <w:sz w:val="22"/>
          <w:szCs w:val="22"/>
        </w:rPr>
        <w:t>This evalua</w:t>
      </w:r>
      <w:r w:rsidR="00013055">
        <w:rPr>
          <w:sz w:val="22"/>
          <w:szCs w:val="22"/>
        </w:rPr>
        <w:t xml:space="preserve">tion suggests </w:t>
      </w:r>
      <w:r w:rsidR="00B702DC">
        <w:rPr>
          <w:sz w:val="22"/>
          <w:szCs w:val="22"/>
        </w:rPr>
        <w:t xml:space="preserve">an </w:t>
      </w:r>
      <w:r w:rsidR="00992D43">
        <w:rPr>
          <w:sz w:val="22"/>
          <w:szCs w:val="22"/>
        </w:rPr>
        <w:t xml:space="preserve">integrated </w:t>
      </w:r>
      <w:r w:rsidR="00013055">
        <w:rPr>
          <w:sz w:val="22"/>
          <w:szCs w:val="22"/>
        </w:rPr>
        <w:t>Birth Trauma p</w:t>
      </w:r>
      <w:r w:rsidRPr="00BD3C48">
        <w:rPr>
          <w:sz w:val="22"/>
          <w:szCs w:val="22"/>
        </w:rPr>
        <w:t>sy</w:t>
      </w:r>
      <w:r w:rsidR="00013055">
        <w:rPr>
          <w:sz w:val="22"/>
          <w:szCs w:val="22"/>
        </w:rPr>
        <w:t>chology</w:t>
      </w:r>
      <w:r w:rsidRPr="00BD3C48">
        <w:rPr>
          <w:sz w:val="22"/>
          <w:szCs w:val="22"/>
        </w:rPr>
        <w:t xml:space="preserve"> </w:t>
      </w:r>
      <w:r w:rsidR="00013055">
        <w:rPr>
          <w:sz w:val="22"/>
          <w:szCs w:val="22"/>
        </w:rPr>
        <w:t>clinic</w:t>
      </w:r>
      <w:r w:rsidR="00432DE6">
        <w:rPr>
          <w:sz w:val="22"/>
          <w:szCs w:val="22"/>
        </w:rPr>
        <w:t xml:space="preserve"> using a small</w:t>
      </w:r>
      <w:r w:rsidR="00B702DC">
        <w:rPr>
          <w:sz w:val="22"/>
          <w:szCs w:val="22"/>
        </w:rPr>
        <w:t xml:space="preserve"> number of contact sessions</w:t>
      </w:r>
      <w:r w:rsidRPr="00BD3C48">
        <w:rPr>
          <w:sz w:val="22"/>
          <w:szCs w:val="22"/>
        </w:rPr>
        <w:t xml:space="preserve"> </w:t>
      </w:r>
      <w:r w:rsidR="00E4488A">
        <w:rPr>
          <w:sz w:val="22"/>
          <w:szCs w:val="22"/>
        </w:rPr>
        <w:t xml:space="preserve">is </w:t>
      </w:r>
      <w:r w:rsidR="00AB2DE2">
        <w:rPr>
          <w:sz w:val="22"/>
          <w:szCs w:val="22"/>
        </w:rPr>
        <w:t>a highly</w:t>
      </w:r>
      <w:r w:rsidR="00992D43">
        <w:rPr>
          <w:sz w:val="22"/>
          <w:szCs w:val="22"/>
        </w:rPr>
        <w:t xml:space="preserve"> </w:t>
      </w:r>
      <w:r w:rsidR="00C9184E">
        <w:rPr>
          <w:sz w:val="22"/>
          <w:szCs w:val="22"/>
        </w:rPr>
        <w:t xml:space="preserve">efficient and </w:t>
      </w:r>
      <w:r w:rsidR="005B1F0E">
        <w:rPr>
          <w:sz w:val="22"/>
          <w:szCs w:val="22"/>
        </w:rPr>
        <w:t>effective model of care</w:t>
      </w:r>
      <w:r w:rsidRPr="00BD3C48">
        <w:rPr>
          <w:sz w:val="22"/>
          <w:szCs w:val="22"/>
        </w:rPr>
        <w:t xml:space="preserve"> for women experiencing symptoms of PTSD</w:t>
      </w:r>
      <w:r w:rsidR="009639A4">
        <w:rPr>
          <w:sz w:val="22"/>
          <w:szCs w:val="22"/>
        </w:rPr>
        <w:t xml:space="preserve"> </w:t>
      </w:r>
      <w:r w:rsidR="00453231">
        <w:rPr>
          <w:sz w:val="22"/>
          <w:szCs w:val="22"/>
        </w:rPr>
        <w:t>following childbirth</w:t>
      </w:r>
      <w:r>
        <w:t>.</w:t>
      </w:r>
    </w:p>
    <w:p w14:paraId="210BDF70" w14:textId="77777777" w:rsidR="00BF1C19" w:rsidRDefault="00BF1C19" w:rsidP="00135B8E">
      <w:pPr>
        <w:spacing w:line="360" w:lineRule="auto"/>
        <w:ind w:left="709"/>
      </w:pPr>
    </w:p>
    <w:p w14:paraId="5F8794BE" w14:textId="77777777" w:rsidR="00BF1C19" w:rsidRPr="0020415E" w:rsidRDefault="00BF1C19" w:rsidP="00135B8E">
      <w:pPr>
        <w:pStyle w:val="Keywords"/>
        <w:ind w:right="0"/>
      </w:pPr>
      <w:r>
        <w:t>Keywords: PTSD; birth trauma; antenatal; postnatal; psychological; depression; anxiety</w:t>
      </w:r>
    </w:p>
    <w:p w14:paraId="1D14F6C2" w14:textId="77777777" w:rsidR="00135B8E" w:rsidRDefault="00135B8E" w:rsidP="00135B8E">
      <w:pPr>
        <w:pStyle w:val="Heading1"/>
        <w:ind w:right="95"/>
        <w:jc w:val="both"/>
      </w:pPr>
    </w:p>
    <w:p w14:paraId="6F621AAE" w14:textId="484B332A" w:rsidR="00BF1C19" w:rsidRDefault="00BF1C19" w:rsidP="00135B8E">
      <w:pPr>
        <w:pStyle w:val="Heading1"/>
        <w:ind w:right="95"/>
        <w:jc w:val="both"/>
      </w:pPr>
      <w:r>
        <w:t>Introduction</w:t>
      </w:r>
    </w:p>
    <w:p w14:paraId="0CA3C1E5" w14:textId="76512FBE" w:rsidR="00BF1C19" w:rsidRDefault="00BF1C19" w:rsidP="00C07C5D">
      <w:pPr>
        <w:spacing w:line="360" w:lineRule="auto"/>
        <w:ind w:right="-23"/>
        <w:jc w:val="both"/>
        <w:rPr>
          <w:rFonts w:cs="Arial"/>
        </w:rPr>
      </w:pPr>
      <w:r w:rsidRPr="001B19C1">
        <w:rPr>
          <w:rFonts w:cs="Arial"/>
        </w:rPr>
        <w:t>Post-Traumatic Stress Disorder (PTSD) is increasingly recognised as a possible consequence of childbirth</w:t>
      </w:r>
      <w:r>
        <w:rPr>
          <w:rFonts w:cs="Arial"/>
        </w:rPr>
        <w:t xml:space="preserve">, </w:t>
      </w:r>
      <w:r w:rsidRPr="001B19C1">
        <w:rPr>
          <w:rFonts w:cs="Arial"/>
        </w:rPr>
        <w:t>even in response to deliveries deemed to be medically straightforwa</w:t>
      </w:r>
      <w:r>
        <w:rPr>
          <w:rFonts w:cs="Arial"/>
        </w:rPr>
        <w:t>rd</w:t>
      </w:r>
      <w:r w:rsidR="00C07C5D">
        <w:rPr>
          <w:rFonts w:cs="Arial"/>
        </w:rPr>
        <w:t xml:space="preserve"> (Leeds &amp; Hargreaves, 2008).</w:t>
      </w:r>
      <w:r>
        <w:rPr>
          <w:rFonts w:cs="Arial"/>
        </w:rPr>
        <w:t xml:space="preserve"> </w:t>
      </w:r>
    </w:p>
    <w:p w14:paraId="6588D8D3" w14:textId="77777777" w:rsidR="00E4488A" w:rsidRDefault="00E4488A" w:rsidP="00C07C5D">
      <w:pPr>
        <w:spacing w:line="360" w:lineRule="auto"/>
        <w:ind w:right="-23"/>
        <w:jc w:val="both"/>
        <w:rPr>
          <w:rFonts w:cs="Arial"/>
        </w:rPr>
      </w:pPr>
    </w:p>
    <w:p w14:paraId="0480C978" w14:textId="286830F1" w:rsidR="00CB0047" w:rsidRDefault="00CB0047" w:rsidP="00C07C5D">
      <w:pPr>
        <w:autoSpaceDE w:val="0"/>
        <w:autoSpaceDN w:val="0"/>
        <w:adjustRightInd w:val="0"/>
        <w:spacing w:line="360" w:lineRule="auto"/>
        <w:jc w:val="both"/>
      </w:pPr>
      <w:r>
        <w:t xml:space="preserve">Fully diagnostic PTSD is shown in </w:t>
      </w:r>
      <w:r w:rsidRPr="007A185D">
        <w:t>3%</w:t>
      </w:r>
      <w:r w:rsidR="00030108">
        <w:t xml:space="preserve"> of </w:t>
      </w:r>
      <w:proofErr w:type="gramStart"/>
      <w:r w:rsidR="00030108">
        <w:t>women,</w:t>
      </w:r>
      <w:proofErr w:type="gramEnd"/>
      <w:r w:rsidR="00030108">
        <w:t xml:space="preserve"> </w:t>
      </w:r>
      <w:r w:rsidRPr="007A185D">
        <w:t>and</w:t>
      </w:r>
      <w:r w:rsidR="00030108">
        <w:t xml:space="preserve"> in</w:t>
      </w:r>
      <w:r w:rsidRPr="007A185D">
        <w:t xml:space="preserve"> 5-9% </w:t>
      </w:r>
      <w:r>
        <w:t xml:space="preserve">of women </w:t>
      </w:r>
      <w:r w:rsidR="00E4488A">
        <w:t xml:space="preserve">if </w:t>
      </w:r>
      <w:r w:rsidR="00E4488A" w:rsidRPr="007A185D">
        <w:t>sub</w:t>
      </w:r>
      <w:r w:rsidRPr="007A185D">
        <w:t>-diagnostic levels (partial PTSD) are included</w:t>
      </w:r>
      <w:r w:rsidR="00C07C5D">
        <w:t xml:space="preserve"> (</w:t>
      </w:r>
      <w:proofErr w:type="spellStart"/>
      <w:r w:rsidR="00C07C5D">
        <w:t>Yildiz</w:t>
      </w:r>
      <w:proofErr w:type="spellEnd"/>
      <w:r w:rsidR="00C07C5D">
        <w:t xml:space="preserve"> et al, 2017)</w:t>
      </w:r>
      <w:r w:rsidRPr="007A185D">
        <w:t xml:space="preserve">. </w:t>
      </w:r>
      <w:r w:rsidRPr="003E3DD9">
        <w:t xml:space="preserve">PTSD is acutely distressing for women, can affect </w:t>
      </w:r>
      <w:r w:rsidR="00D64207">
        <w:t xml:space="preserve">their </w:t>
      </w:r>
      <w:r w:rsidRPr="003E3DD9">
        <w:t>relationship with</w:t>
      </w:r>
      <w:r w:rsidR="00D64207">
        <w:t xml:space="preserve"> their</w:t>
      </w:r>
      <w:r w:rsidRPr="003E3DD9">
        <w:t xml:space="preserve"> partner</w:t>
      </w:r>
      <w:r w:rsidR="00D64207">
        <w:t>,</w:t>
      </w:r>
      <w:r w:rsidRPr="003E3DD9">
        <w:t xml:space="preserve"> and can</w:t>
      </w:r>
      <w:r w:rsidR="00D64207">
        <w:t xml:space="preserve"> also</w:t>
      </w:r>
      <w:r w:rsidRPr="003E3DD9">
        <w:t xml:space="preserve"> impact upon an infant’s cognitive, em</w:t>
      </w:r>
      <w:r w:rsidR="00C07C5D">
        <w:t>otional and social development (</w:t>
      </w:r>
      <w:proofErr w:type="spellStart"/>
      <w:r w:rsidR="00C07C5D">
        <w:t>Garthus-Neigel</w:t>
      </w:r>
      <w:proofErr w:type="spellEnd"/>
      <w:r w:rsidR="00C07C5D">
        <w:t xml:space="preserve"> et al, 2017; Cook et al, 2018). </w:t>
      </w:r>
      <w:r w:rsidRPr="003E3DD9">
        <w:t xml:space="preserve"> </w:t>
      </w:r>
    </w:p>
    <w:p w14:paraId="217C209A" w14:textId="77777777" w:rsidR="00850DE7" w:rsidRPr="007A185D" w:rsidRDefault="00850DE7" w:rsidP="00C07C5D">
      <w:pPr>
        <w:autoSpaceDE w:val="0"/>
        <w:autoSpaceDN w:val="0"/>
        <w:adjustRightInd w:val="0"/>
        <w:spacing w:line="360" w:lineRule="auto"/>
        <w:jc w:val="both"/>
      </w:pPr>
    </w:p>
    <w:p w14:paraId="01523022" w14:textId="36E2292F" w:rsidR="00C9659E" w:rsidRDefault="00BF1C19" w:rsidP="00C07C5D">
      <w:pPr>
        <w:spacing w:line="360" w:lineRule="auto"/>
        <w:ind w:right="95"/>
        <w:jc w:val="both"/>
        <w:rPr>
          <w:rFonts w:cs="Arial"/>
        </w:rPr>
      </w:pPr>
      <w:r w:rsidRPr="000F6D8C">
        <w:rPr>
          <w:rFonts w:cs="Arial"/>
        </w:rPr>
        <w:t xml:space="preserve">To support women who feel distressed following their </w:t>
      </w:r>
      <w:r>
        <w:rPr>
          <w:rFonts w:cs="Arial"/>
        </w:rPr>
        <w:t>experience of childbirth</w:t>
      </w:r>
      <w:r w:rsidRPr="000F6D8C">
        <w:rPr>
          <w:rFonts w:cs="Arial"/>
        </w:rPr>
        <w:t xml:space="preserve">, the ‘Birth Afterthoughts’ service was established within the Jessop Wing (JW) at Sheffield Teaching Hospitals NHS Foundation Trust (STH). This is a midwife-led clinic and </w:t>
      </w:r>
      <w:r>
        <w:rPr>
          <w:rFonts w:cs="Arial"/>
        </w:rPr>
        <w:t>provides</w:t>
      </w:r>
      <w:r w:rsidRPr="000F6D8C">
        <w:rPr>
          <w:rFonts w:cs="Arial"/>
        </w:rPr>
        <w:t xml:space="preserve"> women the opportunity to </w:t>
      </w:r>
      <w:r>
        <w:rPr>
          <w:rFonts w:cs="Arial"/>
        </w:rPr>
        <w:t>review</w:t>
      </w:r>
      <w:r w:rsidRPr="000F6D8C">
        <w:rPr>
          <w:rFonts w:cs="Arial"/>
        </w:rPr>
        <w:t xml:space="preserve"> their labour notes and discuss their experience</w:t>
      </w:r>
      <w:r>
        <w:rPr>
          <w:rFonts w:cs="Arial"/>
        </w:rPr>
        <w:t xml:space="preserve">s, clarify reasons </w:t>
      </w:r>
      <w:r w:rsidR="00D942B8">
        <w:rPr>
          <w:rFonts w:cs="Arial"/>
        </w:rPr>
        <w:t xml:space="preserve">for the clinical decisions made during the birth process, </w:t>
      </w:r>
      <w:r>
        <w:rPr>
          <w:rFonts w:cs="Arial"/>
        </w:rPr>
        <w:t>and ask any questions</w:t>
      </w:r>
      <w:r w:rsidRPr="000F6D8C">
        <w:rPr>
          <w:rFonts w:cs="Arial"/>
        </w:rPr>
        <w:t xml:space="preserve"> </w:t>
      </w:r>
      <w:r>
        <w:rPr>
          <w:rFonts w:cs="Arial"/>
        </w:rPr>
        <w:t xml:space="preserve">that are troubling them </w:t>
      </w:r>
      <w:r w:rsidRPr="000F6D8C">
        <w:rPr>
          <w:rFonts w:cs="Arial"/>
        </w:rPr>
        <w:t>with a highly</w:t>
      </w:r>
      <w:r>
        <w:rPr>
          <w:rFonts w:cs="Arial"/>
        </w:rPr>
        <w:t xml:space="preserve"> </w:t>
      </w:r>
      <w:r w:rsidRPr="000F6D8C">
        <w:rPr>
          <w:rFonts w:cs="Arial"/>
        </w:rPr>
        <w:t xml:space="preserve">skilled and experienced midwife. </w:t>
      </w:r>
      <w:r w:rsidR="00C9659E">
        <w:rPr>
          <w:rFonts w:cs="Arial"/>
        </w:rPr>
        <w:t xml:space="preserve">The midwives work closely with </w:t>
      </w:r>
      <w:r w:rsidR="00030108">
        <w:rPr>
          <w:rFonts w:cs="Arial"/>
        </w:rPr>
        <w:t>C</w:t>
      </w:r>
      <w:r w:rsidR="00C9659E">
        <w:rPr>
          <w:rFonts w:cs="Arial"/>
        </w:rPr>
        <w:t xml:space="preserve">linical </w:t>
      </w:r>
      <w:r w:rsidR="00030108">
        <w:rPr>
          <w:rFonts w:cs="Arial"/>
        </w:rPr>
        <w:t>P</w:t>
      </w:r>
      <w:r w:rsidR="00C9659E">
        <w:rPr>
          <w:rFonts w:cs="Arial"/>
        </w:rPr>
        <w:t xml:space="preserve">sychology, and through liaison are aware of indicators of PTSD. </w:t>
      </w:r>
      <w:r w:rsidR="00AB2DE2">
        <w:rPr>
          <w:rFonts w:cs="Arial"/>
        </w:rPr>
        <w:t>The</w:t>
      </w:r>
      <w:r w:rsidR="0004053E" w:rsidRPr="0004053E">
        <w:rPr>
          <w:rFonts w:cs="Arial"/>
        </w:rPr>
        <w:t xml:space="preserve"> </w:t>
      </w:r>
      <w:r w:rsidR="009C3501">
        <w:rPr>
          <w:rFonts w:cs="Arial"/>
        </w:rPr>
        <w:t>C</w:t>
      </w:r>
      <w:r w:rsidR="0004053E">
        <w:rPr>
          <w:rFonts w:cs="Arial"/>
        </w:rPr>
        <w:t xml:space="preserve">linical </w:t>
      </w:r>
      <w:r w:rsidR="009C3501">
        <w:rPr>
          <w:rFonts w:cs="Arial"/>
        </w:rPr>
        <w:t>P</w:t>
      </w:r>
      <w:r w:rsidR="0004053E">
        <w:rPr>
          <w:rFonts w:cs="Arial"/>
        </w:rPr>
        <w:t xml:space="preserve">sychologists </w:t>
      </w:r>
      <w:r w:rsidR="009C3501">
        <w:rPr>
          <w:rFonts w:cs="Arial"/>
        </w:rPr>
        <w:t xml:space="preserve">delivering the Psychological service </w:t>
      </w:r>
      <w:r w:rsidR="0004053E">
        <w:rPr>
          <w:rFonts w:cs="Arial"/>
        </w:rPr>
        <w:t>(PS and EW)</w:t>
      </w:r>
      <w:r w:rsidR="0004053E" w:rsidRPr="0004053E">
        <w:rPr>
          <w:rFonts w:cs="Arial"/>
        </w:rPr>
        <w:t xml:space="preserve"> </w:t>
      </w:r>
      <w:r w:rsidR="009C3501">
        <w:rPr>
          <w:rFonts w:cs="Arial"/>
        </w:rPr>
        <w:t xml:space="preserve">also </w:t>
      </w:r>
      <w:r w:rsidR="0004053E" w:rsidRPr="0004053E">
        <w:rPr>
          <w:rFonts w:cs="Arial"/>
        </w:rPr>
        <w:t>provided training</w:t>
      </w:r>
      <w:r w:rsidR="0004053E">
        <w:rPr>
          <w:rFonts w:cs="Arial"/>
        </w:rPr>
        <w:t>,</w:t>
      </w:r>
      <w:r w:rsidR="0004053E" w:rsidRPr="0004053E">
        <w:rPr>
          <w:rFonts w:cs="Arial"/>
        </w:rPr>
        <w:t xml:space="preserve"> </w:t>
      </w:r>
      <w:r w:rsidR="0004053E">
        <w:rPr>
          <w:rFonts w:cs="Arial"/>
        </w:rPr>
        <w:t>consultation and clinical supervision</w:t>
      </w:r>
      <w:r w:rsidR="0004053E" w:rsidRPr="0004053E">
        <w:rPr>
          <w:rFonts w:cs="Arial"/>
        </w:rPr>
        <w:t xml:space="preserve"> for the midwives</w:t>
      </w:r>
      <w:r w:rsidR="00E4488A" w:rsidRPr="0004053E">
        <w:rPr>
          <w:rFonts w:cs="Arial"/>
        </w:rPr>
        <w:t xml:space="preserve">. </w:t>
      </w:r>
      <w:r w:rsidR="00A63622">
        <w:rPr>
          <w:rFonts w:cs="Arial"/>
        </w:rPr>
        <w:t xml:space="preserve">These </w:t>
      </w:r>
      <w:r w:rsidR="0004053E">
        <w:rPr>
          <w:rFonts w:cs="Arial"/>
        </w:rPr>
        <w:t xml:space="preserve">birth review meetings </w:t>
      </w:r>
      <w:r w:rsidR="00A63622">
        <w:rPr>
          <w:rFonts w:cs="Arial"/>
        </w:rPr>
        <w:t xml:space="preserve">are </w:t>
      </w:r>
      <w:r w:rsidR="0004053E">
        <w:rPr>
          <w:rFonts w:cs="Arial"/>
        </w:rPr>
        <w:t>led by women</w:t>
      </w:r>
      <w:r w:rsidR="00A63622">
        <w:rPr>
          <w:rFonts w:cs="Arial"/>
        </w:rPr>
        <w:t xml:space="preserve"> and purely follow their individualised concerns. </w:t>
      </w:r>
      <w:r w:rsidR="00C9659E">
        <w:rPr>
          <w:rFonts w:cs="Arial"/>
        </w:rPr>
        <w:t xml:space="preserve">The Birth Trauma psychology clinic works alongside the Birth Afterthoughts service to provide specialist </w:t>
      </w:r>
      <w:r w:rsidR="00013055">
        <w:rPr>
          <w:rFonts w:cs="Arial"/>
        </w:rPr>
        <w:t>psychological assessment</w:t>
      </w:r>
      <w:r w:rsidR="00C9659E" w:rsidRPr="001B19C1">
        <w:rPr>
          <w:rFonts w:cs="Arial"/>
        </w:rPr>
        <w:t xml:space="preserve"> and intervention to women </w:t>
      </w:r>
      <w:r w:rsidR="009C3501">
        <w:rPr>
          <w:rFonts w:cs="Arial"/>
        </w:rPr>
        <w:t xml:space="preserve">experiencing symptoms of PTSD. </w:t>
      </w:r>
      <w:r w:rsidR="00C9659E">
        <w:rPr>
          <w:rFonts w:cs="Arial"/>
        </w:rPr>
        <w:t>A particular feature is that the service is embedded within the maternity service</w:t>
      </w:r>
      <w:r w:rsidR="009C3501">
        <w:rPr>
          <w:rFonts w:cs="Arial"/>
        </w:rPr>
        <w:t>,</w:t>
      </w:r>
      <w:r w:rsidR="00C9659E">
        <w:rPr>
          <w:rFonts w:cs="Arial"/>
        </w:rPr>
        <w:t xml:space="preserve"> with close liaison between psychology, midwifery and obstetric staff, with opportunities for discussion</w:t>
      </w:r>
      <w:r w:rsidR="00F11AA7">
        <w:rPr>
          <w:rFonts w:cs="Arial"/>
        </w:rPr>
        <w:t>, collaborative working</w:t>
      </w:r>
      <w:r w:rsidR="00C9659E">
        <w:rPr>
          <w:rFonts w:cs="Arial"/>
        </w:rPr>
        <w:t xml:space="preserve"> and rapid referral</w:t>
      </w:r>
      <w:r w:rsidR="00D942B8">
        <w:rPr>
          <w:rFonts w:cs="Arial"/>
        </w:rPr>
        <w:t>.</w:t>
      </w:r>
      <w:r w:rsidR="00D64207">
        <w:rPr>
          <w:rFonts w:cs="Arial"/>
        </w:rPr>
        <w:t xml:space="preserve"> </w:t>
      </w:r>
      <w:r w:rsidR="00C9659E">
        <w:rPr>
          <w:rFonts w:cs="Arial"/>
        </w:rPr>
        <w:t>Whilst depressive symptoms are often comorbid with PTSD</w:t>
      </w:r>
      <w:r w:rsidR="00C07C5D">
        <w:rPr>
          <w:rFonts w:cs="Arial"/>
          <w:vertAlign w:val="superscript"/>
        </w:rPr>
        <w:t xml:space="preserve"> </w:t>
      </w:r>
      <w:r w:rsidR="00C07C5D">
        <w:rPr>
          <w:rFonts w:cs="Arial"/>
        </w:rPr>
        <w:t>(</w:t>
      </w:r>
      <w:proofErr w:type="spellStart"/>
      <w:r w:rsidR="00C07C5D">
        <w:rPr>
          <w:rFonts w:cs="Arial"/>
        </w:rPr>
        <w:t>Yildiz</w:t>
      </w:r>
      <w:proofErr w:type="spellEnd"/>
      <w:r w:rsidR="00C07C5D">
        <w:rPr>
          <w:rFonts w:cs="Arial"/>
        </w:rPr>
        <w:t xml:space="preserve"> et al, 2017)</w:t>
      </w:r>
      <w:r w:rsidR="00C9659E">
        <w:rPr>
          <w:rFonts w:cs="Arial"/>
        </w:rPr>
        <w:t xml:space="preserve"> and indeed a common </w:t>
      </w:r>
      <w:r w:rsidR="00B62613">
        <w:rPr>
          <w:rFonts w:cs="Arial"/>
        </w:rPr>
        <w:t xml:space="preserve">consequence of </w:t>
      </w:r>
      <w:r w:rsidR="00C9659E">
        <w:rPr>
          <w:rFonts w:cs="Arial"/>
        </w:rPr>
        <w:t>trauma symptoms, the clinic does not provide input for general mental h</w:t>
      </w:r>
      <w:r w:rsidR="00013055">
        <w:rPr>
          <w:rFonts w:cs="Arial"/>
        </w:rPr>
        <w:t xml:space="preserve">ealth difficulties relating to </w:t>
      </w:r>
      <w:r w:rsidR="00C9659E">
        <w:rPr>
          <w:rFonts w:cs="Arial"/>
        </w:rPr>
        <w:t>transitions to parenthood</w:t>
      </w:r>
      <w:r w:rsidR="00907C73">
        <w:rPr>
          <w:rFonts w:cs="Arial"/>
        </w:rPr>
        <w:t xml:space="preserve"> or</w:t>
      </w:r>
      <w:r w:rsidR="00C9659E">
        <w:rPr>
          <w:rFonts w:cs="Arial"/>
        </w:rPr>
        <w:t xml:space="preserve"> postnatal</w:t>
      </w:r>
      <w:r w:rsidR="00D029FD">
        <w:rPr>
          <w:rFonts w:cs="Arial"/>
        </w:rPr>
        <w:t xml:space="preserve"> depression. There is </w:t>
      </w:r>
      <w:r w:rsidR="00C9659E">
        <w:rPr>
          <w:rFonts w:cs="Arial"/>
        </w:rPr>
        <w:t xml:space="preserve">good liaison with </w:t>
      </w:r>
      <w:r w:rsidR="00D029FD">
        <w:rPr>
          <w:rFonts w:cs="Arial"/>
        </w:rPr>
        <w:t xml:space="preserve">local mental health services, including </w:t>
      </w:r>
      <w:r w:rsidR="00C9659E">
        <w:rPr>
          <w:rFonts w:cs="Arial"/>
        </w:rPr>
        <w:t>the perinatal mental health service</w:t>
      </w:r>
      <w:r w:rsidR="00D029FD">
        <w:rPr>
          <w:rFonts w:cs="Arial"/>
        </w:rPr>
        <w:t xml:space="preserve"> and relevant third-sector services,</w:t>
      </w:r>
      <w:r w:rsidR="00C9659E">
        <w:rPr>
          <w:rFonts w:cs="Arial"/>
        </w:rPr>
        <w:t xml:space="preserve"> and the</w:t>
      </w:r>
      <w:r w:rsidR="00D029FD">
        <w:rPr>
          <w:rFonts w:cs="Arial"/>
        </w:rPr>
        <w:t>re is</w:t>
      </w:r>
      <w:r w:rsidR="00C9659E">
        <w:rPr>
          <w:rFonts w:cs="Arial"/>
        </w:rPr>
        <w:t xml:space="preserve"> pot</w:t>
      </w:r>
      <w:r w:rsidR="009C3501">
        <w:rPr>
          <w:rFonts w:cs="Arial"/>
        </w:rPr>
        <w:t>ential for discussion and cross-</w:t>
      </w:r>
      <w:r w:rsidR="00C9659E">
        <w:rPr>
          <w:rFonts w:cs="Arial"/>
        </w:rPr>
        <w:t>referral if required.</w:t>
      </w:r>
    </w:p>
    <w:p w14:paraId="490D35D5" w14:textId="77777777" w:rsidR="00B62613" w:rsidRDefault="00B62613" w:rsidP="00C07C5D">
      <w:pPr>
        <w:spacing w:line="360" w:lineRule="auto"/>
        <w:ind w:right="95"/>
        <w:jc w:val="both"/>
        <w:rPr>
          <w:rFonts w:cs="Arial"/>
        </w:rPr>
      </w:pPr>
    </w:p>
    <w:p w14:paraId="315176B9" w14:textId="22F9BDFA" w:rsidR="00907C73" w:rsidRPr="007A185D" w:rsidRDefault="00B62613" w:rsidP="00C07C5D">
      <w:pPr>
        <w:autoSpaceDE w:val="0"/>
        <w:autoSpaceDN w:val="0"/>
        <w:adjustRightInd w:val="0"/>
        <w:spacing w:line="360" w:lineRule="auto"/>
        <w:jc w:val="both"/>
      </w:pPr>
      <w:r w:rsidRPr="001B19C1">
        <w:rPr>
          <w:rFonts w:cs="Arial"/>
        </w:rPr>
        <w:lastRenderedPageBreak/>
        <w:t xml:space="preserve">Psychological therapy for PTSD </w:t>
      </w:r>
      <w:r>
        <w:rPr>
          <w:rFonts w:cs="Arial"/>
        </w:rPr>
        <w:t xml:space="preserve">is </w:t>
      </w:r>
      <w:r w:rsidRPr="001B19C1">
        <w:rPr>
          <w:rFonts w:cs="Arial"/>
        </w:rPr>
        <w:t xml:space="preserve">recommended </w:t>
      </w:r>
      <w:r>
        <w:rPr>
          <w:rFonts w:cs="Arial"/>
        </w:rPr>
        <w:t>as a first line treatment by NICE</w:t>
      </w:r>
      <w:r w:rsidR="00C07C5D">
        <w:rPr>
          <w:rFonts w:cs="Arial"/>
        </w:rPr>
        <w:t xml:space="preserve"> (2018)</w:t>
      </w:r>
      <w:r>
        <w:rPr>
          <w:rFonts w:cs="Arial"/>
        </w:rPr>
        <w:t xml:space="preserve"> </w:t>
      </w:r>
      <w:r w:rsidR="002D7786">
        <w:rPr>
          <w:rFonts w:cs="Arial"/>
        </w:rPr>
        <w:t>but</w:t>
      </w:r>
      <w:r>
        <w:rPr>
          <w:rFonts w:cs="Arial"/>
        </w:rPr>
        <w:t xml:space="preserve"> the evidence </w:t>
      </w:r>
      <w:r w:rsidR="002D7786">
        <w:rPr>
          <w:rFonts w:cs="Arial"/>
        </w:rPr>
        <w:t xml:space="preserve">base </w:t>
      </w:r>
      <w:r>
        <w:rPr>
          <w:rFonts w:cs="Arial"/>
        </w:rPr>
        <w:t>from which these guidelines are drawn do</w:t>
      </w:r>
      <w:r w:rsidR="002D7786">
        <w:rPr>
          <w:rFonts w:cs="Arial"/>
        </w:rPr>
        <w:t>es</w:t>
      </w:r>
      <w:r>
        <w:rPr>
          <w:rFonts w:cs="Arial"/>
        </w:rPr>
        <w:t xml:space="preserve"> not relate to perinatal samples</w:t>
      </w:r>
      <w:r w:rsidR="002D7786">
        <w:rPr>
          <w:rFonts w:cs="Arial"/>
        </w:rPr>
        <w:t xml:space="preserve">, and there </w:t>
      </w:r>
      <w:r>
        <w:rPr>
          <w:rFonts w:cs="Arial"/>
        </w:rPr>
        <w:t>are potentially major differences of context</w:t>
      </w:r>
      <w:r w:rsidR="002D7786">
        <w:rPr>
          <w:rFonts w:cs="Arial"/>
        </w:rPr>
        <w:t xml:space="preserve"> including the gender basis of the samples from which these recommendations are derived. </w:t>
      </w:r>
      <w:r w:rsidR="00B72C64">
        <w:t xml:space="preserve">Slade </w:t>
      </w:r>
      <w:r w:rsidR="00132567">
        <w:t>et</w:t>
      </w:r>
      <w:r w:rsidR="005479EF">
        <w:t xml:space="preserve"> al </w:t>
      </w:r>
      <w:r w:rsidR="00C07C5D">
        <w:t xml:space="preserve">(2021) </w:t>
      </w:r>
      <w:r w:rsidR="005479EF">
        <w:t xml:space="preserve">recently reviewed the evidence </w:t>
      </w:r>
      <w:r w:rsidR="00E4488A">
        <w:t>for psychological</w:t>
      </w:r>
      <w:r w:rsidR="005479EF">
        <w:t xml:space="preserve"> interventions </w:t>
      </w:r>
      <w:r w:rsidR="002D7786">
        <w:t xml:space="preserve">for PTSD following childbirth, </w:t>
      </w:r>
      <w:r w:rsidR="005479EF">
        <w:t>and drew attention to the limited number of studies</w:t>
      </w:r>
      <w:r w:rsidR="00317A03">
        <w:t>.</w:t>
      </w:r>
    </w:p>
    <w:p w14:paraId="53C7C2BB" w14:textId="7E6CC8CE" w:rsidR="00B62613" w:rsidRDefault="00B62613" w:rsidP="00C07C5D">
      <w:pPr>
        <w:pStyle w:val="Newparagraph"/>
        <w:spacing w:line="360" w:lineRule="auto"/>
        <w:ind w:right="95" w:firstLine="0"/>
        <w:jc w:val="both"/>
        <w:rPr>
          <w:rFonts w:cs="Arial"/>
        </w:rPr>
      </w:pPr>
      <w:r>
        <w:rPr>
          <w:rFonts w:cs="Arial"/>
        </w:rPr>
        <w:t xml:space="preserve"> </w:t>
      </w:r>
    </w:p>
    <w:p w14:paraId="4EF1D809" w14:textId="61F9E79A" w:rsidR="0004053E" w:rsidRDefault="00B62613" w:rsidP="00C07C5D">
      <w:pPr>
        <w:pStyle w:val="Newparagraph"/>
        <w:spacing w:line="360" w:lineRule="auto"/>
        <w:ind w:right="95" w:firstLine="0"/>
        <w:jc w:val="both"/>
        <w:rPr>
          <w:rFonts w:cs="Arial"/>
        </w:rPr>
      </w:pPr>
      <w:r>
        <w:rPr>
          <w:rFonts w:cs="Arial"/>
        </w:rPr>
        <w:t xml:space="preserve">The Birth Trauma psychology clinic </w:t>
      </w:r>
      <w:r w:rsidR="002D7786">
        <w:rPr>
          <w:rFonts w:cs="Arial"/>
        </w:rPr>
        <w:t>offers i</w:t>
      </w:r>
      <w:r>
        <w:rPr>
          <w:rFonts w:cs="Arial"/>
        </w:rPr>
        <w:t xml:space="preserve">nterventions consistent with NICE </w:t>
      </w:r>
      <w:r w:rsidR="009C3501">
        <w:rPr>
          <w:rFonts w:cs="Arial"/>
        </w:rPr>
        <w:t>guidelines</w:t>
      </w:r>
      <w:r w:rsidR="00C07C5D">
        <w:rPr>
          <w:rFonts w:cs="Arial"/>
          <w:vertAlign w:val="superscript"/>
        </w:rPr>
        <w:t xml:space="preserve"> </w:t>
      </w:r>
      <w:r w:rsidR="00C07C5D">
        <w:rPr>
          <w:rFonts w:cs="Arial"/>
        </w:rPr>
        <w:t>(2018)</w:t>
      </w:r>
      <w:r w:rsidR="009C3501">
        <w:rPr>
          <w:rFonts w:cs="Arial"/>
        </w:rPr>
        <w:t xml:space="preserve"> and </w:t>
      </w:r>
      <w:r>
        <w:rPr>
          <w:rFonts w:cs="Arial"/>
        </w:rPr>
        <w:t xml:space="preserve">matched to </w:t>
      </w:r>
      <w:r w:rsidR="00E4488A">
        <w:rPr>
          <w:rFonts w:cs="Arial"/>
        </w:rPr>
        <w:t>women’s</w:t>
      </w:r>
      <w:r>
        <w:rPr>
          <w:rFonts w:cs="Arial"/>
        </w:rPr>
        <w:t xml:space="preserve"> needs and preferences.  </w:t>
      </w:r>
      <w:r w:rsidR="002D7786">
        <w:rPr>
          <w:rFonts w:cs="Arial"/>
        </w:rPr>
        <w:t xml:space="preserve">Interventions </w:t>
      </w:r>
      <w:r>
        <w:rPr>
          <w:rFonts w:cs="Arial"/>
        </w:rPr>
        <w:t xml:space="preserve">include trauma-focused Cognitive Behaviour Therapy (CBT) and Eye Movement Desensitisation and Reprocessing (EMDR). Within the scope of CBT, ‘third-wave’ cognitive therapies including Compassion-Focused Therapy (CFT) </w:t>
      </w:r>
      <w:r w:rsidR="002D7786">
        <w:rPr>
          <w:rFonts w:cs="Arial"/>
        </w:rPr>
        <w:t>are</w:t>
      </w:r>
      <w:r w:rsidR="00184D30">
        <w:rPr>
          <w:rFonts w:cs="Arial"/>
        </w:rPr>
        <w:t xml:space="preserve"> incorporated</w:t>
      </w:r>
      <w:r>
        <w:rPr>
          <w:rFonts w:cs="Arial"/>
        </w:rPr>
        <w:t xml:space="preserve">, as these have a growing evidence base within the field of </w:t>
      </w:r>
      <w:r w:rsidR="009C352B">
        <w:rPr>
          <w:rFonts w:cs="Arial"/>
        </w:rPr>
        <w:t>PTSD</w:t>
      </w:r>
      <w:r w:rsidR="00C07C5D">
        <w:rPr>
          <w:rFonts w:cs="Arial"/>
          <w:vertAlign w:val="superscript"/>
        </w:rPr>
        <w:t xml:space="preserve"> </w:t>
      </w:r>
      <w:r w:rsidR="00C07C5D" w:rsidRPr="00C07C5D">
        <w:rPr>
          <w:rFonts w:cs="Arial"/>
        </w:rPr>
        <w:t>(Lee, 2012)</w:t>
      </w:r>
      <w:r w:rsidR="00C07C5D">
        <w:rPr>
          <w:rFonts w:cs="Arial"/>
          <w:vertAlign w:val="superscript"/>
        </w:rPr>
        <w:t xml:space="preserve">, </w:t>
      </w:r>
      <w:r w:rsidR="009C352B">
        <w:rPr>
          <w:rFonts w:cs="Arial"/>
        </w:rPr>
        <w:t xml:space="preserve">and </w:t>
      </w:r>
      <w:r w:rsidR="002D7786">
        <w:rPr>
          <w:rFonts w:cs="Arial"/>
        </w:rPr>
        <w:t>with women post-natally</w:t>
      </w:r>
      <w:r w:rsidR="00C07C5D">
        <w:rPr>
          <w:rFonts w:cs="Arial"/>
        </w:rPr>
        <w:t xml:space="preserve"> (Cree, 2015)</w:t>
      </w:r>
      <w:r>
        <w:rPr>
          <w:rFonts w:cs="Arial"/>
        </w:rPr>
        <w:t>.</w:t>
      </w:r>
      <w:r w:rsidR="00C07C5D">
        <w:rPr>
          <w:rFonts w:cs="Arial"/>
        </w:rPr>
        <w:t xml:space="preserve"> </w:t>
      </w:r>
      <w:r>
        <w:rPr>
          <w:rFonts w:cs="Arial"/>
        </w:rPr>
        <w:t xml:space="preserve">All of the above approaches are predicated upon the establishment of a warm, non-judgmental relationship, </w:t>
      </w:r>
      <w:r w:rsidR="009C3501">
        <w:rPr>
          <w:rFonts w:cs="Arial"/>
        </w:rPr>
        <w:t>validation</w:t>
      </w:r>
      <w:r w:rsidR="00184D30">
        <w:rPr>
          <w:rFonts w:cs="Arial"/>
        </w:rPr>
        <w:t xml:space="preserve"> of distress </w:t>
      </w:r>
      <w:r>
        <w:rPr>
          <w:rFonts w:cs="Arial"/>
        </w:rPr>
        <w:t xml:space="preserve">and </w:t>
      </w:r>
      <w:r w:rsidR="009C3501">
        <w:rPr>
          <w:rFonts w:cs="Arial"/>
        </w:rPr>
        <w:t>the development of</w:t>
      </w:r>
      <w:r w:rsidR="00184D30">
        <w:rPr>
          <w:rFonts w:cs="Arial"/>
        </w:rPr>
        <w:t xml:space="preserve"> a collaborative</w:t>
      </w:r>
      <w:r w:rsidR="009C3501">
        <w:rPr>
          <w:rFonts w:cs="Arial"/>
        </w:rPr>
        <w:t>,</w:t>
      </w:r>
      <w:r w:rsidR="00184D30">
        <w:rPr>
          <w:rFonts w:cs="Arial"/>
        </w:rPr>
        <w:t xml:space="preserve"> non-blaming </w:t>
      </w:r>
      <w:r>
        <w:rPr>
          <w:rFonts w:cs="Arial"/>
        </w:rPr>
        <w:t>understanding</w:t>
      </w:r>
      <w:r w:rsidR="00030108">
        <w:rPr>
          <w:rFonts w:cs="Arial"/>
        </w:rPr>
        <w:t xml:space="preserve"> or ‘formulation’</w:t>
      </w:r>
      <w:r>
        <w:rPr>
          <w:rFonts w:cs="Arial"/>
        </w:rPr>
        <w:t xml:space="preserve"> </w:t>
      </w:r>
      <w:r w:rsidR="00184D30">
        <w:rPr>
          <w:rFonts w:cs="Arial"/>
        </w:rPr>
        <w:t xml:space="preserve">of </w:t>
      </w:r>
      <w:r>
        <w:rPr>
          <w:rFonts w:cs="Arial"/>
        </w:rPr>
        <w:t>why such experiences may have developed for this particular woman</w:t>
      </w:r>
      <w:r w:rsidR="002D7786">
        <w:rPr>
          <w:rFonts w:cs="Arial"/>
        </w:rPr>
        <w:t>,</w:t>
      </w:r>
      <w:r w:rsidR="00934A8F">
        <w:rPr>
          <w:rFonts w:cs="Arial"/>
        </w:rPr>
        <w:t xml:space="preserve"> </w:t>
      </w:r>
      <w:r>
        <w:rPr>
          <w:rFonts w:cs="Arial"/>
        </w:rPr>
        <w:t xml:space="preserve">in relation to these particular events. </w:t>
      </w:r>
      <w:r w:rsidR="00BF3F31">
        <w:rPr>
          <w:rFonts w:cs="Arial"/>
        </w:rPr>
        <w:t xml:space="preserve">The process of formulation is </w:t>
      </w:r>
      <w:r>
        <w:rPr>
          <w:rFonts w:cs="Arial"/>
        </w:rPr>
        <w:t xml:space="preserve"> based on </w:t>
      </w:r>
      <w:r w:rsidR="00F96B49">
        <w:rPr>
          <w:rFonts w:cs="Arial"/>
        </w:rPr>
        <w:t xml:space="preserve">understanding information relating to </w:t>
      </w:r>
      <w:r>
        <w:rPr>
          <w:rFonts w:cs="Arial"/>
        </w:rPr>
        <w:t>three phases</w:t>
      </w:r>
      <w:r w:rsidR="00C07C5D">
        <w:rPr>
          <w:rFonts w:cs="Arial"/>
        </w:rPr>
        <w:t>,</w:t>
      </w:r>
      <w:r>
        <w:rPr>
          <w:rFonts w:cs="Arial"/>
        </w:rPr>
        <w:t xml:space="preserve"> </w:t>
      </w:r>
      <w:r w:rsidR="00317A03">
        <w:rPr>
          <w:rFonts w:cs="Arial"/>
        </w:rPr>
        <w:t>considering</w:t>
      </w:r>
      <w:r>
        <w:rPr>
          <w:rFonts w:cs="Arial"/>
        </w:rPr>
        <w:t xml:space="preserve"> predisposing factors (</w:t>
      </w:r>
      <w:r w:rsidR="00F96B49">
        <w:rPr>
          <w:rFonts w:cs="Arial"/>
        </w:rPr>
        <w:t xml:space="preserve">what a woman brings to the birth event through her </w:t>
      </w:r>
      <w:r>
        <w:rPr>
          <w:rFonts w:cs="Arial"/>
        </w:rPr>
        <w:t>pre-pregnancy and pregnancy</w:t>
      </w:r>
      <w:r w:rsidR="009C3501">
        <w:rPr>
          <w:rFonts w:cs="Arial"/>
        </w:rPr>
        <w:t xml:space="preserve"> experiences</w:t>
      </w:r>
      <w:r>
        <w:rPr>
          <w:rFonts w:cs="Arial"/>
        </w:rPr>
        <w:t>), precipitating factors (</w:t>
      </w:r>
      <w:r w:rsidR="00F96B49">
        <w:rPr>
          <w:rFonts w:cs="Arial"/>
        </w:rPr>
        <w:t>what actually happened around the birth i.e</w:t>
      </w:r>
      <w:r w:rsidR="009C3501">
        <w:rPr>
          <w:rFonts w:cs="Arial"/>
        </w:rPr>
        <w:t>.</w:t>
      </w:r>
      <w:r w:rsidR="00F96B49">
        <w:rPr>
          <w:rFonts w:cs="Arial"/>
        </w:rPr>
        <w:t xml:space="preserve"> </w:t>
      </w:r>
      <w:r>
        <w:rPr>
          <w:rFonts w:cs="Arial"/>
        </w:rPr>
        <w:t>perinatal events), and maintaining factors (</w:t>
      </w:r>
      <w:r w:rsidR="009C3501">
        <w:rPr>
          <w:rFonts w:cs="Arial"/>
        </w:rPr>
        <w:t xml:space="preserve">how a woman manages her early reactions to </w:t>
      </w:r>
      <w:r w:rsidR="00F96B49">
        <w:rPr>
          <w:rFonts w:cs="Arial"/>
        </w:rPr>
        <w:t xml:space="preserve">the birth </w:t>
      </w:r>
      <w:proofErr w:type="spellStart"/>
      <w:r>
        <w:rPr>
          <w:rFonts w:cs="Arial"/>
        </w:rPr>
        <w:t>postnatal</w:t>
      </w:r>
      <w:r w:rsidR="00F96B49">
        <w:rPr>
          <w:rFonts w:cs="Arial"/>
        </w:rPr>
        <w:t>ly</w:t>
      </w:r>
      <w:proofErr w:type="spellEnd"/>
      <w:r>
        <w:rPr>
          <w:rFonts w:cs="Arial"/>
        </w:rPr>
        <w:t>) is utilised</w:t>
      </w:r>
      <w:r w:rsidR="00C07C5D">
        <w:rPr>
          <w:rFonts w:cs="Arial"/>
        </w:rPr>
        <w:t xml:space="preserve"> (Slade, 2006)</w:t>
      </w:r>
      <w:r>
        <w:rPr>
          <w:rFonts w:cs="Arial"/>
        </w:rPr>
        <w:t xml:space="preserve">. This formulation is usually developed </w:t>
      </w:r>
      <w:r w:rsidR="002D7786">
        <w:rPr>
          <w:rFonts w:cs="Arial"/>
        </w:rPr>
        <w:t>both verbally and as a visual diagram</w:t>
      </w:r>
      <w:r>
        <w:rPr>
          <w:rFonts w:cs="Arial"/>
        </w:rPr>
        <w:t>, and is co-</w:t>
      </w:r>
      <w:r w:rsidR="00992D43">
        <w:rPr>
          <w:rFonts w:cs="Arial"/>
        </w:rPr>
        <w:t xml:space="preserve">constructed </w:t>
      </w:r>
      <w:r>
        <w:rPr>
          <w:rFonts w:cs="Arial"/>
        </w:rPr>
        <w:t>with each woman to provide a clear understanding of why such symptoms may have arisen</w:t>
      </w:r>
      <w:r w:rsidR="00184D30">
        <w:rPr>
          <w:rFonts w:cs="Arial"/>
        </w:rPr>
        <w:t>.</w:t>
      </w:r>
      <w:r w:rsidR="007A36CF">
        <w:rPr>
          <w:rFonts w:cs="Arial"/>
        </w:rPr>
        <w:t xml:space="preserve"> </w:t>
      </w:r>
      <w:r w:rsidR="00184D30">
        <w:rPr>
          <w:rFonts w:cs="Arial"/>
        </w:rPr>
        <w:t>Psycho</w:t>
      </w:r>
      <w:r w:rsidR="007A36CF">
        <w:rPr>
          <w:rFonts w:cs="Arial"/>
        </w:rPr>
        <w:t xml:space="preserve">-education about </w:t>
      </w:r>
      <w:r w:rsidR="00184D30">
        <w:rPr>
          <w:rFonts w:cs="Arial"/>
        </w:rPr>
        <w:t xml:space="preserve">how and why PTSD can develop and </w:t>
      </w:r>
      <w:r w:rsidR="007A36CF">
        <w:rPr>
          <w:rFonts w:cs="Arial"/>
        </w:rPr>
        <w:t>how trauma</w:t>
      </w:r>
      <w:r w:rsidR="00184D30">
        <w:rPr>
          <w:rFonts w:cs="Arial"/>
        </w:rPr>
        <w:t xml:space="preserve"> </w:t>
      </w:r>
      <w:r w:rsidR="00E4488A">
        <w:rPr>
          <w:rFonts w:cs="Arial"/>
        </w:rPr>
        <w:t>memories are</w:t>
      </w:r>
      <w:r w:rsidR="00184D30">
        <w:rPr>
          <w:rFonts w:cs="Arial"/>
        </w:rPr>
        <w:t xml:space="preserve"> </w:t>
      </w:r>
      <w:r w:rsidR="007A36CF">
        <w:rPr>
          <w:rFonts w:cs="Arial"/>
        </w:rPr>
        <w:t>processed in the brain</w:t>
      </w:r>
      <w:r w:rsidR="00184D30">
        <w:rPr>
          <w:rFonts w:cs="Arial"/>
        </w:rPr>
        <w:t xml:space="preserve"> is </w:t>
      </w:r>
      <w:r w:rsidR="009C3501">
        <w:rPr>
          <w:rFonts w:cs="Arial"/>
        </w:rPr>
        <w:t xml:space="preserve">also </w:t>
      </w:r>
      <w:r w:rsidR="00184D30">
        <w:rPr>
          <w:rFonts w:cs="Arial"/>
        </w:rPr>
        <w:t>incorporated</w:t>
      </w:r>
      <w:r w:rsidR="00C07C5D">
        <w:rPr>
          <w:rFonts w:cs="Arial"/>
        </w:rPr>
        <w:t xml:space="preserve"> (Slade et al, 2020).</w:t>
      </w:r>
    </w:p>
    <w:p w14:paraId="0D4B0EC8" w14:textId="77777777" w:rsidR="007A36CF" w:rsidRDefault="007A36CF" w:rsidP="00C07C5D">
      <w:pPr>
        <w:pStyle w:val="Newparagraph"/>
        <w:spacing w:line="360" w:lineRule="auto"/>
        <w:ind w:right="95" w:firstLine="0"/>
        <w:jc w:val="both"/>
        <w:rPr>
          <w:rFonts w:cs="Arial"/>
        </w:rPr>
      </w:pPr>
    </w:p>
    <w:p w14:paraId="28C1E826" w14:textId="5A4563E3" w:rsidR="002C768B" w:rsidRDefault="007A36CF" w:rsidP="00C07C5D">
      <w:pPr>
        <w:autoSpaceDE w:val="0"/>
        <w:autoSpaceDN w:val="0"/>
        <w:adjustRightInd w:val="0"/>
        <w:spacing w:line="360" w:lineRule="auto"/>
        <w:jc w:val="both"/>
        <w:rPr>
          <w:rFonts w:cs="Arial"/>
        </w:rPr>
      </w:pPr>
      <w:r>
        <w:rPr>
          <w:rFonts w:cs="Arial"/>
        </w:rPr>
        <w:t xml:space="preserve">Women are typically offered two assessment sessions </w:t>
      </w:r>
      <w:r w:rsidR="008A0750">
        <w:rPr>
          <w:rFonts w:cs="Arial"/>
        </w:rPr>
        <w:t>and</w:t>
      </w:r>
      <w:r w:rsidR="007A3B77">
        <w:rPr>
          <w:rFonts w:cs="Arial"/>
        </w:rPr>
        <w:t>,</w:t>
      </w:r>
      <w:r w:rsidR="008A0750">
        <w:rPr>
          <w:rFonts w:cs="Arial"/>
        </w:rPr>
        <w:t xml:space="preserve"> </w:t>
      </w:r>
      <w:r w:rsidR="008A0750" w:rsidRPr="007A3B77">
        <w:rPr>
          <w:rFonts w:cs="Arial"/>
        </w:rPr>
        <w:t>if they choose to engage with</w:t>
      </w:r>
      <w:r w:rsidR="008A0750" w:rsidRPr="007A3B77">
        <w:rPr>
          <w:rFonts w:cs="Arial"/>
          <w:highlight w:val="yellow"/>
        </w:rPr>
        <w:t xml:space="preserve"> </w:t>
      </w:r>
      <w:r w:rsidR="008A0750" w:rsidRPr="007A3B77">
        <w:rPr>
          <w:rFonts w:cs="Arial"/>
        </w:rPr>
        <w:t>therapy</w:t>
      </w:r>
      <w:r w:rsidR="007A3B77">
        <w:rPr>
          <w:rFonts w:cs="Arial"/>
        </w:rPr>
        <w:t xml:space="preserve">, </w:t>
      </w:r>
      <w:r w:rsidR="008A0750">
        <w:rPr>
          <w:rFonts w:cs="Arial"/>
        </w:rPr>
        <w:t xml:space="preserve">five </w:t>
      </w:r>
      <w:r w:rsidR="00E4488A">
        <w:rPr>
          <w:rFonts w:cs="Arial"/>
        </w:rPr>
        <w:t>intervention</w:t>
      </w:r>
      <w:r w:rsidR="008A0750">
        <w:rPr>
          <w:rFonts w:cs="Arial"/>
        </w:rPr>
        <w:t xml:space="preserve"> </w:t>
      </w:r>
      <w:r>
        <w:rPr>
          <w:rFonts w:cs="Arial"/>
        </w:rPr>
        <w:t xml:space="preserve">sessions, although this </w:t>
      </w:r>
      <w:r w:rsidR="008A0750">
        <w:rPr>
          <w:rFonts w:cs="Arial"/>
        </w:rPr>
        <w:t xml:space="preserve">number </w:t>
      </w:r>
      <w:r>
        <w:rPr>
          <w:rFonts w:cs="Arial"/>
        </w:rPr>
        <w:t xml:space="preserve">may be </w:t>
      </w:r>
      <w:r w:rsidR="002C768B">
        <w:rPr>
          <w:rFonts w:cs="Arial"/>
        </w:rPr>
        <w:t>adapted</w:t>
      </w:r>
      <w:r>
        <w:rPr>
          <w:rFonts w:cs="Arial"/>
        </w:rPr>
        <w:t xml:space="preserve"> according to the woman’s needs. </w:t>
      </w:r>
      <w:proofErr w:type="gramStart"/>
      <w:r>
        <w:rPr>
          <w:rFonts w:cs="Arial"/>
        </w:rPr>
        <w:t xml:space="preserve">Sessions </w:t>
      </w:r>
      <w:r w:rsidR="00B9706A">
        <w:rPr>
          <w:rFonts w:cs="Arial"/>
        </w:rPr>
        <w:t xml:space="preserve">typically </w:t>
      </w:r>
      <w:r>
        <w:rPr>
          <w:rFonts w:cs="Arial"/>
        </w:rPr>
        <w:t>last ninety minutes, as recommended for trauma-focused work</w:t>
      </w:r>
      <w:r w:rsidR="00C07C5D">
        <w:rPr>
          <w:rFonts w:cs="Arial"/>
        </w:rPr>
        <w:t xml:space="preserve"> (Grey, 2007)</w:t>
      </w:r>
      <w:r w:rsidR="00F53D98">
        <w:rPr>
          <w:rFonts w:cs="Arial"/>
        </w:rPr>
        <w:t>.</w:t>
      </w:r>
      <w:proofErr w:type="gramEnd"/>
      <w:r w:rsidR="00C07C5D">
        <w:rPr>
          <w:rFonts w:cs="Arial"/>
        </w:rPr>
        <w:t xml:space="preserve"> </w:t>
      </w:r>
      <w:r w:rsidR="002C768B">
        <w:rPr>
          <w:rFonts w:cs="Arial"/>
        </w:rPr>
        <w:t xml:space="preserve">Measures of psychological distress are routinely collected pre and post intervention to inform clinical decision making, and for </w:t>
      </w:r>
      <w:r w:rsidR="00156855">
        <w:rPr>
          <w:rFonts w:cs="Arial"/>
        </w:rPr>
        <w:t xml:space="preserve">centralised auditing </w:t>
      </w:r>
      <w:r w:rsidR="002C768B">
        <w:rPr>
          <w:rFonts w:cs="Arial"/>
        </w:rPr>
        <w:t xml:space="preserve">of service effectiveness. See ‘Method’ section below for further details of measures used in the service. </w:t>
      </w:r>
    </w:p>
    <w:p w14:paraId="49B2624D" w14:textId="77777777" w:rsidR="00F22C29" w:rsidRDefault="00F22C29" w:rsidP="00C07C5D">
      <w:pPr>
        <w:autoSpaceDE w:val="0"/>
        <w:autoSpaceDN w:val="0"/>
        <w:adjustRightInd w:val="0"/>
        <w:spacing w:line="360" w:lineRule="auto"/>
        <w:jc w:val="both"/>
        <w:rPr>
          <w:rFonts w:cs="Arial"/>
        </w:rPr>
      </w:pPr>
    </w:p>
    <w:p w14:paraId="1382CB0D" w14:textId="18CD7855" w:rsidR="007A36CF" w:rsidRPr="00F22C29" w:rsidRDefault="007A36CF" w:rsidP="00C07C5D">
      <w:pPr>
        <w:autoSpaceDE w:val="0"/>
        <w:autoSpaceDN w:val="0"/>
        <w:adjustRightInd w:val="0"/>
        <w:spacing w:line="360" w:lineRule="auto"/>
        <w:jc w:val="both"/>
      </w:pPr>
      <w:r>
        <w:rPr>
          <w:rFonts w:cs="Arial"/>
        </w:rPr>
        <w:t xml:space="preserve">Even where there is high quality evidence of efficacy </w:t>
      </w:r>
      <w:r w:rsidR="00E4488A">
        <w:rPr>
          <w:rFonts w:cs="Arial"/>
        </w:rPr>
        <w:t>for particular</w:t>
      </w:r>
      <w:r>
        <w:rPr>
          <w:rFonts w:cs="Arial"/>
        </w:rPr>
        <w:t xml:space="preserve"> interventions</w:t>
      </w:r>
      <w:r w:rsidR="00F22C29">
        <w:rPr>
          <w:rFonts w:cs="Arial"/>
        </w:rPr>
        <w:t xml:space="preserve"> with particular </w:t>
      </w:r>
      <w:r w:rsidR="00E4488A">
        <w:rPr>
          <w:rFonts w:cs="Arial"/>
        </w:rPr>
        <w:t>populations,</w:t>
      </w:r>
      <w:r>
        <w:rPr>
          <w:rFonts w:cs="Arial"/>
        </w:rPr>
        <w:t xml:space="preserve"> these do not always translate to evidence of effectiveness in service </w:t>
      </w:r>
      <w:r w:rsidR="00DA6643">
        <w:rPr>
          <w:rFonts w:cs="Arial"/>
        </w:rPr>
        <w:t>roll</w:t>
      </w:r>
      <w:r w:rsidR="00E4488A">
        <w:rPr>
          <w:rFonts w:cs="Arial"/>
        </w:rPr>
        <w:t>-</w:t>
      </w:r>
      <w:r>
        <w:rPr>
          <w:rFonts w:cs="Arial"/>
        </w:rPr>
        <w:t xml:space="preserve">out.  </w:t>
      </w:r>
      <w:r w:rsidR="002C768B">
        <w:rPr>
          <w:rFonts w:cs="Arial"/>
        </w:rPr>
        <w:t>The</w:t>
      </w:r>
      <w:r>
        <w:rPr>
          <w:rFonts w:cs="Arial"/>
        </w:rPr>
        <w:t xml:space="preserve"> consideration of </w:t>
      </w:r>
      <w:r w:rsidR="003D75E4">
        <w:rPr>
          <w:rFonts w:cs="Arial"/>
        </w:rPr>
        <w:t>practice-</w:t>
      </w:r>
      <w:r>
        <w:rPr>
          <w:rFonts w:cs="Arial"/>
        </w:rPr>
        <w:t xml:space="preserve">based evidence in routine clinical care conditions is </w:t>
      </w:r>
      <w:r w:rsidR="002C768B">
        <w:rPr>
          <w:rFonts w:cs="Arial"/>
        </w:rPr>
        <w:t xml:space="preserve">therefore </w:t>
      </w:r>
      <w:r>
        <w:rPr>
          <w:rFonts w:cs="Arial"/>
        </w:rPr>
        <w:t>essential</w:t>
      </w:r>
      <w:r w:rsidR="00C07C5D">
        <w:rPr>
          <w:rFonts w:cs="Arial"/>
        </w:rPr>
        <w:t xml:space="preserve"> (</w:t>
      </w:r>
      <w:proofErr w:type="spellStart"/>
      <w:r w:rsidR="00C07C5D">
        <w:rPr>
          <w:rFonts w:cs="Arial"/>
        </w:rPr>
        <w:t>Holmqvist</w:t>
      </w:r>
      <w:proofErr w:type="spellEnd"/>
      <w:r w:rsidR="00C07C5D">
        <w:rPr>
          <w:rFonts w:cs="Arial"/>
        </w:rPr>
        <w:t>, 2013)</w:t>
      </w:r>
      <w:r w:rsidR="00F53D98">
        <w:rPr>
          <w:rFonts w:cs="Arial"/>
        </w:rPr>
        <w:t>.</w:t>
      </w:r>
      <w:r w:rsidR="00C07C5D">
        <w:rPr>
          <w:rFonts w:cs="Arial"/>
        </w:rPr>
        <w:t xml:space="preserve"> </w:t>
      </w:r>
      <w:r w:rsidR="00F22C29" w:rsidRPr="003E3DD9">
        <w:t>Information in relation to</w:t>
      </w:r>
      <w:r w:rsidR="00F22C29">
        <w:t xml:space="preserve"> outcomes </w:t>
      </w:r>
      <w:r w:rsidR="00E4488A">
        <w:t>in routine</w:t>
      </w:r>
      <w:r w:rsidR="00F22C29">
        <w:t xml:space="preserve"> </w:t>
      </w:r>
      <w:r w:rsidR="00F22C29" w:rsidRPr="003E3DD9">
        <w:t xml:space="preserve">systems of </w:t>
      </w:r>
      <w:r w:rsidR="00E4488A" w:rsidRPr="003E3DD9">
        <w:t xml:space="preserve">care </w:t>
      </w:r>
      <w:r w:rsidR="00E4488A">
        <w:t>for</w:t>
      </w:r>
      <w:r w:rsidR="00F22C29">
        <w:t xml:space="preserve"> </w:t>
      </w:r>
      <w:r w:rsidR="00F22C29" w:rsidRPr="003E3DD9">
        <w:t>PTSD after childbirth is</w:t>
      </w:r>
      <w:r w:rsidR="00F22C29">
        <w:t xml:space="preserve"> desperately needed</w:t>
      </w:r>
      <w:r w:rsidR="00F53D98">
        <w:t>,</w:t>
      </w:r>
      <w:r w:rsidR="00F22C29">
        <w:t xml:space="preserve"> not least because of planned expansions </w:t>
      </w:r>
      <w:r w:rsidR="009C3501">
        <w:t>of</w:t>
      </w:r>
      <w:r w:rsidR="00F22C29">
        <w:t xml:space="preserve"> services in the </w:t>
      </w:r>
      <w:r w:rsidR="004A5097">
        <w:t xml:space="preserve">NHS </w:t>
      </w:r>
      <w:r w:rsidR="00DA6643">
        <w:t>Long Term Plan</w:t>
      </w:r>
      <w:r w:rsidR="00C07C5D">
        <w:t xml:space="preserve"> (Department of Health, 2019)</w:t>
      </w:r>
      <w:r w:rsidR="009C3501">
        <w:t>,</w:t>
      </w:r>
      <w:r w:rsidR="00DA6643">
        <w:t xml:space="preserve"> </w:t>
      </w:r>
      <w:r w:rsidR="00F22C29">
        <w:t xml:space="preserve">but </w:t>
      </w:r>
      <w:r w:rsidR="003D75E4">
        <w:t xml:space="preserve">this </w:t>
      </w:r>
      <w:r w:rsidR="004A5097">
        <w:t xml:space="preserve">is currently </w:t>
      </w:r>
      <w:r w:rsidR="00F22C29" w:rsidRPr="003E3DD9">
        <w:t>lacking</w:t>
      </w:r>
      <w:r w:rsidR="003D75E4">
        <w:t xml:space="preserve"> in the literature</w:t>
      </w:r>
      <w:r w:rsidR="00F22C29" w:rsidRPr="003E3DD9">
        <w:t xml:space="preserve">. </w:t>
      </w:r>
      <w:r w:rsidR="00F22C29">
        <w:t xml:space="preserve"> </w:t>
      </w:r>
      <w:r>
        <w:rPr>
          <w:rFonts w:cs="Arial"/>
        </w:rPr>
        <w:t>I</w:t>
      </w:r>
      <w:r w:rsidRPr="001B19C1">
        <w:rPr>
          <w:rFonts w:cs="Arial"/>
        </w:rPr>
        <w:t xml:space="preserve">t </w:t>
      </w:r>
      <w:r>
        <w:rPr>
          <w:rFonts w:cs="Arial"/>
        </w:rPr>
        <w:t xml:space="preserve">was therefore deemed timely </w:t>
      </w:r>
      <w:r w:rsidR="00E40775">
        <w:rPr>
          <w:rFonts w:cs="Arial"/>
        </w:rPr>
        <w:t>for</w:t>
      </w:r>
      <w:r w:rsidRPr="001B19C1">
        <w:rPr>
          <w:rFonts w:cs="Arial"/>
        </w:rPr>
        <w:t xml:space="preserve"> </w:t>
      </w:r>
      <w:r>
        <w:rPr>
          <w:rFonts w:cs="Arial"/>
        </w:rPr>
        <w:t xml:space="preserve">a cumulative </w:t>
      </w:r>
      <w:r w:rsidR="00F22C29">
        <w:rPr>
          <w:rFonts w:cs="Arial"/>
        </w:rPr>
        <w:t xml:space="preserve">review </w:t>
      </w:r>
      <w:r w:rsidR="005C5E57">
        <w:rPr>
          <w:rFonts w:cs="Arial"/>
        </w:rPr>
        <w:t xml:space="preserve">of </w:t>
      </w:r>
      <w:r w:rsidR="00F22C29">
        <w:rPr>
          <w:rFonts w:cs="Arial"/>
        </w:rPr>
        <w:t xml:space="preserve">audit data for this </w:t>
      </w:r>
      <w:r w:rsidR="005C5E57">
        <w:rPr>
          <w:rFonts w:cs="Arial"/>
        </w:rPr>
        <w:t xml:space="preserve">well established </w:t>
      </w:r>
      <w:r w:rsidR="00886B5E">
        <w:rPr>
          <w:rFonts w:cs="Arial"/>
        </w:rPr>
        <w:t xml:space="preserve">but almost unique </w:t>
      </w:r>
      <w:r w:rsidR="00F22C29">
        <w:rPr>
          <w:rFonts w:cs="Arial"/>
        </w:rPr>
        <w:t xml:space="preserve">service to consider its </w:t>
      </w:r>
      <w:r>
        <w:rPr>
          <w:rFonts w:cs="Arial"/>
        </w:rPr>
        <w:t>effectiveness.</w:t>
      </w:r>
    </w:p>
    <w:p w14:paraId="74EB4C8E" w14:textId="77777777" w:rsidR="007A36CF" w:rsidRDefault="007A36CF" w:rsidP="00C07C5D">
      <w:pPr>
        <w:pStyle w:val="Heading1"/>
        <w:ind w:right="95"/>
        <w:jc w:val="both"/>
      </w:pPr>
      <w:r>
        <w:t>Objectives</w:t>
      </w:r>
    </w:p>
    <w:p w14:paraId="01E4DE66" w14:textId="55EB14CC" w:rsidR="007A36CF" w:rsidRDefault="007A36CF" w:rsidP="00C07C5D">
      <w:pPr>
        <w:spacing w:line="360" w:lineRule="auto"/>
        <w:ind w:right="95"/>
        <w:jc w:val="both"/>
        <w:rPr>
          <w:rFonts w:cs="Arial"/>
        </w:rPr>
      </w:pPr>
      <w:r>
        <w:rPr>
          <w:rFonts w:cs="Arial"/>
        </w:rPr>
        <w:t>To evaluate the effectiveness of providing formulation-driven psychological therapy to women attending the Birth Trauma clinic, who are experiencing symptoms of PTSD following childbirth</w:t>
      </w:r>
      <w:r w:rsidR="00E40775">
        <w:rPr>
          <w:rFonts w:cs="Arial"/>
        </w:rPr>
        <w:t xml:space="preserve"> using routinely collected service audit </w:t>
      </w:r>
      <w:proofErr w:type="gramStart"/>
      <w:r w:rsidR="00E40775">
        <w:rPr>
          <w:rFonts w:cs="Arial"/>
        </w:rPr>
        <w:t>data</w:t>
      </w:r>
      <w:r>
        <w:rPr>
          <w:rFonts w:cs="Arial"/>
        </w:rPr>
        <w:t>.</w:t>
      </w:r>
      <w:proofErr w:type="gramEnd"/>
    </w:p>
    <w:p w14:paraId="44349771" w14:textId="77777777" w:rsidR="00C71F1B" w:rsidRDefault="007A36CF" w:rsidP="00C07C5D">
      <w:pPr>
        <w:pStyle w:val="Heading1"/>
        <w:ind w:right="95"/>
        <w:jc w:val="both"/>
      </w:pPr>
      <w:r>
        <w:t>Metho</w:t>
      </w:r>
      <w:r w:rsidR="00C71F1B">
        <w:t>d</w:t>
      </w:r>
    </w:p>
    <w:p w14:paraId="30A2A039" w14:textId="77777777" w:rsidR="00C71F1B" w:rsidRDefault="00C71F1B" w:rsidP="00C07C5D">
      <w:pPr>
        <w:pStyle w:val="Heading1"/>
        <w:ind w:right="95"/>
        <w:jc w:val="both"/>
      </w:pPr>
    </w:p>
    <w:p w14:paraId="0E20FFCB" w14:textId="2301B44A" w:rsidR="00AB2DE2" w:rsidRPr="00AB2DE2" w:rsidRDefault="007A36CF" w:rsidP="00C07C5D">
      <w:pPr>
        <w:pStyle w:val="Heading1"/>
        <w:ind w:right="95"/>
        <w:jc w:val="both"/>
        <w:rPr>
          <w:i/>
        </w:rPr>
      </w:pPr>
      <w:r>
        <w:rPr>
          <w:i/>
        </w:rPr>
        <w:t>Women attending the clinic</w:t>
      </w:r>
    </w:p>
    <w:p w14:paraId="3B26318D" w14:textId="331745F2" w:rsidR="00791511" w:rsidRDefault="00791511" w:rsidP="00C07C5D">
      <w:pPr>
        <w:pStyle w:val="Paragraph"/>
        <w:spacing w:before="0" w:line="360" w:lineRule="auto"/>
        <w:ind w:right="95"/>
        <w:jc w:val="both"/>
      </w:pPr>
      <w:r>
        <w:t>This service evaluation was fully approved by the Clinical Effectiveness Unit</w:t>
      </w:r>
      <w:r w:rsidR="006752E5">
        <w:t xml:space="preserve"> at </w:t>
      </w:r>
      <w:r w:rsidR="00F53D98">
        <w:t>STH (reference number 7536)</w:t>
      </w:r>
      <w:r w:rsidR="006752E5">
        <w:t xml:space="preserve">. </w:t>
      </w:r>
      <w:r>
        <w:t>A total of one hundred</w:t>
      </w:r>
      <w:r w:rsidR="007A36CF">
        <w:t xml:space="preserve"> </w:t>
      </w:r>
      <w:r w:rsidR="00617188">
        <w:t xml:space="preserve">and fourteen </w:t>
      </w:r>
      <w:r>
        <w:t xml:space="preserve">post-natal </w:t>
      </w:r>
      <w:r w:rsidR="007A36CF">
        <w:t xml:space="preserve">women were </w:t>
      </w:r>
      <w:r w:rsidR="000124E1">
        <w:t>referred to</w:t>
      </w:r>
      <w:r w:rsidR="002C768B">
        <w:t>,</w:t>
      </w:r>
      <w:r w:rsidR="007A36CF">
        <w:t xml:space="preserve"> </w:t>
      </w:r>
      <w:r w:rsidR="00DA6643">
        <w:t>and discharged</w:t>
      </w:r>
      <w:r w:rsidR="009C3501">
        <w:t xml:space="preserve"> </w:t>
      </w:r>
      <w:r w:rsidR="00DA6643">
        <w:t>from</w:t>
      </w:r>
      <w:r w:rsidR="002C768B">
        <w:t>,</w:t>
      </w:r>
      <w:r w:rsidR="00DA6643">
        <w:t xml:space="preserve"> </w:t>
      </w:r>
      <w:r w:rsidR="007A36CF">
        <w:t>the Birth Trauma clinic during the data coll</w:t>
      </w:r>
      <w:r w:rsidR="00D942B8">
        <w:t>ection period (from the clinic’s</w:t>
      </w:r>
      <w:r w:rsidR="007A36CF">
        <w:t xml:space="preserve"> inception </w:t>
      </w:r>
      <w:r w:rsidR="00DF6983">
        <w:t xml:space="preserve">at the end of </w:t>
      </w:r>
      <w:r w:rsidR="007A36CF">
        <w:t>2011 to the date of analysis in A</w:t>
      </w:r>
      <w:r w:rsidR="00617188">
        <w:t>ugust</w:t>
      </w:r>
      <w:r w:rsidR="007A36CF">
        <w:t xml:space="preserve"> 201</w:t>
      </w:r>
      <w:r w:rsidR="00617188">
        <w:t>9</w:t>
      </w:r>
      <w:r w:rsidR="007A36CF">
        <w:t xml:space="preserve">).   </w:t>
      </w:r>
    </w:p>
    <w:p w14:paraId="2CF35A46" w14:textId="77777777" w:rsidR="00135B8E" w:rsidRPr="006752E5" w:rsidRDefault="00135B8E" w:rsidP="00C07C5D">
      <w:pPr>
        <w:spacing w:line="360" w:lineRule="auto"/>
        <w:jc w:val="both"/>
      </w:pPr>
    </w:p>
    <w:p w14:paraId="4347CD02" w14:textId="77777777" w:rsidR="00791511" w:rsidRPr="005C2606" w:rsidRDefault="00791511" w:rsidP="00C07C5D">
      <w:pPr>
        <w:spacing w:line="360" w:lineRule="auto"/>
        <w:ind w:right="95"/>
        <w:jc w:val="both"/>
      </w:pPr>
      <w:proofErr w:type="gramStart"/>
      <w:r w:rsidRPr="005C2606">
        <w:t>Table 1.</w:t>
      </w:r>
      <w:proofErr w:type="gramEnd"/>
      <w:r w:rsidRPr="005C2606">
        <w:t xml:space="preserve">   Patient demographics</w:t>
      </w:r>
    </w:p>
    <w:tbl>
      <w:tblPr>
        <w:tblStyle w:val="TableGrid"/>
        <w:tblW w:w="0" w:type="auto"/>
        <w:tblInd w:w="0" w:type="dxa"/>
        <w:tblLook w:val="04A0" w:firstRow="1" w:lastRow="0" w:firstColumn="1" w:lastColumn="0" w:noHBand="0" w:noVBand="1"/>
      </w:tblPr>
      <w:tblGrid>
        <w:gridCol w:w="3794"/>
        <w:gridCol w:w="4360"/>
      </w:tblGrid>
      <w:tr w:rsidR="00791511" w:rsidRPr="005C2606" w14:paraId="39BD514C" w14:textId="77777777" w:rsidTr="006752E5">
        <w:tc>
          <w:tcPr>
            <w:tcW w:w="3794" w:type="dxa"/>
            <w:tcBorders>
              <w:left w:val="nil"/>
              <w:bottom w:val="nil"/>
            </w:tcBorders>
            <w:hideMark/>
          </w:tcPr>
          <w:p w14:paraId="349096F3" w14:textId="77777777" w:rsidR="00791511" w:rsidRPr="005C2606" w:rsidRDefault="00791511" w:rsidP="00C07C5D">
            <w:pPr>
              <w:pStyle w:val="Newparagraph"/>
              <w:spacing w:line="360" w:lineRule="auto"/>
              <w:ind w:right="95" w:firstLine="0"/>
              <w:jc w:val="both"/>
              <w:rPr>
                <w:b/>
                <w:sz w:val="28"/>
                <w:szCs w:val="28"/>
              </w:rPr>
            </w:pPr>
            <w:r w:rsidRPr="005C2606">
              <w:rPr>
                <w:b/>
                <w:sz w:val="28"/>
                <w:szCs w:val="28"/>
              </w:rPr>
              <w:t>Demographic measures</w:t>
            </w:r>
          </w:p>
        </w:tc>
        <w:tc>
          <w:tcPr>
            <w:tcW w:w="4360" w:type="dxa"/>
            <w:tcBorders>
              <w:bottom w:val="nil"/>
              <w:right w:val="nil"/>
            </w:tcBorders>
            <w:hideMark/>
          </w:tcPr>
          <w:p w14:paraId="29FBBE39" w14:textId="7B6B4717" w:rsidR="00791511" w:rsidRPr="005C2606" w:rsidRDefault="00791511" w:rsidP="00C07C5D">
            <w:pPr>
              <w:pStyle w:val="Newparagraph"/>
              <w:spacing w:line="360" w:lineRule="auto"/>
              <w:ind w:right="95" w:firstLine="0"/>
              <w:jc w:val="both"/>
              <w:rPr>
                <w:b/>
                <w:sz w:val="28"/>
                <w:szCs w:val="28"/>
              </w:rPr>
            </w:pPr>
          </w:p>
        </w:tc>
      </w:tr>
      <w:tr w:rsidR="00791511" w:rsidRPr="005C2606" w14:paraId="732B44FF" w14:textId="77777777" w:rsidTr="006752E5">
        <w:tc>
          <w:tcPr>
            <w:tcW w:w="3794" w:type="dxa"/>
            <w:tcBorders>
              <w:top w:val="nil"/>
              <w:left w:val="nil"/>
              <w:bottom w:val="single" w:sz="4" w:space="0" w:color="auto"/>
            </w:tcBorders>
          </w:tcPr>
          <w:p w14:paraId="5F67BD98" w14:textId="77777777" w:rsidR="00791511" w:rsidRPr="005C2606" w:rsidRDefault="00791511" w:rsidP="00C07C5D">
            <w:pPr>
              <w:pStyle w:val="Newparagraph"/>
              <w:spacing w:line="360" w:lineRule="auto"/>
              <w:ind w:right="95" w:firstLine="0"/>
              <w:jc w:val="both"/>
              <w:rPr>
                <w:b/>
                <w:sz w:val="22"/>
                <w:szCs w:val="22"/>
              </w:rPr>
            </w:pPr>
          </w:p>
        </w:tc>
        <w:tc>
          <w:tcPr>
            <w:tcW w:w="4360" w:type="dxa"/>
            <w:tcBorders>
              <w:top w:val="nil"/>
              <w:bottom w:val="single" w:sz="4" w:space="0" w:color="auto"/>
              <w:right w:val="nil"/>
            </w:tcBorders>
          </w:tcPr>
          <w:p w14:paraId="4B9A2286" w14:textId="15BC92E5" w:rsidR="00791511" w:rsidRPr="005C2606" w:rsidRDefault="00791511" w:rsidP="00C07C5D">
            <w:pPr>
              <w:pStyle w:val="Newparagraph"/>
              <w:spacing w:line="360" w:lineRule="auto"/>
              <w:ind w:right="95" w:firstLine="0"/>
              <w:jc w:val="both"/>
              <w:rPr>
                <w:sz w:val="22"/>
                <w:szCs w:val="22"/>
              </w:rPr>
            </w:pPr>
          </w:p>
        </w:tc>
      </w:tr>
      <w:tr w:rsidR="00791511" w:rsidRPr="005C2606" w14:paraId="2CE3BD58" w14:textId="77777777" w:rsidTr="006752E5">
        <w:tc>
          <w:tcPr>
            <w:tcW w:w="3794" w:type="dxa"/>
            <w:tcBorders>
              <w:left w:val="nil"/>
              <w:bottom w:val="nil"/>
            </w:tcBorders>
          </w:tcPr>
          <w:p w14:paraId="50DFEE83" w14:textId="42BDB651" w:rsidR="00791511" w:rsidRPr="005C2606" w:rsidRDefault="005C2606" w:rsidP="00C07C5D">
            <w:pPr>
              <w:pStyle w:val="Newparagraph"/>
              <w:spacing w:line="360" w:lineRule="auto"/>
              <w:ind w:right="95" w:firstLine="0"/>
              <w:jc w:val="both"/>
              <w:rPr>
                <w:b/>
                <w:sz w:val="22"/>
                <w:szCs w:val="22"/>
              </w:rPr>
            </w:pPr>
            <w:r w:rsidRPr="005C2606">
              <w:rPr>
                <w:b/>
                <w:sz w:val="22"/>
                <w:szCs w:val="22"/>
              </w:rPr>
              <w:t xml:space="preserve">Mean </w:t>
            </w:r>
            <w:r w:rsidR="00791511" w:rsidRPr="005C2606">
              <w:rPr>
                <w:b/>
                <w:sz w:val="22"/>
                <w:szCs w:val="22"/>
              </w:rPr>
              <w:t>Average age at referral</w:t>
            </w:r>
          </w:p>
          <w:p w14:paraId="2CA83D84" w14:textId="4456CC14" w:rsidR="006752E5" w:rsidRPr="005C2606" w:rsidRDefault="006752E5" w:rsidP="00C07C5D">
            <w:pPr>
              <w:pStyle w:val="Newparagraph"/>
              <w:spacing w:line="360" w:lineRule="auto"/>
              <w:ind w:right="95" w:firstLine="0"/>
              <w:jc w:val="both"/>
              <w:rPr>
                <w:b/>
                <w:sz w:val="22"/>
                <w:szCs w:val="22"/>
              </w:rPr>
            </w:pPr>
          </w:p>
        </w:tc>
        <w:tc>
          <w:tcPr>
            <w:tcW w:w="4360" w:type="dxa"/>
            <w:tcBorders>
              <w:bottom w:val="nil"/>
              <w:right w:val="nil"/>
            </w:tcBorders>
          </w:tcPr>
          <w:p w14:paraId="0D9BCBBD" w14:textId="7FE9ADCE" w:rsidR="00791511" w:rsidRPr="005C2606" w:rsidRDefault="00791511" w:rsidP="00C07C5D">
            <w:pPr>
              <w:pStyle w:val="Newparagraph"/>
              <w:spacing w:line="360" w:lineRule="auto"/>
              <w:ind w:right="95" w:firstLine="0"/>
              <w:jc w:val="both"/>
              <w:rPr>
                <w:sz w:val="22"/>
                <w:szCs w:val="22"/>
              </w:rPr>
            </w:pPr>
            <w:r w:rsidRPr="005C2606">
              <w:rPr>
                <w:sz w:val="22"/>
                <w:szCs w:val="22"/>
              </w:rPr>
              <w:t>3</w:t>
            </w:r>
            <w:r w:rsidR="00AA0DA3" w:rsidRPr="005C2606">
              <w:rPr>
                <w:sz w:val="22"/>
                <w:szCs w:val="22"/>
              </w:rPr>
              <w:t>1.15</w:t>
            </w:r>
            <w:r w:rsidRPr="005C2606">
              <w:rPr>
                <w:sz w:val="22"/>
                <w:szCs w:val="22"/>
              </w:rPr>
              <w:t xml:space="preserve"> years</w:t>
            </w:r>
            <w:r w:rsidR="00AA0DA3" w:rsidRPr="005C2606">
              <w:rPr>
                <w:sz w:val="22"/>
                <w:szCs w:val="22"/>
              </w:rPr>
              <w:t xml:space="preserve"> (range 18-43</w:t>
            </w:r>
            <w:r w:rsidR="005C2606" w:rsidRPr="005C2606">
              <w:rPr>
                <w:sz w:val="22"/>
                <w:szCs w:val="22"/>
              </w:rPr>
              <w:t>, SD 5.5 years</w:t>
            </w:r>
            <w:r w:rsidR="00AA0DA3" w:rsidRPr="005C2606">
              <w:rPr>
                <w:sz w:val="22"/>
                <w:szCs w:val="22"/>
              </w:rPr>
              <w:t>)</w:t>
            </w:r>
          </w:p>
        </w:tc>
      </w:tr>
      <w:tr w:rsidR="00791511" w:rsidRPr="005C2606" w14:paraId="283DFC37" w14:textId="77777777" w:rsidTr="006752E5">
        <w:tc>
          <w:tcPr>
            <w:tcW w:w="3794" w:type="dxa"/>
            <w:tcBorders>
              <w:top w:val="nil"/>
              <w:left w:val="nil"/>
              <w:bottom w:val="nil"/>
            </w:tcBorders>
          </w:tcPr>
          <w:p w14:paraId="2B9187B2" w14:textId="0D583C4D" w:rsidR="00791511" w:rsidRPr="005C2606" w:rsidRDefault="00AB2DE2" w:rsidP="00C07C5D">
            <w:pPr>
              <w:pStyle w:val="Newparagraph"/>
              <w:spacing w:line="360" w:lineRule="auto"/>
              <w:ind w:right="95" w:firstLine="0"/>
              <w:jc w:val="both"/>
              <w:rPr>
                <w:b/>
                <w:sz w:val="22"/>
                <w:szCs w:val="22"/>
              </w:rPr>
            </w:pPr>
            <w:r>
              <w:rPr>
                <w:b/>
                <w:sz w:val="22"/>
                <w:szCs w:val="22"/>
              </w:rPr>
              <w:t xml:space="preserve">Median </w:t>
            </w:r>
            <w:r w:rsidR="00791511" w:rsidRPr="005C2606">
              <w:rPr>
                <w:b/>
                <w:sz w:val="22"/>
                <w:szCs w:val="22"/>
              </w:rPr>
              <w:t xml:space="preserve">Parity </w:t>
            </w:r>
          </w:p>
          <w:p w14:paraId="34B727BA" w14:textId="39CDE9DD" w:rsidR="006752E5" w:rsidRPr="005C2606" w:rsidRDefault="006752E5" w:rsidP="00C07C5D">
            <w:pPr>
              <w:pStyle w:val="Newparagraph"/>
              <w:spacing w:line="360" w:lineRule="auto"/>
              <w:ind w:right="95" w:firstLine="0"/>
              <w:jc w:val="both"/>
              <w:rPr>
                <w:b/>
                <w:sz w:val="22"/>
                <w:szCs w:val="22"/>
              </w:rPr>
            </w:pPr>
          </w:p>
        </w:tc>
        <w:tc>
          <w:tcPr>
            <w:tcW w:w="4360" w:type="dxa"/>
            <w:tcBorders>
              <w:top w:val="nil"/>
              <w:bottom w:val="nil"/>
              <w:right w:val="nil"/>
            </w:tcBorders>
          </w:tcPr>
          <w:p w14:paraId="3721D6E6" w14:textId="33C7E749" w:rsidR="00791511" w:rsidRPr="005C2606" w:rsidRDefault="00AB2DE2" w:rsidP="00C07C5D">
            <w:pPr>
              <w:pStyle w:val="Newparagraph"/>
              <w:spacing w:line="360" w:lineRule="auto"/>
              <w:ind w:right="95" w:firstLine="0"/>
              <w:jc w:val="both"/>
              <w:rPr>
                <w:sz w:val="22"/>
                <w:szCs w:val="22"/>
              </w:rPr>
            </w:pPr>
            <w:r>
              <w:rPr>
                <w:sz w:val="22"/>
                <w:szCs w:val="22"/>
              </w:rPr>
              <w:t>1 child</w:t>
            </w:r>
            <w:r w:rsidR="006752E5" w:rsidRPr="005C2606">
              <w:rPr>
                <w:sz w:val="22"/>
                <w:szCs w:val="22"/>
              </w:rPr>
              <w:t xml:space="preserve"> (range 1-4)</w:t>
            </w:r>
          </w:p>
        </w:tc>
      </w:tr>
      <w:tr w:rsidR="00791511" w14:paraId="3B593CBD" w14:textId="77777777" w:rsidTr="006752E5">
        <w:tc>
          <w:tcPr>
            <w:tcW w:w="3794" w:type="dxa"/>
            <w:tcBorders>
              <w:top w:val="nil"/>
              <w:left w:val="nil"/>
            </w:tcBorders>
          </w:tcPr>
          <w:p w14:paraId="345F3E45" w14:textId="6EA793A4" w:rsidR="00791511" w:rsidRPr="005C2606" w:rsidRDefault="005C2606" w:rsidP="00C07C5D">
            <w:pPr>
              <w:pStyle w:val="Newparagraph"/>
              <w:spacing w:line="360" w:lineRule="auto"/>
              <w:ind w:right="95" w:firstLine="0"/>
              <w:jc w:val="both"/>
              <w:rPr>
                <w:b/>
                <w:sz w:val="22"/>
                <w:szCs w:val="22"/>
              </w:rPr>
            </w:pPr>
            <w:r w:rsidRPr="005C2606">
              <w:rPr>
                <w:b/>
                <w:sz w:val="22"/>
                <w:szCs w:val="22"/>
              </w:rPr>
              <w:t>Median m</w:t>
            </w:r>
            <w:r w:rsidR="00AA0DA3" w:rsidRPr="005C2606">
              <w:rPr>
                <w:b/>
                <w:sz w:val="22"/>
                <w:szCs w:val="22"/>
              </w:rPr>
              <w:t>onths</w:t>
            </w:r>
            <w:r w:rsidR="00791511" w:rsidRPr="005C2606">
              <w:rPr>
                <w:b/>
                <w:sz w:val="22"/>
                <w:szCs w:val="22"/>
              </w:rPr>
              <w:t xml:space="preserve"> post-natal at time of referral</w:t>
            </w:r>
          </w:p>
          <w:p w14:paraId="6D018878" w14:textId="090F8B4A" w:rsidR="006752E5" w:rsidRPr="005C2606" w:rsidRDefault="006752E5" w:rsidP="00C07C5D">
            <w:pPr>
              <w:pStyle w:val="Newparagraph"/>
              <w:spacing w:line="360" w:lineRule="auto"/>
              <w:ind w:right="95" w:firstLine="0"/>
              <w:jc w:val="both"/>
              <w:rPr>
                <w:b/>
                <w:sz w:val="22"/>
                <w:szCs w:val="22"/>
              </w:rPr>
            </w:pPr>
          </w:p>
        </w:tc>
        <w:tc>
          <w:tcPr>
            <w:tcW w:w="4360" w:type="dxa"/>
            <w:tcBorders>
              <w:top w:val="nil"/>
              <w:right w:val="nil"/>
            </w:tcBorders>
          </w:tcPr>
          <w:p w14:paraId="6EDD502A" w14:textId="525AB55D" w:rsidR="00791511" w:rsidRDefault="005C2606" w:rsidP="00C07C5D">
            <w:pPr>
              <w:pStyle w:val="Newparagraph"/>
              <w:spacing w:line="360" w:lineRule="auto"/>
              <w:ind w:right="95" w:firstLine="0"/>
              <w:jc w:val="both"/>
              <w:rPr>
                <w:sz w:val="22"/>
                <w:szCs w:val="22"/>
              </w:rPr>
            </w:pPr>
            <w:r w:rsidRPr="005C2606">
              <w:rPr>
                <w:sz w:val="22"/>
                <w:szCs w:val="22"/>
              </w:rPr>
              <w:t>7</w:t>
            </w:r>
            <w:r w:rsidR="006752E5" w:rsidRPr="005C2606">
              <w:rPr>
                <w:sz w:val="22"/>
                <w:szCs w:val="22"/>
              </w:rPr>
              <w:t xml:space="preserve"> months</w:t>
            </w:r>
            <w:r w:rsidR="00AA0DA3" w:rsidRPr="005C2606">
              <w:rPr>
                <w:sz w:val="22"/>
                <w:szCs w:val="22"/>
              </w:rPr>
              <w:t xml:space="preserve"> (range 2-96)</w:t>
            </w:r>
          </w:p>
        </w:tc>
      </w:tr>
    </w:tbl>
    <w:p w14:paraId="697C04A3" w14:textId="77777777" w:rsidR="00791511" w:rsidRPr="00791511" w:rsidRDefault="00791511" w:rsidP="00C07C5D">
      <w:pPr>
        <w:spacing w:line="360" w:lineRule="auto"/>
        <w:ind w:right="95"/>
        <w:jc w:val="both"/>
      </w:pPr>
    </w:p>
    <w:p w14:paraId="55CAC338" w14:textId="77777777" w:rsidR="00C71F1B" w:rsidRDefault="00791511" w:rsidP="00C07C5D">
      <w:pPr>
        <w:pStyle w:val="Heading1"/>
        <w:spacing w:before="0" w:after="0"/>
        <w:ind w:right="95"/>
        <w:jc w:val="both"/>
        <w:rPr>
          <w:i/>
        </w:rPr>
      </w:pPr>
      <w:r>
        <w:rPr>
          <w:i/>
        </w:rPr>
        <w:lastRenderedPageBreak/>
        <w:t>Measures</w:t>
      </w:r>
    </w:p>
    <w:p w14:paraId="5EB02BA9" w14:textId="77777777" w:rsidR="00C71F1B" w:rsidRDefault="00C71F1B" w:rsidP="00C07C5D">
      <w:pPr>
        <w:pStyle w:val="Heading1"/>
        <w:spacing w:before="0" w:after="0"/>
        <w:ind w:right="95"/>
        <w:jc w:val="both"/>
        <w:rPr>
          <w:i/>
        </w:rPr>
      </w:pPr>
    </w:p>
    <w:p w14:paraId="214DF8FA" w14:textId="531AC9D5" w:rsidR="00591F8C" w:rsidRDefault="00591F8C" w:rsidP="00C07C5D">
      <w:pPr>
        <w:pStyle w:val="Heading1"/>
        <w:spacing w:before="0" w:after="0"/>
        <w:ind w:right="95"/>
        <w:jc w:val="both"/>
        <w:rPr>
          <w:b w:val="0"/>
        </w:rPr>
      </w:pPr>
      <w:proofErr w:type="gramStart"/>
      <w:r>
        <w:t>Impact of Event Scale-Revised (IES-R).</w:t>
      </w:r>
      <w:proofErr w:type="gramEnd"/>
      <w:r>
        <w:t xml:space="preserve">  </w:t>
      </w:r>
      <w:r w:rsidRPr="00C71F1B">
        <w:rPr>
          <w:b w:val="0"/>
        </w:rPr>
        <w:t>The IES-R</w:t>
      </w:r>
      <w:r w:rsidR="00C07C5D">
        <w:rPr>
          <w:b w:val="0"/>
        </w:rPr>
        <w:t xml:space="preserve"> (Weiss, 1996)</w:t>
      </w:r>
      <w:r w:rsidRPr="00C71F1B">
        <w:rPr>
          <w:b w:val="0"/>
        </w:rPr>
        <w:t xml:space="preserve"> is a 22-item self-report measure that assesses subjective distress caused by traumatic events. </w:t>
      </w:r>
      <w:r w:rsidR="00453231">
        <w:rPr>
          <w:b w:val="0"/>
        </w:rPr>
        <w:t>In the version used</w:t>
      </w:r>
      <w:r w:rsidR="00F53D98">
        <w:rPr>
          <w:b w:val="0"/>
        </w:rPr>
        <w:t>,</w:t>
      </w:r>
      <w:r w:rsidR="00453231">
        <w:rPr>
          <w:b w:val="0"/>
        </w:rPr>
        <w:t xml:space="preserve"> the event is specified as childbirth and events immediately after. This can then </w:t>
      </w:r>
      <w:r w:rsidR="00C70452">
        <w:rPr>
          <w:b w:val="0"/>
        </w:rPr>
        <w:t>encompass</w:t>
      </w:r>
      <w:r w:rsidR="00453231">
        <w:rPr>
          <w:b w:val="0"/>
        </w:rPr>
        <w:t xml:space="preserve"> events such as postpartum haemorrhage or hospitalisations for </w:t>
      </w:r>
      <w:r w:rsidR="00C70452">
        <w:rPr>
          <w:b w:val="0"/>
        </w:rPr>
        <w:t>infection</w:t>
      </w:r>
      <w:r w:rsidR="00453231">
        <w:rPr>
          <w:b w:val="0"/>
        </w:rPr>
        <w:t xml:space="preserve"> or serious complications but excludes pre-existing trauma responses.  </w:t>
      </w:r>
      <w:r w:rsidRPr="00C71F1B">
        <w:rPr>
          <w:b w:val="0"/>
        </w:rPr>
        <w:t xml:space="preserve"> Three subscales reflect diagnostic domains of intrusion, avoidance, and hyperarousal.  The IES-R yields a total score (ranging from 0 – 88), and cut-off of 33 and above is thought to represent the best cut-off for a probable diagnosis of PTSD</w:t>
      </w:r>
      <w:r w:rsidR="00C07C5D">
        <w:rPr>
          <w:b w:val="0"/>
        </w:rPr>
        <w:t xml:space="preserve"> (Creamer, 2003)</w:t>
      </w:r>
      <w:r w:rsidR="00F53D98">
        <w:rPr>
          <w:b w:val="0"/>
        </w:rPr>
        <w:t>.</w:t>
      </w:r>
      <w:r w:rsidRPr="00C71F1B">
        <w:rPr>
          <w:b w:val="0"/>
        </w:rPr>
        <w:t xml:space="preserve">  A score of 24 or more suggests that PTSD</w:t>
      </w:r>
      <w:r w:rsidR="00AB2DE2">
        <w:rPr>
          <w:b w:val="0"/>
        </w:rPr>
        <w:t xml:space="preserve"> symptomatology</w:t>
      </w:r>
      <w:r w:rsidRPr="00C71F1B">
        <w:rPr>
          <w:b w:val="0"/>
        </w:rPr>
        <w:t xml:space="preserve"> is a clinical concern</w:t>
      </w:r>
      <w:r w:rsidR="00C07C5D">
        <w:rPr>
          <w:b w:val="0"/>
        </w:rPr>
        <w:t xml:space="preserve"> (</w:t>
      </w:r>
      <w:proofErr w:type="spellStart"/>
      <w:r w:rsidR="00C07C5D">
        <w:rPr>
          <w:b w:val="0"/>
        </w:rPr>
        <w:t>Asukai</w:t>
      </w:r>
      <w:proofErr w:type="spellEnd"/>
      <w:r w:rsidR="00C07C5D">
        <w:rPr>
          <w:b w:val="0"/>
        </w:rPr>
        <w:t xml:space="preserve"> et al, 2002)</w:t>
      </w:r>
      <w:r w:rsidR="00F53D98">
        <w:rPr>
          <w:b w:val="0"/>
        </w:rPr>
        <w:t>.</w:t>
      </w:r>
    </w:p>
    <w:p w14:paraId="2D4E0304" w14:textId="77777777" w:rsidR="00F11AA7" w:rsidRDefault="00F11AA7" w:rsidP="00C07C5D">
      <w:pPr>
        <w:autoSpaceDE w:val="0"/>
        <w:autoSpaceDN w:val="0"/>
        <w:adjustRightInd w:val="0"/>
        <w:spacing w:line="360" w:lineRule="auto"/>
        <w:ind w:right="95"/>
        <w:jc w:val="both"/>
        <w:rPr>
          <w:rFonts w:cs="Calibri"/>
          <w:b/>
        </w:rPr>
      </w:pPr>
    </w:p>
    <w:p w14:paraId="47555A59" w14:textId="1F6E8222" w:rsidR="00791511" w:rsidRDefault="00791511" w:rsidP="00C07C5D">
      <w:pPr>
        <w:autoSpaceDE w:val="0"/>
        <w:autoSpaceDN w:val="0"/>
        <w:adjustRightInd w:val="0"/>
        <w:spacing w:line="360" w:lineRule="auto"/>
        <w:ind w:right="95"/>
        <w:jc w:val="both"/>
        <w:rPr>
          <w:rFonts w:cs="Calibri"/>
        </w:rPr>
      </w:pPr>
      <w:proofErr w:type="gramStart"/>
      <w:r>
        <w:rPr>
          <w:rFonts w:cs="Calibri"/>
          <w:b/>
        </w:rPr>
        <w:t>Patient Health Questionnaire (PHQ-9)</w:t>
      </w:r>
      <w:r>
        <w:rPr>
          <w:rFonts w:cs="Calibri"/>
        </w:rPr>
        <w:t>.</w:t>
      </w:r>
      <w:proofErr w:type="gramEnd"/>
      <w:r>
        <w:rPr>
          <w:rFonts w:cs="Calibri"/>
        </w:rPr>
        <w:t xml:space="preserve">  The PHQ-9 incorporates the diagnostic criteria of depression into a brief self-report tool, providing screening and measurement of severity within the past two weeks. Diagnostic validity of the PHQ-9 was originally established in studies involving primary care and obstetric clinics, and was shown to have .80 sensitivity and .88 specificity for major depression at a cut-off of </w:t>
      </w:r>
      <w:r>
        <w:t>≥</w:t>
      </w:r>
      <w:r>
        <w:rPr>
          <w:rFonts w:cs="Calibri"/>
        </w:rPr>
        <w:t xml:space="preserve"> 10</w:t>
      </w:r>
      <w:r w:rsidR="00C07C5D">
        <w:rPr>
          <w:rFonts w:cs="Calibri"/>
        </w:rPr>
        <w:t xml:space="preserve"> (</w:t>
      </w:r>
      <w:proofErr w:type="spellStart"/>
      <w:r w:rsidR="00C07C5D">
        <w:rPr>
          <w:rFonts w:cs="Calibri"/>
        </w:rPr>
        <w:t>Kroenke</w:t>
      </w:r>
      <w:proofErr w:type="spellEnd"/>
      <w:r w:rsidR="00C07C5D">
        <w:rPr>
          <w:rFonts w:cs="Calibri"/>
        </w:rPr>
        <w:t xml:space="preserve"> et al, 2001). </w:t>
      </w:r>
    </w:p>
    <w:p w14:paraId="3077E5C5" w14:textId="77777777" w:rsidR="00591F8C" w:rsidRDefault="00591F8C" w:rsidP="00C07C5D">
      <w:pPr>
        <w:autoSpaceDE w:val="0"/>
        <w:autoSpaceDN w:val="0"/>
        <w:adjustRightInd w:val="0"/>
        <w:spacing w:line="360" w:lineRule="auto"/>
        <w:ind w:right="95"/>
        <w:jc w:val="both"/>
        <w:rPr>
          <w:rFonts w:cs="Calibri"/>
        </w:rPr>
      </w:pPr>
    </w:p>
    <w:p w14:paraId="02B67D74" w14:textId="5601FC89" w:rsidR="00791511" w:rsidRDefault="00791511" w:rsidP="00C07C5D">
      <w:pPr>
        <w:autoSpaceDE w:val="0"/>
        <w:autoSpaceDN w:val="0"/>
        <w:adjustRightInd w:val="0"/>
        <w:spacing w:line="360" w:lineRule="auto"/>
        <w:ind w:right="95"/>
        <w:jc w:val="both"/>
        <w:rPr>
          <w:rFonts w:cs="Calibri"/>
        </w:rPr>
      </w:pPr>
      <w:r>
        <w:rPr>
          <w:rFonts w:cs="Calibri"/>
          <w:b/>
        </w:rPr>
        <w:t>Generalised Anxiety Disorder (GAD-7)</w:t>
      </w:r>
      <w:r>
        <w:rPr>
          <w:rFonts w:cs="Calibri"/>
        </w:rPr>
        <w:t xml:space="preserve">.  The GAD-7 is also a brief self-report questionnaire that measures anxiety related symptoms as experienced during the past two weeks.  </w:t>
      </w:r>
      <w:r>
        <w:rPr>
          <w:rFonts w:cs="Calibri"/>
          <w:color w:val="000000"/>
        </w:rPr>
        <w:t xml:space="preserve">The </w:t>
      </w:r>
      <w:r>
        <w:rPr>
          <w:rFonts w:cs="Calibri"/>
        </w:rPr>
        <w:t>measure has been demonstrated to have good internal consistency and test-retest reliability</w:t>
      </w:r>
      <w:r>
        <w:rPr>
          <w:rFonts w:cs="Calibri"/>
          <w:color w:val="000000"/>
        </w:rPr>
        <w:t>.  Using the threshold score of 10, the diagnostic validity of the GAD-7 has a sensitivity</w:t>
      </w:r>
      <w:r>
        <w:rPr>
          <w:rFonts w:cs="Calibri"/>
        </w:rPr>
        <w:t xml:space="preserve"> </w:t>
      </w:r>
      <w:r>
        <w:rPr>
          <w:rFonts w:cs="Calibri"/>
          <w:color w:val="000000"/>
        </w:rPr>
        <w:t>of .89 and specificity of .82 for generalized anxiety</w:t>
      </w:r>
      <w:r>
        <w:rPr>
          <w:rFonts w:cs="Calibri"/>
        </w:rPr>
        <w:t xml:space="preserve"> </w:t>
      </w:r>
      <w:r>
        <w:rPr>
          <w:rFonts w:cs="Calibri"/>
          <w:color w:val="000000"/>
        </w:rPr>
        <w:t>disorder</w:t>
      </w:r>
      <w:r w:rsidR="00C07C5D">
        <w:rPr>
          <w:rFonts w:cs="Calibri"/>
          <w:color w:val="000000"/>
        </w:rPr>
        <w:t xml:space="preserve"> (Spitzer et al, 2006)</w:t>
      </w:r>
      <w:r w:rsidR="00850DE7">
        <w:rPr>
          <w:rFonts w:cs="Calibri"/>
          <w:color w:val="000000"/>
        </w:rPr>
        <w:t>.</w:t>
      </w:r>
      <w:r>
        <w:rPr>
          <w:rFonts w:cs="Calibri"/>
          <w:color w:val="000000"/>
        </w:rPr>
        <w:t xml:space="preserve"> </w:t>
      </w:r>
    </w:p>
    <w:p w14:paraId="0352F580" w14:textId="77777777" w:rsidR="00135B8E" w:rsidRDefault="00135B8E" w:rsidP="00C07C5D">
      <w:pPr>
        <w:autoSpaceDE w:val="0"/>
        <w:autoSpaceDN w:val="0"/>
        <w:adjustRightInd w:val="0"/>
        <w:spacing w:line="360" w:lineRule="auto"/>
        <w:ind w:right="95"/>
        <w:jc w:val="both"/>
        <w:rPr>
          <w:rFonts w:cs="Arial"/>
          <w:b/>
          <w:i/>
        </w:rPr>
      </w:pPr>
    </w:p>
    <w:p w14:paraId="27DC2156" w14:textId="0EDB04C7" w:rsidR="00591F8C" w:rsidRDefault="00591F8C" w:rsidP="00C07C5D">
      <w:pPr>
        <w:autoSpaceDE w:val="0"/>
        <w:autoSpaceDN w:val="0"/>
        <w:adjustRightInd w:val="0"/>
        <w:spacing w:line="360" w:lineRule="auto"/>
        <w:ind w:right="95"/>
        <w:jc w:val="both"/>
        <w:rPr>
          <w:rFonts w:cs="Arial"/>
          <w:b/>
          <w:i/>
        </w:rPr>
      </w:pPr>
      <w:r>
        <w:rPr>
          <w:rFonts w:cs="Arial"/>
          <w:b/>
          <w:i/>
        </w:rPr>
        <w:t>Procedure</w:t>
      </w:r>
    </w:p>
    <w:p w14:paraId="53EEE327" w14:textId="77777777" w:rsidR="00F11AA7" w:rsidRDefault="00F11AA7" w:rsidP="00C07C5D">
      <w:pPr>
        <w:autoSpaceDE w:val="0"/>
        <w:autoSpaceDN w:val="0"/>
        <w:adjustRightInd w:val="0"/>
        <w:spacing w:line="360" w:lineRule="auto"/>
        <w:ind w:right="95"/>
        <w:jc w:val="both"/>
        <w:rPr>
          <w:rFonts w:cs="Arial"/>
          <w:b/>
          <w:i/>
        </w:rPr>
      </w:pPr>
    </w:p>
    <w:p w14:paraId="101434DA" w14:textId="7102DB40" w:rsidR="000433B5" w:rsidRDefault="00591F8C" w:rsidP="00C07C5D">
      <w:pPr>
        <w:autoSpaceDE w:val="0"/>
        <w:autoSpaceDN w:val="0"/>
        <w:adjustRightInd w:val="0"/>
        <w:spacing w:line="360" w:lineRule="auto"/>
        <w:ind w:right="95"/>
        <w:jc w:val="both"/>
        <w:rPr>
          <w:rFonts w:cs="Arial"/>
        </w:rPr>
      </w:pPr>
      <w:r>
        <w:rPr>
          <w:rFonts w:cs="Arial"/>
        </w:rPr>
        <w:t xml:space="preserve"> </w:t>
      </w:r>
      <w:r w:rsidR="00575202">
        <w:rPr>
          <w:rFonts w:cs="Arial"/>
        </w:rPr>
        <w:t>M</w:t>
      </w:r>
      <w:r>
        <w:rPr>
          <w:rFonts w:cs="Arial"/>
        </w:rPr>
        <w:t xml:space="preserve">easures were </w:t>
      </w:r>
      <w:r w:rsidR="00152D82">
        <w:rPr>
          <w:rFonts w:cs="Arial"/>
        </w:rPr>
        <w:t xml:space="preserve">routinely </w:t>
      </w:r>
      <w:r>
        <w:rPr>
          <w:rFonts w:cs="Arial"/>
        </w:rPr>
        <w:t>given to women to complete at their initial assessment session (</w:t>
      </w:r>
      <w:r w:rsidR="00CF3B8E">
        <w:rPr>
          <w:rFonts w:cs="Arial"/>
        </w:rPr>
        <w:t>T1</w:t>
      </w:r>
      <w:r>
        <w:rPr>
          <w:rFonts w:cs="Arial"/>
        </w:rPr>
        <w:t>) with the Clinical Psychologist and following the completion of psychological intervention (</w:t>
      </w:r>
      <w:r w:rsidR="00CF3B8E">
        <w:rPr>
          <w:rFonts w:cs="Arial"/>
        </w:rPr>
        <w:t>T2</w:t>
      </w:r>
      <w:r>
        <w:rPr>
          <w:rFonts w:cs="Arial"/>
        </w:rPr>
        <w:t>).</w:t>
      </w:r>
      <w:r w:rsidR="00575202">
        <w:rPr>
          <w:rFonts w:cs="Arial"/>
        </w:rPr>
        <w:t xml:space="preserve"> </w:t>
      </w:r>
      <w:r w:rsidR="000433B5">
        <w:rPr>
          <w:rFonts w:cs="Arial"/>
        </w:rPr>
        <w:t xml:space="preserve">As expected from a service </w:t>
      </w:r>
      <w:r w:rsidR="00C70452">
        <w:rPr>
          <w:rFonts w:cs="Arial"/>
        </w:rPr>
        <w:t>audit, subgroups</w:t>
      </w:r>
      <w:r w:rsidR="000433B5">
        <w:rPr>
          <w:rFonts w:cs="Arial"/>
        </w:rPr>
        <w:t xml:space="preserve"> of women showed different </w:t>
      </w:r>
      <w:r w:rsidR="00D727E1">
        <w:rPr>
          <w:rFonts w:cs="Arial"/>
        </w:rPr>
        <w:t xml:space="preserve">patterns </w:t>
      </w:r>
      <w:r w:rsidR="00C70452">
        <w:rPr>
          <w:rFonts w:cs="Arial"/>
        </w:rPr>
        <w:t>of care</w:t>
      </w:r>
      <w:r w:rsidR="000433B5">
        <w:rPr>
          <w:rFonts w:cs="Arial"/>
        </w:rPr>
        <w:t xml:space="preserve"> journeys.</w:t>
      </w:r>
    </w:p>
    <w:p w14:paraId="7EC3C095" w14:textId="77777777" w:rsidR="00E40775" w:rsidRDefault="00E40775" w:rsidP="00C07C5D">
      <w:pPr>
        <w:autoSpaceDE w:val="0"/>
        <w:autoSpaceDN w:val="0"/>
        <w:adjustRightInd w:val="0"/>
        <w:spacing w:line="360" w:lineRule="auto"/>
        <w:ind w:right="95"/>
        <w:jc w:val="both"/>
        <w:rPr>
          <w:rFonts w:cs="Arial"/>
        </w:rPr>
      </w:pPr>
    </w:p>
    <w:p w14:paraId="62A34775" w14:textId="635D39C8" w:rsidR="000433B5" w:rsidRDefault="000124E1" w:rsidP="00C07C5D">
      <w:pPr>
        <w:autoSpaceDE w:val="0"/>
        <w:autoSpaceDN w:val="0"/>
        <w:adjustRightInd w:val="0"/>
        <w:spacing w:line="360" w:lineRule="auto"/>
        <w:ind w:right="95"/>
        <w:jc w:val="both"/>
        <w:rPr>
          <w:rFonts w:cs="Arial"/>
        </w:rPr>
      </w:pPr>
      <w:r>
        <w:rPr>
          <w:rFonts w:cs="Arial"/>
        </w:rPr>
        <w:t xml:space="preserve">From the 114 </w:t>
      </w:r>
      <w:r w:rsidR="00934A8F">
        <w:rPr>
          <w:rFonts w:cs="Arial"/>
        </w:rPr>
        <w:t xml:space="preserve">post-natal </w:t>
      </w:r>
      <w:r>
        <w:rPr>
          <w:rFonts w:cs="Arial"/>
        </w:rPr>
        <w:t xml:space="preserve">women referred to </w:t>
      </w:r>
      <w:r w:rsidR="00DA6643">
        <w:rPr>
          <w:rFonts w:cs="Arial"/>
        </w:rPr>
        <w:t xml:space="preserve">and discharged from </w:t>
      </w:r>
      <w:r>
        <w:rPr>
          <w:rFonts w:cs="Arial"/>
        </w:rPr>
        <w:t xml:space="preserve">the service during the time period under </w:t>
      </w:r>
      <w:r w:rsidR="009D5ECF">
        <w:rPr>
          <w:rFonts w:cs="Arial"/>
        </w:rPr>
        <w:t>review</w:t>
      </w:r>
      <w:r>
        <w:rPr>
          <w:rFonts w:cs="Arial"/>
        </w:rPr>
        <w:t xml:space="preserve">, 74 </w:t>
      </w:r>
      <w:r w:rsidR="007F592A">
        <w:rPr>
          <w:rFonts w:cs="Arial"/>
        </w:rPr>
        <w:t xml:space="preserve">(65%) </w:t>
      </w:r>
      <w:r>
        <w:rPr>
          <w:rFonts w:cs="Arial"/>
        </w:rPr>
        <w:t xml:space="preserve">completed </w:t>
      </w:r>
      <w:r w:rsidR="00D727E1">
        <w:rPr>
          <w:rFonts w:cs="Arial"/>
        </w:rPr>
        <w:t xml:space="preserve">their full assessment and interventions </w:t>
      </w:r>
      <w:r w:rsidR="00C70452">
        <w:rPr>
          <w:rFonts w:cs="Arial"/>
        </w:rPr>
        <w:t>i.e.</w:t>
      </w:r>
      <w:r w:rsidR="00D727E1">
        <w:rPr>
          <w:rFonts w:cs="Arial"/>
        </w:rPr>
        <w:t xml:space="preserve"> </w:t>
      </w:r>
      <w:r w:rsidR="00C70452">
        <w:rPr>
          <w:rFonts w:cs="Arial"/>
        </w:rPr>
        <w:t xml:space="preserve">with </w:t>
      </w:r>
      <w:r w:rsidR="00C70452">
        <w:rPr>
          <w:rFonts w:cs="Arial"/>
        </w:rPr>
        <w:lastRenderedPageBreak/>
        <w:t>measures</w:t>
      </w:r>
      <w:r>
        <w:rPr>
          <w:rFonts w:cs="Arial"/>
        </w:rPr>
        <w:t xml:space="preserve"> at </w:t>
      </w:r>
      <w:r w:rsidR="00CF3B8E">
        <w:rPr>
          <w:rFonts w:cs="Arial"/>
        </w:rPr>
        <w:t xml:space="preserve">T1 </w:t>
      </w:r>
      <w:r>
        <w:rPr>
          <w:rFonts w:cs="Arial"/>
        </w:rPr>
        <w:t xml:space="preserve">and </w:t>
      </w:r>
      <w:r w:rsidR="00CF3B8E">
        <w:rPr>
          <w:rFonts w:cs="Arial"/>
        </w:rPr>
        <w:t>T2</w:t>
      </w:r>
      <w:r>
        <w:rPr>
          <w:rFonts w:cs="Arial"/>
        </w:rPr>
        <w:t>.</w:t>
      </w:r>
      <w:r w:rsidR="00591F8C">
        <w:rPr>
          <w:rFonts w:cs="Arial"/>
        </w:rPr>
        <w:t xml:space="preserve"> </w:t>
      </w:r>
      <w:r w:rsidR="00591F8C" w:rsidRPr="006752E5">
        <w:rPr>
          <w:rFonts w:cs="Arial"/>
        </w:rPr>
        <w:t xml:space="preserve">A small number of women </w:t>
      </w:r>
      <w:r w:rsidR="007F592A">
        <w:rPr>
          <w:rFonts w:cs="Arial"/>
        </w:rPr>
        <w:t xml:space="preserve">(N=13) (11.5%) </w:t>
      </w:r>
      <w:r w:rsidR="00591F8C" w:rsidRPr="006752E5">
        <w:rPr>
          <w:rFonts w:cs="Arial"/>
        </w:rPr>
        <w:t>were seen for an assessment</w:t>
      </w:r>
      <w:r w:rsidR="00CF3B8E">
        <w:rPr>
          <w:rFonts w:cs="Arial"/>
        </w:rPr>
        <w:t xml:space="preserve"> only </w:t>
      </w:r>
      <w:r w:rsidR="00591F8C" w:rsidRPr="006752E5">
        <w:rPr>
          <w:rFonts w:cs="Arial"/>
        </w:rPr>
        <w:t xml:space="preserve">and completed </w:t>
      </w:r>
      <w:r w:rsidR="00CF3B8E">
        <w:rPr>
          <w:rFonts w:cs="Arial"/>
        </w:rPr>
        <w:t>T</w:t>
      </w:r>
      <w:r w:rsidR="00CF3B8E" w:rsidRPr="006752E5">
        <w:rPr>
          <w:rFonts w:cs="Arial"/>
        </w:rPr>
        <w:t xml:space="preserve">1 </w:t>
      </w:r>
      <w:r w:rsidR="00591F8C" w:rsidRPr="006752E5">
        <w:rPr>
          <w:rFonts w:cs="Arial"/>
        </w:rPr>
        <w:t xml:space="preserve">measures, but further psychological therapy was not </w:t>
      </w:r>
      <w:r w:rsidR="00CF3B8E">
        <w:rPr>
          <w:rFonts w:cs="Arial"/>
        </w:rPr>
        <w:t xml:space="preserve">needed or </w:t>
      </w:r>
      <w:r w:rsidR="00591F8C" w:rsidRPr="006752E5">
        <w:rPr>
          <w:rFonts w:cs="Arial"/>
        </w:rPr>
        <w:t>wanted, or it was felt that onward referral</w:t>
      </w:r>
      <w:r w:rsidRPr="006752E5">
        <w:rPr>
          <w:rFonts w:cs="Arial"/>
        </w:rPr>
        <w:t xml:space="preserve">, </w:t>
      </w:r>
      <w:r w:rsidR="00591F8C" w:rsidRPr="006752E5">
        <w:rPr>
          <w:rFonts w:cs="Arial"/>
        </w:rPr>
        <w:t>for example to Perinatal Mental Health Services</w:t>
      </w:r>
      <w:r w:rsidRPr="006752E5">
        <w:rPr>
          <w:rFonts w:cs="Arial"/>
        </w:rPr>
        <w:t>,</w:t>
      </w:r>
      <w:r w:rsidR="00591F8C" w:rsidRPr="006752E5">
        <w:rPr>
          <w:rFonts w:cs="Arial"/>
        </w:rPr>
        <w:t xml:space="preserve"> would be more appropriate</w:t>
      </w:r>
      <w:r w:rsidR="00524D36">
        <w:rPr>
          <w:rFonts w:cs="Arial"/>
        </w:rPr>
        <w:t xml:space="preserve">. </w:t>
      </w:r>
      <w:r w:rsidR="009D5ECF">
        <w:rPr>
          <w:rFonts w:cs="Arial"/>
        </w:rPr>
        <w:t xml:space="preserve">Fourteen </w:t>
      </w:r>
      <w:r w:rsidR="00591F8C" w:rsidRPr="006752E5">
        <w:rPr>
          <w:rFonts w:cs="Arial"/>
        </w:rPr>
        <w:t xml:space="preserve">women attended for an assessment and consented to participate in a therapeutic intervention but then subsequently </w:t>
      </w:r>
      <w:r w:rsidR="00CF3B8E">
        <w:rPr>
          <w:rFonts w:cs="Arial"/>
        </w:rPr>
        <w:t>did not complete</w:t>
      </w:r>
      <w:r w:rsidR="00591F8C" w:rsidRPr="006752E5">
        <w:rPr>
          <w:rFonts w:cs="Arial"/>
        </w:rPr>
        <w:t xml:space="preserve"> therapy</w:t>
      </w:r>
      <w:r w:rsidRPr="006752E5">
        <w:rPr>
          <w:rFonts w:cs="Arial"/>
        </w:rPr>
        <w:t xml:space="preserve"> </w:t>
      </w:r>
      <w:r w:rsidR="007F592A">
        <w:rPr>
          <w:rFonts w:cs="Arial"/>
        </w:rPr>
        <w:t>(12%)</w:t>
      </w:r>
      <w:r w:rsidR="00591F8C" w:rsidRPr="006752E5">
        <w:rPr>
          <w:rFonts w:cs="Arial"/>
        </w:rPr>
        <w:t xml:space="preserve">. </w:t>
      </w:r>
      <w:r w:rsidR="00CB2053">
        <w:rPr>
          <w:rFonts w:cs="Arial"/>
        </w:rPr>
        <w:t>This group of women attended an average of three sessions, and therapy was either incomplete due to unexplained attrition, or other life factors meaning they were not able to continue the sessions</w:t>
      </w:r>
      <w:r w:rsidR="00C3222B">
        <w:rPr>
          <w:rFonts w:cs="Arial"/>
        </w:rPr>
        <w:t>. For example if their stage of employment</w:t>
      </w:r>
      <w:r w:rsidR="009C3501">
        <w:rPr>
          <w:rFonts w:cs="Arial"/>
        </w:rPr>
        <w:t>,</w:t>
      </w:r>
      <w:r w:rsidR="00C3222B">
        <w:rPr>
          <w:rFonts w:cs="Arial"/>
        </w:rPr>
        <w:t xml:space="preserve"> e.g</w:t>
      </w:r>
      <w:r w:rsidR="009C3501">
        <w:rPr>
          <w:rFonts w:cs="Arial"/>
        </w:rPr>
        <w:t>.</w:t>
      </w:r>
      <w:r w:rsidR="00C3222B">
        <w:rPr>
          <w:rFonts w:cs="Arial"/>
        </w:rPr>
        <w:t xml:space="preserve"> a new post or training course did not facilitate their taking time for regular therapy sessions at that </w:t>
      </w:r>
      <w:r w:rsidR="00FD6578">
        <w:rPr>
          <w:rFonts w:cs="Arial"/>
        </w:rPr>
        <w:t xml:space="preserve">time </w:t>
      </w:r>
      <w:r w:rsidR="00C3222B">
        <w:rPr>
          <w:rFonts w:cs="Arial"/>
        </w:rPr>
        <w:t>point</w:t>
      </w:r>
      <w:r w:rsidR="00CB2053">
        <w:rPr>
          <w:rFonts w:cs="Arial"/>
        </w:rPr>
        <w:t xml:space="preserve">. </w:t>
      </w:r>
      <w:r w:rsidRPr="006752E5">
        <w:rPr>
          <w:rFonts w:cs="Arial"/>
        </w:rPr>
        <w:t xml:space="preserve">T1 data is </w:t>
      </w:r>
      <w:r w:rsidR="00CB2053">
        <w:rPr>
          <w:rFonts w:cs="Arial"/>
        </w:rPr>
        <w:t xml:space="preserve">therefore </w:t>
      </w:r>
      <w:r w:rsidRPr="006752E5">
        <w:rPr>
          <w:rFonts w:cs="Arial"/>
        </w:rPr>
        <w:t xml:space="preserve">available for this group, but not </w:t>
      </w:r>
      <w:r w:rsidR="00CF3B8E">
        <w:rPr>
          <w:rFonts w:cs="Arial"/>
        </w:rPr>
        <w:t>T</w:t>
      </w:r>
      <w:r w:rsidR="00CF3B8E" w:rsidRPr="006752E5">
        <w:rPr>
          <w:rFonts w:cs="Arial"/>
        </w:rPr>
        <w:t>2</w:t>
      </w:r>
      <w:r w:rsidRPr="006752E5">
        <w:rPr>
          <w:rFonts w:cs="Arial"/>
        </w:rPr>
        <w:t>. Thirteen women were referred and sent an initial appointment but never attended (DNA), and no data is therefore available for these women</w:t>
      </w:r>
      <w:r w:rsidR="007F592A">
        <w:rPr>
          <w:rFonts w:cs="Arial"/>
        </w:rPr>
        <w:t xml:space="preserve"> (11.5%)</w:t>
      </w:r>
      <w:r w:rsidRPr="006752E5">
        <w:rPr>
          <w:rFonts w:cs="Arial"/>
        </w:rPr>
        <w:t xml:space="preserve">. </w:t>
      </w:r>
    </w:p>
    <w:p w14:paraId="6E41DB28" w14:textId="77777777" w:rsidR="000433B5" w:rsidRDefault="000433B5" w:rsidP="00C07C5D">
      <w:pPr>
        <w:autoSpaceDE w:val="0"/>
        <w:autoSpaceDN w:val="0"/>
        <w:adjustRightInd w:val="0"/>
        <w:spacing w:line="360" w:lineRule="auto"/>
        <w:ind w:right="95"/>
        <w:jc w:val="both"/>
        <w:rPr>
          <w:rFonts w:cs="Arial"/>
        </w:rPr>
      </w:pPr>
    </w:p>
    <w:p w14:paraId="42F7AB8C" w14:textId="72DE63F8" w:rsidR="00591F8C" w:rsidRDefault="00591F8C" w:rsidP="00C07C5D">
      <w:pPr>
        <w:autoSpaceDE w:val="0"/>
        <w:autoSpaceDN w:val="0"/>
        <w:adjustRightInd w:val="0"/>
        <w:spacing w:line="360" w:lineRule="auto"/>
        <w:ind w:right="95"/>
        <w:jc w:val="both"/>
        <w:rPr>
          <w:rFonts w:cs="Arial"/>
        </w:rPr>
      </w:pPr>
      <w:r w:rsidRPr="006752E5">
        <w:rPr>
          <w:rFonts w:cs="Arial"/>
        </w:rPr>
        <w:t>Results will therefore be considered for these groups individually (therapy completed, assessment only, and women who did not complete therapy).</w:t>
      </w:r>
      <w:r>
        <w:rPr>
          <w:rFonts w:cs="Arial"/>
        </w:rPr>
        <w:t xml:space="preserve"> </w:t>
      </w:r>
      <w:r w:rsidR="006752E5">
        <w:rPr>
          <w:rFonts w:cs="Arial"/>
        </w:rPr>
        <w:t xml:space="preserve">For women who </w:t>
      </w:r>
      <w:r w:rsidR="00087187">
        <w:rPr>
          <w:rFonts w:cs="Arial"/>
        </w:rPr>
        <w:t>were offered</w:t>
      </w:r>
      <w:r w:rsidR="006752E5">
        <w:rPr>
          <w:rFonts w:cs="Arial"/>
        </w:rPr>
        <w:t xml:space="preserve"> psychological therapy, the </w:t>
      </w:r>
      <w:r w:rsidR="005C2606">
        <w:rPr>
          <w:rFonts w:cs="Arial"/>
        </w:rPr>
        <w:t>median</w:t>
      </w:r>
      <w:r w:rsidR="006752E5">
        <w:rPr>
          <w:rFonts w:cs="Arial"/>
        </w:rPr>
        <w:t xml:space="preserve"> </w:t>
      </w:r>
      <w:r w:rsidR="009611F0">
        <w:rPr>
          <w:rFonts w:cs="Arial"/>
        </w:rPr>
        <w:t xml:space="preserve">total </w:t>
      </w:r>
      <w:r w:rsidR="00C70452">
        <w:rPr>
          <w:rFonts w:cs="Arial"/>
        </w:rPr>
        <w:t>sessions was</w:t>
      </w:r>
      <w:r w:rsidR="006752E5">
        <w:rPr>
          <w:rFonts w:cs="Arial"/>
        </w:rPr>
        <w:t xml:space="preserve"> </w:t>
      </w:r>
      <w:r w:rsidR="005C2606">
        <w:rPr>
          <w:rFonts w:cs="Arial"/>
        </w:rPr>
        <w:t>six</w:t>
      </w:r>
      <w:r w:rsidR="006752E5">
        <w:rPr>
          <w:rFonts w:cs="Arial"/>
        </w:rPr>
        <w:t xml:space="preserve"> </w:t>
      </w:r>
      <w:r w:rsidR="00C70452">
        <w:rPr>
          <w:rFonts w:cs="Arial"/>
        </w:rPr>
        <w:t>i.e.</w:t>
      </w:r>
      <w:r w:rsidR="009611F0">
        <w:rPr>
          <w:rFonts w:cs="Arial"/>
        </w:rPr>
        <w:t xml:space="preserve">, 9 </w:t>
      </w:r>
      <w:r w:rsidR="00C70452">
        <w:rPr>
          <w:rFonts w:cs="Arial"/>
        </w:rPr>
        <w:t>hours of</w:t>
      </w:r>
      <w:r w:rsidR="009611F0">
        <w:rPr>
          <w:rFonts w:cs="Arial"/>
        </w:rPr>
        <w:t xml:space="preserve"> clinical input </w:t>
      </w:r>
      <w:r w:rsidR="006752E5">
        <w:rPr>
          <w:rFonts w:cs="Arial"/>
        </w:rPr>
        <w:t xml:space="preserve">(minimum = </w:t>
      </w:r>
      <w:r w:rsidR="00087187">
        <w:rPr>
          <w:rFonts w:cs="Arial"/>
        </w:rPr>
        <w:t>2</w:t>
      </w:r>
      <w:r w:rsidR="006752E5">
        <w:rPr>
          <w:rFonts w:cs="Arial"/>
        </w:rPr>
        <w:t>, maximum = 1</w:t>
      </w:r>
      <w:r w:rsidR="00087187">
        <w:rPr>
          <w:rFonts w:cs="Arial"/>
        </w:rPr>
        <w:t>7</w:t>
      </w:r>
      <w:r w:rsidR="006752E5">
        <w:rPr>
          <w:rFonts w:cs="Arial"/>
        </w:rPr>
        <w:t>).</w:t>
      </w:r>
    </w:p>
    <w:p w14:paraId="5DD85ACA" w14:textId="77777777" w:rsidR="006752E5" w:rsidRDefault="006752E5" w:rsidP="00C07C5D">
      <w:pPr>
        <w:autoSpaceDE w:val="0"/>
        <w:autoSpaceDN w:val="0"/>
        <w:adjustRightInd w:val="0"/>
        <w:spacing w:line="360" w:lineRule="auto"/>
        <w:ind w:right="95"/>
        <w:jc w:val="both"/>
        <w:rPr>
          <w:rFonts w:cs="Arial"/>
        </w:rPr>
      </w:pPr>
    </w:p>
    <w:p w14:paraId="7C05E992" w14:textId="0E8D2E2E" w:rsidR="00591F8C" w:rsidRDefault="00591F8C" w:rsidP="00C07C5D">
      <w:pPr>
        <w:spacing w:line="360" w:lineRule="auto"/>
        <w:ind w:right="95"/>
        <w:jc w:val="both"/>
        <w:rPr>
          <w:rFonts w:cs="Arial"/>
          <w:b/>
          <w:i/>
        </w:rPr>
      </w:pPr>
      <w:r>
        <w:rPr>
          <w:rFonts w:cs="Arial"/>
          <w:b/>
          <w:i/>
        </w:rPr>
        <w:t>Data Analysis</w:t>
      </w:r>
    </w:p>
    <w:p w14:paraId="59315A79" w14:textId="77777777" w:rsidR="00F11AA7" w:rsidRDefault="00F11AA7" w:rsidP="00C07C5D">
      <w:pPr>
        <w:spacing w:line="360" w:lineRule="auto"/>
        <w:ind w:right="95"/>
        <w:jc w:val="both"/>
        <w:rPr>
          <w:rFonts w:cs="Arial"/>
          <w:b/>
          <w:i/>
        </w:rPr>
      </w:pPr>
    </w:p>
    <w:p w14:paraId="09DE7EAD" w14:textId="70381F68" w:rsidR="00591F8C" w:rsidRDefault="00591F8C" w:rsidP="00C07C5D">
      <w:pPr>
        <w:spacing w:line="360" w:lineRule="auto"/>
        <w:ind w:right="95"/>
        <w:jc w:val="both"/>
      </w:pPr>
      <w:r>
        <w:rPr>
          <w:rFonts w:cs="Arial"/>
        </w:rPr>
        <w:t xml:space="preserve">Data from these routinely collected measures were recorded at service level within a password-protected Excel spreadsheet and </w:t>
      </w:r>
      <w:r>
        <w:t xml:space="preserve">analysed using a series of paired sample </w:t>
      </w:r>
      <w:r w:rsidRPr="00135B8E">
        <w:rPr>
          <w:iCs/>
        </w:rPr>
        <w:t xml:space="preserve">t </w:t>
      </w:r>
      <w:r>
        <w:t>tests.</w:t>
      </w:r>
      <w:r w:rsidR="00721483">
        <w:t xml:space="preserve">   </w:t>
      </w:r>
      <w:r w:rsidR="00A70235">
        <w:t xml:space="preserve">Although means and standard deviations for subsamples are presented </w:t>
      </w:r>
      <w:r w:rsidR="00E4488A">
        <w:t>statistical comparisons</w:t>
      </w:r>
      <w:r w:rsidR="00721483">
        <w:t xml:space="preserve"> between the</w:t>
      </w:r>
      <w:r w:rsidR="00A70235">
        <w:t>se</w:t>
      </w:r>
      <w:r w:rsidR="00721483">
        <w:t xml:space="preserve"> are not presented because of </w:t>
      </w:r>
      <w:r w:rsidR="00A70235">
        <w:t xml:space="preserve">some being </w:t>
      </w:r>
      <w:r w:rsidR="00721483">
        <w:t>small sample sizes</w:t>
      </w:r>
      <w:r w:rsidR="00A70235">
        <w:t>.</w:t>
      </w:r>
      <w:r w:rsidR="00721483">
        <w:t xml:space="preserve"> </w:t>
      </w:r>
    </w:p>
    <w:p w14:paraId="37AE7768" w14:textId="77777777" w:rsidR="00591F8C" w:rsidRDefault="00591F8C" w:rsidP="00C07C5D">
      <w:pPr>
        <w:spacing w:line="360" w:lineRule="auto"/>
        <w:ind w:right="95"/>
        <w:jc w:val="both"/>
      </w:pPr>
    </w:p>
    <w:p w14:paraId="3B27B257" w14:textId="77777777" w:rsidR="00591F8C" w:rsidRDefault="00591F8C" w:rsidP="00C07C5D">
      <w:pPr>
        <w:spacing w:line="360" w:lineRule="auto"/>
        <w:ind w:right="95"/>
        <w:jc w:val="both"/>
        <w:rPr>
          <w:rFonts w:cs="Arial"/>
          <w:b/>
        </w:rPr>
      </w:pPr>
      <w:r w:rsidRPr="00135B8E">
        <w:rPr>
          <w:rFonts w:cs="Arial"/>
          <w:b/>
        </w:rPr>
        <w:t>Results</w:t>
      </w:r>
      <w:r>
        <w:rPr>
          <w:rFonts w:cs="Arial"/>
          <w:b/>
        </w:rPr>
        <w:t xml:space="preserve"> </w:t>
      </w:r>
    </w:p>
    <w:p w14:paraId="6615BBEA" w14:textId="77777777" w:rsidR="00AB2DE2" w:rsidRDefault="00AB2DE2" w:rsidP="00C07C5D">
      <w:pPr>
        <w:spacing w:line="360" w:lineRule="auto"/>
        <w:ind w:right="95"/>
        <w:jc w:val="both"/>
        <w:rPr>
          <w:rFonts w:cs="Arial"/>
          <w:b/>
        </w:rPr>
      </w:pPr>
    </w:p>
    <w:p w14:paraId="42433001" w14:textId="3AB625B7" w:rsidR="00D029FD" w:rsidRDefault="008A43B2" w:rsidP="00C07C5D">
      <w:pPr>
        <w:spacing w:line="360" w:lineRule="auto"/>
        <w:ind w:right="95"/>
        <w:jc w:val="both"/>
      </w:pPr>
      <w:r>
        <w:t xml:space="preserve">Descriptive statistics (mean average and standard deviation) for the groups ‘assessment only,’ ‘therapy incomplete,’ ‘therapy completed </w:t>
      </w:r>
      <w:r w:rsidR="00B02509">
        <w:t xml:space="preserve">T1’ </w:t>
      </w:r>
      <w:r>
        <w:t xml:space="preserve">and ‘therapy completed </w:t>
      </w:r>
      <w:r w:rsidR="00B02509">
        <w:t xml:space="preserve">T2’ </w:t>
      </w:r>
      <w:r>
        <w:t xml:space="preserve">are presented in Table </w:t>
      </w:r>
      <w:r w:rsidR="00135B8E">
        <w:t>2</w:t>
      </w:r>
      <w:r>
        <w:t xml:space="preserve">, below.  Please note that the data for assessment only and therapy incomplete is taken from </w:t>
      </w:r>
      <w:r w:rsidR="00B02509">
        <w:t>T1</w:t>
      </w:r>
      <w:r w:rsidR="00AB2DE2">
        <w:t xml:space="preserve"> only</w:t>
      </w:r>
      <w:r w:rsidR="00B02509">
        <w:t xml:space="preserve"> </w:t>
      </w:r>
      <w:r>
        <w:t xml:space="preserve">as women in these groups did not progress to the end of therapy to complete </w:t>
      </w:r>
      <w:r w:rsidR="00B02509">
        <w:t>T2</w:t>
      </w:r>
      <w:r>
        <w:t xml:space="preserve">. </w:t>
      </w:r>
    </w:p>
    <w:p w14:paraId="0A7E9343" w14:textId="77777777" w:rsidR="009C3501" w:rsidRDefault="009C3501" w:rsidP="00C07C5D">
      <w:pPr>
        <w:spacing w:line="360" w:lineRule="auto"/>
        <w:ind w:right="95"/>
        <w:jc w:val="both"/>
      </w:pPr>
    </w:p>
    <w:p w14:paraId="46672E4D" w14:textId="2A7D0015" w:rsidR="008A43B2" w:rsidRDefault="008A43B2" w:rsidP="00C07C5D">
      <w:pPr>
        <w:spacing w:line="360" w:lineRule="auto"/>
        <w:ind w:right="95"/>
        <w:jc w:val="both"/>
      </w:pPr>
      <w:proofErr w:type="gramStart"/>
      <w:r>
        <w:t xml:space="preserve">Table </w:t>
      </w:r>
      <w:r w:rsidR="00135B8E">
        <w:t>2</w:t>
      </w:r>
      <w:r>
        <w:t>.</w:t>
      </w:r>
      <w:proofErr w:type="gramEnd"/>
      <w:r>
        <w:t xml:space="preserve"> Descriptive statistics</w:t>
      </w:r>
    </w:p>
    <w:tbl>
      <w:tblPr>
        <w:tblStyle w:val="TableGrid"/>
        <w:tblW w:w="0" w:type="auto"/>
        <w:tblInd w:w="113" w:type="dxa"/>
        <w:tblLook w:val="04A0" w:firstRow="1" w:lastRow="0" w:firstColumn="1" w:lastColumn="0" w:noHBand="0" w:noVBand="1"/>
      </w:tblPr>
      <w:tblGrid>
        <w:gridCol w:w="1696"/>
        <w:gridCol w:w="1025"/>
        <w:gridCol w:w="756"/>
        <w:gridCol w:w="1113"/>
        <w:gridCol w:w="933"/>
        <w:gridCol w:w="855"/>
        <w:gridCol w:w="856"/>
        <w:gridCol w:w="855"/>
        <w:gridCol w:w="856"/>
      </w:tblGrid>
      <w:tr w:rsidR="008A43B2" w14:paraId="5B222EE3" w14:textId="77777777" w:rsidTr="00533DC7">
        <w:tc>
          <w:tcPr>
            <w:tcW w:w="1696" w:type="dxa"/>
            <w:tcBorders>
              <w:left w:val="nil"/>
              <w:bottom w:val="single" w:sz="4" w:space="0" w:color="auto"/>
              <w:right w:val="nil"/>
            </w:tcBorders>
          </w:tcPr>
          <w:p w14:paraId="50DEE044" w14:textId="77777777" w:rsidR="008A43B2" w:rsidRPr="008A43B2" w:rsidRDefault="008A43B2" w:rsidP="00C07C5D">
            <w:pPr>
              <w:spacing w:line="360" w:lineRule="auto"/>
              <w:contextualSpacing/>
              <w:jc w:val="both"/>
              <w:rPr>
                <w:b/>
                <w:bCs/>
              </w:rPr>
            </w:pPr>
            <w:r w:rsidRPr="008A43B2">
              <w:rPr>
                <w:b/>
                <w:bCs/>
              </w:rPr>
              <w:lastRenderedPageBreak/>
              <w:t>Measure</w:t>
            </w:r>
          </w:p>
          <w:p w14:paraId="114E6261" w14:textId="77777777" w:rsidR="008A43B2" w:rsidRPr="008A43B2" w:rsidRDefault="008A43B2" w:rsidP="00C07C5D">
            <w:pPr>
              <w:spacing w:line="360" w:lineRule="auto"/>
              <w:contextualSpacing/>
              <w:jc w:val="both"/>
              <w:rPr>
                <w:b/>
                <w:bCs/>
              </w:rPr>
            </w:pPr>
          </w:p>
        </w:tc>
        <w:tc>
          <w:tcPr>
            <w:tcW w:w="1781" w:type="dxa"/>
            <w:gridSpan w:val="2"/>
            <w:tcBorders>
              <w:left w:val="nil"/>
              <w:bottom w:val="single" w:sz="4" w:space="0" w:color="auto"/>
              <w:right w:val="nil"/>
            </w:tcBorders>
          </w:tcPr>
          <w:p w14:paraId="0720D645" w14:textId="61FD43A1" w:rsidR="008A43B2" w:rsidRPr="008A43B2" w:rsidRDefault="008A43B2" w:rsidP="00C07C5D">
            <w:pPr>
              <w:spacing w:line="360" w:lineRule="auto"/>
              <w:contextualSpacing/>
              <w:jc w:val="both"/>
              <w:rPr>
                <w:b/>
                <w:bCs/>
              </w:rPr>
            </w:pPr>
            <w:r w:rsidRPr="008A43B2">
              <w:rPr>
                <w:b/>
                <w:bCs/>
              </w:rPr>
              <w:t>Assessment only</w:t>
            </w:r>
            <w:r w:rsidR="00721483">
              <w:rPr>
                <w:b/>
                <w:bCs/>
              </w:rPr>
              <w:t xml:space="preserve"> (N=13)</w:t>
            </w:r>
          </w:p>
        </w:tc>
        <w:tc>
          <w:tcPr>
            <w:tcW w:w="1757" w:type="dxa"/>
            <w:gridSpan w:val="2"/>
            <w:tcBorders>
              <w:left w:val="nil"/>
              <w:bottom w:val="single" w:sz="4" w:space="0" w:color="auto"/>
              <w:right w:val="nil"/>
            </w:tcBorders>
          </w:tcPr>
          <w:p w14:paraId="11C8BCEE" w14:textId="791C40F2" w:rsidR="008A43B2" w:rsidRPr="008A43B2" w:rsidRDefault="008A43B2" w:rsidP="00C07C5D">
            <w:pPr>
              <w:spacing w:line="360" w:lineRule="auto"/>
              <w:contextualSpacing/>
              <w:jc w:val="both"/>
              <w:rPr>
                <w:b/>
                <w:bCs/>
              </w:rPr>
            </w:pPr>
            <w:r w:rsidRPr="008A43B2">
              <w:rPr>
                <w:b/>
                <w:bCs/>
              </w:rPr>
              <w:t>Therapy incomplete</w:t>
            </w:r>
            <w:r w:rsidR="00721483">
              <w:rPr>
                <w:b/>
                <w:bCs/>
              </w:rPr>
              <w:t>(N=14)</w:t>
            </w:r>
          </w:p>
        </w:tc>
        <w:tc>
          <w:tcPr>
            <w:tcW w:w="1711" w:type="dxa"/>
            <w:gridSpan w:val="2"/>
            <w:tcBorders>
              <w:left w:val="nil"/>
              <w:bottom w:val="single" w:sz="4" w:space="0" w:color="auto"/>
              <w:right w:val="nil"/>
            </w:tcBorders>
          </w:tcPr>
          <w:p w14:paraId="7FFE7350" w14:textId="73ECF9E6" w:rsidR="008A43B2" w:rsidRDefault="008A43B2" w:rsidP="00C07C5D">
            <w:pPr>
              <w:spacing w:line="360" w:lineRule="auto"/>
              <w:contextualSpacing/>
              <w:jc w:val="both"/>
              <w:rPr>
                <w:b/>
                <w:bCs/>
              </w:rPr>
            </w:pPr>
            <w:r w:rsidRPr="008A43B2">
              <w:rPr>
                <w:b/>
                <w:bCs/>
              </w:rPr>
              <w:t xml:space="preserve">Therapy complete </w:t>
            </w:r>
            <w:r w:rsidR="00707CE1">
              <w:rPr>
                <w:b/>
                <w:bCs/>
              </w:rPr>
              <w:t>T</w:t>
            </w:r>
            <w:r w:rsidR="00707CE1" w:rsidRPr="008A43B2">
              <w:rPr>
                <w:b/>
                <w:bCs/>
              </w:rPr>
              <w:t>1</w:t>
            </w:r>
          </w:p>
          <w:p w14:paraId="5D04C236" w14:textId="2C0D89B8" w:rsidR="00721483" w:rsidRPr="008A43B2" w:rsidRDefault="00721483" w:rsidP="00C07C5D">
            <w:pPr>
              <w:spacing w:line="360" w:lineRule="auto"/>
              <w:contextualSpacing/>
              <w:jc w:val="both"/>
              <w:rPr>
                <w:b/>
                <w:bCs/>
              </w:rPr>
            </w:pPr>
            <w:r>
              <w:rPr>
                <w:b/>
                <w:bCs/>
              </w:rPr>
              <w:t>(N=74)</w:t>
            </w:r>
          </w:p>
        </w:tc>
        <w:tc>
          <w:tcPr>
            <w:tcW w:w="1711" w:type="dxa"/>
            <w:gridSpan w:val="2"/>
            <w:tcBorders>
              <w:left w:val="nil"/>
              <w:bottom w:val="single" w:sz="4" w:space="0" w:color="auto"/>
              <w:right w:val="nil"/>
            </w:tcBorders>
          </w:tcPr>
          <w:p w14:paraId="4228ABD5" w14:textId="653BD5FA" w:rsidR="008A43B2" w:rsidRDefault="008A43B2" w:rsidP="00C07C5D">
            <w:pPr>
              <w:spacing w:line="360" w:lineRule="auto"/>
              <w:contextualSpacing/>
              <w:jc w:val="both"/>
              <w:rPr>
                <w:b/>
                <w:bCs/>
              </w:rPr>
            </w:pPr>
            <w:r w:rsidRPr="008A43B2">
              <w:rPr>
                <w:b/>
                <w:bCs/>
              </w:rPr>
              <w:t xml:space="preserve">Therapy complete </w:t>
            </w:r>
            <w:r w:rsidR="00707CE1">
              <w:rPr>
                <w:b/>
                <w:bCs/>
              </w:rPr>
              <w:t>T</w:t>
            </w:r>
            <w:r w:rsidRPr="008A43B2">
              <w:rPr>
                <w:b/>
                <w:bCs/>
              </w:rPr>
              <w:t>2</w:t>
            </w:r>
          </w:p>
          <w:p w14:paraId="1A9B83F6" w14:textId="0AB1D7D5" w:rsidR="00721483" w:rsidRPr="008A43B2" w:rsidRDefault="00721483" w:rsidP="00C07C5D">
            <w:pPr>
              <w:spacing w:line="360" w:lineRule="auto"/>
              <w:contextualSpacing/>
              <w:jc w:val="both"/>
              <w:rPr>
                <w:b/>
                <w:bCs/>
              </w:rPr>
            </w:pPr>
            <w:r>
              <w:rPr>
                <w:b/>
                <w:bCs/>
              </w:rPr>
              <w:t>(N=74)</w:t>
            </w:r>
          </w:p>
        </w:tc>
      </w:tr>
      <w:tr w:rsidR="008A43B2" w14:paraId="66F89BE9" w14:textId="77777777" w:rsidTr="00533DC7">
        <w:trPr>
          <w:trHeight w:val="355"/>
        </w:trPr>
        <w:tc>
          <w:tcPr>
            <w:tcW w:w="1696" w:type="dxa"/>
            <w:tcBorders>
              <w:top w:val="single" w:sz="4" w:space="0" w:color="auto"/>
              <w:left w:val="nil"/>
              <w:bottom w:val="single" w:sz="4" w:space="0" w:color="auto"/>
              <w:right w:val="nil"/>
            </w:tcBorders>
          </w:tcPr>
          <w:p w14:paraId="496D8EFC" w14:textId="77777777" w:rsidR="008A43B2" w:rsidRDefault="008A43B2" w:rsidP="00C07C5D">
            <w:pPr>
              <w:spacing w:line="360" w:lineRule="auto"/>
              <w:contextualSpacing/>
              <w:jc w:val="both"/>
            </w:pPr>
          </w:p>
        </w:tc>
        <w:tc>
          <w:tcPr>
            <w:tcW w:w="1025" w:type="dxa"/>
            <w:tcBorders>
              <w:top w:val="single" w:sz="4" w:space="0" w:color="auto"/>
              <w:left w:val="nil"/>
              <w:bottom w:val="single" w:sz="4" w:space="0" w:color="auto"/>
              <w:right w:val="nil"/>
            </w:tcBorders>
          </w:tcPr>
          <w:p w14:paraId="0B132F32" w14:textId="77777777" w:rsidR="008A43B2" w:rsidRPr="008A43B2" w:rsidRDefault="008A43B2" w:rsidP="00C07C5D">
            <w:pPr>
              <w:spacing w:line="360" w:lineRule="auto"/>
              <w:contextualSpacing/>
              <w:jc w:val="both"/>
              <w:rPr>
                <w:b/>
                <w:bCs/>
              </w:rPr>
            </w:pPr>
            <w:r w:rsidRPr="008A43B2">
              <w:rPr>
                <w:b/>
                <w:bCs/>
              </w:rPr>
              <w:t>Mean</w:t>
            </w:r>
          </w:p>
        </w:tc>
        <w:tc>
          <w:tcPr>
            <w:tcW w:w="756" w:type="dxa"/>
            <w:tcBorders>
              <w:top w:val="single" w:sz="4" w:space="0" w:color="auto"/>
              <w:left w:val="nil"/>
              <w:bottom w:val="single" w:sz="4" w:space="0" w:color="auto"/>
              <w:right w:val="nil"/>
            </w:tcBorders>
          </w:tcPr>
          <w:p w14:paraId="7A0635E0" w14:textId="77777777" w:rsidR="008A43B2" w:rsidRPr="008A43B2" w:rsidRDefault="008A43B2" w:rsidP="00C07C5D">
            <w:pPr>
              <w:spacing w:line="360" w:lineRule="auto"/>
              <w:contextualSpacing/>
              <w:jc w:val="both"/>
              <w:rPr>
                <w:b/>
                <w:bCs/>
              </w:rPr>
            </w:pPr>
            <w:r w:rsidRPr="008A43B2">
              <w:rPr>
                <w:b/>
                <w:bCs/>
              </w:rPr>
              <w:t>SD</w:t>
            </w:r>
          </w:p>
        </w:tc>
        <w:tc>
          <w:tcPr>
            <w:tcW w:w="1001" w:type="dxa"/>
            <w:tcBorders>
              <w:top w:val="single" w:sz="4" w:space="0" w:color="auto"/>
              <w:left w:val="nil"/>
              <w:bottom w:val="single" w:sz="4" w:space="0" w:color="auto"/>
              <w:right w:val="nil"/>
            </w:tcBorders>
          </w:tcPr>
          <w:p w14:paraId="5B4DD2BA" w14:textId="77777777" w:rsidR="008A43B2" w:rsidRPr="008A43B2" w:rsidRDefault="008A43B2" w:rsidP="00C07C5D">
            <w:pPr>
              <w:spacing w:line="360" w:lineRule="auto"/>
              <w:contextualSpacing/>
              <w:jc w:val="both"/>
              <w:rPr>
                <w:b/>
                <w:bCs/>
              </w:rPr>
            </w:pPr>
            <w:r w:rsidRPr="008A43B2">
              <w:rPr>
                <w:b/>
                <w:bCs/>
              </w:rPr>
              <w:t>Mean</w:t>
            </w:r>
          </w:p>
        </w:tc>
        <w:tc>
          <w:tcPr>
            <w:tcW w:w="756" w:type="dxa"/>
            <w:tcBorders>
              <w:top w:val="single" w:sz="4" w:space="0" w:color="auto"/>
              <w:left w:val="nil"/>
              <w:bottom w:val="single" w:sz="4" w:space="0" w:color="auto"/>
              <w:right w:val="nil"/>
            </w:tcBorders>
          </w:tcPr>
          <w:p w14:paraId="539A0941" w14:textId="77777777" w:rsidR="008A43B2" w:rsidRPr="008A43B2" w:rsidRDefault="008A43B2" w:rsidP="00C07C5D">
            <w:pPr>
              <w:spacing w:line="360" w:lineRule="auto"/>
              <w:contextualSpacing/>
              <w:jc w:val="both"/>
              <w:rPr>
                <w:b/>
                <w:bCs/>
              </w:rPr>
            </w:pPr>
            <w:r w:rsidRPr="008A43B2">
              <w:rPr>
                <w:b/>
                <w:bCs/>
              </w:rPr>
              <w:t>SD</w:t>
            </w:r>
          </w:p>
        </w:tc>
        <w:tc>
          <w:tcPr>
            <w:tcW w:w="855" w:type="dxa"/>
            <w:tcBorders>
              <w:top w:val="single" w:sz="4" w:space="0" w:color="auto"/>
              <w:left w:val="nil"/>
              <w:bottom w:val="single" w:sz="4" w:space="0" w:color="auto"/>
              <w:right w:val="nil"/>
            </w:tcBorders>
          </w:tcPr>
          <w:p w14:paraId="5761DABA" w14:textId="77777777" w:rsidR="008A43B2" w:rsidRPr="008A43B2" w:rsidRDefault="008A43B2" w:rsidP="00C07C5D">
            <w:pPr>
              <w:spacing w:line="360" w:lineRule="auto"/>
              <w:contextualSpacing/>
              <w:jc w:val="both"/>
              <w:rPr>
                <w:b/>
                <w:bCs/>
              </w:rPr>
            </w:pPr>
            <w:r w:rsidRPr="008A43B2">
              <w:rPr>
                <w:b/>
                <w:bCs/>
              </w:rPr>
              <w:t>Mean</w:t>
            </w:r>
          </w:p>
        </w:tc>
        <w:tc>
          <w:tcPr>
            <w:tcW w:w="856" w:type="dxa"/>
            <w:tcBorders>
              <w:top w:val="single" w:sz="4" w:space="0" w:color="auto"/>
              <w:left w:val="nil"/>
              <w:bottom w:val="single" w:sz="4" w:space="0" w:color="auto"/>
              <w:right w:val="nil"/>
            </w:tcBorders>
          </w:tcPr>
          <w:p w14:paraId="601102C9" w14:textId="77777777" w:rsidR="008A43B2" w:rsidRPr="008A43B2" w:rsidRDefault="008A43B2" w:rsidP="00C07C5D">
            <w:pPr>
              <w:spacing w:line="360" w:lineRule="auto"/>
              <w:contextualSpacing/>
              <w:jc w:val="both"/>
              <w:rPr>
                <w:b/>
                <w:bCs/>
              </w:rPr>
            </w:pPr>
            <w:r w:rsidRPr="008A43B2">
              <w:rPr>
                <w:b/>
                <w:bCs/>
              </w:rPr>
              <w:t>SD</w:t>
            </w:r>
          </w:p>
        </w:tc>
        <w:tc>
          <w:tcPr>
            <w:tcW w:w="855" w:type="dxa"/>
            <w:tcBorders>
              <w:top w:val="single" w:sz="4" w:space="0" w:color="auto"/>
              <w:left w:val="nil"/>
              <w:bottom w:val="single" w:sz="4" w:space="0" w:color="auto"/>
              <w:right w:val="nil"/>
            </w:tcBorders>
          </w:tcPr>
          <w:p w14:paraId="07A4C478" w14:textId="77777777" w:rsidR="008A43B2" w:rsidRPr="008A43B2" w:rsidRDefault="008A43B2" w:rsidP="00C07C5D">
            <w:pPr>
              <w:spacing w:line="360" w:lineRule="auto"/>
              <w:contextualSpacing/>
              <w:jc w:val="both"/>
              <w:rPr>
                <w:b/>
                <w:bCs/>
              </w:rPr>
            </w:pPr>
            <w:r w:rsidRPr="008A43B2">
              <w:rPr>
                <w:b/>
                <w:bCs/>
              </w:rPr>
              <w:t>Mean</w:t>
            </w:r>
          </w:p>
        </w:tc>
        <w:tc>
          <w:tcPr>
            <w:tcW w:w="856" w:type="dxa"/>
            <w:tcBorders>
              <w:top w:val="single" w:sz="4" w:space="0" w:color="auto"/>
              <w:left w:val="nil"/>
              <w:bottom w:val="single" w:sz="4" w:space="0" w:color="auto"/>
              <w:right w:val="nil"/>
            </w:tcBorders>
          </w:tcPr>
          <w:p w14:paraId="5711F533" w14:textId="77777777" w:rsidR="008A43B2" w:rsidRPr="008A43B2" w:rsidRDefault="008A43B2" w:rsidP="00C07C5D">
            <w:pPr>
              <w:spacing w:line="360" w:lineRule="auto"/>
              <w:contextualSpacing/>
              <w:jc w:val="both"/>
              <w:rPr>
                <w:b/>
                <w:bCs/>
              </w:rPr>
            </w:pPr>
            <w:r w:rsidRPr="008A43B2">
              <w:rPr>
                <w:b/>
                <w:bCs/>
              </w:rPr>
              <w:t>SD</w:t>
            </w:r>
          </w:p>
        </w:tc>
      </w:tr>
      <w:tr w:rsidR="008A43B2" w14:paraId="2954F0F9" w14:textId="77777777" w:rsidTr="00533DC7">
        <w:tc>
          <w:tcPr>
            <w:tcW w:w="1696" w:type="dxa"/>
            <w:tcBorders>
              <w:left w:val="nil"/>
              <w:bottom w:val="nil"/>
              <w:right w:val="nil"/>
            </w:tcBorders>
          </w:tcPr>
          <w:p w14:paraId="6A82398B" w14:textId="77777777" w:rsidR="008A43B2" w:rsidRDefault="008A43B2" w:rsidP="00C07C5D">
            <w:pPr>
              <w:spacing w:line="360" w:lineRule="auto"/>
              <w:contextualSpacing/>
              <w:jc w:val="both"/>
            </w:pPr>
            <w:r>
              <w:t>IES-R Total</w:t>
            </w:r>
          </w:p>
        </w:tc>
        <w:tc>
          <w:tcPr>
            <w:tcW w:w="1025" w:type="dxa"/>
            <w:tcBorders>
              <w:left w:val="nil"/>
              <w:bottom w:val="nil"/>
              <w:right w:val="nil"/>
            </w:tcBorders>
          </w:tcPr>
          <w:p w14:paraId="20E68C06" w14:textId="77777777" w:rsidR="008A43B2" w:rsidRDefault="008A43B2" w:rsidP="00C07C5D">
            <w:pPr>
              <w:spacing w:line="360" w:lineRule="auto"/>
              <w:contextualSpacing/>
              <w:jc w:val="both"/>
            </w:pPr>
            <w:r>
              <w:t>34.44</w:t>
            </w:r>
          </w:p>
        </w:tc>
        <w:tc>
          <w:tcPr>
            <w:tcW w:w="756" w:type="dxa"/>
            <w:tcBorders>
              <w:left w:val="nil"/>
              <w:bottom w:val="nil"/>
              <w:right w:val="nil"/>
            </w:tcBorders>
          </w:tcPr>
          <w:p w14:paraId="479685B1" w14:textId="77777777" w:rsidR="008A43B2" w:rsidRDefault="008A43B2" w:rsidP="00C07C5D">
            <w:pPr>
              <w:spacing w:line="360" w:lineRule="auto"/>
              <w:contextualSpacing/>
              <w:jc w:val="both"/>
            </w:pPr>
            <w:r>
              <w:t>22.07</w:t>
            </w:r>
          </w:p>
        </w:tc>
        <w:tc>
          <w:tcPr>
            <w:tcW w:w="1001" w:type="dxa"/>
            <w:tcBorders>
              <w:left w:val="nil"/>
              <w:bottom w:val="nil"/>
              <w:right w:val="nil"/>
            </w:tcBorders>
          </w:tcPr>
          <w:p w14:paraId="7493A406" w14:textId="77777777" w:rsidR="008A43B2" w:rsidRDefault="008A43B2" w:rsidP="00C07C5D">
            <w:pPr>
              <w:spacing w:line="360" w:lineRule="auto"/>
              <w:contextualSpacing/>
              <w:jc w:val="both"/>
            </w:pPr>
            <w:r>
              <w:t>63.14</w:t>
            </w:r>
          </w:p>
        </w:tc>
        <w:tc>
          <w:tcPr>
            <w:tcW w:w="756" w:type="dxa"/>
            <w:tcBorders>
              <w:left w:val="nil"/>
              <w:bottom w:val="nil"/>
              <w:right w:val="nil"/>
            </w:tcBorders>
          </w:tcPr>
          <w:p w14:paraId="5F087A61" w14:textId="77777777" w:rsidR="008A43B2" w:rsidRDefault="008A43B2" w:rsidP="00C07C5D">
            <w:pPr>
              <w:spacing w:line="360" w:lineRule="auto"/>
              <w:contextualSpacing/>
              <w:jc w:val="both"/>
            </w:pPr>
            <w:r>
              <w:t>14.13</w:t>
            </w:r>
          </w:p>
        </w:tc>
        <w:tc>
          <w:tcPr>
            <w:tcW w:w="855" w:type="dxa"/>
            <w:tcBorders>
              <w:left w:val="nil"/>
              <w:bottom w:val="nil"/>
              <w:right w:val="nil"/>
            </w:tcBorders>
          </w:tcPr>
          <w:p w14:paraId="634BD359" w14:textId="77777777" w:rsidR="008A43B2" w:rsidRDefault="008A43B2" w:rsidP="00C07C5D">
            <w:pPr>
              <w:spacing w:line="360" w:lineRule="auto"/>
              <w:contextualSpacing/>
              <w:jc w:val="both"/>
            </w:pPr>
            <w:r>
              <w:t>37.54</w:t>
            </w:r>
          </w:p>
        </w:tc>
        <w:tc>
          <w:tcPr>
            <w:tcW w:w="856" w:type="dxa"/>
            <w:tcBorders>
              <w:left w:val="nil"/>
              <w:bottom w:val="nil"/>
              <w:right w:val="nil"/>
            </w:tcBorders>
          </w:tcPr>
          <w:p w14:paraId="6EF7DDB0" w14:textId="77777777" w:rsidR="008A43B2" w:rsidRDefault="008A43B2" w:rsidP="00C07C5D">
            <w:pPr>
              <w:spacing w:line="360" w:lineRule="auto"/>
              <w:contextualSpacing/>
              <w:jc w:val="both"/>
            </w:pPr>
            <w:r>
              <w:t>19.80</w:t>
            </w:r>
          </w:p>
        </w:tc>
        <w:tc>
          <w:tcPr>
            <w:tcW w:w="855" w:type="dxa"/>
            <w:tcBorders>
              <w:left w:val="nil"/>
              <w:bottom w:val="nil"/>
              <w:right w:val="nil"/>
            </w:tcBorders>
          </w:tcPr>
          <w:p w14:paraId="36009968" w14:textId="77777777" w:rsidR="008A43B2" w:rsidRDefault="008A43B2" w:rsidP="00C07C5D">
            <w:pPr>
              <w:spacing w:line="360" w:lineRule="auto"/>
              <w:contextualSpacing/>
              <w:jc w:val="both"/>
            </w:pPr>
            <w:r>
              <w:t>9.10</w:t>
            </w:r>
          </w:p>
        </w:tc>
        <w:tc>
          <w:tcPr>
            <w:tcW w:w="856" w:type="dxa"/>
            <w:tcBorders>
              <w:left w:val="nil"/>
              <w:bottom w:val="nil"/>
              <w:right w:val="nil"/>
            </w:tcBorders>
          </w:tcPr>
          <w:p w14:paraId="07490322" w14:textId="77777777" w:rsidR="008A43B2" w:rsidRDefault="008A43B2" w:rsidP="00C07C5D">
            <w:pPr>
              <w:spacing w:line="360" w:lineRule="auto"/>
              <w:contextualSpacing/>
              <w:jc w:val="both"/>
            </w:pPr>
            <w:r>
              <w:t>9.34</w:t>
            </w:r>
          </w:p>
          <w:p w14:paraId="5009F6FC" w14:textId="53F208D0" w:rsidR="008A43B2" w:rsidRDefault="008A43B2" w:rsidP="00C07C5D">
            <w:pPr>
              <w:spacing w:line="360" w:lineRule="auto"/>
              <w:contextualSpacing/>
              <w:jc w:val="both"/>
            </w:pPr>
          </w:p>
        </w:tc>
      </w:tr>
      <w:tr w:rsidR="008A43B2" w14:paraId="284A757B" w14:textId="77777777" w:rsidTr="00533DC7">
        <w:tc>
          <w:tcPr>
            <w:tcW w:w="1696" w:type="dxa"/>
            <w:tcBorders>
              <w:top w:val="nil"/>
              <w:left w:val="nil"/>
              <w:bottom w:val="nil"/>
              <w:right w:val="nil"/>
            </w:tcBorders>
          </w:tcPr>
          <w:p w14:paraId="3AAD489D" w14:textId="77777777" w:rsidR="008A43B2" w:rsidRDefault="008A43B2" w:rsidP="00C07C5D">
            <w:pPr>
              <w:spacing w:line="360" w:lineRule="auto"/>
              <w:contextualSpacing/>
              <w:jc w:val="both"/>
            </w:pPr>
            <w:r>
              <w:t>IES-R Avoidance</w:t>
            </w:r>
          </w:p>
        </w:tc>
        <w:tc>
          <w:tcPr>
            <w:tcW w:w="1025" w:type="dxa"/>
            <w:tcBorders>
              <w:top w:val="nil"/>
              <w:left w:val="nil"/>
              <w:bottom w:val="nil"/>
              <w:right w:val="nil"/>
            </w:tcBorders>
          </w:tcPr>
          <w:p w14:paraId="24C785CE" w14:textId="77777777" w:rsidR="008A43B2" w:rsidRDefault="008A43B2" w:rsidP="00C07C5D">
            <w:pPr>
              <w:spacing w:line="360" w:lineRule="auto"/>
              <w:contextualSpacing/>
              <w:jc w:val="both"/>
            </w:pPr>
            <w:r>
              <w:t>13.22</w:t>
            </w:r>
          </w:p>
        </w:tc>
        <w:tc>
          <w:tcPr>
            <w:tcW w:w="756" w:type="dxa"/>
            <w:tcBorders>
              <w:top w:val="nil"/>
              <w:left w:val="nil"/>
              <w:bottom w:val="nil"/>
              <w:right w:val="nil"/>
            </w:tcBorders>
          </w:tcPr>
          <w:p w14:paraId="1564F05A" w14:textId="77777777" w:rsidR="008A43B2" w:rsidRDefault="008A43B2" w:rsidP="00C07C5D">
            <w:pPr>
              <w:spacing w:line="360" w:lineRule="auto"/>
              <w:contextualSpacing/>
              <w:jc w:val="both"/>
            </w:pPr>
            <w:r>
              <w:t>9.78</w:t>
            </w:r>
          </w:p>
        </w:tc>
        <w:tc>
          <w:tcPr>
            <w:tcW w:w="1001" w:type="dxa"/>
            <w:tcBorders>
              <w:top w:val="nil"/>
              <w:left w:val="nil"/>
              <w:bottom w:val="nil"/>
              <w:right w:val="nil"/>
            </w:tcBorders>
          </w:tcPr>
          <w:p w14:paraId="5C656F3B" w14:textId="77777777" w:rsidR="008A43B2" w:rsidRDefault="008A43B2" w:rsidP="00C07C5D">
            <w:pPr>
              <w:spacing w:line="360" w:lineRule="auto"/>
              <w:contextualSpacing/>
              <w:jc w:val="both"/>
            </w:pPr>
            <w:r>
              <w:t>20.71</w:t>
            </w:r>
          </w:p>
        </w:tc>
        <w:tc>
          <w:tcPr>
            <w:tcW w:w="756" w:type="dxa"/>
            <w:tcBorders>
              <w:top w:val="nil"/>
              <w:left w:val="nil"/>
              <w:bottom w:val="nil"/>
              <w:right w:val="nil"/>
            </w:tcBorders>
          </w:tcPr>
          <w:p w14:paraId="3A690FAA" w14:textId="77777777" w:rsidR="008A43B2" w:rsidRDefault="008A43B2" w:rsidP="00C07C5D">
            <w:pPr>
              <w:spacing w:line="360" w:lineRule="auto"/>
              <w:contextualSpacing/>
              <w:jc w:val="both"/>
            </w:pPr>
            <w:r>
              <w:t>5.08</w:t>
            </w:r>
          </w:p>
        </w:tc>
        <w:tc>
          <w:tcPr>
            <w:tcW w:w="855" w:type="dxa"/>
            <w:tcBorders>
              <w:top w:val="nil"/>
              <w:left w:val="nil"/>
              <w:bottom w:val="nil"/>
              <w:right w:val="nil"/>
            </w:tcBorders>
          </w:tcPr>
          <w:p w14:paraId="6B8AAF71" w14:textId="77777777" w:rsidR="008A43B2" w:rsidRDefault="008A43B2" w:rsidP="00C07C5D">
            <w:pPr>
              <w:spacing w:line="360" w:lineRule="auto"/>
              <w:contextualSpacing/>
              <w:jc w:val="both"/>
            </w:pPr>
            <w:r>
              <w:t>13.94</w:t>
            </w:r>
          </w:p>
        </w:tc>
        <w:tc>
          <w:tcPr>
            <w:tcW w:w="856" w:type="dxa"/>
            <w:tcBorders>
              <w:top w:val="nil"/>
              <w:left w:val="nil"/>
              <w:bottom w:val="nil"/>
              <w:right w:val="nil"/>
            </w:tcBorders>
          </w:tcPr>
          <w:p w14:paraId="42797537" w14:textId="77777777" w:rsidR="008A43B2" w:rsidRDefault="008A43B2" w:rsidP="00C07C5D">
            <w:pPr>
              <w:spacing w:line="360" w:lineRule="auto"/>
              <w:contextualSpacing/>
              <w:jc w:val="both"/>
            </w:pPr>
            <w:r>
              <w:t>7.98</w:t>
            </w:r>
          </w:p>
        </w:tc>
        <w:tc>
          <w:tcPr>
            <w:tcW w:w="855" w:type="dxa"/>
            <w:tcBorders>
              <w:top w:val="nil"/>
              <w:left w:val="nil"/>
              <w:bottom w:val="nil"/>
              <w:right w:val="nil"/>
            </w:tcBorders>
          </w:tcPr>
          <w:p w14:paraId="48929FDD" w14:textId="77777777" w:rsidR="008A43B2" w:rsidRDefault="008A43B2" w:rsidP="00C07C5D">
            <w:pPr>
              <w:spacing w:line="360" w:lineRule="auto"/>
              <w:contextualSpacing/>
              <w:jc w:val="both"/>
            </w:pPr>
            <w:r>
              <w:t>2.78</w:t>
            </w:r>
          </w:p>
        </w:tc>
        <w:tc>
          <w:tcPr>
            <w:tcW w:w="856" w:type="dxa"/>
            <w:tcBorders>
              <w:top w:val="nil"/>
              <w:left w:val="nil"/>
              <w:bottom w:val="nil"/>
              <w:right w:val="nil"/>
            </w:tcBorders>
          </w:tcPr>
          <w:p w14:paraId="73F8F209" w14:textId="77777777" w:rsidR="008A43B2" w:rsidRDefault="008A43B2" w:rsidP="00C07C5D">
            <w:pPr>
              <w:spacing w:line="360" w:lineRule="auto"/>
              <w:contextualSpacing/>
              <w:jc w:val="both"/>
            </w:pPr>
            <w:r>
              <w:t>3.55</w:t>
            </w:r>
          </w:p>
          <w:p w14:paraId="74F689F1" w14:textId="77777777" w:rsidR="008A43B2" w:rsidRDefault="008A43B2" w:rsidP="00C07C5D">
            <w:pPr>
              <w:spacing w:line="360" w:lineRule="auto"/>
              <w:contextualSpacing/>
              <w:jc w:val="both"/>
            </w:pPr>
          </w:p>
          <w:p w14:paraId="3C0BB5CE" w14:textId="306A316A" w:rsidR="008A43B2" w:rsidRDefault="008A43B2" w:rsidP="00C07C5D">
            <w:pPr>
              <w:spacing w:line="360" w:lineRule="auto"/>
              <w:contextualSpacing/>
              <w:jc w:val="both"/>
            </w:pPr>
          </w:p>
        </w:tc>
      </w:tr>
      <w:tr w:rsidR="008A43B2" w14:paraId="3391345B" w14:textId="77777777" w:rsidTr="00533DC7">
        <w:tc>
          <w:tcPr>
            <w:tcW w:w="1696" w:type="dxa"/>
            <w:tcBorders>
              <w:top w:val="nil"/>
              <w:left w:val="nil"/>
              <w:bottom w:val="nil"/>
              <w:right w:val="nil"/>
            </w:tcBorders>
          </w:tcPr>
          <w:p w14:paraId="57676807" w14:textId="77777777" w:rsidR="008A43B2" w:rsidRDefault="008A43B2" w:rsidP="00C07C5D">
            <w:pPr>
              <w:spacing w:line="360" w:lineRule="auto"/>
              <w:contextualSpacing/>
              <w:jc w:val="both"/>
            </w:pPr>
            <w:r>
              <w:t>IES-R Intrusion</w:t>
            </w:r>
          </w:p>
          <w:p w14:paraId="4B89BAC3" w14:textId="3116EBF8" w:rsidR="008A43B2" w:rsidRDefault="008A43B2" w:rsidP="00C07C5D">
            <w:pPr>
              <w:spacing w:line="360" w:lineRule="auto"/>
              <w:contextualSpacing/>
              <w:jc w:val="both"/>
            </w:pPr>
          </w:p>
        </w:tc>
        <w:tc>
          <w:tcPr>
            <w:tcW w:w="1025" w:type="dxa"/>
            <w:tcBorders>
              <w:top w:val="nil"/>
              <w:left w:val="nil"/>
              <w:bottom w:val="nil"/>
              <w:right w:val="nil"/>
            </w:tcBorders>
          </w:tcPr>
          <w:p w14:paraId="7DCEA4D3" w14:textId="59BDDB7F" w:rsidR="008A43B2" w:rsidRDefault="008A43B2" w:rsidP="00C07C5D">
            <w:pPr>
              <w:spacing w:line="360" w:lineRule="auto"/>
              <w:contextualSpacing/>
              <w:jc w:val="both"/>
            </w:pPr>
            <w:r>
              <w:t>13</w:t>
            </w:r>
            <w:r w:rsidR="002E3F1B">
              <w:t>.00</w:t>
            </w:r>
          </w:p>
        </w:tc>
        <w:tc>
          <w:tcPr>
            <w:tcW w:w="756" w:type="dxa"/>
            <w:tcBorders>
              <w:top w:val="nil"/>
              <w:left w:val="nil"/>
              <w:bottom w:val="nil"/>
              <w:right w:val="nil"/>
            </w:tcBorders>
          </w:tcPr>
          <w:p w14:paraId="7B96389F" w14:textId="77777777" w:rsidR="008A43B2" w:rsidRDefault="008A43B2" w:rsidP="00C07C5D">
            <w:pPr>
              <w:spacing w:line="360" w:lineRule="auto"/>
              <w:contextualSpacing/>
              <w:jc w:val="both"/>
            </w:pPr>
            <w:r>
              <w:t>10.11</w:t>
            </w:r>
          </w:p>
        </w:tc>
        <w:tc>
          <w:tcPr>
            <w:tcW w:w="1001" w:type="dxa"/>
            <w:tcBorders>
              <w:top w:val="nil"/>
              <w:left w:val="nil"/>
              <w:bottom w:val="nil"/>
              <w:right w:val="nil"/>
            </w:tcBorders>
          </w:tcPr>
          <w:p w14:paraId="4D072346" w14:textId="77777777" w:rsidR="008A43B2" w:rsidRDefault="008A43B2" w:rsidP="00C07C5D">
            <w:pPr>
              <w:spacing w:line="360" w:lineRule="auto"/>
              <w:contextualSpacing/>
              <w:jc w:val="both"/>
            </w:pPr>
            <w:r>
              <w:t>25.57</w:t>
            </w:r>
          </w:p>
        </w:tc>
        <w:tc>
          <w:tcPr>
            <w:tcW w:w="756" w:type="dxa"/>
            <w:tcBorders>
              <w:top w:val="nil"/>
              <w:left w:val="nil"/>
              <w:bottom w:val="nil"/>
              <w:right w:val="nil"/>
            </w:tcBorders>
          </w:tcPr>
          <w:p w14:paraId="25E1037B" w14:textId="77777777" w:rsidR="008A43B2" w:rsidRDefault="008A43B2" w:rsidP="00C07C5D">
            <w:pPr>
              <w:spacing w:line="360" w:lineRule="auto"/>
              <w:contextualSpacing/>
              <w:jc w:val="both"/>
            </w:pPr>
            <w:r>
              <w:t>5.96</w:t>
            </w:r>
          </w:p>
        </w:tc>
        <w:tc>
          <w:tcPr>
            <w:tcW w:w="855" w:type="dxa"/>
            <w:tcBorders>
              <w:top w:val="nil"/>
              <w:left w:val="nil"/>
              <w:bottom w:val="nil"/>
              <w:right w:val="nil"/>
            </w:tcBorders>
          </w:tcPr>
          <w:p w14:paraId="444F515C" w14:textId="77777777" w:rsidR="008A43B2" w:rsidRDefault="008A43B2" w:rsidP="00C07C5D">
            <w:pPr>
              <w:spacing w:line="360" w:lineRule="auto"/>
              <w:contextualSpacing/>
              <w:jc w:val="both"/>
            </w:pPr>
            <w:r>
              <w:t>14.85</w:t>
            </w:r>
          </w:p>
        </w:tc>
        <w:tc>
          <w:tcPr>
            <w:tcW w:w="856" w:type="dxa"/>
            <w:tcBorders>
              <w:top w:val="nil"/>
              <w:left w:val="nil"/>
              <w:bottom w:val="nil"/>
              <w:right w:val="nil"/>
            </w:tcBorders>
          </w:tcPr>
          <w:p w14:paraId="31F121CC" w14:textId="77777777" w:rsidR="008A43B2" w:rsidRDefault="008A43B2" w:rsidP="00C07C5D">
            <w:pPr>
              <w:spacing w:line="360" w:lineRule="auto"/>
              <w:contextualSpacing/>
              <w:jc w:val="both"/>
            </w:pPr>
            <w:r>
              <w:t>8.18</w:t>
            </w:r>
          </w:p>
        </w:tc>
        <w:tc>
          <w:tcPr>
            <w:tcW w:w="855" w:type="dxa"/>
            <w:tcBorders>
              <w:top w:val="nil"/>
              <w:left w:val="nil"/>
              <w:bottom w:val="nil"/>
              <w:right w:val="nil"/>
            </w:tcBorders>
          </w:tcPr>
          <w:p w14:paraId="0AAA4DC1" w14:textId="77777777" w:rsidR="008A43B2" w:rsidRDefault="008A43B2" w:rsidP="00C07C5D">
            <w:pPr>
              <w:spacing w:line="360" w:lineRule="auto"/>
              <w:contextualSpacing/>
              <w:jc w:val="both"/>
            </w:pPr>
            <w:r>
              <w:t>3.93</w:t>
            </w:r>
          </w:p>
        </w:tc>
        <w:tc>
          <w:tcPr>
            <w:tcW w:w="856" w:type="dxa"/>
            <w:tcBorders>
              <w:top w:val="nil"/>
              <w:left w:val="nil"/>
              <w:bottom w:val="nil"/>
              <w:right w:val="nil"/>
            </w:tcBorders>
          </w:tcPr>
          <w:p w14:paraId="427592E5" w14:textId="77777777" w:rsidR="008A43B2" w:rsidRDefault="008A43B2" w:rsidP="00C07C5D">
            <w:pPr>
              <w:spacing w:line="360" w:lineRule="auto"/>
              <w:contextualSpacing/>
              <w:jc w:val="both"/>
            </w:pPr>
            <w:r>
              <w:t>3.93</w:t>
            </w:r>
          </w:p>
        </w:tc>
      </w:tr>
      <w:tr w:rsidR="008A43B2" w14:paraId="2C7A8224" w14:textId="77777777" w:rsidTr="00533DC7">
        <w:tc>
          <w:tcPr>
            <w:tcW w:w="1696" w:type="dxa"/>
            <w:tcBorders>
              <w:top w:val="nil"/>
              <w:left w:val="nil"/>
              <w:bottom w:val="nil"/>
              <w:right w:val="nil"/>
            </w:tcBorders>
          </w:tcPr>
          <w:p w14:paraId="1010CE18" w14:textId="77777777" w:rsidR="008A43B2" w:rsidRDefault="008A43B2" w:rsidP="00C07C5D">
            <w:pPr>
              <w:spacing w:line="360" w:lineRule="auto"/>
              <w:contextualSpacing/>
              <w:jc w:val="both"/>
            </w:pPr>
            <w:r>
              <w:t>IES-R Hypervigilance</w:t>
            </w:r>
          </w:p>
          <w:p w14:paraId="649266BD" w14:textId="350EB3B4" w:rsidR="008A43B2" w:rsidRDefault="008A43B2" w:rsidP="00C07C5D">
            <w:pPr>
              <w:spacing w:line="360" w:lineRule="auto"/>
              <w:contextualSpacing/>
              <w:jc w:val="both"/>
            </w:pPr>
          </w:p>
        </w:tc>
        <w:tc>
          <w:tcPr>
            <w:tcW w:w="1025" w:type="dxa"/>
            <w:tcBorders>
              <w:top w:val="nil"/>
              <w:left w:val="nil"/>
              <w:bottom w:val="nil"/>
              <w:right w:val="nil"/>
            </w:tcBorders>
          </w:tcPr>
          <w:p w14:paraId="5F7C5F23" w14:textId="243A398B" w:rsidR="008A43B2" w:rsidRDefault="008A43B2" w:rsidP="00C07C5D">
            <w:pPr>
              <w:spacing w:line="360" w:lineRule="auto"/>
              <w:contextualSpacing/>
              <w:jc w:val="both"/>
            </w:pPr>
            <w:r>
              <w:t>9</w:t>
            </w:r>
            <w:r w:rsidR="002E3F1B">
              <w:t>.00</w:t>
            </w:r>
          </w:p>
        </w:tc>
        <w:tc>
          <w:tcPr>
            <w:tcW w:w="756" w:type="dxa"/>
            <w:tcBorders>
              <w:top w:val="nil"/>
              <w:left w:val="nil"/>
              <w:bottom w:val="nil"/>
              <w:right w:val="nil"/>
            </w:tcBorders>
          </w:tcPr>
          <w:p w14:paraId="415AB2EF" w14:textId="77777777" w:rsidR="008A43B2" w:rsidRDefault="008A43B2" w:rsidP="00C07C5D">
            <w:pPr>
              <w:spacing w:line="360" w:lineRule="auto"/>
              <w:contextualSpacing/>
              <w:jc w:val="both"/>
            </w:pPr>
            <w:r>
              <w:t>6.46</w:t>
            </w:r>
          </w:p>
        </w:tc>
        <w:tc>
          <w:tcPr>
            <w:tcW w:w="1001" w:type="dxa"/>
            <w:tcBorders>
              <w:top w:val="nil"/>
              <w:left w:val="nil"/>
              <w:bottom w:val="nil"/>
              <w:right w:val="nil"/>
            </w:tcBorders>
          </w:tcPr>
          <w:p w14:paraId="4F8F3FE8" w14:textId="77777777" w:rsidR="008A43B2" w:rsidRDefault="008A43B2" w:rsidP="00C07C5D">
            <w:pPr>
              <w:spacing w:line="360" w:lineRule="auto"/>
              <w:contextualSpacing/>
              <w:jc w:val="both"/>
            </w:pPr>
            <w:r>
              <w:t>16.85</w:t>
            </w:r>
          </w:p>
        </w:tc>
        <w:tc>
          <w:tcPr>
            <w:tcW w:w="756" w:type="dxa"/>
            <w:tcBorders>
              <w:top w:val="nil"/>
              <w:left w:val="nil"/>
              <w:bottom w:val="nil"/>
              <w:right w:val="nil"/>
            </w:tcBorders>
          </w:tcPr>
          <w:p w14:paraId="45939341" w14:textId="77777777" w:rsidR="008A43B2" w:rsidRDefault="008A43B2" w:rsidP="00C07C5D">
            <w:pPr>
              <w:spacing w:line="360" w:lineRule="auto"/>
              <w:contextualSpacing/>
              <w:jc w:val="both"/>
            </w:pPr>
            <w:r>
              <w:t>4.98</w:t>
            </w:r>
          </w:p>
        </w:tc>
        <w:tc>
          <w:tcPr>
            <w:tcW w:w="855" w:type="dxa"/>
            <w:tcBorders>
              <w:top w:val="nil"/>
              <w:left w:val="nil"/>
              <w:bottom w:val="nil"/>
              <w:right w:val="nil"/>
            </w:tcBorders>
          </w:tcPr>
          <w:p w14:paraId="4984F4A3" w14:textId="77777777" w:rsidR="008A43B2" w:rsidRDefault="008A43B2" w:rsidP="00C07C5D">
            <w:pPr>
              <w:spacing w:line="360" w:lineRule="auto"/>
              <w:contextualSpacing/>
              <w:jc w:val="both"/>
            </w:pPr>
            <w:r>
              <w:t>9.05</w:t>
            </w:r>
          </w:p>
        </w:tc>
        <w:tc>
          <w:tcPr>
            <w:tcW w:w="856" w:type="dxa"/>
            <w:tcBorders>
              <w:top w:val="nil"/>
              <w:left w:val="nil"/>
              <w:bottom w:val="nil"/>
              <w:right w:val="nil"/>
            </w:tcBorders>
          </w:tcPr>
          <w:p w14:paraId="0CA9EAC2" w14:textId="77777777" w:rsidR="008A43B2" w:rsidRDefault="008A43B2" w:rsidP="00C07C5D">
            <w:pPr>
              <w:spacing w:line="360" w:lineRule="auto"/>
              <w:contextualSpacing/>
              <w:jc w:val="both"/>
            </w:pPr>
            <w:r>
              <w:t>6.49</w:t>
            </w:r>
          </w:p>
        </w:tc>
        <w:tc>
          <w:tcPr>
            <w:tcW w:w="855" w:type="dxa"/>
            <w:tcBorders>
              <w:top w:val="nil"/>
              <w:left w:val="nil"/>
              <w:bottom w:val="nil"/>
              <w:right w:val="nil"/>
            </w:tcBorders>
          </w:tcPr>
          <w:p w14:paraId="6D9FCA46" w14:textId="77777777" w:rsidR="008A43B2" w:rsidRDefault="008A43B2" w:rsidP="00C07C5D">
            <w:pPr>
              <w:spacing w:line="360" w:lineRule="auto"/>
              <w:contextualSpacing/>
              <w:jc w:val="both"/>
            </w:pPr>
            <w:r>
              <w:t>2.43</w:t>
            </w:r>
          </w:p>
        </w:tc>
        <w:tc>
          <w:tcPr>
            <w:tcW w:w="856" w:type="dxa"/>
            <w:tcBorders>
              <w:top w:val="nil"/>
              <w:left w:val="nil"/>
              <w:bottom w:val="nil"/>
              <w:right w:val="nil"/>
            </w:tcBorders>
          </w:tcPr>
          <w:p w14:paraId="261FC94E" w14:textId="77777777" w:rsidR="008A43B2" w:rsidRDefault="008A43B2" w:rsidP="00C07C5D">
            <w:pPr>
              <w:spacing w:line="360" w:lineRule="auto"/>
              <w:contextualSpacing/>
              <w:jc w:val="both"/>
            </w:pPr>
            <w:r>
              <w:t>3.14</w:t>
            </w:r>
          </w:p>
        </w:tc>
      </w:tr>
      <w:tr w:rsidR="008A43B2" w14:paraId="0B78547A" w14:textId="77777777" w:rsidTr="00135B8E">
        <w:tc>
          <w:tcPr>
            <w:tcW w:w="1696" w:type="dxa"/>
            <w:tcBorders>
              <w:top w:val="nil"/>
              <w:left w:val="nil"/>
              <w:bottom w:val="nil"/>
              <w:right w:val="nil"/>
            </w:tcBorders>
          </w:tcPr>
          <w:p w14:paraId="14A371EA" w14:textId="77777777" w:rsidR="008A43B2" w:rsidRDefault="008A43B2" w:rsidP="00C07C5D">
            <w:pPr>
              <w:spacing w:line="360" w:lineRule="auto"/>
              <w:contextualSpacing/>
              <w:jc w:val="both"/>
            </w:pPr>
            <w:r>
              <w:t>GAD-7</w:t>
            </w:r>
          </w:p>
          <w:p w14:paraId="72DF5985" w14:textId="6FBF300E" w:rsidR="008A43B2" w:rsidRDefault="008A43B2" w:rsidP="00C07C5D">
            <w:pPr>
              <w:spacing w:line="360" w:lineRule="auto"/>
              <w:contextualSpacing/>
              <w:jc w:val="both"/>
            </w:pPr>
          </w:p>
        </w:tc>
        <w:tc>
          <w:tcPr>
            <w:tcW w:w="1025" w:type="dxa"/>
            <w:tcBorders>
              <w:top w:val="nil"/>
              <w:left w:val="nil"/>
              <w:bottom w:val="nil"/>
              <w:right w:val="nil"/>
            </w:tcBorders>
          </w:tcPr>
          <w:p w14:paraId="7D7A373A" w14:textId="77777777" w:rsidR="008A43B2" w:rsidRDefault="008A43B2" w:rsidP="00C07C5D">
            <w:pPr>
              <w:spacing w:line="360" w:lineRule="auto"/>
              <w:contextualSpacing/>
              <w:jc w:val="both"/>
            </w:pPr>
            <w:r>
              <w:t>9.71</w:t>
            </w:r>
          </w:p>
        </w:tc>
        <w:tc>
          <w:tcPr>
            <w:tcW w:w="756" w:type="dxa"/>
            <w:tcBorders>
              <w:top w:val="nil"/>
              <w:left w:val="nil"/>
              <w:bottom w:val="nil"/>
              <w:right w:val="nil"/>
            </w:tcBorders>
          </w:tcPr>
          <w:p w14:paraId="54A5AC46" w14:textId="77777777" w:rsidR="008A43B2" w:rsidRDefault="008A43B2" w:rsidP="00C07C5D">
            <w:pPr>
              <w:spacing w:line="360" w:lineRule="auto"/>
              <w:contextualSpacing/>
              <w:jc w:val="both"/>
            </w:pPr>
            <w:r>
              <w:t>7.63</w:t>
            </w:r>
          </w:p>
        </w:tc>
        <w:tc>
          <w:tcPr>
            <w:tcW w:w="1001" w:type="dxa"/>
            <w:tcBorders>
              <w:top w:val="nil"/>
              <w:left w:val="nil"/>
              <w:bottom w:val="nil"/>
              <w:right w:val="nil"/>
            </w:tcBorders>
          </w:tcPr>
          <w:p w14:paraId="72CECB2C" w14:textId="77777777" w:rsidR="008A43B2" w:rsidRDefault="008A43B2" w:rsidP="00C07C5D">
            <w:pPr>
              <w:spacing w:line="360" w:lineRule="auto"/>
              <w:contextualSpacing/>
              <w:jc w:val="both"/>
            </w:pPr>
            <w:r>
              <w:t>15</w:t>
            </w:r>
          </w:p>
        </w:tc>
        <w:tc>
          <w:tcPr>
            <w:tcW w:w="756" w:type="dxa"/>
            <w:tcBorders>
              <w:top w:val="nil"/>
              <w:left w:val="nil"/>
              <w:bottom w:val="nil"/>
              <w:right w:val="nil"/>
            </w:tcBorders>
          </w:tcPr>
          <w:p w14:paraId="02555DB6" w14:textId="77777777" w:rsidR="008A43B2" w:rsidRDefault="008A43B2" w:rsidP="00C07C5D">
            <w:pPr>
              <w:spacing w:line="360" w:lineRule="auto"/>
              <w:contextualSpacing/>
              <w:jc w:val="both"/>
            </w:pPr>
            <w:r>
              <w:t>3.41</w:t>
            </w:r>
          </w:p>
        </w:tc>
        <w:tc>
          <w:tcPr>
            <w:tcW w:w="855" w:type="dxa"/>
            <w:tcBorders>
              <w:top w:val="nil"/>
              <w:left w:val="nil"/>
              <w:bottom w:val="nil"/>
              <w:right w:val="nil"/>
            </w:tcBorders>
          </w:tcPr>
          <w:p w14:paraId="1FF8B303" w14:textId="77777777" w:rsidR="008A43B2" w:rsidRDefault="008A43B2" w:rsidP="00C07C5D">
            <w:pPr>
              <w:spacing w:line="360" w:lineRule="auto"/>
              <w:contextualSpacing/>
              <w:jc w:val="both"/>
            </w:pPr>
            <w:r>
              <w:t>10.65</w:t>
            </w:r>
          </w:p>
        </w:tc>
        <w:tc>
          <w:tcPr>
            <w:tcW w:w="856" w:type="dxa"/>
            <w:tcBorders>
              <w:top w:val="nil"/>
              <w:left w:val="nil"/>
              <w:bottom w:val="nil"/>
              <w:right w:val="nil"/>
            </w:tcBorders>
          </w:tcPr>
          <w:p w14:paraId="22F82DCB" w14:textId="77777777" w:rsidR="008A43B2" w:rsidRDefault="008A43B2" w:rsidP="00C07C5D">
            <w:pPr>
              <w:spacing w:line="360" w:lineRule="auto"/>
              <w:contextualSpacing/>
              <w:jc w:val="both"/>
            </w:pPr>
            <w:r>
              <w:t>5.83</w:t>
            </w:r>
          </w:p>
        </w:tc>
        <w:tc>
          <w:tcPr>
            <w:tcW w:w="855" w:type="dxa"/>
            <w:tcBorders>
              <w:top w:val="nil"/>
              <w:left w:val="nil"/>
              <w:bottom w:val="nil"/>
              <w:right w:val="nil"/>
            </w:tcBorders>
          </w:tcPr>
          <w:p w14:paraId="26019BF7" w14:textId="77777777" w:rsidR="008A43B2" w:rsidRDefault="008A43B2" w:rsidP="00C07C5D">
            <w:pPr>
              <w:spacing w:line="360" w:lineRule="auto"/>
              <w:contextualSpacing/>
              <w:jc w:val="both"/>
            </w:pPr>
            <w:r>
              <w:t>5.35</w:t>
            </w:r>
          </w:p>
        </w:tc>
        <w:tc>
          <w:tcPr>
            <w:tcW w:w="856" w:type="dxa"/>
            <w:tcBorders>
              <w:top w:val="nil"/>
              <w:left w:val="nil"/>
              <w:bottom w:val="nil"/>
              <w:right w:val="nil"/>
            </w:tcBorders>
          </w:tcPr>
          <w:p w14:paraId="26C916B1" w14:textId="77777777" w:rsidR="008A43B2" w:rsidRDefault="008A43B2" w:rsidP="00C07C5D">
            <w:pPr>
              <w:spacing w:line="360" w:lineRule="auto"/>
              <w:contextualSpacing/>
              <w:jc w:val="both"/>
            </w:pPr>
            <w:r>
              <w:t>6.13</w:t>
            </w:r>
          </w:p>
        </w:tc>
      </w:tr>
      <w:tr w:rsidR="008A43B2" w14:paraId="32E3F98D" w14:textId="77777777" w:rsidTr="00135B8E">
        <w:tc>
          <w:tcPr>
            <w:tcW w:w="1696" w:type="dxa"/>
            <w:tcBorders>
              <w:top w:val="nil"/>
              <w:left w:val="nil"/>
              <w:bottom w:val="single" w:sz="4" w:space="0" w:color="auto"/>
              <w:right w:val="nil"/>
            </w:tcBorders>
          </w:tcPr>
          <w:p w14:paraId="40FECBF6" w14:textId="77777777" w:rsidR="008A43B2" w:rsidRDefault="008A43B2" w:rsidP="00C07C5D">
            <w:pPr>
              <w:spacing w:line="360" w:lineRule="auto"/>
              <w:contextualSpacing/>
              <w:jc w:val="both"/>
            </w:pPr>
            <w:r>
              <w:t>PHQ-9</w:t>
            </w:r>
          </w:p>
          <w:p w14:paraId="224D8D6F" w14:textId="5D55D5FA" w:rsidR="008A43B2" w:rsidRDefault="008A43B2" w:rsidP="00C07C5D">
            <w:pPr>
              <w:spacing w:line="360" w:lineRule="auto"/>
              <w:contextualSpacing/>
              <w:jc w:val="both"/>
            </w:pPr>
          </w:p>
        </w:tc>
        <w:tc>
          <w:tcPr>
            <w:tcW w:w="1025" w:type="dxa"/>
            <w:tcBorders>
              <w:top w:val="nil"/>
              <w:left w:val="nil"/>
              <w:bottom w:val="single" w:sz="4" w:space="0" w:color="auto"/>
              <w:right w:val="nil"/>
            </w:tcBorders>
          </w:tcPr>
          <w:p w14:paraId="1437AF3F" w14:textId="77777777" w:rsidR="008A43B2" w:rsidRDefault="008A43B2" w:rsidP="00C07C5D">
            <w:pPr>
              <w:spacing w:line="360" w:lineRule="auto"/>
              <w:contextualSpacing/>
              <w:jc w:val="both"/>
            </w:pPr>
            <w:r>
              <w:t>9.75</w:t>
            </w:r>
          </w:p>
        </w:tc>
        <w:tc>
          <w:tcPr>
            <w:tcW w:w="756" w:type="dxa"/>
            <w:tcBorders>
              <w:top w:val="nil"/>
              <w:left w:val="nil"/>
              <w:bottom w:val="single" w:sz="4" w:space="0" w:color="auto"/>
              <w:right w:val="nil"/>
            </w:tcBorders>
          </w:tcPr>
          <w:p w14:paraId="374AC826" w14:textId="77777777" w:rsidR="008A43B2" w:rsidRDefault="008A43B2" w:rsidP="00C07C5D">
            <w:pPr>
              <w:spacing w:line="360" w:lineRule="auto"/>
              <w:contextualSpacing/>
              <w:jc w:val="both"/>
            </w:pPr>
            <w:r>
              <w:t>6.98</w:t>
            </w:r>
          </w:p>
        </w:tc>
        <w:tc>
          <w:tcPr>
            <w:tcW w:w="1001" w:type="dxa"/>
            <w:tcBorders>
              <w:top w:val="nil"/>
              <w:left w:val="nil"/>
              <w:bottom w:val="single" w:sz="4" w:space="0" w:color="auto"/>
              <w:right w:val="nil"/>
            </w:tcBorders>
          </w:tcPr>
          <w:p w14:paraId="4AED1F7D" w14:textId="77777777" w:rsidR="008A43B2" w:rsidRDefault="008A43B2" w:rsidP="00C07C5D">
            <w:pPr>
              <w:spacing w:line="360" w:lineRule="auto"/>
              <w:contextualSpacing/>
              <w:jc w:val="both"/>
            </w:pPr>
            <w:r>
              <w:t>14.66</w:t>
            </w:r>
          </w:p>
        </w:tc>
        <w:tc>
          <w:tcPr>
            <w:tcW w:w="756" w:type="dxa"/>
            <w:tcBorders>
              <w:top w:val="nil"/>
              <w:left w:val="nil"/>
              <w:bottom w:val="single" w:sz="4" w:space="0" w:color="auto"/>
              <w:right w:val="nil"/>
            </w:tcBorders>
          </w:tcPr>
          <w:p w14:paraId="05DDD568" w14:textId="77777777" w:rsidR="008A43B2" w:rsidRDefault="008A43B2" w:rsidP="00C07C5D">
            <w:pPr>
              <w:spacing w:line="360" w:lineRule="auto"/>
              <w:contextualSpacing/>
              <w:jc w:val="both"/>
            </w:pPr>
            <w:r>
              <w:t>4.76</w:t>
            </w:r>
          </w:p>
        </w:tc>
        <w:tc>
          <w:tcPr>
            <w:tcW w:w="855" w:type="dxa"/>
            <w:tcBorders>
              <w:top w:val="nil"/>
              <w:left w:val="nil"/>
              <w:bottom w:val="single" w:sz="4" w:space="0" w:color="auto"/>
              <w:right w:val="nil"/>
            </w:tcBorders>
          </w:tcPr>
          <w:p w14:paraId="2A50A5D6" w14:textId="77777777" w:rsidR="008A43B2" w:rsidRDefault="008A43B2" w:rsidP="00C07C5D">
            <w:pPr>
              <w:spacing w:line="360" w:lineRule="auto"/>
              <w:contextualSpacing/>
              <w:jc w:val="both"/>
            </w:pPr>
            <w:r>
              <w:t>9.42</w:t>
            </w:r>
          </w:p>
        </w:tc>
        <w:tc>
          <w:tcPr>
            <w:tcW w:w="856" w:type="dxa"/>
            <w:tcBorders>
              <w:top w:val="nil"/>
              <w:left w:val="nil"/>
              <w:bottom w:val="single" w:sz="4" w:space="0" w:color="auto"/>
              <w:right w:val="nil"/>
            </w:tcBorders>
          </w:tcPr>
          <w:p w14:paraId="72F6DF47" w14:textId="77777777" w:rsidR="008A43B2" w:rsidRDefault="008A43B2" w:rsidP="00C07C5D">
            <w:pPr>
              <w:spacing w:line="360" w:lineRule="auto"/>
              <w:contextualSpacing/>
              <w:jc w:val="both"/>
            </w:pPr>
            <w:r>
              <w:t>6.20</w:t>
            </w:r>
          </w:p>
        </w:tc>
        <w:tc>
          <w:tcPr>
            <w:tcW w:w="855" w:type="dxa"/>
            <w:tcBorders>
              <w:top w:val="nil"/>
              <w:left w:val="nil"/>
              <w:bottom w:val="single" w:sz="4" w:space="0" w:color="auto"/>
              <w:right w:val="nil"/>
            </w:tcBorders>
          </w:tcPr>
          <w:p w14:paraId="03E08D26" w14:textId="77777777" w:rsidR="008A43B2" w:rsidRDefault="008A43B2" w:rsidP="00C07C5D">
            <w:pPr>
              <w:spacing w:line="360" w:lineRule="auto"/>
              <w:contextualSpacing/>
              <w:jc w:val="both"/>
            </w:pPr>
            <w:r>
              <w:t>3.92</w:t>
            </w:r>
          </w:p>
        </w:tc>
        <w:tc>
          <w:tcPr>
            <w:tcW w:w="856" w:type="dxa"/>
            <w:tcBorders>
              <w:top w:val="nil"/>
              <w:left w:val="nil"/>
              <w:bottom w:val="single" w:sz="4" w:space="0" w:color="auto"/>
              <w:right w:val="nil"/>
            </w:tcBorders>
          </w:tcPr>
          <w:p w14:paraId="5893A313" w14:textId="77777777" w:rsidR="008A43B2" w:rsidRDefault="008A43B2" w:rsidP="00C07C5D">
            <w:pPr>
              <w:spacing w:line="360" w:lineRule="auto"/>
              <w:contextualSpacing/>
              <w:jc w:val="both"/>
            </w:pPr>
            <w:r>
              <w:t>3.94</w:t>
            </w:r>
          </w:p>
        </w:tc>
      </w:tr>
    </w:tbl>
    <w:p w14:paraId="7CA47A49" w14:textId="77777777" w:rsidR="00533DC7" w:rsidRDefault="00533DC7" w:rsidP="00C07C5D">
      <w:pPr>
        <w:spacing w:line="360" w:lineRule="auto"/>
        <w:ind w:right="95"/>
        <w:jc w:val="both"/>
        <w:rPr>
          <w:b/>
        </w:rPr>
      </w:pPr>
    </w:p>
    <w:p w14:paraId="0FF2C9DF" w14:textId="77777777" w:rsidR="00176616" w:rsidRDefault="00176616" w:rsidP="00C07C5D">
      <w:pPr>
        <w:spacing w:line="360" w:lineRule="auto"/>
        <w:ind w:right="95"/>
        <w:jc w:val="both"/>
        <w:rPr>
          <w:b/>
        </w:rPr>
      </w:pPr>
    </w:p>
    <w:p w14:paraId="4B703828" w14:textId="267274AD" w:rsidR="00533DC7" w:rsidRDefault="00533DC7" w:rsidP="00C07C5D">
      <w:pPr>
        <w:spacing w:line="360" w:lineRule="auto"/>
        <w:ind w:right="95"/>
        <w:jc w:val="both"/>
        <w:rPr>
          <w:b/>
        </w:rPr>
      </w:pPr>
      <w:r>
        <w:rPr>
          <w:b/>
        </w:rPr>
        <w:t>Pre and Post measures</w:t>
      </w:r>
    </w:p>
    <w:p w14:paraId="7D7D4B3B" w14:textId="46349C46" w:rsidR="00E4488A" w:rsidRDefault="008A43B2" w:rsidP="00C07C5D">
      <w:pPr>
        <w:spacing w:line="360" w:lineRule="auto"/>
        <w:ind w:right="95"/>
        <w:jc w:val="both"/>
        <w:rPr>
          <w:bCs/>
        </w:rPr>
      </w:pPr>
      <w:r w:rsidRPr="008A43B2">
        <w:rPr>
          <w:bCs/>
        </w:rPr>
        <w:t xml:space="preserve">A series of paired sample t-tests were then carried out to compare scores for women who completed therapy at </w:t>
      </w:r>
      <w:r w:rsidR="008A1116">
        <w:rPr>
          <w:bCs/>
        </w:rPr>
        <w:t>T</w:t>
      </w:r>
      <w:r w:rsidR="008A1116" w:rsidRPr="008A43B2">
        <w:rPr>
          <w:bCs/>
        </w:rPr>
        <w:t xml:space="preserve">1 </w:t>
      </w:r>
      <w:r w:rsidRPr="008A43B2">
        <w:rPr>
          <w:bCs/>
        </w:rPr>
        <w:t xml:space="preserve">and </w:t>
      </w:r>
      <w:r w:rsidR="008A1116">
        <w:rPr>
          <w:bCs/>
        </w:rPr>
        <w:t>T</w:t>
      </w:r>
      <w:r w:rsidRPr="008A43B2">
        <w:rPr>
          <w:bCs/>
        </w:rPr>
        <w:t xml:space="preserve">2, to provide a measure of change in scores following completion of psychological intervention.  Results of this analysis are presented in Table </w:t>
      </w:r>
      <w:r w:rsidR="00850DE7">
        <w:rPr>
          <w:bCs/>
        </w:rPr>
        <w:t>3</w:t>
      </w:r>
      <w:r w:rsidRPr="008A43B2">
        <w:rPr>
          <w:bCs/>
        </w:rPr>
        <w:t xml:space="preserve"> below.</w:t>
      </w:r>
    </w:p>
    <w:p w14:paraId="4F30A214" w14:textId="77777777" w:rsidR="005819ED" w:rsidRDefault="005819ED" w:rsidP="00C07C5D">
      <w:pPr>
        <w:spacing w:line="360" w:lineRule="auto"/>
        <w:ind w:right="95"/>
        <w:jc w:val="both"/>
        <w:rPr>
          <w:b/>
        </w:rPr>
      </w:pPr>
    </w:p>
    <w:p w14:paraId="4D4DE420" w14:textId="5D869A3A" w:rsidR="008A43B2" w:rsidRDefault="007C37E5" w:rsidP="00C07C5D">
      <w:pPr>
        <w:spacing w:line="360" w:lineRule="auto"/>
        <w:ind w:right="95"/>
        <w:jc w:val="both"/>
        <w:rPr>
          <w:b/>
        </w:rPr>
      </w:pPr>
      <w:proofErr w:type="gramStart"/>
      <w:r>
        <w:rPr>
          <w:b/>
        </w:rPr>
        <w:t xml:space="preserve">Table </w:t>
      </w:r>
      <w:r w:rsidR="00850DE7">
        <w:rPr>
          <w:b/>
        </w:rPr>
        <w:t>3</w:t>
      </w:r>
      <w:r>
        <w:rPr>
          <w:b/>
        </w:rPr>
        <w:t>.</w:t>
      </w:r>
      <w:proofErr w:type="gramEnd"/>
      <w:r>
        <w:rPr>
          <w:b/>
        </w:rPr>
        <w:t xml:space="preserve"> </w:t>
      </w:r>
      <w:r w:rsidR="00E4488A">
        <w:rPr>
          <w:b/>
        </w:rPr>
        <w:t>T-test</w:t>
      </w:r>
      <w:r>
        <w:rPr>
          <w:b/>
        </w:rPr>
        <w:t xml:space="preserve"> comparisons of scores at </w:t>
      </w:r>
      <w:r w:rsidR="008A1116">
        <w:rPr>
          <w:b/>
        </w:rPr>
        <w:t xml:space="preserve">T1 </w:t>
      </w:r>
      <w:r>
        <w:rPr>
          <w:b/>
        </w:rPr>
        <w:t xml:space="preserve">and </w:t>
      </w:r>
      <w:r w:rsidR="008A1116">
        <w:rPr>
          <w:b/>
        </w:rPr>
        <w:t xml:space="preserve">T2 </w:t>
      </w:r>
      <w:r>
        <w:rPr>
          <w:b/>
        </w:rPr>
        <w:t>(completed therapy group)</w:t>
      </w:r>
    </w:p>
    <w:tbl>
      <w:tblPr>
        <w:tblStyle w:val="TableGrid"/>
        <w:tblW w:w="0" w:type="auto"/>
        <w:tblInd w:w="113" w:type="dxa"/>
        <w:tblLook w:val="04A0" w:firstRow="1" w:lastRow="0" w:firstColumn="1" w:lastColumn="0" w:noHBand="0" w:noVBand="1"/>
      </w:tblPr>
      <w:tblGrid>
        <w:gridCol w:w="2386"/>
        <w:gridCol w:w="1456"/>
        <w:gridCol w:w="1842"/>
        <w:gridCol w:w="1605"/>
      </w:tblGrid>
      <w:tr w:rsidR="001D70F8" w14:paraId="10357BD6" w14:textId="18E65EDF" w:rsidTr="001D70F8">
        <w:tc>
          <w:tcPr>
            <w:tcW w:w="2386" w:type="dxa"/>
            <w:tcBorders>
              <w:left w:val="nil"/>
              <w:bottom w:val="single" w:sz="4" w:space="0" w:color="auto"/>
              <w:right w:val="nil"/>
            </w:tcBorders>
          </w:tcPr>
          <w:p w14:paraId="53CAB6B3" w14:textId="77777777" w:rsidR="001D70F8" w:rsidRPr="007C37E5" w:rsidRDefault="001D70F8" w:rsidP="00C07C5D">
            <w:pPr>
              <w:spacing w:line="360" w:lineRule="auto"/>
              <w:jc w:val="both"/>
              <w:rPr>
                <w:b/>
                <w:bCs/>
              </w:rPr>
            </w:pPr>
            <w:r w:rsidRPr="007C37E5">
              <w:rPr>
                <w:b/>
                <w:bCs/>
              </w:rPr>
              <w:t>Measure</w:t>
            </w:r>
          </w:p>
        </w:tc>
        <w:tc>
          <w:tcPr>
            <w:tcW w:w="1456" w:type="dxa"/>
            <w:tcBorders>
              <w:left w:val="nil"/>
              <w:bottom w:val="single" w:sz="4" w:space="0" w:color="auto"/>
              <w:right w:val="nil"/>
            </w:tcBorders>
          </w:tcPr>
          <w:p w14:paraId="22CFC2B4" w14:textId="77777777" w:rsidR="001D70F8" w:rsidRPr="007C37E5" w:rsidRDefault="001D70F8" w:rsidP="00C07C5D">
            <w:pPr>
              <w:spacing w:line="360" w:lineRule="auto"/>
              <w:jc w:val="both"/>
              <w:rPr>
                <w:b/>
                <w:bCs/>
              </w:rPr>
            </w:pPr>
            <w:r w:rsidRPr="007C37E5">
              <w:rPr>
                <w:b/>
                <w:bCs/>
              </w:rPr>
              <w:t>T</w:t>
            </w:r>
          </w:p>
        </w:tc>
        <w:tc>
          <w:tcPr>
            <w:tcW w:w="1842" w:type="dxa"/>
            <w:tcBorders>
              <w:left w:val="nil"/>
              <w:bottom w:val="single" w:sz="4" w:space="0" w:color="auto"/>
              <w:right w:val="nil"/>
            </w:tcBorders>
          </w:tcPr>
          <w:p w14:paraId="5167A518" w14:textId="77777777" w:rsidR="001D70F8" w:rsidRPr="007C37E5" w:rsidRDefault="001D70F8" w:rsidP="00C07C5D">
            <w:pPr>
              <w:spacing w:line="360" w:lineRule="auto"/>
              <w:jc w:val="both"/>
              <w:rPr>
                <w:b/>
                <w:bCs/>
                <w:i/>
                <w:iCs/>
              </w:rPr>
            </w:pPr>
            <w:r w:rsidRPr="007C37E5">
              <w:rPr>
                <w:b/>
                <w:bCs/>
                <w:i/>
                <w:iCs/>
              </w:rPr>
              <w:t>p</w:t>
            </w:r>
          </w:p>
        </w:tc>
        <w:tc>
          <w:tcPr>
            <w:tcW w:w="1605" w:type="dxa"/>
            <w:tcBorders>
              <w:left w:val="nil"/>
              <w:bottom w:val="single" w:sz="4" w:space="0" w:color="auto"/>
              <w:right w:val="nil"/>
            </w:tcBorders>
          </w:tcPr>
          <w:p w14:paraId="58D258A4" w14:textId="6B5C1673" w:rsidR="001D70F8" w:rsidRPr="007C37E5" w:rsidRDefault="00CB2053" w:rsidP="00C07C5D">
            <w:pPr>
              <w:spacing w:line="360" w:lineRule="auto"/>
              <w:jc w:val="both"/>
              <w:rPr>
                <w:b/>
                <w:bCs/>
                <w:i/>
                <w:iCs/>
              </w:rPr>
            </w:pPr>
            <w:r>
              <w:rPr>
                <w:b/>
                <w:bCs/>
                <w:i/>
                <w:iCs/>
              </w:rPr>
              <w:t>Effect size (Cohen’s d)</w:t>
            </w:r>
          </w:p>
        </w:tc>
      </w:tr>
      <w:tr w:rsidR="001D70F8" w14:paraId="1DCB3BF9" w14:textId="189F7E4C" w:rsidTr="001D70F8">
        <w:tc>
          <w:tcPr>
            <w:tcW w:w="2386" w:type="dxa"/>
            <w:tcBorders>
              <w:left w:val="nil"/>
              <w:bottom w:val="nil"/>
              <w:right w:val="nil"/>
            </w:tcBorders>
          </w:tcPr>
          <w:p w14:paraId="6EDC8CB8" w14:textId="77777777" w:rsidR="001D70F8" w:rsidRDefault="001D70F8" w:rsidP="00C07C5D">
            <w:pPr>
              <w:spacing w:line="360" w:lineRule="auto"/>
              <w:jc w:val="both"/>
            </w:pPr>
            <w:r>
              <w:t>IES-R Total</w:t>
            </w:r>
          </w:p>
        </w:tc>
        <w:tc>
          <w:tcPr>
            <w:tcW w:w="1456" w:type="dxa"/>
            <w:tcBorders>
              <w:left w:val="nil"/>
              <w:bottom w:val="nil"/>
              <w:right w:val="nil"/>
            </w:tcBorders>
          </w:tcPr>
          <w:p w14:paraId="1E0F4FBA" w14:textId="77777777" w:rsidR="001D70F8" w:rsidRDefault="001D70F8" w:rsidP="00C07C5D">
            <w:pPr>
              <w:spacing w:line="360" w:lineRule="auto"/>
              <w:jc w:val="both"/>
            </w:pPr>
            <w:r>
              <w:t>10.75</w:t>
            </w:r>
          </w:p>
        </w:tc>
        <w:tc>
          <w:tcPr>
            <w:tcW w:w="1842" w:type="dxa"/>
            <w:tcBorders>
              <w:left w:val="nil"/>
              <w:bottom w:val="nil"/>
              <w:right w:val="nil"/>
            </w:tcBorders>
          </w:tcPr>
          <w:p w14:paraId="5BEC92DE" w14:textId="5BF968A3" w:rsidR="001D70F8" w:rsidRDefault="001D70F8" w:rsidP="00C07C5D">
            <w:pPr>
              <w:spacing w:line="360" w:lineRule="auto"/>
              <w:jc w:val="both"/>
            </w:pPr>
            <w:r>
              <w:t>0.00*</w:t>
            </w:r>
          </w:p>
        </w:tc>
        <w:tc>
          <w:tcPr>
            <w:tcW w:w="1605" w:type="dxa"/>
            <w:tcBorders>
              <w:left w:val="nil"/>
              <w:bottom w:val="nil"/>
              <w:right w:val="nil"/>
            </w:tcBorders>
          </w:tcPr>
          <w:p w14:paraId="39BCE09C" w14:textId="6934BEC3" w:rsidR="001D70F8" w:rsidRDefault="001D70F8" w:rsidP="00C07C5D">
            <w:pPr>
              <w:spacing w:line="360" w:lineRule="auto"/>
              <w:jc w:val="both"/>
            </w:pPr>
            <w:r>
              <w:t>1.8</w:t>
            </w:r>
          </w:p>
        </w:tc>
      </w:tr>
      <w:tr w:rsidR="001D70F8" w14:paraId="6DFE3066" w14:textId="1E018097" w:rsidTr="001D70F8">
        <w:tc>
          <w:tcPr>
            <w:tcW w:w="2386" w:type="dxa"/>
            <w:tcBorders>
              <w:top w:val="nil"/>
              <w:left w:val="nil"/>
              <w:bottom w:val="nil"/>
              <w:right w:val="nil"/>
            </w:tcBorders>
          </w:tcPr>
          <w:p w14:paraId="18C87376" w14:textId="77777777" w:rsidR="001D70F8" w:rsidRDefault="001D70F8" w:rsidP="00C07C5D">
            <w:pPr>
              <w:spacing w:line="360" w:lineRule="auto"/>
              <w:jc w:val="both"/>
            </w:pPr>
            <w:r>
              <w:t>IES-R Avoidance</w:t>
            </w:r>
          </w:p>
        </w:tc>
        <w:tc>
          <w:tcPr>
            <w:tcW w:w="1456" w:type="dxa"/>
            <w:tcBorders>
              <w:top w:val="nil"/>
              <w:left w:val="nil"/>
              <w:bottom w:val="nil"/>
              <w:right w:val="nil"/>
            </w:tcBorders>
          </w:tcPr>
          <w:p w14:paraId="5D022B97" w14:textId="77777777" w:rsidR="001D70F8" w:rsidRDefault="001D70F8" w:rsidP="00C07C5D">
            <w:pPr>
              <w:spacing w:line="360" w:lineRule="auto"/>
              <w:jc w:val="both"/>
            </w:pPr>
            <w:r>
              <w:t>10.58</w:t>
            </w:r>
          </w:p>
        </w:tc>
        <w:tc>
          <w:tcPr>
            <w:tcW w:w="1842" w:type="dxa"/>
            <w:tcBorders>
              <w:top w:val="nil"/>
              <w:left w:val="nil"/>
              <w:bottom w:val="nil"/>
              <w:right w:val="nil"/>
            </w:tcBorders>
          </w:tcPr>
          <w:p w14:paraId="71F563AF" w14:textId="7C2CEB12" w:rsidR="001D70F8" w:rsidRDefault="001D70F8" w:rsidP="00C07C5D">
            <w:pPr>
              <w:spacing w:line="360" w:lineRule="auto"/>
              <w:jc w:val="both"/>
            </w:pPr>
            <w:r w:rsidRPr="003F68F3">
              <w:t>0.00*</w:t>
            </w:r>
          </w:p>
        </w:tc>
        <w:tc>
          <w:tcPr>
            <w:tcW w:w="1605" w:type="dxa"/>
            <w:tcBorders>
              <w:top w:val="nil"/>
              <w:left w:val="nil"/>
              <w:bottom w:val="nil"/>
              <w:right w:val="nil"/>
            </w:tcBorders>
          </w:tcPr>
          <w:p w14:paraId="3AAED202" w14:textId="426C33C3" w:rsidR="001D70F8" w:rsidRDefault="001D70F8" w:rsidP="00C07C5D">
            <w:pPr>
              <w:spacing w:line="360" w:lineRule="auto"/>
              <w:jc w:val="both"/>
            </w:pPr>
            <w:r>
              <w:t>1.8</w:t>
            </w:r>
          </w:p>
        </w:tc>
      </w:tr>
      <w:tr w:rsidR="001D70F8" w14:paraId="3257B163" w14:textId="5FBB768F" w:rsidTr="001D70F8">
        <w:tc>
          <w:tcPr>
            <w:tcW w:w="2386" w:type="dxa"/>
            <w:tcBorders>
              <w:top w:val="nil"/>
              <w:left w:val="nil"/>
              <w:bottom w:val="nil"/>
              <w:right w:val="nil"/>
            </w:tcBorders>
          </w:tcPr>
          <w:p w14:paraId="4B93B4C3" w14:textId="77777777" w:rsidR="001D70F8" w:rsidRDefault="001D70F8" w:rsidP="00C07C5D">
            <w:pPr>
              <w:spacing w:line="360" w:lineRule="auto"/>
              <w:jc w:val="both"/>
            </w:pPr>
            <w:r>
              <w:t>IES-R Intrusion</w:t>
            </w:r>
          </w:p>
        </w:tc>
        <w:tc>
          <w:tcPr>
            <w:tcW w:w="1456" w:type="dxa"/>
            <w:tcBorders>
              <w:top w:val="nil"/>
              <w:left w:val="nil"/>
              <w:bottom w:val="nil"/>
              <w:right w:val="nil"/>
            </w:tcBorders>
          </w:tcPr>
          <w:p w14:paraId="7C8A727B" w14:textId="77777777" w:rsidR="001D70F8" w:rsidRDefault="001D70F8" w:rsidP="00C07C5D">
            <w:pPr>
              <w:spacing w:line="360" w:lineRule="auto"/>
              <w:jc w:val="both"/>
            </w:pPr>
            <w:r>
              <w:t>9.98</w:t>
            </w:r>
          </w:p>
        </w:tc>
        <w:tc>
          <w:tcPr>
            <w:tcW w:w="1842" w:type="dxa"/>
            <w:tcBorders>
              <w:top w:val="nil"/>
              <w:left w:val="nil"/>
              <w:bottom w:val="nil"/>
              <w:right w:val="nil"/>
            </w:tcBorders>
          </w:tcPr>
          <w:p w14:paraId="2A9507C4" w14:textId="429F1140" w:rsidR="001D70F8" w:rsidRDefault="001D70F8" w:rsidP="00C07C5D">
            <w:pPr>
              <w:spacing w:line="360" w:lineRule="auto"/>
              <w:jc w:val="both"/>
            </w:pPr>
            <w:r w:rsidRPr="003F68F3">
              <w:t>0.00*</w:t>
            </w:r>
          </w:p>
        </w:tc>
        <w:tc>
          <w:tcPr>
            <w:tcW w:w="1605" w:type="dxa"/>
            <w:tcBorders>
              <w:top w:val="nil"/>
              <w:left w:val="nil"/>
              <w:bottom w:val="nil"/>
              <w:right w:val="nil"/>
            </w:tcBorders>
          </w:tcPr>
          <w:p w14:paraId="35C03201" w14:textId="1CEF1CEA" w:rsidR="001D70F8" w:rsidRDefault="001D70F8" w:rsidP="00C07C5D">
            <w:pPr>
              <w:spacing w:line="360" w:lineRule="auto"/>
              <w:jc w:val="both"/>
            </w:pPr>
            <w:r>
              <w:t>1.7</w:t>
            </w:r>
          </w:p>
        </w:tc>
      </w:tr>
      <w:tr w:rsidR="001D70F8" w14:paraId="0B97737D" w14:textId="294B12FA" w:rsidTr="001D70F8">
        <w:tc>
          <w:tcPr>
            <w:tcW w:w="2386" w:type="dxa"/>
            <w:tcBorders>
              <w:top w:val="nil"/>
              <w:left w:val="nil"/>
              <w:bottom w:val="nil"/>
              <w:right w:val="nil"/>
            </w:tcBorders>
          </w:tcPr>
          <w:p w14:paraId="693CEBDE" w14:textId="77777777" w:rsidR="001D70F8" w:rsidRDefault="001D70F8" w:rsidP="00C07C5D">
            <w:pPr>
              <w:spacing w:line="360" w:lineRule="auto"/>
              <w:jc w:val="both"/>
            </w:pPr>
            <w:r>
              <w:lastRenderedPageBreak/>
              <w:t>IES-R Hypervigilance</w:t>
            </w:r>
          </w:p>
        </w:tc>
        <w:tc>
          <w:tcPr>
            <w:tcW w:w="1456" w:type="dxa"/>
            <w:tcBorders>
              <w:top w:val="nil"/>
              <w:left w:val="nil"/>
              <w:bottom w:val="nil"/>
              <w:right w:val="nil"/>
            </w:tcBorders>
          </w:tcPr>
          <w:p w14:paraId="613199BC" w14:textId="77777777" w:rsidR="001D70F8" w:rsidRDefault="001D70F8" w:rsidP="00C07C5D">
            <w:pPr>
              <w:spacing w:line="360" w:lineRule="auto"/>
              <w:jc w:val="both"/>
            </w:pPr>
            <w:r>
              <w:t>7.49</w:t>
            </w:r>
          </w:p>
        </w:tc>
        <w:tc>
          <w:tcPr>
            <w:tcW w:w="1842" w:type="dxa"/>
            <w:tcBorders>
              <w:top w:val="nil"/>
              <w:left w:val="nil"/>
              <w:bottom w:val="nil"/>
              <w:right w:val="nil"/>
            </w:tcBorders>
          </w:tcPr>
          <w:p w14:paraId="264A4DCD" w14:textId="33B3D26F" w:rsidR="001D70F8" w:rsidRDefault="001D70F8" w:rsidP="00C07C5D">
            <w:pPr>
              <w:spacing w:line="360" w:lineRule="auto"/>
              <w:jc w:val="both"/>
            </w:pPr>
            <w:r w:rsidRPr="003F68F3">
              <w:t>0.00*</w:t>
            </w:r>
          </w:p>
        </w:tc>
        <w:tc>
          <w:tcPr>
            <w:tcW w:w="1605" w:type="dxa"/>
            <w:tcBorders>
              <w:top w:val="nil"/>
              <w:left w:val="nil"/>
              <w:bottom w:val="nil"/>
              <w:right w:val="nil"/>
            </w:tcBorders>
          </w:tcPr>
          <w:p w14:paraId="4023C6A7" w14:textId="31E4CF6A" w:rsidR="001D70F8" w:rsidRDefault="001D70F8" w:rsidP="00C07C5D">
            <w:pPr>
              <w:spacing w:line="360" w:lineRule="auto"/>
              <w:jc w:val="both"/>
            </w:pPr>
            <w:r>
              <w:t>1.3</w:t>
            </w:r>
          </w:p>
        </w:tc>
      </w:tr>
      <w:tr w:rsidR="001D70F8" w14:paraId="744F91E4" w14:textId="3788D999" w:rsidTr="001D70F8">
        <w:tc>
          <w:tcPr>
            <w:tcW w:w="2386" w:type="dxa"/>
            <w:tcBorders>
              <w:top w:val="nil"/>
              <w:left w:val="nil"/>
              <w:bottom w:val="nil"/>
              <w:right w:val="nil"/>
            </w:tcBorders>
          </w:tcPr>
          <w:p w14:paraId="4C3636DC" w14:textId="77777777" w:rsidR="001D70F8" w:rsidRDefault="001D70F8" w:rsidP="00C07C5D">
            <w:pPr>
              <w:spacing w:line="360" w:lineRule="auto"/>
              <w:jc w:val="both"/>
            </w:pPr>
            <w:r>
              <w:t>GAD-7</w:t>
            </w:r>
          </w:p>
        </w:tc>
        <w:tc>
          <w:tcPr>
            <w:tcW w:w="1456" w:type="dxa"/>
            <w:tcBorders>
              <w:top w:val="nil"/>
              <w:left w:val="nil"/>
              <w:bottom w:val="nil"/>
              <w:right w:val="nil"/>
            </w:tcBorders>
          </w:tcPr>
          <w:p w14:paraId="56E37574" w14:textId="77777777" w:rsidR="001D70F8" w:rsidRDefault="001D70F8" w:rsidP="00C07C5D">
            <w:pPr>
              <w:spacing w:line="360" w:lineRule="auto"/>
              <w:jc w:val="both"/>
            </w:pPr>
            <w:r>
              <w:t>4.94</w:t>
            </w:r>
          </w:p>
        </w:tc>
        <w:tc>
          <w:tcPr>
            <w:tcW w:w="1842" w:type="dxa"/>
            <w:tcBorders>
              <w:top w:val="nil"/>
              <w:left w:val="nil"/>
              <w:bottom w:val="nil"/>
              <w:right w:val="nil"/>
            </w:tcBorders>
          </w:tcPr>
          <w:p w14:paraId="664EB3AB" w14:textId="5D42CCBD" w:rsidR="001D70F8" w:rsidRDefault="001D70F8" w:rsidP="00C07C5D">
            <w:pPr>
              <w:spacing w:line="360" w:lineRule="auto"/>
              <w:jc w:val="both"/>
            </w:pPr>
            <w:r w:rsidRPr="003F68F3">
              <w:t>0.00*</w:t>
            </w:r>
          </w:p>
        </w:tc>
        <w:tc>
          <w:tcPr>
            <w:tcW w:w="1605" w:type="dxa"/>
            <w:tcBorders>
              <w:top w:val="nil"/>
              <w:left w:val="nil"/>
              <w:bottom w:val="nil"/>
              <w:right w:val="nil"/>
            </w:tcBorders>
          </w:tcPr>
          <w:p w14:paraId="18108FC3" w14:textId="294CD6D5" w:rsidR="001D70F8" w:rsidRDefault="001D70F8" w:rsidP="00C07C5D">
            <w:pPr>
              <w:spacing w:line="360" w:lineRule="auto"/>
              <w:jc w:val="both"/>
            </w:pPr>
            <w:r>
              <w:t>0.9</w:t>
            </w:r>
          </w:p>
        </w:tc>
      </w:tr>
      <w:tr w:rsidR="001D70F8" w14:paraId="752611AD" w14:textId="4E67E2C3" w:rsidTr="001D70F8">
        <w:tc>
          <w:tcPr>
            <w:tcW w:w="2386" w:type="dxa"/>
            <w:tcBorders>
              <w:top w:val="nil"/>
              <w:left w:val="nil"/>
              <w:bottom w:val="nil"/>
              <w:right w:val="nil"/>
            </w:tcBorders>
          </w:tcPr>
          <w:p w14:paraId="2B9CD1D0" w14:textId="77777777" w:rsidR="001D70F8" w:rsidRDefault="001D70F8" w:rsidP="00C07C5D">
            <w:pPr>
              <w:spacing w:line="360" w:lineRule="auto"/>
              <w:jc w:val="both"/>
            </w:pPr>
            <w:r>
              <w:t>PHQ-9</w:t>
            </w:r>
          </w:p>
        </w:tc>
        <w:tc>
          <w:tcPr>
            <w:tcW w:w="1456" w:type="dxa"/>
            <w:tcBorders>
              <w:top w:val="nil"/>
              <w:left w:val="nil"/>
              <w:bottom w:val="nil"/>
              <w:right w:val="nil"/>
            </w:tcBorders>
          </w:tcPr>
          <w:p w14:paraId="3A29E750" w14:textId="77777777" w:rsidR="001D70F8" w:rsidRDefault="001D70F8" w:rsidP="00C07C5D">
            <w:pPr>
              <w:spacing w:line="360" w:lineRule="auto"/>
              <w:jc w:val="both"/>
            </w:pPr>
            <w:r>
              <w:t>5.88</w:t>
            </w:r>
          </w:p>
        </w:tc>
        <w:tc>
          <w:tcPr>
            <w:tcW w:w="1842" w:type="dxa"/>
            <w:tcBorders>
              <w:top w:val="nil"/>
              <w:left w:val="nil"/>
              <w:bottom w:val="nil"/>
              <w:right w:val="nil"/>
            </w:tcBorders>
          </w:tcPr>
          <w:p w14:paraId="15DDB2EE" w14:textId="567F8795" w:rsidR="001D70F8" w:rsidRDefault="001D70F8" w:rsidP="00C07C5D">
            <w:pPr>
              <w:spacing w:line="360" w:lineRule="auto"/>
              <w:jc w:val="both"/>
            </w:pPr>
            <w:r w:rsidRPr="003F68F3">
              <w:t>0.00*</w:t>
            </w:r>
          </w:p>
        </w:tc>
        <w:tc>
          <w:tcPr>
            <w:tcW w:w="1605" w:type="dxa"/>
            <w:tcBorders>
              <w:top w:val="nil"/>
              <w:left w:val="nil"/>
              <w:bottom w:val="nil"/>
              <w:right w:val="nil"/>
            </w:tcBorders>
          </w:tcPr>
          <w:p w14:paraId="02733227" w14:textId="5016A86D" w:rsidR="001D70F8" w:rsidRDefault="001D70F8" w:rsidP="00C07C5D">
            <w:pPr>
              <w:spacing w:line="360" w:lineRule="auto"/>
              <w:jc w:val="both"/>
            </w:pPr>
            <w:r>
              <w:t>1.1</w:t>
            </w:r>
          </w:p>
        </w:tc>
      </w:tr>
      <w:tr w:rsidR="001D70F8" w14:paraId="5873966A" w14:textId="1857B772" w:rsidTr="001D70F8">
        <w:tc>
          <w:tcPr>
            <w:tcW w:w="2386" w:type="dxa"/>
            <w:tcBorders>
              <w:top w:val="nil"/>
              <w:left w:val="nil"/>
              <w:right w:val="nil"/>
            </w:tcBorders>
          </w:tcPr>
          <w:p w14:paraId="5081030C" w14:textId="77777777" w:rsidR="001D70F8" w:rsidRDefault="001D70F8" w:rsidP="00C07C5D">
            <w:pPr>
              <w:spacing w:line="360" w:lineRule="auto"/>
              <w:jc w:val="both"/>
            </w:pPr>
            <w:r>
              <w:t>CORE-10</w:t>
            </w:r>
          </w:p>
        </w:tc>
        <w:tc>
          <w:tcPr>
            <w:tcW w:w="1456" w:type="dxa"/>
            <w:tcBorders>
              <w:top w:val="nil"/>
              <w:left w:val="nil"/>
              <w:right w:val="nil"/>
            </w:tcBorders>
          </w:tcPr>
          <w:p w14:paraId="005EBE1A" w14:textId="77777777" w:rsidR="001D70F8" w:rsidRDefault="001D70F8" w:rsidP="00C07C5D">
            <w:pPr>
              <w:spacing w:line="360" w:lineRule="auto"/>
              <w:jc w:val="both"/>
            </w:pPr>
            <w:r>
              <w:t>6.98</w:t>
            </w:r>
          </w:p>
        </w:tc>
        <w:tc>
          <w:tcPr>
            <w:tcW w:w="1842" w:type="dxa"/>
            <w:tcBorders>
              <w:top w:val="nil"/>
              <w:left w:val="nil"/>
              <w:right w:val="nil"/>
            </w:tcBorders>
          </w:tcPr>
          <w:p w14:paraId="653FB79B" w14:textId="78FA9932" w:rsidR="001D70F8" w:rsidRDefault="001D70F8" w:rsidP="00C07C5D">
            <w:pPr>
              <w:spacing w:line="360" w:lineRule="auto"/>
              <w:jc w:val="both"/>
            </w:pPr>
            <w:r w:rsidRPr="003F68F3">
              <w:t>0.00*</w:t>
            </w:r>
          </w:p>
        </w:tc>
        <w:tc>
          <w:tcPr>
            <w:tcW w:w="1605" w:type="dxa"/>
            <w:tcBorders>
              <w:top w:val="nil"/>
              <w:left w:val="nil"/>
              <w:right w:val="nil"/>
            </w:tcBorders>
          </w:tcPr>
          <w:p w14:paraId="78254982" w14:textId="7651179E" w:rsidR="001D70F8" w:rsidRDefault="001D70F8" w:rsidP="00C07C5D">
            <w:pPr>
              <w:spacing w:line="360" w:lineRule="auto"/>
              <w:jc w:val="both"/>
            </w:pPr>
            <w:r>
              <w:t>1.2</w:t>
            </w:r>
          </w:p>
        </w:tc>
      </w:tr>
    </w:tbl>
    <w:p w14:paraId="655E49EE" w14:textId="46D61EA1" w:rsidR="007C37E5" w:rsidRPr="000738FB" w:rsidRDefault="007C37E5" w:rsidP="00C07C5D">
      <w:pPr>
        <w:spacing w:line="360" w:lineRule="auto"/>
        <w:jc w:val="both"/>
        <w:rPr>
          <w:i/>
          <w:iCs/>
        </w:rPr>
      </w:pPr>
      <w:r w:rsidRPr="000738FB">
        <w:rPr>
          <w:i/>
          <w:iCs/>
        </w:rPr>
        <w:t>*denotes clinical significance</w:t>
      </w:r>
      <w:r w:rsidR="000738FB" w:rsidRPr="000738FB">
        <w:rPr>
          <w:i/>
          <w:iCs/>
        </w:rPr>
        <w:t xml:space="preserve"> at the p&lt;0.05 level</w:t>
      </w:r>
      <w:r w:rsidR="001D70F8">
        <w:rPr>
          <w:i/>
          <w:iCs/>
        </w:rPr>
        <w:t>, two-tailed t-test,</w:t>
      </w:r>
      <w:r w:rsidR="009B4640">
        <w:rPr>
          <w:i/>
          <w:iCs/>
        </w:rPr>
        <w:t xml:space="preserve"> </w:t>
      </w:r>
    </w:p>
    <w:p w14:paraId="0FA994F4" w14:textId="77777777" w:rsidR="00176616" w:rsidRDefault="00176616" w:rsidP="00C07C5D">
      <w:pPr>
        <w:autoSpaceDE w:val="0"/>
        <w:autoSpaceDN w:val="0"/>
        <w:adjustRightInd w:val="0"/>
        <w:spacing w:line="360" w:lineRule="auto"/>
        <w:ind w:right="95"/>
        <w:jc w:val="both"/>
        <w:rPr>
          <w:iCs/>
        </w:rPr>
      </w:pPr>
    </w:p>
    <w:p w14:paraId="30B5578E" w14:textId="2C6F02A8" w:rsidR="00533DC7" w:rsidRPr="00533DC7" w:rsidRDefault="009D5ECF" w:rsidP="00C07C5D">
      <w:pPr>
        <w:autoSpaceDE w:val="0"/>
        <w:autoSpaceDN w:val="0"/>
        <w:adjustRightInd w:val="0"/>
        <w:spacing w:line="360" w:lineRule="auto"/>
        <w:ind w:right="95"/>
        <w:jc w:val="both"/>
        <w:rPr>
          <w:iCs/>
        </w:rPr>
      </w:pPr>
      <w:r>
        <w:rPr>
          <w:iCs/>
        </w:rPr>
        <w:t xml:space="preserve">‘Intention to Treat’ </w:t>
      </w:r>
      <w:r w:rsidR="00575202">
        <w:rPr>
          <w:iCs/>
        </w:rPr>
        <w:t xml:space="preserve">(ITT) </w:t>
      </w:r>
      <w:r>
        <w:rPr>
          <w:iCs/>
        </w:rPr>
        <w:t xml:space="preserve">analyses </w:t>
      </w:r>
      <w:r w:rsidR="00575202">
        <w:rPr>
          <w:iCs/>
        </w:rPr>
        <w:t xml:space="preserve">are a pragmatic approach used in trials of new treatments to estimate the benefit of a treatment </w:t>
      </w:r>
      <w:r w:rsidR="009C3501">
        <w:rPr>
          <w:iCs/>
        </w:rPr>
        <w:t>across a population. ITT</w:t>
      </w:r>
      <w:r w:rsidR="00575202">
        <w:rPr>
          <w:iCs/>
        </w:rPr>
        <w:t xml:space="preserve"> is widely used in controlled clinical trials</w:t>
      </w:r>
      <w:r w:rsidR="00C07C5D">
        <w:rPr>
          <w:iCs/>
        </w:rPr>
        <w:t xml:space="preserve"> (McCoy, 2017)</w:t>
      </w:r>
      <w:r w:rsidR="00E746A7">
        <w:rPr>
          <w:iCs/>
        </w:rPr>
        <w:t xml:space="preserve"> </w:t>
      </w:r>
      <w:r w:rsidR="00575202">
        <w:rPr>
          <w:iCs/>
        </w:rPr>
        <w:t xml:space="preserve">and has been carried out in the current study to provide a conservative estimate of the benefits of treatment within the Birth Trauma clinic, avoiding the effect of attrition from the study sample. As per standard ITT protocols, where T2 data was not available, this was generated by assuming no change as a result of therapy, and T2 scores were assumed to be equal to their T1 scores. This data was then combined with the T2 </w:t>
      </w:r>
      <w:r w:rsidR="00533DC7" w:rsidRPr="00533DC7">
        <w:rPr>
          <w:iCs/>
        </w:rPr>
        <w:t xml:space="preserve">data for the completed therapy group and used in a series of t-tests.  The results are presented in Table </w:t>
      </w:r>
      <w:r w:rsidR="00850DE7">
        <w:rPr>
          <w:iCs/>
        </w:rPr>
        <w:t>4</w:t>
      </w:r>
      <w:r w:rsidR="00533DC7" w:rsidRPr="00533DC7">
        <w:rPr>
          <w:iCs/>
        </w:rPr>
        <w:t xml:space="preserve">. </w:t>
      </w:r>
    </w:p>
    <w:p w14:paraId="37ECBD06" w14:textId="77777777" w:rsidR="00533DC7" w:rsidRDefault="00533DC7" w:rsidP="00C07C5D">
      <w:pPr>
        <w:autoSpaceDE w:val="0"/>
        <w:autoSpaceDN w:val="0"/>
        <w:adjustRightInd w:val="0"/>
        <w:spacing w:line="360" w:lineRule="auto"/>
        <w:ind w:right="95"/>
        <w:jc w:val="both"/>
        <w:rPr>
          <w:i/>
          <w:sz w:val="18"/>
          <w:szCs w:val="18"/>
        </w:rPr>
      </w:pPr>
    </w:p>
    <w:p w14:paraId="101C723D" w14:textId="617D8389" w:rsidR="00533DC7" w:rsidRPr="00135B8E" w:rsidRDefault="00533DC7" w:rsidP="00C07C5D">
      <w:pPr>
        <w:autoSpaceDE w:val="0"/>
        <w:autoSpaceDN w:val="0"/>
        <w:adjustRightInd w:val="0"/>
        <w:spacing w:line="360" w:lineRule="auto"/>
        <w:ind w:right="95"/>
        <w:jc w:val="both"/>
        <w:rPr>
          <w:b/>
          <w:bCs/>
          <w:iCs/>
        </w:rPr>
      </w:pPr>
      <w:proofErr w:type="gramStart"/>
      <w:r w:rsidRPr="00135B8E">
        <w:rPr>
          <w:b/>
          <w:bCs/>
          <w:iCs/>
        </w:rPr>
        <w:t xml:space="preserve">Table </w:t>
      </w:r>
      <w:r w:rsidR="00850DE7">
        <w:rPr>
          <w:b/>
          <w:bCs/>
          <w:iCs/>
        </w:rPr>
        <w:t>4</w:t>
      </w:r>
      <w:r w:rsidRPr="00135B8E">
        <w:rPr>
          <w:b/>
          <w:bCs/>
          <w:iCs/>
        </w:rPr>
        <w:t>.</w:t>
      </w:r>
      <w:proofErr w:type="gramEnd"/>
      <w:r w:rsidRPr="00135B8E">
        <w:rPr>
          <w:b/>
          <w:bCs/>
          <w:iCs/>
        </w:rPr>
        <w:t xml:space="preserve"> Intention to Treat Analysis Results</w:t>
      </w:r>
    </w:p>
    <w:tbl>
      <w:tblPr>
        <w:tblStyle w:val="TableGrid"/>
        <w:tblW w:w="0" w:type="auto"/>
        <w:tblInd w:w="113" w:type="dxa"/>
        <w:tblLook w:val="04A0" w:firstRow="1" w:lastRow="0" w:firstColumn="1" w:lastColumn="0" w:noHBand="0" w:noVBand="1"/>
      </w:tblPr>
      <w:tblGrid>
        <w:gridCol w:w="2388"/>
        <w:gridCol w:w="1454"/>
        <w:gridCol w:w="1844"/>
        <w:gridCol w:w="1611"/>
      </w:tblGrid>
      <w:tr w:rsidR="001D70F8" w14:paraId="027EACBD" w14:textId="77777777" w:rsidTr="001D70F8">
        <w:tc>
          <w:tcPr>
            <w:tcW w:w="2388" w:type="dxa"/>
            <w:tcBorders>
              <w:left w:val="nil"/>
              <w:bottom w:val="single" w:sz="4" w:space="0" w:color="auto"/>
              <w:right w:val="nil"/>
            </w:tcBorders>
          </w:tcPr>
          <w:p w14:paraId="2E574695" w14:textId="77777777" w:rsidR="001D70F8" w:rsidRPr="007C37E5" w:rsidRDefault="001D70F8" w:rsidP="00C07C5D">
            <w:pPr>
              <w:spacing w:line="360" w:lineRule="auto"/>
              <w:jc w:val="both"/>
              <w:rPr>
                <w:b/>
                <w:bCs/>
              </w:rPr>
            </w:pPr>
            <w:r w:rsidRPr="007C37E5">
              <w:rPr>
                <w:b/>
                <w:bCs/>
              </w:rPr>
              <w:t>Measure</w:t>
            </w:r>
          </w:p>
        </w:tc>
        <w:tc>
          <w:tcPr>
            <w:tcW w:w="1454" w:type="dxa"/>
            <w:tcBorders>
              <w:left w:val="nil"/>
              <w:bottom w:val="single" w:sz="4" w:space="0" w:color="auto"/>
              <w:right w:val="nil"/>
            </w:tcBorders>
          </w:tcPr>
          <w:p w14:paraId="653B9359" w14:textId="77777777" w:rsidR="001D70F8" w:rsidRPr="007C37E5" w:rsidRDefault="001D70F8" w:rsidP="00C07C5D">
            <w:pPr>
              <w:spacing w:line="360" w:lineRule="auto"/>
              <w:jc w:val="both"/>
              <w:rPr>
                <w:b/>
                <w:bCs/>
              </w:rPr>
            </w:pPr>
            <w:r w:rsidRPr="007C37E5">
              <w:rPr>
                <w:b/>
                <w:bCs/>
              </w:rPr>
              <w:t>T</w:t>
            </w:r>
          </w:p>
        </w:tc>
        <w:tc>
          <w:tcPr>
            <w:tcW w:w="1844" w:type="dxa"/>
            <w:tcBorders>
              <w:left w:val="nil"/>
              <w:bottom w:val="single" w:sz="4" w:space="0" w:color="auto"/>
              <w:right w:val="nil"/>
            </w:tcBorders>
          </w:tcPr>
          <w:p w14:paraId="002E892C" w14:textId="77777777" w:rsidR="001D70F8" w:rsidRPr="007C37E5" w:rsidRDefault="001D70F8" w:rsidP="00C07C5D">
            <w:pPr>
              <w:spacing w:line="360" w:lineRule="auto"/>
              <w:jc w:val="both"/>
              <w:rPr>
                <w:b/>
                <w:bCs/>
                <w:i/>
                <w:iCs/>
              </w:rPr>
            </w:pPr>
            <w:r w:rsidRPr="007C37E5">
              <w:rPr>
                <w:b/>
                <w:bCs/>
                <w:i/>
                <w:iCs/>
              </w:rPr>
              <w:t>p</w:t>
            </w:r>
          </w:p>
        </w:tc>
        <w:tc>
          <w:tcPr>
            <w:tcW w:w="1611" w:type="dxa"/>
            <w:tcBorders>
              <w:left w:val="nil"/>
              <w:bottom w:val="single" w:sz="4" w:space="0" w:color="auto"/>
              <w:right w:val="nil"/>
            </w:tcBorders>
          </w:tcPr>
          <w:p w14:paraId="14510021" w14:textId="2A65B8CD" w:rsidR="001D70F8" w:rsidRPr="007C37E5" w:rsidRDefault="00CB2053" w:rsidP="00C07C5D">
            <w:pPr>
              <w:spacing w:line="360" w:lineRule="auto"/>
              <w:jc w:val="both"/>
              <w:rPr>
                <w:b/>
                <w:bCs/>
                <w:i/>
                <w:iCs/>
              </w:rPr>
            </w:pPr>
            <w:r>
              <w:rPr>
                <w:b/>
                <w:bCs/>
                <w:i/>
                <w:iCs/>
              </w:rPr>
              <w:t>Effect size (Cohen’s d)</w:t>
            </w:r>
          </w:p>
        </w:tc>
      </w:tr>
      <w:tr w:rsidR="001D70F8" w14:paraId="4E418F75" w14:textId="77777777" w:rsidTr="001D70F8">
        <w:tc>
          <w:tcPr>
            <w:tcW w:w="2388" w:type="dxa"/>
            <w:tcBorders>
              <w:left w:val="nil"/>
              <w:bottom w:val="nil"/>
              <w:right w:val="nil"/>
            </w:tcBorders>
          </w:tcPr>
          <w:p w14:paraId="50B579B9" w14:textId="77777777" w:rsidR="001D70F8" w:rsidRDefault="001D70F8" w:rsidP="00C07C5D">
            <w:pPr>
              <w:spacing w:line="360" w:lineRule="auto"/>
              <w:jc w:val="both"/>
            </w:pPr>
            <w:r>
              <w:t>IES-R Total</w:t>
            </w:r>
          </w:p>
        </w:tc>
        <w:tc>
          <w:tcPr>
            <w:tcW w:w="1454" w:type="dxa"/>
            <w:tcBorders>
              <w:left w:val="nil"/>
              <w:bottom w:val="nil"/>
              <w:right w:val="nil"/>
            </w:tcBorders>
          </w:tcPr>
          <w:p w14:paraId="5D0BA0E8" w14:textId="77777777" w:rsidR="001D70F8" w:rsidRDefault="001D70F8" w:rsidP="00C07C5D">
            <w:pPr>
              <w:spacing w:line="360" w:lineRule="auto"/>
              <w:jc w:val="both"/>
            </w:pPr>
            <w:r>
              <w:t>7.88</w:t>
            </w:r>
          </w:p>
        </w:tc>
        <w:tc>
          <w:tcPr>
            <w:tcW w:w="1844" w:type="dxa"/>
            <w:tcBorders>
              <w:left w:val="nil"/>
              <w:bottom w:val="nil"/>
              <w:right w:val="nil"/>
            </w:tcBorders>
          </w:tcPr>
          <w:p w14:paraId="0F7A23CB" w14:textId="77777777" w:rsidR="001D70F8" w:rsidRDefault="001D70F8" w:rsidP="00C07C5D">
            <w:pPr>
              <w:spacing w:line="360" w:lineRule="auto"/>
              <w:jc w:val="both"/>
            </w:pPr>
            <w:r>
              <w:t>0.00*</w:t>
            </w:r>
          </w:p>
        </w:tc>
        <w:tc>
          <w:tcPr>
            <w:tcW w:w="1611" w:type="dxa"/>
            <w:tcBorders>
              <w:left w:val="nil"/>
              <w:bottom w:val="nil"/>
              <w:right w:val="nil"/>
            </w:tcBorders>
          </w:tcPr>
          <w:p w14:paraId="5BBBCA02" w14:textId="77777777" w:rsidR="001D70F8" w:rsidRDefault="001D70F8" w:rsidP="00C07C5D">
            <w:pPr>
              <w:spacing w:line="360" w:lineRule="auto"/>
              <w:jc w:val="both"/>
            </w:pPr>
            <w:r>
              <w:t>1.29</w:t>
            </w:r>
          </w:p>
        </w:tc>
      </w:tr>
      <w:tr w:rsidR="001D70F8" w14:paraId="49F93C9E" w14:textId="77777777" w:rsidTr="001D70F8">
        <w:tc>
          <w:tcPr>
            <w:tcW w:w="2388" w:type="dxa"/>
            <w:tcBorders>
              <w:top w:val="nil"/>
              <w:left w:val="nil"/>
              <w:bottom w:val="nil"/>
              <w:right w:val="nil"/>
            </w:tcBorders>
          </w:tcPr>
          <w:p w14:paraId="44296873" w14:textId="77777777" w:rsidR="001D70F8" w:rsidRDefault="001D70F8" w:rsidP="00C07C5D">
            <w:pPr>
              <w:spacing w:line="360" w:lineRule="auto"/>
              <w:jc w:val="both"/>
            </w:pPr>
            <w:r>
              <w:t>IES-R Avoidance</w:t>
            </w:r>
          </w:p>
        </w:tc>
        <w:tc>
          <w:tcPr>
            <w:tcW w:w="1454" w:type="dxa"/>
            <w:tcBorders>
              <w:top w:val="nil"/>
              <w:left w:val="nil"/>
              <w:bottom w:val="nil"/>
              <w:right w:val="nil"/>
            </w:tcBorders>
          </w:tcPr>
          <w:p w14:paraId="0398E1AB" w14:textId="77777777" w:rsidR="001D70F8" w:rsidRDefault="001D70F8" w:rsidP="00C07C5D">
            <w:pPr>
              <w:spacing w:line="360" w:lineRule="auto"/>
              <w:jc w:val="both"/>
            </w:pPr>
            <w:r>
              <w:t>8.41</w:t>
            </w:r>
          </w:p>
        </w:tc>
        <w:tc>
          <w:tcPr>
            <w:tcW w:w="1844" w:type="dxa"/>
            <w:tcBorders>
              <w:top w:val="nil"/>
              <w:left w:val="nil"/>
              <w:bottom w:val="nil"/>
              <w:right w:val="nil"/>
            </w:tcBorders>
          </w:tcPr>
          <w:p w14:paraId="36348A06" w14:textId="77777777" w:rsidR="001D70F8" w:rsidRDefault="001D70F8" w:rsidP="00C07C5D">
            <w:pPr>
              <w:spacing w:line="360" w:lineRule="auto"/>
              <w:jc w:val="both"/>
            </w:pPr>
            <w:r w:rsidRPr="003F68F3">
              <w:t>0.00*</w:t>
            </w:r>
          </w:p>
        </w:tc>
        <w:tc>
          <w:tcPr>
            <w:tcW w:w="1611" w:type="dxa"/>
            <w:tcBorders>
              <w:top w:val="nil"/>
              <w:left w:val="nil"/>
              <w:bottom w:val="nil"/>
              <w:right w:val="nil"/>
            </w:tcBorders>
          </w:tcPr>
          <w:p w14:paraId="189FEAA3" w14:textId="77777777" w:rsidR="001D70F8" w:rsidRDefault="001D70F8" w:rsidP="00C07C5D">
            <w:pPr>
              <w:spacing w:line="360" w:lineRule="auto"/>
              <w:jc w:val="both"/>
            </w:pPr>
            <w:r>
              <w:t>1.38</w:t>
            </w:r>
          </w:p>
        </w:tc>
      </w:tr>
      <w:tr w:rsidR="001D70F8" w14:paraId="40A44140" w14:textId="77777777" w:rsidTr="001D70F8">
        <w:tc>
          <w:tcPr>
            <w:tcW w:w="2388" w:type="dxa"/>
            <w:tcBorders>
              <w:top w:val="nil"/>
              <w:left w:val="nil"/>
              <w:bottom w:val="nil"/>
              <w:right w:val="nil"/>
            </w:tcBorders>
          </w:tcPr>
          <w:p w14:paraId="79974539" w14:textId="77777777" w:rsidR="001D70F8" w:rsidRDefault="001D70F8" w:rsidP="00C07C5D">
            <w:pPr>
              <w:spacing w:line="360" w:lineRule="auto"/>
              <w:jc w:val="both"/>
            </w:pPr>
            <w:r>
              <w:t>IES-R Intrusion</w:t>
            </w:r>
          </w:p>
        </w:tc>
        <w:tc>
          <w:tcPr>
            <w:tcW w:w="1454" w:type="dxa"/>
            <w:tcBorders>
              <w:top w:val="nil"/>
              <w:left w:val="nil"/>
              <w:bottom w:val="nil"/>
              <w:right w:val="nil"/>
            </w:tcBorders>
          </w:tcPr>
          <w:p w14:paraId="3B479504" w14:textId="77777777" w:rsidR="001D70F8" w:rsidRDefault="001D70F8" w:rsidP="00C07C5D">
            <w:pPr>
              <w:spacing w:line="360" w:lineRule="auto"/>
              <w:jc w:val="both"/>
            </w:pPr>
            <w:r>
              <w:t>-7.35</w:t>
            </w:r>
          </w:p>
        </w:tc>
        <w:tc>
          <w:tcPr>
            <w:tcW w:w="1844" w:type="dxa"/>
            <w:tcBorders>
              <w:top w:val="nil"/>
              <w:left w:val="nil"/>
              <w:bottom w:val="nil"/>
              <w:right w:val="nil"/>
            </w:tcBorders>
          </w:tcPr>
          <w:p w14:paraId="7DB4CDBE" w14:textId="77777777" w:rsidR="001D70F8" w:rsidRDefault="001D70F8" w:rsidP="00C07C5D">
            <w:pPr>
              <w:spacing w:line="360" w:lineRule="auto"/>
              <w:jc w:val="both"/>
            </w:pPr>
            <w:r w:rsidRPr="003F68F3">
              <w:t>0.00*</w:t>
            </w:r>
          </w:p>
        </w:tc>
        <w:tc>
          <w:tcPr>
            <w:tcW w:w="1611" w:type="dxa"/>
            <w:tcBorders>
              <w:top w:val="nil"/>
              <w:left w:val="nil"/>
              <w:bottom w:val="nil"/>
              <w:right w:val="nil"/>
            </w:tcBorders>
          </w:tcPr>
          <w:p w14:paraId="1C45E664" w14:textId="77777777" w:rsidR="001D70F8" w:rsidRDefault="001D70F8" w:rsidP="00C07C5D">
            <w:pPr>
              <w:spacing w:line="360" w:lineRule="auto"/>
              <w:jc w:val="both"/>
            </w:pPr>
            <w:r>
              <w:t>1.21</w:t>
            </w:r>
          </w:p>
        </w:tc>
      </w:tr>
      <w:tr w:rsidR="001D70F8" w14:paraId="532148AB" w14:textId="77777777" w:rsidTr="001D70F8">
        <w:tc>
          <w:tcPr>
            <w:tcW w:w="2388" w:type="dxa"/>
            <w:tcBorders>
              <w:top w:val="nil"/>
              <w:left w:val="nil"/>
              <w:bottom w:val="nil"/>
              <w:right w:val="nil"/>
            </w:tcBorders>
          </w:tcPr>
          <w:p w14:paraId="7868138E" w14:textId="77777777" w:rsidR="001D70F8" w:rsidRDefault="001D70F8" w:rsidP="00C07C5D">
            <w:pPr>
              <w:spacing w:line="360" w:lineRule="auto"/>
              <w:jc w:val="both"/>
            </w:pPr>
            <w:r>
              <w:t>IES-R Hypervigilance</w:t>
            </w:r>
          </w:p>
        </w:tc>
        <w:tc>
          <w:tcPr>
            <w:tcW w:w="1454" w:type="dxa"/>
            <w:tcBorders>
              <w:top w:val="nil"/>
              <w:left w:val="nil"/>
              <w:bottom w:val="nil"/>
              <w:right w:val="nil"/>
            </w:tcBorders>
          </w:tcPr>
          <w:p w14:paraId="4BC33096" w14:textId="77777777" w:rsidR="001D70F8" w:rsidRDefault="001D70F8" w:rsidP="00C07C5D">
            <w:pPr>
              <w:spacing w:line="360" w:lineRule="auto"/>
              <w:jc w:val="both"/>
            </w:pPr>
            <w:r>
              <w:t>5.92</w:t>
            </w:r>
          </w:p>
        </w:tc>
        <w:tc>
          <w:tcPr>
            <w:tcW w:w="1844" w:type="dxa"/>
            <w:tcBorders>
              <w:top w:val="nil"/>
              <w:left w:val="nil"/>
              <w:bottom w:val="nil"/>
              <w:right w:val="nil"/>
            </w:tcBorders>
          </w:tcPr>
          <w:p w14:paraId="1CF238B9" w14:textId="77777777" w:rsidR="001D70F8" w:rsidRDefault="001D70F8" w:rsidP="00C07C5D">
            <w:pPr>
              <w:spacing w:line="360" w:lineRule="auto"/>
              <w:jc w:val="both"/>
            </w:pPr>
            <w:r w:rsidRPr="003F68F3">
              <w:t>0.00*</w:t>
            </w:r>
          </w:p>
        </w:tc>
        <w:tc>
          <w:tcPr>
            <w:tcW w:w="1611" w:type="dxa"/>
            <w:tcBorders>
              <w:top w:val="nil"/>
              <w:left w:val="nil"/>
              <w:bottom w:val="nil"/>
              <w:right w:val="nil"/>
            </w:tcBorders>
          </w:tcPr>
          <w:p w14:paraId="1376E44E" w14:textId="77777777" w:rsidR="001D70F8" w:rsidRDefault="001D70F8" w:rsidP="00C07C5D">
            <w:pPr>
              <w:spacing w:line="360" w:lineRule="auto"/>
              <w:jc w:val="both"/>
            </w:pPr>
            <w:r>
              <w:t>0.97</w:t>
            </w:r>
          </w:p>
        </w:tc>
      </w:tr>
      <w:tr w:rsidR="001D70F8" w14:paraId="33B75E50" w14:textId="77777777" w:rsidTr="001D70F8">
        <w:tc>
          <w:tcPr>
            <w:tcW w:w="2388" w:type="dxa"/>
            <w:tcBorders>
              <w:top w:val="nil"/>
              <w:left w:val="nil"/>
              <w:bottom w:val="nil"/>
              <w:right w:val="nil"/>
            </w:tcBorders>
          </w:tcPr>
          <w:p w14:paraId="3EEDBB23" w14:textId="77777777" w:rsidR="001D70F8" w:rsidRDefault="001D70F8" w:rsidP="00C07C5D">
            <w:pPr>
              <w:spacing w:line="360" w:lineRule="auto"/>
              <w:jc w:val="both"/>
            </w:pPr>
            <w:r>
              <w:t>GAD-7</w:t>
            </w:r>
          </w:p>
        </w:tc>
        <w:tc>
          <w:tcPr>
            <w:tcW w:w="1454" w:type="dxa"/>
            <w:tcBorders>
              <w:top w:val="nil"/>
              <w:left w:val="nil"/>
              <w:bottom w:val="nil"/>
              <w:right w:val="nil"/>
            </w:tcBorders>
          </w:tcPr>
          <w:p w14:paraId="41310096" w14:textId="77777777" w:rsidR="001D70F8" w:rsidRDefault="001D70F8" w:rsidP="00C07C5D">
            <w:pPr>
              <w:spacing w:line="360" w:lineRule="auto"/>
              <w:jc w:val="both"/>
            </w:pPr>
            <w:r>
              <w:t>5.76</w:t>
            </w:r>
          </w:p>
        </w:tc>
        <w:tc>
          <w:tcPr>
            <w:tcW w:w="1844" w:type="dxa"/>
            <w:tcBorders>
              <w:top w:val="nil"/>
              <w:left w:val="nil"/>
              <w:bottom w:val="nil"/>
              <w:right w:val="nil"/>
            </w:tcBorders>
          </w:tcPr>
          <w:p w14:paraId="1144D98A" w14:textId="77777777" w:rsidR="001D70F8" w:rsidRDefault="001D70F8" w:rsidP="00C07C5D">
            <w:pPr>
              <w:spacing w:line="360" w:lineRule="auto"/>
              <w:jc w:val="both"/>
            </w:pPr>
            <w:r w:rsidRPr="003F68F3">
              <w:t>0.00*</w:t>
            </w:r>
          </w:p>
        </w:tc>
        <w:tc>
          <w:tcPr>
            <w:tcW w:w="1611" w:type="dxa"/>
            <w:tcBorders>
              <w:top w:val="nil"/>
              <w:left w:val="nil"/>
              <w:bottom w:val="nil"/>
              <w:right w:val="nil"/>
            </w:tcBorders>
          </w:tcPr>
          <w:p w14:paraId="195A2E85" w14:textId="77777777" w:rsidR="001D70F8" w:rsidRDefault="001D70F8" w:rsidP="00C07C5D">
            <w:pPr>
              <w:spacing w:line="360" w:lineRule="auto"/>
              <w:jc w:val="both"/>
            </w:pPr>
            <w:r>
              <w:t>0.96</w:t>
            </w:r>
          </w:p>
        </w:tc>
      </w:tr>
      <w:tr w:rsidR="001D70F8" w14:paraId="6493D881" w14:textId="77777777" w:rsidTr="001D70F8">
        <w:tc>
          <w:tcPr>
            <w:tcW w:w="2388" w:type="dxa"/>
            <w:tcBorders>
              <w:top w:val="nil"/>
              <w:left w:val="nil"/>
              <w:bottom w:val="single" w:sz="4" w:space="0" w:color="auto"/>
              <w:right w:val="nil"/>
            </w:tcBorders>
          </w:tcPr>
          <w:p w14:paraId="1CA9ED2B" w14:textId="77777777" w:rsidR="001D70F8" w:rsidRDefault="001D70F8" w:rsidP="00C07C5D">
            <w:pPr>
              <w:spacing w:line="360" w:lineRule="auto"/>
              <w:jc w:val="both"/>
            </w:pPr>
            <w:r>
              <w:t>PHQ-9</w:t>
            </w:r>
          </w:p>
        </w:tc>
        <w:tc>
          <w:tcPr>
            <w:tcW w:w="1454" w:type="dxa"/>
            <w:tcBorders>
              <w:top w:val="nil"/>
              <w:left w:val="nil"/>
              <w:bottom w:val="single" w:sz="4" w:space="0" w:color="auto"/>
              <w:right w:val="nil"/>
            </w:tcBorders>
          </w:tcPr>
          <w:p w14:paraId="3DFC56C0" w14:textId="77777777" w:rsidR="001D70F8" w:rsidRDefault="001D70F8" w:rsidP="00C07C5D">
            <w:pPr>
              <w:spacing w:line="360" w:lineRule="auto"/>
              <w:jc w:val="both"/>
            </w:pPr>
            <w:r>
              <w:t>4.99</w:t>
            </w:r>
          </w:p>
        </w:tc>
        <w:tc>
          <w:tcPr>
            <w:tcW w:w="1844" w:type="dxa"/>
            <w:tcBorders>
              <w:top w:val="nil"/>
              <w:left w:val="nil"/>
              <w:bottom w:val="single" w:sz="4" w:space="0" w:color="auto"/>
              <w:right w:val="nil"/>
            </w:tcBorders>
          </w:tcPr>
          <w:p w14:paraId="44DED988" w14:textId="77777777" w:rsidR="001D70F8" w:rsidRDefault="001D70F8" w:rsidP="00C07C5D">
            <w:pPr>
              <w:spacing w:line="360" w:lineRule="auto"/>
              <w:jc w:val="both"/>
            </w:pPr>
            <w:r w:rsidRPr="003F68F3">
              <w:t>0.00*</w:t>
            </w:r>
          </w:p>
        </w:tc>
        <w:tc>
          <w:tcPr>
            <w:tcW w:w="1611" w:type="dxa"/>
            <w:tcBorders>
              <w:top w:val="nil"/>
              <w:left w:val="nil"/>
              <w:bottom w:val="single" w:sz="4" w:space="0" w:color="auto"/>
              <w:right w:val="nil"/>
            </w:tcBorders>
          </w:tcPr>
          <w:p w14:paraId="344C0CCD" w14:textId="77777777" w:rsidR="001D70F8" w:rsidRDefault="001D70F8" w:rsidP="00C07C5D">
            <w:pPr>
              <w:spacing w:line="360" w:lineRule="auto"/>
              <w:jc w:val="both"/>
            </w:pPr>
            <w:r>
              <w:t>0.86</w:t>
            </w:r>
          </w:p>
        </w:tc>
      </w:tr>
    </w:tbl>
    <w:p w14:paraId="16E5CA5F" w14:textId="17B3C5C3" w:rsidR="00533DC7" w:rsidRPr="000738FB" w:rsidRDefault="00533DC7" w:rsidP="00C07C5D">
      <w:pPr>
        <w:spacing w:line="360" w:lineRule="auto"/>
        <w:jc w:val="both"/>
        <w:rPr>
          <w:i/>
          <w:iCs/>
        </w:rPr>
      </w:pPr>
      <w:r w:rsidRPr="000738FB">
        <w:rPr>
          <w:i/>
          <w:iCs/>
        </w:rPr>
        <w:t>*denotes clinical significance at the p&lt;0.05 level</w:t>
      </w:r>
      <w:r w:rsidR="001D70F8">
        <w:rPr>
          <w:i/>
          <w:iCs/>
        </w:rPr>
        <w:t>, two-tailed test</w:t>
      </w:r>
      <w:r w:rsidR="00347303">
        <w:rPr>
          <w:i/>
          <w:iCs/>
        </w:rPr>
        <w:t xml:space="preserve"> </w:t>
      </w:r>
    </w:p>
    <w:p w14:paraId="38E51CA3" w14:textId="77777777" w:rsidR="00176616" w:rsidRDefault="00176616" w:rsidP="00C07C5D">
      <w:pPr>
        <w:spacing w:line="360" w:lineRule="auto"/>
        <w:ind w:right="95"/>
        <w:jc w:val="both"/>
        <w:rPr>
          <w:b/>
        </w:rPr>
      </w:pPr>
    </w:p>
    <w:p w14:paraId="4C4F0994" w14:textId="77C4184C" w:rsidR="003A4B36" w:rsidRDefault="003A4B36" w:rsidP="00C07C5D">
      <w:pPr>
        <w:spacing w:line="360" w:lineRule="auto"/>
        <w:ind w:right="95"/>
        <w:jc w:val="both"/>
        <w:rPr>
          <w:b/>
        </w:rPr>
      </w:pPr>
      <w:r>
        <w:rPr>
          <w:b/>
        </w:rPr>
        <w:t>Discussion</w:t>
      </w:r>
    </w:p>
    <w:p w14:paraId="7F4387F8" w14:textId="77777777" w:rsidR="00F80452" w:rsidRDefault="00F80452" w:rsidP="00C07C5D">
      <w:pPr>
        <w:spacing w:line="360" w:lineRule="auto"/>
        <w:ind w:right="95"/>
        <w:jc w:val="both"/>
        <w:rPr>
          <w:b/>
        </w:rPr>
      </w:pPr>
    </w:p>
    <w:p w14:paraId="0F2F438B" w14:textId="354A5787" w:rsidR="003A4B36" w:rsidRDefault="003A4B36" w:rsidP="00C07C5D">
      <w:pPr>
        <w:spacing w:line="360" w:lineRule="auto"/>
        <w:ind w:right="95"/>
        <w:jc w:val="both"/>
        <w:rPr>
          <w:rFonts w:cs="Arial"/>
        </w:rPr>
      </w:pPr>
      <w:r>
        <w:rPr>
          <w:rFonts w:cs="Arial"/>
        </w:rPr>
        <w:t xml:space="preserve">This </w:t>
      </w:r>
      <w:r w:rsidR="00FF05CB">
        <w:rPr>
          <w:rFonts w:cs="Arial"/>
        </w:rPr>
        <w:t xml:space="preserve">audit </w:t>
      </w:r>
      <w:r>
        <w:rPr>
          <w:rFonts w:cs="Arial"/>
        </w:rPr>
        <w:t xml:space="preserve">evaluation has demonstrated that the Birth Trauma Clinical Psychology service offers </w:t>
      </w:r>
      <w:r w:rsidR="00FF05CB">
        <w:rPr>
          <w:rFonts w:cs="Arial"/>
        </w:rPr>
        <w:t xml:space="preserve">highly </w:t>
      </w:r>
      <w:r>
        <w:rPr>
          <w:rFonts w:cs="Arial"/>
        </w:rPr>
        <w:t xml:space="preserve">effective brief treatment for post-natal women experiencing PTSD following childbirth. Scores across all measures </w:t>
      </w:r>
      <w:r w:rsidR="000738FB">
        <w:rPr>
          <w:rFonts w:cs="Arial"/>
        </w:rPr>
        <w:t>were</w:t>
      </w:r>
      <w:r>
        <w:rPr>
          <w:rFonts w:cs="Arial"/>
        </w:rPr>
        <w:t xml:space="preserve"> reduced from pre-to-post intervention</w:t>
      </w:r>
      <w:r w:rsidR="000738FB">
        <w:rPr>
          <w:rFonts w:cs="Arial"/>
        </w:rPr>
        <w:t xml:space="preserve">, and a series of t-tests confirmed that this change was statistically significant with large effect sizes. </w:t>
      </w:r>
    </w:p>
    <w:p w14:paraId="233ED7A2" w14:textId="77777777" w:rsidR="003A4B36" w:rsidRDefault="003A4B36" w:rsidP="00C07C5D">
      <w:pPr>
        <w:spacing w:line="360" w:lineRule="auto"/>
        <w:ind w:right="95"/>
        <w:jc w:val="both"/>
        <w:rPr>
          <w:rFonts w:cs="Arial"/>
        </w:rPr>
      </w:pPr>
    </w:p>
    <w:p w14:paraId="5FEB6687" w14:textId="173EAA4F" w:rsidR="005018DD" w:rsidRDefault="00FF05CB" w:rsidP="00C07C5D">
      <w:pPr>
        <w:spacing w:line="360" w:lineRule="auto"/>
        <w:ind w:right="95"/>
        <w:jc w:val="both"/>
        <w:rPr>
          <w:rFonts w:cs="Arial"/>
        </w:rPr>
      </w:pPr>
      <w:r>
        <w:rPr>
          <w:rFonts w:cs="Arial"/>
        </w:rPr>
        <w:t xml:space="preserve">An important finding is that </w:t>
      </w:r>
      <w:r w:rsidR="005018DD">
        <w:rPr>
          <w:rFonts w:cs="Arial"/>
        </w:rPr>
        <w:t>89% of women referred attended</w:t>
      </w:r>
      <w:r w:rsidR="009C3501">
        <w:rPr>
          <w:rFonts w:cs="Arial"/>
        </w:rPr>
        <w:t xml:space="preserve"> </w:t>
      </w:r>
      <w:r w:rsidR="005018DD">
        <w:rPr>
          <w:rFonts w:cs="Arial"/>
        </w:rPr>
        <w:t>the service. This contrast</w:t>
      </w:r>
      <w:r w:rsidR="009C3501">
        <w:rPr>
          <w:rFonts w:cs="Arial"/>
        </w:rPr>
        <w:t>s</w:t>
      </w:r>
      <w:r w:rsidR="005018DD">
        <w:rPr>
          <w:rFonts w:cs="Arial"/>
        </w:rPr>
        <w:t xml:space="preserve"> with studies that </w:t>
      </w:r>
      <w:r w:rsidR="003E1136">
        <w:rPr>
          <w:rFonts w:cs="Arial"/>
        </w:rPr>
        <w:t>suggest only</w:t>
      </w:r>
      <w:r w:rsidR="005018DD">
        <w:rPr>
          <w:rFonts w:cs="Arial"/>
        </w:rPr>
        <w:t xml:space="preserve"> 50% of perinatal women uptake </w:t>
      </w:r>
      <w:r w:rsidR="00CE3CBC">
        <w:rPr>
          <w:rFonts w:cs="Arial"/>
        </w:rPr>
        <w:t xml:space="preserve">mental health </w:t>
      </w:r>
      <w:r w:rsidR="005018DD">
        <w:rPr>
          <w:rFonts w:cs="Arial"/>
        </w:rPr>
        <w:t>services when offered</w:t>
      </w:r>
      <w:r w:rsidR="00C07C5D">
        <w:rPr>
          <w:rFonts w:cs="Arial"/>
        </w:rPr>
        <w:t xml:space="preserve"> (</w:t>
      </w:r>
      <w:proofErr w:type="spellStart"/>
      <w:r w:rsidR="00C07C5D">
        <w:rPr>
          <w:rFonts w:cs="Arial"/>
        </w:rPr>
        <w:t>Albaugh</w:t>
      </w:r>
      <w:proofErr w:type="spellEnd"/>
      <w:r w:rsidR="00C07C5D">
        <w:rPr>
          <w:rFonts w:cs="Arial"/>
        </w:rPr>
        <w:t xml:space="preserve"> et al, 2018).</w:t>
      </w:r>
      <w:r w:rsidR="005018DD" w:rsidRPr="00432DE6">
        <w:rPr>
          <w:rFonts w:cs="Arial"/>
          <w:vertAlign w:val="superscript"/>
        </w:rPr>
        <w:t xml:space="preserve"> </w:t>
      </w:r>
      <w:r w:rsidR="009C3501">
        <w:rPr>
          <w:rFonts w:cs="Arial"/>
        </w:rPr>
        <w:t>The</w:t>
      </w:r>
      <w:r w:rsidR="00CE3CBC">
        <w:rPr>
          <w:rFonts w:cs="Arial"/>
        </w:rPr>
        <w:t xml:space="preserve"> high uptake</w:t>
      </w:r>
      <w:r w:rsidR="009C3501">
        <w:rPr>
          <w:rFonts w:cs="Arial"/>
        </w:rPr>
        <w:t xml:space="preserve"> for this clinic</w:t>
      </w:r>
      <w:r w:rsidR="00CE3CBC">
        <w:rPr>
          <w:rFonts w:cs="Arial"/>
        </w:rPr>
        <w:t xml:space="preserve"> </w:t>
      </w:r>
      <w:r w:rsidR="005018DD">
        <w:rPr>
          <w:rFonts w:cs="Arial"/>
        </w:rPr>
        <w:t>is likely to be due to the close liaison between midwives and psychologists</w:t>
      </w:r>
      <w:r w:rsidR="009C3501">
        <w:rPr>
          <w:rFonts w:cs="Arial"/>
        </w:rPr>
        <w:t>,</w:t>
      </w:r>
      <w:r w:rsidR="005018DD">
        <w:rPr>
          <w:rFonts w:cs="Arial"/>
        </w:rPr>
        <w:t xml:space="preserve"> and the integrated nature of the service. Secondly</w:t>
      </w:r>
      <w:r w:rsidR="004363F8">
        <w:rPr>
          <w:rFonts w:cs="Arial"/>
        </w:rPr>
        <w:t>,</w:t>
      </w:r>
      <w:r w:rsidR="005018DD">
        <w:rPr>
          <w:rFonts w:cs="Arial"/>
        </w:rPr>
        <w:t xml:space="preserve"> two </w:t>
      </w:r>
      <w:r>
        <w:rPr>
          <w:rFonts w:cs="Arial"/>
        </w:rPr>
        <w:t xml:space="preserve">out of three women </w:t>
      </w:r>
      <w:r w:rsidR="005018DD">
        <w:rPr>
          <w:rFonts w:cs="Arial"/>
        </w:rPr>
        <w:t>attending</w:t>
      </w:r>
      <w:r>
        <w:rPr>
          <w:rFonts w:cs="Arial"/>
        </w:rPr>
        <w:t xml:space="preserve"> completed a full course of </w:t>
      </w:r>
      <w:r w:rsidR="00C70452">
        <w:rPr>
          <w:rFonts w:cs="Arial"/>
        </w:rPr>
        <w:t>therapy</w:t>
      </w:r>
      <w:r>
        <w:rPr>
          <w:rFonts w:cs="Arial"/>
        </w:rPr>
        <w:t xml:space="preserve">. Engagement was excellent and loss to therapy small. </w:t>
      </w:r>
      <w:r w:rsidR="005018DD">
        <w:rPr>
          <w:rFonts w:cs="Arial"/>
        </w:rPr>
        <w:t>This suggests this model of care is a highly efficient use of resources.</w:t>
      </w:r>
    </w:p>
    <w:p w14:paraId="2602E846" w14:textId="77777777" w:rsidR="004363F8" w:rsidRDefault="004363F8" w:rsidP="00C07C5D">
      <w:pPr>
        <w:spacing w:line="360" w:lineRule="auto"/>
        <w:ind w:right="95"/>
        <w:jc w:val="both"/>
        <w:rPr>
          <w:rFonts w:cs="Arial"/>
        </w:rPr>
      </w:pPr>
    </w:p>
    <w:p w14:paraId="187EEDE6" w14:textId="26A6A339" w:rsidR="005018DD" w:rsidRDefault="004363F8" w:rsidP="00C07C5D">
      <w:pPr>
        <w:spacing w:line="360" w:lineRule="auto"/>
        <w:ind w:right="95"/>
        <w:jc w:val="both"/>
        <w:rPr>
          <w:rFonts w:cs="Arial"/>
        </w:rPr>
      </w:pPr>
      <w:r>
        <w:rPr>
          <w:rFonts w:cs="Arial"/>
        </w:rPr>
        <w:t>Even when accounting for the relatively low number of women who did not complete therapy, the effectiveness of the clinic was reinforced by the results of the ITT analysis</w:t>
      </w:r>
      <w:r w:rsidR="009C3501">
        <w:rPr>
          <w:rFonts w:cs="Arial"/>
        </w:rPr>
        <w:t xml:space="preserve">. </w:t>
      </w:r>
      <w:r w:rsidR="0024263C">
        <w:rPr>
          <w:rFonts w:cs="Arial"/>
        </w:rPr>
        <w:t>Whilst an ITT is recognised as a conservative form of analysis</w:t>
      </w:r>
      <w:r w:rsidR="007A3B77">
        <w:rPr>
          <w:rFonts w:cs="Arial"/>
        </w:rPr>
        <w:t>,</w:t>
      </w:r>
      <w:r w:rsidR="009C3501">
        <w:rPr>
          <w:rFonts w:cs="Arial"/>
        </w:rPr>
        <w:t xml:space="preserve"> </w:t>
      </w:r>
      <w:r w:rsidR="0024263C">
        <w:rPr>
          <w:rFonts w:cs="Arial"/>
        </w:rPr>
        <w:t>as</w:t>
      </w:r>
      <w:r w:rsidR="009C3501">
        <w:rPr>
          <w:rFonts w:cs="Arial"/>
        </w:rPr>
        <w:t xml:space="preserve"> </w:t>
      </w:r>
      <w:r>
        <w:rPr>
          <w:rFonts w:cs="Arial"/>
        </w:rPr>
        <w:t>the calculation assumes no change</w:t>
      </w:r>
      <w:r w:rsidR="009C3501">
        <w:rPr>
          <w:rFonts w:cs="Arial"/>
        </w:rPr>
        <w:t xml:space="preserve"> </w:t>
      </w:r>
      <w:r w:rsidR="00273533">
        <w:rPr>
          <w:rFonts w:cs="Arial"/>
        </w:rPr>
        <w:t>in those without T2 data</w:t>
      </w:r>
      <w:r w:rsidR="007A3B77">
        <w:rPr>
          <w:rFonts w:cs="Arial"/>
        </w:rPr>
        <w:t>,</w:t>
      </w:r>
      <w:r w:rsidR="00273533">
        <w:rPr>
          <w:rFonts w:cs="Arial"/>
        </w:rPr>
        <w:t xml:space="preserve"> it</w:t>
      </w:r>
      <w:r w:rsidR="0024263C">
        <w:rPr>
          <w:rFonts w:cs="Arial"/>
        </w:rPr>
        <w:t xml:space="preserve"> is of course possible that </w:t>
      </w:r>
      <w:r w:rsidR="009C3501">
        <w:rPr>
          <w:rFonts w:cs="Arial"/>
        </w:rPr>
        <w:t xml:space="preserve">the mental health of </w:t>
      </w:r>
      <w:r w:rsidR="0024263C">
        <w:rPr>
          <w:rFonts w:cs="Arial"/>
        </w:rPr>
        <w:t>some women in the ‘incomplete therapy’ group could have deteriorated</w:t>
      </w:r>
      <w:r w:rsidR="00C07C5D">
        <w:rPr>
          <w:rFonts w:cs="Arial"/>
        </w:rPr>
        <w:t>. N</w:t>
      </w:r>
      <w:r w:rsidR="00273533">
        <w:rPr>
          <w:rFonts w:cs="Arial"/>
        </w:rPr>
        <w:t>o further NHS follow up information was available</w:t>
      </w:r>
      <w:r w:rsidR="00C07C5D">
        <w:rPr>
          <w:rFonts w:cs="Arial"/>
        </w:rPr>
        <w:t xml:space="preserve"> to inform this</w:t>
      </w:r>
      <w:r w:rsidR="00273533">
        <w:rPr>
          <w:rFonts w:cs="Arial"/>
        </w:rPr>
        <w:t>.</w:t>
      </w:r>
      <w:r w:rsidR="0024263C">
        <w:rPr>
          <w:rFonts w:cs="Arial"/>
        </w:rPr>
        <w:t xml:space="preserve"> </w:t>
      </w:r>
      <w:r>
        <w:rPr>
          <w:rFonts w:cs="Arial"/>
        </w:rPr>
        <w:t xml:space="preserve">While the effect sizes were slightly reduced in the ITT analysis compared with the large effect sizes seen in the comparison of T1 and T2 data in those who completed therapy, results were still </w:t>
      </w:r>
      <w:r w:rsidR="0024263C">
        <w:rPr>
          <w:rFonts w:cs="Arial"/>
        </w:rPr>
        <w:t xml:space="preserve">highly </w:t>
      </w:r>
      <w:r>
        <w:rPr>
          <w:rFonts w:cs="Arial"/>
        </w:rPr>
        <w:t xml:space="preserve">significant and effect sizes remained large. </w:t>
      </w:r>
    </w:p>
    <w:p w14:paraId="5589CD81" w14:textId="77777777" w:rsidR="009C3501" w:rsidRDefault="009C3501" w:rsidP="00C07C5D">
      <w:pPr>
        <w:spacing w:line="360" w:lineRule="auto"/>
        <w:ind w:right="95"/>
        <w:jc w:val="both"/>
        <w:rPr>
          <w:rFonts w:cs="Arial"/>
        </w:rPr>
      </w:pPr>
    </w:p>
    <w:p w14:paraId="2017F001" w14:textId="07D4084F" w:rsidR="000738FB" w:rsidRDefault="000738FB" w:rsidP="00C07C5D">
      <w:pPr>
        <w:spacing w:line="360" w:lineRule="auto"/>
        <w:ind w:right="95"/>
        <w:jc w:val="both"/>
        <w:rPr>
          <w:rFonts w:cs="Arial"/>
        </w:rPr>
      </w:pPr>
      <w:r>
        <w:rPr>
          <w:rFonts w:cs="Arial"/>
        </w:rPr>
        <w:t xml:space="preserve">When considering </w:t>
      </w:r>
      <w:r w:rsidR="00C70452">
        <w:rPr>
          <w:rFonts w:cs="Arial"/>
        </w:rPr>
        <w:t>difference</w:t>
      </w:r>
      <w:r w:rsidR="005018DD">
        <w:rPr>
          <w:rFonts w:cs="Arial"/>
        </w:rPr>
        <w:t>s</w:t>
      </w:r>
      <w:r w:rsidR="00C70452">
        <w:rPr>
          <w:rFonts w:cs="Arial"/>
        </w:rPr>
        <w:t xml:space="preserve"> between</w:t>
      </w:r>
      <w:r>
        <w:rPr>
          <w:rFonts w:cs="Arial"/>
        </w:rPr>
        <w:t xml:space="preserve"> the groups (</w:t>
      </w:r>
      <w:r w:rsidR="00D07720">
        <w:rPr>
          <w:rFonts w:cs="Arial"/>
        </w:rPr>
        <w:t>‘</w:t>
      </w:r>
      <w:r>
        <w:rPr>
          <w:rFonts w:cs="Arial"/>
        </w:rPr>
        <w:t>assessment only</w:t>
      </w:r>
      <w:r w:rsidR="00D07720">
        <w:rPr>
          <w:rFonts w:cs="Arial"/>
        </w:rPr>
        <w:t>,’</w:t>
      </w:r>
      <w:r w:rsidR="005018DD" w:rsidRPr="005018DD">
        <w:rPr>
          <w:rFonts w:cs="Arial"/>
        </w:rPr>
        <w:t xml:space="preserve"> </w:t>
      </w:r>
      <w:r w:rsidR="00D07720">
        <w:rPr>
          <w:rFonts w:cs="Arial"/>
        </w:rPr>
        <w:t>‘</w:t>
      </w:r>
      <w:r w:rsidR="005018DD">
        <w:rPr>
          <w:rFonts w:cs="Arial"/>
        </w:rPr>
        <w:t xml:space="preserve">completed </w:t>
      </w:r>
      <w:r w:rsidR="00B10295">
        <w:rPr>
          <w:rFonts w:cs="Arial"/>
        </w:rPr>
        <w:t>therapy,’ and</w:t>
      </w:r>
      <w:r>
        <w:rPr>
          <w:rFonts w:cs="Arial"/>
        </w:rPr>
        <w:t xml:space="preserve"> </w:t>
      </w:r>
      <w:r w:rsidR="00D07720">
        <w:rPr>
          <w:rFonts w:cs="Arial"/>
        </w:rPr>
        <w:t>‘</w:t>
      </w:r>
      <w:r>
        <w:rPr>
          <w:rFonts w:cs="Arial"/>
        </w:rPr>
        <w:t>therapy incomplete</w:t>
      </w:r>
      <w:r w:rsidR="00D07720">
        <w:rPr>
          <w:rFonts w:cs="Arial"/>
        </w:rPr>
        <w:t>’</w:t>
      </w:r>
      <w:r>
        <w:rPr>
          <w:rFonts w:cs="Arial"/>
        </w:rPr>
        <w:t xml:space="preserve">) at </w:t>
      </w:r>
      <w:r w:rsidR="00FF05CB">
        <w:rPr>
          <w:rFonts w:cs="Arial"/>
        </w:rPr>
        <w:t>T1</w:t>
      </w:r>
      <w:r>
        <w:rPr>
          <w:rFonts w:cs="Arial"/>
        </w:rPr>
        <w:t xml:space="preserve">, several </w:t>
      </w:r>
      <w:r w:rsidR="00FF05CB">
        <w:rPr>
          <w:rFonts w:cs="Arial"/>
        </w:rPr>
        <w:t>patterns are clear.  T1 scor</w:t>
      </w:r>
      <w:r w:rsidR="005A4712">
        <w:rPr>
          <w:rFonts w:cs="Arial"/>
        </w:rPr>
        <w:t>e</w:t>
      </w:r>
      <w:r w:rsidR="00FF05CB">
        <w:rPr>
          <w:rFonts w:cs="Arial"/>
        </w:rPr>
        <w:t xml:space="preserve">s </w:t>
      </w:r>
      <w:r w:rsidR="00F80452">
        <w:rPr>
          <w:rFonts w:cs="Arial"/>
        </w:rPr>
        <w:t>for</w:t>
      </w:r>
      <w:r w:rsidR="005018DD">
        <w:rPr>
          <w:rFonts w:cs="Arial"/>
        </w:rPr>
        <w:t xml:space="preserve"> the </w:t>
      </w:r>
      <w:r w:rsidR="00FF05CB">
        <w:rPr>
          <w:rFonts w:cs="Arial"/>
        </w:rPr>
        <w:t xml:space="preserve">assessment </w:t>
      </w:r>
      <w:r w:rsidR="005018DD">
        <w:rPr>
          <w:rFonts w:cs="Arial"/>
        </w:rPr>
        <w:t xml:space="preserve">only group </w:t>
      </w:r>
      <w:r w:rsidR="00FF05CB">
        <w:rPr>
          <w:rFonts w:cs="Arial"/>
        </w:rPr>
        <w:t xml:space="preserve">as expected appear slightly </w:t>
      </w:r>
      <w:r w:rsidR="00E4488A">
        <w:rPr>
          <w:rFonts w:cs="Arial"/>
        </w:rPr>
        <w:t>lower</w:t>
      </w:r>
      <w:r w:rsidR="004363F8">
        <w:rPr>
          <w:rFonts w:cs="Arial"/>
        </w:rPr>
        <w:t>,</w:t>
      </w:r>
      <w:r w:rsidR="00E4488A">
        <w:rPr>
          <w:rFonts w:cs="Arial"/>
        </w:rPr>
        <w:t xml:space="preserve"> although</w:t>
      </w:r>
      <w:r w:rsidR="005A4712">
        <w:rPr>
          <w:rFonts w:cs="Arial"/>
        </w:rPr>
        <w:t xml:space="preserve"> this difference appears </w:t>
      </w:r>
      <w:r w:rsidR="00E4488A">
        <w:rPr>
          <w:rFonts w:cs="Arial"/>
        </w:rPr>
        <w:t>marginal.</w:t>
      </w:r>
      <w:r>
        <w:rPr>
          <w:rFonts w:cs="Arial"/>
        </w:rPr>
        <w:t xml:space="preserve">  This suggests that reliance </w:t>
      </w:r>
      <w:r w:rsidR="005A4712">
        <w:rPr>
          <w:rFonts w:cs="Arial"/>
        </w:rPr>
        <w:t xml:space="preserve">purely </w:t>
      </w:r>
      <w:r>
        <w:rPr>
          <w:rFonts w:cs="Arial"/>
        </w:rPr>
        <w:t xml:space="preserve">on scores on psychometric measures alone will not accurately inform whether </w:t>
      </w:r>
      <w:r w:rsidR="005018DD">
        <w:rPr>
          <w:rFonts w:cs="Arial"/>
        </w:rPr>
        <w:t xml:space="preserve">a woman needs </w:t>
      </w:r>
      <w:r w:rsidR="005A4712">
        <w:rPr>
          <w:rFonts w:cs="Arial"/>
        </w:rPr>
        <w:t xml:space="preserve">this </w:t>
      </w:r>
      <w:r>
        <w:rPr>
          <w:rFonts w:cs="Arial"/>
        </w:rPr>
        <w:t>service</w:t>
      </w:r>
      <w:r w:rsidR="00F80452">
        <w:rPr>
          <w:rFonts w:cs="Arial"/>
        </w:rPr>
        <w:t>.</w:t>
      </w:r>
      <w:r w:rsidR="005A4712">
        <w:rPr>
          <w:rFonts w:cs="Arial"/>
        </w:rPr>
        <w:t xml:space="preserve"> </w:t>
      </w:r>
      <w:r w:rsidR="007C7FF8">
        <w:rPr>
          <w:rFonts w:cs="Arial"/>
        </w:rPr>
        <w:t>F</w:t>
      </w:r>
      <w:r w:rsidR="005A4712">
        <w:rPr>
          <w:rFonts w:cs="Arial"/>
        </w:rPr>
        <w:t xml:space="preserve">or some women </w:t>
      </w:r>
      <w:r w:rsidR="007C7FF8">
        <w:rPr>
          <w:rFonts w:cs="Arial"/>
        </w:rPr>
        <w:t>in this group</w:t>
      </w:r>
      <w:r w:rsidR="00F80452">
        <w:rPr>
          <w:rFonts w:cs="Arial"/>
        </w:rPr>
        <w:t>,</w:t>
      </w:r>
      <w:r w:rsidR="007C7FF8">
        <w:rPr>
          <w:rFonts w:cs="Arial"/>
        </w:rPr>
        <w:t xml:space="preserve"> </w:t>
      </w:r>
      <w:r w:rsidR="005A4712">
        <w:rPr>
          <w:rFonts w:cs="Arial"/>
        </w:rPr>
        <w:t>t</w:t>
      </w:r>
      <w:r w:rsidR="00F80452">
        <w:rPr>
          <w:rFonts w:cs="Arial"/>
        </w:rPr>
        <w:t>here were logistical difficulties,</w:t>
      </w:r>
      <w:r w:rsidR="005A4712">
        <w:rPr>
          <w:rFonts w:cs="Arial"/>
        </w:rPr>
        <w:t xml:space="preserve"> </w:t>
      </w:r>
      <w:r w:rsidR="004363F8">
        <w:rPr>
          <w:rFonts w:cs="Arial"/>
        </w:rPr>
        <w:t xml:space="preserve">for example, no access to suitable childcare or </w:t>
      </w:r>
      <w:r w:rsidR="005A4712">
        <w:rPr>
          <w:rFonts w:cs="Arial"/>
        </w:rPr>
        <w:t>because of the very limited days of the week that ap</w:t>
      </w:r>
      <w:r w:rsidR="00F80452">
        <w:rPr>
          <w:rFonts w:cs="Arial"/>
        </w:rPr>
        <w:t>pointments could be offered. T</w:t>
      </w:r>
      <w:r w:rsidR="005A4712">
        <w:rPr>
          <w:rFonts w:cs="Arial"/>
        </w:rPr>
        <w:t xml:space="preserve">his </w:t>
      </w:r>
      <w:r w:rsidR="00C70452">
        <w:rPr>
          <w:rFonts w:cs="Arial"/>
        </w:rPr>
        <w:t xml:space="preserve">may </w:t>
      </w:r>
      <w:r w:rsidR="00F80452">
        <w:rPr>
          <w:rFonts w:cs="Arial"/>
        </w:rPr>
        <w:t xml:space="preserve">therefore </w:t>
      </w:r>
      <w:r w:rsidR="00C70452">
        <w:rPr>
          <w:rFonts w:cs="Arial"/>
        </w:rPr>
        <w:t>be</w:t>
      </w:r>
      <w:r w:rsidR="005A4712">
        <w:rPr>
          <w:rFonts w:cs="Arial"/>
        </w:rPr>
        <w:t xml:space="preserve"> an artefact of the </w:t>
      </w:r>
      <w:r w:rsidR="004363F8">
        <w:rPr>
          <w:rFonts w:cs="Arial"/>
        </w:rPr>
        <w:t xml:space="preserve">small service provision </w:t>
      </w:r>
      <w:r w:rsidR="005A4712">
        <w:rPr>
          <w:rFonts w:cs="Arial"/>
        </w:rPr>
        <w:t xml:space="preserve">although the data cannot be interrogated in that detail. </w:t>
      </w:r>
      <w:r>
        <w:rPr>
          <w:rFonts w:cs="Arial"/>
        </w:rPr>
        <w:t xml:space="preserve"> </w:t>
      </w:r>
      <w:r w:rsidR="004363F8">
        <w:rPr>
          <w:rFonts w:cs="Arial"/>
        </w:rPr>
        <w:t>It is also possible that following assessment, women decided that they did not want or need therapeutic input, or did not feel the service model was suited to their needs. Further data would need to be collected to inform this.</w:t>
      </w:r>
      <w:r>
        <w:rPr>
          <w:rFonts w:cs="Arial"/>
        </w:rPr>
        <w:t xml:space="preserve"> </w:t>
      </w:r>
      <w:r w:rsidR="005A4712">
        <w:rPr>
          <w:rFonts w:cs="Arial"/>
        </w:rPr>
        <w:t>It is clear</w:t>
      </w:r>
      <w:r w:rsidR="004363F8">
        <w:rPr>
          <w:rFonts w:cs="Arial"/>
        </w:rPr>
        <w:t xml:space="preserve">, however, </w:t>
      </w:r>
      <w:r w:rsidR="005A4712">
        <w:rPr>
          <w:rFonts w:cs="Arial"/>
        </w:rPr>
        <w:t xml:space="preserve">that </w:t>
      </w:r>
      <w:r w:rsidR="00C70452">
        <w:rPr>
          <w:rFonts w:cs="Arial"/>
        </w:rPr>
        <w:t>a thorough</w:t>
      </w:r>
      <w:r>
        <w:rPr>
          <w:rFonts w:cs="Arial"/>
        </w:rPr>
        <w:t xml:space="preserve"> clinical assessment is require</w:t>
      </w:r>
      <w:r w:rsidR="00B37E03">
        <w:rPr>
          <w:rFonts w:cs="Arial"/>
        </w:rPr>
        <w:t>d</w:t>
      </w:r>
      <w:r w:rsidR="007C7FF8">
        <w:rPr>
          <w:rFonts w:cs="Arial"/>
        </w:rPr>
        <w:t xml:space="preserve"> to establish what psychological input is needed</w:t>
      </w:r>
      <w:r>
        <w:rPr>
          <w:rFonts w:cs="Arial"/>
        </w:rPr>
        <w:t xml:space="preserve">, and </w:t>
      </w:r>
      <w:r w:rsidR="007C7FF8">
        <w:rPr>
          <w:rFonts w:cs="Arial"/>
        </w:rPr>
        <w:t xml:space="preserve">a </w:t>
      </w:r>
      <w:r w:rsidR="005A4712">
        <w:rPr>
          <w:rFonts w:cs="Arial"/>
        </w:rPr>
        <w:t xml:space="preserve">shared </w:t>
      </w:r>
      <w:r>
        <w:rPr>
          <w:rFonts w:cs="Arial"/>
        </w:rPr>
        <w:t xml:space="preserve">decision to </w:t>
      </w:r>
      <w:r w:rsidR="009C3501">
        <w:rPr>
          <w:rFonts w:cs="Arial"/>
        </w:rPr>
        <w:t>proceed</w:t>
      </w:r>
      <w:r>
        <w:rPr>
          <w:rFonts w:cs="Arial"/>
        </w:rPr>
        <w:t xml:space="preserve"> with therapy, put an intervention on hold, or </w:t>
      </w:r>
      <w:r w:rsidR="00B37E03">
        <w:rPr>
          <w:rFonts w:cs="Arial"/>
        </w:rPr>
        <w:t xml:space="preserve">refer to a different service, </w:t>
      </w:r>
      <w:r w:rsidR="007C7FF8">
        <w:rPr>
          <w:rFonts w:cs="Arial"/>
        </w:rPr>
        <w:t xml:space="preserve">needs to </w:t>
      </w:r>
      <w:r w:rsidR="00B37E03">
        <w:rPr>
          <w:rFonts w:cs="Arial"/>
        </w:rPr>
        <w:t xml:space="preserve">be driven by a psychological formulation and </w:t>
      </w:r>
      <w:r w:rsidR="005A4712">
        <w:rPr>
          <w:rFonts w:cs="Arial"/>
        </w:rPr>
        <w:t>discussion of needs</w:t>
      </w:r>
      <w:r w:rsidR="00B37E03">
        <w:rPr>
          <w:rFonts w:cs="Arial"/>
        </w:rPr>
        <w:t xml:space="preserve"> with each </w:t>
      </w:r>
      <w:r w:rsidR="00176616">
        <w:rPr>
          <w:rFonts w:cs="Arial"/>
        </w:rPr>
        <w:lastRenderedPageBreak/>
        <w:t>individual woman</w:t>
      </w:r>
      <w:r w:rsidR="00B37E03">
        <w:rPr>
          <w:rFonts w:cs="Arial"/>
        </w:rPr>
        <w:t xml:space="preserve">. </w:t>
      </w:r>
      <w:r w:rsidR="007C7FF8">
        <w:rPr>
          <w:rFonts w:cs="Arial"/>
        </w:rPr>
        <w:t>It is likely that this process</w:t>
      </w:r>
      <w:r w:rsidR="009C3501">
        <w:rPr>
          <w:rFonts w:cs="Arial"/>
        </w:rPr>
        <w:t>, bespoke to each woman,</w:t>
      </w:r>
      <w:r w:rsidR="007C7FF8">
        <w:rPr>
          <w:rFonts w:cs="Arial"/>
        </w:rPr>
        <w:t xml:space="preserve"> underpins the high retention in therapy rate.</w:t>
      </w:r>
    </w:p>
    <w:p w14:paraId="41DCE55B" w14:textId="52579997" w:rsidR="00B37E03" w:rsidRDefault="00B37E03" w:rsidP="00C07C5D">
      <w:pPr>
        <w:spacing w:line="360" w:lineRule="auto"/>
        <w:ind w:right="95"/>
        <w:jc w:val="both"/>
        <w:rPr>
          <w:rFonts w:cs="Arial"/>
        </w:rPr>
      </w:pPr>
    </w:p>
    <w:p w14:paraId="05AC2547" w14:textId="670733C5" w:rsidR="00B37E03" w:rsidRDefault="002C0F96" w:rsidP="00C07C5D">
      <w:pPr>
        <w:spacing w:line="360" w:lineRule="auto"/>
        <w:ind w:right="95"/>
        <w:jc w:val="both"/>
        <w:rPr>
          <w:rFonts w:cs="Arial"/>
        </w:rPr>
      </w:pPr>
      <w:r>
        <w:rPr>
          <w:rFonts w:cs="Arial"/>
        </w:rPr>
        <w:t xml:space="preserve">It does appear from the data </w:t>
      </w:r>
      <w:r w:rsidR="006A2F66">
        <w:rPr>
          <w:rFonts w:cs="Arial"/>
        </w:rPr>
        <w:t xml:space="preserve">that the </w:t>
      </w:r>
      <w:r w:rsidR="00E4488A">
        <w:rPr>
          <w:rFonts w:cs="Arial"/>
        </w:rPr>
        <w:t>small subgroup</w:t>
      </w:r>
      <w:r>
        <w:rPr>
          <w:rFonts w:cs="Arial"/>
        </w:rPr>
        <w:t xml:space="preserve"> </w:t>
      </w:r>
      <w:r w:rsidR="00D942B8">
        <w:rPr>
          <w:rFonts w:cs="Arial"/>
        </w:rPr>
        <w:t xml:space="preserve">of </w:t>
      </w:r>
      <w:r>
        <w:rPr>
          <w:rFonts w:cs="Arial"/>
        </w:rPr>
        <w:t xml:space="preserve">those </w:t>
      </w:r>
      <w:r w:rsidR="00B37E03">
        <w:rPr>
          <w:rFonts w:cs="Arial"/>
        </w:rPr>
        <w:t xml:space="preserve">who did not complete therapy </w:t>
      </w:r>
      <w:r w:rsidR="006A2F66">
        <w:rPr>
          <w:rFonts w:cs="Arial"/>
        </w:rPr>
        <w:t xml:space="preserve">may have higher </w:t>
      </w:r>
      <w:r w:rsidR="00FA0114">
        <w:rPr>
          <w:rFonts w:cs="Arial"/>
        </w:rPr>
        <w:t xml:space="preserve">initial </w:t>
      </w:r>
      <w:r w:rsidR="006A2F66">
        <w:rPr>
          <w:rFonts w:cs="Arial"/>
        </w:rPr>
        <w:t xml:space="preserve">levels of </w:t>
      </w:r>
      <w:r w:rsidR="00C70452">
        <w:rPr>
          <w:rFonts w:cs="Arial"/>
        </w:rPr>
        <w:t>post-traumatic</w:t>
      </w:r>
      <w:r w:rsidR="006A2F66">
        <w:rPr>
          <w:rFonts w:cs="Arial"/>
        </w:rPr>
        <w:t xml:space="preserve"> stress symptoms</w:t>
      </w:r>
      <w:r w:rsidR="00E4488A">
        <w:rPr>
          <w:rFonts w:cs="Arial"/>
        </w:rPr>
        <w:t>.</w:t>
      </w:r>
      <w:r w:rsidR="00B37E03">
        <w:rPr>
          <w:rFonts w:cs="Arial"/>
        </w:rPr>
        <w:t xml:space="preserve">  </w:t>
      </w:r>
      <w:r w:rsidR="006A2F66">
        <w:rPr>
          <w:rFonts w:cs="Arial"/>
        </w:rPr>
        <w:t xml:space="preserve">Clearly one dimension of </w:t>
      </w:r>
      <w:r w:rsidR="00C70452">
        <w:rPr>
          <w:rFonts w:cs="Arial"/>
        </w:rPr>
        <w:t>post-traumatic</w:t>
      </w:r>
      <w:r w:rsidR="006A2F66">
        <w:rPr>
          <w:rFonts w:cs="Arial"/>
        </w:rPr>
        <w:t xml:space="preserve"> stress symptoms is avoidance</w:t>
      </w:r>
      <w:r w:rsidR="00B37E03">
        <w:rPr>
          <w:rFonts w:cs="Arial"/>
        </w:rPr>
        <w:t>.</w:t>
      </w:r>
      <w:r w:rsidR="00E4488A">
        <w:rPr>
          <w:rFonts w:cs="Arial"/>
        </w:rPr>
        <w:t xml:space="preserve"> </w:t>
      </w:r>
      <w:r w:rsidR="006A2F66">
        <w:rPr>
          <w:rFonts w:cs="Arial"/>
        </w:rPr>
        <w:t>Th</w:t>
      </w:r>
      <w:r w:rsidR="00E4488A">
        <w:rPr>
          <w:rFonts w:cs="Arial"/>
        </w:rPr>
        <w:t>i</w:t>
      </w:r>
      <w:r w:rsidR="006A2F66">
        <w:rPr>
          <w:rFonts w:cs="Arial"/>
        </w:rPr>
        <w:t xml:space="preserve">s is an </w:t>
      </w:r>
      <w:r w:rsidR="00B37E03">
        <w:rPr>
          <w:rFonts w:cs="Arial"/>
        </w:rPr>
        <w:t xml:space="preserve">important indication for clinicians working with women who report high levels of distress at </w:t>
      </w:r>
      <w:r w:rsidR="00FA0114">
        <w:rPr>
          <w:rFonts w:cs="Arial"/>
        </w:rPr>
        <w:t xml:space="preserve">T1 </w:t>
      </w:r>
      <w:r w:rsidR="00B37E03">
        <w:rPr>
          <w:rFonts w:cs="Arial"/>
        </w:rPr>
        <w:t xml:space="preserve">to be mindful of the possibility of disengagement, and to make necessary adjustments to the intervention to maintain the woman’s engagement.   </w:t>
      </w:r>
    </w:p>
    <w:p w14:paraId="6EA1EA17" w14:textId="77777777" w:rsidR="003A4B36" w:rsidRDefault="003A4B36" w:rsidP="00C07C5D">
      <w:pPr>
        <w:spacing w:line="360" w:lineRule="auto"/>
        <w:ind w:right="95"/>
        <w:jc w:val="both"/>
        <w:rPr>
          <w:rFonts w:cs="Arial"/>
        </w:rPr>
      </w:pPr>
    </w:p>
    <w:p w14:paraId="549E6A97" w14:textId="571A0019" w:rsidR="003A4B36" w:rsidRDefault="003A4B36" w:rsidP="00C07C5D">
      <w:pPr>
        <w:spacing w:line="360" w:lineRule="auto"/>
        <w:ind w:right="95"/>
        <w:jc w:val="both"/>
        <w:rPr>
          <w:b/>
        </w:rPr>
      </w:pPr>
      <w:r>
        <w:rPr>
          <w:b/>
        </w:rPr>
        <w:t xml:space="preserve">Limitations </w:t>
      </w:r>
    </w:p>
    <w:p w14:paraId="5C6C14F8" w14:textId="75179DB1" w:rsidR="003A4B36" w:rsidRDefault="003A4B36" w:rsidP="00C07C5D">
      <w:pPr>
        <w:spacing w:line="360" w:lineRule="auto"/>
        <w:ind w:right="95"/>
        <w:jc w:val="both"/>
        <w:rPr>
          <w:rFonts w:cs="Arial"/>
        </w:rPr>
      </w:pPr>
      <w:r>
        <w:rPr>
          <w:rFonts w:cs="Arial"/>
        </w:rPr>
        <w:t xml:space="preserve">As this clinic is a limited resource, a relatively small number of women have been seen and the sample is therefore modest. </w:t>
      </w:r>
      <w:r w:rsidR="004363F8">
        <w:rPr>
          <w:rFonts w:cs="Arial"/>
        </w:rPr>
        <w:t xml:space="preserve">The current evaluation has been carried out in the context of routine clinical care, and has therefore been unable to follow up women who did not engage with, or complete therapy to ascertain the reasons for this, or obtain a fully complete data set. </w:t>
      </w:r>
      <w:r w:rsidR="0078461A">
        <w:rPr>
          <w:rFonts w:cs="Arial"/>
        </w:rPr>
        <w:t>Due to the nature of the interventions provided in the clinic, the therapy delivered has been formulation-driven and does not therefore represent a model-specific way of working with women who experience PTSD symptoms following childbirth</w:t>
      </w:r>
      <w:r w:rsidR="00850DE7">
        <w:rPr>
          <w:rFonts w:cs="Arial"/>
        </w:rPr>
        <w:t>, a</w:t>
      </w:r>
      <w:r w:rsidR="009F6961">
        <w:rPr>
          <w:rFonts w:cs="Arial"/>
        </w:rPr>
        <w:t xml:space="preserve">lthough all approaches are driven by </w:t>
      </w:r>
      <w:r w:rsidR="00C70452">
        <w:rPr>
          <w:rFonts w:cs="Arial"/>
        </w:rPr>
        <w:t>evidence-based</w:t>
      </w:r>
      <w:r w:rsidR="009F6961">
        <w:rPr>
          <w:rFonts w:cs="Arial"/>
        </w:rPr>
        <w:t xml:space="preserve"> protocols and provided by experience</w:t>
      </w:r>
      <w:r w:rsidR="004363F8">
        <w:rPr>
          <w:rFonts w:cs="Arial"/>
        </w:rPr>
        <w:t>d</w:t>
      </w:r>
      <w:r w:rsidR="009F6961">
        <w:rPr>
          <w:rFonts w:cs="Arial"/>
        </w:rPr>
        <w:t xml:space="preserve"> </w:t>
      </w:r>
      <w:r w:rsidR="00524D36">
        <w:rPr>
          <w:rFonts w:cs="Arial"/>
        </w:rPr>
        <w:t>C</w:t>
      </w:r>
      <w:r w:rsidR="009F6961">
        <w:rPr>
          <w:rFonts w:cs="Arial"/>
        </w:rPr>
        <w:t xml:space="preserve">linical </w:t>
      </w:r>
      <w:r w:rsidR="00524D36">
        <w:rPr>
          <w:rFonts w:cs="Arial"/>
        </w:rPr>
        <w:t>P</w:t>
      </w:r>
      <w:r w:rsidR="009F6961">
        <w:rPr>
          <w:rFonts w:cs="Arial"/>
        </w:rPr>
        <w:t xml:space="preserve">sychologists trained </w:t>
      </w:r>
      <w:r w:rsidR="004363F8">
        <w:rPr>
          <w:rFonts w:cs="Arial"/>
        </w:rPr>
        <w:t xml:space="preserve">in multiple therapeutic models, </w:t>
      </w:r>
      <w:r w:rsidR="009F6961">
        <w:rPr>
          <w:rFonts w:cs="Arial"/>
        </w:rPr>
        <w:t xml:space="preserve">across the life </w:t>
      </w:r>
      <w:r w:rsidR="00C70452">
        <w:rPr>
          <w:rFonts w:cs="Arial"/>
        </w:rPr>
        <w:t>span (</w:t>
      </w:r>
      <w:r w:rsidR="009F6961">
        <w:rPr>
          <w:rFonts w:cs="Arial"/>
        </w:rPr>
        <w:t xml:space="preserve">PS and EW). </w:t>
      </w:r>
      <w:r w:rsidR="00C70452">
        <w:rPr>
          <w:rFonts w:cs="Arial"/>
        </w:rPr>
        <w:t>Follow up</w:t>
      </w:r>
      <w:r w:rsidR="009F6961">
        <w:rPr>
          <w:rFonts w:cs="Arial"/>
        </w:rPr>
        <w:t xml:space="preserve"> was immediate and we have no longer</w:t>
      </w:r>
      <w:r w:rsidR="0004053E">
        <w:rPr>
          <w:rFonts w:cs="Arial"/>
        </w:rPr>
        <w:t xml:space="preserve"> </w:t>
      </w:r>
      <w:r w:rsidR="009F6961">
        <w:rPr>
          <w:rFonts w:cs="Arial"/>
        </w:rPr>
        <w:t>term information after discharge to know wh</w:t>
      </w:r>
      <w:r w:rsidR="0004053E">
        <w:rPr>
          <w:rFonts w:cs="Arial"/>
        </w:rPr>
        <w:t>e</w:t>
      </w:r>
      <w:r w:rsidR="009F6961">
        <w:rPr>
          <w:rFonts w:cs="Arial"/>
        </w:rPr>
        <w:t>ther the i</w:t>
      </w:r>
      <w:r w:rsidR="0004053E">
        <w:rPr>
          <w:rFonts w:cs="Arial"/>
        </w:rPr>
        <w:t>m</w:t>
      </w:r>
      <w:r w:rsidR="009B589B">
        <w:rPr>
          <w:rFonts w:cs="Arial"/>
        </w:rPr>
        <w:t>provements were sustained</w:t>
      </w:r>
      <w:r w:rsidR="00F11AA7">
        <w:rPr>
          <w:rFonts w:cs="Arial"/>
        </w:rPr>
        <w:t>.</w:t>
      </w:r>
      <w:r w:rsidR="009B589B">
        <w:rPr>
          <w:rFonts w:cs="Arial"/>
        </w:rPr>
        <w:t xml:space="preserve"> </w:t>
      </w:r>
      <w:r w:rsidR="00CD60AF">
        <w:rPr>
          <w:rFonts w:cs="Arial"/>
        </w:rPr>
        <w:t xml:space="preserve">No formal cost effectiveness analysis was completed although given the low </w:t>
      </w:r>
      <w:r w:rsidR="00850DE7">
        <w:rPr>
          <w:rFonts w:cs="Arial"/>
        </w:rPr>
        <w:t>‘</w:t>
      </w:r>
      <w:r w:rsidR="00CD60AF">
        <w:rPr>
          <w:rFonts w:cs="Arial"/>
        </w:rPr>
        <w:t>did not attend rate</w:t>
      </w:r>
      <w:r w:rsidR="00850DE7">
        <w:rPr>
          <w:rFonts w:cs="Arial"/>
        </w:rPr>
        <w:t>’</w:t>
      </w:r>
      <w:r w:rsidR="00CD60AF">
        <w:rPr>
          <w:rFonts w:cs="Arial"/>
        </w:rPr>
        <w:t>, high engagement and  high treatment effect sizes reported, and the fact that the clinical hours reported are fewer than typically required for PTSD</w:t>
      </w:r>
      <w:r w:rsidR="00C07C5D">
        <w:rPr>
          <w:rFonts w:cs="Arial"/>
        </w:rPr>
        <w:t xml:space="preserve"> (NICE, 2018)</w:t>
      </w:r>
      <w:r w:rsidR="009B589B">
        <w:rPr>
          <w:rFonts w:cs="Arial"/>
        </w:rPr>
        <w:t>,</w:t>
      </w:r>
      <w:r w:rsidR="00CD60AF">
        <w:rPr>
          <w:rFonts w:cs="Arial"/>
        </w:rPr>
        <w:t xml:space="preserve"> this </w:t>
      </w:r>
      <w:r w:rsidR="00FA0114">
        <w:rPr>
          <w:rFonts w:cs="Arial"/>
        </w:rPr>
        <w:t xml:space="preserve">integrated </w:t>
      </w:r>
      <w:r w:rsidR="00CD60AF">
        <w:rPr>
          <w:rFonts w:cs="Arial"/>
        </w:rPr>
        <w:t xml:space="preserve">service is likely to be </w:t>
      </w:r>
      <w:r w:rsidR="00FA0114">
        <w:rPr>
          <w:rFonts w:cs="Arial"/>
        </w:rPr>
        <w:t xml:space="preserve">highly </w:t>
      </w:r>
      <w:r w:rsidR="00CD60AF">
        <w:rPr>
          <w:rFonts w:cs="Arial"/>
        </w:rPr>
        <w:t xml:space="preserve">cost effective.  </w:t>
      </w:r>
    </w:p>
    <w:p w14:paraId="4CFFBCC6" w14:textId="4ABC1E5A" w:rsidR="003A4B36" w:rsidRPr="00E4488A" w:rsidRDefault="0078461A" w:rsidP="00C07C5D">
      <w:pPr>
        <w:spacing w:line="360" w:lineRule="auto"/>
        <w:ind w:right="95"/>
        <w:jc w:val="both"/>
        <w:rPr>
          <w:rFonts w:cs="Arial"/>
        </w:rPr>
      </w:pPr>
      <w:r>
        <w:rPr>
          <w:rFonts w:cs="Arial"/>
        </w:rPr>
        <w:t xml:space="preserve"> </w:t>
      </w:r>
    </w:p>
    <w:p w14:paraId="09F9CD94" w14:textId="77777777" w:rsidR="003A4B36" w:rsidRDefault="003A4B36" w:rsidP="00C07C5D">
      <w:pPr>
        <w:spacing w:line="360" w:lineRule="auto"/>
        <w:ind w:right="95"/>
        <w:jc w:val="both"/>
        <w:rPr>
          <w:b/>
        </w:rPr>
      </w:pPr>
      <w:r>
        <w:rPr>
          <w:b/>
        </w:rPr>
        <w:t>Conclusion</w:t>
      </w:r>
    </w:p>
    <w:p w14:paraId="4F504B7B" w14:textId="54572848" w:rsidR="003A4B36" w:rsidRDefault="003A4B36" w:rsidP="00C07C5D">
      <w:pPr>
        <w:spacing w:line="360" w:lineRule="auto"/>
        <w:ind w:right="95"/>
        <w:jc w:val="both"/>
      </w:pPr>
      <w:r>
        <w:t xml:space="preserve">The Birth Trauma clinic </w:t>
      </w:r>
      <w:r w:rsidR="0004053E">
        <w:t xml:space="preserve">as structured and staffed </w:t>
      </w:r>
      <w:r>
        <w:t xml:space="preserve">within </w:t>
      </w:r>
      <w:r w:rsidR="00FA0114">
        <w:t>Sheffield Teaching Hospital Foundation Trust</w:t>
      </w:r>
      <w:r w:rsidR="006967CA">
        <w:t xml:space="preserve"> </w:t>
      </w:r>
      <w:r>
        <w:t xml:space="preserve">provides </w:t>
      </w:r>
      <w:r w:rsidR="00FE6E7D">
        <w:t xml:space="preserve">a </w:t>
      </w:r>
      <w:r w:rsidR="0004053E">
        <w:t xml:space="preserve">highly </w:t>
      </w:r>
      <w:r>
        <w:t>effective psychological treatment for women experiencing symptoms of PTSD.</w:t>
      </w:r>
      <w:r w:rsidR="0004053E">
        <w:t xml:space="preserve"> It provides excellent rates of engagement and therapy completion</w:t>
      </w:r>
      <w:r w:rsidR="007E19EB">
        <w:t xml:space="preserve"> and </w:t>
      </w:r>
      <w:r w:rsidR="00C70452">
        <w:t>merits consideration</w:t>
      </w:r>
      <w:r w:rsidR="007E19EB">
        <w:t xml:space="preserve"> as a model for other services. </w:t>
      </w:r>
      <w:r w:rsidR="0004053E">
        <w:t xml:space="preserve">. </w:t>
      </w:r>
      <w:r w:rsidR="00FE6E7D">
        <w:t xml:space="preserve"> </w:t>
      </w:r>
    </w:p>
    <w:p w14:paraId="566C87AC" w14:textId="77777777" w:rsidR="003A4B36" w:rsidRDefault="003A4B36" w:rsidP="00C07C5D">
      <w:pPr>
        <w:spacing w:line="360" w:lineRule="auto"/>
        <w:ind w:right="95"/>
        <w:jc w:val="both"/>
      </w:pPr>
    </w:p>
    <w:p w14:paraId="1C9DB118" w14:textId="77777777" w:rsidR="003A4B36" w:rsidRDefault="003A4B36" w:rsidP="00C07C5D">
      <w:pPr>
        <w:spacing w:line="360" w:lineRule="auto"/>
        <w:ind w:right="95"/>
        <w:jc w:val="both"/>
        <w:rPr>
          <w:b/>
        </w:rPr>
      </w:pPr>
      <w:r>
        <w:rPr>
          <w:b/>
        </w:rPr>
        <w:t>Disclosure statement</w:t>
      </w:r>
    </w:p>
    <w:p w14:paraId="689FB6DD" w14:textId="77777777" w:rsidR="003A4B36" w:rsidRDefault="003A4B36" w:rsidP="00C07C5D">
      <w:pPr>
        <w:spacing w:line="360" w:lineRule="auto"/>
        <w:ind w:right="95"/>
        <w:jc w:val="both"/>
      </w:pPr>
      <w:r>
        <w:lastRenderedPageBreak/>
        <w:t xml:space="preserve">No potential conflict of interest was reported by the authors. </w:t>
      </w:r>
    </w:p>
    <w:p w14:paraId="5237319F" w14:textId="77777777" w:rsidR="003A4B36" w:rsidRDefault="003A4B36" w:rsidP="00C07C5D">
      <w:pPr>
        <w:spacing w:line="360" w:lineRule="auto"/>
        <w:ind w:right="95"/>
        <w:jc w:val="both"/>
      </w:pPr>
    </w:p>
    <w:p w14:paraId="6E8C8724" w14:textId="77777777" w:rsidR="00176616" w:rsidRDefault="00176616" w:rsidP="00C07C5D">
      <w:pPr>
        <w:spacing w:line="360" w:lineRule="auto"/>
        <w:ind w:right="95"/>
        <w:jc w:val="both"/>
        <w:rPr>
          <w:b/>
        </w:rPr>
      </w:pPr>
    </w:p>
    <w:p w14:paraId="2A778BD6" w14:textId="202973CE" w:rsidR="003A4B36" w:rsidRDefault="003A4B36" w:rsidP="00C07C5D">
      <w:pPr>
        <w:spacing w:line="360" w:lineRule="auto"/>
        <w:ind w:right="95"/>
        <w:jc w:val="both"/>
        <w:rPr>
          <w:b/>
        </w:rPr>
      </w:pPr>
      <w:r>
        <w:rPr>
          <w:b/>
        </w:rPr>
        <w:t>References</w:t>
      </w:r>
    </w:p>
    <w:p w14:paraId="5CC26597" w14:textId="77777777" w:rsidR="00B10295" w:rsidRDefault="00B10295" w:rsidP="00C07C5D">
      <w:pPr>
        <w:spacing w:line="360" w:lineRule="auto"/>
        <w:ind w:right="95"/>
        <w:jc w:val="both"/>
        <w:rPr>
          <w:b/>
        </w:rPr>
      </w:pPr>
    </w:p>
    <w:p w14:paraId="33A9A041" w14:textId="77777777" w:rsidR="00B10295" w:rsidRPr="00B10295" w:rsidRDefault="00B10295" w:rsidP="005419D1">
      <w:pPr>
        <w:spacing w:after="240" w:line="360" w:lineRule="auto"/>
        <w:ind w:right="95"/>
        <w:jc w:val="both"/>
      </w:pPr>
      <w:proofErr w:type="spellStart"/>
      <w:r w:rsidRPr="00B10295">
        <w:t>Albaugh</w:t>
      </w:r>
      <w:proofErr w:type="spellEnd"/>
      <w:r w:rsidRPr="00B10295">
        <w:t xml:space="preserve">, A., Hatter Friedman, S., Nagle Yang, S., &amp; Rosenthal, M. (2018). </w:t>
      </w:r>
      <w:proofErr w:type="gramStart"/>
      <w:r w:rsidRPr="00B10295">
        <w:t>Attendance at mental health appointments by women who were referred during pregnancy or the postpartum period.</w:t>
      </w:r>
      <w:proofErr w:type="gramEnd"/>
      <w:r w:rsidRPr="00B10295">
        <w:t xml:space="preserve"> </w:t>
      </w:r>
      <w:r w:rsidRPr="00B10295">
        <w:rPr>
          <w:i/>
        </w:rPr>
        <w:t xml:space="preserve">Journal of Obstetric, </w:t>
      </w:r>
      <w:proofErr w:type="spellStart"/>
      <w:r w:rsidRPr="00B10295">
        <w:rPr>
          <w:i/>
        </w:rPr>
        <w:t>Gynecologic</w:t>
      </w:r>
      <w:proofErr w:type="spellEnd"/>
      <w:r w:rsidRPr="00B10295">
        <w:rPr>
          <w:i/>
        </w:rPr>
        <w:t xml:space="preserve"> and Neonatal Nursing,</w:t>
      </w:r>
      <w:r w:rsidRPr="00B10295">
        <w:t xml:space="preserve"> 47, 3-11.</w:t>
      </w:r>
    </w:p>
    <w:p w14:paraId="75456AD4" w14:textId="77777777" w:rsidR="00B10295" w:rsidRDefault="00B10295" w:rsidP="005419D1">
      <w:pPr>
        <w:pStyle w:val="ListParagraph"/>
        <w:spacing w:after="240" w:line="360" w:lineRule="auto"/>
        <w:ind w:left="0" w:right="95"/>
        <w:jc w:val="both"/>
        <w:rPr>
          <w:rFonts w:ascii="Times New Roman" w:hAnsi="Times New Roman"/>
          <w:sz w:val="24"/>
          <w:szCs w:val="24"/>
        </w:rPr>
      </w:pPr>
      <w:proofErr w:type="spellStart"/>
      <w:proofErr w:type="gramStart"/>
      <w:r w:rsidRPr="00F36292">
        <w:rPr>
          <w:rFonts w:ascii="Times New Roman" w:hAnsi="Times New Roman"/>
          <w:sz w:val="24"/>
          <w:szCs w:val="24"/>
        </w:rPr>
        <w:t>Asukai</w:t>
      </w:r>
      <w:proofErr w:type="spellEnd"/>
      <w:r w:rsidRPr="00F36292">
        <w:rPr>
          <w:rFonts w:ascii="Times New Roman" w:hAnsi="Times New Roman"/>
          <w:sz w:val="24"/>
          <w:szCs w:val="24"/>
        </w:rPr>
        <w:t xml:space="preserve">, N., Kato, H., Kawamura, N., Kim, Y., Yamamoto, K., </w:t>
      </w:r>
      <w:proofErr w:type="spellStart"/>
      <w:r w:rsidRPr="00F36292">
        <w:rPr>
          <w:rFonts w:ascii="Times New Roman" w:hAnsi="Times New Roman"/>
          <w:sz w:val="24"/>
          <w:szCs w:val="24"/>
        </w:rPr>
        <w:t>Kishimoto</w:t>
      </w:r>
      <w:proofErr w:type="spellEnd"/>
      <w:r w:rsidRPr="00F36292">
        <w:rPr>
          <w:rFonts w:ascii="Times New Roman" w:hAnsi="Times New Roman"/>
          <w:sz w:val="24"/>
          <w:szCs w:val="24"/>
        </w:rPr>
        <w:t xml:space="preserve">, J. &amp; </w:t>
      </w:r>
      <w:proofErr w:type="spellStart"/>
      <w:r w:rsidRPr="00F36292">
        <w:rPr>
          <w:rFonts w:ascii="Times New Roman" w:hAnsi="Times New Roman"/>
          <w:sz w:val="24"/>
          <w:szCs w:val="24"/>
        </w:rPr>
        <w:t>Nishizono</w:t>
      </w:r>
      <w:proofErr w:type="spellEnd"/>
      <w:r w:rsidRPr="00F36292">
        <w:rPr>
          <w:rFonts w:ascii="Times New Roman" w:hAnsi="Times New Roman"/>
          <w:sz w:val="24"/>
          <w:szCs w:val="24"/>
        </w:rPr>
        <w:t>-Maher, A. (2002).</w:t>
      </w:r>
      <w:proofErr w:type="gramEnd"/>
      <w:r w:rsidRPr="00F36292">
        <w:rPr>
          <w:rFonts w:ascii="Times New Roman" w:hAnsi="Times New Roman"/>
          <w:sz w:val="24"/>
          <w:szCs w:val="24"/>
        </w:rPr>
        <w:t xml:space="preserve">  Four studies of different traumatic events.  </w:t>
      </w:r>
      <w:r w:rsidRPr="00F36292">
        <w:rPr>
          <w:rFonts w:ascii="Times New Roman" w:hAnsi="Times New Roman"/>
          <w:i/>
          <w:sz w:val="24"/>
          <w:szCs w:val="24"/>
        </w:rPr>
        <w:t>Journal of Nervous and Mental Disease, 190</w:t>
      </w:r>
      <w:r w:rsidRPr="00F36292">
        <w:rPr>
          <w:rFonts w:ascii="Times New Roman" w:hAnsi="Times New Roman"/>
          <w:sz w:val="24"/>
          <w:szCs w:val="24"/>
        </w:rPr>
        <w:t>(3), 175-182.</w:t>
      </w:r>
    </w:p>
    <w:p w14:paraId="76835C98" w14:textId="77777777" w:rsidR="00B10295" w:rsidRPr="00B10295" w:rsidRDefault="00B10295" w:rsidP="005419D1">
      <w:pPr>
        <w:spacing w:after="240" w:line="360" w:lineRule="auto"/>
        <w:ind w:right="95"/>
        <w:jc w:val="both"/>
      </w:pPr>
      <w:r w:rsidRPr="00B10295">
        <w:rPr>
          <w:noProof/>
        </w:rPr>
        <w:t xml:space="preserve">Cook, N., Ayers, S. &amp; Horsch, A. (2018). Maternal posttraumatic stress disorder during the perinatal period and child outcomes: A systematic review. </w:t>
      </w:r>
      <w:r w:rsidRPr="00B10295">
        <w:rPr>
          <w:i/>
          <w:noProof/>
        </w:rPr>
        <w:t>Journal of Affective Disorders</w:t>
      </w:r>
      <w:r w:rsidRPr="00B10295">
        <w:rPr>
          <w:noProof/>
        </w:rPr>
        <w:t>, 225, 18–31.</w:t>
      </w:r>
    </w:p>
    <w:p w14:paraId="29C67403" w14:textId="77777777" w:rsidR="00B10295" w:rsidRPr="00B10295" w:rsidRDefault="00B10295" w:rsidP="005419D1">
      <w:pPr>
        <w:spacing w:after="240" w:line="360" w:lineRule="auto"/>
        <w:ind w:right="95"/>
        <w:jc w:val="both"/>
      </w:pPr>
      <w:r w:rsidRPr="00B10295">
        <w:t xml:space="preserve">Creamer, M., Bell, M. &amp; </w:t>
      </w:r>
      <w:proofErr w:type="spellStart"/>
      <w:r w:rsidRPr="00B10295">
        <w:t>Failla</w:t>
      </w:r>
      <w:proofErr w:type="spellEnd"/>
      <w:r w:rsidRPr="00B10295">
        <w:t xml:space="preserve">, S. (2003).  </w:t>
      </w:r>
      <w:proofErr w:type="gramStart"/>
      <w:r w:rsidRPr="00B10295">
        <w:t>Psychometric properties of the Impact of Event Scale – Revised.</w:t>
      </w:r>
      <w:proofErr w:type="gramEnd"/>
      <w:r w:rsidRPr="00B10295">
        <w:t xml:space="preserve">  </w:t>
      </w:r>
      <w:r w:rsidRPr="00B10295">
        <w:rPr>
          <w:i/>
        </w:rPr>
        <w:t>Behaviour Research and Therapy, 41</w:t>
      </w:r>
      <w:r w:rsidRPr="00B10295">
        <w:t>(12), 1489-1496.</w:t>
      </w:r>
    </w:p>
    <w:p w14:paraId="5359C994" w14:textId="77777777" w:rsidR="00B10295" w:rsidRPr="00B10295" w:rsidRDefault="00B10295" w:rsidP="005419D1">
      <w:pPr>
        <w:spacing w:after="240" w:line="360" w:lineRule="auto"/>
        <w:ind w:right="95"/>
        <w:jc w:val="both"/>
      </w:pPr>
      <w:proofErr w:type="gramStart"/>
      <w:r w:rsidRPr="00B10295">
        <w:t>Cree, M. (2015).</w:t>
      </w:r>
      <w:proofErr w:type="gramEnd"/>
      <w:r w:rsidRPr="00B10295">
        <w:t xml:space="preserve"> </w:t>
      </w:r>
      <w:r w:rsidRPr="00B10295">
        <w:rPr>
          <w:i/>
        </w:rPr>
        <w:t>Postnatal Depression: Using Compassion Focused Therapy to Enhance Mood, Confidence and Bonding</w:t>
      </w:r>
      <w:r w:rsidRPr="00B10295">
        <w:t xml:space="preserve">.  Robinson, London. </w:t>
      </w:r>
    </w:p>
    <w:p w14:paraId="4116F8A1" w14:textId="77777777" w:rsidR="00B10295" w:rsidRPr="00B10295" w:rsidRDefault="00B10295" w:rsidP="005419D1">
      <w:pPr>
        <w:spacing w:after="240" w:line="360" w:lineRule="auto"/>
        <w:ind w:right="95"/>
        <w:jc w:val="both"/>
      </w:pPr>
      <w:proofErr w:type="gramStart"/>
      <w:r w:rsidRPr="00B10295">
        <w:rPr>
          <w:lang w:val="en"/>
        </w:rPr>
        <w:t>Department of Health (2019).</w:t>
      </w:r>
      <w:proofErr w:type="gramEnd"/>
      <w:r w:rsidRPr="00B10295">
        <w:rPr>
          <w:lang w:val="en"/>
        </w:rPr>
        <w:t xml:space="preserve">  </w:t>
      </w:r>
      <w:proofErr w:type="gramStart"/>
      <w:r w:rsidRPr="00B10295">
        <w:rPr>
          <w:i/>
          <w:lang w:val="en"/>
        </w:rPr>
        <w:t>The NHS long term plan.</w:t>
      </w:r>
      <w:proofErr w:type="gramEnd"/>
      <w:r w:rsidRPr="00B10295">
        <w:rPr>
          <w:lang w:val="en"/>
        </w:rPr>
        <w:t xml:space="preserve"> https://www.longtermplan.nhs.uk/ accessed 02.05.2020.</w:t>
      </w:r>
    </w:p>
    <w:p w14:paraId="41D83213" w14:textId="77777777" w:rsidR="00B10295" w:rsidRPr="00B10295" w:rsidRDefault="00B10295" w:rsidP="005419D1">
      <w:pPr>
        <w:spacing w:after="240" w:line="360" w:lineRule="auto"/>
        <w:ind w:right="95"/>
        <w:jc w:val="both"/>
      </w:pPr>
      <w:r w:rsidRPr="00B10295">
        <w:rPr>
          <w:noProof/>
        </w:rPr>
        <w:t xml:space="preserve">Garthus-Niegel, S., Ayers, S., Martini, J., Von Soest, T., &amp; Eberhard-Gran, M. (2017).  The impact of postpartum post-traumatic stress disorder symptoms on child development: A population-based, 2-year follow-up study. </w:t>
      </w:r>
      <w:r w:rsidRPr="00B10295">
        <w:rPr>
          <w:i/>
          <w:noProof/>
        </w:rPr>
        <w:t>Psychological Medicine</w:t>
      </w:r>
      <w:r w:rsidRPr="00B10295">
        <w:rPr>
          <w:noProof/>
        </w:rPr>
        <w:t xml:space="preserve">, 47(1), 161-170. </w:t>
      </w:r>
    </w:p>
    <w:p w14:paraId="3CFD1914" w14:textId="77777777" w:rsidR="00B10295" w:rsidRPr="00B10295" w:rsidRDefault="00B10295" w:rsidP="005419D1">
      <w:pPr>
        <w:spacing w:after="240" w:line="360" w:lineRule="auto"/>
        <w:ind w:right="95"/>
        <w:jc w:val="both"/>
      </w:pPr>
      <w:r w:rsidRPr="00B10295">
        <w:t xml:space="preserve">Grey, N. (2007) Post-traumatic stress disorder: Treatment. In Lindsay, S. &amp; Powell, G. (Eds.) </w:t>
      </w:r>
      <w:proofErr w:type="gramStart"/>
      <w:r w:rsidRPr="00B10295">
        <w:rPr>
          <w:i/>
        </w:rPr>
        <w:t>The</w:t>
      </w:r>
      <w:proofErr w:type="gramEnd"/>
      <w:r w:rsidRPr="00B10295">
        <w:rPr>
          <w:i/>
        </w:rPr>
        <w:t xml:space="preserve"> Handbook of Clinical Adult Psychology, Third Edition,</w:t>
      </w:r>
      <w:r w:rsidRPr="00B10295">
        <w:t xml:space="preserve"> London, Routledge.</w:t>
      </w:r>
    </w:p>
    <w:p w14:paraId="71C6D901" w14:textId="77777777" w:rsidR="005419D1" w:rsidRDefault="00B10295" w:rsidP="005419D1">
      <w:pPr>
        <w:spacing w:after="240" w:line="360" w:lineRule="auto"/>
        <w:ind w:right="95"/>
        <w:jc w:val="both"/>
      </w:pPr>
      <w:proofErr w:type="spellStart"/>
      <w:proofErr w:type="gramStart"/>
      <w:r w:rsidRPr="00B10295">
        <w:t>Holmqvist</w:t>
      </w:r>
      <w:proofErr w:type="spellEnd"/>
      <w:r w:rsidRPr="00B10295">
        <w:t xml:space="preserve">, R., Philips, B. &amp; </w:t>
      </w:r>
      <w:proofErr w:type="spellStart"/>
      <w:r w:rsidRPr="00B10295">
        <w:t>Barkham</w:t>
      </w:r>
      <w:proofErr w:type="spellEnd"/>
      <w:r w:rsidRPr="00B10295">
        <w:t>, M. (2013).</w:t>
      </w:r>
      <w:proofErr w:type="gramEnd"/>
      <w:r w:rsidRPr="00B10295">
        <w:t xml:space="preserve"> </w:t>
      </w:r>
      <w:proofErr w:type="gramStart"/>
      <w:r w:rsidRPr="00B10295">
        <w:t>Developing practice-based evidence: Benefits, challenges, and tensions.</w:t>
      </w:r>
      <w:proofErr w:type="gramEnd"/>
      <w:r w:rsidRPr="00B10295">
        <w:t xml:space="preserve">  </w:t>
      </w:r>
      <w:r w:rsidRPr="00B10295">
        <w:rPr>
          <w:i/>
          <w:iCs/>
        </w:rPr>
        <w:t>Psychotherapy Research, 25</w:t>
      </w:r>
      <w:r w:rsidRPr="00B10295">
        <w:t>(1), 20-31.</w:t>
      </w:r>
    </w:p>
    <w:p w14:paraId="5BBD70F6" w14:textId="747FEBE7" w:rsidR="00B10295" w:rsidRPr="00B10295" w:rsidRDefault="00B10295" w:rsidP="005419D1">
      <w:pPr>
        <w:spacing w:after="240" w:line="360" w:lineRule="auto"/>
        <w:ind w:right="95"/>
        <w:jc w:val="both"/>
      </w:pPr>
      <w:proofErr w:type="spellStart"/>
      <w:proofErr w:type="gramStart"/>
      <w:r w:rsidRPr="00B10295">
        <w:lastRenderedPageBreak/>
        <w:t>Kroenke</w:t>
      </w:r>
      <w:proofErr w:type="spellEnd"/>
      <w:r w:rsidRPr="00B10295">
        <w:t>, K., Spitzer, R. L., &amp; Williams, J. B. (2001).</w:t>
      </w:r>
      <w:proofErr w:type="gramEnd"/>
      <w:r w:rsidRPr="00B10295">
        <w:rPr>
          <w:i/>
        </w:rPr>
        <w:t xml:space="preserve">  </w:t>
      </w:r>
      <w:r w:rsidRPr="00B10295">
        <w:t xml:space="preserve">The PHQ-9: Validity of a brief depression severity measure.  </w:t>
      </w:r>
      <w:r w:rsidRPr="00B10295">
        <w:rPr>
          <w:i/>
        </w:rPr>
        <w:t>Journal of General Internal Medicine</w:t>
      </w:r>
      <w:r w:rsidRPr="00B10295">
        <w:t xml:space="preserve">, </w:t>
      </w:r>
      <w:r w:rsidRPr="00B10295">
        <w:rPr>
          <w:i/>
        </w:rPr>
        <w:t>16</w:t>
      </w:r>
      <w:r w:rsidRPr="00B10295">
        <w:t>(Pt. 9), 606-616.</w:t>
      </w:r>
    </w:p>
    <w:p w14:paraId="539E73AC" w14:textId="77777777" w:rsidR="00B10295" w:rsidRPr="00B10295" w:rsidRDefault="00B10295" w:rsidP="005419D1">
      <w:pPr>
        <w:spacing w:after="240" w:line="360" w:lineRule="auto"/>
        <w:ind w:right="95"/>
        <w:jc w:val="both"/>
      </w:pPr>
      <w:r w:rsidRPr="00B10295">
        <w:t xml:space="preserve">Lee, D. (2012).  </w:t>
      </w:r>
      <w:proofErr w:type="gramStart"/>
      <w:r w:rsidRPr="00B10295">
        <w:rPr>
          <w:i/>
        </w:rPr>
        <w:t>Recovering from Trauma using Compassion Focused Therapy.</w:t>
      </w:r>
      <w:proofErr w:type="gramEnd"/>
      <w:r w:rsidRPr="00B10295">
        <w:t xml:space="preserve">  Robinson, London.</w:t>
      </w:r>
    </w:p>
    <w:p w14:paraId="528D1483" w14:textId="77777777" w:rsidR="00030108" w:rsidRPr="00B10295" w:rsidRDefault="00030108" w:rsidP="005419D1">
      <w:pPr>
        <w:spacing w:after="240" w:line="360" w:lineRule="auto"/>
        <w:ind w:right="95"/>
        <w:jc w:val="both"/>
      </w:pPr>
      <w:proofErr w:type="gramStart"/>
      <w:r w:rsidRPr="00B10295">
        <w:t>Leeds, L., &amp; Hargreaves, I. (2008).</w:t>
      </w:r>
      <w:proofErr w:type="gramEnd"/>
      <w:r w:rsidRPr="00B10295">
        <w:t xml:space="preserve"> </w:t>
      </w:r>
      <w:proofErr w:type="gramStart"/>
      <w:r w:rsidRPr="00B10295">
        <w:t>The psychological consequences of childbirth.</w:t>
      </w:r>
      <w:proofErr w:type="gramEnd"/>
      <w:r w:rsidRPr="00B10295">
        <w:t xml:space="preserve"> </w:t>
      </w:r>
      <w:r w:rsidRPr="00B10295">
        <w:rPr>
          <w:i/>
        </w:rPr>
        <w:t>Journal of Infant and Reproductive Psychology</w:t>
      </w:r>
      <w:r w:rsidRPr="00B10295">
        <w:t xml:space="preserve">, </w:t>
      </w:r>
      <w:r w:rsidRPr="00B10295">
        <w:rPr>
          <w:i/>
        </w:rPr>
        <w:t>26</w:t>
      </w:r>
      <w:r w:rsidRPr="00B10295">
        <w:t>(Pt. 2), 108-122.</w:t>
      </w:r>
    </w:p>
    <w:p w14:paraId="04474C06" w14:textId="77777777" w:rsidR="00B10295" w:rsidRPr="00DB28E2" w:rsidRDefault="00B10295" w:rsidP="005419D1">
      <w:pPr>
        <w:pStyle w:val="ListParagraph"/>
        <w:spacing w:after="240" w:line="360" w:lineRule="auto"/>
        <w:ind w:left="0" w:right="95"/>
        <w:jc w:val="both"/>
        <w:rPr>
          <w:rFonts w:ascii="Times New Roman" w:hAnsi="Times New Roman"/>
          <w:sz w:val="24"/>
          <w:szCs w:val="24"/>
        </w:rPr>
      </w:pPr>
      <w:r w:rsidRPr="00DB28E2">
        <w:rPr>
          <w:rFonts w:ascii="Times New Roman" w:hAnsi="Times New Roman"/>
          <w:color w:val="2A2A2A"/>
          <w:sz w:val="24"/>
          <w:szCs w:val="24"/>
          <w:lang w:val="en"/>
        </w:rPr>
        <w:t xml:space="preserve">McCoy, C. (2017). </w:t>
      </w:r>
      <w:proofErr w:type="gramStart"/>
      <w:r w:rsidRPr="00DB28E2">
        <w:rPr>
          <w:rFonts w:ascii="Times New Roman" w:hAnsi="Times New Roman"/>
          <w:color w:val="2A2A2A"/>
          <w:sz w:val="24"/>
          <w:szCs w:val="24"/>
          <w:lang w:val="en"/>
        </w:rPr>
        <w:t xml:space="preserve">Understanding the intention-to-treat principle in </w:t>
      </w:r>
      <w:proofErr w:type="spellStart"/>
      <w:r w:rsidRPr="00DB28E2">
        <w:rPr>
          <w:rFonts w:ascii="Times New Roman" w:hAnsi="Times New Roman"/>
          <w:color w:val="2A2A2A"/>
          <w:sz w:val="24"/>
          <w:szCs w:val="24"/>
          <w:lang w:val="en"/>
        </w:rPr>
        <w:t>randomised</w:t>
      </w:r>
      <w:proofErr w:type="spellEnd"/>
      <w:r w:rsidRPr="00DB28E2">
        <w:rPr>
          <w:rFonts w:ascii="Times New Roman" w:hAnsi="Times New Roman"/>
          <w:color w:val="2A2A2A"/>
          <w:sz w:val="24"/>
          <w:szCs w:val="24"/>
          <w:lang w:val="en"/>
        </w:rPr>
        <w:t xml:space="preserve"> controlled trials.</w:t>
      </w:r>
      <w:proofErr w:type="gramEnd"/>
      <w:r w:rsidRPr="00DB28E2">
        <w:rPr>
          <w:rFonts w:ascii="Times New Roman" w:hAnsi="Times New Roman"/>
          <w:color w:val="2A2A2A"/>
          <w:sz w:val="24"/>
          <w:szCs w:val="24"/>
          <w:lang w:val="en"/>
        </w:rPr>
        <w:t xml:space="preserve"> </w:t>
      </w:r>
      <w:proofErr w:type="gramStart"/>
      <w:r w:rsidRPr="00DB28E2">
        <w:rPr>
          <w:rFonts w:ascii="Times New Roman" w:hAnsi="Times New Roman"/>
          <w:i/>
          <w:color w:val="2A2A2A"/>
          <w:sz w:val="24"/>
          <w:szCs w:val="24"/>
          <w:lang w:val="en"/>
        </w:rPr>
        <w:t>Western Journal of Emergency Medicine</w:t>
      </w:r>
      <w:r w:rsidRPr="00DB28E2">
        <w:rPr>
          <w:rFonts w:ascii="Times New Roman" w:hAnsi="Times New Roman"/>
          <w:color w:val="2A2A2A"/>
          <w:sz w:val="24"/>
          <w:szCs w:val="24"/>
          <w:lang w:val="en"/>
        </w:rPr>
        <w:t>, 18(6), 1075.</w:t>
      </w:r>
      <w:proofErr w:type="gramEnd"/>
      <w:r w:rsidRPr="00DB28E2">
        <w:rPr>
          <w:rFonts w:ascii="Times New Roman" w:hAnsi="Times New Roman"/>
          <w:color w:val="2A2A2A"/>
          <w:sz w:val="24"/>
          <w:szCs w:val="24"/>
          <w:lang w:val="en"/>
        </w:rPr>
        <w:t xml:space="preserve">  </w:t>
      </w:r>
    </w:p>
    <w:p w14:paraId="595966F9" w14:textId="410AA792" w:rsidR="00B10295" w:rsidRPr="00B10295" w:rsidRDefault="00B10295" w:rsidP="005419D1">
      <w:pPr>
        <w:spacing w:after="240" w:line="360" w:lineRule="auto"/>
        <w:ind w:right="95"/>
        <w:jc w:val="both"/>
      </w:pPr>
      <w:proofErr w:type="gramStart"/>
      <w:r>
        <w:t>National Institute for Health and Care Excellence (2018).</w:t>
      </w:r>
      <w:proofErr w:type="gramEnd"/>
      <w:r>
        <w:t xml:space="preserve"> </w:t>
      </w:r>
      <w:proofErr w:type="gramStart"/>
      <w:r>
        <w:t>Post-traumatic stress disorder.</w:t>
      </w:r>
      <w:proofErr w:type="gramEnd"/>
      <w:r>
        <w:t xml:space="preserve"> (NICE Clinical Guideline NG116). </w:t>
      </w:r>
    </w:p>
    <w:p w14:paraId="0E71E015" w14:textId="77777777" w:rsidR="00B10295" w:rsidRDefault="00B10295" w:rsidP="005419D1">
      <w:pPr>
        <w:spacing w:after="240" w:line="360" w:lineRule="auto"/>
        <w:ind w:right="95"/>
        <w:jc w:val="both"/>
      </w:pPr>
      <w:r w:rsidRPr="00B10295">
        <w:t xml:space="preserve">Slade, P. (2006). </w:t>
      </w:r>
      <w:proofErr w:type="gramStart"/>
      <w:r w:rsidRPr="00B10295">
        <w:t>Towards a conceptual framework for understanding post-traumatic stress symptoms following childbirth and implications for further research.</w:t>
      </w:r>
      <w:proofErr w:type="gramEnd"/>
      <w:r w:rsidRPr="00B10295">
        <w:t xml:space="preserve">  </w:t>
      </w:r>
      <w:r w:rsidRPr="00B10295">
        <w:rPr>
          <w:i/>
        </w:rPr>
        <w:t>Journal of Psychosomatic Obstetrics and Gynaecology</w:t>
      </w:r>
      <w:r w:rsidRPr="00B10295">
        <w:t xml:space="preserve">, 27(2), 99-105. </w:t>
      </w:r>
    </w:p>
    <w:p w14:paraId="27D4F4FF" w14:textId="41AE47F1" w:rsidR="00B10295" w:rsidRPr="00B10295" w:rsidRDefault="00B10295" w:rsidP="005419D1">
      <w:pPr>
        <w:spacing w:after="240" w:line="360" w:lineRule="auto"/>
        <w:ind w:right="95"/>
        <w:jc w:val="both"/>
      </w:pPr>
      <w:proofErr w:type="gramStart"/>
      <w:r w:rsidRPr="00B10295">
        <w:t xml:space="preserve">Slade, P., </w:t>
      </w:r>
      <w:proofErr w:type="spellStart"/>
      <w:r w:rsidRPr="00B10295">
        <w:t>Molyneaux</w:t>
      </w:r>
      <w:proofErr w:type="spellEnd"/>
      <w:r w:rsidRPr="00B10295">
        <w:t>, R. &amp; Watt, A. (2021).</w:t>
      </w:r>
      <w:proofErr w:type="gramEnd"/>
      <w:r w:rsidRPr="00B10295">
        <w:t xml:space="preserve">  </w:t>
      </w:r>
      <w:proofErr w:type="gramStart"/>
      <w:r w:rsidRPr="00B10295">
        <w:t>A systematic review of clinical effectiveness of psychological interventions to reduce post traumatic stress symptoms following childbirth and a meta-synthesis of facilitators and barriers to uptake of psychological care.</w:t>
      </w:r>
      <w:proofErr w:type="gramEnd"/>
      <w:r w:rsidRPr="00B10295">
        <w:t xml:space="preserve"> </w:t>
      </w:r>
      <w:r w:rsidRPr="00B10295">
        <w:rPr>
          <w:i/>
        </w:rPr>
        <w:t>Journal of Affective Disorders</w:t>
      </w:r>
      <w:r w:rsidRPr="00B10295">
        <w:t xml:space="preserve">, 281, 678-694. </w:t>
      </w:r>
    </w:p>
    <w:p w14:paraId="56DE8DCF" w14:textId="77777777" w:rsidR="00B10295" w:rsidRPr="00B10295" w:rsidRDefault="00B10295" w:rsidP="005419D1">
      <w:pPr>
        <w:spacing w:after="240" w:line="360" w:lineRule="auto"/>
        <w:ind w:right="95"/>
        <w:jc w:val="both"/>
      </w:pPr>
      <w:proofErr w:type="gramStart"/>
      <w:r w:rsidRPr="00B10295">
        <w:t>Slade, P., West, H., Thomson, G., Lane, S., Spiby, H., Edwards, R., Charles, J., Garrett, C., Flanagan, B., Treadwell, M., Hayden, E. &amp; Weeks, A. (2020).</w:t>
      </w:r>
      <w:proofErr w:type="gramEnd"/>
      <w:r w:rsidRPr="00B10295">
        <w:t xml:space="preserve"> STRAWB2 (Stress and Wellbeing after Childbirth): a randomised controlled trial of targeted self-help </w:t>
      </w:r>
      <w:proofErr w:type="gramStart"/>
      <w:r w:rsidRPr="00B10295">
        <w:t>materials</w:t>
      </w:r>
      <w:proofErr w:type="gramEnd"/>
      <w:r w:rsidRPr="00B10295">
        <w:t xml:space="preserve"> to prevent post-traumatic stress disorder following childbirth.  </w:t>
      </w:r>
      <w:r w:rsidRPr="00B10295">
        <w:rPr>
          <w:i/>
        </w:rPr>
        <w:t>British Journal of Obstetrics and Gynaecology</w:t>
      </w:r>
      <w:r w:rsidRPr="00B10295">
        <w:t xml:space="preserve"> </w:t>
      </w:r>
      <w:r w:rsidRPr="00B10295">
        <w:rPr>
          <w:rFonts w:ascii="AdvPSFT-R" w:eastAsiaTheme="minorHAnsi" w:hAnsi="AdvPSFT-R" w:cs="AdvPSFT-R"/>
        </w:rPr>
        <w:t>DOI: 10.1111/1471-0528.16163</w:t>
      </w:r>
    </w:p>
    <w:p w14:paraId="57BA8768" w14:textId="77777777" w:rsidR="00B10295" w:rsidRPr="00B10295" w:rsidRDefault="00B10295" w:rsidP="005419D1">
      <w:pPr>
        <w:spacing w:after="240" w:line="360" w:lineRule="auto"/>
        <w:ind w:right="95"/>
        <w:jc w:val="both"/>
      </w:pPr>
      <w:proofErr w:type="gramStart"/>
      <w:r w:rsidRPr="00B10295">
        <w:rPr>
          <w:color w:val="2A2A2A"/>
          <w:lang w:val="en"/>
        </w:rPr>
        <w:t xml:space="preserve">Spitzer, R. L., </w:t>
      </w:r>
      <w:proofErr w:type="spellStart"/>
      <w:r w:rsidRPr="00B10295">
        <w:rPr>
          <w:color w:val="2A2A2A"/>
          <w:lang w:val="en"/>
        </w:rPr>
        <w:t>Kroenke</w:t>
      </w:r>
      <w:proofErr w:type="spellEnd"/>
      <w:r w:rsidRPr="00B10295">
        <w:rPr>
          <w:color w:val="2A2A2A"/>
          <w:lang w:val="en"/>
        </w:rPr>
        <w:t>, K., Williams, J. B., &amp; Lowe, B. (2006).</w:t>
      </w:r>
      <w:proofErr w:type="gramEnd"/>
      <w:r w:rsidRPr="00B10295">
        <w:rPr>
          <w:color w:val="2A2A2A"/>
          <w:lang w:val="en"/>
        </w:rPr>
        <w:t xml:space="preserve">  A brief measure for assessing generalized anxiety disorder: the GAD-7.  </w:t>
      </w:r>
      <w:r w:rsidRPr="00B10295">
        <w:rPr>
          <w:i/>
          <w:color w:val="2A2A2A"/>
          <w:lang w:val="en"/>
        </w:rPr>
        <w:t xml:space="preserve">Archives of Internal Medicine, </w:t>
      </w:r>
      <w:r w:rsidRPr="00B10295">
        <w:rPr>
          <w:color w:val="2A2A2A"/>
          <w:lang w:val="en"/>
        </w:rPr>
        <w:t>166(Pt. 10), 1092–1097.</w:t>
      </w:r>
    </w:p>
    <w:p w14:paraId="49C36B64" w14:textId="77777777" w:rsidR="005419D1" w:rsidRDefault="00B10295" w:rsidP="005419D1">
      <w:pPr>
        <w:shd w:val="clear" w:color="auto" w:fill="FFFFFF"/>
        <w:spacing w:after="240" w:line="360" w:lineRule="auto"/>
        <w:ind w:right="95"/>
        <w:jc w:val="both"/>
        <w:rPr>
          <w:lang w:val="en"/>
        </w:rPr>
      </w:pPr>
      <w:proofErr w:type="gramStart"/>
      <w:r w:rsidRPr="00B10295">
        <w:rPr>
          <w:lang w:val="en"/>
        </w:rPr>
        <w:t xml:space="preserve">Weiss, D. S., &amp; </w:t>
      </w:r>
      <w:proofErr w:type="spellStart"/>
      <w:r w:rsidRPr="00B10295">
        <w:rPr>
          <w:lang w:val="en"/>
        </w:rPr>
        <w:t>Marmar</w:t>
      </w:r>
      <w:proofErr w:type="spellEnd"/>
      <w:r w:rsidRPr="00B10295">
        <w:rPr>
          <w:lang w:val="en"/>
        </w:rPr>
        <w:t>, C. R. (1996).</w:t>
      </w:r>
      <w:proofErr w:type="gramEnd"/>
      <w:r w:rsidRPr="00B10295">
        <w:rPr>
          <w:lang w:val="en"/>
        </w:rPr>
        <w:t xml:space="preserve"> The Impact of Event Scale - Revised.  </w:t>
      </w:r>
      <w:proofErr w:type="gramStart"/>
      <w:r w:rsidRPr="00B10295">
        <w:rPr>
          <w:lang w:val="en"/>
        </w:rPr>
        <w:t xml:space="preserve">In J. P. Wilson &amp; T. M. Keane (Eds.), </w:t>
      </w:r>
      <w:r w:rsidRPr="00B10295">
        <w:rPr>
          <w:rStyle w:val="Emphasis"/>
          <w:lang w:val="en"/>
        </w:rPr>
        <w:t>Assessing psychological trauma and PTSD</w:t>
      </w:r>
      <w:r w:rsidRPr="00B10295">
        <w:rPr>
          <w:lang w:val="en"/>
        </w:rPr>
        <w:t xml:space="preserve"> (pp. 399-411).</w:t>
      </w:r>
      <w:proofErr w:type="gramEnd"/>
      <w:r w:rsidRPr="00B10295">
        <w:rPr>
          <w:lang w:val="en"/>
        </w:rPr>
        <w:t xml:space="preserve"> New York, Guilford Press.</w:t>
      </w:r>
    </w:p>
    <w:p w14:paraId="2BEE598F" w14:textId="68FBA6B4" w:rsidR="00030108" w:rsidRPr="005419D1" w:rsidRDefault="00030108" w:rsidP="005419D1">
      <w:pPr>
        <w:shd w:val="clear" w:color="auto" w:fill="FFFFFF"/>
        <w:spacing w:after="240" w:line="360" w:lineRule="auto"/>
        <w:ind w:right="95"/>
        <w:jc w:val="both"/>
        <w:rPr>
          <w:lang w:val="en"/>
        </w:rPr>
      </w:pPr>
      <w:bookmarkStart w:id="0" w:name="_GoBack"/>
      <w:bookmarkEnd w:id="0"/>
      <w:r w:rsidRPr="00B10295">
        <w:rPr>
          <w:noProof/>
        </w:rPr>
        <w:lastRenderedPageBreak/>
        <w:t xml:space="preserve">Yildiz, P., Ayers, S. &amp; Phillips, L. (2017). The prevalence of posttraumatic stress disorder in pregnancy and after birth: A systematic review and meta-analysis. </w:t>
      </w:r>
      <w:r w:rsidRPr="00B10295">
        <w:rPr>
          <w:i/>
          <w:noProof/>
        </w:rPr>
        <w:t>Journal of  Affective Disorders,</w:t>
      </w:r>
      <w:r w:rsidRPr="00B10295">
        <w:rPr>
          <w:noProof/>
        </w:rPr>
        <w:t xml:space="preserve"> 208, 634–645.</w:t>
      </w:r>
    </w:p>
    <w:p w14:paraId="71EE85C8" w14:textId="77777777" w:rsidR="00030108" w:rsidRPr="003A26F3" w:rsidRDefault="00030108" w:rsidP="00C07C5D">
      <w:pPr>
        <w:spacing w:line="360" w:lineRule="auto"/>
        <w:ind w:right="95"/>
        <w:jc w:val="both"/>
      </w:pPr>
    </w:p>
    <w:p w14:paraId="2233CD1E" w14:textId="77777777" w:rsidR="00030108" w:rsidRPr="003A26F3" w:rsidRDefault="00030108" w:rsidP="00C07C5D">
      <w:pPr>
        <w:pStyle w:val="ListParagraph"/>
        <w:spacing w:after="0" w:line="360" w:lineRule="auto"/>
        <w:jc w:val="both"/>
        <w:rPr>
          <w:rFonts w:ascii="Times New Roman" w:hAnsi="Times New Roman"/>
          <w:sz w:val="24"/>
          <w:szCs w:val="24"/>
        </w:rPr>
      </w:pPr>
    </w:p>
    <w:p w14:paraId="0EDBB939" w14:textId="77777777" w:rsidR="00030108" w:rsidRPr="00FB6487" w:rsidRDefault="00030108" w:rsidP="00C07C5D">
      <w:pPr>
        <w:pStyle w:val="ListParagraph"/>
        <w:spacing w:after="0" w:line="360" w:lineRule="auto"/>
        <w:jc w:val="both"/>
        <w:rPr>
          <w:rFonts w:ascii="Times New Roman" w:hAnsi="Times New Roman"/>
          <w:sz w:val="24"/>
          <w:szCs w:val="24"/>
        </w:rPr>
      </w:pPr>
    </w:p>
    <w:p w14:paraId="688A792E" w14:textId="77777777" w:rsidR="007A3B77" w:rsidRPr="009C3501" w:rsidRDefault="007A3B77" w:rsidP="00C07C5D">
      <w:pPr>
        <w:pStyle w:val="ListParagraph"/>
        <w:jc w:val="both"/>
        <w:rPr>
          <w:rFonts w:ascii="Times New Roman" w:hAnsi="Times New Roman"/>
          <w:sz w:val="24"/>
          <w:szCs w:val="24"/>
        </w:rPr>
      </w:pPr>
    </w:p>
    <w:p w14:paraId="0534DFED" w14:textId="77777777" w:rsidR="00030108" w:rsidRPr="004F409C" w:rsidRDefault="00030108" w:rsidP="00C07C5D">
      <w:pPr>
        <w:pStyle w:val="ListParagraph"/>
        <w:spacing w:after="0" w:line="360" w:lineRule="auto"/>
        <w:jc w:val="both"/>
        <w:rPr>
          <w:rFonts w:ascii="Times New Roman" w:hAnsi="Times New Roman"/>
          <w:sz w:val="24"/>
          <w:szCs w:val="24"/>
        </w:rPr>
      </w:pPr>
    </w:p>
    <w:p w14:paraId="254CFBB0" w14:textId="77777777" w:rsidR="00030108" w:rsidRPr="00DB28E2" w:rsidRDefault="00030108" w:rsidP="00C07C5D">
      <w:pPr>
        <w:tabs>
          <w:tab w:val="left" w:pos="284"/>
        </w:tabs>
        <w:spacing w:line="360" w:lineRule="auto"/>
        <w:ind w:right="95"/>
        <w:jc w:val="both"/>
      </w:pPr>
    </w:p>
    <w:p w14:paraId="2A0E809A" w14:textId="77777777" w:rsidR="00030108" w:rsidRPr="00DB28E2" w:rsidRDefault="00030108" w:rsidP="00C07C5D">
      <w:pPr>
        <w:spacing w:line="360" w:lineRule="auto"/>
        <w:ind w:right="95"/>
        <w:jc w:val="both"/>
      </w:pPr>
    </w:p>
    <w:p w14:paraId="049C3CF7" w14:textId="77777777" w:rsidR="00030108" w:rsidRPr="00DB28E2" w:rsidRDefault="00030108" w:rsidP="00C07C5D">
      <w:pPr>
        <w:pStyle w:val="ListParagraph"/>
        <w:spacing w:after="0" w:line="360" w:lineRule="auto"/>
        <w:jc w:val="both"/>
        <w:rPr>
          <w:rFonts w:ascii="Times New Roman" w:hAnsi="Times New Roman"/>
          <w:sz w:val="24"/>
          <w:szCs w:val="24"/>
        </w:rPr>
      </w:pPr>
    </w:p>
    <w:p w14:paraId="183CBA51" w14:textId="77777777" w:rsidR="00030108" w:rsidRPr="00F36292" w:rsidRDefault="00030108" w:rsidP="00C07C5D">
      <w:pPr>
        <w:pStyle w:val="ListParagraph"/>
        <w:spacing w:after="0" w:line="360" w:lineRule="auto"/>
        <w:jc w:val="both"/>
        <w:rPr>
          <w:rFonts w:ascii="Times New Roman" w:hAnsi="Times New Roman"/>
          <w:sz w:val="24"/>
          <w:szCs w:val="24"/>
        </w:rPr>
      </w:pPr>
    </w:p>
    <w:p w14:paraId="47C522E6" w14:textId="77777777" w:rsidR="00030108" w:rsidRPr="00F36292" w:rsidRDefault="00030108" w:rsidP="00C07C5D">
      <w:pPr>
        <w:pStyle w:val="ListParagraph"/>
        <w:spacing w:after="0" w:line="360" w:lineRule="auto"/>
        <w:jc w:val="both"/>
        <w:rPr>
          <w:rFonts w:ascii="Times New Roman" w:hAnsi="Times New Roman"/>
          <w:sz w:val="24"/>
          <w:szCs w:val="24"/>
        </w:rPr>
      </w:pPr>
    </w:p>
    <w:p w14:paraId="4214A04C" w14:textId="77777777" w:rsidR="00030108" w:rsidRPr="00F36292" w:rsidRDefault="00030108" w:rsidP="00C07C5D">
      <w:pPr>
        <w:pStyle w:val="ListParagraph"/>
        <w:spacing w:after="0" w:line="360" w:lineRule="auto"/>
        <w:jc w:val="both"/>
        <w:rPr>
          <w:rFonts w:ascii="Times New Roman" w:hAnsi="Times New Roman"/>
          <w:sz w:val="24"/>
          <w:szCs w:val="24"/>
        </w:rPr>
      </w:pPr>
    </w:p>
    <w:p w14:paraId="06C4E80B" w14:textId="77777777" w:rsidR="00030108" w:rsidRPr="004A5097" w:rsidRDefault="00030108" w:rsidP="00C07C5D">
      <w:pPr>
        <w:pStyle w:val="ListParagraph"/>
        <w:spacing w:after="0" w:line="360" w:lineRule="auto"/>
        <w:jc w:val="both"/>
        <w:rPr>
          <w:rFonts w:ascii="Times New Roman" w:hAnsi="Times New Roman"/>
          <w:sz w:val="24"/>
          <w:szCs w:val="24"/>
        </w:rPr>
      </w:pPr>
    </w:p>
    <w:p w14:paraId="16C76132" w14:textId="77777777" w:rsidR="00030108" w:rsidRPr="00DB28E2" w:rsidRDefault="00030108" w:rsidP="00C07C5D">
      <w:pPr>
        <w:shd w:val="clear" w:color="auto" w:fill="FFFFFF"/>
        <w:spacing w:line="360" w:lineRule="auto"/>
        <w:ind w:right="95"/>
        <w:jc w:val="both"/>
        <w:rPr>
          <w:lang w:val="en"/>
        </w:rPr>
      </w:pPr>
    </w:p>
    <w:p w14:paraId="6808774C" w14:textId="77777777" w:rsidR="00030108" w:rsidRPr="00DB28E2" w:rsidRDefault="00030108" w:rsidP="00C07C5D">
      <w:pPr>
        <w:spacing w:line="360" w:lineRule="auto"/>
        <w:ind w:right="95"/>
        <w:jc w:val="both"/>
      </w:pPr>
    </w:p>
    <w:p w14:paraId="44329D2C" w14:textId="77777777" w:rsidR="00030108" w:rsidRPr="00DB28E2" w:rsidRDefault="00030108" w:rsidP="00C07C5D">
      <w:pPr>
        <w:spacing w:line="360" w:lineRule="auto"/>
        <w:ind w:right="95"/>
        <w:jc w:val="both"/>
      </w:pPr>
    </w:p>
    <w:p w14:paraId="4127C133" w14:textId="77777777" w:rsidR="00030108" w:rsidRPr="00DB28E2" w:rsidRDefault="00030108" w:rsidP="00C07C5D">
      <w:pPr>
        <w:pStyle w:val="ListParagraph"/>
        <w:spacing w:after="0" w:line="360" w:lineRule="auto"/>
        <w:ind w:left="284" w:right="95"/>
        <w:jc w:val="both"/>
        <w:rPr>
          <w:rFonts w:ascii="Times New Roman" w:hAnsi="Times New Roman"/>
          <w:sz w:val="24"/>
          <w:szCs w:val="24"/>
        </w:rPr>
      </w:pPr>
    </w:p>
    <w:p w14:paraId="7E78455C" w14:textId="77777777" w:rsidR="00030108" w:rsidRPr="00DB28E2" w:rsidRDefault="00030108" w:rsidP="00C07C5D">
      <w:pPr>
        <w:pStyle w:val="ListParagraph"/>
        <w:spacing w:after="0" w:line="360" w:lineRule="auto"/>
        <w:jc w:val="both"/>
        <w:rPr>
          <w:rFonts w:ascii="Times New Roman" w:hAnsi="Times New Roman"/>
          <w:sz w:val="24"/>
          <w:szCs w:val="24"/>
        </w:rPr>
      </w:pPr>
    </w:p>
    <w:p w14:paraId="7D20FFCE" w14:textId="77777777" w:rsidR="00030108" w:rsidRDefault="00030108" w:rsidP="00C07C5D">
      <w:pPr>
        <w:spacing w:line="360" w:lineRule="auto"/>
        <w:ind w:left="709" w:right="95"/>
        <w:jc w:val="both"/>
      </w:pPr>
    </w:p>
    <w:p w14:paraId="76028B40" w14:textId="77777777" w:rsidR="00030108" w:rsidRDefault="00030108" w:rsidP="00C07C5D">
      <w:pPr>
        <w:spacing w:line="360" w:lineRule="auto"/>
        <w:jc w:val="both"/>
      </w:pPr>
    </w:p>
    <w:p w14:paraId="241847F4" w14:textId="77777777" w:rsidR="00030108" w:rsidRDefault="00030108" w:rsidP="00C07C5D">
      <w:pPr>
        <w:spacing w:line="360" w:lineRule="auto"/>
        <w:ind w:right="95"/>
        <w:jc w:val="both"/>
        <w:rPr>
          <w:b/>
        </w:rPr>
      </w:pPr>
    </w:p>
    <w:p w14:paraId="714C65E6" w14:textId="77777777" w:rsidR="00176616" w:rsidRDefault="00176616" w:rsidP="00C07C5D">
      <w:pPr>
        <w:spacing w:line="360" w:lineRule="auto"/>
        <w:ind w:right="95"/>
        <w:jc w:val="both"/>
        <w:rPr>
          <w:b/>
        </w:rPr>
      </w:pPr>
    </w:p>
    <w:p w14:paraId="6C5B4312" w14:textId="77777777" w:rsidR="00BF1C19" w:rsidRDefault="00BF1C19" w:rsidP="00C07C5D">
      <w:pPr>
        <w:spacing w:line="360" w:lineRule="auto"/>
        <w:ind w:left="709" w:right="95"/>
        <w:jc w:val="both"/>
      </w:pPr>
    </w:p>
    <w:sectPr w:rsidR="00BF1C19" w:rsidSect="00850DE7">
      <w:footerReference w:type="default" r:id="rId8"/>
      <w:pgSz w:w="11906" w:h="16838"/>
      <w:pgMar w:top="1440" w:right="1558"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6F5BAD" w15:done="0"/>
  <w15:commentEx w15:paraId="288C547C" w15:done="0"/>
  <w15:commentEx w15:paraId="000EAB5B" w15:done="0"/>
  <w15:commentEx w15:paraId="2DCE2FA5" w15:done="0"/>
  <w15:commentEx w15:paraId="7CBB9946" w15:done="0"/>
  <w15:commentEx w15:paraId="3FECA3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6F5BAD" w16cid:durableId="241EB1DE"/>
  <w16cid:commentId w16cid:paraId="288C547C" w16cid:durableId="241EADFD"/>
  <w16cid:commentId w16cid:paraId="000EAB5B" w16cid:durableId="241EAE0A"/>
  <w16cid:commentId w16cid:paraId="2DCE2FA5" w16cid:durableId="241EB04A"/>
  <w16cid:commentId w16cid:paraId="7CBB9946" w16cid:durableId="241F2059"/>
  <w16cid:commentId w16cid:paraId="3FECA354" w16cid:durableId="241F20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8BF95" w14:textId="77777777" w:rsidR="009040A3" w:rsidRDefault="009040A3" w:rsidP="006967CA">
      <w:pPr>
        <w:spacing w:line="240" w:lineRule="auto"/>
      </w:pPr>
      <w:r>
        <w:separator/>
      </w:r>
    </w:p>
  </w:endnote>
  <w:endnote w:type="continuationSeparator" w:id="0">
    <w:p w14:paraId="495E5E46" w14:textId="77777777" w:rsidR="009040A3" w:rsidRDefault="009040A3" w:rsidP="00696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AdvPSFT-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21963"/>
      <w:docPartObj>
        <w:docPartGallery w:val="Page Numbers (Bottom of Page)"/>
        <w:docPartUnique/>
      </w:docPartObj>
    </w:sdtPr>
    <w:sdtEndPr>
      <w:rPr>
        <w:noProof/>
      </w:rPr>
    </w:sdtEndPr>
    <w:sdtContent>
      <w:p w14:paraId="5F73F22D" w14:textId="74B72E9F" w:rsidR="00805856" w:rsidRDefault="00805856">
        <w:pPr>
          <w:pStyle w:val="Footer"/>
        </w:pPr>
        <w:r>
          <w:fldChar w:fldCharType="begin"/>
        </w:r>
        <w:r>
          <w:instrText xml:space="preserve"> PAGE   \* MERGEFORMAT </w:instrText>
        </w:r>
        <w:r>
          <w:fldChar w:fldCharType="separate"/>
        </w:r>
        <w:r w:rsidR="005419D1">
          <w:rPr>
            <w:noProof/>
          </w:rPr>
          <w:t>1</w:t>
        </w:r>
        <w:r>
          <w:rPr>
            <w:noProof/>
          </w:rPr>
          <w:fldChar w:fldCharType="end"/>
        </w:r>
      </w:p>
    </w:sdtContent>
  </w:sdt>
  <w:p w14:paraId="759E8474" w14:textId="77777777" w:rsidR="00805856" w:rsidRDefault="00805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1ADEB" w14:textId="77777777" w:rsidR="009040A3" w:rsidRDefault="009040A3" w:rsidP="006967CA">
      <w:pPr>
        <w:spacing w:line="240" w:lineRule="auto"/>
      </w:pPr>
      <w:r>
        <w:separator/>
      </w:r>
    </w:p>
  </w:footnote>
  <w:footnote w:type="continuationSeparator" w:id="0">
    <w:p w14:paraId="4AF8ED79" w14:textId="77777777" w:rsidR="009040A3" w:rsidRDefault="009040A3" w:rsidP="006967C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A1695"/>
    <w:multiLevelType w:val="hybridMultilevel"/>
    <w:tmpl w:val="F48E95C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ade, Pauline">
    <w15:presenceInfo w15:providerId="AD" w15:userId="S-1-5-21-137024685-2204166116-4157399963-246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19"/>
    <w:rsid w:val="00003DC5"/>
    <w:rsid w:val="0001206F"/>
    <w:rsid w:val="000124E1"/>
    <w:rsid w:val="00013055"/>
    <w:rsid w:val="00013B4D"/>
    <w:rsid w:val="00030108"/>
    <w:rsid w:val="000325EB"/>
    <w:rsid w:val="0004053E"/>
    <w:rsid w:val="000433B5"/>
    <w:rsid w:val="00044854"/>
    <w:rsid w:val="0006605D"/>
    <w:rsid w:val="0007322B"/>
    <w:rsid w:val="000738FB"/>
    <w:rsid w:val="00087187"/>
    <w:rsid w:val="000A4F06"/>
    <w:rsid w:val="000B508C"/>
    <w:rsid w:val="000E0481"/>
    <w:rsid w:val="00132567"/>
    <w:rsid w:val="00135B8E"/>
    <w:rsid w:val="00152D82"/>
    <w:rsid w:val="00156855"/>
    <w:rsid w:val="00176616"/>
    <w:rsid w:val="00184D30"/>
    <w:rsid w:val="001D70F8"/>
    <w:rsid w:val="001F2735"/>
    <w:rsid w:val="001F687C"/>
    <w:rsid w:val="00201E5D"/>
    <w:rsid w:val="00210A78"/>
    <w:rsid w:val="002178DA"/>
    <w:rsid w:val="0023336B"/>
    <w:rsid w:val="0024263C"/>
    <w:rsid w:val="00273533"/>
    <w:rsid w:val="0027613C"/>
    <w:rsid w:val="002C0F96"/>
    <w:rsid w:val="002C768B"/>
    <w:rsid w:val="002D7786"/>
    <w:rsid w:val="002E3F1B"/>
    <w:rsid w:val="00317A03"/>
    <w:rsid w:val="00347303"/>
    <w:rsid w:val="003A26F3"/>
    <w:rsid w:val="003A4B36"/>
    <w:rsid w:val="003D37C9"/>
    <w:rsid w:val="003D75E4"/>
    <w:rsid w:val="003E1136"/>
    <w:rsid w:val="003F1168"/>
    <w:rsid w:val="0040683F"/>
    <w:rsid w:val="00432DE6"/>
    <w:rsid w:val="004363F8"/>
    <w:rsid w:val="00453231"/>
    <w:rsid w:val="004A4480"/>
    <w:rsid w:val="004A5097"/>
    <w:rsid w:val="004B4C70"/>
    <w:rsid w:val="004F1588"/>
    <w:rsid w:val="004F409C"/>
    <w:rsid w:val="005018DD"/>
    <w:rsid w:val="00524899"/>
    <w:rsid w:val="00524D36"/>
    <w:rsid w:val="00533A9F"/>
    <w:rsid w:val="00533DC7"/>
    <w:rsid w:val="005419D1"/>
    <w:rsid w:val="005479EF"/>
    <w:rsid w:val="00562AF4"/>
    <w:rsid w:val="00575202"/>
    <w:rsid w:val="005819ED"/>
    <w:rsid w:val="005831ED"/>
    <w:rsid w:val="00591F8C"/>
    <w:rsid w:val="005A4712"/>
    <w:rsid w:val="005A765A"/>
    <w:rsid w:val="005B1F0E"/>
    <w:rsid w:val="005B4A43"/>
    <w:rsid w:val="005C2606"/>
    <w:rsid w:val="005C5E57"/>
    <w:rsid w:val="005C7C3A"/>
    <w:rsid w:val="005E50C6"/>
    <w:rsid w:val="00617188"/>
    <w:rsid w:val="00617D3C"/>
    <w:rsid w:val="0063483C"/>
    <w:rsid w:val="00666D99"/>
    <w:rsid w:val="006752E5"/>
    <w:rsid w:val="006967CA"/>
    <w:rsid w:val="006A2F66"/>
    <w:rsid w:val="006B37F9"/>
    <w:rsid w:val="006C4E5E"/>
    <w:rsid w:val="006E6167"/>
    <w:rsid w:val="00707CE1"/>
    <w:rsid w:val="00721483"/>
    <w:rsid w:val="00777BEE"/>
    <w:rsid w:val="0078461A"/>
    <w:rsid w:val="00791511"/>
    <w:rsid w:val="007A36CF"/>
    <w:rsid w:val="007A3B77"/>
    <w:rsid w:val="007C37E5"/>
    <w:rsid w:val="007C7FF8"/>
    <w:rsid w:val="007E19EB"/>
    <w:rsid w:val="007F592A"/>
    <w:rsid w:val="00805856"/>
    <w:rsid w:val="00834477"/>
    <w:rsid w:val="00850DE7"/>
    <w:rsid w:val="008815EE"/>
    <w:rsid w:val="00886B5E"/>
    <w:rsid w:val="008A0750"/>
    <w:rsid w:val="008A1116"/>
    <w:rsid w:val="008A43B2"/>
    <w:rsid w:val="008A5FCC"/>
    <w:rsid w:val="009040A3"/>
    <w:rsid w:val="0090740F"/>
    <w:rsid w:val="00907C73"/>
    <w:rsid w:val="00934A8F"/>
    <w:rsid w:val="009611F0"/>
    <w:rsid w:val="009639A4"/>
    <w:rsid w:val="00992D43"/>
    <w:rsid w:val="009B4640"/>
    <w:rsid w:val="009B589B"/>
    <w:rsid w:val="009C3501"/>
    <w:rsid w:val="009C352B"/>
    <w:rsid w:val="009C3BBF"/>
    <w:rsid w:val="009D5ECF"/>
    <w:rsid w:val="009E36CD"/>
    <w:rsid w:val="009F6961"/>
    <w:rsid w:val="00A02ACD"/>
    <w:rsid w:val="00A21136"/>
    <w:rsid w:val="00A26AA6"/>
    <w:rsid w:val="00A45ADA"/>
    <w:rsid w:val="00A63622"/>
    <w:rsid w:val="00A70235"/>
    <w:rsid w:val="00AA0DA3"/>
    <w:rsid w:val="00AB2DE2"/>
    <w:rsid w:val="00AC2AF1"/>
    <w:rsid w:val="00AD0280"/>
    <w:rsid w:val="00AD133F"/>
    <w:rsid w:val="00AD5314"/>
    <w:rsid w:val="00B02509"/>
    <w:rsid w:val="00B10295"/>
    <w:rsid w:val="00B37E03"/>
    <w:rsid w:val="00B62613"/>
    <w:rsid w:val="00B702DC"/>
    <w:rsid w:val="00B711CB"/>
    <w:rsid w:val="00B72C64"/>
    <w:rsid w:val="00B9706A"/>
    <w:rsid w:val="00BE2124"/>
    <w:rsid w:val="00BF1C19"/>
    <w:rsid w:val="00BF3F31"/>
    <w:rsid w:val="00C07C5D"/>
    <w:rsid w:val="00C3222B"/>
    <w:rsid w:val="00C4338E"/>
    <w:rsid w:val="00C621D8"/>
    <w:rsid w:val="00C70452"/>
    <w:rsid w:val="00C71F1B"/>
    <w:rsid w:val="00C837AE"/>
    <w:rsid w:val="00C9184E"/>
    <w:rsid w:val="00C9659E"/>
    <w:rsid w:val="00CB0047"/>
    <w:rsid w:val="00CB2053"/>
    <w:rsid w:val="00CD60AF"/>
    <w:rsid w:val="00CE3CBC"/>
    <w:rsid w:val="00CF3B8E"/>
    <w:rsid w:val="00D029FD"/>
    <w:rsid w:val="00D046E2"/>
    <w:rsid w:val="00D07720"/>
    <w:rsid w:val="00D62309"/>
    <w:rsid w:val="00D64207"/>
    <w:rsid w:val="00D727E1"/>
    <w:rsid w:val="00D942B8"/>
    <w:rsid w:val="00DA6643"/>
    <w:rsid w:val="00DE6213"/>
    <w:rsid w:val="00DF6983"/>
    <w:rsid w:val="00E40775"/>
    <w:rsid w:val="00E4488A"/>
    <w:rsid w:val="00E61DFF"/>
    <w:rsid w:val="00E66CF8"/>
    <w:rsid w:val="00E67233"/>
    <w:rsid w:val="00E746A7"/>
    <w:rsid w:val="00E8503A"/>
    <w:rsid w:val="00EB71C0"/>
    <w:rsid w:val="00ED4BAE"/>
    <w:rsid w:val="00F11AA7"/>
    <w:rsid w:val="00F22C29"/>
    <w:rsid w:val="00F36292"/>
    <w:rsid w:val="00F53D98"/>
    <w:rsid w:val="00F66404"/>
    <w:rsid w:val="00F80452"/>
    <w:rsid w:val="00F96B49"/>
    <w:rsid w:val="00FA0114"/>
    <w:rsid w:val="00FB386C"/>
    <w:rsid w:val="00FD6578"/>
    <w:rsid w:val="00FE6E7D"/>
    <w:rsid w:val="00FF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19"/>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BF1C19"/>
    <w:pPr>
      <w:keepNext/>
      <w:spacing w:before="360" w:after="60" w:line="360" w:lineRule="auto"/>
      <w:ind w:right="567"/>
      <w:contextualSpacing/>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qFormat/>
    <w:rsid w:val="00BF1C19"/>
    <w:pPr>
      <w:spacing w:before="360" w:after="300" w:line="360" w:lineRule="auto"/>
      <w:ind w:left="720" w:right="567"/>
    </w:pPr>
    <w:rPr>
      <w:sz w:val="22"/>
    </w:rPr>
  </w:style>
  <w:style w:type="paragraph" w:customStyle="1" w:styleId="Keywords">
    <w:name w:val="Keywords"/>
    <w:basedOn w:val="Normal"/>
    <w:next w:val="Paragraph"/>
    <w:qFormat/>
    <w:rsid w:val="00BF1C19"/>
    <w:pPr>
      <w:spacing w:before="240" w:after="240" w:line="360" w:lineRule="auto"/>
      <w:ind w:left="720" w:right="567"/>
    </w:pPr>
    <w:rPr>
      <w:sz w:val="22"/>
    </w:rPr>
  </w:style>
  <w:style w:type="paragraph" w:customStyle="1" w:styleId="Paragraph">
    <w:name w:val="Paragraph"/>
    <w:basedOn w:val="Normal"/>
    <w:next w:val="Normal"/>
    <w:qFormat/>
    <w:rsid w:val="00BF1C19"/>
    <w:pPr>
      <w:widowControl w:val="0"/>
      <w:spacing w:before="240"/>
    </w:pPr>
  </w:style>
  <w:style w:type="character" w:styleId="CommentReference">
    <w:name w:val="annotation reference"/>
    <w:basedOn w:val="DefaultParagraphFont"/>
    <w:semiHidden/>
    <w:unhideWhenUsed/>
    <w:rsid w:val="00BF1C19"/>
    <w:rPr>
      <w:sz w:val="16"/>
      <w:szCs w:val="16"/>
    </w:rPr>
  </w:style>
  <w:style w:type="paragraph" w:styleId="CommentText">
    <w:name w:val="annotation text"/>
    <w:basedOn w:val="Normal"/>
    <w:link w:val="CommentTextChar"/>
    <w:unhideWhenUsed/>
    <w:rsid w:val="00BF1C19"/>
    <w:pPr>
      <w:spacing w:line="240" w:lineRule="auto"/>
    </w:pPr>
    <w:rPr>
      <w:sz w:val="20"/>
      <w:szCs w:val="20"/>
    </w:rPr>
  </w:style>
  <w:style w:type="character" w:customStyle="1" w:styleId="CommentTextChar">
    <w:name w:val="Comment Text Char"/>
    <w:basedOn w:val="DefaultParagraphFont"/>
    <w:link w:val="CommentText"/>
    <w:rsid w:val="00BF1C1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F1C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C19"/>
    <w:rPr>
      <w:rFonts w:ascii="Tahoma" w:eastAsia="Times New Roman" w:hAnsi="Tahoma" w:cs="Tahoma"/>
      <w:sz w:val="16"/>
      <w:szCs w:val="16"/>
      <w:lang w:eastAsia="en-GB"/>
    </w:rPr>
  </w:style>
  <w:style w:type="character" w:customStyle="1" w:styleId="Heading1Char">
    <w:name w:val="Heading 1 Char"/>
    <w:basedOn w:val="DefaultParagraphFont"/>
    <w:link w:val="Heading1"/>
    <w:rsid w:val="00BF1C19"/>
    <w:rPr>
      <w:rFonts w:ascii="Times New Roman" w:eastAsia="Times New Roman" w:hAnsi="Times New Roman" w:cs="Arial"/>
      <w:b/>
      <w:bCs/>
      <w:kern w:val="32"/>
      <w:sz w:val="24"/>
      <w:szCs w:val="32"/>
      <w:lang w:eastAsia="en-GB"/>
    </w:rPr>
  </w:style>
  <w:style w:type="paragraph" w:customStyle="1" w:styleId="Newparagraph">
    <w:name w:val="New paragraph"/>
    <w:basedOn w:val="Normal"/>
    <w:qFormat/>
    <w:rsid w:val="00B62613"/>
    <w:pPr>
      <w:ind w:firstLine="720"/>
    </w:pPr>
  </w:style>
  <w:style w:type="table" w:styleId="TableGrid">
    <w:name w:val="Table Grid"/>
    <w:basedOn w:val="TableNormal"/>
    <w:uiPriority w:val="39"/>
    <w:rsid w:val="0079151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1511"/>
    <w:rPr>
      <w:b/>
      <w:bCs/>
    </w:rPr>
  </w:style>
  <w:style w:type="character" w:customStyle="1" w:styleId="CommentSubjectChar">
    <w:name w:val="Comment Subject Char"/>
    <w:basedOn w:val="CommentTextChar"/>
    <w:link w:val="CommentSubject"/>
    <w:uiPriority w:val="99"/>
    <w:semiHidden/>
    <w:rsid w:val="00791511"/>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3A4B36"/>
    <w:pPr>
      <w:spacing w:after="200" w:line="240" w:lineRule="auto"/>
      <w:ind w:left="720"/>
      <w:contextualSpacing/>
    </w:pPr>
    <w:rPr>
      <w:rFonts w:ascii="Calibri" w:hAnsi="Calibri"/>
      <w:sz w:val="22"/>
      <w:szCs w:val="22"/>
      <w:lang w:eastAsia="en-US"/>
    </w:rPr>
  </w:style>
  <w:style w:type="character" w:styleId="Emphasis">
    <w:name w:val="Emphasis"/>
    <w:basedOn w:val="DefaultParagraphFont"/>
    <w:uiPriority w:val="20"/>
    <w:qFormat/>
    <w:rsid w:val="003A4B36"/>
    <w:rPr>
      <w:i/>
      <w:iCs/>
    </w:rPr>
  </w:style>
  <w:style w:type="paragraph" w:customStyle="1" w:styleId="Articletitle">
    <w:name w:val="Article title"/>
    <w:basedOn w:val="Normal"/>
    <w:next w:val="Normal"/>
    <w:qFormat/>
    <w:rsid w:val="00013055"/>
    <w:pPr>
      <w:spacing w:after="120" w:line="360" w:lineRule="auto"/>
    </w:pPr>
    <w:rPr>
      <w:b/>
      <w:sz w:val="28"/>
    </w:rPr>
  </w:style>
  <w:style w:type="paragraph" w:customStyle="1" w:styleId="Authornames">
    <w:name w:val="Author names"/>
    <w:basedOn w:val="Normal"/>
    <w:next w:val="Normal"/>
    <w:qFormat/>
    <w:rsid w:val="00013055"/>
    <w:pPr>
      <w:spacing w:before="240" w:line="360" w:lineRule="auto"/>
    </w:pPr>
    <w:rPr>
      <w:sz w:val="28"/>
    </w:rPr>
  </w:style>
  <w:style w:type="paragraph" w:customStyle="1" w:styleId="Affiliation">
    <w:name w:val="Affiliation"/>
    <w:basedOn w:val="Normal"/>
    <w:qFormat/>
    <w:rsid w:val="00013055"/>
    <w:pPr>
      <w:spacing w:before="240" w:line="360" w:lineRule="auto"/>
    </w:pPr>
    <w:rPr>
      <w:i/>
    </w:rPr>
  </w:style>
  <w:style w:type="paragraph" w:customStyle="1" w:styleId="Correspondencedetails">
    <w:name w:val="Correspondence details"/>
    <w:basedOn w:val="Normal"/>
    <w:qFormat/>
    <w:rsid w:val="00013055"/>
    <w:pPr>
      <w:spacing w:before="240" w:line="360" w:lineRule="auto"/>
    </w:pPr>
  </w:style>
  <w:style w:type="character" w:styleId="Hyperlink">
    <w:name w:val="Hyperlink"/>
    <w:basedOn w:val="DefaultParagraphFont"/>
    <w:uiPriority w:val="99"/>
    <w:unhideWhenUsed/>
    <w:rsid w:val="005C7C3A"/>
    <w:rPr>
      <w:color w:val="0000FF" w:themeColor="hyperlink"/>
      <w:u w:val="single"/>
    </w:rPr>
  </w:style>
  <w:style w:type="paragraph" w:styleId="Header">
    <w:name w:val="header"/>
    <w:basedOn w:val="Normal"/>
    <w:link w:val="HeaderChar"/>
    <w:uiPriority w:val="99"/>
    <w:unhideWhenUsed/>
    <w:rsid w:val="006967CA"/>
    <w:pPr>
      <w:tabs>
        <w:tab w:val="center" w:pos="4513"/>
        <w:tab w:val="right" w:pos="9026"/>
      </w:tabs>
      <w:spacing w:line="240" w:lineRule="auto"/>
    </w:pPr>
  </w:style>
  <w:style w:type="character" w:customStyle="1" w:styleId="HeaderChar">
    <w:name w:val="Header Char"/>
    <w:basedOn w:val="DefaultParagraphFont"/>
    <w:link w:val="Header"/>
    <w:uiPriority w:val="99"/>
    <w:rsid w:val="006967C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967CA"/>
    <w:pPr>
      <w:tabs>
        <w:tab w:val="center" w:pos="4513"/>
        <w:tab w:val="right" w:pos="9026"/>
      </w:tabs>
      <w:spacing w:line="240" w:lineRule="auto"/>
    </w:pPr>
  </w:style>
  <w:style w:type="character" w:customStyle="1" w:styleId="FooterChar">
    <w:name w:val="Footer Char"/>
    <w:basedOn w:val="DefaultParagraphFont"/>
    <w:link w:val="Footer"/>
    <w:uiPriority w:val="99"/>
    <w:rsid w:val="006967CA"/>
    <w:rPr>
      <w:rFonts w:ascii="Times New Roman" w:eastAsia="Times New Roman" w:hAnsi="Times New Roman" w:cs="Times New Roman"/>
      <w:sz w:val="24"/>
      <w:szCs w:val="24"/>
      <w:lang w:eastAsia="en-GB"/>
    </w:rPr>
  </w:style>
  <w:style w:type="paragraph" w:customStyle="1" w:styleId="Default">
    <w:name w:val="Default"/>
    <w:rsid w:val="00A45ADA"/>
    <w:pPr>
      <w:autoSpaceDE w:val="0"/>
      <w:autoSpaceDN w:val="0"/>
      <w:adjustRightInd w:val="0"/>
      <w:spacing w:after="0" w:line="240" w:lineRule="auto"/>
    </w:pPr>
    <w:rPr>
      <w:rFonts w:ascii="Charis SIL" w:hAnsi="Charis SIL" w:cs="Charis SI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19"/>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BF1C19"/>
    <w:pPr>
      <w:keepNext/>
      <w:spacing w:before="360" w:after="60" w:line="360" w:lineRule="auto"/>
      <w:ind w:right="567"/>
      <w:contextualSpacing/>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qFormat/>
    <w:rsid w:val="00BF1C19"/>
    <w:pPr>
      <w:spacing w:before="360" w:after="300" w:line="360" w:lineRule="auto"/>
      <w:ind w:left="720" w:right="567"/>
    </w:pPr>
    <w:rPr>
      <w:sz w:val="22"/>
    </w:rPr>
  </w:style>
  <w:style w:type="paragraph" w:customStyle="1" w:styleId="Keywords">
    <w:name w:val="Keywords"/>
    <w:basedOn w:val="Normal"/>
    <w:next w:val="Paragraph"/>
    <w:qFormat/>
    <w:rsid w:val="00BF1C19"/>
    <w:pPr>
      <w:spacing w:before="240" w:after="240" w:line="360" w:lineRule="auto"/>
      <w:ind w:left="720" w:right="567"/>
    </w:pPr>
    <w:rPr>
      <w:sz w:val="22"/>
    </w:rPr>
  </w:style>
  <w:style w:type="paragraph" w:customStyle="1" w:styleId="Paragraph">
    <w:name w:val="Paragraph"/>
    <w:basedOn w:val="Normal"/>
    <w:next w:val="Normal"/>
    <w:qFormat/>
    <w:rsid w:val="00BF1C19"/>
    <w:pPr>
      <w:widowControl w:val="0"/>
      <w:spacing w:before="240"/>
    </w:pPr>
  </w:style>
  <w:style w:type="character" w:styleId="CommentReference">
    <w:name w:val="annotation reference"/>
    <w:basedOn w:val="DefaultParagraphFont"/>
    <w:semiHidden/>
    <w:unhideWhenUsed/>
    <w:rsid w:val="00BF1C19"/>
    <w:rPr>
      <w:sz w:val="16"/>
      <w:szCs w:val="16"/>
    </w:rPr>
  </w:style>
  <w:style w:type="paragraph" w:styleId="CommentText">
    <w:name w:val="annotation text"/>
    <w:basedOn w:val="Normal"/>
    <w:link w:val="CommentTextChar"/>
    <w:unhideWhenUsed/>
    <w:rsid w:val="00BF1C19"/>
    <w:pPr>
      <w:spacing w:line="240" w:lineRule="auto"/>
    </w:pPr>
    <w:rPr>
      <w:sz w:val="20"/>
      <w:szCs w:val="20"/>
    </w:rPr>
  </w:style>
  <w:style w:type="character" w:customStyle="1" w:styleId="CommentTextChar">
    <w:name w:val="Comment Text Char"/>
    <w:basedOn w:val="DefaultParagraphFont"/>
    <w:link w:val="CommentText"/>
    <w:rsid w:val="00BF1C1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F1C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C19"/>
    <w:rPr>
      <w:rFonts w:ascii="Tahoma" w:eastAsia="Times New Roman" w:hAnsi="Tahoma" w:cs="Tahoma"/>
      <w:sz w:val="16"/>
      <w:szCs w:val="16"/>
      <w:lang w:eastAsia="en-GB"/>
    </w:rPr>
  </w:style>
  <w:style w:type="character" w:customStyle="1" w:styleId="Heading1Char">
    <w:name w:val="Heading 1 Char"/>
    <w:basedOn w:val="DefaultParagraphFont"/>
    <w:link w:val="Heading1"/>
    <w:rsid w:val="00BF1C19"/>
    <w:rPr>
      <w:rFonts w:ascii="Times New Roman" w:eastAsia="Times New Roman" w:hAnsi="Times New Roman" w:cs="Arial"/>
      <w:b/>
      <w:bCs/>
      <w:kern w:val="32"/>
      <w:sz w:val="24"/>
      <w:szCs w:val="32"/>
      <w:lang w:eastAsia="en-GB"/>
    </w:rPr>
  </w:style>
  <w:style w:type="paragraph" w:customStyle="1" w:styleId="Newparagraph">
    <w:name w:val="New paragraph"/>
    <w:basedOn w:val="Normal"/>
    <w:qFormat/>
    <w:rsid w:val="00B62613"/>
    <w:pPr>
      <w:ind w:firstLine="720"/>
    </w:pPr>
  </w:style>
  <w:style w:type="table" w:styleId="TableGrid">
    <w:name w:val="Table Grid"/>
    <w:basedOn w:val="TableNormal"/>
    <w:uiPriority w:val="39"/>
    <w:rsid w:val="0079151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1511"/>
    <w:rPr>
      <w:b/>
      <w:bCs/>
    </w:rPr>
  </w:style>
  <w:style w:type="character" w:customStyle="1" w:styleId="CommentSubjectChar">
    <w:name w:val="Comment Subject Char"/>
    <w:basedOn w:val="CommentTextChar"/>
    <w:link w:val="CommentSubject"/>
    <w:uiPriority w:val="99"/>
    <w:semiHidden/>
    <w:rsid w:val="00791511"/>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3A4B36"/>
    <w:pPr>
      <w:spacing w:after="200" w:line="240" w:lineRule="auto"/>
      <w:ind w:left="720"/>
      <w:contextualSpacing/>
    </w:pPr>
    <w:rPr>
      <w:rFonts w:ascii="Calibri" w:hAnsi="Calibri"/>
      <w:sz w:val="22"/>
      <w:szCs w:val="22"/>
      <w:lang w:eastAsia="en-US"/>
    </w:rPr>
  </w:style>
  <w:style w:type="character" w:styleId="Emphasis">
    <w:name w:val="Emphasis"/>
    <w:basedOn w:val="DefaultParagraphFont"/>
    <w:uiPriority w:val="20"/>
    <w:qFormat/>
    <w:rsid w:val="003A4B36"/>
    <w:rPr>
      <w:i/>
      <w:iCs/>
    </w:rPr>
  </w:style>
  <w:style w:type="paragraph" w:customStyle="1" w:styleId="Articletitle">
    <w:name w:val="Article title"/>
    <w:basedOn w:val="Normal"/>
    <w:next w:val="Normal"/>
    <w:qFormat/>
    <w:rsid w:val="00013055"/>
    <w:pPr>
      <w:spacing w:after="120" w:line="360" w:lineRule="auto"/>
    </w:pPr>
    <w:rPr>
      <w:b/>
      <w:sz w:val="28"/>
    </w:rPr>
  </w:style>
  <w:style w:type="paragraph" w:customStyle="1" w:styleId="Authornames">
    <w:name w:val="Author names"/>
    <w:basedOn w:val="Normal"/>
    <w:next w:val="Normal"/>
    <w:qFormat/>
    <w:rsid w:val="00013055"/>
    <w:pPr>
      <w:spacing w:before="240" w:line="360" w:lineRule="auto"/>
    </w:pPr>
    <w:rPr>
      <w:sz w:val="28"/>
    </w:rPr>
  </w:style>
  <w:style w:type="paragraph" w:customStyle="1" w:styleId="Affiliation">
    <w:name w:val="Affiliation"/>
    <w:basedOn w:val="Normal"/>
    <w:qFormat/>
    <w:rsid w:val="00013055"/>
    <w:pPr>
      <w:spacing w:before="240" w:line="360" w:lineRule="auto"/>
    </w:pPr>
    <w:rPr>
      <w:i/>
    </w:rPr>
  </w:style>
  <w:style w:type="paragraph" w:customStyle="1" w:styleId="Correspondencedetails">
    <w:name w:val="Correspondence details"/>
    <w:basedOn w:val="Normal"/>
    <w:qFormat/>
    <w:rsid w:val="00013055"/>
    <w:pPr>
      <w:spacing w:before="240" w:line="360" w:lineRule="auto"/>
    </w:pPr>
  </w:style>
  <w:style w:type="character" w:styleId="Hyperlink">
    <w:name w:val="Hyperlink"/>
    <w:basedOn w:val="DefaultParagraphFont"/>
    <w:uiPriority w:val="99"/>
    <w:unhideWhenUsed/>
    <w:rsid w:val="005C7C3A"/>
    <w:rPr>
      <w:color w:val="0000FF" w:themeColor="hyperlink"/>
      <w:u w:val="single"/>
    </w:rPr>
  </w:style>
  <w:style w:type="paragraph" w:styleId="Header">
    <w:name w:val="header"/>
    <w:basedOn w:val="Normal"/>
    <w:link w:val="HeaderChar"/>
    <w:uiPriority w:val="99"/>
    <w:unhideWhenUsed/>
    <w:rsid w:val="006967CA"/>
    <w:pPr>
      <w:tabs>
        <w:tab w:val="center" w:pos="4513"/>
        <w:tab w:val="right" w:pos="9026"/>
      </w:tabs>
      <w:spacing w:line="240" w:lineRule="auto"/>
    </w:pPr>
  </w:style>
  <w:style w:type="character" w:customStyle="1" w:styleId="HeaderChar">
    <w:name w:val="Header Char"/>
    <w:basedOn w:val="DefaultParagraphFont"/>
    <w:link w:val="Header"/>
    <w:uiPriority w:val="99"/>
    <w:rsid w:val="006967C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967CA"/>
    <w:pPr>
      <w:tabs>
        <w:tab w:val="center" w:pos="4513"/>
        <w:tab w:val="right" w:pos="9026"/>
      </w:tabs>
      <w:spacing w:line="240" w:lineRule="auto"/>
    </w:pPr>
  </w:style>
  <w:style w:type="character" w:customStyle="1" w:styleId="FooterChar">
    <w:name w:val="Footer Char"/>
    <w:basedOn w:val="DefaultParagraphFont"/>
    <w:link w:val="Footer"/>
    <w:uiPriority w:val="99"/>
    <w:rsid w:val="006967CA"/>
    <w:rPr>
      <w:rFonts w:ascii="Times New Roman" w:eastAsia="Times New Roman" w:hAnsi="Times New Roman" w:cs="Times New Roman"/>
      <w:sz w:val="24"/>
      <w:szCs w:val="24"/>
      <w:lang w:eastAsia="en-GB"/>
    </w:rPr>
  </w:style>
  <w:style w:type="paragraph" w:customStyle="1" w:styleId="Default">
    <w:name w:val="Default"/>
    <w:rsid w:val="00A45ADA"/>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503">
      <w:bodyDiv w:val="1"/>
      <w:marLeft w:val="0"/>
      <w:marRight w:val="0"/>
      <w:marTop w:val="0"/>
      <w:marBottom w:val="0"/>
      <w:divBdr>
        <w:top w:val="none" w:sz="0" w:space="0" w:color="auto"/>
        <w:left w:val="none" w:sz="0" w:space="0" w:color="auto"/>
        <w:bottom w:val="none" w:sz="0" w:space="0" w:color="auto"/>
        <w:right w:val="none" w:sz="0" w:space="0" w:color="auto"/>
      </w:divBdr>
    </w:div>
    <w:div w:id="40784572">
      <w:bodyDiv w:val="1"/>
      <w:marLeft w:val="0"/>
      <w:marRight w:val="0"/>
      <w:marTop w:val="0"/>
      <w:marBottom w:val="0"/>
      <w:divBdr>
        <w:top w:val="none" w:sz="0" w:space="0" w:color="auto"/>
        <w:left w:val="none" w:sz="0" w:space="0" w:color="auto"/>
        <w:bottom w:val="none" w:sz="0" w:space="0" w:color="auto"/>
        <w:right w:val="none" w:sz="0" w:space="0" w:color="auto"/>
      </w:divBdr>
    </w:div>
    <w:div w:id="71391939">
      <w:bodyDiv w:val="1"/>
      <w:marLeft w:val="0"/>
      <w:marRight w:val="0"/>
      <w:marTop w:val="0"/>
      <w:marBottom w:val="0"/>
      <w:divBdr>
        <w:top w:val="none" w:sz="0" w:space="0" w:color="auto"/>
        <w:left w:val="none" w:sz="0" w:space="0" w:color="auto"/>
        <w:bottom w:val="none" w:sz="0" w:space="0" w:color="auto"/>
        <w:right w:val="none" w:sz="0" w:space="0" w:color="auto"/>
      </w:divBdr>
    </w:div>
    <w:div w:id="302395026">
      <w:bodyDiv w:val="1"/>
      <w:marLeft w:val="0"/>
      <w:marRight w:val="0"/>
      <w:marTop w:val="0"/>
      <w:marBottom w:val="0"/>
      <w:divBdr>
        <w:top w:val="none" w:sz="0" w:space="0" w:color="auto"/>
        <w:left w:val="none" w:sz="0" w:space="0" w:color="auto"/>
        <w:bottom w:val="none" w:sz="0" w:space="0" w:color="auto"/>
        <w:right w:val="none" w:sz="0" w:space="0" w:color="auto"/>
      </w:divBdr>
    </w:div>
    <w:div w:id="444153637">
      <w:bodyDiv w:val="1"/>
      <w:marLeft w:val="0"/>
      <w:marRight w:val="0"/>
      <w:marTop w:val="0"/>
      <w:marBottom w:val="0"/>
      <w:divBdr>
        <w:top w:val="none" w:sz="0" w:space="0" w:color="auto"/>
        <w:left w:val="none" w:sz="0" w:space="0" w:color="auto"/>
        <w:bottom w:val="none" w:sz="0" w:space="0" w:color="auto"/>
        <w:right w:val="none" w:sz="0" w:space="0" w:color="auto"/>
      </w:divBdr>
    </w:div>
    <w:div w:id="472067879">
      <w:bodyDiv w:val="1"/>
      <w:marLeft w:val="0"/>
      <w:marRight w:val="0"/>
      <w:marTop w:val="0"/>
      <w:marBottom w:val="0"/>
      <w:divBdr>
        <w:top w:val="none" w:sz="0" w:space="0" w:color="auto"/>
        <w:left w:val="none" w:sz="0" w:space="0" w:color="auto"/>
        <w:bottom w:val="none" w:sz="0" w:space="0" w:color="auto"/>
        <w:right w:val="none" w:sz="0" w:space="0" w:color="auto"/>
      </w:divBdr>
    </w:div>
    <w:div w:id="478575398">
      <w:bodyDiv w:val="1"/>
      <w:marLeft w:val="0"/>
      <w:marRight w:val="0"/>
      <w:marTop w:val="0"/>
      <w:marBottom w:val="0"/>
      <w:divBdr>
        <w:top w:val="none" w:sz="0" w:space="0" w:color="auto"/>
        <w:left w:val="none" w:sz="0" w:space="0" w:color="auto"/>
        <w:bottom w:val="none" w:sz="0" w:space="0" w:color="auto"/>
        <w:right w:val="none" w:sz="0" w:space="0" w:color="auto"/>
      </w:divBdr>
      <w:divsChild>
        <w:div w:id="535047499">
          <w:marLeft w:val="0"/>
          <w:marRight w:val="0"/>
          <w:marTop w:val="0"/>
          <w:marBottom w:val="0"/>
          <w:divBdr>
            <w:top w:val="none" w:sz="0" w:space="0" w:color="auto"/>
            <w:left w:val="none" w:sz="0" w:space="0" w:color="auto"/>
            <w:bottom w:val="none" w:sz="0" w:space="0" w:color="auto"/>
            <w:right w:val="none" w:sz="0" w:space="0" w:color="auto"/>
          </w:divBdr>
          <w:divsChild>
            <w:div w:id="699091604">
              <w:marLeft w:val="0"/>
              <w:marRight w:val="0"/>
              <w:marTop w:val="0"/>
              <w:marBottom w:val="0"/>
              <w:divBdr>
                <w:top w:val="none" w:sz="0" w:space="0" w:color="auto"/>
                <w:left w:val="none" w:sz="0" w:space="0" w:color="auto"/>
                <w:bottom w:val="none" w:sz="0" w:space="0" w:color="auto"/>
                <w:right w:val="none" w:sz="0" w:space="0" w:color="auto"/>
              </w:divBdr>
              <w:divsChild>
                <w:div w:id="350839816">
                  <w:marLeft w:val="0"/>
                  <w:marRight w:val="0"/>
                  <w:marTop w:val="0"/>
                  <w:marBottom w:val="0"/>
                  <w:divBdr>
                    <w:top w:val="none" w:sz="0" w:space="0" w:color="auto"/>
                    <w:left w:val="none" w:sz="0" w:space="0" w:color="auto"/>
                    <w:bottom w:val="none" w:sz="0" w:space="0" w:color="auto"/>
                    <w:right w:val="none" w:sz="0" w:space="0" w:color="auto"/>
                  </w:divBdr>
                  <w:divsChild>
                    <w:div w:id="1624535198">
                      <w:marLeft w:val="0"/>
                      <w:marRight w:val="0"/>
                      <w:marTop w:val="0"/>
                      <w:marBottom w:val="0"/>
                      <w:divBdr>
                        <w:top w:val="none" w:sz="0" w:space="0" w:color="auto"/>
                        <w:left w:val="none" w:sz="0" w:space="0" w:color="auto"/>
                        <w:bottom w:val="none" w:sz="0" w:space="0" w:color="auto"/>
                        <w:right w:val="none" w:sz="0" w:space="0" w:color="auto"/>
                      </w:divBdr>
                      <w:divsChild>
                        <w:div w:id="1129713030">
                          <w:marLeft w:val="0"/>
                          <w:marRight w:val="0"/>
                          <w:marTop w:val="0"/>
                          <w:marBottom w:val="0"/>
                          <w:divBdr>
                            <w:top w:val="none" w:sz="0" w:space="0" w:color="auto"/>
                            <w:left w:val="none" w:sz="0" w:space="0" w:color="auto"/>
                            <w:bottom w:val="none" w:sz="0" w:space="0" w:color="auto"/>
                            <w:right w:val="none" w:sz="0" w:space="0" w:color="auto"/>
                          </w:divBdr>
                          <w:divsChild>
                            <w:div w:id="1448428273">
                              <w:marLeft w:val="0"/>
                              <w:marRight w:val="0"/>
                              <w:marTop w:val="0"/>
                              <w:marBottom w:val="0"/>
                              <w:divBdr>
                                <w:top w:val="none" w:sz="0" w:space="0" w:color="auto"/>
                                <w:left w:val="none" w:sz="0" w:space="0" w:color="auto"/>
                                <w:bottom w:val="none" w:sz="0" w:space="0" w:color="auto"/>
                                <w:right w:val="none" w:sz="0" w:space="0" w:color="auto"/>
                              </w:divBdr>
                              <w:divsChild>
                                <w:div w:id="553929202">
                                  <w:marLeft w:val="0"/>
                                  <w:marRight w:val="0"/>
                                  <w:marTop w:val="0"/>
                                  <w:marBottom w:val="0"/>
                                  <w:divBdr>
                                    <w:top w:val="none" w:sz="0" w:space="0" w:color="auto"/>
                                    <w:left w:val="none" w:sz="0" w:space="0" w:color="auto"/>
                                    <w:bottom w:val="none" w:sz="0" w:space="0" w:color="auto"/>
                                    <w:right w:val="none" w:sz="0" w:space="0" w:color="auto"/>
                                  </w:divBdr>
                                  <w:divsChild>
                                    <w:div w:id="886525705">
                                      <w:marLeft w:val="0"/>
                                      <w:marRight w:val="0"/>
                                      <w:marTop w:val="0"/>
                                      <w:marBottom w:val="0"/>
                                      <w:divBdr>
                                        <w:top w:val="none" w:sz="0" w:space="0" w:color="auto"/>
                                        <w:left w:val="none" w:sz="0" w:space="0" w:color="auto"/>
                                        <w:bottom w:val="none" w:sz="0" w:space="0" w:color="auto"/>
                                        <w:right w:val="none" w:sz="0" w:space="0" w:color="auto"/>
                                      </w:divBdr>
                                      <w:divsChild>
                                        <w:div w:id="1231118281">
                                          <w:marLeft w:val="0"/>
                                          <w:marRight w:val="0"/>
                                          <w:marTop w:val="0"/>
                                          <w:marBottom w:val="0"/>
                                          <w:divBdr>
                                            <w:top w:val="none" w:sz="0" w:space="0" w:color="auto"/>
                                            <w:left w:val="none" w:sz="0" w:space="0" w:color="auto"/>
                                            <w:bottom w:val="none" w:sz="0" w:space="0" w:color="auto"/>
                                            <w:right w:val="none" w:sz="0" w:space="0" w:color="auto"/>
                                          </w:divBdr>
                                          <w:divsChild>
                                            <w:div w:id="783309929">
                                              <w:marLeft w:val="0"/>
                                              <w:marRight w:val="0"/>
                                              <w:marTop w:val="0"/>
                                              <w:marBottom w:val="0"/>
                                              <w:divBdr>
                                                <w:top w:val="none" w:sz="0" w:space="0" w:color="auto"/>
                                                <w:left w:val="none" w:sz="0" w:space="0" w:color="auto"/>
                                                <w:bottom w:val="none" w:sz="0" w:space="0" w:color="auto"/>
                                                <w:right w:val="none" w:sz="0" w:space="0" w:color="auto"/>
                                              </w:divBdr>
                                              <w:divsChild>
                                                <w:div w:id="1188449183">
                                                  <w:marLeft w:val="0"/>
                                                  <w:marRight w:val="0"/>
                                                  <w:marTop w:val="0"/>
                                                  <w:marBottom w:val="0"/>
                                                  <w:divBdr>
                                                    <w:top w:val="none" w:sz="0" w:space="0" w:color="auto"/>
                                                    <w:left w:val="none" w:sz="0" w:space="0" w:color="auto"/>
                                                    <w:bottom w:val="none" w:sz="0" w:space="0" w:color="auto"/>
                                                    <w:right w:val="none" w:sz="0" w:space="0" w:color="auto"/>
                                                  </w:divBdr>
                                                  <w:divsChild>
                                                    <w:div w:id="1400863467">
                                                      <w:marLeft w:val="0"/>
                                                      <w:marRight w:val="0"/>
                                                      <w:marTop w:val="0"/>
                                                      <w:marBottom w:val="0"/>
                                                      <w:divBdr>
                                                        <w:top w:val="none" w:sz="0" w:space="0" w:color="auto"/>
                                                        <w:left w:val="none" w:sz="0" w:space="0" w:color="auto"/>
                                                        <w:bottom w:val="none" w:sz="0" w:space="0" w:color="auto"/>
                                                        <w:right w:val="none" w:sz="0" w:space="0" w:color="auto"/>
                                                      </w:divBdr>
                                                      <w:divsChild>
                                                        <w:div w:id="15667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738111">
      <w:bodyDiv w:val="1"/>
      <w:marLeft w:val="0"/>
      <w:marRight w:val="0"/>
      <w:marTop w:val="0"/>
      <w:marBottom w:val="0"/>
      <w:divBdr>
        <w:top w:val="none" w:sz="0" w:space="0" w:color="auto"/>
        <w:left w:val="none" w:sz="0" w:space="0" w:color="auto"/>
        <w:bottom w:val="none" w:sz="0" w:space="0" w:color="auto"/>
        <w:right w:val="none" w:sz="0" w:space="0" w:color="auto"/>
      </w:divBdr>
    </w:div>
    <w:div w:id="1044526640">
      <w:bodyDiv w:val="1"/>
      <w:marLeft w:val="0"/>
      <w:marRight w:val="0"/>
      <w:marTop w:val="0"/>
      <w:marBottom w:val="0"/>
      <w:divBdr>
        <w:top w:val="none" w:sz="0" w:space="0" w:color="auto"/>
        <w:left w:val="none" w:sz="0" w:space="0" w:color="auto"/>
        <w:bottom w:val="none" w:sz="0" w:space="0" w:color="auto"/>
        <w:right w:val="none" w:sz="0" w:space="0" w:color="auto"/>
      </w:divBdr>
    </w:div>
    <w:div w:id="1356620097">
      <w:bodyDiv w:val="1"/>
      <w:marLeft w:val="0"/>
      <w:marRight w:val="0"/>
      <w:marTop w:val="0"/>
      <w:marBottom w:val="0"/>
      <w:divBdr>
        <w:top w:val="none" w:sz="0" w:space="0" w:color="auto"/>
        <w:left w:val="none" w:sz="0" w:space="0" w:color="auto"/>
        <w:bottom w:val="none" w:sz="0" w:space="0" w:color="auto"/>
        <w:right w:val="none" w:sz="0" w:space="0" w:color="auto"/>
      </w:divBdr>
    </w:div>
    <w:div w:id="19224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92A9C90B</Template>
  <TotalTime>25</TotalTime>
  <Pages>13</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 Emma (Psychological Services)</dc:creator>
  <cp:lastModifiedBy>Williamson, Emma (Psychological Services)</cp:lastModifiedBy>
  <cp:revision>3</cp:revision>
  <dcterms:created xsi:type="dcterms:W3CDTF">2021-05-26T13:49:00Z</dcterms:created>
  <dcterms:modified xsi:type="dcterms:W3CDTF">2021-05-26T14:13:00Z</dcterms:modified>
</cp:coreProperties>
</file>