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CD5D" w14:textId="10801ACE" w:rsidR="00AB6D29" w:rsidRPr="004338BE" w:rsidRDefault="00AB6D29" w:rsidP="00C67C1D">
      <w:pPr>
        <w:pStyle w:val="RSCH01PaperTitle"/>
        <w:spacing w:line="480" w:lineRule="auto"/>
        <w:jc w:val="center"/>
        <w:rPr>
          <w:b w:val="0"/>
          <w:sz w:val="28"/>
          <w:szCs w:val="28"/>
        </w:rPr>
      </w:pPr>
      <w:r w:rsidRPr="004338BE">
        <w:rPr>
          <w:b w:val="0"/>
          <w:sz w:val="28"/>
          <w:szCs w:val="28"/>
        </w:rPr>
        <w:t xml:space="preserve">Hydrodeoxygenation of </w:t>
      </w:r>
      <w:r w:rsidR="00112178" w:rsidRPr="004338BE">
        <w:rPr>
          <w:b w:val="0"/>
          <w:sz w:val="28"/>
          <w:szCs w:val="28"/>
        </w:rPr>
        <w:t>2,5-dimethyl</w:t>
      </w:r>
      <w:r w:rsidR="00DB0B36" w:rsidRPr="004338BE">
        <w:rPr>
          <w:b w:val="0"/>
          <w:sz w:val="28"/>
          <w:szCs w:val="28"/>
        </w:rPr>
        <w:t>tetrahydro</w:t>
      </w:r>
      <w:r w:rsidRPr="004338BE">
        <w:rPr>
          <w:b w:val="0"/>
          <w:sz w:val="28"/>
          <w:szCs w:val="28"/>
        </w:rPr>
        <w:t>furan over bifunctional metal-acid catalyst</w:t>
      </w:r>
      <w:r w:rsidR="007F3DA2" w:rsidRPr="004338BE">
        <w:rPr>
          <w:b w:val="0"/>
          <w:sz w:val="28"/>
          <w:szCs w:val="28"/>
        </w:rPr>
        <w:t xml:space="preserve"> Pt–Cs</w:t>
      </w:r>
      <w:r w:rsidR="007F3DA2" w:rsidRPr="004338BE">
        <w:rPr>
          <w:b w:val="0"/>
          <w:sz w:val="28"/>
          <w:szCs w:val="28"/>
          <w:vertAlign w:val="subscript"/>
        </w:rPr>
        <w:t>2.5</w:t>
      </w:r>
      <w:r w:rsidR="007F3DA2" w:rsidRPr="004338BE">
        <w:rPr>
          <w:b w:val="0"/>
          <w:sz w:val="28"/>
          <w:szCs w:val="28"/>
        </w:rPr>
        <w:t>H</w:t>
      </w:r>
      <w:r w:rsidR="007F3DA2" w:rsidRPr="004338BE">
        <w:rPr>
          <w:b w:val="0"/>
          <w:sz w:val="28"/>
          <w:szCs w:val="28"/>
          <w:vertAlign w:val="subscript"/>
        </w:rPr>
        <w:t>0.5</w:t>
      </w:r>
      <w:r w:rsidR="007F3DA2" w:rsidRPr="004338BE">
        <w:rPr>
          <w:b w:val="0"/>
          <w:sz w:val="28"/>
          <w:szCs w:val="28"/>
        </w:rPr>
        <w:t>PW</w:t>
      </w:r>
      <w:r w:rsidR="007F3DA2" w:rsidRPr="004338BE">
        <w:rPr>
          <w:b w:val="0"/>
          <w:sz w:val="28"/>
          <w:szCs w:val="28"/>
          <w:vertAlign w:val="subscript"/>
        </w:rPr>
        <w:t>12</w:t>
      </w:r>
      <w:r w:rsidR="007F3DA2" w:rsidRPr="004338BE">
        <w:rPr>
          <w:b w:val="0"/>
          <w:sz w:val="28"/>
          <w:szCs w:val="28"/>
        </w:rPr>
        <w:t>O</w:t>
      </w:r>
      <w:r w:rsidR="007F3DA2" w:rsidRPr="004338BE">
        <w:rPr>
          <w:b w:val="0"/>
          <w:sz w:val="28"/>
          <w:szCs w:val="28"/>
          <w:vertAlign w:val="subscript"/>
        </w:rPr>
        <w:t>40</w:t>
      </w:r>
      <w:r w:rsidR="00CE4E47" w:rsidRPr="004338BE">
        <w:rPr>
          <w:b w:val="0"/>
          <w:sz w:val="28"/>
          <w:szCs w:val="28"/>
        </w:rPr>
        <w:t xml:space="preserve"> in the gas phase</w:t>
      </w:r>
      <w:r w:rsidR="00C67C1D" w:rsidRPr="004338BE">
        <w:rPr>
          <w:b w:val="0"/>
          <w:sz w:val="28"/>
          <w:szCs w:val="28"/>
        </w:rPr>
        <w:t>: Kinetics and mechanism</w:t>
      </w:r>
    </w:p>
    <w:p w14:paraId="4C2B7BD7" w14:textId="75A5F8AD" w:rsidR="00BD58BD" w:rsidRPr="004338BE" w:rsidRDefault="00AB6D29" w:rsidP="00161B65">
      <w:pPr>
        <w:pStyle w:val="RSCB01ARTAbstract"/>
        <w:spacing w:line="480" w:lineRule="auto"/>
        <w:jc w:val="center"/>
        <w:rPr>
          <w:sz w:val="24"/>
          <w:vertAlign w:val="subscript"/>
        </w:rPr>
        <w:sectPr w:rsidR="00BD58BD" w:rsidRPr="004338BE" w:rsidSect="00BD58BD">
          <w:footerReference w:type="default" r:id="rId8"/>
          <w:footnotePr>
            <w:numFmt w:val="chicago"/>
          </w:footnotePr>
          <w:type w:val="continuous"/>
          <w:pgSz w:w="11907" w:h="16840" w:code="9"/>
          <w:pgMar w:top="1440" w:right="1440" w:bottom="1440" w:left="1440" w:header="851" w:footer="1049" w:gutter="0"/>
          <w:cols w:space="227"/>
          <w:titlePg/>
          <w:docGrid w:linePitch="360"/>
        </w:sectPr>
      </w:pPr>
      <w:r w:rsidRPr="004338BE">
        <w:rPr>
          <w:sz w:val="24"/>
        </w:rPr>
        <w:t>Hanan Althikrallah,</w:t>
      </w:r>
      <w:r w:rsidRPr="004338BE">
        <w:rPr>
          <w:sz w:val="24"/>
          <w:vertAlign w:val="superscript"/>
        </w:rPr>
        <w:t>a,b</w:t>
      </w:r>
      <w:r w:rsidRPr="004338BE">
        <w:rPr>
          <w:sz w:val="24"/>
        </w:rPr>
        <w:t xml:space="preserve"> Elena F. Kozhevnikova,</w:t>
      </w:r>
      <w:r w:rsidRPr="004338BE">
        <w:rPr>
          <w:sz w:val="24"/>
          <w:vertAlign w:val="superscript"/>
        </w:rPr>
        <w:t>a</w:t>
      </w:r>
      <w:r w:rsidRPr="004338BE">
        <w:rPr>
          <w:sz w:val="24"/>
        </w:rPr>
        <w:t xml:space="preserve"> Ivan V. Kozhevnikov</w:t>
      </w:r>
      <w:r w:rsidR="00161B65" w:rsidRPr="004338BE">
        <w:rPr>
          <w:sz w:val="24"/>
          <w:vertAlign w:val="superscript"/>
        </w:rPr>
        <w:t>a</w:t>
      </w:r>
      <w:r w:rsidRPr="004338BE">
        <w:rPr>
          <w:rStyle w:val="FootnoteReference"/>
          <w:sz w:val="24"/>
        </w:rPr>
        <w:footnoteReference w:id="1"/>
      </w:r>
    </w:p>
    <w:p w14:paraId="018FE8BB" w14:textId="77777777" w:rsidR="004A46BB" w:rsidRPr="004338BE" w:rsidRDefault="004A46BB" w:rsidP="004A46BB">
      <w:pPr>
        <w:pStyle w:val="BCAuthorAddress"/>
        <w:spacing w:after="0"/>
        <w:rPr>
          <w:rFonts w:ascii="Times New Roman" w:hAnsi="Times New Roman"/>
          <w:i/>
          <w:szCs w:val="24"/>
          <w:lang w:val="en-GB"/>
        </w:rPr>
      </w:pPr>
      <w:r w:rsidRPr="004338BE">
        <w:rPr>
          <w:rFonts w:ascii="Times New Roman" w:hAnsi="Times New Roman"/>
          <w:i/>
          <w:szCs w:val="24"/>
          <w:vertAlign w:val="superscript"/>
          <w:lang w:val="en-GB"/>
        </w:rPr>
        <w:t xml:space="preserve">a </w:t>
      </w:r>
      <w:r w:rsidRPr="004338BE">
        <w:rPr>
          <w:rFonts w:ascii="Times New Roman" w:hAnsi="Times New Roman"/>
          <w:i/>
          <w:szCs w:val="24"/>
          <w:lang w:val="en-GB"/>
        </w:rPr>
        <w:t>University of Liverpool, Department of Chemistry, Liverpool L69 7ZD, UK</w:t>
      </w:r>
    </w:p>
    <w:p w14:paraId="08E00BE7" w14:textId="4405382C" w:rsidR="004A46BB" w:rsidRPr="004338BE" w:rsidRDefault="004A46BB" w:rsidP="00E63B3B">
      <w:pPr>
        <w:spacing w:line="480" w:lineRule="auto"/>
        <w:jc w:val="center"/>
        <w:rPr>
          <w:iCs/>
          <w:lang w:eastAsia="en-GB"/>
        </w:rPr>
      </w:pPr>
      <w:r w:rsidRPr="004338BE">
        <w:rPr>
          <w:vertAlign w:val="superscript"/>
          <w:lang w:eastAsia="en-GB"/>
        </w:rPr>
        <w:t xml:space="preserve">b </w:t>
      </w:r>
      <w:r w:rsidR="00E63B3B" w:rsidRPr="004338BE">
        <w:rPr>
          <w:i/>
          <w:iCs/>
          <w:lang w:eastAsia="en-GB"/>
        </w:rPr>
        <w:t>Department of Chemistry, College of Science, King Faisal University, P.O Box 400, Al-</w:t>
      </w:r>
      <w:proofErr w:type="spellStart"/>
      <w:r w:rsidR="00E63B3B" w:rsidRPr="004338BE">
        <w:rPr>
          <w:i/>
          <w:iCs/>
          <w:lang w:eastAsia="en-GB"/>
        </w:rPr>
        <w:t>Ahsa</w:t>
      </w:r>
      <w:proofErr w:type="spellEnd"/>
      <w:r w:rsidR="00E63B3B" w:rsidRPr="004338BE">
        <w:rPr>
          <w:i/>
          <w:iCs/>
          <w:lang w:eastAsia="en-GB"/>
        </w:rPr>
        <w:t>, 31982, Saudi Arabia</w:t>
      </w:r>
    </w:p>
    <w:p w14:paraId="163558B7" w14:textId="77777777" w:rsidR="004A46BB" w:rsidRPr="004338BE" w:rsidRDefault="004A46BB" w:rsidP="004A46BB"/>
    <w:p w14:paraId="17992183" w14:textId="77777777" w:rsidR="004A46BB" w:rsidRPr="004338BE" w:rsidRDefault="004A46BB" w:rsidP="004A46BB">
      <w:pPr>
        <w:spacing w:line="480" w:lineRule="auto"/>
        <w:jc w:val="both"/>
        <w:rPr>
          <w:iCs/>
          <w:lang w:eastAsia="en-GB"/>
        </w:rPr>
      </w:pPr>
      <w:r w:rsidRPr="004338BE">
        <w:rPr>
          <w:b/>
          <w:iCs/>
          <w:lang w:eastAsia="en-GB"/>
        </w:rPr>
        <w:t xml:space="preserve">Abstract   </w:t>
      </w:r>
    </w:p>
    <w:p w14:paraId="68A7632F" w14:textId="6A3253DF" w:rsidR="004A46BB" w:rsidRPr="004338BE" w:rsidRDefault="004A46BB" w:rsidP="0002003F">
      <w:pPr>
        <w:spacing w:line="480" w:lineRule="auto"/>
        <w:ind w:firstLine="720"/>
        <w:jc w:val="both"/>
      </w:pPr>
      <w:bookmarkStart w:id="0" w:name="_Hlk43485886"/>
      <w:r w:rsidRPr="004338BE">
        <w:rPr>
          <w:iCs/>
          <w:lang w:eastAsia="en-GB"/>
        </w:rPr>
        <w:t>Hydrodeoxygenation (HDO) of 2,5-dimethyl</w:t>
      </w:r>
      <w:r w:rsidR="00DB0B36" w:rsidRPr="004338BE">
        <w:rPr>
          <w:iCs/>
          <w:lang w:eastAsia="en-GB"/>
        </w:rPr>
        <w:t>tetrahydro</w:t>
      </w:r>
      <w:r w:rsidRPr="004338BE">
        <w:rPr>
          <w:iCs/>
          <w:lang w:eastAsia="en-GB"/>
        </w:rPr>
        <w:t>furan (DM</w:t>
      </w:r>
      <w:r w:rsidR="00DB0B36" w:rsidRPr="004338BE">
        <w:rPr>
          <w:iCs/>
          <w:lang w:eastAsia="en-GB"/>
        </w:rPr>
        <w:t>TH</w:t>
      </w:r>
      <w:r w:rsidRPr="004338BE">
        <w:rPr>
          <w:iCs/>
          <w:lang w:eastAsia="en-GB"/>
        </w:rPr>
        <w:t xml:space="preserve">F) was </w:t>
      </w:r>
      <w:r w:rsidR="00190211" w:rsidRPr="004338BE">
        <w:rPr>
          <w:iCs/>
          <w:lang w:eastAsia="en-GB"/>
        </w:rPr>
        <w:t>studied</w:t>
      </w:r>
      <w:r w:rsidRPr="004338BE">
        <w:rPr>
          <w:iCs/>
          <w:lang w:eastAsia="en-GB"/>
        </w:rPr>
        <w:t xml:space="preserve"> at </w:t>
      </w:r>
      <w:r w:rsidR="00EE7D2C" w:rsidRPr="004338BE">
        <w:rPr>
          <w:iCs/>
          <w:lang w:eastAsia="en-GB"/>
        </w:rPr>
        <w:t>a</w:t>
      </w:r>
      <w:r w:rsidRPr="004338BE">
        <w:rPr>
          <w:iCs/>
          <w:lang w:eastAsia="en-GB"/>
        </w:rPr>
        <w:t xml:space="preserve"> gas-solid interface</w:t>
      </w:r>
      <w:r w:rsidR="00F35C58" w:rsidRPr="004338BE">
        <w:rPr>
          <w:iCs/>
          <w:lang w:eastAsia="en-GB"/>
        </w:rPr>
        <w:t xml:space="preserve"> in a fixed-bed </w:t>
      </w:r>
      <w:r w:rsidR="00927F74" w:rsidRPr="004338BE">
        <w:rPr>
          <w:iCs/>
          <w:lang w:eastAsia="en-GB"/>
        </w:rPr>
        <w:t>microreactor</w:t>
      </w:r>
      <w:r w:rsidR="00190211" w:rsidRPr="004338BE">
        <w:rPr>
          <w:iCs/>
          <w:lang w:eastAsia="en-GB"/>
        </w:rPr>
        <w:t xml:space="preserve"> </w:t>
      </w:r>
      <w:r w:rsidR="00106E0B" w:rsidRPr="004338BE">
        <w:rPr>
          <w:iCs/>
          <w:lang w:eastAsia="en-GB"/>
        </w:rPr>
        <w:t>in the presence of</w:t>
      </w:r>
      <w:r w:rsidRPr="004338BE">
        <w:rPr>
          <w:iCs/>
          <w:lang w:eastAsia="en-GB"/>
        </w:rPr>
        <w:t xml:space="preserve"> bifunctional metal-acid catalyst</w:t>
      </w:r>
      <w:r w:rsidR="00335033" w:rsidRPr="004338BE">
        <w:rPr>
          <w:iCs/>
          <w:lang w:eastAsia="en-GB"/>
        </w:rPr>
        <w:t>s</w:t>
      </w:r>
      <w:r w:rsidRPr="004338BE">
        <w:rPr>
          <w:iCs/>
          <w:lang w:eastAsia="en-GB"/>
        </w:rPr>
        <w:t xml:space="preserve"> comprising Pt/C and </w:t>
      </w:r>
      <w:r w:rsidR="00F056CD" w:rsidRPr="004338BE">
        <w:rPr>
          <w:iCs/>
          <w:lang w:eastAsia="en-GB"/>
        </w:rPr>
        <w:t>acidic</w:t>
      </w:r>
      <w:r w:rsidRPr="004338BE">
        <w:rPr>
          <w:iCs/>
          <w:lang w:eastAsia="en-GB"/>
        </w:rPr>
        <w:t xml:space="preserve"> heteropoly salt Cs</w:t>
      </w:r>
      <w:r w:rsidRPr="004338BE">
        <w:rPr>
          <w:iCs/>
          <w:vertAlign w:val="subscript"/>
          <w:lang w:eastAsia="en-GB"/>
        </w:rPr>
        <w:t>2.5</w:t>
      </w:r>
      <w:r w:rsidRPr="004338BE">
        <w:rPr>
          <w:iCs/>
          <w:lang w:eastAsia="en-GB"/>
        </w:rPr>
        <w:t>H</w:t>
      </w:r>
      <w:r w:rsidRPr="004338BE">
        <w:rPr>
          <w:iCs/>
          <w:vertAlign w:val="subscript"/>
          <w:lang w:eastAsia="en-GB"/>
        </w:rPr>
        <w:t>0.5</w:t>
      </w:r>
      <w:r w:rsidRPr="004338BE">
        <w:rPr>
          <w:iCs/>
          <w:lang w:eastAsia="en-GB"/>
        </w:rPr>
        <w:t>PW</w:t>
      </w:r>
      <w:r w:rsidRPr="004338BE">
        <w:rPr>
          <w:iCs/>
          <w:vertAlign w:val="subscript"/>
          <w:lang w:eastAsia="en-GB"/>
        </w:rPr>
        <w:t>12</w:t>
      </w:r>
      <w:r w:rsidRPr="004338BE">
        <w:rPr>
          <w:iCs/>
          <w:lang w:eastAsia="en-GB"/>
        </w:rPr>
        <w:t>O</w:t>
      </w:r>
      <w:r w:rsidRPr="004338BE">
        <w:rPr>
          <w:iCs/>
          <w:vertAlign w:val="subscript"/>
          <w:lang w:eastAsia="en-GB"/>
        </w:rPr>
        <w:t>40</w:t>
      </w:r>
      <w:r w:rsidRPr="004338BE">
        <w:rPr>
          <w:iCs/>
          <w:lang w:eastAsia="en-GB"/>
        </w:rPr>
        <w:t xml:space="preserve"> (</w:t>
      </w:r>
      <w:proofErr w:type="spellStart"/>
      <w:r w:rsidRPr="004338BE">
        <w:rPr>
          <w:iCs/>
          <w:lang w:eastAsia="en-GB"/>
        </w:rPr>
        <w:t>CsPW</w:t>
      </w:r>
      <w:proofErr w:type="spellEnd"/>
      <w:r w:rsidRPr="004338BE">
        <w:rPr>
          <w:iCs/>
          <w:lang w:eastAsia="en-GB"/>
        </w:rPr>
        <w:t>).</w:t>
      </w:r>
      <w:r w:rsidR="00C159A4" w:rsidRPr="004338BE">
        <w:rPr>
          <w:iCs/>
          <w:lang w:eastAsia="en-GB"/>
        </w:rPr>
        <w:t xml:space="preserve"> </w:t>
      </w:r>
      <w:bookmarkStart w:id="1" w:name="_Hlk73708194"/>
      <w:r w:rsidR="00C159A4" w:rsidRPr="004338BE">
        <w:rPr>
          <w:iCs/>
          <w:lang w:eastAsia="en-GB"/>
        </w:rPr>
        <w:t>The Pt–</w:t>
      </w:r>
      <w:proofErr w:type="spellStart"/>
      <w:r w:rsidR="00C159A4" w:rsidRPr="004338BE">
        <w:rPr>
          <w:iCs/>
          <w:lang w:eastAsia="en-GB"/>
        </w:rPr>
        <w:t>CsPW</w:t>
      </w:r>
      <w:proofErr w:type="spellEnd"/>
      <w:r w:rsidR="00C159A4" w:rsidRPr="004338BE">
        <w:rPr>
          <w:iCs/>
          <w:lang w:eastAsia="en-GB"/>
        </w:rPr>
        <w:t xml:space="preserve"> catalyst deoxygenated DM</w:t>
      </w:r>
      <w:r w:rsidR="00DB0B36" w:rsidRPr="004338BE">
        <w:rPr>
          <w:iCs/>
          <w:lang w:eastAsia="en-GB"/>
        </w:rPr>
        <w:t>TH</w:t>
      </w:r>
      <w:r w:rsidR="00C159A4" w:rsidRPr="004338BE">
        <w:rPr>
          <w:iCs/>
          <w:lang w:eastAsia="en-GB"/>
        </w:rPr>
        <w:t xml:space="preserve">F to </w:t>
      </w:r>
      <w:r w:rsidR="001E240E" w:rsidRPr="004338BE">
        <w:rPr>
          <w:iCs/>
          <w:lang w:eastAsia="en-GB"/>
        </w:rPr>
        <w:t>n-</w:t>
      </w:r>
      <w:r w:rsidR="00C159A4" w:rsidRPr="004338BE">
        <w:rPr>
          <w:iCs/>
          <w:lang w:eastAsia="en-GB"/>
        </w:rPr>
        <w:t xml:space="preserve">hexane with </w:t>
      </w:r>
      <w:r w:rsidR="008D5B78" w:rsidRPr="004338BE">
        <w:rPr>
          <w:iCs/>
          <w:lang w:eastAsia="en-GB"/>
        </w:rPr>
        <w:t>&gt;99</w:t>
      </w:r>
      <w:r w:rsidR="00C159A4" w:rsidRPr="004338BE">
        <w:rPr>
          <w:iCs/>
          <w:lang w:eastAsia="en-GB"/>
        </w:rPr>
        <w:t xml:space="preserve">% </w:t>
      </w:r>
      <w:r w:rsidR="008D5B78" w:rsidRPr="004338BE">
        <w:rPr>
          <w:iCs/>
          <w:lang w:eastAsia="en-GB"/>
        </w:rPr>
        <w:t>selectivity</w:t>
      </w:r>
      <w:r w:rsidR="00C159A4" w:rsidRPr="004338BE">
        <w:rPr>
          <w:iCs/>
          <w:lang w:eastAsia="en-GB"/>
        </w:rPr>
        <w:t xml:space="preserve"> under mild conditions (90</w:t>
      </w:r>
      <w:r w:rsidR="004723B0" w:rsidRPr="004338BE">
        <w:rPr>
          <w:iCs/>
          <w:lang w:eastAsia="en-GB"/>
        </w:rPr>
        <w:t>–100</w:t>
      </w:r>
      <w:r w:rsidR="00264408" w:rsidRPr="004338BE">
        <w:rPr>
          <w:iCs/>
          <w:lang w:eastAsia="en-GB"/>
        </w:rPr>
        <w:t xml:space="preserve"> </w:t>
      </w:r>
      <w:proofErr w:type="spellStart"/>
      <w:r w:rsidR="00C159A4" w:rsidRPr="004338BE">
        <w:rPr>
          <w:iCs/>
          <w:vertAlign w:val="superscript"/>
          <w:lang w:eastAsia="en-GB"/>
        </w:rPr>
        <w:t>o</w:t>
      </w:r>
      <w:r w:rsidR="00C159A4" w:rsidRPr="004338BE">
        <w:rPr>
          <w:iCs/>
          <w:lang w:eastAsia="en-GB"/>
        </w:rPr>
        <w:t>C</w:t>
      </w:r>
      <w:proofErr w:type="spellEnd"/>
      <w:r w:rsidR="00C159A4" w:rsidRPr="004338BE">
        <w:rPr>
          <w:iCs/>
          <w:lang w:eastAsia="en-GB"/>
        </w:rPr>
        <w:t xml:space="preserve">, </w:t>
      </w:r>
      <w:r w:rsidR="007901D7" w:rsidRPr="004338BE">
        <w:rPr>
          <w:iCs/>
          <w:lang w:eastAsia="en-GB"/>
        </w:rPr>
        <w:t>ambient pressure</w:t>
      </w:r>
      <w:r w:rsidR="00C159A4" w:rsidRPr="004338BE">
        <w:rPr>
          <w:iCs/>
          <w:lang w:eastAsia="en-GB"/>
        </w:rPr>
        <w:t>)</w:t>
      </w:r>
      <w:r w:rsidR="00474B35" w:rsidRPr="004338BE">
        <w:rPr>
          <w:iCs/>
          <w:lang w:eastAsia="en-GB"/>
        </w:rPr>
        <w:t xml:space="preserve"> and was much more efficient than monofunctional Pt/C</w:t>
      </w:r>
      <w:r w:rsidR="00C159A4" w:rsidRPr="004338BE">
        <w:rPr>
          <w:iCs/>
          <w:lang w:eastAsia="en-GB"/>
        </w:rPr>
        <w:t xml:space="preserve">. </w:t>
      </w:r>
      <w:bookmarkEnd w:id="1"/>
      <w:r w:rsidR="003524BD" w:rsidRPr="004338BE">
        <w:rPr>
          <w:iCs/>
          <w:lang w:eastAsia="en-GB"/>
        </w:rPr>
        <w:t>On the basis of kinetic studies, a</w:t>
      </w:r>
      <w:r w:rsidR="00936265" w:rsidRPr="004338BE">
        <w:rPr>
          <w:iCs/>
          <w:lang w:eastAsia="en-GB"/>
        </w:rPr>
        <w:t xml:space="preserve"> mech</w:t>
      </w:r>
      <w:r w:rsidR="00DE7CB2" w:rsidRPr="004338BE">
        <w:rPr>
          <w:iCs/>
          <w:lang w:eastAsia="en-GB"/>
        </w:rPr>
        <w:t>a</w:t>
      </w:r>
      <w:r w:rsidR="00936265" w:rsidRPr="004338BE">
        <w:rPr>
          <w:iCs/>
          <w:lang w:eastAsia="en-GB"/>
        </w:rPr>
        <w:t>nism</w:t>
      </w:r>
      <w:r w:rsidR="00454020" w:rsidRPr="004338BE">
        <w:rPr>
          <w:iCs/>
          <w:lang w:eastAsia="en-GB"/>
        </w:rPr>
        <w:t xml:space="preserve"> for the HDO of DM</w:t>
      </w:r>
      <w:r w:rsidR="009F74DE" w:rsidRPr="004338BE">
        <w:rPr>
          <w:iCs/>
          <w:lang w:eastAsia="en-GB"/>
        </w:rPr>
        <w:t>TH</w:t>
      </w:r>
      <w:r w:rsidR="00454020" w:rsidRPr="004338BE">
        <w:rPr>
          <w:iCs/>
          <w:lang w:eastAsia="en-GB"/>
        </w:rPr>
        <w:t>F</w:t>
      </w:r>
      <w:r w:rsidR="004C7750" w:rsidRPr="004338BE">
        <w:rPr>
          <w:iCs/>
          <w:lang w:eastAsia="en-GB"/>
        </w:rPr>
        <w:t xml:space="preserve"> over Pt–</w:t>
      </w:r>
      <w:proofErr w:type="spellStart"/>
      <w:r w:rsidR="004C7750" w:rsidRPr="004338BE">
        <w:rPr>
          <w:iCs/>
          <w:lang w:eastAsia="en-GB"/>
        </w:rPr>
        <w:t>CsPW</w:t>
      </w:r>
      <w:proofErr w:type="spellEnd"/>
      <w:r w:rsidRPr="004338BE">
        <w:rPr>
          <w:iCs/>
          <w:lang w:eastAsia="en-GB"/>
        </w:rPr>
        <w:t xml:space="preserve"> </w:t>
      </w:r>
      <w:r w:rsidR="00311DD6" w:rsidRPr="004338BE">
        <w:rPr>
          <w:iCs/>
          <w:lang w:eastAsia="en-GB"/>
        </w:rPr>
        <w:t xml:space="preserve">was proposed, which </w:t>
      </w:r>
      <w:r w:rsidR="00F82C4C" w:rsidRPr="004338BE">
        <w:rPr>
          <w:iCs/>
          <w:lang w:eastAsia="en-GB"/>
        </w:rPr>
        <w:t>includes</w:t>
      </w:r>
      <w:r w:rsidR="00454020" w:rsidRPr="004338BE">
        <w:rPr>
          <w:iCs/>
          <w:lang w:eastAsia="en-GB"/>
        </w:rPr>
        <w:t xml:space="preserve"> </w:t>
      </w:r>
      <w:r w:rsidR="00F82C4C" w:rsidRPr="004338BE">
        <w:rPr>
          <w:iCs/>
          <w:lang w:eastAsia="en-GB"/>
        </w:rPr>
        <w:t>a sequence of</w:t>
      </w:r>
      <w:r w:rsidRPr="004338BE">
        <w:rPr>
          <w:iCs/>
          <w:lang w:eastAsia="en-GB"/>
        </w:rPr>
        <w:t xml:space="preserve"> </w:t>
      </w:r>
      <w:r w:rsidR="00C00133" w:rsidRPr="004338BE">
        <w:rPr>
          <w:iCs/>
          <w:lang w:eastAsia="en-GB"/>
        </w:rPr>
        <w:t xml:space="preserve">hydrogenolysis, dehydration and hydrogenation </w:t>
      </w:r>
      <w:r w:rsidR="00F82C4C" w:rsidRPr="004338BE">
        <w:rPr>
          <w:iCs/>
          <w:lang w:eastAsia="en-GB"/>
        </w:rPr>
        <w:t>steps catalysed by Pt and</w:t>
      </w:r>
      <w:r w:rsidRPr="004338BE">
        <w:rPr>
          <w:iCs/>
          <w:lang w:eastAsia="en-GB"/>
        </w:rPr>
        <w:t xml:space="preserve"> </w:t>
      </w:r>
      <w:r w:rsidR="00F82C4C" w:rsidRPr="004338BE">
        <w:rPr>
          <w:iCs/>
          <w:lang w:eastAsia="en-GB"/>
        </w:rPr>
        <w:t>proton</w:t>
      </w:r>
      <w:r w:rsidRPr="004338BE">
        <w:rPr>
          <w:iCs/>
          <w:lang w:eastAsia="en-GB"/>
        </w:rPr>
        <w:t xml:space="preserve"> sites </w:t>
      </w:r>
      <w:r w:rsidR="00F82C4C" w:rsidRPr="004338BE">
        <w:rPr>
          <w:iCs/>
          <w:lang w:eastAsia="en-GB"/>
        </w:rPr>
        <w:t>of the bifunctional catalyst</w:t>
      </w:r>
      <w:r w:rsidRPr="004338BE">
        <w:rPr>
          <w:iCs/>
          <w:lang w:eastAsia="en-GB"/>
        </w:rPr>
        <w:t>.</w:t>
      </w:r>
      <w:r w:rsidR="0016586B" w:rsidRPr="004338BE">
        <w:rPr>
          <w:iCs/>
          <w:lang w:eastAsia="en-GB"/>
        </w:rPr>
        <w:t xml:space="preserve"> The turnover rate</w:t>
      </w:r>
      <w:r w:rsidR="00E86D7C" w:rsidRPr="004338BE">
        <w:rPr>
          <w:iCs/>
          <w:lang w:eastAsia="en-GB"/>
        </w:rPr>
        <w:t xml:space="preserve"> of HDO</w:t>
      </w:r>
      <w:r w:rsidR="0016586B" w:rsidRPr="004338BE">
        <w:rPr>
          <w:iCs/>
          <w:lang w:eastAsia="en-GB"/>
        </w:rPr>
        <w:t xml:space="preserve"> increased with increasing </w:t>
      </w:r>
      <w:r w:rsidR="00E86D7C" w:rsidRPr="004338BE">
        <w:rPr>
          <w:iCs/>
          <w:lang w:eastAsia="en-GB"/>
        </w:rPr>
        <w:t>Pt particle</w:t>
      </w:r>
      <w:r w:rsidR="0016586B" w:rsidRPr="004338BE">
        <w:rPr>
          <w:iCs/>
          <w:lang w:eastAsia="en-GB"/>
        </w:rPr>
        <w:t xml:space="preserve"> size suggesting</w:t>
      </w:r>
      <w:r w:rsidR="00E86D7C" w:rsidRPr="004338BE">
        <w:rPr>
          <w:iCs/>
          <w:lang w:eastAsia="en-GB"/>
        </w:rPr>
        <w:t xml:space="preserve"> that </w:t>
      </w:r>
      <w:r w:rsidR="00E86D7C" w:rsidRPr="004338BE">
        <w:t xml:space="preserve">the hydrogenolysis of C–O bond in </w:t>
      </w:r>
      <w:proofErr w:type="spellStart"/>
      <w:r w:rsidR="00E86D7C" w:rsidRPr="004338BE">
        <w:t>furanic</w:t>
      </w:r>
      <w:proofErr w:type="spellEnd"/>
      <w:r w:rsidR="00E86D7C" w:rsidRPr="004338BE">
        <w:t xml:space="preserve"> compounds on Pt is a structure-sensitive reaction</w:t>
      </w:r>
      <w:r w:rsidR="00E86D7C" w:rsidRPr="004338BE">
        <w:t>.</w:t>
      </w:r>
    </w:p>
    <w:bookmarkEnd w:id="0"/>
    <w:p w14:paraId="1785B784" w14:textId="6B3B527E" w:rsidR="00C03445" w:rsidRPr="004338BE" w:rsidRDefault="004A46BB" w:rsidP="00C03445">
      <w:pPr>
        <w:spacing w:line="480" w:lineRule="auto"/>
        <w:jc w:val="both"/>
        <w:rPr>
          <w:iCs/>
          <w:lang w:eastAsia="en-GB"/>
        </w:rPr>
      </w:pPr>
      <w:r w:rsidRPr="004338BE">
        <w:rPr>
          <w:i/>
          <w:iCs/>
          <w:lang w:eastAsia="en-GB"/>
        </w:rPr>
        <w:t>Keywords:</w:t>
      </w:r>
      <w:r w:rsidRPr="004338BE">
        <w:rPr>
          <w:iCs/>
          <w:lang w:eastAsia="en-GB"/>
        </w:rPr>
        <w:t xml:space="preserve"> hydrodeoxygenation, </w:t>
      </w:r>
      <w:r w:rsidR="00F310AB" w:rsidRPr="004338BE">
        <w:rPr>
          <w:iCs/>
          <w:lang w:eastAsia="en-GB"/>
        </w:rPr>
        <w:t>2,5-dimethyltetrahydrofuran,</w:t>
      </w:r>
      <w:r w:rsidRPr="004338BE">
        <w:rPr>
          <w:iCs/>
          <w:lang w:eastAsia="en-GB"/>
        </w:rPr>
        <w:t xml:space="preserve"> platinum, heteropoly acid</w:t>
      </w:r>
      <w:r w:rsidR="003524BD" w:rsidRPr="004338BE">
        <w:rPr>
          <w:iCs/>
          <w:lang w:eastAsia="en-GB"/>
        </w:rPr>
        <w:t>, kinetics, mechanism</w:t>
      </w:r>
      <w:r w:rsidRPr="004338BE">
        <w:rPr>
          <w:iCs/>
          <w:lang w:eastAsia="en-GB"/>
        </w:rPr>
        <w:t>.</w:t>
      </w:r>
    </w:p>
    <w:p w14:paraId="5BA40B8E" w14:textId="77777777" w:rsidR="005F19DA" w:rsidRPr="004338BE" w:rsidRDefault="005F19DA" w:rsidP="00A76774">
      <w:pPr>
        <w:pStyle w:val="RSCB04AHeadingSection"/>
        <w:spacing w:line="480" w:lineRule="auto"/>
      </w:pPr>
    </w:p>
    <w:p w14:paraId="5C5B51B8" w14:textId="3F5C407F" w:rsidR="00A76774" w:rsidRPr="004338BE" w:rsidRDefault="00A76774" w:rsidP="00A76774">
      <w:pPr>
        <w:pStyle w:val="RSCB04AHeadingSection"/>
        <w:spacing w:line="480" w:lineRule="auto"/>
        <w:rPr>
          <w:b w:val="0"/>
          <w:w w:val="108"/>
        </w:rPr>
      </w:pPr>
      <w:r w:rsidRPr="004338BE">
        <w:t>1. Introduction</w:t>
      </w:r>
    </w:p>
    <w:p w14:paraId="71B981E1" w14:textId="2DD88C03" w:rsidR="00524870" w:rsidRPr="004338BE" w:rsidRDefault="00A76774" w:rsidP="00221BA4">
      <w:pPr>
        <w:spacing w:after="0" w:line="480" w:lineRule="auto"/>
        <w:ind w:firstLine="720"/>
        <w:jc w:val="both"/>
      </w:pPr>
      <w:proofErr w:type="spellStart"/>
      <w:r w:rsidRPr="004338BE">
        <w:t>Furanic</w:t>
      </w:r>
      <w:proofErr w:type="spellEnd"/>
      <w:r w:rsidRPr="004338BE">
        <w:t xml:space="preserve"> compounds derived from biomass attract</w:t>
      </w:r>
      <w:r w:rsidR="00362C55" w:rsidRPr="004338BE">
        <w:t xml:space="preserve"> considerable</w:t>
      </w:r>
      <w:r w:rsidRPr="004338BE">
        <w:t xml:space="preserve"> interest as a renewable feedstock, which can be converted to</w:t>
      </w:r>
      <w:r w:rsidR="000712E9" w:rsidRPr="004338BE">
        <w:t xml:space="preserve"> a wide range of value-added chemicals and</w:t>
      </w:r>
      <w:r w:rsidRPr="004338BE">
        <w:t xml:space="preserve"> </w:t>
      </w:r>
      <w:r w:rsidR="00BB0CBB" w:rsidRPr="004338BE">
        <w:t xml:space="preserve">green </w:t>
      </w:r>
      <w:r w:rsidRPr="004338BE">
        <w:t xml:space="preserve">fuels </w:t>
      </w:r>
      <w:r w:rsidR="000712E9" w:rsidRPr="004338BE">
        <w:t>via</w:t>
      </w:r>
      <w:r w:rsidRPr="004338BE">
        <w:t xml:space="preserve"> catalytic hydrogenolysis</w:t>
      </w:r>
      <w:r w:rsidR="000712E9" w:rsidRPr="004338BE">
        <w:t>, hydrogenation</w:t>
      </w:r>
      <w:r w:rsidRPr="004338BE">
        <w:t xml:space="preserve"> </w:t>
      </w:r>
      <w:r w:rsidR="00027C58" w:rsidRPr="004338BE">
        <w:t>and hydrodeoxygenation</w:t>
      </w:r>
      <w:r w:rsidR="00362C55" w:rsidRPr="004338BE">
        <w:t xml:space="preserve"> </w:t>
      </w:r>
      <w:r w:rsidR="00140AFB" w:rsidRPr="004338BE">
        <w:t>[</w:t>
      </w:r>
      <w:r w:rsidR="0031455C" w:rsidRPr="004338BE">
        <w:t>1</w:t>
      </w:r>
      <w:r w:rsidR="007C5B56" w:rsidRPr="004338BE">
        <w:t>–</w:t>
      </w:r>
      <w:r w:rsidR="00EC1E33" w:rsidRPr="004338BE">
        <w:t>16</w:t>
      </w:r>
      <w:r w:rsidR="00140AFB" w:rsidRPr="004338BE">
        <w:t>]</w:t>
      </w:r>
      <w:r w:rsidRPr="004338BE">
        <w:t xml:space="preserve">. </w:t>
      </w:r>
      <w:r w:rsidR="00524870" w:rsidRPr="004338BE">
        <w:t>Hydrodeoxygenation</w:t>
      </w:r>
      <w:r w:rsidR="00DB46D6" w:rsidRPr="004338BE">
        <w:t xml:space="preserve"> (HDO)</w:t>
      </w:r>
      <w:r w:rsidR="00524870" w:rsidRPr="004338BE">
        <w:t xml:space="preserve"> of bio</w:t>
      </w:r>
      <w:r w:rsidR="000712E9" w:rsidRPr="004338BE">
        <w:t>-</w:t>
      </w:r>
      <w:proofErr w:type="spellStart"/>
      <w:r w:rsidR="00524870" w:rsidRPr="004338BE">
        <w:t>furanic</w:t>
      </w:r>
      <w:r w:rsidR="000712E9" w:rsidRPr="004338BE">
        <w:t>s</w:t>
      </w:r>
      <w:proofErr w:type="spellEnd"/>
      <w:r w:rsidR="00524870" w:rsidRPr="004338BE">
        <w:t xml:space="preserve"> </w:t>
      </w:r>
      <w:r w:rsidR="000712E9" w:rsidRPr="004338BE">
        <w:t xml:space="preserve">using heterogeneous catalysis </w:t>
      </w:r>
      <w:r w:rsidR="007D4B0B" w:rsidRPr="004338BE">
        <w:t>is</w:t>
      </w:r>
      <w:r w:rsidR="00524870" w:rsidRPr="004338BE">
        <w:t xml:space="preserve"> an effective strate</w:t>
      </w:r>
      <w:r w:rsidR="00273E65" w:rsidRPr="004338BE">
        <w:t>gy to produce green fuels</w:t>
      </w:r>
      <w:r w:rsidR="00BC4854" w:rsidRPr="004338BE">
        <w:t xml:space="preserve"> </w:t>
      </w:r>
      <w:r w:rsidR="00273E65" w:rsidRPr="004338BE">
        <w:t>([11,</w:t>
      </w:r>
      <w:r w:rsidR="00524870" w:rsidRPr="004338BE">
        <w:t>12</w:t>
      </w:r>
      <w:r w:rsidR="00C76DFF" w:rsidRPr="004338BE">
        <w:t>,14</w:t>
      </w:r>
      <w:r w:rsidR="00EC1E33" w:rsidRPr="004338BE">
        <w:t>,16</w:t>
      </w:r>
      <w:r w:rsidR="0062467A" w:rsidRPr="004338BE">
        <w:t>,17</w:t>
      </w:r>
      <w:r w:rsidR="00273E65" w:rsidRPr="004338BE">
        <w:t>]</w:t>
      </w:r>
      <w:r w:rsidR="00524870" w:rsidRPr="004338BE">
        <w:t xml:space="preserve"> and references therein). </w:t>
      </w:r>
      <w:r w:rsidR="002F0203" w:rsidRPr="004338BE">
        <w:t xml:space="preserve">Complete </w:t>
      </w:r>
      <w:r w:rsidR="00C715F3" w:rsidRPr="004338BE">
        <w:t>deoxygenation of</w:t>
      </w:r>
      <w:r w:rsidR="002F0203" w:rsidRPr="004338BE">
        <w:t xml:space="preserve"> </w:t>
      </w:r>
      <w:proofErr w:type="spellStart"/>
      <w:r w:rsidR="002C7457" w:rsidRPr="004338BE">
        <w:t>furanic</w:t>
      </w:r>
      <w:r w:rsidR="000712E9" w:rsidRPr="004338BE">
        <w:t>s</w:t>
      </w:r>
      <w:proofErr w:type="spellEnd"/>
      <w:r w:rsidR="00F42E35" w:rsidRPr="004338BE">
        <w:t xml:space="preserve"> </w:t>
      </w:r>
      <w:r w:rsidR="002C7457" w:rsidRPr="004338BE">
        <w:t>over noble metal</w:t>
      </w:r>
      <w:r w:rsidR="00021520" w:rsidRPr="004338BE">
        <w:t>s</w:t>
      </w:r>
      <w:r w:rsidR="002F0203" w:rsidRPr="004338BE">
        <w:t xml:space="preserve"> to produce hydrocarbons</w:t>
      </w:r>
      <w:r w:rsidR="00C625A5" w:rsidRPr="004338BE">
        <w:t xml:space="preserve"> requires </w:t>
      </w:r>
      <w:r w:rsidR="00EE235F" w:rsidRPr="004338BE">
        <w:t>severe reaction</w:t>
      </w:r>
      <w:r w:rsidR="00C625A5" w:rsidRPr="004338BE">
        <w:t xml:space="preserve"> conditions (200−400 </w:t>
      </w:r>
      <w:proofErr w:type="spellStart"/>
      <w:r w:rsidR="00C625A5" w:rsidRPr="004338BE">
        <w:rPr>
          <w:vertAlign w:val="superscript"/>
        </w:rPr>
        <w:t>o</w:t>
      </w:r>
      <w:r w:rsidR="00C625A5" w:rsidRPr="004338BE">
        <w:t>C</w:t>
      </w:r>
      <w:proofErr w:type="spellEnd"/>
      <w:r w:rsidR="00C625A5" w:rsidRPr="004338BE">
        <w:t>, 7–20 MPa H</w:t>
      </w:r>
      <w:r w:rsidR="00C625A5" w:rsidRPr="004338BE">
        <w:rPr>
          <w:vertAlign w:val="subscript"/>
        </w:rPr>
        <w:t>2</w:t>
      </w:r>
      <w:r w:rsidR="00C625A5" w:rsidRPr="004338BE">
        <w:t xml:space="preserve"> pressure)</w:t>
      </w:r>
      <w:r w:rsidR="002C7457" w:rsidRPr="004338BE">
        <w:t xml:space="preserve"> </w:t>
      </w:r>
      <w:r w:rsidR="00D34E94" w:rsidRPr="004338BE">
        <w:t>[</w:t>
      </w:r>
      <w:r w:rsidR="002F382D" w:rsidRPr="004338BE">
        <w:t>11,12,14</w:t>
      </w:r>
      <w:r w:rsidR="00D34E94" w:rsidRPr="004338BE">
        <w:t xml:space="preserve">]. </w:t>
      </w:r>
      <w:r w:rsidR="00524870" w:rsidRPr="004338BE">
        <w:t xml:space="preserve">Bifunctional metal-acid catalysis has been found </w:t>
      </w:r>
      <w:r w:rsidR="00C625A5" w:rsidRPr="004338BE">
        <w:t xml:space="preserve">more </w:t>
      </w:r>
      <w:r w:rsidR="00524870" w:rsidRPr="004338BE">
        <w:t>efficient</w:t>
      </w:r>
      <w:r w:rsidR="00386B07" w:rsidRPr="004338BE">
        <w:t xml:space="preserve"> than monofunctional metal catalysis</w:t>
      </w:r>
      <w:r w:rsidR="00524870" w:rsidRPr="004338BE">
        <w:t xml:space="preserve"> for the </w:t>
      </w:r>
      <w:r w:rsidR="00DB46D6" w:rsidRPr="004338BE">
        <w:t>HDO</w:t>
      </w:r>
      <w:r w:rsidR="00524870" w:rsidRPr="004338BE">
        <w:t xml:space="preserve"> of oxygenates such as ketones, alcohols, phenols, ethers</w:t>
      </w:r>
      <w:r w:rsidR="00CB3C86" w:rsidRPr="004338BE">
        <w:t>,</w:t>
      </w:r>
      <w:r w:rsidR="00524870" w:rsidRPr="004338BE">
        <w:t xml:space="preserve"> esters</w:t>
      </w:r>
      <w:r w:rsidR="00CB3C86" w:rsidRPr="004338BE">
        <w:t>, etc.</w:t>
      </w:r>
      <w:r w:rsidR="003A018F" w:rsidRPr="004338BE">
        <w:t xml:space="preserve"> [1</w:t>
      </w:r>
      <w:r w:rsidR="00C369E2" w:rsidRPr="004338BE">
        <w:t>8</w:t>
      </w:r>
      <w:r w:rsidR="007C5B56" w:rsidRPr="004338BE">
        <w:t>–</w:t>
      </w:r>
      <w:r w:rsidR="00ED7ED2" w:rsidRPr="004338BE">
        <w:t>2</w:t>
      </w:r>
      <w:r w:rsidR="009D7641" w:rsidRPr="004338BE">
        <w:t>2</w:t>
      </w:r>
      <w:r w:rsidR="001E0F76" w:rsidRPr="004338BE">
        <w:t>]</w:t>
      </w:r>
      <w:r w:rsidR="00524870" w:rsidRPr="004338BE">
        <w:t xml:space="preserve">. </w:t>
      </w:r>
      <w:r w:rsidR="00196231" w:rsidRPr="004338BE">
        <w:t>Previously, this</w:t>
      </w:r>
      <w:r w:rsidR="00524870" w:rsidRPr="004338BE">
        <w:t xml:space="preserve"> group ha</w:t>
      </w:r>
      <w:r w:rsidR="00301855" w:rsidRPr="004338BE">
        <w:t>s</w:t>
      </w:r>
      <w:r w:rsidR="00524870" w:rsidRPr="004338BE">
        <w:t xml:space="preserve"> reported</w:t>
      </w:r>
      <w:r w:rsidR="00021520" w:rsidRPr="004338BE">
        <w:t xml:space="preserve"> </w:t>
      </w:r>
      <w:r w:rsidR="00524870" w:rsidRPr="004338BE">
        <w:t xml:space="preserve">bifunctional catalysts comprising </w:t>
      </w:r>
      <w:r w:rsidR="00021520" w:rsidRPr="004338BE">
        <w:t>Pt</w:t>
      </w:r>
      <w:r w:rsidR="00524870" w:rsidRPr="004338BE">
        <w:t xml:space="preserve"> and </w:t>
      </w:r>
      <w:proofErr w:type="spellStart"/>
      <w:r w:rsidR="00524870" w:rsidRPr="004338BE">
        <w:t>Keggin</w:t>
      </w:r>
      <w:proofErr w:type="spellEnd"/>
      <w:r w:rsidR="00524870" w:rsidRPr="004338BE">
        <w:t>-type heteropoly acids</w:t>
      </w:r>
      <w:r w:rsidR="005E35E5" w:rsidRPr="004338BE">
        <w:t xml:space="preserve"> </w:t>
      </w:r>
      <w:r w:rsidR="00524870" w:rsidRPr="004338BE">
        <w:t xml:space="preserve">for </w:t>
      </w:r>
      <w:r w:rsidR="00DB46D6" w:rsidRPr="004338BE">
        <w:t>HDO</w:t>
      </w:r>
      <w:r w:rsidR="00524870" w:rsidRPr="004338BE">
        <w:t xml:space="preserve"> of a wide range of </w:t>
      </w:r>
      <w:r w:rsidR="00EE235F" w:rsidRPr="004338BE">
        <w:t>oxygenates</w:t>
      </w:r>
      <w:r w:rsidR="00524870" w:rsidRPr="004338BE">
        <w:t xml:space="preserve"> in the gas phase to </w:t>
      </w:r>
      <w:r w:rsidR="00975CA3" w:rsidRPr="004338BE">
        <w:t>produce</w:t>
      </w:r>
      <w:r w:rsidR="00524870" w:rsidRPr="004338BE">
        <w:t xml:space="preserve"> alkanes</w:t>
      </w:r>
      <w:r w:rsidR="00021520" w:rsidRPr="004338BE">
        <w:t xml:space="preserve"> under mild conditions</w:t>
      </w:r>
      <w:r w:rsidR="00717B14" w:rsidRPr="004338BE">
        <w:t xml:space="preserve"> </w:t>
      </w:r>
      <w:r w:rsidR="0097007B" w:rsidRPr="004338BE">
        <w:t>[1</w:t>
      </w:r>
      <w:r w:rsidR="00C369E2" w:rsidRPr="004338BE">
        <w:t>9</w:t>
      </w:r>
      <w:r w:rsidR="007C5B56" w:rsidRPr="004338BE">
        <w:t>,20</w:t>
      </w:r>
      <w:r w:rsidR="0097007B" w:rsidRPr="004338BE">
        <w:t>]</w:t>
      </w:r>
      <w:r w:rsidR="00524870" w:rsidRPr="004338BE">
        <w:t>.</w:t>
      </w:r>
      <w:r w:rsidR="009B5CE9" w:rsidRPr="004338BE">
        <w:t xml:space="preserve"> </w:t>
      </w:r>
      <w:r w:rsidR="00956CF6" w:rsidRPr="004338BE">
        <w:rPr>
          <w:iCs/>
          <w:lang w:eastAsia="en-GB"/>
        </w:rPr>
        <w:t>Pt–</w:t>
      </w:r>
      <w:proofErr w:type="spellStart"/>
      <w:r w:rsidR="00956CF6" w:rsidRPr="004338BE">
        <w:rPr>
          <w:iCs/>
          <w:lang w:eastAsia="en-GB"/>
        </w:rPr>
        <w:t>CsPW</w:t>
      </w:r>
      <w:proofErr w:type="spellEnd"/>
      <w:r w:rsidR="00F06648" w:rsidRPr="004338BE">
        <w:rPr>
          <w:iCs/>
          <w:lang w:eastAsia="en-GB"/>
        </w:rPr>
        <w:t xml:space="preserve"> comprising Pt and</w:t>
      </w:r>
      <w:r w:rsidR="0097007B" w:rsidRPr="004338BE">
        <w:rPr>
          <w:iCs/>
          <w:lang w:eastAsia="en-GB"/>
        </w:rPr>
        <w:t xml:space="preserve"> strongly</w:t>
      </w:r>
      <w:r w:rsidR="00F06648" w:rsidRPr="004338BE">
        <w:rPr>
          <w:iCs/>
          <w:lang w:eastAsia="en-GB"/>
        </w:rPr>
        <w:t xml:space="preserve"> acidic heteropoly salt Cs</w:t>
      </w:r>
      <w:r w:rsidR="00F06648" w:rsidRPr="004338BE">
        <w:rPr>
          <w:iCs/>
          <w:vertAlign w:val="subscript"/>
          <w:lang w:eastAsia="en-GB"/>
        </w:rPr>
        <w:t>2.5</w:t>
      </w:r>
      <w:r w:rsidR="00F06648" w:rsidRPr="004338BE">
        <w:rPr>
          <w:iCs/>
          <w:lang w:eastAsia="en-GB"/>
        </w:rPr>
        <w:t>H</w:t>
      </w:r>
      <w:r w:rsidR="00F06648" w:rsidRPr="004338BE">
        <w:rPr>
          <w:iCs/>
          <w:vertAlign w:val="subscript"/>
          <w:lang w:eastAsia="en-GB"/>
        </w:rPr>
        <w:t>0.5</w:t>
      </w:r>
      <w:r w:rsidR="00F06648" w:rsidRPr="004338BE">
        <w:rPr>
          <w:iCs/>
          <w:lang w:eastAsia="en-GB"/>
        </w:rPr>
        <w:t>PW</w:t>
      </w:r>
      <w:r w:rsidR="00F06648" w:rsidRPr="004338BE">
        <w:rPr>
          <w:iCs/>
          <w:vertAlign w:val="subscript"/>
          <w:lang w:eastAsia="en-GB"/>
        </w:rPr>
        <w:t>12</w:t>
      </w:r>
      <w:r w:rsidR="00F06648" w:rsidRPr="004338BE">
        <w:rPr>
          <w:iCs/>
          <w:lang w:eastAsia="en-GB"/>
        </w:rPr>
        <w:t>O</w:t>
      </w:r>
      <w:r w:rsidR="00F06648" w:rsidRPr="004338BE">
        <w:rPr>
          <w:iCs/>
          <w:vertAlign w:val="subscript"/>
          <w:lang w:eastAsia="en-GB"/>
        </w:rPr>
        <w:t>40</w:t>
      </w:r>
      <w:r w:rsidR="00F06648" w:rsidRPr="004338BE">
        <w:rPr>
          <w:iCs/>
          <w:lang w:eastAsia="en-GB"/>
        </w:rPr>
        <w:t xml:space="preserve"> (</w:t>
      </w:r>
      <w:proofErr w:type="spellStart"/>
      <w:r w:rsidR="00F06648" w:rsidRPr="004338BE">
        <w:rPr>
          <w:iCs/>
          <w:lang w:eastAsia="en-GB"/>
        </w:rPr>
        <w:t>CsPW</w:t>
      </w:r>
      <w:proofErr w:type="spellEnd"/>
      <w:r w:rsidR="00F06648" w:rsidRPr="004338BE">
        <w:rPr>
          <w:iCs/>
          <w:lang w:eastAsia="en-GB"/>
        </w:rPr>
        <w:t xml:space="preserve">) </w:t>
      </w:r>
      <w:r w:rsidR="0097007B" w:rsidRPr="004338BE">
        <w:rPr>
          <w:iCs/>
          <w:lang w:eastAsia="en-GB"/>
        </w:rPr>
        <w:t>has been reported to be a</w:t>
      </w:r>
      <w:r w:rsidR="00F06648" w:rsidRPr="004338BE">
        <w:rPr>
          <w:iCs/>
          <w:lang w:eastAsia="en-GB"/>
        </w:rPr>
        <w:t xml:space="preserve"> highly active</w:t>
      </w:r>
      <w:r w:rsidR="0097007B" w:rsidRPr="004338BE">
        <w:rPr>
          <w:iCs/>
          <w:lang w:eastAsia="en-GB"/>
        </w:rPr>
        <w:t xml:space="preserve"> catalyst</w:t>
      </w:r>
      <w:r w:rsidR="00F06648" w:rsidRPr="004338BE">
        <w:rPr>
          <w:iCs/>
          <w:lang w:eastAsia="en-GB"/>
        </w:rPr>
        <w:t xml:space="preserve"> for </w:t>
      </w:r>
      <w:r w:rsidR="00301855" w:rsidRPr="004338BE">
        <w:t>t</w:t>
      </w:r>
      <w:r w:rsidR="00301855" w:rsidRPr="004338BE">
        <w:rPr>
          <w:iCs/>
          <w:lang w:eastAsia="en-GB"/>
        </w:rPr>
        <w:t>he gas-phase HDO of 2,5-dimethylfuran (DMF) to</w:t>
      </w:r>
      <w:r w:rsidR="00F06648" w:rsidRPr="004338BE">
        <w:rPr>
          <w:iCs/>
          <w:lang w:eastAsia="en-GB"/>
        </w:rPr>
        <w:t xml:space="preserve"> produce</w:t>
      </w:r>
      <w:r w:rsidR="00301855" w:rsidRPr="004338BE">
        <w:rPr>
          <w:iCs/>
          <w:lang w:eastAsia="en-GB"/>
        </w:rPr>
        <w:t xml:space="preserve"> n-hexane with 100% yield </w:t>
      </w:r>
      <w:r w:rsidR="00021520" w:rsidRPr="004338BE">
        <w:rPr>
          <w:iCs/>
          <w:lang w:eastAsia="en-GB"/>
        </w:rPr>
        <w:t xml:space="preserve">at </w:t>
      </w:r>
      <w:r w:rsidR="00301855" w:rsidRPr="004338BE">
        <w:rPr>
          <w:iCs/>
          <w:lang w:eastAsia="en-GB"/>
        </w:rPr>
        <w:t xml:space="preserve">90 </w:t>
      </w:r>
      <w:proofErr w:type="spellStart"/>
      <w:r w:rsidR="00301855" w:rsidRPr="004338BE">
        <w:rPr>
          <w:iCs/>
          <w:vertAlign w:val="superscript"/>
          <w:lang w:eastAsia="en-GB"/>
        </w:rPr>
        <w:t>o</w:t>
      </w:r>
      <w:r w:rsidR="00301855" w:rsidRPr="004338BE">
        <w:rPr>
          <w:iCs/>
          <w:lang w:eastAsia="en-GB"/>
        </w:rPr>
        <w:t>C</w:t>
      </w:r>
      <w:proofErr w:type="spellEnd"/>
      <w:r w:rsidR="00021520" w:rsidRPr="004338BE">
        <w:rPr>
          <w:iCs/>
          <w:lang w:eastAsia="en-GB"/>
        </w:rPr>
        <w:t xml:space="preserve"> and</w:t>
      </w:r>
      <w:r w:rsidR="00301855" w:rsidRPr="004338BE">
        <w:rPr>
          <w:iCs/>
          <w:lang w:eastAsia="en-GB"/>
        </w:rPr>
        <w:t xml:space="preserve"> </w:t>
      </w:r>
      <w:r w:rsidR="00200AFD" w:rsidRPr="004338BE">
        <w:rPr>
          <w:iCs/>
          <w:lang w:eastAsia="en-GB"/>
        </w:rPr>
        <w:t>ambient</w:t>
      </w:r>
      <w:r w:rsidR="00F06648" w:rsidRPr="004338BE">
        <w:rPr>
          <w:iCs/>
          <w:lang w:eastAsia="en-GB"/>
        </w:rPr>
        <w:t xml:space="preserve"> </w:t>
      </w:r>
      <w:r w:rsidR="00021520" w:rsidRPr="004338BE">
        <w:rPr>
          <w:iCs/>
          <w:lang w:eastAsia="en-GB"/>
        </w:rPr>
        <w:t xml:space="preserve">pressure </w:t>
      </w:r>
      <w:r w:rsidR="00F06648" w:rsidRPr="004338BE">
        <w:rPr>
          <w:iCs/>
          <w:lang w:eastAsia="en-GB"/>
        </w:rPr>
        <w:t>[</w:t>
      </w:r>
      <w:r w:rsidR="006635A9" w:rsidRPr="004338BE">
        <w:rPr>
          <w:iCs/>
          <w:lang w:eastAsia="en-GB"/>
        </w:rPr>
        <w:t>2</w:t>
      </w:r>
      <w:r w:rsidR="007C5B56" w:rsidRPr="004338BE">
        <w:rPr>
          <w:iCs/>
          <w:lang w:eastAsia="en-GB"/>
        </w:rPr>
        <w:t>1</w:t>
      </w:r>
      <w:r w:rsidR="00F06648" w:rsidRPr="004338BE">
        <w:rPr>
          <w:iCs/>
          <w:lang w:eastAsia="en-GB"/>
        </w:rPr>
        <w:t>]</w:t>
      </w:r>
      <w:r w:rsidR="00301855" w:rsidRPr="004338BE">
        <w:rPr>
          <w:iCs/>
          <w:lang w:eastAsia="en-GB"/>
        </w:rPr>
        <w:t>.</w:t>
      </w:r>
      <w:r w:rsidR="00485423" w:rsidRPr="004338BE">
        <w:t xml:space="preserve"> </w:t>
      </w:r>
      <w:r w:rsidR="00156AFA" w:rsidRPr="004338BE">
        <w:t xml:space="preserve">Among the platinum group metals, </w:t>
      </w:r>
      <w:r w:rsidR="00CE4E47" w:rsidRPr="004338BE">
        <w:t xml:space="preserve">Pt is the most active catalyst for HDO of DMF due to its high activity in hydrogenolysis of furan ring. </w:t>
      </w:r>
      <w:r w:rsidR="00221BA4" w:rsidRPr="004338BE">
        <w:t>In</w:t>
      </w:r>
      <w:r w:rsidR="00CE4E47" w:rsidRPr="004338BE">
        <w:t xml:space="preserve"> contrast,</w:t>
      </w:r>
      <w:r w:rsidR="00221BA4" w:rsidRPr="004338BE">
        <w:t xml:space="preserve"> Pd, Rh and Ru</w:t>
      </w:r>
      <w:r w:rsidR="00BF35DF" w:rsidRPr="004338BE">
        <w:t>,</w:t>
      </w:r>
      <w:r w:rsidR="00E31F37" w:rsidRPr="004338BE">
        <w:t xml:space="preserve"> that</w:t>
      </w:r>
      <w:r w:rsidR="00221BA4" w:rsidRPr="004338BE">
        <w:t xml:space="preserve"> hav</w:t>
      </w:r>
      <w:r w:rsidR="00E31F37" w:rsidRPr="004338BE">
        <w:t>e</w:t>
      </w:r>
      <w:r w:rsidR="00221BA4" w:rsidRPr="004338BE">
        <w:t xml:space="preserve"> high selectivity to ring-saturated tetrahydrofuran derivatives</w:t>
      </w:r>
      <w:r w:rsidR="00E31F37" w:rsidRPr="004338BE">
        <w:t xml:space="preserve"> rather than furan ring hydrogenolysis</w:t>
      </w:r>
      <w:r w:rsidR="00221BA4" w:rsidRPr="004338BE">
        <w:t xml:space="preserve"> [6,13,15]</w:t>
      </w:r>
      <w:r w:rsidR="00BF35DF" w:rsidRPr="004338BE">
        <w:t>, have low activities in HDO o</w:t>
      </w:r>
      <w:r w:rsidR="00860F6D" w:rsidRPr="004338BE">
        <w:t>f</w:t>
      </w:r>
      <w:r w:rsidR="00BF35DF" w:rsidRPr="004338BE">
        <w:t xml:space="preserve"> DMF [2</w:t>
      </w:r>
      <w:r w:rsidR="007C5B56" w:rsidRPr="004338BE">
        <w:t>1</w:t>
      </w:r>
      <w:r w:rsidR="00BF35DF" w:rsidRPr="004338BE">
        <w:t>]</w:t>
      </w:r>
      <w:r w:rsidR="006917DF" w:rsidRPr="004338BE">
        <w:t xml:space="preserve">. </w:t>
      </w:r>
    </w:p>
    <w:p w14:paraId="0FF76199" w14:textId="42019963" w:rsidR="00272A00" w:rsidRPr="004338BE" w:rsidRDefault="00272A00" w:rsidP="00272A00">
      <w:pPr>
        <w:spacing w:after="0" w:line="480" w:lineRule="auto"/>
        <w:ind w:firstLine="720"/>
        <w:jc w:val="both"/>
      </w:pPr>
      <w:r w:rsidRPr="004338BE">
        <w:t>The HDO of DMF over Pt–</w:t>
      </w:r>
      <w:proofErr w:type="spellStart"/>
      <w:r w:rsidRPr="004338BE">
        <w:t>CsPW</w:t>
      </w:r>
      <w:proofErr w:type="spellEnd"/>
      <w:r w:rsidRPr="004338BE">
        <w:t xml:space="preserve"> </w:t>
      </w:r>
      <w:r w:rsidR="00D92449" w:rsidRPr="004338BE">
        <w:t>can be</w:t>
      </w:r>
      <w:r w:rsidRPr="004338BE">
        <w:t xml:space="preserve"> represented by Scheme 1 including two parallel pathways: ring hydrogenolysis (1) and ring hydrogenation (2) [2</w:t>
      </w:r>
      <w:r w:rsidR="007C5B56" w:rsidRPr="004338BE">
        <w:t>1</w:t>
      </w:r>
      <w:r w:rsidRPr="004338BE">
        <w:t xml:space="preserve">]. The primary ring-opened and ring-saturated products – 2-hexanone and </w:t>
      </w:r>
      <w:r w:rsidR="00EE235F" w:rsidRPr="004338BE">
        <w:t>2,5-dimethyltetrahydrofuran (</w:t>
      </w:r>
      <w:r w:rsidRPr="004338BE">
        <w:t>DMTHF</w:t>
      </w:r>
      <w:r w:rsidR="00EE235F" w:rsidRPr="004338BE">
        <w:t>)</w:t>
      </w:r>
      <w:r w:rsidRPr="004338BE">
        <w:t xml:space="preserve"> – are formed in parallel on Pt sites directly from DMF [6,13,15]. Further,</w:t>
      </w:r>
      <w:r w:rsidR="00D92449" w:rsidRPr="004338BE">
        <w:t xml:space="preserve"> on Pt sites,</w:t>
      </w:r>
      <w:r w:rsidRPr="004338BE">
        <w:t xml:space="preserve"> 2-</w:t>
      </w:r>
      <w:r w:rsidRPr="004338BE">
        <w:lastRenderedPageBreak/>
        <w:t>hexanone is hydrogenated and DMTHF undergoes ring opening</w:t>
      </w:r>
      <w:r w:rsidR="00D92449" w:rsidRPr="004338BE">
        <w:t>,</w:t>
      </w:r>
      <w:r w:rsidRPr="004338BE">
        <w:t xml:space="preserve"> </w:t>
      </w:r>
      <w:r w:rsidR="00D92449" w:rsidRPr="004338BE">
        <w:t>both giving</w:t>
      </w:r>
      <w:r w:rsidRPr="004338BE">
        <w:t xml:space="preserve"> 2-hexanol, which is dehydrated to hexene on proton sites. Finally, the hexene is hydrogenated to n-hexane on Pt sites</w:t>
      </w:r>
      <w:r w:rsidR="00DC045D" w:rsidRPr="004338BE">
        <w:t xml:space="preserve"> to form n-hexane</w:t>
      </w:r>
      <w:r w:rsidRPr="004338BE">
        <w:t xml:space="preserve"> [2</w:t>
      </w:r>
      <w:r w:rsidR="007C5B56" w:rsidRPr="004338BE">
        <w:t>1</w:t>
      </w:r>
      <w:r w:rsidRPr="004338BE">
        <w:t xml:space="preserve">]. </w:t>
      </w:r>
      <w:r w:rsidR="00B97CB2" w:rsidRPr="004338BE">
        <w:t>T</w:t>
      </w:r>
      <w:r w:rsidRPr="004338BE">
        <w:t>he HDO of ketones, including 2-hexanone</w:t>
      </w:r>
      <w:r w:rsidR="003F308A" w:rsidRPr="004338BE">
        <w:t xml:space="preserve"> (pathway 1)</w:t>
      </w:r>
      <w:r w:rsidRPr="004338BE">
        <w:t>, over Pt–</w:t>
      </w:r>
      <w:proofErr w:type="spellStart"/>
      <w:r w:rsidRPr="004338BE">
        <w:t>CsPW</w:t>
      </w:r>
      <w:proofErr w:type="spellEnd"/>
      <w:r w:rsidRPr="004338BE">
        <w:t xml:space="preserve"> has been studied in detail previously [1</w:t>
      </w:r>
      <w:r w:rsidR="00C369E2" w:rsidRPr="004338BE">
        <w:t>9</w:t>
      </w:r>
      <w:r w:rsidR="007C5B56" w:rsidRPr="004338BE">
        <w:t>,20</w:t>
      </w:r>
      <w:r w:rsidRPr="004338BE">
        <w:t xml:space="preserve">]. </w:t>
      </w:r>
      <w:r w:rsidR="00B97CB2" w:rsidRPr="004338BE">
        <w:t>In contrast</w:t>
      </w:r>
      <w:r w:rsidR="00714E3D" w:rsidRPr="004338BE">
        <w:t>, t</w:t>
      </w:r>
      <w:r w:rsidRPr="004338BE">
        <w:t>he HDO of DMTHF</w:t>
      </w:r>
      <w:r w:rsidR="003F308A" w:rsidRPr="004338BE">
        <w:t xml:space="preserve"> (pathway 2)</w:t>
      </w:r>
      <w:r w:rsidRPr="004338BE">
        <w:t xml:space="preserve"> has not been reported yet, to the best of our knowledge.</w:t>
      </w:r>
      <w:r w:rsidR="00714E3D" w:rsidRPr="004338BE">
        <w:t xml:space="preserve"> Since the HDO of </w:t>
      </w:r>
      <w:proofErr w:type="spellStart"/>
      <w:r w:rsidR="00714E3D" w:rsidRPr="004338BE">
        <w:t>furanic</w:t>
      </w:r>
      <w:proofErr w:type="spellEnd"/>
      <w:r w:rsidR="00714E3D" w:rsidRPr="004338BE">
        <w:t xml:space="preserve"> compounds involves tetrahydrofuran derivatives as intermediates, it would be interesting</w:t>
      </w:r>
      <w:r w:rsidR="00DC5ADD" w:rsidRPr="004338BE">
        <w:t xml:space="preserve"> to investigate</w:t>
      </w:r>
      <w:r w:rsidR="00714E3D" w:rsidRPr="004338BE">
        <w:t xml:space="preserve"> the HDO of DMTHF in the presence of bifunctional metal-acid catalysts.</w:t>
      </w:r>
    </w:p>
    <w:p w14:paraId="2067D1B2" w14:textId="365C19D7" w:rsidR="00272A00" w:rsidRPr="004338BE" w:rsidRDefault="00DC5ADD" w:rsidP="00272A00">
      <w:pPr>
        <w:pStyle w:val="RSCB04AHeadingSection"/>
        <w:spacing w:line="480" w:lineRule="auto"/>
        <w:ind w:right="-45"/>
        <w:jc w:val="both"/>
      </w:pPr>
      <w:r w:rsidRPr="004338BE">
        <w:object w:dxaOrig="11493" w:dyaOrig="2055" w14:anchorId="0E19D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7pt;height:82.05pt" o:ole="">
            <v:imagedata r:id="rId9" o:title=""/>
          </v:shape>
          <o:OLEObject Type="Embed" ProgID="ChemDraw.Document.6.0" ShapeID="_x0000_i1025" DrawAspect="Content" ObjectID="_1684669772" r:id="rId10"/>
        </w:object>
      </w:r>
    </w:p>
    <w:p w14:paraId="49E46C76" w14:textId="77777777" w:rsidR="00272A00" w:rsidRPr="004338BE" w:rsidRDefault="00272A00" w:rsidP="00272A00">
      <w:pPr>
        <w:pStyle w:val="RSCB04AHeadingSection"/>
        <w:spacing w:before="0" w:after="120" w:line="480" w:lineRule="auto"/>
        <w:ind w:right="-45"/>
        <w:jc w:val="center"/>
        <w:rPr>
          <w:b w:val="0"/>
        </w:rPr>
      </w:pPr>
      <w:r w:rsidRPr="004338BE">
        <w:t>Scheme 1.</w:t>
      </w:r>
      <w:r w:rsidRPr="004338BE">
        <w:rPr>
          <w:b w:val="0"/>
        </w:rPr>
        <w:t xml:space="preserve"> Reaction network for hydrodeoxygenation of DMF over Pt–</w:t>
      </w:r>
      <w:proofErr w:type="spellStart"/>
      <w:r w:rsidRPr="004338BE">
        <w:rPr>
          <w:b w:val="0"/>
        </w:rPr>
        <w:t>CsPW</w:t>
      </w:r>
      <w:proofErr w:type="spellEnd"/>
      <w:r w:rsidRPr="004338BE">
        <w:rPr>
          <w:b w:val="0"/>
        </w:rPr>
        <w:t>.</w:t>
      </w:r>
    </w:p>
    <w:p w14:paraId="7F08C27B" w14:textId="77777777" w:rsidR="00272A00" w:rsidRPr="004338BE" w:rsidRDefault="00272A00" w:rsidP="00221BA4">
      <w:pPr>
        <w:spacing w:after="0" w:line="480" w:lineRule="auto"/>
        <w:ind w:firstLine="720"/>
        <w:jc w:val="both"/>
      </w:pPr>
    </w:p>
    <w:p w14:paraId="6842BF25" w14:textId="286995A1" w:rsidR="007A0262" w:rsidRPr="004338BE" w:rsidRDefault="00714E3D" w:rsidP="007A0262">
      <w:pPr>
        <w:spacing w:line="480" w:lineRule="auto"/>
        <w:ind w:firstLine="720"/>
        <w:jc w:val="both"/>
      </w:pPr>
      <w:r w:rsidRPr="004338BE">
        <w:t>Here</w:t>
      </w:r>
      <w:r w:rsidR="00524870" w:rsidRPr="004338BE">
        <w:t xml:space="preserve">, the </w:t>
      </w:r>
      <w:r w:rsidR="00DB46D6" w:rsidRPr="004338BE">
        <w:t xml:space="preserve">HDO </w:t>
      </w:r>
      <w:r w:rsidR="00524870" w:rsidRPr="004338BE">
        <w:t>of DM</w:t>
      </w:r>
      <w:r w:rsidR="009F74DE" w:rsidRPr="004338BE">
        <w:t>TH</w:t>
      </w:r>
      <w:r w:rsidR="00524870" w:rsidRPr="004338BE">
        <w:t xml:space="preserve">F </w:t>
      </w:r>
      <w:r w:rsidR="00C625A5" w:rsidRPr="004338BE">
        <w:t>is investigated</w:t>
      </w:r>
      <w:r w:rsidR="00516B0B" w:rsidRPr="004338BE">
        <w:t xml:space="preserve"> at</w:t>
      </w:r>
      <w:r w:rsidR="00516B0B" w:rsidRPr="004338BE">
        <w:rPr>
          <w:iCs/>
          <w:lang w:eastAsia="en-GB"/>
        </w:rPr>
        <w:t xml:space="preserve"> a gas-solid interface</w:t>
      </w:r>
      <w:r w:rsidR="00C625A5" w:rsidRPr="004338BE">
        <w:t xml:space="preserve"> </w:t>
      </w:r>
      <w:r w:rsidR="00CD1924" w:rsidRPr="004338BE">
        <w:t>in the presence</w:t>
      </w:r>
      <w:r w:rsidR="003C0629" w:rsidRPr="004338BE">
        <w:t xml:space="preserve"> bifunctional metal-acid catalyst</w:t>
      </w:r>
      <w:r w:rsidR="00151FC8" w:rsidRPr="004338BE">
        <w:t xml:space="preserve"> Pt–</w:t>
      </w:r>
      <w:proofErr w:type="spellStart"/>
      <w:r w:rsidR="00151FC8" w:rsidRPr="004338BE">
        <w:t>CsPW</w:t>
      </w:r>
      <w:proofErr w:type="spellEnd"/>
      <w:r w:rsidR="00F4660D" w:rsidRPr="004338BE">
        <w:t>. The</w:t>
      </w:r>
      <w:r w:rsidR="003C0629" w:rsidRPr="004338BE">
        <w:t xml:space="preserve"> </w:t>
      </w:r>
      <w:r w:rsidR="00516B0B" w:rsidRPr="004338BE">
        <w:t xml:space="preserve">strongly acidic </w:t>
      </w:r>
      <w:proofErr w:type="spellStart"/>
      <w:r w:rsidR="003C0629" w:rsidRPr="004338BE">
        <w:t>CsPW</w:t>
      </w:r>
      <w:proofErr w:type="spellEnd"/>
      <w:r w:rsidR="00516B0B" w:rsidRPr="004338BE">
        <w:t xml:space="preserve"> heteropoly salt</w:t>
      </w:r>
      <w:r w:rsidR="00B16964" w:rsidRPr="004338BE">
        <w:t xml:space="preserve"> is well documented as a solid</w:t>
      </w:r>
      <w:r w:rsidR="00BA1293" w:rsidRPr="004338BE">
        <w:t xml:space="preserve"> </w:t>
      </w:r>
      <w:proofErr w:type="spellStart"/>
      <w:r w:rsidR="00BA1293" w:rsidRPr="004338BE">
        <w:t>Brønsted</w:t>
      </w:r>
      <w:proofErr w:type="spellEnd"/>
      <w:r w:rsidR="00B16964" w:rsidRPr="004338BE">
        <w:t xml:space="preserve"> acid catalyst [</w:t>
      </w:r>
      <w:r w:rsidR="0062467A" w:rsidRPr="004338BE">
        <w:t>17,</w:t>
      </w:r>
      <w:r w:rsidR="00B16964" w:rsidRPr="004338BE">
        <w:t>2</w:t>
      </w:r>
      <w:r w:rsidR="00C6343B" w:rsidRPr="004338BE">
        <w:t>3</w:t>
      </w:r>
      <w:r w:rsidR="00A10B66" w:rsidRPr="004338BE">
        <w:t>–</w:t>
      </w:r>
      <w:r w:rsidR="00B6531C" w:rsidRPr="004338BE">
        <w:t>2</w:t>
      </w:r>
      <w:r w:rsidR="00C6343B" w:rsidRPr="004338BE">
        <w:t>5</w:t>
      </w:r>
      <w:r w:rsidR="00B16964" w:rsidRPr="004338BE">
        <w:t>]</w:t>
      </w:r>
      <w:r w:rsidR="007A0262" w:rsidRPr="004338BE">
        <w:t>.</w:t>
      </w:r>
      <w:r w:rsidR="00B16964" w:rsidRPr="004338BE">
        <w:t xml:space="preserve"> </w:t>
      </w:r>
      <w:r w:rsidR="0068739D" w:rsidRPr="004338BE">
        <w:t xml:space="preserve">It has </w:t>
      </w:r>
      <w:r w:rsidR="00F4660D" w:rsidRPr="004338BE">
        <w:t>a</w:t>
      </w:r>
      <w:r w:rsidR="00717B14" w:rsidRPr="004338BE">
        <w:t xml:space="preserve"> large surface area, </w:t>
      </w:r>
      <w:r w:rsidR="0068739D" w:rsidRPr="004338BE">
        <w:t>high thermal stability</w:t>
      </w:r>
      <w:r w:rsidR="00717B14" w:rsidRPr="004338BE">
        <w:t xml:space="preserve"> (~500 </w:t>
      </w:r>
      <w:proofErr w:type="spellStart"/>
      <w:r w:rsidR="00717B14" w:rsidRPr="004338BE">
        <w:rPr>
          <w:vertAlign w:val="superscript"/>
        </w:rPr>
        <w:t>o</w:t>
      </w:r>
      <w:r w:rsidR="00717B14" w:rsidRPr="004338BE">
        <w:t>C</w:t>
      </w:r>
      <w:proofErr w:type="spellEnd"/>
      <w:r w:rsidR="00717B14" w:rsidRPr="004338BE">
        <w:t xml:space="preserve"> decomposition temperature)</w:t>
      </w:r>
      <w:r w:rsidR="00221BA4" w:rsidRPr="004338BE">
        <w:t xml:space="preserve"> and</w:t>
      </w:r>
      <w:r w:rsidR="0068739D" w:rsidRPr="004338BE">
        <w:t xml:space="preserve"> high tolerance</w:t>
      </w:r>
      <w:r w:rsidR="00860FF0" w:rsidRPr="004338BE">
        <w:t xml:space="preserve"> to water</w:t>
      </w:r>
      <w:r w:rsidR="0068739D" w:rsidRPr="004338BE">
        <w:t>, with proton sites almost as strong as those in</w:t>
      </w:r>
      <w:r w:rsidR="00F4660D" w:rsidRPr="004338BE">
        <w:t xml:space="preserve"> the</w:t>
      </w:r>
      <w:r w:rsidR="0068739D" w:rsidRPr="004338BE">
        <w:t xml:space="preserve"> </w:t>
      </w:r>
      <w:r w:rsidR="00F4660D" w:rsidRPr="004338BE">
        <w:t>parent heteropoly acid H</w:t>
      </w:r>
      <w:r w:rsidR="00F4660D" w:rsidRPr="004338BE">
        <w:rPr>
          <w:vertAlign w:val="subscript"/>
        </w:rPr>
        <w:t>3</w:t>
      </w:r>
      <w:r w:rsidR="00F4660D" w:rsidRPr="004338BE">
        <w:t>PW</w:t>
      </w:r>
      <w:r w:rsidR="00F4660D" w:rsidRPr="004338BE">
        <w:rPr>
          <w:vertAlign w:val="subscript"/>
        </w:rPr>
        <w:t>12</w:t>
      </w:r>
      <w:r w:rsidR="00F4660D" w:rsidRPr="004338BE">
        <w:t>O</w:t>
      </w:r>
      <w:r w:rsidR="00F4660D" w:rsidRPr="004338BE">
        <w:rPr>
          <w:vertAlign w:val="subscript"/>
        </w:rPr>
        <w:t>40</w:t>
      </w:r>
      <w:r w:rsidR="0068739D" w:rsidRPr="004338BE">
        <w:t xml:space="preserve"> [2</w:t>
      </w:r>
      <w:r w:rsidR="00C6343B" w:rsidRPr="004338BE">
        <w:t>3</w:t>
      </w:r>
      <w:r w:rsidR="00A10B66" w:rsidRPr="004338BE">
        <w:t>–</w:t>
      </w:r>
      <w:r w:rsidR="0068739D" w:rsidRPr="004338BE">
        <w:t>2</w:t>
      </w:r>
      <w:r w:rsidR="00C6343B" w:rsidRPr="004338BE">
        <w:t>5</w:t>
      </w:r>
      <w:r w:rsidR="0068739D" w:rsidRPr="004338BE">
        <w:t xml:space="preserve">]. </w:t>
      </w:r>
      <w:r w:rsidR="00524870" w:rsidRPr="004338BE">
        <w:t xml:space="preserve">It is demonstrated that </w:t>
      </w:r>
      <w:r w:rsidR="00516B0B" w:rsidRPr="004338BE">
        <w:rPr>
          <w:iCs/>
          <w:lang w:eastAsia="en-GB"/>
        </w:rPr>
        <w:t>Pt–</w:t>
      </w:r>
      <w:proofErr w:type="spellStart"/>
      <w:r w:rsidR="00516B0B" w:rsidRPr="004338BE">
        <w:rPr>
          <w:iCs/>
          <w:lang w:eastAsia="en-GB"/>
        </w:rPr>
        <w:t>CsPW</w:t>
      </w:r>
      <w:proofErr w:type="spellEnd"/>
      <w:r w:rsidR="00516B0B" w:rsidRPr="004338BE">
        <w:rPr>
          <w:iCs/>
          <w:lang w:eastAsia="en-GB"/>
        </w:rPr>
        <w:t xml:space="preserve"> deoxygenates DMTHF to n-hexane with &gt;99% selectivity under mild conditions</w:t>
      </w:r>
      <w:r w:rsidR="00516B0B" w:rsidRPr="004338BE">
        <w:t xml:space="preserve"> and a</w:t>
      </w:r>
      <w:r w:rsidR="009678AE" w:rsidRPr="004338BE">
        <w:t>n insight into reaction mechanism is</w:t>
      </w:r>
      <w:r w:rsidR="00340D2C" w:rsidRPr="004338BE">
        <w:t xml:space="preserve"> </w:t>
      </w:r>
      <w:r w:rsidR="009678AE" w:rsidRPr="004338BE">
        <w:t>gained</w:t>
      </w:r>
      <w:r w:rsidR="00DA14D7" w:rsidRPr="004338BE">
        <w:t xml:space="preserve"> from </w:t>
      </w:r>
      <w:r w:rsidR="009F74DE" w:rsidRPr="004338BE">
        <w:t xml:space="preserve">kinetic </w:t>
      </w:r>
      <w:r w:rsidR="00DA14D7" w:rsidRPr="004338BE">
        <w:t>investigation</w:t>
      </w:r>
      <w:r w:rsidR="00524870" w:rsidRPr="004338BE">
        <w:t>.</w:t>
      </w:r>
      <w:r w:rsidR="00D53994" w:rsidRPr="004338BE">
        <w:rPr>
          <w:iCs/>
          <w:lang w:eastAsia="en-GB"/>
        </w:rPr>
        <w:t xml:space="preserve"> </w:t>
      </w:r>
    </w:p>
    <w:p w14:paraId="313162EE" w14:textId="77777777" w:rsidR="003264CB" w:rsidRPr="004338BE" w:rsidRDefault="003264CB" w:rsidP="00625D32">
      <w:pPr>
        <w:pStyle w:val="RSCB02ArticleText"/>
        <w:spacing w:line="480" w:lineRule="auto"/>
        <w:rPr>
          <w:b/>
          <w:sz w:val="24"/>
          <w:szCs w:val="24"/>
        </w:rPr>
      </w:pPr>
    </w:p>
    <w:p w14:paraId="769E9597" w14:textId="0D131C4D" w:rsidR="00625D32" w:rsidRPr="004338BE" w:rsidRDefault="00625D32" w:rsidP="00625D32">
      <w:pPr>
        <w:pStyle w:val="RSCB02ArticleText"/>
        <w:spacing w:line="480" w:lineRule="auto"/>
        <w:rPr>
          <w:b/>
          <w:sz w:val="24"/>
          <w:szCs w:val="24"/>
        </w:rPr>
      </w:pPr>
      <w:r w:rsidRPr="004338BE">
        <w:rPr>
          <w:b/>
          <w:sz w:val="24"/>
          <w:szCs w:val="24"/>
        </w:rPr>
        <w:t>2. Experimental</w:t>
      </w:r>
    </w:p>
    <w:p w14:paraId="3CDDB5FF" w14:textId="77777777" w:rsidR="00625D32" w:rsidRPr="004338BE" w:rsidRDefault="00625D32" w:rsidP="00625D32">
      <w:pPr>
        <w:pStyle w:val="RSCB02ArticleText"/>
        <w:spacing w:line="480" w:lineRule="auto"/>
        <w:rPr>
          <w:i/>
          <w:sz w:val="24"/>
          <w:szCs w:val="24"/>
        </w:rPr>
      </w:pPr>
      <w:r w:rsidRPr="004338BE">
        <w:rPr>
          <w:i/>
          <w:sz w:val="24"/>
          <w:szCs w:val="24"/>
        </w:rPr>
        <w:t>2.1. Chemicals and catalysts</w:t>
      </w:r>
    </w:p>
    <w:p w14:paraId="209BC018" w14:textId="02C29B47" w:rsidR="00625D32" w:rsidRPr="004338BE" w:rsidRDefault="00625D32" w:rsidP="00625D32">
      <w:pPr>
        <w:pStyle w:val="RSCB02ArticleText"/>
        <w:spacing w:line="480" w:lineRule="auto"/>
        <w:ind w:firstLine="720"/>
        <w:rPr>
          <w:sz w:val="24"/>
          <w:szCs w:val="24"/>
        </w:rPr>
      </w:pPr>
      <w:r w:rsidRPr="004338BE">
        <w:rPr>
          <w:sz w:val="24"/>
          <w:szCs w:val="24"/>
        </w:rPr>
        <w:lastRenderedPageBreak/>
        <w:t>2,5-</w:t>
      </w:r>
      <w:r w:rsidR="004C6667" w:rsidRPr="004338BE">
        <w:rPr>
          <w:sz w:val="24"/>
          <w:szCs w:val="24"/>
        </w:rPr>
        <w:t>D</w:t>
      </w:r>
      <w:r w:rsidRPr="004338BE">
        <w:rPr>
          <w:sz w:val="24"/>
          <w:szCs w:val="24"/>
        </w:rPr>
        <w:t>imethyltetrahydrofuran (</w:t>
      </w:r>
      <w:r w:rsidRPr="004338BE">
        <w:rPr>
          <w:i/>
          <w:sz w:val="24"/>
          <w:szCs w:val="24"/>
        </w:rPr>
        <w:t>cis/trans</w:t>
      </w:r>
      <w:r w:rsidRPr="004338BE">
        <w:rPr>
          <w:sz w:val="24"/>
          <w:szCs w:val="24"/>
        </w:rPr>
        <w:t xml:space="preserve"> isomer mixture</w:t>
      </w:r>
      <w:r w:rsidR="00A103E9" w:rsidRPr="004338BE">
        <w:rPr>
          <w:sz w:val="24"/>
          <w:szCs w:val="24"/>
        </w:rPr>
        <w:t>, 96%</w:t>
      </w:r>
      <w:r w:rsidRPr="004338BE">
        <w:rPr>
          <w:sz w:val="24"/>
          <w:szCs w:val="24"/>
        </w:rPr>
        <w:t>), Cs</w:t>
      </w:r>
      <w:r w:rsidRPr="004338BE">
        <w:rPr>
          <w:sz w:val="24"/>
          <w:szCs w:val="24"/>
          <w:vertAlign w:val="subscript"/>
        </w:rPr>
        <w:t>2</w:t>
      </w:r>
      <w:r w:rsidRPr="004338BE">
        <w:rPr>
          <w:sz w:val="24"/>
          <w:szCs w:val="24"/>
        </w:rPr>
        <w:t>CO</w:t>
      </w:r>
      <w:r w:rsidRPr="004338BE">
        <w:rPr>
          <w:sz w:val="24"/>
          <w:szCs w:val="24"/>
          <w:vertAlign w:val="subscript"/>
        </w:rPr>
        <w:t>3</w:t>
      </w:r>
      <w:r w:rsidRPr="004338BE">
        <w:rPr>
          <w:sz w:val="24"/>
          <w:szCs w:val="24"/>
        </w:rPr>
        <w:t xml:space="preserve"> </w:t>
      </w:r>
      <w:r w:rsidR="00BD2A58" w:rsidRPr="004338BE">
        <w:rPr>
          <w:sz w:val="24"/>
          <w:szCs w:val="24"/>
        </w:rPr>
        <w:t xml:space="preserve">(99%) </w:t>
      </w:r>
      <w:r w:rsidRPr="004338BE">
        <w:rPr>
          <w:sz w:val="24"/>
          <w:szCs w:val="24"/>
        </w:rPr>
        <w:t>and H</w:t>
      </w:r>
      <w:r w:rsidRPr="004338BE">
        <w:rPr>
          <w:sz w:val="24"/>
          <w:szCs w:val="24"/>
          <w:vertAlign w:val="subscript"/>
        </w:rPr>
        <w:t>3</w:t>
      </w:r>
      <w:r w:rsidRPr="004338BE">
        <w:rPr>
          <w:sz w:val="24"/>
          <w:szCs w:val="24"/>
        </w:rPr>
        <w:t>PW</w:t>
      </w:r>
      <w:r w:rsidRPr="004338BE">
        <w:rPr>
          <w:sz w:val="24"/>
          <w:szCs w:val="24"/>
          <w:vertAlign w:val="subscript"/>
        </w:rPr>
        <w:t>12</w:t>
      </w:r>
      <w:r w:rsidRPr="004338BE">
        <w:rPr>
          <w:sz w:val="24"/>
          <w:szCs w:val="24"/>
        </w:rPr>
        <w:t>O</w:t>
      </w:r>
      <w:r w:rsidRPr="004338BE">
        <w:rPr>
          <w:sz w:val="24"/>
          <w:szCs w:val="24"/>
          <w:vertAlign w:val="subscript"/>
        </w:rPr>
        <w:t>40</w:t>
      </w:r>
      <w:r w:rsidR="00B158C4" w:rsidRPr="004338BE">
        <w:rPr>
          <w:sz w:val="24"/>
          <w:szCs w:val="24"/>
        </w:rPr>
        <w:t xml:space="preserve"> </w:t>
      </w:r>
      <w:r w:rsidRPr="004338BE">
        <w:rPr>
          <w:sz w:val="24"/>
          <w:szCs w:val="24"/>
        </w:rPr>
        <w:t xml:space="preserve">hydrate (99%) were purchased from Sigma-Aldrich. </w:t>
      </w:r>
      <w:r w:rsidR="00732605" w:rsidRPr="004338BE">
        <w:rPr>
          <w:sz w:val="24"/>
          <w:szCs w:val="24"/>
        </w:rPr>
        <w:t>1%Pt/γ-Al</w:t>
      </w:r>
      <w:r w:rsidR="00732605" w:rsidRPr="004338BE">
        <w:rPr>
          <w:sz w:val="24"/>
          <w:szCs w:val="24"/>
          <w:vertAlign w:val="subscript"/>
        </w:rPr>
        <w:t>2</w:t>
      </w:r>
      <w:r w:rsidR="00732605" w:rsidRPr="004338BE">
        <w:rPr>
          <w:sz w:val="24"/>
          <w:szCs w:val="24"/>
        </w:rPr>
        <w:t>O</w:t>
      </w:r>
      <w:r w:rsidR="00732605" w:rsidRPr="004338BE">
        <w:rPr>
          <w:sz w:val="24"/>
          <w:szCs w:val="24"/>
          <w:vertAlign w:val="subscript"/>
        </w:rPr>
        <w:t>3</w:t>
      </w:r>
      <w:r w:rsidR="00732605" w:rsidRPr="004338BE">
        <w:rPr>
          <w:sz w:val="24"/>
          <w:szCs w:val="24"/>
        </w:rPr>
        <w:t xml:space="preserve"> and c</w:t>
      </w:r>
      <w:r w:rsidRPr="004338BE">
        <w:rPr>
          <w:sz w:val="24"/>
          <w:szCs w:val="24"/>
        </w:rPr>
        <w:t>arbon-supported noble metal</w:t>
      </w:r>
      <w:r w:rsidR="00384E0D" w:rsidRPr="004338BE">
        <w:rPr>
          <w:sz w:val="24"/>
          <w:szCs w:val="24"/>
        </w:rPr>
        <w:t xml:space="preserve"> M/C</w:t>
      </w:r>
      <w:r w:rsidRPr="004338BE">
        <w:rPr>
          <w:sz w:val="24"/>
          <w:szCs w:val="24"/>
        </w:rPr>
        <w:t xml:space="preserve"> catalysts 9.6%Pt</w:t>
      </w:r>
      <w:r w:rsidR="003369D0" w:rsidRPr="004338BE">
        <w:rPr>
          <w:sz w:val="24"/>
          <w:szCs w:val="24"/>
        </w:rPr>
        <w:t>/C</w:t>
      </w:r>
      <w:r w:rsidR="009F74DE" w:rsidRPr="004338BE">
        <w:rPr>
          <w:sz w:val="24"/>
          <w:szCs w:val="24"/>
        </w:rPr>
        <w:t xml:space="preserve"> and</w:t>
      </w:r>
      <w:r w:rsidR="003369D0" w:rsidRPr="004338BE">
        <w:rPr>
          <w:sz w:val="24"/>
          <w:szCs w:val="24"/>
        </w:rPr>
        <w:t xml:space="preserve"> 7.8%Pd/C </w:t>
      </w:r>
      <w:r w:rsidRPr="004338BE">
        <w:rPr>
          <w:sz w:val="24"/>
          <w:szCs w:val="24"/>
        </w:rPr>
        <w:t xml:space="preserve">were from Sigma-Aldrich (the metal loading </w:t>
      </w:r>
      <w:r w:rsidR="00384E0D" w:rsidRPr="004338BE">
        <w:rPr>
          <w:sz w:val="24"/>
          <w:szCs w:val="24"/>
        </w:rPr>
        <w:t xml:space="preserve">in M/C catalysts </w:t>
      </w:r>
      <w:r w:rsidRPr="004338BE">
        <w:rPr>
          <w:sz w:val="24"/>
          <w:szCs w:val="24"/>
        </w:rPr>
        <w:t>determined in-house by ICP-</w:t>
      </w:r>
      <w:r w:rsidR="00732605" w:rsidRPr="004338BE">
        <w:rPr>
          <w:sz w:val="24"/>
          <w:szCs w:val="24"/>
        </w:rPr>
        <w:t>O</w:t>
      </w:r>
      <w:r w:rsidRPr="004338BE">
        <w:rPr>
          <w:sz w:val="24"/>
          <w:szCs w:val="24"/>
        </w:rPr>
        <w:t>ES analysis).</w:t>
      </w:r>
      <w:r w:rsidR="008D4223" w:rsidRPr="004338BE">
        <w:rPr>
          <w:sz w:val="24"/>
          <w:szCs w:val="24"/>
        </w:rPr>
        <w:t xml:space="preserve"> </w:t>
      </w:r>
      <w:r w:rsidR="00392DA4" w:rsidRPr="004338BE">
        <w:rPr>
          <w:sz w:val="24"/>
          <w:szCs w:val="24"/>
        </w:rPr>
        <w:t>Zeolite NH</w:t>
      </w:r>
      <w:r w:rsidR="00A847F9" w:rsidRPr="004338BE">
        <w:rPr>
          <w:sz w:val="24"/>
          <w:szCs w:val="24"/>
          <w:vertAlign w:val="subscript"/>
        </w:rPr>
        <w:t>4</w:t>
      </w:r>
      <w:r w:rsidR="00A847F9" w:rsidRPr="004338BE">
        <w:rPr>
          <w:sz w:val="24"/>
          <w:szCs w:val="24"/>
          <w:vertAlign w:val="superscript"/>
        </w:rPr>
        <w:t>+</w:t>
      </w:r>
      <w:r w:rsidR="00392DA4" w:rsidRPr="004338BE">
        <w:rPr>
          <w:sz w:val="24"/>
          <w:szCs w:val="24"/>
        </w:rPr>
        <w:t xml:space="preserve">-ZSM-5 (Si/Al = </w:t>
      </w:r>
      <w:r w:rsidR="00A847F9" w:rsidRPr="004338BE">
        <w:rPr>
          <w:sz w:val="24"/>
          <w:szCs w:val="24"/>
        </w:rPr>
        <w:t>47</w:t>
      </w:r>
      <w:r w:rsidR="00392DA4" w:rsidRPr="004338BE">
        <w:rPr>
          <w:sz w:val="24"/>
          <w:szCs w:val="24"/>
        </w:rPr>
        <w:t>)</w:t>
      </w:r>
      <w:r w:rsidR="00F85A8E" w:rsidRPr="004338BE">
        <w:rPr>
          <w:sz w:val="24"/>
          <w:szCs w:val="24"/>
        </w:rPr>
        <w:t xml:space="preserve"> </w:t>
      </w:r>
      <w:r w:rsidR="00392DA4" w:rsidRPr="004338BE">
        <w:rPr>
          <w:sz w:val="24"/>
          <w:szCs w:val="24"/>
        </w:rPr>
        <w:t>w</w:t>
      </w:r>
      <w:r w:rsidR="002E77F0" w:rsidRPr="004338BE">
        <w:rPr>
          <w:sz w:val="24"/>
          <w:szCs w:val="24"/>
        </w:rPr>
        <w:t>as</w:t>
      </w:r>
      <w:r w:rsidR="00392DA4" w:rsidRPr="004338BE">
        <w:rPr>
          <w:sz w:val="24"/>
          <w:szCs w:val="24"/>
        </w:rPr>
        <w:t xml:space="preserve"> from </w:t>
      </w:r>
      <w:proofErr w:type="spellStart"/>
      <w:r w:rsidR="00392DA4" w:rsidRPr="004338BE">
        <w:rPr>
          <w:sz w:val="24"/>
          <w:szCs w:val="24"/>
        </w:rPr>
        <w:t>Zeolyst</w:t>
      </w:r>
      <w:proofErr w:type="spellEnd"/>
      <w:r w:rsidR="00392DA4" w:rsidRPr="004338BE">
        <w:rPr>
          <w:sz w:val="24"/>
          <w:szCs w:val="24"/>
        </w:rPr>
        <w:t xml:space="preserve"> International. </w:t>
      </w:r>
      <w:r w:rsidR="002E77F0" w:rsidRPr="004338BE">
        <w:rPr>
          <w:sz w:val="24"/>
          <w:szCs w:val="24"/>
        </w:rPr>
        <w:t>It</w:t>
      </w:r>
      <w:r w:rsidR="00392DA4" w:rsidRPr="004338BE">
        <w:rPr>
          <w:sz w:val="24"/>
          <w:szCs w:val="24"/>
        </w:rPr>
        <w:t xml:space="preserve"> w</w:t>
      </w:r>
      <w:r w:rsidR="002E77F0" w:rsidRPr="004338BE">
        <w:rPr>
          <w:sz w:val="24"/>
          <w:szCs w:val="24"/>
        </w:rPr>
        <w:t>as</w:t>
      </w:r>
      <w:r w:rsidR="00392DA4" w:rsidRPr="004338BE">
        <w:rPr>
          <w:sz w:val="24"/>
          <w:szCs w:val="24"/>
        </w:rPr>
        <w:t xml:space="preserve"> converted into the H</w:t>
      </w:r>
      <w:r w:rsidR="00392DA4" w:rsidRPr="004338BE">
        <w:rPr>
          <w:sz w:val="24"/>
          <w:szCs w:val="24"/>
          <w:vertAlign w:val="superscript"/>
        </w:rPr>
        <w:t>+</w:t>
      </w:r>
      <w:r w:rsidR="00392DA4" w:rsidRPr="004338BE">
        <w:rPr>
          <w:sz w:val="24"/>
          <w:szCs w:val="24"/>
        </w:rPr>
        <w:t xml:space="preserve"> form by air calcination at 500 </w:t>
      </w:r>
      <w:proofErr w:type="spellStart"/>
      <w:r w:rsidR="00392DA4" w:rsidRPr="004338BE">
        <w:rPr>
          <w:sz w:val="24"/>
          <w:szCs w:val="24"/>
          <w:vertAlign w:val="superscript"/>
        </w:rPr>
        <w:t>o</w:t>
      </w:r>
      <w:r w:rsidR="00392DA4" w:rsidRPr="004338BE">
        <w:rPr>
          <w:sz w:val="24"/>
          <w:szCs w:val="24"/>
        </w:rPr>
        <w:t>C</w:t>
      </w:r>
      <w:proofErr w:type="spellEnd"/>
      <w:r w:rsidR="00392DA4" w:rsidRPr="004338BE">
        <w:rPr>
          <w:sz w:val="24"/>
          <w:szCs w:val="24"/>
        </w:rPr>
        <w:t xml:space="preserve"> for 6 h</w:t>
      </w:r>
      <w:r w:rsidR="000B552D" w:rsidRPr="004338BE">
        <w:rPr>
          <w:sz w:val="24"/>
          <w:szCs w:val="24"/>
        </w:rPr>
        <w:t>.</w:t>
      </w:r>
      <w:r w:rsidR="00E06E1E" w:rsidRPr="004338BE">
        <w:rPr>
          <w:sz w:val="24"/>
          <w:szCs w:val="24"/>
        </w:rPr>
        <w:t xml:space="preserve"> </w:t>
      </w:r>
      <w:r w:rsidR="000B552D" w:rsidRPr="004338BE">
        <w:rPr>
          <w:sz w:val="24"/>
          <w:szCs w:val="24"/>
        </w:rPr>
        <w:t>H</w:t>
      </w:r>
      <w:r w:rsidR="003900B3" w:rsidRPr="004338BE">
        <w:rPr>
          <w:sz w:val="24"/>
          <w:szCs w:val="24"/>
        </w:rPr>
        <w:t>ereinafter</w:t>
      </w:r>
      <w:r w:rsidR="000B552D" w:rsidRPr="004338BE">
        <w:rPr>
          <w:sz w:val="24"/>
          <w:szCs w:val="24"/>
        </w:rPr>
        <w:t xml:space="preserve"> the H</w:t>
      </w:r>
      <w:r w:rsidR="000B552D" w:rsidRPr="004338BE">
        <w:rPr>
          <w:sz w:val="24"/>
          <w:szCs w:val="24"/>
          <w:vertAlign w:val="superscript"/>
        </w:rPr>
        <w:t>+</w:t>
      </w:r>
      <w:r w:rsidR="000B552D" w:rsidRPr="004338BE">
        <w:rPr>
          <w:sz w:val="24"/>
          <w:szCs w:val="24"/>
        </w:rPr>
        <w:t xml:space="preserve"> form </w:t>
      </w:r>
      <w:r w:rsidR="002E77F0" w:rsidRPr="004338BE">
        <w:rPr>
          <w:sz w:val="24"/>
          <w:szCs w:val="24"/>
        </w:rPr>
        <w:t>is</w:t>
      </w:r>
      <w:r w:rsidR="003900B3" w:rsidRPr="004338BE">
        <w:rPr>
          <w:sz w:val="24"/>
          <w:szCs w:val="24"/>
        </w:rPr>
        <w:t xml:space="preserve"> designated HZSM</w:t>
      </w:r>
      <w:r w:rsidR="00F85A8E" w:rsidRPr="004338BE">
        <w:rPr>
          <w:sz w:val="24"/>
          <w:szCs w:val="24"/>
        </w:rPr>
        <w:t>-5</w:t>
      </w:r>
      <w:r w:rsidR="003900B3" w:rsidRPr="004338BE">
        <w:rPr>
          <w:sz w:val="24"/>
          <w:szCs w:val="24"/>
        </w:rPr>
        <w:t>-</w:t>
      </w:r>
      <w:r w:rsidR="00F85A8E" w:rsidRPr="004338BE">
        <w:rPr>
          <w:sz w:val="24"/>
          <w:szCs w:val="24"/>
        </w:rPr>
        <w:t>47</w:t>
      </w:r>
      <w:r w:rsidR="003900B3" w:rsidRPr="004338BE">
        <w:rPr>
          <w:sz w:val="24"/>
          <w:szCs w:val="24"/>
        </w:rPr>
        <w:t>.</w:t>
      </w:r>
      <w:r w:rsidR="00696134" w:rsidRPr="004338BE">
        <w:rPr>
          <w:sz w:val="24"/>
          <w:szCs w:val="24"/>
        </w:rPr>
        <w:t xml:space="preserve"> Commer</w:t>
      </w:r>
      <w:r w:rsidR="00477AF1" w:rsidRPr="004338BE">
        <w:rPr>
          <w:sz w:val="24"/>
          <w:szCs w:val="24"/>
        </w:rPr>
        <w:t>c</w:t>
      </w:r>
      <w:r w:rsidR="00696134" w:rsidRPr="004338BE">
        <w:rPr>
          <w:sz w:val="24"/>
          <w:szCs w:val="24"/>
        </w:rPr>
        <w:t xml:space="preserve">ial </w:t>
      </w:r>
      <w:proofErr w:type="spellStart"/>
      <w:r w:rsidR="00696134" w:rsidRPr="004338BE">
        <w:rPr>
          <w:sz w:val="24"/>
          <w:szCs w:val="24"/>
        </w:rPr>
        <w:t>Aerosil</w:t>
      </w:r>
      <w:proofErr w:type="spellEnd"/>
      <w:r w:rsidR="00696134" w:rsidRPr="004338BE">
        <w:rPr>
          <w:sz w:val="24"/>
          <w:szCs w:val="24"/>
        </w:rPr>
        <w:t xml:space="preserve"> 300 silica support (</w:t>
      </w:r>
      <w:r w:rsidR="00696134" w:rsidRPr="004338BE">
        <w:rPr>
          <w:i/>
          <w:sz w:val="24"/>
          <w:szCs w:val="24"/>
        </w:rPr>
        <w:t>S</w:t>
      </w:r>
      <w:r w:rsidR="00696134" w:rsidRPr="004338BE">
        <w:rPr>
          <w:sz w:val="24"/>
          <w:szCs w:val="24"/>
          <w:vertAlign w:val="subscript"/>
        </w:rPr>
        <w:t>BET</w:t>
      </w:r>
      <w:r w:rsidR="00696134" w:rsidRPr="004338BE">
        <w:rPr>
          <w:sz w:val="24"/>
          <w:szCs w:val="24"/>
        </w:rPr>
        <w:t xml:space="preserve"> ≈ 300 m</w:t>
      </w:r>
      <w:r w:rsidR="00696134" w:rsidRPr="004338BE">
        <w:rPr>
          <w:sz w:val="24"/>
          <w:szCs w:val="24"/>
          <w:vertAlign w:val="superscript"/>
        </w:rPr>
        <w:t>2</w:t>
      </w:r>
      <w:r w:rsidR="00696134" w:rsidRPr="004338BE">
        <w:rPr>
          <w:sz w:val="24"/>
          <w:szCs w:val="24"/>
        </w:rPr>
        <w:t>g</w:t>
      </w:r>
      <w:r w:rsidR="00696134" w:rsidRPr="004338BE">
        <w:rPr>
          <w:sz w:val="24"/>
          <w:szCs w:val="24"/>
          <w:vertAlign w:val="superscript"/>
        </w:rPr>
        <w:t>-1</w:t>
      </w:r>
      <w:r w:rsidR="00696134" w:rsidRPr="004338BE">
        <w:rPr>
          <w:sz w:val="24"/>
          <w:szCs w:val="24"/>
        </w:rPr>
        <w:t>) was from Degussa.</w:t>
      </w:r>
      <w:r w:rsidR="00392DA4" w:rsidRPr="004338BE">
        <w:rPr>
          <w:sz w:val="24"/>
          <w:szCs w:val="24"/>
        </w:rPr>
        <w:t xml:space="preserve"> </w:t>
      </w:r>
      <w:r w:rsidRPr="004338BE">
        <w:rPr>
          <w:sz w:val="24"/>
          <w:szCs w:val="24"/>
        </w:rPr>
        <w:t>H</w:t>
      </w:r>
      <w:r w:rsidRPr="004338BE">
        <w:rPr>
          <w:sz w:val="24"/>
          <w:szCs w:val="24"/>
          <w:vertAlign w:val="subscript"/>
        </w:rPr>
        <w:t>2</w:t>
      </w:r>
      <w:r w:rsidRPr="004338BE">
        <w:rPr>
          <w:sz w:val="24"/>
          <w:szCs w:val="24"/>
        </w:rPr>
        <w:t xml:space="preserve"> (&gt;99%) w</w:t>
      </w:r>
      <w:r w:rsidR="00CB0C5F" w:rsidRPr="004338BE">
        <w:rPr>
          <w:sz w:val="24"/>
          <w:szCs w:val="24"/>
        </w:rPr>
        <w:t>as</w:t>
      </w:r>
      <w:r w:rsidRPr="004338BE">
        <w:rPr>
          <w:sz w:val="24"/>
          <w:szCs w:val="24"/>
        </w:rPr>
        <w:t xml:space="preserve"> supplied by the British Oxygen Company.</w:t>
      </w:r>
    </w:p>
    <w:p w14:paraId="01A5E253" w14:textId="4A2CDDFC" w:rsidR="00E61958" w:rsidRPr="004338BE" w:rsidRDefault="00625D32" w:rsidP="00E61958">
      <w:pPr>
        <w:pStyle w:val="RSCB02ArticleText"/>
        <w:spacing w:line="480" w:lineRule="auto"/>
        <w:ind w:firstLine="720"/>
        <w:rPr>
          <w:sz w:val="24"/>
          <w:szCs w:val="24"/>
        </w:rPr>
      </w:pPr>
      <w:r w:rsidRPr="004338BE">
        <w:rPr>
          <w:sz w:val="24"/>
          <w:szCs w:val="24"/>
        </w:rPr>
        <w:t>Cs</w:t>
      </w:r>
      <w:r w:rsidRPr="004338BE">
        <w:rPr>
          <w:sz w:val="24"/>
          <w:szCs w:val="24"/>
          <w:vertAlign w:val="subscript"/>
        </w:rPr>
        <w:t>2.5</w:t>
      </w:r>
      <w:r w:rsidRPr="004338BE">
        <w:rPr>
          <w:sz w:val="24"/>
          <w:szCs w:val="24"/>
        </w:rPr>
        <w:t>H</w:t>
      </w:r>
      <w:r w:rsidRPr="004338BE">
        <w:rPr>
          <w:sz w:val="24"/>
          <w:szCs w:val="24"/>
          <w:vertAlign w:val="subscript"/>
        </w:rPr>
        <w:t>0.5</w:t>
      </w:r>
      <w:r w:rsidRPr="004338BE">
        <w:rPr>
          <w:sz w:val="24"/>
          <w:szCs w:val="24"/>
        </w:rPr>
        <w:t>PW</w:t>
      </w:r>
      <w:r w:rsidRPr="004338BE">
        <w:rPr>
          <w:sz w:val="24"/>
          <w:szCs w:val="24"/>
          <w:vertAlign w:val="subscript"/>
        </w:rPr>
        <w:t>12</w:t>
      </w:r>
      <w:r w:rsidRPr="004338BE">
        <w:rPr>
          <w:sz w:val="24"/>
          <w:szCs w:val="24"/>
        </w:rPr>
        <w:t>O</w:t>
      </w:r>
      <w:r w:rsidRPr="004338BE">
        <w:rPr>
          <w:sz w:val="24"/>
          <w:szCs w:val="24"/>
          <w:vertAlign w:val="subscript"/>
        </w:rPr>
        <w:t>40</w:t>
      </w:r>
      <w:r w:rsidRPr="004338BE">
        <w:rPr>
          <w:sz w:val="24"/>
          <w:szCs w:val="24"/>
        </w:rPr>
        <w:t xml:space="preserve"> (</w:t>
      </w:r>
      <w:proofErr w:type="spellStart"/>
      <w:r w:rsidRPr="004338BE">
        <w:rPr>
          <w:sz w:val="24"/>
          <w:szCs w:val="24"/>
        </w:rPr>
        <w:t>CsPW</w:t>
      </w:r>
      <w:proofErr w:type="spellEnd"/>
      <w:r w:rsidRPr="004338BE">
        <w:rPr>
          <w:sz w:val="24"/>
          <w:szCs w:val="24"/>
        </w:rPr>
        <w:t>) was prepared according to the literature procedure</w:t>
      </w:r>
      <w:r w:rsidR="0041491D" w:rsidRPr="004338BE">
        <w:rPr>
          <w:sz w:val="24"/>
          <w:szCs w:val="24"/>
        </w:rPr>
        <w:t xml:space="preserve"> [</w:t>
      </w:r>
      <w:r w:rsidR="006B6438" w:rsidRPr="004338BE">
        <w:rPr>
          <w:sz w:val="24"/>
          <w:szCs w:val="24"/>
        </w:rPr>
        <w:t>2</w:t>
      </w:r>
      <w:r w:rsidR="00C6343B" w:rsidRPr="004338BE">
        <w:rPr>
          <w:sz w:val="24"/>
          <w:szCs w:val="24"/>
        </w:rPr>
        <w:t>6</w:t>
      </w:r>
      <w:r w:rsidR="0077550E" w:rsidRPr="004338BE">
        <w:rPr>
          <w:sz w:val="24"/>
          <w:szCs w:val="24"/>
        </w:rPr>
        <w:t>]</w:t>
      </w:r>
      <w:r w:rsidRPr="004338BE">
        <w:rPr>
          <w:sz w:val="24"/>
          <w:szCs w:val="24"/>
        </w:rPr>
        <w:t xml:space="preserve"> by adding drop-wise the required amount of </w:t>
      </w:r>
      <w:r w:rsidR="000B552D" w:rsidRPr="004338BE">
        <w:rPr>
          <w:sz w:val="24"/>
          <w:szCs w:val="24"/>
        </w:rPr>
        <w:t xml:space="preserve">an </w:t>
      </w:r>
      <w:r w:rsidRPr="004338BE">
        <w:rPr>
          <w:sz w:val="24"/>
          <w:szCs w:val="24"/>
        </w:rPr>
        <w:t xml:space="preserve">aqueous solution of </w:t>
      </w:r>
      <w:r w:rsidR="00B9124C" w:rsidRPr="004338BE">
        <w:rPr>
          <w:sz w:val="24"/>
          <w:szCs w:val="24"/>
        </w:rPr>
        <w:t>Cs</w:t>
      </w:r>
      <w:r w:rsidR="00B9124C" w:rsidRPr="004338BE">
        <w:rPr>
          <w:sz w:val="24"/>
          <w:szCs w:val="24"/>
          <w:vertAlign w:val="subscript"/>
        </w:rPr>
        <w:t>2</w:t>
      </w:r>
      <w:r w:rsidR="00B9124C" w:rsidRPr="004338BE">
        <w:rPr>
          <w:sz w:val="24"/>
          <w:szCs w:val="24"/>
        </w:rPr>
        <w:t>CO</w:t>
      </w:r>
      <w:r w:rsidR="00B9124C" w:rsidRPr="004338BE">
        <w:rPr>
          <w:sz w:val="24"/>
          <w:szCs w:val="24"/>
          <w:vertAlign w:val="subscript"/>
        </w:rPr>
        <w:t>3</w:t>
      </w:r>
      <w:r w:rsidRPr="004338BE">
        <w:rPr>
          <w:sz w:val="24"/>
          <w:szCs w:val="24"/>
        </w:rPr>
        <w:t xml:space="preserve"> to </w:t>
      </w:r>
      <w:r w:rsidR="000B552D" w:rsidRPr="004338BE">
        <w:rPr>
          <w:sz w:val="24"/>
          <w:szCs w:val="24"/>
        </w:rPr>
        <w:t xml:space="preserve">an </w:t>
      </w:r>
      <w:r w:rsidRPr="004338BE">
        <w:rPr>
          <w:sz w:val="24"/>
          <w:szCs w:val="24"/>
        </w:rPr>
        <w:t>aqueous solution of H</w:t>
      </w:r>
      <w:r w:rsidRPr="004338BE">
        <w:rPr>
          <w:sz w:val="24"/>
          <w:szCs w:val="24"/>
          <w:vertAlign w:val="subscript"/>
        </w:rPr>
        <w:t>3</w:t>
      </w:r>
      <w:r w:rsidRPr="004338BE">
        <w:rPr>
          <w:sz w:val="24"/>
          <w:szCs w:val="24"/>
        </w:rPr>
        <w:t>PW</w:t>
      </w:r>
      <w:r w:rsidRPr="004338BE">
        <w:rPr>
          <w:sz w:val="24"/>
          <w:szCs w:val="24"/>
          <w:vertAlign w:val="subscript"/>
        </w:rPr>
        <w:t>12</w:t>
      </w:r>
      <w:r w:rsidRPr="004338BE">
        <w:rPr>
          <w:sz w:val="24"/>
          <w:szCs w:val="24"/>
        </w:rPr>
        <w:t>O</w:t>
      </w:r>
      <w:r w:rsidRPr="004338BE">
        <w:rPr>
          <w:sz w:val="24"/>
          <w:szCs w:val="24"/>
          <w:vertAlign w:val="subscript"/>
        </w:rPr>
        <w:t>40</w:t>
      </w:r>
      <w:r w:rsidRPr="004338BE">
        <w:rPr>
          <w:sz w:val="24"/>
          <w:szCs w:val="24"/>
        </w:rPr>
        <w:t xml:space="preserve"> to afford </w:t>
      </w:r>
      <w:proofErr w:type="spellStart"/>
      <w:r w:rsidRPr="004338BE">
        <w:rPr>
          <w:sz w:val="24"/>
          <w:szCs w:val="24"/>
        </w:rPr>
        <w:t>CsPW</w:t>
      </w:r>
      <w:proofErr w:type="spellEnd"/>
      <w:r w:rsidRPr="004338BE">
        <w:rPr>
          <w:sz w:val="24"/>
          <w:szCs w:val="24"/>
        </w:rPr>
        <w:t xml:space="preserve"> as a white precipitate</w:t>
      </w:r>
      <w:r w:rsidR="00FE5837" w:rsidRPr="004338BE">
        <w:rPr>
          <w:sz w:val="24"/>
          <w:szCs w:val="24"/>
        </w:rPr>
        <w:t>, which</w:t>
      </w:r>
      <w:r w:rsidRPr="004338BE">
        <w:rPr>
          <w:sz w:val="24"/>
          <w:szCs w:val="24"/>
        </w:rPr>
        <w:t xml:space="preserve"> was isolated</w:t>
      </w:r>
      <w:r w:rsidR="00A122FD" w:rsidRPr="004338BE">
        <w:rPr>
          <w:sz w:val="24"/>
          <w:szCs w:val="24"/>
        </w:rPr>
        <w:t>,</w:t>
      </w:r>
      <w:r w:rsidRPr="004338BE">
        <w:rPr>
          <w:sz w:val="24"/>
          <w:szCs w:val="24"/>
        </w:rPr>
        <w:t xml:space="preserve"> dried at 150 </w:t>
      </w:r>
      <w:proofErr w:type="spellStart"/>
      <w:r w:rsidRPr="004338BE">
        <w:rPr>
          <w:sz w:val="24"/>
          <w:szCs w:val="24"/>
          <w:vertAlign w:val="superscript"/>
        </w:rPr>
        <w:t>o</w:t>
      </w:r>
      <w:r w:rsidRPr="004338BE">
        <w:rPr>
          <w:sz w:val="24"/>
          <w:szCs w:val="24"/>
        </w:rPr>
        <w:t>C</w:t>
      </w:r>
      <w:proofErr w:type="spellEnd"/>
      <w:r w:rsidRPr="004338BE">
        <w:rPr>
          <w:sz w:val="24"/>
          <w:szCs w:val="24"/>
        </w:rPr>
        <w:t>/10</w:t>
      </w:r>
      <w:r w:rsidRPr="004338BE">
        <w:rPr>
          <w:sz w:val="24"/>
          <w:szCs w:val="24"/>
          <w:vertAlign w:val="superscript"/>
        </w:rPr>
        <w:t>-3</w:t>
      </w:r>
      <w:r w:rsidRPr="004338BE">
        <w:rPr>
          <w:sz w:val="24"/>
          <w:szCs w:val="24"/>
        </w:rPr>
        <w:t xml:space="preserve"> kPa for 1.5 h</w:t>
      </w:r>
      <w:r w:rsidR="00A122FD" w:rsidRPr="004338BE">
        <w:rPr>
          <w:sz w:val="24"/>
          <w:szCs w:val="24"/>
        </w:rPr>
        <w:t xml:space="preserve"> and ground to 45–180 </w:t>
      </w:r>
      <w:proofErr w:type="spellStart"/>
      <w:r w:rsidR="00A122FD" w:rsidRPr="004338BE">
        <w:rPr>
          <w:sz w:val="24"/>
          <w:szCs w:val="24"/>
        </w:rPr>
        <w:t>μm</w:t>
      </w:r>
      <w:proofErr w:type="spellEnd"/>
      <w:r w:rsidR="00A122FD" w:rsidRPr="004338BE">
        <w:rPr>
          <w:sz w:val="24"/>
          <w:szCs w:val="24"/>
        </w:rPr>
        <w:t xml:space="preserve"> particle size</w:t>
      </w:r>
      <w:r w:rsidRPr="004338BE">
        <w:rPr>
          <w:sz w:val="24"/>
          <w:szCs w:val="24"/>
        </w:rPr>
        <w:t>.</w:t>
      </w:r>
      <w:r w:rsidR="000D7D23" w:rsidRPr="004338BE">
        <w:rPr>
          <w:sz w:val="24"/>
          <w:szCs w:val="24"/>
        </w:rPr>
        <w:t xml:space="preserve"> </w:t>
      </w:r>
      <w:r w:rsidR="00B96C63" w:rsidRPr="004338BE">
        <w:rPr>
          <w:sz w:val="24"/>
          <w:szCs w:val="24"/>
        </w:rPr>
        <w:t>6.4%Pt/SiO</w:t>
      </w:r>
      <w:r w:rsidR="00B96C63" w:rsidRPr="004338BE">
        <w:rPr>
          <w:sz w:val="24"/>
          <w:szCs w:val="24"/>
          <w:vertAlign w:val="subscript"/>
        </w:rPr>
        <w:t>2</w:t>
      </w:r>
      <w:r w:rsidR="00B96C63" w:rsidRPr="004338BE">
        <w:rPr>
          <w:sz w:val="24"/>
          <w:szCs w:val="24"/>
        </w:rPr>
        <w:t xml:space="preserve"> catalyst was prepared by wet impregnation of </w:t>
      </w:r>
      <w:proofErr w:type="spellStart"/>
      <w:r w:rsidR="00B96C63" w:rsidRPr="004338BE">
        <w:rPr>
          <w:sz w:val="24"/>
          <w:szCs w:val="24"/>
        </w:rPr>
        <w:t>Aerosil</w:t>
      </w:r>
      <w:proofErr w:type="spellEnd"/>
      <w:r w:rsidR="00B96C63" w:rsidRPr="004338BE">
        <w:rPr>
          <w:sz w:val="24"/>
          <w:szCs w:val="24"/>
        </w:rPr>
        <w:t xml:space="preserve"> 300 silica with an aqueous solution of H</w:t>
      </w:r>
      <w:r w:rsidR="00B96C63" w:rsidRPr="004338BE">
        <w:rPr>
          <w:sz w:val="24"/>
          <w:szCs w:val="24"/>
          <w:vertAlign w:val="subscript"/>
        </w:rPr>
        <w:t>2</w:t>
      </w:r>
      <w:r w:rsidR="00B96C63" w:rsidRPr="004338BE">
        <w:rPr>
          <w:sz w:val="24"/>
          <w:szCs w:val="24"/>
        </w:rPr>
        <w:t>PtCl</w:t>
      </w:r>
      <w:r w:rsidR="00B96C63" w:rsidRPr="004338BE">
        <w:rPr>
          <w:sz w:val="24"/>
          <w:szCs w:val="24"/>
          <w:vertAlign w:val="subscript"/>
        </w:rPr>
        <w:t>6</w:t>
      </w:r>
      <w:r w:rsidR="00540AB2" w:rsidRPr="004338BE">
        <w:rPr>
          <w:sz w:val="24"/>
          <w:szCs w:val="24"/>
        </w:rPr>
        <w:t>.</w:t>
      </w:r>
      <w:r w:rsidR="00BD2A58" w:rsidRPr="004338BE">
        <w:rPr>
          <w:sz w:val="24"/>
          <w:szCs w:val="24"/>
        </w:rPr>
        <w:t xml:space="preserve"> The mixture was stirred</w:t>
      </w:r>
      <w:r w:rsidR="00B96C63" w:rsidRPr="004338BE">
        <w:rPr>
          <w:sz w:val="24"/>
          <w:szCs w:val="24"/>
        </w:rPr>
        <w:t xml:space="preserve"> at 50 </w:t>
      </w:r>
      <w:proofErr w:type="spellStart"/>
      <w:r w:rsidR="00B96C63" w:rsidRPr="004338BE">
        <w:rPr>
          <w:sz w:val="24"/>
          <w:szCs w:val="24"/>
          <w:vertAlign w:val="superscript"/>
        </w:rPr>
        <w:t>o</w:t>
      </w:r>
      <w:r w:rsidR="00B96C63" w:rsidRPr="004338BE">
        <w:rPr>
          <w:sz w:val="24"/>
          <w:szCs w:val="24"/>
        </w:rPr>
        <w:t>C</w:t>
      </w:r>
      <w:proofErr w:type="spellEnd"/>
      <w:r w:rsidR="00B96C63" w:rsidRPr="004338BE">
        <w:rPr>
          <w:sz w:val="24"/>
          <w:szCs w:val="24"/>
        </w:rPr>
        <w:t xml:space="preserve"> for 2 h followed by rotary evaporation to dryness and reduction with H</w:t>
      </w:r>
      <w:r w:rsidR="00B96C63" w:rsidRPr="004338BE">
        <w:rPr>
          <w:sz w:val="24"/>
          <w:szCs w:val="24"/>
          <w:vertAlign w:val="subscript"/>
        </w:rPr>
        <w:t>2</w:t>
      </w:r>
      <w:r w:rsidR="00B96C63" w:rsidRPr="004338BE">
        <w:rPr>
          <w:sz w:val="24"/>
          <w:szCs w:val="24"/>
        </w:rPr>
        <w:t xml:space="preserve"> flow at 250 </w:t>
      </w:r>
      <w:proofErr w:type="spellStart"/>
      <w:r w:rsidR="00B96C63" w:rsidRPr="004338BE">
        <w:rPr>
          <w:sz w:val="24"/>
          <w:szCs w:val="24"/>
          <w:vertAlign w:val="superscript"/>
        </w:rPr>
        <w:t>o</w:t>
      </w:r>
      <w:r w:rsidR="00B96C63" w:rsidRPr="004338BE">
        <w:rPr>
          <w:sz w:val="24"/>
          <w:szCs w:val="24"/>
        </w:rPr>
        <w:t>C</w:t>
      </w:r>
      <w:proofErr w:type="spellEnd"/>
      <w:r w:rsidR="00B96C63" w:rsidRPr="004338BE">
        <w:rPr>
          <w:sz w:val="24"/>
          <w:szCs w:val="24"/>
        </w:rPr>
        <w:t xml:space="preserve"> for 2 h. </w:t>
      </w:r>
      <w:r w:rsidR="00E61958" w:rsidRPr="004338BE">
        <w:rPr>
          <w:sz w:val="24"/>
          <w:szCs w:val="24"/>
        </w:rPr>
        <w:t xml:space="preserve">Physically mixed metal-acid bifunctional catalysts M/C + </w:t>
      </w:r>
      <w:proofErr w:type="spellStart"/>
      <w:r w:rsidR="00E61958" w:rsidRPr="004338BE">
        <w:rPr>
          <w:sz w:val="24"/>
          <w:szCs w:val="24"/>
        </w:rPr>
        <w:t>CsPW</w:t>
      </w:r>
      <w:proofErr w:type="spellEnd"/>
      <w:r w:rsidR="00E61958" w:rsidRPr="004338BE">
        <w:rPr>
          <w:sz w:val="24"/>
          <w:szCs w:val="24"/>
        </w:rPr>
        <w:t xml:space="preserve"> (M = Pt</w:t>
      </w:r>
      <w:r w:rsidR="00DE3AF8" w:rsidRPr="004338BE">
        <w:rPr>
          <w:sz w:val="24"/>
          <w:szCs w:val="24"/>
        </w:rPr>
        <w:t xml:space="preserve"> and</w:t>
      </w:r>
      <w:r w:rsidR="00E61958" w:rsidRPr="004338BE">
        <w:rPr>
          <w:sz w:val="24"/>
          <w:szCs w:val="24"/>
        </w:rPr>
        <w:t xml:space="preserve"> Pd)</w:t>
      </w:r>
      <w:r w:rsidR="000B552D" w:rsidRPr="004338BE">
        <w:rPr>
          <w:sz w:val="24"/>
          <w:szCs w:val="24"/>
        </w:rPr>
        <w:t xml:space="preserve"> and</w:t>
      </w:r>
      <w:r w:rsidR="00630CD1" w:rsidRPr="004338BE">
        <w:rPr>
          <w:sz w:val="24"/>
          <w:szCs w:val="24"/>
        </w:rPr>
        <w:t xml:space="preserve"> Pt/C + zeolite</w:t>
      </w:r>
      <w:r w:rsidR="00540AB2" w:rsidRPr="004338BE">
        <w:rPr>
          <w:sz w:val="24"/>
          <w:szCs w:val="24"/>
        </w:rPr>
        <w:t xml:space="preserve"> </w:t>
      </w:r>
      <w:proofErr w:type="gramStart"/>
      <w:r w:rsidR="00E61958" w:rsidRPr="004338BE">
        <w:rPr>
          <w:sz w:val="24"/>
          <w:szCs w:val="24"/>
        </w:rPr>
        <w:t>were</w:t>
      </w:r>
      <w:proofErr w:type="gramEnd"/>
      <w:r w:rsidR="00E61958" w:rsidRPr="004338BE">
        <w:rPr>
          <w:sz w:val="24"/>
          <w:szCs w:val="24"/>
        </w:rPr>
        <w:t xml:space="preserve"> prepared by grinding a mixture of the corresponding components. Information about the catalysts prepared is</w:t>
      </w:r>
      <w:r w:rsidR="004C3F9F" w:rsidRPr="004338BE">
        <w:rPr>
          <w:sz w:val="24"/>
          <w:szCs w:val="24"/>
        </w:rPr>
        <w:t xml:space="preserve"> presented</w:t>
      </w:r>
      <w:r w:rsidR="00E61958" w:rsidRPr="004338BE">
        <w:rPr>
          <w:sz w:val="24"/>
          <w:szCs w:val="24"/>
        </w:rPr>
        <w:t xml:space="preserve"> in Table 1.</w:t>
      </w:r>
    </w:p>
    <w:p w14:paraId="07206A97" w14:textId="77777777" w:rsidR="00E61958" w:rsidRPr="004338BE" w:rsidRDefault="00E61958" w:rsidP="00FE2413">
      <w:pPr>
        <w:jc w:val="both"/>
      </w:pPr>
    </w:p>
    <w:p w14:paraId="740B4A90" w14:textId="77777777" w:rsidR="00563CF1" w:rsidRPr="004338BE" w:rsidRDefault="00563CF1" w:rsidP="006F2B8B">
      <w:pPr>
        <w:spacing w:after="0" w:line="480" w:lineRule="auto"/>
        <w:jc w:val="both"/>
        <w:rPr>
          <w:i/>
        </w:rPr>
      </w:pPr>
      <w:r w:rsidRPr="004338BE">
        <w:rPr>
          <w:i/>
        </w:rPr>
        <w:t xml:space="preserve">2.2. Techniques </w:t>
      </w:r>
    </w:p>
    <w:p w14:paraId="40CB7BD7" w14:textId="5C4C05E6" w:rsidR="00563CF1" w:rsidRPr="004338BE" w:rsidRDefault="00563CF1" w:rsidP="00616E78">
      <w:pPr>
        <w:spacing w:line="480" w:lineRule="auto"/>
        <w:ind w:firstLine="720"/>
        <w:jc w:val="both"/>
      </w:pPr>
      <w:r w:rsidRPr="004338BE">
        <w:t>The surface area and porosity of catalysts were determined</w:t>
      </w:r>
      <w:r w:rsidR="000B552D" w:rsidRPr="004338BE">
        <w:t xml:space="preserve"> by the BET (</w:t>
      </w:r>
      <w:proofErr w:type="spellStart"/>
      <w:r w:rsidR="000B552D" w:rsidRPr="004338BE">
        <w:t>Brunauer</w:t>
      </w:r>
      <w:proofErr w:type="spellEnd"/>
      <w:r w:rsidR="000B552D" w:rsidRPr="004338BE">
        <w:t>–Emmett–Teller) method</w:t>
      </w:r>
      <w:r w:rsidRPr="004338BE">
        <w:t xml:space="preserve"> from nitrogen physisorption measured on a Micromeritics ASAP 2010 instrument at −196 </w:t>
      </w:r>
      <w:proofErr w:type="spellStart"/>
      <w:r w:rsidRPr="004338BE">
        <w:rPr>
          <w:vertAlign w:val="superscript"/>
        </w:rPr>
        <w:t>o</w:t>
      </w:r>
      <w:r w:rsidRPr="004338BE">
        <w:t>C.</w:t>
      </w:r>
      <w:proofErr w:type="spellEnd"/>
      <w:r w:rsidRPr="004338BE">
        <w:t xml:space="preserve"> Before measurement, the samples were evacuated at 250 </w:t>
      </w:r>
      <w:proofErr w:type="spellStart"/>
      <w:r w:rsidRPr="004338BE">
        <w:rPr>
          <w:vertAlign w:val="superscript"/>
        </w:rPr>
        <w:t>o</w:t>
      </w:r>
      <w:r w:rsidRPr="004338BE">
        <w:t>C</w:t>
      </w:r>
      <w:proofErr w:type="spellEnd"/>
      <w:r w:rsidRPr="004338BE">
        <w:t xml:space="preserve"> for 2 h. Inductively coupled plasma </w:t>
      </w:r>
      <w:r w:rsidR="005F3BF2" w:rsidRPr="004338BE">
        <w:t>optical</w:t>
      </w:r>
      <w:r w:rsidRPr="004338BE">
        <w:t xml:space="preserve"> emission spectroscopy (ICP</w:t>
      </w:r>
      <w:r w:rsidR="003F14AA" w:rsidRPr="004338BE">
        <w:t>–</w:t>
      </w:r>
      <w:r w:rsidR="005F3BF2" w:rsidRPr="004338BE">
        <w:t>O</w:t>
      </w:r>
      <w:r w:rsidRPr="004338BE">
        <w:t xml:space="preserve">ES) elemental analysis was carried out on a Spectro </w:t>
      </w:r>
      <w:proofErr w:type="spellStart"/>
      <w:r w:rsidRPr="004338BE">
        <w:t>Ciros</w:t>
      </w:r>
      <w:proofErr w:type="spellEnd"/>
      <w:r w:rsidRPr="004338BE">
        <w:t xml:space="preserve"> optical emission spectrometer.</w:t>
      </w:r>
    </w:p>
    <w:p w14:paraId="0769EF74" w14:textId="72A72A3E" w:rsidR="00563CF1" w:rsidRPr="004338BE" w:rsidRDefault="00294583" w:rsidP="00EF5E8E">
      <w:pPr>
        <w:spacing w:after="0" w:line="480" w:lineRule="auto"/>
        <w:ind w:firstLine="720"/>
        <w:jc w:val="both"/>
      </w:pPr>
      <w:r w:rsidRPr="004338BE">
        <w:lastRenderedPageBreak/>
        <w:t xml:space="preserve">Metal dispersion, </w:t>
      </w:r>
      <w:r w:rsidRPr="004338BE">
        <w:rPr>
          <w:i/>
        </w:rPr>
        <w:t>D</w:t>
      </w:r>
      <w:r w:rsidRPr="004338BE">
        <w:t>, defined as the metal fraction at the surface</w:t>
      </w:r>
      <w:r w:rsidR="00607880" w:rsidRPr="004338BE">
        <w:t xml:space="preserve"> of </w:t>
      </w:r>
      <w:r w:rsidR="00345FB5" w:rsidRPr="004338BE">
        <w:t xml:space="preserve">metal </w:t>
      </w:r>
      <w:r w:rsidR="00607880" w:rsidRPr="004338BE">
        <w:t>particles</w:t>
      </w:r>
      <w:r w:rsidRPr="004338BE">
        <w:t xml:space="preserve">, </w:t>
      </w:r>
      <w:r w:rsidRPr="004338BE">
        <w:rPr>
          <w:i/>
        </w:rPr>
        <w:t>D</w:t>
      </w:r>
      <w:r w:rsidRPr="004338BE">
        <w:t xml:space="preserve"> = M</w:t>
      </w:r>
      <w:r w:rsidRPr="004338BE">
        <w:rPr>
          <w:vertAlign w:val="subscript"/>
        </w:rPr>
        <w:t>s</w:t>
      </w:r>
      <w:r w:rsidRPr="004338BE">
        <w:t>/</w:t>
      </w:r>
      <w:proofErr w:type="spellStart"/>
      <w:r w:rsidRPr="004338BE">
        <w:t>M</w:t>
      </w:r>
      <w:r w:rsidRPr="004338BE">
        <w:rPr>
          <w:vertAlign w:val="subscript"/>
        </w:rPr>
        <w:t>total</w:t>
      </w:r>
      <w:proofErr w:type="spellEnd"/>
      <w:r w:rsidRPr="004338BE">
        <w:t xml:space="preserve">, was determined by pulse chemisorption of CO </w:t>
      </w:r>
      <w:r w:rsidR="00A61FFF" w:rsidRPr="004338BE">
        <w:t xml:space="preserve">in flow system using </w:t>
      </w:r>
      <w:r w:rsidRPr="004338BE">
        <w:t>a Micromeritics TPD/TPR 2900 instrument as described elsewhere</w:t>
      </w:r>
      <w:r w:rsidR="005E35E5" w:rsidRPr="004338BE">
        <w:t xml:space="preserve"> [</w:t>
      </w:r>
      <w:r w:rsidR="00A342BA" w:rsidRPr="004338BE">
        <w:t>19</w:t>
      </w:r>
      <w:r w:rsidRPr="004338BE">
        <w:t xml:space="preserve">] </w:t>
      </w:r>
      <w:r w:rsidR="00C97FE3" w:rsidRPr="004338BE">
        <w:t>(</w:t>
      </w:r>
      <w:r w:rsidR="000C7AE7" w:rsidRPr="004338BE">
        <w:t xml:space="preserve">in He flow at 50 </w:t>
      </w:r>
      <w:proofErr w:type="spellStart"/>
      <w:r w:rsidR="000C7AE7" w:rsidRPr="004338BE">
        <w:rPr>
          <w:vertAlign w:val="superscript"/>
        </w:rPr>
        <w:t>o</w:t>
      </w:r>
      <w:r w:rsidR="000C7AE7" w:rsidRPr="004338BE">
        <w:t>C</w:t>
      </w:r>
      <w:proofErr w:type="spellEnd"/>
      <w:r w:rsidR="00C97FE3" w:rsidRPr="004338BE">
        <w:t>,</w:t>
      </w:r>
      <w:r w:rsidR="006B3F26" w:rsidRPr="004338BE">
        <w:t xml:space="preserve"> </w:t>
      </w:r>
      <w:r w:rsidRPr="004338BE">
        <w:t>10</w:t>
      </w:r>
      <w:r w:rsidR="000B552D" w:rsidRPr="004338BE">
        <w:t>–</w:t>
      </w:r>
      <w:r w:rsidR="00345FB5" w:rsidRPr="004338BE">
        <w:t>15</w:t>
      </w:r>
      <w:r w:rsidRPr="004338BE">
        <w:t xml:space="preserve"> mg catalyst sample, 25 </w:t>
      </w:r>
      <w:proofErr w:type="spellStart"/>
      <w:r w:rsidRPr="004338BE">
        <w:t>μ</w:t>
      </w:r>
      <w:r w:rsidR="00E57439" w:rsidRPr="004338BE">
        <w:t>l</w:t>
      </w:r>
      <w:proofErr w:type="spellEnd"/>
      <w:r w:rsidRPr="004338BE">
        <w:t xml:space="preserve"> pulses of pure CO</w:t>
      </w:r>
      <w:r w:rsidR="00C97FE3" w:rsidRPr="004338BE">
        <w:t>)</w:t>
      </w:r>
      <w:r w:rsidR="00503FDD" w:rsidRPr="004338BE">
        <w:t xml:space="preserve">. </w:t>
      </w:r>
      <w:r w:rsidR="00AE312F" w:rsidRPr="004338BE">
        <w:t>The adsorption stoichiometry M</w:t>
      </w:r>
      <w:r w:rsidR="00AE312F" w:rsidRPr="004338BE">
        <w:rPr>
          <w:vertAlign w:val="subscript"/>
        </w:rPr>
        <w:t>s</w:t>
      </w:r>
      <w:r w:rsidR="00AE312F" w:rsidRPr="004338BE">
        <w:t>/CO was assumed to be 1 for Pt</w:t>
      </w:r>
      <w:r w:rsidR="0062414E" w:rsidRPr="004338BE">
        <w:t xml:space="preserve"> [</w:t>
      </w:r>
      <w:r w:rsidR="00A342BA" w:rsidRPr="004338BE">
        <w:t>2</w:t>
      </w:r>
      <w:r w:rsidR="00C6343B" w:rsidRPr="004338BE">
        <w:t>7</w:t>
      </w:r>
      <w:r w:rsidR="0062414E" w:rsidRPr="004338BE">
        <w:t>]</w:t>
      </w:r>
      <w:r w:rsidR="00AE312F" w:rsidRPr="004338BE">
        <w:t xml:space="preserve"> and 2 for Pd</w:t>
      </w:r>
      <w:r w:rsidR="002770BD" w:rsidRPr="004338BE">
        <w:t xml:space="preserve"> [</w:t>
      </w:r>
      <w:r w:rsidR="00A342BA" w:rsidRPr="004338BE">
        <w:t>2</w:t>
      </w:r>
      <w:r w:rsidR="00C6343B" w:rsidRPr="004338BE">
        <w:t>8</w:t>
      </w:r>
      <w:r w:rsidR="002770BD" w:rsidRPr="004338BE">
        <w:t>]</w:t>
      </w:r>
      <w:r w:rsidRPr="004338BE">
        <w:t>.</w:t>
      </w:r>
    </w:p>
    <w:p w14:paraId="3A8D1229" w14:textId="77777777" w:rsidR="00EF5E8E" w:rsidRPr="004338BE" w:rsidRDefault="00EF5E8E" w:rsidP="00291CE2">
      <w:pPr>
        <w:spacing w:line="480" w:lineRule="auto"/>
        <w:ind w:firstLine="720"/>
        <w:jc w:val="both"/>
      </w:pPr>
    </w:p>
    <w:p w14:paraId="0613FAC1" w14:textId="77777777" w:rsidR="00563CF1" w:rsidRPr="004338BE" w:rsidRDefault="00563CF1" w:rsidP="003705B0">
      <w:pPr>
        <w:spacing w:after="0" w:line="480" w:lineRule="auto"/>
        <w:jc w:val="both"/>
        <w:rPr>
          <w:i/>
        </w:rPr>
      </w:pPr>
      <w:r w:rsidRPr="004338BE">
        <w:rPr>
          <w:i/>
        </w:rPr>
        <w:t xml:space="preserve">2.3. Catalyst testing </w:t>
      </w:r>
    </w:p>
    <w:p w14:paraId="42AA07C1" w14:textId="2B8B0DDB" w:rsidR="00091729" w:rsidRPr="004338BE" w:rsidRDefault="00563CF1" w:rsidP="00FD0879">
      <w:pPr>
        <w:spacing w:line="480" w:lineRule="auto"/>
        <w:ind w:firstLine="720"/>
        <w:jc w:val="both"/>
      </w:pPr>
      <w:r w:rsidRPr="004338BE">
        <w:t xml:space="preserve">The </w:t>
      </w:r>
      <w:r w:rsidR="003302F4" w:rsidRPr="004338BE">
        <w:t>HDO</w:t>
      </w:r>
      <w:r w:rsidRPr="004338BE">
        <w:t xml:space="preserve"> of DMTHF w</w:t>
      </w:r>
      <w:r w:rsidR="003302F4" w:rsidRPr="004338BE">
        <w:t>as</w:t>
      </w:r>
      <w:r w:rsidRPr="004338BE">
        <w:t xml:space="preserve"> carried out at the gas-solid interface in flowing H</w:t>
      </w:r>
      <w:r w:rsidRPr="004338BE">
        <w:rPr>
          <w:vertAlign w:val="subscript"/>
        </w:rPr>
        <w:t>2</w:t>
      </w:r>
      <w:r w:rsidRPr="004338BE">
        <w:t xml:space="preserve"> at </w:t>
      </w:r>
      <w:r w:rsidR="000D5866" w:rsidRPr="004338BE">
        <w:t>ambient</w:t>
      </w:r>
      <w:r w:rsidRPr="004338BE">
        <w:t xml:space="preserve"> pressure and </w:t>
      </w:r>
      <w:r w:rsidR="000C03BE" w:rsidRPr="004338BE">
        <w:t>6</w:t>
      </w:r>
      <w:r w:rsidRPr="004338BE">
        <w:t>0–1</w:t>
      </w:r>
      <w:r w:rsidR="00F13F97" w:rsidRPr="004338BE">
        <w:t>2</w:t>
      </w:r>
      <w:r w:rsidRPr="004338BE">
        <w:t xml:space="preserve">0 </w:t>
      </w:r>
      <w:proofErr w:type="spellStart"/>
      <w:r w:rsidRPr="004338BE">
        <w:rPr>
          <w:vertAlign w:val="superscript"/>
        </w:rPr>
        <w:t>o</w:t>
      </w:r>
      <w:r w:rsidRPr="004338BE">
        <w:t>C</w:t>
      </w:r>
      <w:proofErr w:type="spellEnd"/>
      <w:r w:rsidRPr="004338BE">
        <w:t xml:space="preserve"> using a Pyrex fixed-bed down-flow microreactor (9 mm internal diameter) fitted with an on-line gas chromatograph (Varian 3800 instrument with a 30 m</w:t>
      </w:r>
      <w:r w:rsidR="00E57439" w:rsidRPr="004338BE">
        <w:t xml:space="preserve"> </w:t>
      </w:r>
      <w:r w:rsidRPr="004338BE">
        <w:t>×</w:t>
      </w:r>
      <w:r w:rsidR="00E57439" w:rsidRPr="004338BE">
        <w:t xml:space="preserve"> </w:t>
      </w:r>
      <w:r w:rsidRPr="004338BE">
        <w:t>0.32 mm</w:t>
      </w:r>
      <w:r w:rsidR="00E57439" w:rsidRPr="004338BE">
        <w:t xml:space="preserve"> </w:t>
      </w:r>
      <w:r w:rsidRPr="004338BE">
        <w:t>×</w:t>
      </w:r>
      <w:r w:rsidR="00E57439" w:rsidRPr="004338BE">
        <w:t xml:space="preserve"> </w:t>
      </w:r>
      <w:r w:rsidRPr="004338BE">
        <w:t xml:space="preserve">0.5 </w:t>
      </w:r>
      <w:proofErr w:type="spellStart"/>
      <w:r w:rsidRPr="004338BE">
        <w:t>μm</w:t>
      </w:r>
      <w:proofErr w:type="spellEnd"/>
      <w:r w:rsidRPr="004338BE">
        <w:t xml:space="preserve"> </w:t>
      </w:r>
      <w:proofErr w:type="spellStart"/>
      <w:r w:rsidRPr="004338BE">
        <w:t>Zeb</w:t>
      </w:r>
      <w:r w:rsidR="00626E6D" w:rsidRPr="004338BE">
        <w:t>r</w:t>
      </w:r>
      <w:r w:rsidRPr="004338BE">
        <w:t>on</w:t>
      </w:r>
      <w:proofErr w:type="spellEnd"/>
      <w:r w:rsidRPr="004338BE">
        <w:t xml:space="preserve"> ZB–WAX capillary column and a flame ionisation detector)</w:t>
      </w:r>
      <w:r w:rsidR="00BD2A58" w:rsidRPr="004338BE">
        <w:t xml:space="preserve"> describe</w:t>
      </w:r>
      <w:r w:rsidR="00540AB2" w:rsidRPr="004338BE">
        <w:t>d</w:t>
      </w:r>
      <w:r w:rsidR="00BD2A58" w:rsidRPr="004338BE">
        <w:t xml:space="preserve"> elsewhere [2</w:t>
      </w:r>
      <w:r w:rsidR="00D9647D" w:rsidRPr="004338BE">
        <w:t>1</w:t>
      </w:r>
      <w:r w:rsidR="00BD2A58" w:rsidRPr="004338BE">
        <w:t>]</w:t>
      </w:r>
      <w:r w:rsidRPr="004338BE">
        <w:t>. The substrate was fed by passing H</w:t>
      </w:r>
      <w:r w:rsidRPr="004338BE">
        <w:rPr>
          <w:vertAlign w:val="subscript"/>
        </w:rPr>
        <w:t>2</w:t>
      </w:r>
      <w:r w:rsidRPr="004338BE">
        <w:t xml:space="preserve"> flow controlled by a Brooks mass flow controller through a </w:t>
      </w:r>
      <w:proofErr w:type="gramStart"/>
      <w:r w:rsidRPr="004338BE">
        <w:t>stainless steel</w:t>
      </w:r>
      <w:proofErr w:type="gramEnd"/>
      <w:r w:rsidRPr="004338BE">
        <w:t xml:space="preserve"> saturator, which held </w:t>
      </w:r>
      <w:r w:rsidR="00BD2A58" w:rsidRPr="004338BE">
        <w:t>DMTHF</w:t>
      </w:r>
      <w:r w:rsidRPr="004338BE">
        <w:t xml:space="preserve"> at an appropriate temperature to maintain </w:t>
      </w:r>
      <w:r w:rsidR="00BD2A58" w:rsidRPr="004338BE">
        <w:t>a</w:t>
      </w:r>
      <w:r w:rsidRPr="004338BE">
        <w:t xml:space="preserve"> chosen partial pressure</w:t>
      </w:r>
      <w:r w:rsidR="00C17E33" w:rsidRPr="004338BE">
        <w:t xml:space="preserve"> of DMTHF</w:t>
      </w:r>
      <w:r w:rsidRPr="004338BE">
        <w:t>.</w:t>
      </w:r>
      <w:r w:rsidR="00E40462" w:rsidRPr="004338BE">
        <w:t xml:space="preserve"> </w:t>
      </w:r>
      <w:bookmarkStart w:id="2" w:name="_Hlk73708911"/>
      <w:r w:rsidR="00E40462" w:rsidRPr="004338BE">
        <w:t xml:space="preserve">The temperature in the reactor was controlled by a </w:t>
      </w:r>
      <w:proofErr w:type="spellStart"/>
      <w:r w:rsidR="00E40462" w:rsidRPr="004338BE">
        <w:t>Eurotherm</w:t>
      </w:r>
      <w:proofErr w:type="spellEnd"/>
      <w:r w:rsidR="00E40462" w:rsidRPr="004338BE">
        <w:t xml:space="preserve"> controller using a thermocouple placed at the top of catalyst bed.</w:t>
      </w:r>
      <w:r w:rsidRPr="004338BE">
        <w:t xml:space="preserve"> </w:t>
      </w:r>
      <w:bookmarkEnd w:id="2"/>
      <w:r w:rsidRPr="004338BE">
        <w:t xml:space="preserve">The </w:t>
      </w:r>
      <w:r w:rsidR="00EE6F4B" w:rsidRPr="004338BE">
        <w:t>catalyst bed</w:t>
      </w:r>
      <w:r w:rsidRPr="004338BE">
        <w:t xml:space="preserve"> </w:t>
      </w:r>
      <w:r w:rsidR="00EE6F4B" w:rsidRPr="004338BE">
        <w:t>(</w:t>
      </w:r>
      <w:r w:rsidRPr="004338BE">
        <w:t>0.20 g</w:t>
      </w:r>
      <w:r w:rsidR="00EE6F4B" w:rsidRPr="004338BE">
        <w:t xml:space="preserve"> total weight) contained a uniform </w:t>
      </w:r>
      <w:r w:rsidR="008E491D" w:rsidRPr="004338BE">
        <w:t xml:space="preserve">physical </w:t>
      </w:r>
      <w:r w:rsidR="00EE6F4B" w:rsidRPr="004338BE">
        <w:t>mixture of powdered</w:t>
      </w:r>
      <w:r w:rsidRPr="004338BE">
        <w:t xml:space="preserve"> catalyst</w:t>
      </w:r>
      <w:r w:rsidR="00EE6F4B" w:rsidRPr="004338BE">
        <w:t xml:space="preserve"> components</w:t>
      </w:r>
      <w:r w:rsidR="00210584" w:rsidRPr="004338BE">
        <w:t xml:space="preserve"> (M/C</w:t>
      </w:r>
      <w:r w:rsidR="008E491D" w:rsidRPr="004338BE">
        <w:t xml:space="preserve"> + acid co-catalyst or</w:t>
      </w:r>
      <w:r w:rsidR="00210584" w:rsidRPr="004338BE">
        <w:t xml:space="preserve"> </w:t>
      </w:r>
      <w:r w:rsidR="00AA7F6F" w:rsidRPr="004338BE">
        <w:t>SiO</w:t>
      </w:r>
      <w:r w:rsidR="00AA7F6F" w:rsidRPr="004338BE">
        <w:rPr>
          <w:vertAlign w:val="subscript"/>
        </w:rPr>
        <w:t>2</w:t>
      </w:r>
      <w:r w:rsidR="00210584" w:rsidRPr="004338BE">
        <w:t>)</w:t>
      </w:r>
      <w:r w:rsidRPr="004338BE">
        <w:t xml:space="preserve">. </w:t>
      </w:r>
      <w:bookmarkStart w:id="3" w:name="_Hlk73708758"/>
      <w:r w:rsidRPr="004338BE">
        <w:t>Prior to reaction, the catalysts were pre-treated in situ for 1 h at the reaction temperature in H</w:t>
      </w:r>
      <w:r w:rsidRPr="004338BE">
        <w:rPr>
          <w:vertAlign w:val="subscript"/>
        </w:rPr>
        <w:t>2</w:t>
      </w:r>
      <w:r w:rsidR="00A05CDC" w:rsidRPr="004338BE">
        <w:t xml:space="preserve"> flow</w:t>
      </w:r>
      <w:r w:rsidRPr="004338BE">
        <w:t xml:space="preserve">. </w:t>
      </w:r>
      <w:bookmarkEnd w:id="3"/>
      <w:r w:rsidR="004A0029" w:rsidRPr="004338BE">
        <w:t>T</w:t>
      </w:r>
      <w:r w:rsidRPr="004338BE">
        <w:t>he downstream gas flow was analysed by the on-line GC to obtain reactant conversion and product composition.</w:t>
      </w:r>
      <w:r w:rsidR="002B1CB7" w:rsidRPr="004338BE">
        <w:t xml:space="preserve"> </w:t>
      </w:r>
      <w:r w:rsidRPr="004338BE">
        <w:t xml:space="preserve">Product selectivity was defined as moles of product formed per one mole of </w:t>
      </w:r>
      <w:r w:rsidR="004A0029" w:rsidRPr="004338BE">
        <w:t>DMTHF</w:t>
      </w:r>
      <w:r w:rsidRPr="004338BE">
        <w:t xml:space="preserve"> converted and quoted in mole per cent. The mean absolute percentage error in conversion and selectivity was ≤ 5% and the carbon balance was maintained within 95%. </w:t>
      </w:r>
    </w:p>
    <w:p w14:paraId="72E7BFD6" w14:textId="77777777" w:rsidR="00FD0879" w:rsidRPr="004338BE" w:rsidRDefault="00FD0879" w:rsidP="00FD0879">
      <w:pPr>
        <w:spacing w:line="480" w:lineRule="auto"/>
        <w:ind w:firstLine="720"/>
        <w:jc w:val="both"/>
      </w:pPr>
    </w:p>
    <w:p w14:paraId="62CB9232" w14:textId="54C2DFEC" w:rsidR="00BB5AA6" w:rsidRPr="004338BE" w:rsidRDefault="00673AF4" w:rsidP="0082544D">
      <w:pPr>
        <w:spacing w:after="0" w:line="480" w:lineRule="auto"/>
        <w:jc w:val="both"/>
        <w:rPr>
          <w:b/>
        </w:rPr>
      </w:pPr>
      <w:r w:rsidRPr="004338BE">
        <w:rPr>
          <w:b/>
        </w:rPr>
        <w:t>3. Results and discussion</w:t>
      </w:r>
    </w:p>
    <w:p w14:paraId="167DB81B" w14:textId="25BDE9AA" w:rsidR="00E42AB8" w:rsidRPr="004338BE" w:rsidRDefault="0020599B" w:rsidP="00641061">
      <w:pPr>
        <w:pStyle w:val="RSCB02ArticleText"/>
        <w:spacing w:line="480" w:lineRule="auto"/>
        <w:ind w:right="-45"/>
        <w:rPr>
          <w:i/>
          <w:sz w:val="24"/>
          <w:szCs w:val="24"/>
        </w:rPr>
      </w:pPr>
      <w:r w:rsidRPr="004338BE">
        <w:rPr>
          <w:i/>
          <w:sz w:val="24"/>
          <w:szCs w:val="24"/>
        </w:rPr>
        <w:lastRenderedPageBreak/>
        <w:t>3.</w:t>
      </w:r>
      <w:r w:rsidR="00E64785" w:rsidRPr="004338BE">
        <w:rPr>
          <w:i/>
          <w:sz w:val="24"/>
          <w:szCs w:val="24"/>
        </w:rPr>
        <w:t>1</w:t>
      </w:r>
      <w:r w:rsidRPr="004338BE">
        <w:rPr>
          <w:i/>
          <w:sz w:val="24"/>
          <w:szCs w:val="24"/>
        </w:rPr>
        <w:t>. Hydro</w:t>
      </w:r>
      <w:r w:rsidR="003207E6" w:rsidRPr="004338BE">
        <w:rPr>
          <w:i/>
          <w:sz w:val="24"/>
          <w:szCs w:val="24"/>
        </w:rPr>
        <w:t>deoxygenation</w:t>
      </w:r>
      <w:r w:rsidRPr="004338BE">
        <w:rPr>
          <w:i/>
          <w:sz w:val="24"/>
          <w:szCs w:val="24"/>
        </w:rPr>
        <w:t xml:space="preserve"> of </w:t>
      </w:r>
      <w:r w:rsidR="006F1F8D" w:rsidRPr="004338BE">
        <w:rPr>
          <w:i/>
          <w:sz w:val="24"/>
          <w:szCs w:val="24"/>
        </w:rPr>
        <w:t>DMTHF</w:t>
      </w:r>
      <w:r w:rsidR="0076505B" w:rsidRPr="004338BE">
        <w:rPr>
          <w:i/>
          <w:sz w:val="24"/>
          <w:szCs w:val="24"/>
        </w:rPr>
        <w:t xml:space="preserve"> over bifunctional Pt–</w:t>
      </w:r>
      <w:proofErr w:type="spellStart"/>
      <w:r w:rsidR="0076505B" w:rsidRPr="004338BE">
        <w:rPr>
          <w:i/>
          <w:sz w:val="24"/>
          <w:szCs w:val="24"/>
        </w:rPr>
        <w:t>CsPW</w:t>
      </w:r>
      <w:proofErr w:type="spellEnd"/>
      <w:r w:rsidR="0076505B" w:rsidRPr="004338BE">
        <w:rPr>
          <w:i/>
          <w:sz w:val="24"/>
          <w:szCs w:val="24"/>
        </w:rPr>
        <w:t xml:space="preserve"> catalyst</w:t>
      </w:r>
    </w:p>
    <w:p w14:paraId="10CEA9FD" w14:textId="1FFA633F" w:rsidR="00C40070" w:rsidRPr="004338BE" w:rsidRDefault="00C40070" w:rsidP="00C40070">
      <w:pPr>
        <w:autoSpaceDE w:val="0"/>
        <w:autoSpaceDN w:val="0"/>
        <w:adjustRightInd w:val="0"/>
        <w:spacing w:after="0"/>
        <w:jc w:val="center"/>
        <w:rPr>
          <w:b/>
          <w:bCs/>
          <w:noProof/>
          <w:sz w:val="18"/>
          <w:szCs w:val="18"/>
          <w:lang w:eastAsia="en-GB"/>
        </w:rPr>
      </w:pPr>
    </w:p>
    <w:p w14:paraId="0F385FFC" w14:textId="6C7BBA8F" w:rsidR="00336CE8" w:rsidRPr="004338BE" w:rsidRDefault="00D73BC2" w:rsidP="00336CE8">
      <w:pPr>
        <w:spacing w:after="0" w:line="480" w:lineRule="auto"/>
        <w:ind w:firstLine="720"/>
        <w:jc w:val="both"/>
      </w:pPr>
      <w:r w:rsidRPr="004338BE">
        <w:t>The HDO of DMTHF over Pt–</w:t>
      </w:r>
      <w:proofErr w:type="spellStart"/>
      <w:r w:rsidRPr="004338BE">
        <w:t>CsPW</w:t>
      </w:r>
      <w:proofErr w:type="spellEnd"/>
      <w:r w:rsidRPr="004338BE">
        <w:t xml:space="preserve"> was carried out at </w:t>
      </w:r>
      <w:r w:rsidR="0083749E" w:rsidRPr="004338BE">
        <w:t>6</w:t>
      </w:r>
      <w:r w:rsidRPr="004338BE">
        <w:t>0–1</w:t>
      </w:r>
      <w:r w:rsidR="0083749E" w:rsidRPr="004338BE">
        <w:t>2</w:t>
      </w:r>
      <w:r w:rsidRPr="004338BE">
        <w:t xml:space="preserve">0 </w:t>
      </w:r>
      <w:proofErr w:type="spellStart"/>
      <w:r w:rsidRPr="004338BE">
        <w:rPr>
          <w:vertAlign w:val="superscript"/>
        </w:rPr>
        <w:t>o</w:t>
      </w:r>
      <w:r w:rsidRPr="004338BE">
        <w:t>C</w:t>
      </w:r>
      <w:proofErr w:type="spellEnd"/>
      <w:r w:rsidRPr="004338BE">
        <w:t xml:space="preserve"> </w:t>
      </w:r>
      <w:r w:rsidR="000A491F" w:rsidRPr="004338BE">
        <w:t>in flowing</w:t>
      </w:r>
      <w:r w:rsidRPr="004338BE">
        <w:t xml:space="preserve"> H</w:t>
      </w:r>
      <w:r w:rsidRPr="004338BE">
        <w:rPr>
          <w:vertAlign w:val="subscript"/>
        </w:rPr>
        <w:t>2</w:t>
      </w:r>
      <w:r w:rsidRPr="004338BE">
        <w:t xml:space="preserve"> </w:t>
      </w:r>
      <w:r w:rsidR="000A491F" w:rsidRPr="004338BE">
        <w:t xml:space="preserve">at ambient </w:t>
      </w:r>
      <w:r w:rsidRPr="004338BE">
        <w:t xml:space="preserve">pressure. The catalyst exhibited stable performance; no deactivation was observed at least during 4 h on stream (Fig. </w:t>
      </w:r>
      <w:r w:rsidR="008D2BAE" w:rsidRPr="004338BE">
        <w:t>1</w:t>
      </w:r>
      <w:r w:rsidRPr="004338BE">
        <w:t>).</w:t>
      </w:r>
      <w:r w:rsidR="00336CE8" w:rsidRPr="004338BE">
        <w:t xml:space="preserve"> Previous H</w:t>
      </w:r>
      <w:r w:rsidR="00336CE8" w:rsidRPr="004338BE">
        <w:rPr>
          <w:vertAlign w:val="subscript"/>
        </w:rPr>
        <w:t>2</w:t>
      </w:r>
      <w:r w:rsidR="00336CE8" w:rsidRPr="004338BE">
        <w:t xml:space="preserve">-TPR, XRD and FTIR studies have shown that </w:t>
      </w:r>
      <w:proofErr w:type="spellStart"/>
      <w:r w:rsidR="00336CE8" w:rsidRPr="004338BE">
        <w:t>CsPW</w:t>
      </w:r>
      <w:proofErr w:type="spellEnd"/>
      <w:r w:rsidR="00336CE8" w:rsidRPr="004338BE">
        <w:t xml:space="preserve"> in Pt/</w:t>
      </w:r>
      <w:proofErr w:type="spellStart"/>
      <w:r w:rsidR="00336CE8" w:rsidRPr="004338BE">
        <w:t>CsPW</w:t>
      </w:r>
      <w:proofErr w:type="spellEnd"/>
      <w:r w:rsidR="00336CE8" w:rsidRPr="004338BE">
        <w:t xml:space="preserve"> and Pd/</w:t>
      </w:r>
      <w:proofErr w:type="spellStart"/>
      <w:r w:rsidR="00336CE8" w:rsidRPr="004338BE">
        <w:t>CsPW</w:t>
      </w:r>
      <w:proofErr w:type="spellEnd"/>
      <w:r w:rsidR="00336CE8" w:rsidRPr="004338BE">
        <w:t xml:space="preserve"> catalysts is resistant toward reduction by H</w:t>
      </w:r>
      <w:r w:rsidR="00336CE8" w:rsidRPr="004338BE">
        <w:rPr>
          <w:vertAlign w:val="subscript"/>
        </w:rPr>
        <w:t>2</w:t>
      </w:r>
      <w:r w:rsidR="00336CE8" w:rsidRPr="004338BE">
        <w:t xml:space="preserve"> below 600 </w:t>
      </w:r>
      <w:proofErr w:type="spellStart"/>
      <w:r w:rsidR="00336CE8" w:rsidRPr="004338BE">
        <w:rPr>
          <w:vertAlign w:val="superscript"/>
        </w:rPr>
        <w:t>o</w:t>
      </w:r>
      <w:r w:rsidR="00336CE8" w:rsidRPr="004338BE">
        <w:t>C</w:t>
      </w:r>
      <w:proofErr w:type="spellEnd"/>
      <w:r w:rsidR="00336CE8" w:rsidRPr="004338BE">
        <w:t xml:space="preserve">, and the </w:t>
      </w:r>
      <w:proofErr w:type="spellStart"/>
      <w:r w:rsidR="00336CE8" w:rsidRPr="004338BE">
        <w:t>Keggin</w:t>
      </w:r>
      <w:proofErr w:type="spellEnd"/>
      <w:r w:rsidR="00336CE8" w:rsidRPr="004338BE">
        <w:t xml:space="preserve"> structure of </w:t>
      </w:r>
      <w:proofErr w:type="spellStart"/>
      <w:r w:rsidR="00336CE8" w:rsidRPr="004338BE">
        <w:t>CsPW</w:t>
      </w:r>
      <w:proofErr w:type="spellEnd"/>
      <w:r w:rsidR="00336CE8" w:rsidRPr="004338BE">
        <w:t xml:space="preserve"> is retained in </w:t>
      </w:r>
      <w:proofErr w:type="spellStart"/>
      <w:r w:rsidR="00336CE8" w:rsidRPr="004338BE">
        <w:t>CsPW</w:t>
      </w:r>
      <w:proofErr w:type="spellEnd"/>
      <w:r w:rsidR="00336CE8" w:rsidRPr="004338BE">
        <w:t>-supported Pt and Pd catalysts after H</w:t>
      </w:r>
      <w:r w:rsidR="00336CE8" w:rsidRPr="004338BE">
        <w:rPr>
          <w:vertAlign w:val="subscript"/>
        </w:rPr>
        <w:t>2</w:t>
      </w:r>
      <w:r w:rsidR="00336CE8" w:rsidRPr="004338BE">
        <w:t xml:space="preserve"> treatment at 400 </w:t>
      </w:r>
      <w:proofErr w:type="spellStart"/>
      <w:r w:rsidR="00336CE8" w:rsidRPr="004338BE">
        <w:rPr>
          <w:vertAlign w:val="superscript"/>
        </w:rPr>
        <w:t>o</w:t>
      </w:r>
      <w:r w:rsidR="00336CE8" w:rsidRPr="004338BE">
        <w:t>C</w:t>
      </w:r>
      <w:proofErr w:type="spellEnd"/>
      <w:r w:rsidR="00336CE8" w:rsidRPr="004338BE">
        <w:t xml:space="preserve"> [</w:t>
      </w:r>
      <w:r w:rsidR="008C666E" w:rsidRPr="004338BE">
        <w:t>2</w:t>
      </w:r>
      <w:r w:rsidR="000B5AF8" w:rsidRPr="004338BE">
        <w:t>9</w:t>
      </w:r>
      <w:r w:rsidR="00336CE8" w:rsidRPr="004338BE">
        <w:t>]. Therefore, the</w:t>
      </w:r>
      <w:r w:rsidR="00B61E84" w:rsidRPr="004338BE">
        <w:t xml:space="preserve"> Pt–</w:t>
      </w:r>
      <w:proofErr w:type="spellStart"/>
      <w:r w:rsidR="00B61E84" w:rsidRPr="004338BE">
        <w:t>CsPW</w:t>
      </w:r>
      <w:proofErr w:type="spellEnd"/>
      <w:r w:rsidR="00336CE8" w:rsidRPr="004338BE">
        <w:t xml:space="preserve"> catalysts should be stable at rather mild reaction conditions applied in this work.</w:t>
      </w:r>
    </w:p>
    <w:p w14:paraId="7D608551" w14:textId="46672F46" w:rsidR="008518E3" w:rsidRPr="004338BE" w:rsidRDefault="00D73BC2" w:rsidP="00D73BC2">
      <w:pPr>
        <w:autoSpaceDE w:val="0"/>
        <w:autoSpaceDN w:val="0"/>
        <w:adjustRightInd w:val="0"/>
        <w:spacing w:after="0" w:line="480" w:lineRule="auto"/>
        <w:ind w:right="-45" w:firstLine="720"/>
        <w:jc w:val="both"/>
        <w:rPr>
          <w:rFonts w:eastAsia="Calibri"/>
        </w:rPr>
      </w:pPr>
      <w:r w:rsidRPr="004338BE">
        <w:t xml:space="preserve"> Table </w:t>
      </w:r>
      <w:r w:rsidR="008D2BAE" w:rsidRPr="004338BE">
        <w:t>2</w:t>
      </w:r>
      <w:r w:rsidRPr="004338BE">
        <w:t xml:space="preserve"> shows the representative results</w:t>
      </w:r>
      <w:r w:rsidR="00B837FB" w:rsidRPr="004338BE">
        <w:t xml:space="preserve"> on HDO of DMTHF</w:t>
      </w:r>
      <w:r w:rsidRPr="004338BE">
        <w:t xml:space="preserve">. </w:t>
      </w:r>
      <w:proofErr w:type="spellStart"/>
      <w:r w:rsidRPr="004338BE">
        <w:rPr>
          <w:rFonts w:eastAsia="Calibri"/>
        </w:rPr>
        <w:t>CsPW</w:t>
      </w:r>
      <w:proofErr w:type="spellEnd"/>
      <w:r w:rsidRPr="004338BE">
        <w:rPr>
          <w:rFonts w:eastAsia="Calibri"/>
        </w:rPr>
        <w:t xml:space="preserve"> alone had a low activity to form mainly cracking products at 2.0% DMTHF conversion</w:t>
      </w:r>
      <w:r w:rsidR="00657B96" w:rsidRPr="004338BE">
        <w:rPr>
          <w:rFonts w:eastAsia="Calibri"/>
        </w:rPr>
        <w:t xml:space="preserve"> (entry 1)</w:t>
      </w:r>
      <w:r w:rsidRPr="004338BE">
        <w:rPr>
          <w:rFonts w:eastAsia="Calibri"/>
        </w:rPr>
        <w:t xml:space="preserve">. The monofunctional Pt/C catalyst in the absence of </w:t>
      </w:r>
      <w:proofErr w:type="spellStart"/>
      <w:r w:rsidRPr="004338BE">
        <w:rPr>
          <w:rFonts w:eastAsia="Calibri"/>
        </w:rPr>
        <w:t>CsPW</w:t>
      </w:r>
      <w:proofErr w:type="spellEnd"/>
      <w:r w:rsidRPr="004338BE">
        <w:rPr>
          <w:rFonts w:eastAsia="Calibri"/>
        </w:rPr>
        <w:t xml:space="preserve"> had a very low </w:t>
      </w:r>
      <w:r w:rsidR="002322E9" w:rsidRPr="004338BE">
        <w:rPr>
          <w:rFonts w:eastAsia="Calibri"/>
        </w:rPr>
        <w:t>HDO</w:t>
      </w:r>
      <w:r w:rsidRPr="004338BE">
        <w:rPr>
          <w:rFonts w:eastAsia="Calibri"/>
        </w:rPr>
        <w:t xml:space="preserve"> activity to form</w:t>
      </w:r>
      <w:r w:rsidR="00846E62" w:rsidRPr="004338BE">
        <w:rPr>
          <w:rFonts w:eastAsia="Calibri"/>
        </w:rPr>
        <w:t xml:space="preserve"> </w:t>
      </w:r>
      <w:r w:rsidRPr="004338BE">
        <w:rPr>
          <w:rFonts w:eastAsia="Calibri"/>
        </w:rPr>
        <w:t>2-hexanol in 8</w:t>
      </w:r>
      <w:r w:rsidR="00657B96" w:rsidRPr="004338BE">
        <w:rPr>
          <w:rFonts w:eastAsia="Calibri"/>
        </w:rPr>
        <w:t>8</w:t>
      </w:r>
      <w:r w:rsidRPr="004338BE">
        <w:rPr>
          <w:rFonts w:eastAsia="Calibri"/>
        </w:rPr>
        <w:t xml:space="preserve">% selectivity </w:t>
      </w:r>
      <w:r w:rsidR="00154490" w:rsidRPr="004338BE">
        <w:rPr>
          <w:rFonts w:eastAsia="Calibri"/>
        </w:rPr>
        <w:t xml:space="preserve">at </w:t>
      </w:r>
      <w:r w:rsidRPr="004338BE">
        <w:rPr>
          <w:rFonts w:eastAsia="Calibri"/>
        </w:rPr>
        <w:t>1.6</w:t>
      </w:r>
      <w:r w:rsidR="00657B96" w:rsidRPr="004338BE">
        <w:rPr>
          <w:rFonts w:eastAsia="Calibri"/>
        </w:rPr>
        <w:t>–3.0</w:t>
      </w:r>
      <w:r w:rsidRPr="004338BE">
        <w:rPr>
          <w:rFonts w:eastAsia="Calibri"/>
        </w:rPr>
        <w:t>% DMTHF conversion</w:t>
      </w:r>
      <w:r w:rsidR="001F7295" w:rsidRPr="004338BE">
        <w:rPr>
          <w:rFonts w:eastAsia="Calibri"/>
        </w:rPr>
        <w:t xml:space="preserve">, with only </w:t>
      </w:r>
      <w:r w:rsidR="00657B96" w:rsidRPr="004338BE">
        <w:rPr>
          <w:rFonts w:eastAsia="Calibri"/>
        </w:rPr>
        <w:t>7–</w:t>
      </w:r>
      <w:r w:rsidR="00BD35C1" w:rsidRPr="004338BE">
        <w:rPr>
          <w:rFonts w:eastAsia="Calibri"/>
        </w:rPr>
        <w:t xml:space="preserve">8% of </w:t>
      </w:r>
      <w:r w:rsidR="004C1778" w:rsidRPr="004338BE">
        <w:rPr>
          <w:rFonts w:eastAsia="Calibri"/>
        </w:rPr>
        <w:t>n-</w:t>
      </w:r>
      <w:r w:rsidR="001F7295" w:rsidRPr="004338BE">
        <w:rPr>
          <w:rFonts w:eastAsia="Calibri"/>
        </w:rPr>
        <w:t>hexan</w:t>
      </w:r>
      <w:r w:rsidR="008A139B" w:rsidRPr="004338BE">
        <w:rPr>
          <w:rFonts w:eastAsia="Calibri"/>
        </w:rPr>
        <w:t>e</w:t>
      </w:r>
      <w:r w:rsidR="001F7295" w:rsidRPr="004338BE">
        <w:rPr>
          <w:rFonts w:eastAsia="Calibri"/>
        </w:rPr>
        <w:t xml:space="preserve"> being formed</w:t>
      </w:r>
      <w:r w:rsidR="000075CD" w:rsidRPr="004338BE">
        <w:rPr>
          <w:rFonts w:eastAsia="Calibri"/>
        </w:rPr>
        <w:t xml:space="preserve"> at 90</w:t>
      </w:r>
      <w:r w:rsidR="00657B96" w:rsidRPr="004338BE">
        <w:rPr>
          <w:rFonts w:eastAsia="Calibri"/>
        </w:rPr>
        <w:t>–100</w:t>
      </w:r>
      <w:r w:rsidR="000075CD" w:rsidRPr="004338BE">
        <w:rPr>
          <w:rFonts w:eastAsia="Calibri"/>
        </w:rPr>
        <w:t xml:space="preserve"> </w:t>
      </w:r>
      <w:proofErr w:type="spellStart"/>
      <w:r w:rsidR="000075CD" w:rsidRPr="004338BE">
        <w:rPr>
          <w:rFonts w:eastAsia="Calibri"/>
          <w:vertAlign w:val="superscript"/>
        </w:rPr>
        <w:t>o</w:t>
      </w:r>
      <w:r w:rsidR="000075CD" w:rsidRPr="004338BE">
        <w:rPr>
          <w:rFonts w:eastAsia="Calibri"/>
        </w:rPr>
        <w:t>C</w:t>
      </w:r>
      <w:proofErr w:type="spellEnd"/>
      <w:r w:rsidR="00657B96" w:rsidRPr="004338BE">
        <w:rPr>
          <w:rFonts w:eastAsia="Calibri"/>
        </w:rPr>
        <w:t xml:space="preserve"> (entr</w:t>
      </w:r>
      <w:r w:rsidR="00300B40" w:rsidRPr="004338BE">
        <w:rPr>
          <w:rFonts w:eastAsia="Calibri"/>
        </w:rPr>
        <w:t>ies</w:t>
      </w:r>
      <w:r w:rsidR="00657B96" w:rsidRPr="004338BE">
        <w:rPr>
          <w:rFonts w:eastAsia="Calibri"/>
        </w:rPr>
        <w:t xml:space="preserve"> 2 and 3)</w:t>
      </w:r>
      <w:r w:rsidRPr="004338BE">
        <w:rPr>
          <w:rFonts w:eastAsia="Calibri"/>
        </w:rPr>
        <w:t xml:space="preserve">. Bifunctional Pt/C + </w:t>
      </w:r>
      <w:proofErr w:type="spellStart"/>
      <w:r w:rsidRPr="004338BE">
        <w:rPr>
          <w:rFonts w:eastAsia="Calibri"/>
        </w:rPr>
        <w:t>CsPW</w:t>
      </w:r>
      <w:proofErr w:type="spellEnd"/>
      <w:r w:rsidRPr="004338BE">
        <w:rPr>
          <w:rFonts w:eastAsia="Calibri"/>
        </w:rPr>
        <w:t xml:space="preserve"> catalyst had a fairly good deoxygenation activity</w:t>
      </w:r>
      <w:r w:rsidR="003E1EB2" w:rsidRPr="004338BE">
        <w:rPr>
          <w:rFonts w:eastAsia="Calibri"/>
        </w:rPr>
        <w:t xml:space="preserve"> starting from 60 </w:t>
      </w:r>
      <w:proofErr w:type="spellStart"/>
      <w:r w:rsidR="003E1EB2" w:rsidRPr="004338BE">
        <w:rPr>
          <w:rFonts w:eastAsia="Calibri"/>
          <w:vertAlign w:val="superscript"/>
        </w:rPr>
        <w:t>o</w:t>
      </w:r>
      <w:r w:rsidR="003E1EB2" w:rsidRPr="004338BE">
        <w:rPr>
          <w:rFonts w:eastAsia="Calibri"/>
        </w:rPr>
        <w:t>C</w:t>
      </w:r>
      <w:proofErr w:type="spellEnd"/>
      <w:r w:rsidR="000B5564" w:rsidRPr="004338BE">
        <w:rPr>
          <w:rFonts w:eastAsia="Calibri"/>
        </w:rPr>
        <w:t xml:space="preserve"> with 74% </w:t>
      </w:r>
      <w:r w:rsidR="004C1778" w:rsidRPr="004338BE">
        <w:rPr>
          <w:rFonts w:eastAsia="Calibri"/>
        </w:rPr>
        <w:t>n-</w:t>
      </w:r>
      <w:r w:rsidR="000B5564" w:rsidRPr="004338BE">
        <w:rPr>
          <w:rFonts w:eastAsia="Calibri"/>
        </w:rPr>
        <w:t>hexane selectivity</w:t>
      </w:r>
      <w:r w:rsidR="003E1EB2" w:rsidRPr="004338BE">
        <w:rPr>
          <w:rFonts w:eastAsia="Calibri"/>
        </w:rPr>
        <w:t xml:space="preserve"> (entry 4). It</w:t>
      </w:r>
      <w:r w:rsidRPr="004338BE">
        <w:rPr>
          <w:rFonts w:eastAsia="Calibri"/>
        </w:rPr>
        <w:t xml:space="preserve"> g</w:t>
      </w:r>
      <w:r w:rsidR="003E1EB2" w:rsidRPr="004338BE">
        <w:rPr>
          <w:rFonts w:eastAsia="Calibri"/>
        </w:rPr>
        <w:t>a</w:t>
      </w:r>
      <w:r w:rsidRPr="004338BE">
        <w:rPr>
          <w:rFonts w:eastAsia="Calibri"/>
        </w:rPr>
        <w:t xml:space="preserve">ve &gt;99% </w:t>
      </w:r>
      <w:r w:rsidR="004C1778" w:rsidRPr="004338BE">
        <w:rPr>
          <w:rFonts w:eastAsia="Calibri"/>
        </w:rPr>
        <w:t>n-</w:t>
      </w:r>
      <w:r w:rsidRPr="004338BE">
        <w:rPr>
          <w:rFonts w:eastAsia="Calibri"/>
        </w:rPr>
        <w:t xml:space="preserve">hexane selectivity at 44% DMTHF conversion at 90 </w:t>
      </w:r>
      <w:proofErr w:type="spellStart"/>
      <w:r w:rsidRPr="004338BE">
        <w:rPr>
          <w:rFonts w:eastAsia="Calibri"/>
          <w:vertAlign w:val="superscript"/>
        </w:rPr>
        <w:t>o</w:t>
      </w:r>
      <w:r w:rsidRPr="004338BE">
        <w:rPr>
          <w:rFonts w:eastAsia="Calibri"/>
        </w:rPr>
        <w:t>C</w:t>
      </w:r>
      <w:proofErr w:type="spellEnd"/>
      <w:r w:rsidR="000B5564" w:rsidRPr="004338BE">
        <w:rPr>
          <w:rFonts w:eastAsia="Calibri"/>
        </w:rPr>
        <w:t xml:space="preserve"> (entry 6)</w:t>
      </w:r>
      <w:r w:rsidRPr="004338BE">
        <w:rPr>
          <w:rFonts w:eastAsia="Calibri"/>
        </w:rPr>
        <w:t xml:space="preserve"> and 71% conversion at 100 </w:t>
      </w:r>
      <w:proofErr w:type="spellStart"/>
      <w:r w:rsidRPr="004338BE">
        <w:rPr>
          <w:rFonts w:eastAsia="Calibri"/>
          <w:vertAlign w:val="superscript"/>
        </w:rPr>
        <w:t>o</w:t>
      </w:r>
      <w:r w:rsidRPr="004338BE">
        <w:rPr>
          <w:rFonts w:eastAsia="Calibri"/>
        </w:rPr>
        <w:t>C</w:t>
      </w:r>
      <w:proofErr w:type="spellEnd"/>
      <w:r w:rsidR="000B5564" w:rsidRPr="004338BE">
        <w:rPr>
          <w:rFonts w:eastAsia="Calibri"/>
        </w:rPr>
        <w:t xml:space="preserve"> (entry 7)</w:t>
      </w:r>
      <w:r w:rsidRPr="004338BE">
        <w:rPr>
          <w:rFonts w:eastAsia="Calibri"/>
        </w:rPr>
        <w:t xml:space="preserve">. </w:t>
      </w:r>
      <w:r w:rsidR="001433C1" w:rsidRPr="004338BE">
        <w:rPr>
          <w:rFonts w:eastAsia="Calibri"/>
        </w:rPr>
        <w:t xml:space="preserve">100% DMTHF conversion at &gt;99% </w:t>
      </w:r>
      <w:r w:rsidR="00A161ED" w:rsidRPr="004338BE">
        <w:rPr>
          <w:rFonts w:eastAsia="Calibri"/>
        </w:rPr>
        <w:t>n-</w:t>
      </w:r>
      <w:r w:rsidR="001433C1" w:rsidRPr="004338BE">
        <w:rPr>
          <w:rFonts w:eastAsia="Calibri"/>
        </w:rPr>
        <w:t xml:space="preserve">hexane selectivity was obtained at 120 </w:t>
      </w:r>
      <w:proofErr w:type="spellStart"/>
      <w:r w:rsidR="001433C1" w:rsidRPr="004338BE">
        <w:rPr>
          <w:rFonts w:eastAsia="Calibri"/>
          <w:vertAlign w:val="superscript"/>
        </w:rPr>
        <w:t>o</w:t>
      </w:r>
      <w:r w:rsidR="001433C1" w:rsidRPr="004338BE">
        <w:rPr>
          <w:rFonts w:eastAsia="Calibri"/>
        </w:rPr>
        <w:t>C</w:t>
      </w:r>
      <w:proofErr w:type="spellEnd"/>
      <w:r w:rsidR="000B5564" w:rsidRPr="004338BE">
        <w:rPr>
          <w:rFonts w:eastAsia="Calibri"/>
        </w:rPr>
        <w:t xml:space="preserve"> (entry 8)</w:t>
      </w:r>
      <w:r w:rsidR="001433C1" w:rsidRPr="004338BE">
        <w:rPr>
          <w:rFonts w:eastAsia="Calibri"/>
        </w:rPr>
        <w:t>.</w:t>
      </w:r>
      <w:r w:rsidR="006A3C14" w:rsidRPr="004338BE">
        <w:rPr>
          <w:rFonts w:eastAsia="Calibri"/>
        </w:rPr>
        <w:t xml:space="preserve"> </w:t>
      </w:r>
      <w:r w:rsidR="006A3C14" w:rsidRPr="004338BE">
        <w:rPr>
          <w:iCs/>
          <w:lang w:eastAsia="en-GB"/>
        </w:rPr>
        <w:t xml:space="preserve">At such conditions no n-hexane isomerisation </w:t>
      </w:r>
      <w:r w:rsidR="006D7C01" w:rsidRPr="004338BE">
        <w:t>occurred</w:t>
      </w:r>
      <w:r w:rsidR="006A3C14" w:rsidRPr="004338BE">
        <w:t xml:space="preserve"> allowing complete conversion of DMTHF to alkane without carbon chain alteration.</w:t>
      </w:r>
      <w:r w:rsidR="004C1778" w:rsidRPr="004338BE">
        <w:t xml:space="preserve"> The isomerisation of n-hexane on Pt–</w:t>
      </w:r>
      <w:proofErr w:type="spellStart"/>
      <w:r w:rsidR="004C1778" w:rsidRPr="004338BE">
        <w:t>CsPW</w:t>
      </w:r>
      <w:proofErr w:type="spellEnd"/>
      <w:r w:rsidR="004C1778" w:rsidRPr="004338BE">
        <w:t xml:space="preserve"> occurs at higher temperatures, &gt;150 </w:t>
      </w:r>
      <w:proofErr w:type="spellStart"/>
      <w:r w:rsidR="004C1778" w:rsidRPr="004338BE">
        <w:rPr>
          <w:vertAlign w:val="superscript"/>
        </w:rPr>
        <w:t>o</w:t>
      </w:r>
      <w:r w:rsidR="004C1778" w:rsidRPr="004338BE">
        <w:t>C</w:t>
      </w:r>
      <w:proofErr w:type="spellEnd"/>
      <w:r w:rsidR="004C1778" w:rsidRPr="004338BE">
        <w:t xml:space="preserve"> [</w:t>
      </w:r>
      <w:r w:rsidR="000B5AF8" w:rsidRPr="004338BE">
        <w:t>30</w:t>
      </w:r>
      <w:r w:rsidR="004C1778" w:rsidRPr="004338BE">
        <w:t>].</w:t>
      </w:r>
      <w:r w:rsidR="001433C1" w:rsidRPr="004338BE">
        <w:rPr>
          <w:rFonts w:eastAsia="Calibri"/>
        </w:rPr>
        <w:t xml:space="preserve"> </w:t>
      </w:r>
      <w:r w:rsidRPr="004338BE">
        <w:rPr>
          <w:rFonts w:eastAsia="Calibri"/>
        </w:rPr>
        <w:t>These results clearly show that for the efficient HDO of DMTHF both Pt and H</w:t>
      </w:r>
      <w:r w:rsidRPr="004338BE">
        <w:rPr>
          <w:rFonts w:eastAsia="Calibri"/>
          <w:vertAlign w:val="superscript"/>
        </w:rPr>
        <w:t>+</w:t>
      </w:r>
      <w:r w:rsidRPr="004338BE">
        <w:rPr>
          <w:rFonts w:eastAsia="Calibri"/>
        </w:rPr>
        <w:t xml:space="preserve"> sites are required, like in the case of HDO of DMF</w:t>
      </w:r>
      <w:r w:rsidR="002225EF" w:rsidRPr="004338BE">
        <w:rPr>
          <w:rFonts w:eastAsia="Calibri"/>
        </w:rPr>
        <w:t xml:space="preserve"> [2</w:t>
      </w:r>
      <w:r w:rsidR="009948F4" w:rsidRPr="004338BE">
        <w:rPr>
          <w:rFonts w:eastAsia="Calibri"/>
        </w:rPr>
        <w:t>1</w:t>
      </w:r>
      <w:r w:rsidR="002225EF" w:rsidRPr="004338BE">
        <w:rPr>
          <w:rFonts w:eastAsia="Calibri"/>
        </w:rPr>
        <w:t>]</w:t>
      </w:r>
      <w:r w:rsidRPr="004338BE">
        <w:rPr>
          <w:rFonts w:eastAsia="Calibri"/>
        </w:rPr>
        <w:t xml:space="preserve">. </w:t>
      </w:r>
      <w:r w:rsidR="00300B40" w:rsidRPr="004338BE">
        <w:rPr>
          <w:rFonts w:eastAsia="Calibri"/>
        </w:rPr>
        <w:t>As expected, Pd–</w:t>
      </w:r>
      <w:proofErr w:type="spellStart"/>
      <w:r w:rsidR="00300B40" w:rsidRPr="004338BE">
        <w:rPr>
          <w:rFonts w:eastAsia="Calibri"/>
        </w:rPr>
        <w:t>CsPW</w:t>
      </w:r>
      <w:proofErr w:type="spellEnd"/>
      <w:r w:rsidR="00300B40" w:rsidRPr="004338BE">
        <w:rPr>
          <w:rFonts w:eastAsia="Calibri"/>
        </w:rPr>
        <w:t xml:space="preserve"> bifunctional catalyst had a much lower HDO activity </w:t>
      </w:r>
      <w:r w:rsidR="00937621" w:rsidRPr="004338BE">
        <w:rPr>
          <w:rFonts w:eastAsia="Calibri"/>
        </w:rPr>
        <w:t>compared to</w:t>
      </w:r>
      <w:r w:rsidR="00300B40" w:rsidRPr="004338BE">
        <w:rPr>
          <w:rFonts w:eastAsia="Calibri"/>
        </w:rPr>
        <w:t xml:space="preserve"> Pt–</w:t>
      </w:r>
      <w:proofErr w:type="spellStart"/>
      <w:r w:rsidR="00300B40" w:rsidRPr="004338BE">
        <w:rPr>
          <w:rFonts w:eastAsia="Calibri"/>
        </w:rPr>
        <w:t>CsPW</w:t>
      </w:r>
      <w:proofErr w:type="spellEnd"/>
      <w:r w:rsidR="00300B40" w:rsidRPr="004338BE">
        <w:rPr>
          <w:rFonts w:eastAsia="Calibri"/>
        </w:rPr>
        <w:t xml:space="preserve">; Pd/C + </w:t>
      </w:r>
      <w:proofErr w:type="spellStart"/>
      <w:r w:rsidR="00300B40" w:rsidRPr="004338BE">
        <w:rPr>
          <w:rFonts w:eastAsia="Calibri"/>
        </w:rPr>
        <w:t>CsPW</w:t>
      </w:r>
      <w:proofErr w:type="spellEnd"/>
      <w:r w:rsidR="00300B40" w:rsidRPr="004338BE">
        <w:rPr>
          <w:rFonts w:eastAsia="Calibri"/>
        </w:rPr>
        <w:t xml:space="preserve"> gave</w:t>
      </w:r>
      <w:r w:rsidR="005F77B8" w:rsidRPr="004338BE">
        <w:rPr>
          <w:rFonts w:eastAsia="Calibri"/>
        </w:rPr>
        <w:t xml:space="preserve"> only</w:t>
      </w:r>
      <w:r w:rsidR="00300B40" w:rsidRPr="004338BE">
        <w:rPr>
          <w:rFonts w:eastAsia="Calibri"/>
        </w:rPr>
        <w:t xml:space="preserve"> 1</w:t>
      </w:r>
      <w:r w:rsidR="00E51C91" w:rsidRPr="004338BE">
        <w:rPr>
          <w:rFonts w:eastAsia="Calibri"/>
        </w:rPr>
        <w:t>–</w:t>
      </w:r>
      <w:r w:rsidR="00300B40" w:rsidRPr="004338BE">
        <w:rPr>
          <w:rFonts w:eastAsia="Calibri"/>
        </w:rPr>
        <w:t xml:space="preserve">5% DMTHF conversion at 90–91% </w:t>
      </w:r>
      <w:r w:rsidR="004C1778" w:rsidRPr="004338BE">
        <w:rPr>
          <w:rFonts w:eastAsia="Calibri"/>
        </w:rPr>
        <w:t>n-</w:t>
      </w:r>
      <w:r w:rsidR="00300B40" w:rsidRPr="004338BE">
        <w:rPr>
          <w:rFonts w:eastAsia="Calibri"/>
        </w:rPr>
        <w:t xml:space="preserve">hexane selectivity at 90–100 </w:t>
      </w:r>
      <w:proofErr w:type="spellStart"/>
      <w:r w:rsidR="00300B40" w:rsidRPr="004338BE">
        <w:rPr>
          <w:rFonts w:eastAsia="Calibri"/>
          <w:vertAlign w:val="superscript"/>
        </w:rPr>
        <w:t>o</w:t>
      </w:r>
      <w:r w:rsidR="00300B40" w:rsidRPr="004338BE">
        <w:rPr>
          <w:rFonts w:eastAsia="Calibri"/>
        </w:rPr>
        <w:t>C</w:t>
      </w:r>
      <w:proofErr w:type="spellEnd"/>
      <w:r w:rsidR="00300B40" w:rsidRPr="004338BE">
        <w:rPr>
          <w:rFonts w:eastAsia="Calibri"/>
        </w:rPr>
        <w:t xml:space="preserve"> (entries 9 and 10). </w:t>
      </w:r>
    </w:p>
    <w:p w14:paraId="7B5BF4CC" w14:textId="147F2A2F" w:rsidR="004B0B5C" w:rsidRPr="004338BE" w:rsidRDefault="00F515D9" w:rsidP="002202DF">
      <w:pPr>
        <w:spacing w:after="0" w:line="480" w:lineRule="auto"/>
        <w:jc w:val="both"/>
        <w:rPr>
          <w:rFonts w:eastAsia="Calibri"/>
          <w:bCs/>
        </w:rPr>
      </w:pPr>
      <w:r w:rsidRPr="004338BE">
        <w:rPr>
          <w:rFonts w:eastAsia="Calibri"/>
          <w:bCs/>
        </w:rPr>
        <w:tab/>
      </w:r>
      <w:r w:rsidR="00CB3956" w:rsidRPr="004338BE">
        <w:rPr>
          <w:rFonts w:eastAsia="Calibri"/>
          <w:bCs/>
        </w:rPr>
        <w:t>While</w:t>
      </w:r>
      <w:r w:rsidRPr="004338BE">
        <w:rPr>
          <w:rFonts w:eastAsia="Calibri"/>
          <w:bCs/>
        </w:rPr>
        <w:t xml:space="preserve"> Pt </w:t>
      </w:r>
      <w:r w:rsidR="004F3CDE" w:rsidRPr="004338BE">
        <w:rPr>
          <w:rFonts w:eastAsia="Calibri"/>
          <w:bCs/>
        </w:rPr>
        <w:t>is</w:t>
      </w:r>
      <w:r w:rsidRPr="004338BE">
        <w:rPr>
          <w:rFonts w:eastAsia="Calibri"/>
          <w:bCs/>
        </w:rPr>
        <w:t xml:space="preserve"> the key </w:t>
      </w:r>
      <w:r w:rsidR="004F3CDE" w:rsidRPr="004338BE">
        <w:rPr>
          <w:rFonts w:eastAsia="Calibri"/>
          <w:bCs/>
        </w:rPr>
        <w:t>to the HD</w:t>
      </w:r>
      <w:r w:rsidR="000A7E01" w:rsidRPr="004338BE">
        <w:rPr>
          <w:rFonts w:eastAsia="Calibri"/>
          <w:bCs/>
        </w:rPr>
        <w:t>O</w:t>
      </w:r>
      <w:r w:rsidR="004F3CDE" w:rsidRPr="004338BE">
        <w:rPr>
          <w:rFonts w:eastAsia="Calibri"/>
          <w:bCs/>
        </w:rPr>
        <w:t xml:space="preserve"> of </w:t>
      </w:r>
      <w:proofErr w:type="spellStart"/>
      <w:r w:rsidR="004F3CDE" w:rsidRPr="004338BE">
        <w:rPr>
          <w:rFonts w:eastAsia="Calibri"/>
          <w:bCs/>
        </w:rPr>
        <w:t>furanics</w:t>
      </w:r>
      <w:proofErr w:type="spellEnd"/>
      <w:r w:rsidRPr="004338BE">
        <w:rPr>
          <w:rFonts w:eastAsia="Calibri"/>
          <w:bCs/>
        </w:rPr>
        <w:t xml:space="preserve">, the acid co-catalyst can also have </w:t>
      </w:r>
      <w:r w:rsidR="004F3CDE" w:rsidRPr="004338BE">
        <w:rPr>
          <w:rFonts w:eastAsia="Calibri"/>
          <w:bCs/>
        </w:rPr>
        <w:t xml:space="preserve">a </w:t>
      </w:r>
      <w:r w:rsidRPr="004338BE">
        <w:rPr>
          <w:rFonts w:eastAsia="Calibri"/>
          <w:bCs/>
        </w:rPr>
        <w:t xml:space="preserve">significant effect on the </w:t>
      </w:r>
      <w:r w:rsidR="004F3CDE" w:rsidRPr="004338BE">
        <w:rPr>
          <w:rFonts w:eastAsia="Calibri"/>
          <w:bCs/>
        </w:rPr>
        <w:t>performance</w:t>
      </w:r>
      <w:r w:rsidRPr="004338BE">
        <w:rPr>
          <w:rFonts w:eastAsia="Calibri"/>
          <w:bCs/>
        </w:rPr>
        <w:t xml:space="preserve"> of bifunctional metal-acid catalyst</w:t>
      </w:r>
      <w:r w:rsidR="004F3CDE" w:rsidRPr="004338BE">
        <w:rPr>
          <w:rFonts w:eastAsia="Calibri"/>
          <w:bCs/>
        </w:rPr>
        <w:t xml:space="preserve"> [2</w:t>
      </w:r>
      <w:r w:rsidR="009948F4" w:rsidRPr="004338BE">
        <w:rPr>
          <w:rFonts w:eastAsia="Calibri"/>
          <w:bCs/>
        </w:rPr>
        <w:t>1</w:t>
      </w:r>
      <w:r w:rsidR="004F3CDE" w:rsidRPr="004338BE">
        <w:rPr>
          <w:rFonts w:eastAsia="Calibri"/>
          <w:bCs/>
        </w:rPr>
        <w:t>]</w:t>
      </w:r>
      <w:r w:rsidRPr="004338BE">
        <w:rPr>
          <w:rFonts w:eastAsia="Calibri"/>
          <w:bCs/>
        </w:rPr>
        <w:t>.</w:t>
      </w:r>
      <w:r w:rsidR="005C2A5C" w:rsidRPr="004338BE">
        <w:rPr>
          <w:rFonts w:eastAsia="Calibri"/>
          <w:bCs/>
        </w:rPr>
        <w:t xml:space="preserve"> In HD</w:t>
      </w:r>
      <w:r w:rsidR="00502639" w:rsidRPr="004338BE">
        <w:rPr>
          <w:rFonts w:eastAsia="Calibri"/>
          <w:bCs/>
        </w:rPr>
        <w:t>O</w:t>
      </w:r>
      <w:r w:rsidR="005C2A5C" w:rsidRPr="004338BE">
        <w:rPr>
          <w:rFonts w:eastAsia="Calibri"/>
          <w:bCs/>
        </w:rPr>
        <w:t xml:space="preserve"> of </w:t>
      </w:r>
      <w:r w:rsidR="005C2A5C" w:rsidRPr="004338BE">
        <w:rPr>
          <w:rFonts w:eastAsia="Calibri"/>
          <w:bCs/>
        </w:rPr>
        <w:lastRenderedPageBreak/>
        <w:t xml:space="preserve">DMTHF, </w:t>
      </w:r>
      <w:r w:rsidR="003137DB" w:rsidRPr="004338BE">
        <w:rPr>
          <w:rFonts w:eastAsia="Calibri"/>
          <w:bCs/>
        </w:rPr>
        <w:t>the acid co-catalyst will enhance the rate of dehydration of 2-hexanol (</w:t>
      </w:r>
      <w:r w:rsidR="00135DD0" w:rsidRPr="004338BE">
        <w:rPr>
          <w:rFonts w:eastAsia="Calibri"/>
          <w:bCs/>
        </w:rPr>
        <w:t>S</w:t>
      </w:r>
      <w:r w:rsidR="003137DB" w:rsidRPr="004338BE">
        <w:rPr>
          <w:rFonts w:eastAsia="Calibri"/>
          <w:bCs/>
        </w:rPr>
        <w:t>cheme 1)</w:t>
      </w:r>
      <w:r w:rsidR="00F02F7A" w:rsidRPr="004338BE">
        <w:rPr>
          <w:rFonts w:eastAsia="Calibri"/>
          <w:bCs/>
        </w:rPr>
        <w:t>,</w:t>
      </w:r>
      <w:r w:rsidR="003137DB" w:rsidRPr="004338BE">
        <w:rPr>
          <w:rFonts w:eastAsia="Calibri"/>
          <w:bCs/>
        </w:rPr>
        <w:t xml:space="preserve"> thus affecting the selectivity to hexane.</w:t>
      </w:r>
      <w:r w:rsidR="004F35E4" w:rsidRPr="004338BE">
        <w:rPr>
          <w:rFonts w:eastAsia="Calibri"/>
          <w:bCs/>
        </w:rPr>
        <w:t xml:space="preserve"> It has been demonstrated that the rate of alcohol dehydration over HPA catalysts correlates with the HPA acid strength [</w:t>
      </w:r>
      <w:r w:rsidR="009948F4" w:rsidRPr="004338BE">
        <w:rPr>
          <w:rFonts w:eastAsia="Calibri"/>
          <w:bCs/>
        </w:rPr>
        <w:t>3</w:t>
      </w:r>
      <w:r w:rsidR="000B5AF8" w:rsidRPr="004338BE">
        <w:rPr>
          <w:rFonts w:eastAsia="Calibri"/>
          <w:bCs/>
        </w:rPr>
        <w:t>1</w:t>
      </w:r>
      <w:r w:rsidR="004F35E4" w:rsidRPr="004338BE">
        <w:rPr>
          <w:rFonts w:eastAsia="Calibri"/>
          <w:bCs/>
        </w:rPr>
        <w:t>].</w:t>
      </w:r>
      <w:r w:rsidR="003137DB" w:rsidRPr="004338BE">
        <w:rPr>
          <w:rFonts w:eastAsia="Calibri"/>
          <w:bCs/>
        </w:rPr>
        <w:t xml:space="preserve"> </w:t>
      </w:r>
      <w:r w:rsidR="004F35E4" w:rsidRPr="004338BE">
        <w:rPr>
          <w:rFonts w:eastAsia="Calibri"/>
          <w:bCs/>
        </w:rPr>
        <w:t>Acid co-catalysts</w:t>
      </w:r>
      <w:r w:rsidR="003137DB" w:rsidRPr="004338BE">
        <w:rPr>
          <w:rFonts w:eastAsia="Calibri"/>
          <w:bCs/>
        </w:rPr>
        <w:t xml:space="preserve"> may also enhance the rate of the preceding step of DMTHF hydrogenolysis on Pt sites through kinetic coupling (see sect. 3.2 below).</w:t>
      </w:r>
      <w:r w:rsidR="004F35E4" w:rsidRPr="004338BE">
        <w:rPr>
          <w:rFonts w:eastAsia="Calibri"/>
          <w:bCs/>
        </w:rPr>
        <w:t xml:space="preserve"> </w:t>
      </w:r>
      <w:r w:rsidR="004F3CDE" w:rsidRPr="004338BE">
        <w:rPr>
          <w:rFonts w:eastAsia="Calibri"/>
          <w:bCs/>
        </w:rPr>
        <w:t>Table 3 shows the effect of</w:t>
      </w:r>
      <w:r w:rsidRPr="004338BE">
        <w:rPr>
          <w:rFonts w:eastAsia="Calibri"/>
          <w:bCs/>
        </w:rPr>
        <w:t xml:space="preserve"> </w:t>
      </w:r>
      <w:proofErr w:type="spellStart"/>
      <w:r w:rsidRPr="004338BE">
        <w:rPr>
          <w:rFonts w:eastAsia="Calibri"/>
          <w:bCs/>
        </w:rPr>
        <w:t>Brønsted</w:t>
      </w:r>
      <w:proofErr w:type="spellEnd"/>
      <w:r w:rsidRPr="004338BE">
        <w:rPr>
          <w:rFonts w:eastAsia="Calibri"/>
          <w:bCs/>
        </w:rPr>
        <w:t xml:space="preserve"> acid</w:t>
      </w:r>
      <w:r w:rsidR="004F3CDE" w:rsidRPr="004338BE">
        <w:rPr>
          <w:rFonts w:eastAsia="Calibri"/>
          <w:bCs/>
        </w:rPr>
        <w:t xml:space="preserve"> co-catalyst</w:t>
      </w:r>
      <w:r w:rsidR="00F57B31" w:rsidRPr="004338BE">
        <w:rPr>
          <w:rFonts w:eastAsia="Calibri"/>
          <w:bCs/>
        </w:rPr>
        <w:t xml:space="preserve"> </w:t>
      </w:r>
      <w:r w:rsidR="004F3CDE" w:rsidRPr="004338BE">
        <w:rPr>
          <w:rFonts w:eastAsia="Calibri"/>
          <w:bCs/>
        </w:rPr>
        <w:t>by comparing</w:t>
      </w:r>
      <w:r w:rsidRPr="004338BE">
        <w:rPr>
          <w:rFonts w:eastAsia="Calibri"/>
          <w:bCs/>
        </w:rPr>
        <w:t xml:space="preserve"> </w:t>
      </w:r>
      <w:proofErr w:type="spellStart"/>
      <w:r w:rsidRPr="004338BE">
        <w:rPr>
          <w:rFonts w:eastAsia="Calibri"/>
          <w:bCs/>
        </w:rPr>
        <w:t>CsPW</w:t>
      </w:r>
      <w:proofErr w:type="spellEnd"/>
      <w:r w:rsidR="004F3CDE" w:rsidRPr="004338BE">
        <w:rPr>
          <w:rFonts w:eastAsia="Calibri"/>
          <w:bCs/>
        </w:rPr>
        <w:t xml:space="preserve"> with zeolite HZSM-5</w:t>
      </w:r>
      <w:r w:rsidR="0098175C" w:rsidRPr="004338BE">
        <w:rPr>
          <w:rFonts w:eastAsia="Calibri"/>
          <w:bCs/>
        </w:rPr>
        <w:t xml:space="preserve"> at the same Pt/C amount</w:t>
      </w:r>
      <w:r w:rsidR="00581AA8" w:rsidRPr="004338BE">
        <w:rPr>
          <w:rFonts w:eastAsia="Calibri"/>
          <w:bCs/>
        </w:rPr>
        <w:t xml:space="preserve"> at </w:t>
      </w:r>
      <w:r w:rsidR="0098175C" w:rsidRPr="004338BE">
        <w:rPr>
          <w:rFonts w:eastAsia="Calibri"/>
          <w:bCs/>
        </w:rPr>
        <w:t xml:space="preserve">80 </w:t>
      </w:r>
      <w:proofErr w:type="spellStart"/>
      <w:r w:rsidR="0098175C" w:rsidRPr="004338BE">
        <w:rPr>
          <w:rFonts w:eastAsia="Calibri"/>
          <w:bCs/>
          <w:vertAlign w:val="superscript"/>
        </w:rPr>
        <w:t>o</w:t>
      </w:r>
      <w:r w:rsidR="0098175C" w:rsidRPr="004338BE">
        <w:rPr>
          <w:rFonts w:eastAsia="Calibri"/>
          <w:bCs/>
        </w:rPr>
        <w:t>C</w:t>
      </w:r>
      <w:proofErr w:type="spellEnd"/>
      <w:r w:rsidR="00806DE2" w:rsidRPr="004338BE">
        <w:rPr>
          <w:rFonts w:eastAsia="Calibri"/>
          <w:bCs/>
        </w:rPr>
        <w:t xml:space="preserve"> under kinetic control (DMTHF conversion 2.4–11%)</w:t>
      </w:r>
      <w:r w:rsidRPr="004338BE">
        <w:rPr>
          <w:rFonts w:eastAsia="Calibri"/>
          <w:bCs/>
        </w:rPr>
        <w:t>.</w:t>
      </w:r>
      <w:r w:rsidR="004F3CDE" w:rsidRPr="004338BE">
        <w:rPr>
          <w:rFonts w:eastAsia="Calibri"/>
          <w:bCs/>
        </w:rPr>
        <w:t xml:space="preserve"> </w:t>
      </w:r>
      <w:r w:rsidR="004A6DD6" w:rsidRPr="004338BE">
        <w:rPr>
          <w:rFonts w:eastAsia="Calibri"/>
          <w:bCs/>
        </w:rPr>
        <w:t>The</w:t>
      </w:r>
      <w:r w:rsidR="00DB012A" w:rsidRPr="004338BE">
        <w:rPr>
          <w:rFonts w:eastAsia="Calibri"/>
          <w:bCs/>
        </w:rPr>
        <w:t xml:space="preserve">se acids differ significantly both in their strength and proton site density. </w:t>
      </w:r>
      <w:proofErr w:type="spellStart"/>
      <w:r w:rsidR="004F3CDE" w:rsidRPr="004338BE">
        <w:rPr>
          <w:rFonts w:eastAsia="Calibri"/>
          <w:bCs/>
        </w:rPr>
        <w:t>CsPW</w:t>
      </w:r>
      <w:proofErr w:type="spellEnd"/>
      <w:r w:rsidR="00391F0F" w:rsidRPr="004338BE">
        <w:rPr>
          <w:rFonts w:eastAsia="Calibri"/>
          <w:bCs/>
        </w:rPr>
        <w:t xml:space="preserve"> has strong proton sites with an initial enthalpy of ammonia adsorption Δ</w:t>
      </w:r>
      <w:r w:rsidR="00391F0F" w:rsidRPr="004338BE">
        <w:rPr>
          <w:rFonts w:eastAsia="Calibri"/>
          <w:bCs/>
          <w:i/>
        </w:rPr>
        <w:t>H</w:t>
      </w:r>
      <w:r w:rsidR="00391F0F" w:rsidRPr="004338BE">
        <w:rPr>
          <w:rFonts w:eastAsia="Calibri"/>
          <w:bCs/>
        </w:rPr>
        <w:t xml:space="preserve"> = –164 kJ mol</w:t>
      </w:r>
      <w:r w:rsidR="00391F0F" w:rsidRPr="004338BE">
        <w:rPr>
          <w:rFonts w:eastAsia="Calibri"/>
          <w:bCs/>
          <w:vertAlign w:val="superscript"/>
        </w:rPr>
        <w:t>-1</w:t>
      </w:r>
      <w:r w:rsidR="00391F0F" w:rsidRPr="004338BE">
        <w:rPr>
          <w:rFonts w:eastAsia="Calibri"/>
          <w:bCs/>
        </w:rPr>
        <w:t xml:space="preserve"> [3</w:t>
      </w:r>
      <w:r w:rsidR="000B5AF8" w:rsidRPr="004338BE">
        <w:rPr>
          <w:rFonts w:eastAsia="Calibri"/>
          <w:bCs/>
        </w:rPr>
        <w:t>1</w:t>
      </w:r>
      <w:r w:rsidR="00391F0F" w:rsidRPr="004338BE">
        <w:rPr>
          <w:rFonts w:eastAsia="Calibri"/>
          <w:bCs/>
        </w:rPr>
        <w:t>]</w:t>
      </w:r>
      <w:r w:rsidR="00DB012A" w:rsidRPr="004338BE">
        <w:rPr>
          <w:rFonts w:eastAsia="Calibri"/>
          <w:bCs/>
        </w:rPr>
        <w:t>, but</w:t>
      </w:r>
      <w:r w:rsidR="00A70896" w:rsidRPr="004338BE">
        <w:rPr>
          <w:rFonts w:eastAsia="Calibri"/>
          <w:bCs/>
        </w:rPr>
        <w:t xml:space="preserve"> it has</w:t>
      </w:r>
      <w:r w:rsidR="00DB012A" w:rsidRPr="004338BE">
        <w:rPr>
          <w:rFonts w:eastAsia="Calibri"/>
          <w:bCs/>
        </w:rPr>
        <w:t xml:space="preserve"> </w:t>
      </w:r>
      <w:r w:rsidR="002E0CE9" w:rsidRPr="004338BE">
        <w:rPr>
          <w:rFonts w:eastAsia="Calibri"/>
          <w:bCs/>
        </w:rPr>
        <w:t>a</w:t>
      </w:r>
      <w:r w:rsidR="00DB012A" w:rsidRPr="004338BE">
        <w:rPr>
          <w:rFonts w:eastAsia="Calibri"/>
          <w:bCs/>
        </w:rPr>
        <w:t xml:space="preserve"> low proton site density of 0.08</w:t>
      </w:r>
      <w:r w:rsidR="004A1722" w:rsidRPr="004338BE">
        <w:rPr>
          <w:rFonts w:eastAsia="Calibri"/>
          <w:bCs/>
        </w:rPr>
        <w:t>0</w:t>
      </w:r>
      <w:r w:rsidR="00DB012A" w:rsidRPr="004338BE">
        <w:rPr>
          <w:rFonts w:eastAsia="Calibri"/>
          <w:bCs/>
        </w:rPr>
        <w:t xml:space="preserve"> mmol g</w:t>
      </w:r>
      <w:r w:rsidR="00DB012A" w:rsidRPr="004338BE">
        <w:rPr>
          <w:rFonts w:eastAsia="Calibri"/>
          <w:bCs/>
          <w:vertAlign w:val="superscript"/>
        </w:rPr>
        <w:t>-1</w:t>
      </w:r>
      <w:r w:rsidR="00391F0F" w:rsidRPr="004338BE">
        <w:rPr>
          <w:rFonts w:eastAsia="Calibri"/>
          <w:bCs/>
        </w:rPr>
        <w:t>.</w:t>
      </w:r>
      <w:r w:rsidRPr="004338BE">
        <w:rPr>
          <w:rFonts w:eastAsia="Calibri"/>
          <w:bCs/>
        </w:rPr>
        <w:t xml:space="preserve"> </w:t>
      </w:r>
      <w:r w:rsidR="00941C4C" w:rsidRPr="004338BE">
        <w:rPr>
          <w:rFonts w:eastAsia="Calibri"/>
          <w:bCs/>
        </w:rPr>
        <w:t>The zeolite</w:t>
      </w:r>
      <w:r w:rsidR="0081752F" w:rsidRPr="004338BE">
        <w:rPr>
          <w:rFonts w:eastAsia="Calibri"/>
          <w:bCs/>
        </w:rPr>
        <w:t xml:space="preserve"> ha</w:t>
      </w:r>
      <w:r w:rsidR="00FC7591" w:rsidRPr="004338BE">
        <w:rPr>
          <w:rFonts w:eastAsia="Calibri"/>
          <w:bCs/>
        </w:rPr>
        <w:t>s</w:t>
      </w:r>
      <w:r w:rsidR="0081752F" w:rsidRPr="004338BE">
        <w:rPr>
          <w:rFonts w:eastAsia="Calibri"/>
          <w:bCs/>
        </w:rPr>
        <w:t xml:space="preserve"> weaker proton sites, Δ</w:t>
      </w:r>
      <w:r w:rsidR="0081752F" w:rsidRPr="004338BE">
        <w:rPr>
          <w:rFonts w:eastAsia="Calibri"/>
          <w:bCs/>
          <w:i/>
        </w:rPr>
        <w:t>H</w:t>
      </w:r>
      <w:r w:rsidR="0081752F" w:rsidRPr="004338BE">
        <w:rPr>
          <w:rFonts w:eastAsia="Calibri"/>
          <w:bCs/>
        </w:rPr>
        <w:t xml:space="preserve"> = –130 kJ mol</w:t>
      </w:r>
      <w:r w:rsidR="0081752F" w:rsidRPr="004338BE">
        <w:rPr>
          <w:rFonts w:eastAsia="Calibri"/>
          <w:bCs/>
          <w:vertAlign w:val="superscript"/>
        </w:rPr>
        <w:t>-1</w:t>
      </w:r>
      <w:r w:rsidR="0081752F" w:rsidRPr="004338BE">
        <w:rPr>
          <w:rFonts w:eastAsia="Calibri"/>
          <w:bCs/>
        </w:rPr>
        <w:t xml:space="preserve"> [3</w:t>
      </w:r>
      <w:r w:rsidR="000B5AF8" w:rsidRPr="004338BE">
        <w:rPr>
          <w:rFonts w:eastAsia="Calibri"/>
          <w:bCs/>
        </w:rPr>
        <w:t>1</w:t>
      </w:r>
      <w:r w:rsidR="0081752F" w:rsidRPr="004338BE">
        <w:rPr>
          <w:rFonts w:eastAsia="Calibri"/>
          <w:bCs/>
        </w:rPr>
        <w:t>]</w:t>
      </w:r>
      <w:r w:rsidR="00967E18" w:rsidRPr="004338BE">
        <w:rPr>
          <w:rFonts w:eastAsia="Calibri"/>
          <w:bCs/>
        </w:rPr>
        <w:t xml:space="preserve">, however with </w:t>
      </w:r>
      <w:r w:rsidR="002E0CE9" w:rsidRPr="004338BE">
        <w:rPr>
          <w:rFonts w:eastAsia="Calibri"/>
          <w:bCs/>
        </w:rPr>
        <w:t xml:space="preserve">a </w:t>
      </w:r>
      <w:r w:rsidR="00967E18" w:rsidRPr="004338BE">
        <w:rPr>
          <w:rFonts w:eastAsia="Calibri"/>
          <w:bCs/>
        </w:rPr>
        <w:t>much greater proton site densit</w:t>
      </w:r>
      <w:r w:rsidR="00FC7591" w:rsidRPr="004338BE">
        <w:rPr>
          <w:rFonts w:eastAsia="Calibri"/>
          <w:bCs/>
        </w:rPr>
        <w:t>y</w:t>
      </w:r>
      <w:r w:rsidR="00967E18" w:rsidRPr="004338BE">
        <w:rPr>
          <w:rFonts w:eastAsia="Calibri"/>
          <w:bCs/>
        </w:rPr>
        <w:t xml:space="preserve"> of </w:t>
      </w:r>
      <w:r w:rsidR="004A1722" w:rsidRPr="004338BE">
        <w:rPr>
          <w:rFonts w:eastAsia="Calibri"/>
          <w:bCs/>
        </w:rPr>
        <w:t>0.35 mmol g</w:t>
      </w:r>
      <w:r w:rsidR="004A1722" w:rsidRPr="004338BE">
        <w:rPr>
          <w:rFonts w:eastAsia="Calibri"/>
          <w:bCs/>
          <w:vertAlign w:val="superscript"/>
        </w:rPr>
        <w:t>-1</w:t>
      </w:r>
      <w:r w:rsidR="00182F2B" w:rsidRPr="004338BE">
        <w:rPr>
          <w:rFonts w:eastAsia="Calibri"/>
          <w:bCs/>
        </w:rPr>
        <w:t>.</w:t>
      </w:r>
      <w:r w:rsidR="0081752F" w:rsidRPr="004338BE">
        <w:rPr>
          <w:rFonts w:eastAsia="Calibri"/>
          <w:bCs/>
        </w:rPr>
        <w:t xml:space="preserve"> </w:t>
      </w:r>
      <w:r w:rsidR="0012397B" w:rsidRPr="004338BE">
        <w:rPr>
          <w:rFonts w:eastAsia="Calibri"/>
          <w:bCs/>
        </w:rPr>
        <w:t>T</w:t>
      </w:r>
      <w:r w:rsidRPr="004338BE">
        <w:t>he stronge</w:t>
      </w:r>
      <w:r w:rsidR="00A70896" w:rsidRPr="004338BE">
        <w:t>r</w:t>
      </w:r>
      <w:r w:rsidRPr="004338BE">
        <w:t xml:space="preserve"> acid, </w:t>
      </w:r>
      <w:proofErr w:type="spellStart"/>
      <w:r w:rsidRPr="004338BE">
        <w:t>CsPW</w:t>
      </w:r>
      <w:proofErr w:type="spellEnd"/>
      <w:r w:rsidRPr="004338BE">
        <w:t>,</w:t>
      </w:r>
      <w:r w:rsidR="0098175C" w:rsidRPr="004338BE">
        <w:t xml:space="preserve"> despite </w:t>
      </w:r>
      <w:r w:rsidR="0012397B" w:rsidRPr="004338BE">
        <w:t>its</w:t>
      </w:r>
      <w:r w:rsidR="0098175C" w:rsidRPr="004338BE">
        <w:t xml:space="preserve"> low proton site density,</w:t>
      </w:r>
      <w:r w:rsidRPr="004338BE">
        <w:t xml:space="preserve"> give</w:t>
      </w:r>
      <w:r w:rsidR="0098175C" w:rsidRPr="004338BE">
        <w:t xml:space="preserve">s </w:t>
      </w:r>
      <w:r w:rsidR="0012397B" w:rsidRPr="004338BE">
        <w:t>a</w:t>
      </w:r>
      <w:r w:rsidR="0098175C" w:rsidRPr="004338BE">
        <w:t xml:space="preserve"> highe</w:t>
      </w:r>
      <w:r w:rsidR="0012397B" w:rsidRPr="004338BE">
        <w:t>r</w:t>
      </w:r>
      <w:r w:rsidR="0098175C" w:rsidRPr="004338BE">
        <w:t xml:space="preserve"> hexane selectivity </w:t>
      </w:r>
      <w:r w:rsidR="000153AA" w:rsidRPr="004338BE">
        <w:t xml:space="preserve">of </w:t>
      </w:r>
      <w:r w:rsidRPr="004338BE">
        <w:t>9</w:t>
      </w:r>
      <w:r w:rsidR="0098175C" w:rsidRPr="004338BE">
        <w:t>5.</w:t>
      </w:r>
      <w:r w:rsidRPr="004338BE">
        <w:t xml:space="preserve">9% </w:t>
      </w:r>
      <w:r w:rsidR="000D7A25" w:rsidRPr="004338BE">
        <w:t xml:space="preserve">as </w:t>
      </w:r>
      <w:r w:rsidR="0098175C" w:rsidRPr="004338BE">
        <w:t xml:space="preserve">compared to </w:t>
      </w:r>
      <w:r w:rsidR="00735FF0" w:rsidRPr="004338BE">
        <w:t>8</w:t>
      </w:r>
      <w:r w:rsidR="00FC7591" w:rsidRPr="004338BE">
        <w:t>7.</w:t>
      </w:r>
      <w:r w:rsidR="00CF3D8F" w:rsidRPr="004338BE">
        <w:t>6</w:t>
      </w:r>
      <w:r w:rsidR="00735FF0" w:rsidRPr="004338BE">
        <w:t xml:space="preserve">% </w:t>
      </w:r>
      <w:r w:rsidR="000D7A25" w:rsidRPr="004338BE">
        <w:t>for the zeolite</w:t>
      </w:r>
      <w:r w:rsidR="00D80305" w:rsidRPr="004338BE">
        <w:t xml:space="preserve"> (Table 3)</w:t>
      </w:r>
      <w:r w:rsidR="000D7A25" w:rsidRPr="004338BE">
        <w:t>.</w:t>
      </w:r>
      <w:r w:rsidR="00CF3D8F" w:rsidRPr="004338BE">
        <w:t xml:space="preserve"> Similar results have been reported for the HDO of DMF on Pt/C + </w:t>
      </w:r>
      <w:proofErr w:type="spellStart"/>
      <w:r w:rsidR="00CF3D8F" w:rsidRPr="004338BE">
        <w:t>CsPW</w:t>
      </w:r>
      <w:proofErr w:type="spellEnd"/>
      <w:r w:rsidR="00DD6D78" w:rsidRPr="004338BE">
        <w:t xml:space="preserve"> [2</w:t>
      </w:r>
      <w:r w:rsidR="009948F4" w:rsidRPr="004338BE">
        <w:t>1</w:t>
      </w:r>
      <w:r w:rsidR="00DD6D78" w:rsidRPr="004338BE">
        <w:t>].</w:t>
      </w:r>
      <w:r w:rsidR="004B0B5C" w:rsidRPr="004338BE">
        <w:t xml:space="preserve"> This shows that the acid strength of co-catalyst has the major effect on HDO efficiency</w:t>
      </w:r>
      <w:r w:rsidR="00502639" w:rsidRPr="004338BE">
        <w:t>, whereas</w:t>
      </w:r>
      <w:r w:rsidR="004B0B5C" w:rsidRPr="004338BE">
        <w:t xml:space="preserve"> </w:t>
      </w:r>
      <w:r w:rsidR="00502639" w:rsidRPr="004338BE">
        <w:t>t</w:t>
      </w:r>
      <w:r w:rsidR="004B0B5C" w:rsidRPr="004338BE">
        <w:t>he acid site</w:t>
      </w:r>
      <w:r w:rsidR="003F7BD8" w:rsidRPr="004338BE">
        <w:t xml:space="preserve"> density</w:t>
      </w:r>
      <w:r w:rsidR="004B0B5C" w:rsidRPr="004338BE">
        <w:t xml:space="preserve"> </w:t>
      </w:r>
      <w:r w:rsidR="00502639" w:rsidRPr="004338BE">
        <w:t>is</w:t>
      </w:r>
      <w:r w:rsidR="004B0B5C" w:rsidRPr="004338BE">
        <w:t xml:space="preserve"> less</w:t>
      </w:r>
      <w:r w:rsidR="003F7BD8" w:rsidRPr="004338BE">
        <w:t xml:space="preserve"> important</w:t>
      </w:r>
      <w:r w:rsidR="00502639" w:rsidRPr="004338BE">
        <w:t>.</w:t>
      </w:r>
      <w:r w:rsidR="003F7BD8" w:rsidRPr="004338BE">
        <w:t xml:space="preserve"> </w:t>
      </w:r>
      <w:r w:rsidR="00502639" w:rsidRPr="004338BE">
        <w:t xml:space="preserve">Furthermore, the HDO reaction on Pt/C + </w:t>
      </w:r>
      <w:proofErr w:type="spellStart"/>
      <w:r w:rsidR="00502639" w:rsidRPr="004338BE">
        <w:t>CsPW</w:t>
      </w:r>
      <w:proofErr w:type="spellEnd"/>
      <w:r w:rsidR="00502639" w:rsidRPr="004338BE">
        <w:t xml:space="preserve"> occurs with a significantly higher rate </w:t>
      </w:r>
      <w:r w:rsidR="00B56B6B" w:rsidRPr="004338BE">
        <w:t>compared to</w:t>
      </w:r>
      <w:r w:rsidR="00502639" w:rsidRPr="004338BE">
        <w:t xml:space="preserve"> Pt/C + HZSM-5</w:t>
      </w:r>
      <w:r w:rsidR="002202DF" w:rsidRPr="004338BE">
        <w:t xml:space="preserve"> </w:t>
      </w:r>
      <w:r w:rsidR="0012397B" w:rsidRPr="004338BE">
        <w:t>(11 and 2.4% DMTHF conversion, respectively</w:t>
      </w:r>
      <w:r w:rsidR="001C007D" w:rsidRPr="004338BE">
        <w:t>, Table 3</w:t>
      </w:r>
      <w:r w:rsidR="0012397B" w:rsidRPr="004338BE">
        <w:t>)</w:t>
      </w:r>
      <w:r w:rsidR="00502639" w:rsidRPr="004338BE">
        <w:t xml:space="preserve">. </w:t>
      </w:r>
      <w:r w:rsidR="002202DF" w:rsidRPr="004338BE">
        <w:t xml:space="preserve">This can be explained by the kinetic coupling between DMTHF hydrogenolysis and 2-hexanol dehydration steps (see sect. 3.2 below). </w:t>
      </w:r>
      <w:r w:rsidR="0012397B" w:rsidRPr="004338BE">
        <w:t>I</w:t>
      </w:r>
      <w:r w:rsidR="002202DF" w:rsidRPr="004338BE">
        <w:t>t may</w:t>
      </w:r>
      <w:r w:rsidR="0012397B" w:rsidRPr="004338BE">
        <w:t xml:space="preserve"> also</w:t>
      </w:r>
      <w:r w:rsidR="002202DF" w:rsidRPr="004338BE">
        <w:t xml:space="preserve"> be due to diffusion limitations in zeolite micropores.</w:t>
      </w:r>
    </w:p>
    <w:p w14:paraId="18F38236" w14:textId="61FE6044" w:rsidR="00113A75" w:rsidRPr="004338BE" w:rsidRDefault="007D3206" w:rsidP="0064780B">
      <w:pPr>
        <w:pStyle w:val="RSCB02ArticleText"/>
        <w:spacing w:line="480" w:lineRule="auto"/>
        <w:ind w:firstLine="720"/>
        <w:rPr>
          <w:sz w:val="24"/>
          <w:szCs w:val="24"/>
        </w:rPr>
      </w:pPr>
      <w:r w:rsidRPr="004338BE">
        <w:rPr>
          <w:sz w:val="24"/>
          <w:szCs w:val="24"/>
        </w:rPr>
        <w:t>Next, we looked at</w:t>
      </w:r>
      <w:r w:rsidR="009942B2" w:rsidRPr="004338BE">
        <w:rPr>
          <w:sz w:val="24"/>
          <w:szCs w:val="24"/>
        </w:rPr>
        <w:t xml:space="preserve"> the effect of Pt dispersion (</w:t>
      </w:r>
      <w:r w:rsidR="009942B2" w:rsidRPr="004338BE">
        <w:rPr>
          <w:i/>
          <w:sz w:val="24"/>
          <w:szCs w:val="24"/>
        </w:rPr>
        <w:t>D</w:t>
      </w:r>
      <w:r w:rsidR="009942B2" w:rsidRPr="004338BE">
        <w:rPr>
          <w:sz w:val="24"/>
          <w:szCs w:val="24"/>
        </w:rPr>
        <w:t>) on turnover frequency (TOF) for HDO of DMTHF over Pt–</w:t>
      </w:r>
      <w:proofErr w:type="spellStart"/>
      <w:r w:rsidR="009942B2" w:rsidRPr="004338BE">
        <w:rPr>
          <w:sz w:val="24"/>
          <w:szCs w:val="24"/>
        </w:rPr>
        <w:t>CsPW</w:t>
      </w:r>
      <w:proofErr w:type="spellEnd"/>
      <w:r w:rsidR="009942B2" w:rsidRPr="004338BE">
        <w:rPr>
          <w:sz w:val="24"/>
          <w:szCs w:val="24"/>
        </w:rPr>
        <w:t>. In this study, physical mixtures of 9.6%Pt/C, 6.4%Pt/SiO</w:t>
      </w:r>
      <w:r w:rsidR="009942B2" w:rsidRPr="004338BE">
        <w:rPr>
          <w:sz w:val="24"/>
          <w:szCs w:val="24"/>
          <w:vertAlign w:val="subscript"/>
        </w:rPr>
        <w:t>2</w:t>
      </w:r>
      <w:r w:rsidR="009942B2" w:rsidRPr="004338BE">
        <w:rPr>
          <w:sz w:val="24"/>
          <w:szCs w:val="24"/>
        </w:rPr>
        <w:t xml:space="preserve"> and 1%Pt/</w:t>
      </w:r>
      <w:r w:rsidR="009942B2" w:rsidRPr="004338BE">
        <w:rPr>
          <w:sz w:val="24"/>
          <w:szCs w:val="24"/>
        </w:rPr>
        <w:t>γ-Al</w:t>
      </w:r>
      <w:r w:rsidR="009942B2" w:rsidRPr="004338BE">
        <w:rPr>
          <w:sz w:val="24"/>
          <w:szCs w:val="24"/>
          <w:vertAlign w:val="subscript"/>
        </w:rPr>
        <w:t>2</w:t>
      </w:r>
      <w:r w:rsidR="009942B2" w:rsidRPr="004338BE">
        <w:rPr>
          <w:sz w:val="24"/>
          <w:szCs w:val="24"/>
        </w:rPr>
        <w:t>O</w:t>
      </w:r>
      <w:r w:rsidR="009942B2" w:rsidRPr="004338BE">
        <w:rPr>
          <w:sz w:val="24"/>
          <w:szCs w:val="24"/>
          <w:vertAlign w:val="subscript"/>
        </w:rPr>
        <w:t>3</w:t>
      </w:r>
      <w:r w:rsidR="009942B2" w:rsidRPr="004338BE">
        <w:rPr>
          <w:sz w:val="24"/>
          <w:szCs w:val="24"/>
        </w:rPr>
        <w:t xml:space="preserve"> with </w:t>
      </w:r>
      <w:proofErr w:type="spellStart"/>
      <w:r w:rsidR="009942B2" w:rsidRPr="004338BE">
        <w:rPr>
          <w:sz w:val="24"/>
          <w:szCs w:val="24"/>
        </w:rPr>
        <w:t>CsPW</w:t>
      </w:r>
      <w:proofErr w:type="spellEnd"/>
      <w:r w:rsidR="009942B2" w:rsidRPr="004338BE">
        <w:rPr>
          <w:sz w:val="24"/>
          <w:szCs w:val="24"/>
        </w:rPr>
        <w:t xml:space="preserve"> were used as catalysts, in which Pt dispersion varied from 0.039 to 0.63 (Table 1). This corresponds to Pt particle size (</w:t>
      </w:r>
      <w:r w:rsidR="009942B2" w:rsidRPr="004338BE">
        <w:rPr>
          <w:i/>
          <w:sz w:val="24"/>
          <w:szCs w:val="24"/>
        </w:rPr>
        <w:t>d</w:t>
      </w:r>
      <w:r w:rsidR="009942B2" w:rsidRPr="004338BE">
        <w:rPr>
          <w:sz w:val="24"/>
          <w:szCs w:val="24"/>
        </w:rPr>
        <w:t xml:space="preserve">) variation from </w:t>
      </w:r>
      <w:r w:rsidR="00645A63" w:rsidRPr="004338BE">
        <w:rPr>
          <w:sz w:val="24"/>
          <w:szCs w:val="24"/>
        </w:rPr>
        <w:t>2</w:t>
      </w:r>
      <w:r w:rsidR="009942B2" w:rsidRPr="004338BE">
        <w:rPr>
          <w:sz w:val="24"/>
          <w:szCs w:val="24"/>
        </w:rPr>
        <w:t xml:space="preserve">6 to </w:t>
      </w:r>
      <w:r w:rsidR="00645A63" w:rsidRPr="004338BE">
        <w:rPr>
          <w:sz w:val="24"/>
          <w:szCs w:val="24"/>
        </w:rPr>
        <w:t>1.</w:t>
      </w:r>
      <w:r w:rsidR="009942B2" w:rsidRPr="004338BE">
        <w:rPr>
          <w:sz w:val="24"/>
          <w:szCs w:val="24"/>
        </w:rPr>
        <w:t xml:space="preserve">6 nm as estimated from the conversion formula </w:t>
      </w:r>
      <w:r w:rsidR="009942B2" w:rsidRPr="004338BE">
        <w:rPr>
          <w:i/>
          <w:sz w:val="24"/>
          <w:szCs w:val="24"/>
        </w:rPr>
        <w:t xml:space="preserve">d = </w:t>
      </w:r>
      <w:r w:rsidR="009942B2" w:rsidRPr="004338BE">
        <w:rPr>
          <w:sz w:val="24"/>
          <w:szCs w:val="24"/>
        </w:rPr>
        <w:t>(1/</w:t>
      </w:r>
      <w:r w:rsidR="009942B2" w:rsidRPr="004338BE">
        <w:rPr>
          <w:i/>
          <w:sz w:val="24"/>
          <w:szCs w:val="24"/>
        </w:rPr>
        <w:t>D</w:t>
      </w:r>
      <w:r w:rsidR="009942B2" w:rsidRPr="004338BE">
        <w:rPr>
          <w:sz w:val="24"/>
          <w:szCs w:val="24"/>
        </w:rPr>
        <w:t xml:space="preserve">) nm [32]. The reactions were carried out at 90 </w:t>
      </w:r>
      <w:proofErr w:type="spellStart"/>
      <w:r w:rsidR="009942B2" w:rsidRPr="004338BE">
        <w:rPr>
          <w:sz w:val="24"/>
          <w:szCs w:val="24"/>
          <w:vertAlign w:val="superscript"/>
        </w:rPr>
        <w:t>o</w:t>
      </w:r>
      <w:r w:rsidR="009942B2" w:rsidRPr="004338BE">
        <w:rPr>
          <w:sz w:val="24"/>
          <w:szCs w:val="24"/>
        </w:rPr>
        <w:t>C</w:t>
      </w:r>
      <w:proofErr w:type="spellEnd"/>
      <w:r w:rsidR="007E2BC9" w:rsidRPr="004338BE">
        <w:rPr>
          <w:sz w:val="24"/>
          <w:szCs w:val="24"/>
        </w:rPr>
        <w:t xml:space="preserve"> </w:t>
      </w:r>
      <w:r w:rsidR="007E2BC9" w:rsidRPr="004338BE">
        <w:rPr>
          <w:sz w:val="24"/>
          <w:szCs w:val="24"/>
        </w:rPr>
        <w:t xml:space="preserve">under kinetic control (DMTHF conversion </w:t>
      </w:r>
      <w:r w:rsidR="007E2BC9" w:rsidRPr="004338BE">
        <w:rPr>
          <w:sz w:val="24"/>
          <w:szCs w:val="24"/>
        </w:rPr>
        <w:lastRenderedPageBreak/>
        <w:t>3.6–64%)</w:t>
      </w:r>
      <w:r w:rsidR="007E2BC9" w:rsidRPr="004338BE">
        <w:rPr>
          <w:sz w:val="24"/>
          <w:szCs w:val="24"/>
        </w:rPr>
        <w:t>; in all cases</w:t>
      </w:r>
      <w:r w:rsidR="009942B2" w:rsidRPr="004338BE">
        <w:rPr>
          <w:sz w:val="24"/>
          <w:szCs w:val="24"/>
        </w:rPr>
        <w:t xml:space="preserve"> the amount of Pt in the catalyst bed</w:t>
      </w:r>
      <w:r w:rsidR="007E2BC9" w:rsidRPr="004338BE">
        <w:rPr>
          <w:sz w:val="24"/>
          <w:szCs w:val="24"/>
        </w:rPr>
        <w:t xml:space="preserve"> was the same</w:t>
      </w:r>
      <w:r w:rsidR="009942B2" w:rsidRPr="004338BE">
        <w:rPr>
          <w:sz w:val="24"/>
          <w:szCs w:val="24"/>
        </w:rPr>
        <w:t xml:space="preserve"> (0.6% per total catalyst weight). The results are shown in Table 4. </w:t>
      </w:r>
      <w:r w:rsidR="000D5F28" w:rsidRPr="004338BE">
        <w:rPr>
          <w:sz w:val="24"/>
          <w:szCs w:val="24"/>
        </w:rPr>
        <w:t>With all catalysts, t</w:t>
      </w:r>
      <w:r w:rsidR="00963B78" w:rsidRPr="004338BE">
        <w:rPr>
          <w:sz w:val="24"/>
          <w:szCs w:val="24"/>
        </w:rPr>
        <w:t xml:space="preserve">he selectivity to </w:t>
      </w:r>
      <w:r w:rsidR="00694F38" w:rsidRPr="004338BE">
        <w:rPr>
          <w:sz w:val="24"/>
          <w:szCs w:val="24"/>
        </w:rPr>
        <w:t>n-</w:t>
      </w:r>
      <w:r w:rsidR="00963B78" w:rsidRPr="004338BE">
        <w:rPr>
          <w:sz w:val="24"/>
          <w:szCs w:val="24"/>
        </w:rPr>
        <w:t>hexane was above 95%, which suggests the rate-limiting step being DMTHF hydrogenolysis on Pt sites</w:t>
      </w:r>
      <w:r w:rsidR="009357DE" w:rsidRPr="004338BE">
        <w:rPr>
          <w:sz w:val="24"/>
          <w:szCs w:val="24"/>
        </w:rPr>
        <w:t xml:space="preserve"> (Scheme 2)</w:t>
      </w:r>
      <w:r w:rsidR="00963B78" w:rsidRPr="004338BE">
        <w:rPr>
          <w:sz w:val="24"/>
          <w:szCs w:val="24"/>
        </w:rPr>
        <w:t xml:space="preserve">. </w:t>
      </w:r>
      <w:r w:rsidR="00113A75" w:rsidRPr="004338BE">
        <w:rPr>
          <w:sz w:val="24"/>
          <w:szCs w:val="24"/>
        </w:rPr>
        <w:t>From these results, TOF</w:t>
      </w:r>
      <w:r w:rsidR="0064780B" w:rsidRPr="004338BE">
        <w:rPr>
          <w:sz w:val="24"/>
          <w:szCs w:val="24"/>
        </w:rPr>
        <w:t xml:space="preserve"> values</w:t>
      </w:r>
      <w:r w:rsidR="00113A75" w:rsidRPr="004338BE">
        <w:rPr>
          <w:sz w:val="24"/>
          <w:szCs w:val="24"/>
        </w:rPr>
        <w:t xml:space="preserve"> per Pt site were calculated using the data on Pt dispersion (Table 1). </w:t>
      </w:r>
      <w:r w:rsidR="0064780B" w:rsidRPr="004338BE">
        <w:rPr>
          <w:sz w:val="24"/>
          <w:szCs w:val="24"/>
        </w:rPr>
        <w:t>As can be seen, t</w:t>
      </w:r>
      <w:r w:rsidR="00113A75" w:rsidRPr="004338BE">
        <w:rPr>
          <w:sz w:val="24"/>
          <w:szCs w:val="24"/>
        </w:rPr>
        <w:t xml:space="preserve">he TOF values </w:t>
      </w:r>
      <w:r w:rsidR="0064780B" w:rsidRPr="004338BE">
        <w:rPr>
          <w:sz w:val="24"/>
          <w:szCs w:val="24"/>
        </w:rPr>
        <w:t>in</w:t>
      </w:r>
      <w:r w:rsidR="00113A75" w:rsidRPr="004338BE">
        <w:rPr>
          <w:sz w:val="24"/>
          <w:szCs w:val="24"/>
        </w:rPr>
        <w:t>crease</w:t>
      </w:r>
      <w:r w:rsidR="0064780B" w:rsidRPr="004338BE">
        <w:rPr>
          <w:sz w:val="24"/>
          <w:szCs w:val="24"/>
        </w:rPr>
        <w:t xml:space="preserve"> two orders of magnitude with increasing Pt particle size from 1.6 to 26 nm</w:t>
      </w:r>
      <w:r w:rsidR="00895D9A" w:rsidRPr="004338BE">
        <w:rPr>
          <w:sz w:val="24"/>
          <w:szCs w:val="24"/>
        </w:rPr>
        <w:t xml:space="preserve"> in the series of supports (s</w:t>
      </w:r>
      <w:r w:rsidR="00895D9A" w:rsidRPr="004338BE">
        <w:rPr>
          <w:sz w:val="24"/>
          <w:szCs w:val="24"/>
          <w:vertAlign w:val="superscript"/>
        </w:rPr>
        <w:t>-1</w:t>
      </w:r>
      <w:r w:rsidR="00895D9A" w:rsidRPr="004338BE">
        <w:rPr>
          <w:sz w:val="24"/>
          <w:szCs w:val="24"/>
        </w:rPr>
        <w:t>)</w:t>
      </w:r>
      <w:r w:rsidR="0064780B" w:rsidRPr="004338BE">
        <w:rPr>
          <w:sz w:val="24"/>
          <w:szCs w:val="24"/>
        </w:rPr>
        <w:t>:</w:t>
      </w:r>
      <w:r w:rsidR="00895D9A" w:rsidRPr="004338BE">
        <w:rPr>
          <w:sz w:val="24"/>
          <w:szCs w:val="24"/>
        </w:rPr>
        <w:t xml:space="preserve"> </w:t>
      </w:r>
      <w:r w:rsidR="00895D9A" w:rsidRPr="004338BE">
        <w:rPr>
          <w:sz w:val="24"/>
          <w:szCs w:val="24"/>
        </w:rPr>
        <w:t>γ-Al</w:t>
      </w:r>
      <w:r w:rsidR="00895D9A" w:rsidRPr="004338BE">
        <w:rPr>
          <w:sz w:val="24"/>
          <w:szCs w:val="24"/>
          <w:vertAlign w:val="subscript"/>
        </w:rPr>
        <w:t>2</w:t>
      </w:r>
      <w:r w:rsidR="00895D9A" w:rsidRPr="004338BE">
        <w:rPr>
          <w:sz w:val="24"/>
          <w:szCs w:val="24"/>
        </w:rPr>
        <w:t>O</w:t>
      </w:r>
      <w:r w:rsidR="00895D9A" w:rsidRPr="004338BE">
        <w:rPr>
          <w:sz w:val="24"/>
          <w:szCs w:val="24"/>
          <w:vertAlign w:val="subscript"/>
        </w:rPr>
        <w:t>3</w:t>
      </w:r>
      <w:r w:rsidR="00895D9A" w:rsidRPr="004338BE">
        <w:rPr>
          <w:sz w:val="24"/>
          <w:szCs w:val="24"/>
        </w:rPr>
        <w:t xml:space="preserve"> (0.0031)</w:t>
      </w:r>
      <w:r w:rsidR="00895D9A" w:rsidRPr="004338BE">
        <w:rPr>
          <w:sz w:val="24"/>
          <w:szCs w:val="24"/>
        </w:rPr>
        <w:t xml:space="preserve"> &lt; SiO</w:t>
      </w:r>
      <w:r w:rsidR="00895D9A" w:rsidRPr="004338BE">
        <w:rPr>
          <w:sz w:val="24"/>
          <w:szCs w:val="24"/>
          <w:vertAlign w:val="subscript"/>
        </w:rPr>
        <w:t>2</w:t>
      </w:r>
      <w:r w:rsidR="00895D9A" w:rsidRPr="004338BE">
        <w:rPr>
          <w:sz w:val="24"/>
          <w:szCs w:val="24"/>
        </w:rPr>
        <w:t xml:space="preserve"> (0.12) &lt;</w:t>
      </w:r>
      <w:r w:rsidR="00113A75" w:rsidRPr="004338BE">
        <w:rPr>
          <w:sz w:val="24"/>
          <w:szCs w:val="24"/>
        </w:rPr>
        <w:t xml:space="preserve"> C</w:t>
      </w:r>
      <w:r w:rsidR="00F55836" w:rsidRPr="004338BE">
        <w:rPr>
          <w:sz w:val="24"/>
          <w:szCs w:val="24"/>
        </w:rPr>
        <w:t xml:space="preserve"> </w:t>
      </w:r>
      <w:r w:rsidR="00113A75" w:rsidRPr="004338BE">
        <w:rPr>
          <w:sz w:val="24"/>
          <w:szCs w:val="24"/>
        </w:rPr>
        <w:t>(0.40)</w:t>
      </w:r>
      <w:r w:rsidR="005F443E" w:rsidRPr="004338BE">
        <w:rPr>
          <w:sz w:val="24"/>
          <w:szCs w:val="24"/>
        </w:rPr>
        <w:t>. Previously, the same order of TOF has been reported for HDO of</w:t>
      </w:r>
      <w:r w:rsidR="00113A75" w:rsidRPr="004338BE">
        <w:rPr>
          <w:sz w:val="24"/>
          <w:szCs w:val="24"/>
        </w:rPr>
        <w:t xml:space="preserve"> DMF</w:t>
      </w:r>
      <w:r w:rsidR="005F443E" w:rsidRPr="004338BE">
        <w:rPr>
          <w:sz w:val="24"/>
          <w:szCs w:val="24"/>
        </w:rPr>
        <w:t xml:space="preserve"> o</w:t>
      </w:r>
      <w:r w:rsidR="00547286" w:rsidRPr="004338BE">
        <w:rPr>
          <w:sz w:val="24"/>
          <w:szCs w:val="24"/>
        </w:rPr>
        <w:t>n</w:t>
      </w:r>
      <w:r w:rsidR="00895D9A" w:rsidRPr="004338BE">
        <w:rPr>
          <w:sz w:val="24"/>
          <w:szCs w:val="24"/>
        </w:rPr>
        <w:t xml:space="preserve"> the same</w:t>
      </w:r>
      <w:r w:rsidR="005F443E" w:rsidRPr="004338BE">
        <w:rPr>
          <w:sz w:val="24"/>
          <w:szCs w:val="24"/>
        </w:rPr>
        <w:t xml:space="preserve"> Pt–</w:t>
      </w:r>
      <w:proofErr w:type="spellStart"/>
      <w:r w:rsidR="005F443E" w:rsidRPr="004338BE">
        <w:rPr>
          <w:sz w:val="24"/>
          <w:szCs w:val="24"/>
        </w:rPr>
        <w:t>CsPW</w:t>
      </w:r>
      <w:proofErr w:type="spellEnd"/>
      <w:r w:rsidR="005F443E" w:rsidRPr="004338BE">
        <w:rPr>
          <w:sz w:val="24"/>
          <w:szCs w:val="24"/>
        </w:rPr>
        <w:t xml:space="preserve"> catalysts (s</w:t>
      </w:r>
      <w:r w:rsidR="005F443E" w:rsidRPr="004338BE">
        <w:rPr>
          <w:sz w:val="24"/>
          <w:szCs w:val="24"/>
          <w:vertAlign w:val="superscript"/>
        </w:rPr>
        <w:t>-1</w:t>
      </w:r>
      <w:r w:rsidR="005F443E" w:rsidRPr="004338BE">
        <w:rPr>
          <w:sz w:val="24"/>
          <w:szCs w:val="24"/>
        </w:rPr>
        <w:t xml:space="preserve">, at 70 </w:t>
      </w:r>
      <w:proofErr w:type="spellStart"/>
      <w:r w:rsidR="005F443E" w:rsidRPr="004338BE">
        <w:rPr>
          <w:sz w:val="24"/>
          <w:szCs w:val="24"/>
          <w:vertAlign w:val="superscript"/>
        </w:rPr>
        <w:t>o</w:t>
      </w:r>
      <w:r w:rsidR="005F443E" w:rsidRPr="004338BE">
        <w:rPr>
          <w:sz w:val="24"/>
          <w:szCs w:val="24"/>
        </w:rPr>
        <w:t>C</w:t>
      </w:r>
      <w:proofErr w:type="spellEnd"/>
      <w:r w:rsidR="005F443E" w:rsidRPr="004338BE">
        <w:rPr>
          <w:sz w:val="24"/>
          <w:szCs w:val="24"/>
        </w:rPr>
        <w:t>)</w:t>
      </w:r>
      <w:r w:rsidR="00113A75" w:rsidRPr="004338BE">
        <w:rPr>
          <w:sz w:val="24"/>
          <w:szCs w:val="24"/>
        </w:rPr>
        <w:t xml:space="preserve">: </w:t>
      </w:r>
      <w:r w:rsidR="000D5F28" w:rsidRPr="004338BE">
        <w:rPr>
          <w:sz w:val="24"/>
          <w:szCs w:val="24"/>
        </w:rPr>
        <w:t>γ-Al</w:t>
      </w:r>
      <w:r w:rsidR="000D5F28" w:rsidRPr="004338BE">
        <w:rPr>
          <w:sz w:val="24"/>
          <w:szCs w:val="24"/>
          <w:vertAlign w:val="subscript"/>
        </w:rPr>
        <w:t>2</w:t>
      </w:r>
      <w:r w:rsidR="000D5F28" w:rsidRPr="004338BE">
        <w:rPr>
          <w:sz w:val="24"/>
          <w:szCs w:val="24"/>
        </w:rPr>
        <w:t>O</w:t>
      </w:r>
      <w:r w:rsidR="000D5F28" w:rsidRPr="004338BE">
        <w:rPr>
          <w:sz w:val="24"/>
          <w:szCs w:val="24"/>
          <w:vertAlign w:val="subscript"/>
        </w:rPr>
        <w:t>3</w:t>
      </w:r>
      <w:r w:rsidR="000D5F28" w:rsidRPr="004338BE">
        <w:rPr>
          <w:sz w:val="24"/>
          <w:szCs w:val="24"/>
        </w:rPr>
        <w:t xml:space="preserve"> (0.42) </w:t>
      </w:r>
      <w:r w:rsidR="000D5F28" w:rsidRPr="004338BE">
        <w:rPr>
          <w:sz w:val="24"/>
          <w:szCs w:val="24"/>
        </w:rPr>
        <w:t>&lt;</w:t>
      </w:r>
      <w:r w:rsidR="00113A75" w:rsidRPr="004338BE">
        <w:rPr>
          <w:sz w:val="24"/>
          <w:szCs w:val="24"/>
        </w:rPr>
        <w:t xml:space="preserve"> SiO</w:t>
      </w:r>
      <w:r w:rsidR="00113A75" w:rsidRPr="004338BE">
        <w:rPr>
          <w:sz w:val="24"/>
          <w:szCs w:val="24"/>
          <w:vertAlign w:val="subscript"/>
        </w:rPr>
        <w:t>2</w:t>
      </w:r>
      <w:r w:rsidR="00113A75" w:rsidRPr="004338BE">
        <w:rPr>
          <w:sz w:val="24"/>
          <w:szCs w:val="24"/>
        </w:rPr>
        <w:t xml:space="preserve"> (2.3) </w:t>
      </w:r>
      <w:r w:rsidR="000D5F28" w:rsidRPr="004338BE">
        <w:rPr>
          <w:sz w:val="24"/>
          <w:szCs w:val="24"/>
        </w:rPr>
        <w:t xml:space="preserve">&lt; </w:t>
      </w:r>
      <w:r w:rsidR="000D5F28" w:rsidRPr="004338BE">
        <w:rPr>
          <w:sz w:val="24"/>
          <w:szCs w:val="24"/>
        </w:rPr>
        <w:t>C (9.3)</w:t>
      </w:r>
      <w:r w:rsidR="00113A75" w:rsidRPr="004338BE">
        <w:rPr>
          <w:sz w:val="24"/>
          <w:szCs w:val="24"/>
        </w:rPr>
        <w:t xml:space="preserve"> </w:t>
      </w:r>
      <w:r w:rsidR="005F443E" w:rsidRPr="004338BE">
        <w:rPr>
          <w:sz w:val="24"/>
          <w:szCs w:val="24"/>
        </w:rPr>
        <w:t>[2</w:t>
      </w:r>
      <w:r w:rsidR="009948F4" w:rsidRPr="004338BE">
        <w:rPr>
          <w:sz w:val="24"/>
          <w:szCs w:val="24"/>
        </w:rPr>
        <w:t>1</w:t>
      </w:r>
      <w:r w:rsidR="005F443E" w:rsidRPr="004338BE">
        <w:rPr>
          <w:sz w:val="24"/>
          <w:szCs w:val="24"/>
        </w:rPr>
        <w:t>]</w:t>
      </w:r>
      <w:r w:rsidR="00113A75" w:rsidRPr="004338BE">
        <w:rPr>
          <w:sz w:val="24"/>
          <w:szCs w:val="24"/>
        </w:rPr>
        <w:t xml:space="preserve">. </w:t>
      </w:r>
      <w:r w:rsidR="007F712A" w:rsidRPr="004338BE">
        <w:rPr>
          <w:sz w:val="24"/>
          <w:szCs w:val="24"/>
        </w:rPr>
        <w:t>This suggests</w:t>
      </w:r>
      <w:r w:rsidR="00C051F8" w:rsidRPr="004338BE">
        <w:rPr>
          <w:sz w:val="24"/>
          <w:szCs w:val="24"/>
        </w:rPr>
        <w:t xml:space="preserve"> that the</w:t>
      </w:r>
      <w:r w:rsidR="009B5529" w:rsidRPr="004338BE">
        <w:rPr>
          <w:sz w:val="24"/>
          <w:szCs w:val="24"/>
        </w:rPr>
        <w:t xml:space="preserve"> </w:t>
      </w:r>
      <w:r w:rsidR="0010086A" w:rsidRPr="004338BE">
        <w:rPr>
          <w:sz w:val="24"/>
          <w:szCs w:val="24"/>
        </w:rPr>
        <w:t>hydrogenolysis of C–O bond</w:t>
      </w:r>
      <w:r w:rsidR="009B5529" w:rsidRPr="004338BE">
        <w:rPr>
          <w:sz w:val="24"/>
          <w:szCs w:val="24"/>
        </w:rPr>
        <w:t xml:space="preserve"> in </w:t>
      </w:r>
      <w:proofErr w:type="spellStart"/>
      <w:r w:rsidR="009B5529" w:rsidRPr="004338BE">
        <w:rPr>
          <w:sz w:val="24"/>
          <w:szCs w:val="24"/>
        </w:rPr>
        <w:t>furanic</w:t>
      </w:r>
      <w:proofErr w:type="spellEnd"/>
      <w:r w:rsidR="009B5529" w:rsidRPr="004338BE">
        <w:rPr>
          <w:sz w:val="24"/>
          <w:szCs w:val="24"/>
        </w:rPr>
        <w:t xml:space="preserve"> compounds on </w:t>
      </w:r>
      <w:r w:rsidR="00720527" w:rsidRPr="004338BE">
        <w:rPr>
          <w:sz w:val="24"/>
          <w:szCs w:val="24"/>
        </w:rPr>
        <w:t xml:space="preserve">supported </w:t>
      </w:r>
      <w:r w:rsidR="009B5529" w:rsidRPr="004338BE">
        <w:rPr>
          <w:sz w:val="24"/>
          <w:szCs w:val="24"/>
        </w:rPr>
        <w:t>Pt</w:t>
      </w:r>
      <w:r w:rsidR="00586588" w:rsidRPr="004338BE">
        <w:rPr>
          <w:sz w:val="24"/>
          <w:szCs w:val="24"/>
        </w:rPr>
        <w:t xml:space="preserve"> catalysts</w:t>
      </w:r>
      <w:r w:rsidR="0010086A" w:rsidRPr="004338BE">
        <w:rPr>
          <w:sz w:val="24"/>
          <w:szCs w:val="24"/>
        </w:rPr>
        <w:t xml:space="preserve"> </w:t>
      </w:r>
      <w:r w:rsidR="00C051F8" w:rsidRPr="004338BE">
        <w:rPr>
          <w:sz w:val="24"/>
          <w:szCs w:val="24"/>
        </w:rPr>
        <w:t>is a structure-sensitive reaction</w:t>
      </w:r>
      <w:r w:rsidR="00432A87" w:rsidRPr="004338BE">
        <w:rPr>
          <w:sz w:val="24"/>
          <w:szCs w:val="24"/>
        </w:rPr>
        <w:t xml:space="preserve"> occurring on active sites </w:t>
      </w:r>
      <w:r w:rsidR="009B5529" w:rsidRPr="004338BE">
        <w:rPr>
          <w:sz w:val="24"/>
          <w:szCs w:val="24"/>
        </w:rPr>
        <w:t xml:space="preserve">comprising </w:t>
      </w:r>
      <w:r w:rsidR="00432A87" w:rsidRPr="004338BE">
        <w:rPr>
          <w:sz w:val="24"/>
          <w:szCs w:val="24"/>
        </w:rPr>
        <w:t xml:space="preserve">ensembles of </w:t>
      </w:r>
      <w:r w:rsidR="00C15554" w:rsidRPr="004338BE">
        <w:rPr>
          <w:sz w:val="24"/>
          <w:szCs w:val="24"/>
        </w:rPr>
        <w:t>Pt</w:t>
      </w:r>
      <w:r w:rsidR="00432A87" w:rsidRPr="004338BE">
        <w:rPr>
          <w:sz w:val="24"/>
          <w:szCs w:val="24"/>
        </w:rPr>
        <w:t xml:space="preserve"> atoms</w:t>
      </w:r>
      <w:r w:rsidR="00C15554" w:rsidRPr="004338BE">
        <w:rPr>
          <w:sz w:val="24"/>
          <w:szCs w:val="24"/>
        </w:rPr>
        <w:t xml:space="preserve"> rather than</w:t>
      </w:r>
      <w:r w:rsidR="003E03E2" w:rsidRPr="004338BE">
        <w:rPr>
          <w:sz w:val="24"/>
          <w:szCs w:val="24"/>
        </w:rPr>
        <w:t xml:space="preserve"> </w:t>
      </w:r>
      <w:r w:rsidR="00C15554" w:rsidRPr="004338BE">
        <w:rPr>
          <w:sz w:val="24"/>
          <w:szCs w:val="24"/>
        </w:rPr>
        <w:t>single Pt atom</w:t>
      </w:r>
      <w:r w:rsidR="00C0737B" w:rsidRPr="004338BE">
        <w:rPr>
          <w:sz w:val="24"/>
          <w:szCs w:val="24"/>
        </w:rPr>
        <w:t>s</w:t>
      </w:r>
      <w:r w:rsidR="00C15554" w:rsidRPr="004338BE">
        <w:rPr>
          <w:sz w:val="24"/>
          <w:szCs w:val="24"/>
        </w:rPr>
        <w:t xml:space="preserve"> [</w:t>
      </w:r>
      <w:r w:rsidR="007C45CC" w:rsidRPr="004338BE">
        <w:rPr>
          <w:sz w:val="24"/>
          <w:szCs w:val="24"/>
        </w:rPr>
        <w:t>3</w:t>
      </w:r>
      <w:r w:rsidR="000B5AF8" w:rsidRPr="004338BE">
        <w:rPr>
          <w:sz w:val="24"/>
          <w:szCs w:val="24"/>
        </w:rPr>
        <w:t>2</w:t>
      </w:r>
      <w:r w:rsidR="00321EAB" w:rsidRPr="004338BE">
        <w:rPr>
          <w:sz w:val="24"/>
          <w:szCs w:val="24"/>
        </w:rPr>
        <w:t>,3</w:t>
      </w:r>
      <w:r w:rsidR="000B5AF8" w:rsidRPr="004338BE">
        <w:rPr>
          <w:sz w:val="24"/>
          <w:szCs w:val="24"/>
        </w:rPr>
        <w:t>3</w:t>
      </w:r>
      <w:r w:rsidR="00C15554" w:rsidRPr="004338BE">
        <w:rPr>
          <w:sz w:val="24"/>
          <w:szCs w:val="24"/>
        </w:rPr>
        <w:t>]</w:t>
      </w:r>
      <w:r w:rsidR="00432A87" w:rsidRPr="004338BE">
        <w:rPr>
          <w:sz w:val="24"/>
          <w:szCs w:val="24"/>
        </w:rPr>
        <w:t>.</w:t>
      </w:r>
      <w:r w:rsidR="009619CF" w:rsidRPr="004338BE">
        <w:rPr>
          <w:sz w:val="24"/>
          <w:szCs w:val="24"/>
        </w:rPr>
        <w:t xml:space="preserve"> This </w:t>
      </w:r>
      <w:proofErr w:type="gramStart"/>
      <w:r w:rsidR="009619CF" w:rsidRPr="004338BE">
        <w:rPr>
          <w:sz w:val="24"/>
          <w:szCs w:val="24"/>
        </w:rPr>
        <w:t>is in agreement</w:t>
      </w:r>
      <w:proofErr w:type="gramEnd"/>
      <w:r w:rsidR="009619CF" w:rsidRPr="004338BE">
        <w:rPr>
          <w:sz w:val="24"/>
          <w:szCs w:val="24"/>
        </w:rPr>
        <w:t xml:space="preserve"> with </w:t>
      </w:r>
      <w:proofErr w:type="spellStart"/>
      <w:r w:rsidR="009619CF" w:rsidRPr="004338BE">
        <w:rPr>
          <w:sz w:val="24"/>
          <w:szCs w:val="24"/>
        </w:rPr>
        <w:t>Boudart’s</w:t>
      </w:r>
      <w:proofErr w:type="spellEnd"/>
      <w:r w:rsidR="005379CD" w:rsidRPr="004338BE">
        <w:rPr>
          <w:sz w:val="24"/>
          <w:szCs w:val="24"/>
        </w:rPr>
        <w:t xml:space="preserve"> </w:t>
      </w:r>
      <w:r w:rsidR="00B214F4" w:rsidRPr="004338BE">
        <w:rPr>
          <w:sz w:val="24"/>
          <w:szCs w:val="24"/>
        </w:rPr>
        <w:t>con</w:t>
      </w:r>
      <w:r w:rsidR="007C1509" w:rsidRPr="004338BE">
        <w:rPr>
          <w:sz w:val="24"/>
          <w:szCs w:val="24"/>
        </w:rPr>
        <w:t>cept</w:t>
      </w:r>
      <w:r w:rsidR="005379CD" w:rsidRPr="004338BE">
        <w:rPr>
          <w:sz w:val="24"/>
          <w:szCs w:val="24"/>
        </w:rPr>
        <w:t xml:space="preserve"> of structure sensitivity [3</w:t>
      </w:r>
      <w:r w:rsidR="000B5AF8" w:rsidRPr="004338BE">
        <w:rPr>
          <w:sz w:val="24"/>
          <w:szCs w:val="24"/>
        </w:rPr>
        <w:t>2</w:t>
      </w:r>
      <w:r w:rsidR="005379CD" w:rsidRPr="004338BE">
        <w:rPr>
          <w:sz w:val="24"/>
          <w:szCs w:val="24"/>
        </w:rPr>
        <w:t>,3</w:t>
      </w:r>
      <w:r w:rsidR="000B5AF8" w:rsidRPr="004338BE">
        <w:rPr>
          <w:sz w:val="24"/>
          <w:szCs w:val="24"/>
        </w:rPr>
        <w:t>4</w:t>
      </w:r>
      <w:r w:rsidR="005379CD" w:rsidRPr="004338BE">
        <w:rPr>
          <w:sz w:val="24"/>
          <w:szCs w:val="24"/>
        </w:rPr>
        <w:t xml:space="preserve">] </w:t>
      </w:r>
      <w:r w:rsidR="007C1509" w:rsidRPr="004338BE">
        <w:rPr>
          <w:sz w:val="24"/>
          <w:szCs w:val="24"/>
        </w:rPr>
        <w:t>classifying</w:t>
      </w:r>
      <w:r w:rsidR="005379CD" w:rsidRPr="004338BE">
        <w:rPr>
          <w:sz w:val="24"/>
          <w:szCs w:val="24"/>
        </w:rPr>
        <w:t xml:space="preserve"> the metal-catalysed</w:t>
      </w:r>
      <w:r w:rsidR="007C1509" w:rsidRPr="004338BE">
        <w:rPr>
          <w:sz w:val="24"/>
          <w:szCs w:val="24"/>
        </w:rPr>
        <w:t xml:space="preserve"> reactions involving</w:t>
      </w:r>
      <w:r w:rsidR="005379CD" w:rsidRPr="004338BE">
        <w:rPr>
          <w:sz w:val="24"/>
          <w:szCs w:val="24"/>
        </w:rPr>
        <w:t xml:space="preserve"> breaking or making C–C, N–N and C–O bonds as </w:t>
      </w:r>
      <w:r w:rsidR="001E3DAB" w:rsidRPr="004338BE">
        <w:rPr>
          <w:sz w:val="24"/>
          <w:szCs w:val="24"/>
        </w:rPr>
        <w:t xml:space="preserve">the </w:t>
      </w:r>
      <w:r w:rsidR="005379CD" w:rsidRPr="004338BE">
        <w:rPr>
          <w:sz w:val="24"/>
          <w:szCs w:val="24"/>
        </w:rPr>
        <w:t>structure-sensitive reactions.</w:t>
      </w:r>
      <w:r w:rsidR="00E86429" w:rsidRPr="004338BE">
        <w:rPr>
          <w:sz w:val="24"/>
          <w:szCs w:val="24"/>
        </w:rPr>
        <w:t xml:space="preserve"> </w:t>
      </w:r>
      <w:r w:rsidR="00367493" w:rsidRPr="004338BE">
        <w:rPr>
          <w:sz w:val="24"/>
          <w:szCs w:val="24"/>
        </w:rPr>
        <w:t xml:space="preserve">Further in-depth investigation is required to characterise the size and symmetry of active Pt ensembles for the HDO of </w:t>
      </w:r>
      <w:proofErr w:type="spellStart"/>
      <w:r w:rsidR="00367493" w:rsidRPr="004338BE">
        <w:rPr>
          <w:sz w:val="24"/>
          <w:szCs w:val="24"/>
        </w:rPr>
        <w:t>furanic</w:t>
      </w:r>
      <w:proofErr w:type="spellEnd"/>
      <w:r w:rsidR="00367493" w:rsidRPr="004338BE">
        <w:rPr>
          <w:sz w:val="24"/>
          <w:szCs w:val="24"/>
        </w:rPr>
        <w:t xml:space="preserve"> compounds.</w:t>
      </w:r>
    </w:p>
    <w:p w14:paraId="626B0501" w14:textId="518A99B6" w:rsidR="00895D9A" w:rsidRPr="004338BE" w:rsidRDefault="00895D9A" w:rsidP="0064780B">
      <w:pPr>
        <w:pStyle w:val="RSCB02ArticleText"/>
        <w:spacing w:line="480" w:lineRule="auto"/>
        <w:ind w:firstLine="720"/>
        <w:rPr>
          <w:sz w:val="24"/>
          <w:szCs w:val="24"/>
        </w:rPr>
      </w:pPr>
      <w:r w:rsidRPr="004338BE">
        <w:rPr>
          <w:sz w:val="24"/>
          <w:szCs w:val="24"/>
        </w:rPr>
        <w:t>Th</w:t>
      </w:r>
      <w:r w:rsidRPr="004338BE">
        <w:rPr>
          <w:sz w:val="24"/>
          <w:szCs w:val="24"/>
        </w:rPr>
        <w:t>e results</w:t>
      </w:r>
      <w:r w:rsidR="004129E9" w:rsidRPr="004338BE">
        <w:rPr>
          <w:sz w:val="24"/>
          <w:szCs w:val="24"/>
        </w:rPr>
        <w:t xml:space="preserve"> above</w:t>
      </w:r>
      <w:r w:rsidRPr="004338BE">
        <w:rPr>
          <w:sz w:val="24"/>
          <w:szCs w:val="24"/>
        </w:rPr>
        <w:t xml:space="preserve"> show that the turnover rate of HDO of DMTHF is much lower compared to HDO of DMF</w:t>
      </w:r>
      <w:r w:rsidR="00975648" w:rsidRPr="004338BE">
        <w:rPr>
          <w:sz w:val="24"/>
          <w:szCs w:val="24"/>
        </w:rPr>
        <w:t>.</w:t>
      </w:r>
      <w:r w:rsidRPr="004338BE">
        <w:rPr>
          <w:sz w:val="24"/>
          <w:szCs w:val="24"/>
        </w:rPr>
        <w:t xml:space="preserve"> </w:t>
      </w:r>
      <w:r w:rsidR="00975648" w:rsidRPr="004338BE">
        <w:rPr>
          <w:sz w:val="24"/>
          <w:szCs w:val="24"/>
        </w:rPr>
        <w:t>F</w:t>
      </w:r>
      <w:r w:rsidRPr="004338BE">
        <w:rPr>
          <w:sz w:val="24"/>
          <w:szCs w:val="24"/>
        </w:rPr>
        <w:t xml:space="preserve">or 9.6%Pt/C + </w:t>
      </w:r>
      <w:proofErr w:type="spellStart"/>
      <w:r w:rsidRPr="004338BE">
        <w:rPr>
          <w:sz w:val="24"/>
          <w:szCs w:val="24"/>
        </w:rPr>
        <w:t>CsPW</w:t>
      </w:r>
      <w:proofErr w:type="spellEnd"/>
      <w:r w:rsidRPr="004338BE">
        <w:rPr>
          <w:sz w:val="24"/>
          <w:szCs w:val="24"/>
        </w:rPr>
        <w:t>, it is 80 times lower given the activation energy of 65 kJ mol</w:t>
      </w:r>
      <w:r w:rsidRPr="004338BE">
        <w:rPr>
          <w:sz w:val="24"/>
          <w:szCs w:val="24"/>
          <w:vertAlign w:val="superscript"/>
        </w:rPr>
        <w:t>-1</w:t>
      </w:r>
      <w:r w:rsidRPr="004338BE">
        <w:rPr>
          <w:sz w:val="24"/>
          <w:szCs w:val="24"/>
        </w:rPr>
        <w:t xml:space="preserve"> for the HDO of DMF on 9.6%Pt/C + </w:t>
      </w:r>
      <w:proofErr w:type="spellStart"/>
      <w:r w:rsidRPr="004338BE">
        <w:rPr>
          <w:sz w:val="24"/>
          <w:szCs w:val="24"/>
        </w:rPr>
        <w:t>CsPW</w:t>
      </w:r>
      <w:proofErr w:type="spellEnd"/>
      <w:r w:rsidRPr="004338BE">
        <w:rPr>
          <w:sz w:val="24"/>
          <w:szCs w:val="24"/>
        </w:rPr>
        <w:t xml:space="preserve"> [21]. This is not unexpected, as DMTHF hydrogenolysis on Pt/C is three orders of magnitude slower compared to DMF hydrogenolysis [15].</w:t>
      </w:r>
    </w:p>
    <w:p w14:paraId="0F1D49D3" w14:textId="15722253" w:rsidR="00FB0F6B" w:rsidRPr="004338BE" w:rsidRDefault="00FB0F6B" w:rsidP="00FB0F6B">
      <w:pPr>
        <w:autoSpaceDE w:val="0"/>
        <w:autoSpaceDN w:val="0"/>
        <w:adjustRightInd w:val="0"/>
        <w:spacing w:after="0" w:line="480" w:lineRule="auto"/>
        <w:ind w:right="-45"/>
        <w:jc w:val="both"/>
        <w:rPr>
          <w:rFonts w:eastAsia="Calibri"/>
        </w:rPr>
      </w:pPr>
    </w:p>
    <w:p w14:paraId="569B7E3A" w14:textId="556923ED" w:rsidR="00FB0F6B" w:rsidRPr="004338BE" w:rsidRDefault="00FB0F6B" w:rsidP="00FB0F6B">
      <w:pPr>
        <w:autoSpaceDE w:val="0"/>
        <w:autoSpaceDN w:val="0"/>
        <w:adjustRightInd w:val="0"/>
        <w:spacing w:after="0" w:line="480" w:lineRule="auto"/>
        <w:ind w:right="-45"/>
        <w:jc w:val="both"/>
        <w:rPr>
          <w:rFonts w:eastAsia="Calibri"/>
          <w:i/>
        </w:rPr>
      </w:pPr>
      <w:r w:rsidRPr="004338BE">
        <w:rPr>
          <w:rFonts w:eastAsia="Calibri"/>
          <w:i/>
        </w:rPr>
        <w:t>3.</w:t>
      </w:r>
      <w:r w:rsidR="00E64785" w:rsidRPr="004338BE">
        <w:rPr>
          <w:rFonts w:eastAsia="Calibri"/>
          <w:i/>
        </w:rPr>
        <w:t>2</w:t>
      </w:r>
      <w:r w:rsidRPr="004338BE">
        <w:rPr>
          <w:rFonts w:eastAsia="Calibri"/>
          <w:i/>
        </w:rPr>
        <w:t>. Kinetics and mechanism of DMTHF hydrodeoxygenation</w:t>
      </w:r>
    </w:p>
    <w:p w14:paraId="4E6C462E" w14:textId="13FEA3ED" w:rsidR="0024759D" w:rsidRPr="004338BE" w:rsidRDefault="00A72991" w:rsidP="00B942B9">
      <w:pPr>
        <w:autoSpaceDE w:val="0"/>
        <w:autoSpaceDN w:val="0"/>
        <w:adjustRightInd w:val="0"/>
        <w:spacing w:after="0" w:line="480" w:lineRule="auto"/>
        <w:ind w:right="-45" w:firstLine="720"/>
        <w:jc w:val="both"/>
      </w:pPr>
      <w:r w:rsidRPr="004338BE">
        <w:rPr>
          <w:rFonts w:eastAsia="Calibri"/>
        </w:rPr>
        <w:t>Hydrodeoxygenation of DMTHF over Pt–</w:t>
      </w:r>
      <w:proofErr w:type="spellStart"/>
      <w:r w:rsidRPr="004338BE">
        <w:rPr>
          <w:rFonts w:eastAsia="Calibri"/>
        </w:rPr>
        <w:t>CsPW</w:t>
      </w:r>
      <w:proofErr w:type="spellEnd"/>
      <w:r w:rsidRPr="004338BE">
        <w:rPr>
          <w:rFonts w:eastAsia="Calibri"/>
        </w:rPr>
        <w:t xml:space="preserve"> can be represented by Scheme </w:t>
      </w:r>
      <w:r w:rsidR="00533E48" w:rsidRPr="004338BE">
        <w:rPr>
          <w:rFonts w:eastAsia="Calibri"/>
        </w:rPr>
        <w:t>2</w:t>
      </w:r>
      <w:r w:rsidR="005F7CDF" w:rsidRPr="004338BE">
        <w:rPr>
          <w:rFonts w:eastAsia="Calibri"/>
        </w:rPr>
        <w:t xml:space="preserve">, which includes DMTHF ring opening on Pt sites to form 2-hexanol followed by 2-hexanol </w:t>
      </w:r>
      <w:r w:rsidR="005F7CDF" w:rsidRPr="004338BE">
        <w:rPr>
          <w:rFonts w:eastAsia="Calibri"/>
        </w:rPr>
        <w:lastRenderedPageBreak/>
        <w:t xml:space="preserve">dehydration to hexene on proton sites and finally hexene hydrogenation to </w:t>
      </w:r>
      <w:r w:rsidR="00F55836" w:rsidRPr="004338BE">
        <w:rPr>
          <w:rFonts w:eastAsia="Calibri"/>
        </w:rPr>
        <w:t>n-</w:t>
      </w:r>
      <w:r w:rsidR="005F7CDF" w:rsidRPr="004338BE">
        <w:rPr>
          <w:rFonts w:eastAsia="Calibri"/>
        </w:rPr>
        <w:t>hexane on Pt sites</w:t>
      </w:r>
      <w:r w:rsidR="00694F38" w:rsidRPr="004338BE">
        <w:rPr>
          <w:rFonts w:eastAsia="Calibri"/>
        </w:rPr>
        <w:t xml:space="preserve"> [2</w:t>
      </w:r>
      <w:r w:rsidR="009948F4" w:rsidRPr="004338BE">
        <w:rPr>
          <w:rFonts w:eastAsia="Calibri"/>
        </w:rPr>
        <w:t>1</w:t>
      </w:r>
      <w:r w:rsidR="00694F38" w:rsidRPr="004338BE">
        <w:rPr>
          <w:rFonts w:eastAsia="Calibri"/>
        </w:rPr>
        <w:t>]</w:t>
      </w:r>
      <w:r w:rsidRPr="004338BE">
        <w:rPr>
          <w:rFonts w:eastAsia="Calibri"/>
        </w:rPr>
        <w:t>.</w:t>
      </w:r>
      <w:r w:rsidR="001E39EB" w:rsidRPr="004338BE">
        <w:rPr>
          <w:rFonts w:eastAsia="Calibri"/>
        </w:rPr>
        <w:t xml:space="preserve"> </w:t>
      </w:r>
      <w:r w:rsidR="00873FF1" w:rsidRPr="004338BE">
        <w:rPr>
          <w:rFonts w:eastAsia="Calibri"/>
        </w:rPr>
        <w:t>Since no hexene was observed among the reaction products, t</w:t>
      </w:r>
      <w:r w:rsidR="001E39EB" w:rsidRPr="004338BE">
        <w:rPr>
          <w:rFonts w:eastAsia="Calibri"/>
        </w:rPr>
        <w:t xml:space="preserve">he last step </w:t>
      </w:r>
      <w:r w:rsidR="00DF2AA3" w:rsidRPr="004338BE">
        <w:rPr>
          <w:rFonts w:eastAsia="Calibri"/>
        </w:rPr>
        <w:t>can be assumed</w:t>
      </w:r>
      <w:r w:rsidR="00063D17" w:rsidRPr="004338BE">
        <w:rPr>
          <w:rFonts w:eastAsia="Calibri"/>
        </w:rPr>
        <w:t xml:space="preserve"> to be fast</w:t>
      </w:r>
      <w:r w:rsidR="00873FF1" w:rsidRPr="004338BE">
        <w:rPr>
          <w:rFonts w:eastAsia="Calibri"/>
        </w:rPr>
        <w:t xml:space="preserve"> and kinetically irrelevant</w:t>
      </w:r>
      <w:r w:rsidR="00063D17" w:rsidRPr="004338BE">
        <w:rPr>
          <w:rFonts w:eastAsia="Calibri"/>
        </w:rPr>
        <w:t>.</w:t>
      </w:r>
      <w:r w:rsidR="00E47B70" w:rsidRPr="004338BE">
        <w:t xml:space="preserve"> The rate</w:t>
      </w:r>
      <w:r w:rsidR="00CC1E07" w:rsidRPr="004338BE">
        <w:t>-</w:t>
      </w:r>
      <w:r w:rsidR="00E47B70" w:rsidRPr="004338BE">
        <w:t xml:space="preserve">limiting step (first or second step in Scheme </w:t>
      </w:r>
      <w:r w:rsidR="00523624" w:rsidRPr="004338BE">
        <w:t>2</w:t>
      </w:r>
      <w:r w:rsidR="00E47B70" w:rsidRPr="004338BE">
        <w:t xml:space="preserve">) is </w:t>
      </w:r>
      <w:r w:rsidR="00020A00" w:rsidRPr="004338BE">
        <w:t xml:space="preserve">likely to be </w:t>
      </w:r>
      <w:r w:rsidR="00E47B70" w:rsidRPr="004338BE">
        <w:t xml:space="preserve">determined by the balance between metal and acid functionalities in bifunctional catalyst, i.e., </w:t>
      </w:r>
      <w:r w:rsidR="00526975" w:rsidRPr="004338BE">
        <w:t xml:space="preserve">by </w:t>
      </w:r>
      <w:r w:rsidR="00E47B70" w:rsidRPr="004338BE">
        <w:t>the ratio of accessible surface metal and acid sites Pt</w:t>
      </w:r>
      <w:r w:rsidR="00E47B70" w:rsidRPr="004338BE">
        <w:rPr>
          <w:vertAlign w:val="subscript"/>
        </w:rPr>
        <w:t>s</w:t>
      </w:r>
      <w:r w:rsidR="00E47B70" w:rsidRPr="004338BE">
        <w:t>/H</w:t>
      </w:r>
      <w:r w:rsidR="00E47B70" w:rsidRPr="004338BE">
        <w:rPr>
          <w:vertAlign w:val="superscript"/>
        </w:rPr>
        <w:t>+</w:t>
      </w:r>
      <w:r w:rsidR="00E47B70" w:rsidRPr="004338BE">
        <w:t>.</w:t>
      </w:r>
    </w:p>
    <w:p w14:paraId="09FBD86C" w14:textId="77777777" w:rsidR="00497069" w:rsidRPr="004338BE" w:rsidRDefault="00497069" w:rsidP="00256AE4">
      <w:pPr>
        <w:spacing w:line="480" w:lineRule="auto"/>
        <w:ind w:right="-45"/>
        <w:jc w:val="center"/>
      </w:pPr>
      <w:r w:rsidRPr="004338BE">
        <w:object w:dxaOrig="9065" w:dyaOrig="941" w14:anchorId="777CCE1B">
          <v:shape id="_x0000_i1026" type="#_x0000_t75" style="width:369.4pt;height:38.5pt" o:ole="">
            <v:imagedata r:id="rId11" o:title=""/>
          </v:shape>
          <o:OLEObject Type="Embed" ProgID="ChemDraw.Document.6.0" ShapeID="_x0000_i1026" DrawAspect="Content" ObjectID="_1684669773" r:id="rId12"/>
        </w:object>
      </w:r>
    </w:p>
    <w:p w14:paraId="108C754D" w14:textId="2D113EED" w:rsidR="00497069" w:rsidRPr="004338BE" w:rsidRDefault="00497069" w:rsidP="00D82201">
      <w:pPr>
        <w:spacing w:after="0" w:line="480" w:lineRule="auto"/>
        <w:ind w:right="-45"/>
        <w:jc w:val="center"/>
        <w:rPr>
          <w:rFonts w:eastAsia="Calibri"/>
        </w:rPr>
      </w:pPr>
      <w:r w:rsidRPr="004338BE">
        <w:rPr>
          <w:rFonts w:eastAsia="Calibri"/>
          <w:b/>
          <w:bCs/>
        </w:rPr>
        <w:t xml:space="preserve">Scheme </w:t>
      </w:r>
      <w:r w:rsidR="00523624" w:rsidRPr="004338BE">
        <w:rPr>
          <w:rFonts w:eastAsia="Calibri"/>
          <w:b/>
          <w:bCs/>
        </w:rPr>
        <w:t>2</w:t>
      </w:r>
      <w:r w:rsidRPr="004338BE">
        <w:rPr>
          <w:rFonts w:eastAsia="Calibri"/>
          <w:b/>
          <w:bCs/>
        </w:rPr>
        <w:t>.</w:t>
      </w:r>
      <w:r w:rsidRPr="004338BE">
        <w:rPr>
          <w:rFonts w:eastAsia="Calibri"/>
          <w:color w:val="FF0000"/>
        </w:rPr>
        <w:t xml:space="preserve"> </w:t>
      </w:r>
      <w:r w:rsidRPr="004338BE">
        <w:rPr>
          <w:rFonts w:eastAsia="Calibri"/>
        </w:rPr>
        <w:t>Hydrodeoxygenation of DMTHF over Pt–</w:t>
      </w:r>
      <w:proofErr w:type="spellStart"/>
      <w:r w:rsidRPr="004338BE">
        <w:rPr>
          <w:rFonts w:eastAsia="Calibri"/>
        </w:rPr>
        <w:t>CsPW</w:t>
      </w:r>
      <w:proofErr w:type="spellEnd"/>
      <w:r w:rsidRPr="004338BE">
        <w:rPr>
          <w:rFonts w:eastAsia="Calibri"/>
        </w:rPr>
        <w:t xml:space="preserve"> catalyst.</w:t>
      </w:r>
    </w:p>
    <w:p w14:paraId="09A7D1CF" w14:textId="77777777" w:rsidR="00526975" w:rsidRPr="004338BE" w:rsidRDefault="00526975" w:rsidP="00D82201">
      <w:pPr>
        <w:spacing w:after="0" w:line="480" w:lineRule="auto"/>
        <w:ind w:right="-45"/>
        <w:jc w:val="center"/>
        <w:rPr>
          <w:rFonts w:eastAsia="Calibri"/>
        </w:rPr>
      </w:pPr>
    </w:p>
    <w:p w14:paraId="012B5880" w14:textId="004B0BDB" w:rsidR="00B155A8" w:rsidRPr="004338BE" w:rsidRDefault="00827534" w:rsidP="00DD4B02">
      <w:pPr>
        <w:autoSpaceDE w:val="0"/>
        <w:autoSpaceDN w:val="0"/>
        <w:adjustRightInd w:val="0"/>
        <w:spacing w:after="0" w:line="480" w:lineRule="auto"/>
        <w:ind w:right="-45" w:firstLine="720"/>
        <w:jc w:val="both"/>
      </w:pPr>
      <w:r w:rsidRPr="004338BE">
        <w:rPr>
          <w:rFonts w:eastAsia="Calibri"/>
        </w:rPr>
        <w:t xml:space="preserve">Fig. </w:t>
      </w:r>
      <w:r w:rsidR="00523624" w:rsidRPr="004338BE">
        <w:rPr>
          <w:rFonts w:eastAsia="Calibri"/>
        </w:rPr>
        <w:t>2</w:t>
      </w:r>
      <w:r w:rsidRPr="004338BE">
        <w:rPr>
          <w:rFonts w:eastAsia="Calibri"/>
        </w:rPr>
        <w:t xml:space="preserve"> shows the dependence of DMTHF conversion and reaction selectivity on the relative </w:t>
      </w:r>
      <w:r w:rsidR="007E08A8" w:rsidRPr="004338BE">
        <w:t>number</w:t>
      </w:r>
      <w:r w:rsidR="0009571B" w:rsidRPr="004338BE">
        <w:t xml:space="preserve"> of surface Pt and H</w:t>
      </w:r>
      <w:r w:rsidR="0009571B" w:rsidRPr="004338BE">
        <w:rPr>
          <w:vertAlign w:val="superscript"/>
        </w:rPr>
        <w:t>+</w:t>
      </w:r>
      <w:r w:rsidR="0009571B" w:rsidRPr="004338BE">
        <w:t xml:space="preserve"> sites</w:t>
      </w:r>
      <w:r w:rsidR="00E1698D" w:rsidRPr="004338BE">
        <w:t xml:space="preserve"> in the catalyst mixture Pt/C + </w:t>
      </w:r>
      <w:proofErr w:type="spellStart"/>
      <w:r w:rsidR="00E1698D" w:rsidRPr="004338BE">
        <w:t>CsPW</w:t>
      </w:r>
      <w:proofErr w:type="spellEnd"/>
      <w:r w:rsidR="00CA4E35" w:rsidRPr="004338BE">
        <w:t>.</w:t>
      </w:r>
      <w:r w:rsidR="00F96284" w:rsidRPr="004338BE">
        <w:t xml:space="preserve"> </w:t>
      </w:r>
      <w:r w:rsidR="00984108" w:rsidRPr="004338BE">
        <w:t>The density of Pt surface sites was calculated from the Pt dispersion (Table 1), the density of H</w:t>
      </w:r>
      <w:r w:rsidR="00984108" w:rsidRPr="004338BE">
        <w:rPr>
          <w:vertAlign w:val="superscript"/>
        </w:rPr>
        <w:t>+</w:t>
      </w:r>
      <w:r w:rsidR="00984108" w:rsidRPr="004338BE">
        <w:t xml:space="preserve"> surface sites in </w:t>
      </w:r>
      <w:proofErr w:type="spellStart"/>
      <w:r w:rsidR="00984108" w:rsidRPr="004338BE">
        <w:t>CsPW</w:t>
      </w:r>
      <w:proofErr w:type="spellEnd"/>
      <w:r w:rsidR="00984108" w:rsidRPr="004338BE">
        <w:t xml:space="preserve"> </w:t>
      </w:r>
      <w:r w:rsidR="00FB5AE2" w:rsidRPr="004338BE">
        <w:t>wa</w:t>
      </w:r>
      <w:r w:rsidR="00984108" w:rsidRPr="004338BE">
        <w:t>s</w:t>
      </w:r>
      <w:r w:rsidR="00FB5AE2" w:rsidRPr="004338BE">
        <w:t xml:space="preserve"> 0.080 mmol g</w:t>
      </w:r>
      <w:r w:rsidR="00FB5AE2" w:rsidRPr="004338BE">
        <w:rPr>
          <w:vertAlign w:val="superscript"/>
        </w:rPr>
        <w:t>-1</w:t>
      </w:r>
      <w:r w:rsidR="00FB5AE2" w:rsidRPr="004338BE">
        <w:t>, as calculated from the PW</w:t>
      </w:r>
      <w:r w:rsidR="001F1EF2" w:rsidRPr="004338BE">
        <w:rPr>
          <w:vertAlign w:val="subscript"/>
        </w:rPr>
        <w:t>12</w:t>
      </w:r>
      <w:r w:rsidR="001F1EF2" w:rsidRPr="004338BE">
        <w:t>O</w:t>
      </w:r>
      <w:r w:rsidR="001F1EF2" w:rsidRPr="004338BE">
        <w:rPr>
          <w:vertAlign w:val="subscript"/>
        </w:rPr>
        <w:t>40</w:t>
      </w:r>
      <w:r w:rsidR="001F1EF2" w:rsidRPr="004338BE">
        <w:rPr>
          <w:vertAlign w:val="superscript"/>
        </w:rPr>
        <w:t>3-</w:t>
      </w:r>
      <w:r w:rsidR="00FB5AE2" w:rsidRPr="004338BE">
        <w:t xml:space="preserve"> </w:t>
      </w:r>
      <w:proofErr w:type="spellStart"/>
      <w:r w:rsidR="00FB5AE2" w:rsidRPr="004338BE">
        <w:t>Keggin</w:t>
      </w:r>
      <w:proofErr w:type="spellEnd"/>
      <w:r w:rsidR="00FB5AE2" w:rsidRPr="004338BE">
        <w:t xml:space="preserve"> unit cross section of 144 Å</w:t>
      </w:r>
      <w:r w:rsidR="00FB5AE2" w:rsidRPr="004338BE">
        <w:rPr>
          <w:vertAlign w:val="superscript"/>
        </w:rPr>
        <w:t>2</w:t>
      </w:r>
      <w:r w:rsidR="00FB5AE2" w:rsidRPr="004338BE">
        <w:t xml:space="preserve"> [</w:t>
      </w:r>
      <w:r w:rsidR="003D4DC8" w:rsidRPr="004338BE">
        <w:t>2</w:t>
      </w:r>
      <w:r w:rsidR="00BD70AB" w:rsidRPr="004338BE">
        <w:t>4</w:t>
      </w:r>
      <w:r w:rsidR="003D4DC8" w:rsidRPr="004338BE">
        <w:t>,3</w:t>
      </w:r>
      <w:r w:rsidR="00BD70AB" w:rsidRPr="004338BE">
        <w:t>1</w:t>
      </w:r>
      <w:r w:rsidR="00FB5AE2" w:rsidRPr="004338BE">
        <w:t xml:space="preserve">] and </w:t>
      </w:r>
      <w:proofErr w:type="spellStart"/>
      <w:r w:rsidR="00FB5AE2" w:rsidRPr="004338BE">
        <w:t>CsPW</w:t>
      </w:r>
      <w:proofErr w:type="spellEnd"/>
      <w:r w:rsidR="00FB5AE2" w:rsidRPr="004338BE">
        <w:t xml:space="preserve"> surface area of 139 m</w:t>
      </w:r>
      <w:r w:rsidR="00FB5AE2" w:rsidRPr="004338BE">
        <w:rPr>
          <w:vertAlign w:val="superscript"/>
        </w:rPr>
        <w:t>2</w:t>
      </w:r>
      <w:r w:rsidR="00FB5AE2" w:rsidRPr="004338BE">
        <w:t>g</w:t>
      </w:r>
      <w:r w:rsidR="00FB5AE2" w:rsidRPr="004338BE">
        <w:rPr>
          <w:vertAlign w:val="superscript"/>
        </w:rPr>
        <w:t>-1</w:t>
      </w:r>
      <w:r w:rsidR="00984108" w:rsidRPr="004338BE">
        <w:t xml:space="preserve"> </w:t>
      </w:r>
      <w:r w:rsidR="00FB5AE2" w:rsidRPr="004338BE">
        <w:t>(</w:t>
      </w:r>
      <w:r w:rsidR="00984108" w:rsidRPr="004338BE">
        <w:t xml:space="preserve">Table </w:t>
      </w:r>
      <w:r w:rsidR="00FB5AE2" w:rsidRPr="004338BE">
        <w:t>1)</w:t>
      </w:r>
      <w:r w:rsidR="00984108" w:rsidRPr="004338BE">
        <w:t>.</w:t>
      </w:r>
      <w:r w:rsidR="002376F3" w:rsidRPr="004338BE">
        <w:t xml:space="preserve"> In Fig. </w:t>
      </w:r>
      <w:r w:rsidR="00A62BD1" w:rsidRPr="004338BE">
        <w:t>2</w:t>
      </w:r>
      <w:r w:rsidR="002376F3" w:rsidRPr="004338BE">
        <w:t xml:space="preserve">A, the amount of </w:t>
      </w:r>
      <w:proofErr w:type="spellStart"/>
      <w:r w:rsidR="002376F3" w:rsidRPr="004338BE">
        <w:t>CsPW</w:t>
      </w:r>
      <w:proofErr w:type="spellEnd"/>
      <w:r w:rsidR="002376F3" w:rsidRPr="004338BE">
        <w:t xml:space="preserve"> was kept constant (0.18 g) at </w:t>
      </w:r>
      <w:r w:rsidR="00AB0A35" w:rsidRPr="004338BE">
        <w:t xml:space="preserve">a </w:t>
      </w:r>
      <w:r w:rsidR="002376F3" w:rsidRPr="004338BE">
        <w:t>sufficiently high level to effectively convert 2-hexanol to hexene. The amount of Pt/C was varied from zero</w:t>
      </w:r>
      <w:r w:rsidR="00A32D79" w:rsidRPr="004338BE">
        <w:t xml:space="preserve"> to 0.06 g</w:t>
      </w:r>
      <w:r w:rsidR="002376F3" w:rsidRPr="004338BE">
        <w:t>. As can be seen, the DMTHF conversion increases with Pt</w:t>
      </w:r>
      <w:r w:rsidR="002376F3" w:rsidRPr="004338BE">
        <w:rPr>
          <w:vertAlign w:val="subscript"/>
        </w:rPr>
        <w:t>s</w:t>
      </w:r>
      <w:r w:rsidR="002376F3" w:rsidRPr="004338BE">
        <w:t>/H</w:t>
      </w:r>
      <w:r w:rsidR="002376F3" w:rsidRPr="004338BE">
        <w:rPr>
          <w:vertAlign w:val="superscript"/>
        </w:rPr>
        <w:t>+</w:t>
      </w:r>
      <w:r w:rsidR="002376F3" w:rsidRPr="004338BE">
        <w:t xml:space="preserve"> ratio and reaches a plateau (22%) at Pt</w:t>
      </w:r>
      <w:r w:rsidR="002376F3" w:rsidRPr="004338BE">
        <w:rPr>
          <w:vertAlign w:val="subscript"/>
        </w:rPr>
        <w:t>s</w:t>
      </w:r>
      <w:r w:rsidR="002376F3" w:rsidRPr="004338BE">
        <w:t>/H</w:t>
      </w:r>
      <w:r w:rsidR="002376F3" w:rsidRPr="004338BE">
        <w:rPr>
          <w:vertAlign w:val="superscript"/>
        </w:rPr>
        <w:t>+</w:t>
      </w:r>
      <w:r w:rsidR="002376F3" w:rsidRPr="004338BE">
        <w:t xml:space="preserve"> </w:t>
      </w:r>
      <w:r w:rsidR="000939EF" w:rsidRPr="004338BE">
        <w:t>≈</w:t>
      </w:r>
      <w:r w:rsidR="002376F3" w:rsidRPr="004338BE">
        <w:t xml:space="preserve"> 0.05. The selectivity to hexane was ~100% throughout this series. These results indicate the change of rate-limiting step from the first </w:t>
      </w:r>
      <w:r w:rsidR="008F1A5D" w:rsidRPr="004338BE">
        <w:t xml:space="preserve">step </w:t>
      </w:r>
      <w:r w:rsidR="002376F3" w:rsidRPr="004338BE">
        <w:t>(</w:t>
      </w:r>
      <w:r w:rsidR="0033410E" w:rsidRPr="004338BE">
        <w:t xml:space="preserve">DMTHF </w:t>
      </w:r>
      <w:r w:rsidR="002376F3" w:rsidRPr="004338BE">
        <w:t>hydrogenolysis) at low Pt</w:t>
      </w:r>
      <w:r w:rsidR="002376F3" w:rsidRPr="004338BE">
        <w:rPr>
          <w:vertAlign w:val="subscript"/>
        </w:rPr>
        <w:t>s</w:t>
      </w:r>
      <w:r w:rsidR="002376F3" w:rsidRPr="004338BE">
        <w:t>/H</w:t>
      </w:r>
      <w:r w:rsidR="002376F3" w:rsidRPr="004338BE">
        <w:rPr>
          <w:vertAlign w:val="superscript"/>
        </w:rPr>
        <w:t>+</w:t>
      </w:r>
      <w:r w:rsidR="002376F3" w:rsidRPr="004338BE">
        <w:t xml:space="preserve"> to the second</w:t>
      </w:r>
      <w:r w:rsidR="008F1A5D" w:rsidRPr="004338BE">
        <w:t xml:space="preserve"> step</w:t>
      </w:r>
      <w:r w:rsidR="002376F3" w:rsidRPr="004338BE">
        <w:t xml:space="preserve"> (</w:t>
      </w:r>
      <w:r w:rsidR="00E03125" w:rsidRPr="004338BE">
        <w:t xml:space="preserve">2-hexanol </w:t>
      </w:r>
      <w:r w:rsidR="002376F3" w:rsidRPr="004338BE">
        <w:t>dehydration) at high</w:t>
      </w:r>
      <w:r w:rsidR="00E1698D" w:rsidRPr="004338BE">
        <w:t xml:space="preserve"> </w:t>
      </w:r>
      <w:r w:rsidR="002376F3" w:rsidRPr="004338BE">
        <w:t>Pt</w:t>
      </w:r>
      <w:r w:rsidR="002376F3" w:rsidRPr="004338BE">
        <w:rPr>
          <w:vertAlign w:val="subscript"/>
        </w:rPr>
        <w:t>s</w:t>
      </w:r>
      <w:r w:rsidR="002376F3" w:rsidRPr="004338BE">
        <w:t>/H</w:t>
      </w:r>
      <w:r w:rsidR="002376F3" w:rsidRPr="004338BE">
        <w:rPr>
          <w:vertAlign w:val="superscript"/>
        </w:rPr>
        <w:t>+</w:t>
      </w:r>
      <w:r w:rsidR="002376F3" w:rsidRPr="004338BE">
        <w:t>, with the first step reac</w:t>
      </w:r>
      <w:r w:rsidR="007C6B69" w:rsidRPr="004338BE">
        <w:t>h</w:t>
      </w:r>
      <w:r w:rsidR="002376F3" w:rsidRPr="004338BE">
        <w:t>ing equilibrium.</w:t>
      </w:r>
      <w:r w:rsidR="009306F1" w:rsidRPr="004338BE">
        <w:t xml:space="preserve"> </w:t>
      </w:r>
    </w:p>
    <w:p w14:paraId="0B3FE281" w14:textId="130702F4" w:rsidR="00827534" w:rsidRPr="004338BE" w:rsidRDefault="009306F1" w:rsidP="00DD4B02">
      <w:pPr>
        <w:autoSpaceDE w:val="0"/>
        <w:autoSpaceDN w:val="0"/>
        <w:adjustRightInd w:val="0"/>
        <w:spacing w:after="0" w:line="480" w:lineRule="auto"/>
        <w:ind w:right="-45" w:firstLine="720"/>
        <w:jc w:val="both"/>
      </w:pPr>
      <w:r w:rsidRPr="004338BE">
        <w:t xml:space="preserve">In Fig. </w:t>
      </w:r>
      <w:r w:rsidR="00352FB5" w:rsidRPr="004338BE">
        <w:t>2</w:t>
      </w:r>
      <w:r w:rsidRPr="004338BE">
        <w:t>B</w:t>
      </w:r>
      <w:r w:rsidR="00A32D79" w:rsidRPr="004338BE">
        <w:t>, the experiment was carried out the other way around. The amount</w:t>
      </w:r>
      <w:r w:rsidR="0095275C" w:rsidRPr="004338BE">
        <w:t xml:space="preserve"> of Pt/C was kept constant at a typical level of 0.020 g, whereas the amount of </w:t>
      </w:r>
      <w:proofErr w:type="spellStart"/>
      <w:r w:rsidR="0095275C" w:rsidRPr="004338BE">
        <w:t>CsPW</w:t>
      </w:r>
      <w:proofErr w:type="spellEnd"/>
      <w:r w:rsidR="0095275C" w:rsidRPr="004338BE">
        <w:t xml:space="preserve"> was varied from zero to 0.22 g. </w:t>
      </w:r>
      <w:r w:rsidR="00683974" w:rsidRPr="004338BE">
        <w:t>As seen, the DMTHF conversion</w:t>
      </w:r>
      <w:r w:rsidR="004A2C18" w:rsidRPr="004338BE">
        <w:t xml:space="preserve"> </w:t>
      </w:r>
      <w:r w:rsidR="00683974" w:rsidRPr="004338BE">
        <w:t>increases with</w:t>
      </w:r>
      <w:r w:rsidR="007F7FA5" w:rsidRPr="004338BE">
        <w:t xml:space="preserve"> the</w:t>
      </w:r>
      <w:r w:rsidR="00683974" w:rsidRPr="004338BE">
        <w:t xml:space="preserve"> H</w:t>
      </w:r>
      <w:r w:rsidR="00683974" w:rsidRPr="004338BE">
        <w:rPr>
          <w:vertAlign w:val="superscript"/>
        </w:rPr>
        <w:t>+</w:t>
      </w:r>
      <w:r w:rsidR="00683974" w:rsidRPr="004338BE">
        <w:t>/Pt</w:t>
      </w:r>
      <w:r w:rsidR="00683974" w:rsidRPr="004338BE">
        <w:rPr>
          <w:vertAlign w:val="subscript"/>
        </w:rPr>
        <w:t>s</w:t>
      </w:r>
      <w:r w:rsidR="00683974" w:rsidRPr="004338BE">
        <w:t xml:space="preserve"> ratio to</w:t>
      </w:r>
      <w:r w:rsidR="000939EF" w:rsidRPr="004338BE">
        <w:t xml:space="preserve"> reach a</w:t>
      </w:r>
      <w:r w:rsidR="00683974" w:rsidRPr="004338BE">
        <w:t xml:space="preserve"> plateau </w:t>
      </w:r>
      <w:r w:rsidR="006A1CBD" w:rsidRPr="004338BE">
        <w:t>(</w:t>
      </w:r>
      <w:r w:rsidR="00683974" w:rsidRPr="004338BE">
        <w:t>18%</w:t>
      </w:r>
      <w:r w:rsidR="006A1CBD" w:rsidRPr="004338BE">
        <w:t>)</w:t>
      </w:r>
      <w:r w:rsidR="000939EF" w:rsidRPr="004338BE">
        <w:t xml:space="preserve"> at H</w:t>
      </w:r>
      <w:r w:rsidR="000939EF" w:rsidRPr="004338BE">
        <w:rPr>
          <w:vertAlign w:val="superscript"/>
        </w:rPr>
        <w:t>+</w:t>
      </w:r>
      <w:r w:rsidR="000939EF" w:rsidRPr="004338BE">
        <w:t>/Pt</w:t>
      </w:r>
      <w:r w:rsidR="000939EF" w:rsidRPr="004338BE">
        <w:rPr>
          <w:vertAlign w:val="subscript"/>
        </w:rPr>
        <w:t>s</w:t>
      </w:r>
      <w:r w:rsidR="000939EF" w:rsidRPr="004338BE">
        <w:t xml:space="preserve"> ≈ 30 or Pt</w:t>
      </w:r>
      <w:r w:rsidR="000939EF" w:rsidRPr="004338BE">
        <w:rPr>
          <w:vertAlign w:val="subscript"/>
        </w:rPr>
        <w:t>s</w:t>
      </w:r>
      <w:r w:rsidR="000939EF" w:rsidRPr="004338BE">
        <w:t>/H</w:t>
      </w:r>
      <w:r w:rsidR="000939EF" w:rsidRPr="004338BE">
        <w:rPr>
          <w:vertAlign w:val="superscript"/>
        </w:rPr>
        <w:t>+</w:t>
      </w:r>
      <w:r w:rsidR="000939EF" w:rsidRPr="004338BE">
        <w:t xml:space="preserve"> ≈ 0.03</w:t>
      </w:r>
      <w:r w:rsidR="00683974" w:rsidRPr="004338BE">
        <w:t>.</w:t>
      </w:r>
      <w:r w:rsidR="005868C8" w:rsidRPr="004338BE">
        <w:t xml:space="preserve"> </w:t>
      </w:r>
      <w:r w:rsidR="00F4732B" w:rsidRPr="004338BE">
        <w:t>A</w:t>
      </w:r>
      <w:r w:rsidR="005868C8" w:rsidRPr="004338BE">
        <w:t xml:space="preserve">t such conditions the first step is not equilibrated, </w:t>
      </w:r>
      <w:r w:rsidR="002E1FD0" w:rsidRPr="004338BE">
        <w:t>being</w:t>
      </w:r>
      <w:r w:rsidR="005868C8" w:rsidRPr="004338BE">
        <w:t xml:space="preserve"> the rate-limiting ste</w:t>
      </w:r>
      <w:r w:rsidR="00B34028" w:rsidRPr="004338BE">
        <w:t>p</w:t>
      </w:r>
      <w:r w:rsidR="005868C8" w:rsidRPr="004338BE">
        <w:t xml:space="preserve"> throughout this series. </w:t>
      </w:r>
      <w:r w:rsidR="00DD4B02" w:rsidRPr="004338BE">
        <w:t xml:space="preserve">The levelling off </w:t>
      </w:r>
      <w:r w:rsidR="00F4732B" w:rsidRPr="004338BE">
        <w:t xml:space="preserve">trend of DMTHF </w:t>
      </w:r>
      <w:r w:rsidR="00DD4B02" w:rsidRPr="004338BE">
        <w:t>conversion</w:t>
      </w:r>
      <w:r w:rsidR="005868C8" w:rsidRPr="004338BE">
        <w:t xml:space="preserve"> can </w:t>
      </w:r>
      <w:r w:rsidR="005868C8" w:rsidRPr="004338BE">
        <w:lastRenderedPageBreak/>
        <w:t>be explained by kinetic coupling [3</w:t>
      </w:r>
      <w:r w:rsidR="00BD70AB" w:rsidRPr="004338BE">
        <w:t>5</w:t>
      </w:r>
      <w:r w:rsidR="005868C8" w:rsidRPr="004338BE">
        <w:t>] between the first and the second step in Scheme 2.</w:t>
      </w:r>
      <w:r w:rsidR="009E0289" w:rsidRPr="004338BE">
        <w:t xml:space="preserve"> </w:t>
      </w:r>
      <w:r w:rsidR="00DD4B02" w:rsidRPr="004338BE">
        <w:rPr>
          <w:rFonts w:eastAsia="Calibri"/>
        </w:rPr>
        <w:t>As the H</w:t>
      </w:r>
      <w:r w:rsidR="00DD4B02" w:rsidRPr="004338BE">
        <w:rPr>
          <w:rFonts w:eastAsia="Calibri"/>
          <w:vertAlign w:val="superscript"/>
        </w:rPr>
        <w:t>+</w:t>
      </w:r>
      <w:r w:rsidR="00DD4B02" w:rsidRPr="004338BE">
        <w:rPr>
          <w:rFonts w:eastAsia="Calibri"/>
        </w:rPr>
        <w:t>/Pt</w:t>
      </w:r>
      <w:r w:rsidR="00DD4B02" w:rsidRPr="004338BE">
        <w:rPr>
          <w:rFonts w:eastAsia="Calibri"/>
          <w:vertAlign w:val="subscript"/>
        </w:rPr>
        <w:t>s</w:t>
      </w:r>
      <w:r w:rsidR="00DD4B02" w:rsidRPr="004338BE">
        <w:rPr>
          <w:rFonts w:eastAsia="Calibri"/>
        </w:rPr>
        <w:t xml:space="preserve"> ratio increases,</w:t>
      </w:r>
      <w:r w:rsidR="00F4732B" w:rsidRPr="004338BE">
        <w:rPr>
          <w:rFonts w:eastAsia="Calibri"/>
        </w:rPr>
        <w:t xml:space="preserve"> the rate of the second (dehydration) step in the forward direction</w:t>
      </w:r>
      <w:r w:rsidR="005868C8" w:rsidRPr="004338BE">
        <w:rPr>
          <w:rFonts w:eastAsia="Calibri"/>
        </w:rPr>
        <w:t xml:space="preserve"> </w:t>
      </w:r>
      <w:r w:rsidR="00F4732B" w:rsidRPr="004338BE">
        <w:rPr>
          <w:rFonts w:eastAsia="Calibri"/>
        </w:rPr>
        <w:t xml:space="preserve">becomes greater than the </w:t>
      </w:r>
      <w:r w:rsidR="005868C8" w:rsidRPr="004338BE">
        <w:rPr>
          <w:rFonts w:eastAsia="Calibri"/>
        </w:rPr>
        <w:t>rate</w:t>
      </w:r>
      <w:r w:rsidR="00DD4B02" w:rsidRPr="004338BE">
        <w:rPr>
          <w:rFonts w:eastAsia="Calibri"/>
        </w:rPr>
        <w:t xml:space="preserve"> of the first step</w:t>
      </w:r>
      <w:r w:rsidR="005868C8" w:rsidRPr="004338BE">
        <w:rPr>
          <w:rFonts w:eastAsia="Calibri"/>
        </w:rPr>
        <w:t xml:space="preserve"> in reverse direction, which drives the </w:t>
      </w:r>
      <w:r w:rsidR="003D5D5C" w:rsidRPr="004338BE">
        <w:rPr>
          <w:rFonts w:eastAsia="Calibri"/>
        </w:rPr>
        <w:t xml:space="preserve">HDO </w:t>
      </w:r>
      <w:r w:rsidR="005868C8" w:rsidRPr="004338BE">
        <w:rPr>
          <w:rFonts w:eastAsia="Calibri"/>
        </w:rPr>
        <w:t>reaction forward.</w:t>
      </w:r>
      <w:r w:rsidR="00337A6F" w:rsidRPr="004338BE">
        <w:rPr>
          <w:rFonts w:eastAsia="Calibri"/>
        </w:rPr>
        <w:t xml:space="preserve"> An</w:t>
      </w:r>
      <w:r w:rsidR="00E03125" w:rsidRPr="004338BE">
        <w:rPr>
          <w:rFonts w:eastAsia="Calibri"/>
        </w:rPr>
        <w:t xml:space="preserve"> important</w:t>
      </w:r>
      <w:r w:rsidR="00337A6F" w:rsidRPr="004338BE">
        <w:rPr>
          <w:rFonts w:eastAsia="Calibri"/>
        </w:rPr>
        <w:t xml:space="preserve"> </w:t>
      </w:r>
      <w:r w:rsidR="00C574F9" w:rsidRPr="004338BE">
        <w:rPr>
          <w:rFonts w:eastAsia="Calibri"/>
        </w:rPr>
        <w:t>outcome</w:t>
      </w:r>
      <w:r w:rsidR="00337A6F" w:rsidRPr="004338BE">
        <w:rPr>
          <w:rFonts w:eastAsia="Calibri"/>
        </w:rPr>
        <w:t xml:space="preserve"> of the kinetic coupling</w:t>
      </w:r>
      <w:r w:rsidR="00596EC6" w:rsidRPr="004338BE">
        <w:rPr>
          <w:rFonts w:eastAsia="Calibri"/>
        </w:rPr>
        <w:t xml:space="preserve"> </w:t>
      </w:r>
      <w:r w:rsidR="00337A6F" w:rsidRPr="004338BE">
        <w:rPr>
          <w:rFonts w:eastAsia="Calibri"/>
        </w:rPr>
        <w:t xml:space="preserve">is a dramatic increase in reaction selectivity (Fig. </w:t>
      </w:r>
      <w:r w:rsidR="00352FB5" w:rsidRPr="004338BE">
        <w:rPr>
          <w:rFonts w:eastAsia="Calibri"/>
        </w:rPr>
        <w:t>2</w:t>
      </w:r>
      <w:r w:rsidR="00337A6F" w:rsidRPr="004338BE">
        <w:rPr>
          <w:rFonts w:eastAsia="Calibri"/>
        </w:rPr>
        <w:t xml:space="preserve">B). </w:t>
      </w:r>
      <w:r w:rsidR="00337A6F" w:rsidRPr="004338BE">
        <w:t xml:space="preserve">In the absence of </w:t>
      </w:r>
      <w:proofErr w:type="spellStart"/>
      <w:r w:rsidR="00337A6F" w:rsidRPr="004338BE">
        <w:t>CsPW</w:t>
      </w:r>
      <w:proofErr w:type="spellEnd"/>
      <w:r w:rsidR="00337A6F" w:rsidRPr="004338BE">
        <w:t>, the reaction over Pt/C gave 85%</w:t>
      </w:r>
      <w:r w:rsidR="00AB1466" w:rsidRPr="004338BE">
        <w:t xml:space="preserve"> of</w:t>
      </w:r>
      <w:r w:rsidR="00337A6F" w:rsidRPr="004338BE">
        <w:t xml:space="preserve"> 2-hexanol and 15% </w:t>
      </w:r>
      <w:r w:rsidR="00AB1466" w:rsidRPr="004338BE">
        <w:t xml:space="preserve">of </w:t>
      </w:r>
      <w:r w:rsidR="00337A6F" w:rsidRPr="004338BE">
        <w:t xml:space="preserve">hexane at ~1% DMTHF conversion. Increasing the amount of </w:t>
      </w:r>
      <w:proofErr w:type="spellStart"/>
      <w:r w:rsidR="00337A6F" w:rsidRPr="004338BE">
        <w:t>CsPW</w:t>
      </w:r>
      <w:proofErr w:type="spellEnd"/>
      <w:r w:rsidR="00337A6F" w:rsidRPr="004338BE">
        <w:t xml:space="preserve"> greatly </w:t>
      </w:r>
      <w:r w:rsidR="00596EC6" w:rsidRPr="004338BE">
        <w:t>affected</w:t>
      </w:r>
      <w:r w:rsidR="00337A6F" w:rsidRPr="004338BE">
        <w:t xml:space="preserve"> the selectivity, with hexane becoming the main and then the only product at the expense of 2-hexanol.</w:t>
      </w:r>
      <w:r w:rsidR="005868C8" w:rsidRPr="004338BE">
        <w:rPr>
          <w:rFonts w:eastAsia="Calibri"/>
        </w:rPr>
        <w:t xml:space="preserve"> T</w:t>
      </w:r>
      <w:r w:rsidR="005868C8" w:rsidRPr="004338BE">
        <w:t>he acid-catalysed dehydration of secondary alcohol intermediate</w:t>
      </w:r>
      <w:r w:rsidR="00DD4B02" w:rsidRPr="004338BE">
        <w:t>, 2-hexano</w:t>
      </w:r>
      <w:r w:rsidR="00B11D47" w:rsidRPr="004338BE">
        <w:t>l</w:t>
      </w:r>
      <w:r w:rsidR="00DD4B02" w:rsidRPr="004338BE">
        <w:t>,</w:t>
      </w:r>
      <w:r w:rsidR="005868C8" w:rsidRPr="004338BE">
        <w:t xml:space="preserve"> </w:t>
      </w:r>
      <w:r w:rsidR="00A705D9" w:rsidRPr="004338BE">
        <w:t xml:space="preserve">is known to </w:t>
      </w:r>
      <w:r w:rsidR="005868C8" w:rsidRPr="004338BE">
        <w:t xml:space="preserve">occur readily in the presence of </w:t>
      </w:r>
      <w:proofErr w:type="spellStart"/>
      <w:r w:rsidR="005868C8" w:rsidRPr="004338BE">
        <w:t>CsPW</w:t>
      </w:r>
      <w:proofErr w:type="spellEnd"/>
      <w:r w:rsidR="005868C8" w:rsidRPr="004338BE">
        <w:t xml:space="preserve"> [</w:t>
      </w:r>
      <w:r w:rsidR="009948F4" w:rsidRPr="004338BE">
        <w:t>19</w:t>
      </w:r>
      <w:r w:rsidR="005868C8" w:rsidRPr="004338BE">
        <w:t>], which greatly enhances the HDO process.</w:t>
      </w:r>
    </w:p>
    <w:p w14:paraId="11745888" w14:textId="75E957A8" w:rsidR="00F2372D" w:rsidRPr="004338BE" w:rsidRDefault="00BD32B8" w:rsidP="00B322CF">
      <w:pPr>
        <w:spacing w:after="0" w:line="480" w:lineRule="auto"/>
        <w:ind w:right="-45" w:firstLine="720"/>
        <w:jc w:val="both"/>
        <w:rPr>
          <w:rFonts w:eastAsia="Calibri"/>
          <w:lang w:val="en-US"/>
        </w:rPr>
      </w:pPr>
      <w:r w:rsidRPr="004338BE">
        <w:rPr>
          <w:rFonts w:eastAsia="Calibri"/>
          <w:lang w:val="en-US"/>
        </w:rPr>
        <w:t>Kinetics of the gas-phase HDO of DMTHF was examined</w:t>
      </w:r>
      <w:r w:rsidR="0017045C" w:rsidRPr="004338BE">
        <w:rPr>
          <w:rFonts w:eastAsia="Calibri"/>
          <w:lang w:val="en-US"/>
        </w:rPr>
        <w:t xml:space="preserve"> at 60–100 </w:t>
      </w:r>
      <w:proofErr w:type="spellStart"/>
      <w:r w:rsidR="0017045C" w:rsidRPr="004338BE">
        <w:rPr>
          <w:rFonts w:eastAsia="Calibri"/>
          <w:vertAlign w:val="superscript"/>
          <w:lang w:val="en-US"/>
        </w:rPr>
        <w:t>o</w:t>
      </w:r>
      <w:r w:rsidR="0017045C" w:rsidRPr="004338BE">
        <w:rPr>
          <w:rFonts w:eastAsia="Calibri"/>
          <w:lang w:val="en-US"/>
        </w:rPr>
        <w:t>C</w:t>
      </w:r>
      <w:proofErr w:type="spellEnd"/>
      <w:r w:rsidRPr="004338BE">
        <w:rPr>
          <w:rFonts w:eastAsia="Calibri"/>
          <w:lang w:val="en-US"/>
        </w:rPr>
        <w:t xml:space="preserve"> </w:t>
      </w:r>
      <w:r w:rsidR="000455FD" w:rsidRPr="004338BE">
        <w:rPr>
          <w:rFonts w:eastAsia="Calibri"/>
          <w:lang w:val="en-US"/>
        </w:rPr>
        <w:t xml:space="preserve">and </w:t>
      </w:r>
      <w:r w:rsidRPr="004338BE">
        <w:rPr>
          <w:rFonts w:eastAsia="Calibri"/>
          <w:lang w:val="en-US"/>
        </w:rPr>
        <w:t>DMTHF conversion</w:t>
      </w:r>
      <w:r w:rsidR="00A12703" w:rsidRPr="004338BE">
        <w:rPr>
          <w:rFonts w:eastAsia="Calibri"/>
          <w:lang w:val="en-US"/>
        </w:rPr>
        <w:t xml:space="preserve"> </w:t>
      </w:r>
      <w:r w:rsidR="00D60A9E" w:rsidRPr="004338BE">
        <w:rPr>
          <w:rFonts w:eastAsia="Calibri"/>
          <w:i/>
          <w:lang w:val="en-US"/>
        </w:rPr>
        <w:t>X</w:t>
      </w:r>
      <w:r w:rsidRPr="004338BE">
        <w:rPr>
          <w:rFonts w:eastAsia="Calibri"/>
          <w:lang w:val="en-US"/>
        </w:rPr>
        <w:t xml:space="preserve"> </w:t>
      </w:r>
      <w:r w:rsidR="00D962C9" w:rsidRPr="004338BE">
        <w:rPr>
          <w:rFonts w:eastAsia="Calibri"/>
          <w:lang w:val="en-US"/>
        </w:rPr>
        <w:t>&lt;</w:t>
      </w:r>
      <w:r w:rsidRPr="004338BE">
        <w:rPr>
          <w:rFonts w:eastAsia="Calibri"/>
          <w:lang w:val="en-US"/>
        </w:rPr>
        <w:t xml:space="preserve"> 20%</w:t>
      </w:r>
      <w:r w:rsidR="004A4C33" w:rsidRPr="004338BE">
        <w:rPr>
          <w:rFonts w:eastAsia="Calibri"/>
          <w:lang w:val="en-US"/>
        </w:rPr>
        <w:t>.</w:t>
      </w:r>
      <w:r w:rsidR="002F1F44" w:rsidRPr="004338BE">
        <w:rPr>
          <w:rFonts w:eastAsia="Calibri"/>
          <w:lang w:val="en-US"/>
        </w:rPr>
        <w:t xml:space="preserve"> </w:t>
      </w:r>
      <w:r w:rsidR="00E402F9" w:rsidRPr="004338BE">
        <w:rPr>
          <w:rFonts w:eastAsia="Calibri"/>
          <w:lang w:val="en-US"/>
        </w:rPr>
        <w:t>The HDO reaction was carried ou</w:t>
      </w:r>
      <w:r w:rsidR="00786A5F" w:rsidRPr="004338BE">
        <w:rPr>
          <w:rFonts w:eastAsia="Calibri"/>
          <w:lang w:val="en-US"/>
        </w:rPr>
        <w:t>t at Pt</w:t>
      </w:r>
      <w:r w:rsidR="00786A5F" w:rsidRPr="004338BE">
        <w:rPr>
          <w:rFonts w:eastAsia="Calibri"/>
          <w:vertAlign w:val="subscript"/>
          <w:lang w:val="en-US"/>
        </w:rPr>
        <w:t>s</w:t>
      </w:r>
      <w:r w:rsidR="00786A5F" w:rsidRPr="004338BE">
        <w:rPr>
          <w:rFonts w:eastAsia="Calibri"/>
          <w:lang w:val="en-US"/>
        </w:rPr>
        <w:t>/H</w:t>
      </w:r>
      <w:r w:rsidR="00786A5F" w:rsidRPr="004338BE">
        <w:rPr>
          <w:rFonts w:eastAsia="Calibri"/>
          <w:vertAlign w:val="superscript"/>
          <w:lang w:val="en-US"/>
        </w:rPr>
        <w:t>+</w:t>
      </w:r>
      <w:r w:rsidR="00786A5F" w:rsidRPr="004338BE">
        <w:rPr>
          <w:rFonts w:eastAsia="Calibri"/>
          <w:lang w:val="en-US"/>
        </w:rPr>
        <w:t xml:space="preserve"> = 0.026</w:t>
      </w:r>
      <w:r w:rsidR="000900B0" w:rsidRPr="004338BE">
        <w:rPr>
          <w:rFonts w:eastAsia="Calibri"/>
          <w:lang w:val="en-US"/>
        </w:rPr>
        <w:t xml:space="preserve"> </w:t>
      </w:r>
      <w:r w:rsidR="00786A5F" w:rsidRPr="004338BE">
        <w:rPr>
          <w:rFonts w:eastAsia="Calibri"/>
          <w:lang w:val="en-US"/>
        </w:rPr>
        <w:t xml:space="preserve">with the catalyst mixture 9.6%Pt/C + </w:t>
      </w:r>
      <w:proofErr w:type="spellStart"/>
      <w:r w:rsidR="00786A5F" w:rsidRPr="004338BE">
        <w:rPr>
          <w:rFonts w:eastAsia="Calibri"/>
          <w:lang w:val="en-US"/>
        </w:rPr>
        <w:t>CsPW</w:t>
      </w:r>
      <w:proofErr w:type="spellEnd"/>
      <w:r w:rsidR="00786A5F" w:rsidRPr="004338BE">
        <w:rPr>
          <w:rFonts w:eastAsia="Calibri"/>
          <w:lang w:val="en-US"/>
        </w:rPr>
        <w:t xml:space="preserve"> (1:9 w/w)</w:t>
      </w:r>
      <w:r w:rsidR="0060748E" w:rsidRPr="004338BE">
        <w:rPr>
          <w:rFonts w:eastAsia="Calibri"/>
          <w:lang w:val="en-US"/>
        </w:rPr>
        <w:t>, which was</w:t>
      </w:r>
      <w:r w:rsidR="00786A5F" w:rsidRPr="004338BE">
        <w:rPr>
          <w:rFonts w:eastAsia="Calibri"/>
          <w:lang w:val="en-US"/>
        </w:rPr>
        <w:t xml:space="preserve"> diluted with SiO</w:t>
      </w:r>
      <w:r w:rsidR="00786A5F" w:rsidRPr="004338BE">
        <w:rPr>
          <w:rFonts w:eastAsia="Calibri"/>
          <w:vertAlign w:val="subscript"/>
          <w:lang w:val="en-US"/>
        </w:rPr>
        <w:t>2</w:t>
      </w:r>
      <w:r w:rsidR="00786A5F" w:rsidRPr="004338BE">
        <w:rPr>
          <w:rFonts w:eastAsia="Calibri"/>
          <w:lang w:val="en-US"/>
        </w:rPr>
        <w:t xml:space="preserve"> whenever required to keep the conversion low.</w:t>
      </w:r>
      <w:r w:rsidR="000A34DB" w:rsidRPr="004338BE">
        <w:rPr>
          <w:rFonts w:eastAsia="Calibri"/>
          <w:lang w:val="en-US"/>
        </w:rPr>
        <w:t xml:space="preserve"> In this system, the HDO reaction was under impact of kinetic coupling, with the first (hydrogenolysis) step</w:t>
      </w:r>
      <w:r w:rsidR="009D6EEB" w:rsidRPr="004338BE">
        <w:rPr>
          <w:rFonts w:eastAsia="Calibri"/>
          <w:lang w:val="en-US"/>
        </w:rPr>
        <w:t xml:space="preserve"> being</w:t>
      </w:r>
      <w:r w:rsidR="000A34DB" w:rsidRPr="004338BE">
        <w:rPr>
          <w:rFonts w:eastAsia="Calibri"/>
          <w:lang w:val="en-US"/>
        </w:rPr>
        <w:t xml:space="preserve"> rate</w:t>
      </w:r>
      <w:r w:rsidR="00A30227" w:rsidRPr="004338BE">
        <w:rPr>
          <w:rFonts w:eastAsia="Calibri"/>
          <w:lang w:val="en-US"/>
        </w:rPr>
        <w:t>-</w:t>
      </w:r>
      <w:r w:rsidR="000A34DB" w:rsidRPr="004338BE">
        <w:rPr>
          <w:rFonts w:eastAsia="Calibri"/>
          <w:lang w:val="en-US"/>
        </w:rPr>
        <w:t>limiting (see above)</w:t>
      </w:r>
      <w:r w:rsidR="009755AC" w:rsidRPr="004338BE">
        <w:rPr>
          <w:rFonts w:eastAsia="Calibri"/>
          <w:lang w:val="en-US"/>
        </w:rPr>
        <w:t xml:space="preserve"> and hexane selectiv</w:t>
      </w:r>
      <w:r w:rsidR="00777B1F" w:rsidRPr="004338BE">
        <w:rPr>
          <w:rFonts w:eastAsia="Calibri"/>
          <w:lang w:val="en-US"/>
        </w:rPr>
        <w:t>it</w:t>
      </w:r>
      <w:r w:rsidR="009755AC" w:rsidRPr="004338BE">
        <w:rPr>
          <w:rFonts w:eastAsia="Calibri"/>
          <w:lang w:val="en-US"/>
        </w:rPr>
        <w:t>y &gt;90%</w:t>
      </w:r>
      <w:r w:rsidR="000A34DB" w:rsidRPr="004338BE">
        <w:rPr>
          <w:rFonts w:eastAsia="Calibri"/>
          <w:lang w:val="en-US"/>
        </w:rPr>
        <w:t>. The kinetic parameters obtained</w:t>
      </w:r>
      <w:r w:rsidR="00EC6122" w:rsidRPr="004338BE">
        <w:rPr>
          <w:rFonts w:eastAsia="Calibri"/>
          <w:lang w:val="en-US"/>
        </w:rPr>
        <w:t xml:space="preserve"> at such conditions</w:t>
      </w:r>
      <w:r w:rsidR="000A34DB" w:rsidRPr="004338BE">
        <w:rPr>
          <w:rFonts w:eastAsia="Calibri"/>
          <w:lang w:val="en-US"/>
        </w:rPr>
        <w:t xml:space="preserve"> are therefore attributable to the first step. </w:t>
      </w:r>
      <w:r w:rsidR="009548C4" w:rsidRPr="004338BE">
        <w:rPr>
          <w:rFonts w:eastAsia="Calibri"/>
          <w:lang w:val="en-US"/>
        </w:rPr>
        <w:t>The</w:t>
      </w:r>
      <w:r w:rsidR="00DD0CF7" w:rsidRPr="004338BE">
        <w:rPr>
          <w:rFonts w:eastAsia="Calibri"/>
        </w:rPr>
        <w:t xml:space="preserve"> rate</w:t>
      </w:r>
      <w:r w:rsidR="00E6687E" w:rsidRPr="004338BE">
        <w:rPr>
          <w:rFonts w:eastAsia="Calibri"/>
        </w:rPr>
        <w:t xml:space="preserve"> based on Pt/C</w:t>
      </w:r>
      <w:r w:rsidR="00EE7474" w:rsidRPr="004338BE">
        <w:rPr>
          <w:rFonts w:eastAsia="Calibri"/>
          <w:lang w:val="en-US"/>
        </w:rPr>
        <w:t xml:space="preserve"> was</w:t>
      </w:r>
      <w:r w:rsidR="00EE7474" w:rsidRPr="004338BE">
        <w:rPr>
          <w:rFonts w:eastAsia="Calibri"/>
        </w:rPr>
        <w:t xml:space="preserve"> determined as</w:t>
      </w:r>
      <w:r w:rsidR="00DD0CF7" w:rsidRPr="004338BE">
        <w:rPr>
          <w:rFonts w:eastAsia="Calibri"/>
        </w:rPr>
        <w:t xml:space="preserve"> </w:t>
      </w:r>
      <w:r w:rsidR="00DD0CF7" w:rsidRPr="004338BE">
        <w:rPr>
          <w:rFonts w:eastAsia="Calibri"/>
          <w:i/>
        </w:rPr>
        <w:t>R = XF/W</w:t>
      </w:r>
      <w:r w:rsidR="00E6687E" w:rsidRPr="004338BE">
        <w:rPr>
          <w:rFonts w:eastAsia="Calibri"/>
        </w:rPr>
        <w:t xml:space="preserve">, where </w:t>
      </w:r>
      <w:r w:rsidR="00E6687E" w:rsidRPr="004338BE">
        <w:rPr>
          <w:rFonts w:eastAsia="Calibri"/>
          <w:i/>
        </w:rPr>
        <w:t>X</w:t>
      </w:r>
      <w:r w:rsidR="00E6687E" w:rsidRPr="004338BE">
        <w:rPr>
          <w:rFonts w:eastAsia="Calibri"/>
        </w:rPr>
        <w:t xml:space="preserve"> is the DM</w:t>
      </w:r>
      <w:r w:rsidR="00CE5061" w:rsidRPr="004338BE">
        <w:rPr>
          <w:rFonts w:eastAsia="Calibri"/>
        </w:rPr>
        <w:t>TH</w:t>
      </w:r>
      <w:r w:rsidR="00E6687E" w:rsidRPr="004338BE">
        <w:rPr>
          <w:rFonts w:eastAsia="Calibri"/>
        </w:rPr>
        <w:t xml:space="preserve">F conversion, </w:t>
      </w:r>
      <w:r w:rsidR="00E6687E" w:rsidRPr="004338BE">
        <w:rPr>
          <w:rFonts w:eastAsia="Calibri"/>
          <w:i/>
        </w:rPr>
        <w:t>F</w:t>
      </w:r>
      <w:r w:rsidR="00E6687E" w:rsidRPr="004338BE">
        <w:rPr>
          <w:rFonts w:eastAsia="Calibri"/>
        </w:rPr>
        <w:t xml:space="preserve"> is the inlet molar flow rate of DMTHF and </w:t>
      </w:r>
      <w:r w:rsidR="00E6687E" w:rsidRPr="004338BE">
        <w:rPr>
          <w:rFonts w:eastAsia="Calibri"/>
          <w:i/>
        </w:rPr>
        <w:t>W</w:t>
      </w:r>
      <w:r w:rsidR="00E6687E" w:rsidRPr="004338BE">
        <w:rPr>
          <w:rFonts w:eastAsia="Calibri"/>
        </w:rPr>
        <w:t xml:space="preserve"> is the weight of Pt/C catalyst</w:t>
      </w:r>
      <w:r w:rsidRPr="004338BE">
        <w:rPr>
          <w:rFonts w:eastAsia="Calibri"/>
        </w:rPr>
        <w:t>.</w:t>
      </w:r>
      <w:r w:rsidR="00763694" w:rsidRPr="004338BE">
        <w:rPr>
          <w:rFonts w:eastAsia="Calibri"/>
          <w:lang w:val="en-US"/>
        </w:rPr>
        <w:t xml:space="preserve"> In most cases, </w:t>
      </w:r>
      <w:r w:rsidR="0097464B" w:rsidRPr="004338BE">
        <w:rPr>
          <w:rFonts w:eastAsia="Calibri"/>
          <w:lang w:val="en-US"/>
        </w:rPr>
        <w:t xml:space="preserve">catalyst performance was stable, practically </w:t>
      </w:r>
      <w:r w:rsidR="00763694" w:rsidRPr="004338BE">
        <w:rPr>
          <w:rFonts w:eastAsia="Calibri"/>
          <w:lang w:val="en-US"/>
        </w:rPr>
        <w:t xml:space="preserve">no deactivation was observed (Fig. </w:t>
      </w:r>
      <w:r w:rsidR="00352FB5" w:rsidRPr="004338BE">
        <w:rPr>
          <w:rFonts w:eastAsia="Calibri"/>
          <w:lang w:val="en-US"/>
        </w:rPr>
        <w:t>1</w:t>
      </w:r>
      <w:r w:rsidR="00763694" w:rsidRPr="004338BE">
        <w:rPr>
          <w:rFonts w:eastAsia="Calibri"/>
          <w:lang w:val="en-US"/>
        </w:rPr>
        <w:t>).</w:t>
      </w:r>
    </w:p>
    <w:p w14:paraId="4EABBB1C" w14:textId="6EE7E63E" w:rsidR="004A2252" w:rsidRPr="004338BE" w:rsidRDefault="00D60A9E" w:rsidP="00AC0DAA">
      <w:pPr>
        <w:spacing w:after="0" w:line="480" w:lineRule="auto"/>
        <w:ind w:right="-45" w:firstLine="720"/>
        <w:jc w:val="both"/>
        <w:rPr>
          <w:rFonts w:eastAsia="Calibri"/>
        </w:rPr>
      </w:pPr>
      <w:r w:rsidRPr="004338BE">
        <w:rPr>
          <w:rFonts w:eastAsia="Calibri"/>
          <w:lang w:val="en-US"/>
        </w:rPr>
        <w:t>The r</w:t>
      </w:r>
      <w:r w:rsidR="00BD32B8" w:rsidRPr="004338BE">
        <w:rPr>
          <w:rFonts w:eastAsia="Calibri"/>
          <w:lang w:val="en-US"/>
        </w:rPr>
        <w:t>eaction</w:t>
      </w:r>
      <w:r w:rsidR="00B95148" w:rsidRPr="004338BE">
        <w:rPr>
          <w:rFonts w:eastAsia="Calibri"/>
          <w:lang w:val="en-US"/>
        </w:rPr>
        <w:t xml:space="preserve"> order in DMTHF</w:t>
      </w:r>
      <w:r w:rsidR="00BD32B8" w:rsidRPr="004338BE">
        <w:rPr>
          <w:rFonts w:eastAsia="Calibri"/>
          <w:lang w:val="en-US"/>
        </w:rPr>
        <w:t xml:space="preserve"> was</w:t>
      </w:r>
      <w:r w:rsidR="00525D99" w:rsidRPr="004338BE">
        <w:rPr>
          <w:rFonts w:eastAsia="Calibri"/>
          <w:lang w:val="en-US"/>
        </w:rPr>
        <w:t xml:space="preserve"> close to</w:t>
      </w:r>
      <w:r w:rsidR="00BD32B8" w:rsidRPr="004338BE">
        <w:rPr>
          <w:rFonts w:eastAsia="Calibri"/>
          <w:lang w:val="en-US"/>
        </w:rPr>
        <w:t xml:space="preserve"> zero </w:t>
      </w:r>
      <w:r w:rsidR="005A3F8E" w:rsidRPr="004338BE">
        <w:rPr>
          <w:rFonts w:eastAsia="Calibri"/>
          <w:lang w:val="en-US"/>
        </w:rPr>
        <w:t>(0.11)</w:t>
      </w:r>
      <w:r w:rsidR="00BD32B8" w:rsidRPr="004338BE">
        <w:rPr>
          <w:rFonts w:eastAsia="Calibri"/>
          <w:lang w:val="en-US"/>
        </w:rPr>
        <w:t xml:space="preserve"> (Fig. </w:t>
      </w:r>
      <w:r w:rsidR="00352FB5" w:rsidRPr="004338BE">
        <w:rPr>
          <w:rFonts w:eastAsia="Calibri"/>
          <w:lang w:val="en-US"/>
        </w:rPr>
        <w:t>3</w:t>
      </w:r>
      <w:r w:rsidR="00BD32B8" w:rsidRPr="004338BE">
        <w:rPr>
          <w:rFonts w:eastAsia="Calibri"/>
          <w:lang w:val="en-US"/>
        </w:rPr>
        <w:t>)</w:t>
      </w:r>
      <w:r w:rsidR="00356249" w:rsidRPr="004338BE">
        <w:rPr>
          <w:rFonts w:eastAsia="Calibri"/>
          <w:lang w:val="en-US"/>
        </w:rPr>
        <w:t>, which indicates saturation of catalyst surface</w:t>
      </w:r>
      <w:r w:rsidR="00DB4714" w:rsidRPr="004338BE">
        <w:rPr>
          <w:rFonts w:eastAsia="Calibri"/>
          <w:lang w:val="en-US"/>
        </w:rPr>
        <w:t xml:space="preserve"> sites</w:t>
      </w:r>
      <w:r w:rsidR="00356249" w:rsidRPr="004338BE">
        <w:rPr>
          <w:rFonts w:eastAsia="Calibri"/>
          <w:lang w:val="en-US"/>
        </w:rPr>
        <w:t xml:space="preserve"> </w:t>
      </w:r>
      <w:r w:rsidR="00DB4714" w:rsidRPr="004338BE">
        <w:rPr>
          <w:rFonts w:eastAsia="Calibri"/>
          <w:lang w:val="en-US"/>
        </w:rPr>
        <w:t>by</w:t>
      </w:r>
      <w:r w:rsidR="00356249" w:rsidRPr="004338BE">
        <w:rPr>
          <w:rFonts w:eastAsia="Calibri"/>
          <w:lang w:val="en-US"/>
        </w:rPr>
        <w:t xml:space="preserve"> the substrate</w:t>
      </w:r>
      <w:r w:rsidR="00B95148" w:rsidRPr="004338BE">
        <w:rPr>
          <w:rFonts w:eastAsia="Calibri"/>
          <w:lang w:val="en-US"/>
        </w:rPr>
        <w:t>.</w:t>
      </w:r>
      <w:r w:rsidR="00136E9C" w:rsidRPr="004338BE">
        <w:rPr>
          <w:rFonts w:eastAsia="Calibri"/>
          <w:lang w:val="en-US"/>
        </w:rPr>
        <w:t xml:space="preserve"> </w:t>
      </w:r>
      <w:r w:rsidR="0068272D" w:rsidRPr="004338BE">
        <w:rPr>
          <w:rFonts w:eastAsia="Calibri"/>
          <w:lang w:val="en-US"/>
        </w:rPr>
        <w:t>To measure the reaction order in H</w:t>
      </w:r>
      <w:r w:rsidR="0068272D" w:rsidRPr="004338BE">
        <w:rPr>
          <w:rFonts w:eastAsia="Calibri"/>
          <w:vertAlign w:val="subscript"/>
          <w:lang w:val="en-US"/>
        </w:rPr>
        <w:t>2</w:t>
      </w:r>
      <w:r w:rsidR="0068272D" w:rsidRPr="004338BE">
        <w:rPr>
          <w:rFonts w:eastAsia="Calibri"/>
          <w:lang w:val="en-US"/>
        </w:rPr>
        <w:t>, t</w:t>
      </w:r>
      <w:r w:rsidR="00B95148" w:rsidRPr="004338BE">
        <w:rPr>
          <w:rFonts w:eastAsia="Calibri"/>
          <w:lang w:val="en-US"/>
        </w:rPr>
        <w:t>he partial pressure of H</w:t>
      </w:r>
      <w:r w:rsidR="00B95148" w:rsidRPr="004338BE">
        <w:rPr>
          <w:rFonts w:eastAsia="Calibri"/>
          <w:vertAlign w:val="subscript"/>
          <w:lang w:val="en-US"/>
        </w:rPr>
        <w:t>2</w:t>
      </w:r>
      <w:r w:rsidR="00B95148" w:rsidRPr="004338BE">
        <w:rPr>
          <w:rFonts w:eastAsia="Calibri"/>
          <w:lang w:val="en-US"/>
        </w:rPr>
        <w:t xml:space="preserve"> was varied by changing the composition of H</w:t>
      </w:r>
      <w:r w:rsidR="00B95148" w:rsidRPr="004338BE">
        <w:rPr>
          <w:rFonts w:eastAsia="Calibri"/>
          <w:vertAlign w:val="subscript"/>
          <w:lang w:val="en-US"/>
        </w:rPr>
        <w:t>2</w:t>
      </w:r>
      <w:r w:rsidR="00B95148" w:rsidRPr="004338BE">
        <w:rPr>
          <w:rFonts w:eastAsia="Calibri"/>
          <w:lang w:val="en-US"/>
        </w:rPr>
        <w:t xml:space="preserve"> + N</w:t>
      </w:r>
      <w:r w:rsidR="00B95148" w:rsidRPr="004338BE">
        <w:rPr>
          <w:rFonts w:eastAsia="Calibri"/>
          <w:vertAlign w:val="subscript"/>
          <w:lang w:val="en-US"/>
        </w:rPr>
        <w:t>2</w:t>
      </w:r>
      <w:r w:rsidR="00B95148" w:rsidRPr="004338BE">
        <w:rPr>
          <w:rFonts w:eastAsia="Calibri"/>
          <w:lang w:val="en-US"/>
        </w:rPr>
        <w:t xml:space="preserve"> gas mixture at ambient pressure</w:t>
      </w:r>
      <w:r w:rsidR="00BD32B8" w:rsidRPr="004338BE">
        <w:rPr>
          <w:rFonts w:eastAsia="Calibri"/>
          <w:lang w:val="en-US"/>
        </w:rPr>
        <w:t>.</w:t>
      </w:r>
      <w:r w:rsidR="00D21819" w:rsidRPr="004338BE">
        <w:rPr>
          <w:rFonts w:eastAsia="Calibri"/>
          <w:lang w:val="en-US"/>
        </w:rPr>
        <w:t xml:space="preserve"> This did not affect</w:t>
      </w:r>
      <w:r w:rsidR="000532A3" w:rsidRPr="004338BE">
        <w:rPr>
          <w:rFonts w:eastAsia="Calibri"/>
          <w:lang w:val="en-US"/>
        </w:rPr>
        <w:t xml:space="preserve"> the selectivity to hexane</w:t>
      </w:r>
      <w:r w:rsidR="0068272D" w:rsidRPr="004338BE">
        <w:rPr>
          <w:rFonts w:eastAsia="Calibri"/>
          <w:lang w:val="en-US"/>
        </w:rPr>
        <w:t xml:space="preserve">, which was </w:t>
      </w:r>
      <w:r w:rsidR="000532A3" w:rsidRPr="004338BE">
        <w:rPr>
          <w:rFonts w:eastAsia="Calibri"/>
          <w:lang w:val="en-US"/>
        </w:rPr>
        <w:t>92</w:t>
      </w:r>
      <w:r w:rsidR="008E5B0A" w:rsidRPr="004338BE">
        <w:rPr>
          <w:rFonts w:eastAsia="Calibri"/>
          <w:lang w:val="en-US"/>
        </w:rPr>
        <w:t>–</w:t>
      </w:r>
      <w:r w:rsidR="000532A3" w:rsidRPr="004338BE">
        <w:rPr>
          <w:rFonts w:eastAsia="Calibri"/>
          <w:lang w:val="en-US"/>
        </w:rPr>
        <w:t>93% throughout the measurement.</w:t>
      </w:r>
      <w:r w:rsidR="0068272D" w:rsidRPr="004338BE">
        <w:rPr>
          <w:rFonts w:eastAsia="Calibri"/>
          <w:lang w:val="en-US"/>
        </w:rPr>
        <w:t xml:space="preserve"> The order in H</w:t>
      </w:r>
      <w:r w:rsidR="0068272D" w:rsidRPr="004338BE">
        <w:rPr>
          <w:rFonts w:eastAsia="Calibri"/>
          <w:vertAlign w:val="subscript"/>
          <w:lang w:val="en-US"/>
        </w:rPr>
        <w:t>2</w:t>
      </w:r>
      <w:r w:rsidR="0068272D" w:rsidRPr="004338BE">
        <w:rPr>
          <w:rFonts w:eastAsia="Calibri"/>
          <w:lang w:val="en-US"/>
        </w:rPr>
        <w:t xml:space="preserve"> was found to be negative, </w:t>
      </w:r>
      <w:r w:rsidR="008E5B0A" w:rsidRPr="004338BE">
        <w:rPr>
          <w:rFonts w:eastAsia="Calibri"/>
          <w:lang w:val="en-US"/>
        </w:rPr>
        <w:t>–</w:t>
      </w:r>
      <w:r w:rsidR="0068272D" w:rsidRPr="004338BE">
        <w:rPr>
          <w:rFonts w:eastAsia="Calibri"/>
          <w:lang w:val="en-US"/>
        </w:rPr>
        <w:t xml:space="preserve">0.45 (Fig. </w:t>
      </w:r>
      <w:r w:rsidR="00352FB5" w:rsidRPr="004338BE">
        <w:rPr>
          <w:rFonts w:eastAsia="Calibri"/>
          <w:lang w:val="en-US"/>
        </w:rPr>
        <w:t>4</w:t>
      </w:r>
      <w:r w:rsidR="0068272D" w:rsidRPr="004338BE">
        <w:rPr>
          <w:rFonts w:eastAsia="Calibri"/>
          <w:lang w:val="en-US"/>
        </w:rPr>
        <w:t>), which indicates competitive adsorption of DMTHF and H</w:t>
      </w:r>
      <w:r w:rsidR="0068272D" w:rsidRPr="004338BE">
        <w:rPr>
          <w:rFonts w:eastAsia="Calibri"/>
          <w:vertAlign w:val="subscript"/>
          <w:lang w:val="en-US"/>
        </w:rPr>
        <w:t>2</w:t>
      </w:r>
      <w:r w:rsidR="0068272D" w:rsidRPr="004338BE">
        <w:rPr>
          <w:rFonts w:eastAsia="Calibri"/>
          <w:lang w:val="en-US"/>
        </w:rPr>
        <w:t xml:space="preserve"> on the Pt sites.</w:t>
      </w:r>
      <w:r w:rsidR="00EB3192" w:rsidRPr="004338BE">
        <w:rPr>
          <w:rFonts w:eastAsia="Calibri"/>
          <w:lang w:val="en-US"/>
        </w:rPr>
        <w:t xml:space="preserve"> The</w:t>
      </w:r>
      <w:r w:rsidR="001322C3" w:rsidRPr="004338BE">
        <w:rPr>
          <w:rFonts w:eastAsia="Calibri"/>
          <w:lang w:val="en-US"/>
        </w:rPr>
        <w:t xml:space="preserve"> </w:t>
      </w:r>
      <w:r w:rsidR="00EB3192" w:rsidRPr="004338BE">
        <w:rPr>
          <w:rFonts w:eastAsia="Calibri"/>
          <w:lang w:val="en-US"/>
        </w:rPr>
        <w:t>order in Pt</w:t>
      </w:r>
      <w:r w:rsidR="00EB3192" w:rsidRPr="004338BE">
        <w:rPr>
          <w:rFonts w:eastAsia="Calibri"/>
        </w:rPr>
        <w:t>–</w:t>
      </w:r>
      <w:proofErr w:type="spellStart"/>
      <w:r w:rsidR="00EB3192" w:rsidRPr="004338BE">
        <w:rPr>
          <w:rFonts w:eastAsia="Calibri"/>
        </w:rPr>
        <w:t>CsPW</w:t>
      </w:r>
      <w:proofErr w:type="spellEnd"/>
      <w:r w:rsidR="00EB3192" w:rsidRPr="004338BE">
        <w:rPr>
          <w:rFonts w:eastAsia="Calibri"/>
        </w:rPr>
        <w:t xml:space="preserve"> catalyst was close to </w:t>
      </w:r>
      <w:r w:rsidR="00CE5061" w:rsidRPr="004338BE">
        <w:rPr>
          <w:rFonts w:eastAsia="Calibri"/>
        </w:rPr>
        <w:t>1</w:t>
      </w:r>
      <w:r w:rsidR="00565A7F" w:rsidRPr="004338BE">
        <w:rPr>
          <w:rFonts w:eastAsia="Calibri"/>
        </w:rPr>
        <w:t xml:space="preserve"> (Fig. </w:t>
      </w:r>
      <w:r w:rsidR="00A570AF" w:rsidRPr="004338BE">
        <w:rPr>
          <w:rFonts w:eastAsia="Calibri"/>
        </w:rPr>
        <w:t>5</w:t>
      </w:r>
      <w:r w:rsidR="00565A7F" w:rsidRPr="004338BE">
        <w:rPr>
          <w:rFonts w:eastAsia="Calibri"/>
        </w:rPr>
        <w:t>)</w:t>
      </w:r>
      <w:r w:rsidR="00EF293D" w:rsidRPr="004338BE">
        <w:rPr>
          <w:rFonts w:eastAsia="Calibri"/>
        </w:rPr>
        <w:t>, which confirms that the DMTHF ring opening is the rate-limiting step</w:t>
      </w:r>
      <w:r w:rsidR="00EB3192" w:rsidRPr="004338BE">
        <w:rPr>
          <w:rFonts w:eastAsia="Calibri"/>
        </w:rPr>
        <w:t>.</w:t>
      </w:r>
    </w:p>
    <w:p w14:paraId="44FC7345" w14:textId="3C34F033" w:rsidR="00FF2797" w:rsidRPr="004338BE" w:rsidRDefault="00FF2797" w:rsidP="007B4175">
      <w:pPr>
        <w:spacing w:after="0" w:line="480" w:lineRule="auto"/>
        <w:ind w:right="-45" w:firstLine="720"/>
        <w:jc w:val="both"/>
        <w:rPr>
          <w:rFonts w:eastAsia="Calibri"/>
          <w:lang w:val="en-US"/>
        </w:rPr>
      </w:pPr>
      <w:r w:rsidRPr="004338BE">
        <w:rPr>
          <w:rFonts w:eastAsia="Calibri"/>
          <w:lang w:val="en-US"/>
        </w:rPr>
        <w:lastRenderedPageBreak/>
        <w:t xml:space="preserve">The reaction was found to have an activation energy </w:t>
      </w:r>
      <w:r w:rsidRPr="004338BE">
        <w:rPr>
          <w:rFonts w:eastAsia="Calibri"/>
          <w:i/>
          <w:lang w:val="en-US"/>
        </w:rPr>
        <w:t>E</w:t>
      </w:r>
      <w:r w:rsidRPr="004338BE">
        <w:rPr>
          <w:rFonts w:eastAsia="Calibri"/>
          <w:lang w:val="en-US"/>
        </w:rPr>
        <w:t xml:space="preserve"> = 78.5 kJ mol</w:t>
      </w:r>
      <w:r w:rsidRPr="004338BE">
        <w:rPr>
          <w:rFonts w:eastAsia="Calibri"/>
          <w:vertAlign w:val="superscript"/>
          <w:lang w:val="en-US"/>
        </w:rPr>
        <w:t>-1</w:t>
      </w:r>
      <w:r w:rsidRPr="004338BE">
        <w:rPr>
          <w:rFonts w:eastAsia="Calibri"/>
          <w:lang w:val="en-US"/>
        </w:rPr>
        <w:t xml:space="preserve"> (the Arrhenius plot is shown in Fig. </w:t>
      </w:r>
      <w:r w:rsidR="00A570AF" w:rsidRPr="004338BE">
        <w:rPr>
          <w:rFonts w:eastAsia="Calibri"/>
          <w:lang w:val="en-US"/>
        </w:rPr>
        <w:t>6</w:t>
      </w:r>
      <w:r w:rsidRPr="004338BE">
        <w:rPr>
          <w:rFonts w:eastAsia="Calibri"/>
          <w:lang w:val="en-US"/>
        </w:rPr>
        <w:t>).</w:t>
      </w:r>
      <w:r w:rsidR="00D55681" w:rsidRPr="004338BE">
        <w:rPr>
          <w:rFonts w:eastAsia="Calibri"/>
          <w:lang w:val="en-US"/>
        </w:rPr>
        <w:t xml:space="preserve"> Given zero order in DMTHF, this is the true value </w:t>
      </w:r>
      <w:r w:rsidR="00D55681" w:rsidRPr="004338BE">
        <w:rPr>
          <w:rFonts w:eastAsia="Calibri"/>
          <w:i/>
          <w:lang w:val="en-US"/>
        </w:rPr>
        <w:t>E</w:t>
      </w:r>
      <w:r w:rsidR="00D55681" w:rsidRPr="004338BE">
        <w:rPr>
          <w:rFonts w:eastAsia="Calibri"/>
          <w:lang w:val="en-US"/>
        </w:rPr>
        <w:t>.</w:t>
      </w:r>
      <w:r w:rsidRPr="004338BE">
        <w:rPr>
          <w:rFonts w:eastAsia="Calibri"/>
          <w:lang w:val="en-US"/>
        </w:rPr>
        <w:t xml:space="preserve"> </w:t>
      </w:r>
      <w:r w:rsidR="007B4175" w:rsidRPr="004338BE">
        <w:rPr>
          <w:rFonts w:eastAsia="Calibri"/>
          <w:lang w:val="en-US"/>
        </w:rPr>
        <w:t xml:space="preserve">The high </w:t>
      </w:r>
      <w:r w:rsidR="007B4175" w:rsidRPr="004338BE">
        <w:rPr>
          <w:rFonts w:eastAsia="Calibri"/>
          <w:i/>
          <w:lang w:val="en-US"/>
        </w:rPr>
        <w:t>E</w:t>
      </w:r>
      <w:r w:rsidR="007B4175" w:rsidRPr="004338BE">
        <w:rPr>
          <w:rFonts w:eastAsia="Calibri"/>
          <w:lang w:val="en-US"/>
        </w:rPr>
        <w:t xml:space="preserve"> value and zero reaction order in DMTHF </w:t>
      </w:r>
      <w:r w:rsidR="007B4175" w:rsidRPr="004338BE">
        <w:t>indicate no diffusion limitations in this reaction</w:t>
      </w:r>
      <w:r w:rsidR="007B4175" w:rsidRPr="004338BE">
        <w:rPr>
          <w:rFonts w:eastAsia="Calibri"/>
          <w:lang w:val="en-US"/>
        </w:rPr>
        <w:t xml:space="preserve">. </w:t>
      </w:r>
      <w:r w:rsidRPr="004338BE">
        <w:rPr>
          <w:rFonts w:eastAsia="Calibri"/>
          <w:lang w:val="en-US"/>
        </w:rPr>
        <w:t xml:space="preserve">As specified above, the </w:t>
      </w:r>
      <w:r w:rsidRPr="004338BE">
        <w:rPr>
          <w:rFonts w:eastAsia="Calibri"/>
          <w:i/>
          <w:lang w:val="en-US"/>
        </w:rPr>
        <w:t>E</w:t>
      </w:r>
      <w:r w:rsidRPr="004338BE">
        <w:rPr>
          <w:rFonts w:eastAsia="Calibri"/>
          <w:lang w:val="en-US"/>
        </w:rPr>
        <w:t xml:space="preserve"> value can be attributed to the</w:t>
      </w:r>
      <w:r w:rsidR="00CD088D" w:rsidRPr="004338BE">
        <w:rPr>
          <w:rFonts w:eastAsia="Calibri"/>
          <w:lang w:val="en-US"/>
        </w:rPr>
        <w:t xml:space="preserve"> DMTHF</w:t>
      </w:r>
      <w:r w:rsidRPr="004338BE">
        <w:rPr>
          <w:rFonts w:eastAsia="Calibri"/>
          <w:lang w:val="en-US"/>
        </w:rPr>
        <w:t xml:space="preserve"> hydro</w:t>
      </w:r>
      <w:r w:rsidR="00CD088D" w:rsidRPr="004338BE">
        <w:rPr>
          <w:rFonts w:eastAsia="Calibri"/>
          <w:lang w:val="en-US"/>
        </w:rPr>
        <w:t>genolysis</w:t>
      </w:r>
      <w:r w:rsidRPr="004338BE">
        <w:rPr>
          <w:rFonts w:eastAsia="Calibri"/>
          <w:lang w:val="en-US"/>
        </w:rPr>
        <w:t xml:space="preserve"> step. The activation energy for the dehydration step is expected to be higher. This is indicated by the increase in hexane selectivity with reaction temperature (64% at 60 </w:t>
      </w:r>
      <w:proofErr w:type="spellStart"/>
      <w:r w:rsidRPr="004338BE">
        <w:rPr>
          <w:rFonts w:eastAsia="Calibri"/>
          <w:vertAlign w:val="superscript"/>
          <w:lang w:val="en-US"/>
        </w:rPr>
        <w:t>o</w:t>
      </w:r>
      <w:r w:rsidRPr="004338BE">
        <w:rPr>
          <w:rFonts w:eastAsia="Calibri"/>
          <w:lang w:val="en-US"/>
        </w:rPr>
        <w:t>C</w:t>
      </w:r>
      <w:proofErr w:type="spellEnd"/>
      <w:r w:rsidRPr="004338BE">
        <w:rPr>
          <w:rFonts w:eastAsia="Calibri"/>
          <w:lang w:val="en-US"/>
        </w:rPr>
        <w:t xml:space="preserve">, 94% at 80 </w:t>
      </w:r>
      <w:proofErr w:type="spellStart"/>
      <w:r w:rsidRPr="004338BE">
        <w:rPr>
          <w:rFonts w:eastAsia="Calibri"/>
          <w:vertAlign w:val="superscript"/>
          <w:lang w:val="en-US"/>
        </w:rPr>
        <w:t>o</w:t>
      </w:r>
      <w:r w:rsidRPr="004338BE">
        <w:rPr>
          <w:rFonts w:eastAsia="Calibri"/>
          <w:lang w:val="en-US"/>
        </w:rPr>
        <w:t>C</w:t>
      </w:r>
      <w:proofErr w:type="spellEnd"/>
      <w:r w:rsidRPr="004338BE">
        <w:rPr>
          <w:rFonts w:eastAsia="Calibri"/>
          <w:lang w:val="en-US"/>
        </w:rPr>
        <w:t xml:space="preserve"> and &gt;99% at 100 </w:t>
      </w:r>
      <w:proofErr w:type="spellStart"/>
      <w:r w:rsidRPr="004338BE">
        <w:rPr>
          <w:rFonts w:eastAsia="Calibri"/>
          <w:vertAlign w:val="superscript"/>
          <w:lang w:val="en-US"/>
        </w:rPr>
        <w:t>o</w:t>
      </w:r>
      <w:r w:rsidRPr="004338BE">
        <w:rPr>
          <w:rFonts w:eastAsia="Calibri"/>
          <w:lang w:val="en-US"/>
        </w:rPr>
        <w:t>C</w:t>
      </w:r>
      <w:proofErr w:type="spellEnd"/>
      <w:r w:rsidRPr="004338BE">
        <w:rPr>
          <w:rFonts w:eastAsia="Calibri"/>
          <w:lang w:val="en-US"/>
        </w:rPr>
        <w:t xml:space="preserve">). The gas-phase dehydration of a similar secondary alcohol, 2-methyl-4-pentanol, over </w:t>
      </w:r>
      <w:proofErr w:type="spellStart"/>
      <w:r w:rsidRPr="004338BE">
        <w:rPr>
          <w:rFonts w:eastAsia="Calibri"/>
          <w:lang w:val="en-US"/>
        </w:rPr>
        <w:t>CsPW</w:t>
      </w:r>
      <w:proofErr w:type="spellEnd"/>
      <w:r w:rsidRPr="004338BE">
        <w:rPr>
          <w:rFonts w:eastAsia="Calibri"/>
          <w:lang w:val="en-US"/>
        </w:rPr>
        <w:t xml:space="preserve"> has been reported to have </w:t>
      </w:r>
      <w:r w:rsidRPr="004338BE">
        <w:rPr>
          <w:rFonts w:eastAsia="Calibri"/>
          <w:i/>
          <w:lang w:val="en-US"/>
        </w:rPr>
        <w:t>E</w:t>
      </w:r>
      <w:r w:rsidRPr="004338BE">
        <w:rPr>
          <w:rFonts w:eastAsia="Calibri"/>
          <w:lang w:val="en-US"/>
        </w:rPr>
        <w:t xml:space="preserve"> = 130 kJ mol</w:t>
      </w:r>
      <w:r w:rsidRPr="004338BE">
        <w:rPr>
          <w:rFonts w:eastAsia="Calibri"/>
          <w:vertAlign w:val="superscript"/>
          <w:lang w:val="en-US"/>
        </w:rPr>
        <w:t>-1</w:t>
      </w:r>
      <w:r w:rsidRPr="004338BE">
        <w:rPr>
          <w:rFonts w:eastAsia="Calibri"/>
          <w:lang w:val="en-US"/>
        </w:rPr>
        <w:t xml:space="preserve"> at 60</w:t>
      </w:r>
      <w:r w:rsidR="00CD088D" w:rsidRPr="004338BE">
        <w:rPr>
          <w:rFonts w:eastAsia="Calibri"/>
          <w:lang w:val="en-US"/>
        </w:rPr>
        <w:t>–</w:t>
      </w:r>
      <w:r w:rsidRPr="004338BE">
        <w:rPr>
          <w:rFonts w:eastAsia="Calibri"/>
          <w:lang w:val="en-US"/>
        </w:rPr>
        <w:t xml:space="preserve">80 </w:t>
      </w:r>
      <w:proofErr w:type="spellStart"/>
      <w:r w:rsidRPr="004338BE">
        <w:rPr>
          <w:rFonts w:eastAsia="Calibri"/>
          <w:vertAlign w:val="superscript"/>
          <w:lang w:val="en-US"/>
        </w:rPr>
        <w:t>o</w:t>
      </w:r>
      <w:r w:rsidRPr="004338BE">
        <w:rPr>
          <w:rFonts w:eastAsia="Calibri"/>
          <w:lang w:val="en-US"/>
        </w:rPr>
        <w:t>C</w:t>
      </w:r>
      <w:proofErr w:type="spellEnd"/>
      <w:r w:rsidRPr="004338BE">
        <w:rPr>
          <w:rFonts w:eastAsia="Calibri"/>
          <w:lang w:val="en-US"/>
        </w:rPr>
        <w:t xml:space="preserve"> [</w:t>
      </w:r>
      <w:r w:rsidR="009948F4" w:rsidRPr="004338BE">
        <w:rPr>
          <w:rFonts w:eastAsia="Calibri"/>
          <w:lang w:val="en-US"/>
        </w:rPr>
        <w:t>19</w:t>
      </w:r>
      <w:r w:rsidRPr="004338BE">
        <w:rPr>
          <w:rFonts w:eastAsia="Calibri"/>
          <w:lang w:val="en-US"/>
        </w:rPr>
        <w:t>].</w:t>
      </w:r>
    </w:p>
    <w:p w14:paraId="68818F00" w14:textId="222DDFC4" w:rsidR="00DC67EB" w:rsidRPr="004338BE" w:rsidRDefault="001F2B54" w:rsidP="00F50B2A">
      <w:pPr>
        <w:spacing w:after="120" w:line="480" w:lineRule="auto"/>
        <w:ind w:right="-45" w:firstLine="720"/>
        <w:jc w:val="both"/>
      </w:pPr>
      <w:r w:rsidRPr="004338BE">
        <w:t>The r</w:t>
      </w:r>
      <w:r w:rsidR="00445054" w:rsidRPr="004338BE">
        <w:t>ate equation</w:t>
      </w:r>
      <w:r w:rsidRPr="004338BE">
        <w:t xml:space="preserve"> (</w:t>
      </w:r>
      <w:proofErr w:type="spellStart"/>
      <w:r w:rsidRPr="004338BE">
        <w:t>eq</w:t>
      </w:r>
      <w:proofErr w:type="spellEnd"/>
      <w:r w:rsidRPr="004338BE">
        <w:t xml:space="preserve"> 1)</w:t>
      </w:r>
      <w:r w:rsidR="00445054" w:rsidRPr="004338BE">
        <w:t xml:space="preserve"> was derived for the HDO reaction (see Supp</w:t>
      </w:r>
      <w:r w:rsidR="00562693" w:rsidRPr="004338BE">
        <w:t>orting</w:t>
      </w:r>
      <w:r w:rsidR="00445054" w:rsidRPr="004338BE">
        <w:t xml:space="preserve"> Information) assum</w:t>
      </w:r>
      <w:r w:rsidRPr="004338BE">
        <w:t>ing</w:t>
      </w:r>
      <w:r w:rsidR="00445054" w:rsidRPr="004338BE">
        <w:t xml:space="preserve"> that the reaction proceeds t</w:t>
      </w:r>
      <w:r w:rsidR="00DC67EB" w:rsidRPr="004338BE">
        <w:t>h</w:t>
      </w:r>
      <w:r w:rsidR="00445054" w:rsidRPr="004338BE">
        <w:t xml:space="preserve">rough equilibrated </w:t>
      </w:r>
      <w:r w:rsidR="00721EE8" w:rsidRPr="004338BE">
        <w:t>competitive</w:t>
      </w:r>
      <w:r w:rsidR="00445054" w:rsidRPr="004338BE">
        <w:t xml:space="preserve"> adsorption of DMTHF</w:t>
      </w:r>
      <w:r w:rsidR="00721EE8" w:rsidRPr="004338BE">
        <w:t xml:space="preserve"> </w:t>
      </w:r>
      <w:r w:rsidR="00DC1DC6" w:rsidRPr="004338BE">
        <w:t xml:space="preserve">(equilibrium constant </w:t>
      </w:r>
      <w:r w:rsidR="00DC1DC6" w:rsidRPr="004338BE">
        <w:rPr>
          <w:i/>
        </w:rPr>
        <w:t>K</w:t>
      </w:r>
      <w:r w:rsidR="00DC1DC6" w:rsidRPr="004338BE">
        <w:rPr>
          <w:vertAlign w:val="subscript"/>
        </w:rPr>
        <w:t>1</w:t>
      </w:r>
      <w:r w:rsidR="00DC1DC6" w:rsidRPr="004338BE">
        <w:t>)</w:t>
      </w:r>
      <w:r w:rsidR="00445054" w:rsidRPr="004338BE">
        <w:t xml:space="preserve"> and dissociative adsorption of H</w:t>
      </w:r>
      <w:r w:rsidR="00445054" w:rsidRPr="004338BE">
        <w:rPr>
          <w:vertAlign w:val="subscript"/>
        </w:rPr>
        <w:t>2</w:t>
      </w:r>
      <w:r w:rsidR="00445054" w:rsidRPr="004338BE">
        <w:t xml:space="preserve"> </w:t>
      </w:r>
      <w:r w:rsidR="00DC1DC6" w:rsidRPr="004338BE">
        <w:t>(</w:t>
      </w:r>
      <w:r w:rsidR="00DC1DC6" w:rsidRPr="004338BE">
        <w:rPr>
          <w:i/>
        </w:rPr>
        <w:t>K</w:t>
      </w:r>
      <w:r w:rsidR="00DC1DC6" w:rsidRPr="004338BE">
        <w:rPr>
          <w:vertAlign w:val="subscript"/>
        </w:rPr>
        <w:t>2</w:t>
      </w:r>
      <w:r w:rsidR="00DC1DC6" w:rsidRPr="004338BE">
        <w:t xml:space="preserve">) </w:t>
      </w:r>
      <w:r w:rsidR="00445054" w:rsidRPr="004338BE">
        <w:t>on Pt sites, followed by the rate-limiting hydrogenolysis of</w:t>
      </w:r>
      <w:r w:rsidR="006E31A2" w:rsidRPr="004338BE">
        <w:t xml:space="preserve"> the adsorbed </w:t>
      </w:r>
      <w:r w:rsidR="00445054" w:rsidRPr="004338BE">
        <w:t xml:space="preserve">DMTHF </w:t>
      </w:r>
      <w:r w:rsidR="00A1523F" w:rsidRPr="004338BE">
        <w:t xml:space="preserve">by </w:t>
      </w:r>
      <w:r w:rsidR="006E31A2" w:rsidRPr="004338BE">
        <w:t>addition of the first hydrogen atom</w:t>
      </w:r>
      <w:r w:rsidR="00DC1DC6" w:rsidRPr="004338BE">
        <w:t xml:space="preserve"> (rate constant </w:t>
      </w:r>
      <w:r w:rsidR="00DC1DC6" w:rsidRPr="004338BE">
        <w:rPr>
          <w:i/>
        </w:rPr>
        <w:t>k</w:t>
      </w:r>
      <w:r w:rsidR="00DC1DC6" w:rsidRPr="004338BE">
        <w:t>)</w:t>
      </w:r>
      <w:r w:rsidR="006E31A2" w:rsidRPr="004338BE">
        <w:t xml:space="preserve">. </w:t>
      </w:r>
      <w:r w:rsidR="005F41C2" w:rsidRPr="004338BE">
        <w:t>Then the second H atom adds to form 2-hexanol. The latter</w:t>
      </w:r>
      <w:r w:rsidR="003E7327" w:rsidRPr="004338BE">
        <w:t xml:space="preserve"> step</w:t>
      </w:r>
      <w:r w:rsidR="005F41C2" w:rsidRPr="004338BE">
        <w:t xml:space="preserve"> and</w:t>
      </w:r>
      <w:r w:rsidR="00445054" w:rsidRPr="004338BE">
        <w:t xml:space="preserve"> subsequent steps of 2-hexanol dehydration to hexene on acid sites and hexene hydrogenation to hexane on Pt sites were assumed to be fast, hence kinetically irrelevant. </w:t>
      </w:r>
      <w:r w:rsidRPr="004338BE">
        <w:t>Rate e</w:t>
      </w:r>
      <w:r w:rsidR="00445054" w:rsidRPr="004338BE">
        <w:t>quation (1)</w:t>
      </w:r>
      <w:r w:rsidR="00721EE8" w:rsidRPr="004338BE">
        <w:t xml:space="preserve"> thus derived</w:t>
      </w:r>
      <w:r w:rsidR="00445054" w:rsidRPr="004338BE">
        <w:t xml:space="preserve"> is </w:t>
      </w:r>
      <w:r w:rsidR="00512BC6" w:rsidRPr="004338BE">
        <w:t>consisten</w:t>
      </w:r>
      <w:r w:rsidR="002D0792" w:rsidRPr="004338BE">
        <w:t>t</w:t>
      </w:r>
      <w:r w:rsidR="00445054" w:rsidRPr="004338BE">
        <w:t xml:space="preserve"> with the kinetics </w:t>
      </w:r>
      <w:r w:rsidR="006356EF" w:rsidRPr="004338BE">
        <w:t>observed for</w:t>
      </w:r>
      <w:r w:rsidR="00445054" w:rsidRPr="004338BE">
        <w:t xml:space="preserve"> hydrodeoxygenation of DMTHF</w:t>
      </w:r>
      <w:r w:rsidR="008B2767" w:rsidRPr="004338BE">
        <w:t>.</w:t>
      </w:r>
      <w:r w:rsidR="00445054" w:rsidRPr="004338BE">
        <w:t xml:space="preserve"> </w:t>
      </w:r>
      <w:r w:rsidR="007B4175" w:rsidRPr="004338BE">
        <w:t>It</w:t>
      </w:r>
      <w:r w:rsidR="00615354" w:rsidRPr="004338BE">
        <w:t xml:space="preserve"> accounts for</w:t>
      </w:r>
      <w:r w:rsidR="003111BF" w:rsidRPr="004338BE">
        <w:t xml:space="preserve"> </w:t>
      </w:r>
      <w:r w:rsidR="00445054" w:rsidRPr="004338BE">
        <w:t>zero order in DMTHF</w:t>
      </w:r>
      <w:r w:rsidR="009F592B" w:rsidRPr="004338BE">
        <w:t xml:space="preserve"> pressure (</w:t>
      </w:r>
      <w:r w:rsidR="009F592B" w:rsidRPr="004338BE">
        <w:rPr>
          <w:i/>
        </w:rPr>
        <w:t>P</w:t>
      </w:r>
      <w:r w:rsidR="009F592B" w:rsidRPr="004338BE">
        <w:rPr>
          <w:i/>
          <w:vertAlign w:val="subscript"/>
        </w:rPr>
        <w:t>DMTHF</w:t>
      </w:r>
      <w:r w:rsidR="009F592B" w:rsidRPr="004338BE">
        <w:t>)</w:t>
      </w:r>
      <w:r w:rsidR="005A37EB" w:rsidRPr="004338BE">
        <w:t xml:space="preserve"> at sufficiently high </w:t>
      </w:r>
      <w:r w:rsidR="005A37EB" w:rsidRPr="004338BE">
        <w:rPr>
          <w:i/>
        </w:rPr>
        <w:t>P</w:t>
      </w:r>
      <w:r w:rsidR="005A37EB" w:rsidRPr="004338BE">
        <w:rPr>
          <w:i/>
          <w:vertAlign w:val="subscript"/>
        </w:rPr>
        <w:t>DMTHF</w:t>
      </w:r>
      <w:r w:rsidR="005A37EB" w:rsidRPr="004338BE">
        <w:t xml:space="preserve"> </w:t>
      </w:r>
      <w:r w:rsidR="009D1979" w:rsidRPr="004338BE">
        <w:t>and</w:t>
      </w:r>
      <w:r w:rsidR="00445054" w:rsidRPr="004338BE">
        <w:t xml:space="preserve"> </w:t>
      </w:r>
      <w:r w:rsidR="008E5B0A" w:rsidRPr="004338BE">
        <w:t>–</w:t>
      </w:r>
      <w:r w:rsidR="00445054" w:rsidRPr="004338BE">
        <w:t>0.45 order in H</w:t>
      </w:r>
      <w:r w:rsidR="00445054" w:rsidRPr="004338BE">
        <w:rPr>
          <w:vertAlign w:val="subscript"/>
        </w:rPr>
        <w:t>2</w:t>
      </w:r>
      <w:r w:rsidR="009F592B" w:rsidRPr="004338BE">
        <w:t xml:space="preserve"> pressure (</w:t>
      </w:r>
      <w:r w:rsidR="009F592B" w:rsidRPr="004338BE">
        <w:rPr>
          <w:i/>
        </w:rPr>
        <w:t>P</w:t>
      </w:r>
      <w:r w:rsidR="009F592B" w:rsidRPr="004338BE">
        <w:rPr>
          <w:i/>
          <w:vertAlign w:val="subscript"/>
        </w:rPr>
        <w:t>H2</w:t>
      </w:r>
      <w:r w:rsidR="009F592B" w:rsidRPr="004338BE">
        <w:t>)</w:t>
      </w:r>
      <w:r w:rsidR="00445054" w:rsidRPr="004338BE">
        <w:t>.</w:t>
      </w:r>
      <w:r w:rsidR="005A37EB" w:rsidRPr="004338BE">
        <w:t xml:space="preserve"> It also accounts for the first order in Pt/C catalyst since the rate constant </w:t>
      </w:r>
      <w:r w:rsidR="005A37EB" w:rsidRPr="004338BE">
        <w:rPr>
          <w:i/>
        </w:rPr>
        <w:t>k</w:t>
      </w:r>
      <w:r w:rsidR="005A37EB" w:rsidRPr="004338BE">
        <w:t xml:space="preserve"> is proportional to the density of Pt sites.</w:t>
      </w:r>
    </w:p>
    <w:p w14:paraId="2BEFD723" w14:textId="1D8F6734" w:rsidR="00041FE4" w:rsidRPr="004338BE" w:rsidRDefault="00744679" w:rsidP="00744679">
      <w:pPr>
        <w:pStyle w:val="RSCB02ArticleText"/>
        <w:spacing w:line="480" w:lineRule="auto"/>
        <w:ind w:left="567" w:right="-45" w:hanging="567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DMTHF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DMTHF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338BE">
        <w:rPr>
          <w:rFonts w:eastAsiaTheme="minorEastAsia"/>
          <w:sz w:val="24"/>
          <w:szCs w:val="24"/>
        </w:rPr>
        <w:tab/>
      </w:r>
      <w:r w:rsidRPr="004338BE">
        <w:rPr>
          <w:rFonts w:eastAsiaTheme="minorEastAsia"/>
          <w:sz w:val="24"/>
          <w:szCs w:val="24"/>
        </w:rPr>
        <w:tab/>
      </w:r>
      <w:r w:rsidRPr="004338BE">
        <w:rPr>
          <w:rFonts w:eastAsiaTheme="minorEastAsia"/>
          <w:sz w:val="24"/>
          <w:szCs w:val="24"/>
        </w:rPr>
        <w:tab/>
      </w:r>
      <w:r w:rsidRPr="004338BE">
        <w:rPr>
          <w:rFonts w:eastAsiaTheme="minorEastAsia"/>
          <w:sz w:val="24"/>
          <w:szCs w:val="24"/>
        </w:rPr>
        <w:tab/>
        <w:t>(1)</w:t>
      </w:r>
    </w:p>
    <w:p w14:paraId="30FF692F" w14:textId="77777777" w:rsidR="00A10935" w:rsidRPr="004338BE" w:rsidRDefault="00A10935" w:rsidP="00AF4797">
      <w:pPr>
        <w:pStyle w:val="RSCB04AHeadingSection"/>
        <w:spacing w:before="0" w:after="0" w:line="480" w:lineRule="auto"/>
        <w:ind w:right="-45"/>
        <w:jc w:val="both"/>
        <w:rPr>
          <w:b w:val="0"/>
        </w:rPr>
      </w:pPr>
    </w:p>
    <w:p w14:paraId="5946A135" w14:textId="26FAF0EA" w:rsidR="0020599B" w:rsidRPr="004338BE" w:rsidRDefault="0020599B" w:rsidP="0070457A">
      <w:pPr>
        <w:pStyle w:val="RSCB04AHeadingSection"/>
        <w:spacing w:before="0" w:line="480" w:lineRule="auto"/>
        <w:ind w:right="-45"/>
      </w:pPr>
      <w:r w:rsidRPr="004338BE">
        <w:t>Conclusions</w:t>
      </w:r>
    </w:p>
    <w:p w14:paraId="7A64763E" w14:textId="3CE6956F" w:rsidR="00896BFD" w:rsidRPr="004338BE" w:rsidRDefault="00870493" w:rsidP="00393614">
      <w:pPr>
        <w:pStyle w:val="RSCB02ArticleText"/>
        <w:spacing w:line="480" w:lineRule="auto"/>
        <w:ind w:firstLine="720"/>
        <w:rPr>
          <w:sz w:val="24"/>
          <w:szCs w:val="24"/>
        </w:rPr>
      </w:pPr>
      <w:r w:rsidRPr="004338BE">
        <w:rPr>
          <w:iCs/>
          <w:sz w:val="24"/>
          <w:szCs w:val="24"/>
        </w:rPr>
        <w:t xml:space="preserve">Catalytic hydrodeoxygenation (HDO) of biomass-derived </w:t>
      </w:r>
      <w:proofErr w:type="spellStart"/>
      <w:r w:rsidRPr="004338BE">
        <w:rPr>
          <w:iCs/>
          <w:sz w:val="24"/>
          <w:szCs w:val="24"/>
        </w:rPr>
        <w:t>furanic</w:t>
      </w:r>
      <w:proofErr w:type="spellEnd"/>
      <w:r w:rsidRPr="004338BE">
        <w:rPr>
          <w:iCs/>
          <w:sz w:val="24"/>
          <w:szCs w:val="24"/>
        </w:rPr>
        <w:t xml:space="preserve"> compounds attracts interest for sustainable production of chemicals and green fuels. </w:t>
      </w:r>
      <w:r w:rsidR="00467241" w:rsidRPr="004338BE">
        <w:rPr>
          <w:sz w:val="24"/>
          <w:szCs w:val="24"/>
        </w:rPr>
        <w:t>In t</w:t>
      </w:r>
      <w:r w:rsidR="0020599B" w:rsidRPr="004338BE">
        <w:rPr>
          <w:sz w:val="24"/>
          <w:szCs w:val="24"/>
        </w:rPr>
        <w:t>his work</w:t>
      </w:r>
      <w:r w:rsidR="00467241" w:rsidRPr="004338BE">
        <w:rPr>
          <w:sz w:val="24"/>
          <w:szCs w:val="24"/>
        </w:rPr>
        <w:t xml:space="preserve">, </w:t>
      </w:r>
      <w:r w:rsidR="00467241" w:rsidRPr="004338BE">
        <w:rPr>
          <w:sz w:val="24"/>
          <w:szCs w:val="24"/>
        </w:rPr>
        <w:lastRenderedPageBreak/>
        <w:t>we</w:t>
      </w:r>
      <w:r w:rsidR="0020599B" w:rsidRPr="004338BE">
        <w:rPr>
          <w:sz w:val="24"/>
          <w:szCs w:val="24"/>
        </w:rPr>
        <w:t xml:space="preserve"> demonstrate</w:t>
      </w:r>
      <w:r w:rsidR="00467241" w:rsidRPr="004338BE">
        <w:rPr>
          <w:sz w:val="24"/>
          <w:szCs w:val="24"/>
        </w:rPr>
        <w:t xml:space="preserve"> </w:t>
      </w:r>
      <w:r w:rsidR="0011702C" w:rsidRPr="004338BE">
        <w:rPr>
          <w:sz w:val="24"/>
          <w:szCs w:val="24"/>
        </w:rPr>
        <w:t xml:space="preserve">the </w:t>
      </w:r>
      <w:r w:rsidR="00467241" w:rsidRPr="004338BE">
        <w:rPr>
          <w:sz w:val="24"/>
          <w:szCs w:val="24"/>
        </w:rPr>
        <w:t xml:space="preserve">high effectiveness of </w:t>
      </w:r>
      <w:r w:rsidR="00017EAF" w:rsidRPr="004338BE">
        <w:rPr>
          <w:sz w:val="24"/>
          <w:szCs w:val="24"/>
        </w:rPr>
        <w:t xml:space="preserve">metal-acid </w:t>
      </w:r>
      <w:r w:rsidR="00467241" w:rsidRPr="004338BE">
        <w:rPr>
          <w:sz w:val="24"/>
          <w:szCs w:val="24"/>
        </w:rPr>
        <w:t>bifunctional</w:t>
      </w:r>
      <w:r w:rsidR="0020599B" w:rsidRPr="004338BE">
        <w:rPr>
          <w:sz w:val="24"/>
          <w:szCs w:val="24"/>
        </w:rPr>
        <w:t xml:space="preserve"> </w:t>
      </w:r>
      <w:r w:rsidR="00467241" w:rsidRPr="004338BE">
        <w:rPr>
          <w:sz w:val="24"/>
          <w:szCs w:val="24"/>
        </w:rPr>
        <w:t>heterogeneous catalysis</w:t>
      </w:r>
      <w:r w:rsidR="00764F09" w:rsidRPr="004338BE">
        <w:rPr>
          <w:sz w:val="24"/>
          <w:szCs w:val="24"/>
        </w:rPr>
        <w:t xml:space="preserve"> </w:t>
      </w:r>
      <w:r w:rsidR="00467241" w:rsidRPr="004338BE">
        <w:rPr>
          <w:sz w:val="24"/>
          <w:szCs w:val="24"/>
        </w:rPr>
        <w:t xml:space="preserve">for the </w:t>
      </w:r>
      <w:r w:rsidR="00787D85" w:rsidRPr="004338BE">
        <w:rPr>
          <w:sz w:val="24"/>
          <w:szCs w:val="24"/>
        </w:rPr>
        <w:t xml:space="preserve">gas-phase </w:t>
      </w:r>
      <w:r w:rsidR="00467241" w:rsidRPr="004338BE">
        <w:rPr>
          <w:sz w:val="24"/>
          <w:szCs w:val="24"/>
        </w:rPr>
        <w:t xml:space="preserve">HDO of </w:t>
      </w:r>
      <w:r w:rsidRPr="004338BE">
        <w:rPr>
          <w:sz w:val="24"/>
          <w:szCs w:val="24"/>
        </w:rPr>
        <w:t xml:space="preserve">a saturated </w:t>
      </w:r>
      <w:r w:rsidR="00467241" w:rsidRPr="004338BE">
        <w:rPr>
          <w:sz w:val="24"/>
          <w:szCs w:val="24"/>
        </w:rPr>
        <w:t>fu</w:t>
      </w:r>
      <w:r w:rsidR="00787D85" w:rsidRPr="004338BE">
        <w:rPr>
          <w:sz w:val="24"/>
          <w:szCs w:val="24"/>
        </w:rPr>
        <w:t>r</w:t>
      </w:r>
      <w:r w:rsidR="00467241" w:rsidRPr="004338BE">
        <w:rPr>
          <w:sz w:val="24"/>
          <w:szCs w:val="24"/>
        </w:rPr>
        <w:t>an</w:t>
      </w:r>
      <w:r w:rsidRPr="004338BE">
        <w:rPr>
          <w:sz w:val="24"/>
          <w:szCs w:val="24"/>
        </w:rPr>
        <w:t xml:space="preserve"> derivative</w:t>
      </w:r>
      <w:r w:rsidR="00017EAF" w:rsidRPr="004338BE">
        <w:rPr>
          <w:sz w:val="24"/>
          <w:szCs w:val="24"/>
        </w:rPr>
        <w:t xml:space="preserve"> 2,5-dimethyltetrahydrofuran (DMTHF)</w:t>
      </w:r>
      <w:r w:rsidR="00467241" w:rsidRPr="004338BE">
        <w:rPr>
          <w:sz w:val="24"/>
          <w:szCs w:val="24"/>
        </w:rPr>
        <w:t>.</w:t>
      </w:r>
      <w:r w:rsidR="00467241" w:rsidRPr="004338BE">
        <w:rPr>
          <w:iCs/>
          <w:sz w:val="24"/>
          <w:szCs w:val="24"/>
          <w:lang w:eastAsia="en-GB"/>
        </w:rPr>
        <w:t xml:space="preserve"> The</w:t>
      </w:r>
      <w:r w:rsidR="00017EAF" w:rsidRPr="004338BE">
        <w:rPr>
          <w:iCs/>
          <w:sz w:val="24"/>
          <w:szCs w:val="24"/>
          <w:lang w:eastAsia="en-GB"/>
        </w:rPr>
        <w:t xml:space="preserve"> Pt–</w:t>
      </w:r>
      <w:proofErr w:type="spellStart"/>
      <w:r w:rsidR="00017EAF" w:rsidRPr="004338BE">
        <w:rPr>
          <w:iCs/>
          <w:sz w:val="24"/>
          <w:szCs w:val="24"/>
          <w:lang w:eastAsia="en-GB"/>
        </w:rPr>
        <w:t>CsPW</w:t>
      </w:r>
      <w:proofErr w:type="spellEnd"/>
      <w:r w:rsidR="00017EAF" w:rsidRPr="004338BE">
        <w:rPr>
          <w:iCs/>
          <w:sz w:val="24"/>
          <w:szCs w:val="24"/>
          <w:lang w:eastAsia="en-GB"/>
        </w:rPr>
        <w:t xml:space="preserve"> bifunctional catalyst comprising a mixture of Pt/C and</w:t>
      </w:r>
      <w:r w:rsidR="00467241" w:rsidRPr="004338BE">
        <w:rPr>
          <w:iCs/>
          <w:sz w:val="24"/>
          <w:szCs w:val="24"/>
          <w:lang w:eastAsia="en-GB"/>
        </w:rPr>
        <w:t xml:space="preserve"> </w:t>
      </w:r>
      <w:r w:rsidR="00445521" w:rsidRPr="004338BE">
        <w:rPr>
          <w:iCs/>
          <w:sz w:val="24"/>
          <w:szCs w:val="24"/>
          <w:lang w:eastAsia="en-GB"/>
        </w:rPr>
        <w:t xml:space="preserve">strongly </w:t>
      </w:r>
      <w:r w:rsidR="00017EAF" w:rsidRPr="004338BE">
        <w:rPr>
          <w:iCs/>
          <w:sz w:val="24"/>
          <w:szCs w:val="24"/>
          <w:lang w:eastAsia="en-GB"/>
        </w:rPr>
        <w:t xml:space="preserve">acidic heteropoly salt </w:t>
      </w:r>
      <w:proofErr w:type="spellStart"/>
      <w:r w:rsidR="00017EAF" w:rsidRPr="004338BE">
        <w:rPr>
          <w:iCs/>
          <w:sz w:val="24"/>
          <w:szCs w:val="24"/>
          <w:lang w:eastAsia="en-GB"/>
        </w:rPr>
        <w:t>CsPW</w:t>
      </w:r>
      <w:proofErr w:type="spellEnd"/>
      <w:r w:rsidR="00017EAF" w:rsidRPr="004338BE">
        <w:rPr>
          <w:iCs/>
          <w:sz w:val="24"/>
          <w:szCs w:val="24"/>
          <w:lang w:eastAsia="en-GB"/>
        </w:rPr>
        <w:t xml:space="preserve"> deoxygenates DMTHF to n-hexane with &gt;99% selectivity under mild conditions (90–100 </w:t>
      </w:r>
      <w:proofErr w:type="spellStart"/>
      <w:r w:rsidR="00017EAF" w:rsidRPr="004338BE">
        <w:rPr>
          <w:iCs/>
          <w:sz w:val="24"/>
          <w:szCs w:val="24"/>
          <w:vertAlign w:val="superscript"/>
          <w:lang w:eastAsia="en-GB"/>
        </w:rPr>
        <w:t>o</w:t>
      </w:r>
      <w:r w:rsidR="00017EAF" w:rsidRPr="004338BE">
        <w:rPr>
          <w:iCs/>
          <w:sz w:val="24"/>
          <w:szCs w:val="24"/>
          <w:lang w:eastAsia="en-GB"/>
        </w:rPr>
        <w:t>C</w:t>
      </w:r>
      <w:proofErr w:type="spellEnd"/>
      <w:r w:rsidR="00017EAF" w:rsidRPr="004338BE">
        <w:rPr>
          <w:iCs/>
          <w:sz w:val="24"/>
          <w:szCs w:val="24"/>
          <w:lang w:eastAsia="en-GB"/>
        </w:rPr>
        <w:t xml:space="preserve">, </w:t>
      </w:r>
      <w:r w:rsidR="0069559A" w:rsidRPr="004338BE">
        <w:rPr>
          <w:iCs/>
          <w:sz w:val="24"/>
          <w:szCs w:val="24"/>
          <w:lang w:eastAsia="en-GB"/>
        </w:rPr>
        <w:t>ambient pressure</w:t>
      </w:r>
      <w:r w:rsidR="00017EAF" w:rsidRPr="004338BE">
        <w:rPr>
          <w:iCs/>
          <w:sz w:val="24"/>
          <w:szCs w:val="24"/>
          <w:lang w:eastAsia="en-GB"/>
        </w:rPr>
        <w:t xml:space="preserve">) and is much more efficient than monofunctional Pt/C. At such conditions no n-hexane isomerisation </w:t>
      </w:r>
      <w:r w:rsidR="00017EAF" w:rsidRPr="004338BE">
        <w:rPr>
          <w:sz w:val="24"/>
          <w:szCs w:val="24"/>
        </w:rPr>
        <w:t xml:space="preserve">takes place allowing complete </w:t>
      </w:r>
      <w:r w:rsidR="00872952" w:rsidRPr="004338BE">
        <w:rPr>
          <w:sz w:val="24"/>
          <w:szCs w:val="24"/>
        </w:rPr>
        <w:t>conversion</w:t>
      </w:r>
      <w:r w:rsidR="00017EAF" w:rsidRPr="004338BE">
        <w:rPr>
          <w:sz w:val="24"/>
          <w:szCs w:val="24"/>
        </w:rPr>
        <w:t xml:space="preserve"> of DMTHF to alkane without carbon </w:t>
      </w:r>
      <w:r w:rsidR="00872952" w:rsidRPr="004338BE">
        <w:rPr>
          <w:sz w:val="24"/>
          <w:szCs w:val="24"/>
        </w:rPr>
        <w:t>chain</w:t>
      </w:r>
      <w:r w:rsidR="00017EAF" w:rsidRPr="004338BE">
        <w:rPr>
          <w:sz w:val="24"/>
          <w:szCs w:val="24"/>
        </w:rPr>
        <w:t xml:space="preserve"> alteration.</w:t>
      </w:r>
      <w:r w:rsidR="00017EAF" w:rsidRPr="004338BE">
        <w:rPr>
          <w:iCs/>
          <w:sz w:val="24"/>
          <w:szCs w:val="24"/>
          <w:lang w:eastAsia="en-GB"/>
        </w:rPr>
        <w:t xml:space="preserve"> </w:t>
      </w:r>
      <w:r w:rsidR="00896BFD" w:rsidRPr="004338BE">
        <w:rPr>
          <w:sz w:val="24"/>
          <w:szCs w:val="24"/>
        </w:rPr>
        <w:t xml:space="preserve">The proposed reaction </w:t>
      </w:r>
      <w:r w:rsidR="00296C3A" w:rsidRPr="004338BE">
        <w:rPr>
          <w:sz w:val="24"/>
          <w:szCs w:val="24"/>
        </w:rPr>
        <w:t>mechanism</w:t>
      </w:r>
      <w:r w:rsidR="00896BFD" w:rsidRPr="004338BE">
        <w:rPr>
          <w:sz w:val="24"/>
          <w:szCs w:val="24"/>
        </w:rPr>
        <w:t xml:space="preserve"> </w:t>
      </w:r>
      <w:r w:rsidR="00896BFD" w:rsidRPr="004338BE">
        <w:rPr>
          <w:iCs/>
          <w:sz w:val="24"/>
          <w:szCs w:val="24"/>
          <w:lang w:eastAsia="en-GB"/>
        </w:rPr>
        <w:t>includes a sequence of hydrogenolysis, dehydration</w:t>
      </w:r>
      <w:r w:rsidR="00C00133" w:rsidRPr="004338BE">
        <w:rPr>
          <w:iCs/>
          <w:sz w:val="24"/>
          <w:szCs w:val="24"/>
          <w:lang w:eastAsia="en-GB"/>
        </w:rPr>
        <w:t xml:space="preserve"> and hydrogenation</w:t>
      </w:r>
      <w:r w:rsidR="00896BFD" w:rsidRPr="004338BE">
        <w:rPr>
          <w:iCs/>
          <w:sz w:val="24"/>
          <w:szCs w:val="24"/>
          <w:lang w:eastAsia="en-GB"/>
        </w:rPr>
        <w:t xml:space="preserve"> steps catalysed by Pt and proton sites </w:t>
      </w:r>
      <w:r w:rsidR="000F2530" w:rsidRPr="004338BE">
        <w:rPr>
          <w:iCs/>
          <w:sz w:val="24"/>
          <w:szCs w:val="24"/>
          <w:lang w:eastAsia="en-GB"/>
        </w:rPr>
        <w:t>in</w:t>
      </w:r>
      <w:r w:rsidR="00896BFD" w:rsidRPr="004338BE">
        <w:rPr>
          <w:iCs/>
          <w:sz w:val="24"/>
          <w:szCs w:val="24"/>
          <w:lang w:eastAsia="en-GB"/>
        </w:rPr>
        <w:t xml:space="preserve"> the bifunctional catalyst.</w:t>
      </w:r>
      <w:r w:rsidR="00393614" w:rsidRPr="004338BE">
        <w:rPr>
          <w:sz w:val="24"/>
          <w:szCs w:val="24"/>
        </w:rPr>
        <w:t xml:space="preserve"> The results suggest that the HDO of </w:t>
      </w:r>
      <w:proofErr w:type="spellStart"/>
      <w:r w:rsidR="00393614" w:rsidRPr="004338BE">
        <w:rPr>
          <w:sz w:val="24"/>
          <w:szCs w:val="24"/>
        </w:rPr>
        <w:t>furanic</w:t>
      </w:r>
      <w:proofErr w:type="spellEnd"/>
      <w:r w:rsidR="00393614" w:rsidRPr="004338BE">
        <w:rPr>
          <w:sz w:val="24"/>
          <w:szCs w:val="24"/>
        </w:rPr>
        <w:t xml:space="preserve"> compounds on Pt</w:t>
      </w:r>
      <w:r w:rsidR="005D2EC2" w:rsidRPr="004338BE">
        <w:rPr>
          <w:sz w:val="24"/>
          <w:szCs w:val="24"/>
        </w:rPr>
        <w:t>–</w:t>
      </w:r>
      <w:proofErr w:type="spellStart"/>
      <w:r w:rsidR="005D2EC2" w:rsidRPr="004338BE">
        <w:rPr>
          <w:sz w:val="24"/>
          <w:szCs w:val="24"/>
        </w:rPr>
        <w:t>CsPW</w:t>
      </w:r>
      <w:proofErr w:type="spellEnd"/>
      <w:r w:rsidR="00393614" w:rsidRPr="004338BE">
        <w:rPr>
          <w:sz w:val="24"/>
          <w:szCs w:val="24"/>
        </w:rPr>
        <w:t xml:space="preserve"> is a structure-sensitive reaction occurring on active sites that are complex ensembles of Pt atoms.</w:t>
      </w:r>
      <w:r w:rsidR="000232D5" w:rsidRPr="004338BE">
        <w:rPr>
          <w:iCs/>
          <w:lang w:eastAsia="en-GB"/>
        </w:rPr>
        <w:t xml:space="preserve"> </w:t>
      </w:r>
      <w:r w:rsidR="00532A68" w:rsidRPr="004338BE">
        <w:rPr>
          <w:iCs/>
          <w:sz w:val="24"/>
          <w:szCs w:val="24"/>
          <w:lang w:eastAsia="en-GB"/>
        </w:rPr>
        <w:t>S</w:t>
      </w:r>
      <w:r w:rsidR="0039236A" w:rsidRPr="004338BE">
        <w:rPr>
          <w:iCs/>
          <w:sz w:val="24"/>
          <w:szCs w:val="24"/>
          <w:lang w:eastAsia="en-GB"/>
        </w:rPr>
        <w:t>ynergistic</w:t>
      </w:r>
      <w:r w:rsidR="000232D5" w:rsidRPr="004338BE">
        <w:rPr>
          <w:iCs/>
          <w:sz w:val="24"/>
          <w:szCs w:val="24"/>
          <w:lang w:eastAsia="en-GB"/>
        </w:rPr>
        <w:t xml:space="preserve"> action of the metal and acid sites is essential for the effectiveness of </w:t>
      </w:r>
      <w:r w:rsidR="003F3D56" w:rsidRPr="004338BE">
        <w:rPr>
          <w:iCs/>
          <w:sz w:val="24"/>
          <w:szCs w:val="24"/>
          <w:lang w:eastAsia="en-GB"/>
        </w:rPr>
        <w:t>the HDO</w:t>
      </w:r>
      <w:r w:rsidR="000232D5" w:rsidRPr="004338BE">
        <w:rPr>
          <w:iCs/>
          <w:sz w:val="24"/>
          <w:szCs w:val="24"/>
          <w:lang w:eastAsia="en-GB"/>
        </w:rPr>
        <w:t xml:space="preserve"> process.</w:t>
      </w:r>
      <w:r w:rsidR="00D05BAA" w:rsidRPr="004338BE">
        <w:rPr>
          <w:iCs/>
          <w:sz w:val="24"/>
          <w:szCs w:val="24"/>
          <w:lang w:eastAsia="en-GB"/>
        </w:rPr>
        <w:t xml:space="preserve"> </w:t>
      </w:r>
      <w:r w:rsidR="00532A68" w:rsidRPr="004338BE">
        <w:rPr>
          <w:iCs/>
          <w:sz w:val="24"/>
          <w:szCs w:val="24"/>
          <w:lang w:eastAsia="en-GB"/>
        </w:rPr>
        <w:t>Easy</w:t>
      </w:r>
      <w:r w:rsidR="00D05BAA" w:rsidRPr="004338BE">
        <w:rPr>
          <w:iCs/>
          <w:sz w:val="24"/>
          <w:szCs w:val="24"/>
          <w:lang w:eastAsia="en-GB"/>
        </w:rPr>
        <w:t xml:space="preserve"> </w:t>
      </w:r>
      <w:r w:rsidR="004C2131" w:rsidRPr="004338BE">
        <w:rPr>
          <w:iCs/>
          <w:sz w:val="24"/>
          <w:szCs w:val="24"/>
          <w:lang w:eastAsia="en-GB"/>
        </w:rPr>
        <w:t xml:space="preserve">dehydration of secondary alcohol intermediate, 2-hexanol, on </w:t>
      </w:r>
      <w:r w:rsidR="00532A68" w:rsidRPr="004338BE">
        <w:rPr>
          <w:iCs/>
          <w:sz w:val="24"/>
          <w:szCs w:val="24"/>
          <w:lang w:eastAsia="en-GB"/>
        </w:rPr>
        <w:t xml:space="preserve">strong </w:t>
      </w:r>
      <w:r w:rsidR="004C2131" w:rsidRPr="004338BE">
        <w:rPr>
          <w:iCs/>
          <w:sz w:val="24"/>
          <w:szCs w:val="24"/>
          <w:lang w:eastAsia="en-GB"/>
        </w:rPr>
        <w:t>proton sites</w:t>
      </w:r>
      <w:r w:rsidR="00872952" w:rsidRPr="004338BE">
        <w:rPr>
          <w:iCs/>
          <w:sz w:val="24"/>
          <w:szCs w:val="24"/>
          <w:lang w:eastAsia="en-GB"/>
        </w:rPr>
        <w:t xml:space="preserve"> of </w:t>
      </w:r>
      <w:proofErr w:type="spellStart"/>
      <w:r w:rsidR="00872952" w:rsidRPr="004338BE">
        <w:rPr>
          <w:iCs/>
          <w:sz w:val="24"/>
          <w:szCs w:val="24"/>
          <w:lang w:eastAsia="en-GB"/>
        </w:rPr>
        <w:t>CsPW</w:t>
      </w:r>
      <w:proofErr w:type="spellEnd"/>
      <w:r w:rsidR="004C2131" w:rsidRPr="004338BE">
        <w:rPr>
          <w:iCs/>
          <w:sz w:val="24"/>
          <w:szCs w:val="24"/>
          <w:lang w:eastAsia="en-GB"/>
        </w:rPr>
        <w:t xml:space="preserve"> is an effective driving force </w:t>
      </w:r>
      <w:r w:rsidR="003F3D56" w:rsidRPr="004338BE">
        <w:rPr>
          <w:iCs/>
          <w:sz w:val="24"/>
          <w:szCs w:val="24"/>
          <w:lang w:eastAsia="en-GB"/>
        </w:rPr>
        <w:t xml:space="preserve">of the HDO process by bifunctional metal-acid catalysis </w:t>
      </w:r>
      <w:r w:rsidR="004C2131" w:rsidRPr="004338BE">
        <w:rPr>
          <w:iCs/>
          <w:sz w:val="24"/>
          <w:szCs w:val="24"/>
          <w:lang w:eastAsia="en-GB"/>
        </w:rPr>
        <w:t xml:space="preserve">through kinetic coupling between </w:t>
      </w:r>
      <w:r w:rsidR="00872952" w:rsidRPr="004338BE">
        <w:rPr>
          <w:iCs/>
          <w:sz w:val="24"/>
          <w:szCs w:val="24"/>
          <w:lang w:eastAsia="en-GB"/>
        </w:rPr>
        <w:t xml:space="preserve">DMTHF </w:t>
      </w:r>
      <w:r w:rsidR="004C2131" w:rsidRPr="004338BE">
        <w:rPr>
          <w:iCs/>
          <w:sz w:val="24"/>
          <w:szCs w:val="24"/>
          <w:lang w:eastAsia="en-GB"/>
        </w:rPr>
        <w:t>hydrogenolysis</w:t>
      </w:r>
      <w:r w:rsidR="00301782" w:rsidRPr="004338BE">
        <w:rPr>
          <w:iCs/>
          <w:sz w:val="24"/>
          <w:szCs w:val="24"/>
          <w:lang w:eastAsia="en-GB"/>
        </w:rPr>
        <w:t xml:space="preserve"> and 2-hexanol dehydration steps</w:t>
      </w:r>
      <w:r w:rsidR="004C2131" w:rsidRPr="004338BE">
        <w:rPr>
          <w:iCs/>
          <w:sz w:val="24"/>
          <w:szCs w:val="24"/>
          <w:lang w:eastAsia="en-GB"/>
        </w:rPr>
        <w:t>.</w:t>
      </w:r>
    </w:p>
    <w:p w14:paraId="485B9CC6" w14:textId="77777777" w:rsidR="00870493" w:rsidRPr="004338BE" w:rsidRDefault="00870493" w:rsidP="00764F09">
      <w:pPr>
        <w:spacing w:line="480" w:lineRule="auto"/>
        <w:ind w:firstLine="720"/>
        <w:jc w:val="both"/>
      </w:pPr>
    </w:p>
    <w:p w14:paraId="23009B5A" w14:textId="44DE42FE" w:rsidR="00BF1730" w:rsidRPr="004338BE" w:rsidRDefault="00BF1730" w:rsidP="00A317F7">
      <w:pPr>
        <w:pStyle w:val="RSCB02ArticleText"/>
        <w:spacing w:line="480" w:lineRule="auto"/>
        <w:ind w:right="-45"/>
        <w:rPr>
          <w:sz w:val="24"/>
          <w:szCs w:val="24"/>
        </w:rPr>
      </w:pPr>
      <w:r w:rsidRPr="004338BE">
        <w:rPr>
          <w:b/>
          <w:sz w:val="24"/>
          <w:szCs w:val="24"/>
        </w:rPr>
        <w:t>Acknowledgement</w:t>
      </w:r>
    </w:p>
    <w:p w14:paraId="78EBA75D" w14:textId="6DC7AD72" w:rsidR="001E39AF" w:rsidRPr="004338BE" w:rsidRDefault="00BF1730" w:rsidP="004B7FCA">
      <w:pPr>
        <w:pStyle w:val="RSCB02ArticleText"/>
        <w:spacing w:line="480" w:lineRule="auto"/>
        <w:rPr>
          <w:sz w:val="24"/>
          <w:szCs w:val="24"/>
        </w:rPr>
      </w:pPr>
      <w:r w:rsidRPr="004338BE">
        <w:rPr>
          <w:sz w:val="24"/>
          <w:szCs w:val="24"/>
        </w:rPr>
        <w:t xml:space="preserve">We thank the Deanship of Scientific Research at King Faisal University, Saudi Arabia for the financial support under </w:t>
      </w:r>
      <w:proofErr w:type="spellStart"/>
      <w:r w:rsidRPr="004338BE">
        <w:rPr>
          <w:sz w:val="24"/>
          <w:szCs w:val="24"/>
        </w:rPr>
        <w:t>Nasher</w:t>
      </w:r>
      <w:proofErr w:type="spellEnd"/>
      <w:r w:rsidRPr="004338BE">
        <w:rPr>
          <w:sz w:val="24"/>
          <w:szCs w:val="24"/>
        </w:rPr>
        <w:t xml:space="preserve"> Track (Grant No. </w:t>
      </w:r>
      <w:r w:rsidR="001854E8" w:rsidRPr="004338BE">
        <w:rPr>
          <w:sz w:val="24"/>
          <w:szCs w:val="24"/>
        </w:rPr>
        <w:t>216105</w:t>
      </w:r>
      <w:r w:rsidRPr="004338BE">
        <w:rPr>
          <w:sz w:val="24"/>
          <w:szCs w:val="24"/>
        </w:rPr>
        <w:t>).</w:t>
      </w:r>
    </w:p>
    <w:p w14:paraId="2E89CD83" w14:textId="77777777" w:rsidR="00680F40" w:rsidRPr="004338BE" w:rsidRDefault="00680F40" w:rsidP="0070457A">
      <w:pPr>
        <w:pStyle w:val="RSCB04AHeadingSection"/>
        <w:spacing w:before="120" w:after="0" w:line="480" w:lineRule="auto"/>
        <w:ind w:right="-45"/>
      </w:pPr>
    </w:p>
    <w:p w14:paraId="5183DF47" w14:textId="4E6908F7" w:rsidR="0020599B" w:rsidRPr="004338BE" w:rsidRDefault="0020599B" w:rsidP="0070457A">
      <w:pPr>
        <w:pStyle w:val="RSCB04AHeadingSection"/>
        <w:spacing w:before="120" w:after="0" w:line="480" w:lineRule="auto"/>
        <w:ind w:right="-45"/>
      </w:pPr>
      <w:r w:rsidRPr="004338BE">
        <w:t>References</w:t>
      </w:r>
    </w:p>
    <w:p w14:paraId="1E81C95D" w14:textId="33572A1F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A. </w:t>
      </w:r>
      <w:proofErr w:type="spellStart"/>
      <w:r w:rsidRPr="004338BE">
        <w:rPr>
          <w:sz w:val="24"/>
          <w:szCs w:val="24"/>
        </w:rPr>
        <w:t>Corma</w:t>
      </w:r>
      <w:proofErr w:type="spellEnd"/>
      <w:r w:rsidRPr="004338BE">
        <w:rPr>
          <w:sz w:val="24"/>
          <w:szCs w:val="24"/>
        </w:rPr>
        <w:t xml:space="preserve">, S. </w:t>
      </w:r>
      <w:proofErr w:type="spellStart"/>
      <w:r w:rsidRPr="004338BE">
        <w:rPr>
          <w:sz w:val="24"/>
          <w:szCs w:val="24"/>
        </w:rPr>
        <w:t>Iborra</w:t>
      </w:r>
      <w:proofErr w:type="spellEnd"/>
      <w:r w:rsidRPr="004338BE">
        <w:rPr>
          <w:sz w:val="24"/>
          <w:szCs w:val="24"/>
        </w:rPr>
        <w:t xml:space="preserve">, A. </w:t>
      </w:r>
      <w:proofErr w:type="spellStart"/>
      <w:r w:rsidRPr="004338BE">
        <w:rPr>
          <w:sz w:val="24"/>
          <w:szCs w:val="24"/>
        </w:rPr>
        <w:t>Velty</w:t>
      </w:r>
      <w:proofErr w:type="spellEnd"/>
      <w:r w:rsidRPr="004338BE">
        <w:rPr>
          <w:sz w:val="24"/>
          <w:szCs w:val="24"/>
        </w:rPr>
        <w:t>, Chemical routes for the transformation of biomass into chemicals, Chem. Rev. 107 (2007) 2411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2502.</w:t>
      </w:r>
    </w:p>
    <w:p w14:paraId="7416AC87" w14:textId="051FFD81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lastRenderedPageBreak/>
        <w:t>Y. Román-</w:t>
      </w:r>
      <w:proofErr w:type="spellStart"/>
      <w:r w:rsidRPr="004338BE">
        <w:rPr>
          <w:sz w:val="24"/>
          <w:szCs w:val="24"/>
        </w:rPr>
        <w:t>Leshkov</w:t>
      </w:r>
      <w:proofErr w:type="spellEnd"/>
      <w:r w:rsidRPr="004338BE">
        <w:rPr>
          <w:sz w:val="24"/>
          <w:szCs w:val="24"/>
        </w:rPr>
        <w:t xml:space="preserve">, J.N. </w:t>
      </w:r>
      <w:proofErr w:type="spellStart"/>
      <w:r w:rsidRPr="004338BE">
        <w:rPr>
          <w:sz w:val="24"/>
          <w:szCs w:val="24"/>
        </w:rPr>
        <w:t>Chheda</w:t>
      </w:r>
      <w:proofErr w:type="spellEnd"/>
      <w:r w:rsidRPr="004338BE">
        <w:rPr>
          <w:sz w:val="24"/>
          <w:szCs w:val="24"/>
        </w:rPr>
        <w:t xml:space="preserve">, J.A. </w:t>
      </w:r>
      <w:proofErr w:type="spellStart"/>
      <w:r w:rsidRPr="004338BE">
        <w:rPr>
          <w:sz w:val="24"/>
          <w:szCs w:val="24"/>
        </w:rPr>
        <w:t>Dumesic</w:t>
      </w:r>
      <w:proofErr w:type="spellEnd"/>
      <w:r w:rsidRPr="004338BE">
        <w:rPr>
          <w:sz w:val="24"/>
          <w:szCs w:val="24"/>
        </w:rPr>
        <w:t xml:space="preserve">, Phase </w:t>
      </w:r>
      <w:r w:rsidR="00EE5045" w:rsidRPr="004338BE">
        <w:rPr>
          <w:sz w:val="24"/>
          <w:szCs w:val="24"/>
        </w:rPr>
        <w:t>m</w:t>
      </w:r>
      <w:r w:rsidRPr="004338BE">
        <w:rPr>
          <w:sz w:val="24"/>
          <w:szCs w:val="24"/>
        </w:rPr>
        <w:t xml:space="preserve">odifiers </w:t>
      </w:r>
      <w:r w:rsidR="00EE5045" w:rsidRPr="004338BE">
        <w:rPr>
          <w:sz w:val="24"/>
          <w:szCs w:val="24"/>
        </w:rPr>
        <w:t>p</w:t>
      </w:r>
      <w:r w:rsidRPr="004338BE">
        <w:rPr>
          <w:sz w:val="24"/>
          <w:szCs w:val="24"/>
        </w:rPr>
        <w:t xml:space="preserve">romote efficient production of </w:t>
      </w:r>
      <w:proofErr w:type="spellStart"/>
      <w:r w:rsidRPr="004338BE">
        <w:rPr>
          <w:sz w:val="24"/>
          <w:szCs w:val="24"/>
        </w:rPr>
        <w:t>hydroxymethylfurfural</w:t>
      </w:r>
      <w:proofErr w:type="spellEnd"/>
      <w:r w:rsidRPr="004338BE">
        <w:rPr>
          <w:sz w:val="24"/>
          <w:szCs w:val="24"/>
        </w:rPr>
        <w:t xml:space="preserve"> from fructose, Science 312 (2006) 1933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1937.</w:t>
      </w:r>
    </w:p>
    <w:p w14:paraId="24E5BCA4" w14:textId="1FEA103A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R.M. West, Z.Y. Liu, M. Peter, J.A. </w:t>
      </w:r>
      <w:proofErr w:type="spellStart"/>
      <w:r w:rsidRPr="004338BE">
        <w:rPr>
          <w:sz w:val="24"/>
          <w:szCs w:val="24"/>
        </w:rPr>
        <w:t>Dumesic</w:t>
      </w:r>
      <w:proofErr w:type="spellEnd"/>
      <w:r w:rsidRPr="004338BE">
        <w:rPr>
          <w:sz w:val="24"/>
          <w:szCs w:val="24"/>
        </w:rPr>
        <w:t xml:space="preserve">, Liquid alkanes with targeted molecular weights from biomass-derived carbohydrates, </w:t>
      </w:r>
      <w:proofErr w:type="spellStart"/>
      <w:r w:rsidRPr="004338BE">
        <w:rPr>
          <w:sz w:val="24"/>
          <w:szCs w:val="24"/>
        </w:rPr>
        <w:t>ChemSusChem</w:t>
      </w:r>
      <w:proofErr w:type="spellEnd"/>
      <w:r w:rsidRPr="004338BE">
        <w:rPr>
          <w:sz w:val="24"/>
          <w:szCs w:val="24"/>
        </w:rPr>
        <w:t xml:space="preserve"> 1 (2008) 417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424.</w:t>
      </w:r>
    </w:p>
    <w:p w14:paraId="1C82B453" w14:textId="6B613003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G.W. Huber, J.N. </w:t>
      </w:r>
      <w:proofErr w:type="spellStart"/>
      <w:r w:rsidRPr="004338BE">
        <w:rPr>
          <w:sz w:val="24"/>
          <w:szCs w:val="24"/>
        </w:rPr>
        <w:t>Chheda</w:t>
      </w:r>
      <w:proofErr w:type="spellEnd"/>
      <w:r w:rsidRPr="004338BE">
        <w:rPr>
          <w:sz w:val="24"/>
          <w:szCs w:val="24"/>
        </w:rPr>
        <w:t xml:space="preserve">, C.J. Barrett, J.A. </w:t>
      </w:r>
      <w:proofErr w:type="spellStart"/>
      <w:r w:rsidRPr="004338BE">
        <w:rPr>
          <w:sz w:val="24"/>
          <w:szCs w:val="24"/>
        </w:rPr>
        <w:t>Dumesic</w:t>
      </w:r>
      <w:proofErr w:type="spellEnd"/>
      <w:r w:rsidRPr="004338BE">
        <w:rPr>
          <w:sz w:val="24"/>
          <w:szCs w:val="24"/>
        </w:rPr>
        <w:t>, Production of liquid alkanes by aqueous-phase processing of biomass-derived carbohydrates, Science 308 (2005) 1446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1450.</w:t>
      </w:r>
    </w:p>
    <w:p w14:paraId="5D4C9856" w14:textId="4B47A2F6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Z. J. </w:t>
      </w:r>
      <w:proofErr w:type="spellStart"/>
      <w:r w:rsidRPr="004338BE">
        <w:rPr>
          <w:sz w:val="24"/>
          <w:szCs w:val="24"/>
        </w:rPr>
        <w:t>Brentzel</w:t>
      </w:r>
      <w:proofErr w:type="spellEnd"/>
      <w:r w:rsidRPr="004338BE">
        <w:rPr>
          <w:sz w:val="24"/>
          <w:szCs w:val="24"/>
        </w:rPr>
        <w:t xml:space="preserve">, K.J. Barnett, K. Huang, C.T. </w:t>
      </w:r>
      <w:proofErr w:type="spellStart"/>
      <w:r w:rsidRPr="004338BE">
        <w:rPr>
          <w:sz w:val="24"/>
          <w:szCs w:val="24"/>
        </w:rPr>
        <w:t>Maravelias</w:t>
      </w:r>
      <w:proofErr w:type="spellEnd"/>
      <w:r w:rsidRPr="004338BE">
        <w:rPr>
          <w:sz w:val="24"/>
          <w:szCs w:val="24"/>
        </w:rPr>
        <w:t xml:space="preserve">, J.A. </w:t>
      </w:r>
      <w:proofErr w:type="spellStart"/>
      <w:r w:rsidRPr="004338BE">
        <w:rPr>
          <w:sz w:val="24"/>
          <w:szCs w:val="24"/>
        </w:rPr>
        <w:t>Dumesic</w:t>
      </w:r>
      <w:proofErr w:type="spellEnd"/>
      <w:r w:rsidRPr="004338BE">
        <w:rPr>
          <w:sz w:val="24"/>
          <w:szCs w:val="24"/>
        </w:rPr>
        <w:t xml:space="preserve">, G.W. Huber, Conversion of furfural to 1,5-pentanediol: process synthesis and analysis, </w:t>
      </w:r>
      <w:proofErr w:type="spellStart"/>
      <w:r w:rsidRPr="004338BE">
        <w:rPr>
          <w:sz w:val="24"/>
          <w:szCs w:val="24"/>
        </w:rPr>
        <w:t>ChemSusChem</w:t>
      </w:r>
      <w:proofErr w:type="spellEnd"/>
      <w:r w:rsidRPr="004338BE">
        <w:rPr>
          <w:sz w:val="24"/>
          <w:szCs w:val="24"/>
        </w:rPr>
        <w:t xml:space="preserve"> 10 (2017) 1351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1355.</w:t>
      </w:r>
    </w:p>
    <w:p w14:paraId="5E7D0052" w14:textId="3A7C8089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Y.L. Louie, J. Tang, A.M.L. Hell, A.T. Bell, Kinetics of hydrogenation and hydrogenolysis of 2,5-dimethylfuran over noble metals catalysts under mild conditions, Appl. </w:t>
      </w:r>
      <w:proofErr w:type="spellStart"/>
      <w:r w:rsidRPr="004338BE">
        <w:rPr>
          <w:sz w:val="24"/>
          <w:szCs w:val="24"/>
        </w:rPr>
        <w:t>Catal</w:t>
      </w:r>
      <w:proofErr w:type="spellEnd"/>
      <w:r w:rsidRPr="004338BE">
        <w:rPr>
          <w:sz w:val="24"/>
          <w:szCs w:val="24"/>
        </w:rPr>
        <w:t>. B 202 (2017) 557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568.</w:t>
      </w:r>
    </w:p>
    <w:p w14:paraId="298C1A62" w14:textId="4218C1C4" w:rsidR="00E87CFE" w:rsidRPr="004338BE" w:rsidRDefault="00E87CFE" w:rsidP="00060957">
      <w:pPr>
        <w:pStyle w:val="ListParagraph"/>
        <w:numPr>
          <w:ilvl w:val="0"/>
          <w:numId w:val="2"/>
        </w:numPr>
        <w:spacing w:after="0" w:line="480" w:lineRule="auto"/>
        <w:ind w:left="567" w:hanging="567"/>
        <w:rPr>
          <w:noProof/>
          <w:w w:val="105"/>
        </w:rPr>
      </w:pPr>
      <w:r w:rsidRPr="004338BE">
        <w:rPr>
          <w:noProof/>
          <w:w w:val="105"/>
        </w:rPr>
        <w:t>V. Vorotnikov, D.G. Vlachos, Group additivity and modified linear scaling relations for estimating surface thermochemistry on transition metal surfaces: Application to furanics, J. Phys. Chem. C 119 (2015) 10417</w:t>
      </w:r>
      <w:r w:rsidR="008E5B0A" w:rsidRPr="004338BE">
        <w:rPr>
          <w:noProof/>
          <w:w w:val="105"/>
        </w:rPr>
        <w:t>–</w:t>
      </w:r>
      <w:r w:rsidRPr="004338BE">
        <w:rPr>
          <w:noProof/>
          <w:w w:val="105"/>
        </w:rPr>
        <w:t>10426.</w:t>
      </w:r>
    </w:p>
    <w:p w14:paraId="0AD52618" w14:textId="671B68EF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J. Kang, A. </w:t>
      </w:r>
      <w:proofErr w:type="spellStart"/>
      <w:r w:rsidRPr="004338BE">
        <w:rPr>
          <w:sz w:val="24"/>
          <w:szCs w:val="24"/>
        </w:rPr>
        <w:t>Vonderheide</w:t>
      </w:r>
      <w:proofErr w:type="spellEnd"/>
      <w:r w:rsidRPr="004338BE">
        <w:rPr>
          <w:sz w:val="24"/>
          <w:szCs w:val="24"/>
        </w:rPr>
        <w:t xml:space="preserve">, V.V. </w:t>
      </w:r>
      <w:proofErr w:type="spellStart"/>
      <w:r w:rsidRPr="004338BE">
        <w:rPr>
          <w:sz w:val="24"/>
          <w:szCs w:val="24"/>
        </w:rPr>
        <w:t>Guliants</w:t>
      </w:r>
      <w:proofErr w:type="spellEnd"/>
      <w:r w:rsidRPr="004338BE">
        <w:rPr>
          <w:sz w:val="24"/>
          <w:szCs w:val="24"/>
        </w:rPr>
        <w:t>, Deuterium-</w:t>
      </w:r>
      <w:proofErr w:type="spellStart"/>
      <w:r w:rsidRPr="004338BE">
        <w:rPr>
          <w:sz w:val="24"/>
          <w:szCs w:val="24"/>
        </w:rPr>
        <w:t>labeling</w:t>
      </w:r>
      <w:proofErr w:type="spellEnd"/>
      <w:r w:rsidRPr="004338BE">
        <w:rPr>
          <w:sz w:val="24"/>
          <w:szCs w:val="24"/>
        </w:rPr>
        <w:t xml:space="preserve"> study of the hydrogenation of 2-methylfuran and 2,5-dimethylfuran over carbon-supported noble metal catalysts, </w:t>
      </w:r>
      <w:proofErr w:type="spellStart"/>
      <w:r w:rsidRPr="004338BE">
        <w:rPr>
          <w:sz w:val="24"/>
          <w:szCs w:val="24"/>
        </w:rPr>
        <w:t>ChemSusChem</w:t>
      </w:r>
      <w:proofErr w:type="spellEnd"/>
      <w:r w:rsidRPr="004338BE">
        <w:rPr>
          <w:sz w:val="24"/>
          <w:szCs w:val="24"/>
        </w:rPr>
        <w:t xml:space="preserve"> 8 (2015) 3044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3047.</w:t>
      </w:r>
    </w:p>
    <w:p w14:paraId="2E2315ED" w14:textId="0313D39B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R.C. </w:t>
      </w:r>
      <w:proofErr w:type="spellStart"/>
      <w:r w:rsidRPr="004338BE">
        <w:rPr>
          <w:sz w:val="24"/>
          <w:szCs w:val="24"/>
        </w:rPr>
        <w:t>Runnebaum</w:t>
      </w:r>
      <w:proofErr w:type="spellEnd"/>
      <w:r w:rsidRPr="004338BE">
        <w:rPr>
          <w:sz w:val="24"/>
          <w:szCs w:val="24"/>
        </w:rPr>
        <w:t xml:space="preserve">, T. </w:t>
      </w:r>
      <w:proofErr w:type="spellStart"/>
      <w:r w:rsidRPr="004338BE">
        <w:rPr>
          <w:sz w:val="24"/>
          <w:szCs w:val="24"/>
        </w:rPr>
        <w:t>Nimmanwudipong</w:t>
      </w:r>
      <w:proofErr w:type="spellEnd"/>
      <w:r w:rsidRPr="004338BE">
        <w:rPr>
          <w:sz w:val="24"/>
          <w:szCs w:val="24"/>
        </w:rPr>
        <w:t xml:space="preserve">, J. Doan, D.E. Block, B.C. Gates, Catalytic conversion of furan to gasoline-range aliphatic hydrocarbons via ring opening and </w:t>
      </w:r>
      <w:proofErr w:type="spellStart"/>
      <w:r w:rsidRPr="004338BE">
        <w:rPr>
          <w:sz w:val="24"/>
          <w:szCs w:val="24"/>
        </w:rPr>
        <w:t>decarbonylation</w:t>
      </w:r>
      <w:proofErr w:type="spellEnd"/>
      <w:r w:rsidRPr="004338BE">
        <w:rPr>
          <w:sz w:val="24"/>
          <w:szCs w:val="24"/>
        </w:rPr>
        <w:t xml:space="preserve"> reactions </w:t>
      </w:r>
      <w:proofErr w:type="spellStart"/>
      <w:r w:rsidRPr="004338BE">
        <w:rPr>
          <w:sz w:val="24"/>
          <w:szCs w:val="24"/>
        </w:rPr>
        <w:t>catalyzed</w:t>
      </w:r>
      <w:proofErr w:type="spellEnd"/>
      <w:r w:rsidRPr="004338BE">
        <w:rPr>
          <w:sz w:val="24"/>
          <w:szCs w:val="24"/>
        </w:rPr>
        <w:t xml:space="preserve"> by Pt/γ-Al</w:t>
      </w:r>
      <w:r w:rsidRPr="004338BE">
        <w:rPr>
          <w:sz w:val="24"/>
          <w:szCs w:val="24"/>
          <w:vertAlign w:val="subscript"/>
        </w:rPr>
        <w:t>2</w:t>
      </w:r>
      <w:r w:rsidRPr="004338BE">
        <w:rPr>
          <w:sz w:val="24"/>
          <w:szCs w:val="24"/>
        </w:rPr>
        <w:t>O</w:t>
      </w:r>
      <w:r w:rsidRPr="004338BE">
        <w:rPr>
          <w:sz w:val="24"/>
          <w:szCs w:val="24"/>
          <w:vertAlign w:val="subscript"/>
        </w:rPr>
        <w:t>3</w:t>
      </w:r>
      <w:r w:rsidRPr="004338BE">
        <w:rPr>
          <w:sz w:val="24"/>
          <w:szCs w:val="24"/>
        </w:rPr>
        <w:t xml:space="preserve">, </w:t>
      </w:r>
      <w:proofErr w:type="spellStart"/>
      <w:r w:rsidRPr="004338BE">
        <w:rPr>
          <w:sz w:val="24"/>
          <w:szCs w:val="24"/>
        </w:rPr>
        <w:t>Catal</w:t>
      </w:r>
      <w:proofErr w:type="spellEnd"/>
      <w:r w:rsidRPr="004338BE">
        <w:rPr>
          <w:sz w:val="24"/>
          <w:szCs w:val="24"/>
        </w:rPr>
        <w:t>. Lett. 142 (2012) 664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666.</w:t>
      </w:r>
    </w:p>
    <w:p w14:paraId="130CE936" w14:textId="4886C021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 J. Kang, X. Liang, V.V. </w:t>
      </w:r>
      <w:proofErr w:type="spellStart"/>
      <w:r w:rsidRPr="004338BE">
        <w:rPr>
          <w:sz w:val="24"/>
          <w:szCs w:val="24"/>
        </w:rPr>
        <w:t>Guliants</w:t>
      </w:r>
      <w:proofErr w:type="spellEnd"/>
      <w:r w:rsidRPr="004338BE">
        <w:rPr>
          <w:sz w:val="24"/>
          <w:szCs w:val="24"/>
        </w:rPr>
        <w:t xml:space="preserve">, Selective hydrogenation of 2-methylfuran and 2,5-dimethylfuran over atomic layer deposited platinum catalysts on multiwalled carbon nanotube and alumina supports, </w:t>
      </w:r>
      <w:proofErr w:type="spellStart"/>
      <w:r w:rsidRPr="004338BE">
        <w:rPr>
          <w:sz w:val="24"/>
          <w:szCs w:val="24"/>
        </w:rPr>
        <w:t>ChemCatChem</w:t>
      </w:r>
      <w:proofErr w:type="spellEnd"/>
      <w:r w:rsidRPr="004338BE">
        <w:rPr>
          <w:sz w:val="24"/>
          <w:szCs w:val="24"/>
        </w:rPr>
        <w:t xml:space="preserve"> 9 (2017) 282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286.</w:t>
      </w:r>
    </w:p>
    <w:p w14:paraId="715B745C" w14:textId="453D7410" w:rsidR="00E87CFE" w:rsidRPr="004338BE" w:rsidRDefault="00E87CF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lastRenderedPageBreak/>
        <w:t xml:space="preserve">A. </w:t>
      </w:r>
      <w:proofErr w:type="spellStart"/>
      <w:r w:rsidRPr="004338BE">
        <w:rPr>
          <w:sz w:val="24"/>
          <w:szCs w:val="24"/>
        </w:rPr>
        <w:t>Corma</w:t>
      </w:r>
      <w:proofErr w:type="spellEnd"/>
      <w:r w:rsidRPr="004338BE">
        <w:rPr>
          <w:sz w:val="24"/>
          <w:szCs w:val="24"/>
        </w:rPr>
        <w:t xml:space="preserve">, O. de la Torre, M. Renz, N. </w:t>
      </w:r>
      <w:proofErr w:type="spellStart"/>
      <w:r w:rsidRPr="004338BE">
        <w:rPr>
          <w:sz w:val="24"/>
          <w:szCs w:val="24"/>
        </w:rPr>
        <w:t>Villandier</w:t>
      </w:r>
      <w:proofErr w:type="spellEnd"/>
      <w:r w:rsidRPr="004338BE">
        <w:rPr>
          <w:sz w:val="24"/>
          <w:szCs w:val="24"/>
        </w:rPr>
        <w:t xml:space="preserve">, Production of high-quality diesel from biomass waste products, </w:t>
      </w:r>
      <w:proofErr w:type="spellStart"/>
      <w:r w:rsidRPr="004338BE">
        <w:rPr>
          <w:sz w:val="24"/>
          <w:szCs w:val="24"/>
        </w:rPr>
        <w:t>Angew</w:t>
      </w:r>
      <w:proofErr w:type="spellEnd"/>
      <w:r w:rsidRPr="004338BE">
        <w:rPr>
          <w:sz w:val="24"/>
          <w:szCs w:val="24"/>
        </w:rPr>
        <w:t>. Chem. Int. Ed. 50 (2011) 2375</w:t>
      </w:r>
      <w:r w:rsidR="008E5B0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2378.</w:t>
      </w:r>
    </w:p>
    <w:p w14:paraId="717D80AC" w14:textId="3809A182" w:rsidR="00E87CFE" w:rsidRPr="004338BE" w:rsidRDefault="00E87CFE" w:rsidP="00060957">
      <w:pPr>
        <w:pStyle w:val="ListParagraph"/>
        <w:numPr>
          <w:ilvl w:val="0"/>
          <w:numId w:val="2"/>
        </w:numPr>
        <w:spacing w:after="0" w:line="480" w:lineRule="auto"/>
        <w:ind w:left="567" w:hanging="567"/>
        <w:rPr>
          <w:w w:val="105"/>
        </w:rPr>
      </w:pPr>
      <w:r w:rsidRPr="004338BE">
        <w:rPr>
          <w:w w:val="105"/>
        </w:rPr>
        <w:t>J. Yang, S. Li, L. Zhang, X. Liu, J. Wang, X. Pan, N. Li, A. Wang, Y. Cong, X. Wang, T. Zhang, Hydrodeoxygenation of furans over Pd-</w:t>
      </w:r>
      <w:proofErr w:type="spellStart"/>
      <w:r w:rsidRPr="004338BE">
        <w:rPr>
          <w:w w:val="105"/>
        </w:rPr>
        <w:t>FeOx</w:t>
      </w:r>
      <w:proofErr w:type="spellEnd"/>
      <w:r w:rsidRPr="004338BE">
        <w:rPr>
          <w:w w:val="105"/>
        </w:rPr>
        <w:t xml:space="preserve">/SiO2 catalyst under atmospheric pressure, Appl. </w:t>
      </w:r>
      <w:proofErr w:type="spellStart"/>
      <w:r w:rsidRPr="004338BE">
        <w:rPr>
          <w:w w:val="105"/>
        </w:rPr>
        <w:t>Catal</w:t>
      </w:r>
      <w:proofErr w:type="spellEnd"/>
      <w:r w:rsidRPr="004338BE">
        <w:rPr>
          <w:w w:val="105"/>
        </w:rPr>
        <w:t>. B 201 (2017) 266</w:t>
      </w:r>
      <w:r w:rsidR="00043C3A" w:rsidRPr="004338BE">
        <w:rPr>
          <w:w w:val="105"/>
        </w:rPr>
        <w:t>–</w:t>
      </w:r>
      <w:r w:rsidRPr="004338BE">
        <w:rPr>
          <w:w w:val="105"/>
        </w:rPr>
        <w:t>277.</w:t>
      </w:r>
    </w:p>
    <w:p w14:paraId="3D7565FF" w14:textId="7C27410D" w:rsidR="00E53320" w:rsidRPr="004338BE" w:rsidRDefault="00E53320" w:rsidP="00060957">
      <w:pPr>
        <w:pStyle w:val="RSCR02References"/>
        <w:numPr>
          <w:ilvl w:val="0"/>
          <w:numId w:val="2"/>
        </w:numPr>
        <w:spacing w:line="480" w:lineRule="auto"/>
        <w:ind w:left="567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H. </w:t>
      </w:r>
      <w:proofErr w:type="spellStart"/>
      <w:r w:rsidRPr="004338BE">
        <w:rPr>
          <w:sz w:val="24"/>
          <w:szCs w:val="24"/>
        </w:rPr>
        <w:t>Goto</w:t>
      </w:r>
      <w:proofErr w:type="spellEnd"/>
      <w:r w:rsidRPr="004338BE">
        <w:rPr>
          <w:sz w:val="24"/>
          <w:szCs w:val="24"/>
        </w:rPr>
        <w:t xml:space="preserve">, A. </w:t>
      </w:r>
      <w:proofErr w:type="spellStart"/>
      <w:r w:rsidRPr="004338BE">
        <w:rPr>
          <w:sz w:val="24"/>
          <w:szCs w:val="24"/>
        </w:rPr>
        <w:t>Takagaki</w:t>
      </w:r>
      <w:proofErr w:type="spellEnd"/>
      <w:r w:rsidRPr="004338BE">
        <w:rPr>
          <w:sz w:val="24"/>
          <w:szCs w:val="24"/>
        </w:rPr>
        <w:t xml:space="preserve">, R. Kikuchi, S.T. </w:t>
      </w:r>
      <w:proofErr w:type="spellStart"/>
      <w:r w:rsidRPr="004338BE">
        <w:rPr>
          <w:sz w:val="24"/>
          <w:szCs w:val="24"/>
        </w:rPr>
        <w:t>Oyama</w:t>
      </w:r>
      <w:proofErr w:type="spellEnd"/>
      <w:r w:rsidRPr="004338BE">
        <w:rPr>
          <w:sz w:val="24"/>
          <w:szCs w:val="24"/>
        </w:rPr>
        <w:t>,</w:t>
      </w:r>
      <w:r w:rsidRPr="004338BE">
        <w:t xml:space="preserve"> </w:t>
      </w:r>
      <w:r w:rsidRPr="004338BE">
        <w:rPr>
          <w:sz w:val="24"/>
          <w:szCs w:val="24"/>
        </w:rPr>
        <w:t xml:space="preserve">Hydrogenation of 2,5-dimethylfuran on hexagonal-boron nitride- and silica-supported platinum catalysts, Appl. </w:t>
      </w:r>
      <w:proofErr w:type="spellStart"/>
      <w:r w:rsidRPr="004338BE">
        <w:rPr>
          <w:sz w:val="24"/>
          <w:szCs w:val="24"/>
        </w:rPr>
        <w:t>Catal</w:t>
      </w:r>
      <w:proofErr w:type="spellEnd"/>
      <w:r w:rsidRPr="004338BE">
        <w:rPr>
          <w:sz w:val="24"/>
          <w:szCs w:val="24"/>
        </w:rPr>
        <w:t>. A 548 (2017) 122–127.</w:t>
      </w:r>
    </w:p>
    <w:p w14:paraId="08F79B65" w14:textId="0AB03729" w:rsidR="002D1E04" w:rsidRPr="004338BE" w:rsidRDefault="003E22B3" w:rsidP="00060957">
      <w:pPr>
        <w:pStyle w:val="RSCR02References"/>
        <w:numPr>
          <w:ilvl w:val="0"/>
          <w:numId w:val="2"/>
        </w:numPr>
        <w:spacing w:line="480" w:lineRule="auto"/>
        <w:ind w:left="567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F. </w:t>
      </w:r>
      <w:proofErr w:type="spellStart"/>
      <w:r w:rsidRPr="004338BE">
        <w:rPr>
          <w:sz w:val="24"/>
          <w:szCs w:val="24"/>
        </w:rPr>
        <w:t>Xue</w:t>
      </w:r>
      <w:proofErr w:type="spellEnd"/>
      <w:r w:rsidRPr="004338BE">
        <w:rPr>
          <w:sz w:val="24"/>
          <w:szCs w:val="24"/>
        </w:rPr>
        <w:t xml:space="preserve">, D. Ma, T. Tong, X. Liu, Y. Hu, Y. Guo, Y. Wang, Contribution of different </w:t>
      </w:r>
      <w:proofErr w:type="spellStart"/>
      <w:r w:rsidRPr="004338BE">
        <w:rPr>
          <w:sz w:val="24"/>
          <w:szCs w:val="24"/>
        </w:rPr>
        <w:t>NbOx</w:t>
      </w:r>
      <w:proofErr w:type="spellEnd"/>
      <w:r w:rsidRPr="004338BE">
        <w:rPr>
          <w:sz w:val="24"/>
          <w:szCs w:val="24"/>
        </w:rPr>
        <w:t xml:space="preserve"> species in the hydrodeoxygenation of 2,5-dimethyltetrahydrofuran to hexane, Sustainable Chem. Eng. 6 (2018) 13107−13113.</w:t>
      </w:r>
    </w:p>
    <w:p w14:paraId="437F9ACF" w14:textId="2FE27A12" w:rsidR="008E1C84" w:rsidRPr="004338BE" w:rsidRDefault="008E1C84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H. </w:t>
      </w:r>
      <w:proofErr w:type="spellStart"/>
      <w:r w:rsidRPr="004338BE">
        <w:rPr>
          <w:sz w:val="24"/>
          <w:szCs w:val="24"/>
        </w:rPr>
        <w:t>Althikrallah</w:t>
      </w:r>
      <w:proofErr w:type="spellEnd"/>
      <w:r w:rsidRPr="004338BE">
        <w:rPr>
          <w:sz w:val="24"/>
          <w:szCs w:val="24"/>
        </w:rPr>
        <w:t>, C. Kunstmann-Olsen, E.F. Kozhevnikova, I.V. Kozhevnikov,</w:t>
      </w:r>
      <w:r w:rsidR="00C32421" w:rsidRPr="004338BE">
        <w:t xml:space="preserve"> </w:t>
      </w:r>
      <w:r w:rsidR="008A550E" w:rsidRPr="004338BE">
        <w:rPr>
          <w:sz w:val="24"/>
          <w:szCs w:val="24"/>
        </w:rPr>
        <w:t xml:space="preserve">Turnover rate of metal-catalysed </w:t>
      </w:r>
      <w:proofErr w:type="spellStart"/>
      <w:r w:rsidR="008A550E" w:rsidRPr="004338BE">
        <w:rPr>
          <w:sz w:val="24"/>
          <w:szCs w:val="24"/>
        </w:rPr>
        <w:t>hydroconversion</w:t>
      </w:r>
      <w:proofErr w:type="spellEnd"/>
      <w:r w:rsidR="008A550E" w:rsidRPr="004338BE">
        <w:rPr>
          <w:sz w:val="24"/>
          <w:szCs w:val="24"/>
        </w:rPr>
        <w:t xml:space="preserve"> of 2,5-dimethylfuran: Gas-phase versus liquid-phase</w:t>
      </w:r>
      <w:r w:rsidR="00C32421" w:rsidRPr="004338BE">
        <w:rPr>
          <w:sz w:val="24"/>
          <w:szCs w:val="24"/>
        </w:rPr>
        <w:t>,</w:t>
      </w:r>
      <w:r w:rsidRPr="004338BE">
        <w:rPr>
          <w:sz w:val="24"/>
          <w:szCs w:val="24"/>
        </w:rPr>
        <w:t xml:space="preserve"> Catal</w:t>
      </w:r>
      <w:r w:rsidR="00C136B3" w:rsidRPr="004338BE">
        <w:rPr>
          <w:sz w:val="24"/>
          <w:szCs w:val="24"/>
        </w:rPr>
        <w:t>ysts</w:t>
      </w:r>
      <w:r w:rsidR="00EF7EFB" w:rsidRPr="004338BE">
        <w:rPr>
          <w:sz w:val="24"/>
          <w:szCs w:val="24"/>
        </w:rPr>
        <w:t xml:space="preserve"> 10 (2020) 1171.</w:t>
      </w:r>
    </w:p>
    <w:p w14:paraId="2EF0A0CB" w14:textId="52819CF2" w:rsidR="000164CA" w:rsidRPr="004338BE" w:rsidRDefault="000164CA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D.M. Alonso, J.Q. Bond, J.A. </w:t>
      </w:r>
      <w:proofErr w:type="spellStart"/>
      <w:r w:rsidRPr="004338BE">
        <w:rPr>
          <w:sz w:val="24"/>
          <w:szCs w:val="24"/>
        </w:rPr>
        <w:t>Dumesic</w:t>
      </w:r>
      <w:proofErr w:type="spellEnd"/>
      <w:r w:rsidRPr="004338BE">
        <w:rPr>
          <w:sz w:val="24"/>
          <w:szCs w:val="24"/>
        </w:rPr>
        <w:t>, Catalytic conversion of biomass to biofuels, Green Chem. 12 (2010) 1493–1513.</w:t>
      </w:r>
    </w:p>
    <w:p w14:paraId="516ED6F1" w14:textId="2790BBDC" w:rsidR="00611007" w:rsidRPr="004338BE" w:rsidRDefault="0037023D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>J. Zhong, J. Pérez-Ramírez, N. Yan, Biomass valorisation over polyoxometalate-based catalysts, Green Chem. 23 (2021)</w:t>
      </w:r>
      <w:r w:rsidR="00C369E2" w:rsidRPr="004338BE">
        <w:rPr>
          <w:sz w:val="24"/>
          <w:szCs w:val="24"/>
        </w:rPr>
        <w:t xml:space="preserve"> </w:t>
      </w:r>
      <w:r w:rsidRPr="004338BE">
        <w:rPr>
          <w:sz w:val="24"/>
          <w:szCs w:val="24"/>
        </w:rPr>
        <w:t>18–36.</w:t>
      </w:r>
    </w:p>
    <w:p w14:paraId="558DFC84" w14:textId="7B715803" w:rsidR="00D6453D" w:rsidRPr="004338BE" w:rsidRDefault="00D2121B" w:rsidP="00060957">
      <w:pPr>
        <w:pStyle w:val="TFReferencesSection"/>
        <w:numPr>
          <w:ilvl w:val="0"/>
          <w:numId w:val="2"/>
        </w:numPr>
        <w:spacing w:after="0"/>
        <w:ind w:left="567" w:hanging="567"/>
        <w:rPr>
          <w:rFonts w:ascii="Times New Roman" w:eastAsiaTheme="minorHAnsi" w:hAnsi="Times New Roman"/>
          <w:w w:val="105"/>
          <w:szCs w:val="24"/>
          <w:lang w:val="en-GB"/>
        </w:rPr>
      </w:pPr>
      <w:r w:rsidRPr="004338BE">
        <w:rPr>
          <w:rFonts w:ascii="Times New Roman" w:eastAsiaTheme="minorHAnsi" w:hAnsi="Times New Roman"/>
          <w:w w:val="105"/>
          <w:szCs w:val="24"/>
          <w:lang w:val="en-GB"/>
        </w:rPr>
        <w:t xml:space="preserve">S. </w:t>
      </w:r>
      <w:proofErr w:type="spellStart"/>
      <w:r w:rsidRPr="004338BE">
        <w:rPr>
          <w:rFonts w:ascii="Times New Roman" w:eastAsiaTheme="minorHAnsi" w:hAnsi="Times New Roman"/>
          <w:w w:val="105"/>
          <w:szCs w:val="24"/>
          <w:lang w:val="en-GB"/>
        </w:rPr>
        <w:t>Itagaki</w:t>
      </w:r>
      <w:proofErr w:type="spellEnd"/>
      <w:r w:rsidRPr="004338BE">
        <w:rPr>
          <w:rFonts w:ascii="Times New Roman" w:eastAsiaTheme="minorHAnsi" w:hAnsi="Times New Roman"/>
          <w:w w:val="105"/>
          <w:szCs w:val="24"/>
          <w:lang w:val="en-GB"/>
        </w:rPr>
        <w:t xml:space="preserve">, N. </w:t>
      </w:r>
      <w:proofErr w:type="spellStart"/>
      <w:r w:rsidRPr="004338BE">
        <w:rPr>
          <w:rFonts w:ascii="Times New Roman" w:eastAsiaTheme="minorHAnsi" w:hAnsi="Times New Roman"/>
          <w:w w:val="105"/>
          <w:szCs w:val="24"/>
          <w:lang w:val="en-GB"/>
        </w:rPr>
        <w:t>Matsuhashi</w:t>
      </w:r>
      <w:proofErr w:type="spellEnd"/>
      <w:r w:rsidRPr="004338BE">
        <w:rPr>
          <w:rFonts w:ascii="Times New Roman" w:eastAsiaTheme="minorHAnsi" w:hAnsi="Times New Roman"/>
          <w:w w:val="105"/>
          <w:szCs w:val="24"/>
          <w:lang w:val="en-GB"/>
        </w:rPr>
        <w:t>, K. Taniguchi, K. Yamaguchi, N. Mizuno, Efficient hydrodeoxygenation of ketones, phenols, and ethers promoted by platinum–</w:t>
      </w:r>
      <w:proofErr w:type="spellStart"/>
      <w:r w:rsidRPr="004338BE">
        <w:rPr>
          <w:rFonts w:ascii="Times New Roman" w:eastAsiaTheme="minorHAnsi" w:hAnsi="Times New Roman"/>
          <w:w w:val="105"/>
          <w:szCs w:val="24"/>
          <w:lang w:val="en-GB"/>
        </w:rPr>
        <w:t>heteropolyacid</w:t>
      </w:r>
      <w:proofErr w:type="spellEnd"/>
      <w:r w:rsidRPr="004338BE">
        <w:rPr>
          <w:rFonts w:ascii="Times New Roman" w:eastAsiaTheme="minorHAnsi" w:hAnsi="Times New Roman"/>
          <w:w w:val="105"/>
          <w:szCs w:val="24"/>
          <w:lang w:val="en-GB"/>
        </w:rPr>
        <w:t xml:space="preserve"> bifunctional catalysts, Chem. Lett. 43 (2014) 1086</w:t>
      </w:r>
      <w:r w:rsidR="00043C3A" w:rsidRPr="004338BE">
        <w:rPr>
          <w:rFonts w:ascii="Times New Roman" w:eastAsiaTheme="minorHAnsi" w:hAnsi="Times New Roman"/>
          <w:w w:val="105"/>
          <w:szCs w:val="24"/>
          <w:lang w:val="en-GB"/>
        </w:rPr>
        <w:t>–</w:t>
      </w:r>
      <w:r w:rsidRPr="004338BE">
        <w:rPr>
          <w:rFonts w:ascii="Times New Roman" w:eastAsiaTheme="minorHAnsi" w:hAnsi="Times New Roman"/>
          <w:w w:val="105"/>
          <w:szCs w:val="24"/>
          <w:lang w:val="en-GB"/>
        </w:rPr>
        <w:t>1088.</w:t>
      </w:r>
    </w:p>
    <w:p w14:paraId="1FC6E1DC" w14:textId="7F963869" w:rsidR="008D2D25" w:rsidRPr="004338BE" w:rsidRDefault="008D2D25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K. Alharbi, E.F. Kozhevnikova, I.V. Kozhevnikov, Hydrogenation of ketones over bifunctional Pt-heteropoly acid catalyst in the gas phase, Appl. </w:t>
      </w:r>
      <w:proofErr w:type="spellStart"/>
      <w:r w:rsidRPr="004338BE">
        <w:rPr>
          <w:sz w:val="24"/>
          <w:szCs w:val="24"/>
        </w:rPr>
        <w:t>Catal</w:t>
      </w:r>
      <w:proofErr w:type="spellEnd"/>
      <w:r w:rsidRPr="004338BE">
        <w:rPr>
          <w:sz w:val="24"/>
          <w:szCs w:val="24"/>
        </w:rPr>
        <w:t>. A 504 (2015) 457</w:t>
      </w:r>
      <w:r w:rsidR="00043C3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462.</w:t>
      </w:r>
    </w:p>
    <w:p w14:paraId="32DAE30C" w14:textId="125827B4" w:rsidR="00924DAC" w:rsidRPr="004338BE" w:rsidRDefault="00924DAC" w:rsidP="00060957">
      <w:pPr>
        <w:pStyle w:val="TFReferencesSection"/>
        <w:numPr>
          <w:ilvl w:val="0"/>
          <w:numId w:val="2"/>
        </w:numPr>
        <w:spacing w:after="0"/>
        <w:ind w:left="567" w:hanging="567"/>
        <w:rPr>
          <w:rFonts w:ascii="Times New Roman" w:eastAsiaTheme="minorHAnsi" w:hAnsi="Times New Roman"/>
          <w:w w:val="105"/>
          <w:szCs w:val="24"/>
          <w:lang w:val="en-GB"/>
        </w:rPr>
      </w:pPr>
      <w:r w:rsidRPr="004338BE">
        <w:rPr>
          <w:rFonts w:ascii="Times New Roman" w:eastAsiaTheme="minorHAnsi" w:hAnsi="Times New Roman"/>
          <w:w w:val="105"/>
          <w:szCs w:val="24"/>
          <w:lang w:val="en-GB"/>
        </w:rPr>
        <w:lastRenderedPageBreak/>
        <w:t xml:space="preserve">K. Alharbi, W. Alharbi, E.F. Kozhevnikova, I.V. Kozhevnikov, Deoxygenation of ethers and esters over bifunctional Pt–heteropoly acid catalyst in the gas phase, ACS </w:t>
      </w:r>
      <w:proofErr w:type="spellStart"/>
      <w:r w:rsidRPr="004338BE">
        <w:rPr>
          <w:rFonts w:ascii="Times New Roman" w:eastAsiaTheme="minorHAnsi" w:hAnsi="Times New Roman"/>
          <w:w w:val="105"/>
          <w:szCs w:val="24"/>
          <w:lang w:val="en-GB"/>
        </w:rPr>
        <w:t>Catal</w:t>
      </w:r>
      <w:proofErr w:type="spellEnd"/>
      <w:r w:rsidRPr="004338BE">
        <w:rPr>
          <w:rFonts w:ascii="Times New Roman" w:eastAsiaTheme="minorHAnsi" w:hAnsi="Times New Roman"/>
          <w:w w:val="105"/>
          <w:szCs w:val="24"/>
          <w:lang w:val="en-GB"/>
        </w:rPr>
        <w:t>. 6 (2016) 2067</w:t>
      </w:r>
      <w:r w:rsidR="00043C3A" w:rsidRPr="004338BE">
        <w:rPr>
          <w:rFonts w:ascii="Times New Roman" w:eastAsiaTheme="minorHAnsi" w:hAnsi="Times New Roman"/>
          <w:w w:val="105"/>
          <w:szCs w:val="24"/>
          <w:lang w:val="en-GB"/>
        </w:rPr>
        <w:t>–</w:t>
      </w:r>
      <w:r w:rsidRPr="004338BE">
        <w:rPr>
          <w:rFonts w:ascii="Times New Roman" w:eastAsiaTheme="minorHAnsi" w:hAnsi="Times New Roman"/>
          <w:w w:val="105"/>
          <w:szCs w:val="24"/>
          <w:lang w:val="en-GB"/>
        </w:rPr>
        <w:t>2075.</w:t>
      </w:r>
    </w:p>
    <w:p w14:paraId="699CDA98" w14:textId="156EDA2C" w:rsidR="00A3324D" w:rsidRPr="004338BE" w:rsidRDefault="00A3324D" w:rsidP="00060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lang w:eastAsia="en-GB"/>
        </w:rPr>
      </w:pPr>
      <w:r w:rsidRPr="004338BE">
        <w:rPr>
          <w:lang w:eastAsia="en-GB"/>
        </w:rPr>
        <w:t xml:space="preserve">H. </w:t>
      </w:r>
      <w:proofErr w:type="spellStart"/>
      <w:r w:rsidRPr="004338BE">
        <w:rPr>
          <w:lang w:eastAsia="en-GB"/>
        </w:rPr>
        <w:t>Althikrallah</w:t>
      </w:r>
      <w:proofErr w:type="spellEnd"/>
      <w:r w:rsidRPr="004338BE">
        <w:rPr>
          <w:lang w:eastAsia="en-GB"/>
        </w:rPr>
        <w:t>, E. F. Kozhevnikova, I. V. Kozhevnikov, Facile gas-phase hydrodeoxygenation of 2,5-dimethylfuran over bifunctional metal-acid catalyst Pt–Cs</w:t>
      </w:r>
      <w:r w:rsidRPr="004338BE">
        <w:rPr>
          <w:vertAlign w:val="subscript"/>
          <w:lang w:eastAsia="en-GB"/>
        </w:rPr>
        <w:t>2.5</w:t>
      </w:r>
      <w:r w:rsidRPr="004338BE">
        <w:rPr>
          <w:lang w:eastAsia="en-GB"/>
        </w:rPr>
        <w:t>H</w:t>
      </w:r>
      <w:r w:rsidRPr="004338BE">
        <w:rPr>
          <w:vertAlign w:val="subscript"/>
          <w:lang w:eastAsia="en-GB"/>
        </w:rPr>
        <w:t>0.5</w:t>
      </w:r>
      <w:r w:rsidRPr="004338BE">
        <w:rPr>
          <w:lang w:eastAsia="en-GB"/>
        </w:rPr>
        <w:t>PW</w:t>
      </w:r>
      <w:r w:rsidRPr="004338BE">
        <w:rPr>
          <w:vertAlign w:val="subscript"/>
          <w:lang w:eastAsia="en-GB"/>
        </w:rPr>
        <w:t>12</w:t>
      </w:r>
      <w:r w:rsidRPr="004338BE">
        <w:rPr>
          <w:lang w:eastAsia="en-GB"/>
        </w:rPr>
        <w:t>O</w:t>
      </w:r>
      <w:r w:rsidRPr="004338BE">
        <w:rPr>
          <w:vertAlign w:val="subscript"/>
          <w:lang w:eastAsia="en-GB"/>
        </w:rPr>
        <w:t>40</w:t>
      </w:r>
      <w:r w:rsidRPr="004338BE">
        <w:rPr>
          <w:lang w:eastAsia="en-GB"/>
        </w:rPr>
        <w:t xml:space="preserve">, Chem. </w:t>
      </w:r>
      <w:proofErr w:type="spellStart"/>
      <w:r w:rsidRPr="004338BE">
        <w:rPr>
          <w:lang w:eastAsia="en-GB"/>
        </w:rPr>
        <w:t>Commun</w:t>
      </w:r>
      <w:proofErr w:type="spellEnd"/>
      <w:r w:rsidRPr="004338BE">
        <w:rPr>
          <w:i/>
          <w:lang w:eastAsia="en-GB"/>
        </w:rPr>
        <w:t>.</w:t>
      </w:r>
      <w:r w:rsidRPr="004338BE">
        <w:rPr>
          <w:lang w:eastAsia="en-GB"/>
        </w:rPr>
        <w:t xml:space="preserve"> 57 (2021) 227–230.</w:t>
      </w:r>
    </w:p>
    <w:p w14:paraId="58B47F2F" w14:textId="1F800691" w:rsidR="00BD70AB" w:rsidRPr="004338BE" w:rsidRDefault="00BD70AB" w:rsidP="00060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lang w:eastAsia="en-GB"/>
        </w:rPr>
      </w:pPr>
      <w:r w:rsidRPr="004338BE">
        <w:t xml:space="preserve">S. Li, L. Yan, Q. Liu, J. Liu, Q. Liu, W. Fan, X. Zhao, X. Zhang, C. Wang, L. </w:t>
      </w:r>
      <w:proofErr w:type="spellStart"/>
      <w:r w:rsidRPr="004338BE">
        <w:t>Maa</w:t>
      </w:r>
      <w:proofErr w:type="spellEnd"/>
      <w:r w:rsidRPr="004338BE">
        <w:t xml:space="preserve">, Q. Zhang, One-pot hydrodeoxygenation of biomass furan derivatives into </w:t>
      </w:r>
      <w:proofErr w:type="spellStart"/>
      <w:r w:rsidRPr="004338BE">
        <w:t>decane</w:t>
      </w:r>
      <w:proofErr w:type="spellEnd"/>
      <w:r w:rsidRPr="004338BE">
        <w:t xml:space="preserve"> under mild conditions over Pd/C combined with </w:t>
      </w:r>
      <w:proofErr w:type="spellStart"/>
      <w:r w:rsidRPr="004338BE">
        <w:t>phosphotungstic</w:t>
      </w:r>
      <w:proofErr w:type="spellEnd"/>
      <w:r w:rsidRPr="004338BE">
        <w:t xml:space="preserve"> acid, Green Chem., 22 (2020) 2889–2900.</w:t>
      </w:r>
    </w:p>
    <w:p w14:paraId="19FE0763" w14:textId="1A1D2B11" w:rsidR="001A512F" w:rsidRPr="004338BE" w:rsidRDefault="001A512F" w:rsidP="00060957">
      <w:pPr>
        <w:pStyle w:val="TFReferencesSection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lang w:val="pt-PT"/>
        </w:rPr>
      </w:pPr>
      <w:r w:rsidRPr="004338BE">
        <w:rPr>
          <w:rFonts w:ascii="Times New Roman" w:hAnsi="Times New Roman"/>
          <w:lang w:val="pt-PT"/>
        </w:rPr>
        <w:t>T. Okuhara, N. Mizuno, M. Misono,</w:t>
      </w:r>
      <w:r w:rsidRPr="004338BE">
        <w:rPr>
          <w:rFonts w:ascii="Times New Roman" w:hAnsi="Times New Roman"/>
        </w:rPr>
        <w:t xml:space="preserve"> </w:t>
      </w:r>
      <w:r w:rsidRPr="004338BE">
        <w:rPr>
          <w:rFonts w:ascii="Times New Roman" w:hAnsi="Times New Roman"/>
          <w:lang w:val="pt-PT"/>
        </w:rPr>
        <w:t>Catalytic chemistry of  heteropoly compounds, Adv. Catal. 41 (1996) 113</w:t>
      </w:r>
      <w:r w:rsidR="00043C3A" w:rsidRPr="004338BE">
        <w:rPr>
          <w:rFonts w:ascii="Times New Roman" w:hAnsi="Times New Roman"/>
          <w:lang w:val="pt-PT"/>
        </w:rPr>
        <w:t>–</w:t>
      </w:r>
      <w:r w:rsidRPr="004338BE">
        <w:rPr>
          <w:rFonts w:ascii="Times New Roman" w:hAnsi="Times New Roman"/>
          <w:lang w:val="pt-PT"/>
        </w:rPr>
        <w:t>252.</w:t>
      </w:r>
    </w:p>
    <w:p w14:paraId="416E108B" w14:textId="55C2EF65" w:rsidR="001A512F" w:rsidRPr="004338BE" w:rsidRDefault="001A512F" w:rsidP="00060957">
      <w:pPr>
        <w:widowControl w:val="0"/>
        <w:numPr>
          <w:ilvl w:val="0"/>
          <w:numId w:val="2"/>
        </w:numPr>
        <w:tabs>
          <w:tab w:val="left" w:pos="0"/>
        </w:tabs>
        <w:spacing w:after="0" w:line="480" w:lineRule="auto"/>
        <w:ind w:left="567" w:hanging="567"/>
        <w:jc w:val="both"/>
      </w:pPr>
      <w:r w:rsidRPr="004338BE">
        <w:t>I.V. Kozhevnikov, Catalysis by heteropoly acids and multicomponent polyoxometalates in liquid-phase reactions, Chem. Rev. 98 (1998) 171</w:t>
      </w:r>
      <w:r w:rsidR="00043C3A" w:rsidRPr="004338BE">
        <w:t>–</w:t>
      </w:r>
      <w:r w:rsidRPr="004338BE">
        <w:t>198.</w:t>
      </w:r>
    </w:p>
    <w:p w14:paraId="7A79494D" w14:textId="7ECF5DDB" w:rsidR="001A512F" w:rsidRPr="004338BE" w:rsidRDefault="001A512F" w:rsidP="00060957">
      <w:pPr>
        <w:pStyle w:val="BodyText"/>
        <w:numPr>
          <w:ilvl w:val="0"/>
          <w:numId w:val="2"/>
        </w:numPr>
        <w:spacing w:after="0" w:line="480" w:lineRule="auto"/>
        <w:ind w:left="567" w:hanging="567"/>
        <w:jc w:val="both"/>
      </w:pPr>
      <w:r w:rsidRPr="004338BE">
        <w:t xml:space="preserve">J.B. </w:t>
      </w:r>
      <w:proofErr w:type="spellStart"/>
      <w:r w:rsidRPr="004338BE">
        <w:t>Moffat</w:t>
      </w:r>
      <w:proofErr w:type="spellEnd"/>
      <w:r w:rsidRPr="004338BE">
        <w:t>, Metal-</w:t>
      </w:r>
      <w:r w:rsidR="00EE5045" w:rsidRPr="004338BE">
        <w:t>o</w:t>
      </w:r>
      <w:r w:rsidRPr="004338BE">
        <w:t xml:space="preserve">xygen </w:t>
      </w:r>
      <w:r w:rsidR="00EE5045" w:rsidRPr="004338BE">
        <w:t>c</w:t>
      </w:r>
      <w:r w:rsidRPr="004338BE">
        <w:t xml:space="preserve">lusters. The surface and catalytic properties of heteropoly </w:t>
      </w:r>
      <w:proofErr w:type="spellStart"/>
      <w:r w:rsidRPr="004338BE">
        <w:t>oxometalates</w:t>
      </w:r>
      <w:proofErr w:type="spellEnd"/>
      <w:r w:rsidRPr="004338BE">
        <w:t>, Kluwer: New York, 2001.</w:t>
      </w:r>
    </w:p>
    <w:p w14:paraId="7A9E7CFC" w14:textId="2D2EA657" w:rsidR="00924DAC" w:rsidRPr="004338BE" w:rsidRDefault="00924DAC" w:rsidP="00060957">
      <w:pPr>
        <w:pStyle w:val="TFReferencesSection"/>
        <w:numPr>
          <w:ilvl w:val="0"/>
          <w:numId w:val="2"/>
        </w:numPr>
        <w:spacing w:after="0"/>
        <w:ind w:left="567" w:hanging="567"/>
        <w:rPr>
          <w:rFonts w:ascii="Times New Roman" w:eastAsiaTheme="minorHAnsi" w:hAnsi="Times New Roman"/>
          <w:w w:val="105"/>
          <w:szCs w:val="24"/>
          <w:lang w:val="en-GB"/>
        </w:rPr>
      </w:pPr>
      <w:r w:rsidRPr="004338BE">
        <w:rPr>
          <w:rFonts w:ascii="Times New Roman" w:eastAsiaTheme="minorHAnsi" w:hAnsi="Times New Roman"/>
          <w:w w:val="105"/>
          <w:szCs w:val="24"/>
          <w:lang w:val="en-GB"/>
        </w:rPr>
        <w:t>Y. Izumi, M. Ono, M. Kitagawa, M. Yoshida, K. Urabe, Silica-included heteropoly compounds as solid acid catalysts, Microporous Mater. 5 (1995) 255</w:t>
      </w:r>
      <w:r w:rsidR="00043C3A" w:rsidRPr="004338BE">
        <w:rPr>
          <w:rFonts w:ascii="Times New Roman" w:eastAsiaTheme="minorHAnsi" w:hAnsi="Times New Roman"/>
          <w:w w:val="105"/>
          <w:szCs w:val="24"/>
          <w:lang w:val="en-GB"/>
        </w:rPr>
        <w:t>–</w:t>
      </w:r>
      <w:r w:rsidRPr="004338BE">
        <w:rPr>
          <w:rFonts w:ascii="Times New Roman" w:eastAsiaTheme="minorHAnsi" w:hAnsi="Times New Roman"/>
          <w:w w:val="105"/>
          <w:szCs w:val="24"/>
          <w:lang w:val="en-GB"/>
        </w:rPr>
        <w:t>262.</w:t>
      </w:r>
    </w:p>
    <w:p w14:paraId="5E758ECB" w14:textId="0AD0E8DB" w:rsidR="0062414E" w:rsidRPr="004338BE" w:rsidRDefault="0062414E" w:rsidP="00060957">
      <w:pPr>
        <w:pStyle w:val="RSCR02References"/>
        <w:numPr>
          <w:ilvl w:val="0"/>
          <w:numId w:val="2"/>
        </w:numPr>
        <w:spacing w:line="480" w:lineRule="auto"/>
        <w:ind w:left="567" w:right="-45" w:hanging="567"/>
        <w:rPr>
          <w:sz w:val="24"/>
          <w:szCs w:val="24"/>
        </w:rPr>
      </w:pPr>
      <w:r w:rsidRPr="004338BE">
        <w:rPr>
          <w:sz w:val="24"/>
          <w:szCs w:val="24"/>
        </w:rPr>
        <w:t xml:space="preserve">J.E. Benson, M. </w:t>
      </w:r>
      <w:proofErr w:type="spellStart"/>
      <w:r w:rsidRPr="004338BE">
        <w:rPr>
          <w:sz w:val="24"/>
          <w:szCs w:val="24"/>
        </w:rPr>
        <w:t>Boudart</w:t>
      </w:r>
      <w:proofErr w:type="spellEnd"/>
      <w:r w:rsidRPr="004338BE">
        <w:rPr>
          <w:sz w:val="24"/>
          <w:szCs w:val="24"/>
        </w:rPr>
        <w:t xml:space="preserve">, Hydrogen-oxygen titration method for the measurement of supported platinum surface areas, J. </w:t>
      </w:r>
      <w:proofErr w:type="spellStart"/>
      <w:r w:rsidRPr="004338BE">
        <w:rPr>
          <w:sz w:val="24"/>
          <w:szCs w:val="24"/>
        </w:rPr>
        <w:t>Catal</w:t>
      </w:r>
      <w:proofErr w:type="spellEnd"/>
      <w:r w:rsidRPr="004338BE">
        <w:rPr>
          <w:sz w:val="24"/>
          <w:szCs w:val="24"/>
        </w:rPr>
        <w:t>. 4 (1965) 704</w:t>
      </w:r>
      <w:r w:rsidR="00043C3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710.</w:t>
      </w:r>
    </w:p>
    <w:p w14:paraId="1A296E5D" w14:textId="0C9B2FD8" w:rsidR="00DB239F" w:rsidRPr="004338BE" w:rsidRDefault="00DB239F" w:rsidP="00060957">
      <w:pPr>
        <w:pStyle w:val="RSCR02References"/>
        <w:numPr>
          <w:ilvl w:val="0"/>
          <w:numId w:val="2"/>
        </w:numPr>
        <w:spacing w:line="480" w:lineRule="auto"/>
        <w:ind w:left="567" w:hanging="567"/>
        <w:rPr>
          <w:noProof/>
          <w:sz w:val="24"/>
          <w:szCs w:val="24"/>
        </w:rPr>
      </w:pPr>
      <w:r w:rsidRPr="004338BE">
        <w:rPr>
          <w:sz w:val="24"/>
          <w:szCs w:val="24"/>
        </w:rPr>
        <w:t>P.</w:t>
      </w:r>
      <w:r w:rsidR="002E5FD4" w:rsidRPr="004338BE">
        <w:rPr>
          <w:sz w:val="24"/>
          <w:szCs w:val="24"/>
        </w:rPr>
        <w:t xml:space="preserve"> </w:t>
      </w:r>
      <w:r w:rsidRPr="004338BE">
        <w:rPr>
          <w:sz w:val="24"/>
          <w:szCs w:val="24"/>
        </w:rPr>
        <w:t xml:space="preserve">Canton, G. </w:t>
      </w:r>
      <w:proofErr w:type="spellStart"/>
      <w:r w:rsidRPr="004338BE">
        <w:rPr>
          <w:sz w:val="24"/>
          <w:szCs w:val="24"/>
        </w:rPr>
        <w:t>Fagherazzi</w:t>
      </w:r>
      <w:proofErr w:type="spellEnd"/>
      <w:r w:rsidRPr="004338BE">
        <w:rPr>
          <w:sz w:val="24"/>
          <w:szCs w:val="24"/>
        </w:rPr>
        <w:t xml:space="preserve">, M. </w:t>
      </w:r>
      <w:proofErr w:type="spellStart"/>
      <w:r w:rsidRPr="004338BE">
        <w:rPr>
          <w:sz w:val="24"/>
          <w:szCs w:val="24"/>
        </w:rPr>
        <w:t>Battagliarin</w:t>
      </w:r>
      <w:proofErr w:type="spellEnd"/>
      <w:r w:rsidRPr="004338BE">
        <w:rPr>
          <w:sz w:val="24"/>
          <w:szCs w:val="24"/>
        </w:rPr>
        <w:t xml:space="preserve">, F. </w:t>
      </w:r>
      <w:proofErr w:type="spellStart"/>
      <w:r w:rsidRPr="004338BE">
        <w:rPr>
          <w:sz w:val="24"/>
          <w:szCs w:val="24"/>
        </w:rPr>
        <w:t>Menegazzo</w:t>
      </w:r>
      <w:proofErr w:type="spellEnd"/>
      <w:r w:rsidRPr="004338BE">
        <w:rPr>
          <w:sz w:val="24"/>
          <w:szCs w:val="24"/>
        </w:rPr>
        <w:t xml:space="preserve">, F. Pinna, N. </w:t>
      </w:r>
      <w:proofErr w:type="spellStart"/>
      <w:proofErr w:type="gramStart"/>
      <w:r w:rsidRPr="004338BE">
        <w:rPr>
          <w:sz w:val="24"/>
          <w:szCs w:val="24"/>
        </w:rPr>
        <w:t>Pernicone</w:t>
      </w:r>
      <w:proofErr w:type="spellEnd"/>
      <w:r w:rsidRPr="004338BE">
        <w:rPr>
          <w:sz w:val="24"/>
          <w:szCs w:val="24"/>
        </w:rPr>
        <w:t>,</w:t>
      </w:r>
      <w:r w:rsidRPr="004338BE">
        <w:rPr>
          <w:bCs/>
          <w:sz w:val="24"/>
          <w:szCs w:val="24"/>
        </w:rPr>
        <w:t xml:space="preserve">  Pd</w:t>
      </w:r>
      <w:proofErr w:type="gramEnd"/>
      <w:r w:rsidRPr="004338BE">
        <w:rPr>
          <w:bCs/>
          <w:sz w:val="24"/>
          <w:szCs w:val="24"/>
        </w:rPr>
        <w:t>/CO average chemisorption stoichiometry in highly dispersed supported Pd/</w:t>
      </w:r>
      <w:r w:rsidRPr="004338BE">
        <w:rPr>
          <w:bCs/>
          <w:i/>
          <w:iCs/>
          <w:sz w:val="24"/>
          <w:szCs w:val="24"/>
        </w:rPr>
        <w:t>γ</w:t>
      </w:r>
      <w:r w:rsidRPr="004338BE">
        <w:rPr>
          <w:bCs/>
          <w:sz w:val="24"/>
          <w:szCs w:val="24"/>
        </w:rPr>
        <w:t>-Al</w:t>
      </w:r>
      <w:r w:rsidRPr="004338BE">
        <w:rPr>
          <w:bCs/>
          <w:sz w:val="24"/>
          <w:szCs w:val="24"/>
          <w:vertAlign w:val="subscript"/>
        </w:rPr>
        <w:t>2</w:t>
      </w:r>
      <w:r w:rsidRPr="004338BE">
        <w:rPr>
          <w:bCs/>
          <w:sz w:val="24"/>
          <w:szCs w:val="24"/>
        </w:rPr>
        <w:t>O</w:t>
      </w:r>
      <w:r w:rsidRPr="004338BE">
        <w:rPr>
          <w:bCs/>
          <w:sz w:val="24"/>
          <w:szCs w:val="24"/>
          <w:vertAlign w:val="subscript"/>
        </w:rPr>
        <w:t>3</w:t>
      </w:r>
      <w:r w:rsidRPr="004338BE">
        <w:rPr>
          <w:bCs/>
          <w:sz w:val="24"/>
          <w:szCs w:val="24"/>
        </w:rPr>
        <w:t xml:space="preserve"> catalysts, </w:t>
      </w:r>
      <w:r w:rsidRPr="004338BE">
        <w:rPr>
          <w:iCs/>
          <w:sz w:val="24"/>
          <w:szCs w:val="24"/>
        </w:rPr>
        <w:t>Langmuir</w:t>
      </w:r>
      <w:r w:rsidRPr="004338BE">
        <w:rPr>
          <w:i/>
          <w:iCs/>
          <w:sz w:val="24"/>
          <w:szCs w:val="24"/>
        </w:rPr>
        <w:t xml:space="preserve"> </w:t>
      </w:r>
      <w:r w:rsidRPr="004338BE">
        <w:rPr>
          <w:iCs/>
          <w:sz w:val="24"/>
          <w:szCs w:val="24"/>
        </w:rPr>
        <w:t>18 (</w:t>
      </w:r>
      <w:r w:rsidRPr="004338BE">
        <w:rPr>
          <w:bCs/>
          <w:sz w:val="24"/>
          <w:szCs w:val="24"/>
        </w:rPr>
        <w:t>2002)</w:t>
      </w:r>
      <w:r w:rsidRPr="004338BE">
        <w:rPr>
          <w:i/>
          <w:iCs/>
          <w:sz w:val="24"/>
          <w:szCs w:val="24"/>
        </w:rPr>
        <w:t xml:space="preserve"> </w:t>
      </w:r>
      <w:r w:rsidRPr="004338BE">
        <w:rPr>
          <w:sz w:val="24"/>
          <w:szCs w:val="24"/>
        </w:rPr>
        <w:t>6530</w:t>
      </w:r>
      <w:r w:rsidR="00043C3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6535.</w:t>
      </w:r>
    </w:p>
    <w:p w14:paraId="020217FD" w14:textId="646712A3" w:rsidR="009039E6" w:rsidRPr="004338BE" w:rsidRDefault="009039E6" w:rsidP="00060957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eastAsia="AdvP4DF60E"/>
        </w:rPr>
      </w:pPr>
      <w:r w:rsidRPr="004338BE">
        <w:rPr>
          <w:rFonts w:eastAsia="AdvP4DF60E"/>
        </w:rPr>
        <w:lastRenderedPageBreak/>
        <w:t xml:space="preserve">M.A. Alotaibi, E.F. Kozhevnikova, I.V. Kozhevnikov, Deoxygenation of propionic acid on heteropoly acid and bifunctional metal-loaded heteropoly acid catalysts: Reaction pathways and turnover rates, Appl. </w:t>
      </w:r>
      <w:proofErr w:type="spellStart"/>
      <w:r w:rsidRPr="004338BE">
        <w:rPr>
          <w:rFonts w:eastAsia="AdvP4DF60E"/>
        </w:rPr>
        <w:t>Catal</w:t>
      </w:r>
      <w:proofErr w:type="spellEnd"/>
      <w:r w:rsidRPr="004338BE">
        <w:rPr>
          <w:rFonts w:eastAsia="AdvP4DF60E"/>
        </w:rPr>
        <w:t>. A 447–448 (2012) 32–40.</w:t>
      </w:r>
    </w:p>
    <w:p w14:paraId="6142E5BB" w14:textId="3D795291" w:rsidR="007C45CC" w:rsidRPr="004338BE" w:rsidRDefault="007C45CC" w:rsidP="00060957">
      <w:pPr>
        <w:pStyle w:val="TFReferencesSection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szCs w:val="24"/>
          <w:lang w:val="en-GB"/>
        </w:rPr>
      </w:pPr>
      <w:r w:rsidRPr="004338BE">
        <w:rPr>
          <w:rFonts w:ascii="Times New Roman" w:hAnsi="Times New Roman"/>
          <w:szCs w:val="24"/>
          <w:lang w:val="en-GB"/>
        </w:rPr>
        <w:t xml:space="preserve">A. Alazman, D. </w:t>
      </w:r>
      <w:proofErr w:type="spellStart"/>
      <w:r w:rsidRPr="004338BE">
        <w:rPr>
          <w:rFonts w:ascii="Times New Roman" w:hAnsi="Times New Roman"/>
          <w:szCs w:val="24"/>
          <w:lang w:val="en-GB"/>
        </w:rPr>
        <w:t>Belic</w:t>
      </w:r>
      <w:proofErr w:type="spellEnd"/>
      <w:r w:rsidRPr="004338BE">
        <w:rPr>
          <w:rFonts w:ascii="Times New Roman" w:hAnsi="Times New Roman"/>
          <w:szCs w:val="24"/>
          <w:lang w:val="en-GB"/>
        </w:rPr>
        <w:t xml:space="preserve">, E.F. Kozhevnikova, I.V. Kozhevnikov, Isomerization of n-hexane over bifunctional Pt-heteropoly acid catalyst: Enhancing effect of gold. J. </w:t>
      </w:r>
      <w:proofErr w:type="spellStart"/>
      <w:r w:rsidRPr="004338BE">
        <w:rPr>
          <w:rFonts w:ascii="Times New Roman" w:hAnsi="Times New Roman"/>
          <w:szCs w:val="24"/>
          <w:lang w:val="en-GB"/>
        </w:rPr>
        <w:t>Catal</w:t>
      </w:r>
      <w:proofErr w:type="spellEnd"/>
      <w:r w:rsidRPr="004338BE">
        <w:rPr>
          <w:rFonts w:ascii="Times New Roman" w:hAnsi="Times New Roman"/>
          <w:szCs w:val="24"/>
          <w:lang w:val="en-GB"/>
        </w:rPr>
        <w:t>. 357 (2018) 80–89.</w:t>
      </w:r>
    </w:p>
    <w:p w14:paraId="71A88C2A" w14:textId="1E04E6EC" w:rsidR="003D4DC8" w:rsidRPr="004338BE" w:rsidRDefault="003D4DC8" w:rsidP="00060957">
      <w:pPr>
        <w:pStyle w:val="TFReferencesSection"/>
        <w:numPr>
          <w:ilvl w:val="0"/>
          <w:numId w:val="2"/>
        </w:numPr>
        <w:spacing w:after="0"/>
        <w:ind w:left="567" w:hanging="567"/>
        <w:rPr>
          <w:iCs/>
          <w:lang w:val="pt-PT"/>
        </w:rPr>
      </w:pPr>
      <w:r w:rsidRPr="004338BE">
        <w:rPr>
          <w:rFonts w:ascii="Times New Roman" w:hAnsi="Times New Roman"/>
          <w:iCs/>
          <w:lang w:val="pt-PT"/>
        </w:rPr>
        <w:t>W. Alharbi, E.F. Kozhevnikova, I.V. Kozhevnikov,</w:t>
      </w:r>
      <w:r w:rsidRPr="004338BE">
        <w:rPr>
          <w:rFonts w:ascii="Times New Roman" w:hAnsi="Times New Roman"/>
          <w:iCs/>
        </w:rPr>
        <w:t xml:space="preserve"> </w:t>
      </w:r>
      <w:r w:rsidRPr="004338BE">
        <w:rPr>
          <w:rFonts w:ascii="Times New Roman" w:hAnsi="Times New Roman"/>
          <w:iCs/>
          <w:lang w:val="pt-PT"/>
        </w:rPr>
        <w:t>Dehydration of MeOH to dimethyl ether over heteropoly acid catalysts: The relationship between reaction rate and catalyst acid strength, ACS Catal. 5 (2015) 7186−7193</w:t>
      </w:r>
      <w:r w:rsidRPr="004338BE">
        <w:rPr>
          <w:iCs/>
          <w:lang w:val="pt-PT"/>
        </w:rPr>
        <w:t>.</w:t>
      </w:r>
    </w:p>
    <w:p w14:paraId="3D1B9F6F" w14:textId="4957A953" w:rsidR="001461B8" w:rsidRPr="004338BE" w:rsidRDefault="00060957" w:rsidP="00060957">
      <w:pPr>
        <w:pStyle w:val="TFReferencesSection"/>
        <w:numPr>
          <w:ilvl w:val="0"/>
          <w:numId w:val="2"/>
        </w:numPr>
        <w:spacing w:after="0"/>
        <w:ind w:left="567" w:hanging="567"/>
        <w:rPr>
          <w:iCs/>
          <w:lang w:val="pt-PT"/>
        </w:rPr>
      </w:pPr>
      <w:r w:rsidRPr="004338BE">
        <w:rPr>
          <w:rFonts w:ascii="Times New Roman" w:hAnsi="Times New Roman"/>
          <w:iCs/>
          <w:lang w:val="pt-PT"/>
        </w:rPr>
        <w:t>M</w:t>
      </w:r>
      <w:r w:rsidRPr="004338BE">
        <w:rPr>
          <w:iCs/>
          <w:lang w:val="pt-PT"/>
        </w:rPr>
        <w:t>. Boudart, Catalysis by supported metals, Adv. Catal. 20 (1969) 153–166.</w:t>
      </w:r>
    </w:p>
    <w:p w14:paraId="1646FC69" w14:textId="705AE46E" w:rsidR="007C45CC" w:rsidRPr="004338BE" w:rsidRDefault="007C45CC" w:rsidP="00060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eastAsia="Times New Roman"/>
          <w:lang w:eastAsia="en-GB"/>
        </w:rPr>
      </w:pPr>
      <w:r w:rsidRPr="004338BE">
        <w:t>G.C. Bond, Metal-catalysed reactions of hydrocarbons, Springer, New York, 2005.</w:t>
      </w:r>
    </w:p>
    <w:p w14:paraId="69FA3915" w14:textId="09A13B08" w:rsidR="003C44D2" w:rsidRPr="004338BE" w:rsidRDefault="003C44D2" w:rsidP="00060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eastAsia="Times New Roman"/>
          <w:lang w:eastAsia="en-GB"/>
        </w:rPr>
      </w:pPr>
      <w:r w:rsidRPr="004338BE">
        <w:rPr>
          <w:rFonts w:eastAsia="Times New Roman"/>
          <w:lang w:eastAsia="en-GB"/>
        </w:rPr>
        <w:t xml:space="preserve">M. </w:t>
      </w:r>
      <w:proofErr w:type="spellStart"/>
      <w:r w:rsidRPr="004338BE">
        <w:rPr>
          <w:rFonts w:eastAsia="Times New Roman"/>
          <w:lang w:eastAsia="en-GB"/>
        </w:rPr>
        <w:t>Boudart</w:t>
      </w:r>
      <w:proofErr w:type="spellEnd"/>
      <w:r w:rsidRPr="004338BE">
        <w:rPr>
          <w:rFonts w:eastAsia="Times New Roman"/>
          <w:lang w:eastAsia="en-GB"/>
        </w:rPr>
        <w:t xml:space="preserve">, Heterogeneous catalysis by metals, J. Mol. </w:t>
      </w:r>
      <w:proofErr w:type="spellStart"/>
      <w:r w:rsidRPr="004338BE">
        <w:rPr>
          <w:rFonts w:eastAsia="Times New Roman"/>
          <w:lang w:eastAsia="en-GB"/>
        </w:rPr>
        <w:t>Catal</w:t>
      </w:r>
      <w:proofErr w:type="spellEnd"/>
      <w:r w:rsidRPr="004338BE">
        <w:rPr>
          <w:rFonts w:eastAsia="Times New Roman"/>
          <w:lang w:eastAsia="en-GB"/>
        </w:rPr>
        <w:t>. 30 (1985) 2</w:t>
      </w:r>
      <w:r w:rsidR="0082486D" w:rsidRPr="004338BE">
        <w:rPr>
          <w:rFonts w:eastAsia="Times New Roman"/>
          <w:lang w:eastAsia="en-GB"/>
        </w:rPr>
        <w:t>7</w:t>
      </w:r>
      <w:r w:rsidRPr="004338BE">
        <w:rPr>
          <w:rFonts w:eastAsia="Times New Roman"/>
          <w:lang w:eastAsia="en-GB"/>
        </w:rPr>
        <w:t>–3</w:t>
      </w:r>
      <w:r w:rsidR="0082486D" w:rsidRPr="004338BE">
        <w:rPr>
          <w:rFonts w:eastAsia="Times New Roman"/>
          <w:lang w:eastAsia="en-GB"/>
        </w:rPr>
        <w:t>8</w:t>
      </w:r>
      <w:r w:rsidRPr="004338BE">
        <w:rPr>
          <w:rFonts w:eastAsia="Times New Roman"/>
          <w:lang w:eastAsia="en-GB"/>
        </w:rPr>
        <w:t>.</w:t>
      </w:r>
    </w:p>
    <w:p w14:paraId="09BF7603" w14:textId="32E3721F" w:rsidR="007732C7" w:rsidRPr="004338BE" w:rsidRDefault="007732C7" w:rsidP="00060957">
      <w:pPr>
        <w:pStyle w:val="RSCR02References"/>
        <w:numPr>
          <w:ilvl w:val="0"/>
          <w:numId w:val="2"/>
        </w:numPr>
        <w:spacing w:line="480" w:lineRule="auto"/>
        <w:ind w:left="567" w:hanging="567"/>
        <w:rPr>
          <w:noProof/>
          <w:sz w:val="24"/>
          <w:szCs w:val="24"/>
        </w:rPr>
      </w:pPr>
      <w:r w:rsidRPr="004338BE">
        <w:rPr>
          <w:sz w:val="24"/>
          <w:szCs w:val="24"/>
        </w:rPr>
        <w:t xml:space="preserve">M. </w:t>
      </w:r>
      <w:proofErr w:type="spellStart"/>
      <w:r w:rsidRPr="004338BE">
        <w:rPr>
          <w:sz w:val="24"/>
          <w:szCs w:val="24"/>
        </w:rPr>
        <w:t>Boudart</w:t>
      </w:r>
      <w:proofErr w:type="spellEnd"/>
      <w:r w:rsidRPr="004338BE">
        <w:rPr>
          <w:sz w:val="24"/>
          <w:szCs w:val="24"/>
        </w:rPr>
        <w:t>, Turnover rates in heterogeneous catalysis, Chem. Rev. 95 (1995) 661</w:t>
      </w:r>
      <w:r w:rsidR="00043C3A" w:rsidRPr="004338BE">
        <w:rPr>
          <w:sz w:val="24"/>
          <w:szCs w:val="24"/>
        </w:rPr>
        <w:t>–</w:t>
      </w:r>
      <w:r w:rsidRPr="004338BE">
        <w:rPr>
          <w:sz w:val="24"/>
          <w:szCs w:val="24"/>
        </w:rPr>
        <w:t>666.</w:t>
      </w:r>
    </w:p>
    <w:p w14:paraId="7B54BACF" w14:textId="61870F9D" w:rsidR="004A1722" w:rsidRPr="004338BE" w:rsidRDefault="004A1722" w:rsidP="001D7849">
      <w:pPr>
        <w:spacing w:after="160" w:line="480" w:lineRule="auto"/>
        <w:ind w:left="284"/>
        <w:rPr>
          <w:b/>
        </w:rPr>
      </w:pPr>
      <w:r w:rsidRPr="004338BE">
        <w:rPr>
          <w:b/>
        </w:rPr>
        <w:br w:type="page"/>
      </w:r>
    </w:p>
    <w:p w14:paraId="65FAB864" w14:textId="77777777" w:rsidR="00C41995" w:rsidRPr="004338BE" w:rsidRDefault="00C41995" w:rsidP="00A33088">
      <w:pPr>
        <w:spacing w:line="240" w:lineRule="auto"/>
        <w:rPr>
          <w:b/>
        </w:rPr>
      </w:pPr>
    </w:p>
    <w:p w14:paraId="03DFD35B" w14:textId="19A8C9DC" w:rsidR="00A33088" w:rsidRPr="004338BE" w:rsidRDefault="00A33088" w:rsidP="00A33088">
      <w:pPr>
        <w:spacing w:line="240" w:lineRule="auto"/>
      </w:pPr>
      <w:r w:rsidRPr="004338BE">
        <w:rPr>
          <w:b/>
        </w:rPr>
        <w:t>Table 1</w:t>
      </w:r>
      <w:r w:rsidRPr="004338BE">
        <w:t xml:space="preserve"> </w:t>
      </w:r>
    </w:p>
    <w:p w14:paraId="3CBC0029" w14:textId="77777777" w:rsidR="00A33088" w:rsidRPr="004338BE" w:rsidRDefault="00A33088" w:rsidP="00A33088">
      <w:pPr>
        <w:spacing w:line="240" w:lineRule="auto"/>
      </w:pPr>
      <w:r w:rsidRPr="004338BE">
        <w:t>Catalyst characterisation.</w:t>
      </w:r>
    </w:p>
    <w:tbl>
      <w:tblPr>
        <w:tblStyle w:val="TableGrid"/>
        <w:tblW w:w="913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612"/>
        <w:gridCol w:w="1546"/>
        <w:gridCol w:w="1661"/>
        <w:gridCol w:w="1481"/>
      </w:tblGrid>
      <w:tr w:rsidR="007A40CA" w:rsidRPr="004338BE" w14:paraId="3E52EF99" w14:textId="77777777" w:rsidTr="00A419B4">
        <w:trPr>
          <w:trHeight w:val="381"/>
        </w:trPr>
        <w:tc>
          <w:tcPr>
            <w:tcW w:w="2835" w:type="dxa"/>
            <w:tcBorders>
              <w:bottom w:val="single" w:sz="4" w:space="0" w:color="auto"/>
            </w:tcBorders>
          </w:tcPr>
          <w:p w14:paraId="135EEB93" w14:textId="77777777" w:rsidR="007A40CA" w:rsidRPr="004338BE" w:rsidRDefault="007A40CA" w:rsidP="00A419B4">
            <w:pPr>
              <w:autoSpaceDE w:val="0"/>
              <w:autoSpaceDN w:val="0"/>
              <w:adjustRightInd w:val="0"/>
              <w:spacing w:after="0" w:line="480" w:lineRule="auto"/>
              <w:ind w:right="-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Catalyst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B801D07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Surface </w:t>
            </w:r>
            <w:proofErr w:type="spellStart"/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area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3CE658FB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6BF05AF1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Pore </w:t>
            </w:r>
            <w:proofErr w:type="spellStart"/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volume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  <w:p w14:paraId="7EDDAD82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cm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9564C0A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Pore </w:t>
            </w:r>
            <w:proofErr w:type="spellStart"/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diameter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  <w:p w14:paraId="1EAFE032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Å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C38995B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</w:p>
          <w:p w14:paraId="026024EF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0CA" w:rsidRPr="004338BE" w14:paraId="7A56A31F" w14:textId="77777777" w:rsidTr="00A419B4">
        <w:trPr>
          <w:trHeight w:val="118"/>
        </w:trPr>
        <w:tc>
          <w:tcPr>
            <w:tcW w:w="2835" w:type="dxa"/>
            <w:tcBorders>
              <w:top w:val="nil"/>
              <w:bottom w:val="nil"/>
            </w:tcBorders>
          </w:tcPr>
          <w:p w14:paraId="0EBE9D7F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7.8%Pd/C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41ACCD9B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1D587D31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66C77805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0D545300" w14:textId="60FFB739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3F2E27"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95A06"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±0.0</w:t>
            </w:r>
            <w:r w:rsidR="008C22B8"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A40CA" w:rsidRPr="004338BE" w14:paraId="4641037A" w14:textId="77777777" w:rsidTr="00A419B4">
        <w:trPr>
          <w:trHeight w:val="83"/>
        </w:trPr>
        <w:tc>
          <w:tcPr>
            <w:tcW w:w="2835" w:type="dxa"/>
            <w:tcBorders>
              <w:top w:val="nil"/>
              <w:bottom w:val="nil"/>
            </w:tcBorders>
          </w:tcPr>
          <w:p w14:paraId="298846A1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9.6%Pt/C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6C0A457C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1188C53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05CC23BF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038416D4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0.039±0.007</w:t>
            </w:r>
          </w:p>
        </w:tc>
      </w:tr>
      <w:tr w:rsidR="00D4209D" w:rsidRPr="004338BE" w14:paraId="07B05C6C" w14:textId="77777777" w:rsidTr="00A419B4">
        <w:trPr>
          <w:trHeight w:val="83"/>
        </w:trPr>
        <w:tc>
          <w:tcPr>
            <w:tcW w:w="2835" w:type="dxa"/>
            <w:tcBorders>
              <w:top w:val="nil"/>
              <w:bottom w:val="nil"/>
            </w:tcBorders>
          </w:tcPr>
          <w:p w14:paraId="472F4825" w14:textId="34404EA3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ind w:righ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1%Pt/Al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7BEF91B3" w14:textId="32C0ED8D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30B56D33" w14:textId="1C25469C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3B2B0A08" w14:textId="2B652E7A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7D2C99D6" w14:textId="4D24FA85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0.63±0.04</w:t>
            </w:r>
          </w:p>
        </w:tc>
      </w:tr>
      <w:tr w:rsidR="00D4209D" w:rsidRPr="004338BE" w14:paraId="11F04E1D" w14:textId="77777777" w:rsidTr="00A419B4">
        <w:trPr>
          <w:trHeight w:val="64"/>
        </w:trPr>
        <w:tc>
          <w:tcPr>
            <w:tcW w:w="2835" w:type="dxa"/>
            <w:tcBorders>
              <w:top w:val="nil"/>
              <w:bottom w:val="nil"/>
            </w:tcBorders>
          </w:tcPr>
          <w:p w14:paraId="13D654A2" w14:textId="093CAB56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6.4%Pt/SiO</w:t>
            </w:r>
            <w:r w:rsidRPr="004338BE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20798393" w14:textId="5EBEAF58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70B96522" w14:textId="0DC77887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1369B52D" w14:textId="78E513DC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59584182" w14:textId="6FE13D67" w:rsidR="00D4209D" w:rsidRPr="004338BE" w:rsidRDefault="00D4209D" w:rsidP="00D420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0.28±0.04</w:t>
            </w:r>
          </w:p>
        </w:tc>
      </w:tr>
      <w:tr w:rsidR="007A40CA" w:rsidRPr="004338BE" w14:paraId="68F5FAE2" w14:textId="77777777" w:rsidTr="009812FB">
        <w:trPr>
          <w:trHeight w:val="169"/>
        </w:trPr>
        <w:tc>
          <w:tcPr>
            <w:tcW w:w="2835" w:type="dxa"/>
            <w:tcBorders>
              <w:top w:val="nil"/>
              <w:bottom w:val="nil"/>
            </w:tcBorders>
          </w:tcPr>
          <w:p w14:paraId="4AF17977" w14:textId="74E83AC5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 w:rsidRPr="00433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33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r w:rsidRPr="00433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338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</w:t>
            </w:r>
            <w:r w:rsidR="00832FED" w:rsidRPr="004338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32FED" w:rsidRPr="004338BE">
              <w:rPr>
                <w:rFonts w:ascii="Times New Roman" w:hAnsi="Times New Roman" w:cs="Times New Roman"/>
                <w:sz w:val="24"/>
                <w:szCs w:val="24"/>
              </w:rPr>
              <w:t>CsPW</w:t>
            </w:r>
            <w:proofErr w:type="spellEnd"/>
            <w:r w:rsidR="00832FED" w:rsidRPr="00433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14:paraId="2CCD9649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46" w:type="dxa"/>
            <w:tcBorders>
              <w:top w:val="nil"/>
              <w:bottom w:val="nil"/>
            </w:tcBorders>
          </w:tcPr>
          <w:p w14:paraId="660B3001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14:paraId="563D8D20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14:paraId="125BDAA5" w14:textId="77777777" w:rsidR="007A40CA" w:rsidRPr="004338BE" w:rsidRDefault="007A40CA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234" w:rsidRPr="004338BE" w14:paraId="7A0DE57E" w14:textId="77777777" w:rsidTr="009812FB">
        <w:trPr>
          <w:trHeight w:val="169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DBD2276" w14:textId="46A6883D" w:rsidR="00332234" w:rsidRPr="004338BE" w:rsidRDefault="0018381E" w:rsidP="00975CA3">
            <w:pPr>
              <w:autoSpaceDE w:val="0"/>
              <w:autoSpaceDN w:val="0"/>
              <w:adjustRightInd w:val="0"/>
              <w:spacing w:after="0" w:line="480" w:lineRule="auto"/>
            </w:pP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HZSM-5</w:t>
            </w:r>
            <w:r w:rsidR="00734D13" w:rsidRPr="004338BE">
              <w:rPr>
                <w:rFonts w:ascii="Times New Roman" w:hAnsi="Times New Roman" w:cs="Times New Roman"/>
                <w:sz w:val="24"/>
                <w:szCs w:val="24"/>
              </w:rPr>
              <w:t xml:space="preserve"> (Si/Al = </w:t>
            </w: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34D13" w:rsidRPr="00433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  <w:vAlign w:val="center"/>
          </w:tcPr>
          <w:p w14:paraId="1BDFCE07" w14:textId="440763D4" w:rsidR="00332234" w:rsidRPr="004338BE" w:rsidRDefault="0018381E" w:rsidP="00975CA3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  <w:vAlign w:val="center"/>
          </w:tcPr>
          <w:p w14:paraId="73EFAF1E" w14:textId="49B8110B" w:rsidR="00332234" w:rsidRPr="004338BE" w:rsidRDefault="0018381E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661" w:type="dxa"/>
            <w:tcBorders>
              <w:top w:val="nil"/>
              <w:bottom w:val="single" w:sz="4" w:space="0" w:color="auto"/>
            </w:tcBorders>
            <w:vAlign w:val="center"/>
          </w:tcPr>
          <w:p w14:paraId="4D1E042A" w14:textId="0BA25C50" w:rsidR="00332234" w:rsidRPr="004338BE" w:rsidRDefault="0018381E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14:paraId="13929940" w14:textId="77777777" w:rsidR="00332234" w:rsidRPr="004338BE" w:rsidRDefault="00332234" w:rsidP="00975CA3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/>
              </w:rPr>
            </w:pPr>
          </w:p>
        </w:tc>
      </w:tr>
    </w:tbl>
    <w:p w14:paraId="54176E7B" w14:textId="4E76844E" w:rsidR="00A33088" w:rsidRPr="004338BE" w:rsidRDefault="00A33088" w:rsidP="00A33088">
      <w:pPr>
        <w:spacing w:line="360" w:lineRule="auto"/>
        <w:jc w:val="both"/>
      </w:pPr>
      <w:r w:rsidRPr="004338BE">
        <w:rPr>
          <w:vertAlign w:val="superscript"/>
        </w:rPr>
        <w:t xml:space="preserve">a </w:t>
      </w:r>
      <w:r w:rsidRPr="004338BE">
        <w:t xml:space="preserve">BET surface area. </w:t>
      </w:r>
      <w:r w:rsidRPr="004338BE">
        <w:rPr>
          <w:vertAlign w:val="superscript"/>
        </w:rPr>
        <w:t xml:space="preserve">b </w:t>
      </w:r>
      <w:r w:rsidRPr="004338BE">
        <w:t xml:space="preserve">Single point total pore volume. </w:t>
      </w:r>
      <w:r w:rsidRPr="004338BE">
        <w:rPr>
          <w:vertAlign w:val="superscript"/>
        </w:rPr>
        <w:t xml:space="preserve">c </w:t>
      </w:r>
      <w:r w:rsidRPr="004338BE">
        <w:t xml:space="preserve">Average BET pore diameter. </w:t>
      </w:r>
      <w:r w:rsidRPr="004338BE">
        <w:rPr>
          <w:vertAlign w:val="superscript"/>
        </w:rPr>
        <w:t>d</w:t>
      </w:r>
      <w:r w:rsidRPr="004338BE">
        <w:t xml:space="preserve"> Metal dispersion from CO adsorption (average of three measurements).</w:t>
      </w:r>
    </w:p>
    <w:p w14:paraId="000967CD" w14:textId="160D5315" w:rsidR="008C78FE" w:rsidRPr="004338BE" w:rsidRDefault="008C78FE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183913D0" w14:textId="60B9DB77" w:rsidR="00CA6CC2" w:rsidRPr="004338BE" w:rsidRDefault="00CA6CC2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55255A51" w14:textId="1506B975" w:rsidR="00CA6CC2" w:rsidRPr="004338BE" w:rsidRDefault="00CA6CC2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3E0583C9" w14:textId="749D9E64" w:rsidR="00CA6CC2" w:rsidRPr="004338BE" w:rsidRDefault="00CA6CC2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5DD26381" w14:textId="6B402B65" w:rsidR="00CA6CC2" w:rsidRPr="004338BE" w:rsidRDefault="00CA6CC2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17CDB23D" w14:textId="493B7B0B" w:rsidR="00CA6CC2" w:rsidRPr="004338BE" w:rsidRDefault="00CA6CC2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09EC2745" w14:textId="16662A1C" w:rsidR="00CA6CC2" w:rsidRPr="004338BE" w:rsidRDefault="00CA6CC2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686A3728" w14:textId="77777777" w:rsidR="005E264D" w:rsidRPr="004338BE" w:rsidRDefault="005E264D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1CBB89F1" w14:textId="77777777" w:rsidR="00CA6CC2" w:rsidRPr="004338BE" w:rsidRDefault="00CA6CC2" w:rsidP="007A2196">
      <w:pPr>
        <w:pStyle w:val="RSCR02References"/>
        <w:numPr>
          <w:ilvl w:val="0"/>
          <w:numId w:val="0"/>
        </w:numPr>
        <w:spacing w:line="480" w:lineRule="auto"/>
        <w:ind w:left="426" w:right="-45" w:hanging="284"/>
        <w:rPr>
          <w:rFonts w:eastAsia="AdvP4DF60E"/>
          <w:sz w:val="24"/>
          <w:szCs w:val="24"/>
        </w:rPr>
      </w:pPr>
    </w:p>
    <w:p w14:paraId="07F0DB3F" w14:textId="77777777" w:rsidR="00A832E3" w:rsidRPr="004338BE" w:rsidRDefault="00A832E3" w:rsidP="00CA6CC2">
      <w:pPr>
        <w:pStyle w:val="RSCB02ArticleText"/>
        <w:spacing w:line="480" w:lineRule="auto"/>
        <w:rPr>
          <w:b/>
          <w:sz w:val="24"/>
          <w:szCs w:val="24"/>
        </w:rPr>
      </w:pPr>
    </w:p>
    <w:p w14:paraId="4DBBFB43" w14:textId="77777777" w:rsidR="00873308" w:rsidRPr="004338BE" w:rsidRDefault="00873308" w:rsidP="00127E21">
      <w:pPr>
        <w:spacing w:after="0" w:line="480" w:lineRule="auto"/>
        <w:rPr>
          <w:rFonts w:eastAsia="Calibri"/>
          <w:b/>
          <w:color w:val="000000"/>
        </w:rPr>
      </w:pPr>
    </w:p>
    <w:p w14:paraId="1D1DB1AA" w14:textId="77777777" w:rsidR="000E6BB3" w:rsidRPr="004338BE" w:rsidRDefault="000E6BB3" w:rsidP="00127E21">
      <w:pPr>
        <w:spacing w:after="0" w:line="480" w:lineRule="auto"/>
        <w:rPr>
          <w:rFonts w:eastAsia="Calibri"/>
          <w:b/>
          <w:color w:val="000000"/>
        </w:rPr>
      </w:pPr>
    </w:p>
    <w:p w14:paraId="148B5A3A" w14:textId="50991DEB" w:rsidR="00127E21" w:rsidRPr="004338BE" w:rsidRDefault="00127E21" w:rsidP="00127E21">
      <w:pPr>
        <w:spacing w:after="0" w:line="480" w:lineRule="auto"/>
        <w:rPr>
          <w:rFonts w:eastAsia="Calibri"/>
          <w:color w:val="000000"/>
        </w:rPr>
      </w:pPr>
      <w:r w:rsidRPr="004338BE">
        <w:rPr>
          <w:rFonts w:eastAsia="Calibri"/>
          <w:b/>
          <w:color w:val="000000"/>
        </w:rPr>
        <w:lastRenderedPageBreak/>
        <w:t xml:space="preserve">Table </w:t>
      </w:r>
      <w:r w:rsidR="00A557AF" w:rsidRPr="004338BE">
        <w:rPr>
          <w:rFonts w:eastAsia="Calibri"/>
          <w:b/>
          <w:color w:val="000000"/>
        </w:rPr>
        <w:t>2</w:t>
      </w:r>
      <w:r w:rsidRPr="004338BE">
        <w:rPr>
          <w:rFonts w:eastAsia="Calibri"/>
          <w:color w:val="000000"/>
        </w:rPr>
        <w:t xml:space="preserve"> </w:t>
      </w:r>
    </w:p>
    <w:p w14:paraId="41112755" w14:textId="77777777" w:rsidR="00127E21" w:rsidRPr="004338BE" w:rsidRDefault="00127E21" w:rsidP="00127E21">
      <w:pPr>
        <w:spacing w:after="0" w:line="480" w:lineRule="auto"/>
        <w:rPr>
          <w:rFonts w:eastAsia="Calibri"/>
          <w:color w:val="000000"/>
        </w:rPr>
      </w:pPr>
      <w:r w:rsidRPr="004338BE">
        <w:rPr>
          <w:rFonts w:eastAsia="Calibri"/>
          <w:color w:val="000000"/>
        </w:rPr>
        <w:t xml:space="preserve">Hydrodeoxygenation of </w:t>
      </w:r>
      <w:proofErr w:type="spellStart"/>
      <w:r w:rsidRPr="004338BE">
        <w:rPr>
          <w:rFonts w:eastAsia="Calibri"/>
          <w:color w:val="000000"/>
        </w:rPr>
        <w:t>DMTHF.</w:t>
      </w:r>
      <w:r w:rsidRPr="004338BE">
        <w:rPr>
          <w:rFonts w:eastAsia="Calibri"/>
          <w:color w:val="000000"/>
          <w:vertAlign w:val="superscript"/>
        </w:rPr>
        <w:t>a</w:t>
      </w:r>
      <w:proofErr w:type="spellEnd"/>
    </w:p>
    <w:tbl>
      <w:tblPr>
        <w:tblStyle w:val="PlainTable21"/>
        <w:tblW w:w="9406" w:type="dxa"/>
        <w:tblLayout w:type="fixed"/>
        <w:tblLook w:val="04A0" w:firstRow="1" w:lastRow="0" w:firstColumn="1" w:lastColumn="0" w:noHBand="0" w:noVBand="1"/>
      </w:tblPr>
      <w:tblGrid>
        <w:gridCol w:w="514"/>
        <w:gridCol w:w="2647"/>
        <w:gridCol w:w="817"/>
        <w:gridCol w:w="841"/>
        <w:gridCol w:w="25"/>
        <w:gridCol w:w="915"/>
        <w:gridCol w:w="1235"/>
        <w:gridCol w:w="137"/>
        <w:gridCol w:w="1235"/>
        <w:gridCol w:w="138"/>
        <w:gridCol w:w="651"/>
        <w:gridCol w:w="39"/>
        <w:gridCol w:w="212"/>
      </w:tblGrid>
      <w:tr w:rsidR="00DC4917" w:rsidRPr="004338BE" w14:paraId="4449F38E" w14:textId="77777777" w:rsidTr="005A09E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1" w:type="dxa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CE1A50" w14:textId="0DCD58F3" w:rsidR="00DC4917" w:rsidRPr="004338BE" w:rsidRDefault="007F37A0" w:rsidP="00975CA3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No</w:t>
            </w:r>
          </w:p>
        </w:tc>
        <w:tc>
          <w:tcPr>
            <w:tcW w:w="264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A1EAD90" w14:textId="69D1559B" w:rsidR="00DC4917" w:rsidRPr="004338BE" w:rsidRDefault="00DC4917" w:rsidP="005A09EB">
            <w:pPr>
              <w:ind w:hanging="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338BE">
              <w:rPr>
                <w:rFonts w:ascii="Times New Roman" w:hAnsi="Times New Roman" w:cs="Times New Roman"/>
                <w:b w:val="0"/>
                <w:bCs w:val="0"/>
              </w:rPr>
              <w:t>Catalyst</w:t>
            </w:r>
          </w:p>
        </w:tc>
        <w:tc>
          <w:tcPr>
            <w:tcW w:w="817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15F5444F" w14:textId="77777777" w:rsidR="00DC4917" w:rsidRPr="004338BE" w:rsidRDefault="00DC4917" w:rsidP="00975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338BE">
              <w:rPr>
                <w:rFonts w:ascii="Times New Roman" w:hAnsi="Times New Roman" w:cs="Times New Roman"/>
                <w:b w:val="0"/>
                <w:bCs w:val="0"/>
              </w:rPr>
              <w:t xml:space="preserve">Temp. </w:t>
            </w:r>
          </w:p>
          <w:p w14:paraId="7D4A39C0" w14:textId="5DE905A3" w:rsidR="00DC4917" w:rsidRPr="004338BE" w:rsidRDefault="00DC4917" w:rsidP="00975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4338BE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o</w:t>
            </w:r>
            <w:r w:rsidRPr="004338BE">
              <w:rPr>
                <w:rFonts w:ascii="Times New Roman" w:hAnsi="Times New Roman" w:cs="Times New Roman"/>
                <w:b w:val="0"/>
                <w:bCs w:val="0"/>
              </w:rPr>
              <w:t>C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hideMark/>
          </w:tcPr>
          <w:p w14:paraId="23967DA7" w14:textId="77777777" w:rsidR="00DC4917" w:rsidRPr="004338BE" w:rsidRDefault="00DC4917" w:rsidP="00975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4338BE">
              <w:rPr>
                <w:rFonts w:ascii="Times New Roman" w:hAnsi="Times New Roman" w:cs="Times New Roman"/>
                <w:b w:val="0"/>
                <w:bCs w:val="0"/>
              </w:rPr>
              <w:t>Conv.</w:t>
            </w:r>
            <w:r w:rsidRPr="004338BE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b</w:t>
            </w:r>
            <w:proofErr w:type="spellEnd"/>
            <w:r w:rsidRPr="004338B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14:paraId="5F5F2FBB" w14:textId="03B4D5A1" w:rsidR="00DC4917" w:rsidRPr="004338BE" w:rsidRDefault="00DC4917" w:rsidP="00975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4338BE">
              <w:rPr>
                <w:rFonts w:ascii="Times New Roman" w:hAnsi="Times New Roman" w:cs="Times New Roman"/>
                <w:b w:val="0"/>
                <w:bCs w:val="0"/>
              </w:rPr>
              <w:t>%</w:t>
            </w:r>
          </w:p>
        </w:tc>
        <w:tc>
          <w:tcPr>
            <w:tcW w:w="4375" w:type="dxa"/>
            <w:gridSpan w:val="8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1B6FE63" w14:textId="77777777" w:rsidR="00DC4917" w:rsidRPr="004338BE" w:rsidRDefault="00DC4917" w:rsidP="007F37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338BE">
              <w:rPr>
                <w:rFonts w:ascii="Times New Roman" w:hAnsi="Times New Roman" w:cs="Times New Roman"/>
                <w:b w:val="0"/>
                <w:bCs w:val="0"/>
              </w:rPr>
              <w:t xml:space="preserve">Product </w:t>
            </w:r>
            <w:proofErr w:type="spellStart"/>
            <w:r w:rsidRPr="004338BE">
              <w:rPr>
                <w:rFonts w:ascii="Times New Roman" w:hAnsi="Times New Roman" w:cs="Times New Roman"/>
                <w:b w:val="0"/>
                <w:bCs w:val="0"/>
              </w:rPr>
              <w:t>selectivity</w:t>
            </w:r>
            <w:r w:rsidRPr="004338BE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b</w:t>
            </w:r>
            <w:proofErr w:type="spellEnd"/>
            <w:r w:rsidRPr="004338BE">
              <w:rPr>
                <w:rFonts w:ascii="Times New Roman" w:hAnsi="Times New Roman" w:cs="Times New Roman"/>
                <w:b w:val="0"/>
                <w:bCs w:val="0"/>
              </w:rPr>
              <w:t xml:space="preserve"> (% mol)</w:t>
            </w:r>
          </w:p>
        </w:tc>
      </w:tr>
      <w:tr w:rsidR="005A09EB" w:rsidRPr="004338BE" w14:paraId="53AF3D0B" w14:textId="77777777" w:rsidTr="005A09E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0" w:type="dxa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E3F7A" w14:textId="77777777" w:rsidR="00DC4917" w:rsidRPr="004338BE" w:rsidRDefault="00DC4917" w:rsidP="00975CA3">
            <w:pPr>
              <w:rPr>
                <w:b w:val="0"/>
                <w:bCs w:val="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17563" w14:textId="63D44454" w:rsidR="00DC4917" w:rsidRPr="004338BE" w:rsidRDefault="00DC4917" w:rsidP="005A09EB">
            <w:pPr>
              <w:ind w:hanging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138E6" w14:textId="77777777" w:rsidR="00DC4917" w:rsidRPr="004338BE" w:rsidRDefault="00DC4917" w:rsidP="00975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80928A" w14:textId="77777777" w:rsidR="00DC4917" w:rsidRPr="004338BE" w:rsidRDefault="00DC4917" w:rsidP="00975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40" w:type="dxa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C82A0CF" w14:textId="48E6DDC1" w:rsidR="00DC4917" w:rsidRPr="004338BE" w:rsidRDefault="00DC4917" w:rsidP="007F37A0">
            <w:pPr>
              <w:spacing w:after="0"/>
              <w:ind w:hanging="1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Hexane</w:t>
            </w:r>
          </w:p>
        </w:tc>
        <w:tc>
          <w:tcPr>
            <w:tcW w:w="1372" w:type="dxa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A5FF586" w14:textId="77777777" w:rsidR="00DC4917" w:rsidRPr="004338BE" w:rsidRDefault="00DC4917" w:rsidP="007F37A0">
            <w:pPr>
              <w:spacing w:after="0"/>
              <w:ind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2-Hexanone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E5AE4BA" w14:textId="77777777" w:rsidR="00DC4917" w:rsidRPr="004338BE" w:rsidRDefault="00DC4917" w:rsidP="007F37A0">
            <w:pPr>
              <w:spacing w:after="0"/>
              <w:ind w:hanging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4338BE">
              <w:rPr>
                <w:rFonts w:ascii="Times New Roman" w:hAnsi="Times New Roman" w:cs="Times New Roman"/>
              </w:rPr>
              <w:t>2-Hexanol</w:t>
            </w:r>
          </w:p>
        </w:tc>
        <w:tc>
          <w:tcPr>
            <w:tcW w:w="789" w:type="dxa"/>
            <w:gridSpan w:val="2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005A59C" w14:textId="77777777" w:rsidR="00DC4917" w:rsidRPr="004338BE" w:rsidRDefault="00DC4917" w:rsidP="007F37A0">
            <w:pPr>
              <w:spacing w:after="0"/>
              <w:ind w:hanging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Other</w:t>
            </w:r>
          </w:p>
        </w:tc>
      </w:tr>
      <w:tr w:rsidR="005A09EB" w:rsidRPr="004338BE" w14:paraId="1E639660" w14:textId="77777777" w:rsidTr="005A09EB">
        <w:trPr>
          <w:gridAfter w:val="1"/>
          <w:wAfter w:w="212" w:type="dxa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37D03BE" w14:textId="7D5A1C5F" w:rsidR="00DC4917" w:rsidRPr="004338BE" w:rsidRDefault="007F37A0" w:rsidP="00975CA3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04C5B401" w14:textId="11E619EB" w:rsidR="00DC4917" w:rsidRPr="004338BE" w:rsidRDefault="00DC4917" w:rsidP="005A09EB">
            <w:pPr>
              <w:ind w:hanging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338BE">
              <w:rPr>
                <w:rFonts w:ascii="Times New Roman" w:hAnsi="Times New Roman" w:cs="Times New Roman"/>
              </w:rPr>
              <w:t>CsPW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F973825" w14:textId="77777777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338BE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5751BC9B" w14:textId="77777777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D65FD" w14:textId="7BE72ED4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DFE9963" w14:textId="63B0422A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F5C2F" w14:textId="00A8B83A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03C3C" w14:textId="4D6D998E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A09EB" w:rsidRPr="004338BE" w14:paraId="29D870C6" w14:textId="77777777" w:rsidTr="005A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2112592" w14:textId="04FF6C9D" w:rsidR="00DC4917" w:rsidRPr="004338BE" w:rsidRDefault="007F37A0" w:rsidP="00975CA3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6D8CACC6" w14:textId="2E0572C8" w:rsidR="00DC4917" w:rsidRPr="004338BE" w:rsidRDefault="00DC4917" w:rsidP="005A09EB">
            <w:pPr>
              <w:ind w:hanging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4338BE">
              <w:rPr>
                <w:rFonts w:ascii="Times New Roman" w:hAnsi="Times New Roman" w:cs="Times New Roman"/>
              </w:rPr>
              <w:t>9.6%Pt/C+SiO</w:t>
            </w:r>
            <w:r w:rsidRPr="004338BE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4338BE">
              <w:rPr>
                <w:rFonts w:ascii="Times New Roman" w:hAnsi="Times New Roman" w:cs="Times New Roman"/>
              </w:rPr>
              <w:t>(1:9 w/w)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8CD2835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338BE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C51E6" w14:textId="77777777" w:rsidR="00DC4917" w:rsidRPr="004338BE" w:rsidRDefault="00DC4917" w:rsidP="007F37A0">
            <w:pPr>
              <w:ind w:left="-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 xml:space="preserve">  1.6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F2E9375" w14:textId="77777777" w:rsidR="00DC4917" w:rsidRPr="004338BE" w:rsidRDefault="00DC4917" w:rsidP="007F37A0">
            <w:pPr>
              <w:ind w:left="-111" w:firstLine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BE478" w14:textId="77777777" w:rsidR="00DC4917" w:rsidRPr="004338BE" w:rsidRDefault="00DC4917" w:rsidP="007F37A0">
            <w:pPr>
              <w:ind w:left="-111" w:firstLine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8A370" w14:textId="77777777" w:rsidR="00DC4917" w:rsidRPr="004338BE" w:rsidRDefault="00DC4917" w:rsidP="007F37A0">
            <w:pPr>
              <w:ind w:left="-111" w:firstLine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87.6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2E358" w14:textId="77777777" w:rsidR="00DC4917" w:rsidRPr="004338BE" w:rsidRDefault="00DC4917" w:rsidP="007F37A0">
            <w:pPr>
              <w:ind w:left="-111" w:firstLine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2.9</w:t>
            </w:r>
          </w:p>
        </w:tc>
      </w:tr>
      <w:tr w:rsidR="005A09EB" w:rsidRPr="004338BE" w14:paraId="002FABA4" w14:textId="77777777" w:rsidTr="005A09EB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C9D3D0C" w14:textId="55F67F80" w:rsidR="00DC4917" w:rsidRPr="004338BE" w:rsidRDefault="007F37A0" w:rsidP="00975CA3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4B160927" w14:textId="06DB0D63" w:rsidR="00DC4917" w:rsidRPr="004338BE" w:rsidRDefault="00DC4917" w:rsidP="005A09EB">
            <w:pPr>
              <w:ind w:hanging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38BE">
              <w:rPr>
                <w:rFonts w:ascii="Times New Roman" w:hAnsi="Times New Roman" w:cs="Times New Roman"/>
              </w:rPr>
              <w:t>9.6%Pt/C+SiO</w:t>
            </w:r>
            <w:r w:rsidRPr="004338BE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4338BE">
              <w:rPr>
                <w:rFonts w:ascii="Times New Roman" w:hAnsi="Times New Roman" w:cs="Times New Roman"/>
              </w:rPr>
              <w:t>(1:9 w/w)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769F91B" w14:textId="7E67BB3D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338B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655C7" w14:textId="67442CF6" w:rsidR="00DC4917" w:rsidRPr="004338BE" w:rsidRDefault="00DC4917" w:rsidP="007F37A0">
            <w:pPr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 xml:space="preserve">  3.0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958C61" w14:textId="75198438" w:rsidR="00DC4917" w:rsidRPr="004338BE" w:rsidRDefault="00DC4917" w:rsidP="007F37A0">
            <w:pPr>
              <w:ind w:left="-111" w:firstLine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76450" w14:textId="64F2DA5E" w:rsidR="00DC4917" w:rsidRPr="004338BE" w:rsidRDefault="00DC4917" w:rsidP="007F37A0">
            <w:pPr>
              <w:ind w:left="-111" w:firstLine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053AA" w14:textId="74D79326" w:rsidR="00DC4917" w:rsidRPr="004338BE" w:rsidRDefault="00DC4917" w:rsidP="007F37A0">
            <w:pPr>
              <w:ind w:left="-111" w:firstLine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66B4F" w14:textId="1FCF36DA" w:rsidR="00DC4917" w:rsidRPr="004338BE" w:rsidRDefault="00DC4917" w:rsidP="007F37A0">
            <w:pPr>
              <w:ind w:left="-111" w:firstLine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1.7</w:t>
            </w:r>
          </w:p>
        </w:tc>
      </w:tr>
      <w:tr w:rsidR="005A09EB" w:rsidRPr="004338BE" w14:paraId="0DF1066B" w14:textId="77777777" w:rsidTr="005A0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ADC5C78" w14:textId="6C8641BD" w:rsidR="00DC4917" w:rsidRPr="004338BE" w:rsidRDefault="007F37A0" w:rsidP="00975CA3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1A88BDBB" w14:textId="573BC408" w:rsidR="00DC4917" w:rsidRPr="004338BE" w:rsidRDefault="00DC4917" w:rsidP="005A09EB">
            <w:pPr>
              <w:ind w:hanging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338BE">
              <w:rPr>
                <w:rFonts w:ascii="Times New Roman" w:hAnsi="Times New Roman" w:cs="Times New Roman"/>
              </w:rPr>
              <w:t>9.6%Pt/</w:t>
            </w:r>
            <w:proofErr w:type="spellStart"/>
            <w:r w:rsidRPr="004338BE">
              <w:rPr>
                <w:rFonts w:ascii="Times New Roman" w:hAnsi="Times New Roman" w:cs="Times New Roman"/>
              </w:rPr>
              <w:t>C+CsPW</w:t>
            </w:r>
            <w:proofErr w:type="spellEnd"/>
            <w:r w:rsidRPr="004338BE">
              <w:rPr>
                <w:rFonts w:ascii="Times New Roman" w:hAnsi="Times New Roman" w:cs="Times New Roman"/>
              </w:rPr>
              <w:t xml:space="preserve"> (1:9 w/w)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AE36B1B" w14:textId="5501B9F6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338BE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098D0" w14:textId="2AD4D3AC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4351A2" w14:textId="506AD554" w:rsidR="00DC4917" w:rsidRPr="004338BE" w:rsidRDefault="00DC4917" w:rsidP="007F37A0">
            <w:pPr>
              <w:ind w:left="-111" w:firstLine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73.7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F872C" w14:textId="79E0A0B6" w:rsidR="00DC4917" w:rsidRPr="004338BE" w:rsidRDefault="00DC4917" w:rsidP="007F37A0">
            <w:pPr>
              <w:ind w:left="-111" w:firstLine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17C39" w14:textId="1794585F" w:rsidR="00DC4917" w:rsidRPr="004338BE" w:rsidRDefault="00DC4917" w:rsidP="007F37A0">
            <w:pPr>
              <w:ind w:left="-111" w:firstLine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77D5C" w14:textId="570732B7" w:rsidR="00DC4917" w:rsidRPr="004338BE" w:rsidRDefault="00DC4917" w:rsidP="007F37A0">
            <w:pPr>
              <w:ind w:left="-111" w:firstLine="1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0.0</w:t>
            </w:r>
          </w:p>
        </w:tc>
      </w:tr>
      <w:tr w:rsidR="005A09EB" w:rsidRPr="004338BE" w14:paraId="7F07E8BB" w14:textId="77777777" w:rsidTr="005A09EB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3D67163" w14:textId="7594F39B" w:rsidR="00DC4917" w:rsidRPr="004338BE" w:rsidRDefault="007F37A0" w:rsidP="0026682F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7A153A78" w14:textId="62D44135" w:rsidR="00DC4917" w:rsidRPr="004338BE" w:rsidRDefault="00DC4917" w:rsidP="005A09EB">
            <w:pPr>
              <w:ind w:hanging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338BE">
              <w:rPr>
                <w:rFonts w:ascii="Times New Roman" w:hAnsi="Times New Roman" w:cs="Times New Roman"/>
              </w:rPr>
              <w:t>9.6%Pt/</w:t>
            </w:r>
            <w:proofErr w:type="spellStart"/>
            <w:r w:rsidRPr="004338BE">
              <w:rPr>
                <w:rFonts w:ascii="Times New Roman" w:hAnsi="Times New Roman" w:cs="Times New Roman"/>
              </w:rPr>
              <w:t>C+CsPW</w:t>
            </w:r>
            <w:proofErr w:type="spellEnd"/>
            <w:r w:rsidRPr="004338BE">
              <w:rPr>
                <w:rFonts w:ascii="Times New Roman" w:hAnsi="Times New Roman" w:cs="Times New Roman"/>
              </w:rPr>
              <w:t xml:space="preserve"> (1:9 w/w)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B711178" w14:textId="3D6599B2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338BE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7F671" w14:textId="687CA4F1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B7642B0" w14:textId="01E5F011" w:rsidR="00DC4917" w:rsidRPr="004338BE" w:rsidRDefault="00DC4917" w:rsidP="007F37A0">
            <w:pPr>
              <w:ind w:left="-111" w:firstLine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93A85" w14:textId="53E9A99C" w:rsidR="00DC4917" w:rsidRPr="004338BE" w:rsidRDefault="00DC4917" w:rsidP="007F37A0">
            <w:pPr>
              <w:ind w:left="-111" w:firstLine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DF54" w14:textId="0B34B86A" w:rsidR="00DC4917" w:rsidRPr="004338BE" w:rsidRDefault="00DC4917" w:rsidP="007F37A0">
            <w:pPr>
              <w:ind w:left="-111" w:firstLine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25947" w14:textId="547C069D" w:rsidR="00DC4917" w:rsidRPr="004338BE" w:rsidRDefault="00DC4917" w:rsidP="007F37A0">
            <w:pPr>
              <w:ind w:left="-111" w:firstLine="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0.0</w:t>
            </w:r>
          </w:p>
        </w:tc>
      </w:tr>
      <w:tr w:rsidR="005A09EB" w:rsidRPr="004338BE" w14:paraId="36387026" w14:textId="77777777" w:rsidTr="005A09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" w:type="dxa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0094A29" w14:textId="6E527C90" w:rsidR="00DC4917" w:rsidRPr="004338BE" w:rsidRDefault="007F37A0" w:rsidP="0026682F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6F6B328B" w14:textId="54C8A25A" w:rsidR="00DC4917" w:rsidRPr="004338BE" w:rsidRDefault="00DC4917" w:rsidP="005A09EB">
            <w:pPr>
              <w:ind w:hanging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4338BE">
              <w:rPr>
                <w:rFonts w:ascii="Times New Roman" w:hAnsi="Times New Roman" w:cs="Times New Roman"/>
              </w:rPr>
              <w:t>9.6%Pt/</w:t>
            </w:r>
            <w:proofErr w:type="spellStart"/>
            <w:r w:rsidRPr="004338BE">
              <w:rPr>
                <w:rFonts w:ascii="Times New Roman" w:hAnsi="Times New Roman" w:cs="Times New Roman"/>
              </w:rPr>
              <w:t>C+CsPW</w:t>
            </w:r>
            <w:proofErr w:type="spellEnd"/>
            <w:r w:rsidRPr="004338BE">
              <w:rPr>
                <w:rFonts w:ascii="Times New Roman" w:hAnsi="Times New Roman" w:cs="Times New Roman"/>
              </w:rPr>
              <w:t xml:space="preserve"> (1:9 w/w)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E7EFDCC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338BE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68DB6C53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797AD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99.6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DE2946D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4E581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 xml:space="preserve">  0.4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53969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 xml:space="preserve">  0.0</w:t>
            </w:r>
          </w:p>
        </w:tc>
      </w:tr>
      <w:tr w:rsidR="005A09EB" w:rsidRPr="004338BE" w14:paraId="22004CED" w14:textId="77777777" w:rsidTr="005A09EB">
        <w:trPr>
          <w:gridAfter w:val="1"/>
          <w:wAfter w:w="212" w:type="dxa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B29440D" w14:textId="6D8198DF" w:rsidR="00DC4917" w:rsidRPr="004338BE" w:rsidRDefault="007F37A0" w:rsidP="0026682F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2E333726" w14:textId="6F6EDD36" w:rsidR="00DC4917" w:rsidRPr="004338BE" w:rsidRDefault="00DC4917" w:rsidP="005A09EB">
            <w:pPr>
              <w:ind w:hanging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4338BE">
              <w:rPr>
                <w:rFonts w:ascii="Times New Roman" w:hAnsi="Times New Roman" w:cs="Times New Roman"/>
              </w:rPr>
              <w:t>9.6%Pt/</w:t>
            </w:r>
            <w:proofErr w:type="spellStart"/>
            <w:r w:rsidRPr="004338BE">
              <w:rPr>
                <w:rFonts w:ascii="Times New Roman" w:hAnsi="Times New Roman" w:cs="Times New Roman"/>
              </w:rPr>
              <w:t>C+CsPW</w:t>
            </w:r>
            <w:proofErr w:type="spellEnd"/>
            <w:r w:rsidRPr="004338BE">
              <w:rPr>
                <w:rFonts w:ascii="Times New Roman" w:hAnsi="Times New Roman" w:cs="Times New Roman"/>
              </w:rPr>
              <w:t xml:space="preserve"> (1:9 w/w)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DD7825F" w14:textId="77777777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338BE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FB160FC" w14:textId="77777777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281BB" w14:textId="77777777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99.9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697C923" w14:textId="77777777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C1444" w14:textId="77777777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 xml:space="preserve">  0.1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2324B" w14:textId="77777777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 xml:space="preserve">  0.0</w:t>
            </w:r>
          </w:p>
        </w:tc>
      </w:tr>
      <w:tr w:rsidR="005A09EB" w:rsidRPr="004338BE" w14:paraId="01F97C3F" w14:textId="77777777" w:rsidTr="005A09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" w:type="dxa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DEA59E" w14:textId="1FD286E5" w:rsidR="00DC4917" w:rsidRPr="004338BE" w:rsidRDefault="007F37A0" w:rsidP="00533E48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415562BF" w14:textId="49245BB2" w:rsidR="00DC4917" w:rsidRPr="004338BE" w:rsidRDefault="00DC4917" w:rsidP="005A09EB">
            <w:pPr>
              <w:ind w:hanging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4338BE">
              <w:rPr>
                <w:rFonts w:ascii="Times New Roman" w:hAnsi="Times New Roman" w:cs="Times New Roman"/>
              </w:rPr>
              <w:t>9.6%Pt/</w:t>
            </w:r>
            <w:proofErr w:type="spellStart"/>
            <w:r w:rsidRPr="004338BE">
              <w:rPr>
                <w:rFonts w:ascii="Times New Roman" w:hAnsi="Times New Roman" w:cs="Times New Roman"/>
              </w:rPr>
              <w:t>C+CsPW</w:t>
            </w:r>
            <w:proofErr w:type="spellEnd"/>
            <w:r w:rsidRPr="004338BE">
              <w:rPr>
                <w:rFonts w:ascii="Times New Roman" w:hAnsi="Times New Roman" w:cs="Times New Roman"/>
              </w:rPr>
              <w:t xml:space="preserve"> (1:9 w/w)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3BA1CAC" w14:textId="7C7936A1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338BE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5EA9973" w14:textId="4ABCE352" w:rsidR="00DC4917" w:rsidRPr="004338BE" w:rsidRDefault="00DC4917" w:rsidP="007F37A0">
            <w:pPr>
              <w:ind w:hanging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&gt;99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D95A2" w14:textId="0019BE6C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8326547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4578B" w14:textId="06D35E6B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 xml:space="preserve">  0.0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F47FC" w14:textId="77777777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38BE">
              <w:rPr>
                <w:rFonts w:ascii="Times New Roman" w:hAnsi="Times New Roman" w:cs="Times New Roman"/>
              </w:rPr>
              <w:t xml:space="preserve">  0.0</w:t>
            </w:r>
          </w:p>
        </w:tc>
      </w:tr>
      <w:tr w:rsidR="005A09EB" w:rsidRPr="004338BE" w14:paraId="7C5C6922" w14:textId="77777777" w:rsidTr="005A09EB">
        <w:trPr>
          <w:gridAfter w:val="1"/>
          <w:wAfter w:w="212" w:type="dxa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85A1AA7" w14:textId="6A8DB79C" w:rsidR="00DC4917" w:rsidRPr="004338BE" w:rsidRDefault="007F37A0" w:rsidP="008B28CD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73DDD83E" w14:textId="02844BBC" w:rsidR="00DC4917" w:rsidRPr="004338BE" w:rsidRDefault="00DC4917" w:rsidP="005A09EB">
            <w:pPr>
              <w:ind w:hanging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338BE">
              <w:rPr>
                <w:rFonts w:asciiTheme="majorBidi" w:hAnsiTheme="majorBidi" w:cstheme="majorBidi"/>
              </w:rPr>
              <w:t>7.8%Pd/</w:t>
            </w:r>
            <w:proofErr w:type="spellStart"/>
            <w:r w:rsidRPr="004338BE">
              <w:rPr>
                <w:rFonts w:asciiTheme="majorBidi" w:hAnsiTheme="majorBidi" w:cstheme="majorBidi"/>
              </w:rPr>
              <w:t>C+CsPW</w:t>
            </w:r>
            <w:proofErr w:type="spellEnd"/>
            <w:r w:rsidRPr="004338BE">
              <w:rPr>
                <w:rFonts w:asciiTheme="majorBidi" w:hAnsiTheme="majorBidi" w:cstheme="majorBidi"/>
              </w:rPr>
              <w:t xml:space="preserve"> (1:7 w/w)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0BDBFBB" w14:textId="04C27BA5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338BE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2A71307E" w14:textId="426A708C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E1728" w14:textId="7E066983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89.9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BAB3B03" w14:textId="53AA0938" w:rsidR="00DC4917" w:rsidRPr="004338BE" w:rsidRDefault="00DC4917" w:rsidP="007F37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3.0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3C7FE" w14:textId="54178459" w:rsidR="00DC4917" w:rsidRPr="004338BE" w:rsidRDefault="00DC4917" w:rsidP="007F37A0">
            <w:pPr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2.0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C364F" w14:textId="4BFB81E1" w:rsidR="00DC4917" w:rsidRPr="004338BE" w:rsidRDefault="00DC4917" w:rsidP="007F37A0">
            <w:pPr>
              <w:ind w:lef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5.5</w:t>
            </w:r>
          </w:p>
        </w:tc>
      </w:tr>
      <w:tr w:rsidR="005A09EB" w:rsidRPr="004338BE" w14:paraId="1B4B7D67" w14:textId="77777777" w:rsidTr="005A09E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2" w:type="dxa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83B5A" w14:textId="2EBA60EC" w:rsidR="00DC4917" w:rsidRPr="004338BE" w:rsidRDefault="007F37A0" w:rsidP="008B28CD">
            <w:pPr>
              <w:rPr>
                <w:rFonts w:ascii="Times New Roman" w:hAnsi="Times New Roman" w:cs="Times New Roman"/>
                <w:b w:val="0"/>
              </w:rPr>
            </w:pPr>
            <w:r w:rsidRPr="004338BE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173D" w14:textId="23BD4AB8" w:rsidR="00DC4917" w:rsidRPr="004338BE" w:rsidRDefault="00DC4917" w:rsidP="005A09EB">
            <w:pPr>
              <w:ind w:hanging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338BE">
              <w:rPr>
                <w:rFonts w:asciiTheme="majorBidi" w:hAnsiTheme="majorBidi" w:cstheme="majorBidi"/>
              </w:rPr>
              <w:t>7.8%Pd/</w:t>
            </w:r>
            <w:proofErr w:type="spellStart"/>
            <w:r w:rsidRPr="004338BE">
              <w:rPr>
                <w:rFonts w:asciiTheme="majorBidi" w:hAnsiTheme="majorBidi" w:cstheme="majorBidi"/>
              </w:rPr>
              <w:t>C+CsPW</w:t>
            </w:r>
            <w:proofErr w:type="spellEnd"/>
            <w:r w:rsidRPr="004338BE">
              <w:rPr>
                <w:rFonts w:asciiTheme="majorBidi" w:hAnsiTheme="majorBidi" w:cstheme="majorBidi"/>
              </w:rPr>
              <w:t xml:space="preserve"> (1:7 w/w)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65328" w14:textId="27342AE1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338BE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0F0C2" w14:textId="3587BA9E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2A67" w14:textId="4036A5B0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91.0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488DC" w14:textId="0AB26E35" w:rsidR="00DC4917" w:rsidRPr="004338BE" w:rsidRDefault="00DC4917" w:rsidP="007F37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3.8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38CA" w14:textId="53EA057E" w:rsidR="00DC4917" w:rsidRPr="004338BE" w:rsidRDefault="00DC4917" w:rsidP="007F37A0">
            <w:pPr>
              <w:ind w:lef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66132" w14:textId="5F6EB081" w:rsidR="00DC4917" w:rsidRPr="004338BE" w:rsidRDefault="00DC4917" w:rsidP="007F37A0">
            <w:pPr>
              <w:ind w:lef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38BE">
              <w:rPr>
                <w:rFonts w:asciiTheme="majorBidi" w:hAnsiTheme="majorBidi" w:cstheme="majorBidi"/>
              </w:rPr>
              <w:t>5.0</w:t>
            </w:r>
          </w:p>
        </w:tc>
      </w:tr>
    </w:tbl>
    <w:p w14:paraId="0093E64F" w14:textId="4BBC5570" w:rsidR="00127E21" w:rsidRPr="004338BE" w:rsidRDefault="00127E21" w:rsidP="00127E21">
      <w:pPr>
        <w:spacing w:line="360" w:lineRule="auto"/>
        <w:jc w:val="both"/>
        <w:rPr>
          <w:rFonts w:eastAsia="Calibri"/>
          <w:sz w:val="22"/>
          <w:szCs w:val="22"/>
        </w:rPr>
      </w:pPr>
      <w:r w:rsidRPr="004338BE">
        <w:rPr>
          <w:rFonts w:eastAsia="Calibri"/>
          <w:bCs/>
          <w:sz w:val="22"/>
          <w:szCs w:val="22"/>
          <w:vertAlign w:val="superscript"/>
        </w:rPr>
        <w:t>a</w:t>
      </w:r>
      <w:r w:rsidRPr="004338BE">
        <w:rPr>
          <w:rFonts w:eastAsia="Calibri"/>
          <w:bCs/>
          <w:sz w:val="22"/>
          <w:szCs w:val="22"/>
        </w:rPr>
        <w:t xml:space="preserve"> 0.20 g catalyst (1% metal loading</w:t>
      </w:r>
      <w:r w:rsidR="00033223" w:rsidRPr="004338BE">
        <w:rPr>
          <w:rFonts w:eastAsia="Calibri"/>
          <w:bCs/>
          <w:sz w:val="22"/>
          <w:szCs w:val="22"/>
        </w:rPr>
        <w:t xml:space="preserve"> per total catalyst weight</w:t>
      </w:r>
      <w:r w:rsidR="003818CC" w:rsidRPr="004338BE">
        <w:rPr>
          <w:rFonts w:eastAsia="Calibri"/>
          <w:bCs/>
          <w:sz w:val="22"/>
          <w:szCs w:val="22"/>
        </w:rPr>
        <w:t>, 20 mg Pt/C or 30 mg Pd/C</w:t>
      </w:r>
      <w:r w:rsidRPr="004338BE">
        <w:rPr>
          <w:rFonts w:eastAsia="Calibri"/>
          <w:bCs/>
          <w:sz w:val="22"/>
          <w:szCs w:val="22"/>
        </w:rPr>
        <w:t xml:space="preserve">), 2.3 kPa DMTHF, 20 </w:t>
      </w:r>
      <w:r w:rsidR="00F1657F" w:rsidRPr="004338BE">
        <w:rPr>
          <w:rFonts w:eastAsia="Calibri"/>
          <w:bCs/>
          <w:sz w:val="22"/>
          <w:szCs w:val="22"/>
        </w:rPr>
        <w:t>ml</w:t>
      </w:r>
      <w:r w:rsidRPr="004338BE">
        <w:rPr>
          <w:rFonts w:eastAsia="Calibri"/>
          <w:bCs/>
          <w:sz w:val="22"/>
          <w:szCs w:val="22"/>
        </w:rPr>
        <w:t xml:space="preserve"> min</w:t>
      </w:r>
      <w:r w:rsidRPr="004338BE">
        <w:rPr>
          <w:rFonts w:eastAsia="Calibri"/>
          <w:bCs/>
          <w:sz w:val="22"/>
          <w:szCs w:val="22"/>
          <w:vertAlign w:val="superscript"/>
        </w:rPr>
        <w:t>-1</w:t>
      </w:r>
      <w:r w:rsidRPr="004338BE">
        <w:rPr>
          <w:rFonts w:eastAsia="Calibri"/>
          <w:bCs/>
          <w:sz w:val="22"/>
          <w:szCs w:val="22"/>
        </w:rPr>
        <w:t xml:space="preserve"> H</w:t>
      </w:r>
      <w:r w:rsidRPr="004338BE">
        <w:rPr>
          <w:rFonts w:eastAsia="Calibri"/>
          <w:bCs/>
          <w:sz w:val="22"/>
          <w:szCs w:val="22"/>
          <w:vertAlign w:val="subscript"/>
        </w:rPr>
        <w:t xml:space="preserve">2 </w:t>
      </w:r>
      <w:r w:rsidRPr="004338BE">
        <w:rPr>
          <w:rFonts w:eastAsia="Calibri"/>
          <w:bCs/>
          <w:sz w:val="22"/>
          <w:szCs w:val="22"/>
        </w:rPr>
        <w:t xml:space="preserve">flow, 4 h TOS. </w:t>
      </w:r>
      <w:r w:rsidRPr="004338BE">
        <w:rPr>
          <w:rFonts w:eastAsia="Calibri"/>
          <w:sz w:val="22"/>
          <w:szCs w:val="22"/>
          <w:vertAlign w:val="superscript"/>
        </w:rPr>
        <w:t>b</w:t>
      </w:r>
      <w:r w:rsidRPr="004338BE">
        <w:rPr>
          <w:rFonts w:eastAsia="Calibri"/>
          <w:sz w:val="22"/>
          <w:szCs w:val="22"/>
        </w:rPr>
        <w:t xml:space="preserve"> Average conversion and product selectivity over 4 h TOS.</w:t>
      </w:r>
    </w:p>
    <w:p w14:paraId="215F3358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54472CF7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6FA1F9BE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1F97616D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38973CF5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2E87DF73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21904477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19E52F85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66B90B1E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7D30DC5B" w14:textId="77777777" w:rsidR="00A557AF" w:rsidRPr="004338BE" w:rsidRDefault="00A557AF" w:rsidP="00773CFC">
      <w:pPr>
        <w:rPr>
          <w:rFonts w:asciiTheme="majorBidi" w:hAnsiTheme="majorBidi" w:cstheme="majorBidi"/>
          <w:b/>
          <w:bCs/>
        </w:rPr>
      </w:pPr>
    </w:p>
    <w:p w14:paraId="195A8675" w14:textId="77777777" w:rsidR="004E2351" w:rsidRPr="004338BE" w:rsidRDefault="004E2351" w:rsidP="00773CFC">
      <w:pPr>
        <w:rPr>
          <w:rFonts w:asciiTheme="majorBidi" w:hAnsiTheme="majorBidi" w:cstheme="majorBidi"/>
          <w:b/>
          <w:bCs/>
        </w:rPr>
      </w:pPr>
    </w:p>
    <w:p w14:paraId="5ABE5B46" w14:textId="1A85C81B" w:rsidR="00773CFC" w:rsidRPr="004338BE" w:rsidRDefault="00773CFC" w:rsidP="00773CFC">
      <w:pPr>
        <w:rPr>
          <w:rFonts w:asciiTheme="majorBidi" w:hAnsiTheme="majorBidi" w:cstheme="majorBidi"/>
          <w:b/>
          <w:bCs/>
        </w:rPr>
      </w:pPr>
      <w:r w:rsidRPr="004338BE">
        <w:rPr>
          <w:rFonts w:asciiTheme="majorBidi" w:hAnsiTheme="majorBidi" w:cstheme="majorBidi"/>
          <w:b/>
          <w:bCs/>
        </w:rPr>
        <w:lastRenderedPageBreak/>
        <w:t xml:space="preserve">Table </w:t>
      </w:r>
      <w:r w:rsidR="00A557AF" w:rsidRPr="004338BE">
        <w:rPr>
          <w:rFonts w:asciiTheme="majorBidi" w:hAnsiTheme="majorBidi" w:cstheme="majorBidi"/>
          <w:b/>
          <w:bCs/>
        </w:rPr>
        <w:t>3</w:t>
      </w:r>
    </w:p>
    <w:tbl>
      <w:tblPr>
        <w:tblStyle w:val="TableGrid2"/>
        <w:tblpPr w:leftFromText="180" w:rightFromText="180" w:vertAnchor="text" w:horzAnchor="margin" w:tblpXSpec="center" w:tblpY="455"/>
        <w:tblW w:w="9158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2410"/>
        <w:gridCol w:w="1418"/>
        <w:gridCol w:w="1838"/>
        <w:gridCol w:w="1956"/>
        <w:gridCol w:w="1536"/>
      </w:tblGrid>
      <w:tr w:rsidR="002B786F" w:rsidRPr="004338BE" w14:paraId="27E311D7" w14:textId="1D8E35B7" w:rsidTr="00324AF2">
        <w:trPr>
          <w:trHeight w:val="134"/>
        </w:trPr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1EFD3C3C" w14:textId="77777777" w:rsidR="002B786F" w:rsidRPr="004338BE" w:rsidRDefault="002B786F" w:rsidP="00324A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bCs/>
                <w:sz w:val="24"/>
                <w:szCs w:val="24"/>
              </w:rPr>
              <w:t>Catalyst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934E0AA" w14:textId="1B8E294E" w:rsidR="002B786F" w:rsidRPr="004338BE" w:rsidRDefault="00E34E78" w:rsidP="00324AF2">
            <w:pPr>
              <w:rPr>
                <w:rFonts w:asciiTheme="majorBidi" w:hAnsiTheme="majorBidi" w:cstheme="majorBidi"/>
                <w:vertAlign w:val="superscript"/>
              </w:rPr>
            </w:pPr>
            <w:r w:rsidRPr="004338BE">
              <w:rPr>
                <w:rFonts w:asciiTheme="majorBidi" w:hAnsiTheme="majorBidi" w:cstheme="majorBidi"/>
              </w:rPr>
              <w:t>H</w:t>
            </w:r>
            <w:r w:rsidRPr="004338BE">
              <w:rPr>
                <w:rFonts w:asciiTheme="majorBidi" w:hAnsiTheme="majorBidi" w:cstheme="majorBidi"/>
                <w:vertAlign w:val="superscript"/>
              </w:rPr>
              <w:t>+</w:t>
            </w:r>
            <w:r w:rsidR="00B24B73" w:rsidRPr="004338BE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14:paraId="63BD21FE" w14:textId="64D1E063" w:rsidR="00E34E78" w:rsidRPr="004338BE" w:rsidRDefault="002B786F" w:rsidP="00324AF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338BE">
              <w:rPr>
                <w:rFonts w:asciiTheme="majorBidi" w:hAnsiTheme="majorBidi" w:cstheme="majorBidi"/>
                <w:sz w:val="24"/>
                <w:szCs w:val="24"/>
              </w:rPr>
              <w:t>Conversion</w:t>
            </w:r>
            <w:r w:rsidR="00B24B73" w:rsidRPr="004338B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proofErr w:type="spellEnd"/>
            <w:r w:rsidRPr="004338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9786B6E" w14:textId="1CF120A6" w:rsidR="002B786F" w:rsidRPr="004338BE" w:rsidRDefault="002B786F" w:rsidP="00324A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BE201E" w14:textId="506D892E" w:rsidR="002B786F" w:rsidRPr="004338BE" w:rsidRDefault="002B786F" w:rsidP="00324AF2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Product </w:t>
            </w:r>
            <w:proofErr w:type="spellStart"/>
            <w:r w:rsidRPr="004338BE">
              <w:rPr>
                <w:rFonts w:asciiTheme="majorBidi" w:hAnsiTheme="majorBidi" w:cstheme="majorBidi"/>
                <w:bCs/>
                <w:sz w:val="24"/>
                <w:szCs w:val="24"/>
              </w:rPr>
              <w:t>selectivity</w:t>
            </w:r>
            <w:r w:rsidR="00B24B73" w:rsidRPr="004338BE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c</w:t>
            </w:r>
            <w:proofErr w:type="spellEnd"/>
            <w:r w:rsidRPr="004338B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(%)</w:t>
            </w:r>
          </w:p>
        </w:tc>
      </w:tr>
      <w:tr w:rsidR="002B786F" w:rsidRPr="004338BE" w14:paraId="446E95A3" w14:textId="2D240647" w:rsidTr="00324AF2">
        <w:trPr>
          <w:trHeight w:val="57"/>
        </w:trPr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D303102" w14:textId="77777777" w:rsidR="002B786F" w:rsidRPr="004338BE" w:rsidRDefault="002B786F" w:rsidP="00324AF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061E262" w14:textId="261C3C41" w:rsidR="002B786F" w:rsidRPr="004338BE" w:rsidRDefault="00E34E78" w:rsidP="00324AF2">
            <w:pPr>
              <w:rPr>
                <w:rFonts w:asciiTheme="majorBidi" w:hAnsiTheme="majorBidi" w:cstheme="majorBidi"/>
                <w:vertAlign w:val="superscript"/>
              </w:rPr>
            </w:pPr>
            <w:r w:rsidRPr="004338BE">
              <w:rPr>
                <w:rFonts w:asciiTheme="majorBidi" w:hAnsiTheme="majorBidi" w:cstheme="majorBidi"/>
              </w:rPr>
              <w:t>mmol g</w:t>
            </w:r>
            <w:r w:rsidRPr="004338BE">
              <w:rPr>
                <w:rFonts w:asciiTheme="majorBidi" w:hAnsiTheme="majorBidi" w:cstheme="majorBidi"/>
                <w:vertAlign w:val="superscript"/>
              </w:rPr>
              <w:t>-1</w:t>
            </w:r>
          </w:p>
        </w:tc>
        <w:tc>
          <w:tcPr>
            <w:tcW w:w="183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CD4F3A4" w14:textId="2C9BCF06" w:rsidR="002B786F" w:rsidRPr="004338BE" w:rsidRDefault="002B786F" w:rsidP="00324AF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93B338" w14:textId="3C95A8FF" w:rsidR="002B786F" w:rsidRPr="004338BE" w:rsidRDefault="002B786F" w:rsidP="00324AF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Hexane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4F409C" w14:textId="77777777" w:rsidR="002B786F" w:rsidRPr="004338BE" w:rsidRDefault="002B786F" w:rsidP="00324AF2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2-Hexanol</w:t>
            </w:r>
          </w:p>
        </w:tc>
      </w:tr>
      <w:tr w:rsidR="002B786F" w:rsidRPr="004338BE" w14:paraId="4240306A" w14:textId="6F93DE52" w:rsidTr="00324AF2">
        <w:trPr>
          <w:trHeight w:val="206"/>
        </w:trPr>
        <w:tc>
          <w:tcPr>
            <w:tcW w:w="2410" w:type="dxa"/>
            <w:tcBorders>
              <w:top w:val="single" w:sz="4" w:space="0" w:color="auto"/>
            </w:tcBorders>
            <w:hideMark/>
          </w:tcPr>
          <w:p w14:paraId="616F5672" w14:textId="235DA268" w:rsidR="002B786F" w:rsidRPr="004338BE" w:rsidRDefault="002B786F" w:rsidP="00324AF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Pt/</w:t>
            </w:r>
            <w:proofErr w:type="spellStart"/>
            <w:r w:rsidRPr="004338BE">
              <w:rPr>
                <w:rFonts w:asciiTheme="majorBidi" w:hAnsiTheme="majorBidi" w:cstheme="majorBidi"/>
                <w:sz w:val="24"/>
                <w:szCs w:val="24"/>
              </w:rPr>
              <w:t>C+CsPW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23913" w14:textId="36068B17" w:rsidR="002B786F" w:rsidRPr="004338BE" w:rsidRDefault="007E0185" w:rsidP="00324AF2">
            <w:pPr>
              <w:spacing w:after="0" w:line="480" w:lineRule="auto"/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</w:rPr>
              <w:t>0.080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hideMark/>
          </w:tcPr>
          <w:p w14:paraId="07543127" w14:textId="7636B532" w:rsidR="002B786F" w:rsidRPr="004338BE" w:rsidRDefault="002B786F" w:rsidP="00324AF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hideMark/>
          </w:tcPr>
          <w:p w14:paraId="43EE618F" w14:textId="77777777" w:rsidR="002B786F" w:rsidRPr="004338BE" w:rsidRDefault="002B786F" w:rsidP="00324AF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95.9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hideMark/>
          </w:tcPr>
          <w:p w14:paraId="2B21943A" w14:textId="5D6111FF" w:rsidR="002B786F" w:rsidRPr="004338BE" w:rsidRDefault="002B786F" w:rsidP="00324AF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</w:tr>
      <w:tr w:rsidR="002B786F" w:rsidRPr="004338BE" w14:paraId="136F44CB" w14:textId="77777777" w:rsidTr="00324AF2">
        <w:trPr>
          <w:trHeight w:val="228"/>
        </w:trPr>
        <w:tc>
          <w:tcPr>
            <w:tcW w:w="2410" w:type="dxa"/>
          </w:tcPr>
          <w:p w14:paraId="599C6AC6" w14:textId="29588CAF" w:rsidR="002B786F" w:rsidRPr="004338BE" w:rsidRDefault="002B786F" w:rsidP="00324AF2">
            <w:pPr>
              <w:spacing w:after="0" w:line="480" w:lineRule="auto"/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Pt/</w:t>
            </w:r>
            <w:r w:rsidR="00142EEC" w:rsidRPr="004338BE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4338BE">
              <w:rPr>
                <w:rFonts w:asciiTheme="majorBidi" w:hAnsiTheme="majorBidi" w:cstheme="majorBidi"/>
                <w:sz w:val="24"/>
                <w:szCs w:val="24"/>
              </w:rPr>
              <w:t>+HZSM-5-47</w:t>
            </w:r>
          </w:p>
        </w:tc>
        <w:tc>
          <w:tcPr>
            <w:tcW w:w="1418" w:type="dxa"/>
          </w:tcPr>
          <w:p w14:paraId="0044CE5D" w14:textId="63278860" w:rsidR="002B786F" w:rsidRPr="004338BE" w:rsidRDefault="004640B1" w:rsidP="00324AF2">
            <w:pPr>
              <w:spacing w:after="0" w:line="480" w:lineRule="auto"/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</w:rPr>
              <w:t>0.35</w:t>
            </w:r>
          </w:p>
        </w:tc>
        <w:tc>
          <w:tcPr>
            <w:tcW w:w="1838" w:type="dxa"/>
          </w:tcPr>
          <w:p w14:paraId="60B90B97" w14:textId="0A808A42" w:rsidR="002B786F" w:rsidRPr="004338BE" w:rsidRDefault="002B786F" w:rsidP="00324AF2">
            <w:pPr>
              <w:spacing w:after="0" w:line="480" w:lineRule="auto"/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2.4</w:t>
            </w:r>
          </w:p>
        </w:tc>
        <w:tc>
          <w:tcPr>
            <w:tcW w:w="1956" w:type="dxa"/>
          </w:tcPr>
          <w:p w14:paraId="35FE7BA5" w14:textId="652EF51A" w:rsidR="002B786F" w:rsidRPr="004338BE" w:rsidRDefault="002B786F" w:rsidP="00324AF2">
            <w:pPr>
              <w:spacing w:after="0" w:line="480" w:lineRule="auto"/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87.6</w:t>
            </w:r>
          </w:p>
        </w:tc>
        <w:tc>
          <w:tcPr>
            <w:tcW w:w="1536" w:type="dxa"/>
          </w:tcPr>
          <w:p w14:paraId="7EDA2FF8" w14:textId="557DE1ED" w:rsidR="002B786F" w:rsidRPr="004338BE" w:rsidRDefault="002B786F" w:rsidP="00324AF2">
            <w:pPr>
              <w:spacing w:after="0" w:line="480" w:lineRule="auto"/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12.4</w:t>
            </w:r>
          </w:p>
        </w:tc>
      </w:tr>
    </w:tbl>
    <w:p w14:paraId="47D5FCB6" w14:textId="64666EAE" w:rsidR="00773CFC" w:rsidRPr="004338BE" w:rsidRDefault="00773CFC" w:rsidP="00773CFC">
      <w:pPr>
        <w:rPr>
          <w:lang w:val="en-US"/>
        </w:rPr>
      </w:pPr>
      <w:r w:rsidRPr="004338BE">
        <w:rPr>
          <w:lang w:val="en-US"/>
        </w:rPr>
        <w:t xml:space="preserve">Effect of acid co-catalyst on HDO of DMTHF in the gas </w:t>
      </w:r>
      <w:proofErr w:type="spellStart"/>
      <w:proofErr w:type="gramStart"/>
      <w:r w:rsidRPr="004338BE">
        <w:rPr>
          <w:lang w:val="en-US"/>
        </w:rPr>
        <w:t>phase</w:t>
      </w:r>
      <w:r w:rsidR="00A832E3" w:rsidRPr="004338BE">
        <w:rPr>
          <w:lang w:val="en-US"/>
        </w:rPr>
        <w:t>.</w:t>
      </w:r>
      <w:r w:rsidRPr="004338BE">
        <w:rPr>
          <w:vertAlign w:val="superscript"/>
          <w:lang w:val="en-US"/>
        </w:rPr>
        <w:t>a</w:t>
      </w:r>
      <w:proofErr w:type="spellEnd"/>
      <w:proofErr w:type="gramEnd"/>
    </w:p>
    <w:p w14:paraId="5495DEA6" w14:textId="6A6B3AF8" w:rsidR="00127E21" w:rsidRPr="004338BE" w:rsidRDefault="00293C3B" w:rsidP="00293C3B">
      <w:pPr>
        <w:pStyle w:val="RSCB02ArticleText"/>
        <w:spacing w:line="360" w:lineRule="auto"/>
        <w:ind w:right="-45"/>
        <w:rPr>
          <w:sz w:val="24"/>
          <w:szCs w:val="24"/>
        </w:rPr>
      </w:pPr>
      <w:proofErr w:type="gramStart"/>
      <w:r w:rsidRPr="004338BE">
        <w:rPr>
          <w:sz w:val="24"/>
          <w:szCs w:val="24"/>
          <w:vertAlign w:val="superscript"/>
        </w:rPr>
        <w:t>a</w:t>
      </w:r>
      <w:proofErr w:type="gramEnd"/>
      <w:r w:rsidRPr="004338BE">
        <w:rPr>
          <w:sz w:val="24"/>
          <w:szCs w:val="24"/>
        </w:rPr>
        <w:t xml:space="preserve"> 80 </w:t>
      </w:r>
      <w:proofErr w:type="spellStart"/>
      <w:r w:rsidRPr="004338BE">
        <w:rPr>
          <w:sz w:val="24"/>
          <w:szCs w:val="24"/>
          <w:vertAlign w:val="superscript"/>
        </w:rPr>
        <w:t>o</w:t>
      </w:r>
      <w:r w:rsidRPr="004338BE">
        <w:rPr>
          <w:sz w:val="24"/>
          <w:szCs w:val="24"/>
        </w:rPr>
        <w:t>C</w:t>
      </w:r>
      <w:proofErr w:type="spellEnd"/>
      <w:r w:rsidRPr="004338BE">
        <w:rPr>
          <w:sz w:val="24"/>
          <w:szCs w:val="24"/>
        </w:rPr>
        <w:t>, 2.3 kPa DMTHF, 20 ml min</w:t>
      </w:r>
      <w:r w:rsidRPr="004338BE">
        <w:rPr>
          <w:sz w:val="24"/>
          <w:szCs w:val="24"/>
          <w:vertAlign w:val="superscript"/>
        </w:rPr>
        <w:t>-1</w:t>
      </w:r>
      <w:r w:rsidRPr="004338BE">
        <w:rPr>
          <w:sz w:val="24"/>
          <w:szCs w:val="24"/>
        </w:rPr>
        <w:t xml:space="preserve"> H</w:t>
      </w:r>
      <w:r w:rsidRPr="004338BE">
        <w:rPr>
          <w:sz w:val="24"/>
          <w:szCs w:val="24"/>
          <w:vertAlign w:val="subscript"/>
        </w:rPr>
        <w:t>2</w:t>
      </w:r>
      <w:r w:rsidRPr="004338BE">
        <w:rPr>
          <w:sz w:val="24"/>
          <w:szCs w:val="24"/>
        </w:rPr>
        <w:t xml:space="preserve"> flow rate, 1 h TOS, 0.10 g catalyst 9.6%Pt/C + solid acid (1:9 w/w, 10 mg Pt/C, 1% Pt loading) diluted with SiO</w:t>
      </w:r>
      <w:r w:rsidRPr="004338BE">
        <w:rPr>
          <w:sz w:val="24"/>
          <w:szCs w:val="24"/>
          <w:vertAlign w:val="subscript"/>
        </w:rPr>
        <w:t xml:space="preserve">2 </w:t>
      </w:r>
      <w:r w:rsidRPr="004338BE">
        <w:rPr>
          <w:sz w:val="24"/>
          <w:szCs w:val="24"/>
        </w:rPr>
        <w:t>(0.10 g).</w:t>
      </w:r>
      <w:r w:rsidR="00B24B73" w:rsidRPr="004338BE">
        <w:rPr>
          <w:sz w:val="24"/>
          <w:szCs w:val="24"/>
        </w:rPr>
        <w:t xml:space="preserve"> </w:t>
      </w:r>
      <w:r w:rsidR="00B24B73" w:rsidRPr="004338BE">
        <w:rPr>
          <w:sz w:val="24"/>
          <w:szCs w:val="24"/>
          <w:vertAlign w:val="superscript"/>
        </w:rPr>
        <w:t>b</w:t>
      </w:r>
      <w:r w:rsidR="00B24B73" w:rsidRPr="004338BE">
        <w:rPr>
          <w:sz w:val="24"/>
          <w:szCs w:val="24"/>
        </w:rPr>
        <w:t xml:space="preserve"> Proton site density</w:t>
      </w:r>
      <w:r w:rsidR="000B0A76" w:rsidRPr="004338BE">
        <w:rPr>
          <w:sz w:val="24"/>
          <w:szCs w:val="24"/>
        </w:rPr>
        <w:t xml:space="preserve"> per gram</w:t>
      </w:r>
      <w:r w:rsidR="004E55B8" w:rsidRPr="004338BE">
        <w:rPr>
          <w:sz w:val="24"/>
          <w:szCs w:val="24"/>
        </w:rPr>
        <w:t xml:space="preserve"> of</w:t>
      </w:r>
      <w:r w:rsidR="000B0A76" w:rsidRPr="004338BE">
        <w:rPr>
          <w:sz w:val="24"/>
          <w:szCs w:val="24"/>
        </w:rPr>
        <w:t xml:space="preserve"> acid co-catalyst</w:t>
      </w:r>
      <w:r w:rsidR="00D540ED" w:rsidRPr="004338BE">
        <w:rPr>
          <w:sz w:val="24"/>
          <w:szCs w:val="24"/>
        </w:rPr>
        <w:t xml:space="preserve">; </w:t>
      </w:r>
      <w:r w:rsidR="004B6BE0" w:rsidRPr="004338BE">
        <w:rPr>
          <w:sz w:val="24"/>
          <w:szCs w:val="24"/>
        </w:rPr>
        <w:t xml:space="preserve">for </w:t>
      </w:r>
      <w:proofErr w:type="spellStart"/>
      <w:r w:rsidR="004B6BE0" w:rsidRPr="004338BE">
        <w:rPr>
          <w:sz w:val="24"/>
          <w:szCs w:val="24"/>
        </w:rPr>
        <w:t>CsPW</w:t>
      </w:r>
      <w:proofErr w:type="spellEnd"/>
      <w:r w:rsidR="004B6BE0" w:rsidRPr="004338BE">
        <w:rPr>
          <w:sz w:val="24"/>
          <w:szCs w:val="24"/>
        </w:rPr>
        <w:t xml:space="preserve"> calculated from the </w:t>
      </w:r>
      <w:proofErr w:type="spellStart"/>
      <w:r w:rsidR="004B6BE0" w:rsidRPr="004338BE">
        <w:rPr>
          <w:sz w:val="24"/>
          <w:szCs w:val="24"/>
        </w:rPr>
        <w:t>Keggin</w:t>
      </w:r>
      <w:proofErr w:type="spellEnd"/>
      <w:r w:rsidR="004B6BE0" w:rsidRPr="004338BE">
        <w:rPr>
          <w:sz w:val="24"/>
          <w:szCs w:val="24"/>
        </w:rPr>
        <w:t xml:space="preserve"> unit cross section of 144 Å</w:t>
      </w:r>
      <w:r w:rsidR="004B6BE0" w:rsidRPr="004338BE">
        <w:rPr>
          <w:sz w:val="24"/>
          <w:szCs w:val="24"/>
          <w:vertAlign w:val="superscript"/>
        </w:rPr>
        <w:t>2</w:t>
      </w:r>
      <w:r w:rsidR="00016549" w:rsidRPr="004338BE">
        <w:rPr>
          <w:sz w:val="24"/>
          <w:szCs w:val="24"/>
        </w:rPr>
        <w:t xml:space="preserve"> and </w:t>
      </w:r>
      <w:proofErr w:type="spellStart"/>
      <w:r w:rsidR="00016549" w:rsidRPr="004338BE">
        <w:rPr>
          <w:sz w:val="24"/>
          <w:szCs w:val="24"/>
        </w:rPr>
        <w:t>CsPW</w:t>
      </w:r>
      <w:proofErr w:type="spellEnd"/>
      <w:r w:rsidR="00016549" w:rsidRPr="004338BE">
        <w:rPr>
          <w:sz w:val="24"/>
          <w:szCs w:val="24"/>
        </w:rPr>
        <w:t xml:space="preserve"> surface area of 139 cm</w:t>
      </w:r>
      <w:r w:rsidR="00016549" w:rsidRPr="004338BE">
        <w:rPr>
          <w:sz w:val="24"/>
          <w:szCs w:val="24"/>
          <w:vertAlign w:val="superscript"/>
        </w:rPr>
        <w:t>2</w:t>
      </w:r>
      <w:r w:rsidR="00016549" w:rsidRPr="004338BE">
        <w:rPr>
          <w:sz w:val="24"/>
          <w:szCs w:val="24"/>
        </w:rPr>
        <w:t>g</w:t>
      </w:r>
      <w:r w:rsidR="00016549" w:rsidRPr="004338BE">
        <w:rPr>
          <w:sz w:val="24"/>
          <w:szCs w:val="24"/>
          <w:vertAlign w:val="superscript"/>
        </w:rPr>
        <w:t>-1</w:t>
      </w:r>
      <w:r w:rsidR="00016549" w:rsidRPr="004338BE">
        <w:rPr>
          <w:sz w:val="24"/>
          <w:szCs w:val="24"/>
        </w:rPr>
        <w:t xml:space="preserve"> (Table 1);</w:t>
      </w:r>
      <w:r w:rsidR="004B6BE0" w:rsidRPr="004338BE">
        <w:rPr>
          <w:sz w:val="24"/>
          <w:szCs w:val="24"/>
        </w:rPr>
        <w:t xml:space="preserve"> </w:t>
      </w:r>
      <w:r w:rsidR="00D540ED" w:rsidRPr="004338BE">
        <w:rPr>
          <w:sz w:val="24"/>
          <w:szCs w:val="24"/>
        </w:rPr>
        <w:t>for zeolite</w:t>
      </w:r>
      <w:r w:rsidR="00B24B73" w:rsidRPr="004338BE">
        <w:rPr>
          <w:sz w:val="24"/>
          <w:szCs w:val="24"/>
        </w:rPr>
        <w:t xml:space="preserve"> calculated from Si/Al ratio. </w:t>
      </w:r>
      <w:r w:rsidRPr="004338BE">
        <w:rPr>
          <w:sz w:val="24"/>
          <w:szCs w:val="24"/>
        </w:rPr>
        <w:t xml:space="preserve"> </w:t>
      </w:r>
      <w:r w:rsidR="00B24B73" w:rsidRPr="004338BE">
        <w:rPr>
          <w:sz w:val="24"/>
          <w:szCs w:val="24"/>
          <w:vertAlign w:val="superscript"/>
        </w:rPr>
        <w:t>c</w:t>
      </w:r>
      <w:r w:rsidRPr="004338BE">
        <w:rPr>
          <w:sz w:val="24"/>
          <w:szCs w:val="24"/>
        </w:rPr>
        <w:t xml:space="preserve"> Average conversion and product selectivity over 1 h TOS.</w:t>
      </w:r>
    </w:p>
    <w:p w14:paraId="49D4490F" w14:textId="71779FB5" w:rsidR="00BF03C9" w:rsidRPr="004338BE" w:rsidRDefault="00BF03C9" w:rsidP="00E92F97">
      <w:pPr>
        <w:pStyle w:val="RSCB02ArticleText"/>
        <w:spacing w:line="480" w:lineRule="auto"/>
        <w:ind w:left="567" w:right="-45" w:hanging="567"/>
        <w:rPr>
          <w:sz w:val="24"/>
          <w:szCs w:val="24"/>
        </w:rPr>
      </w:pPr>
    </w:p>
    <w:p w14:paraId="3E17A86C" w14:textId="5D521C03" w:rsidR="00A832E3" w:rsidRPr="004338BE" w:rsidRDefault="00A832E3" w:rsidP="00A832E3">
      <w:pPr>
        <w:rPr>
          <w:rFonts w:asciiTheme="majorBidi" w:hAnsiTheme="majorBidi" w:cstheme="majorBidi"/>
          <w:b/>
          <w:bCs/>
        </w:rPr>
      </w:pPr>
      <w:r w:rsidRPr="004338BE">
        <w:rPr>
          <w:rFonts w:asciiTheme="majorBidi" w:hAnsiTheme="majorBidi" w:cstheme="majorBidi"/>
          <w:b/>
          <w:bCs/>
        </w:rPr>
        <w:t xml:space="preserve">Table </w:t>
      </w:r>
      <w:r w:rsidR="00A557AF" w:rsidRPr="004338BE">
        <w:rPr>
          <w:rFonts w:asciiTheme="majorBidi" w:hAnsiTheme="majorBidi" w:cstheme="majorBidi"/>
          <w:b/>
          <w:bCs/>
        </w:rPr>
        <w:t>4</w:t>
      </w:r>
    </w:p>
    <w:p w14:paraId="1C6564E8" w14:textId="48B0E9CB" w:rsidR="00A832E3" w:rsidRPr="004338BE" w:rsidRDefault="00A832E3" w:rsidP="00A832E3">
      <w:pPr>
        <w:rPr>
          <w:lang w:val="en-US"/>
        </w:rPr>
      </w:pPr>
      <w:r w:rsidRPr="004338BE">
        <w:rPr>
          <w:lang w:val="en-US"/>
        </w:rPr>
        <w:t>Effect of support on HDO of DMTHF over Pt–</w:t>
      </w:r>
      <w:proofErr w:type="spellStart"/>
      <w:r w:rsidRPr="004338BE">
        <w:rPr>
          <w:lang w:val="en-US"/>
        </w:rPr>
        <w:t>CsPW.</w:t>
      </w:r>
      <w:r w:rsidRPr="004338BE">
        <w:rPr>
          <w:vertAlign w:val="superscript"/>
          <w:lang w:val="en-US"/>
        </w:rPr>
        <w:t>a</w:t>
      </w:r>
      <w:proofErr w:type="spellEnd"/>
    </w:p>
    <w:tbl>
      <w:tblPr>
        <w:tblStyle w:val="TableGrid4"/>
        <w:tblW w:w="9207" w:type="dxa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2452"/>
        <w:gridCol w:w="882"/>
        <w:gridCol w:w="919"/>
        <w:gridCol w:w="1360"/>
        <w:gridCol w:w="992"/>
        <w:gridCol w:w="1297"/>
        <w:gridCol w:w="1305"/>
      </w:tblGrid>
      <w:tr w:rsidR="00D87D92" w:rsidRPr="004338BE" w14:paraId="7CDAED90" w14:textId="77777777" w:rsidTr="00D87D92">
        <w:trPr>
          <w:trHeight w:val="395"/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A51B57" w14:textId="77777777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bCs/>
              </w:rPr>
            </w:pPr>
            <w:r w:rsidRPr="004338BE">
              <w:rPr>
                <w:rFonts w:asciiTheme="majorBidi" w:hAnsiTheme="majorBidi" w:cstheme="majorBidi"/>
                <w:bCs/>
              </w:rPr>
              <w:t>Catalyst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35013A5" w14:textId="35EFCA57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vertAlign w:val="superscript"/>
              </w:rPr>
            </w:pPr>
            <w:r w:rsidRPr="004338BE">
              <w:rPr>
                <w:rFonts w:asciiTheme="majorBidi" w:hAnsiTheme="majorBidi" w:cstheme="majorBidi"/>
                <w:i/>
              </w:rPr>
              <w:t>D</w:t>
            </w:r>
            <w:r w:rsidRPr="004338BE">
              <w:rPr>
                <w:rFonts w:asciiTheme="majorBidi" w:hAnsiTheme="majorBidi" w:cstheme="majorBidi"/>
                <w:vertAlign w:val="superscript"/>
              </w:rPr>
              <w:t>b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E263F88" w14:textId="77777777" w:rsidR="00D87D92" w:rsidRPr="004338BE" w:rsidRDefault="00D87D92" w:rsidP="00D87D92">
            <w:pPr>
              <w:spacing w:after="0"/>
              <w:jc w:val="both"/>
              <w:rPr>
                <w:rFonts w:asciiTheme="majorBidi" w:hAnsiTheme="majorBidi" w:cstheme="majorBidi"/>
                <w:vertAlign w:val="superscript"/>
              </w:rPr>
            </w:pPr>
            <w:r w:rsidRPr="004338BE">
              <w:rPr>
                <w:rFonts w:asciiTheme="majorBidi" w:hAnsiTheme="majorBidi" w:cstheme="majorBidi"/>
                <w:i/>
              </w:rPr>
              <w:t>d</w:t>
            </w:r>
            <w:r w:rsidRPr="004338BE">
              <w:rPr>
                <w:rFonts w:asciiTheme="majorBidi" w:hAnsiTheme="majorBidi" w:cstheme="majorBidi"/>
                <w:i/>
              </w:rPr>
              <w:softHyphen/>
            </w:r>
            <w:r w:rsidRPr="004338BE">
              <w:rPr>
                <w:rFonts w:asciiTheme="majorBidi" w:hAnsiTheme="majorBidi" w:cstheme="majorBidi"/>
                <w:vertAlign w:val="superscript"/>
              </w:rPr>
              <w:t>c</w:t>
            </w:r>
          </w:p>
          <w:p w14:paraId="4A84722E" w14:textId="5C600A50" w:rsidR="00D87D92" w:rsidRPr="004338BE" w:rsidRDefault="00D87D92" w:rsidP="00D87D92">
            <w:pPr>
              <w:spacing w:after="0"/>
              <w:jc w:val="both"/>
              <w:rPr>
                <w:rFonts w:asciiTheme="majorBidi" w:hAnsiTheme="majorBidi" w:cstheme="majorBidi"/>
                <w:vertAlign w:val="superscript"/>
              </w:rPr>
            </w:pPr>
            <w:r w:rsidRPr="004338BE">
              <w:rPr>
                <w:rFonts w:asciiTheme="majorBidi" w:hAnsiTheme="majorBidi" w:cstheme="majorBidi"/>
              </w:rPr>
              <w:t>nm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16A5DB" w14:textId="13FC20D6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</w:rPr>
              <w:t>Conversion</w:t>
            </w:r>
          </w:p>
          <w:p w14:paraId="60E5A6D0" w14:textId="77777777" w:rsidR="00D87D92" w:rsidRPr="004338BE" w:rsidRDefault="00D87D92" w:rsidP="0034449E">
            <w:pPr>
              <w:tabs>
                <w:tab w:val="center" w:pos="317"/>
              </w:tabs>
              <w:spacing w:after="0"/>
              <w:jc w:val="both"/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</w:rPr>
              <w:t>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5A85C8" w14:textId="77777777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bCs/>
              </w:rPr>
            </w:pPr>
            <w:r w:rsidRPr="004338BE">
              <w:rPr>
                <w:rFonts w:asciiTheme="majorBidi" w:hAnsiTheme="majorBidi" w:cstheme="majorBidi"/>
                <w:bCs/>
              </w:rPr>
              <w:t>TOF</w:t>
            </w:r>
          </w:p>
          <w:p w14:paraId="06CAF857" w14:textId="55D63AFB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bCs/>
              </w:rPr>
            </w:pPr>
            <w:r w:rsidRPr="004338BE">
              <w:rPr>
                <w:rFonts w:asciiTheme="majorBidi" w:hAnsiTheme="majorBidi" w:cstheme="majorBidi"/>
                <w:bCs/>
              </w:rPr>
              <w:t>(s</w:t>
            </w:r>
            <w:r w:rsidRPr="004338BE">
              <w:rPr>
                <w:rFonts w:asciiTheme="majorBidi" w:hAnsiTheme="majorBidi" w:cstheme="majorBidi"/>
                <w:bCs/>
                <w:vertAlign w:val="superscript"/>
              </w:rPr>
              <w:t>-1</w:t>
            </w:r>
            <w:r w:rsidRPr="004338BE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A5DB4D" w14:textId="77777777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bCs/>
              </w:rPr>
            </w:pPr>
            <w:r w:rsidRPr="004338BE">
              <w:rPr>
                <w:rFonts w:asciiTheme="majorBidi" w:hAnsiTheme="majorBidi" w:cstheme="majorBidi"/>
                <w:bCs/>
              </w:rPr>
              <w:t>Product selectivity (%)</w:t>
            </w:r>
          </w:p>
        </w:tc>
      </w:tr>
      <w:tr w:rsidR="00D87D92" w:rsidRPr="004338BE" w14:paraId="612BD738" w14:textId="77777777" w:rsidTr="00D87D92">
        <w:trPr>
          <w:trHeight w:val="73"/>
          <w:jc w:val="center"/>
        </w:trPr>
        <w:tc>
          <w:tcPr>
            <w:tcW w:w="2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D8B049" w14:textId="77777777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B87657" w14:textId="77777777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DFECEE" w14:textId="36F05CD6" w:rsidR="00D87D92" w:rsidRPr="004338BE" w:rsidRDefault="00D87D92" w:rsidP="00D87D92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EFCDD8" w14:textId="561D30A4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E368E" w14:textId="77777777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0F9E02" w14:textId="76B1BC35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Hexane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D83F4" w14:textId="77777777" w:rsidR="00D87D92" w:rsidRPr="004338BE" w:rsidRDefault="00D87D92" w:rsidP="0034449E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2-Hexanol</w:t>
            </w:r>
          </w:p>
        </w:tc>
      </w:tr>
      <w:tr w:rsidR="00D87D92" w:rsidRPr="004338BE" w14:paraId="78F848DD" w14:textId="77777777" w:rsidTr="00D87D92">
        <w:trPr>
          <w:trHeight w:val="478"/>
          <w:jc w:val="center"/>
        </w:trPr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EC664B" w14:textId="73B064D4" w:rsidR="00D87D92" w:rsidRPr="004338BE" w:rsidRDefault="00D87D92" w:rsidP="00C9158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9.6%Pt/</w:t>
            </w:r>
            <w:proofErr w:type="spellStart"/>
            <w:r w:rsidRPr="004338BE">
              <w:rPr>
                <w:rFonts w:asciiTheme="majorBidi" w:hAnsiTheme="majorBidi" w:cstheme="majorBidi"/>
                <w:sz w:val="24"/>
                <w:szCs w:val="24"/>
              </w:rPr>
              <w:t>C+CsPW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24CAE" w14:textId="535322D8" w:rsidR="00D87D92" w:rsidRPr="004338BE" w:rsidRDefault="00D87D92" w:rsidP="00C91581">
            <w:pPr>
              <w:rPr>
                <w:rFonts w:asciiTheme="majorBidi" w:hAnsiTheme="majorBidi" w:cstheme="majorBidi"/>
              </w:rPr>
            </w:pP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60441" w14:textId="3050B4F9" w:rsidR="00D87D92" w:rsidRPr="004338BE" w:rsidRDefault="00D87D92" w:rsidP="00C91581">
            <w:pPr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1D3B1E" w14:textId="019128C7" w:rsidR="00D87D92" w:rsidRPr="004338BE" w:rsidRDefault="00D87D92" w:rsidP="00C9158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5F8502" w14:textId="4F78FCDD" w:rsidR="00D87D92" w:rsidRPr="004338BE" w:rsidRDefault="00D87D92" w:rsidP="00C91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7E40A4" w14:textId="77777777" w:rsidR="00D87D92" w:rsidRPr="004338BE" w:rsidRDefault="00D87D92" w:rsidP="00C9158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99.5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2C626" w14:textId="77777777" w:rsidR="00D87D92" w:rsidRPr="004338BE" w:rsidRDefault="00D87D92" w:rsidP="00C91581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0.5</w:t>
            </w:r>
          </w:p>
        </w:tc>
      </w:tr>
      <w:tr w:rsidR="00D87D92" w:rsidRPr="004338BE" w14:paraId="092EE2AC" w14:textId="77777777" w:rsidTr="00D87D92">
        <w:trPr>
          <w:trHeight w:val="478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681034CD" w14:textId="475CF3F5" w:rsidR="00D87D92" w:rsidRPr="004338BE" w:rsidRDefault="00D87D92" w:rsidP="00C91581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6.4%Pt/SiO</w:t>
            </w:r>
            <w:r w:rsidRPr="004338B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4338BE">
              <w:rPr>
                <w:rFonts w:asciiTheme="majorBidi" w:hAnsiTheme="majorBidi" w:cstheme="majorBidi"/>
                <w:sz w:val="24"/>
                <w:szCs w:val="24"/>
              </w:rPr>
              <w:t xml:space="preserve">+CsPW   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315CC787" w14:textId="505653BC" w:rsidR="00D87D92" w:rsidRPr="004338BE" w:rsidRDefault="00D87D92" w:rsidP="00C91581">
            <w:pPr>
              <w:rPr>
                <w:rFonts w:asciiTheme="majorBidi" w:hAnsiTheme="majorBidi" w:cstheme="majorBidi"/>
              </w:rPr>
            </w:pP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81C50E6" w14:textId="5440D384" w:rsidR="00D87D92" w:rsidRPr="004338BE" w:rsidRDefault="00D87D92" w:rsidP="00C91581">
            <w:pPr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</w:rPr>
              <w:t>3.6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699AD" w14:textId="056E00AB" w:rsidR="00D87D92" w:rsidRPr="004338BE" w:rsidRDefault="00D87D92" w:rsidP="00C91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BE14" w14:textId="0EDD4718" w:rsidR="00D87D92" w:rsidRPr="004338BE" w:rsidRDefault="00D87D92" w:rsidP="00C915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0.12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1FEAF1" w14:textId="77777777" w:rsidR="00D87D92" w:rsidRPr="004338BE" w:rsidRDefault="00D87D92" w:rsidP="00C915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99.4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50C20" w14:textId="77777777" w:rsidR="00D87D92" w:rsidRPr="004338BE" w:rsidRDefault="00D87D92" w:rsidP="00C9158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0.5</w:t>
            </w:r>
          </w:p>
        </w:tc>
      </w:tr>
      <w:tr w:rsidR="00D87D92" w:rsidRPr="004338BE" w14:paraId="649745A4" w14:textId="77777777" w:rsidTr="00D87D92">
        <w:trPr>
          <w:trHeight w:val="478"/>
          <w:jc w:val="center"/>
        </w:trPr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BA990E" w14:textId="4C99E383" w:rsidR="00D87D92" w:rsidRPr="004338BE" w:rsidRDefault="00D87D92" w:rsidP="00C91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1%Pt-Al</w:t>
            </w:r>
            <w:r w:rsidRPr="004338B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4338BE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4338B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4338BE">
              <w:rPr>
                <w:rFonts w:asciiTheme="majorBidi" w:hAnsiTheme="majorBidi" w:cstheme="majorBidi"/>
                <w:sz w:val="24"/>
                <w:szCs w:val="24"/>
              </w:rPr>
              <w:t>+CsPW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8119D" w14:textId="1C0F1A6A" w:rsidR="00D87D92" w:rsidRPr="004338BE" w:rsidRDefault="00D87D92" w:rsidP="00C91581">
            <w:pPr>
              <w:rPr>
                <w:rFonts w:asciiTheme="majorBidi" w:hAnsiTheme="majorBidi" w:cstheme="majorBidi"/>
              </w:rPr>
            </w:pPr>
            <w:r w:rsidRPr="004338B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A40F0" w14:textId="16A9CB23" w:rsidR="00D87D92" w:rsidRPr="004338BE" w:rsidRDefault="00D87D92" w:rsidP="00C91581">
            <w:pPr>
              <w:rPr>
                <w:rFonts w:asciiTheme="majorBidi" w:hAnsiTheme="majorBidi" w:cstheme="majorBidi"/>
              </w:rPr>
            </w:pPr>
            <w:r w:rsidRPr="004338BE">
              <w:rPr>
                <w:rFonts w:asciiTheme="majorBidi" w:hAnsiTheme="majorBidi" w:cstheme="majorBidi"/>
              </w:rPr>
              <w:t>1.6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8E8D3F" w14:textId="21586AE9" w:rsidR="00D87D92" w:rsidRPr="004338BE" w:rsidRDefault="00D87D92" w:rsidP="00C91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719D31" w14:textId="6D357CF3" w:rsidR="00D87D92" w:rsidRPr="004338BE" w:rsidRDefault="00D87D92" w:rsidP="00C9158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A849A0" w14:textId="77777777" w:rsidR="00D87D92" w:rsidRPr="004338BE" w:rsidRDefault="00D87D92" w:rsidP="00C91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95.8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1D5D76" w14:textId="77777777" w:rsidR="00D87D92" w:rsidRPr="004338BE" w:rsidRDefault="00D87D92" w:rsidP="00C91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38BE">
              <w:rPr>
                <w:rFonts w:asciiTheme="majorBidi" w:hAnsiTheme="majorBidi" w:cstheme="majorBidi"/>
                <w:sz w:val="24"/>
                <w:szCs w:val="24"/>
              </w:rPr>
              <w:t>1.1</w:t>
            </w:r>
          </w:p>
        </w:tc>
      </w:tr>
    </w:tbl>
    <w:p w14:paraId="1A579340" w14:textId="63E1900A" w:rsidR="00A832E3" w:rsidRPr="004338BE" w:rsidRDefault="00CC147C" w:rsidP="00A832E3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color w:val="000000"/>
          <w:lang w:val="en-US"/>
        </w:rPr>
      </w:pPr>
      <w:r w:rsidRPr="004338BE">
        <w:rPr>
          <w:rFonts w:eastAsia="Calibri"/>
          <w:color w:val="000000"/>
          <w:vertAlign w:val="superscript"/>
          <w:lang w:val="en-US"/>
        </w:rPr>
        <w:t xml:space="preserve">a </w:t>
      </w:r>
      <w:r w:rsidR="00A832E3" w:rsidRPr="004338BE">
        <w:rPr>
          <w:rFonts w:eastAsia="Calibri"/>
          <w:color w:val="000000"/>
          <w:lang w:val="en-US"/>
        </w:rPr>
        <w:t>0.2</w:t>
      </w:r>
      <w:r w:rsidR="0034449E" w:rsidRPr="004338BE">
        <w:rPr>
          <w:rFonts w:eastAsia="Calibri"/>
          <w:color w:val="000000"/>
          <w:lang w:val="en-US"/>
        </w:rPr>
        <w:t xml:space="preserve"> </w:t>
      </w:r>
      <w:r w:rsidR="00A832E3" w:rsidRPr="004338BE">
        <w:rPr>
          <w:rFonts w:eastAsia="Calibri"/>
          <w:color w:val="000000"/>
          <w:lang w:val="en-US"/>
        </w:rPr>
        <w:t>g total catalyst weight, 0.6% Pt loading, 90</w:t>
      </w:r>
      <w:r w:rsidR="00B06DC3" w:rsidRPr="004338BE">
        <w:rPr>
          <w:rFonts w:eastAsia="Calibri"/>
          <w:color w:val="000000"/>
          <w:lang w:val="en-US"/>
        </w:rPr>
        <w:t xml:space="preserve"> </w:t>
      </w:r>
      <w:r w:rsidR="00A832E3" w:rsidRPr="004338BE">
        <w:rPr>
          <w:rFonts w:eastAsia="Calibri"/>
          <w:color w:val="000000"/>
          <w:lang w:val="en-US"/>
        </w:rPr>
        <w:t>°C, 2.3 kPa DMTHF, 20 ml</w:t>
      </w:r>
      <w:r w:rsidRPr="004338BE">
        <w:rPr>
          <w:rFonts w:eastAsia="Calibri"/>
          <w:color w:val="000000"/>
          <w:lang w:val="en-US"/>
        </w:rPr>
        <w:t xml:space="preserve"> </w:t>
      </w:r>
      <w:r w:rsidR="00A832E3" w:rsidRPr="004338BE">
        <w:rPr>
          <w:rFonts w:eastAsia="Calibri"/>
          <w:color w:val="000000"/>
          <w:lang w:val="en-US"/>
        </w:rPr>
        <w:t>min</w:t>
      </w:r>
      <w:r w:rsidRPr="004338BE">
        <w:rPr>
          <w:rFonts w:eastAsia="Calibri"/>
          <w:color w:val="000000"/>
          <w:vertAlign w:val="superscript"/>
          <w:lang w:val="en-US"/>
        </w:rPr>
        <w:t>-1</w:t>
      </w:r>
      <w:r w:rsidR="00A832E3" w:rsidRPr="004338BE">
        <w:rPr>
          <w:rFonts w:eastAsia="Calibri"/>
          <w:color w:val="000000"/>
          <w:lang w:val="en-US"/>
        </w:rPr>
        <w:t xml:space="preserve"> H</w:t>
      </w:r>
      <w:r w:rsidR="00A832E3" w:rsidRPr="004338BE">
        <w:rPr>
          <w:rFonts w:eastAsia="Calibri"/>
          <w:color w:val="000000"/>
          <w:vertAlign w:val="subscript"/>
          <w:lang w:val="en-US"/>
        </w:rPr>
        <w:t xml:space="preserve">2 </w:t>
      </w:r>
      <w:r w:rsidR="00A832E3" w:rsidRPr="004338BE">
        <w:rPr>
          <w:rFonts w:eastAsia="Calibri"/>
          <w:color w:val="000000"/>
          <w:lang w:val="en-US"/>
        </w:rPr>
        <w:t>flow rate, 3</w:t>
      </w:r>
      <w:r w:rsidR="00B06DC3" w:rsidRPr="004338BE">
        <w:rPr>
          <w:rFonts w:eastAsia="Calibri"/>
          <w:color w:val="000000"/>
          <w:lang w:val="en-US"/>
        </w:rPr>
        <w:t xml:space="preserve"> </w:t>
      </w:r>
      <w:r w:rsidR="00A832E3" w:rsidRPr="004338BE">
        <w:rPr>
          <w:rFonts w:eastAsia="Calibri"/>
          <w:color w:val="000000"/>
          <w:lang w:val="en-US"/>
        </w:rPr>
        <w:t>h TOS.</w:t>
      </w:r>
      <w:r w:rsidR="00C91581" w:rsidRPr="004338BE">
        <w:rPr>
          <w:rFonts w:eastAsia="Calibri"/>
          <w:color w:val="000000"/>
          <w:lang w:val="en-US"/>
        </w:rPr>
        <w:t xml:space="preserve"> </w:t>
      </w:r>
      <w:r w:rsidR="00C91581" w:rsidRPr="004338BE">
        <w:rPr>
          <w:rFonts w:eastAsia="Calibri"/>
          <w:color w:val="000000"/>
          <w:vertAlign w:val="superscript"/>
          <w:lang w:val="en-US"/>
        </w:rPr>
        <w:t>b</w:t>
      </w:r>
      <w:r w:rsidR="00C91581" w:rsidRPr="004338BE">
        <w:rPr>
          <w:rFonts w:eastAsia="Calibri"/>
          <w:color w:val="000000"/>
          <w:lang w:val="en-US"/>
        </w:rPr>
        <w:t xml:space="preserve"> Pt dispersion (from Table 1).</w:t>
      </w:r>
      <w:r w:rsidR="006C3DC3" w:rsidRPr="004338BE">
        <w:rPr>
          <w:rFonts w:eastAsia="Calibri"/>
          <w:color w:val="000000"/>
          <w:lang w:val="en-US"/>
        </w:rPr>
        <w:t xml:space="preserve"> </w:t>
      </w:r>
      <w:r w:rsidR="006C3DC3" w:rsidRPr="004338BE">
        <w:rPr>
          <w:rFonts w:eastAsia="Calibri"/>
          <w:color w:val="000000"/>
          <w:vertAlign w:val="superscript"/>
          <w:lang w:val="en-US"/>
        </w:rPr>
        <w:t>c</w:t>
      </w:r>
      <w:r w:rsidR="006C3DC3" w:rsidRPr="004338BE">
        <w:rPr>
          <w:rFonts w:eastAsia="Calibri"/>
          <w:color w:val="000000"/>
          <w:lang w:val="en-US"/>
        </w:rPr>
        <w:t xml:space="preserve"> Pt particle size (</w:t>
      </w:r>
      <w:r w:rsidR="006C3DC3" w:rsidRPr="004338BE">
        <w:rPr>
          <w:rFonts w:eastAsia="Calibri"/>
          <w:i/>
          <w:color w:val="000000"/>
          <w:lang w:val="en-US"/>
        </w:rPr>
        <w:t>d</w:t>
      </w:r>
      <w:r w:rsidR="006C3DC3" w:rsidRPr="004338BE">
        <w:rPr>
          <w:rFonts w:eastAsia="Calibri"/>
          <w:color w:val="000000"/>
          <w:lang w:val="en-US"/>
        </w:rPr>
        <w:t xml:space="preserve"> = 1/</w:t>
      </w:r>
      <w:r w:rsidR="006C3DC3" w:rsidRPr="004338BE">
        <w:rPr>
          <w:rFonts w:eastAsia="Calibri"/>
          <w:i/>
          <w:color w:val="000000"/>
          <w:lang w:val="en-US"/>
        </w:rPr>
        <w:t>D</w:t>
      </w:r>
      <w:r w:rsidR="006C3DC3" w:rsidRPr="004338BE">
        <w:rPr>
          <w:rFonts w:eastAsia="Calibri"/>
          <w:color w:val="000000"/>
          <w:lang w:val="en-US"/>
        </w:rPr>
        <w:t xml:space="preserve"> nm).</w:t>
      </w:r>
    </w:p>
    <w:p w14:paraId="2CB8BC98" w14:textId="77777777" w:rsidR="00A832E3" w:rsidRPr="004338BE" w:rsidRDefault="00A832E3" w:rsidP="00A832E3">
      <w:pPr>
        <w:jc w:val="both"/>
        <w:rPr>
          <w:bCs/>
        </w:rPr>
      </w:pPr>
    </w:p>
    <w:p w14:paraId="19C3D749" w14:textId="62D8EC8C" w:rsidR="006E2F50" w:rsidRPr="004338BE" w:rsidRDefault="006E2F50" w:rsidP="006F2BED">
      <w:pPr>
        <w:spacing w:line="480" w:lineRule="auto"/>
        <w:ind w:firstLine="720"/>
        <w:jc w:val="both"/>
      </w:pPr>
    </w:p>
    <w:p w14:paraId="75F00A9A" w14:textId="77777777" w:rsidR="00C86D1B" w:rsidRPr="004338BE" w:rsidRDefault="00C86D1B" w:rsidP="00C86D1B">
      <w:pPr>
        <w:spacing w:line="480" w:lineRule="auto"/>
        <w:ind w:left="567" w:hanging="567"/>
        <w:jc w:val="center"/>
      </w:pPr>
      <w:r w:rsidRPr="004338BE">
        <w:rPr>
          <w:noProof/>
        </w:rPr>
        <w:lastRenderedPageBreak/>
        <w:drawing>
          <wp:inline distT="0" distB="0" distL="0" distR="0" wp14:anchorId="194A5E31" wp14:editId="550C3FBD">
            <wp:extent cx="4041228" cy="2322786"/>
            <wp:effectExtent l="0" t="0" r="0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71A29D7-BA11-407B-8828-6298ADFE4E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CF00CA" w14:textId="17C3B184" w:rsidR="00E57211" w:rsidRPr="004338BE" w:rsidRDefault="00C86D1B" w:rsidP="00261E72">
      <w:pPr>
        <w:spacing w:line="360" w:lineRule="auto"/>
        <w:jc w:val="both"/>
      </w:pPr>
      <w:r w:rsidRPr="004338BE">
        <w:rPr>
          <w:b/>
        </w:rPr>
        <w:t xml:space="preserve">Fig. </w:t>
      </w:r>
      <w:r w:rsidR="008D2BAE" w:rsidRPr="004338BE">
        <w:rPr>
          <w:b/>
        </w:rPr>
        <w:t>1</w:t>
      </w:r>
      <w:r w:rsidRPr="004338BE">
        <w:rPr>
          <w:b/>
        </w:rPr>
        <w:t>.</w:t>
      </w:r>
      <w:r w:rsidRPr="004338BE">
        <w:t xml:space="preserve"> Time course for HDO of DMTHF: 9.6%Pt/</w:t>
      </w:r>
      <w:proofErr w:type="spellStart"/>
      <w:r w:rsidRPr="004338BE">
        <w:t>C+CsPW</w:t>
      </w:r>
      <w:proofErr w:type="spellEnd"/>
      <w:r w:rsidRPr="004338BE">
        <w:t xml:space="preserve"> (1:9 w/w, 0.10 g, </w:t>
      </w:r>
      <w:r w:rsidR="00DA210E" w:rsidRPr="004338BE">
        <w:t>10</w:t>
      </w:r>
      <w:r w:rsidR="008731B1" w:rsidRPr="004338BE">
        <w:t xml:space="preserve"> mg Pt/C,</w:t>
      </w:r>
      <w:r w:rsidRPr="004338BE">
        <w:t xml:space="preserve"> diluted by 0.10 g SiO</w:t>
      </w:r>
      <w:r w:rsidRPr="004338BE">
        <w:rPr>
          <w:vertAlign w:val="subscript"/>
        </w:rPr>
        <w:t>2</w:t>
      </w:r>
      <w:r w:rsidRPr="004338BE">
        <w:t xml:space="preserve">), 90 </w:t>
      </w:r>
      <w:proofErr w:type="spellStart"/>
      <w:r w:rsidRPr="004338BE">
        <w:rPr>
          <w:vertAlign w:val="superscript"/>
        </w:rPr>
        <w:t>o</w:t>
      </w:r>
      <w:r w:rsidRPr="004338BE">
        <w:t>C</w:t>
      </w:r>
      <w:proofErr w:type="spellEnd"/>
      <w:r w:rsidRPr="004338BE">
        <w:t xml:space="preserve">, 2.3 kPa DMTHF partial pressure, 40 </w:t>
      </w:r>
      <w:r w:rsidR="00F1657F" w:rsidRPr="004338BE">
        <w:t>ml</w:t>
      </w:r>
      <w:r w:rsidRPr="004338BE">
        <w:t xml:space="preserve"> min</w:t>
      </w:r>
      <w:r w:rsidRPr="004338BE">
        <w:rPr>
          <w:vertAlign w:val="superscript"/>
        </w:rPr>
        <w:t>-1</w:t>
      </w:r>
      <w:r w:rsidRPr="004338BE">
        <w:t xml:space="preserve"> H</w:t>
      </w:r>
      <w:r w:rsidRPr="004338BE">
        <w:rPr>
          <w:vertAlign w:val="subscript"/>
        </w:rPr>
        <w:t>2</w:t>
      </w:r>
      <w:r w:rsidRPr="004338BE">
        <w:t xml:space="preserve"> flow rate.</w:t>
      </w:r>
    </w:p>
    <w:p w14:paraId="497DC535" w14:textId="79035B31" w:rsidR="00EA1627" w:rsidRPr="004338BE" w:rsidRDefault="00EA1627" w:rsidP="00261E72">
      <w:pPr>
        <w:spacing w:line="360" w:lineRule="auto"/>
        <w:jc w:val="both"/>
      </w:pPr>
    </w:p>
    <w:p w14:paraId="10CE57F2" w14:textId="57109D2E" w:rsidR="00EA1627" w:rsidRPr="004338BE" w:rsidRDefault="00EA1627" w:rsidP="00261E72">
      <w:pPr>
        <w:spacing w:line="360" w:lineRule="auto"/>
        <w:jc w:val="both"/>
      </w:pPr>
    </w:p>
    <w:p w14:paraId="336AC561" w14:textId="2222E1A6" w:rsidR="00EA1627" w:rsidRPr="004338BE" w:rsidRDefault="00EA1627" w:rsidP="00261E72">
      <w:pPr>
        <w:spacing w:line="360" w:lineRule="auto"/>
        <w:jc w:val="both"/>
      </w:pPr>
    </w:p>
    <w:p w14:paraId="2F3754C1" w14:textId="78BB3378" w:rsidR="00EA1627" w:rsidRPr="004338BE" w:rsidRDefault="00EA1627" w:rsidP="00261E72">
      <w:pPr>
        <w:spacing w:line="360" w:lineRule="auto"/>
        <w:jc w:val="both"/>
      </w:pPr>
    </w:p>
    <w:p w14:paraId="40B28E1C" w14:textId="1D02AA68" w:rsidR="00EA1627" w:rsidRPr="004338BE" w:rsidRDefault="00EA1627" w:rsidP="00261E72">
      <w:pPr>
        <w:spacing w:line="360" w:lineRule="auto"/>
        <w:jc w:val="both"/>
      </w:pPr>
    </w:p>
    <w:p w14:paraId="0A501048" w14:textId="3C8D4BFC" w:rsidR="00EA1627" w:rsidRPr="004338BE" w:rsidRDefault="00EA1627" w:rsidP="00261E72">
      <w:pPr>
        <w:spacing w:line="360" w:lineRule="auto"/>
        <w:jc w:val="both"/>
      </w:pPr>
    </w:p>
    <w:p w14:paraId="13A8D45F" w14:textId="4EE80179" w:rsidR="00EA1627" w:rsidRPr="004338BE" w:rsidRDefault="00EA1627" w:rsidP="00261E72">
      <w:pPr>
        <w:spacing w:line="360" w:lineRule="auto"/>
        <w:jc w:val="both"/>
      </w:pPr>
    </w:p>
    <w:p w14:paraId="358D6B4E" w14:textId="0D5A5BD7" w:rsidR="00EA1627" w:rsidRPr="004338BE" w:rsidRDefault="00EA1627" w:rsidP="00261E72">
      <w:pPr>
        <w:spacing w:line="360" w:lineRule="auto"/>
        <w:jc w:val="both"/>
      </w:pPr>
    </w:p>
    <w:p w14:paraId="5E820C0A" w14:textId="3E14B9AB" w:rsidR="00EA1627" w:rsidRPr="004338BE" w:rsidRDefault="00EA1627" w:rsidP="00261E72">
      <w:pPr>
        <w:spacing w:line="360" w:lineRule="auto"/>
        <w:jc w:val="both"/>
      </w:pPr>
    </w:p>
    <w:p w14:paraId="3C23AD63" w14:textId="77777777" w:rsidR="00EA1627" w:rsidRPr="004338BE" w:rsidRDefault="00EA1627" w:rsidP="00261E72">
      <w:pPr>
        <w:spacing w:line="360" w:lineRule="auto"/>
        <w:jc w:val="both"/>
      </w:pPr>
    </w:p>
    <w:p w14:paraId="40E5D52C" w14:textId="77777777" w:rsidR="009F4C41" w:rsidRPr="004338BE" w:rsidRDefault="009F4C41" w:rsidP="009F4C41">
      <w:pPr>
        <w:spacing w:line="480" w:lineRule="auto"/>
        <w:jc w:val="center"/>
      </w:pPr>
      <w:r w:rsidRPr="004338BE">
        <w:rPr>
          <w:noProof/>
        </w:rPr>
        <w:lastRenderedPageBreak/>
        <w:drawing>
          <wp:inline distT="0" distB="0" distL="0" distR="0" wp14:anchorId="4B2AB785" wp14:editId="40CF38F7">
            <wp:extent cx="3334385" cy="233172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2CC83526-ACF4-415D-864A-0ECB2F564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2FC3C3" w14:textId="77777777" w:rsidR="009F4C41" w:rsidRPr="004338BE" w:rsidRDefault="009F4C41" w:rsidP="009F4C41">
      <w:pPr>
        <w:spacing w:line="480" w:lineRule="auto"/>
        <w:jc w:val="center"/>
      </w:pPr>
      <w:r w:rsidRPr="004338BE">
        <w:rPr>
          <w:noProof/>
        </w:rPr>
        <w:drawing>
          <wp:inline distT="0" distB="0" distL="0" distR="0" wp14:anchorId="68C938CA" wp14:editId="0A948E27">
            <wp:extent cx="3355975" cy="219456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505D3F62-09AD-4B89-B198-29659D5227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44617A" w14:textId="3FBF87C1" w:rsidR="00A2457A" w:rsidRPr="004338BE" w:rsidRDefault="009F4C41" w:rsidP="008F7EDB">
      <w:pPr>
        <w:spacing w:line="360" w:lineRule="auto"/>
        <w:jc w:val="both"/>
      </w:pPr>
      <w:r w:rsidRPr="004338BE">
        <w:rPr>
          <w:b/>
        </w:rPr>
        <w:t xml:space="preserve">Fig. </w:t>
      </w:r>
      <w:r w:rsidR="008D2BAE" w:rsidRPr="004338BE">
        <w:rPr>
          <w:b/>
        </w:rPr>
        <w:t>2</w:t>
      </w:r>
      <w:r w:rsidRPr="004338BE">
        <w:rPr>
          <w:b/>
        </w:rPr>
        <w:t xml:space="preserve">. </w:t>
      </w:r>
      <w:r w:rsidRPr="004338BE">
        <w:t>Effect of molar ratio of surface Pt and H</w:t>
      </w:r>
      <w:r w:rsidRPr="004338BE">
        <w:rPr>
          <w:vertAlign w:val="superscript"/>
        </w:rPr>
        <w:t>+</w:t>
      </w:r>
      <w:r w:rsidRPr="004338BE">
        <w:t xml:space="preserve"> sites on DMTHF conversion and reaction selectivity at 80 </w:t>
      </w:r>
      <w:proofErr w:type="spellStart"/>
      <w:r w:rsidRPr="004338BE">
        <w:rPr>
          <w:vertAlign w:val="superscript"/>
        </w:rPr>
        <w:t>o</w:t>
      </w:r>
      <w:r w:rsidRPr="004338BE">
        <w:t>C</w:t>
      </w:r>
      <w:proofErr w:type="spellEnd"/>
      <w:r w:rsidRPr="004338BE">
        <w:t xml:space="preserve">, 2.3 kPa DMTHF partial pressure, 20 </w:t>
      </w:r>
      <w:r w:rsidR="00F1657F" w:rsidRPr="004338BE">
        <w:t>ml</w:t>
      </w:r>
      <w:r w:rsidRPr="004338BE">
        <w:t xml:space="preserve"> min</w:t>
      </w:r>
      <w:r w:rsidRPr="004338BE">
        <w:rPr>
          <w:vertAlign w:val="superscript"/>
        </w:rPr>
        <w:t>-1</w:t>
      </w:r>
      <w:r w:rsidRPr="004338BE">
        <w:t xml:space="preserve"> H</w:t>
      </w:r>
      <w:r w:rsidRPr="004338BE">
        <w:rPr>
          <w:vertAlign w:val="subscript"/>
        </w:rPr>
        <w:t>2</w:t>
      </w:r>
      <w:r w:rsidRPr="004338BE">
        <w:t xml:space="preserve"> flow rate: (A) 9.6%Pt/C (varied from 0 to 0.060 g), </w:t>
      </w:r>
      <w:proofErr w:type="spellStart"/>
      <w:r w:rsidRPr="004338BE">
        <w:t>CsPW</w:t>
      </w:r>
      <w:proofErr w:type="spellEnd"/>
      <w:r w:rsidRPr="004338BE">
        <w:t xml:space="preserve"> (0.18 g), catalyst diluted by 0.10 g SiO</w:t>
      </w:r>
      <w:r w:rsidRPr="004338BE">
        <w:rPr>
          <w:vertAlign w:val="subscript"/>
        </w:rPr>
        <w:t>2</w:t>
      </w:r>
      <w:r w:rsidRPr="004338BE">
        <w:t xml:space="preserve">; (B) 9.6%Pt/C (0.020 g), </w:t>
      </w:r>
      <w:proofErr w:type="spellStart"/>
      <w:r w:rsidRPr="004338BE">
        <w:t>CsPW</w:t>
      </w:r>
      <w:proofErr w:type="spellEnd"/>
      <w:r w:rsidRPr="004338BE">
        <w:t xml:space="preserve"> (varied from 0 to 0.22 g), catalyst diluted by 0.10 g SiO</w:t>
      </w:r>
      <w:r w:rsidRPr="004338BE">
        <w:rPr>
          <w:vertAlign w:val="subscript"/>
        </w:rPr>
        <w:t>2</w:t>
      </w:r>
      <w:r w:rsidRPr="004338BE">
        <w:t>.</w:t>
      </w:r>
    </w:p>
    <w:p w14:paraId="31C7DA52" w14:textId="77777777" w:rsidR="00EA1627" w:rsidRPr="004338BE" w:rsidRDefault="00EA1627" w:rsidP="008F7EDB">
      <w:pPr>
        <w:spacing w:line="360" w:lineRule="auto"/>
        <w:jc w:val="both"/>
      </w:pPr>
    </w:p>
    <w:p w14:paraId="2237CC2E" w14:textId="77777777" w:rsidR="00AC0DAA" w:rsidRPr="004338BE" w:rsidRDefault="00AC0DAA" w:rsidP="00AC0DAA">
      <w:pPr>
        <w:spacing w:line="480" w:lineRule="auto"/>
        <w:jc w:val="center"/>
      </w:pPr>
      <w:r w:rsidRPr="004338BE">
        <w:rPr>
          <w:noProof/>
          <w:lang w:eastAsia="en-GB"/>
        </w:rPr>
        <w:lastRenderedPageBreak/>
        <w:drawing>
          <wp:inline distT="0" distB="0" distL="0" distR="0" wp14:anchorId="4A40A035" wp14:editId="3FF0E4FD">
            <wp:extent cx="3749413" cy="2422634"/>
            <wp:effectExtent l="0" t="0" r="381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1A0CBB7" w14:textId="04952213" w:rsidR="00AC0DAA" w:rsidRPr="004338BE" w:rsidRDefault="00AC0DAA" w:rsidP="00AC0DAA">
      <w:pPr>
        <w:spacing w:line="360" w:lineRule="auto"/>
        <w:jc w:val="both"/>
      </w:pPr>
      <w:r w:rsidRPr="004338BE">
        <w:rPr>
          <w:b/>
        </w:rPr>
        <w:t xml:space="preserve">Fig. </w:t>
      </w:r>
      <w:r w:rsidR="008D2BAE" w:rsidRPr="004338BE">
        <w:rPr>
          <w:b/>
        </w:rPr>
        <w:t>3</w:t>
      </w:r>
      <w:r w:rsidRPr="004338BE">
        <w:rPr>
          <w:b/>
        </w:rPr>
        <w:t>.</w:t>
      </w:r>
      <w:r w:rsidRPr="004338BE">
        <w:t xml:space="preserve"> Effect of DMTHF partial pressure on reaction rate (based on Pt/C): 9.6%Pt/</w:t>
      </w:r>
      <w:proofErr w:type="spellStart"/>
      <w:r w:rsidRPr="004338BE">
        <w:t>C+CsPW</w:t>
      </w:r>
      <w:proofErr w:type="spellEnd"/>
      <w:r w:rsidRPr="004338BE">
        <w:t xml:space="preserve"> (1:9 w/w, 0.10 g, </w:t>
      </w:r>
      <w:r w:rsidR="00F07CC0" w:rsidRPr="004338BE">
        <w:t>10 mg Pt/C</w:t>
      </w:r>
      <w:r w:rsidRPr="004338BE">
        <w:t>, diluted by 0.10 g SiO</w:t>
      </w:r>
      <w:r w:rsidRPr="004338BE">
        <w:rPr>
          <w:vertAlign w:val="subscript"/>
        </w:rPr>
        <w:t>2</w:t>
      </w:r>
      <w:r w:rsidRPr="004338BE">
        <w:t xml:space="preserve">), 80 </w:t>
      </w:r>
      <w:proofErr w:type="spellStart"/>
      <w:r w:rsidRPr="004338BE">
        <w:rPr>
          <w:vertAlign w:val="superscript"/>
        </w:rPr>
        <w:t>o</w:t>
      </w:r>
      <w:r w:rsidRPr="004338BE">
        <w:t>C</w:t>
      </w:r>
      <w:proofErr w:type="spellEnd"/>
      <w:r w:rsidRPr="004338BE">
        <w:t xml:space="preserve">, 40 </w:t>
      </w:r>
      <w:r w:rsidR="00F1657F" w:rsidRPr="004338BE">
        <w:t>ml</w:t>
      </w:r>
      <w:r w:rsidRPr="004338BE">
        <w:t xml:space="preserve"> min</w:t>
      </w:r>
      <w:r w:rsidRPr="004338BE">
        <w:rPr>
          <w:vertAlign w:val="superscript"/>
        </w:rPr>
        <w:t>-1</w:t>
      </w:r>
      <w:r w:rsidRPr="004338BE">
        <w:t xml:space="preserve"> H</w:t>
      </w:r>
      <w:r w:rsidRPr="004338BE">
        <w:rPr>
          <w:vertAlign w:val="subscript"/>
        </w:rPr>
        <w:t>2</w:t>
      </w:r>
      <w:r w:rsidRPr="004338BE">
        <w:t xml:space="preserve"> flow rate; reaction order in DMTHF 0.11.</w:t>
      </w:r>
    </w:p>
    <w:p w14:paraId="6848ED45" w14:textId="77777777" w:rsidR="00B15E90" w:rsidRPr="004338BE" w:rsidRDefault="00B15E90" w:rsidP="00AC0DAA">
      <w:pPr>
        <w:spacing w:line="360" w:lineRule="auto"/>
        <w:jc w:val="both"/>
      </w:pPr>
    </w:p>
    <w:p w14:paraId="343BBEF3" w14:textId="03A1B72C" w:rsidR="00843680" w:rsidRPr="004338BE" w:rsidRDefault="009D3513" w:rsidP="00843680">
      <w:pPr>
        <w:spacing w:line="360" w:lineRule="auto"/>
        <w:jc w:val="center"/>
      </w:pPr>
      <w:r w:rsidRPr="004338BE">
        <w:rPr>
          <w:noProof/>
        </w:rPr>
        <w:drawing>
          <wp:inline distT="0" distB="0" distL="0" distR="0" wp14:anchorId="6DFCD717" wp14:editId="66007747">
            <wp:extent cx="3935095" cy="2377440"/>
            <wp:effectExtent l="0" t="0" r="8255" b="381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B32E1FC-BF6C-4ABB-92C0-EFBA123356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437583B" w14:textId="55E22FC2" w:rsidR="00AC0DAA" w:rsidRPr="004338BE" w:rsidRDefault="00AC0DAA" w:rsidP="00AC0DAA">
      <w:pPr>
        <w:spacing w:line="360" w:lineRule="auto"/>
        <w:jc w:val="both"/>
      </w:pPr>
      <w:r w:rsidRPr="004338BE">
        <w:rPr>
          <w:b/>
        </w:rPr>
        <w:t xml:space="preserve">Fig. </w:t>
      </w:r>
      <w:r w:rsidR="00003E3F" w:rsidRPr="004338BE">
        <w:rPr>
          <w:b/>
        </w:rPr>
        <w:t>4</w:t>
      </w:r>
      <w:r w:rsidRPr="004338BE">
        <w:rPr>
          <w:b/>
        </w:rPr>
        <w:t>.</w:t>
      </w:r>
      <w:r w:rsidRPr="004338BE">
        <w:t xml:space="preserve"> Effect of hydrogen partial pressure (</w:t>
      </w:r>
      <w:r w:rsidRPr="004338BE">
        <w:rPr>
          <w:i/>
        </w:rPr>
        <w:t>P</w:t>
      </w:r>
      <w:r w:rsidRPr="004338BE">
        <w:rPr>
          <w:vertAlign w:val="subscript"/>
        </w:rPr>
        <w:t>H</w:t>
      </w:r>
      <w:r w:rsidRPr="004338BE">
        <w:rPr>
          <w:sz w:val="20"/>
          <w:szCs w:val="20"/>
          <w:vertAlign w:val="subscript"/>
        </w:rPr>
        <w:t>2</w:t>
      </w:r>
      <w:r w:rsidRPr="004338BE">
        <w:t>, kPa) on reaction rate (</w:t>
      </w:r>
      <w:r w:rsidR="00A12EC1" w:rsidRPr="004338BE">
        <w:t>mol g</w:t>
      </w:r>
      <w:r w:rsidR="00A12EC1" w:rsidRPr="004338BE">
        <w:rPr>
          <w:vertAlign w:val="superscript"/>
        </w:rPr>
        <w:t>-1</w:t>
      </w:r>
      <w:r w:rsidR="00A12EC1" w:rsidRPr="004338BE">
        <w:t>h</w:t>
      </w:r>
      <w:r w:rsidR="00A12EC1" w:rsidRPr="004338BE">
        <w:rPr>
          <w:vertAlign w:val="superscript"/>
        </w:rPr>
        <w:t>-1</w:t>
      </w:r>
      <w:r w:rsidR="00A12EC1" w:rsidRPr="004338BE">
        <w:t xml:space="preserve"> </w:t>
      </w:r>
      <w:r w:rsidRPr="004338BE">
        <w:t>based on Pt/C): 9.6%Pt/</w:t>
      </w:r>
      <w:proofErr w:type="spellStart"/>
      <w:r w:rsidRPr="004338BE">
        <w:t>C+CsPW</w:t>
      </w:r>
      <w:proofErr w:type="spellEnd"/>
      <w:r w:rsidRPr="004338BE">
        <w:t xml:space="preserve"> (1:9 w/w, 0.10 g, </w:t>
      </w:r>
      <w:r w:rsidR="00675555" w:rsidRPr="004338BE">
        <w:t>10 mg Pt/C</w:t>
      </w:r>
      <w:r w:rsidRPr="004338BE">
        <w:t>, diluted by 0.10 g SiO</w:t>
      </w:r>
      <w:r w:rsidRPr="004338BE">
        <w:rPr>
          <w:vertAlign w:val="subscript"/>
        </w:rPr>
        <w:t>2</w:t>
      </w:r>
      <w:r w:rsidRPr="004338BE">
        <w:t xml:space="preserve">), 80 </w:t>
      </w:r>
      <w:proofErr w:type="spellStart"/>
      <w:r w:rsidRPr="004338BE">
        <w:rPr>
          <w:vertAlign w:val="superscript"/>
        </w:rPr>
        <w:t>o</w:t>
      </w:r>
      <w:r w:rsidRPr="004338BE">
        <w:t>C</w:t>
      </w:r>
      <w:proofErr w:type="spellEnd"/>
      <w:r w:rsidRPr="004338BE">
        <w:t xml:space="preserve">, 2.3 kPa DMTHF partial pressure, 40 </w:t>
      </w:r>
      <w:r w:rsidR="00F1657F" w:rsidRPr="004338BE">
        <w:t>ml</w:t>
      </w:r>
      <w:r w:rsidRPr="004338BE">
        <w:t xml:space="preserve"> min</w:t>
      </w:r>
      <w:r w:rsidRPr="004338BE">
        <w:rPr>
          <w:vertAlign w:val="superscript"/>
        </w:rPr>
        <w:t>-1</w:t>
      </w:r>
      <w:r w:rsidRPr="004338BE">
        <w:t xml:space="preserve"> H</w:t>
      </w:r>
      <w:r w:rsidRPr="004338BE">
        <w:rPr>
          <w:vertAlign w:val="subscript"/>
        </w:rPr>
        <w:t>2</w:t>
      </w:r>
      <w:r w:rsidRPr="004338BE">
        <w:t xml:space="preserve"> + N</w:t>
      </w:r>
      <w:r w:rsidRPr="004338BE">
        <w:rPr>
          <w:vertAlign w:val="subscript"/>
        </w:rPr>
        <w:t>2</w:t>
      </w:r>
      <w:r w:rsidRPr="004338BE">
        <w:t xml:space="preserve"> flow rate; reaction order in H</w:t>
      </w:r>
      <w:r w:rsidRPr="004338BE">
        <w:rPr>
          <w:vertAlign w:val="subscript"/>
        </w:rPr>
        <w:t>2</w:t>
      </w:r>
      <w:r w:rsidRPr="004338BE">
        <w:t xml:space="preserve"> </w:t>
      </w:r>
      <w:r w:rsidR="00A12EC1" w:rsidRPr="004338BE">
        <w:t>–</w:t>
      </w:r>
      <w:r w:rsidRPr="004338BE">
        <w:t>0.45.</w:t>
      </w:r>
    </w:p>
    <w:p w14:paraId="379C0BA9" w14:textId="77777777" w:rsidR="00003E3F" w:rsidRPr="004338BE" w:rsidRDefault="00003E3F" w:rsidP="00003E3F">
      <w:pPr>
        <w:spacing w:line="480" w:lineRule="auto"/>
        <w:ind w:right="-45"/>
        <w:jc w:val="center"/>
        <w:rPr>
          <w:rFonts w:eastAsia="Calibri"/>
          <w:b/>
          <w:iCs/>
          <w:lang w:eastAsia="en-GB"/>
        </w:rPr>
      </w:pPr>
    </w:p>
    <w:p w14:paraId="78782F27" w14:textId="77777777" w:rsidR="00003E3F" w:rsidRPr="004338BE" w:rsidRDefault="00003E3F" w:rsidP="00003E3F">
      <w:pPr>
        <w:spacing w:line="480" w:lineRule="auto"/>
        <w:ind w:right="-45"/>
        <w:jc w:val="center"/>
        <w:rPr>
          <w:rFonts w:eastAsia="Calibri"/>
        </w:rPr>
      </w:pPr>
      <w:r w:rsidRPr="004338BE">
        <w:rPr>
          <w:rFonts w:ascii="Calibri" w:eastAsia="Calibri" w:hAnsi="Calibri" w:cs="Arial"/>
          <w:noProof/>
          <w:lang w:val="en-US"/>
        </w:rPr>
        <w:lastRenderedPageBreak/>
        <w:drawing>
          <wp:inline distT="0" distB="0" distL="0" distR="0" wp14:anchorId="1E55B5CC" wp14:editId="31A0F8EA">
            <wp:extent cx="3841750" cy="2374900"/>
            <wp:effectExtent l="0" t="0" r="6350" b="6350"/>
            <wp:docPr id="2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A2A88D6-AF7C-4CE3-A338-9412A44DB9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06B9913" w14:textId="50C35D03" w:rsidR="007913DC" w:rsidRPr="004338BE" w:rsidRDefault="00003E3F" w:rsidP="004C0D60">
      <w:pPr>
        <w:spacing w:line="360" w:lineRule="auto"/>
        <w:jc w:val="both"/>
        <w:rPr>
          <w:rFonts w:eastAsia="Calibri"/>
        </w:rPr>
      </w:pPr>
      <w:r w:rsidRPr="004338BE">
        <w:rPr>
          <w:rFonts w:eastAsia="Calibri"/>
          <w:b/>
        </w:rPr>
        <w:t>Fig. 5.</w:t>
      </w:r>
      <w:r w:rsidRPr="004338BE">
        <w:rPr>
          <w:rFonts w:eastAsia="Calibri"/>
        </w:rPr>
        <w:t xml:space="preserve"> Effect of catalyst amount on DMTHF conversion: 9.6%Pt/</w:t>
      </w:r>
      <w:proofErr w:type="spellStart"/>
      <w:r w:rsidRPr="004338BE">
        <w:rPr>
          <w:rFonts w:eastAsia="Calibri"/>
        </w:rPr>
        <w:t>C+CsPW</w:t>
      </w:r>
      <w:proofErr w:type="spellEnd"/>
      <w:r w:rsidRPr="004338BE">
        <w:rPr>
          <w:rFonts w:eastAsia="Calibri"/>
        </w:rPr>
        <w:t xml:space="preserve"> (1:9 w/w, 1% Pt loading, varied amount, diluted by 0.10 g SiO</w:t>
      </w:r>
      <w:r w:rsidRPr="004338BE">
        <w:rPr>
          <w:rFonts w:eastAsia="Calibri"/>
          <w:vertAlign w:val="subscript"/>
        </w:rPr>
        <w:t>2</w:t>
      </w:r>
      <w:r w:rsidRPr="004338BE">
        <w:rPr>
          <w:rFonts w:eastAsia="Calibri"/>
        </w:rPr>
        <w:t xml:space="preserve">), 80 </w:t>
      </w:r>
      <w:proofErr w:type="spellStart"/>
      <w:r w:rsidRPr="004338BE">
        <w:rPr>
          <w:rFonts w:eastAsia="Calibri"/>
          <w:vertAlign w:val="superscript"/>
        </w:rPr>
        <w:t>o</w:t>
      </w:r>
      <w:r w:rsidRPr="004338BE">
        <w:rPr>
          <w:rFonts w:eastAsia="Calibri"/>
        </w:rPr>
        <w:t>C</w:t>
      </w:r>
      <w:proofErr w:type="spellEnd"/>
      <w:r w:rsidRPr="004338BE">
        <w:rPr>
          <w:rFonts w:eastAsia="Calibri"/>
        </w:rPr>
        <w:t>, 2.3 kPa DMTHF partial pressure, 20 m</w:t>
      </w:r>
      <w:r w:rsidR="005128FE" w:rsidRPr="004338BE">
        <w:rPr>
          <w:rFonts w:eastAsia="Calibri"/>
        </w:rPr>
        <w:t>l</w:t>
      </w:r>
      <w:r w:rsidRPr="004338BE">
        <w:rPr>
          <w:rFonts w:eastAsia="Calibri"/>
        </w:rPr>
        <w:t xml:space="preserve"> min</w:t>
      </w:r>
      <w:r w:rsidRPr="004338BE">
        <w:rPr>
          <w:rFonts w:eastAsia="Calibri"/>
          <w:vertAlign w:val="superscript"/>
        </w:rPr>
        <w:t>-1</w:t>
      </w:r>
      <w:r w:rsidRPr="004338BE">
        <w:rPr>
          <w:rFonts w:eastAsia="Calibri"/>
        </w:rPr>
        <w:t xml:space="preserve"> H</w:t>
      </w:r>
      <w:r w:rsidRPr="004338BE">
        <w:rPr>
          <w:rFonts w:eastAsia="Calibri"/>
          <w:vertAlign w:val="subscript"/>
        </w:rPr>
        <w:t>2</w:t>
      </w:r>
      <w:r w:rsidRPr="004338BE">
        <w:rPr>
          <w:rFonts w:eastAsia="Calibri"/>
        </w:rPr>
        <w:t xml:space="preserve"> flow rate.</w:t>
      </w:r>
    </w:p>
    <w:p w14:paraId="71D419F9" w14:textId="77777777" w:rsidR="00B15E90" w:rsidRPr="004338BE" w:rsidRDefault="00B15E90" w:rsidP="004C0D60">
      <w:pPr>
        <w:spacing w:line="360" w:lineRule="auto"/>
        <w:jc w:val="both"/>
        <w:rPr>
          <w:rFonts w:eastAsia="Calibri"/>
        </w:rPr>
      </w:pPr>
    </w:p>
    <w:p w14:paraId="3E0158AD" w14:textId="71BA76B1" w:rsidR="006E6F12" w:rsidRPr="004338BE" w:rsidRDefault="006E6F12" w:rsidP="007913DC">
      <w:pPr>
        <w:spacing w:line="480" w:lineRule="auto"/>
        <w:jc w:val="center"/>
      </w:pPr>
      <w:r w:rsidRPr="004338BE">
        <w:rPr>
          <w:noProof/>
        </w:rPr>
        <w:drawing>
          <wp:inline distT="0" distB="0" distL="0" distR="0" wp14:anchorId="19685286" wp14:editId="523299A6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7CE7173-0E3C-4540-AA1B-1072167700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DC59F4" w14:textId="0FB7A2DF" w:rsidR="007913DC" w:rsidRPr="00B93252" w:rsidRDefault="007913DC" w:rsidP="007913DC">
      <w:pPr>
        <w:spacing w:line="360" w:lineRule="auto"/>
        <w:jc w:val="both"/>
        <w:rPr>
          <w:rFonts w:eastAsia="Calibri"/>
        </w:rPr>
      </w:pPr>
      <w:r w:rsidRPr="004338BE">
        <w:rPr>
          <w:b/>
        </w:rPr>
        <w:t xml:space="preserve">Fig. </w:t>
      </w:r>
      <w:r w:rsidR="00003E3F" w:rsidRPr="004338BE">
        <w:rPr>
          <w:b/>
        </w:rPr>
        <w:t>6</w:t>
      </w:r>
      <w:r w:rsidRPr="004338BE">
        <w:rPr>
          <w:b/>
        </w:rPr>
        <w:t>.</w:t>
      </w:r>
      <w:r w:rsidRPr="004338BE">
        <w:t xml:space="preserve"> Arrhenius plot for HDO of DMTHF: 9.6%Pt/</w:t>
      </w:r>
      <w:proofErr w:type="spellStart"/>
      <w:r w:rsidRPr="004338BE">
        <w:t>C+CsPW</w:t>
      </w:r>
      <w:proofErr w:type="spellEnd"/>
      <w:r w:rsidRPr="004338BE">
        <w:t xml:space="preserve"> (1:9 w/w, 0.10 g, 10 mg Pt/C, diluted by 0.10 g SiO</w:t>
      </w:r>
      <w:r w:rsidRPr="004338BE">
        <w:rPr>
          <w:vertAlign w:val="subscript"/>
        </w:rPr>
        <w:t>2</w:t>
      </w:r>
      <w:r w:rsidRPr="004338BE">
        <w:t>), 2.3 kPa DMTHF partial pressure, 40 ml min</w:t>
      </w:r>
      <w:r w:rsidRPr="004338BE">
        <w:rPr>
          <w:vertAlign w:val="superscript"/>
        </w:rPr>
        <w:t>-1</w:t>
      </w:r>
      <w:r w:rsidRPr="004338BE">
        <w:t xml:space="preserve"> H</w:t>
      </w:r>
      <w:r w:rsidRPr="004338BE">
        <w:rPr>
          <w:vertAlign w:val="subscript"/>
        </w:rPr>
        <w:t>2</w:t>
      </w:r>
      <w:r w:rsidRPr="004338BE">
        <w:t xml:space="preserve"> flow rate; </w:t>
      </w:r>
      <w:r w:rsidR="00F03FC1" w:rsidRPr="004338BE">
        <w:rPr>
          <w:i/>
        </w:rPr>
        <w:t>R</w:t>
      </w:r>
      <w:r w:rsidRPr="004338BE">
        <w:t xml:space="preserve"> is the </w:t>
      </w:r>
      <w:r w:rsidR="00F03FC1" w:rsidRPr="004338BE">
        <w:t>reaction rate</w:t>
      </w:r>
      <w:r w:rsidRPr="004338BE">
        <w:t xml:space="preserve"> </w:t>
      </w:r>
      <w:r w:rsidR="00F03FC1" w:rsidRPr="004338BE">
        <w:t>(mol h</w:t>
      </w:r>
      <w:r w:rsidR="00F03FC1" w:rsidRPr="004338BE">
        <w:rPr>
          <w:vertAlign w:val="superscript"/>
        </w:rPr>
        <w:t>-1</w:t>
      </w:r>
      <w:r w:rsidR="00F03FC1" w:rsidRPr="004338BE">
        <w:t>g</w:t>
      </w:r>
      <w:r w:rsidR="00F03FC1" w:rsidRPr="004338BE">
        <w:rPr>
          <w:vertAlign w:val="superscript"/>
        </w:rPr>
        <w:t>-1</w:t>
      </w:r>
      <w:r w:rsidRPr="004338BE">
        <w:t>)</w:t>
      </w:r>
      <w:r w:rsidR="00F03FC1" w:rsidRPr="004338BE">
        <w:t xml:space="preserve"> per Pt/C weight</w:t>
      </w:r>
      <w:r w:rsidRPr="004338BE">
        <w:t xml:space="preserve">; </w:t>
      </w:r>
      <w:r w:rsidRPr="004338BE">
        <w:rPr>
          <w:i/>
        </w:rPr>
        <w:t>E</w:t>
      </w:r>
      <w:r w:rsidRPr="004338BE">
        <w:t xml:space="preserve"> = 78.5 kJ mol</w:t>
      </w:r>
      <w:r w:rsidRPr="004338BE">
        <w:rPr>
          <w:vertAlign w:val="superscript"/>
        </w:rPr>
        <w:t>-1</w:t>
      </w:r>
      <w:r w:rsidRPr="004338BE">
        <w:t>.</w:t>
      </w:r>
      <w:bookmarkStart w:id="4" w:name="_GoBack"/>
      <w:bookmarkEnd w:id="4"/>
      <w:r w:rsidRPr="00B93252">
        <w:rPr>
          <w:rFonts w:eastAsia="Calibri"/>
        </w:rPr>
        <w:t xml:space="preserve"> </w:t>
      </w:r>
    </w:p>
    <w:p w14:paraId="387783C0" w14:textId="77777777" w:rsidR="00DB3DCE" w:rsidRPr="00B93252" w:rsidRDefault="00DB3DCE" w:rsidP="00735A7D">
      <w:pPr>
        <w:pStyle w:val="RSCH01PaperTitle"/>
        <w:spacing w:line="480" w:lineRule="auto"/>
        <w:jc w:val="center"/>
        <w:rPr>
          <w:b w:val="0"/>
          <w:sz w:val="28"/>
          <w:szCs w:val="28"/>
        </w:rPr>
      </w:pPr>
    </w:p>
    <w:sectPr w:rsidR="00DB3DCE" w:rsidRPr="00B93252" w:rsidSect="00ED1C15">
      <w:footnotePr>
        <w:numFmt w:val="chicago"/>
      </w:footnotePr>
      <w:type w:val="continuous"/>
      <w:pgSz w:w="11907" w:h="16840" w:code="9"/>
      <w:pgMar w:top="1440" w:right="1440" w:bottom="1440" w:left="1440" w:header="851" w:footer="1049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595C" w14:textId="77777777" w:rsidR="005254E4" w:rsidRDefault="005254E4" w:rsidP="00AB6D29">
      <w:pPr>
        <w:spacing w:after="0" w:line="240" w:lineRule="auto"/>
      </w:pPr>
      <w:r>
        <w:separator/>
      </w:r>
    </w:p>
  </w:endnote>
  <w:endnote w:type="continuationSeparator" w:id="0">
    <w:p w14:paraId="10FD7285" w14:textId="77777777" w:rsidR="005254E4" w:rsidRDefault="005254E4" w:rsidP="00AB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4DF60E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65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26" w14:textId="44B4F800" w:rsidR="000D7D23" w:rsidRDefault="000D7D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75AA9DE" w14:textId="77777777" w:rsidR="000D7D23" w:rsidRDefault="000D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21FC" w14:textId="77777777" w:rsidR="005254E4" w:rsidRDefault="005254E4" w:rsidP="00AB6D29">
      <w:pPr>
        <w:spacing w:after="0" w:line="240" w:lineRule="auto"/>
      </w:pPr>
      <w:r>
        <w:separator/>
      </w:r>
    </w:p>
  </w:footnote>
  <w:footnote w:type="continuationSeparator" w:id="0">
    <w:p w14:paraId="7A5CD9F3" w14:textId="77777777" w:rsidR="005254E4" w:rsidRDefault="005254E4" w:rsidP="00AB6D29">
      <w:pPr>
        <w:spacing w:after="0" w:line="240" w:lineRule="auto"/>
      </w:pPr>
      <w:r>
        <w:continuationSeparator/>
      </w:r>
    </w:p>
  </w:footnote>
  <w:footnote w:id="1">
    <w:p w14:paraId="53B88748" w14:textId="77777777" w:rsidR="000D7D23" w:rsidRPr="00300522" w:rsidRDefault="000D7D23" w:rsidP="00AB6D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0522">
        <w:t xml:space="preserve">Corresponding author. Tel.: +44(0)1517942938 </w:t>
      </w:r>
    </w:p>
    <w:p w14:paraId="692AB1D7" w14:textId="77777777" w:rsidR="000D7D23" w:rsidRPr="00AB6D29" w:rsidRDefault="000D7D23">
      <w:pPr>
        <w:pStyle w:val="FootnoteText"/>
        <w:rPr>
          <w:color w:val="0563C1" w:themeColor="hyperlink"/>
          <w:u w:val="single"/>
        </w:rPr>
      </w:pPr>
      <w:r w:rsidRPr="00300522">
        <w:rPr>
          <w:i/>
        </w:rPr>
        <w:t>E-mail address:</w:t>
      </w:r>
      <w:r w:rsidRPr="00300522">
        <w:t xml:space="preserve"> </w:t>
      </w:r>
      <w:r w:rsidRPr="00300522">
        <w:rPr>
          <w:i/>
        </w:rPr>
        <w:t>kozhev@liverpool.ac.uk</w:t>
      </w:r>
      <w:r>
        <w:rPr>
          <w:rStyle w:val="Hyperlink"/>
        </w:rPr>
        <w:t xml:space="preserve"> (I. V. Kozhevnikov)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7F01"/>
    <w:multiLevelType w:val="hybridMultilevel"/>
    <w:tmpl w:val="40A08FEE"/>
    <w:lvl w:ilvl="0" w:tplc="1408E2B6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1B9"/>
    <w:multiLevelType w:val="hybridMultilevel"/>
    <w:tmpl w:val="9F643A9A"/>
    <w:lvl w:ilvl="0" w:tplc="805E061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616ED"/>
    <w:multiLevelType w:val="hybridMultilevel"/>
    <w:tmpl w:val="D74AB18A"/>
    <w:lvl w:ilvl="0" w:tplc="48E4E3B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1EF6"/>
    <w:multiLevelType w:val="hybridMultilevel"/>
    <w:tmpl w:val="0CF428A0"/>
    <w:lvl w:ilvl="0" w:tplc="1408E2B6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7346"/>
    <w:multiLevelType w:val="hybridMultilevel"/>
    <w:tmpl w:val="1B04B572"/>
    <w:lvl w:ilvl="0" w:tplc="1408E2B6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70D2"/>
    <w:multiLevelType w:val="hybridMultilevel"/>
    <w:tmpl w:val="367C7BDA"/>
    <w:lvl w:ilvl="0" w:tplc="AC302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73F15"/>
    <w:multiLevelType w:val="hybridMultilevel"/>
    <w:tmpl w:val="8608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26963"/>
    <w:multiLevelType w:val="multilevel"/>
    <w:tmpl w:val="0E30A100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5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13EEA"/>
    <w:multiLevelType w:val="hybridMultilevel"/>
    <w:tmpl w:val="D1542316"/>
    <w:lvl w:ilvl="0" w:tplc="5B0EAEF0">
      <w:start w:val="1"/>
      <w:numFmt w:val="decimal"/>
      <w:lvlText w:val="[%1]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20D8"/>
    <w:multiLevelType w:val="hybridMultilevel"/>
    <w:tmpl w:val="6988DE7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29"/>
    <w:rsid w:val="000004FF"/>
    <w:rsid w:val="0000069F"/>
    <w:rsid w:val="000012A1"/>
    <w:rsid w:val="000022EA"/>
    <w:rsid w:val="00002984"/>
    <w:rsid w:val="00003B4C"/>
    <w:rsid w:val="00003E3F"/>
    <w:rsid w:val="00005243"/>
    <w:rsid w:val="000075CD"/>
    <w:rsid w:val="00012E23"/>
    <w:rsid w:val="000131DE"/>
    <w:rsid w:val="00013879"/>
    <w:rsid w:val="0001439C"/>
    <w:rsid w:val="000153AA"/>
    <w:rsid w:val="00015C81"/>
    <w:rsid w:val="000164CA"/>
    <w:rsid w:val="00016549"/>
    <w:rsid w:val="0001662C"/>
    <w:rsid w:val="00016AAA"/>
    <w:rsid w:val="0001774D"/>
    <w:rsid w:val="00017EAF"/>
    <w:rsid w:val="0002003F"/>
    <w:rsid w:val="00020A00"/>
    <w:rsid w:val="00021520"/>
    <w:rsid w:val="00021652"/>
    <w:rsid w:val="00022212"/>
    <w:rsid w:val="0002328F"/>
    <w:rsid w:val="000232D5"/>
    <w:rsid w:val="00024DAC"/>
    <w:rsid w:val="00027A05"/>
    <w:rsid w:val="00027C58"/>
    <w:rsid w:val="0003023C"/>
    <w:rsid w:val="00030B2C"/>
    <w:rsid w:val="0003228B"/>
    <w:rsid w:val="00033223"/>
    <w:rsid w:val="00033B9F"/>
    <w:rsid w:val="000350BA"/>
    <w:rsid w:val="000358DF"/>
    <w:rsid w:val="00041D15"/>
    <w:rsid w:val="00041FE4"/>
    <w:rsid w:val="0004350A"/>
    <w:rsid w:val="00043C3A"/>
    <w:rsid w:val="00043D1B"/>
    <w:rsid w:val="00044801"/>
    <w:rsid w:val="000455FD"/>
    <w:rsid w:val="00045AE2"/>
    <w:rsid w:val="0005104B"/>
    <w:rsid w:val="000513C4"/>
    <w:rsid w:val="000532A3"/>
    <w:rsid w:val="0005349E"/>
    <w:rsid w:val="000547AA"/>
    <w:rsid w:val="00054D48"/>
    <w:rsid w:val="00054DB8"/>
    <w:rsid w:val="00057243"/>
    <w:rsid w:val="00060957"/>
    <w:rsid w:val="00061F2C"/>
    <w:rsid w:val="00063257"/>
    <w:rsid w:val="00063366"/>
    <w:rsid w:val="00063D17"/>
    <w:rsid w:val="00063E29"/>
    <w:rsid w:val="00065AC5"/>
    <w:rsid w:val="00070F2D"/>
    <w:rsid w:val="000712E9"/>
    <w:rsid w:val="000717D4"/>
    <w:rsid w:val="00072356"/>
    <w:rsid w:val="00072C62"/>
    <w:rsid w:val="00073D25"/>
    <w:rsid w:val="000753DD"/>
    <w:rsid w:val="00086188"/>
    <w:rsid w:val="000900B0"/>
    <w:rsid w:val="00091729"/>
    <w:rsid w:val="00092821"/>
    <w:rsid w:val="00092C6E"/>
    <w:rsid w:val="00092E10"/>
    <w:rsid w:val="00092F60"/>
    <w:rsid w:val="000935E2"/>
    <w:rsid w:val="000939DE"/>
    <w:rsid w:val="000939EF"/>
    <w:rsid w:val="00094F3F"/>
    <w:rsid w:val="0009571B"/>
    <w:rsid w:val="000963A9"/>
    <w:rsid w:val="0009687F"/>
    <w:rsid w:val="00097D1F"/>
    <w:rsid w:val="000A034A"/>
    <w:rsid w:val="000A061C"/>
    <w:rsid w:val="000A1366"/>
    <w:rsid w:val="000A34DB"/>
    <w:rsid w:val="000A3568"/>
    <w:rsid w:val="000A3971"/>
    <w:rsid w:val="000A491F"/>
    <w:rsid w:val="000A6290"/>
    <w:rsid w:val="000A7E01"/>
    <w:rsid w:val="000B0A76"/>
    <w:rsid w:val="000B0CF5"/>
    <w:rsid w:val="000B0DF8"/>
    <w:rsid w:val="000B1A4F"/>
    <w:rsid w:val="000B1D38"/>
    <w:rsid w:val="000B1FF2"/>
    <w:rsid w:val="000B2BBA"/>
    <w:rsid w:val="000B3909"/>
    <w:rsid w:val="000B521D"/>
    <w:rsid w:val="000B552D"/>
    <w:rsid w:val="000B5561"/>
    <w:rsid w:val="000B5564"/>
    <w:rsid w:val="000B5763"/>
    <w:rsid w:val="000B583C"/>
    <w:rsid w:val="000B5AF8"/>
    <w:rsid w:val="000B6329"/>
    <w:rsid w:val="000B7F80"/>
    <w:rsid w:val="000C03BE"/>
    <w:rsid w:val="000C0771"/>
    <w:rsid w:val="000C0E5D"/>
    <w:rsid w:val="000C3AFE"/>
    <w:rsid w:val="000C3D32"/>
    <w:rsid w:val="000C6007"/>
    <w:rsid w:val="000C7548"/>
    <w:rsid w:val="000C7AE7"/>
    <w:rsid w:val="000D257B"/>
    <w:rsid w:val="000D382A"/>
    <w:rsid w:val="000D3CE4"/>
    <w:rsid w:val="000D5866"/>
    <w:rsid w:val="000D5F28"/>
    <w:rsid w:val="000D7A25"/>
    <w:rsid w:val="000D7D23"/>
    <w:rsid w:val="000E0DD2"/>
    <w:rsid w:val="000E40DB"/>
    <w:rsid w:val="000E4106"/>
    <w:rsid w:val="000E5D84"/>
    <w:rsid w:val="000E66B8"/>
    <w:rsid w:val="000E6BB3"/>
    <w:rsid w:val="000E6C3F"/>
    <w:rsid w:val="000E7BCA"/>
    <w:rsid w:val="000F2530"/>
    <w:rsid w:val="000F395C"/>
    <w:rsid w:val="0010086A"/>
    <w:rsid w:val="00101529"/>
    <w:rsid w:val="0010420D"/>
    <w:rsid w:val="001052BB"/>
    <w:rsid w:val="00106228"/>
    <w:rsid w:val="00106838"/>
    <w:rsid w:val="00106E0B"/>
    <w:rsid w:val="0010797D"/>
    <w:rsid w:val="00112178"/>
    <w:rsid w:val="0011242C"/>
    <w:rsid w:val="00113A75"/>
    <w:rsid w:val="00113C42"/>
    <w:rsid w:val="0011429C"/>
    <w:rsid w:val="00116B13"/>
    <w:rsid w:val="00116B6D"/>
    <w:rsid w:val="0011702C"/>
    <w:rsid w:val="00117102"/>
    <w:rsid w:val="0012397B"/>
    <w:rsid w:val="00123987"/>
    <w:rsid w:val="00123E64"/>
    <w:rsid w:val="00124F02"/>
    <w:rsid w:val="00127E21"/>
    <w:rsid w:val="001301F0"/>
    <w:rsid w:val="001302FA"/>
    <w:rsid w:val="00130334"/>
    <w:rsid w:val="00131DBA"/>
    <w:rsid w:val="001322C3"/>
    <w:rsid w:val="001324E4"/>
    <w:rsid w:val="001334B4"/>
    <w:rsid w:val="001337FB"/>
    <w:rsid w:val="0013492F"/>
    <w:rsid w:val="00134FDD"/>
    <w:rsid w:val="001350E9"/>
    <w:rsid w:val="00135B4D"/>
    <w:rsid w:val="00135DD0"/>
    <w:rsid w:val="0013672B"/>
    <w:rsid w:val="00136E9C"/>
    <w:rsid w:val="00137640"/>
    <w:rsid w:val="001378E9"/>
    <w:rsid w:val="00140AFB"/>
    <w:rsid w:val="00141131"/>
    <w:rsid w:val="00142673"/>
    <w:rsid w:val="00142EEC"/>
    <w:rsid w:val="001433C1"/>
    <w:rsid w:val="00144503"/>
    <w:rsid w:val="001461B8"/>
    <w:rsid w:val="001503CC"/>
    <w:rsid w:val="00151C03"/>
    <w:rsid w:val="00151FC8"/>
    <w:rsid w:val="00152327"/>
    <w:rsid w:val="00152715"/>
    <w:rsid w:val="00154490"/>
    <w:rsid w:val="001560FE"/>
    <w:rsid w:val="00156AFA"/>
    <w:rsid w:val="0016078B"/>
    <w:rsid w:val="00161B65"/>
    <w:rsid w:val="0016328D"/>
    <w:rsid w:val="001645E7"/>
    <w:rsid w:val="00164CE3"/>
    <w:rsid w:val="00164D69"/>
    <w:rsid w:val="0016567F"/>
    <w:rsid w:val="001656E4"/>
    <w:rsid w:val="0016586B"/>
    <w:rsid w:val="00165B71"/>
    <w:rsid w:val="001669A0"/>
    <w:rsid w:val="0016705F"/>
    <w:rsid w:val="00167461"/>
    <w:rsid w:val="0017014A"/>
    <w:rsid w:val="0017045C"/>
    <w:rsid w:val="001716D9"/>
    <w:rsid w:val="00172F86"/>
    <w:rsid w:val="001743C7"/>
    <w:rsid w:val="001763DD"/>
    <w:rsid w:val="00177F23"/>
    <w:rsid w:val="001806BD"/>
    <w:rsid w:val="00180A97"/>
    <w:rsid w:val="00182F2B"/>
    <w:rsid w:val="0018381E"/>
    <w:rsid w:val="00183BC7"/>
    <w:rsid w:val="00183F34"/>
    <w:rsid w:val="00184821"/>
    <w:rsid w:val="001854E8"/>
    <w:rsid w:val="00185D98"/>
    <w:rsid w:val="00185FE8"/>
    <w:rsid w:val="00186D9F"/>
    <w:rsid w:val="001878A9"/>
    <w:rsid w:val="00190211"/>
    <w:rsid w:val="001912B8"/>
    <w:rsid w:val="001915B6"/>
    <w:rsid w:val="00192A5D"/>
    <w:rsid w:val="00192FBD"/>
    <w:rsid w:val="001930EC"/>
    <w:rsid w:val="001953A8"/>
    <w:rsid w:val="00196231"/>
    <w:rsid w:val="0019643A"/>
    <w:rsid w:val="001A3800"/>
    <w:rsid w:val="001A4EF4"/>
    <w:rsid w:val="001A512F"/>
    <w:rsid w:val="001B05B0"/>
    <w:rsid w:val="001B0B1F"/>
    <w:rsid w:val="001B1969"/>
    <w:rsid w:val="001B6181"/>
    <w:rsid w:val="001B6DE1"/>
    <w:rsid w:val="001B746A"/>
    <w:rsid w:val="001B7ABD"/>
    <w:rsid w:val="001B7E73"/>
    <w:rsid w:val="001C007D"/>
    <w:rsid w:val="001C2CCB"/>
    <w:rsid w:val="001C3626"/>
    <w:rsid w:val="001C5799"/>
    <w:rsid w:val="001C6D09"/>
    <w:rsid w:val="001C7200"/>
    <w:rsid w:val="001C7376"/>
    <w:rsid w:val="001C73D6"/>
    <w:rsid w:val="001C778B"/>
    <w:rsid w:val="001D0777"/>
    <w:rsid w:val="001D1063"/>
    <w:rsid w:val="001D264C"/>
    <w:rsid w:val="001D296F"/>
    <w:rsid w:val="001D29BF"/>
    <w:rsid w:val="001D2B21"/>
    <w:rsid w:val="001D6BCA"/>
    <w:rsid w:val="001D6C0D"/>
    <w:rsid w:val="001D7849"/>
    <w:rsid w:val="001E0F76"/>
    <w:rsid w:val="001E240E"/>
    <w:rsid w:val="001E348B"/>
    <w:rsid w:val="001E39AF"/>
    <w:rsid w:val="001E39EB"/>
    <w:rsid w:val="001E3DAB"/>
    <w:rsid w:val="001E62DD"/>
    <w:rsid w:val="001E6594"/>
    <w:rsid w:val="001E709F"/>
    <w:rsid w:val="001F09C0"/>
    <w:rsid w:val="001F165D"/>
    <w:rsid w:val="001F1A44"/>
    <w:rsid w:val="001F1EF2"/>
    <w:rsid w:val="001F236E"/>
    <w:rsid w:val="001F2B54"/>
    <w:rsid w:val="001F40A4"/>
    <w:rsid w:val="001F4B66"/>
    <w:rsid w:val="001F637B"/>
    <w:rsid w:val="001F67DB"/>
    <w:rsid w:val="001F6976"/>
    <w:rsid w:val="001F7295"/>
    <w:rsid w:val="00200AFD"/>
    <w:rsid w:val="002012CE"/>
    <w:rsid w:val="0020371E"/>
    <w:rsid w:val="00203FB5"/>
    <w:rsid w:val="00204553"/>
    <w:rsid w:val="00204A10"/>
    <w:rsid w:val="0020599B"/>
    <w:rsid w:val="00205B81"/>
    <w:rsid w:val="00210584"/>
    <w:rsid w:val="00210C84"/>
    <w:rsid w:val="002111B6"/>
    <w:rsid w:val="0021318A"/>
    <w:rsid w:val="00216556"/>
    <w:rsid w:val="0021712D"/>
    <w:rsid w:val="002173FF"/>
    <w:rsid w:val="002202DF"/>
    <w:rsid w:val="00220692"/>
    <w:rsid w:val="002209C9"/>
    <w:rsid w:val="00221A7C"/>
    <w:rsid w:val="00221BA4"/>
    <w:rsid w:val="002225EF"/>
    <w:rsid w:val="0022615E"/>
    <w:rsid w:val="00227743"/>
    <w:rsid w:val="00230898"/>
    <w:rsid w:val="0023172E"/>
    <w:rsid w:val="002322E9"/>
    <w:rsid w:val="00233B3F"/>
    <w:rsid w:val="002376F3"/>
    <w:rsid w:val="00240029"/>
    <w:rsid w:val="00240A76"/>
    <w:rsid w:val="0024152F"/>
    <w:rsid w:val="00243D20"/>
    <w:rsid w:val="0024759D"/>
    <w:rsid w:val="0025139F"/>
    <w:rsid w:val="00252844"/>
    <w:rsid w:val="00252F1D"/>
    <w:rsid w:val="002537D3"/>
    <w:rsid w:val="0025443C"/>
    <w:rsid w:val="00256456"/>
    <w:rsid w:val="002569EE"/>
    <w:rsid w:val="00256AE4"/>
    <w:rsid w:val="00260F8D"/>
    <w:rsid w:val="00261E72"/>
    <w:rsid w:val="00262B75"/>
    <w:rsid w:val="00262F0B"/>
    <w:rsid w:val="00263C73"/>
    <w:rsid w:val="00264408"/>
    <w:rsid w:val="0026493E"/>
    <w:rsid w:val="00265E62"/>
    <w:rsid w:val="0026682F"/>
    <w:rsid w:val="0026716E"/>
    <w:rsid w:val="00267D98"/>
    <w:rsid w:val="00272A00"/>
    <w:rsid w:val="00273B0C"/>
    <w:rsid w:val="00273E65"/>
    <w:rsid w:val="0027419C"/>
    <w:rsid w:val="002766D7"/>
    <w:rsid w:val="002770BD"/>
    <w:rsid w:val="00282A51"/>
    <w:rsid w:val="00283841"/>
    <w:rsid w:val="00283E07"/>
    <w:rsid w:val="00284673"/>
    <w:rsid w:val="00284E32"/>
    <w:rsid w:val="002879BA"/>
    <w:rsid w:val="00290CB5"/>
    <w:rsid w:val="00291CE2"/>
    <w:rsid w:val="00292646"/>
    <w:rsid w:val="0029360D"/>
    <w:rsid w:val="00293C3B"/>
    <w:rsid w:val="00294583"/>
    <w:rsid w:val="00294728"/>
    <w:rsid w:val="00294DC0"/>
    <w:rsid w:val="00295ADF"/>
    <w:rsid w:val="00296C3A"/>
    <w:rsid w:val="002A0F45"/>
    <w:rsid w:val="002A2AA9"/>
    <w:rsid w:val="002A4F7E"/>
    <w:rsid w:val="002A6521"/>
    <w:rsid w:val="002B0FF6"/>
    <w:rsid w:val="002B1394"/>
    <w:rsid w:val="002B1895"/>
    <w:rsid w:val="002B1CB7"/>
    <w:rsid w:val="002B21A8"/>
    <w:rsid w:val="002B5664"/>
    <w:rsid w:val="002B786F"/>
    <w:rsid w:val="002C0C6E"/>
    <w:rsid w:val="002C205F"/>
    <w:rsid w:val="002C24A5"/>
    <w:rsid w:val="002C4843"/>
    <w:rsid w:val="002C4866"/>
    <w:rsid w:val="002C4DD2"/>
    <w:rsid w:val="002C7457"/>
    <w:rsid w:val="002C7D0D"/>
    <w:rsid w:val="002D0009"/>
    <w:rsid w:val="002D0292"/>
    <w:rsid w:val="002D0309"/>
    <w:rsid w:val="002D0792"/>
    <w:rsid w:val="002D0F4D"/>
    <w:rsid w:val="002D15AF"/>
    <w:rsid w:val="002D1E04"/>
    <w:rsid w:val="002D3986"/>
    <w:rsid w:val="002D643B"/>
    <w:rsid w:val="002D71B6"/>
    <w:rsid w:val="002E054C"/>
    <w:rsid w:val="002E0A09"/>
    <w:rsid w:val="002E0CE9"/>
    <w:rsid w:val="002E1FD0"/>
    <w:rsid w:val="002E2FA7"/>
    <w:rsid w:val="002E34B3"/>
    <w:rsid w:val="002E3683"/>
    <w:rsid w:val="002E5520"/>
    <w:rsid w:val="002E5FD4"/>
    <w:rsid w:val="002E667D"/>
    <w:rsid w:val="002E6B8B"/>
    <w:rsid w:val="002E77F0"/>
    <w:rsid w:val="002E7A33"/>
    <w:rsid w:val="002F0203"/>
    <w:rsid w:val="002F066D"/>
    <w:rsid w:val="002F1F44"/>
    <w:rsid w:val="002F382D"/>
    <w:rsid w:val="002F4323"/>
    <w:rsid w:val="002F5C52"/>
    <w:rsid w:val="002F5DB5"/>
    <w:rsid w:val="002F6A4D"/>
    <w:rsid w:val="002F7182"/>
    <w:rsid w:val="002F718C"/>
    <w:rsid w:val="00300B40"/>
    <w:rsid w:val="00301370"/>
    <w:rsid w:val="00301782"/>
    <w:rsid w:val="00301855"/>
    <w:rsid w:val="003021B0"/>
    <w:rsid w:val="0030247E"/>
    <w:rsid w:val="00302F17"/>
    <w:rsid w:val="00302F1B"/>
    <w:rsid w:val="00303EE1"/>
    <w:rsid w:val="003044B0"/>
    <w:rsid w:val="0030467C"/>
    <w:rsid w:val="003111BF"/>
    <w:rsid w:val="00311DD6"/>
    <w:rsid w:val="00311E00"/>
    <w:rsid w:val="003123B3"/>
    <w:rsid w:val="00312475"/>
    <w:rsid w:val="003137DB"/>
    <w:rsid w:val="0031403A"/>
    <w:rsid w:val="0031455C"/>
    <w:rsid w:val="00315FF4"/>
    <w:rsid w:val="003178B4"/>
    <w:rsid w:val="00317C8D"/>
    <w:rsid w:val="003207E6"/>
    <w:rsid w:val="003216EB"/>
    <w:rsid w:val="00321EAB"/>
    <w:rsid w:val="003220F1"/>
    <w:rsid w:val="003222F3"/>
    <w:rsid w:val="0032340F"/>
    <w:rsid w:val="00323F72"/>
    <w:rsid w:val="0032402B"/>
    <w:rsid w:val="00324AF2"/>
    <w:rsid w:val="003264CB"/>
    <w:rsid w:val="00327276"/>
    <w:rsid w:val="003302F4"/>
    <w:rsid w:val="00332234"/>
    <w:rsid w:val="003335E6"/>
    <w:rsid w:val="00333DDE"/>
    <w:rsid w:val="0033410E"/>
    <w:rsid w:val="00334A60"/>
    <w:rsid w:val="00335033"/>
    <w:rsid w:val="003369D0"/>
    <w:rsid w:val="00336CE8"/>
    <w:rsid w:val="00337A6F"/>
    <w:rsid w:val="00337C79"/>
    <w:rsid w:val="00340D2C"/>
    <w:rsid w:val="0034449E"/>
    <w:rsid w:val="0034471A"/>
    <w:rsid w:val="00345466"/>
    <w:rsid w:val="0034581D"/>
    <w:rsid w:val="00345FB5"/>
    <w:rsid w:val="00346C52"/>
    <w:rsid w:val="00346C84"/>
    <w:rsid w:val="003504AD"/>
    <w:rsid w:val="003510D0"/>
    <w:rsid w:val="003519DA"/>
    <w:rsid w:val="003524BD"/>
    <w:rsid w:val="003526D2"/>
    <w:rsid w:val="00352B9B"/>
    <w:rsid w:val="00352FB5"/>
    <w:rsid w:val="0035484E"/>
    <w:rsid w:val="00354946"/>
    <w:rsid w:val="003551A8"/>
    <w:rsid w:val="00355B46"/>
    <w:rsid w:val="00355D7E"/>
    <w:rsid w:val="00355FE9"/>
    <w:rsid w:val="00356249"/>
    <w:rsid w:val="00360E41"/>
    <w:rsid w:val="00362A22"/>
    <w:rsid w:val="00362C55"/>
    <w:rsid w:val="00362C5C"/>
    <w:rsid w:val="0036407D"/>
    <w:rsid w:val="003646B1"/>
    <w:rsid w:val="00367493"/>
    <w:rsid w:val="0037023D"/>
    <w:rsid w:val="003705B0"/>
    <w:rsid w:val="00370B8C"/>
    <w:rsid w:val="00374BC6"/>
    <w:rsid w:val="00376939"/>
    <w:rsid w:val="00376B21"/>
    <w:rsid w:val="00377BFA"/>
    <w:rsid w:val="003812FE"/>
    <w:rsid w:val="003818CC"/>
    <w:rsid w:val="00381E1F"/>
    <w:rsid w:val="003842FF"/>
    <w:rsid w:val="00384E0D"/>
    <w:rsid w:val="00386B07"/>
    <w:rsid w:val="003870C4"/>
    <w:rsid w:val="003900B3"/>
    <w:rsid w:val="00391F0F"/>
    <w:rsid w:val="0039236A"/>
    <w:rsid w:val="00392964"/>
    <w:rsid w:val="00392DA4"/>
    <w:rsid w:val="00393614"/>
    <w:rsid w:val="003940EE"/>
    <w:rsid w:val="003949D1"/>
    <w:rsid w:val="003955D3"/>
    <w:rsid w:val="003972AA"/>
    <w:rsid w:val="003A018F"/>
    <w:rsid w:val="003A05AE"/>
    <w:rsid w:val="003A5ED8"/>
    <w:rsid w:val="003A6F71"/>
    <w:rsid w:val="003A7D69"/>
    <w:rsid w:val="003B025C"/>
    <w:rsid w:val="003B4A58"/>
    <w:rsid w:val="003B6D62"/>
    <w:rsid w:val="003B7066"/>
    <w:rsid w:val="003C0629"/>
    <w:rsid w:val="003C154F"/>
    <w:rsid w:val="003C1EF0"/>
    <w:rsid w:val="003C2DF4"/>
    <w:rsid w:val="003C44D2"/>
    <w:rsid w:val="003C5057"/>
    <w:rsid w:val="003C721E"/>
    <w:rsid w:val="003C7878"/>
    <w:rsid w:val="003D011F"/>
    <w:rsid w:val="003D0DD0"/>
    <w:rsid w:val="003D3A12"/>
    <w:rsid w:val="003D4DC8"/>
    <w:rsid w:val="003D5AD2"/>
    <w:rsid w:val="003D5D5C"/>
    <w:rsid w:val="003D6E17"/>
    <w:rsid w:val="003E03E2"/>
    <w:rsid w:val="003E0EED"/>
    <w:rsid w:val="003E1EB2"/>
    <w:rsid w:val="003E22B3"/>
    <w:rsid w:val="003E356F"/>
    <w:rsid w:val="003E5E66"/>
    <w:rsid w:val="003E68F5"/>
    <w:rsid w:val="003E7327"/>
    <w:rsid w:val="003F14AA"/>
    <w:rsid w:val="003F1F0F"/>
    <w:rsid w:val="003F2E27"/>
    <w:rsid w:val="003F308A"/>
    <w:rsid w:val="003F371C"/>
    <w:rsid w:val="003F3D56"/>
    <w:rsid w:val="003F5C08"/>
    <w:rsid w:val="003F6517"/>
    <w:rsid w:val="003F7BD8"/>
    <w:rsid w:val="00400AE8"/>
    <w:rsid w:val="00400B86"/>
    <w:rsid w:val="004012D8"/>
    <w:rsid w:val="0040327B"/>
    <w:rsid w:val="004038AB"/>
    <w:rsid w:val="00405205"/>
    <w:rsid w:val="0040756C"/>
    <w:rsid w:val="00410D4B"/>
    <w:rsid w:val="00411002"/>
    <w:rsid w:val="00412184"/>
    <w:rsid w:val="0041260D"/>
    <w:rsid w:val="004129E9"/>
    <w:rsid w:val="00414081"/>
    <w:rsid w:val="0041491D"/>
    <w:rsid w:val="0041492E"/>
    <w:rsid w:val="00416512"/>
    <w:rsid w:val="0042013A"/>
    <w:rsid w:val="00431667"/>
    <w:rsid w:val="00431E15"/>
    <w:rsid w:val="00432981"/>
    <w:rsid w:val="00432A87"/>
    <w:rsid w:val="00433208"/>
    <w:rsid w:val="0043362C"/>
    <w:rsid w:val="004338BE"/>
    <w:rsid w:val="0043540E"/>
    <w:rsid w:val="004377A9"/>
    <w:rsid w:val="0044005F"/>
    <w:rsid w:val="004403CD"/>
    <w:rsid w:val="00440B9D"/>
    <w:rsid w:val="004426D4"/>
    <w:rsid w:val="0044501E"/>
    <w:rsid w:val="00445054"/>
    <w:rsid w:val="00445521"/>
    <w:rsid w:val="004464F0"/>
    <w:rsid w:val="00452AD5"/>
    <w:rsid w:val="004535A3"/>
    <w:rsid w:val="00454020"/>
    <w:rsid w:val="00454B29"/>
    <w:rsid w:val="00454C2F"/>
    <w:rsid w:val="0045665F"/>
    <w:rsid w:val="00460FF0"/>
    <w:rsid w:val="0046200F"/>
    <w:rsid w:val="00462209"/>
    <w:rsid w:val="0046358C"/>
    <w:rsid w:val="00463993"/>
    <w:rsid w:val="004640B1"/>
    <w:rsid w:val="00464C16"/>
    <w:rsid w:val="00466B71"/>
    <w:rsid w:val="00466D7B"/>
    <w:rsid w:val="00467241"/>
    <w:rsid w:val="004723B0"/>
    <w:rsid w:val="00472B9D"/>
    <w:rsid w:val="0047404F"/>
    <w:rsid w:val="00474B35"/>
    <w:rsid w:val="00477AF1"/>
    <w:rsid w:val="00477DA3"/>
    <w:rsid w:val="004801F8"/>
    <w:rsid w:val="00480743"/>
    <w:rsid w:val="00482C16"/>
    <w:rsid w:val="00485423"/>
    <w:rsid w:val="004902BD"/>
    <w:rsid w:val="00491806"/>
    <w:rsid w:val="00491D97"/>
    <w:rsid w:val="004928EC"/>
    <w:rsid w:val="00494769"/>
    <w:rsid w:val="004962AD"/>
    <w:rsid w:val="004967E3"/>
    <w:rsid w:val="00497069"/>
    <w:rsid w:val="00497FD1"/>
    <w:rsid w:val="004A0029"/>
    <w:rsid w:val="004A063C"/>
    <w:rsid w:val="004A1722"/>
    <w:rsid w:val="004A2252"/>
    <w:rsid w:val="004A2C18"/>
    <w:rsid w:val="004A46BB"/>
    <w:rsid w:val="004A4C33"/>
    <w:rsid w:val="004A6DD6"/>
    <w:rsid w:val="004A762E"/>
    <w:rsid w:val="004A7D76"/>
    <w:rsid w:val="004B0B5C"/>
    <w:rsid w:val="004B22DF"/>
    <w:rsid w:val="004B3841"/>
    <w:rsid w:val="004B42DA"/>
    <w:rsid w:val="004B516B"/>
    <w:rsid w:val="004B6BE0"/>
    <w:rsid w:val="004B7FCA"/>
    <w:rsid w:val="004C0527"/>
    <w:rsid w:val="004C0D60"/>
    <w:rsid w:val="004C1778"/>
    <w:rsid w:val="004C20D7"/>
    <w:rsid w:val="004C2131"/>
    <w:rsid w:val="004C2293"/>
    <w:rsid w:val="004C27B8"/>
    <w:rsid w:val="004C2E75"/>
    <w:rsid w:val="004C3F9F"/>
    <w:rsid w:val="004C4D6E"/>
    <w:rsid w:val="004C6667"/>
    <w:rsid w:val="004C6BFC"/>
    <w:rsid w:val="004C6F7C"/>
    <w:rsid w:val="004C7750"/>
    <w:rsid w:val="004D120E"/>
    <w:rsid w:val="004D1979"/>
    <w:rsid w:val="004D4166"/>
    <w:rsid w:val="004D4995"/>
    <w:rsid w:val="004D6F3B"/>
    <w:rsid w:val="004D6FED"/>
    <w:rsid w:val="004E0431"/>
    <w:rsid w:val="004E1004"/>
    <w:rsid w:val="004E2351"/>
    <w:rsid w:val="004E37B3"/>
    <w:rsid w:val="004E51C7"/>
    <w:rsid w:val="004E55B8"/>
    <w:rsid w:val="004E6309"/>
    <w:rsid w:val="004E6C2E"/>
    <w:rsid w:val="004F0B07"/>
    <w:rsid w:val="004F1376"/>
    <w:rsid w:val="004F1637"/>
    <w:rsid w:val="004F2413"/>
    <w:rsid w:val="004F32B0"/>
    <w:rsid w:val="004F35E4"/>
    <w:rsid w:val="004F3A40"/>
    <w:rsid w:val="004F3CDE"/>
    <w:rsid w:val="004F7EBB"/>
    <w:rsid w:val="00500B24"/>
    <w:rsid w:val="00502043"/>
    <w:rsid w:val="00502639"/>
    <w:rsid w:val="005036D0"/>
    <w:rsid w:val="00503FDD"/>
    <w:rsid w:val="00504507"/>
    <w:rsid w:val="00504EC0"/>
    <w:rsid w:val="005109C5"/>
    <w:rsid w:val="005122BA"/>
    <w:rsid w:val="005128FE"/>
    <w:rsid w:val="00512BC6"/>
    <w:rsid w:val="0051385A"/>
    <w:rsid w:val="00514A3F"/>
    <w:rsid w:val="00514E63"/>
    <w:rsid w:val="0051613C"/>
    <w:rsid w:val="00516B0B"/>
    <w:rsid w:val="005170DC"/>
    <w:rsid w:val="00520A07"/>
    <w:rsid w:val="00522E9B"/>
    <w:rsid w:val="00523624"/>
    <w:rsid w:val="00524870"/>
    <w:rsid w:val="005254E4"/>
    <w:rsid w:val="00525D99"/>
    <w:rsid w:val="0052640F"/>
    <w:rsid w:val="00526975"/>
    <w:rsid w:val="005318FD"/>
    <w:rsid w:val="00532A68"/>
    <w:rsid w:val="00532D43"/>
    <w:rsid w:val="00533E48"/>
    <w:rsid w:val="00534769"/>
    <w:rsid w:val="005359F1"/>
    <w:rsid w:val="0053677A"/>
    <w:rsid w:val="00536796"/>
    <w:rsid w:val="005379CD"/>
    <w:rsid w:val="00540AB2"/>
    <w:rsid w:val="00540E7C"/>
    <w:rsid w:val="00540FAB"/>
    <w:rsid w:val="005434F0"/>
    <w:rsid w:val="00543DF9"/>
    <w:rsid w:val="005445AE"/>
    <w:rsid w:val="00544ADD"/>
    <w:rsid w:val="00547286"/>
    <w:rsid w:val="00551ADE"/>
    <w:rsid w:val="005536C4"/>
    <w:rsid w:val="005538D2"/>
    <w:rsid w:val="00553AC1"/>
    <w:rsid w:val="00554201"/>
    <w:rsid w:val="00554208"/>
    <w:rsid w:val="00554622"/>
    <w:rsid w:val="005554E8"/>
    <w:rsid w:val="00555A0B"/>
    <w:rsid w:val="00556700"/>
    <w:rsid w:val="00556CF7"/>
    <w:rsid w:val="0056006A"/>
    <w:rsid w:val="00562693"/>
    <w:rsid w:val="00563CF1"/>
    <w:rsid w:val="005645BB"/>
    <w:rsid w:val="00565A7F"/>
    <w:rsid w:val="005705DB"/>
    <w:rsid w:val="005730AF"/>
    <w:rsid w:val="00573301"/>
    <w:rsid w:val="00574D84"/>
    <w:rsid w:val="00580396"/>
    <w:rsid w:val="00581034"/>
    <w:rsid w:val="0058160F"/>
    <w:rsid w:val="00581AA8"/>
    <w:rsid w:val="00582763"/>
    <w:rsid w:val="00582DE4"/>
    <w:rsid w:val="0058445F"/>
    <w:rsid w:val="0058540C"/>
    <w:rsid w:val="00585D1A"/>
    <w:rsid w:val="00586588"/>
    <w:rsid w:val="00586700"/>
    <w:rsid w:val="005868C8"/>
    <w:rsid w:val="00587A6B"/>
    <w:rsid w:val="00587F03"/>
    <w:rsid w:val="00590B14"/>
    <w:rsid w:val="00591339"/>
    <w:rsid w:val="00596EC6"/>
    <w:rsid w:val="00596EEC"/>
    <w:rsid w:val="00597FED"/>
    <w:rsid w:val="005A09EB"/>
    <w:rsid w:val="005A28FF"/>
    <w:rsid w:val="005A2EDA"/>
    <w:rsid w:val="005A37EB"/>
    <w:rsid w:val="005A3F8E"/>
    <w:rsid w:val="005A4A2C"/>
    <w:rsid w:val="005A63B8"/>
    <w:rsid w:val="005A7F82"/>
    <w:rsid w:val="005B0E86"/>
    <w:rsid w:val="005B11E4"/>
    <w:rsid w:val="005B16EB"/>
    <w:rsid w:val="005B22ED"/>
    <w:rsid w:val="005B47D5"/>
    <w:rsid w:val="005B6A10"/>
    <w:rsid w:val="005B7AF3"/>
    <w:rsid w:val="005C10B0"/>
    <w:rsid w:val="005C2A5C"/>
    <w:rsid w:val="005C2DB9"/>
    <w:rsid w:val="005C4399"/>
    <w:rsid w:val="005C51D5"/>
    <w:rsid w:val="005C590E"/>
    <w:rsid w:val="005C7149"/>
    <w:rsid w:val="005C78CD"/>
    <w:rsid w:val="005C7D2D"/>
    <w:rsid w:val="005D2C37"/>
    <w:rsid w:val="005D2EC2"/>
    <w:rsid w:val="005D42E1"/>
    <w:rsid w:val="005D489C"/>
    <w:rsid w:val="005D4D70"/>
    <w:rsid w:val="005D54A6"/>
    <w:rsid w:val="005D60CA"/>
    <w:rsid w:val="005E0E5A"/>
    <w:rsid w:val="005E264D"/>
    <w:rsid w:val="005E2FC1"/>
    <w:rsid w:val="005E33DB"/>
    <w:rsid w:val="005E35E5"/>
    <w:rsid w:val="005E3EF8"/>
    <w:rsid w:val="005E4920"/>
    <w:rsid w:val="005E4E43"/>
    <w:rsid w:val="005E6027"/>
    <w:rsid w:val="005E727C"/>
    <w:rsid w:val="005E74C4"/>
    <w:rsid w:val="005E76C9"/>
    <w:rsid w:val="005E78A0"/>
    <w:rsid w:val="005F0998"/>
    <w:rsid w:val="005F0B90"/>
    <w:rsid w:val="005F19DA"/>
    <w:rsid w:val="005F31A3"/>
    <w:rsid w:val="005F324C"/>
    <w:rsid w:val="005F3590"/>
    <w:rsid w:val="005F3A98"/>
    <w:rsid w:val="005F3BF2"/>
    <w:rsid w:val="005F41C2"/>
    <w:rsid w:val="005F443E"/>
    <w:rsid w:val="005F72DE"/>
    <w:rsid w:val="005F77B8"/>
    <w:rsid w:val="005F7CDF"/>
    <w:rsid w:val="00600A8F"/>
    <w:rsid w:val="00601EB3"/>
    <w:rsid w:val="0060306A"/>
    <w:rsid w:val="00604CFE"/>
    <w:rsid w:val="00605FDF"/>
    <w:rsid w:val="0060748E"/>
    <w:rsid w:val="00607880"/>
    <w:rsid w:val="00610314"/>
    <w:rsid w:val="00610443"/>
    <w:rsid w:val="00611007"/>
    <w:rsid w:val="006118F1"/>
    <w:rsid w:val="00612532"/>
    <w:rsid w:val="00613E98"/>
    <w:rsid w:val="00615354"/>
    <w:rsid w:val="0061578C"/>
    <w:rsid w:val="00616198"/>
    <w:rsid w:val="00616E78"/>
    <w:rsid w:val="00617292"/>
    <w:rsid w:val="006206BD"/>
    <w:rsid w:val="00620B94"/>
    <w:rsid w:val="00622442"/>
    <w:rsid w:val="00622DA8"/>
    <w:rsid w:val="00622F78"/>
    <w:rsid w:val="0062414E"/>
    <w:rsid w:val="00624240"/>
    <w:rsid w:val="0062467A"/>
    <w:rsid w:val="00625479"/>
    <w:rsid w:val="00625C54"/>
    <w:rsid w:val="00625D32"/>
    <w:rsid w:val="006265FF"/>
    <w:rsid w:val="00626E6D"/>
    <w:rsid w:val="00630CD1"/>
    <w:rsid w:val="006340C0"/>
    <w:rsid w:val="006349A3"/>
    <w:rsid w:val="00634D0D"/>
    <w:rsid w:val="006356EF"/>
    <w:rsid w:val="00637036"/>
    <w:rsid w:val="0063755D"/>
    <w:rsid w:val="00641061"/>
    <w:rsid w:val="00641A51"/>
    <w:rsid w:val="00642DF9"/>
    <w:rsid w:val="006441C3"/>
    <w:rsid w:val="00645A63"/>
    <w:rsid w:val="0064780B"/>
    <w:rsid w:val="00647DF3"/>
    <w:rsid w:val="00650904"/>
    <w:rsid w:val="00650BCC"/>
    <w:rsid w:val="00651441"/>
    <w:rsid w:val="006531AB"/>
    <w:rsid w:val="00654213"/>
    <w:rsid w:val="00655ED3"/>
    <w:rsid w:val="00657B96"/>
    <w:rsid w:val="006601C2"/>
    <w:rsid w:val="0066032A"/>
    <w:rsid w:val="006622EF"/>
    <w:rsid w:val="006635A9"/>
    <w:rsid w:val="0066363F"/>
    <w:rsid w:val="0066530B"/>
    <w:rsid w:val="0066641C"/>
    <w:rsid w:val="00667909"/>
    <w:rsid w:val="00670F1E"/>
    <w:rsid w:val="00671F69"/>
    <w:rsid w:val="00673AF4"/>
    <w:rsid w:val="00673FBE"/>
    <w:rsid w:val="00675555"/>
    <w:rsid w:val="00675C41"/>
    <w:rsid w:val="0067765C"/>
    <w:rsid w:val="00680F40"/>
    <w:rsid w:val="0068272D"/>
    <w:rsid w:val="00683974"/>
    <w:rsid w:val="00683986"/>
    <w:rsid w:val="00684AFB"/>
    <w:rsid w:val="0068739D"/>
    <w:rsid w:val="00690CD8"/>
    <w:rsid w:val="00691725"/>
    <w:rsid w:val="006917DF"/>
    <w:rsid w:val="006919FE"/>
    <w:rsid w:val="00691F81"/>
    <w:rsid w:val="0069266A"/>
    <w:rsid w:val="00692C4D"/>
    <w:rsid w:val="00694559"/>
    <w:rsid w:val="00694F38"/>
    <w:rsid w:val="00695587"/>
    <w:rsid w:val="0069559A"/>
    <w:rsid w:val="00696134"/>
    <w:rsid w:val="00696877"/>
    <w:rsid w:val="006A1A97"/>
    <w:rsid w:val="006A1CBD"/>
    <w:rsid w:val="006A1E57"/>
    <w:rsid w:val="006A30B6"/>
    <w:rsid w:val="006A3C14"/>
    <w:rsid w:val="006A52D8"/>
    <w:rsid w:val="006A6624"/>
    <w:rsid w:val="006B1CD2"/>
    <w:rsid w:val="006B3F26"/>
    <w:rsid w:val="006B3FB5"/>
    <w:rsid w:val="006B4552"/>
    <w:rsid w:val="006B5399"/>
    <w:rsid w:val="006B6438"/>
    <w:rsid w:val="006B64B0"/>
    <w:rsid w:val="006C0597"/>
    <w:rsid w:val="006C3DC3"/>
    <w:rsid w:val="006C3F2B"/>
    <w:rsid w:val="006C5AA4"/>
    <w:rsid w:val="006C6194"/>
    <w:rsid w:val="006C6B90"/>
    <w:rsid w:val="006C7910"/>
    <w:rsid w:val="006D1F0B"/>
    <w:rsid w:val="006D2E76"/>
    <w:rsid w:val="006D371B"/>
    <w:rsid w:val="006D3AD1"/>
    <w:rsid w:val="006D3D38"/>
    <w:rsid w:val="006D57F7"/>
    <w:rsid w:val="006D585D"/>
    <w:rsid w:val="006D6816"/>
    <w:rsid w:val="006D6F89"/>
    <w:rsid w:val="006D707F"/>
    <w:rsid w:val="006D770E"/>
    <w:rsid w:val="006D7C01"/>
    <w:rsid w:val="006E2F26"/>
    <w:rsid w:val="006E2F50"/>
    <w:rsid w:val="006E31A2"/>
    <w:rsid w:val="006E4BB5"/>
    <w:rsid w:val="006E656F"/>
    <w:rsid w:val="006E6F12"/>
    <w:rsid w:val="006E7483"/>
    <w:rsid w:val="006F1F8D"/>
    <w:rsid w:val="006F2796"/>
    <w:rsid w:val="006F2B8B"/>
    <w:rsid w:val="006F2BED"/>
    <w:rsid w:val="006F4588"/>
    <w:rsid w:val="006F512A"/>
    <w:rsid w:val="006F5534"/>
    <w:rsid w:val="006F6CF9"/>
    <w:rsid w:val="006F7679"/>
    <w:rsid w:val="006F7CE2"/>
    <w:rsid w:val="007014AE"/>
    <w:rsid w:val="00701928"/>
    <w:rsid w:val="00701FB4"/>
    <w:rsid w:val="0070231B"/>
    <w:rsid w:val="0070320D"/>
    <w:rsid w:val="0070457A"/>
    <w:rsid w:val="0070484A"/>
    <w:rsid w:val="007052AD"/>
    <w:rsid w:val="007105FC"/>
    <w:rsid w:val="007106E8"/>
    <w:rsid w:val="0071189C"/>
    <w:rsid w:val="007142BB"/>
    <w:rsid w:val="0071477F"/>
    <w:rsid w:val="00714E3D"/>
    <w:rsid w:val="007168E9"/>
    <w:rsid w:val="00717B14"/>
    <w:rsid w:val="00720527"/>
    <w:rsid w:val="00721EE8"/>
    <w:rsid w:val="007227C7"/>
    <w:rsid w:val="00723451"/>
    <w:rsid w:val="00732605"/>
    <w:rsid w:val="00733832"/>
    <w:rsid w:val="0073407B"/>
    <w:rsid w:val="00734D13"/>
    <w:rsid w:val="00735A7D"/>
    <w:rsid w:val="00735B31"/>
    <w:rsid w:val="00735FF0"/>
    <w:rsid w:val="007361FD"/>
    <w:rsid w:val="0073620B"/>
    <w:rsid w:val="00744283"/>
    <w:rsid w:val="007443AC"/>
    <w:rsid w:val="00744679"/>
    <w:rsid w:val="007463A0"/>
    <w:rsid w:val="00746435"/>
    <w:rsid w:val="0074669A"/>
    <w:rsid w:val="0074784E"/>
    <w:rsid w:val="007500B6"/>
    <w:rsid w:val="00751958"/>
    <w:rsid w:val="00753198"/>
    <w:rsid w:val="0075558A"/>
    <w:rsid w:val="00755A4F"/>
    <w:rsid w:val="0075697A"/>
    <w:rsid w:val="00757181"/>
    <w:rsid w:val="00760F24"/>
    <w:rsid w:val="00762FDD"/>
    <w:rsid w:val="00763694"/>
    <w:rsid w:val="00763D8C"/>
    <w:rsid w:val="00764F09"/>
    <w:rsid w:val="0076505B"/>
    <w:rsid w:val="00765744"/>
    <w:rsid w:val="007665E9"/>
    <w:rsid w:val="007704A9"/>
    <w:rsid w:val="007732C7"/>
    <w:rsid w:val="007736A6"/>
    <w:rsid w:val="00773CFC"/>
    <w:rsid w:val="0077550E"/>
    <w:rsid w:val="00775868"/>
    <w:rsid w:val="00777B1F"/>
    <w:rsid w:val="00783855"/>
    <w:rsid w:val="00784D65"/>
    <w:rsid w:val="00786A5F"/>
    <w:rsid w:val="007875A6"/>
    <w:rsid w:val="00787CFD"/>
    <w:rsid w:val="00787D85"/>
    <w:rsid w:val="007901D7"/>
    <w:rsid w:val="007904B1"/>
    <w:rsid w:val="007913DC"/>
    <w:rsid w:val="00793283"/>
    <w:rsid w:val="00793377"/>
    <w:rsid w:val="00793D51"/>
    <w:rsid w:val="00794790"/>
    <w:rsid w:val="00795A06"/>
    <w:rsid w:val="00796BC8"/>
    <w:rsid w:val="0079736B"/>
    <w:rsid w:val="007A0262"/>
    <w:rsid w:val="007A2196"/>
    <w:rsid w:val="007A2371"/>
    <w:rsid w:val="007A3D6F"/>
    <w:rsid w:val="007A40CA"/>
    <w:rsid w:val="007A4B76"/>
    <w:rsid w:val="007A589E"/>
    <w:rsid w:val="007A759B"/>
    <w:rsid w:val="007B082F"/>
    <w:rsid w:val="007B1105"/>
    <w:rsid w:val="007B12F2"/>
    <w:rsid w:val="007B2986"/>
    <w:rsid w:val="007B4175"/>
    <w:rsid w:val="007B5091"/>
    <w:rsid w:val="007B5FE1"/>
    <w:rsid w:val="007B62DE"/>
    <w:rsid w:val="007C00F4"/>
    <w:rsid w:val="007C1509"/>
    <w:rsid w:val="007C1DD8"/>
    <w:rsid w:val="007C2391"/>
    <w:rsid w:val="007C2D7B"/>
    <w:rsid w:val="007C45CC"/>
    <w:rsid w:val="007C5B56"/>
    <w:rsid w:val="007C5DD7"/>
    <w:rsid w:val="007C6B69"/>
    <w:rsid w:val="007C70C7"/>
    <w:rsid w:val="007C785B"/>
    <w:rsid w:val="007D0A92"/>
    <w:rsid w:val="007D2047"/>
    <w:rsid w:val="007D3206"/>
    <w:rsid w:val="007D3F65"/>
    <w:rsid w:val="007D4B0B"/>
    <w:rsid w:val="007D549D"/>
    <w:rsid w:val="007D5E00"/>
    <w:rsid w:val="007D6112"/>
    <w:rsid w:val="007E0185"/>
    <w:rsid w:val="007E08A8"/>
    <w:rsid w:val="007E2BC9"/>
    <w:rsid w:val="007E55B2"/>
    <w:rsid w:val="007E5BA9"/>
    <w:rsid w:val="007E689E"/>
    <w:rsid w:val="007F1BAE"/>
    <w:rsid w:val="007F2D8F"/>
    <w:rsid w:val="007F336C"/>
    <w:rsid w:val="007F37A0"/>
    <w:rsid w:val="007F3DA2"/>
    <w:rsid w:val="007F712A"/>
    <w:rsid w:val="007F7C67"/>
    <w:rsid w:val="007F7FA5"/>
    <w:rsid w:val="007F7FF7"/>
    <w:rsid w:val="00801112"/>
    <w:rsid w:val="0080165B"/>
    <w:rsid w:val="00802D32"/>
    <w:rsid w:val="00804375"/>
    <w:rsid w:val="00804666"/>
    <w:rsid w:val="00805655"/>
    <w:rsid w:val="00806DE2"/>
    <w:rsid w:val="008077D4"/>
    <w:rsid w:val="00807DEA"/>
    <w:rsid w:val="00810DAE"/>
    <w:rsid w:val="008118C7"/>
    <w:rsid w:val="00812865"/>
    <w:rsid w:val="00813351"/>
    <w:rsid w:val="0081752F"/>
    <w:rsid w:val="00820D2C"/>
    <w:rsid w:val="00823E51"/>
    <w:rsid w:val="00824072"/>
    <w:rsid w:val="008240D2"/>
    <w:rsid w:val="0082486D"/>
    <w:rsid w:val="0082544D"/>
    <w:rsid w:val="008270CC"/>
    <w:rsid w:val="00827534"/>
    <w:rsid w:val="00827827"/>
    <w:rsid w:val="008305DB"/>
    <w:rsid w:val="00831447"/>
    <w:rsid w:val="00831989"/>
    <w:rsid w:val="00832FED"/>
    <w:rsid w:val="008335A9"/>
    <w:rsid w:val="00833D5C"/>
    <w:rsid w:val="00835224"/>
    <w:rsid w:val="00836997"/>
    <w:rsid w:val="00836998"/>
    <w:rsid w:val="0083749E"/>
    <w:rsid w:val="0084256D"/>
    <w:rsid w:val="00842CDD"/>
    <w:rsid w:val="00843483"/>
    <w:rsid w:val="00843680"/>
    <w:rsid w:val="0084476C"/>
    <w:rsid w:val="008454E6"/>
    <w:rsid w:val="00846D76"/>
    <w:rsid w:val="00846E62"/>
    <w:rsid w:val="00850884"/>
    <w:rsid w:val="00850E85"/>
    <w:rsid w:val="00851095"/>
    <w:rsid w:val="008518E3"/>
    <w:rsid w:val="00851984"/>
    <w:rsid w:val="0085521E"/>
    <w:rsid w:val="0085589A"/>
    <w:rsid w:val="008566E7"/>
    <w:rsid w:val="00857F17"/>
    <w:rsid w:val="00860E5F"/>
    <w:rsid w:val="00860F6D"/>
    <w:rsid w:val="00860FF0"/>
    <w:rsid w:val="00862132"/>
    <w:rsid w:val="00863690"/>
    <w:rsid w:val="00864DFC"/>
    <w:rsid w:val="00865149"/>
    <w:rsid w:val="00865BEC"/>
    <w:rsid w:val="00870493"/>
    <w:rsid w:val="008711A1"/>
    <w:rsid w:val="00871FFD"/>
    <w:rsid w:val="00872952"/>
    <w:rsid w:val="008731B1"/>
    <w:rsid w:val="00873308"/>
    <w:rsid w:val="00873AB2"/>
    <w:rsid w:val="00873FF1"/>
    <w:rsid w:val="0087524B"/>
    <w:rsid w:val="00875E5E"/>
    <w:rsid w:val="00877859"/>
    <w:rsid w:val="008800D0"/>
    <w:rsid w:val="0088119A"/>
    <w:rsid w:val="00884820"/>
    <w:rsid w:val="0088691C"/>
    <w:rsid w:val="008872CD"/>
    <w:rsid w:val="00890226"/>
    <w:rsid w:val="008905C4"/>
    <w:rsid w:val="00891A31"/>
    <w:rsid w:val="00893C17"/>
    <w:rsid w:val="00894070"/>
    <w:rsid w:val="00894EAC"/>
    <w:rsid w:val="00895D9A"/>
    <w:rsid w:val="00896B7A"/>
    <w:rsid w:val="00896BFD"/>
    <w:rsid w:val="008A139B"/>
    <w:rsid w:val="008A2682"/>
    <w:rsid w:val="008A3BA7"/>
    <w:rsid w:val="008A550E"/>
    <w:rsid w:val="008A5721"/>
    <w:rsid w:val="008B0785"/>
    <w:rsid w:val="008B2096"/>
    <w:rsid w:val="008B2767"/>
    <w:rsid w:val="008B28CD"/>
    <w:rsid w:val="008B2D58"/>
    <w:rsid w:val="008B3772"/>
    <w:rsid w:val="008B45BB"/>
    <w:rsid w:val="008B552B"/>
    <w:rsid w:val="008B6834"/>
    <w:rsid w:val="008B70F8"/>
    <w:rsid w:val="008C05F6"/>
    <w:rsid w:val="008C10A0"/>
    <w:rsid w:val="008C12DB"/>
    <w:rsid w:val="008C1864"/>
    <w:rsid w:val="008C1DAF"/>
    <w:rsid w:val="008C22B8"/>
    <w:rsid w:val="008C23D2"/>
    <w:rsid w:val="008C272F"/>
    <w:rsid w:val="008C2C31"/>
    <w:rsid w:val="008C385A"/>
    <w:rsid w:val="008C45DC"/>
    <w:rsid w:val="008C55E5"/>
    <w:rsid w:val="008C604F"/>
    <w:rsid w:val="008C666E"/>
    <w:rsid w:val="008C66F8"/>
    <w:rsid w:val="008C6843"/>
    <w:rsid w:val="008C696C"/>
    <w:rsid w:val="008C6CDA"/>
    <w:rsid w:val="008C78FE"/>
    <w:rsid w:val="008C7B3A"/>
    <w:rsid w:val="008D08BA"/>
    <w:rsid w:val="008D1C6A"/>
    <w:rsid w:val="008D27FE"/>
    <w:rsid w:val="008D2BAE"/>
    <w:rsid w:val="008D2D25"/>
    <w:rsid w:val="008D3636"/>
    <w:rsid w:val="008D4223"/>
    <w:rsid w:val="008D55C2"/>
    <w:rsid w:val="008D5B78"/>
    <w:rsid w:val="008E0F83"/>
    <w:rsid w:val="008E145F"/>
    <w:rsid w:val="008E1C84"/>
    <w:rsid w:val="008E23F3"/>
    <w:rsid w:val="008E2D0F"/>
    <w:rsid w:val="008E353F"/>
    <w:rsid w:val="008E3A02"/>
    <w:rsid w:val="008E491D"/>
    <w:rsid w:val="008E502C"/>
    <w:rsid w:val="008E5B0A"/>
    <w:rsid w:val="008F103C"/>
    <w:rsid w:val="008F1A5D"/>
    <w:rsid w:val="008F1C91"/>
    <w:rsid w:val="008F3964"/>
    <w:rsid w:val="008F49CE"/>
    <w:rsid w:val="008F4DBC"/>
    <w:rsid w:val="008F71B9"/>
    <w:rsid w:val="008F7516"/>
    <w:rsid w:val="008F7EDB"/>
    <w:rsid w:val="00900279"/>
    <w:rsid w:val="00901635"/>
    <w:rsid w:val="00901E70"/>
    <w:rsid w:val="0090349C"/>
    <w:rsid w:val="009039E6"/>
    <w:rsid w:val="0090437A"/>
    <w:rsid w:val="009057E6"/>
    <w:rsid w:val="0090735F"/>
    <w:rsid w:val="00907639"/>
    <w:rsid w:val="00907A3F"/>
    <w:rsid w:val="00911A99"/>
    <w:rsid w:val="009151EF"/>
    <w:rsid w:val="0091578F"/>
    <w:rsid w:val="009179D8"/>
    <w:rsid w:val="00920B6E"/>
    <w:rsid w:val="00923F06"/>
    <w:rsid w:val="00924DAC"/>
    <w:rsid w:val="00924FFE"/>
    <w:rsid w:val="0092533A"/>
    <w:rsid w:val="00927739"/>
    <w:rsid w:val="00927F74"/>
    <w:rsid w:val="00927F7B"/>
    <w:rsid w:val="009306F1"/>
    <w:rsid w:val="00931F54"/>
    <w:rsid w:val="00934282"/>
    <w:rsid w:val="009344F4"/>
    <w:rsid w:val="00934D99"/>
    <w:rsid w:val="0093540C"/>
    <w:rsid w:val="009357DE"/>
    <w:rsid w:val="00936265"/>
    <w:rsid w:val="00936BF1"/>
    <w:rsid w:val="00937621"/>
    <w:rsid w:val="00941C4C"/>
    <w:rsid w:val="00942D56"/>
    <w:rsid w:val="0094351F"/>
    <w:rsid w:val="00944C2C"/>
    <w:rsid w:val="0094539F"/>
    <w:rsid w:val="009516B8"/>
    <w:rsid w:val="00951CFB"/>
    <w:rsid w:val="00951E76"/>
    <w:rsid w:val="0095275C"/>
    <w:rsid w:val="00953F2F"/>
    <w:rsid w:val="009548C4"/>
    <w:rsid w:val="00955301"/>
    <w:rsid w:val="009554B5"/>
    <w:rsid w:val="00956CF6"/>
    <w:rsid w:val="00960040"/>
    <w:rsid w:val="00960740"/>
    <w:rsid w:val="009616AA"/>
    <w:rsid w:val="009617C3"/>
    <w:rsid w:val="009619CF"/>
    <w:rsid w:val="00963B78"/>
    <w:rsid w:val="00963DF5"/>
    <w:rsid w:val="00965106"/>
    <w:rsid w:val="00965934"/>
    <w:rsid w:val="00966478"/>
    <w:rsid w:val="0096681B"/>
    <w:rsid w:val="00966E22"/>
    <w:rsid w:val="0096786E"/>
    <w:rsid w:val="009678AE"/>
    <w:rsid w:val="00967978"/>
    <w:rsid w:val="00967E18"/>
    <w:rsid w:val="0097007B"/>
    <w:rsid w:val="009706DD"/>
    <w:rsid w:val="00972623"/>
    <w:rsid w:val="00973F82"/>
    <w:rsid w:val="0097464B"/>
    <w:rsid w:val="009755AC"/>
    <w:rsid w:val="00975648"/>
    <w:rsid w:val="009756E3"/>
    <w:rsid w:val="009758FC"/>
    <w:rsid w:val="00975B87"/>
    <w:rsid w:val="00975C73"/>
    <w:rsid w:val="00975CA3"/>
    <w:rsid w:val="0097605F"/>
    <w:rsid w:val="00976943"/>
    <w:rsid w:val="00976F72"/>
    <w:rsid w:val="00980485"/>
    <w:rsid w:val="009812FB"/>
    <w:rsid w:val="0098175C"/>
    <w:rsid w:val="009831F2"/>
    <w:rsid w:val="00984108"/>
    <w:rsid w:val="00985750"/>
    <w:rsid w:val="00986287"/>
    <w:rsid w:val="009868EE"/>
    <w:rsid w:val="00986F6C"/>
    <w:rsid w:val="00990B9B"/>
    <w:rsid w:val="009938AB"/>
    <w:rsid w:val="009942B2"/>
    <w:rsid w:val="00994414"/>
    <w:rsid w:val="009948F4"/>
    <w:rsid w:val="00994B4E"/>
    <w:rsid w:val="00996D41"/>
    <w:rsid w:val="009974C6"/>
    <w:rsid w:val="009A0427"/>
    <w:rsid w:val="009A1DF4"/>
    <w:rsid w:val="009A2D3F"/>
    <w:rsid w:val="009A3550"/>
    <w:rsid w:val="009A503C"/>
    <w:rsid w:val="009A7E58"/>
    <w:rsid w:val="009B042D"/>
    <w:rsid w:val="009B0EB4"/>
    <w:rsid w:val="009B1892"/>
    <w:rsid w:val="009B1BCC"/>
    <w:rsid w:val="009B5529"/>
    <w:rsid w:val="009B5917"/>
    <w:rsid w:val="009B5CE9"/>
    <w:rsid w:val="009B5CF5"/>
    <w:rsid w:val="009B66B6"/>
    <w:rsid w:val="009B7A2D"/>
    <w:rsid w:val="009C0575"/>
    <w:rsid w:val="009C193F"/>
    <w:rsid w:val="009C4453"/>
    <w:rsid w:val="009C44C0"/>
    <w:rsid w:val="009C6472"/>
    <w:rsid w:val="009C654A"/>
    <w:rsid w:val="009C665C"/>
    <w:rsid w:val="009C74AB"/>
    <w:rsid w:val="009D14DE"/>
    <w:rsid w:val="009D1979"/>
    <w:rsid w:val="009D1AF7"/>
    <w:rsid w:val="009D2389"/>
    <w:rsid w:val="009D3513"/>
    <w:rsid w:val="009D35F2"/>
    <w:rsid w:val="009D3D1E"/>
    <w:rsid w:val="009D6E5F"/>
    <w:rsid w:val="009D6EEB"/>
    <w:rsid w:val="009D6F43"/>
    <w:rsid w:val="009D7641"/>
    <w:rsid w:val="009E0289"/>
    <w:rsid w:val="009E0467"/>
    <w:rsid w:val="009E08E7"/>
    <w:rsid w:val="009E7E90"/>
    <w:rsid w:val="009F0054"/>
    <w:rsid w:val="009F188A"/>
    <w:rsid w:val="009F4C41"/>
    <w:rsid w:val="009F592B"/>
    <w:rsid w:val="009F6608"/>
    <w:rsid w:val="009F74DE"/>
    <w:rsid w:val="00A00F63"/>
    <w:rsid w:val="00A0128F"/>
    <w:rsid w:val="00A02FD4"/>
    <w:rsid w:val="00A058B4"/>
    <w:rsid w:val="00A05CDC"/>
    <w:rsid w:val="00A069D5"/>
    <w:rsid w:val="00A10232"/>
    <w:rsid w:val="00A103E9"/>
    <w:rsid w:val="00A10935"/>
    <w:rsid w:val="00A10B66"/>
    <w:rsid w:val="00A122FD"/>
    <w:rsid w:val="00A12703"/>
    <w:rsid w:val="00A12D08"/>
    <w:rsid w:val="00A12DA5"/>
    <w:rsid w:val="00A12EC1"/>
    <w:rsid w:val="00A13589"/>
    <w:rsid w:val="00A1523F"/>
    <w:rsid w:val="00A161ED"/>
    <w:rsid w:val="00A20488"/>
    <w:rsid w:val="00A21C2D"/>
    <w:rsid w:val="00A2457A"/>
    <w:rsid w:val="00A24DFD"/>
    <w:rsid w:val="00A264B6"/>
    <w:rsid w:val="00A30227"/>
    <w:rsid w:val="00A30DEB"/>
    <w:rsid w:val="00A311FC"/>
    <w:rsid w:val="00A317F7"/>
    <w:rsid w:val="00A31C76"/>
    <w:rsid w:val="00A32D79"/>
    <w:rsid w:val="00A33088"/>
    <w:rsid w:val="00A3324D"/>
    <w:rsid w:val="00A342BA"/>
    <w:rsid w:val="00A35ED0"/>
    <w:rsid w:val="00A402F5"/>
    <w:rsid w:val="00A40A10"/>
    <w:rsid w:val="00A419B4"/>
    <w:rsid w:val="00A42033"/>
    <w:rsid w:val="00A42601"/>
    <w:rsid w:val="00A438D1"/>
    <w:rsid w:val="00A43E8B"/>
    <w:rsid w:val="00A46322"/>
    <w:rsid w:val="00A46BCE"/>
    <w:rsid w:val="00A474F1"/>
    <w:rsid w:val="00A47EE9"/>
    <w:rsid w:val="00A5160F"/>
    <w:rsid w:val="00A527DA"/>
    <w:rsid w:val="00A52A99"/>
    <w:rsid w:val="00A52B0D"/>
    <w:rsid w:val="00A557AF"/>
    <w:rsid w:val="00A570AF"/>
    <w:rsid w:val="00A571CE"/>
    <w:rsid w:val="00A5785B"/>
    <w:rsid w:val="00A60486"/>
    <w:rsid w:val="00A61FFF"/>
    <w:rsid w:val="00A6248D"/>
    <w:rsid w:val="00A629A5"/>
    <w:rsid w:val="00A62BD1"/>
    <w:rsid w:val="00A63FE2"/>
    <w:rsid w:val="00A64148"/>
    <w:rsid w:val="00A64E65"/>
    <w:rsid w:val="00A64F69"/>
    <w:rsid w:val="00A650E3"/>
    <w:rsid w:val="00A65555"/>
    <w:rsid w:val="00A67911"/>
    <w:rsid w:val="00A705D9"/>
    <w:rsid w:val="00A70896"/>
    <w:rsid w:val="00A715C2"/>
    <w:rsid w:val="00A716BF"/>
    <w:rsid w:val="00A7208F"/>
    <w:rsid w:val="00A722B1"/>
    <w:rsid w:val="00A72991"/>
    <w:rsid w:val="00A7375E"/>
    <w:rsid w:val="00A738A0"/>
    <w:rsid w:val="00A74318"/>
    <w:rsid w:val="00A75350"/>
    <w:rsid w:val="00A76774"/>
    <w:rsid w:val="00A76D86"/>
    <w:rsid w:val="00A82A91"/>
    <w:rsid w:val="00A82DBF"/>
    <w:rsid w:val="00A832E3"/>
    <w:rsid w:val="00A847F9"/>
    <w:rsid w:val="00A85BBC"/>
    <w:rsid w:val="00A87F31"/>
    <w:rsid w:val="00A901B0"/>
    <w:rsid w:val="00A9130B"/>
    <w:rsid w:val="00A95483"/>
    <w:rsid w:val="00AA12AF"/>
    <w:rsid w:val="00AA3149"/>
    <w:rsid w:val="00AA7F6F"/>
    <w:rsid w:val="00AB0153"/>
    <w:rsid w:val="00AB071C"/>
    <w:rsid w:val="00AB0A35"/>
    <w:rsid w:val="00AB0C09"/>
    <w:rsid w:val="00AB1352"/>
    <w:rsid w:val="00AB1466"/>
    <w:rsid w:val="00AB4662"/>
    <w:rsid w:val="00AB54F5"/>
    <w:rsid w:val="00AB5DAC"/>
    <w:rsid w:val="00AB6D29"/>
    <w:rsid w:val="00AB78FC"/>
    <w:rsid w:val="00AB7F73"/>
    <w:rsid w:val="00AC0B47"/>
    <w:rsid w:val="00AC0DAA"/>
    <w:rsid w:val="00AC126B"/>
    <w:rsid w:val="00AC29A6"/>
    <w:rsid w:val="00AC3EE0"/>
    <w:rsid w:val="00AC42E2"/>
    <w:rsid w:val="00AC51A5"/>
    <w:rsid w:val="00AC56B5"/>
    <w:rsid w:val="00AC5B3B"/>
    <w:rsid w:val="00AC6938"/>
    <w:rsid w:val="00AD20A2"/>
    <w:rsid w:val="00AD2509"/>
    <w:rsid w:val="00AD491A"/>
    <w:rsid w:val="00AD4C13"/>
    <w:rsid w:val="00AD6160"/>
    <w:rsid w:val="00AE2186"/>
    <w:rsid w:val="00AE22AB"/>
    <w:rsid w:val="00AE312F"/>
    <w:rsid w:val="00AE4E9F"/>
    <w:rsid w:val="00AE51DC"/>
    <w:rsid w:val="00AF059E"/>
    <w:rsid w:val="00AF4797"/>
    <w:rsid w:val="00AF47D5"/>
    <w:rsid w:val="00B00151"/>
    <w:rsid w:val="00B00BA9"/>
    <w:rsid w:val="00B02D50"/>
    <w:rsid w:val="00B0587E"/>
    <w:rsid w:val="00B06DC3"/>
    <w:rsid w:val="00B07D33"/>
    <w:rsid w:val="00B104FE"/>
    <w:rsid w:val="00B11D47"/>
    <w:rsid w:val="00B121EB"/>
    <w:rsid w:val="00B14AFD"/>
    <w:rsid w:val="00B15269"/>
    <w:rsid w:val="00B155A8"/>
    <w:rsid w:val="00B158C4"/>
    <w:rsid w:val="00B15BA1"/>
    <w:rsid w:val="00B15C9B"/>
    <w:rsid w:val="00B15E90"/>
    <w:rsid w:val="00B16229"/>
    <w:rsid w:val="00B1689C"/>
    <w:rsid w:val="00B16964"/>
    <w:rsid w:val="00B1728E"/>
    <w:rsid w:val="00B214F4"/>
    <w:rsid w:val="00B21EF5"/>
    <w:rsid w:val="00B2475D"/>
    <w:rsid w:val="00B24B73"/>
    <w:rsid w:val="00B250A8"/>
    <w:rsid w:val="00B2743E"/>
    <w:rsid w:val="00B31B60"/>
    <w:rsid w:val="00B31F7F"/>
    <w:rsid w:val="00B32004"/>
    <w:rsid w:val="00B32097"/>
    <w:rsid w:val="00B322CF"/>
    <w:rsid w:val="00B32964"/>
    <w:rsid w:val="00B337AA"/>
    <w:rsid w:val="00B33AC1"/>
    <w:rsid w:val="00B33F9B"/>
    <w:rsid w:val="00B34028"/>
    <w:rsid w:val="00B346E1"/>
    <w:rsid w:val="00B349C2"/>
    <w:rsid w:val="00B36C6B"/>
    <w:rsid w:val="00B3777B"/>
    <w:rsid w:val="00B40FA1"/>
    <w:rsid w:val="00B4269F"/>
    <w:rsid w:val="00B43038"/>
    <w:rsid w:val="00B43E7E"/>
    <w:rsid w:val="00B459BE"/>
    <w:rsid w:val="00B46C27"/>
    <w:rsid w:val="00B47797"/>
    <w:rsid w:val="00B53A1E"/>
    <w:rsid w:val="00B5409F"/>
    <w:rsid w:val="00B5429F"/>
    <w:rsid w:val="00B5450B"/>
    <w:rsid w:val="00B563F0"/>
    <w:rsid w:val="00B5698A"/>
    <w:rsid w:val="00B56B6B"/>
    <w:rsid w:val="00B56EBC"/>
    <w:rsid w:val="00B571C2"/>
    <w:rsid w:val="00B57392"/>
    <w:rsid w:val="00B57652"/>
    <w:rsid w:val="00B61E84"/>
    <w:rsid w:val="00B625BB"/>
    <w:rsid w:val="00B62752"/>
    <w:rsid w:val="00B6531C"/>
    <w:rsid w:val="00B653DF"/>
    <w:rsid w:val="00B65547"/>
    <w:rsid w:val="00B70D3F"/>
    <w:rsid w:val="00B70E73"/>
    <w:rsid w:val="00B710D2"/>
    <w:rsid w:val="00B713C1"/>
    <w:rsid w:val="00B777B9"/>
    <w:rsid w:val="00B819A6"/>
    <w:rsid w:val="00B820BE"/>
    <w:rsid w:val="00B82FEB"/>
    <w:rsid w:val="00B835EF"/>
    <w:rsid w:val="00B837FB"/>
    <w:rsid w:val="00B84455"/>
    <w:rsid w:val="00B8700D"/>
    <w:rsid w:val="00B87250"/>
    <w:rsid w:val="00B90C22"/>
    <w:rsid w:val="00B9124C"/>
    <w:rsid w:val="00B9195F"/>
    <w:rsid w:val="00B92C41"/>
    <w:rsid w:val="00B93252"/>
    <w:rsid w:val="00B93767"/>
    <w:rsid w:val="00B942B9"/>
    <w:rsid w:val="00B94357"/>
    <w:rsid w:val="00B95148"/>
    <w:rsid w:val="00B95543"/>
    <w:rsid w:val="00B96C63"/>
    <w:rsid w:val="00B970F0"/>
    <w:rsid w:val="00B9762D"/>
    <w:rsid w:val="00B97CB2"/>
    <w:rsid w:val="00BA086D"/>
    <w:rsid w:val="00BA1160"/>
    <w:rsid w:val="00BA1293"/>
    <w:rsid w:val="00BA2713"/>
    <w:rsid w:val="00BA3B42"/>
    <w:rsid w:val="00BA5EC4"/>
    <w:rsid w:val="00BA63B0"/>
    <w:rsid w:val="00BA7D62"/>
    <w:rsid w:val="00BB0CBB"/>
    <w:rsid w:val="00BB16C5"/>
    <w:rsid w:val="00BB266B"/>
    <w:rsid w:val="00BB2A8D"/>
    <w:rsid w:val="00BB3909"/>
    <w:rsid w:val="00BB52B3"/>
    <w:rsid w:val="00BB5AA6"/>
    <w:rsid w:val="00BB5B98"/>
    <w:rsid w:val="00BB5F97"/>
    <w:rsid w:val="00BC1BC4"/>
    <w:rsid w:val="00BC3893"/>
    <w:rsid w:val="00BC3DE9"/>
    <w:rsid w:val="00BC4854"/>
    <w:rsid w:val="00BC63F8"/>
    <w:rsid w:val="00BD2A58"/>
    <w:rsid w:val="00BD3006"/>
    <w:rsid w:val="00BD32B8"/>
    <w:rsid w:val="00BD35C1"/>
    <w:rsid w:val="00BD493D"/>
    <w:rsid w:val="00BD4F04"/>
    <w:rsid w:val="00BD58BD"/>
    <w:rsid w:val="00BD70AB"/>
    <w:rsid w:val="00BD7305"/>
    <w:rsid w:val="00BE0747"/>
    <w:rsid w:val="00BE110B"/>
    <w:rsid w:val="00BE177F"/>
    <w:rsid w:val="00BE5A1E"/>
    <w:rsid w:val="00BE60CE"/>
    <w:rsid w:val="00BE618E"/>
    <w:rsid w:val="00BF0228"/>
    <w:rsid w:val="00BF03C9"/>
    <w:rsid w:val="00BF0D03"/>
    <w:rsid w:val="00BF125A"/>
    <w:rsid w:val="00BF1730"/>
    <w:rsid w:val="00BF1DF8"/>
    <w:rsid w:val="00BF1F03"/>
    <w:rsid w:val="00BF2718"/>
    <w:rsid w:val="00BF2BA7"/>
    <w:rsid w:val="00BF2D4B"/>
    <w:rsid w:val="00BF35DF"/>
    <w:rsid w:val="00BF3D5D"/>
    <w:rsid w:val="00BF4124"/>
    <w:rsid w:val="00BF6006"/>
    <w:rsid w:val="00BF73B4"/>
    <w:rsid w:val="00C00133"/>
    <w:rsid w:val="00C00696"/>
    <w:rsid w:val="00C02D4B"/>
    <w:rsid w:val="00C02E6F"/>
    <w:rsid w:val="00C03445"/>
    <w:rsid w:val="00C051F8"/>
    <w:rsid w:val="00C05434"/>
    <w:rsid w:val="00C05E14"/>
    <w:rsid w:val="00C0737B"/>
    <w:rsid w:val="00C11C91"/>
    <w:rsid w:val="00C136B3"/>
    <w:rsid w:val="00C13B7F"/>
    <w:rsid w:val="00C15554"/>
    <w:rsid w:val="00C159A4"/>
    <w:rsid w:val="00C17E01"/>
    <w:rsid w:val="00C17E33"/>
    <w:rsid w:val="00C20D4F"/>
    <w:rsid w:val="00C23E17"/>
    <w:rsid w:val="00C24B19"/>
    <w:rsid w:val="00C25DFE"/>
    <w:rsid w:val="00C25FD0"/>
    <w:rsid w:val="00C269C8"/>
    <w:rsid w:val="00C26EFA"/>
    <w:rsid w:val="00C3048D"/>
    <w:rsid w:val="00C3082B"/>
    <w:rsid w:val="00C31EBE"/>
    <w:rsid w:val="00C32421"/>
    <w:rsid w:val="00C34B58"/>
    <w:rsid w:val="00C351A8"/>
    <w:rsid w:val="00C367BB"/>
    <w:rsid w:val="00C369E2"/>
    <w:rsid w:val="00C3775C"/>
    <w:rsid w:val="00C37ED6"/>
    <w:rsid w:val="00C40070"/>
    <w:rsid w:val="00C41995"/>
    <w:rsid w:val="00C432C0"/>
    <w:rsid w:val="00C477D1"/>
    <w:rsid w:val="00C5146E"/>
    <w:rsid w:val="00C55141"/>
    <w:rsid w:val="00C5595E"/>
    <w:rsid w:val="00C574F9"/>
    <w:rsid w:val="00C601EB"/>
    <w:rsid w:val="00C625A5"/>
    <w:rsid w:val="00C62D1C"/>
    <w:rsid w:val="00C6343B"/>
    <w:rsid w:val="00C6581C"/>
    <w:rsid w:val="00C66083"/>
    <w:rsid w:val="00C67C1D"/>
    <w:rsid w:val="00C715F3"/>
    <w:rsid w:val="00C72869"/>
    <w:rsid w:val="00C762DA"/>
    <w:rsid w:val="00C7655E"/>
    <w:rsid w:val="00C76DFF"/>
    <w:rsid w:val="00C76E11"/>
    <w:rsid w:val="00C77674"/>
    <w:rsid w:val="00C802C3"/>
    <w:rsid w:val="00C80BF3"/>
    <w:rsid w:val="00C80E1F"/>
    <w:rsid w:val="00C8109D"/>
    <w:rsid w:val="00C81B13"/>
    <w:rsid w:val="00C81B79"/>
    <w:rsid w:val="00C84646"/>
    <w:rsid w:val="00C84C91"/>
    <w:rsid w:val="00C850D5"/>
    <w:rsid w:val="00C85F89"/>
    <w:rsid w:val="00C86D1B"/>
    <w:rsid w:val="00C9111D"/>
    <w:rsid w:val="00C91581"/>
    <w:rsid w:val="00C918B2"/>
    <w:rsid w:val="00C91A58"/>
    <w:rsid w:val="00C91C81"/>
    <w:rsid w:val="00C91EF8"/>
    <w:rsid w:val="00C94AA0"/>
    <w:rsid w:val="00C970B4"/>
    <w:rsid w:val="00C97FE3"/>
    <w:rsid w:val="00CA12DB"/>
    <w:rsid w:val="00CA25C9"/>
    <w:rsid w:val="00CA25D5"/>
    <w:rsid w:val="00CA35CA"/>
    <w:rsid w:val="00CA4E35"/>
    <w:rsid w:val="00CA5A8C"/>
    <w:rsid w:val="00CA5EFB"/>
    <w:rsid w:val="00CA6CC2"/>
    <w:rsid w:val="00CA7018"/>
    <w:rsid w:val="00CB02BC"/>
    <w:rsid w:val="00CB0C5F"/>
    <w:rsid w:val="00CB1490"/>
    <w:rsid w:val="00CB18CF"/>
    <w:rsid w:val="00CB1A4E"/>
    <w:rsid w:val="00CB3956"/>
    <w:rsid w:val="00CB3C86"/>
    <w:rsid w:val="00CB43FC"/>
    <w:rsid w:val="00CB60CA"/>
    <w:rsid w:val="00CB6FD8"/>
    <w:rsid w:val="00CB79C0"/>
    <w:rsid w:val="00CC147C"/>
    <w:rsid w:val="00CC17D7"/>
    <w:rsid w:val="00CC1E07"/>
    <w:rsid w:val="00CD088D"/>
    <w:rsid w:val="00CD0F39"/>
    <w:rsid w:val="00CD1924"/>
    <w:rsid w:val="00CD2782"/>
    <w:rsid w:val="00CD2BAF"/>
    <w:rsid w:val="00CD3752"/>
    <w:rsid w:val="00CD3FE9"/>
    <w:rsid w:val="00CD6A83"/>
    <w:rsid w:val="00CD76F2"/>
    <w:rsid w:val="00CE0582"/>
    <w:rsid w:val="00CE2035"/>
    <w:rsid w:val="00CE323E"/>
    <w:rsid w:val="00CE32DC"/>
    <w:rsid w:val="00CE364E"/>
    <w:rsid w:val="00CE3B3E"/>
    <w:rsid w:val="00CE4E47"/>
    <w:rsid w:val="00CE5061"/>
    <w:rsid w:val="00CE6348"/>
    <w:rsid w:val="00CE6520"/>
    <w:rsid w:val="00CE67D2"/>
    <w:rsid w:val="00CE688B"/>
    <w:rsid w:val="00CE7318"/>
    <w:rsid w:val="00CF087C"/>
    <w:rsid w:val="00CF1986"/>
    <w:rsid w:val="00CF25B2"/>
    <w:rsid w:val="00CF34F4"/>
    <w:rsid w:val="00CF3C15"/>
    <w:rsid w:val="00CF3D8F"/>
    <w:rsid w:val="00CF41F3"/>
    <w:rsid w:val="00CF452B"/>
    <w:rsid w:val="00D011FA"/>
    <w:rsid w:val="00D03017"/>
    <w:rsid w:val="00D0394B"/>
    <w:rsid w:val="00D03C31"/>
    <w:rsid w:val="00D04114"/>
    <w:rsid w:val="00D0457B"/>
    <w:rsid w:val="00D05BAA"/>
    <w:rsid w:val="00D0627C"/>
    <w:rsid w:val="00D1075F"/>
    <w:rsid w:val="00D16589"/>
    <w:rsid w:val="00D17320"/>
    <w:rsid w:val="00D20129"/>
    <w:rsid w:val="00D2121B"/>
    <w:rsid w:val="00D216A2"/>
    <w:rsid w:val="00D21819"/>
    <w:rsid w:val="00D2386F"/>
    <w:rsid w:val="00D274EC"/>
    <w:rsid w:val="00D30454"/>
    <w:rsid w:val="00D305E3"/>
    <w:rsid w:val="00D323D6"/>
    <w:rsid w:val="00D32F34"/>
    <w:rsid w:val="00D34E94"/>
    <w:rsid w:val="00D365E7"/>
    <w:rsid w:val="00D36882"/>
    <w:rsid w:val="00D3705D"/>
    <w:rsid w:val="00D37719"/>
    <w:rsid w:val="00D3790A"/>
    <w:rsid w:val="00D40353"/>
    <w:rsid w:val="00D407DE"/>
    <w:rsid w:val="00D4209D"/>
    <w:rsid w:val="00D42278"/>
    <w:rsid w:val="00D45259"/>
    <w:rsid w:val="00D46734"/>
    <w:rsid w:val="00D50DC8"/>
    <w:rsid w:val="00D51555"/>
    <w:rsid w:val="00D523E0"/>
    <w:rsid w:val="00D53315"/>
    <w:rsid w:val="00D53994"/>
    <w:rsid w:val="00D540ED"/>
    <w:rsid w:val="00D55681"/>
    <w:rsid w:val="00D60112"/>
    <w:rsid w:val="00D60A9E"/>
    <w:rsid w:val="00D61B65"/>
    <w:rsid w:val="00D6248F"/>
    <w:rsid w:val="00D63C99"/>
    <w:rsid w:val="00D6453D"/>
    <w:rsid w:val="00D659C8"/>
    <w:rsid w:val="00D7116E"/>
    <w:rsid w:val="00D73BC2"/>
    <w:rsid w:val="00D7434F"/>
    <w:rsid w:val="00D75527"/>
    <w:rsid w:val="00D756EC"/>
    <w:rsid w:val="00D777A0"/>
    <w:rsid w:val="00D7796F"/>
    <w:rsid w:val="00D8021F"/>
    <w:rsid w:val="00D80305"/>
    <w:rsid w:val="00D80F50"/>
    <w:rsid w:val="00D81503"/>
    <w:rsid w:val="00D81DFD"/>
    <w:rsid w:val="00D8214D"/>
    <w:rsid w:val="00D82201"/>
    <w:rsid w:val="00D87579"/>
    <w:rsid w:val="00D8782A"/>
    <w:rsid w:val="00D87A83"/>
    <w:rsid w:val="00D87D92"/>
    <w:rsid w:val="00D90CC1"/>
    <w:rsid w:val="00D91407"/>
    <w:rsid w:val="00D92449"/>
    <w:rsid w:val="00D962C9"/>
    <w:rsid w:val="00D963B8"/>
    <w:rsid w:val="00D9647D"/>
    <w:rsid w:val="00DA0D24"/>
    <w:rsid w:val="00DA14D7"/>
    <w:rsid w:val="00DA210E"/>
    <w:rsid w:val="00DA2BED"/>
    <w:rsid w:val="00DA2DFC"/>
    <w:rsid w:val="00DA4414"/>
    <w:rsid w:val="00DA4E2B"/>
    <w:rsid w:val="00DA4F31"/>
    <w:rsid w:val="00DB012A"/>
    <w:rsid w:val="00DB0706"/>
    <w:rsid w:val="00DB0B36"/>
    <w:rsid w:val="00DB142C"/>
    <w:rsid w:val="00DB239F"/>
    <w:rsid w:val="00DB337A"/>
    <w:rsid w:val="00DB3DCE"/>
    <w:rsid w:val="00DB46D6"/>
    <w:rsid w:val="00DB4714"/>
    <w:rsid w:val="00DB4F59"/>
    <w:rsid w:val="00DB5176"/>
    <w:rsid w:val="00DB60E6"/>
    <w:rsid w:val="00DB7931"/>
    <w:rsid w:val="00DC045D"/>
    <w:rsid w:val="00DC05EF"/>
    <w:rsid w:val="00DC102F"/>
    <w:rsid w:val="00DC1DC6"/>
    <w:rsid w:val="00DC4917"/>
    <w:rsid w:val="00DC5453"/>
    <w:rsid w:val="00DC55D0"/>
    <w:rsid w:val="00DC5ADD"/>
    <w:rsid w:val="00DC67EB"/>
    <w:rsid w:val="00DC7156"/>
    <w:rsid w:val="00DC7E75"/>
    <w:rsid w:val="00DD0CF7"/>
    <w:rsid w:val="00DD2DE1"/>
    <w:rsid w:val="00DD359D"/>
    <w:rsid w:val="00DD3E34"/>
    <w:rsid w:val="00DD4B02"/>
    <w:rsid w:val="00DD5613"/>
    <w:rsid w:val="00DD63BE"/>
    <w:rsid w:val="00DD6D78"/>
    <w:rsid w:val="00DD7D3F"/>
    <w:rsid w:val="00DE2316"/>
    <w:rsid w:val="00DE3AF8"/>
    <w:rsid w:val="00DE7CB2"/>
    <w:rsid w:val="00DF2AA3"/>
    <w:rsid w:val="00DF2D05"/>
    <w:rsid w:val="00DF49B5"/>
    <w:rsid w:val="00DF5537"/>
    <w:rsid w:val="00DF57D9"/>
    <w:rsid w:val="00DF665F"/>
    <w:rsid w:val="00DF67A9"/>
    <w:rsid w:val="00DF6B84"/>
    <w:rsid w:val="00DF7D40"/>
    <w:rsid w:val="00E01023"/>
    <w:rsid w:val="00E0270E"/>
    <w:rsid w:val="00E02C0E"/>
    <w:rsid w:val="00E03125"/>
    <w:rsid w:val="00E036FD"/>
    <w:rsid w:val="00E052D1"/>
    <w:rsid w:val="00E06213"/>
    <w:rsid w:val="00E06E1E"/>
    <w:rsid w:val="00E07B3D"/>
    <w:rsid w:val="00E07FCB"/>
    <w:rsid w:val="00E10B19"/>
    <w:rsid w:val="00E13E50"/>
    <w:rsid w:val="00E1477D"/>
    <w:rsid w:val="00E149F2"/>
    <w:rsid w:val="00E14C32"/>
    <w:rsid w:val="00E15241"/>
    <w:rsid w:val="00E1698D"/>
    <w:rsid w:val="00E2451B"/>
    <w:rsid w:val="00E2490E"/>
    <w:rsid w:val="00E26FF2"/>
    <w:rsid w:val="00E271E5"/>
    <w:rsid w:val="00E27EB7"/>
    <w:rsid w:val="00E27F81"/>
    <w:rsid w:val="00E3128C"/>
    <w:rsid w:val="00E31F37"/>
    <w:rsid w:val="00E327EB"/>
    <w:rsid w:val="00E32CC9"/>
    <w:rsid w:val="00E34E78"/>
    <w:rsid w:val="00E35076"/>
    <w:rsid w:val="00E369C4"/>
    <w:rsid w:val="00E3719B"/>
    <w:rsid w:val="00E37258"/>
    <w:rsid w:val="00E402F9"/>
    <w:rsid w:val="00E40462"/>
    <w:rsid w:val="00E41AC9"/>
    <w:rsid w:val="00E42AB8"/>
    <w:rsid w:val="00E46512"/>
    <w:rsid w:val="00E470BF"/>
    <w:rsid w:val="00E47B70"/>
    <w:rsid w:val="00E51C91"/>
    <w:rsid w:val="00E51F7F"/>
    <w:rsid w:val="00E5228A"/>
    <w:rsid w:val="00E53320"/>
    <w:rsid w:val="00E5490B"/>
    <w:rsid w:val="00E57211"/>
    <w:rsid w:val="00E57439"/>
    <w:rsid w:val="00E5780C"/>
    <w:rsid w:val="00E61782"/>
    <w:rsid w:val="00E61958"/>
    <w:rsid w:val="00E62D99"/>
    <w:rsid w:val="00E63B3B"/>
    <w:rsid w:val="00E64785"/>
    <w:rsid w:val="00E65214"/>
    <w:rsid w:val="00E65733"/>
    <w:rsid w:val="00E66529"/>
    <w:rsid w:val="00E6687E"/>
    <w:rsid w:val="00E66A6B"/>
    <w:rsid w:val="00E6723E"/>
    <w:rsid w:val="00E71C8B"/>
    <w:rsid w:val="00E72D47"/>
    <w:rsid w:val="00E72E09"/>
    <w:rsid w:val="00E73FAF"/>
    <w:rsid w:val="00E73FCB"/>
    <w:rsid w:val="00E805DD"/>
    <w:rsid w:val="00E80D7D"/>
    <w:rsid w:val="00E81FF9"/>
    <w:rsid w:val="00E8261F"/>
    <w:rsid w:val="00E829A9"/>
    <w:rsid w:val="00E83420"/>
    <w:rsid w:val="00E84996"/>
    <w:rsid w:val="00E84BFD"/>
    <w:rsid w:val="00E86429"/>
    <w:rsid w:val="00E8695E"/>
    <w:rsid w:val="00E86D7C"/>
    <w:rsid w:val="00E87CFE"/>
    <w:rsid w:val="00E90641"/>
    <w:rsid w:val="00E92F97"/>
    <w:rsid w:val="00E94357"/>
    <w:rsid w:val="00E94AA4"/>
    <w:rsid w:val="00E94DF7"/>
    <w:rsid w:val="00E96ED4"/>
    <w:rsid w:val="00E972C6"/>
    <w:rsid w:val="00EA0848"/>
    <w:rsid w:val="00EA1627"/>
    <w:rsid w:val="00EA1838"/>
    <w:rsid w:val="00EA1880"/>
    <w:rsid w:val="00EA1B13"/>
    <w:rsid w:val="00EA24A6"/>
    <w:rsid w:val="00EA3192"/>
    <w:rsid w:val="00EA5F5A"/>
    <w:rsid w:val="00EB0456"/>
    <w:rsid w:val="00EB163F"/>
    <w:rsid w:val="00EB1ADE"/>
    <w:rsid w:val="00EB1F70"/>
    <w:rsid w:val="00EB2F56"/>
    <w:rsid w:val="00EB3192"/>
    <w:rsid w:val="00EB3F12"/>
    <w:rsid w:val="00EB5EE5"/>
    <w:rsid w:val="00EB67CF"/>
    <w:rsid w:val="00EC0C7C"/>
    <w:rsid w:val="00EC1B42"/>
    <w:rsid w:val="00EC1E33"/>
    <w:rsid w:val="00EC2148"/>
    <w:rsid w:val="00EC2D9E"/>
    <w:rsid w:val="00EC3317"/>
    <w:rsid w:val="00EC3EE0"/>
    <w:rsid w:val="00EC40C2"/>
    <w:rsid w:val="00EC4ED7"/>
    <w:rsid w:val="00EC5232"/>
    <w:rsid w:val="00EC56F4"/>
    <w:rsid w:val="00EC6122"/>
    <w:rsid w:val="00EC71AA"/>
    <w:rsid w:val="00EC7AB4"/>
    <w:rsid w:val="00ED1426"/>
    <w:rsid w:val="00ED1C15"/>
    <w:rsid w:val="00ED21D6"/>
    <w:rsid w:val="00ED26E0"/>
    <w:rsid w:val="00ED3006"/>
    <w:rsid w:val="00ED439A"/>
    <w:rsid w:val="00ED49F6"/>
    <w:rsid w:val="00ED7ED2"/>
    <w:rsid w:val="00EE12F0"/>
    <w:rsid w:val="00EE17A6"/>
    <w:rsid w:val="00EE235F"/>
    <w:rsid w:val="00EE30B9"/>
    <w:rsid w:val="00EE3940"/>
    <w:rsid w:val="00EE4532"/>
    <w:rsid w:val="00EE4BEE"/>
    <w:rsid w:val="00EE5045"/>
    <w:rsid w:val="00EE5B3C"/>
    <w:rsid w:val="00EE6580"/>
    <w:rsid w:val="00EE6A14"/>
    <w:rsid w:val="00EE6B3B"/>
    <w:rsid w:val="00EE6F4B"/>
    <w:rsid w:val="00EE7474"/>
    <w:rsid w:val="00EE7D2C"/>
    <w:rsid w:val="00EF1DC5"/>
    <w:rsid w:val="00EF293D"/>
    <w:rsid w:val="00EF5E8E"/>
    <w:rsid w:val="00EF71D5"/>
    <w:rsid w:val="00EF7524"/>
    <w:rsid w:val="00EF7EFB"/>
    <w:rsid w:val="00F01AF1"/>
    <w:rsid w:val="00F02F7A"/>
    <w:rsid w:val="00F03143"/>
    <w:rsid w:val="00F03B76"/>
    <w:rsid w:val="00F03FC1"/>
    <w:rsid w:val="00F056CD"/>
    <w:rsid w:val="00F0614A"/>
    <w:rsid w:val="00F06648"/>
    <w:rsid w:val="00F06BFD"/>
    <w:rsid w:val="00F07CC0"/>
    <w:rsid w:val="00F13F97"/>
    <w:rsid w:val="00F14862"/>
    <w:rsid w:val="00F1552F"/>
    <w:rsid w:val="00F1657F"/>
    <w:rsid w:val="00F16F26"/>
    <w:rsid w:val="00F20CCD"/>
    <w:rsid w:val="00F211B9"/>
    <w:rsid w:val="00F21A00"/>
    <w:rsid w:val="00F223AE"/>
    <w:rsid w:val="00F22735"/>
    <w:rsid w:val="00F231E6"/>
    <w:rsid w:val="00F2372D"/>
    <w:rsid w:val="00F2416C"/>
    <w:rsid w:val="00F304BF"/>
    <w:rsid w:val="00F30E2F"/>
    <w:rsid w:val="00F310AB"/>
    <w:rsid w:val="00F32EEC"/>
    <w:rsid w:val="00F33805"/>
    <w:rsid w:val="00F352CC"/>
    <w:rsid w:val="00F3543D"/>
    <w:rsid w:val="00F35B2B"/>
    <w:rsid w:val="00F35C58"/>
    <w:rsid w:val="00F36F67"/>
    <w:rsid w:val="00F37ABC"/>
    <w:rsid w:val="00F42399"/>
    <w:rsid w:val="00F42E35"/>
    <w:rsid w:val="00F43F28"/>
    <w:rsid w:val="00F4431B"/>
    <w:rsid w:val="00F44496"/>
    <w:rsid w:val="00F4660D"/>
    <w:rsid w:val="00F469FB"/>
    <w:rsid w:val="00F4732B"/>
    <w:rsid w:val="00F47FED"/>
    <w:rsid w:val="00F50700"/>
    <w:rsid w:val="00F509C9"/>
    <w:rsid w:val="00F50B2A"/>
    <w:rsid w:val="00F515D9"/>
    <w:rsid w:val="00F5278D"/>
    <w:rsid w:val="00F55836"/>
    <w:rsid w:val="00F57B31"/>
    <w:rsid w:val="00F57E45"/>
    <w:rsid w:val="00F6095F"/>
    <w:rsid w:val="00F62DA5"/>
    <w:rsid w:val="00F658FA"/>
    <w:rsid w:val="00F7102B"/>
    <w:rsid w:val="00F73DC2"/>
    <w:rsid w:val="00F74C77"/>
    <w:rsid w:val="00F767BE"/>
    <w:rsid w:val="00F76C3A"/>
    <w:rsid w:val="00F77206"/>
    <w:rsid w:val="00F807E3"/>
    <w:rsid w:val="00F80C6A"/>
    <w:rsid w:val="00F810F2"/>
    <w:rsid w:val="00F821FD"/>
    <w:rsid w:val="00F82C4C"/>
    <w:rsid w:val="00F83373"/>
    <w:rsid w:val="00F837CC"/>
    <w:rsid w:val="00F844DF"/>
    <w:rsid w:val="00F845AD"/>
    <w:rsid w:val="00F84C8D"/>
    <w:rsid w:val="00F850F9"/>
    <w:rsid w:val="00F85A8E"/>
    <w:rsid w:val="00F86A70"/>
    <w:rsid w:val="00F96284"/>
    <w:rsid w:val="00FA12F4"/>
    <w:rsid w:val="00FA3B59"/>
    <w:rsid w:val="00FA4365"/>
    <w:rsid w:val="00FA4A48"/>
    <w:rsid w:val="00FA7C5E"/>
    <w:rsid w:val="00FB0F6B"/>
    <w:rsid w:val="00FB1842"/>
    <w:rsid w:val="00FB1F9A"/>
    <w:rsid w:val="00FB580E"/>
    <w:rsid w:val="00FB5AE2"/>
    <w:rsid w:val="00FB6ABC"/>
    <w:rsid w:val="00FB7279"/>
    <w:rsid w:val="00FC032F"/>
    <w:rsid w:val="00FC0AD9"/>
    <w:rsid w:val="00FC133A"/>
    <w:rsid w:val="00FC26ED"/>
    <w:rsid w:val="00FC2B34"/>
    <w:rsid w:val="00FC4C0C"/>
    <w:rsid w:val="00FC5051"/>
    <w:rsid w:val="00FC6275"/>
    <w:rsid w:val="00FC7591"/>
    <w:rsid w:val="00FC79D0"/>
    <w:rsid w:val="00FD029F"/>
    <w:rsid w:val="00FD0879"/>
    <w:rsid w:val="00FD1A04"/>
    <w:rsid w:val="00FD20D2"/>
    <w:rsid w:val="00FD307C"/>
    <w:rsid w:val="00FD5782"/>
    <w:rsid w:val="00FD5883"/>
    <w:rsid w:val="00FD5A39"/>
    <w:rsid w:val="00FD5D9C"/>
    <w:rsid w:val="00FE1008"/>
    <w:rsid w:val="00FE1C55"/>
    <w:rsid w:val="00FE2413"/>
    <w:rsid w:val="00FE2995"/>
    <w:rsid w:val="00FE4BC8"/>
    <w:rsid w:val="00FE5837"/>
    <w:rsid w:val="00FE5FD3"/>
    <w:rsid w:val="00FE6090"/>
    <w:rsid w:val="00FE60FB"/>
    <w:rsid w:val="00FE7CFF"/>
    <w:rsid w:val="00FF26A2"/>
    <w:rsid w:val="00FF2797"/>
    <w:rsid w:val="00FF3530"/>
    <w:rsid w:val="00FF3CBE"/>
    <w:rsid w:val="00FF4784"/>
    <w:rsid w:val="00FF4CD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C649"/>
  <w15:chartTrackingRefBased/>
  <w15:docId w15:val="{8C8A5E10-A75C-4296-9AF9-F9BFD787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6D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AB6D29"/>
    <w:pPr>
      <w:tabs>
        <w:tab w:val="left" w:pos="284"/>
      </w:tabs>
      <w:spacing w:before="400" w:after="160" w:line="240" w:lineRule="auto"/>
    </w:pPr>
    <w:rPr>
      <w:b/>
      <w:sz w:val="29"/>
      <w:szCs w:val="32"/>
    </w:rPr>
  </w:style>
  <w:style w:type="paragraph" w:customStyle="1" w:styleId="RSCB01ARTAbstract">
    <w:name w:val="RSC B01 ART Abstract"/>
    <w:basedOn w:val="Normal"/>
    <w:link w:val="RSCB01ARTAbstractChar"/>
    <w:qFormat/>
    <w:rsid w:val="00AB6D29"/>
    <w:pPr>
      <w:spacing w:line="240" w:lineRule="exact"/>
      <w:jc w:val="both"/>
    </w:pPr>
    <w:rPr>
      <w:noProof/>
      <w:sz w:val="16"/>
      <w:lang w:eastAsia="en-GB"/>
    </w:rPr>
  </w:style>
  <w:style w:type="character" w:customStyle="1" w:styleId="RSCH01PaperTitleChar">
    <w:name w:val="RSC H01 Paper Title Char"/>
    <w:basedOn w:val="DefaultParagraphFont"/>
    <w:link w:val="RSCH01PaperTitle"/>
    <w:rsid w:val="00AB6D29"/>
    <w:rPr>
      <w:rFonts w:asciiTheme="minorHAnsi" w:hAnsiTheme="minorHAnsi"/>
      <w:b/>
      <w:sz w:val="29"/>
      <w:szCs w:val="32"/>
    </w:rPr>
  </w:style>
  <w:style w:type="character" w:customStyle="1" w:styleId="RSCB01ARTAbstractChar">
    <w:name w:val="RSC B01 ART Abstract Char"/>
    <w:basedOn w:val="DefaultParagraphFont"/>
    <w:link w:val="RSCB01ARTAbstract"/>
    <w:rsid w:val="00AB6D29"/>
    <w:rPr>
      <w:rFonts w:asciiTheme="minorHAnsi" w:hAnsiTheme="minorHAnsi" w:cstheme="minorBidi"/>
      <w:noProof/>
      <w:sz w:val="16"/>
      <w:szCs w:val="22"/>
      <w:lang w:eastAsia="en-GB"/>
    </w:rPr>
  </w:style>
  <w:style w:type="paragraph" w:customStyle="1" w:styleId="BCAuthorAddress">
    <w:name w:val="BC_Author_Address"/>
    <w:basedOn w:val="Normal"/>
    <w:next w:val="Normal"/>
    <w:rsid w:val="00AB6D29"/>
    <w:pPr>
      <w:spacing w:after="240" w:line="480" w:lineRule="auto"/>
      <w:jc w:val="center"/>
    </w:pPr>
    <w:rPr>
      <w:rFonts w:ascii="Times" w:eastAsia="Times New Roman" w:hAnsi="Times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AB6D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D29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D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6D29"/>
    <w:rPr>
      <w:color w:val="0563C1" w:themeColor="hyperlink"/>
      <w:u w:val="single"/>
    </w:rPr>
  </w:style>
  <w:style w:type="paragraph" w:customStyle="1" w:styleId="RSCB02ArticleText">
    <w:name w:val="RSC B02 Article Text"/>
    <w:basedOn w:val="Normal"/>
    <w:link w:val="RSCB02ArticleTextChar"/>
    <w:qFormat/>
    <w:rsid w:val="00524870"/>
    <w:pPr>
      <w:spacing w:after="0" w:line="240" w:lineRule="exact"/>
      <w:jc w:val="both"/>
    </w:pPr>
    <w:rPr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524870"/>
    <w:rPr>
      <w:rFonts w:asciiTheme="minorHAnsi" w:hAnsiTheme="minorHAnsi"/>
      <w:w w:val="108"/>
      <w:sz w:val="18"/>
      <w:szCs w:val="18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524870"/>
    <w:pPr>
      <w:spacing w:before="400" w:after="80" w:line="240" w:lineRule="auto"/>
    </w:pPr>
    <w:rPr>
      <w:b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524870"/>
    <w:rPr>
      <w:rFonts w:asciiTheme="minorHAnsi" w:hAnsiTheme="minorHAnsi" w:cstheme="minorBidi"/>
      <w:b/>
      <w:szCs w:val="22"/>
    </w:rPr>
  </w:style>
  <w:style w:type="table" w:styleId="TableGrid">
    <w:name w:val="Table Grid"/>
    <w:basedOn w:val="TableNormal"/>
    <w:uiPriority w:val="39"/>
    <w:rsid w:val="00FE241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C23D2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AA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AA6"/>
    <w:rPr>
      <w:rFonts w:asciiTheme="minorHAnsi" w:hAnsiTheme="minorHAnsi" w:cstheme="minorBidi"/>
      <w:sz w:val="22"/>
      <w:szCs w:val="22"/>
    </w:rPr>
  </w:style>
  <w:style w:type="table" w:customStyle="1" w:styleId="PlainTable21">
    <w:name w:val="Plain Table 21"/>
    <w:basedOn w:val="TableNormal"/>
    <w:next w:val="PlainTable2"/>
    <w:uiPriority w:val="42"/>
    <w:rsid w:val="0051613C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06CHeading">
    <w:name w:val="06 C Heading"/>
    <w:basedOn w:val="RSCB02ArticleTextChar"/>
    <w:uiPriority w:val="1"/>
    <w:rsid w:val="0020599B"/>
    <w:rPr>
      <w:rFonts w:ascii="Times New Roman" w:hAnsi="Times New Roman" w:cs="Times New Roman"/>
      <w:b/>
      <w:smallCaps/>
      <w:w w:val="108"/>
      <w:sz w:val="18"/>
      <w:szCs w:val="18"/>
    </w:rPr>
  </w:style>
  <w:style w:type="paragraph" w:customStyle="1" w:styleId="RSCR02References">
    <w:name w:val="RSC R02 References"/>
    <w:basedOn w:val="RSCB02ArticleText"/>
    <w:link w:val="RSCR02ReferencesChar"/>
    <w:qFormat/>
    <w:rsid w:val="0020599B"/>
    <w:pPr>
      <w:numPr>
        <w:numId w:val="1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DefaultParagraphFont"/>
    <w:link w:val="RSCR02References"/>
    <w:rsid w:val="0020599B"/>
    <w:rPr>
      <w:rFonts w:asciiTheme="minorHAnsi" w:hAnsiTheme="minorHAnsi"/>
      <w:w w:val="105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5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2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2A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512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F452B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CF452B"/>
  </w:style>
  <w:style w:type="paragraph" w:customStyle="1" w:styleId="TFReferencesSection">
    <w:name w:val="TF_References_Section"/>
    <w:basedOn w:val="Normal"/>
    <w:rsid w:val="00CF452B"/>
    <w:pPr>
      <w:spacing w:line="480" w:lineRule="auto"/>
      <w:ind w:firstLine="187"/>
      <w:jc w:val="both"/>
    </w:pPr>
    <w:rPr>
      <w:rFonts w:ascii="Times" w:eastAsia="Times New Roman" w:hAnsi="Times"/>
      <w:szCs w:val="20"/>
      <w:lang w:val="en-US"/>
    </w:rPr>
  </w:style>
  <w:style w:type="paragraph" w:customStyle="1" w:styleId="Default">
    <w:name w:val="Default"/>
    <w:rsid w:val="00E87CF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B07D33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773CFC"/>
    <w:pPr>
      <w:spacing w:after="0" w:line="240" w:lineRule="auto"/>
    </w:pPr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832E3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oleObject" Target="embeddings/oleObject1.bin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zhev\Documents\Ivan%20files%20home\Papers\Hanan%20HDO%20furans\DMTHF%20kinetics\DMTHF%20HDO%20kinetics%20Ea%20for%20PtC+CsPW%2004.11.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zhev\Documents\Ivan%20files%20home\Papers\Hanan%20HDO%20furans\DMTHF%20kinetics\DMTHF%20HDO%20kinetics,%20effect%20of%20CsPW%2004.11.19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zhev\Documents\Ivan%20files%20home\Papers\Hanan%20HDO%20furans\DMTHF%20kinetics\DMTHF%20HDO%20kinetics,%20effect%20of%20CsPW%2004.11.19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zhev\Desktop\DMTHF%20HDO%20kinetics%20Effect%20of%20DMTHF%20pressure%2004.11.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zhev\Documents\Ivan%20files\Papers\Hanan%20HDO%20of%20DMTHF\DMTHF%20kinetics\DMTHF%20HDO%20kinetics%20Effect%20of%20H2%20pressu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kozhev\Documents\Ivan%20files%2018.07.20\Papers\Hanan%20HDO%20furans\DMTHF%20kinetics\DMTHF%20HDO%20kinetics%20Order%20in%20catalyst%20Pt+CsPW%2004.11.19%20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zhev\Documents\Ivan%20files\Papers\Hanan%20HDO%20of%20DMTHF\DMTHF%20kinetics\DMTHF%20HDO%20kinetics%20Ea%20for%20PtC+CsPW%2004.11.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15048118985127"/>
          <c:y val="5.0925925925925923E-2"/>
          <c:w val="0.81229396325459313"/>
          <c:h val="0.7764887722368035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'90 oC'!$P$5</c:f>
              <c:strCache>
                <c:ptCount val="1"/>
                <c:pt idx="0">
                  <c:v>Conversion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'90 oC'!$O$6:$O$15</c:f>
              <c:numCache>
                <c:formatCode>0</c:formatCode>
                <c:ptCount val="10"/>
                <c:pt idx="0" formatCode="General">
                  <c:v>0</c:v>
                </c:pt>
                <c:pt idx="1">
                  <c:v>28.00000000000006</c:v>
                </c:pt>
                <c:pt idx="2">
                  <c:v>56.999999999999957</c:v>
                </c:pt>
                <c:pt idx="3">
                  <c:v>86.000000000000014</c:v>
                </c:pt>
                <c:pt idx="4">
                  <c:v>114.00000000000007</c:v>
                </c:pt>
                <c:pt idx="5">
                  <c:v>141.99999999999997</c:v>
                </c:pt>
                <c:pt idx="6">
                  <c:v>171.00000000000003</c:v>
                </c:pt>
                <c:pt idx="7">
                  <c:v>198.99999999999994</c:v>
                </c:pt>
                <c:pt idx="8">
                  <c:v>227</c:v>
                </c:pt>
                <c:pt idx="9">
                  <c:v>255.99999999999989</c:v>
                </c:pt>
              </c:numCache>
            </c:numRef>
          </c:xVal>
          <c:yVal>
            <c:numRef>
              <c:f>'90 oC'!$P$6:$P$15</c:f>
              <c:numCache>
                <c:formatCode>0.00</c:formatCode>
                <c:ptCount val="10"/>
                <c:pt idx="1">
                  <c:v>15.136591696477277</c:v>
                </c:pt>
                <c:pt idx="2">
                  <c:v>15.141646060666639</c:v>
                </c:pt>
                <c:pt idx="3">
                  <c:v>15.126492445170745</c:v>
                </c:pt>
                <c:pt idx="4">
                  <c:v>14.97263951185505</c:v>
                </c:pt>
                <c:pt idx="5">
                  <c:v>14.876189553687018</c:v>
                </c:pt>
                <c:pt idx="6">
                  <c:v>14.520885783747911</c:v>
                </c:pt>
                <c:pt idx="7">
                  <c:v>14.274417809529981</c:v>
                </c:pt>
                <c:pt idx="8">
                  <c:v>13.999162316574678</c:v>
                </c:pt>
                <c:pt idx="9">
                  <c:v>13.677421263453953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53A-4CEE-9222-09BA293EA026}"/>
            </c:ext>
          </c:extLst>
        </c:ser>
        <c:ser>
          <c:idx val="1"/>
          <c:order val="1"/>
          <c:tx>
            <c:strRef>
              <c:f>'90 oC'!$Q$5</c:f>
              <c:strCache>
                <c:ptCount val="1"/>
                <c:pt idx="0">
                  <c:v>Hexane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'90 oC'!$O$6:$O$15</c:f>
              <c:numCache>
                <c:formatCode>0</c:formatCode>
                <c:ptCount val="10"/>
                <c:pt idx="0" formatCode="General">
                  <c:v>0</c:v>
                </c:pt>
                <c:pt idx="1">
                  <c:v>28.00000000000006</c:v>
                </c:pt>
                <c:pt idx="2">
                  <c:v>56.999999999999957</c:v>
                </c:pt>
                <c:pt idx="3">
                  <c:v>86.000000000000014</c:v>
                </c:pt>
                <c:pt idx="4">
                  <c:v>114.00000000000007</c:v>
                </c:pt>
                <c:pt idx="5">
                  <c:v>141.99999999999997</c:v>
                </c:pt>
                <c:pt idx="6">
                  <c:v>171.00000000000003</c:v>
                </c:pt>
                <c:pt idx="7">
                  <c:v>198.99999999999994</c:v>
                </c:pt>
                <c:pt idx="8">
                  <c:v>227</c:v>
                </c:pt>
                <c:pt idx="9">
                  <c:v>255.99999999999989</c:v>
                </c:pt>
              </c:numCache>
            </c:numRef>
          </c:xVal>
          <c:yVal>
            <c:numRef>
              <c:f>'90 oC'!$Q$6:$Q$15</c:f>
              <c:numCache>
                <c:formatCode>0.00</c:formatCode>
                <c:ptCount val="10"/>
                <c:pt idx="1">
                  <c:v>98.633188381938581</c:v>
                </c:pt>
                <c:pt idx="2">
                  <c:v>98.415833946124181</c:v>
                </c:pt>
                <c:pt idx="3">
                  <c:v>98.187175646690108</c:v>
                </c:pt>
                <c:pt idx="4">
                  <c:v>98.027273338821033</c:v>
                </c:pt>
                <c:pt idx="5">
                  <c:v>97.89579063227599</c:v>
                </c:pt>
                <c:pt idx="6">
                  <c:v>97.763576061564507</c:v>
                </c:pt>
                <c:pt idx="7">
                  <c:v>97.750350044233045</c:v>
                </c:pt>
                <c:pt idx="8">
                  <c:v>97.701835154057363</c:v>
                </c:pt>
                <c:pt idx="9">
                  <c:v>97.743385486649387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53A-4CEE-9222-09BA293EA026}"/>
            </c:ext>
          </c:extLst>
        </c:ser>
        <c:ser>
          <c:idx val="5"/>
          <c:order val="5"/>
          <c:tx>
            <c:strRef>
              <c:f>'90 oC'!$U$5</c:f>
              <c:strCache>
                <c:ptCount val="1"/>
                <c:pt idx="0">
                  <c:v>2-Hexanol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'90 oC'!$O$6:$O$15</c:f>
              <c:numCache>
                <c:formatCode>0</c:formatCode>
                <c:ptCount val="10"/>
                <c:pt idx="0" formatCode="General">
                  <c:v>0</c:v>
                </c:pt>
                <c:pt idx="1">
                  <c:v>28.00000000000006</c:v>
                </c:pt>
                <c:pt idx="2">
                  <c:v>56.999999999999957</c:v>
                </c:pt>
                <c:pt idx="3">
                  <c:v>86.000000000000014</c:v>
                </c:pt>
                <c:pt idx="4">
                  <c:v>114.00000000000007</c:v>
                </c:pt>
                <c:pt idx="5">
                  <c:v>141.99999999999997</c:v>
                </c:pt>
                <c:pt idx="6">
                  <c:v>171.00000000000003</c:v>
                </c:pt>
                <c:pt idx="7">
                  <c:v>198.99999999999994</c:v>
                </c:pt>
                <c:pt idx="8">
                  <c:v>227</c:v>
                </c:pt>
                <c:pt idx="9">
                  <c:v>255.99999999999989</c:v>
                </c:pt>
              </c:numCache>
            </c:numRef>
          </c:xVal>
          <c:yVal>
            <c:numRef>
              <c:f>'90 oC'!$U$6:$U$15</c:f>
              <c:numCache>
                <c:formatCode>0.00</c:formatCode>
                <c:ptCount val="10"/>
                <c:pt idx="1">
                  <c:v>1.3668116180614251</c:v>
                </c:pt>
                <c:pt idx="2">
                  <c:v>1.5841660538758184</c:v>
                </c:pt>
                <c:pt idx="3">
                  <c:v>1.8128243533098793</c:v>
                </c:pt>
                <c:pt idx="4">
                  <c:v>1.97272666117896</c:v>
                </c:pt>
                <c:pt idx="5">
                  <c:v>2.104209367724021</c:v>
                </c:pt>
                <c:pt idx="6">
                  <c:v>2.2364239384354936</c:v>
                </c:pt>
                <c:pt idx="7">
                  <c:v>2.2496499557669587</c:v>
                </c:pt>
                <c:pt idx="8">
                  <c:v>2.2981648459426478</c:v>
                </c:pt>
                <c:pt idx="9">
                  <c:v>2.2566145133506126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853A-4CEE-9222-09BA293EA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2918991"/>
        <c:axId val="1532919407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'90 oC'!$R$5</c15:sqref>
                        </c15:formulaRef>
                      </c:ext>
                    </c:extLst>
                    <c:strCache>
                      <c:ptCount val="1"/>
                      <c:pt idx="0">
                        <c:v>Hexen</c:v>
                      </c:pt>
                    </c:strCache>
                  </c:strRef>
                </c:tx>
                <c:spPr>
                  <a:ln w="19050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'90 oC'!$O$6:$O$15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 formatCode="General">
                        <c:v>0</c:v>
                      </c:pt>
                      <c:pt idx="1">
                        <c:v>28.00000000000006</c:v>
                      </c:pt>
                      <c:pt idx="2">
                        <c:v>56.999999999999957</c:v>
                      </c:pt>
                      <c:pt idx="3">
                        <c:v>86.000000000000014</c:v>
                      </c:pt>
                      <c:pt idx="4">
                        <c:v>114.00000000000007</c:v>
                      </c:pt>
                      <c:pt idx="5">
                        <c:v>141.99999999999997</c:v>
                      </c:pt>
                      <c:pt idx="6">
                        <c:v>171.00000000000003</c:v>
                      </c:pt>
                      <c:pt idx="7">
                        <c:v>198.99999999999994</c:v>
                      </c:pt>
                      <c:pt idx="8">
                        <c:v>227</c:v>
                      </c:pt>
                      <c:pt idx="9">
                        <c:v>255.99999999999989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'90 oC'!$R$6:$R$15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</c:numCache>
                  </c:numRef>
                </c:yVal>
                <c:smooth val="1"/>
                <c:extLst>
                  <c:ext xmlns:c16="http://schemas.microsoft.com/office/drawing/2014/chart" uri="{C3380CC4-5D6E-409C-BE32-E72D297353CC}">
                    <c16:uniqueId val="{00000003-853A-4CEE-9222-09BA293EA026}"/>
                  </c:ext>
                </c:extLst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oC'!$S$5</c15:sqref>
                        </c15:formulaRef>
                      </c:ext>
                    </c:extLst>
                    <c:strCache>
                      <c:ptCount val="1"/>
                      <c:pt idx="0">
                        <c:v>2-Hexanone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oC'!$O$6:$O$15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 formatCode="General">
                        <c:v>0</c:v>
                      </c:pt>
                      <c:pt idx="1">
                        <c:v>28.00000000000006</c:v>
                      </c:pt>
                      <c:pt idx="2">
                        <c:v>56.999999999999957</c:v>
                      </c:pt>
                      <c:pt idx="3">
                        <c:v>86.000000000000014</c:v>
                      </c:pt>
                      <c:pt idx="4">
                        <c:v>114.00000000000007</c:v>
                      </c:pt>
                      <c:pt idx="5">
                        <c:v>141.99999999999997</c:v>
                      </c:pt>
                      <c:pt idx="6">
                        <c:v>171.00000000000003</c:v>
                      </c:pt>
                      <c:pt idx="7">
                        <c:v>198.99999999999994</c:v>
                      </c:pt>
                      <c:pt idx="8">
                        <c:v>227</c:v>
                      </c:pt>
                      <c:pt idx="9">
                        <c:v>255.99999999999989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oC'!$S$6:$S$15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</c:numCache>
                  </c:numRef>
                </c:yVal>
                <c:smooth val="1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53A-4CEE-9222-09BA293EA026}"/>
                  </c:ext>
                </c:extLst>
              </c15:ser>
            </c15:filteredScatterSeries>
            <c15:filteredScatte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oC'!$T$5</c15:sqref>
                        </c15:formulaRef>
                      </c:ext>
                    </c:extLst>
                    <c:strCache>
                      <c:ptCount val="1"/>
                      <c:pt idx="0">
                        <c:v>hexanol?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oC'!$O$6:$O$15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 formatCode="General">
                        <c:v>0</c:v>
                      </c:pt>
                      <c:pt idx="1">
                        <c:v>28.00000000000006</c:v>
                      </c:pt>
                      <c:pt idx="2">
                        <c:v>56.999999999999957</c:v>
                      </c:pt>
                      <c:pt idx="3">
                        <c:v>86.000000000000014</c:v>
                      </c:pt>
                      <c:pt idx="4">
                        <c:v>114.00000000000007</c:v>
                      </c:pt>
                      <c:pt idx="5">
                        <c:v>141.99999999999997</c:v>
                      </c:pt>
                      <c:pt idx="6">
                        <c:v>171.00000000000003</c:v>
                      </c:pt>
                      <c:pt idx="7">
                        <c:v>198.99999999999994</c:v>
                      </c:pt>
                      <c:pt idx="8">
                        <c:v>227</c:v>
                      </c:pt>
                      <c:pt idx="9">
                        <c:v>255.99999999999989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oC'!$T$6:$T$15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</c:numCache>
                  </c:numRef>
                </c:yVal>
                <c:smooth val="1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53A-4CEE-9222-09BA293EA026}"/>
                  </c:ext>
                </c:extLst>
              </c15:ser>
            </c15:filteredScatterSeries>
            <c15:filteredScatte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oC'!$V$5</c15:sqref>
                        </c15:formulaRef>
                      </c:ext>
                    </c:extLst>
                    <c:strCache>
                      <c:ptCount val="1"/>
                      <c:pt idx="0">
                        <c:v>other</c:v>
                      </c:pt>
                    </c:strCache>
                  </c:strRef>
                </c:tx>
                <c:spPr>
                  <a:ln w="19050" cap="rnd">
                    <a:solidFill>
                      <a:schemeClr val="accent1">
                        <a:lumMod val="60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>
                        <a:lumMod val="60000"/>
                      </a:schemeClr>
                    </a:solidFill>
                    <a:ln w="9525">
                      <a:solidFill>
                        <a:schemeClr val="accent1">
                          <a:lumMod val="60000"/>
                        </a:schemeClr>
                      </a:solidFill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oC'!$O$6:$O$15</c15:sqref>
                        </c15:formulaRef>
                      </c:ext>
                    </c:extLst>
                    <c:numCache>
                      <c:formatCode>0</c:formatCode>
                      <c:ptCount val="10"/>
                      <c:pt idx="0" formatCode="General">
                        <c:v>0</c:v>
                      </c:pt>
                      <c:pt idx="1">
                        <c:v>28.00000000000006</c:v>
                      </c:pt>
                      <c:pt idx="2">
                        <c:v>56.999999999999957</c:v>
                      </c:pt>
                      <c:pt idx="3">
                        <c:v>86.000000000000014</c:v>
                      </c:pt>
                      <c:pt idx="4">
                        <c:v>114.00000000000007</c:v>
                      </c:pt>
                      <c:pt idx="5">
                        <c:v>141.99999999999997</c:v>
                      </c:pt>
                      <c:pt idx="6">
                        <c:v>171.00000000000003</c:v>
                      </c:pt>
                      <c:pt idx="7">
                        <c:v>198.99999999999994</c:v>
                      </c:pt>
                      <c:pt idx="8">
                        <c:v>227</c:v>
                      </c:pt>
                      <c:pt idx="9">
                        <c:v>255.99999999999989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'90 oC'!$V$6:$V$15</c15:sqref>
                        </c15:formulaRef>
                      </c:ext>
                    </c:extLst>
                    <c:numCache>
                      <c:formatCode>0.00</c:formatCode>
                      <c:ptCount val="10"/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</c:numCache>
                  </c:numRef>
                </c:yVal>
                <c:smooth val="1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53A-4CEE-9222-09BA293EA026}"/>
                  </c:ext>
                </c:extLst>
              </c15:ser>
            </c15:filteredScatterSeries>
          </c:ext>
        </c:extLst>
      </c:scatterChart>
      <c:valAx>
        <c:axId val="15329189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Time 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532919407"/>
        <c:crosses val="autoZero"/>
        <c:crossBetween val="midCat"/>
      </c:valAx>
      <c:valAx>
        <c:axId val="1532919407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Conversion &amp; Selectivity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532918991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43000874890638"/>
          <c:y val="0.35243000874890645"/>
          <c:w val="0.24780664916885389"/>
          <c:h val="0.19386628754738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05643619438068"/>
          <c:y val="5.0925925925925923E-2"/>
          <c:w val="0.74939636544670141"/>
          <c:h val="0.77310440361621469"/>
        </c:manualLayout>
      </c:layout>
      <c:scatterChart>
        <c:scatterStyle val="lineMarker"/>
        <c:varyColors val="0"/>
        <c:ser>
          <c:idx val="0"/>
          <c:order val="0"/>
          <c:tx>
            <c:v>DMTHF conversion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0"/>
            <c:marker>
              <c:symbol val="circle"/>
              <c:size val="6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EB8B-401A-82BE-44BB95259529}"/>
              </c:ext>
            </c:extLst>
          </c:dPt>
          <c:dPt>
            <c:idx val="6"/>
            <c:marker>
              <c:symbol val="circle"/>
              <c:size val="6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EB8B-401A-82BE-44BB95259529}"/>
              </c:ext>
            </c:extLst>
          </c:dPt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poly"/>
            <c:order val="3"/>
            <c:dispRSqr val="0"/>
            <c:dispEq val="0"/>
          </c:trendline>
          <c:xVal>
            <c:numRef>
              <c:f>'[DMTHF HDO kinetics Effect of Pt loading 04.11.19.xlsx]1 %Pt + summary'!$S$22:$S$28</c:f>
              <c:numCache>
                <c:formatCode>General</c:formatCode>
                <c:ptCount val="7"/>
                <c:pt idx="0">
                  <c:v>0</c:v>
                </c:pt>
                <c:pt idx="1">
                  <c:v>6.6435986159169543E-3</c:v>
                </c:pt>
                <c:pt idx="2">
                  <c:v>1.3287197231833909E-2</c:v>
                </c:pt>
                <c:pt idx="3">
                  <c:v>2.6574394463667817E-2</c:v>
                </c:pt>
                <c:pt idx="4">
                  <c:v>5.3148788927335634E-2</c:v>
                </c:pt>
                <c:pt idx="5">
                  <c:v>7.9723183391003455E-2</c:v>
                </c:pt>
                <c:pt idx="6">
                  <c:v>6.8000000000000005E-2</c:v>
                </c:pt>
              </c:numCache>
            </c:numRef>
          </c:xVal>
          <c:yVal>
            <c:numRef>
              <c:f>'[DMTHF HDO kinetics Effect of Pt loading 04.11.19.xlsx]1 %Pt + summary'!$U$22:$U$28</c:f>
              <c:numCache>
                <c:formatCode>0.00</c:formatCode>
                <c:ptCount val="7"/>
                <c:pt idx="0" formatCode="General">
                  <c:v>0.45</c:v>
                </c:pt>
                <c:pt idx="1">
                  <c:v>7.2238219690952263</c:v>
                </c:pt>
                <c:pt idx="2">
                  <c:v>12.660957180568481</c:v>
                </c:pt>
                <c:pt idx="3">
                  <c:v>17.600000000000001</c:v>
                </c:pt>
                <c:pt idx="4">
                  <c:v>21.504443212072356</c:v>
                </c:pt>
                <c:pt idx="5">
                  <c:v>22.267243196312023</c:v>
                </c:pt>
                <c:pt idx="6">
                  <c:v>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EB8B-401A-82BE-44BB952595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9223336"/>
        <c:axId val="439222024"/>
      </c:scatterChart>
      <c:scatterChart>
        <c:scatterStyle val="lineMarker"/>
        <c:varyColors val="0"/>
        <c:ser>
          <c:idx val="1"/>
          <c:order val="1"/>
          <c:tx>
            <c:v>Hexane selectivity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3689499246357412E-2"/>
                  <c:y val="6.99300699300699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200" b="1"/>
                      <a:t>A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8B-401A-82BE-44BB952595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'[DMTHF HDO kinetics Effect of Pt loading 04.11.19.xlsx]1 %Pt + summary'!$S$23:$S$27</c:f>
              <c:numCache>
                <c:formatCode>General</c:formatCode>
                <c:ptCount val="5"/>
                <c:pt idx="0">
                  <c:v>6.6435986159169543E-3</c:v>
                </c:pt>
                <c:pt idx="1">
                  <c:v>1.3287197231833909E-2</c:v>
                </c:pt>
                <c:pt idx="2">
                  <c:v>2.6574394463667817E-2</c:v>
                </c:pt>
                <c:pt idx="3">
                  <c:v>5.3148788927335634E-2</c:v>
                </c:pt>
                <c:pt idx="4">
                  <c:v>7.9723183391003455E-2</c:v>
                </c:pt>
              </c:numCache>
            </c:numRef>
          </c:xVal>
          <c:yVal>
            <c:numRef>
              <c:f>'[DMTHF HDO kinetics Effect of Pt loading 04.11.19.xlsx]1 %Pt + summary'!$D$23:$D$27</c:f>
              <c:numCache>
                <c:formatCode>0.00</c:formatCode>
                <c:ptCount val="5"/>
                <c:pt idx="0">
                  <c:v>98.107921360499887</c:v>
                </c:pt>
                <c:pt idx="1">
                  <c:v>98.17774495177926</c:v>
                </c:pt>
                <c:pt idx="2">
                  <c:v>98.803824273928328</c:v>
                </c:pt>
                <c:pt idx="3">
                  <c:v>97.518690265367127</c:v>
                </c:pt>
                <c:pt idx="4">
                  <c:v>97.658415439782189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EB8B-401A-82BE-44BB95259529}"/>
            </c:ext>
          </c:extLst>
        </c:ser>
        <c:ser>
          <c:idx val="2"/>
          <c:order val="2"/>
          <c:tx>
            <c:v>2-Hexanol selectivity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'[DMTHF HDO kinetics Effect of Pt loading 04.11.19.xlsx]1 %Pt + summary'!$S$23:$S$27</c:f>
              <c:numCache>
                <c:formatCode>General</c:formatCode>
                <c:ptCount val="5"/>
                <c:pt idx="0">
                  <c:v>6.6435986159169543E-3</c:v>
                </c:pt>
                <c:pt idx="1">
                  <c:v>1.3287197231833909E-2</c:v>
                </c:pt>
                <c:pt idx="2">
                  <c:v>2.6574394463667817E-2</c:v>
                </c:pt>
                <c:pt idx="3">
                  <c:v>5.3148788927335634E-2</c:v>
                </c:pt>
                <c:pt idx="4">
                  <c:v>7.9723183391003455E-2</c:v>
                </c:pt>
              </c:numCache>
            </c:numRef>
          </c:xVal>
          <c:yVal>
            <c:numRef>
              <c:f>'[DMTHF HDO kinetics Effect of Pt loading 04.11.19.xlsx]1 %Pt + summary'!$F$23:$F$27</c:f>
              <c:numCache>
                <c:formatCode>0.00</c:formatCode>
                <c:ptCount val="5"/>
                <c:pt idx="0">
                  <c:v>1.8920786395001037</c:v>
                </c:pt>
                <c:pt idx="1">
                  <c:v>1.8222550482207303</c:v>
                </c:pt>
                <c:pt idx="2">
                  <c:v>1.2337283665918097</c:v>
                </c:pt>
                <c:pt idx="3">
                  <c:v>2.0530158791393451</c:v>
                </c:pt>
                <c:pt idx="4">
                  <c:v>2.1506490899134696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EB8B-401A-82BE-44BB952595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67383584"/>
        <c:axId val="967379840"/>
      </c:scatterChart>
      <c:valAx>
        <c:axId val="439223336"/>
        <c:scaling>
          <c:orientation val="minMax"/>
          <c:max val="8.0000000000000016E-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Pt</a:t>
                </a:r>
                <a:r>
                  <a:rPr lang="en-US" b="1" baseline="-25000"/>
                  <a:t>s</a:t>
                </a:r>
                <a:r>
                  <a:rPr lang="en-US" b="1"/>
                  <a:t>/H</a:t>
                </a:r>
                <a:r>
                  <a:rPr lang="en-US" b="1" baseline="30000"/>
                  <a:t>+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9222024"/>
        <c:crosses val="autoZero"/>
        <c:crossBetween val="midCat"/>
      </c:valAx>
      <c:valAx>
        <c:axId val="4392220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Conversion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9223336"/>
        <c:crosses val="autoZero"/>
        <c:crossBetween val="midCat"/>
      </c:valAx>
      <c:valAx>
        <c:axId val="967379840"/>
        <c:scaling>
          <c:orientation val="minMax"/>
          <c:max val="1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Selectivity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67383584"/>
        <c:crosses val="max"/>
        <c:crossBetween val="midCat"/>
        <c:majorUnit val="20"/>
      </c:valAx>
      <c:valAx>
        <c:axId val="96738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6737984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1092015469119492"/>
          <c:y val="0.44122450379977018"/>
          <c:w val="0.43716836098887396"/>
          <c:h val="0.193562263050452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36122140361595"/>
          <c:y val="5.0925925925925923E-2"/>
          <c:w val="0.74056242969628794"/>
          <c:h val="0.79048051685846954"/>
        </c:manualLayout>
      </c:layout>
      <c:scatterChart>
        <c:scatterStyle val="lineMarker"/>
        <c:varyColors val="0"/>
        <c:ser>
          <c:idx val="0"/>
          <c:order val="0"/>
          <c:tx>
            <c:v>DMTHF conversion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6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8DFE-40DE-9916-71EA625F221A}"/>
              </c:ext>
            </c:extLst>
          </c:dPt>
          <c:dPt>
            <c:idx val="7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1-8DFE-40DE-9916-71EA625F221A}"/>
              </c:ext>
            </c:extLst>
          </c:dPt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poly"/>
            <c:order val="3"/>
            <c:intercept val="0.99"/>
            <c:dispRSqr val="0"/>
            <c:dispEq val="0"/>
          </c:trendline>
          <c:xVal>
            <c:numRef>
              <c:f>'only CsPW'!$T$20:$T$27</c:f>
              <c:numCache>
                <c:formatCode>General</c:formatCode>
                <c:ptCount val="8"/>
                <c:pt idx="0">
                  <c:v>0</c:v>
                </c:pt>
                <c:pt idx="1">
                  <c:v>5.2083333333333339</c:v>
                </c:pt>
                <c:pt idx="2">
                  <c:v>10.416666666666668</c:v>
                </c:pt>
                <c:pt idx="3">
                  <c:v>20.833333333333336</c:v>
                </c:pt>
                <c:pt idx="4">
                  <c:v>37.5</c:v>
                </c:pt>
                <c:pt idx="5">
                  <c:v>45.833333333333336</c:v>
                </c:pt>
                <c:pt idx="6">
                  <c:v>33</c:v>
                </c:pt>
                <c:pt idx="7">
                  <c:v>16</c:v>
                </c:pt>
              </c:numCache>
            </c:numRef>
          </c:xVal>
          <c:yVal>
            <c:numRef>
              <c:f>'only CsPW'!$U$20:$U$27</c:f>
              <c:numCache>
                <c:formatCode>General</c:formatCode>
                <c:ptCount val="8"/>
                <c:pt idx="0">
                  <c:v>0.99</c:v>
                </c:pt>
                <c:pt idx="1">
                  <c:v>9.6</c:v>
                </c:pt>
                <c:pt idx="2" formatCode="0.00">
                  <c:v>11.3</c:v>
                </c:pt>
                <c:pt idx="3" formatCode="0.00">
                  <c:v>14.735873446888284</c:v>
                </c:pt>
                <c:pt idx="4" formatCode="0.00">
                  <c:v>17.600000000000001</c:v>
                </c:pt>
                <c:pt idx="5" formatCode="0.00">
                  <c:v>17.4658547405013</c:v>
                </c:pt>
                <c:pt idx="6" formatCode="0.00">
                  <c:v>18.5</c:v>
                </c:pt>
                <c:pt idx="7" formatCode="0.00">
                  <c:v>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DFE-40DE-9916-71EA625F2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9885672"/>
        <c:axId val="610941496"/>
      </c:scatterChart>
      <c:scatterChart>
        <c:scatterStyle val="lineMarker"/>
        <c:varyColors val="0"/>
        <c:ser>
          <c:idx val="1"/>
          <c:order val="1"/>
          <c:tx>
            <c:v>Hexane selectivity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0.16115494376363942"/>
                  <c:y val="-2.5484199796126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200" b="1"/>
                      <a:t>B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FE-40DE-9916-71EA625F22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'only CsPW'!$T$20:$T$25</c:f>
              <c:numCache>
                <c:formatCode>General</c:formatCode>
                <c:ptCount val="6"/>
                <c:pt idx="0">
                  <c:v>0</c:v>
                </c:pt>
                <c:pt idx="1">
                  <c:v>5.2083333333333339</c:v>
                </c:pt>
                <c:pt idx="2">
                  <c:v>10.416666666666668</c:v>
                </c:pt>
                <c:pt idx="3">
                  <c:v>20.833333333333336</c:v>
                </c:pt>
                <c:pt idx="4">
                  <c:v>37.5</c:v>
                </c:pt>
                <c:pt idx="5">
                  <c:v>45.833333333333336</c:v>
                </c:pt>
              </c:numCache>
            </c:numRef>
          </c:xVal>
          <c:yVal>
            <c:numRef>
              <c:f>'only CsPW'!$D$20:$D$25</c:f>
              <c:numCache>
                <c:formatCode>General</c:formatCode>
                <c:ptCount val="6"/>
                <c:pt idx="0">
                  <c:v>14.63</c:v>
                </c:pt>
                <c:pt idx="1">
                  <c:v>80.34</c:v>
                </c:pt>
                <c:pt idx="2" formatCode="0.00">
                  <c:v>89.567318863493512</c:v>
                </c:pt>
                <c:pt idx="3" formatCode="0.00">
                  <c:v>96.45564481325772</c:v>
                </c:pt>
                <c:pt idx="4" formatCode="0.00">
                  <c:v>98.803824273928328</c:v>
                </c:pt>
                <c:pt idx="5" formatCode="0.00">
                  <c:v>98.956972498255709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8DFE-40DE-9916-71EA625F221A}"/>
            </c:ext>
          </c:extLst>
        </c:ser>
        <c:ser>
          <c:idx val="2"/>
          <c:order val="2"/>
          <c:tx>
            <c:v>2-Hexanol selectivity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xVal>
            <c:numRef>
              <c:f>'only CsPW'!$T$20:$T$25</c:f>
              <c:numCache>
                <c:formatCode>General</c:formatCode>
                <c:ptCount val="6"/>
                <c:pt idx="0">
                  <c:v>0</c:v>
                </c:pt>
                <c:pt idx="1">
                  <c:v>5.2083333333333339</c:v>
                </c:pt>
                <c:pt idx="2">
                  <c:v>10.416666666666668</c:v>
                </c:pt>
                <c:pt idx="3">
                  <c:v>20.833333333333336</c:v>
                </c:pt>
                <c:pt idx="4">
                  <c:v>37.5</c:v>
                </c:pt>
                <c:pt idx="5">
                  <c:v>45.833333333333336</c:v>
                </c:pt>
              </c:numCache>
            </c:numRef>
          </c:xVal>
          <c:yVal>
            <c:numRef>
              <c:f>'only CsPW'!$F$20:$F$25</c:f>
              <c:numCache>
                <c:formatCode>General</c:formatCode>
                <c:ptCount val="6"/>
                <c:pt idx="0" formatCode="0.00">
                  <c:v>85.37</c:v>
                </c:pt>
                <c:pt idx="1">
                  <c:v>19.66</c:v>
                </c:pt>
                <c:pt idx="2">
                  <c:v>10.3</c:v>
                </c:pt>
                <c:pt idx="3" formatCode="0.00">
                  <c:v>3.2665431253864701</c:v>
                </c:pt>
                <c:pt idx="4" formatCode="0.00">
                  <c:v>1.2337283665918097</c:v>
                </c:pt>
                <c:pt idx="5" formatCode="0.00">
                  <c:v>1.04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8DFE-40DE-9916-71EA625F2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6358352"/>
        <c:axId val="1956349200"/>
      </c:scatterChart>
      <c:valAx>
        <c:axId val="529885672"/>
        <c:scaling>
          <c:orientation val="minMax"/>
          <c:max val="5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H</a:t>
                </a:r>
                <a:r>
                  <a:rPr lang="en-US" b="1" baseline="30000"/>
                  <a:t>+</a:t>
                </a:r>
                <a:r>
                  <a:rPr lang="en-US" b="1"/>
                  <a:t>/Pt</a:t>
                </a:r>
                <a:r>
                  <a:rPr lang="en-US" b="1" baseline="-25000"/>
                  <a:t>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0941496"/>
        <c:crosses val="autoZero"/>
        <c:crossBetween val="midCat"/>
      </c:valAx>
      <c:valAx>
        <c:axId val="610941496"/>
        <c:scaling>
          <c:orientation val="minMax"/>
          <c:max val="4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Conversion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29885672"/>
        <c:crosses val="autoZero"/>
        <c:crossBetween val="midCat"/>
      </c:valAx>
      <c:valAx>
        <c:axId val="1956349200"/>
        <c:scaling>
          <c:orientation val="minMax"/>
          <c:max val="1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Selectivity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56358352"/>
        <c:crosses val="max"/>
        <c:crossBetween val="midCat"/>
        <c:majorUnit val="20"/>
      </c:valAx>
      <c:valAx>
        <c:axId val="1956358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563492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36781829423639917"/>
          <c:y val="0.1684009550889472"/>
          <c:w val="0.46272007389804753"/>
          <c:h val="0.191793343540390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06302151820523"/>
          <c:y val="6.5741959085328594E-2"/>
          <c:w val="0.7950024434502736"/>
          <c:h val="0.74821675850537539"/>
        </c:manualLayout>
      </c:layout>
      <c:scatterChart>
        <c:scatterStyle val="lineMarker"/>
        <c:varyColors val="0"/>
        <c:ser>
          <c:idx val="0"/>
          <c:order val="0"/>
          <c:tx>
            <c:strRef>
              <c:f>'0.575-kPa + summary'!$N$19</c:f>
              <c:strCache>
                <c:ptCount val="1"/>
                <c:pt idx="0">
                  <c:v>Rate = XF/W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270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'0.575-kPa + summary'!$C$20:$C$24</c:f>
              <c:numCache>
                <c:formatCode>General</c:formatCode>
                <c:ptCount val="5"/>
                <c:pt idx="0" formatCode="0.00">
                  <c:v>0.57499999999999996</c:v>
                </c:pt>
                <c:pt idx="1">
                  <c:v>1.1499999999999999</c:v>
                </c:pt>
                <c:pt idx="2">
                  <c:v>1.73</c:v>
                </c:pt>
                <c:pt idx="3">
                  <c:v>2.0499999999999998</c:v>
                </c:pt>
                <c:pt idx="4">
                  <c:v>2.2999999999999998</c:v>
                </c:pt>
              </c:numCache>
            </c:numRef>
          </c:xVal>
          <c:yVal>
            <c:numRef>
              <c:f>'0.575-kPa + summary'!$N$20:$N$24</c:f>
              <c:numCache>
                <c:formatCode>0.00000000</c:formatCode>
                <c:ptCount val="5"/>
                <c:pt idx="0">
                  <c:v>1.268589E-2</c:v>
                </c:pt>
                <c:pt idx="1">
                  <c:v>1.3971159999999998E-2</c:v>
                </c:pt>
                <c:pt idx="2">
                  <c:v>1.4359E-2</c:v>
                </c:pt>
                <c:pt idx="3">
                  <c:v>1.4765800000000001E-2</c:v>
                </c:pt>
                <c:pt idx="4">
                  <c:v>1.5635759999999995E-2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17A-44A3-91DE-051E41B448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3136255"/>
        <c:axId val="1653135423"/>
      </c:scatterChart>
      <c:valAx>
        <c:axId val="16531362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b="1"/>
                  <a:t>DMTHF partial pressure (kPa)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53135423"/>
        <c:crosses val="autoZero"/>
        <c:crossBetween val="midCat"/>
      </c:valAx>
      <c:valAx>
        <c:axId val="1653135423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b="1"/>
                  <a:t>Rate (mol gˉ¹hˉ¹)</a:t>
                </a:r>
              </a:p>
            </c:rich>
          </c:tx>
          <c:layout>
            <c:manualLayout>
              <c:xMode val="edge"/>
              <c:yMode val="edge"/>
              <c:x val="2.9943665578388064E-3"/>
              <c:y val="0.183434639477404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0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5313625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23597905514352"/>
          <c:y val="5.0600646073087015E-2"/>
          <c:w val="0.83618641989583475"/>
          <c:h val="0.75872703412073494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95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0.20895115600589767"/>
                  <c:y val="-5.0910729532302442E-3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'H2 pure + summary'!$Q$22:$Q$25</c:f>
              <c:numCache>
                <c:formatCode>General</c:formatCode>
                <c:ptCount val="4"/>
                <c:pt idx="0">
                  <c:v>4.5819015590487373</c:v>
                </c:pt>
                <c:pt idx="1">
                  <c:v>4.2808241291647189</c:v>
                </c:pt>
                <c:pt idx="2">
                  <c:v>3.8897773964808264</c:v>
                </c:pt>
                <c:pt idx="3">
                  <c:v>3.1945831322991562</c:v>
                </c:pt>
              </c:numCache>
            </c:numRef>
          </c:xVal>
          <c:yVal>
            <c:numRef>
              <c:f>'H2 pure + summary'!$S$22:$S$25</c:f>
              <c:numCache>
                <c:formatCode>0.00</c:formatCode>
                <c:ptCount val="4"/>
                <c:pt idx="0">
                  <c:v>1.9178492622544576</c:v>
                </c:pt>
                <c:pt idx="1">
                  <c:v>2.1234768008847271</c:v>
                </c:pt>
                <c:pt idx="2">
                  <c:v>2.3311114706234526</c:v>
                </c:pt>
                <c:pt idx="3">
                  <c:v>2.5572273113676265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A7A-4B68-A4AC-F18CAAEAD3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3652960"/>
        <c:axId val="433651648"/>
      </c:scatterChart>
      <c:valAx>
        <c:axId val="433652960"/>
        <c:scaling>
          <c:orientation val="minMax"/>
          <c:min val="3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ln </a:t>
                </a:r>
                <a:r>
                  <a:rPr lang="en-US" b="1" i="1"/>
                  <a:t>P</a:t>
                </a:r>
                <a:r>
                  <a:rPr lang="en-US" b="1" baseline="-25000"/>
                  <a:t>H2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3651648"/>
        <c:crosses val="autoZero"/>
        <c:crossBetween val="midCat"/>
      </c:valAx>
      <c:valAx>
        <c:axId val="433651648"/>
        <c:scaling>
          <c:orientation val="minMax"/>
          <c:min val="1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/>
                  <a:t>ln </a:t>
                </a:r>
                <a:r>
                  <a:rPr lang="en-US" b="1" i="1"/>
                  <a:t>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336529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65038096632872"/>
          <c:y val="6.4676616915422883E-2"/>
          <c:w val="0.82488937267194029"/>
          <c:h val="0.75088702771570004"/>
        </c:manualLayout>
      </c:layout>
      <c:scatterChart>
        <c:scatterStyle val="lineMarker"/>
        <c:varyColors val="0"/>
        <c:ser>
          <c:idx val="0"/>
          <c:order val="0"/>
          <c:tx>
            <c:strRef>
              <c:f>'0.20 g'!$C$21</c:f>
              <c:strCache>
                <c:ptCount val="1"/>
                <c:pt idx="0">
                  <c:v>Conv. (%)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9525" cap="rnd">
                <a:solidFill>
                  <a:sysClr val="windowText" lastClr="000000"/>
                </a:solidFill>
                <a:prstDash val="solid"/>
              </a:ln>
              <a:effectLst/>
            </c:spPr>
            <c:trendlineType val="linear"/>
            <c:backward val="2.4000000000000004E-2"/>
            <c:intercept val="0"/>
            <c:dispRSqr val="0"/>
            <c:dispEq val="0"/>
          </c:trendline>
          <c:xVal>
            <c:numRef>
              <c:f>'0.20 g'!$B$22:$B$24</c:f>
              <c:numCache>
                <c:formatCode>General</c:formatCode>
                <c:ptCount val="3"/>
                <c:pt idx="0">
                  <c:v>2.5000000000000001E-2</c:v>
                </c:pt>
                <c:pt idx="1">
                  <c:v>0.05</c:v>
                </c:pt>
                <c:pt idx="2">
                  <c:v>0.1</c:v>
                </c:pt>
              </c:numCache>
            </c:numRef>
          </c:xVal>
          <c:yVal>
            <c:numRef>
              <c:f>'0.20 g'!$C$22:$C$24</c:f>
              <c:numCache>
                <c:formatCode>0.00</c:formatCode>
                <c:ptCount val="3"/>
                <c:pt idx="0">
                  <c:v>3.25</c:v>
                </c:pt>
                <c:pt idx="1">
                  <c:v>6.0192372133101406</c:v>
                </c:pt>
                <c:pt idx="2">
                  <c:v>10.857394107818756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DEB-4271-BDE7-191939AB8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7061416"/>
        <c:axId val="391508512"/>
      </c:scatterChart>
      <c:valAx>
        <c:axId val="387061416"/>
        <c:scaling>
          <c:orientation val="minMax"/>
          <c:max val="0.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b="1"/>
                  <a:t>Catalyst amount (g)</a:t>
                </a:r>
              </a:p>
            </c:rich>
          </c:tx>
          <c:layout>
            <c:manualLayout>
              <c:xMode val="edge"/>
              <c:yMode val="edge"/>
              <c:x val="0.34532602905280224"/>
              <c:y val="0.900797009127174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91508512"/>
        <c:crosses val="autoZero"/>
        <c:crossBetween val="midCat"/>
      </c:valAx>
      <c:valAx>
        <c:axId val="3915085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b="1"/>
                  <a:t>Conversion (%)</a:t>
                </a:r>
              </a:p>
            </c:rich>
          </c:tx>
          <c:layout>
            <c:manualLayout>
              <c:xMode val="edge"/>
              <c:yMode val="edge"/>
              <c:x val="2.1111077198420784E-3"/>
              <c:y val="0.225784164247373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870614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5577427821522"/>
          <c:y val="5.0925925925925923E-2"/>
          <c:w val="0.84306233595800517"/>
          <c:h val="0.7755555555555555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95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0.37785608048993874"/>
                  <c:y val="-4.7365121026538351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'60 oC'!$S$21:$S$25</c:f>
              <c:numCache>
                <c:formatCode>0.00</c:formatCode>
                <c:ptCount val="5"/>
                <c:pt idx="0">
                  <c:v>3.0030030030030028</c:v>
                </c:pt>
                <c:pt idx="1">
                  <c:v>2.9154518950437316</c:v>
                </c:pt>
                <c:pt idx="2">
                  <c:v>2.8328611898016995</c:v>
                </c:pt>
                <c:pt idx="3">
                  <c:v>2.7548209366391183</c:v>
                </c:pt>
                <c:pt idx="4">
                  <c:v>2.6809651474530831</c:v>
                </c:pt>
              </c:numCache>
            </c:numRef>
          </c:xVal>
          <c:yVal>
            <c:numRef>
              <c:f>'60 oC'!$V$21:$V$25</c:f>
              <c:numCache>
                <c:formatCode>General</c:formatCode>
                <c:ptCount val="5"/>
                <c:pt idx="0">
                  <c:v>-5.8925245992530781</c:v>
                </c:pt>
                <c:pt idx="1">
                  <c:v>-5.0418080026497281</c:v>
                </c:pt>
                <c:pt idx="2">
                  <c:v>-4.1569968937925754</c:v>
                </c:pt>
                <c:pt idx="3">
                  <c:v>-3.3958815358399197</c:v>
                </c:pt>
                <c:pt idx="4">
                  <c:v>-2.9233930074962666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164-4C12-94EA-63B11439E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1666560"/>
        <c:axId val="1585048928"/>
      </c:scatterChart>
      <c:valAx>
        <c:axId val="1661666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/>
                  <a:t>1000/</a:t>
                </a:r>
                <a:r>
                  <a:rPr lang="en-US" sz="1200" b="1" i="1"/>
                  <a:t>T </a:t>
                </a:r>
                <a:r>
                  <a:rPr lang="en-US" sz="1200" b="1"/>
                  <a:t>(K</a:t>
                </a:r>
                <a:r>
                  <a:rPr lang="en-US" sz="1200" b="1" baseline="30000"/>
                  <a:t>-1</a:t>
                </a:r>
                <a:r>
                  <a:rPr lang="en-US" sz="1200" b="1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585048928"/>
        <c:crossesAt val="-7"/>
        <c:crossBetween val="midCat"/>
      </c:valAx>
      <c:valAx>
        <c:axId val="1585048928"/>
        <c:scaling>
          <c:orientation val="minMax"/>
          <c:max val="-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1200" b="1">
                    <a:solidFill>
                      <a:schemeClr val="tx1"/>
                    </a:solidFill>
                  </a:rPr>
                  <a:t>ln </a:t>
                </a:r>
                <a:r>
                  <a:rPr lang="en-US" sz="1200" b="1" i="1">
                    <a:solidFill>
                      <a:schemeClr val="tx1"/>
                    </a:solidFill>
                  </a:rPr>
                  <a:t>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616665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A83F-A328-4F59-B223-D2363607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Kozhevnikov, Ivan</dc:creator>
  <cp:keywords/>
  <dc:description/>
  <cp:lastModifiedBy>Kozhevnikov, Ivan</cp:lastModifiedBy>
  <cp:revision>2</cp:revision>
  <cp:lastPrinted>2021-06-07T12:39:00Z</cp:lastPrinted>
  <dcterms:created xsi:type="dcterms:W3CDTF">2021-06-08T14:03:00Z</dcterms:created>
  <dcterms:modified xsi:type="dcterms:W3CDTF">2021-06-08T14:03:00Z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http://www.zotero.org/styles/royal-society-of-chemistry</vt:lpwstr>
  </property>
  <property fmtid="{D5CDD505-2E9C-101B-9397-08002B2CF9AE}" pid="21" name="Mendeley Recent Style Name 9_1">
    <vt:lpwstr>Royal Society of Chemistry</vt:lpwstr>
  </property>
</Properties>
</file>